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EEC2A" w14:textId="5324EF2B" w:rsidR="00806B8A" w:rsidRDefault="00806B8A">
      <w:pPr>
        <w:spacing w:before="0" w:after="160" w:line="259" w:lineRule="auto"/>
      </w:pPr>
      <w:r>
        <w:br w:type="page"/>
      </w:r>
      <w:bookmarkStart w:id="0" w:name="_Ref183689042"/>
      <w:bookmarkEnd w:id="0"/>
    </w:p>
    <w:p w14:paraId="113476B8" w14:textId="77777777" w:rsidR="00F05E4E" w:rsidRDefault="00F05E4E" w:rsidP="00F05E4E">
      <w:pPr>
        <w:rPr>
          <w:noProof/>
        </w:rPr>
      </w:pPr>
      <w:bookmarkStart w:id="1" w:name="_Toc110260066"/>
      <w:bookmarkStart w:id="2" w:name="_Toc110260182"/>
      <w:bookmarkStart w:id="3" w:name="_Toc110260312"/>
      <w:bookmarkStart w:id="4" w:name="_Toc110263562"/>
      <w:bookmarkStart w:id="5" w:name="_Toc110263857"/>
      <w:bookmarkStart w:id="6" w:name="_Toc110263932"/>
      <w:bookmarkStart w:id="7" w:name="_Toc110264102"/>
      <w:bookmarkStart w:id="8" w:name="_Toc110264638"/>
      <w:bookmarkStart w:id="9" w:name="_Toc110267052"/>
      <w:bookmarkStart w:id="10" w:name="_Toc147329400"/>
      <w:bookmarkStart w:id="11" w:name="_Toc149846492"/>
      <w:bookmarkStart w:id="12" w:name="_Toc149846534"/>
      <w:bookmarkStart w:id="13" w:name="_Toc149846632"/>
      <w:bookmarkStart w:id="14" w:name="_Toc149847575"/>
      <w:bookmarkStart w:id="15" w:name="_Toc149847658"/>
      <w:r w:rsidRPr="00661BF0">
        <w:lastRenderedPageBreak/>
        <w:t>© Commonwealth of Au</w:t>
      </w:r>
      <w:r w:rsidRPr="006743FE">
        <w:t>stralia 202</w:t>
      </w:r>
      <w:r>
        <w:t>4</w:t>
      </w:r>
    </w:p>
    <w:p w14:paraId="24BB266B" w14:textId="79F5066E" w:rsidR="00F05E4E" w:rsidRPr="00086F82" w:rsidRDefault="00F05E4E" w:rsidP="00F05E4E">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7" w:history="1">
        <w:r w:rsidRPr="00873B8D">
          <w:rPr>
            <w:rStyle w:val="Hyperlink"/>
          </w:rPr>
          <w:t>Creative Commons Attribution 4.0 International</w:t>
        </w:r>
      </w:hyperlink>
      <w:r>
        <w:rPr>
          <w:rStyle w:val="Hyperlink"/>
        </w:rPr>
        <w:t xml:space="preserve"> </w:t>
      </w:r>
      <w:r w:rsidRPr="002F1BC2">
        <w:t>licence, with the exception of the Commonwealth Coat of Arms, the Treasury logo</w:t>
      </w:r>
      <w:r>
        <w:t xml:space="preserve">, photographs, images,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8" w:history="1">
        <w:r>
          <w:rPr>
            <w:rStyle w:val="Hyperlink"/>
          </w:rPr>
          <w:t>creativecommons.org/licenses/by/4.0/</w:t>
        </w:r>
        <w:proofErr w:type="spellStart"/>
        <w:r>
          <w:rPr>
            <w:rStyle w:val="Hyperlink"/>
          </w:rPr>
          <w:t>legalcode</w:t>
        </w:r>
        <w:proofErr w:type="spellEnd"/>
      </w:hyperlink>
      <w:r w:rsidRPr="006627B4">
        <w:rPr>
          <w:rStyle w:val="Hyperlink"/>
        </w:rPr>
        <w:t>.</w:t>
      </w:r>
      <w:r w:rsidRPr="00D06A21">
        <w:rPr>
          <w:sz w:val="24"/>
          <w:szCs w:val="24"/>
        </w:rPr>
        <w:t xml:space="preserve"> </w:t>
      </w:r>
    </w:p>
    <w:p w14:paraId="3ABDABD7" w14:textId="77777777" w:rsidR="00F05E4E" w:rsidRDefault="00F05E4E" w:rsidP="00F05E4E">
      <w:pPr>
        <w:pStyle w:val="ChartGraphic"/>
        <w:jc w:val="left"/>
      </w:pPr>
      <w:r w:rsidRPr="00E56DFB">
        <w:rPr>
          <w:noProof/>
          <w:lang w:eastAsia="en-AU"/>
        </w:rPr>
        <w:drawing>
          <wp:inline distT="0" distB="0" distL="0" distR="0" wp14:anchorId="33B53ABD" wp14:editId="4A9B29E5">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9763033" w14:textId="755466C3" w:rsidR="00F05E4E" w:rsidRPr="006627B4" w:rsidRDefault="00F05E4E" w:rsidP="00F05E4E">
      <w:pPr>
        <w:tabs>
          <w:tab w:val="left" w:pos="1650"/>
        </w:tabs>
        <w:spacing w:before="240"/>
      </w:pPr>
      <w:r w:rsidRPr="006627B4">
        <w:t>Use of Treasury material under a</w:t>
      </w:r>
      <w:r w:rsidRPr="00476F09">
        <w:rPr>
          <w:rFonts w:cstheme="minorHAnsi"/>
          <w:sz w:val="24"/>
          <w:szCs w:val="24"/>
        </w:rPr>
        <w:t xml:space="preserve"> </w:t>
      </w:r>
      <w:hyperlink r:id="rId10" w:history="1">
        <w:r>
          <w:rPr>
            <w:rStyle w:val="Hyperlink"/>
          </w:rPr>
          <w:t>Creative Commons Attribution 4.0 International</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623C6E1" w14:textId="093A2C92" w:rsidR="00F05E4E" w:rsidRPr="002F1BC2" w:rsidRDefault="00F05E4E" w:rsidP="00F05E4E">
      <w:pPr>
        <w:ind w:left="709"/>
        <w:rPr>
          <w:i/>
        </w:rPr>
      </w:pPr>
      <w:r w:rsidRPr="002F1BC2">
        <w:rPr>
          <w:i/>
        </w:rPr>
        <w:t xml:space="preserve">Treasury material used </w:t>
      </w:r>
      <w:r w:rsidR="00050D25">
        <w:rPr>
          <w:i/>
        </w:rPr>
        <w:t>‘</w:t>
      </w:r>
      <w:r w:rsidRPr="002F1BC2">
        <w:rPr>
          <w:i/>
        </w:rPr>
        <w:t>as supplied</w:t>
      </w:r>
      <w:r w:rsidR="00050D25">
        <w:rPr>
          <w:i/>
        </w:rPr>
        <w:t>’</w:t>
      </w:r>
      <w:r>
        <w:rPr>
          <w:i/>
        </w:rPr>
        <w:t>.</w:t>
      </w:r>
    </w:p>
    <w:p w14:paraId="059181FB" w14:textId="77777777" w:rsidR="00F05E4E" w:rsidRPr="00476F09" w:rsidRDefault="00F05E4E" w:rsidP="00F05E4E">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A341E4D" w14:textId="759C1F8F" w:rsidR="00F05E4E" w:rsidRPr="00A13A11" w:rsidRDefault="00F05E4E" w:rsidP="00F05E4E">
      <w:pPr>
        <w:ind w:left="720"/>
      </w:pPr>
      <w:r w:rsidRPr="002F1BC2">
        <w:rPr>
          <w:i/>
        </w:rPr>
        <w:t xml:space="preserve">Source: </w:t>
      </w:r>
      <w:r>
        <w:rPr>
          <w:i/>
          <w:iCs/>
        </w:rPr>
        <w:t>Centre for Population 202</w:t>
      </w:r>
      <w:r w:rsidR="00653604" w:rsidRPr="7E6B983E">
        <w:rPr>
          <w:i/>
          <w:iCs/>
        </w:rPr>
        <w:t>4</w:t>
      </w:r>
      <w:r>
        <w:rPr>
          <w:i/>
          <w:iCs/>
        </w:rPr>
        <w:t>, 202</w:t>
      </w:r>
      <w:r w:rsidR="00653604">
        <w:rPr>
          <w:i/>
          <w:iCs/>
        </w:rPr>
        <w:t>4</w:t>
      </w:r>
      <w:r>
        <w:rPr>
          <w:i/>
          <w:iCs/>
        </w:rPr>
        <w:t xml:space="preserve"> Population Statement, </w:t>
      </w:r>
      <w:r>
        <w:br/>
      </w:r>
      <w:r>
        <w:rPr>
          <w:i/>
          <w:iCs/>
        </w:rPr>
        <w:t>the Australian Government, Canberra.</w:t>
      </w:r>
    </w:p>
    <w:p w14:paraId="7C7B3893" w14:textId="77777777" w:rsidR="00F05E4E" w:rsidRPr="006627B4" w:rsidRDefault="00F05E4E" w:rsidP="00F05E4E">
      <w:pPr>
        <w:spacing w:before="240"/>
      </w:pPr>
      <w:r w:rsidRPr="00CC63CC">
        <w:rPr>
          <w:b/>
        </w:rPr>
        <w:t>Derivative</w:t>
      </w:r>
      <w:r w:rsidRPr="006627B4">
        <w:t xml:space="preserve"> </w:t>
      </w:r>
      <w:r w:rsidRPr="00CC63CC">
        <w:rPr>
          <w:b/>
        </w:rPr>
        <w:t>material</w:t>
      </w:r>
    </w:p>
    <w:p w14:paraId="1E365FFB" w14:textId="77777777" w:rsidR="00F05E4E" w:rsidRPr="006627B4" w:rsidRDefault="00F05E4E" w:rsidP="00F05E4E">
      <w:r w:rsidRPr="006627B4">
        <w:t xml:space="preserve">If you have modified or transformed Treasury material, or derived new material from those of the Treasury in any way, then Treasury prefers the following attribution: </w:t>
      </w:r>
    </w:p>
    <w:p w14:paraId="270CEE56" w14:textId="77777777" w:rsidR="00F05E4E" w:rsidRPr="006627B4" w:rsidRDefault="00F05E4E" w:rsidP="00F05E4E">
      <w:pPr>
        <w:ind w:firstLine="720"/>
      </w:pPr>
      <w:r w:rsidRPr="002F1BC2">
        <w:rPr>
          <w:i/>
        </w:rPr>
        <w:t xml:space="preserve">Based on </w:t>
      </w:r>
      <w:r>
        <w:rPr>
          <w:i/>
          <w:iCs/>
        </w:rPr>
        <w:t>Centre for Population analysis/data.</w:t>
      </w:r>
    </w:p>
    <w:p w14:paraId="36201E07" w14:textId="77777777" w:rsidR="00F05E4E" w:rsidRPr="006627B4" w:rsidRDefault="00F05E4E" w:rsidP="00F05E4E">
      <w:pPr>
        <w:spacing w:before="240"/>
        <w:rPr>
          <w:b/>
        </w:rPr>
      </w:pPr>
      <w:r w:rsidRPr="006627B4">
        <w:rPr>
          <w:b/>
        </w:rPr>
        <w:t>Use of the Coat of Arms</w:t>
      </w:r>
    </w:p>
    <w:p w14:paraId="092CC2A5" w14:textId="1F82C473" w:rsidR="00F05E4E" w:rsidRPr="005C503A" w:rsidRDefault="00F05E4E" w:rsidP="00F05E4E">
      <w:pPr>
        <w:spacing w:before="240"/>
      </w:pPr>
      <w:r w:rsidRPr="005C503A">
        <w:t xml:space="preserve">The terms under which the Coat of Arms can be used are set out on the Department of the Prime Minister and Cabinet website (see </w:t>
      </w:r>
      <w:hyperlink r:id="rId11" w:history="1">
        <w:r w:rsidR="00050D25" w:rsidRPr="00D11D4B">
          <w:rPr>
            <w:rStyle w:val="Hyperlink"/>
          </w:rPr>
          <w:t>www.pmc.gov.au/government/commonwealth-coat-arms</w:t>
        </w:r>
      </w:hyperlink>
      <w:r w:rsidRPr="005C503A">
        <w:t>).</w:t>
      </w:r>
    </w:p>
    <w:p w14:paraId="1533EE17" w14:textId="64FB8F61" w:rsidR="00F05E4E" w:rsidRPr="006627B4" w:rsidRDefault="00F05E4E" w:rsidP="00F05E4E">
      <w:pPr>
        <w:spacing w:before="240"/>
        <w:rPr>
          <w:b/>
        </w:rPr>
      </w:pPr>
      <w:r>
        <w:rPr>
          <w:b/>
        </w:rPr>
        <w:t>Other u</w:t>
      </w:r>
      <w:r w:rsidRPr="006627B4">
        <w:rPr>
          <w:b/>
        </w:rPr>
        <w:t>ses</w:t>
      </w:r>
    </w:p>
    <w:p w14:paraId="04419A09" w14:textId="77777777" w:rsidR="00F05E4E" w:rsidRPr="006627B4" w:rsidRDefault="00F05E4E" w:rsidP="00F05E4E">
      <w:r>
        <w:t>E</w:t>
      </w:r>
      <w:r w:rsidRPr="006627B4">
        <w:t>nquiries regarding this licence and any other use of this document are welcome at:</w:t>
      </w:r>
    </w:p>
    <w:p w14:paraId="63BF0F27" w14:textId="346652A7" w:rsidR="00F05E4E" w:rsidRDefault="00F05E4E" w:rsidP="00F05E4E">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ACT</w:t>
      </w:r>
      <w:r w:rsidRPr="006627B4">
        <w:t xml:space="preserve"> 2600</w:t>
      </w:r>
      <w:r>
        <w:br/>
      </w:r>
      <w:r w:rsidRPr="006627B4">
        <w:t xml:space="preserve">Email: </w:t>
      </w:r>
      <w:hyperlink r:id="rId12" w:history="1">
        <w:r w:rsidRPr="008574BF">
          <w:rPr>
            <w:rStyle w:val="Hyperlink"/>
          </w:rPr>
          <w:t>media@treasury.gov.au</w:t>
        </w:r>
      </w:hyperlink>
    </w:p>
    <w:p w14:paraId="0D7A1AD3" w14:textId="77777777" w:rsidR="00AC19E9" w:rsidRDefault="00AC19E9">
      <w:pPr>
        <w:spacing w:before="0" w:after="160" w:line="259" w:lineRule="auto"/>
        <w:rPr>
          <w:b/>
          <w:smallCaps/>
          <w:color w:val="FFFFFF" w:themeColor="background1"/>
          <w:spacing w:val="15"/>
          <w:sz w:val="22"/>
          <w:szCs w:val="22"/>
        </w:rPr>
      </w:pPr>
      <w:r>
        <w:br w:type="page"/>
      </w:r>
    </w:p>
    <w:p w14:paraId="26BC334B" w14:textId="4EFE4FCD" w:rsidR="00476121" w:rsidRPr="004218BD" w:rsidRDefault="00283A10" w:rsidP="004218BD">
      <w:pPr>
        <w:pStyle w:val="Heading1"/>
      </w:pPr>
      <w:bookmarkStart w:id="16" w:name="_Toc151994711"/>
      <w:bookmarkStart w:id="17" w:name="_Toc185333099"/>
      <w:bookmarkStart w:id="18" w:name="_Toc185346716"/>
      <w:r w:rsidRPr="004218BD">
        <w:lastRenderedPageBreak/>
        <w:t>A</w:t>
      </w:r>
      <w:r w:rsidR="00476121" w:rsidRPr="004218BD">
        <w:t xml:space="preserve">cknowledgement of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7B61CC">
        <w:t>C</w:t>
      </w:r>
      <w:r w:rsidR="00476121" w:rsidRPr="004218BD">
        <w:t>ountry</w:t>
      </w:r>
      <w:bookmarkEnd w:id="17"/>
      <w:bookmarkEnd w:id="18"/>
    </w:p>
    <w:p w14:paraId="66B45C79" w14:textId="45FE53FB" w:rsidR="00263038" w:rsidRDefault="00263038" w:rsidP="004218BD">
      <w:r>
        <w:t xml:space="preserve">In the spirit of reconciliation, the Treasury acknowledges the Traditional Custodians of </w:t>
      </w:r>
      <w:r w:rsidR="00DE6839">
        <w:t xml:space="preserve">Country </w:t>
      </w:r>
      <w:r>
        <w:t xml:space="preserve">throughout Australia and their connections to land, </w:t>
      </w:r>
      <w:proofErr w:type="gramStart"/>
      <w:r>
        <w:t>sea</w:t>
      </w:r>
      <w:proofErr w:type="gramEnd"/>
      <w:r>
        <w:t xml:space="preserve"> and community. </w:t>
      </w:r>
    </w:p>
    <w:p w14:paraId="5C6614CE" w14:textId="466BE529" w:rsidR="0026018E" w:rsidRDefault="00263038" w:rsidP="004218BD">
      <w:r>
        <w:t>We pay our respects to their Elders past and present and extend that respect to all Aboriginal and Torres</w:t>
      </w:r>
      <w:r w:rsidR="00FA7CC4">
        <w:t> </w:t>
      </w:r>
      <w:r>
        <w:t>Strait</w:t>
      </w:r>
      <w:r w:rsidR="00FA7CC4">
        <w:t> </w:t>
      </w:r>
      <w:r>
        <w:t>Islander peoples.</w:t>
      </w:r>
    </w:p>
    <w:p w14:paraId="3972314A" w14:textId="77777777" w:rsidR="00054E63" w:rsidRDefault="00054E63">
      <w:pPr>
        <w:spacing w:before="0" w:after="160" w:line="259" w:lineRule="auto"/>
        <w:rPr>
          <w:b/>
          <w:smallCaps/>
          <w:color w:val="FFFFFF" w:themeColor="background1"/>
          <w:spacing w:val="15"/>
          <w:sz w:val="22"/>
          <w:szCs w:val="22"/>
        </w:rPr>
      </w:pPr>
      <w:bookmarkStart w:id="19" w:name="_Toc149846524"/>
      <w:bookmarkStart w:id="20" w:name="_Toc149846565"/>
      <w:bookmarkStart w:id="21" w:name="_Toc149846663"/>
      <w:bookmarkStart w:id="22" w:name="_Toc149847606"/>
      <w:bookmarkStart w:id="23" w:name="_Toc151994735"/>
      <w:bookmarkStart w:id="24" w:name="_Toc180584532"/>
      <w:r>
        <w:br w:type="page"/>
      </w:r>
    </w:p>
    <w:p w14:paraId="0B5EECD3" w14:textId="3C879BD6" w:rsidR="009E2A8F" w:rsidRDefault="009E2A8F" w:rsidP="009E2A8F">
      <w:pPr>
        <w:pStyle w:val="Heading1"/>
      </w:pPr>
      <w:bookmarkStart w:id="25" w:name="_Toc185333100"/>
      <w:bookmarkStart w:id="26" w:name="_Toc185346717"/>
      <w:r w:rsidRPr="005B422D">
        <w:lastRenderedPageBreak/>
        <w:t>Notes</w:t>
      </w:r>
      <w:bookmarkEnd w:id="19"/>
      <w:bookmarkEnd w:id="20"/>
      <w:bookmarkEnd w:id="21"/>
      <w:bookmarkEnd w:id="22"/>
      <w:bookmarkEnd w:id="23"/>
      <w:bookmarkEnd w:id="24"/>
      <w:bookmarkEnd w:id="25"/>
      <w:bookmarkEnd w:id="26"/>
    </w:p>
    <w:p w14:paraId="53B01ACA" w14:textId="45B5B531" w:rsidR="009E2A8F" w:rsidRDefault="009E2A8F" w:rsidP="00054E63">
      <w:r>
        <w:t xml:space="preserve">References to years are on a financial year basis (1 July to 30 June) unless otherwise stated. Population totals for a year refer to population as </w:t>
      </w:r>
      <w:proofErr w:type="gramStart"/>
      <w:r>
        <w:t>at</w:t>
      </w:r>
      <w:proofErr w:type="gramEnd"/>
      <w:r>
        <w:t xml:space="preserve"> 30 June of that year. For example, </w:t>
      </w:r>
      <w:r w:rsidR="00050D25">
        <w:t>‘</w:t>
      </w:r>
      <w:r>
        <w:t>Australia</w:t>
      </w:r>
      <w:r w:rsidR="00050D25">
        <w:t>’</w:t>
      </w:r>
      <w:r>
        <w:t>s population was 25.6</w:t>
      </w:r>
      <w:r w:rsidR="00FF207F">
        <w:t> million</w:t>
      </w:r>
      <w:r>
        <w:t xml:space="preserve"> in 2019</w:t>
      </w:r>
      <w:r w:rsidR="00AF38FB">
        <w:t>–</w:t>
      </w:r>
      <w:r>
        <w:t>20</w:t>
      </w:r>
      <w:r w:rsidR="00050D25">
        <w:t>’</w:t>
      </w:r>
      <w:r>
        <w:t xml:space="preserve"> means that Australia</w:t>
      </w:r>
      <w:r w:rsidR="00050D25">
        <w:t>’</w:t>
      </w:r>
      <w:r>
        <w:t>s population was 25.6</w:t>
      </w:r>
      <w:r w:rsidR="00FF207F">
        <w:t> million</w:t>
      </w:r>
      <w:r>
        <w:t xml:space="preserve"> as </w:t>
      </w:r>
      <w:proofErr w:type="gramStart"/>
      <w:r>
        <w:t>at</w:t>
      </w:r>
      <w:proofErr w:type="gramEnd"/>
      <w:r>
        <w:t xml:space="preserve"> 30 June 2020. Population flows for a year refer to flows during the financial year. For example, </w:t>
      </w:r>
      <w:r w:rsidR="00050D25">
        <w:t>‘</w:t>
      </w:r>
      <w:r>
        <w:t>Australia</w:t>
      </w:r>
      <w:r w:rsidR="00050D25">
        <w:t>’</w:t>
      </w:r>
      <w:r>
        <w:t>s natural increase was 135,000 in 2019</w:t>
      </w:r>
      <w:r w:rsidR="00AF38FB">
        <w:t>–</w:t>
      </w:r>
      <w:r>
        <w:t>20</w:t>
      </w:r>
      <w:r w:rsidR="00050D25">
        <w:t>’</w:t>
      </w:r>
      <w:r>
        <w:t xml:space="preserve"> means the natural increase in Australia</w:t>
      </w:r>
      <w:r w:rsidR="00050D25">
        <w:t>’</w:t>
      </w:r>
      <w:r>
        <w:t xml:space="preserve">s population from 1 July 2019 to 30 June 2020 was 135,000. </w:t>
      </w:r>
    </w:p>
    <w:p w14:paraId="2600A3CE" w14:textId="12C81490" w:rsidR="009E2A8F" w:rsidRDefault="009E2A8F" w:rsidP="00054E63">
      <w:r>
        <w:t xml:space="preserve">References to the </w:t>
      </w:r>
      <w:r w:rsidR="00050D25">
        <w:t>‘</w:t>
      </w:r>
      <w:r>
        <w:t>states</w:t>
      </w:r>
      <w:r w:rsidR="00050D25">
        <w:t>’</w:t>
      </w:r>
      <w:r>
        <w:t xml:space="preserve"> or </w:t>
      </w:r>
      <w:r w:rsidR="00050D25">
        <w:t>‘</w:t>
      </w:r>
      <w:r>
        <w:t>each state</w:t>
      </w:r>
      <w:r w:rsidR="00050D25">
        <w:t>’</w:t>
      </w:r>
      <w:r>
        <w:t xml:space="preserve"> include the Northern Territory and the Australian Capital Territory.</w:t>
      </w:r>
    </w:p>
    <w:p w14:paraId="0198E94F" w14:textId="77777777" w:rsidR="009E2A8F" w:rsidRDefault="009E2A8F" w:rsidP="00054E63">
      <w:r>
        <w:t>Figures in tables and in the text have been rounded. Transformations (for example, shares or rates of change) are calculated using unrounded numbers. Discrepancies between totals and the sum of components are due to rounding. In general, the rounding conventions used include:</w:t>
      </w:r>
    </w:p>
    <w:p w14:paraId="623B3C83" w14:textId="1CD576F1" w:rsidR="009E2A8F" w:rsidRPr="006F48FB" w:rsidRDefault="009E2A8F" w:rsidP="009E2A8F">
      <w:pPr>
        <w:pStyle w:val="Normalbullet"/>
      </w:pPr>
      <w:r w:rsidRPr="006F48FB">
        <w:t xml:space="preserve">rates are rounded to one decimal </w:t>
      </w:r>
      <w:proofErr w:type="gramStart"/>
      <w:r w:rsidRPr="006F48FB">
        <w:t>place</w:t>
      </w:r>
      <w:proofErr w:type="gramEnd"/>
    </w:p>
    <w:p w14:paraId="158D4C01" w14:textId="77777777" w:rsidR="009E2A8F" w:rsidRPr="006F48FB" w:rsidRDefault="009E2A8F" w:rsidP="009E2A8F">
      <w:pPr>
        <w:pStyle w:val="Normalbullet"/>
      </w:pPr>
      <w:r w:rsidRPr="006F48FB">
        <w:t xml:space="preserve">estimates over 10,000 are rounded to the nearest </w:t>
      </w:r>
      <w:proofErr w:type="gramStart"/>
      <w:r w:rsidRPr="006F48FB">
        <w:t>thousand</w:t>
      </w:r>
      <w:proofErr w:type="gramEnd"/>
    </w:p>
    <w:p w14:paraId="68A97C35" w14:textId="77777777" w:rsidR="009E2A8F" w:rsidRPr="006F48FB" w:rsidRDefault="009E2A8F" w:rsidP="009E2A8F">
      <w:pPr>
        <w:pStyle w:val="Normalbullet"/>
      </w:pPr>
      <w:r w:rsidRPr="006F48FB">
        <w:t xml:space="preserve">estimates between 100 and 9,999 are rounded to the nearest </w:t>
      </w:r>
      <w:proofErr w:type="gramStart"/>
      <w:r w:rsidRPr="006F48FB">
        <w:t>100</w:t>
      </w:r>
      <w:proofErr w:type="gramEnd"/>
    </w:p>
    <w:p w14:paraId="346F8160" w14:textId="77777777" w:rsidR="007A15DB" w:rsidRDefault="009E2A8F" w:rsidP="009E2A8F">
      <w:pPr>
        <w:pStyle w:val="Normalbullet"/>
      </w:pPr>
      <w:r w:rsidRPr="006F48FB">
        <w:t xml:space="preserve">estimates midway between rounding points are rounded </w:t>
      </w:r>
      <w:proofErr w:type="gramStart"/>
      <w:r w:rsidRPr="006F48FB">
        <w:t>up</w:t>
      </w:r>
      <w:proofErr w:type="gramEnd"/>
    </w:p>
    <w:p w14:paraId="490EDFC9" w14:textId="2F3E0BE3" w:rsidR="009E2A8F" w:rsidRPr="006F48FB" w:rsidRDefault="000C6360" w:rsidP="009E2A8F">
      <w:pPr>
        <w:pStyle w:val="Normalbullet"/>
      </w:pPr>
      <w:r>
        <w:t>forecasts of net overseas migration at the national level are rounded to the nearest 5,000.</w:t>
      </w:r>
      <w:r w:rsidR="009E2A8F" w:rsidRPr="006F48FB">
        <w:t xml:space="preserve"> </w:t>
      </w:r>
    </w:p>
    <w:p w14:paraId="5AABF663" w14:textId="77777777" w:rsidR="009E2A8F" w:rsidRDefault="009E2A8F" w:rsidP="009E2A8F">
      <w:r>
        <w:t>Estimates of future population and components of change are either forecasts or projections.</w:t>
      </w:r>
    </w:p>
    <w:p w14:paraId="1218220A" w14:textId="77777777" w:rsidR="009E2A8F" w:rsidRDefault="009E2A8F" w:rsidP="009E2A8F">
      <w:pPr>
        <w:pStyle w:val="Normalbullet"/>
      </w:pPr>
      <w:r w:rsidRPr="00ED019A">
        <w:rPr>
          <w:b/>
        </w:rPr>
        <w:t>Forecasts</w:t>
      </w:r>
      <w:r>
        <w:t xml:space="preserve"> are predictions about what is expected to happen in the near term based on analysis and modelling in relation to current circumstances.</w:t>
      </w:r>
    </w:p>
    <w:p w14:paraId="42DE8697" w14:textId="0F4E407B" w:rsidR="009E2A8F" w:rsidRDefault="009E2A8F" w:rsidP="009E2A8F">
      <w:pPr>
        <w:pStyle w:val="Normalbullet"/>
      </w:pPr>
      <w:r w:rsidRPr="00ED019A">
        <w:rPr>
          <w:b/>
        </w:rPr>
        <w:t>Projections</w:t>
      </w:r>
      <w:r>
        <w:t xml:space="preserve"> are based on analysis and modelling of long</w:t>
      </w:r>
      <w:r w:rsidR="00050D25">
        <w:noBreakHyphen/>
      </w:r>
      <w:r>
        <w:t>term trends when rates or levels are stable. Projections may also include a transition from the last forecast to the assumed stable level or rate.</w:t>
      </w:r>
    </w:p>
    <w:tbl>
      <w:tblPr>
        <w:tblStyle w:val="TableGrid"/>
        <w:tblW w:w="0" w:type="auto"/>
        <w:tblLook w:val="04A0" w:firstRow="1" w:lastRow="0" w:firstColumn="1" w:lastColumn="0" w:noHBand="0" w:noVBand="1"/>
      </w:tblPr>
      <w:tblGrid>
        <w:gridCol w:w="9072"/>
      </w:tblGrid>
      <w:tr w:rsidR="00FE6CCB" w14:paraId="30853249" w14:textId="77777777">
        <w:tc>
          <w:tcPr>
            <w:tcW w:w="9072" w:type="dxa"/>
          </w:tcPr>
          <w:p w14:paraId="0D6F45F1" w14:textId="0871AB56" w:rsidR="00D13028" w:rsidRDefault="00FE6CCB" w:rsidP="001534F4">
            <w:pPr>
              <w:pStyle w:val="BoxText"/>
            </w:pPr>
            <w:r>
              <w:t>The main data source</w:t>
            </w:r>
            <w:r w:rsidRPr="007A675F">
              <w:t xml:space="preserve"> for the</w:t>
            </w:r>
            <w:r>
              <w:t>se</w:t>
            </w:r>
            <w:r w:rsidRPr="007A675F">
              <w:t xml:space="preserve"> projections is </w:t>
            </w:r>
            <w:r>
              <w:t>the</w:t>
            </w:r>
            <w:r w:rsidRPr="007A675F">
              <w:t xml:space="preserve"> </w:t>
            </w:r>
            <w:r>
              <w:t>Australian Bureau of Statistics (ABS)</w:t>
            </w:r>
            <w:r w:rsidRPr="007A675F">
              <w:t xml:space="preserve"> </w:t>
            </w:r>
            <w:r w:rsidRPr="00F00B08">
              <w:rPr>
                <w:rStyle w:val="SubtleEmphasis"/>
              </w:rPr>
              <w:t>National, state and territory population, March 2024</w:t>
            </w:r>
            <w:r w:rsidRPr="007A675F">
              <w:t>, released in September 202</w:t>
            </w:r>
            <w:r>
              <w:t>4</w:t>
            </w:r>
            <w:r w:rsidRPr="007A675F">
              <w:t>.</w:t>
            </w:r>
            <w:r>
              <w:t xml:space="preserve"> </w:t>
            </w:r>
          </w:p>
          <w:p w14:paraId="62B2AA67" w14:textId="71D055DA" w:rsidR="009F40B3" w:rsidRDefault="00BD4142" w:rsidP="001534F4">
            <w:pPr>
              <w:pStyle w:val="BoxText"/>
              <w:rPr>
                <w:rFonts w:ascii="CIDFont+F1" w:eastAsiaTheme="minorHAnsi" w:hAnsi="CIDFont+F1" w:cs="CIDFont+F1"/>
              </w:rPr>
            </w:pPr>
            <w:r>
              <w:t xml:space="preserve">After the </w:t>
            </w:r>
            <w:r w:rsidR="007C3EAF">
              <w:t xml:space="preserve">projections </w:t>
            </w:r>
            <w:r>
              <w:t xml:space="preserve">in this statement were </w:t>
            </w:r>
            <w:r w:rsidR="00F37466">
              <w:t xml:space="preserve">prepared, the ABS released the </w:t>
            </w:r>
            <w:r w:rsidR="00F37466" w:rsidRPr="00F00B08">
              <w:rPr>
                <w:rStyle w:val="SubtleEmphasis"/>
              </w:rPr>
              <w:t>National, state and territory population, June 2024</w:t>
            </w:r>
            <w:r w:rsidR="00F37466">
              <w:rPr>
                <w:i/>
              </w:rPr>
              <w:t>.</w:t>
            </w:r>
            <w:r w:rsidR="00F37466">
              <w:rPr>
                <w:iCs/>
              </w:rPr>
              <w:t xml:space="preserve"> Th</w:t>
            </w:r>
            <w:r>
              <w:rPr>
                <w:iCs/>
              </w:rPr>
              <w:t>is</w:t>
            </w:r>
            <w:r w:rsidR="00F37466">
              <w:rPr>
                <w:iCs/>
              </w:rPr>
              <w:t xml:space="preserve"> publication showed</w:t>
            </w:r>
            <w:r w:rsidR="00A616BF">
              <w:rPr>
                <w:iCs/>
              </w:rPr>
              <w:t xml:space="preserve">, consistent with this </w:t>
            </w:r>
            <w:r>
              <w:rPr>
                <w:iCs/>
              </w:rPr>
              <w:t>statement</w:t>
            </w:r>
            <w:r w:rsidR="00A616BF">
              <w:rPr>
                <w:iCs/>
              </w:rPr>
              <w:t xml:space="preserve">, </w:t>
            </w:r>
            <w:r w:rsidR="00A616BF">
              <w:rPr>
                <w:rFonts w:ascii="Calibri" w:hAnsi="Calibri"/>
                <w:color w:val="000000"/>
              </w:rPr>
              <w:t>Australia</w:t>
            </w:r>
            <w:r w:rsidR="00050D25">
              <w:rPr>
                <w:rFonts w:ascii="Calibri" w:hAnsi="Calibri"/>
                <w:color w:val="000000"/>
              </w:rPr>
              <w:t>’</w:t>
            </w:r>
            <w:r w:rsidR="00A616BF">
              <w:rPr>
                <w:rFonts w:ascii="Calibri" w:hAnsi="Calibri"/>
                <w:color w:val="000000"/>
              </w:rPr>
              <w:t>s population was 27.2 million on 30 June 2024, 2.1 per cent higher than a year earlier</w:t>
            </w:r>
            <w:r w:rsidR="00D13028">
              <w:rPr>
                <w:rFonts w:ascii="Calibri" w:hAnsi="Calibri"/>
                <w:color w:val="000000"/>
              </w:rPr>
              <w:t xml:space="preserve">. </w:t>
            </w:r>
            <w:r w:rsidR="00BF59A8">
              <w:rPr>
                <w:rFonts w:ascii="CIDFont+F1" w:eastAsiaTheme="minorHAnsi" w:hAnsi="CIDFont+F1" w:cs="CIDFont+F1"/>
              </w:rPr>
              <w:t>N</w:t>
            </w:r>
            <w:r w:rsidR="00F56D45">
              <w:rPr>
                <w:rFonts w:ascii="CIDFont+F1" w:eastAsiaTheme="minorHAnsi" w:hAnsi="CIDFont+F1" w:cs="CIDFont+F1"/>
              </w:rPr>
              <w:t xml:space="preserve">et overseas migration </w:t>
            </w:r>
            <w:r w:rsidR="00BF59A8">
              <w:rPr>
                <w:rFonts w:ascii="CIDFont+F1" w:eastAsiaTheme="minorHAnsi" w:hAnsi="CIDFont+F1" w:cs="CIDFont+F1"/>
              </w:rPr>
              <w:t>was 446,000 in 2023–24, slightly lower than forecast</w:t>
            </w:r>
            <w:r w:rsidR="002C0EE9">
              <w:rPr>
                <w:rFonts w:ascii="CIDFont+F1" w:eastAsiaTheme="minorHAnsi" w:hAnsi="CIDFont+F1" w:cs="CIDFont+F1"/>
              </w:rPr>
              <w:t xml:space="preserve"> in this statement</w:t>
            </w:r>
            <w:r w:rsidR="00BF59A8">
              <w:rPr>
                <w:rFonts w:ascii="CIDFont+F1" w:eastAsiaTheme="minorHAnsi" w:hAnsi="CIDFont+F1" w:cs="CIDFont+F1"/>
              </w:rPr>
              <w:t>.</w:t>
            </w:r>
            <w:r w:rsidR="000137FF">
              <w:rPr>
                <w:rFonts w:ascii="CIDFont+F1" w:eastAsiaTheme="minorHAnsi" w:hAnsi="CIDFont+F1" w:cs="CIDFont+F1"/>
              </w:rPr>
              <w:t xml:space="preserve"> </w:t>
            </w:r>
          </w:p>
          <w:p w14:paraId="7B380E30" w14:textId="219F6838" w:rsidR="00FE6CCB" w:rsidRPr="00BB2387" w:rsidRDefault="002C0EE9">
            <w:pPr>
              <w:pStyle w:val="BoxText"/>
            </w:pPr>
            <w:r>
              <w:rPr>
                <w:rFonts w:ascii="CIDFont+F1" w:eastAsiaTheme="minorHAnsi" w:hAnsi="CIDFont+F1" w:cs="CIDFont+F1"/>
              </w:rPr>
              <w:t>The 2024</w:t>
            </w:r>
            <w:r w:rsidR="004029AB">
              <w:t>–</w:t>
            </w:r>
            <w:r>
              <w:rPr>
                <w:rFonts w:ascii="CIDFont+F1" w:eastAsiaTheme="minorHAnsi" w:hAnsi="CIDFont+F1" w:cs="CIDFont+F1"/>
              </w:rPr>
              <w:t>25 Mid</w:t>
            </w:r>
            <w:r w:rsidR="00050D25">
              <w:rPr>
                <w:rFonts w:ascii="CIDFont+F1" w:eastAsiaTheme="minorHAnsi" w:hAnsi="CIDFont+F1" w:cs="CIDFont+F1"/>
              </w:rPr>
              <w:noBreakHyphen/>
            </w:r>
            <w:r>
              <w:rPr>
                <w:rFonts w:ascii="CIDFont+F1" w:eastAsiaTheme="minorHAnsi" w:hAnsi="CIDFont+F1" w:cs="CIDFont+F1"/>
              </w:rPr>
              <w:t xml:space="preserve">Year Economic and Fiscal Outlook (MYEFO) published the </w:t>
            </w:r>
            <w:r w:rsidR="00745BF0">
              <w:rPr>
                <w:rFonts w:ascii="CIDFont+F1" w:eastAsiaTheme="minorHAnsi" w:hAnsi="CIDFont+F1" w:cs="CIDFont+F1"/>
              </w:rPr>
              <w:t>ABS estimate for net overseas migration in 2023</w:t>
            </w:r>
            <w:r w:rsidR="004029AB">
              <w:t>–</w:t>
            </w:r>
            <w:r w:rsidR="00745BF0">
              <w:rPr>
                <w:rFonts w:ascii="CIDFont+F1" w:eastAsiaTheme="minorHAnsi" w:hAnsi="CIDFont+F1" w:cs="CIDFont+F1"/>
              </w:rPr>
              <w:t>24. The forecasts in this statement and the 2024</w:t>
            </w:r>
            <w:r w:rsidR="004029AB">
              <w:t>–</w:t>
            </w:r>
            <w:r w:rsidR="00745BF0">
              <w:rPr>
                <w:rFonts w:ascii="CIDFont+F1" w:eastAsiaTheme="minorHAnsi" w:hAnsi="CIDFont+F1" w:cs="CIDFont+F1"/>
              </w:rPr>
              <w:t>25 MYEFO are otherwise consistent.</w:t>
            </w:r>
            <w:r w:rsidR="000137FF">
              <w:rPr>
                <w:rFonts w:ascii="CIDFont+F1" w:eastAsiaTheme="minorHAnsi" w:hAnsi="CIDFont+F1" w:cs="CIDFont+F1"/>
              </w:rPr>
              <w:t xml:space="preserve"> </w:t>
            </w:r>
          </w:p>
        </w:tc>
      </w:tr>
    </w:tbl>
    <w:p w14:paraId="4AC814EB" w14:textId="5E34B89D" w:rsidR="00D54F6B" w:rsidRDefault="00CC514B">
      <w:pPr>
        <w:spacing w:before="0" w:after="160" w:line="259" w:lineRule="auto"/>
        <w:rPr>
          <w:b/>
          <w:color w:val="000000" w:themeColor="text1"/>
          <w:szCs w:val="22"/>
        </w:rPr>
      </w:pPr>
      <w:r>
        <w:br w:type="page"/>
      </w:r>
    </w:p>
    <w:p w14:paraId="54FDB105" w14:textId="32D97D76" w:rsidR="00C40D31" w:rsidRPr="00C40D31" w:rsidRDefault="003859CE" w:rsidP="00C40D31">
      <w:pPr>
        <w:pStyle w:val="Heading1"/>
      </w:pPr>
      <w:bookmarkStart w:id="27" w:name="_Toc149847659"/>
      <w:bookmarkStart w:id="28" w:name="_Toc151994712"/>
      <w:bookmarkStart w:id="29" w:name="_Toc152662228"/>
      <w:bookmarkStart w:id="30" w:name="_Toc152662529"/>
      <w:bookmarkStart w:id="31" w:name="_Toc185333101"/>
      <w:bookmarkStart w:id="32" w:name="_Toc185346718"/>
      <w:r w:rsidRPr="001F1B27">
        <w:lastRenderedPageBreak/>
        <w:t>Contents</w:t>
      </w:r>
      <w:bookmarkEnd w:id="27"/>
      <w:bookmarkEnd w:id="28"/>
      <w:bookmarkEnd w:id="29"/>
      <w:bookmarkEnd w:id="30"/>
      <w:bookmarkEnd w:id="31"/>
      <w:bookmarkEnd w:id="32"/>
    </w:p>
    <w:p w14:paraId="2426A047" w14:textId="49FFC417" w:rsidR="004F4257" w:rsidRDefault="008D59CE">
      <w:pPr>
        <w:pStyle w:val="TOC1"/>
        <w:rPr>
          <w:b w:val="0"/>
          <w:color w:val="auto"/>
          <w:kern w:val="2"/>
          <w:sz w:val="22"/>
          <w:lang w:eastAsia="en-AU"/>
          <w14:ligatures w14:val="standardContextual"/>
        </w:rPr>
      </w:pPr>
      <w:r w:rsidRPr="00F67DB6">
        <w:rPr>
          <w:color w:val="004A7F"/>
        </w:rPr>
        <w:fldChar w:fldCharType="begin"/>
      </w:r>
      <w:r>
        <w:rPr>
          <w:color w:val="004A7F"/>
        </w:rPr>
        <w:instrText xml:space="preserve"> TOC \o "1-2" \h \z \u </w:instrText>
      </w:r>
      <w:r w:rsidRPr="00F67DB6">
        <w:rPr>
          <w:color w:val="004A7F"/>
        </w:rPr>
        <w:fldChar w:fldCharType="separate"/>
      </w:r>
      <w:hyperlink w:anchor="_Toc185346716" w:history="1">
        <w:r w:rsidR="004F4257" w:rsidRPr="000F6A41">
          <w:rPr>
            <w:rStyle w:val="Hyperlink"/>
          </w:rPr>
          <w:t>Acknowledgement of Country</w:t>
        </w:r>
        <w:r w:rsidR="004F4257">
          <w:rPr>
            <w:webHidden/>
          </w:rPr>
          <w:tab/>
        </w:r>
        <w:r w:rsidR="004F4257">
          <w:rPr>
            <w:webHidden/>
          </w:rPr>
          <w:fldChar w:fldCharType="begin"/>
        </w:r>
        <w:r w:rsidR="004F4257">
          <w:rPr>
            <w:webHidden/>
          </w:rPr>
          <w:instrText xml:space="preserve"> PAGEREF _Toc185346716 \h </w:instrText>
        </w:r>
        <w:r w:rsidR="004F4257">
          <w:rPr>
            <w:webHidden/>
          </w:rPr>
        </w:r>
        <w:r w:rsidR="004F4257">
          <w:rPr>
            <w:webHidden/>
          </w:rPr>
          <w:fldChar w:fldCharType="separate"/>
        </w:r>
        <w:r w:rsidR="00050D25">
          <w:rPr>
            <w:webHidden/>
          </w:rPr>
          <w:t>iii</w:t>
        </w:r>
        <w:r w:rsidR="004F4257">
          <w:rPr>
            <w:webHidden/>
          </w:rPr>
          <w:fldChar w:fldCharType="end"/>
        </w:r>
      </w:hyperlink>
    </w:p>
    <w:p w14:paraId="78DF7BC3" w14:textId="72D832A8" w:rsidR="004F4257" w:rsidRDefault="003977FE">
      <w:pPr>
        <w:pStyle w:val="TOC1"/>
        <w:rPr>
          <w:b w:val="0"/>
          <w:color w:val="auto"/>
          <w:kern w:val="2"/>
          <w:sz w:val="22"/>
          <w:lang w:eastAsia="en-AU"/>
          <w14:ligatures w14:val="standardContextual"/>
        </w:rPr>
      </w:pPr>
      <w:hyperlink w:anchor="_Toc185346717" w:history="1">
        <w:r w:rsidR="004F4257" w:rsidRPr="000F6A41">
          <w:rPr>
            <w:rStyle w:val="Hyperlink"/>
          </w:rPr>
          <w:t>Notes</w:t>
        </w:r>
        <w:r w:rsidR="004F4257">
          <w:rPr>
            <w:webHidden/>
          </w:rPr>
          <w:tab/>
        </w:r>
        <w:r w:rsidR="004F4257">
          <w:rPr>
            <w:webHidden/>
          </w:rPr>
          <w:fldChar w:fldCharType="begin"/>
        </w:r>
        <w:r w:rsidR="004F4257">
          <w:rPr>
            <w:webHidden/>
          </w:rPr>
          <w:instrText xml:space="preserve"> PAGEREF _Toc185346717 \h </w:instrText>
        </w:r>
        <w:r w:rsidR="004F4257">
          <w:rPr>
            <w:webHidden/>
          </w:rPr>
        </w:r>
        <w:r w:rsidR="004F4257">
          <w:rPr>
            <w:webHidden/>
          </w:rPr>
          <w:fldChar w:fldCharType="separate"/>
        </w:r>
        <w:r w:rsidR="00050D25">
          <w:rPr>
            <w:webHidden/>
          </w:rPr>
          <w:t>iv</w:t>
        </w:r>
        <w:r w:rsidR="004F4257">
          <w:rPr>
            <w:webHidden/>
          </w:rPr>
          <w:fldChar w:fldCharType="end"/>
        </w:r>
      </w:hyperlink>
    </w:p>
    <w:p w14:paraId="309BDBFB" w14:textId="38993290" w:rsidR="004F4257" w:rsidRDefault="003977FE">
      <w:pPr>
        <w:pStyle w:val="TOC1"/>
        <w:rPr>
          <w:b w:val="0"/>
          <w:color w:val="auto"/>
          <w:kern w:val="2"/>
          <w:sz w:val="22"/>
          <w:lang w:eastAsia="en-AU"/>
          <w14:ligatures w14:val="standardContextual"/>
        </w:rPr>
      </w:pPr>
      <w:hyperlink w:anchor="_Toc185346718" w:history="1">
        <w:r w:rsidR="004F4257" w:rsidRPr="000F6A41">
          <w:rPr>
            <w:rStyle w:val="Hyperlink"/>
          </w:rPr>
          <w:t>Contents</w:t>
        </w:r>
        <w:r w:rsidR="004F4257">
          <w:rPr>
            <w:webHidden/>
          </w:rPr>
          <w:tab/>
        </w:r>
        <w:r w:rsidR="004F4257">
          <w:rPr>
            <w:webHidden/>
          </w:rPr>
          <w:fldChar w:fldCharType="begin"/>
        </w:r>
        <w:r w:rsidR="004F4257">
          <w:rPr>
            <w:webHidden/>
          </w:rPr>
          <w:instrText xml:space="preserve"> PAGEREF _Toc185346718 \h </w:instrText>
        </w:r>
        <w:r w:rsidR="004F4257">
          <w:rPr>
            <w:webHidden/>
          </w:rPr>
        </w:r>
        <w:r w:rsidR="004F4257">
          <w:rPr>
            <w:webHidden/>
          </w:rPr>
          <w:fldChar w:fldCharType="separate"/>
        </w:r>
        <w:r w:rsidR="00050D25">
          <w:rPr>
            <w:webHidden/>
          </w:rPr>
          <w:t>v</w:t>
        </w:r>
        <w:r w:rsidR="004F4257">
          <w:rPr>
            <w:webHidden/>
          </w:rPr>
          <w:fldChar w:fldCharType="end"/>
        </w:r>
      </w:hyperlink>
    </w:p>
    <w:p w14:paraId="6652F4A3" w14:textId="6A23ACF6" w:rsidR="004F4257" w:rsidRDefault="003977FE">
      <w:pPr>
        <w:pStyle w:val="TOC1"/>
        <w:rPr>
          <w:b w:val="0"/>
          <w:color w:val="auto"/>
          <w:kern w:val="2"/>
          <w:sz w:val="22"/>
          <w:lang w:eastAsia="en-AU"/>
          <w14:ligatures w14:val="standardContextual"/>
        </w:rPr>
      </w:pPr>
      <w:hyperlink w:anchor="_Toc185346719" w:history="1">
        <w:r w:rsidR="004F4257" w:rsidRPr="000F6A41">
          <w:rPr>
            <w:rStyle w:val="Hyperlink"/>
          </w:rPr>
          <w:t>From the Treasurer</w:t>
        </w:r>
        <w:r w:rsidR="004F4257">
          <w:rPr>
            <w:webHidden/>
          </w:rPr>
          <w:tab/>
        </w:r>
        <w:r w:rsidR="004F4257">
          <w:rPr>
            <w:webHidden/>
          </w:rPr>
          <w:fldChar w:fldCharType="begin"/>
        </w:r>
        <w:r w:rsidR="004F4257">
          <w:rPr>
            <w:webHidden/>
          </w:rPr>
          <w:instrText xml:space="preserve"> PAGEREF _Toc185346719 \h </w:instrText>
        </w:r>
        <w:r w:rsidR="004F4257">
          <w:rPr>
            <w:webHidden/>
          </w:rPr>
        </w:r>
        <w:r w:rsidR="004F4257">
          <w:rPr>
            <w:webHidden/>
          </w:rPr>
          <w:fldChar w:fldCharType="separate"/>
        </w:r>
        <w:r w:rsidR="00050D25">
          <w:rPr>
            <w:webHidden/>
          </w:rPr>
          <w:t>vii</w:t>
        </w:r>
        <w:r w:rsidR="004F4257">
          <w:rPr>
            <w:webHidden/>
          </w:rPr>
          <w:fldChar w:fldCharType="end"/>
        </w:r>
      </w:hyperlink>
    </w:p>
    <w:p w14:paraId="178003DC" w14:textId="5E99BAEC" w:rsidR="004F4257" w:rsidRDefault="003977FE">
      <w:pPr>
        <w:pStyle w:val="TOC1"/>
        <w:rPr>
          <w:b w:val="0"/>
          <w:color w:val="auto"/>
          <w:kern w:val="2"/>
          <w:sz w:val="22"/>
          <w:lang w:eastAsia="en-AU"/>
          <w14:ligatures w14:val="standardContextual"/>
        </w:rPr>
      </w:pPr>
      <w:hyperlink w:anchor="_Toc185346720" w:history="1">
        <w:r w:rsidR="004F4257" w:rsidRPr="000F6A41">
          <w:rPr>
            <w:rStyle w:val="Hyperlink"/>
          </w:rPr>
          <w:t>Foreword</w:t>
        </w:r>
        <w:r w:rsidR="004F4257">
          <w:rPr>
            <w:webHidden/>
          </w:rPr>
          <w:tab/>
        </w:r>
        <w:r w:rsidR="004F4257">
          <w:rPr>
            <w:webHidden/>
          </w:rPr>
          <w:fldChar w:fldCharType="begin"/>
        </w:r>
        <w:r w:rsidR="004F4257">
          <w:rPr>
            <w:webHidden/>
          </w:rPr>
          <w:instrText xml:space="preserve"> PAGEREF _Toc185346720 \h </w:instrText>
        </w:r>
        <w:r w:rsidR="004F4257">
          <w:rPr>
            <w:webHidden/>
          </w:rPr>
        </w:r>
        <w:r w:rsidR="004F4257">
          <w:rPr>
            <w:webHidden/>
          </w:rPr>
          <w:fldChar w:fldCharType="separate"/>
        </w:r>
        <w:r w:rsidR="00050D25">
          <w:rPr>
            <w:webHidden/>
          </w:rPr>
          <w:t>viii</w:t>
        </w:r>
        <w:r w:rsidR="004F4257">
          <w:rPr>
            <w:webHidden/>
          </w:rPr>
          <w:fldChar w:fldCharType="end"/>
        </w:r>
      </w:hyperlink>
    </w:p>
    <w:p w14:paraId="2520BEF4" w14:textId="31E3BAE6" w:rsidR="004F4257" w:rsidRDefault="003977FE">
      <w:pPr>
        <w:pStyle w:val="TOC1"/>
        <w:rPr>
          <w:b w:val="0"/>
          <w:color w:val="auto"/>
          <w:kern w:val="2"/>
          <w:sz w:val="22"/>
          <w:lang w:eastAsia="en-AU"/>
          <w14:ligatures w14:val="standardContextual"/>
        </w:rPr>
      </w:pPr>
      <w:hyperlink w:anchor="_Toc185346721" w:history="1">
        <w:r w:rsidR="004F4257" w:rsidRPr="000F6A41">
          <w:rPr>
            <w:rStyle w:val="Hyperlink"/>
          </w:rPr>
          <w:t>Key points</w:t>
        </w:r>
        <w:r w:rsidR="004F4257">
          <w:rPr>
            <w:webHidden/>
          </w:rPr>
          <w:tab/>
        </w:r>
        <w:r w:rsidR="004F4257">
          <w:rPr>
            <w:webHidden/>
          </w:rPr>
          <w:fldChar w:fldCharType="begin"/>
        </w:r>
        <w:r w:rsidR="004F4257">
          <w:rPr>
            <w:webHidden/>
          </w:rPr>
          <w:instrText xml:space="preserve"> PAGEREF _Toc185346721 \h </w:instrText>
        </w:r>
        <w:r w:rsidR="004F4257">
          <w:rPr>
            <w:webHidden/>
          </w:rPr>
        </w:r>
        <w:r w:rsidR="004F4257">
          <w:rPr>
            <w:webHidden/>
          </w:rPr>
          <w:fldChar w:fldCharType="separate"/>
        </w:r>
        <w:r w:rsidR="00050D25">
          <w:rPr>
            <w:webHidden/>
          </w:rPr>
          <w:t>ix</w:t>
        </w:r>
        <w:r w:rsidR="004F4257">
          <w:rPr>
            <w:webHidden/>
          </w:rPr>
          <w:fldChar w:fldCharType="end"/>
        </w:r>
      </w:hyperlink>
    </w:p>
    <w:p w14:paraId="744A5AAC" w14:textId="121E3AA0" w:rsidR="004F4257" w:rsidRDefault="003977FE">
      <w:pPr>
        <w:pStyle w:val="TOC1"/>
        <w:tabs>
          <w:tab w:val="left" w:pos="660"/>
        </w:tabs>
        <w:rPr>
          <w:b w:val="0"/>
          <w:color w:val="auto"/>
          <w:kern w:val="2"/>
          <w:sz w:val="22"/>
          <w:lang w:eastAsia="en-AU"/>
          <w14:ligatures w14:val="standardContextual"/>
        </w:rPr>
      </w:pPr>
      <w:hyperlink w:anchor="_Toc185346722" w:history="1">
        <w:r w:rsidR="004F4257" w:rsidRPr="000F6A41">
          <w:rPr>
            <w:rStyle w:val="Hyperlink"/>
          </w:rPr>
          <w:t>1.</w:t>
        </w:r>
        <w:r w:rsidR="004F4257">
          <w:rPr>
            <w:b w:val="0"/>
            <w:color w:val="auto"/>
            <w:kern w:val="2"/>
            <w:sz w:val="22"/>
            <w:lang w:eastAsia="en-AU"/>
            <w14:ligatures w14:val="standardContextual"/>
          </w:rPr>
          <w:tab/>
        </w:r>
        <w:r w:rsidR="004F4257" w:rsidRPr="000F6A41">
          <w:rPr>
            <w:rStyle w:val="Hyperlink"/>
            <w:bCs/>
          </w:rPr>
          <w:t>National</w:t>
        </w:r>
        <w:r w:rsidR="004F4257" w:rsidRPr="000F6A41">
          <w:rPr>
            <w:rStyle w:val="Hyperlink"/>
          </w:rPr>
          <w:t xml:space="preserve"> population</w:t>
        </w:r>
        <w:r w:rsidR="004F4257">
          <w:rPr>
            <w:webHidden/>
          </w:rPr>
          <w:tab/>
        </w:r>
        <w:r w:rsidR="004F4257">
          <w:rPr>
            <w:webHidden/>
          </w:rPr>
          <w:fldChar w:fldCharType="begin"/>
        </w:r>
        <w:r w:rsidR="004F4257">
          <w:rPr>
            <w:webHidden/>
          </w:rPr>
          <w:instrText xml:space="preserve"> PAGEREF _Toc185346722 \h </w:instrText>
        </w:r>
        <w:r w:rsidR="004F4257">
          <w:rPr>
            <w:webHidden/>
          </w:rPr>
        </w:r>
        <w:r w:rsidR="004F4257">
          <w:rPr>
            <w:webHidden/>
          </w:rPr>
          <w:fldChar w:fldCharType="separate"/>
        </w:r>
        <w:r w:rsidR="00050D25">
          <w:rPr>
            <w:webHidden/>
          </w:rPr>
          <w:t>1</w:t>
        </w:r>
        <w:r w:rsidR="004F4257">
          <w:rPr>
            <w:webHidden/>
          </w:rPr>
          <w:fldChar w:fldCharType="end"/>
        </w:r>
      </w:hyperlink>
    </w:p>
    <w:p w14:paraId="638575FD" w14:textId="3D839CA6" w:rsidR="004F4257" w:rsidRDefault="003977FE">
      <w:pPr>
        <w:pStyle w:val="TOC2"/>
        <w:tabs>
          <w:tab w:val="left" w:pos="660"/>
        </w:tabs>
        <w:rPr>
          <w:color w:val="auto"/>
          <w:kern w:val="2"/>
          <w:sz w:val="22"/>
          <w:szCs w:val="22"/>
          <w:lang w:eastAsia="en-AU"/>
          <w14:ligatures w14:val="standardContextual"/>
        </w:rPr>
      </w:pPr>
      <w:hyperlink w:anchor="_Toc185346723" w:history="1">
        <w:r w:rsidR="004F4257" w:rsidRPr="000F6A41">
          <w:rPr>
            <w:rStyle w:val="Hyperlink"/>
          </w:rPr>
          <w:t>1.1</w:t>
        </w:r>
        <w:r w:rsidR="004F4257">
          <w:rPr>
            <w:color w:val="auto"/>
            <w:kern w:val="2"/>
            <w:sz w:val="22"/>
            <w:szCs w:val="22"/>
            <w:lang w:eastAsia="en-AU"/>
            <w14:ligatures w14:val="standardContextual"/>
          </w:rPr>
          <w:tab/>
        </w:r>
        <w:r w:rsidR="004F4257" w:rsidRPr="000F6A41">
          <w:rPr>
            <w:rStyle w:val="Hyperlink"/>
          </w:rPr>
          <w:t>Overview</w:t>
        </w:r>
        <w:r w:rsidR="004F4257">
          <w:rPr>
            <w:webHidden/>
          </w:rPr>
          <w:tab/>
        </w:r>
        <w:r w:rsidR="004F4257">
          <w:rPr>
            <w:webHidden/>
          </w:rPr>
          <w:fldChar w:fldCharType="begin"/>
        </w:r>
        <w:r w:rsidR="004F4257">
          <w:rPr>
            <w:webHidden/>
          </w:rPr>
          <w:instrText xml:space="preserve"> PAGEREF _Toc185346723 \h </w:instrText>
        </w:r>
        <w:r w:rsidR="004F4257">
          <w:rPr>
            <w:webHidden/>
          </w:rPr>
        </w:r>
        <w:r w:rsidR="004F4257">
          <w:rPr>
            <w:webHidden/>
          </w:rPr>
          <w:fldChar w:fldCharType="separate"/>
        </w:r>
        <w:r w:rsidR="00050D25">
          <w:rPr>
            <w:webHidden/>
          </w:rPr>
          <w:t>1</w:t>
        </w:r>
        <w:r w:rsidR="004F4257">
          <w:rPr>
            <w:webHidden/>
          </w:rPr>
          <w:fldChar w:fldCharType="end"/>
        </w:r>
      </w:hyperlink>
    </w:p>
    <w:p w14:paraId="120C4E58" w14:textId="68D0CE8C" w:rsidR="004F4257" w:rsidRDefault="003977FE">
      <w:pPr>
        <w:pStyle w:val="TOC2"/>
        <w:tabs>
          <w:tab w:val="left" w:pos="660"/>
        </w:tabs>
        <w:rPr>
          <w:color w:val="auto"/>
          <w:kern w:val="2"/>
          <w:sz w:val="22"/>
          <w:szCs w:val="22"/>
          <w:lang w:eastAsia="en-AU"/>
          <w14:ligatures w14:val="standardContextual"/>
        </w:rPr>
      </w:pPr>
      <w:hyperlink w:anchor="_Toc185346724" w:history="1">
        <w:r w:rsidR="004F4257" w:rsidRPr="000F6A41">
          <w:rPr>
            <w:rStyle w:val="Hyperlink"/>
          </w:rPr>
          <w:t>1.2</w:t>
        </w:r>
        <w:r w:rsidR="004F4257">
          <w:rPr>
            <w:color w:val="auto"/>
            <w:kern w:val="2"/>
            <w:sz w:val="22"/>
            <w:szCs w:val="22"/>
            <w:lang w:eastAsia="en-AU"/>
            <w14:ligatures w14:val="standardContextual"/>
          </w:rPr>
          <w:tab/>
        </w:r>
        <w:r w:rsidR="004F4257" w:rsidRPr="000F6A41">
          <w:rPr>
            <w:rStyle w:val="Hyperlink"/>
          </w:rPr>
          <w:t>Net overseas migration</w:t>
        </w:r>
        <w:r w:rsidR="004F4257">
          <w:rPr>
            <w:webHidden/>
          </w:rPr>
          <w:tab/>
        </w:r>
        <w:r w:rsidR="004F4257">
          <w:rPr>
            <w:webHidden/>
          </w:rPr>
          <w:fldChar w:fldCharType="begin"/>
        </w:r>
        <w:r w:rsidR="004F4257">
          <w:rPr>
            <w:webHidden/>
          </w:rPr>
          <w:instrText xml:space="preserve"> PAGEREF _Toc185346724 \h </w:instrText>
        </w:r>
        <w:r w:rsidR="004F4257">
          <w:rPr>
            <w:webHidden/>
          </w:rPr>
        </w:r>
        <w:r w:rsidR="004F4257">
          <w:rPr>
            <w:webHidden/>
          </w:rPr>
          <w:fldChar w:fldCharType="separate"/>
        </w:r>
        <w:r w:rsidR="00050D25">
          <w:rPr>
            <w:webHidden/>
          </w:rPr>
          <w:t>10</w:t>
        </w:r>
        <w:r w:rsidR="004F4257">
          <w:rPr>
            <w:webHidden/>
          </w:rPr>
          <w:fldChar w:fldCharType="end"/>
        </w:r>
      </w:hyperlink>
    </w:p>
    <w:p w14:paraId="7D263ADD" w14:textId="245E4AC4" w:rsidR="004F4257" w:rsidRDefault="003977FE">
      <w:pPr>
        <w:pStyle w:val="TOC2"/>
        <w:tabs>
          <w:tab w:val="left" w:pos="660"/>
        </w:tabs>
        <w:rPr>
          <w:color w:val="auto"/>
          <w:kern w:val="2"/>
          <w:sz w:val="22"/>
          <w:szCs w:val="22"/>
          <w:lang w:eastAsia="en-AU"/>
          <w14:ligatures w14:val="standardContextual"/>
        </w:rPr>
      </w:pPr>
      <w:hyperlink w:anchor="_Toc185346725" w:history="1">
        <w:r w:rsidR="004F4257" w:rsidRPr="000F6A41">
          <w:rPr>
            <w:rStyle w:val="Hyperlink"/>
          </w:rPr>
          <w:t>1.3</w:t>
        </w:r>
        <w:r w:rsidR="004F4257">
          <w:rPr>
            <w:color w:val="auto"/>
            <w:kern w:val="2"/>
            <w:sz w:val="22"/>
            <w:szCs w:val="22"/>
            <w:lang w:eastAsia="en-AU"/>
            <w14:ligatures w14:val="standardContextual"/>
          </w:rPr>
          <w:tab/>
        </w:r>
        <w:r w:rsidR="004F4257" w:rsidRPr="000F6A41">
          <w:rPr>
            <w:rStyle w:val="Hyperlink"/>
          </w:rPr>
          <w:t>Births</w:t>
        </w:r>
        <w:r w:rsidR="004F4257">
          <w:rPr>
            <w:webHidden/>
          </w:rPr>
          <w:tab/>
        </w:r>
        <w:r w:rsidR="004F4257">
          <w:rPr>
            <w:webHidden/>
          </w:rPr>
          <w:fldChar w:fldCharType="begin"/>
        </w:r>
        <w:r w:rsidR="004F4257">
          <w:rPr>
            <w:webHidden/>
          </w:rPr>
          <w:instrText xml:space="preserve"> PAGEREF _Toc185346725 \h </w:instrText>
        </w:r>
        <w:r w:rsidR="004F4257">
          <w:rPr>
            <w:webHidden/>
          </w:rPr>
        </w:r>
        <w:r w:rsidR="004F4257">
          <w:rPr>
            <w:webHidden/>
          </w:rPr>
          <w:fldChar w:fldCharType="separate"/>
        </w:r>
        <w:r w:rsidR="00050D25">
          <w:rPr>
            <w:webHidden/>
          </w:rPr>
          <w:t>20</w:t>
        </w:r>
        <w:r w:rsidR="004F4257">
          <w:rPr>
            <w:webHidden/>
          </w:rPr>
          <w:fldChar w:fldCharType="end"/>
        </w:r>
      </w:hyperlink>
    </w:p>
    <w:p w14:paraId="3EAD39A1" w14:textId="1D4914E5" w:rsidR="004F4257" w:rsidRDefault="003977FE">
      <w:pPr>
        <w:pStyle w:val="TOC2"/>
        <w:tabs>
          <w:tab w:val="left" w:pos="660"/>
        </w:tabs>
        <w:rPr>
          <w:color w:val="auto"/>
          <w:kern w:val="2"/>
          <w:sz w:val="22"/>
          <w:szCs w:val="22"/>
          <w:lang w:eastAsia="en-AU"/>
          <w14:ligatures w14:val="standardContextual"/>
        </w:rPr>
      </w:pPr>
      <w:hyperlink w:anchor="_Toc185346726" w:history="1">
        <w:r w:rsidR="004F4257" w:rsidRPr="000F6A41">
          <w:rPr>
            <w:rStyle w:val="Hyperlink"/>
          </w:rPr>
          <w:t>1.4</w:t>
        </w:r>
        <w:r w:rsidR="004F4257">
          <w:rPr>
            <w:color w:val="auto"/>
            <w:kern w:val="2"/>
            <w:sz w:val="22"/>
            <w:szCs w:val="22"/>
            <w:lang w:eastAsia="en-AU"/>
            <w14:ligatures w14:val="standardContextual"/>
          </w:rPr>
          <w:tab/>
        </w:r>
        <w:r w:rsidR="004F4257" w:rsidRPr="000F6A41">
          <w:rPr>
            <w:rStyle w:val="Hyperlink"/>
          </w:rPr>
          <w:t>Deaths</w:t>
        </w:r>
        <w:r w:rsidR="004F4257">
          <w:rPr>
            <w:webHidden/>
          </w:rPr>
          <w:tab/>
        </w:r>
        <w:r w:rsidR="004F4257">
          <w:rPr>
            <w:webHidden/>
          </w:rPr>
          <w:fldChar w:fldCharType="begin"/>
        </w:r>
        <w:r w:rsidR="004F4257">
          <w:rPr>
            <w:webHidden/>
          </w:rPr>
          <w:instrText xml:space="preserve"> PAGEREF _Toc185346726 \h </w:instrText>
        </w:r>
        <w:r w:rsidR="004F4257">
          <w:rPr>
            <w:webHidden/>
          </w:rPr>
        </w:r>
        <w:r w:rsidR="004F4257">
          <w:rPr>
            <w:webHidden/>
          </w:rPr>
          <w:fldChar w:fldCharType="separate"/>
        </w:r>
        <w:r w:rsidR="00050D25">
          <w:rPr>
            <w:webHidden/>
          </w:rPr>
          <w:t>27</w:t>
        </w:r>
        <w:r w:rsidR="004F4257">
          <w:rPr>
            <w:webHidden/>
          </w:rPr>
          <w:fldChar w:fldCharType="end"/>
        </w:r>
      </w:hyperlink>
    </w:p>
    <w:p w14:paraId="1688AD62" w14:textId="5897E482" w:rsidR="004F4257" w:rsidRDefault="003977FE">
      <w:pPr>
        <w:pStyle w:val="TOC1"/>
        <w:tabs>
          <w:tab w:val="left" w:pos="660"/>
        </w:tabs>
        <w:rPr>
          <w:b w:val="0"/>
          <w:color w:val="auto"/>
          <w:kern w:val="2"/>
          <w:sz w:val="22"/>
          <w:lang w:eastAsia="en-AU"/>
          <w14:ligatures w14:val="standardContextual"/>
        </w:rPr>
      </w:pPr>
      <w:hyperlink w:anchor="_Toc185346727" w:history="1">
        <w:r w:rsidR="004F4257" w:rsidRPr="000F6A41">
          <w:rPr>
            <w:rStyle w:val="Hyperlink"/>
          </w:rPr>
          <w:t>2.</w:t>
        </w:r>
        <w:r w:rsidR="004F4257">
          <w:rPr>
            <w:b w:val="0"/>
            <w:color w:val="auto"/>
            <w:kern w:val="2"/>
            <w:sz w:val="22"/>
            <w:lang w:eastAsia="en-AU"/>
            <w14:ligatures w14:val="standardContextual"/>
          </w:rPr>
          <w:tab/>
        </w:r>
        <w:r w:rsidR="004F4257" w:rsidRPr="000F6A41">
          <w:rPr>
            <w:rStyle w:val="Hyperlink"/>
          </w:rPr>
          <w:t>Sub</w:t>
        </w:r>
        <w:r w:rsidR="00050D25">
          <w:rPr>
            <w:rStyle w:val="Hyperlink"/>
          </w:rPr>
          <w:noBreakHyphen/>
        </w:r>
        <w:r w:rsidR="004F4257" w:rsidRPr="000F6A41">
          <w:rPr>
            <w:rStyle w:val="Hyperlink"/>
          </w:rPr>
          <w:t>national populations</w:t>
        </w:r>
        <w:r w:rsidR="004F4257">
          <w:rPr>
            <w:webHidden/>
          </w:rPr>
          <w:tab/>
        </w:r>
        <w:r w:rsidR="004F4257">
          <w:rPr>
            <w:webHidden/>
          </w:rPr>
          <w:fldChar w:fldCharType="begin"/>
        </w:r>
        <w:r w:rsidR="004F4257">
          <w:rPr>
            <w:webHidden/>
          </w:rPr>
          <w:instrText xml:space="preserve"> PAGEREF _Toc185346727 \h </w:instrText>
        </w:r>
        <w:r w:rsidR="004F4257">
          <w:rPr>
            <w:webHidden/>
          </w:rPr>
        </w:r>
        <w:r w:rsidR="004F4257">
          <w:rPr>
            <w:webHidden/>
          </w:rPr>
          <w:fldChar w:fldCharType="separate"/>
        </w:r>
        <w:r w:rsidR="00050D25">
          <w:rPr>
            <w:webHidden/>
          </w:rPr>
          <w:t>33</w:t>
        </w:r>
        <w:r w:rsidR="004F4257">
          <w:rPr>
            <w:webHidden/>
          </w:rPr>
          <w:fldChar w:fldCharType="end"/>
        </w:r>
      </w:hyperlink>
    </w:p>
    <w:p w14:paraId="14703E8E" w14:textId="1535527C" w:rsidR="004F4257" w:rsidRDefault="003977FE">
      <w:pPr>
        <w:pStyle w:val="TOC2"/>
        <w:tabs>
          <w:tab w:val="left" w:pos="660"/>
        </w:tabs>
        <w:rPr>
          <w:color w:val="auto"/>
          <w:kern w:val="2"/>
          <w:sz w:val="22"/>
          <w:szCs w:val="22"/>
          <w:lang w:eastAsia="en-AU"/>
          <w14:ligatures w14:val="standardContextual"/>
        </w:rPr>
      </w:pPr>
      <w:hyperlink w:anchor="_Toc185346728" w:history="1">
        <w:r w:rsidR="004F4257" w:rsidRPr="000F6A41">
          <w:rPr>
            <w:rStyle w:val="Hyperlink"/>
          </w:rPr>
          <w:t>2.1</w:t>
        </w:r>
        <w:r w:rsidR="004F4257">
          <w:rPr>
            <w:color w:val="auto"/>
            <w:kern w:val="2"/>
            <w:sz w:val="22"/>
            <w:szCs w:val="22"/>
            <w:lang w:eastAsia="en-AU"/>
            <w14:ligatures w14:val="standardContextual"/>
          </w:rPr>
          <w:tab/>
        </w:r>
        <w:r w:rsidR="004F4257" w:rsidRPr="000F6A41">
          <w:rPr>
            <w:rStyle w:val="Hyperlink"/>
          </w:rPr>
          <w:t>Summary</w:t>
        </w:r>
        <w:r w:rsidR="004F4257">
          <w:rPr>
            <w:webHidden/>
          </w:rPr>
          <w:tab/>
        </w:r>
        <w:r w:rsidR="004F4257">
          <w:rPr>
            <w:webHidden/>
          </w:rPr>
          <w:fldChar w:fldCharType="begin"/>
        </w:r>
        <w:r w:rsidR="004F4257">
          <w:rPr>
            <w:webHidden/>
          </w:rPr>
          <w:instrText xml:space="preserve"> PAGEREF _Toc185346728 \h </w:instrText>
        </w:r>
        <w:r w:rsidR="004F4257">
          <w:rPr>
            <w:webHidden/>
          </w:rPr>
        </w:r>
        <w:r w:rsidR="004F4257">
          <w:rPr>
            <w:webHidden/>
          </w:rPr>
          <w:fldChar w:fldCharType="separate"/>
        </w:r>
        <w:r w:rsidR="00050D25">
          <w:rPr>
            <w:webHidden/>
          </w:rPr>
          <w:t>33</w:t>
        </w:r>
        <w:r w:rsidR="004F4257">
          <w:rPr>
            <w:webHidden/>
          </w:rPr>
          <w:fldChar w:fldCharType="end"/>
        </w:r>
      </w:hyperlink>
    </w:p>
    <w:p w14:paraId="311C78AC" w14:textId="4B817CC4" w:rsidR="004F4257" w:rsidRDefault="003977FE">
      <w:pPr>
        <w:pStyle w:val="TOC2"/>
        <w:tabs>
          <w:tab w:val="left" w:pos="660"/>
        </w:tabs>
        <w:rPr>
          <w:color w:val="auto"/>
          <w:kern w:val="2"/>
          <w:sz w:val="22"/>
          <w:szCs w:val="22"/>
          <w:lang w:eastAsia="en-AU"/>
          <w14:ligatures w14:val="standardContextual"/>
        </w:rPr>
      </w:pPr>
      <w:hyperlink w:anchor="_Toc185346729" w:history="1">
        <w:r w:rsidR="004F4257" w:rsidRPr="000F6A41">
          <w:rPr>
            <w:rStyle w:val="Hyperlink"/>
          </w:rPr>
          <w:t>2.2</w:t>
        </w:r>
        <w:r w:rsidR="004F4257">
          <w:rPr>
            <w:color w:val="auto"/>
            <w:kern w:val="2"/>
            <w:sz w:val="22"/>
            <w:szCs w:val="22"/>
            <w:lang w:eastAsia="en-AU"/>
            <w14:ligatures w14:val="standardContextual"/>
          </w:rPr>
          <w:tab/>
        </w:r>
        <w:r w:rsidR="004F4257" w:rsidRPr="000F6A41">
          <w:rPr>
            <w:rStyle w:val="Hyperlink"/>
          </w:rPr>
          <w:t>New South Wales</w:t>
        </w:r>
        <w:r w:rsidR="004F4257">
          <w:rPr>
            <w:webHidden/>
          </w:rPr>
          <w:tab/>
        </w:r>
        <w:r w:rsidR="004F4257">
          <w:rPr>
            <w:webHidden/>
          </w:rPr>
          <w:fldChar w:fldCharType="begin"/>
        </w:r>
        <w:r w:rsidR="004F4257">
          <w:rPr>
            <w:webHidden/>
          </w:rPr>
          <w:instrText xml:space="preserve"> PAGEREF _Toc185346729 \h </w:instrText>
        </w:r>
        <w:r w:rsidR="004F4257">
          <w:rPr>
            <w:webHidden/>
          </w:rPr>
        </w:r>
        <w:r w:rsidR="004F4257">
          <w:rPr>
            <w:webHidden/>
          </w:rPr>
          <w:fldChar w:fldCharType="separate"/>
        </w:r>
        <w:r w:rsidR="00050D25">
          <w:rPr>
            <w:webHidden/>
          </w:rPr>
          <w:t>46</w:t>
        </w:r>
        <w:r w:rsidR="004F4257">
          <w:rPr>
            <w:webHidden/>
          </w:rPr>
          <w:fldChar w:fldCharType="end"/>
        </w:r>
      </w:hyperlink>
    </w:p>
    <w:p w14:paraId="2C4E22F8" w14:textId="24CC34C1" w:rsidR="004F4257" w:rsidRDefault="003977FE">
      <w:pPr>
        <w:pStyle w:val="TOC2"/>
        <w:tabs>
          <w:tab w:val="left" w:pos="660"/>
        </w:tabs>
        <w:rPr>
          <w:color w:val="auto"/>
          <w:kern w:val="2"/>
          <w:sz w:val="22"/>
          <w:szCs w:val="22"/>
          <w:lang w:eastAsia="en-AU"/>
          <w14:ligatures w14:val="standardContextual"/>
        </w:rPr>
      </w:pPr>
      <w:hyperlink w:anchor="_Toc185346730" w:history="1">
        <w:r w:rsidR="004F4257" w:rsidRPr="000F6A41">
          <w:rPr>
            <w:rStyle w:val="Hyperlink"/>
          </w:rPr>
          <w:t>2.3</w:t>
        </w:r>
        <w:r w:rsidR="004F4257">
          <w:rPr>
            <w:color w:val="auto"/>
            <w:kern w:val="2"/>
            <w:sz w:val="22"/>
            <w:szCs w:val="22"/>
            <w:lang w:eastAsia="en-AU"/>
            <w14:ligatures w14:val="standardContextual"/>
          </w:rPr>
          <w:tab/>
        </w:r>
        <w:r w:rsidR="004F4257" w:rsidRPr="000F6A41">
          <w:rPr>
            <w:rStyle w:val="Hyperlink"/>
          </w:rPr>
          <w:t>Victoria</w:t>
        </w:r>
        <w:r w:rsidR="004F4257">
          <w:rPr>
            <w:webHidden/>
          </w:rPr>
          <w:tab/>
        </w:r>
        <w:r w:rsidR="004F4257">
          <w:rPr>
            <w:webHidden/>
          </w:rPr>
          <w:fldChar w:fldCharType="begin"/>
        </w:r>
        <w:r w:rsidR="004F4257">
          <w:rPr>
            <w:webHidden/>
          </w:rPr>
          <w:instrText xml:space="preserve"> PAGEREF _Toc185346730 \h </w:instrText>
        </w:r>
        <w:r w:rsidR="004F4257">
          <w:rPr>
            <w:webHidden/>
          </w:rPr>
        </w:r>
        <w:r w:rsidR="004F4257">
          <w:rPr>
            <w:webHidden/>
          </w:rPr>
          <w:fldChar w:fldCharType="separate"/>
        </w:r>
        <w:r w:rsidR="00050D25">
          <w:rPr>
            <w:webHidden/>
          </w:rPr>
          <w:t>49</w:t>
        </w:r>
        <w:r w:rsidR="004F4257">
          <w:rPr>
            <w:webHidden/>
          </w:rPr>
          <w:fldChar w:fldCharType="end"/>
        </w:r>
      </w:hyperlink>
    </w:p>
    <w:p w14:paraId="4CA05EAE" w14:textId="1C246C0B" w:rsidR="004F4257" w:rsidRDefault="003977FE">
      <w:pPr>
        <w:pStyle w:val="TOC2"/>
        <w:tabs>
          <w:tab w:val="left" w:pos="660"/>
        </w:tabs>
        <w:rPr>
          <w:color w:val="auto"/>
          <w:kern w:val="2"/>
          <w:sz w:val="22"/>
          <w:szCs w:val="22"/>
          <w:lang w:eastAsia="en-AU"/>
          <w14:ligatures w14:val="standardContextual"/>
        </w:rPr>
      </w:pPr>
      <w:hyperlink w:anchor="_Toc185346731" w:history="1">
        <w:r w:rsidR="004F4257" w:rsidRPr="000F6A41">
          <w:rPr>
            <w:rStyle w:val="Hyperlink"/>
          </w:rPr>
          <w:t>2.4</w:t>
        </w:r>
        <w:r w:rsidR="004F4257">
          <w:rPr>
            <w:color w:val="auto"/>
            <w:kern w:val="2"/>
            <w:sz w:val="22"/>
            <w:szCs w:val="22"/>
            <w:lang w:eastAsia="en-AU"/>
            <w14:ligatures w14:val="standardContextual"/>
          </w:rPr>
          <w:tab/>
        </w:r>
        <w:r w:rsidR="004F4257" w:rsidRPr="000F6A41">
          <w:rPr>
            <w:rStyle w:val="Hyperlink"/>
          </w:rPr>
          <w:t>Queensland</w:t>
        </w:r>
        <w:r w:rsidR="004F4257">
          <w:rPr>
            <w:webHidden/>
          </w:rPr>
          <w:tab/>
        </w:r>
        <w:r w:rsidR="004F4257">
          <w:rPr>
            <w:webHidden/>
          </w:rPr>
          <w:fldChar w:fldCharType="begin"/>
        </w:r>
        <w:r w:rsidR="004F4257">
          <w:rPr>
            <w:webHidden/>
          </w:rPr>
          <w:instrText xml:space="preserve"> PAGEREF _Toc185346731 \h </w:instrText>
        </w:r>
        <w:r w:rsidR="004F4257">
          <w:rPr>
            <w:webHidden/>
          </w:rPr>
        </w:r>
        <w:r w:rsidR="004F4257">
          <w:rPr>
            <w:webHidden/>
          </w:rPr>
          <w:fldChar w:fldCharType="separate"/>
        </w:r>
        <w:r w:rsidR="00050D25">
          <w:rPr>
            <w:webHidden/>
          </w:rPr>
          <w:t>52</w:t>
        </w:r>
        <w:r w:rsidR="004F4257">
          <w:rPr>
            <w:webHidden/>
          </w:rPr>
          <w:fldChar w:fldCharType="end"/>
        </w:r>
      </w:hyperlink>
    </w:p>
    <w:p w14:paraId="3F5D2A34" w14:textId="23BA33C8" w:rsidR="004F4257" w:rsidRDefault="003977FE">
      <w:pPr>
        <w:pStyle w:val="TOC2"/>
        <w:tabs>
          <w:tab w:val="left" w:pos="660"/>
        </w:tabs>
        <w:rPr>
          <w:color w:val="auto"/>
          <w:kern w:val="2"/>
          <w:sz w:val="22"/>
          <w:szCs w:val="22"/>
          <w:lang w:eastAsia="en-AU"/>
          <w14:ligatures w14:val="standardContextual"/>
        </w:rPr>
      </w:pPr>
      <w:hyperlink w:anchor="_Toc185346732" w:history="1">
        <w:r w:rsidR="004F4257" w:rsidRPr="000F6A41">
          <w:rPr>
            <w:rStyle w:val="Hyperlink"/>
          </w:rPr>
          <w:t>2.5</w:t>
        </w:r>
        <w:r w:rsidR="004F4257">
          <w:rPr>
            <w:color w:val="auto"/>
            <w:kern w:val="2"/>
            <w:sz w:val="22"/>
            <w:szCs w:val="22"/>
            <w:lang w:eastAsia="en-AU"/>
            <w14:ligatures w14:val="standardContextual"/>
          </w:rPr>
          <w:tab/>
        </w:r>
        <w:r w:rsidR="004F4257" w:rsidRPr="000F6A41">
          <w:rPr>
            <w:rStyle w:val="Hyperlink"/>
          </w:rPr>
          <w:t>South Australia</w:t>
        </w:r>
        <w:r w:rsidR="004F4257">
          <w:rPr>
            <w:webHidden/>
          </w:rPr>
          <w:tab/>
        </w:r>
        <w:r w:rsidR="004F4257">
          <w:rPr>
            <w:webHidden/>
          </w:rPr>
          <w:fldChar w:fldCharType="begin"/>
        </w:r>
        <w:r w:rsidR="004F4257">
          <w:rPr>
            <w:webHidden/>
          </w:rPr>
          <w:instrText xml:space="preserve"> PAGEREF _Toc185346732 \h </w:instrText>
        </w:r>
        <w:r w:rsidR="004F4257">
          <w:rPr>
            <w:webHidden/>
          </w:rPr>
        </w:r>
        <w:r w:rsidR="004F4257">
          <w:rPr>
            <w:webHidden/>
          </w:rPr>
          <w:fldChar w:fldCharType="separate"/>
        </w:r>
        <w:r w:rsidR="00050D25">
          <w:rPr>
            <w:webHidden/>
          </w:rPr>
          <w:t>55</w:t>
        </w:r>
        <w:r w:rsidR="004F4257">
          <w:rPr>
            <w:webHidden/>
          </w:rPr>
          <w:fldChar w:fldCharType="end"/>
        </w:r>
      </w:hyperlink>
    </w:p>
    <w:p w14:paraId="7428E36E" w14:textId="64FE4277" w:rsidR="004F4257" w:rsidRDefault="003977FE">
      <w:pPr>
        <w:pStyle w:val="TOC2"/>
        <w:tabs>
          <w:tab w:val="left" w:pos="660"/>
        </w:tabs>
        <w:rPr>
          <w:color w:val="auto"/>
          <w:kern w:val="2"/>
          <w:sz w:val="22"/>
          <w:szCs w:val="22"/>
          <w:lang w:eastAsia="en-AU"/>
          <w14:ligatures w14:val="standardContextual"/>
        </w:rPr>
      </w:pPr>
      <w:hyperlink w:anchor="_Toc185346733" w:history="1">
        <w:r w:rsidR="004F4257" w:rsidRPr="000F6A41">
          <w:rPr>
            <w:rStyle w:val="Hyperlink"/>
          </w:rPr>
          <w:t>2.6</w:t>
        </w:r>
        <w:r w:rsidR="004F4257">
          <w:rPr>
            <w:color w:val="auto"/>
            <w:kern w:val="2"/>
            <w:sz w:val="22"/>
            <w:szCs w:val="22"/>
            <w:lang w:eastAsia="en-AU"/>
            <w14:ligatures w14:val="standardContextual"/>
          </w:rPr>
          <w:tab/>
        </w:r>
        <w:r w:rsidR="004F4257" w:rsidRPr="000F6A41">
          <w:rPr>
            <w:rStyle w:val="Hyperlink"/>
          </w:rPr>
          <w:t>Western Australia</w:t>
        </w:r>
        <w:r w:rsidR="004F4257">
          <w:rPr>
            <w:webHidden/>
          </w:rPr>
          <w:tab/>
        </w:r>
        <w:r w:rsidR="004F4257">
          <w:rPr>
            <w:webHidden/>
          </w:rPr>
          <w:fldChar w:fldCharType="begin"/>
        </w:r>
        <w:r w:rsidR="004F4257">
          <w:rPr>
            <w:webHidden/>
          </w:rPr>
          <w:instrText xml:space="preserve"> PAGEREF _Toc185346733 \h </w:instrText>
        </w:r>
        <w:r w:rsidR="004F4257">
          <w:rPr>
            <w:webHidden/>
          </w:rPr>
        </w:r>
        <w:r w:rsidR="004F4257">
          <w:rPr>
            <w:webHidden/>
          </w:rPr>
          <w:fldChar w:fldCharType="separate"/>
        </w:r>
        <w:r w:rsidR="00050D25">
          <w:rPr>
            <w:webHidden/>
          </w:rPr>
          <w:t>58</w:t>
        </w:r>
        <w:r w:rsidR="004F4257">
          <w:rPr>
            <w:webHidden/>
          </w:rPr>
          <w:fldChar w:fldCharType="end"/>
        </w:r>
      </w:hyperlink>
    </w:p>
    <w:p w14:paraId="5FA9EB4B" w14:textId="455C9443" w:rsidR="004F4257" w:rsidRDefault="003977FE">
      <w:pPr>
        <w:pStyle w:val="TOC2"/>
        <w:tabs>
          <w:tab w:val="left" w:pos="660"/>
        </w:tabs>
        <w:rPr>
          <w:color w:val="auto"/>
          <w:kern w:val="2"/>
          <w:sz w:val="22"/>
          <w:szCs w:val="22"/>
          <w:lang w:eastAsia="en-AU"/>
          <w14:ligatures w14:val="standardContextual"/>
        </w:rPr>
      </w:pPr>
      <w:hyperlink w:anchor="_Toc185346734" w:history="1">
        <w:r w:rsidR="004F4257" w:rsidRPr="000F6A41">
          <w:rPr>
            <w:rStyle w:val="Hyperlink"/>
          </w:rPr>
          <w:t>2.7</w:t>
        </w:r>
        <w:r w:rsidR="004F4257">
          <w:rPr>
            <w:color w:val="auto"/>
            <w:kern w:val="2"/>
            <w:sz w:val="22"/>
            <w:szCs w:val="22"/>
            <w:lang w:eastAsia="en-AU"/>
            <w14:ligatures w14:val="standardContextual"/>
          </w:rPr>
          <w:tab/>
        </w:r>
        <w:r w:rsidR="004F4257" w:rsidRPr="000F6A41">
          <w:rPr>
            <w:rStyle w:val="Hyperlink"/>
          </w:rPr>
          <w:t>Tasmania</w:t>
        </w:r>
        <w:r w:rsidR="004F4257">
          <w:rPr>
            <w:webHidden/>
          </w:rPr>
          <w:tab/>
        </w:r>
        <w:r w:rsidR="004F4257">
          <w:rPr>
            <w:webHidden/>
          </w:rPr>
          <w:fldChar w:fldCharType="begin"/>
        </w:r>
        <w:r w:rsidR="004F4257">
          <w:rPr>
            <w:webHidden/>
          </w:rPr>
          <w:instrText xml:space="preserve"> PAGEREF _Toc185346734 \h </w:instrText>
        </w:r>
        <w:r w:rsidR="004F4257">
          <w:rPr>
            <w:webHidden/>
          </w:rPr>
        </w:r>
        <w:r w:rsidR="004F4257">
          <w:rPr>
            <w:webHidden/>
          </w:rPr>
          <w:fldChar w:fldCharType="separate"/>
        </w:r>
        <w:r w:rsidR="00050D25">
          <w:rPr>
            <w:webHidden/>
          </w:rPr>
          <w:t>61</w:t>
        </w:r>
        <w:r w:rsidR="004F4257">
          <w:rPr>
            <w:webHidden/>
          </w:rPr>
          <w:fldChar w:fldCharType="end"/>
        </w:r>
      </w:hyperlink>
    </w:p>
    <w:p w14:paraId="14B491A9" w14:textId="10CF59CE" w:rsidR="004F4257" w:rsidRDefault="003977FE">
      <w:pPr>
        <w:pStyle w:val="TOC2"/>
        <w:tabs>
          <w:tab w:val="left" w:pos="660"/>
        </w:tabs>
        <w:rPr>
          <w:color w:val="auto"/>
          <w:kern w:val="2"/>
          <w:sz w:val="22"/>
          <w:szCs w:val="22"/>
          <w:lang w:eastAsia="en-AU"/>
          <w14:ligatures w14:val="standardContextual"/>
        </w:rPr>
      </w:pPr>
      <w:hyperlink w:anchor="_Toc185346735" w:history="1">
        <w:r w:rsidR="004F4257" w:rsidRPr="000F6A41">
          <w:rPr>
            <w:rStyle w:val="Hyperlink"/>
          </w:rPr>
          <w:t>2.8</w:t>
        </w:r>
        <w:r w:rsidR="004F4257">
          <w:rPr>
            <w:color w:val="auto"/>
            <w:kern w:val="2"/>
            <w:sz w:val="22"/>
            <w:szCs w:val="22"/>
            <w:lang w:eastAsia="en-AU"/>
            <w14:ligatures w14:val="standardContextual"/>
          </w:rPr>
          <w:tab/>
        </w:r>
        <w:r w:rsidR="004F4257" w:rsidRPr="000F6A41">
          <w:rPr>
            <w:rStyle w:val="Hyperlink"/>
          </w:rPr>
          <w:t>Northern Territory</w:t>
        </w:r>
        <w:r w:rsidR="004F4257">
          <w:rPr>
            <w:webHidden/>
          </w:rPr>
          <w:tab/>
        </w:r>
        <w:r w:rsidR="004F4257">
          <w:rPr>
            <w:webHidden/>
          </w:rPr>
          <w:fldChar w:fldCharType="begin"/>
        </w:r>
        <w:r w:rsidR="004F4257">
          <w:rPr>
            <w:webHidden/>
          </w:rPr>
          <w:instrText xml:space="preserve"> PAGEREF _Toc185346735 \h </w:instrText>
        </w:r>
        <w:r w:rsidR="004F4257">
          <w:rPr>
            <w:webHidden/>
          </w:rPr>
        </w:r>
        <w:r w:rsidR="004F4257">
          <w:rPr>
            <w:webHidden/>
          </w:rPr>
          <w:fldChar w:fldCharType="separate"/>
        </w:r>
        <w:r w:rsidR="00050D25">
          <w:rPr>
            <w:webHidden/>
          </w:rPr>
          <w:t>64</w:t>
        </w:r>
        <w:r w:rsidR="004F4257">
          <w:rPr>
            <w:webHidden/>
          </w:rPr>
          <w:fldChar w:fldCharType="end"/>
        </w:r>
      </w:hyperlink>
    </w:p>
    <w:p w14:paraId="6E44CC12" w14:textId="1EBC0984" w:rsidR="004F4257" w:rsidRDefault="003977FE">
      <w:pPr>
        <w:pStyle w:val="TOC2"/>
        <w:tabs>
          <w:tab w:val="left" w:pos="660"/>
        </w:tabs>
        <w:rPr>
          <w:color w:val="auto"/>
          <w:kern w:val="2"/>
          <w:sz w:val="22"/>
          <w:szCs w:val="22"/>
          <w:lang w:eastAsia="en-AU"/>
          <w14:ligatures w14:val="standardContextual"/>
        </w:rPr>
      </w:pPr>
      <w:hyperlink w:anchor="_Toc185346736" w:history="1">
        <w:r w:rsidR="004F4257" w:rsidRPr="000F6A41">
          <w:rPr>
            <w:rStyle w:val="Hyperlink"/>
          </w:rPr>
          <w:t>2.9</w:t>
        </w:r>
        <w:r w:rsidR="004F4257">
          <w:rPr>
            <w:color w:val="auto"/>
            <w:kern w:val="2"/>
            <w:sz w:val="22"/>
            <w:szCs w:val="22"/>
            <w:lang w:eastAsia="en-AU"/>
            <w14:ligatures w14:val="standardContextual"/>
          </w:rPr>
          <w:tab/>
        </w:r>
        <w:r w:rsidR="004F4257" w:rsidRPr="000F6A41">
          <w:rPr>
            <w:rStyle w:val="Hyperlink"/>
          </w:rPr>
          <w:t>Australian Capital Territory</w:t>
        </w:r>
        <w:r w:rsidR="004F4257">
          <w:rPr>
            <w:webHidden/>
          </w:rPr>
          <w:tab/>
        </w:r>
        <w:r w:rsidR="004F4257">
          <w:rPr>
            <w:webHidden/>
          </w:rPr>
          <w:fldChar w:fldCharType="begin"/>
        </w:r>
        <w:r w:rsidR="004F4257">
          <w:rPr>
            <w:webHidden/>
          </w:rPr>
          <w:instrText xml:space="preserve"> PAGEREF _Toc185346736 \h </w:instrText>
        </w:r>
        <w:r w:rsidR="004F4257">
          <w:rPr>
            <w:webHidden/>
          </w:rPr>
        </w:r>
        <w:r w:rsidR="004F4257">
          <w:rPr>
            <w:webHidden/>
          </w:rPr>
          <w:fldChar w:fldCharType="separate"/>
        </w:r>
        <w:r w:rsidR="00050D25">
          <w:rPr>
            <w:webHidden/>
          </w:rPr>
          <w:t>67</w:t>
        </w:r>
        <w:r w:rsidR="004F4257">
          <w:rPr>
            <w:webHidden/>
          </w:rPr>
          <w:fldChar w:fldCharType="end"/>
        </w:r>
      </w:hyperlink>
    </w:p>
    <w:p w14:paraId="6055B9E9" w14:textId="73FE076C" w:rsidR="004F4257" w:rsidRDefault="003977FE">
      <w:pPr>
        <w:pStyle w:val="TOC1"/>
        <w:tabs>
          <w:tab w:val="left" w:pos="660"/>
        </w:tabs>
        <w:rPr>
          <w:b w:val="0"/>
          <w:color w:val="auto"/>
          <w:kern w:val="2"/>
          <w:sz w:val="22"/>
          <w:lang w:eastAsia="en-AU"/>
          <w14:ligatures w14:val="standardContextual"/>
        </w:rPr>
      </w:pPr>
      <w:hyperlink w:anchor="_Toc185346737" w:history="1">
        <w:r w:rsidR="004F4257" w:rsidRPr="000F6A41">
          <w:rPr>
            <w:rStyle w:val="Hyperlink"/>
          </w:rPr>
          <w:t>3.</w:t>
        </w:r>
        <w:r w:rsidR="004F4257">
          <w:rPr>
            <w:b w:val="0"/>
            <w:color w:val="auto"/>
            <w:kern w:val="2"/>
            <w:sz w:val="22"/>
            <w:lang w:eastAsia="en-AU"/>
            <w14:ligatures w14:val="standardContextual"/>
          </w:rPr>
          <w:tab/>
        </w:r>
        <w:r w:rsidR="004F4257" w:rsidRPr="000F6A41">
          <w:rPr>
            <w:rStyle w:val="Hyperlink"/>
          </w:rPr>
          <w:t>Technical appendix</w:t>
        </w:r>
        <w:r w:rsidR="004F4257">
          <w:rPr>
            <w:webHidden/>
          </w:rPr>
          <w:tab/>
        </w:r>
        <w:r w:rsidR="004F4257">
          <w:rPr>
            <w:webHidden/>
          </w:rPr>
          <w:fldChar w:fldCharType="begin"/>
        </w:r>
        <w:r w:rsidR="004F4257">
          <w:rPr>
            <w:webHidden/>
          </w:rPr>
          <w:instrText xml:space="preserve"> PAGEREF _Toc185346737 \h </w:instrText>
        </w:r>
        <w:r w:rsidR="004F4257">
          <w:rPr>
            <w:webHidden/>
          </w:rPr>
        </w:r>
        <w:r w:rsidR="004F4257">
          <w:rPr>
            <w:webHidden/>
          </w:rPr>
          <w:fldChar w:fldCharType="separate"/>
        </w:r>
        <w:r w:rsidR="00050D25">
          <w:rPr>
            <w:webHidden/>
          </w:rPr>
          <w:t>68</w:t>
        </w:r>
        <w:r w:rsidR="004F4257">
          <w:rPr>
            <w:webHidden/>
          </w:rPr>
          <w:fldChar w:fldCharType="end"/>
        </w:r>
      </w:hyperlink>
    </w:p>
    <w:p w14:paraId="53CA04B9" w14:textId="1F58F78F" w:rsidR="004F4257" w:rsidRDefault="003977FE">
      <w:pPr>
        <w:pStyle w:val="TOC2"/>
        <w:tabs>
          <w:tab w:val="left" w:pos="660"/>
        </w:tabs>
        <w:rPr>
          <w:color w:val="auto"/>
          <w:kern w:val="2"/>
          <w:sz w:val="22"/>
          <w:szCs w:val="22"/>
          <w:lang w:eastAsia="en-AU"/>
          <w14:ligatures w14:val="standardContextual"/>
        </w:rPr>
      </w:pPr>
      <w:hyperlink w:anchor="_Toc185346738" w:history="1">
        <w:r w:rsidR="004F4257" w:rsidRPr="000F6A41">
          <w:rPr>
            <w:rStyle w:val="Hyperlink"/>
          </w:rPr>
          <w:t>3.1</w:t>
        </w:r>
        <w:r w:rsidR="004F4257">
          <w:rPr>
            <w:color w:val="auto"/>
            <w:kern w:val="2"/>
            <w:sz w:val="22"/>
            <w:szCs w:val="22"/>
            <w:lang w:eastAsia="en-AU"/>
            <w14:ligatures w14:val="standardContextual"/>
          </w:rPr>
          <w:tab/>
        </w:r>
        <w:r w:rsidR="004F4257" w:rsidRPr="000F6A41">
          <w:rPr>
            <w:rStyle w:val="Hyperlink"/>
          </w:rPr>
          <w:t>Components</w:t>
        </w:r>
        <w:r w:rsidR="004F4257">
          <w:rPr>
            <w:webHidden/>
          </w:rPr>
          <w:tab/>
        </w:r>
        <w:r w:rsidR="004F4257">
          <w:rPr>
            <w:webHidden/>
          </w:rPr>
          <w:fldChar w:fldCharType="begin"/>
        </w:r>
        <w:r w:rsidR="004F4257">
          <w:rPr>
            <w:webHidden/>
          </w:rPr>
          <w:instrText xml:space="preserve"> PAGEREF _Toc185346738 \h </w:instrText>
        </w:r>
        <w:r w:rsidR="004F4257">
          <w:rPr>
            <w:webHidden/>
          </w:rPr>
        </w:r>
        <w:r w:rsidR="004F4257">
          <w:rPr>
            <w:webHidden/>
          </w:rPr>
          <w:fldChar w:fldCharType="separate"/>
        </w:r>
        <w:r w:rsidR="00050D25">
          <w:rPr>
            <w:webHidden/>
          </w:rPr>
          <w:t>68</w:t>
        </w:r>
        <w:r w:rsidR="004F4257">
          <w:rPr>
            <w:webHidden/>
          </w:rPr>
          <w:fldChar w:fldCharType="end"/>
        </w:r>
      </w:hyperlink>
    </w:p>
    <w:p w14:paraId="08240853" w14:textId="1DF9B81D" w:rsidR="004F4257" w:rsidRDefault="003977FE">
      <w:pPr>
        <w:pStyle w:val="TOC2"/>
        <w:tabs>
          <w:tab w:val="left" w:pos="660"/>
        </w:tabs>
        <w:rPr>
          <w:color w:val="auto"/>
          <w:kern w:val="2"/>
          <w:sz w:val="22"/>
          <w:szCs w:val="22"/>
          <w:lang w:eastAsia="en-AU"/>
          <w14:ligatures w14:val="standardContextual"/>
        </w:rPr>
      </w:pPr>
      <w:hyperlink w:anchor="_Toc185346739" w:history="1">
        <w:r w:rsidR="004F4257" w:rsidRPr="000F6A41">
          <w:rPr>
            <w:rStyle w:val="Hyperlink"/>
          </w:rPr>
          <w:t>3.2</w:t>
        </w:r>
        <w:r w:rsidR="004F4257">
          <w:rPr>
            <w:color w:val="auto"/>
            <w:kern w:val="2"/>
            <w:sz w:val="22"/>
            <w:szCs w:val="22"/>
            <w:lang w:eastAsia="en-AU"/>
            <w14:ligatures w14:val="standardContextual"/>
          </w:rPr>
          <w:tab/>
        </w:r>
        <w:r w:rsidR="004F4257" w:rsidRPr="000F6A41">
          <w:rPr>
            <w:rStyle w:val="Hyperlink"/>
          </w:rPr>
          <w:t>Comparing past projections to outcomes</w:t>
        </w:r>
        <w:r w:rsidR="004F4257">
          <w:rPr>
            <w:webHidden/>
          </w:rPr>
          <w:tab/>
        </w:r>
        <w:r w:rsidR="004F4257">
          <w:rPr>
            <w:webHidden/>
          </w:rPr>
          <w:fldChar w:fldCharType="begin"/>
        </w:r>
        <w:r w:rsidR="004F4257">
          <w:rPr>
            <w:webHidden/>
          </w:rPr>
          <w:instrText xml:space="preserve"> PAGEREF _Toc185346739 \h </w:instrText>
        </w:r>
        <w:r w:rsidR="004F4257">
          <w:rPr>
            <w:webHidden/>
          </w:rPr>
        </w:r>
        <w:r w:rsidR="004F4257">
          <w:rPr>
            <w:webHidden/>
          </w:rPr>
          <w:fldChar w:fldCharType="separate"/>
        </w:r>
        <w:r w:rsidR="00050D25">
          <w:rPr>
            <w:webHidden/>
          </w:rPr>
          <w:t>74</w:t>
        </w:r>
        <w:r w:rsidR="004F4257">
          <w:rPr>
            <w:webHidden/>
          </w:rPr>
          <w:fldChar w:fldCharType="end"/>
        </w:r>
      </w:hyperlink>
    </w:p>
    <w:p w14:paraId="696006D5" w14:textId="28687C50" w:rsidR="004F4257" w:rsidRDefault="003977FE">
      <w:pPr>
        <w:pStyle w:val="TOC1"/>
        <w:rPr>
          <w:b w:val="0"/>
          <w:color w:val="auto"/>
          <w:kern w:val="2"/>
          <w:sz w:val="22"/>
          <w:lang w:eastAsia="en-AU"/>
          <w14:ligatures w14:val="standardContextual"/>
        </w:rPr>
      </w:pPr>
      <w:hyperlink w:anchor="_Toc185346740" w:history="1">
        <w:r w:rsidR="004F4257" w:rsidRPr="000F6A41">
          <w:rPr>
            <w:rStyle w:val="Hyperlink"/>
          </w:rPr>
          <w:t>Glossary</w:t>
        </w:r>
        <w:r w:rsidR="004F4257">
          <w:rPr>
            <w:webHidden/>
          </w:rPr>
          <w:tab/>
        </w:r>
        <w:r w:rsidR="004F4257">
          <w:rPr>
            <w:webHidden/>
          </w:rPr>
          <w:fldChar w:fldCharType="begin"/>
        </w:r>
        <w:r w:rsidR="004F4257">
          <w:rPr>
            <w:webHidden/>
          </w:rPr>
          <w:instrText xml:space="preserve"> PAGEREF _Toc185346740 \h </w:instrText>
        </w:r>
        <w:r w:rsidR="004F4257">
          <w:rPr>
            <w:webHidden/>
          </w:rPr>
        </w:r>
        <w:r w:rsidR="004F4257">
          <w:rPr>
            <w:webHidden/>
          </w:rPr>
          <w:fldChar w:fldCharType="separate"/>
        </w:r>
        <w:r w:rsidR="00050D25">
          <w:rPr>
            <w:webHidden/>
          </w:rPr>
          <w:t>83</w:t>
        </w:r>
        <w:r w:rsidR="004F4257">
          <w:rPr>
            <w:webHidden/>
          </w:rPr>
          <w:fldChar w:fldCharType="end"/>
        </w:r>
      </w:hyperlink>
    </w:p>
    <w:p w14:paraId="23F2F970" w14:textId="00D9F446" w:rsidR="004F4257" w:rsidRDefault="003977FE">
      <w:pPr>
        <w:pStyle w:val="TOC1"/>
        <w:rPr>
          <w:b w:val="0"/>
          <w:color w:val="auto"/>
          <w:kern w:val="2"/>
          <w:sz w:val="22"/>
          <w:lang w:eastAsia="en-AU"/>
          <w14:ligatures w14:val="standardContextual"/>
        </w:rPr>
      </w:pPr>
      <w:hyperlink w:anchor="_Toc185346741" w:history="1">
        <w:r w:rsidR="004F4257" w:rsidRPr="000F6A41">
          <w:rPr>
            <w:rStyle w:val="Hyperlink"/>
          </w:rPr>
          <w:t>References</w:t>
        </w:r>
        <w:r w:rsidR="004F4257">
          <w:rPr>
            <w:webHidden/>
          </w:rPr>
          <w:tab/>
        </w:r>
        <w:r w:rsidR="004F4257">
          <w:rPr>
            <w:webHidden/>
          </w:rPr>
          <w:fldChar w:fldCharType="begin"/>
        </w:r>
        <w:r w:rsidR="004F4257">
          <w:rPr>
            <w:webHidden/>
          </w:rPr>
          <w:instrText xml:space="preserve"> PAGEREF _Toc185346741 \h </w:instrText>
        </w:r>
        <w:r w:rsidR="004F4257">
          <w:rPr>
            <w:webHidden/>
          </w:rPr>
        </w:r>
        <w:r w:rsidR="004F4257">
          <w:rPr>
            <w:webHidden/>
          </w:rPr>
          <w:fldChar w:fldCharType="separate"/>
        </w:r>
        <w:r w:rsidR="00050D25">
          <w:rPr>
            <w:webHidden/>
          </w:rPr>
          <w:t>86</w:t>
        </w:r>
        <w:r w:rsidR="004F4257">
          <w:rPr>
            <w:webHidden/>
          </w:rPr>
          <w:fldChar w:fldCharType="end"/>
        </w:r>
      </w:hyperlink>
    </w:p>
    <w:p w14:paraId="3F08B297" w14:textId="3B581248" w:rsidR="0066348F" w:rsidRDefault="008D59CE" w:rsidP="00320174">
      <w:pPr>
        <w:rPr>
          <w:b/>
          <w:noProof/>
          <w:color w:val="004A7F"/>
          <w:szCs w:val="22"/>
        </w:rPr>
        <w:sectPr w:rsidR="0066348F" w:rsidSect="00054E63">
          <w:footerReference w:type="even" r:id="rId13"/>
          <w:footerReference w:type="default" r:id="rId14"/>
          <w:headerReference w:type="first" r:id="rId15"/>
          <w:pgSz w:w="11906" w:h="16838" w:code="9"/>
          <w:pgMar w:top="1417" w:right="1417" w:bottom="1417" w:left="1417" w:header="709" w:footer="709" w:gutter="0"/>
          <w:pgNumType w:fmt="lowerRoman" w:start="1"/>
          <w:cols w:space="708"/>
          <w:titlePg/>
          <w:docGrid w:linePitch="360"/>
        </w:sectPr>
      </w:pPr>
      <w:r w:rsidRPr="00F67DB6">
        <w:rPr>
          <w:b/>
          <w:noProof/>
          <w:color w:val="004A7F"/>
          <w:szCs w:val="22"/>
        </w:rPr>
        <w:fldChar w:fldCharType="end"/>
      </w:r>
      <w:bookmarkStart w:id="33" w:name="_Toc149846494"/>
      <w:bookmarkStart w:id="34" w:name="_Toc149846535"/>
      <w:bookmarkStart w:id="35" w:name="_Toc149846633"/>
      <w:bookmarkStart w:id="36" w:name="_Toc149847576"/>
    </w:p>
    <w:p w14:paraId="6DF3C421" w14:textId="1D9C7106" w:rsidR="00475085" w:rsidRPr="004218BD" w:rsidRDefault="00283A10" w:rsidP="00320174">
      <w:pPr>
        <w:pStyle w:val="Heading1"/>
      </w:pPr>
      <w:bookmarkStart w:id="37" w:name="_Toc151994713"/>
      <w:bookmarkStart w:id="38" w:name="_Toc185333102"/>
      <w:bookmarkStart w:id="39" w:name="_Toc185346719"/>
      <w:r w:rsidRPr="004218BD">
        <w:lastRenderedPageBreak/>
        <w:t>F</w:t>
      </w:r>
      <w:r w:rsidR="00EA4CEE" w:rsidRPr="004218BD">
        <w:t xml:space="preserve">rom the </w:t>
      </w:r>
      <w:r w:rsidRPr="004218BD">
        <w:t>T</w:t>
      </w:r>
      <w:r w:rsidR="00EA4CEE" w:rsidRPr="004218BD">
        <w:t>reasurer</w:t>
      </w:r>
      <w:bookmarkEnd w:id="33"/>
      <w:bookmarkEnd w:id="34"/>
      <w:bookmarkEnd w:id="35"/>
      <w:bookmarkEnd w:id="36"/>
      <w:bookmarkEnd w:id="37"/>
      <w:bookmarkEnd w:id="38"/>
      <w:bookmarkEnd w:id="39"/>
    </w:p>
    <w:tbl>
      <w:tblPr>
        <w:tblW w:w="5000" w:type="pct"/>
        <w:tblLook w:val="04A0" w:firstRow="1" w:lastRow="0" w:firstColumn="1" w:lastColumn="0" w:noHBand="0" w:noVBand="1"/>
      </w:tblPr>
      <w:tblGrid>
        <w:gridCol w:w="2004"/>
        <w:gridCol w:w="7068"/>
      </w:tblGrid>
      <w:tr w:rsidR="003A010B" w14:paraId="69307B37" w14:textId="77777777" w:rsidTr="00BD7BF5">
        <w:trPr>
          <w:trHeight w:val="2564"/>
        </w:trPr>
        <w:tc>
          <w:tcPr>
            <w:tcW w:w="2004" w:type="dxa"/>
          </w:tcPr>
          <w:p w14:paraId="16EFCFB7" w14:textId="1C171EAB" w:rsidR="003A010B" w:rsidRPr="00E32BE7" w:rsidRDefault="003A010B" w:rsidP="00E32BE7">
            <w:pPr>
              <w:pStyle w:val="ChartGraphic"/>
              <w:spacing w:before="120"/>
            </w:pPr>
            <w:r w:rsidRPr="00E32BE7">
              <w:rPr>
                <w:noProof/>
              </w:rPr>
              <w:drawing>
                <wp:inline distT="0" distB="0" distL="0" distR="0" wp14:anchorId="3E00455C" wp14:editId="7A32AEBE">
                  <wp:extent cx="1094400" cy="1494000"/>
                  <wp:effectExtent l="0" t="0" r="0" b="0"/>
                  <wp:docPr id="52" name="Picture 52" descr="A headshot of the Hon Dr Jim Chalm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headshot of the Hon Dr Jim Chalmers 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4400" cy="1494000"/>
                          </a:xfrm>
                          <a:prstGeom prst="rect">
                            <a:avLst/>
                          </a:prstGeom>
                        </pic:spPr>
                      </pic:pic>
                    </a:graphicData>
                  </a:graphic>
                </wp:inline>
              </w:drawing>
            </w:r>
          </w:p>
        </w:tc>
        <w:tc>
          <w:tcPr>
            <w:tcW w:w="7068" w:type="dxa"/>
          </w:tcPr>
          <w:p w14:paraId="09006997" w14:textId="77777777" w:rsidR="003A010B" w:rsidRPr="00D52CF0" w:rsidRDefault="003A010B" w:rsidP="00E32BE7">
            <w:pPr>
              <w:spacing w:before="120"/>
              <w:rPr>
                <w:rStyle w:val="Strong"/>
              </w:rPr>
            </w:pPr>
            <w:r w:rsidRPr="00D52CF0">
              <w:rPr>
                <w:rStyle w:val="Strong"/>
              </w:rPr>
              <w:t>The Hon Dr Jim Chalmers MP</w:t>
            </w:r>
          </w:p>
          <w:p w14:paraId="6FDF6B9E" w14:textId="77777777" w:rsidR="003A010B" w:rsidRPr="00D52CF0" w:rsidRDefault="003A010B" w:rsidP="00E32BE7">
            <w:pPr>
              <w:pStyle w:val="SingleParagraph"/>
              <w:spacing w:before="120"/>
            </w:pPr>
            <w:r w:rsidRPr="00D52CF0">
              <w:t>Treasurer</w:t>
            </w:r>
          </w:p>
        </w:tc>
      </w:tr>
    </w:tbl>
    <w:p w14:paraId="51499BE1" w14:textId="77777777" w:rsidR="00143587" w:rsidRDefault="00143587" w:rsidP="00143587">
      <w:r>
        <w:t>The primary focus of the Albanese Labor Government has been fighting inflation and easing the cost-of-living without ignoring the risks to growth. We’ve done this while repairing the budget and building a stronger, more productive economy for the future.</w:t>
      </w:r>
    </w:p>
    <w:p w14:paraId="0FEDD8A3" w14:textId="77777777" w:rsidR="00143587" w:rsidRDefault="00143587" w:rsidP="00143587">
      <w:r>
        <w:t>A big part of preparing for the future is understanding the demographic dynamics that are shifting and shaping our economy.</w:t>
      </w:r>
    </w:p>
    <w:p w14:paraId="329CAD26" w14:textId="77777777" w:rsidR="00143587" w:rsidRPr="005F1BDB" w:rsidRDefault="00143587" w:rsidP="00143587">
      <w:r>
        <w:t>The 2024 Population Statement provides evidence and analysis of the population changes and challenges for our economy and budget in the years ahead, including migration, an ageing population and birth rates.</w:t>
      </w:r>
    </w:p>
    <w:p w14:paraId="3FAB4CAB" w14:textId="6DEEA6B8" w:rsidR="00143587" w:rsidRDefault="00143587" w:rsidP="00143587">
      <w:r>
        <w:t>The Government’s Migration Strategy is helping to ensure our migration system works in the national interest. Net overseas migration is expected to return to around pre-pandemic levels over the next couple of years as arrivals stabilise and departures pick up.</w:t>
      </w:r>
    </w:p>
    <w:p w14:paraId="29A90900" w14:textId="77777777" w:rsidR="00143587" w:rsidRDefault="00143587" w:rsidP="00143587">
      <w:r>
        <w:t>By 2064</w:t>
      </w:r>
      <w:r w:rsidRPr="347B0F9E">
        <w:rPr>
          <w:rFonts w:ascii="Calibri" w:eastAsia="Calibri" w:hAnsi="Calibri" w:cs="Calibri"/>
        </w:rPr>
        <w:t>–</w:t>
      </w:r>
      <w:r>
        <w:t xml:space="preserve">65, nearly one-quarter of the population is projected to be aged 65 and over, which will pose a significant fiscal and social policy challenge. The Government’s recent reforms to the </w:t>
      </w:r>
      <w:r w:rsidRPr="0017016B">
        <w:rPr>
          <w:rStyle w:val="SubtleEmphasis"/>
        </w:rPr>
        <w:t>Aged Care Act</w:t>
      </w:r>
      <w:r>
        <w:t xml:space="preserve"> will make aged care more equitable and sustainable and help to provide more services for older Australians. </w:t>
      </w:r>
    </w:p>
    <w:p w14:paraId="54CB0669" w14:textId="77777777" w:rsidR="00143587" w:rsidRDefault="00143587" w:rsidP="00143587">
      <w:r>
        <w:t>While higher than many of our international counterparts, b</w:t>
      </w:r>
      <w:r w:rsidRPr="0091569E">
        <w:t>irth rates</w:t>
      </w:r>
      <w:r>
        <w:t xml:space="preserve"> in Australia</w:t>
      </w:r>
      <w:r w:rsidRPr="0091569E">
        <w:t xml:space="preserve"> are</w:t>
      </w:r>
      <w:r>
        <w:t xml:space="preserve"> at</w:t>
      </w:r>
      <w:r w:rsidRPr="0091569E">
        <w:t xml:space="preserve"> a record low and </w:t>
      </w:r>
      <w:r>
        <w:t>are</w:t>
      </w:r>
      <w:r w:rsidRPr="0091569E">
        <w:t xml:space="preserve"> expect</w:t>
      </w:r>
      <w:r>
        <w:t>ed</w:t>
      </w:r>
      <w:r w:rsidRPr="0091569E">
        <w:t xml:space="preserve"> to stay low through 2024</w:t>
      </w:r>
      <w:r>
        <w:t>–</w:t>
      </w:r>
      <w:r w:rsidRPr="0091569E">
        <w:t xml:space="preserve">25. The Government is rolling out policies to make it easier for people to have </w:t>
      </w:r>
      <w:r>
        <w:t>children if they want to, including by taking the next steps in building a</w:t>
      </w:r>
      <w:r w:rsidRPr="00786A46">
        <w:t xml:space="preserve"> universal early education</w:t>
      </w:r>
      <w:r>
        <w:t xml:space="preserve"> and care system, which will be a game changer for families.</w:t>
      </w:r>
      <w:r w:rsidRPr="0091569E">
        <w:t xml:space="preserve"> </w:t>
      </w:r>
    </w:p>
    <w:p w14:paraId="0BC1D9F1" w14:textId="77777777" w:rsidR="00143587" w:rsidRDefault="00143587" w:rsidP="00143587">
      <w:r>
        <w:t>The Government is determined to improve outcomes for Indigenous Australians. This Statement shows that there is still a lot of work to do, with life expectancy for First Nations people 8.8 years lower for men and 8.1 years lower for women than the general average.</w:t>
      </w:r>
    </w:p>
    <w:p w14:paraId="26D2A654" w14:textId="77777777" w:rsidR="00143587" w:rsidRDefault="00143587" w:rsidP="00143587">
      <w:r w:rsidRPr="005F1BDB">
        <w:t xml:space="preserve">The Government will draw on the </w:t>
      </w:r>
      <w:r>
        <w:t xml:space="preserve">evidence and insights from the </w:t>
      </w:r>
      <w:r w:rsidRPr="005F1BDB">
        <w:t xml:space="preserve">2024 Population Statement to inform future policy </w:t>
      </w:r>
      <w:r w:rsidRPr="003D4125">
        <w:t>work</w:t>
      </w:r>
      <w:r w:rsidRPr="005F1BDB">
        <w:t xml:space="preserve"> so we can continue to build </w:t>
      </w:r>
      <w:r>
        <w:t xml:space="preserve">a </w:t>
      </w:r>
      <w:r w:rsidRPr="005F1BDB">
        <w:t xml:space="preserve">better future for Australia. </w:t>
      </w:r>
    </w:p>
    <w:p w14:paraId="672E883B" w14:textId="2298CE02" w:rsidR="006743FE" w:rsidRDefault="005F1BDB" w:rsidP="00054E63">
      <w:r w:rsidRPr="005F1BDB">
        <w:t xml:space="preserve"> </w:t>
      </w:r>
    </w:p>
    <w:p w14:paraId="424DE425" w14:textId="44F83D65" w:rsidR="006C5B73" w:rsidRPr="00AC22D1" w:rsidRDefault="00320174" w:rsidP="00AC22D1">
      <w:pPr>
        <w:pStyle w:val="Heading1"/>
      </w:pPr>
      <w:bookmarkStart w:id="40" w:name="_Toc185333103"/>
      <w:bookmarkStart w:id="41" w:name="_Toc185346720"/>
      <w:r>
        <w:lastRenderedPageBreak/>
        <w:t>F</w:t>
      </w:r>
      <w:r w:rsidR="00FF5070" w:rsidRPr="00AC22D1">
        <w:t>or</w:t>
      </w:r>
      <w:r w:rsidR="00AC22D1" w:rsidRPr="00AC22D1">
        <w:t>e</w:t>
      </w:r>
      <w:r w:rsidR="00FF5070" w:rsidRPr="00AC22D1">
        <w:t>w</w:t>
      </w:r>
      <w:r w:rsidR="00A722C6" w:rsidRPr="00AC22D1">
        <w:t>o</w:t>
      </w:r>
      <w:r w:rsidR="00FF5070" w:rsidRPr="00AC22D1">
        <w:t>rd</w:t>
      </w:r>
      <w:bookmarkEnd w:id="40"/>
      <w:bookmarkEnd w:id="41"/>
    </w:p>
    <w:tbl>
      <w:tblPr>
        <w:tblW w:w="5000" w:type="pct"/>
        <w:tblLook w:val="04A0" w:firstRow="1" w:lastRow="0" w:firstColumn="1" w:lastColumn="0" w:noHBand="0" w:noVBand="1"/>
      </w:tblPr>
      <w:tblGrid>
        <w:gridCol w:w="2147"/>
        <w:gridCol w:w="6925"/>
      </w:tblGrid>
      <w:tr w:rsidR="00D52CF0" w14:paraId="7F25D8C8" w14:textId="77777777" w:rsidTr="006F48FB">
        <w:trPr>
          <w:trHeight w:val="2571"/>
        </w:trPr>
        <w:tc>
          <w:tcPr>
            <w:tcW w:w="2147" w:type="dxa"/>
            <w:tcMar>
              <w:left w:w="0" w:type="dxa"/>
            </w:tcMar>
          </w:tcPr>
          <w:p w14:paraId="691EE5C6" w14:textId="1A5F29F3" w:rsidR="00D52CF0" w:rsidRDefault="00E156E0" w:rsidP="00E32BE7">
            <w:pPr>
              <w:pStyle w:val="ChartGraphic"/>
              <w:spacing w:before="120"/>
            </w:pPr>
            <w:r>
              <w:rPr>
                <w:noProof/>
              </w:rPr>
              <w:drawing>
                <wp:inline distT="0" distB="0" distL="0" distR="0" wp14:anchorId="4FD91FC0" wp14:editId="19E3D6FF">
                  <wp:extent cx="1144988" cy="1431234"/>
                  <wp:effectExtent l="0" t="0" r="0" b="0"/>
                  <wp:docPr id="623047324" name="Picture 623047324" descr="A headshot of Nick La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47324" name="Picture 623047324" descr="A headshot of Nick Latim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6091" cy="1445113"/>
                          </a:xfrm>
                          <a:prstGeom prst="rect">
                            <a:avLst/>
                          </a:prstGeom>
                        </pic:spPr>
                      </pic:pic>
                    </a:graphicData>
                  </a:graphic>
                </wp:inline>
              </w:drawing>
            </w:r>
          </w:p>
        </w:tc>
        <w:tc>
          <w:tcPr>
            <w:tcW w:w="6925" w:type="dxa"/>
            <w:tcMar>
              <w:left w:w="0" w:type="dxa"/>
            </w:tcMar>
          </w:tcPr>
          <w:p w14:paraId="47AD28AD" w14:textId="77777777" w:rsidR="0009635F" w:rsidRPr="00054E63" w:rsidRDefault="0009635F" w:rsidP="00E32BE7">
            <w:pPr>
              <w:pStyle w:val="SingleParagraph"/>
              <w:spacing w:before="120"/>
              <w:rPr>
                <w:rStyle w:val="Strong"/>
              </w:rPr>
            </w:pPr>
            <w:r w:rsidRPr="00054E63">
              <w:rPr>
                <w:rStyle w:val="Strong"/>
              </w:rPr>
              <w:t>Nick Latimer</w:t>
            </w:r>
          </w:p>
          <w:p w14:paraId="4AB20C4E" w14:textId="3603B7C1" w:rsidR="00D52CF0" w:rsidRPr="00D52CF0" w:rsidRDefault="00D52CF0" w:rsidP="00E32BE7">
            <w:pPr>
              <w:pStyle w:val="SingleParagraph"/>
              <w:spacing w:before="120"/>
            </w:pPr>
            <w:r w:rsidRPr="00D52CF0">
              <w:t>Executive Director</w:t>
            </w:r>
          </w:p>
          <w:p w14:paraId="6161C740" w14:textId="48DFCABE" w:rsidR="00D52CF0" w:rsidRDefault="00D52CF0" w:rsidP="00CA3ABB">
            <w:pPr>
              <w:pStyle w:val="SingleParagraph"/>
              <w:spacing w:before="120"/>
            </w:pPr>
            <w:r w:rsidRPr="00D52CF0">
              <w:t>Centre for Population</w:t>
            </w:r>
          </w:p>
        </w:tc>
      </w:tr>
    </w:tbl>
    <w:p w14:paraId="7B9FF2C1" w14:textId="05ABC8DF" w:rsidR="00A22F82" w:rsidRDefault="00442B7B" w:rsidP="00054E63">
      <w:r>
        <w:t xml:space="preserve">This year, the United Nations projected that </w:t>
      </w:r>
      <w:r w:rsidR="00A408F8">
        <w:t>t</w:t>
      </w:r>
      <w:r w:rsidR="00F76B37" w:rsidRPr="000E4BE1">
        <w:t>he world</w:t>
      </w:r>
      <w:r w:rsidR="00050D25">
        <w:t>’</w:t>
      </w:r>
      <w:r w:rsidR="00443B5C" w:rsidRPr="000E4BE1">
        <w:t>s</w:t>
      </w:r>
      <w:r w:rsidR="00F76B37" w:rsidRPr="000E4BE1">
        <w:t xml:space="preserve"> population </w:t>
      </w:r>
      <w:r w:rsidR="00A408F8">
        <w:t xml:space="preserve">would </w:t>
      </w:r>
      <w:r w:rsidR="0084228A" w:rsidRPr="000E4BE1">
        <w:t>peak in 208</w:t>
      </w:r>
      <w:r w:rsidR="00376F4B" w:rsidRPr="000E4BE1">
        <w:t>4 at 10.3 billion people</w:t>
      </w:r>
      <w:r w:rsidR="00443B5C" w:rsidRPr="000E4BE1">
        <w:t xml:space="preserve"> </w:t>
      </w:r>
      <w:r w:rsidR="00722B6B" w:rsidRPr="000E4BE1">
        <w:t>before</w:t>
      </w:r>
      <w:r w:rsidR="00443B5C" w:rsidRPr="000E4BE1">
        <w:t xml:space="preserve"> fall</w:t>
      </w:r>
      <w:r w:rsidR="00722B6B" w:rsidRPr="000E4BE1">
        <w:t>ing</w:t>
      </w:r>
      <w:r w:rsidR="00443B5C" w:rsidRPr="000E4BE1">
        <w:t xml:space="preserve"> due to </w:t>
      </w:r>
      <w:r w:rsidR="00F273D6">
        <w:t xml:space="preserve">the </w:t>
      </w:r>
      <w:r w:rsidR="009B62DA">
        <w:t xml:space="preserve">global </w:t>
      </w:r>
      <w:r w:rsidR="00F273D6">
        <w:t>decline in</w:t>
      </w:r>
      <w:r w:rsidR="009B62DA">
        <w:t xml:space="preserve"> fertility</w:t>
      </w:r>
      <w:r w:rsidR="00443B5C" w:rsidRPr="000E4BE1">
        <w:t>.</w:t>
      </w:r>
      <w:r w:rsidR="00376F4B" w:rsidRPr="000E4BE1">
        <w:t xml:space="preserve"> </w:t>
      </w:r>
      <w:r w:rsidR="00546487">
        <w:t>The 2024 Populati</w:t>
      </w:r>
      <w:r w:rsidR="00B620B3">
        <w:t>on</w:t>
      </w:r>
      <w:r w:rsidR="006C2BFE">
        <w:t xml:space="preserve"> Statement shows </w:t>
      </w:r>
      <w:r w:rsidR="00A16C87">
        <w:t>the contrast between</w:t>
      </w:r>
      <w:r w:rsidR="006C2BFE">
        <w:t xml:space="preserve"> </w:t>
      </w:r>
      <w:r w:rsidR="00722B6B">
        <w:t>Australia</w:t>
      </w:r>
      <w:r w:rsidR="00050D25">
        <w:t>’</w:t>
      </w:r>
      <w:r w:rsidR="00A408F8">
        <w:t>s long</w:t>
      </w:r>
      <w:r w:rsidR="00050D25">
        <w:noBreakHyphen/>
      </w:r>
      <w:r w:rsidR="00A408F8">
        <w:t xml:space="preserve">term population </w:t>
      </w:r>
      <w:r w:rsidR="006B66AF">
        <w:t>prospects</w:t>
      </w:r>
      <w:r w:rsidR="00A408F8">
        <w:t xml:space="preserve"> </w:t>
      </w:r>
      <w:r w:rsidR="00A16C87">
        <w:t>and</w:t>
      </w:r>
      <w:r w:rsidR="00A408F8">
        <w:t xml:space="preserve"> </w:t>
      </w:r>
      <w:r w:rsidR="006B66AF">
        <w:t xml:space="preserve">the global outlook, with population growth </w:t>
      </w:r>
      <w:r w:rsidR="00F409DA">
        <w:t xml:space="preserve">in Australia </w:t>
      </w:r>
      <w:r w:rsidR="006B66AF">
        <w:t>expected to continue</w:t>
      </w:r>
      <w:r w:rsidR="000123E4">
        <w:t>. This will be</w:t>
      </w:r>
      <w:r w:rsidR="006B66AF">
        <w:t xml:space="preserve"> driven by migration, </w:t>
      </w:r>
      <w:r w:rsidR="002B23AD">
        <w:t xml:space="preserve">rising </w:t>
      </w:r>
      <w:r w:rsidR="006B66AF">
        <w:t>life expectancy</w:t>
      </w:r>
      <w:r w:rsidR="003E2A9F">
        <w:t>,</w:t>
      </w:r>
      <w:r w:rsidR="006B66AF">
        <w:t xml:space="preserve"> and a higher fertility rate</w:t>
      </w:r>
      <w:r w:rsidR="00BD6009">
        <w:t xml:space="preserve"> than many </w:t>
      </w:r>
      <w:r w:rsidR="0062402A">
        <w:t xml:space="preserve">other </w:t>
      </w:r>
      <w:r w:rsidR="00BD6009">
        <w:t>advanced economies</w:t>
      </w:r>
      <w:r w:rsidR="006B66AF">
        <w:t xml:space="preserve">. </w:t>
      </w:r>
    </w:p>
    <w:p w14:paraId="6CB19E6C" w14:textId="580CC482" w:rsidR="00AC6541" w:rsidRDefault="000F2091" w:rsidP="00054E63">
      <w:r>
        <w:t>O</w:t>
      </w:r>
      <w:r w:rsidRPr="00505440">
        <w:t xml:space="preserve">ur ability to </w:t>
      </w:r>
      <w:r w:rsidR="0062402A">
        <w:t>foresee and</w:t>
      </w:r>
      <w:r w:rsidRPr="00505440">
        <w:t xml:space="preserve"> understand </w:t>
      </w:r>
      <w:r>
        <w:t>population</w:t>
      </w:r>
      <w:r w:rsidRPr="00505440">
        <w:t xml:space="preserve"> changes is vital to </w:t>
      </w:r>
      <w:r w:rsidR="009C7D8B">
        <w:t>preparing for the future</w:t>
      </w:r>
      <w:r>
        <w:t xml:space="preserve">. </w:t>
      </w:r>
      <w:r w:rsidR="00F063CB" w:rsidRPr="00505440">
        <w:t xml:space="preserve">Since </w:t>
      </w:r>
      <w:r w:rsidR="00E27979" w:rsidRPr="00505440">
        <w:t>it</w:t>
      </w:r>
      <w:r w:rsidR="00E27979" w:rsidRPr="00505440" w:rsidDel="00AF0733">
        <w:t xml:space="preserve"> </w:t>
      </w:r>
      <w:r w:rsidR="00AF0733">
        <w:t>was established</w:t>
      </w:r>
      <w:r w:rsidR="00E27979" w:rsidRPr="00505440">
        <w:t xml:space="preserve"> in</w:t>
      </w:r>
      <w:r w:rsidR="00F063CB" w:rsidRPr="00505440">
        <w:t xml:space="preserve"> 2019, t</w:t>
      </w:r>
      <w:r w:rsidR="008F18FE" w:rsidRPr="00505440">
        <w:t>he Centre for Population</w:t>
      </w:r>
      <w:r w:rsidR="0078486F">
        <w:t xml:space="preserve"> </w:t>
      </w:r>
      <w:r w:rsidR="008F18FE" w:rsidRPr="00505440">
        <w:t xml:space="preserve">has been building </w:t>
      </w:r>
      <w:r w:rsidR="00782243">
        <w:t>the</w:t>
      </w:r>
      <w:r w:rsidR="00782243" w:rsidRPr="00505440">
        <w:t xml:space="preserve"> </w:t>
      </w:r>
      <w:r w:rsidR="008F18FE" w:rsidRPr="00505440">
        <w:t>evidence base on population trends and informing public discussion</w:t>
      </w:r>
      <w:r w:rsidR="00AC0AF4" w:rsidRPr="00505440">
        <w:t xml:space="preserve">. The </w:t>
      </w:r>
      <w:r w:rsidR="00561688">
        <w:t>C</w:t>
      </w:r>
      <w:r w:rsidR="00AC0AF4" w:rsidRPr="00505440">
        <w:t xml:space="preserve">entre has engaged, </w:t>
      </w:r>
      <w:proofErr w:type="gramStart"/>
      <w:r w:rsidR="00AC0AF4" w:rsidRPr="00505440">
        <w:t>coordinated</w:t>
      </w:r>
      <w:proofErr w:type="gramEnd"/>
      <w:r w:rsidR="00AC0AF4" w:rsidRPr="00505440">
        <w:t xml:space="preserve"> and collaborated with government</w:t>
      </w:r>
      <w:r w:rsidR="009C7D8B">
        <w:t>s</w:t>
      </w:r>
      <w:r w:rsidR="00AC0AF4" w:rsidRPr="00505440">
        <w:t xml:space="preserve">, </w:t>
      </w:r>
      <w:r w:rsidR="00DE1079" w:rsidRPr="00505440">
        <w:t xml:space="preserve">as well as other </w:t>
      </w:r>
      <w:r w:rsidR="00D870B5" w:rsidRPr="00505440">
        <w:t xml:space="preserve">stakeholders including academics, </w:t>
      </w:r>
      <w:r w:rsidR="00AC0AF4" w:rsidRPr="00505440">
        <w:t>business</w:t>
      </w:r>
      <w:r w:rsidR="00D870B5" w:rsidRPr="00505440">
        <w:t xml:space="preserve">, </w:t>
      </w:r>
      <w:r w:rsidR="00AC0AF4" w:rsidRPr="00505440">
        <w:t xml:space="preserve">community groups </w:t>
      </w:r>
      <w:r w:rsidR="00D870B5" w:rsidRPr="00505440">
        <w:t xml:space="preserve">and other population experts. </w:t>
      </w:r>
    </w:p>
    <w:p w14:paraId="2F015C1A" w14:textId="4F419916" w:rsidR="00D11652" w:rsidRPr="00E6551F" w:rsidRDefault="00C662AF" w:rsidP="00054E63">
      <w:r>
        <w:t>Over the past 12 months</w:t>
      </w:r>
      <w:r w:rsidR="00D870B5">
        <w:t xml:space="preserve">, the Centre has </w:t>
      </w:r>
      <w:r w:rsidR="004553F9">
        <w:t xml:space="preserve">provided evidence </w:t>
      </w:r>
      <w:r w:rsidR="00D870B5">
        <w:t xml:space="preserve">to </w:t>
      </w:r>
      <w:r w:rsidR="00841E1D">
        <w:t>S</w:t>
      </w:r>
      <w:r w:rsidR="00841E1D" w:rsidRPr="004F74D9">
        <w:t xml:space="preserve">enate </w:t>
      </w:r>
      <w:r w:rsidR="00505440" w:rsidRPr="004F74D9">
        <w:t xml:space="preserve">inquiries on </w:t>
      </w:r>
      <w:r w:rsidR="0005018A" w:rsidRPr="004F74D9">
        <w:t xml:space="preserve">excess mortality </w:t>
      </w:r>
      <w:r w:rsidR="0005018A">
        <w:t xml:space="preserve">and </w:t>
      </w:r>
      <w:r w:rsidR="00324F05" w:rsidRPr="004F74D9">
        <w:t>education services for international students</w:t>
      </w:r>
      <w:r w:rsidR="001E5B80">
        <w:t xml:space="preserve">. We have also </w:t>
      </w:r>
      <w:r w:rsidR="00505440">
        <w:t>published papers on Australia</w:t>
      </w:r>
      <w:r w:rsidR="00050D25">
        <w:t>’</w:t>
      </w:r>
      <w:r w:rsidR="00505440">
        <w:t>s changing demographics</w:t>
      </w:r>
      <w:r w:rsidR="00E215AA">
        <w:t xml:space="preserve">, </w:t>
      </w:r>
      <w:r w:rsidR="008464FC">
        <w:t>fertility</w:t>
      </w:r>
      <w:r w:rsidR="00DC2C98">
        <w:t xml:space="preserve">, </w:t>
      </w:r>
      <w:r w:rsidR="00EB78D8">
        <w:t xml:space="preserve">population </w:t>
      </w:r>
      <w:r w:rsidR="0060450B">
        <w:t>characteristics</w:t>
      </w:r>
      <w:r w:rsidR="0065044B">
        <w:t xml:space="preserve">, and </w:t>
      </w:r>
      <w:r w:rsidR="004553F9">
        <w:t>the</w:t>
      </w:r>
      <w:r w:rsidR="00E6551F">
        <w:t xml:space="preserve"> economic outcomes of migration. </w:t>
      </w:r>
      <w:r w:rsidR="000B54E3">
        <w:t xml:space="preserve">Finally, </w:t>
      </w:r>
      <w:r w:rsidR="007E1CD4">
        <w:t xml:space="preserve">we have </w:t>
      </w:r>
      <w:r w:rsidR="000B54E3">
        <w:t>made major improvements in the way we forecast fertility and migration. This includes implementing a leading indicator of births based on pregnancy scans data, develop</w:t>
      </w:r>
      <w:r w:rsidR="00576BC6">
        <w:t>ing</w:t>
      </w:r>
      <w:r w:rsidR="000B54E3">
        <w:t xml:space="preserve"> better indicators of migration using administrative data</w:t>
      </w:r>
      <w:r w:rsidR="00BF54FD">
        <w:t xml:space="preserve"> </w:t>
      </w:r>
      <w:r w:rsidR="5F02309C">
        <w:t xml:space="preserve">from </w:t>
      </w:r>
      <w:r w:rsidR="00576BC6">
        <w:t>the Department of Home Affairs</w:t>
      </w:r>
      <w:r w:rsidR="008705C4">
        <w:t>,</w:t>
      </w:r>
      <w:r w:rsidR="00576BC6">
        <w:t xml:space="preserve"> </w:t>
      </w:r>
      <w:r w:rsidR="00BF54FD">
        <w:t xml:space="preserve">and </w:t>
      </w:r>
      <w:r w:rsidR="007E1CD4">
        <w:t>revising</w:t>
      </w:r>
      <w:r w:rsidR="00CC2BA4">
        <w:t xml:space="preserve"> </w:t>
      </w:r>
      <w:r w:rsidR="009B2CAF">
        <w:t xml:space="preserve">how we forecast </w:t>
      </w:r>
      <w:r w:rsidR="00027AD4">
        <w:t>state</w:t>
      </w:r>
      <w:r w:rsidR="00050D25">
        <w:noBreakHyphen/>
      </w:r>
      <w:r w:rsidR="0005018A">
        <w:t>level mig</w:t>
      </w:r>
      <w:r w:rsidR="00742D35">
        <w:t>r</w:t>
      </w:r>
      <w:r w:rsidR="0005018A">
        <w:t>ation</w:t>
      </w:r>
      <w:r w:rsidR="000B54E3">
        <w:t>.</w:t>
      </w:r>
    </w:p>
    <w:p w14:paraId="17B3C6E4" w14:textId="247A1500" w:rsidR="00CB4A77" w:rsidRDefault="008F18FE" w:rsidP="00054E63">
      <w:r>
        <w:t>The 202</w:t>
      </w:r>
      <w:r w:rsidR="00285B20">
        <w:t>4</w:t>
      </w:r>
      <w:r>
        <w:t xml:space="preserve"> Population Statement is the </w:t>
      </w:r>
      <w:r w:rsidR="00285B20">
        <w:t>fifth</w:t>
      </w:r>
      <w:r>
        <w:t xml:space="preserve"> edition of the Centre</w:t>
      </w:r>
      <w:r w:rsidR="00050D25">
        <w:t>’</w:t>
      </w:r>
      <w:r>
        <w:t xml:space="preserve">s flagship annual publication. It provides </w:t>
      </w:r>
      <w:r w:rsidR="00FB2C9E">
        <w:t>valuable</w:t>
      </w:r>
      <w:r>
        <w:t xml:space="preserve"> insights on how the population has changed and projects future population changes. </w:t>
      </w:r>
      <w:r w:rsidR="00C07AA4" w:rsidRPr="002F0AB8">
        <w:t xml:space="preserve">Compared to the 2023 Population Statement, the population </w:t>
      </w:r>
      <w:r w:rsidR="00A217EB">
        <w:t xml:space="preserve">outlook </w:t>
      </w:r>
      <w:r w:rsidR="00C07AA4">
        <w:t xml:space="preserve">for </w:t>
      </w:r>
      <w:r w:rsidR="00C07AA4" w:rsidRPr="002F0AB8">
        <w:t>203</w:t>
      </w:r>
      <w:r w:rsidR="00C07AA4">
        <w:t>4</w:t>
      </w:r>
      <w:r w:rsidR="00E665C8">
        <w:t>–</w:t>
      </w:r>
      <w:r w:rsidR="00C07AA4" w:rsidRPr="002F0AB8">
        <w:t>3</w:t>
      </w:r>
      <w:r w:rsidR="00C07AA4">
        <w:t>5</w:t>
      </w:r>
      <w:r w:rsidR="00C07AA4" w:rsidRPr="002F0AB8">
        <w:t xml:space="preserve"> </w:t>
      </w:r>
      <w:r w:rsidR="00B55902">
        <w:t xml:space="preserve">remains </w:t>
      </w:r>
      <w:r w:rsidR="000649DF">
        <w:t>around 31.</w:t>
      </w:r>
      <w:r w:rsidR="00CD6868">
        <w:t>3</w:t>
      </w:r>
      <w:r w:rsidR="00FF207F">
        <w:t> million</w:t>
      </w:r>
      <w:r w:rsidR="00C07AA4">
        <w:t>. However,</w:t>
      </w:r>
      <w:r w:rsidR="000649DF">
        <w:t xml:space="preserve"> the drivers of population growth </w:t>
      </w:r>
      <w:r w:rsidR="009141CE">
        <w:t>have shifted</w:t>
      </w:r>
      <w:r w:rsidR="00CA0525">
        <w:t>. There will be</w:t>
      </w:r>
      <w:r w:rsidR="009141CE">
        <w:t xml:space="preserve"> </w:t>
      </w:r>
      <w:r w:rsidR="00BB2B72">
        <w:t>higher</w:t>
      </w:r>
      <w:r w:rsidR="00DA3532">
        <w:t xml:space="preserve"> net overseas migration </w:t>
      </w:r>
      <w:r w:rsidR="00C07AA4" w:rsidRPr="002F0AB8">
        <w:t xml:space="preserve">in the near term, </w:t>
      </w:r>
      <w:r w:rsidR="00B62025">
        <w:t xml:space="preserve">due to temporary </w:t>
      </w:r>
      <w:r w:rsidR="00DA6CD8">
        <w:t xml:space="preserve">migrants staying </w:t>
      </w:r>
      <w:r w:rsidR="007C007D">
        <w:t xml:space="preserve">in Australia </w:t>
      </w:r>
      <w:r w:rsidR="00DA6CD8">
        <w:t xml:space="preserve">longer than </w:t>
      </w:r>
      <w:r w:rsidR="000B0400">
        <w:t xml:space="preserve">they had </w:t>
      </w:r>
      <w:r w:rsidR="00DA6CD8">
        <w:t>previously. This will be</w:t>
      </w:r>
      <w:r w:rsidR="00C07AA4" w:rsidRPr="002F0AB8">
        <w:t xml:space="preserve"> </w:t>
      </w:r>
      <w:r w:rsidR="00640436">
        <w:t>offset by</w:t>
      </w:r>
      <w:r w:rsidR="00C07AA4" w:rsidRPr="002F0AB8">
        <w:t xml:space="preserve"> </w:t>
      </w:r>
      <w:r w:rsidR="00BD6009">
        <w:t xml:space="preserve">fewer births </w:t>
      </w:r>
      <w:r w:rsidR="005B5FA0">
        <w:t>than previous</w:t>
      </w:r>
      <w:r w:rsidR="007A33D5">
        <w:t>ly</w:t>
      </w:r>
      <w:r w:rsidR="005B5FA0">
        <w:t xml:space="preserve"> expected, </w:t>
      </w:r>
      <w:r w:rsidR="00C71A49">
        <w:t>with the fertility rate dropping to a record low this year</w:t>
      </w:r>
      <w:r w:rsidR="00955736">
        <w:t>. There will also be</w:t>
      </w:r>
      <w:r w:rsidR="00BD6009">
        <w:t xml:space="preserve"> more deaths</w:t>
      </w:r>
      <w:r w:rsidR="00D4637D">
        <w:t xml:space="preserve"> than previously </w:t>
      </w:r>
      <w:r w:rsidR="005F31AF">
        <w:t>forecast</w:t>
      </w:r>
      <w:r w:rsidR="00955736">
        <w:t xml:space="preserve">, </w:t>
      </w:r>
      <w:r w:rsidR="009C3068">
        <w:t xml:space="preserve">as </w:t>
      </w:r>
      <w:r w:rsidR="005B5FA0">
        <w:t>COVID</w:t>
      </w:r>
      <w:r w:rsidR="00050D25">
        <w:noBreakHyphen/>
      </w:r>
      <w:r w:rsidR="005B5FA0">
        <w:t xml:space="preserve">19 </w:t>
      </w:r>
      <w:r w:rsidR="00E2600E">
        <w:t xml:space="preserve">remains </w:t>
      </w:r>
      <w:r w:rsidR="00B55902">
        <w:t xml:space="preserve">a major contributor to </w:t>
      </w:r>
      <w:r w:rsidR="00C71A49">
        <w:t xml:space="preserve">excess </w:t>
      </w:r>
      <w:r w:rsidR="00B55902">
        <w:t>mortality.</w:t>
      </w:r>
    </w:p>
    <w:p w14:paraId="469C9BB6" w14:textId="2BCF40B6" w:rsidR="00F43913" w:rsidRDefault="002B614B" w:rsidP="00054E63">
      <w:r>
        <w:t>Although</w:t>
      </w:r>
      <w:r w:rsidR="001E380E">
        <w:t xml:space="preserve"> t</w:t>
      </w:r>
      <w:r w:rsidR="00F43913">
        <w:t>he Centre has used its best judgement in preparing these population projections</w:t>
      </w:r>
      <w:r w:rsidR="001E380E">
        <w:t>, the</w:t>
      </w:r>
      <w:r w:rsidR="002F7111">
        <w:t>re ha</w:t>
      </w:r>
      <w:r w:rsidR="00002790">
        <w:t>ve</w:t>
      </w:r>
      <w:r w:rsidR="002F7111">
        <w:t xml:space="preserve"> been </w:t>
      </w:r>
      <w:r w:rsidR="00DE6617">
        <w:t>significant</w:t>
      </w:r>
      <w:r w:rsidR="00C23178">
        <w:t xml:space="preserve"> </w:t>
      </w:r>
      <w:r w:rsidR="007A33D5">
        <w:t>interruptions</w:t>
      </w:r>
      <w:r w:rsidR="00AA0CAA">
        <w:t xml:space="preserve"> to po</w:t>
      </w:r>
      <w:r w:rsidR="00971235">
        <w:t xml:space="preserve">pulation trends in recent years, </w:t>
      </w:r>
      <w:r w:rsidR="00B62025">
        <w:t xml:space="preserve">in particular </w:t>
      </w:r>
      <w:r w:rsidR="00971235">
        <w:t>the COVID</w:t>
      </w:r>
      <w:r w:rsidR="00050D25">
        <w:noBreakHyphen/>
      </w:r>
      <w:r w:rsidR="00971235">
        <w:t xml:space="preserve">19 pandemic and </w:t>
      </w:r>
      <w:r w:rsidR="00FE3BF5">
        <w:t xml:space="preserve">the impacts of </w:t>
      </w:r>
      <w:r w:rsidR="0005434F">
        <w:t>post</w:t>
      </w:r>
      <w:r w:rsidR="00050D25">
        <w:noBreakHyphen/>
      </w:r>
      <w:r w:rsidR="00D72328">
        <w:t xml:space="preserve">pandemic </w:t>
      </w:r>
      <w:r w:rsidR="0005434F">
        <w:t xml:space="preserve">migration. </w:t>
      </w:r>
      <w:r w:rsidR="00DE6617">
        <w:t xml:space="preserve">This creates </w:t>
      </w:r>
      <w:r w:rsidR="00D15FFA">
        <w:t>greater</w:t>
      </w:r>
      <w:r w:rsidR="00050D25">
        <w:noBreakHyphen/>
      </w:r>
      <w:r w:rsidR="00D15FFA">
        <w:t>than</w:t>
      </w:r>
      <w:r w:rsidR="00050D25">
        <w:noBreakHyphen/>
      </w:r>
      <w:r w:rsidR="00D15FFA">
        <w:t>usual</w:t>
      </w:r>
      <w:r w:rsidR="00DE6617">
        <w:t xml:space="preserve"> u</w:t>
      </w:r>
      <w:r w:rsidR="00612602">
        <w:t xml:space="preserve">ncertainty about the </w:t>
      </w:r>
      <w:r w:rsidR="00FD3725">
        <w:t xml:space="preserve">future </w:t>
      </w:r>
      <w:r w:rsidR="00574BA9">
        <w:t>and further</w:t>
      </w:r>
      <w:r w:rsidR="00FD3725">
        <w:t xml:space="preserve"> revisions </w:t>
      </w:r>
      <w:r w:rsidR="00574BA9">
        <w:t>to our forecasts are</w:t>
      </w:r>
      <w:r w:rsidR="00FD3725">
        <w:t xml:space="preserve"> likely.</w:t>
      </w:r>
    </w:p>
    <w:p w14:paraId="21C3A994" w14:textId="122594D9" w:rsidR="0078642F" w:rsidRDefault="00383204" w:rsidP="00AF38FB">
      <w:r>
        <w:t xml:space="preserve">In 2025, we will support the hosting of the International Population Conference in Australia for the first time. This prestigious event will bring experts from around the world to Brisbane to push forward the field of demography. We </w:t>
      </w:r>
      <w:r w:rsidR="00744013">
        <w:t>also</w:t>
      </w:r>
      <w:r>
        <w:t xml:space="preserve"> look forward to continuing to build the evidence base on how the Australian population is changing and what this might mean for the future. </w:t>
      </w:r>
    </w:p>
    <w:p w14:paraId="404ECAF0" w14:textId="722E82E8" w:rsidR="00A17713" w:rsidRDefault="00A17713">
      <w:pPr>
        <w:spacing w:before="0" w:after="160" w:line="259" w:lineRule="auto"/>
      </w:pPr>
      <w:r>
        <w:br w:type="page"/>
      </w:r>
    </w:p>
    <w:p w14:paraId="673CE82F" w14:textId="0AD69C05" w:rsidR="00E51DD2" w:rsidRDefault="00A7081B" w:rsidP="00E51DD2">
      <w:pPr>
        <w:pStyle w:val="Heading1"/>
      </w:pPr>
      <w:bookmarkStart w:id="42" w:name="_Toc151994715"/>
      <w:bookmarkStart w:id="43" w:name="_Toc185333104"/>
      <w:bookmarkStart w:id="44" w:name="_Toc185346721"/>
      <w:r>
        <w:lastRenderedPageBreak/>
        <w:t xml:space="preserve">Key </w:t>
      </w:r>
      <w:r w:rsidR="00AB1AF9">
        <w:t>points</w:t>
      </w:r>
      <w:bookmarkEnd w:id="42"/>
      <w:bookmarkEnd w:id="43"/>
      <w:bookmarkEnd w:id="44"/>
    </w:p>
    <w:p w14:paraId="73A899AE" w14:textId="173B123E" w:rsidR="00174192" w:rsidRDefault="001E7353" w:rsidP="00054E63">
      <w:r>
        <w:t>Australia</w:t>
      </w:r>
      <w:r w:rsidR="00050D25">
        <w:t>’</w:t>
      </w:r>
      <w:r>
        <w:t xml:space="preserve">s population is </w:t>
      </w:r>
      <w:r w:rsidR="00EF4841">
        <w:t xml:space="preserve">projected </w:t>
      </w:r>
      <w:r>
        <w:t>to grow from 27</w:t>
      </w:r>
      <w:r w:rsidR="006533A9">
        <w:t>.1</w:t>
      </w:r>
      <w:r w:rsidR="00FF207F">
        <w:t> million</w:t>
      </w:r>
      <w:r>
        <w:t xml:space="preserve"> people in March 2024 to 31.</w:t>
      </w:r>
      <w:r w:rsidR="00C2545B">
        <w:t>3</w:t>
      </w:r>
      <w:r w:rsidR="00FF207F">
        <w:t> million</w:t>
      </w:r>
      <w:r>
        <w:t xml:space="preserve"> people by 2034</w:t>
      </w:r>
      <w:r w:rsidR="00E665C8">
        <w:t>–</w:t>
      </w:r>
      <w:r>
        <w:t>35</w:t>
      </w:r>
      <w:r w:rsidR="00003613">
        <w:t>.</w:t>
      </w:r>
      <w:r w:rsidR="003D6027" w:rsidDel="00003613">
        <w:t xml:space="preserve"> </w:t>
      </w:r>
      <w:r w:rsidR="00003613">
        <w:t xml:space="preserve">This </w:t>
      </w:r>
      <w:r w:rsidR="003D6027">
        <w:t xml:space="preserve">is </w:t>
      </w:r>
      <w:r>
        <w:t xml:space="preserve">slightly </w:t>
      </w:r>
      <w:r w:rsidR="008B1037">
        <w:t>higher</w:t>
      </w:r>
      <w:r>
        <w:t xml:space="preserve"> than projected in </w:t>
      </w:r>
      <w:r w:rsidR="001011A6">
        <w:t>last year</w:t>
      </w:r>
      <w:r w:rsidR="00050D25">
        <w:t>’</w:t>
      </w:r>
      <w:r w:rsidR="001011A6">
        <w:t xml:space="preserve">s </w:t>
      </w:r>
      <w:r>
        <w:t xml:space="preserve">Population Statement. </w:t>
      </w:r>
    </w:p>
    <w:p w14:paraId="2A9DA39D" w14:textId="4F363E38" w:rsidR="001E7353" w:rsidRDefault="001E7353" w:rsidP="00054E63">
      <w:r>
        <w:t>Annual population growth is forecast to decline from 2.1</w:t>
      </w:r>
      <w:r w:rsidR="00FF207F">
        <w:t> per cent</w:t>
      </w:r>
      <w:r>
        <w:t xml:space="preserve"> in 2023</w:t>
      </w:r>
      <w:r w:rsidR="00E665C8">
        <w:t>–</w:t>
      </w:r>
      <w:r>
        <w:t>24 to 1.2</w:t>
      </w:r>
      <w:r w:rsidR="00FF207F">
        <w:t> per cent</w:t>
      </w:r>
      <w:r>
        <w:t xml:space="preserve"> by </w:t>
      </w:r>
      <w:r w:rsidR="00CC1B6A">
        <w:t>2034</w:t>
      </w:r>
      <w:r w:rsidR="00E665C8">
        <w:t>–</w:t>
      </w:r>
      <w:r w:rsidR="00CC1B6A">
        <w:t xml:space="preserve">35 as </w:t>
      </w:r>
      <w:r w:rsidR="00EF46E1">
        <w:t>net overseas migration (</w:t>
      </w:r>
      <w:r w:rsidR="00BD4DE6">
        <w:t>NOM</w:t>
      </w:r>
      <w:r w:rsidR="00BD4DE6" w:rsidDel="00531405">
        <w:t>)</w:t>
      </w:r>
      <w:r w:rsidR="00BD4DE6">
        <w:t xml:space="preserve"> </w:t>
      </w:r>
      <w:r w:rsidR="004D7D86">
        <w:t>moderates.</w:t>
      </w:r>
    </w:p>
    <w:p w14:paraId="6F277EBA" w14:textId="142FF900" w:rsidR="00754647" w:rsidRDefault="00BD4DE6" w:rsidP="00054E63">
      <w:r>
        <w:t xml:space="preserve">NOM </w:t>
      </w:r>
      <w:r w:rsidR="008B6284">
        <w:t>is</w:t>
      </w:r>
      <w:r w:rsidR="00D13764">
        <w:t xml:space="preserve"> the </w:t>
      </w:r>
      <w:r w:rsidR="006F3E51">
        <w:t>ma</w:t>
      </w:r>
      <w:r w:rsidR="00742D35">
        <w:t>in</w:t>
      </w:r>
      <w:r w:rsidR="006F3E51">
        <w:t xml:space="preserve"> driver of population growth</w:t>
      </w:r>
      <w:r w:rsidR="008B6284">
        <w:t xml:space="preserve"> and volatility. </w:t>
      </w:r>
      <w:r>
        <w:t>NOM</w:t>
      </w:r>
      <w:r w:rsidR="00183200">
        <w:t xml:space="preserve"> </w:t>
      </w:r>
      <w:r w:rsidR="001E7353">
        <w:t>peaked in 2022</w:t>
      </w:r>
      <w:r w:rsidR="00CC0893">
        <w:t>–</w:t>
      </w:r>
      <w:r w:rsidR="001E7353">
        <w:t xml:space="preserve">23 and is </w:t>
      </w:r>
      <w:r w:rsidR="00A61C05">
        <w:t>declining</w:t>
      </w:r>
      <w:r w:rsidR="001E7353">
        <w:t>.</w:t>
      </w:r>
      <w:r w:rsidR="00754647" w:rsidDel="00E93BC5">
        <w:t xml:space="preserve"> </w:t>
      </w:r>
      <w:r w:rsidR="00E93BC5">
        <w:t xml:space="preserve">It </w:t>
      </w:r>
      <w:r w:rsidR="00754647">
        <w:t xml:space="preserve">is </w:t>
      </w:r>
      <w:r w:rsidR="009D60C1">
        <w:t xml:space="preserve">estimated </w:t>
      </w:r>
      <w:r w:rsidR="00754647">
        <w:t xml:space="preserve">to have fallen to 460,000 in 2023–24 and is expected to </w:t>
      </w:r>
      <w:r w:rsidR="00E17FB0">
        <w:t xml:space="preserve">continue to </w:t>
      </w:r>
      <w:r w:rsidR="0072078D">
        <w:t xml:space="preserve">moderate </w:t>
      </w:r>
      <w:r w:rsidR="00EA6282">
        <w:t xml:space="preserve">and then stabilise </w:t>
      </w:r>
      <w:r w:rsidR="00754647">
        <w:t xml:space="preserve">over the next </w:t>
      </w:r>
      <w:r w:rsidR="0072078D">
        <w:t xml:space="preserve">few </w:t>
      </w:r>
      <w:r w:rsidR="00754647">
        <w:t>years</w:t>
      </w:r>
      <w:r w:rsidR="009D60C1">
        <w:t xml:space="preserve">. This </w:t>
      </w:r>
      <w:r w:rsidR="007B6892">
        <w:t>reflect</w:t>
      </w:r>
      <w:r w:rsidR="008E2D41">
        <w:t>s</w:t>
      </w:r>
      <w:r w:rsidR="007B6892">
        <w:t xml:space="preserve"> a</w:t>
      </w:r>
      <w:r w:rsidR="002F38C5">
        <w:t xml:space="preserve"> decline and subsequent</w:t>
      </w:r>
      <w:r w:rsidR="007B6892">
        <w:t xml:space="preserve"> stabilisation of</w:t>
      </w:r>
      <w:r w:rsidR="00754647">
        <w:t xml:space="preserve"> </w:t>
      </w:r>
      <w:r w:rsidR="007D1EFB">
        <w:t>arrivals</w:t>
      </w:r>
      <w:r w:rsidR="002F38C5">
        <w:t>,</w:t>
      </w:r>
      <w:r w:rsidR="00754647" w:rsidDel="007B6892">
        <w:t xml:space="preserve"> </w:t>
      </w:r>
      <w:r w:rsidR="007B6892">
        <w:t xml:space="preserve">and a </w:t>
      </w:r>
      <w:r w:rsidR="000E7891">
        <w:t>pick</w:t>
      </w:r>
      <w:r w:rsidR="00050D25">
        <w:noBreakHyphen/>
      </w:r>
      <w:r w:rsidR="000E7891">
        <w:t>up</w:t>
      </w:r>
      <w:r w:rsidR="007B6892">
        <w:t xml:space="preserve"> in</w:t>
      </w:r>
      <w:r w:rsidR="00754647">
        <w:t xml:space="preserve"> departures. </w:t>
      </w:r>
    </w:p>
    <w:p w14:paraId="7C9A7B06" w14:textId="484A8539" w:rsidR="001E7353" w:rsidRDefault="00A666C9" w:rsidP="00054E63">
      <w:r>
        <w:t xml:space="preserve">A range of policies are placing downward pressure on </w:t>
      </w:r>
      <w:r w:rsidR="00BD4DE6">
        <w:t>NOM</w:t>
      </w:r>
      <w:r w:rsidR="005719F4">
        <w:t>, including</w:t>
      </w:r>
      <w:r w:rsidR="00671050">
        <w:t xml:space="preserve"> </w:t>
      </w:r>
      <w:r w:rsidR="004F343C">
        <w:t xml:space="preserve">restrictions on </w:t>
      </w:r>
      <w:r w:rsidR="006F4C0F">
        <w:t xml:space="preserve">onshore visa </w:t>
      </w:r>
      <w:proofErr w:type="gramStart"/>
      <w:r w:rsidR="002078BD">
        <w:t>transitions</w:t>
      </w:r>
      <w:proofErr w:type="gramEnd"/>
      <w:r w:rsidR="002D6409">
        <w:t xml:space="preserve"> and </w:t>
      </w:r>
      <w:r w:rsidR="008A77FF">
        <w:t xml:space="preserve">improving </w:t>
      </w:r>
      <w:r w:rsidR="002D6409">
        <w:t xml:space="preserve">integrity </w:t>
      </w:r>
      <w:r w:rsidR="008A77FF">
        <w:t>in the international education sector</w:t>
      </w:r>
      <w:r w:rsidR="006F4FF3">
        <w:t xml:space="preserve">. </w:t>
      </w:r>
      <w:r w:rsidR="00CD7174">
        <w:t>S</w:t>
      </w:r>
      <w:r w:rsidR="00EB286B">
        <w:t>trong</w:t>
      </w:r>
      <w:r w:rsidR="006F4FF3">
        <w:t xml:space="preserve"> </w:t>
      </w:r>
      <w:r>
        <w:t>i</w:t>
      </w:r>
      <w:r w:rsidR="001E7353">
        <w:t xml:space="preserve">nternational student demand is being </w:t>
      </w:r>
      <w:r w:rsidR="004D7D86">
        <w:t>restrained</w:t>
      </w:r>
      <w:r w:rsidR="001E7353">
        <w:t xml:space="preserve"> by higher offshore visa refusal rates than before the pandemic</w:t>
      </w:r>
      <w:r w:rsidR="008162CE">
        <w:t xml:space="preserve"> </w:t>
      </w:r>
      <w:r w:rsidR="0064474E">
        <w:t>with</w:t>
      </w:r>
      <w:r w:rsidR="0064474E" w:rsidRPr="00A55578">
        <w:t xml:space="preserve"> greater scrutiny </w:t>
      </w:r>
      <w:r w:rsidR="0064474E">
        <w:t xml:space="preserve">of </w:t>
      </w:r>
      <w:r w:rsidR="008162CE" w:rsidRPr="00A55578">
        <w:t>applications</w:t>
      </w:r>
      <w:r w:rsidR="001E7353">
        <w:t>.</w:t>
      </w:r>
    </w:p>
    <w:p w14:paraId="00275881" w14:textId="5D1B3E80" w:rsidR="00F07732" w:rsidRDefault="00F07732" w:rsidP="00054E63">
      <w:r>
        <w:t>Australians</w:t>
      </w:r>
      <w:r w:rsidDel="00BD2AE3">
        <w:t xml:space="preserve"> </w:t>
      </w:r>
      <w:r>
        <w:t>benefit from migration</w:t>
      </w:r>
      <w:r w:rsidR="003F0D94">
        <w:t xml:space="preserve"> </w:t>
      </w:r>
      <w:r w:rsidR="00C54460">
        <w:t xml:space="preserve">through </w:t>
      </w:r>
      <w:r w:rsidR="00145A92">
        <w:t>h</w:t>
      </w:r>
      <w:r>
        <w:t xml:space="preserve">igher </w:t>
      </w:r>
      <w:r w:rsidDel="003C663F">
        <w:t>ec</w:t>
      </w:r>
      <w:r>
        <w:t>onomic growth</w:t>
      </w:r>
      <w:r w:rsidR="00C54460">
        <w:t xml:space="preserve">, more </w:t>
      </w:r>
      <w:r>
        <w:t>job creation</w:t>
      </w:r>
      <w:r w:rsidR="00BE723C">
        <w:t xml:space="preserve">, improved </w:t>
      </w:r>
      <w:proofErr w:type="gramStart"/>
      <w:r w:rsidR="00BE723C">
        <w:t>wages</w:t>
      </w:r>
      <w:proofErr w:type="gramEnd"/>
      <w:r w:rsidR="00BE723C">
        <w:t xml:space="preserve"> and productivity.</w:t>
      </w:r>
      <w:r w:rsidR="00474918">
        <w:t xml:space="preserve"> </w:t>
      </w:r>
      <w:r w:rsidR="007A15F8">
        <w:t xml:space="preserve">There can also be fiscal benefits to migration. However, </w:t>
      </w:r>
      <w:r w:rsidR="006D014E">
        <w:t xml:space="preserve">these need to be weighed </w:t>
      </w:r>
      <w:r w:rsidR="00E444B9">
        <w:t>against</w:t>
      </w:r>
      <w:r w:rsidR="00675A99">
        <w:t xml:space="preserve"> pressures such as </w:t>
      </w:r>
      <w:r w:rsidR="000B0400">
        <w:t xml:space="preserve">those on </w:t>
      </w:r>
      <w:r w:rsidR="00675A99">
        <w:t>housing, th</w:t>
      </w:r>
      <w:r w:rsidR="00BD26D9">
        <w:t>r</w:t>
      </w:r>
      <w:r w:rsidR="00675A99">
        <w:t>ough</w:t>
      </w:r>
      <w:r w:rsidR="008C7723">
        <w:t xml:space="preserve"> a </w:t>
      </w:r>
      <w:r w:rsidR="00366F78">
        <w:t>well</w:t>
      </w:r>
      <w:r w:rsidR="00050D25">
        <w:noBreakHyphen/>
      </w:r>
      <w:r w:rsidR="00366F78">
        <w:t xml:space="preserve">calibrated </w:t>
      </w:r>
      <w:r w:rsidR="008C7723">
        <w:t>migration system.</w:t>
      </w:r>
    </w:p>
    <w:p w14:paraId="4D6E8FD6" w14:textId="0190C9D3" w:rsidR="001E7353" w:rsidRDefault="00CC188C" w:rsidP="00054E63">
      <w:r>
        <w:t>Australia</w:t>
      </w:r>
      <w:r w:rsidR="00050D25">
        <w:t>’</w:t>
      </w:r>
      <w:r>
        <w:t>s fertility</w:t>
      </w:r>
      <w:r w:rsidR="00F303AC">
        <w:t xml:space="preserve"> rate</w:t>
      </w:r>
      <w:r>
        <w:t xml:space="preserve"> has </w:t>
      </w:r>
      <w:r w:rsidR="006E1D9F">
        <w:t xml:space="preserve">been declining since the </w:t>
      </w:r>
      <w:r w:rsidR="0073746F">
        <w:t>early</w:t>
      </w:r>
      <w:r w:rsidR="006E1D9F">
        <w:t xml:space="preserve"> </w:t>
      </w:r>
      <w:r w:rsidR="001754EB">
        <w:t>19</w:t>
      </w:r>
      <w:r w:rsidR="00522C71">
        <w:t>6</w:t>
      </w:r>
      <w:r w:rsidR="001754EB">
        <w:t>0s</w:t>
      </w:r>
      <w:r w:rsidR="00B96C18">
        <w:t xml:space="preserve">, a pattern seen </w:t>
      </w:r>
      <w:r w:rsidR="00242952">
        <w:t xml:space="preserve">across </w:t>
      </w:r>
      <w:r w:rsidR="00B96C18">
        <w:t>advanced economies</w:t>
      </w:r>
      <w:r w:rsidR="006E1D9F">
        <w:t xml:space="preserve">. </w:t>
      </w:r>
      <w:r w:rsidR="00C40502">
        <w:t>T</w:t>
      </w:r>
      <w:r w:rsidR="0085010B">
        <w:t>he</w:t>
      </w:r>
      <w:r w:rsidR="001E7353">
        <w:t xml:space="preserve"> fertility rate is </w:t>
      </w:r>
      <w:r w:rsidR="00D92CE6">
        <w:t>ex</w:t>
      </w:r>
      <w:r w:rsidR="0055290A">
        <w:t>p</w:t>
      </w:r>
      <w:r w:rsidR="00D92CE6">
        <w:t xml:space="preserve">ected to </w:t>
      </w:r>
      <w:r w:rsidR="001E7353">
        <w:t>remain at record lows in 2023</w:t>
      </w:r>
      <w:r w:rsidR="00CC0893">
        <w:t>–</w:t>
      </w:r>
      <w:r w:rsidR="00155FB4">
        <w:t>‍</w:t>
      </w:r>
      <w:r w:rsidR="001E7353">
        <w:t>24 and 2024</w:t>
      </w:r>
      <w:r w:rsidR="00CC0893">
        <w:t>–</w:t>
      </w:r>
      <w:r w:rsidR="001E7353">
        <w:t>25</w:t>
      </w:r>
      <w:r w:rsidR="00C66F0A">
        <w:t>,</w:t>
      </w:r>
      <w:r w:rsidR="00D92CE6">
        <w:t xml:space="preserve"> due to</w:t>
      </w:r>
      <w:r w:rsidR="00C40502">
        <w:t xml:space="preserve"> </w:t>
      </w:r>
      <w:r w:rsidR="0055290A">
        <w:t>s</w:t>
      </w:r>
      <w:r w:rsidR="00D92CE6">
        <w:t>hort</w:t>
      </w:r>
      <w:r w:rsidR="00DF6E9F">
        <w:t>er</w:t>
      </w:r>
      <w:r w:rsidR="00050D25">
        <w:noBreakHyphen/>
      </w:r>
      <w:r w:rsidR="00D92CE6">
        <w:t>term factors</w:t>
      </w:r>
      <w:r w:rsidR="00936D4F">
        <w:t>,</w:t>
      </w:r>
      <w:r w:rsidR="009B58C2">
        <w:t xml:space="preserve"> </w:t>
      </w:r>
      <w:r w:rsidR="00936D4F">
        <w:t xml:space="preserve">as well as </w:t>
      </w:r>
      <w:r w:rsidR="00F300A5">
        <w:t>the</w:t>
      </w:r>
      <w:r w:rsidR="00936D4F">
        <w:t xml:space="preserve"> </w:t>
      </w:r>
      <w:r w:rsidR="00075CD3">
        <w:t>longer</w:t>
      </w:r>
      <w:r w:rsidR="00050D25">
        <w:noBreakHyphen/>
      </w:r>
      <w:r w:rsidR="00936D4F">
        <w:t>term</w:t>
      </w:r>
      <w:r w:rsidR="00075CD3">
        <w:t xml:space="preserve"> </w:t>
      </w:r>
      <w:r w:rsidR="00C40502">
        <w:t xml:space="preserve">social and economic changes </w:t>
      </w:r>
      <w:r w:rsidR="00936D4F">
        <w:t xml:space="preserve">behind the </w:t>
      </w:r>
      <w:r w:rsidR="009B58C2">
        <w:t>multi</w:t>
      </w:r>
      <w:r w:rsidR="00050D25">
        <w:noBreakHyphen/>
      </w:r>
      <w:r w:rsidR="009B58C2">
        <w:t xml:space="preserve">decade </w:t>
      </w:r>
      <w:r w:rsidR="00077830">
        <w:t>decline in</w:t>
      </w:r>
      <w:r w:rsidR="009B58C2">
        <w:t xml:space="preserve"> </w:t>
      </w:r>
      <w:r w:rsidR="00F26199">
        <w:t>fertility</w:t>
      </w:r>
      <w:r w:rsidR="001E7353">
        <w:t xml:space="preserve">. </w:t>
      </w:r>
      <w:r w:rsidR="00F303AC">
        <w:t>The f</w:t>
      </w:r>
      <w:r w:rsidR="001E7353">
        <w:t>ertility</w:t>
      </w:r>
      <w:r w:rsidR="00F303AC">
        <w:t xml:space="preserve"> rate</w:t>
      </w:r>
      <w:r w:rsidR="001E7353">
        <w:t xml:space="preserve"> is projected to gradually return to</w:t>
      </w:r>
      <w:r w:rsidR="007B6BC6">
        <w:t>,</w:t>
      </w:r>
      <w:r w:rsidR="001E7353">
        <w:t xml:space="preserve"> and stabilise at</w:t>
      </w:r>
      <w:r w:rsidR="007B6BC6">
        <w:t>,</w:t>
      </w:r>
      <w:r w:rsidR="001E7353">
        <w:t xml:space="preserve"> 1.62 </w:t>
      </w:r>
      <w:r w:rsidR="0085010B">
        <w:t>birth</w:t>
      </w:r>
      <w:r w:rsidR="00E64EF8">
        <w:t>s</w:t>
      </w:r>
      <w:r w:rsidR="0085010B">
        <w:t xml:space="preserve"> per woman </w:t>
      </w:r>
      <w:r w:rsidR="001E7353">
        <w:t>by 2031</w:t>
      </w:r>
      <w:r w:rsidR="00B6510B">
        <w:t>–</w:t>
      </w:r>
      <w:r w:rsidR="001E7353">
        <w:t>32.</w:t>
      </w:r>
    </w:p>
    <w:p w14:paraId="2590EBEC" w14:textId="51649A0C" w:rsidR="001E7353" w:rsidRDefault="00087EE7" w:rsidP="00054E63">
      <w:r>
        <w:t>COVID</w:t>
      </w:r>
      <w:r w:rsidR="00050D25">
        <w:noBreakHyphen/>
      </w:r>
      <w:r>
        <w:t xml:space="preserve">19 </w:t>
      </w:r>
      <w:r w:rsidR="00594CFE">
        <w:t>continues</w:t>
      </w:r>
      <w:r>
        <w:t xml:space="preserve"> </w:t>
      </w:r>
      <w:r w:rsidR="001E7353">
        <w:t xml:space="preserve">to </w:t>
      </w:r>
      <w:r w:rsidR="00535509">
        <w:t xml:space="preserve">contribute to </w:t>
      </w:r>
      <w:r w:rsidR="00594CFE">
        <w:t xml:space="preserve">higher </w:t>
      </w:r>
      <w:r w:rsidR="00535509">
        <w:t>mortality</w:t>
      </w:r>
      <w:r w:rsidR="00536220">
        <w:t xml:space="preserve">, accounting for </w:t>
      </w:r>
      <w:r w:rsidR="001E7353">
        <w:t>2.</w:t>
      </w:r>
      <w:r w:rsidR="00DD472B">
        <w:t>2</w:t>
      </w:r>
      <w:r w:rsidR="00FF207F">
        <w:t> per cent</w:t>
      </w:r>
      <w:r w:rsidR="001E7353">
        <w:t xml:space="preserve"> of deaths in 2023</w:t>
      </w:r>
      <w:r w:rsidR="005175A4">
        <w:t>–</w:t>
      </w:r>
      <w:r w:rsidR="001E7353">
        <w:t>24</w:t>
      </w:r>
      <w:r w:rsidR="004E7308">
        <w:t>.</w:t>
      </w:r>
      <w:r w:rsidR="00582BC6" w:rsidDel="00850C72">
        <w:t xml:space="preserve"> </w:t>
      </w:r>
      <w:r w:rsidR="00850C72">
        <w:t xml:space="preserve">This </w:t>
      </w:r>
      <w:r w:rsidR="00582BC6">
        <w:t>was</w:t>
      </w:r>
      <w:r w:rsidR="001E7353">
        <w:t xml:space="preserve"> </w:t>
      </w:r>
      <w:r w:rsidR="00171324">
        <w:t>down from</w:t>
      </w:r>
      <w:r w:rsidR="001E7353">
        <w:t xml:space="preserve"> 4.1</w:t>
      </w:r>
      <w:r w:rsidR="00FF207F">
        <w:t> per cent</w:t>
      </w:r>
      <w:r w:rsidR="001E7353">
        <w:t xml:space="preserve"> in 2022</w:t>
      </w:r>
      <w:r w:rsidR="005175A4">
        <w:t>–</w:t>
      </w:r>
      <w:r w:rsidR="001E7353">
        <w:t xml:space="preserve">23. The effect of </w:t>
      </w:r>
      <w:r w:rsidR="005E5B2F">
        <w:t>COVID</w:t>
      </w:r>
      <w:r w:rsidR="00050D25">
        <w:noBreakHyphen/>
      </w:r>
      <w:r w:rsidR="005E5B2F">
        <w:t xml:space="preserve">19 </w:t>
      </w:r>
      <w:r w:rsidR="001E7353">
        <w:t xml:space="preserve">on mortality is projected to </w:t>
      </w:r>
      <w:r w:rsidR="00BD2AE3">
        <w:t xml:space="preserve">continue </w:t>
      </w:r>
      <w:r w:rsidR="001E7353">
        <w:t>declin</w:t>
      </w:r>
      <w:r w:rsidR="00215F35">
        <w:t>ing</w:t>
      </w:r>
      <w:r w:rsidR="001E7353">
        <w:t xml:space="preserve"> over the next few years</w:t>
      </w:r>
      <w:r w:rsidR="00535509">
        <w:t xml:space="preserve">, </w:t>
      </w:r>
      <w:r w:rsidR="00845A6B">
        <w:t xml:space="preserve">with </w:t>
      </w:r>
      <w:r w:rsidR="00535509">
        <w:t>m</w:t>
      </w:r>
      <w:r w:rsidR="001E7353">
        <w:t>ortality rates return</w:t>
      </w:r>
      <w:r w:rsidR="00845A6B">
        <w:t>ing</w:t>
      </w:r>
      <w:r w:rsidR="001E7353">
        <w:t xml:space="preserve"> to pre</w:t>
      </w:r>
      <w:r w:rsidR="00050D25">
        <w:noBreakHyphen/>
      </w:r>
      <w:r w:rsidR="001E7353">
        <w:t>pandemic trends</w:t>
      </w:r>
      <w:r w:rsidR="00845A6B">
        <w:t xml:space="preserve"> from </w:t>
      </w:r>
      <w:r w:rsidR="008E2D8D">
        <w:t>2028</w:t>
      </w:r>
      <w:r w:rsidR="00AF38FB">
        <w:t>–</w:t>
      </w:r>
      <w:r w:rsidR="008E2D8D">
        <w:t>29</w:t>
      </w:r>
      <w:r w:rsidR="00A2556A">
        <w:t xml:space="preserve"> onwards</w:t>
      </w:r>
      <w:r w:rsidR="001E7353" w:rsidRPr="000A023D">
        <w:t>.</w:t>
      </w:r>
    </w:p>
    <w:p w14:paraId="43B774C8" w14:textId="095AFF9F" w:rsidR="001E7353" w:rsidRDefault="00242952" w:rsidP="00054E63">
      <w:r>
        <w:t>The s</w:t>
      </w:r>
      <w:r w:rsidR="001E7353">
        <w:t xml:space="preserve">tates and territories are projected to gradually return to </w:t>
      </w:r>
      <w:r w:rsidR="00B8033B">
        <w:t xml:space="preserve">their </w:t>
      </w:r>
      <w:r w:rsidR="00E4150A">
        <w:t>pre</w:t>
      </w:r>
      <w:r w:rsidR="00050D25">
        <w:noBreakHyphen/>
      </w:r>
      <w:r w:rsidR="001B0598">
        <w:t xml:space="preserve">pandemic </w:t>
      </w:r>
      <w:r w:rsidR="001E7353">
        <w:t>population growth patterns. Capital cities and regional areas are likewise projected to return to familiar patterns of population growth in the coming years</w:t>
      </w:r>
      <w:r w:rsidR="00845A6B">
        <w:t xml:space="preserve">, reaching </w:t>
      </w:r>
      <w:r w:rsidR="001E7353">
        <w:t>their long</w:t>
      </w:r>
      <w:r w:rsidR="00050D25">
        <w:noBreakHyphen/>
      </w:r>
      <w:r w:rsidR="00E407F9">
        <w:t xml:space="preserve">term </w:t>
      </w:r>
      <w:r w:rsidR="001E7353">
        <w:t>population trends by 2026–27.</w:t>
      </w:r>
    </w:p>
    <w:p w14:paraId="5DCCA0F7" w14:textId="17C1434C" w:rsidR="002042D7" w:rsidRDefault="00C12AF6" w:rsidP="00054E63">
      <w:r w:rsidRPr="00C12AF6">
        <w:t xml:space="preserve">Western Australia and Victoria are projected to be the fastest growing </w:t>
      </w:r>
      <w:r w:rsidR="004E15CB">
        <w:t>states</w:t>
      </w:r>
      <w:r w:rsidR="00484EA9">
        <w:t xml:space="preserve">, while </w:t>
      </w:r>
      <w:r w:rsidRPr="00C12AF6">
        <w:t xml:space="preserve">Tasmania and South Australia are projected to be the </w:t>
      </w:r>
      <w:r w:rsidR="00192957">
        <w:t>s</w:t>
      </w:r>
      <w:r w:rsidRPr="00C12AF6">
        <w:t xml:space="preserve">lowest. The contribution </w:t>
      </w:r>
      <w:r w:rsidR="005A3DF8">
        <w:t xml:space="preserve">of natural increase </w:t>
      </w:r>
      <w:r w:rsidR="00707079">
        <w:t xml:space="preserve">(births exceeding deaths) </w:t>
      </w:r>
      <w:r w:rsidRPr="00C12AF6">
        <w:t xml:space="preserve">to </w:t>
      </w:r>
      <w:r w:rsidR="00BD6022">
        <w:t xml:space="preserve">population </w:t>
      </w:r>
      <w:r w:rsidRPr="00C12AF6">
        <w:t>growth is projected to decline in all jurisdictions as the population ages</w:t>
      </w:r>
      <w:r w:rsidR="00BD6022">
        <w:t>.</w:t>
      </w:r>
      <w:r w:rsidR="00BD6022" w:rsidRPr="00C12AF6">
        <w:t xml:space="preserve"> </w:t>
      </w:r>
      <w:r w:rsidR="00BD6022">
        <w:t>N</w:t>
      </w:r>
      <w:r w:rsidR="0084453E">
        <w:t xml:space="preserve">atural decrease </w:t>
      </w:r>
      <w:r w:rsidR="00E25D54">
        <w:t xml:space="preserve">(deaths exceeding births) </w:t>
      </w:r>
      <w:r w:rsidR="00FB2684">
        <w:t xml:space="preserve">is </w:t>
      </w:r>
      <w:r w:rsidR="009B2F69">
        <w:t>expected</w:t>
      </w:r>
      <w:r w:rsidRPr="00C12AF6">
        <w:t xml:space="preserve"> </w:t>
      </w:r>
      <w:r w:rsidR="00101BEE">
        <w:t xml:space="preserve">outside </w:t>
      </w:r>
      <w:r w:rsidR="00BD26D9">
        <w:t xml:space="preserve">the </w:t>
      </w:r>
      <w:r w:rsidR="00101BEE">
        <w:t xml:space="preserve">capital cities </w:t>
      </w:r>
      <w:r w:rsidRPr="00C12AF6">
        <w:t xml:space="preserve">in Victoria, South </w:t>
      </w:r>
      <w:proofErr w:type="gramStart"/>
      <w:r w:rsidRPr="00C12AF6">
        <w:t>Australia</w:t>
      </w:r>
      <w:proofErr w:type="gramEnd"/>
      <w:r w:rsidRPr="00C12AF6">
        <w:t xml:space="preserve"> and Tasmania.</w:t>
      </w:r>
    </w:p>
    <w:p w14:paraId="6A2D71C1" w14:textId="48605A31" w:rsidR="002042D7" w:rsidRDefault="00905819" w:rsidP="00054E63">
      <w:r w:rsidRPr="00C12AF6">
        <w:t>The combined population of capital cities is projected to continue to grow nearly twice as fast as rest</w:t>
      </w:r>
      <w:r w:rsidR="00050D25">
        <w:noBreakHyphen/>
      </w:r>
      <w:r w:rsidR="00A84082" w:rsidRPr="00C12AF6">
        <w:t>of</w:t>
      </w:r>
      <w:r w:rsidR="00050D25">
        <w:noBreakHyphen/>
      </w:r>
      <w:r w:rsidR="00A84082" w:rsidRPr="00C12AF6">
        <w:t xml:space="preserve">state areas </w:t>
      </w:r>
      <w:r w:rsidR="00A84082">
        <w:t>through to 2034–</w:t>
      </w:r>
      <w:r w:rsidR="00A557B3">
        <w:t>35</w:t>
      </w:r>
      <w:r w:rsidRPr="00C12AF6">
        <w:t xml:space="preserve">. </w:t>
      </w:r>
      <w:r w:rsidR="009B0138">
        <w:t xml:space="preserve">Greater </w:t>
      </w:r>
      <w:r w:rsidR="002042D7" w:rsidRPr="00943396">
        <w:rPr>
          <w:rFonts w:ascii="Calibri" w:eastAsia="SimSun" w:hAnsi="Calibri" w:cs="Times New Roman"/>
        </w:rPr>
        <w:t xml:space="preserve">Brisbane is projected </w:t>
      </w:r>
      <w:r w:rsidR="009B2F69">
        <w:rPr>
          <w:rFonts w:ascii="Calibri" w:eastAsia="SimSun" w:hAnsi="Calibri" w:cs="Times New Roman"/>
        </w:rPr>
        <w:t xml:space="preserve">to </w:t>
      </w:r>
      <w:r w:rsidR="00AE4383">
        <w:rPr>
          <w:rFonts w:ascii="Calibri" w:eastAsia="SimSun" w:hAnsi="Calibri" w:cs="Times New Roman"/>
        </w:rPr>
        <w:t>be home to</w:t>
      </w:r>
      <w:r w:rsidR="002042D7">
        <w:rPr>
          <w:rFonts w:ascii="Calibri" w:eastAsia="SimSun" w:hAnsi="Calibri" w:cs="Times New Roman"/>
        </w:rPr>
        <w:t xml:space="preserve"> over half </w:t>
      </w:r>
      <w:r w:rsidR="009B2F69">
        <w:rPr>
          <w:rFonts w:ascii="Calibri" w:eastAsia="SimSun" w:hAnsi="Calibri" w:cs="Times New Roman"/>
        </w:rPr>
        <w:t>Queensland</w:t>
      </w:r>
      <w:r w:rsidR="00050D25">
        <w:rPr>
          <w:rFonts w:ascii="Calibri" w:eastAsia="SimSun" w:hAnsi="Calibri" w:cs="Times New Roman"/>
        </w:rPr>
        <w:t>’</w:t>
      </w:r>
      <w:r w:rsidR="009B2F69">
        <w:rPr>
          <w:rFonts w:ascii="Calibri" w:eastAsia="SimSun" w:hAnsi="Calibri" w:cs="Times New Roman"/>
        </w:rPr>
        <w:t>s</w:t>
      </w:r>
      <w:r w:rsidR="002042D7">
        <w:rPr>
          <w:rFonts w:ascii="Calibri" w:eastAsia="SimSun" w:hAnsi="Calibri" w:cs="Times New Roman"/>
        </w:rPr>
        <w:t xml:space="preserve"> population from </w:t>
      </w:r>
      <w:r w:rsidR="002042D7" w:rsidRPr="00943396">
        <w:rPr>
          <w:rFonts w:ascii="Calibri" w:eastAsia="SimSun" w:hAnsi="Calibri" w:cs="Times New Roman"/>
        </w:rPr>
        <w:t>2025–26</w:t>
      </w:r>
      <w:r w:rsidR="002042D7">
        <w:rPr>
          <w:rFonts w:ascii="Calibri" w:eastAsia="SimSun" w:hAnsi="Calibri" w:cs="Times New Roman"/>
        </w:rPr>
        <w:t xml:space="preserve"> </w:t>
      </w:r>
      <w:r w:rsidR="00FB2684">
        <w:rPr>
          <w:rFonts w:ascii="Calibri" w:eastAsia="SimSun" w:hAnsi="Calibri" w:cs="Times New Roman"/>
        </w:rPr>
        <w:t>for</w:t>
      </w:r>
      <w:r w:rsidR="002042D7" w:rsidRPr="00943396">
        <w:rPr>
          <w:rFonts w:ascii="Calibri" w:eastAsia="SimSun" w:hAnsi="Calibri" w:cs="Times New Roman"/>
        </w:rPr>
        <w:t xml:space="preserve"> the first time since 1978</w:t>
      </w:r>
      <w:r w:rsidR="002042D7">
        <w:rPr>
          <w:rFonts w:ascii="Calibri" w:eastAsia="SimSun" w:hAnsi="Calibri" w:cs="Times New Roman"/>
        </w:rPr>
        <w:t>.</w:t>
      </w:r>
      <w:r w:rsidR="00522F7B">
        <w:rPr>
          <w:rFonts w:ascii="Calibri" w:eastAsia="SimSun" w:hAnsi="Calibri" w:cs="Times New Roman"/>
        </w:rPr>
        <w:t xml:space="preserve"> </w:t>
      </w:r>
      <w:r w:rsidR="00601B95">
        <w:rPr>
          <w:rFonts w:ascii="Calibri" w:eastAsia="SimSun" w:hAnsi="Calibri" w:cs="Times New Roman"/>
        </w:rPr>
        <w:t>Having reassessed state</w:t>
      </w:r>
      <w:r w:rsidR="00050D25">
        <w:rPr>
          <w:rFonts w:ascii="Calibri" w:eastAsia="SimSun" w:hAnsi="Calibri" w:cs="Times New Roman"/>
        </w:rPr>
        <w:noBreakHyphen/>
      </w:r>
      <w:r w:rsidR="00601B95">
        <w:rPr>
          <w:rFonts w:ascii="Calibri" w:eastAsia="SimSun" w:hAnsi="Calibri" w:cs="Times New Roman"/>
        </w:rPr>
        <w:t>level overseas migration</w:t>
      </w:r>
      <w:r w:rsidR="006254D3">
        <w:rPr>
          <w:rFonts w:ascii="Calibri" w:eastAsia="SimSun" w:hAnsi="Calibri" w:cs="Times New Roman"/>
        </w:rPr>
        <w:t xml:space="preserve"> patterns</w:t>
      </w:r>
      <w:r w:rsidR="009D15F0">
        <w:rPr>
          <w:rFonts w:ascii="Calibri" w:eastAsia="SimSun" w:hAnsi="Calibri" w:cs="Times New Roman"/>
        </w:rPr>
        <w:t>, the Centre no longer project</w:t>
      </w:r>
      <w:r w:rsidR="0029130C">
        <w:rPr>
          <w:rFonts w:ascii="Calibri" w:eastAsia="SimSun" w:hAnsi="Calibri" w:cs="Times New Roman"/>
        </w:rPr>
        <w:t>s</w:t>
      </w:r>
      <w:r w:rsidR="009D15F0">
        <w:rPr>
          <w:rFonts w:ascii="Calibri" w:eastAsia="SimSun" w:hAnsi="Calibri" w:cs="Times New Roman"/>
        </w:rPr>
        <w:t xml:space="preserve"> </w:t>
      </w:r>
      <w:r w:rsidR="007A7FD1">
        <w:rPr>
          <w:rFonts w:ascii="Calibri" w:eastAsia="SimSun" w:hAnsi="Calibri" w:cs="Times New Roman"/>
        </w:rPr>
        <w:t>G</w:t>
      </w:r>
      <w:r w:rsidR="009B0138">
        <w:rPr>
          <w:rFonts w:ascii="Calibri" w:eastAsia="SimSun" w:hAnsi="Calibri" w:cs="Times New Roman"/>
        </w:rPr>
        <w:t xml:space="preserve">reater </w:t>
      </w:r>
      <w:r w:rsidR="00522F7B">
        <w:rPr>
          <w:rFonts w:ascii="Calibri" w:eastAsia="SimSun" w:hAnsi="Calibri" w:cs="Times New Roman"/>
        </w:rPr>
        <w:t>Melbourne</w:t>
      </w:r>
      <w:r w:rsidR="00050D25">
        <w:rPr>
          <w:rFonts w:ascii="Calibri" w:eastAsia="SimSun" w:hAnsi="Calibri" w:cs="Times New Roman"/>
        </w:rPr>
        <w:t>’</w:t>
      </w:r>
      <w:r w:rsidR="00522F7B">
        <w:rPr>
          <w:rFonts w:ascii="Calibri" w:eastAsia="SimSun" w:hAnsi="Calibri" w:cs="Times New Roman"/>
        </w:rPr>
        <w:t xml:space="preserve">s population </w:t>
      </w:r>
      <w:r w:rsidR="0035579E">
        <w:rPr>
          <w:rFonts w:ascii="Calibri" w:eastAsia="SimSun" w:hAnsi="Calibri" w:cs="Times New Roman"/>
        </w:rPr>
        <w:t xml:space="preserve">to </w:t>
      </w:r>
      <w:r>
        <w:rPr>
          <w:rFonts w:ascii="Calibri" w:eastAsia="SimSun" w:hAnsi="Calibri" w:cs="Times New Roman"/>
        </w:rPr>
        <w:t xml:space="preserve">overtake </w:t>
      </w:r>
      <w:r w:rsidR="007A7FD1">
        <w:rPr>
          <w:rFonts w:ascii="Calibri" w:eastAsia="SimSun" w:hAnsi="Calibri" w:cs="Times New Roman"/>
        </w:rPr>
        <w:t xml:space="preserve">Greater </w:t>
      </w:r>
      <w:r>
        <w:rPr>
          <w:rFonts w:ascii="Calibri" w:eastAsia="SimSun" w:hAnsi="Calibri" w:cs="Times New Roman"/>
        </w:rPr>
        <w:t>Sydney</w:t>
      </w:r>
      <w:r w:rsidR="00050D25">
        <w:rPr>
          <w:rFonts w:ascii="Calibri" w:eastAsia="SimSun" w:hAnsi="Calibri" w:cs="Times New Roman"/>
        </w:rPr>
        <w:t>’</w:t>
      </w:r>
      <w:r>
        <w:rPr>
          <w:rFonts w:ascii="Calibri" w:eastAsia="SimSun" w:hAnsi="Calibri" w:cs="Times New Roman"/>
        </w:rPr>
        <w:t>s by</w:t>
      </w:r>
      <w:r w:rsidR="0035579E">
        <w:rPr>
          <w:rFonts w:ascii="Calibri" w:eastAsia="SimSun" w:hAnsi="Calibri" w:cs="Times New Roman"/>
        </w:rPr>
        <w:t xml:space="preserve"> 2034</w:t>
      </w:r>
      <w:r w:rsidR="00AF38FB">
        <w:t>–</w:t>
      </w:r>
      <w:r w:rsidR="0035579E" w:rsidDel="00536624">
        <w:rPr>
          <w:rFonts w:ascii="Calibri" w:eastAsia="SimSun" w:hAnsi="Calibri" w:cs="Times New Roman"/>
        </w:rPr>
        <w:t>35</w:t>
      </w:r>
      <w:r w:rsidR="00E238EB">
        <w:rPr>
          <w:rFonts w:ascii="Calibri" w:eastAsia="SimSun" w:hAnsi="Calibri" w:cs="Times New Roman"/>
        </w:rPr>
        <w:t>.</w:t>
      </w:r>
    </w:p>
    <w:p w14:paraId="016997C4" w14:textId="7F25EB5A" w:rsidR="00BC47CA" w:rsidRDefault="001E7353" w:rsidP="00054E63">
      <w:r>
        <w:t>Ageing will continue to present a demographic challenge, with the median age projected to increase from 38.3</w:t>
      </w:r>
      <w:r w:rsidR="008B7E9E">
        <w:t> </w:t>
      </w:r>
      <w:r>
        <w:t>years in 2022–23 to 40.</w:t>
      </w:r>
      <w:r w:rsidR="00E81F80">
        <w:t>0</w:t>
      </w:r>
      <w:r>
        <w:t xml:space="preserve"> years by 2034–35</w:t>
      </w:r>
      <w:r w:rsidR="00E15DD2">
        <w:t xml:space="preserve">. </w:t>
      </w:r>
      <w:r w:rsidR="00196D70">
        <w:t>T</w:t>
      </w:r>
      <w:r w:rsidR="00E15DD2">
        <w:t>he median age was</w:t>
      </w:r>
      <w:r w:rsidR="009C1249">
        <w:t xml:space="preserve"> 36.1 </w:t>
      </w:r>
      <w:r w:rsidR="00E15DD2">
        <w:t>years</w:t>
      </w:r>
      <w:r w:rsidR="009C1249">
        <w:t xml:space="preserve"> just 20 years ago</w:t>
      </w:r>
      <w:r>
        <w:t>.</w:t>
      </w:r>
    </w:p>
    <w:p w14:paraId="00EA1AA8" w14:textId="58B7DBEC" w:rsidR="00796660" w:rsidRPr="00877EDE" w:rsidRDefault="001E7353" w:rsidP="00054E63">
      <w:r>
        <w:t xml:space="preserve">Tasmania </w:t>
      </w:r>
      <w:r w:rsidR="00CC43A8">
        <w:t xml:space="preserve">has </w:t>
      </w:r>
      <w:r w:rsidR="000B1BDF">
        <w:t xml:space="preserve">the </w:t>
      </w:r>
      <w:r w:rsidR="00F01D30">
        <w:t>highest median age</w:t>
      </w:r>
      <w:r w:rsidR="00CC43A8">
        <w:t xml:space="preserve">, </w:t>
      </w:r>
      <w:r w:rsidR="00503437">
        <w:t>which</w:t>
      </w:r>
      <w:r>
        <w:t xml:space="preserve"> is expected to increase by 4.4 years</w:t>
      </w:r>
      <w:r w:rsidR="00511D30">
        <w:t xml:space="preserve"> by 2034–35</w:t>
      </w:r>
      <w:r>
        <w:t>, compared to 1.4</w:t>
      </w:r>
      <w:r w:rsidR="0007115A">
        <w:t> </w:t>
      </w:r>
      <w:r>
        <w:t xml:space="preserve">years for New South Wales. </w:t>
      </w:r>
      <w:r w:rsidR="00371720">
        <w:t xml:space="preserve">The median age of </w:t>
      </w:r>
      <w:r w:rsidR="001D2F17">
        <w:t xml:space="preserve">people in </w:t>
      </w:r>
      <w:r w:rsidR="00371720">
        <w:t xml:space="preserve">capital cities </w:t>
      </w:r>
      <w:r w:rsidR="00752B25">
        <w:t>is expected to</w:t>
      </w:r>
      <w:r w:rsidR="00371720">
        <w:t xml:space="preserve"> increase by 1.</w:t>
      </w:r>
      <w:r w:rsidR="00854BB0">
        <w:t>4</w:t>
      </w:r>
      <w:r w:rsidR="00371720">
        <w:t xml:space="preserve"> years, compared to 2.</w:t>
      </w:r>
      <w:r w:rsidR="00371720" w:rsidDel="00854BB0">
        <w:t>7</w:t>
      </w:r>
      <w:r w:rsidR="00371720">
        <w:t xml:space="preserve"> years </w:t>
      </w:r>
      <w:r w:rsidR="00101BEE">
        <w:t>outside of capital cities</w:t>
      </w:r>
      <w:r w:rsidR="00D21C2C">
        <w:t>.</w:t>
      </w:r>
      <w:r w:rsidR="00652003">
        <w:t xml:space="preserve"> </w:t>
      </w:r>
      <w:r w:rsidR="00796660">
        <w:t xml:space="preserve">Hobart is projected </w:t>
      </w:r>
      <w:r w:rsidR="00863B91">
        <w:t>to have the largest increase in median age to 2034–35 of any capital city</w:t>
      </w:r>
      <w:r w:rsidR="008C0040">
        <w:t xml:space="preserve">, </w:t>
      </w:r>
      <w:r w:rsidR="00A90F7E">
        <w:t xml:space="preserve">having </w:t>
      </w:r>
      <w:r w:rsidR="00796660">
        <w:t>overtak</w:t>
      </w:r>
      <w:r w:rsidR="00A90F7E">
        <w:t>en</w:t>
      </w:r>
      <w:r w:rsidR="00796660">
        <w:t xml:space="preserve"> Adelaide as the capital city </w:t>
      </w:r>
      <w:r w:rsidR="00FE6064">
        <w:t>with the oldest population</w:t>
      </w:r>
      <w:r w:rsidR="00796660">
        <w:t xml:space="preserve"> </w:t>
      </w:r>
      <w:r w:rsidR="00A139AB">
        <w:t>in</w:t>
      </w:r>
      <w:r w:rsidR="00796660">
        <w:t xml:space="preserve"> 2023</w:t>
      </w:r>
      <w:r w:rsidR="001339E1">
        <w:t>‍</w:t>
      </w:r>
      <w:r w:rsidR="00AF38FB">
        <w:t>–</w:t>
      </w:r>
      <w:r w:rsidR="001339E1">
        <w:t>‍</w:t>
      </w:r>
      <w:r w:rsidR="00007A1B">
        <w:t>24</w:t>
      </w:r>
      <w:r w:rsidR="00796660">
        <w:t xml:space="preserve">. </w:t>
      </w:r>
    </w:p>
    <w:p w14:paraId="492A2E18" w14:textId="2E1048D7" w:rsidR="00E72D0E" w:rsidRDefault="00E72D0E" w:rsidP="004218BD">
      <w:pPr>
        <w:sectPr w:rsidR="00E72D0E" w:rsidSect="00054E63">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417" w:right="1417" w:bottom="1417" w:left="1417" w:header="709" w:footer="709" w:gutter="0"/>
          <w:pgNumType w:fmt="lowerRoman"/>
          <w:cols w:space="708"/>
          <w:docGrid w:linePitch="360"/>
        </w:sectPr>
      </w:pPr>
      <w:bookmarkStart w:id="45" w:name="_Toc151994716"/>
    </w:p>
    <w:p w14:paraId="04A7C716" w14:textId="77777777" w:rsidR="00D9259F" w:rsidRPr="00F00B08" w:rsidRDefault="00D9259F" w:rsidP="00F00B08">
      <w:pPr>
        <w:pStyle w:val="Heading1Numbered"/>
      </w:pPr>
      <w:bookmarkStart w:id="46" w:name="_Toc154047935"/>
      <w:bookmarkStart w:id="47" w:name="_Toc152920087"/>
      <w:bookmarkStart w:id="48" w:name="_Toc152920089"/>
      <w:bookmarkStart w:id="49" w:name="_Toc152920091"/>
      <w:bookmarkStart w:id="50" w:name="_Toc152920096"/>
      <w:bookmarkStart w:id="51" w:name="_Toc180584514"/>
      <w:bookmarkStart w:id="52" w:name="_Toc185333105"/>
      <w:bookmarkStart w:id="53" w:name="_Toc185346722"/>
      <w:bookmarkEnd w:id="45"/>
      <w:bookmarkEnd w:id="46"/>
      <w:bookmarkEnd w:id="47"/>
      <w:bookmarkEnd w:id="48"/>
      <w:bookmarkEnd w:id="49"/>
      <w:bookmarkEnd w:id="50"/>
      <w:r w:rsidRPr="00F00B08">
        <w:lastRenderedPageBreak/>
        <w:t>National population</w:t>
      </w:r>
      <w:bookmarkEnd w:id="51"/>
      <w:bookmarkEnd w:id="52"/>
      <w:bookmarkEnd w:id="53"/>
    </w:p>
    <w:p w14:paraId="338D57CE" w14:textId="0A2D1B29" w:rsidR="00D9259F" w:rsidRPr="00F00B08" w:rsidRDefault="00D9259F" w:rsidP="00F00B08">
      <w:pPr>
        <w:pStyle w:val="Heading2Numbered"/>
      </w:pPr>
      <w:bookmarkStart w:id="54" w:name="_Toc149846498"/>
      <w:bookmarkStart w:id="55" w:name="_Toc149846539"/>
      <w:bookmarkStart w:id="56" w:name="_Toc149846637"/>
      <w:bookmarkStart w:id="57" w:name="_Toc149847580"/>
      <w:bookmarkStart w:id="58" w:name="_Toc151994717"/>
      <w:bookmarkStart w:id="59" w:name="_Toc180584515"/>
      <w:bookmarkStart w:id="60" w:name="_Toc185333106"/>
      <w:bookmarkStart w:id="61" w:name="_Toc185346723"/>
      <w:r w:rsidRPr="00F00B08">
        <w:t>Overview</w:t>
      </w:r>
      <w:bookmarkEnd w:id="54"/>
      <w:bookmarkEnd w:id="55"/>
      <w:bookmarkEnd w:id="56"/>
      <w:bookmarkEnd w:id="57"/>
      <w:bookmarkEnd w:id="58"/>
      <w:bookmarkEnd w:id="59"/>
      <w:bookmarkEnd w:id="60"/>
      <w:bookmarkEnd w:id="61"/>
    </w:p>
    <w:p w14:paraId="506E583F" w14:textId="707B9172" w:rsidR="00D9259F" w:rsidRDefault="00D9259F" w:rsidP="00F00B08">
      <w:r w:rsidRPr="5C1A183D">
        <w:t xml:space="preserve">The Australian population </w:t>
      </w:r>
      <w:r w:rsidR="004750CC">
        <w:t>passed</w:t>
      </w:r>
      <w:r w:rsidR="004750CC" w:rsidRPr="5C1A183D">
        <w:t xml:space="preserve"> </w:t>
      </w:r>
      <w:r w:rsidRPr="5C1A183D">
        <w:t>27</w:t>
      </w:r>
      <w:r w:rsidR="00FF207F">
        <w:t> million</w:t>
      </w:r>
      <w:r w:rsidRPr="5C1A183D">
        <w:t xml:space="preserve"> people during the March quarter 2024</w:t>
      </w:r>
      <w:r>
        <w:t>,</w:t>
      </w:r>
      <w:r w:rsidRPr="5C1A183D">
        <w:t xml:space="preserve"> broadly in line with the Centre for Population</w:t>
      </w:r>
      <w:r w:rsidR="00050D25">
        <w:t>’</w:t>
      </w:r>
      <w:r w:rsidRPr="5C1A183D">
        <w:t>s forecasts in the 2023 Population Statement. The Centre expects the population to reach 28</w:t>
      </w:r>
      <w:r w:rsidR="00FF207F">
        <w:t> million</w:t>
      </w:r>
      <w:r w:rsidRPr="5C1A183D">
        <w:t xml:space="preserve"> by </w:t>
      </w:r>
      <w:r w:rsidRPr="00FE68EA">
        <w:t>2025–26</w:t>
      </w:r>
      <w:r w:rsidRPr="5C1A183D">
        <w:t>, 31.</w:t>
      </w:r>
      <w:r w:rsidR="000F2ED9">
        <w:t>3</w:t>
      </w:r>
      <w:r w:rsidR="00FF207F">
        <w:t> million</w:t>
      </w:r>
      <w:r w:rsidRPr="5C1A183D">
        <w:t xml:space="preserve"> by </w:t>
      </w:r>
      <w:r w:rsidRPr="00FE68EA">
        <w:t>2034–35</w:t>
      </w:r>
      <w:r w:rsidRPr="5C1A183D">
        <w:t xml:space="preserve"> and 4</w:t>
      </w:r>
      <w:r w:rsidR="000F2ED9">
        <w:t>1.2</w:t>
      </w:r>
      <w:r w:rsidR="00FF207F">
        <w:t> million</w:t>
      </w:r>
      <w:r w:rsidRPr="5C1A183D">
        <w:t xml:space="preserve"> by </w:t>
      </w:r>
      <w:r w:rsidRPr="00BB5544">
        <w:t>206</w:t>
      </w:r>
      <w:r>
        <w:t>4</w:t>
      </w:r>
      <w:r w:rsidRPr="00BB5544">
        <w:t>–6</w:t>
      </w:r>
      <w:r>
        <w:t>5 (</w:t>
      </w:r>
      <w:r>
        <w:fldChar w:fldCharType="begin"/>
      </w:r>
      <w:r>
        <w:instrText xml:space="preserve"> REF _Ref181178003 \r \h </w:instrText>
      </w:r>
      <w:r w:rsidR="00054E63">
        <w:instrText xml:space="preserve"> \* MERGEFORMAT </w:instrText>
      </w:r>
      <w:r>
        <w:fldChar w:fldCharType="separate"/>
      </w:r>
      <w:r w:rsidR="00050D25">
        <w:t>Table 1</w:t>
      </w:r>
      <w:r>
        <w:fldChar w:fldCharType="end"/>
      </w:r>
      <w:r>
        <w:t xml:space="preserve"> and </w:t>
      </w:r>
      <w:r>
        <w:fldChar w:fldCharType="begin"/>
      </w:r>
      <w:r>
        <w:instrText xml:space="preserve"> REF _Ref181178016 \r \h </w:instrText>
      </w:r>
      <w:r w:rsidR="00054E63">
        <w:instrText xml:space="preserve"> \* MERGEFORMAT </w:instrText>
      </w:r>
      <w:r>
        <w:fldChar w:fldCharType="separate"/>
      </w:r>
      <w:r w:rsidR="00050D25">
        <w:t>Table 2</w:t>
      </w:r>
      <w:r>
        <w:fldChar w:fldCharType="end"/>
      </w:r>
      <w:r>
        <w:t>)</w:t>
      </w:r>
      <w:r w:rsidRPr="5C1A183D">
        <w:t xml:space="preserve">. </w:t>
      </w:r>
    </w:p>
    <w:p w14:paraId="343C3DA2" w14:textId="248D0CCE" w:rsidR="00D9259F" w:rsidRDefault="00D9259F" w:rsidP="00F00B08">
      <w:r w:rsidRPr="5C1A183D">
        <w:t>The effects of the COVID</w:t>
      </w:r>
      <w:r w:rsidRPr="5C1A183D">
        <w:rPr>
          <w:rFonts w:ascii="Cambria Math" w:hAnsi="Cambria Math" w:cs="Cambria Math"/>
        </w:rPr>
        <w:t>‑</w:t>
      </w:r>
      <w:r w:rsidRPr="5C1A183D">
        <w:t>19 pandemic on Australia</w:t>
      </w:r>
      <w:r w:rsidR="00050D25">
        <w:rPr>
          <w:rFonts w:ascii="Calibri" w:hAnsi="Calibri" w:cs="Calibri"/>
        </w:rPr>
        <w:t>’</w:t>
      </w:r>
      <w:r w:rsidRPr="5C1A183D">
        <w:t xml:space="preserve">s population </w:t>
      </w:r>
      <w:r w:rsidR="0063348C">
        <w:t>continue</w:t>
      </w:r>
      <w:r w:rsidRPr="5C1A183D">
        <w:t xml:space="preserve">. Prior to the </w:t>
      </w:r>
      <w:r>
        <w:t>pandemic</w:t>
      </w:r>
      <w:r w:rsidRPr="5C1A183D">
        <w:t>, population growth was 1.5 per cent in 2018</w:t>
      </w:r>
      <w:r w:rsidRPr="00FE68EA">
        <w:t>–</w:t>
      </w:r>
      <w:r w:rsidRPr="5C1A183D">
        <w:t>19 (</w:t>
      </w:r>
      <w:r>
        <w:fldChar w:fldCharType="begin"/>
      </w:r>
      <w:r>
        <w:instrText xml:space="preserve"> REF _Ref181178154 \r \h </w:instrText>
      </w:r>
      <w:r w:rsidR="00054E63">
        <w:instrText xml:space="preserve"> \* MERGEFORMAT </w:instrText>
      </w:r>
      <w:r>
        <w:fldChar w:fldCharType="separate"/>
      </w:r>
      <w:r w:rsidR="00050D25">
        <w:t>Chart 1</w:t>
      </w:r>
      <w:r>
        <w:fldChar w:fldCharType="end"/>
      </w:r>
      <w:r w:rsidRPr="5C1A183D">
        <w:t xml:space="preserve">). </w:t>
      </w:r>
      <w:r>
        <w:t>Following</w:t>
      </w:r>
      <w:r w:rsidRPr="5C1A183D">
        <w:t xml:space="preserve"> the outbreak of COVID</w:t>
      </w:r>
      <w:r w:rsidRPr="5C1A183D">
        <w:rPr>
          <w:rFonts w:ascii="Cambria Math" w:hAnsi="Cambria Math" w:cs="Cambria Math"/>
        </w:rPr>
        <w:t>‑</w:t>
      </w:r>
      <w:r w:rsidRPr="5C1A183D">
        <w:t xml:space="preserve">19, </w:t>
      </w:r>
      <w:r>
        <w:t>i</w:t>
      </w:r>
      <w:r w:rsidRPr="5C1A183D">
        <w:t xml:space="preserve">nternational travel restrictions </w:t>
      </w:r>
      <w:r w:rsidR="009F3FC3">
        <w:t xml:space="preserve">caused a </w:t>
      </w:r>
      <w:r w:rsidR="009F3FC3" w:rsidRPr="5C1A183D">
        <w:t>net outflow of overseas migrants</w:t>
      </w:r>
      <w:r w:rsidR="009F3FC3" w:rsidRPr="009F3FC3">
        <w:t xml:space="preserve"> </w:t>
      </w:r>
      <w:r w:rsidR="009F3FC3" w:rsidRPr="5C1A183D">
        <w:t>in 2020</w:t>
      </w:r>
      <w:r w:rsidR="009F3FC3" w:rsidRPr="6A4CCA87">
        <w:t>–</w:t>
      </w:r>
      <w:r w:rsidR="009F3FC3" w:rsidRPr="5C1A183D">
        <w:t>21</w:t>
      </w:r>
      <w:r w:rsidR="009F3FC3">
        <w:t xml:space="preserve"> </w:t>
      </w:r>
      <w:r w:rsidR="00B526F4">
        <w:t>reducing</w:t>
      </w:r>
      <w:r>
        <w:t xml:space="preserve"> </w:t>
      </w:r>
      <w:r w:rsidRPr="5C1A183D">
        <w:t xml:space="preserve">growth to 0.1 </w:t>
      </w:r>
      <w:r w:rsidR="00FF207F">
        <w:t>per cent</w:t>
      </w:r>
      <w:r w:rsidR="009F3FC3">
        <w:t>,</w:t>
      </w:r>
      <w:r w:rsidRPr="5C1A183D" w:rsidDel="009F3FC3">
        <w:t xml:space="preserve"> </w:t>
      </w:r>
      <w:r w:rsidRPr="5C1A183D">
        <w:t xml:space="preserve">the lowest </w:t>
      </w:r>
      <w:r>
        <w:t>population growth</w:t>
      </w:r>
      <w:r w:rsidRPr="5C1A183D">
        <w:t xml:space="preserve"> in </w:t>
      </w:r>
      <w:r w:rsidR="007A0FCB">
        <w:t>over 100</w:t>
      </w:r>
      <w:r w:rsidR="007A0FCB" w:rsidRPr="5C1A183D">
        <w:t xml:space="preserve"> </w:t>
      </w:r>
      <w:r w:rsidRPr="5C1A183D">
        <w:t xml:space="preserve">years. Once travel restrictions were lifted, population growth </w:t>
      </w:r>
      <w:r>
        <w:t>peaked</w:t>
      </w:r>
      <w:r w:rsidRPr="5C1A183D">
        <w:t xml:space="preserve"> </w:t>
      </w:r>
      <w:r>
        <w:t>at</w:t>
      </w:r>
      <w:r w:rsidRPr="5C1A183D">
        <w:t xml:space="preserve"> 2.</w:t>
      </w:r>
      <w:r w:rsidR="00F43ABF">
        <w:t>5</w:t>
      </w:r>
      <w:r>
        <w:t> </w:t>
      </w:r>
      <w:r w:rsidR="00FF207F">
        <w:t>per cent</w:t>
      </w:r>
      <w:r w:rsidRPr="5C1A183D">
        <w:t xml:space="preserve"> in 2022</w:t>
      </w:r>
      <w:r w:rsidRPr="00FE68EA">
        <w:t>–</w:t>
      </w:r>
      <w:r w:rsidRPr="5C1A183D">
        <w:t xml:space="preserve">23 </w:t>
      </w:r>
      <w:proofErr w:type="gramStart"/>
      <w:r>
        <w:t>as a result of</w:t>
      </w:r>
      <w:proofErr w:type="gramEnd"/>
      <w:r w:rsidRPr="5C1A183D">
        <w:t xml:space="preserve"> a large catch</w:t>
      </w:r>
      <w:r w:rsidR="00050D25">
        <w:noBreakHyphen/>
      </w:r>
      <w:r w:rsidRPr="5C1A183D">
        <w:t>up in temporary migrant arrivals</w:t>
      </w:r>
      <w:r>
        <w:t>,</w:t>
      </w:r>
      <w:r w:rsidRPr="003E4E37">
        <w:t xml:space="preserve"> </w:t>
      </w:r>
      <w:r w:rsidRPr="5C1A183D">
        <w:t>particularly</w:t>
      </w:r>
      <w:r>
        <w:t xml:space="preserve"> </w:t>
      </w:r>
      <w:r w:rsidR="00AD5598">
        <w:t>by</w:t>
      </w:r>
      <w:r>
        <w:t xml:space="preserve"> international</w:t>
      </w:r>
      <w:r w:rsidRPr="5C1A183D">
        <w:t xml:space="preserve"> student</w:t>
      </w:r>
      <w:r>
        <w:t>s</w:t>
      </w:r>
      <w:r w:rsidRPr="5C1A183D">
        <w:t>.</w:t>
      </w:r>
    </w:p>
    <w:p w14:paraId="0615340A" w14:textId="4CB9CF97" w:rsidR="00D9259F" w:rsidRDefault="00D9259F" w:rsidP="00F00B08">
      <w:r w:rsidRPr="5C1A183D">
        <w:t xml:space="preserve">Population growth </w:t>
      </w:r>
      <w:r>
        <w:t>is forecast</w:t>
      </w:r>
      <w:r w:rsidRPr="5C1A183D">
        <w:t xml:space="preserve"> to decline to 2.1 </w:t>
      </w:r>
      <w:r w:rsidR="00FF207F">
        <w:t>per cent</w:t>
      </w:r>
      <w:r w:rsidRPr="5C1A183D">
        <w:t xml:space="preserve"> in 2023</w:t>
      </w:r>
      <w:r w:rsidRPr="00FE68EA">
        <w:t>–</w:t>
      </w:r>
      <w:r w:rsidRPr="5C1A183D">
        <w:t xml:space="preserve">24 and gradually fall to 1.2 </w:t>
      </w:r>
      <w:r w:rsidR="00FF207F">
        <w:t>per cent</w:t>
      </w:r>
      <w:r w:rsidRPr="5C1A183D">
        <w:t xml:space="preserve"> from 2026</w:t>
      </w:r>
      <w:r w:rsidRPr="00FE68EA">
        <w:t>–</w:t>
      </w:r>
      <w:r w:rsidRPr="5C1A183D">
        <w:t xml:space="preserve">27 </w:t>
      </w:r>
      <w:r>
        <w:t>to 2034</w:t>
      </w:r>
      <w:r w:rsidRPr="00FE68EA">
        <w:t>–</w:t>
      </w:r>
      <w:r>
        <w:t>35</w:t>
      </w:r>
      <w:r w:rsidRPr="5C1A183D">
        <w:t xml:space="preserve">. Slowing growth is due to </w:t>
      </w:r>
      <w:r w:rsidR="00BD4DE6">
        <w:t>NOM</w:t>
      </w:r>
      <w:r w:rsidRPr="5C1A183D">
        <w:t xml:space="preserve"> </w:t>
      </w:r>
      <w:r w:rsidR="005C2712">
        <w:t xml:space="preserve">declining and </w:t>
      </w:r>
      <w:r w:rsidR="0032190F">
        <w:t xml:space="preserve">then </w:t>
      </w:r>
      <w:r w:rsidR="005C2712">
        <w:t>stabilising</w:t>
      </w:r>
      <w:r w:rsidRPr="5C1A183D">
        <w:t xml:space="preserve">. </w:t>
      </w:r>
      <w:r>
        <w:t>Record</w:t>
      </w:r>
      <w:r w:rsidRPr="5C1A183D">
        <w:t xml:space="preserve"> low fertility rate</w:t>
      </w:r>
      <w:r>
        <w:t>s</w:t>
      </w:r>
      <w:r w:rsidRPr="5C1A183D">
        <w:t xml:space="preserve"> and elevated deaths due to COVID</w:t>
      </w:r>
      <w:r w:rsidR="00050D25">
        <w:noBreakHyphen/>
      </w:r>
      <w:r w:rsidRPr="5C1A183D">
        <w:t xml:space="preserve">19 </w:t>
      </w:r>
      <w:r>
        <w:t>are</w:t>
      </w:r>
      <w:r w:rsidRPr="5C1A183D">
        <w:t xml:space="preserve"> expected to weigh on population growth in the near term. </w:t>
      </w:r>
      <w:r>
        <w:t>N</w:t>
      </w:r>
      <w:r w:rsidRPr="5C1A183D">
        <w:t xml:space="preserve">atural increase (births minus deaths) </w:t>
      </w:r>
      <w:r>
        <w:t xml:space="preserve">is not expected to </w:t>
      </w:r>
      <w:r w:rsidRPr="5C1A183D">
        <w:t xml:space="preserve">return to </w:t>
      </w:r>
      <w:r>
        <w:t xml:space="preserve">its </w:t>
      </w:r>
      <w:r w:rsidR="00081906">
        <w:t>long</w:t>
      </w:r>
      <w:r w:rsidR="00050D25">
        <w:noBreakHyphen/>
      </w:r>
      <w:r w:rsidR="00675FE3">
        <w:t>term</w:t>
      </w:r>
      <w:r w:rsidR="001B3B08">
        <w:t xml:space="preserve"> trend</w:t>
      </w:r>
      <w:r>
        <w:t xml:space="preserve"> until </w:t>
      </w:r>
      <w:r w:rsidRPr="00FE68EA">
        <w:t>2032–33</w:t>
      </w:r>
      <w:r w:rsidRPr="5C1A183D">
        <w:t xml:space="preserve">. </w:t>
      </w:r>
    </w:p>
    <w:p w14:paraId="767A2258" w14:textId="187B703A" w:rsidR="00D9259F" w:rsidRPr="00F00B08" w:rsidRDefault="00D9259F" w:rsidP="00F00B08">
      <w:pPr>
        <w:pStyle w:val="TableMainHeading"/>
      </w:pPr>
      <w:bookmarkStart w:id="62" w:name="_Ref181178003"/>
      <w:r w:rsidRPr="00F00B08">
        <w:t xml:space="preserve">Population outcomes and </w:t>
      </w:r>
      <w:r w:rsidR="00604810" w:rsidRPr="00F00B08">
        <w:t>near</w:t>
      </w:r>
      <w:r w:rsidR="00050D25">
        <w:noBreakHyphen/>
      </w:r>
      <w:r w:rsidR="00604810" w:rsidRPr="00F00B08">
        <w:t>term</w:t>
      </w:r>
      <w:r w:rsidRPr="00F00B08">
        <w:t xml:space="preserve"> projections, Australia</w:t>
      </w:r>
      <w:bookmarkEnd w:id="62"/>
    </w:p>
    <w:tbl>
      <w:tblPr>
        <w:tblStyle w:val="CPOPTable"/>
        <w:tblW w:w="5049" w:type="pct"/>
        <w:tblLayout w:type="fixed"/>
        <w:tblLook w:val="04A0" w:firstRow="1" w:lastRow="0" w:firstColumn="1" w:lastColumn="0" w:noHBand="0" w:noVBand="1"/>
        <w:tblCaption w:val="Table"/>
      </w:tblPr>
      <w:tblGrid>
        <w:gridCol w:w="3522"/>
        <w:gridCol w:w="1127"/>
        <w:gridCol w:w="1128"/>
        <w:gridCol w:w="1128"/>
        <w:gridCol w:w="1128"/>
        <w:gridCol w:w="1128"/>
      </w:tblGrid>
      <w:tr w:rsidR="00D9259F" w14:paraId="4445093E" w14:textId="77777777" w:rsidTr="00916EF2">
        <w:trPr>
          <w:cnfStyle w:val="100000000000" w:firstRow="1" w:lastRow="0" w:firstColumn="0" w:lastColumn="0" w:oddVBand="0" w:evenVBand="0" w:oddHBand="0" w:evenHBand="0" w:firstRowFirstColumn="0" w:firstRowLastColumn="0" w:lastRowFirstColumn="0" w:lastRowLastColumn="0"/>
        </w:trPr>
        <w:tc>
          <w:tcPr>
            <w:tcW w:w="3522" w:type="dxa"/>
            <w:tcBorders>
              <w:top w:val="single" w:sz="4" w:space="0" w:color="auto"/>
              <w:bottom w:val="single" w:sz="4" w:space="0" w:color="auto"/>
            </w:tcBorders>
          </w:tcPr>
          <w:p w14:paraId="46848B72" w14:textId="77777777" w:rsidR="00D9259F" w:rsidRDefault="00D9259F" w:rsidP="00222767">
            <w:pPr>
              <w:pStyle w:val="TableColumnHeadingLeft"/>
            </w:pPr>
          </w:p>
        </w:tc>
        <w:tc>
          <w:tcPr>
            <w:tcW w:w="1127" w:type="dxa"/>
            <w:tcBorders>
              <w:top w:val="single" w:sz="4" w:space="0" w:color="auto"/>
              <w:bottom w:val="single" w:sz="4" w:space="0" w:color="auto"/>
            </w:tcBorders>
            <w:hideMark/>
          </w:tcPr>
          <w:p w14:paraId="65E66975" w14:textId="77777777" w:rsidR="00D9259F" w:rsidRPr="008D1155" w:rsidRDefault="00D9259F" w:rsidP="00054E63">
            <w:pPr>
              <w:pStyle w:val="TableColumnHeadingRight"/>
            </w:pPr>
            <w:r w:rsidRPr="008D1155">
              <w:t>2022–23</w:t>
            </w:r>
          </w:p>
        </w:tc>
        <w:tc>
          <w:tcPr>
            <w:tcW w:w="1128" w:type="dxa"/>
            <w:tcBorders>
              <w:top w:val="single" w:sz="4" w:space="0" w:color="auto"/>
              <w:bottom w:val="single" w:sz="4" w:space="0" w:color="auto"/>
            </w:tcBorders>
            <w:shd w:val="clear" w:color="auto" w:fill="D2EDFF" w:themeFill="accent1" w:themeFillTint="1A"/>
            <w:hideMark/>
          </w:tcPr>
          <w:p w14:paraId="53688D90" w14:textId="77777777" w:rsidR="00D9259F" w:rsidRPr="008D1155" w:rsidRDefault="00D9259F" w:rsidP="00054E63">
            <w:pPr>
              <w:pStyle w:val="TableColumnHeadingRight"/>
            </w:pPr>
            <w:r w:rsidRPr="008D1155">
              <w:t>2023–24</w:t>
            </w:r>
          </w:p>
        </w:tc>
        <w:tc>
          <w:tcPr>
            <w:tcW w:w="1128" w:type="dxa"/>
            <w:tcBorders>
              <w:top w:val="single" w:sz="4" w:space="0" w:color="auto"/>
              <w:bottom w:val="single" w:sz="4" w:space="0" w:color="auto"/>
            </w:tcBorders>
            <w:hideMark/>
          </w:tcPr>
          <w:p w14:paraId="6D0BA1E7" w14:textId="77777777" w:rsidR="00D9259F" w:rsidRPr="008D1155" w:rsidRDefault="00D9259F" w:rsidP="00054E63">
            <w:pPr>
              <w:pStyle w:val="TableColumnHeadingRight"/>
            </w:pPr>
            <w:r w:rsidRPr="008D1155">
              <w:t>2024–25</w:t>
            </w:r>
          </w:p>
        </w:tc>
        <w:tc>
          <w:tcPr>
            <w:tcW w:w="1128" w:type="dxa"/>
            <w:tcBorders>
              <w:top w:val="single" w:sz="4" w:space="0" w:color="auto"/>
              <w:bottom w:val="single" w:sz="4" w:space="0" w:color="auto"/>
            </w:tcBorders>
            <w:hideMark/>
          </w:tcPr>
          <w:p w14:paraId="724F1DE4" w14:textId="77777777" w:rsidR="00D9259F" w:rsidRPr="008D1155" w:rsidRDefault="00D9259F" w:rsidP="00054E63">
            <w:pPr>
              <w:pStyle w:val="TableColumnHeadingRight"/>
            </w:pPr>
            <w:r w:rsidRPr="008D1155">
              <w:t>2025–26</w:t>
            </w:r>
          </w:p>
        </w:tc>
        <w:tc>
          <w:tcPr>
            <w:tcW w:w="1128" w:type="dxa"/>
            <w:tcBorders>
              <w:top w:val="single" w:sz="4" w:space="0" w:color="auto"/>
              <w:bottom w:val="single" w:sz="4" w:space="0" w:color="auto"/>
            </w:tcBorders>
            <w:hideMark/>
          </w:tcPr>
          <w:p w14:paraId="603AA126" w14:textId="77777777" w:rsidR="00D9259F" w:rsidRPr="008D1155" w:rsidRDefault="00D9259F" w:rsidP="00054E63">
            <w:pPr>
              <w:pStyle w:val="TableColumnHeadingRight"/>
            </w:pPr>
            <w:r w:rsidRPr="008D1155">
              <w:t>2026–27</w:t>
            </w:r>
          </w:p>
        </w:tc>
      </w:tr>
      <w:tr w:rsidR="00D9259F" w:rsidRPr="00D0293B" w14:paraId="59423553" w14:textId="77777777" w:rsidTr="007E1F77">
        <w:trPr>
          <w:trHeight w:val="294"/>
        </w:trPr>
        <w:tc>
          <w:tcPr>
            <w:tcW w:w="3522" w:type="dxa"/>
            <w:tcBorders>
              <w:top w:val="single" w:sz="4" w:space="0" w:color="auto"/>
              <w:left w:val="nil"/>
              <w:bottom w:val="nil"/>
              <w:right w:val="nil"/>
            </w:tcBorders>
            <w:hideMark/>
          </w:tcPr>
          <w:p w14:paraId="27807295" w14:textId="77777777" w:rsidR="00D9259F" w:rsidRPr="00BC6428" w:rsidRDefault="00D9259F" w:rsidP="00636638">
            <w:pPr>
              <w:pStyle w:val="TableColumnHeadingLeft"/>
            </w:pPr>
            <w:r w:rsidRPr="00BC6428">
              <w:t xml:space="preserve">Population </w:t>
            </w:r>
            <w:proofErr w:type="gramStart"/>
            <w:r w:rsidRPr="00BC6428">
              <w:t>at</w:t>
            </w:r>
            <w:proofErr w:type="gramEnd"/>
            <w:r w:rsidRPr="00BC6428">
              <w:t xml:space="preserve"> 30 June (millions)</w:t>
            </w:r>
          </w:p>
        </w:tc>
        <w:tc>
          <w:tcPr>
            <w:tcW w:w="1127" w:type="dxa"/>
            <w:tcBorders>
              <w:top w:val="single" w:sz="4" w:space="0" w:color="auto"/>
              <w:left w:val="nil"/>
              <w:bottom w:val="nil"/>
              <w:right w:val="nil"/>
            </w:tcBorders>
            <w:vAlign w:val="bottom"/>
          </w:tcPr>
          <w:p w14:paraId="05B8768E" w14:textId="77777777" w:rsidR="00D9259F" w:rsidRPr="00054E63" w:rsidRDefault="00D9259F" w:rsidP="00054E63">
            <w:pPr>
              <w:pStyle w:val="TableTextRight"/>
              <w:rPr>
                <w:b/>
                <w:bCs/>
              </w:rPr>
            </w:pPr>
            <w:r w:rsidRPr="00054E63">
              <w:rPr>
                <w:b/>
                <w:bCs/>
              </w:rPr>
              <w:t>26.7</w:t>
            </w:r>
          </w:p>
        </w:tc>
        <w:tc>
          <w:tcPr>
            <w:tcW w:w="1128" w:type="dxa"/>
            <w:tcBorders>
              <w:top w:val="single" w:sz="4" w:space="0" w:color="auto"/>
              <w:left w:val="nil"/>
              <w:bottom w:val="nil"/>
              <w:right w:val="nil"/>
            </w:tcBorders>
            <w:shd w:val="clear" w:color="auto" w:fill="D2EDFF" w:themeFill="accent1" w:themeFillTint="1A"/>
            <w:vAlign w:val="bottom"/>
          </w:tcPr>
          <w:p w14:paraId="10A8D073" w14:textId="5C60FA7F" w:rsidR="00D9259F" w:rsidRPr="00054E63" w:rsidRDefault="00D9259F" w:rsidP="00054E63">
            <w:pPr>
              <w:pStyle w:val="TableTextRight"/>
              <w:rPr>
                <w:b/>
                <w:bCs/>
              </w:rPr>
            </w:pPr>
            <w:r>
              <w:rPr>
                <w:rFonts w:ascii="Calibri" w:hAnsi="Calibri" w:cs="Calibri"/>
                <w:b/>
              </w:rPr>
              <w:t>27.2</w:t>
            </w:r>
          </w:p>
        </w:tc>
        <w:tc>
          <w:tcPr>
            <w:tcW w:w="1128" w:type="dxa"/>
            <w:tcBorders>
              <w:top w:val="single" w:sz="4" w:space="0" w:color="auto"/>
              <w:left w:val="nil"/>
              <w:bottom w:val="nil"/>
              <w:right w:val="nil"/>
            </w:tcBorders>
            <w:vAlign w:val="bottom"/>
          </w:tcPr>
          <w:p w14:paraId="37517B5C" w14:textId="0F76C450" w:rsidR="00D9259F" w:rsidRPr="00054E63" w:rsidRDefault="00D9259F" w:rsidP="00054E63">
            <w:pPr>
              <w:pStyle w:val="TableTextRight"/>
              <w:rPr>
                <w:b/>
                <w:bCs/>
              </w:rPr>
            </w:pPr>
            <w:r>
              <w:rPr>
                <w:rFonts w:ascii="Calibri" w:hAnsi="Calibri" w:cs="Calibri"/>
                <w:b/>
              </w:rPr>
              <w:t>27.7</w:t>
            </w:r>
          </w:p>
        </w:tc>
        <w:tc>
          <w:tcPr>
            <w:tcW w:w="1128" w:type="dxa"/>
            <w:tcBorders>
              <w:top w:val="single" w:sz="4" w:space="0" w:color="auto"/>
              <w:left w:val="nil"/>
              <w:bottom w:val="nil"/>
              <w:right w:val="nil"/>
            </w:tcBorders>
            <w:vAlign w:val="bottom"/>
          </w:tcPr>
          <w:p w14:paraId="4BF63902" w14:textId="2E639A54" w:rsidR="00D9259F" w:rsidRPr="00054E63" w:rsidRDefault="000E7D8C" w:rsidP="00054E63">
            <w:pPr>
              <w:pStyle w:val="TableTextRight"/>
              <w:rPr>
                <w:b/>
                <w:bCs/>
              </w:rPr>
            </w:pPr>
            <w:r>
              <w:rPr>
                <w:rFonts w:ascii="Calibri" w:hAnsi="Calibri" w:cs="Calibri"/>
                <w:b/>
                <w:bCs/>
              </w:rPr>
              <w:t>28</w:t>
            </w:r>
            <w:r w:rsidR="006F4C84">
              <w:rPr>
                <w:b/>
                <w:bCs/>
              </w:rPr>
              <w:t>.0</w:t>
            </w:r>
          </w:p>
        </w:tc>
        <w:tc>
          <w:tcPr>
            <w:tcW w:w="1128" w:type="dxa"/>
            <w:tcBorders>
              <w:top w:val="single" w:sz="4" w:space="0" w:color="auto"/>
              <w:left w:val="nil"/>
              <w:bottom w:val="nil"/>
              <w:right w:val="nil"/>
            </w:tcBorders>
            <w:vAlign w:val="bottom"/>
          </w:tcPr>
          <w:p w14:paraId="3FF5F198" w14:textId="3E245BB0" w:rsidR="00D9259F" w:rsidRPr="00054E63" w:rsidRDefault="00697E2C" w:rsidP="00054E63">
            <w:pPr>
              <w:pStyle w:val="TableTextRight"/>
              <w:rPr>
                <w:b/>
                <w:bCs/>
              </w:rPr>
            </w:pPr>
            <w:r>
              <w:rPr>
                <w:rFonts w:ascii="Calibri" w:hAnsi="Calibri" w:cs="Calibri"/>
                <w:b/>
                <w:bCs/>
              </w:rPr>
              <w:t>28.</w:t>
            </w:r>
            <w:r>
              <w:rPr>
                <w:rFonts w:ascii="Calibri" w:hAnsi="Calibri" w:cs="Calibri"/>
                <w:b/>
              </w:rPr>
              <w:t>4</w:t>
            </w:r>
          </w:p>
        </w:tc>
      </w:tr>
      <w:tr w:rsidR="00D9259F" w14:paraId="78051B2D" w14:textId="77777777" w:rsidTr="007E1F77">
        <w:trPr>
          <w:trHeight w:val="224"/>
        </w:trPr>
        <w:tc>
          <w:tcPr>
            <w:tcW w:w="3522" w:type="dxa"/>
            <w:tcBorders>
              <w:top w:val="nil"/>
              <w:left w:val="nil"/>
              <w:bottom w:val="nil"/>
              <w:right w:val="nil"/>
            </w:tcBorders>
            <w:hideMark/>
          </w:tcPr>
          <w:p w14:paraId="5C049A93" w14:textId="43C339EC" w:rsidR="00D9259F" w:rsidRPr="00BC6428" w:rsidRDefault="00D9259F" w:rsidP="00BC6428">
            <w:pPr>
              <w:pStyle w:val="TableTextLeftBlue"/>
            </w:pPr>
            <w:r w:rsidRPr="00BC6428">
              <w:t>Population growth (</w:t>
            </w:r>
            <w:r w:rsidR="00FF207F">
              <w:t>per cent</w:t>
            </w:r>
            <w:r w:rsidRPr="00BC6428">
              <w:t>)</w:t>
            </w:r>
          </w:p>
        </w:tc>
        <w:tc>
          <w:tcPr>
            <w:tcW w:w="1127" w:type="dxa"/>
            <w:tcBorders>
              <w:top w:val="nil"/>
              <w:left w:val="nil"/>
              <w:bottom w:val="nil"/>
              <w:right w:val="nil"/>
            </w:tcBorders>
            <w:vAlign w:val="bottom"/>
          </w:tcPr>
          <w:p w14:paraId="37AAE90C" w14:textId="77777777" w:rsidR="00D9259F" w:rsidRPr="001D7D53" w:rsidRDefault="00D9259F" w:rsidP="00054E63">
            <w:pPr>
              <w:pStyle w:val="TableTextRight"/>
            </w:pPr>
            <w:r w:rsidRPr="001D7D53">
              <w:t>2.5</w:t>
            </w:r>
          </w:p>
        </w:tc>
        <w:tc>
          <w:tcPr>
            <w:tcW w:w="1128" w:type="dxa"/>
            <w:tcBorders>
              <w:top w:val="nil"/>
              <w:left w:val="nil"/>
              <w:bottom w:val="nil"/>
              <w:right w:val="nil"/>
            </w:tcBorders>
            <w:shd w:val="clear" w:color="auto" w:fill="D2EDFF" w:themeFill="accent1" w:themeFillTint="1A"/>
            <w:vAlign w:val="bottom"/>
          </w:tcPr>
          <w:p w14:paraId="32BB3D90" w14:textId="13DE3A3E" w:rsidR="00D9259F" w:rsidRPr="001D7D53" w:rsidRDefault="00D9259F" w:rsidP="00054E63">
            <w:pPr>
              <w:pStyle w:val="TableTextRight"/>
            </w:pPr>
            <w:r>
              <w:rPr>
                <w:rFonts w:ascii="Calibri" w:hAnsi="Calibri" w:cs="Calibri"/>
              </w:rPr>
              <w:t>2.1</w:t>
            </w:r>
          </w:p>
        </w:tc>
        <w:tc>
          <w:tcPr>
            <w:tcW w:w="1128" w:type="dxa"/>
            <w:tcBorders>
              <w:top w:val="nil"/>
              <w:left w:val="nil"/>
              <w:bottom w:val="nil"/>
              <w:right w:val="nil"/>
            </w:tcBorders>
            <w:vAlign w:val="bottom"/>
          </w:tcPr>
          <w:p w14:paraId="54358CBC" w14:textId="4F6D250E" w:rsidR="00D9259F" w:rsidRPr="001D7D53" w:rsidRDefault="00D9259F" w:rsidP="00054E63">
            <w:pPr>
              <w:pStyle w:val="TableTextRight"/>
            </w:pPr>
            <w:r>
              <w:rPr>
                <w:rFonts w:ascii="Calibri" w:hAnsi="Calibri" w:cs="Calibri"/>
              </w:rPr>
              <w:t>1.6</w:t>
            </w:r>
          </w:p>
        </w:tc>
        <w:tc>
          <w:tcPr>
            <w:tcW w:w="1128" w:type="dxa"/>
            <w:tcBorders>
              <w:top w:val="nil"/>
              <w:left w:val="nil"/>
              <w:bottom w:val="nil"/>
              <w:right w:val="nil"/>
            </w:tcBorders>
            <w:vAlign w:val="bottom"/>
          </w:tcPr>
          <w:p w14:paraId="2564F6D1" w14:textId="29335D55" w:rsidR="00D9259F" w:rsidRPr="001D7D53" w:rsidRDefault="00D9259F" w:rsidP="00054E63">
            <w:pPr>
              <w:pStyle w:val="TableTextRight"/>
            </w:pPr>
            <w:r>
              <w:rPr>
                <w:rFonts w:ascii="Calibri" w:hAnsi="Calibri" w:cs="Calibri"/>
              </w:rPr>
              <w:t>1.3</w:t>
            </w:r>
          </w:p>
        </w:tc>
        <w:tc>
          <w:tcPr>
            <w:tcW w:w="1128" w:type="dxa"/>
            <w:tcBorders>
              <w:top w:val="nil"/>
              <w:left w:val="nil"/>
              <w:bottom w:val="nil"/>
              <w:right w:val="nil"/>
            </w:tcBorders>
            <w:vAlign w:val="bottom"/>
          </w:tcPr>
          <w:p w14:paraId="2D5D86B2" w14:textId="32905827" w:rsidR="00D9259F" w:rsidRPr="001D7D53" w:rsidRDefault="00D9259F" w:rsidP="00054E63">
            <w:pPr>
              <w:pStyle w:val="TableTextRight"/>
            </w:pPr>
            <w:r>
              <w:rPr>
                <w:rFonts w:ascii="Calibri" w:hAnsi="Calibri" w:cs="Calibri"/>
              </w:rPr>
              <w:t>1.2</w:t>
            </w:r>
          </w:p>
        </w:tc>
      </w:tr>
      <w:tr w:rsidR="00D9259F" w14:paraId="6170CEC8" w14:textId="77777777" w:rsidTr="007E1F77">
        <w:trPr>
          <w:trHeight w:val="80"/>
        </w:trPr>
        <w:tc>
          <w:tcPr>
            <w:tcW w:w="3522" w:type="dxa"/>
            <w:tcBorders>
              <w:top w:val="nil"/>
              <w:left w:val="nil"/>
              <w:bottom w:val="single" w:sz="4" w:space="0" w:color="auto"/>
              <w:right w:val="nil"/>
            </w:tcBorders>
            <w:hideMark/>
          </w:tcPr>
          <w:p w14:paraId="76F0763F" w14:textId="77777777" w:rsidR="00D9259F" w:rsidRPr="00BC6428" w:rsidRDefault="00D9259F" w:rsidP="00BC6428">
            <w:pPr>
              <w:pStyle w:val="TableTextLeftBlue"/>
            </w:pPr>
            <w:r w:rsidRPr="00BC6428">
              <w:t>Population growth (thousands)</w:t>
            </w:r>
          </w:p>
        </w:tc>
        <w:tc>
          <w:tcPr>
            <w:tcW w:w="1127" w:type="dxa"/>
            <w:tcBorders>
              <w:top w:val="nil"/>
              <w:left w:val="nil"/>
              <w:bottom w:val="single" w:sz="4" w:space="0" w:color="auto"/>
              <w:right w:val="nil"/>
            </w:tcBorders>
            <w:vAlign w:val="bottom"/>
          </w:tcPr>
          <w:p w14:paraId="01F5341E" w14:textId="77777777" w:rsidR="00D9259F" w:rsidRPr="001D7D53" w:rsidRDefault="00D9259F" w:rsidP="00054E63">
            <w:pPr>
              <w:pStyle w:val="TableTextRight"/>
            </w:pPr>
            <w:r w:rsidRPr="001D7D53">
              <w:t>639</w:t>
            </w:r>
          </w:p>
        </w:tc>
        <w:tc>
          <w:tcPr>
            <w:tcW w:w="1128" w:type="dxa"/>
            <w:tcBorders>
              <w:top w:val="nil"/>
              <w:left w:val="nil"/>
              <w:bottom w:val="single" w:sz="4" w:space="0" w:color="auto"/>
              <w:right w:val="nil"/>
            </w:tcBorders>
            <w:shd w:val="clear" w:color="auto" w:fill="D2EDFF" w:themeFill="accent1" w:themeFillTint="1A"/>
            <w:vAlign w:val="bottom"/>
          </w:tcPr>
          <w:p w14:paraId="36DD25A9" w14:textId="66929493" w:rsidR="00D9259F" w:rsidRPr="001D7D53" w:rsidRDefault="00697E2C" w:rsidP="00054E63">
            <w:pPr>
              <w:pStyle w:val="TableTextRight"/>
            </w:pPr>
            <w:r>
              <w:rPr>
                <w:rFonts w:ascii="Calibri" w:hAnsi="Calibri" w:cs="Calibri"/>
              </w:rPr>
              <w:t>564</w:t>
            </w:r>
          </w:p>
        </w:tc>
        <w:tc>
          <w:tcPr>
            <w:tcW w:w="1128" w:type="dxa"/>
            <w:tcBorders>
              <w:top w:val="nil"/>
              <w:left w:val="nil"/>
              <w:bottom w:val="single" w:sz="4" w:space="0" w:color="auto"/>
              <w:right w:val="nil"/>
            </w:tcBorders>
            <w:vAlign w:val="bottom"/>
          </w:tcPr>
          <w:p w14:paraId="5CFA982A" w14:textId="205AC563" w:rsidR="00D9259F" w:rsidRPr="001D7D53" w:rsidRDefault="00C70BB6" w:rsidP="00054E63">
            <w:pPr>
              <w:pStyle w:val="TableTextRight"/>
            </w:pPr>
            <w:r>
              <w:rPr>
                <w:rFonts w:ascii="Calibri" w:hAnsi="Calibri" w:cs="Calibri"/>
              </w:rPr>
              <w:t>444</w:t>
            </w:r>
          </w:p>
        </w:tc>
        <w:tc>
          <w:tcPr>
            <w:tcW w:w="1128" w:type="dxa"/>
            <w:tcBorders>
              <w:top w:val="nil"/>
              <w:left w:val="nil"/>
              <w:bottom w:val="single" w:sz="4" w:space="0" w:color="auto"/>
              <w:right w:val="nil"/>
            </w:tcBorders>
            <w:vAlign w:val="bottom"/>
          </w:tcPr>
          <w:p w14:paraId="14AC76F3" w14:textId="555335B7" w:rsidR="00D9259F" w:rsidRPr="001D7D53" w:rsidRDefault="00C70BB6" w:rsidP="00054E63">
            <w:pPr>
              <w:pStyle w:val="TableTextRight"/>
            </w:pPr>
            <w:r>
              <w:rPr>
                <w:rFonts w:ascii="Calibri" w:hAnsi="Calibri" w:cs="Calibri"/>
              </w:rPr>
              <w:t>368</w:t>
            </w:r>
          </w:p>
        </w:tc>
        <w:tc>
          <w:tcPr>
            <w:tcW w:w="1128" w:type="dxa"/>
            <w:tcBorders>
              <w:top w:val="nil"/>
              <w:left w:val="nil"/>
              <w:bottom w:val="single" w:sz="4" w:space="0" w:color="auto"/>
              <w:right w:val="nil"/>
            </w:tcBorders>
            <w:vAlign w:val="bottom"/>
          </w:tcPr>
          <w:p w14:paraId="375C0D23" w14:textId="744083A5" w:rsidR="00D9259F" w:rsidRPr="001D7D53" w:rsidRDefault="00697E2C" w:rsidP="00054E63">
            <w:pPr>
              <w:pStyle w:val="TableTextRight"/>
            </w:pPr>
            <w:r>
              <w:rPr>
                <w:rFonts w:ascii="Calibri" w:hAnsi="Calibri" w:cs="Calibri"/>
              </w:rPr>
              <w:t>340</w:t>
            </w:r>
          </w:p>
        </w:tc>
      </w:tr>
      <w:tr w:rsidR="00D9259F" w14:paraId="549831E6" w14:textId="77777777" w:rsidTr="007E1F77">
        <w:trPr>
          <w:trHeight w:val="324"/>
        </w:trPr>
        <w:tc>
          <w:tcPr>
            <w:tcW w:w="3522" w:type="dxa"/>
            <w:tcBorders>
              <w:top w:val="single" w:sz="4" w:space="0" w:color="auto"/>
              <w:left w:val="nil"/>
              <w:bottom w:val="nil"/>
              <w:right w:val="nil"/>
            </w:tcBorders>
            <w:hideMark/>
          </w:tcPr>
          <w:p w14:paraId="3FB9AB0B" w14:textId="77777777" w:rsidR="00D9259F" w:rsidRPr="00BC6428" w:rsidRDefault="00D9259F" w:rsidP="00BC6428">
            <w:pPr>
              <w:pStyle w:val="TableTextLeftBlue"/>
            </w:pPr>
            <w:r w:rsidRPr="00BC6428">
              <w:t>Natural increase (thousands)</w:t>
            </w:r>
          </w:p>
        </w:tc>
        <w:tc>
          <w:tcPr>
            <w:tcW w:w="1127" w:type="dxa"/>
            <w:tcBorders>
              <w:top w:val="single" w:sz="4" w:space="0" w:color="auto"/>
              <w:left w:val="nil"/>
              <w:bottom w:val="nil"/>
              <w:right w:val="nil"/>
            </w:tcBorders>
            <w:vAlign w:val="bottom"/>
          </w:tcPr>
          <w:p w14:paraId="50E39D69" w14:textId="77777777" w:rsidR="00D9259F" w:rsidRPr="001D7D53" w:rsidRDefault="00D9259F" w:rsidP="00054E63">
            <w:pPr>
              <w:pStyle w:val="TableTextRight"/>
              <w:rPr>
                <w:i/>
              </w:rPr>
            </w:pPr>
            <w:r w:rsidRPr="001D7D53">
              <w:t>103</w:t>
            </w:r>
          </w:p>
        </w:tc>
        <w:tc>
          <w:tcPr>
            <w:tcW w:w="1128" w:type="dxa"/>
            <w:tcBorders>
              <w:top w:val="single" w:sz="4" w:space="0" w:color="auto"/>
              <w:left w:val="nil"/>
              <w:bottom w:val="nil"/>
              <w:right w:val="nil"/>
            </w:tcBorders>
            <w:shd w:val="clear" w:color="auto" w:fill="D2EDFF" w:themeFill="accent1" w:themeFillTint="1A"/>
            <w:vAlign w:val="bottom"/>
          </w:tcPr>
          <w:p w14:paraId="471AABDF" w14:textId="6A074CCC" w:rsidR="00D9259F" w:rsidRPr="001D7D53" w:rsidRDefault="00697E2C" w:rsidP="00054E63">
            <w:pPr>
              <w:pStyle w:val="TableTextRight"/>
              <w:rPr>
                <w:i/>
              </w:rPr>
            </w:pPr>
            <w:r>
              <w:rPr>
                <w:rFonts w:ascii="Calibri" w:hAnsi="Calibri" w:cs="Calibri"/>
              </w:rPr>
              <w:t>104</w:t>
            </w:r>
          </w:p>
        </w:tc>
        <w:tc>
          <w:tcPr>
            <w:tcW w:w="1128" w:type="dxa"/>
            <w:tcBorders>
              <w:top w:val="single" w:sz="4" w:space="0" w:color="auto"/>
              <w:left w:val="nil"/>
              <w:bottom w:val="nil"/>
              <w:right w:val="nil"/>
            </w:tcBorders>
            <w:vAlign w:val="bottom"/>
          </w:tcPr>
          <w:p w14:paraId="654064F9" w14:textId="351A11B1" w:rsidR="00D9259F" w:rsidRPr="001D7D53" w:rsidRDefault="00697E2C" w:rsidP="00054E63">
            <w:pPr>
              <w:pStyle w:val="TableTextRight"/>
              <w:rPr>
                <w:i/>
              </w:rPr>
            </w:pPr>
            <w:r>
              <w:rPr>
                <w:rFonts w:ascii="Calibri" w:hAnsi="Calibri" w:cs="Calibri"/>
              </w:rPr>
              <w:t>102</w:t>
            </w:r>
          </w:p>
        </w:tc>
        <w:tc>
          <w:tcPr>
            <w:tcW w:w="1128" w:type="dxa"/>
            <w:tcBorders>
              <w:top w:val="single" w:sz="4" w:space="0" w:color="auto"/>
              <w:left w:val="nil"/>
              <w:bottom w:val="nil"/>
              <w:right w:val="nil"/>
            </w:tcBorders>
            <w:vAlign w:val="bottom"/>
          </w:tcPr>
          <w:p w14:paraId="726E91ED" w14:textId="44257623" w:rsidR="00D9259F" w:rsidRPr="001D7D53" w:rsidRDefault="00697E2C" w:rsidP="00054E63">
            <w:pPr>
              <w:pStyle w:val="TableTextRight"/>
              <w:rPr>
                <w:i/>
              </w:rPr>
            </w:pPr>
            <w:r>
              <w:rPr>
                <w:rFonts w:ascii="Calibri" w:hAnsi="Calibri" w:cs="Calibri"/>
              </w:rPr>
              <w:t>110</w:t>
            </w:r>
          </w:p>
        </w:tc>
        <w:tc>
          <w:tcPr>
            <w:tcW w:w="1128" w:type="dxa"/>
            <w:tcBorders>
              <w:top w:val="single" w:sz="4" w:space="0" w:color="auto"/>
              <w:left w:val="nil"/>
              <w:bottom w:val="nil"/>
              <w:right w:val="nil"/>
            </w:tcBorders>
            <w:vAlign w:val="bottom"/>
          </w:tcPr>
          <w:p w14:paraId="16E11967" w14:textId="6C31F773" w:rsidR="00D9259F" w:rsidRPr="001D7D53" w:rsidRDefault="00697E2C" w:rsidP="00054E63">
            <w:pPr>
              <w:pStyle w:val="TableTextRight"/>
              <w:rPr>
                <w:i/>
              </w:rPr>
            </w:pPr>
            <w:r>
              <w:rPr>
                <w:rFonts w:ascii="Calibri" w:hAnsi="Calibri" w:cs="Calibri"/>
              </w:rPr>
              <w:t>116</w:t>
            </w:r>
          </w:p>
        </w:tc>
      </w:tr>
      <w:tr w:rsidR="00D9259F" w14:paraId="74E73BB5" w14:textId="77777777" w:rsidTr="007E1F77">
        <w:trPr>
          <w:trHeight w:val="63"/>
        </w:trPr>
        <w:tc>
          <w:tcPr>
            <w:tcW w:w="3522" w:type="dxa"/>
            <w:tcBorders>
              <w:top w:val="nil"/>
              <w:left w:val="nil"/>
              <w:bottom w:val="nil"/>
              <w:right w:val="nil"/>
            </w:tcBorders>
            <w:hideMark/>
          </w:tcPr>
          <w:p w14:paraId="6DBF2835" w14:textId="77777777" w:rsidR="00D9259F" w:rsidRPr="00BC6428" w:rsidRDefault="00D9259F" w:rsidP="00BC6428">
            <w:pPr>
              <w:pStyle w:val="Tabletextleftindent"/>
            </w:pPr>
            <w:r w:rsidRPr="00BC6428">
              <w:t>Births</w:t>
            </w:r>
          </w:p>
        </w:tc>
        <w:tc>
          <w:tcPr>
            <w:tcW w:w="1127" w:type="dxa"/>
            <w:tcBorders>
              <w:top w:val="nil"/>
              <w:left w:val="nil"/>
              <w:bottom w:val="nil"/>
              <w:right w:val="nil"/>
            </w:tcBorders>
            <w:vAlign w:val="bottom"/>
          </w:tcPr>
          <w:p w14:paraId="5976696C" w14:textId="77777777" w:rsidR="00D9259F" w:rsidRPr="001D7D53" w:rsidRDefault="00D9259F" w:rsidP="00054E63">
            <w:pPr>
              <w:pStyle w:val="TableTextRight"/>
              <w:rPr>
                <w:i/>
              </w:rPr>
            </w:pPr>
            <w:r w:rsidRPr="001D7D53">
              <w:rPr>
                <w:i/>
              </w:rPr>
              <w:t>291</w:t>
            </w:r>
          </w:p>
        </w:tc>
        <w:tc>
          <w:tcPr>
            <w:tcW w:w="1128" w:type="dxa"/>
            <w:tcBorders>
              <w:top w:val="nil"/>
              <w:left w:val="nil"/>
              <w:bottom w:val="nil"/>
              <w:right w:val="nil"/>
            </w:tcBorders>
            <w:shd w:val="clear" w:color="auto" w:fill="D2EDFF" w:themeFill="accent1" w:themeFillTint="1A"/>
            <w:vAlign w:val="bottom"/>
          </w:tcPr>
          <w:p w14:paraId="2EB72AEE" w14:textId="53EEF5B4" w:rsidR="00D9259F" w:rsidRPr="001D7D53" w:rsidRDefault="00D9259F" w:rsidP="00054E63">
            <w:pPr>
              <w:pStyle w:val="TableTextRight"/>
              <w:rPr>
                <w:i/>
              </w:rPr>
            </w:pPr>
            <w:r>
              <w:rPr>
                <w:rFonts w:ascii="Calibri" w:hAnsi="Calibri" w:cs="Calibri"/>
                <w:i/>
              </w:rPr>
              <w:t>289</w:t>
            </w:r>
          </w:p>
        </w:tc>
        <w:tc>
          <w:tcPr>
            <w:tcW w:w="1128" w:type="dxa"/>
            <w:tcBorders>
              <w:top w:val="nil"/>
              <w:left w:val="nil"/>
              <w:bottom w:val="nil"/>
              <w:right w:val="nil"/>
            </w:tcBorders>
            <w:vAlign w:val="bottom"/>
          </w:tcPr>
          <w:p w14:paraId="43F6A602" w14:textId="1154EF35" w:rsidR="00D9259F" w:rsidRPr="001D7D53" w:rsidRDefault="00697E2C" w:rsidP="00054E63">
            <w:pPr>
              <w:pStyle w:val="TableTextRight"/>
              <w:rPr>
                <w:i/>
              </w:rPr>
            </w:pPr>
            <w:r>
              <w:rPr>
                <w:rFonts w:ascii="Calibri" w:hAnsi="Calibri" w:cs="Calibri"/>
                <w:i/>
              </w:rPr>
              <w:t>288</w:t>
            </w:r>
          </w:p>
        </w:tc>
        <w:tc>
          <w:tcPr>
            <w:tcW w:w="1128" w:type="dxa"/>
            <w:tcBorders>
              <w:top w:val="nil"/>
              <w:left w:val="nil"/>
              <w:bottom w:val="nil"/>
              <w:right w:val="nil"/>
            </w:tcBorders>
            <w:vAlign w:val="bottom"/>
          </w:tcPr>
          <w:p w14:paraId="684B6162" w14:textId="02697E8D" w:rsidR="00D9259F" w:rsidRPr="001D7D53" w:rsidRDefault="00697E2C" w:rsidP="00054E63">
            <w:pPr>
              <w:pStyle w:val="TableTextRight"/>
              <w:rPr>
                <w:i/>
              </w:rPr>
            </w:pPr>
            <w:r>
              <w:rPr>
                <w:rFonts w:ascii="Calibri" w:hAnsi="Calibri" w:cs="Calibri"/>
                <w:i/>
              </w:rPr>
              <w:t>297</w:t>
            </w:r>
          </w:p>
        </w:tc>
        <w:tc>
          <w:tcPr>
            <w:tcW w:w="1128" w:type="dxa"/>
            <w:tcBorders>
              <w:top w:val="nil"/>
              <w:left w:val="nil"/>
              <w:bottom w:val="nil"/>
              <w:right w:val="nil"/>
            </w:tcBorders>
            <w:vAlign w:val="bottom"/>
          </w:tcPr>
          <w:p w14:paraId="2EE3D175" w14:textId="2428A6D7" w:rsidR="00D9259F" w:rsidRPr="001D7D53" w:rsidRDefault="00697E2C" w:rsidP="00054E63">
            <w:pPr>
              <w:pStyle w:val="TableTextRight"/>
              <w:rPr>
                <w:i/>
              </w:rPr>
            </w:pPr>
            <w:r>
              <w:rPr>
                <w:rFonts w:ascii="Calibri" w:hAnsi="Calibri" w:cs="Calibri"/>
                <w:i/>
              </w:rPr>
              <w:t>305</w:t>
            </w:r>
          </w:p>
        </w:tc>
      </w:tr>
      <w:tr w:rsidR="00D9259F" w14:paraId="3939E812" w14:textId="77777777" w:rsidTr="007E1F77">
        <w:tc>
          <w:tcPr>
            <w:tcW w:w="3522" w:type="dxa"/>
            <w:tcBorders>
              <w:top w:val="nil"/>
              <w:left w:val="nil"/>
              <w:bottom w:val="nil"/>
              <w:right w:val="nil"/>
            </w:tcBorders>
            <w:hideMark/>
          </w:tcPr>
          <w:p w14:paraId="65EA9686" w14:textId="77777777" w:rsidR="00D9259F" w:rsidRPr="00BC6428" w:rsidRDefault="00D9259F" w:rsidP="00BC6428">
            <w:pPr>
              <w:pStyle w:val="Tabletextleftindent"/>
            </w:pPr>
            <w:r w:rsidRPr="00BC6428">
              <w:t xml:space="preserve">Deaths </w:t>
            </w:r>
          </w:p>
        </w:tc>
        <w:tc>
          <w:tcPr>
            <w:tcW w:w="1127" w:type="dxa"/>
            <w:tcBorders>
              <w:top w:val="nil"/>
              <w:left w:val="nil"/>
              <w:bottom w:val="nil"/>
              <w:right w:val="nil"/>
            </w:tcBorders>
            <w:vAlign w:val="bottom"/>
          </w:tcPr>
          <w:p w14:paraId="739D719C" w14:textId="77777777" w:rsidR="00D9259F" w:rsidRPr="001D7D53" w:rsidRDefault="00D9259F" w:rsidP="00054E63">
            <w:pPr>
              <w:pStyle w:val="TableTextRight"/>
              <w:rPr>
                <w:i/>
              </w:rPr>
            </w:pPr>
            <w:r w:rsidRPr="001D7D53">
              <w:rPr>
                <w:i/>
              </w:rPr>
              <w:t>188</w:t>
            </w:r>
          </w:p>
        </w:tc>
        <w:tc>
          <w:tcPr>
            <w:tcW w:w="1128" w:type="dxa"/>
            <w:tcBorders>
              <w:top w:val="nil"/>
              <w:left w:val="nil"/>
              <w:bottom w:val="nil"/>
              <w:right w:val="nil"/>
            </w:tcBorders>
            <w:shd w:val="clear" w:color="auto" w:fill="D2EDFF" w:themeFill="accent1" w:themeFillTint="1A"/>
            <w:vAlign w:val="bottom"/>
          </w:tcPr>
          <w:p w14:paraId="7A1C7331" w14:textId="469541C0" w:rsidR="00D9259F" w:rsidRPr="001D7D53" w:rsidRDefault="00697E2C" w:rsidP="00054E63">
            <w:pPr>
              <w:pStyle w:val="TableTextRight"/>
              <w:rPr>
                <w:i/>
              </w:rPr>
            </w:pPr>
            <w:r>
              <w:rPr>
                <w:rFonts w:ascii="Calibri" w:hAnsi="Calibri" w:cs="Calibri"/>
                <w:i/>
              </w:rPr>
              <w:t>185</w:t>
            </w:r>
          </w:p>
        </w:tc>
        <w:tc>
          <w:tcPr>
            <w:tcW w:w="1128" w:type="dxa"/>
            <w:tcBorders>
              <w:top w:val="nil"/>
              <w:left w:val="nil"/>
              <w:bottom w:val="nil"/>
              <w:right w:val="nil"/>
            </w:tcBorders>
            <w:vAlign w:val="bottom"/>
          </w:tcPr>
          <w:p w14:paraId="307C1304" w14:textId="670843B5" w:rsidR="00D9259F" w:rsidRPr="001D7D53" w:rsidRDefault="00697E2C" w:rsidP="00054E63">
            <w:pPr>
              <w:pStyle w:val="TableTextRight"/>
              <w:rPr>
                <w:i/>
              </w:rPr>
            </w:pPr>
            <w:r>
              <w:rPr>
                <w:rFonts w:ascii="Calibri" w:hAnsi="Calibri" w:cs="Calibri"/>
                <w:i/>
              </w:rPr>
              <w:t>186</w:t>
            </w:r>
          </w:p>
        </w:tc>
        <w:tc>
          <w:tcPr>
            <w:tcW w:w="1128" w:type="dxa"/>
            <w:tcBorders>
              <w:top w:val="nil"/>
              <w:left w:val="nil"/>
              <w:bottom w:val="nil"/>
              <w:right w:val="nil"/>
            </w:tcBorders>
            <w:vAlign w:val="bottom"/>
          </w:tcPr>
          <w:p w14:paraId="22F24FCE" w14:textId="431A523E" w:rsidR="00D9259F" w:rsidRPr="001D7D53" w:rsidRDefault="00697E2C" w:rsidP="00054E63">
            <w:pPr>
              <w:pStyle w:val="TableTextRight"/>
              <w:rPr>
                <w:i/>
              </w:rPr>
            </w:pPr>
            <w:r>
              <w:rPr>
                <w:rFonts w:ascii="Calibri" w:hAnsi="Calibri" w:cs="Calibri"/>
                <w:i/>
              </w:rPr>
              <w:t>187</w:t>
            </w:r>
          </w:p>
        </w:tc>
        <w:tc>
          <w:tcPr>
            <w:tcW w:w="1128" w:type="dxa"/>
            <w:tcBorders>
              <w:top w:val="nil"/>
              <w:left w:val="nil"/>
              <w:bottom w:val="nil"/>
              <w:right w:val="nil"/>
            </w:tcBorders>
            <w:vAlign w:val="bottom"/>
          </w:tcPr>
          <w:p w14:paraId="44EC5306" w14:textId="63D1E60B" w:rsidR="00D9259F" w:rsidRPr="001D7D53" w:rsidRDefault="00697E2C" w:rsidP="00054E63">
            <w:pPr>
              <w:pStyle w:val="TableTextRight"/>
              <w:rPr>
                <w:i/>
              </w:rPr>
            </w:pPr>
            <w:r>
              <w:rPr>
                <w:rFonts w:ascii="Calibri" w:hAnsi="Calibri" w:cs="Calibri"/>
                <w:i/>
              </w:rPr>
              <w:t>189</w:t>
            </w:r>
          </w:p>
        </w:tc>
      </w:tr>
      <w:tr w:rsidR="007E1F77" w14:paraId="734BF5AA" w14:textId="77777777" w:rsidTr="007E1F77">
        <w:tc>
          <w:tcPr>
            <w:tcW w:w="3522" w:type="dxa"/>
            <w:tcBorders>
              <w:top w:val="nil"/>
              <w:left w:val="nil"/>
              <w:bottom w:val="nil"/>
              <w:right w:val="nil"/>
            </w:tcBorders>
            <w:hideMark/>
          </w:tcPr>
          <w:p w14:paraId="7D88BAAD" w14:textId="77777777" w:rsidR="007E1F77" w:rsidRDefault="007E1F77" w:rsidP="007E1F77">
            <w:pPr>
              <w:pStyle w:val="TableTextLeftBlue"/>
            </w:pPr>
            <w:r>
              <w:t xml:space="preserve">Net overseas </w:t>
            </w:r>
            <w:r w:rsidRPr="00BC6428">
              <w:t>migration</w:t>
            </w:r>
            <w:r>
              <w:t xml:space="preserve"> (thousands)</w:t>
            </w:r>
          </w:p>
        </w:tc>
        <w:tc>
          <w:tcPr>
            <w:tcW w:w="1127" w:type="dxa"/>
            <w:tcBorders>
              <w:top w:val="nil"/>
              <w:left w:val="nil"/>
              <w:bottom w:val="nil"/>
              <w:right w:val="nil"/>
            </w:tcBorders>
            <w:vAlign w:val="bottom"/>
          </w:tcPr>
          <w:p w14:paraId="016E6B46" w14:textId="77777777" w:rsidR="007E1F77" w:rsidRPr="001D7D53" w:rsidRDefault="007E1F77" w:rsidP="007E1F77">
            <w:pPr>
              <w:pStyle w:val="TableTextRight"/>
            </w:pPr>
            <w:r w:rsidRPr="001D7D53">
              <w:t>537</w:t>
            </w:r>
          </w:p>
        </w:tc>
        <w:tc>
          <w:tcPr>
            <w:tcW w:w="1128" w:type="dxa"/>
            <w:tcBorders>
              <w:top w:val="nil"/>
              <w:left w:val="nil"/>
              <w:bottom w:val="nil"/>
              <w:right w:val="nil"/>
            </w:tcBorders>
            <w:shd w:val="clear" w:color="auto" w:fill="D2EDFF" w:themeFill="accent1" w:themeFillTint="1A"/>
            <w:vAlign w:val="bottom"/>
          </w:tcPr>
          <w:p w14:paraId="0416099E" w14:textId="300FC4E9" w:rsidR="007E1F77" w:rsidRPr="001D7D53" w:rsidRDefault="00C70BB6" w:rsidP="007E1F77">
            <w:pPr>
              <w:pStyle w:val="TableTextRight"/>
            </w:pPr>
            <w:r>
              <w:rPr>
                <w:rFonts w:ascii="Calibri" w:hAnsi="Calibri" w:cs="Calibri"/>
              </w:rPr>
              <w:t>460</w:t>
            </w:r>
          </w:p>
        </w:tc>
        <w:tc>
          <w:tcPr>
            <w:tcW w:w="1128" w:type="dxa"/>
            <w:tcBorders>
              <w:top w:val="nil"/>
              <w:left w:val="nil"/>
              <w:bottom w:val="nil"/>
              <w:right w:val="nil"/>
            </w:tcBorders>
            <w:vAlign w:val="bottom"/>
          </w:tcPr>
          <w:p w14:paraId="5C7B93D1" w14:textId="11508E30" w:rsidR="007E1F77" w:rsidRPr="001D7D53" w:rsidRDefault="00C70BB6" w:rsidP="007E1F77">
            <w:pPr>
              <w:pStyle w:val="TableTextRight"/>
            </w:pPr>
            <w:r>
              <w:rPr>
                <w:rFonts w:ascii="Calibri" w:hAnsi="Calibri" w:cs="Calibri"/>
              </w:rPr>
              <w:t>340</w:t>
            </w:r>
          </w:p>
        </w:tc>
        <w:tc>
          <w:tcPr>
            <w:tcW w:w="1128" w:type="dxa"/>
            <w:tcBorders>
              <w:top w:val="nil"/>
              <w:left w:val="nil"/>
              <w:bottom w:val="nil"/>
              <w:right w:val="nil"/>
            </w:tcBorders>
            <w:vAlign w:val="bottom"/>
          </w:tcPr>
          <w:p w14:paraId="0BE29EB7" w14:textId="3D984751" w:rsidR="007E1F77" w:rsidRPr="001D7D53" w:rsidRDefault="00C70BB6" w:rsidP="007E1F77">
            <w:pPr>
              <w:pStyle w:val="TableTextRight"/>
            </w:pPr>
            <w:r>
              <w:rPr>
                <w:rFonts w:ascii="Calibri" w:hAnsi="Calibri" w:cs="Calibri"/>
              </w:rPr>
              <w:t>255</w:t>
            </w:r>
          </w:p>
        </w:tc>
        <w:tc>
          <w:tcPr>
            <w:tcW w:w="1128" w:type="dxa"/>
            <w:tcBorders>
              <w:top w:val="nil"/>
              <w:left w:val="nil"/>
              <w:bottom w:val="nil"/>
              <w:right w:val="nil"/>
            </w:tcBorders>
            <w:vAlign w:val="bottom"/>
          </w:tcPr>
          <w:p w14:paraId="0FEF8848" w14:textId="69355B93" w:rsidR="007E1F77" w:rsidRPr="001D7D53" w:rsidRDefault="00C70BB6" w:rsidP="007E1F77">
            <w:pPr>
              <w:pStyle w:val="TableTextRight"/>
            </w:pPr>
            <w:r>
              <w:rPr>
                <w:rFonts w:ascii="Calibri" w:hAnsi="Calibri" w:cs="Calibri"/>
              </w:rPr>
              <w:t>225</w:t>
            </w:r>
          </w:p>
        </w:tc>
      </w:tr>
      <w:tr w:rsidR="007E1F77" w14:paraId="3F491A6F" w14:textId="77777777" w:rsidTr="007E1F77">
        <w:tc>
          <w:tcPr>
            <w:tcW w:w="3522" w:type="dxa"/>
            <w:tcBorders>
              <w:top w:val="nil"/>
              <w:left w:val="nil"/>
              <w:bottom w:val="nil"/>
              <w:right w:val="nil"/>
            </w:tcBorders>
            <w:hideMark/>
          </w:tcPr>
          <w:p w14:paraId="441C6DD9" w14:textId="77777777" w:rsidR="007E1F77" w:rsidRDefault="007E1F77" w:rsidP="007E1F77">
            <w:pPr>
              <w:pStyle w:val="Tabletextleftindent"/>
            </w:pPr>
            <w:r>
              <w:t xml:space="preserve">Overseas arrivals </w:t>
            </w:r>
          </w:p>
        </w:tc>
        <w:tc>
          <w:tcPr>
            <w:tcW w:w="1127" w:type="dxa"/>
            <w:tcBorders>
              <w:top w:val="nil"/>
              <w:left w:val="nil"/>
              <w:bottom w:val="nil"/>
              <w:right w:val="nil"/>
            </w:tcBorders>
            <w:vAlign w:val="bottom"/>
          </w:tcPr>
          <w:p w14:paraId="11AEF7AD" w14:textId="77777777" w:rsidR="007E1F77" w:rsidRPr="001D7D53" w:rsidRDefault="007E1F77" w:rsidP="007E1F77">
            <w:pPr>
              <w:pStyle w:val="TableTextRight"/>
              <w:rPr>
                <w:i/>
              </w:rPr>
            </w:pPr>
            <w:r w:rsidRPr="001D7D53">
              <w:rPr>
                <w:i/>
              </w:rPr>
              <w:t>740</w:t>
            </w:r>
          </w:p>
        </w:tc>
        <w:tc>
          <w:tcPr>
            <w:tcW w:w="1128" w:type="dxa"/>
            <w:tcBorders>
              <w:top w:val="nil"/>
              <w:left w:val="nil"/>
              <w:bottom w:val="nil"/>
              <w:right w:val="nil"/>
            </w:tcBorders>
            <w:shd w:val="clear" w:color="auto" w:fill="D2EDFF" w:themeFill="accent1" w:themeFillTint="1A"/>
            <w:vAlign w:val="bottom"/>
          </w:tcPr>
          <w:p w14:paraId="00605329" w14:textId="09D099F7" w:rsidR="007E1F77" w:rsidRPr="001D7D53" w:rsidRDefault="00C70BB6" w:rsidP="007E1F77">
            <w:pPr>
              <w:pStyle w:val="TableTextRight"/>
              <w:rPr>
                <w:i/>
              </w:rPr>
            </w:pPr>
            <w:r>
              <w:rPr>
                <w:rFonts w:ascii="Calibri" w:hAnsi="Calibri" w:cs="Calibri"/>
                <w:i/>
                <w:iCs/>
              </w:rPr>
              <w:t>680</w:t>
            </w:r>
          </w:p>
        </w:tc>
        <w:tc>
          <w:tcPr>
            <w:tcW w:w="1128" w:type="dxa"/>
            <w:tcBorders>
              <w:top w:val="nil"/>
              <w:left w:val="nil"/>
              <w:bottom w:val="nil"/>
              <w:right w:val="nil"/>
            </w:tcBorders>
            <w:vAlign w:val="bottom"/>
          </w:tcPr>
          <w:p w14:paraId="0A62FEED" w14:textId="7CFE0257" w:rsidR="007E1F77" w:rsidRPr="001D7D53" w:rsidRDefault="00C70BB6" w:rsidP="007E1F77">
            <w:pPr>
              <w:pStyle w:val="TableTextRight"/>
              <w:rPr>
                <w:i/>
              </w:rPr>
            </w:pPr>
            <w:r>
              <w:rPr>
                <w:rFonts w:ascii="Calibri" w:hAnsi="Calibri" w:cs="Calibri"/>
                <w:i/>
                <w:iCs/>
              </w:rPr>
              <w:t>625</w:t>
            </w:r>
          </w:p>
        </w:tc>
        <w:tc>
          <w:tcPr>
            <w:tcW w:w="1128" w:type="dxa"/>
            <w:tcBorders>
              <w:top w:val="nil"/>
              <w:left w:val="nil"/>
              <w:bottom w:val="nil"/>
              <w:right w:val="nil"/>
            </w:tcBorders>
            <w:vAlign w:val="bottom"/>
          </w:tcPr>
          <w:p w14:paraId="12DA71F7" w14:textId="7956B427" w:rsidR="007E1F77" w:rsidRPr="001D7D53" w:rsidRDefault="00C70BB6" w:rsidP="007E1F77">
            <w:pPr>
              <w:pStyle w:val="TableTextRight"/>
              <w:rPr>
                <w:i/>
              </w:rPr>
            </w:pPr>
            <w:r>
              <w:rPr>
                <w:rFonts w:ascii="Calibri" w:hAnsi="Calibri" w:cs="Calibri"/>
                <w:i/>
                <w:iCs/>
              </w:rPr>
              <w:t>605</w:t>
            </w:r>
          </w:p>
        </w:tc>
        <w:tc>
          <w:tcPr>
            <w:tcW w:w="1128" w:type="dxa"/>
            <w:tcBorders>
              <w:top w:val="nil"/>
              <w:left w:val="nil"/>
              <w:bottom w:val="nil"/>
              <w:right w:val="nil"/>
            </w:tcBorders>
            <w:vAlign w:val="bottom"/>
          </w:tcPr>
          <w:p w14:paraId="6152C47F" w14:textId="25B221EE" w:rsidR="007E1F77" w:rsidRPr="001D7D53" w:rsidRDefault="00C70BB6" w:rsidP="007E1F77">
            <w:pPr>
              <w:pStyle w:val="TableTextRight"/>
              <w:rPr>
                <w:i/>
              </w:rPr>
            </w:pPr>
            <w:r>
              <w:rPr>
                <w:rFonts w:ascii="Calibri" w:hAnsi="Calibri" w:cs="Calibri"/>
                <w:i/>
                <w:iCs/>
              </w:rPr>
              <w:t>595</w:t>
            </w:r>
          </w:p>
        </w:tc>
      </w:tr>
      <w:tr w:rsidR="007E1F77" w14:paraId="1607094A" w14:textId="77777777" w:rsidTr="00916EF2">
        <w:tc>
          <w:tcPr>
            <w:tcW w:w="3522" w:type="dxa"/>
            <w:tcBorders>
              <w:top w:val="nil"/>
              <w:left w:val="nil"/>
              <w:bottom w:val="single" w:sz="4" w:space="0" w:color="auto"/>
              <w:right w:val="nil"/>
            </w:tcBorders>
            <w:hideMark/>
          </w:tcPr>
          <w:p w14:paraId="7287F1D5" w14:textId="77777777" w:rsidR="007E1F77" w:rsidRDefault="007E1F77" w:rsidP="007E1F77">
            <w:pPr>
              <w:pStyle w:val="Tabletextleftindent"/>
            </w:pPr>
            <w:r>
              <w:t xml:space="preserve">Overseas departures </w:t>
            </w:r>
          </w:p>
        </w:tc>
        <w:tc>
          <w:tcPr>
            <w:tcW w:w="1127" w:type="dxa"/>
            <w:tcBorders>
              <w:top w:val="nil"/>
              <w:left w:val="nil"/>
              <w:bottom w:val="single" w:sz="4" w:space="0" w:color="auto"/>
              <w:right w:val="nil"/>
            </w:tcBorders>
            <w:vAlign w:val="bottom"/>
          </w:tcPr>
          <w:p w14:paraId="64556C97" w14:textId="77777777" w:rsidR="007E1F77" w:rsidRPr="001D7D53" w:rsidRDefault="007E1F77" w:rsidP="007E1F77">
            <w:pPr>
              <w:pStyle w:val="TableTextRight"/>
              <w:rPr>
                <w:i/>
              </w:rPr>
            </w:pPr>
            <w:r w:rsidRPr="001D7D53">
              <w:rPr>
                <w:i/>
              </w:rPr>
              <w:t>204</w:t>
            </w:r>
          </w:p>
        </w:tc>
        <w:tc>
          <w:tcPr>
            <w:tcW w:w="1128" w:type="dxa"/>
            <w:tcBorders>
              <w:top w:val="nil"/>
              <w:left w:val="nil"/>
              <w:bottom w:val="nil"/>
              <w:right w:val="nil"/>
            </w:tcBorders>
            <w:shd w:val="clear" w:color="auto" w:fill="D2EDFF" w:themeFill="accent1" w:themeFillTint="1A"/>
            <w:vAlign w:val="bottom"/>
          </w:tcPr>
          <w:p w14:paraId="3C33D292" w14:textId="3F6F20F8" w:rsidR="007E1F77" w:rsidRPr="001D7D53" w:rsidRDefault="00C70BB6" w:rsidP="007E1F77">
            <w:pPr>
              <w:pStyle w:val="TableTextRight"/>
              <w:rPr>
                <w:i/>
              </w:rPr>
            </w:pPr>
            <w:r>
              <w:rPr>
                <w:rFonts w:ascii="Calibri" w:hAnsi="Calibri" w:cs="Calibri"/>
                <w:i/>
                <w:iCs/>
              </w:rPr>
              <w:t>220</w:t>
            </w:r>
          </w:p>
        </w:tc>
        <w:tc>
          <w:tcPr>
            <w:tcW w:w="1128" w:type="dxa"/>
            <w:tcBorders>
              <w:top w:val="nil"/>
              <w:left w:val="nil"/>
              <w:bottom w:val="nil"/>
              <w:right w:val="nil"/>
            </w:tcBorders>
            <w:vAlign w:val="bottom"/>
          </w:tcPr>
          <w:p w14:paraId="2B21EC3A" w14:textId="4C9F8DC4" w:rsidR="007E1F77" w:rsidRPr="001D7D53" w:rsidRDefault="00C70BB6" w:rsidP="007E1F77">
            <w:pPr>
              <w:pStyle w:val="TableTextRight"/>
              <w:rPr>
                <w:i/>
              </w:rPr>
            </w:pPr>
            <w:r>
              <w:rPr>
                <w:rFonts w:ascii="Calibri" w:hAnsi="Calibri" w:cs="Calibri"/>
                <w:i/>
                <w:iCs/>
              </w:rPr>
              <w:t>285</w:t>
            </w:r>
          </w:p>
        </w:tc>
        <w:tc>
          <w:tcPr>
            <w:tcW w:w="1128" w:type="dxa"/>
            <w:tcBorders>
              <w:top w:val="nil"/>
              <w:left w:val="nil"/>
              <w:bottom w:val="nil"/>
              <w:right w:val="nil"/>
            </w:tcBorders>
            <w:vAlign w:val="bottom"/>
          </w:tcPr>
          <w:p w14:paraId="4F7047F5" w14:textId="6AC685A2" w:rsidR="007E1F77" w:rsidRPr="001D7D53" w:rsidRDefault="00C70BB6" w:rsidP="007E1F77">
            <w:pPr>
              <w:pStyle w:val="TableTextRight"/>
              <w:rPr>
                <w:i/>
              </w:rPr>
            </w:pPr>
            <w:r>
              <w:rPr>
                <w:rFonts w:ascii="Calibri" w:hAnsi="Calibri" w:cs="Calibri"/>
                <w:i/>
                <w:iCs/>
              </w:rPr>
              <w:t>350</w:t>
            </w:r>
          </w:p>
        </w:tc>
        <w:tc>
          <w:tcPr>
            <w:tcW w:w="1128" w:type="dxa"/>
            <w:tcBorders>
              <w:top w:val="nil"/>
              <w:left w:val="nil"/>
              <w:bottom w:val="single" w:sz="4" w:space="0" w:color="auto"/>
              <w:right w:val="nil"/>
            </w:tcBorders>
            <w:vAlign w:val="bottom"/>
          </w:tcPr>
          <w:p w14:paraId="21856882" w14:textId="3827B471" w:rsidR="007E1F77" w:rsidRPr="001D7D53" w:rsidRDefault="00C70BB6" w:rsidP="007E1F77">
            <w:pPr>
              <w:pStyle w:val="TableTextRight"/>
              <w:rPr>
                <w:i/>
              </w:rPr>
            </w:pPr>
            <w:r>
              <w:rPr>
                <w:rFonts w:ascii="Calibri" w:hAnsi="Calibri" w:cs="Calibri"/>
                <w:i/>
                <w:iCs/>
              </w:rPr>
              <w:t>370</w:t>
            </w:r>
          </w:p>
        </w:tc>
      </w:tr>
      <w:tr w:rsidR="00D9259F" w14:paraId="33D37B1A" w14:textId="77777777" w:rsidTr="007E1F77">
        <w:tc>
          <w:tcPr>
            <w:tcW w:w="3522" w:type="dxa"/>
            <w:tcBorders>
              <w:top w:val="single" w:sz="4" w:space="0" w:color="auto"/>
              <w:left w:val="nil"/>
              <w:bottom w:val="single" w:sz="4" w:space="0" w:color="auto"/>
              <w:right w:val="nil"/>
            </w:tcBorders>
            <w:hideMark/>
          </w:tcPr>
          <w:p w14:paraId="26FC08FE" w14:textId="77777777" w:rsidR="00D9259F" w:rsidRPr="00BC6428" w:rsidRDefault="00D9259F" w:rsidP="00BC6428">
            <w:pPr>
              <w:pStyle w:val="TableTextLeftBlue"/>
            </w:pPr>
            <w:r w:rsidRPr="00BC6428">
              <w:t>Median age (years)</w:t>
            </w:r>
          </w:p>
        </w:tc>
        <w:tc>
          <w:tcPr>
            <w:tcW w:w="1127" w:type="dxa"/>
            <w:tcBorders>
              <w:top w:val="single" w:sz="4" w:space="0" w:color="auto"/>
              <w:left w:val="nil"/>
              <w:bottom w:val="single" w:sz="4" w:space="0" w:color="auto"/>
              <w:right w:val="nil"/>
            </w:tcBorders>
            <w:vAlign w:val="bottom"/>
          </w:tcPr>
          <w:p w14:paraId="2DF1B916" w14:textId="77777777" w:rsidR="00D9259F" w:rsidRPr="00342BB5" w:rsidRDefault="00D9259F" w:rsidP="00054E63">
            <w:pPr>
              <w:pStyle w:val="TableTextRight"/>
            </w:pPr>
            <w:r w:rsidRPr="001D7D53">
              <w:t>38.3</w:t>
            </w:r>
          </w:p>
        </w:tc>
        <w:tc>
          <w:tcPr>
            <w:tcW w:w="1128" w:type="dxa"/>
            <w:tcBorders>
              <w:top w:val="single" w:sz="4" w:space="0" w:color="auto"/>
              <w:left w:val="nil"/>
              <w:bottom w:val="single" w:sz="4" w:space="0" w:color="auto"/>
              <w:right w:val="nil"/>
            </w:tcBorders>
            <w:shd w:val="clear" w:color="auto" w:fill="D2EDFF" w:themeFill="accent1" w:themeFillTint="1A"/>
            <w:vAlign w:val="bottom"/>
          </w:tcPr>
          <w:p w14:paraId="2D565F67" w14:textId="66421C8E" w:rsidR="00D9259F" w:rsidRPr="00342BB5" w:rsidRDefault="00D9259F" w:rsidP="00054E63">
            <w:pPr>
              <w:pStyle w:val="TableTextRight"/>
            </w:pPr>
            <w:r>
              <w:rPr>
                <w:rFonts w:ascii="Calibri" w:hAnsi="Calibri" w:cs="Calibri"/>
              </w:rPr>
              <w:t>38.3</w:t>
            </w:r>
          </w:p>
        </w:tc>
        <w:tc>
          <w:tcPr>
            <w:tcW w:w="1128" w:type="dxa"/>
            <w:tcBorders>
              <w:top w:val="single" w:sz="4" w:space="0" w:color="auto"/>
              <w:left w:val="nil"/>
              <w:bottom w:val="single" w:sz="4" w:space="0" w:color="auto"/>
              <w:right w:val="nil"/>
            </w:tcBorders>
            <w:vAlign w:val="bottom"/>
          </w:tcPr>
          <w:p w14:paraId="6596C729" w14:textId="114E54B2" w:rsidR="00D9259F" w:rsidRPr="00342BB5" w:rsidRDefault="00D9259F" w:rsidP="00054E63">
            <w:pPr>
              <w:pStyle w:val="TableTextRight"/>
            </w:pPr>
            <w:r>
              <w:rPr>
                <w:rFonts w:ascii="Calibri" w:hAnsi="Calibri" w:cs="Calibri"/>
              </w:rPr>
              <w:t>38.4</w:t>
            </w:r>
          </w:p>
        </w:tc>
        <w:tc>
          <w:tcPr>
            <w:tcW w:w="1128" w:type="dxa"/>
            <w:tcBorders>
              <w:top w:val="single" w:sz="4" w:space="0" w:color="auto"/>
              <w:left w:val="nil"/>
              <w:bottom w:val="single" w:sz="4" w:space="0" w:color="auto"/>
              <w:right w:val="nil"/>
            </w:tcBorders>
            <w:vAlign w:val="bottom"/>
          </w:tcPr>
          <w:p w14:paraId="64635A71" w14:textId="0513F3BB" w:rsidR="00D9259F" w:rsidRPr="00342BB5" w:rsidRDefault="000E7D8C" w:rsidP="00054E63">
            <w:pPr>
              <w:pStyle w:val="TableTextRight"/>
            </w:pPr>
            <w:r>
              <w:rPr>
                <w:rFonts w:ascii="Calibri" w:hAnsi="Calibri" w:cs="Calibri"/>
              </w:rPr>
              <w:t>38.5</w:t>
            </w:r>
          </w:p>
        </w:tc>
        <w:tc>
          <w:tcPr>
            <w:tcW w:w="1128" w:type="dxa"/>
            <w:tcBorders>
              <w:top w:val="single" w:sz="4" w:space="0" w:color="auto"/>
              <w:left w:val="nil"/>
              <w:bottom w:val="single" w:sz="4" w:space="0" w:color="auto"/>
              <w:right w:val="nil"/>
            </w:tcBorders>
            <w:vAlign w:val="bottom"/>
          </w:tcPr>
          <w:p w14:paraId="52918621" w14:textId="6979EFD9" w:rsidR="00D9259F" w:rsidRPr="00342BB5" w:rsidRDefault="000E7D8C" w:rsidP="00054E63">
            <w:pPr>
              <w:pStyle w:val="TableTextRight"/>
            </w:pPr>
            <w:r>
              <w:rPr>
                <w:rFonts w:ascii="Calibri" w:hAnsi="Calibri" w:cs="Calibri"/>
              </w:rPr>
              <w:t>38.7</w:t>
            </w:r>
          </w:p>
        </w:tc>
      </w:tr>
      <w:tr w:rsidR="00D9259F" w14:paraId="36EEF35C" w14:textId="77777777" w:rsidTr="00916EF2">
        <w:tc>
          <w:tcPr>
            <w:tcW w:w="3522" w:type="dxa"/>
            <w:tcBorders>
              <w:top w:val="single" w:sz="4" w:space="0" w:color="auto"/>
              <w:left w:val="nil"/>
              <w:bottom w:val="single" w:sz="4" w:space="0" w:color="auto"/>
              <w:right w:val="nil"/>
            </w:tcBorders>
          </w:tcPr>
          <w:p w14:paraId="5326697D" w14:textId="009781C8" w:rsidR="00D9259F" w:rsidRPr="00BC6428" w:rsidRDefault="00A70EB3" w:rsidP="00BC6428">
            <w:pPr>
              <w:pStyle w:val="TableTextLeftBlue"/>
            </w:pPr>
            <w:r>
              <w:t>Old</w:t>
            </w:r>
            <w:r w:rsidR="00050D25">
              <w:noBreakHyphen/>
            </w:r>
            <w:r>
              <w:t>age d</w:t>
            </w:r>
            <w:r w:rsidR="00D9259F" w:rsidRPr="00BC6428">
              <w:t>ependency ratio</w:t>
            </w:r>
          </w:p>
        </w:tc>
        <w:tc>
          <w:tcPr>
            <w:tcW w:w="1127" w:type="dxa"/>
            <w:tcBorders>
              <w:top w:val="single" w:sz="4" w:space="0" w:color="auto"/>
              <w:left w:val="nil"/>
              <w:bottom w:val="single" w:sz="4" w:space="0" w:color="auto"/>
              <w:right w:val="nil"/>
            </w:tcBorders>
            <w:vAlign w:val="bottom"/>
          </w:tcPr>
          <w:p w14:paraId="03A9C079" w14:textId="77777777" w:rsidR="00D9259F" w:rsidRPr="008D1155" w:rsidRDefault="00D9259F" w:rsidP="00054E63">
            <w:pPr>
              <w:pStyle w:val="TableTextRight"/>
            </w:pPr>
            <w:r w:rsidRPr="008D1155">
              <w:t>26.3</w:t>
            </w:r>
          </w:p>
        </w:tc>
        <w:tc>
          <w:tcPr>
            <w:tcW w:w="1128" w:type="dxa"/>
            <w:tcBorders>
              <w:top w:val="single" w:sz="4" w:space="0" w:color="auto"/>
              <w:left w:val="nil"/>
              <w:bottom w:val="single" w:sz="4" w:space="0" w:color="auto"/>
              <w:right w:val="nil"/>
            </w:tcBorders>
            <w:shd w:val="clear" w:color="auto" w:fill="D2EDFF" w:themeFill="accent1" w:themeFillTint="1A"/>
            <w:vAlign w:val="bottom"/>
          </w:tcPr>
          <w:p w14:paraId="22499031" w14:textId="6179FA7A" w:rsidR="00D9259F" w:rsidRPr="008D1155" w:rsidRDefault="00D9259F" w:rsidP="00054E63">
            <w:pPr>
              <w:pStyle w:val="TableTextRight"/>
            </w:pPr>
            <w:r>
              <w:rPr>
                <w:rFonts w:ascii="Calibri" w:hAnsi="Calibri" w:cs="Calibri"/>
              </w:rPr>
              <w:t>26.5</w:t>
            </w:r>
          </w:p>
        </w:tc>
        <w:tc>
          <w:tcPr>
            <w:tcW w:w="1128" w:type="dxa"/>
            <w:tcBorders>
              <w:top w:val="single" w:sz="4" w:space="0" w:color="auto"/>
              <w:left w:val="nil"/>
              <w:bottom w:val="single" w:sz="4" w:space="0" w:color="auto"/>
              <w:right w:val="nil"/>
            </w:tcBorders>
            <w:vAlign w:val="bottom"/>
          </w:tcPr>
          <w:p w14:paraId="7B2D5E0C" w14:textId="1F8B08D8" w:rsidR="00D9259F" w:rsidRPr="008D1155" w:rsidRDefault="000E7D8C" w:rsidP="00054E63">
            <w:pPr>
              <w:pStyle w:val="TableTextRight"/>
            </w:pPr>
            <w:r>
              <w:rPr>
                <w:rFonts w:ascii="Calibri" w:hAnsi="Calibri" w:cs="Calibri"/>
              </w:rPr>
              <w:t>26.8</w:t>
            </w:r>
          </w:p>
        </w:tc>
        <w:tc>
          <w:tcPr>
            <w:tcW w:w="1128" w:type="dxa"/>
            <w:tcBorders>
              <w:top w:val="single" w:sz="4" w:space="0" w:color="auto"/>
              <w:left w:val="nil"/>
              <w:bottom w:val="single" w:sz="4" w:space="0" w:color="auto"/>
              <w:right w:val="nil"/>
            </w:tcBorders>
            <w:vAlign w:val="bottom"/>
          </w:tcPr>
          <w:p w14:paraId="167DDFAF" w14:textId="33DEF6E0" w:rsidR="00D9259F" w:rsidRPr="008D1155" w:rsidRDefault="000E7D8C" w:rsidP="00054E63">
            <w:pPr>
              <w:pStyle w:val="TableTextRight"/>
            </w:pPr>
            <w:r>
              <w:rPr>
                <w:rFonts w:ascii="Calibri" w:hAnsi="Calibri" w:cs="Calibri"/>
              </w:rPr>
              <w:t>27.3</w:t>
            </w:r>
          </w:p>
        </w:tc>
        <w:tc>
          <w:tcPr>
            <w:tcW w:w="1128" w:type="dxa"/>
            <w:tcBorders>
              <w:top w:val="single" w:sz="4" w:space="0" w:color="auto"/>
              <w:left w:val="nil"/>
              <w:bottom w:val="single" w:sz="4" w:space="0" w:color="auto"/>
              <w:right w:val="nil"/>
            </w:tcBorders>
            <w:vAlign w:val="bottom"/>
          </w:tcPr>
          <w:p w14:paraId="75FAF0A5" w14:textId="0BB1AFE4" w:rsidR="00D9259F" w:rsidRPr="008D1155" w:rsidRDefault="000E7D8C" w:rsidP="00054E63">
            <w:pPr>
              <w:pStyle w:val="TableTextRight"/>
            </w:pPr>
            <w:r>
              <w:rPr>
                <w:rFonts w:ascii="Calibri" w:hAnsi="Calibri" w:cs="Calibri"/>
              </w:rPr>
              <w:t>27.9</w:t>
            </w:r>
          </w:p>
        </w:tc>
      </w:tr>
    </w:tbl>
    <w:p w14:paraId="48F33662" w14:textId="605CC2BD" w:rsidR="00B17582" w:rsidRPr="00151500" w:rsidRDefault="00B17582" w:rsidP="00151500">
      <w:pPr>
        <w:pStyle w:val="ChartorTableNote"/>
      </w:pPr>
      <w:r w:rsidRPr="00151500">
        <w:t xml:space="preserve">Note: </w:t>
      </w:r>
      <w:r w:rsidRPr="00151500">
        <w:tab/>
      </w:r>
      <w:r w:rsidR="006F4C84" w:rsidRPr="00151500">
        <w:t>The o</w:t>
      </w:r>
      <w:r w:rsidRPr="00151500">
        <w:t>ld</w:t>
      </w:r>
      <w:r w:rsidR="00050D25">
        <w:noBreakHyphen/>
      </w:r>
      <w:r w:rsidRPr="00151500">
        <w:t>age dependency ratio is the ratio of the number of people aged 65 years</w:t>
      </w:r>
      <w:r w:rsidR="00012B79" w:rsidRPr="00151500">
        <w:t xml:space="preserve"> and over</w:t>
      </w:r>
      <w:r w:rsidRPr="00151500">
        <w:t xml:space="preserve"> to the number of people of </w:t>
      </w:r>
      <w:r w:rsidR="00012B79" w:rsidRPr="00151500">
        <w:t>a</w:t>
      </w:r>
      <w:r w:rsidRPr="00151500">
        <w:t>ged 15</w:t>
      </w:r>
      <w:r w:rsidR="00012B79" w:rsidRPr="00151500">
        <w:t xml:space="preserve"> to</w:t>
      </w:r>
      <w:r w:rsidRPr="00151500">
        <w:t xml:space="preserve"> 64.</w:t>
      </w:r>
    </w:p>
    <w:p w14:paraId="07FAEF5C" w14:textId="076C3D25" w:rsidR="00511FE8" w:rsidRPr="00151500" w:rsidRDefault="00D9259F" w:rsidP="00151500">
      <w:pPr>
        <w:pStyle w:val="Source"/>
      </w:pPr>
      <w:r w:rsidRPr="00151500">
        <w:t xml:space="preserve">Source: </w:t>
      </w:r>
      <w:r w:rsidRPr="00151500">
        <w:tab/>
        <w:t xml:space="preserve">ABS, </w:t>
      </w:r>
      <w:r w:rsidRPr="002F440F">
        <w:rPr>
          <w:rStyle w:val="SubtleEmphasis"/>
        </w:rPr>
        <w:t>National, state and territory population</w:t>
      </w:r>
      <w:r w:rsidRPr="00151500">
        <w:t>, March 2024; and Centre for Population.</w:t>
      </w:r>
    </w:p>
    <w:p w14:paraId="10202D17" w14:textId="0AF09563" w:rsidR="00511FE8" w:rsidRDefault="00511FE8" w:rsidP="006A24B8">
      <w:pPr>
        <w:pStyle w:val="SingleParagraph"/>
        <w:rPr>
          <w:sz w:val="18"/>
          <w:bdr w:val="none" w:sz="0" w:space="0" w:color="auto" w:frame="1"/>
        </w:rPr>
      </w:pPr>
      <w:r>
        <w:br w:type="page"/>
      </w:r>
    </w:p>
    <w:p w14:paraId="40BD5538" w14:textId="782408BD" w:rsidR="00D9259F" w:rsidRPr="00151500" w:rsidRDefault="00D9259F" w:rsidP="00151500">
      <w:pPr>
        <w:pStyle w:val="TableMainHeading"/>
      </w:pPr>
      <w:bookmarkStart w:id="63" w:name="_Ref181178016"/>
      <w:r w:rsidRPr="00151500">
        <w:lastRenderedPageBreak/>
        <w:t>Long</w:t>
      </w:r>
      <w:r w:rsidR="00050D25">
        <w:noBreakHyphen/>
      </w:r>
      <w:r w:rsidRPr="00151500">
        <w:t>term population projections, Australia</w:t>
      </w:r>
      <w:bookmarkEnd w:id="63"/>
    </w:p>
    <w:tbl>
      <w:tblPr>
        <w:tblStyle w:val="CPOPTable"/>
        <w:tblW w:w="5000" w:type="pct"/>
        <w:tblLayout w:type="fixed"/>
        <w:tblLook w:val="04A0" w:firstRow="1" w:lastRow="0" w:firstColumn="1" w:lastColumn="0" w:noHBand="0" w:noVBand="1"/>
        <w:tblCaption w:val="Table"/>
      </w:tblPr>
      <w:tblGrid>
        <w:gridCol w:w="4588"/>
        <w:gridCol w:w="1121"/>
        <w:gridCol w:w="1121"/>
        <w:gridCol w:w="1121"/>
        <w:gridCol w:w="1121"/>
      </w:tblGrid>
      <w:tr w:rsidR="00D9259F" w14:paraId="3C7A00C0" w14:textId="77777777" w:rsidTr="00916EF2">
        <w:trPr>
          <w:cnfStyle w:val="100000000000" w:firstRow="1" w:lastRow="0" w:firstColumn="0" w:lastColumn="0" w:oddVBand="0" w:evenVBand="0" w:oddHBand="0" w:evenHBand="0" w:firstRowFirstColumn="0" w:firstRowLastColumn="0" w:lastRowFirstColumn="0" w:lastRowLastColumn="0"/>
        </w:trPr>
        <w:tc>
          <w:tcPr>
            <w:tcW w:w="4588" w:type="dxa"/>
            <w:tcBorders>
              <w:top w:val="single" w:sz="4" w:space="0" w:color="auto"/>
              <w:bottom w:val="single" w:sz="4" w:space="0" w:color="auto"/>
            </w:tcBorders>
          </w:tcPr>
          <w:p w14:paraId="3A7B130C" w14:textId="77777777" w:rsidR="00D9259F" w:rsidRDefault="00D9259F" w:rsidP="00916EF2">
            <w:pPr>
              <w:pStyle w:val="TableSecondHeading"/>
              <w:rPr>
                <w:rFonts w:cstheme="minorHAnsi"/>
                <w:sz w:val="19"/>
                <w:szCs w:val="19"/>
                <w:lang w:eastAsia="en-US"/>
              </w:rPr>
            </w:pPr>
          </w:p>
        </w:tc>
        <w:tc>
          <w:tcPr>
            <w:tcW w:w="1121" w:type="dxa"/>
            <w:tcBorders>
              <w:top w:val="single" w:sz="4" w:space="0" w:color="auto"/>
              <w:bottom w:val="single" w:sz="4" w:space="0" w:color="auto"/>
            </w:tcBorders>
            <w:hideMark/>
          </w:tcPr>
          <w:p w14:paraId="1E9674B3" w14:textId="77777777" w:rsidR="00D9259F" w:rsidRPr="00B472FB" w:rsidRDefault="00D9259F" w:rsidP="00C23990">
            <w:pPr>
              <w:pStyle w:val="TableColumnHeadingRight"/>
            </w:pPr>
            <w:r w:rsidRPr="00B472FB">
              <w:t>20</w:t>
            </w:r>
            <w:r>
              <w:t>34</w:t>
            </w:r>
            <w:r w:rsidRPr="00B472FB">
              <w:t>–</w:t>
            </w:r>
            <w:r>
              <w:t>35</w:t>
            </w:r>
          </w:p>
        </w:tc>
        <w:tc>
          <w:tcPr>
            <w:tcW w:w="1121" w:type="dxa"/>
            <w:tcBorders>
              <w:top w:val="single" w:sz="4" w:space="0" w:color="auto"/>
              <w:bottom w:val="single" w:sz="4" w:space="0" w:color="auto"/>
            </w:tcBorders>
            <w:hideMark/>
          </w:tcPr>
          <w:p w14:paraId="0D07B97E" w14:textId="77777777" w:rsidR="00D9259F" w:rsidRPr="00B472FB" w:rsidRDefault="00D9259F" w:rsidP="00C23990">
            <w:pPr>
              <w:pStyle w:val="TableColumnHeadingRight"/>
            </w:pPr>
            <w:r w:rsidRPr="00B472FB">
              <w:t>20</w:t>
            </w:r>
            <w:r>
              <w:t>44</w:t>
            </w:r>
            <w:r w:rsidRPr="00B472FB">
              <w:t>–</w:t>
            </w:r>
            <w:r>
              <w:t>45</w:t>
            </w:r>
          </w:p>
        </w:tc>
        <w:tc>
          <w:tcPr>
            <w:tcW w:w="1121" w:type="dxa"/>
            <w:tcBorders>
              <w:top w:val="single" w:sz="4" w:space="0" w:color="auto"/>
              <w:bottom w:val="single" w:sz="4" w:space="0" w:color="auto"/>
            </w:tcBorders>
            <w:hideMark/>
          </w:tcPr>
          <w:p w14:paraId="7C63CEAB" w14:textId="77777777" w:rsidR="00D9259F" w:rsidRPr="00B472FB" w:rsidRDefault="00D9259F" w:rsidP="00C23990">
            <w:pPr>
              <w:pStyle w:val="TableColumnHeadingRight"/>
            </w:pPr>
            <w:r w:rsidRPr="00B472FB">
              <w:t>20</w:t>
            </w:r>
            <w:r>
              <w:t>54</w:t>
            </w:r>
            <w:r w:rsidRPr="00B472FB">
              <w:t>–</w:t>
            </w:r>
            <w:r>
              <w:t>55</w:t>
            </w:r>
          </w:p>
        </w:tc>
        <w:tc>
          <w:tcPr>
            <w:tcW w:w="1121" w:type="dxa"/>
            <w:tcBorders>
              <w:top w:val="single" w:sz="4" w:space="0" w:color="auto"/>
              <w:bottom w:val="single" w:sz="4" w:space="0" w:color="auto"/>
            </w:tcBorders>
            <w:hideMark/>
          </w:tcPr>
          <w:p w14:paraId="1BFC634B" w14:textId="77777777" w:rsidR="00D9259F" w:rsidRPr="00B472FB" w:rsidRDefault="00D9259F" w:rsidP="00C23990">
            <w:pPr>
              <w:pStyle w:val="TableColumnHeadingRight"/>
            </w:pPr>
            <w:r w:rsidRPr="00B472FB">
              <w:t>20</w:t>
            </w:r>
            <w:r>
              <w:t>64</w:t>
            </w:r>
            <w:r w:rsidRPr="00B472FB">
              <w:t>–</w:t>
            </w:r>
            <w:r>
              <w:t>65</w:t>
            </w:r>
          </w:p>
        </w:tc>
      </w:tr>
      <w:tr w:rsidR="00D9259F" w:rsidRPr="00D0293B" w14:paraId="0430ACE8" w14:textId="77777777" w:rsidTr="00916EF2">
        <w:trPr>
          <w:trHeight w:val="294"/>
        </w:trPr>
        <w:tc>
          <w:tcPr>
            <w:tcW w:w="4588" w:type="dxa"/>
            <w:tcBorders>
              <w:top w:val="single" w:sz="4" w:space="0" w:color="auto"/>
              <w:left w:val="nil"/>
              <w:bottom w:val="nil"/>
              <w:right w:val="nil"/>
            </w:tcBorders>
            <w:hideMark/>
          </w:tcPr>
          <w:p w14:paraId="2F7B8AAF" w14:textId="77777777" w:rsidR="00D9259F" w:rsidRPr="00511FE8" w:rsidRDefault="00D9259F" w:rsidP="00636638">
            <w:pPr>
              <w:pStyle w:val="TableColumnHeadingLeft"/>
            </w:pPr>
            <w:r w:rsidRPr="00511FE8">
              <w:t xml:space="preserve">Population </w:t>
            </w:r>
            <w:proofErr w:type="gramStart"/>
            <w:r w:rsidRPr="00511FE8">
              <w:t>at</w:t>
            </w:r>
            <w:proofErr w:type="gramEnd"/>
            <w:r w:rsidRPr="00511FE8">
              <w:t xml:space="preserve"> 30 June (millions)</w:t>
            </w:r>
          </w:p>
        </w:tc>
        <w:tc>
          <w:tcPr>
            <w:tcW w:w="1121" w:type="dxa"/>
            <w:tcBorders>
              <w:top w:val="single" w:sz="4" w:space="0" w:color="auto"/>
              <w:left w:val="nil"/>
              <w:bottom w:val="nil"/>
              <w:right w:val="nil"/>
            </w:tcBorders>
            <w:vAlign w:val="bottom"/>
          </w:tcPr>
          <w:p w14:paraId="3184399C" w14:textId="5E725AE1" w:rsidR="00D9259F" w:rsidRPr="00386590" w:rsidRDefault="004418FE" w:rsidP="00916EF2">
            <w:pPr>
              <w:pStyle w:val="TableTextLeft"/>
              <w:keepNext/>
              <w:jc w:val="right"/>
              <w:rPr>
                <w:rFonts w:cstheme="minorHAnsi"/>
                <w:b/>
                <w:lang w:eastAsia="en-US"/>
              </w:rPr>
            </w:pPr>
            <w:r>
              <w:rPr>
                <w:rFonts w:ascii="Calibri" w:hAnsi="Calibri" w:cs="Calibri"/>
                <w:b/>
                <w:bCs/>
              </w:rPr>
              <w:t>31.3</w:t>
            </w:r>
          </w:p>
        </w:tc>
        <w:tc>
          <w:tcPr>
            <w:tcW w:w="1121" w:type="dxa"/>
            <w:tcBorders>
              <w:top w:val="single" w:sz="4" w:space="0" w:color="auto"/>
              <w:left w:val="nil"/>
              <w:bottom w:val="nil"/>
              <w:right w:val="nil"/>
            </w:tcBorders>
            <w:vAlign w:val="bottom"/>
          </w:tcPr>
          <w:p w14:paraId="38A2EDF0" w14:textId="64154A8B" w:rsidR="00D9259F" w:rsidRPr="00386590" w:rsidRDefault="004418FE" w:rsidP="00916EF2">
            <w:pPr>
              <w:pStyle w:val="TableTextLeft"/>
              <w:keepNext/>
              <w:jc w:val="right"/>
              <w:rPr>
                <w:rFonts w:cstheme="minorHAnsi"/>
                <w:b/>
                <w:lang w:eastAsia="en-US"/>
              </w:rPr>
            </w:pPr>
            <w:r>
              <w:rPr>
                <w:rFonts w:ascii="Calibri" w:hAnsi="Calibri" w:cs="Calibri"/>
                <w:b/>
                <w:bCs/>
              </w:rPr>
              <w:t>34.8</w:t>
            </w:r>
          </w:p>
        </w:tc>
        <w:tc>
          <w:tcPr>
            <w:tcW w:w="1121" w:type="dxa"/>
            <w:tcBorders>
              <w:top w:val="single" w:sz="4" w:space="0" w:color="auto"/>
              <w:left w:val="nil"/>
              <w:bottom w:val="nil"/>
              <w:right w:val="nil"/>
            </w:tcBorders>
            <w:vAlign w:val="bottom"/>
          </w:tcPr>
          <w:p w14:paraId="5D8EE8FA" w14:textId="1FD9AA6A" w:rsidR="00D9259F" w:rsidRPr="00386590" w:rsidRDefault="004418FE" w:rsidP="00916EF2">
            <w:pPr>
              <w:pStyle w:val="TableTextLeft"/>
              <w:keepNext/>
              <w:jc w:val="right"/>
              <w:rPr>
                <w:rFonts w:cstheme="minorHAnsi"/>
                <w:b/>
                <w:lang w:eastAsia="en-US"/>
              </w:rPr>
            </w:pPr>
            <w:r>
              <w:rPr>
                <w:rFonts w:ascii="Calibri" w:hAnsi="Calibri" w:cs="Calibri"/>
                <w:b/>
                <w:bCs/>
              </w:rPr>
              <w:t>38</w:t>
            </w:r>
            <w:r w:rsidR="00D6232C">
              <w:rPr>
                <w:rFonts w:ascii="Calibri" w:hAnsi="Calibri" w:cs="Calibri"/>
                <w:b/>
                <w:bCs/>
              </w:rPr>
              <w:t>.0</w:t>
            </w:r>
          </w:p>
        </w:tc>
        <w:tc>
          <w:tcPr>
            <w:tcW w:w="1121" w:type="dxa"/>
            <w:tcBorders>
              <w:top w:val="single" w:sz="4" w:space="0" w:color="auto"/>
              <w:left w:val="nil"/>
              <w:bottom w:val="nil"/>
              <w:right w:val="nil"/>
            </w:tcBorders>
            <w:vAlign w:val="bottom"/>
          </w:tcPr>
          <w:p w14:paraId="4E8CA206" w14:textId="7C6B57E8" w:rsidR="00D9259F" w:rsidRPr="00386590" w:rsidRDefault="004418FE" w:rsidP="00916EF2">
            <w:pPr>
              <w:pStyle w:val="TableTextLeft"/>
              <w:keepNext/>
              <w:jc w:val="right"/>
              <w:rPr>
                <w:rFonts w:cstheme="minorHAnsi"/>
                <w:b/>
                <w:lang w:eastAsia="en-US"/>
              </w:rPr>
            </w:pPr>
            <w:r>
              <w:rPr>
                <w:rFonts w:ascii="Calibri" w:hAnsi="Calibri" w:cs="Calibri"/>
                <w:b/>
                <w:bCs/>
              </w:rPr>
              <w:t>41.2</w:t>
            </w:r>
          </w:p>
        </w:tc>
      </w:tr>
      <w:tr w:rsidR="00D9259F" w14:paraId="3ABC49A8" w14:textId="77777777" w:rsidTr="00800A43">
        <w:trPr>
          <w:trHeight w:val="224"/>
        </w:trPr>
        <w:tc>
          <w:tcPr>
            <w:tcW w:w="4588" w:type="dxa"/>
            <w:tcBorders>
              <w:top w:val="nil"/>
              <w:left w:val="nil"/>
              <w:bottom w:val="nil"/>
              <w:right w:val="nil"/>
            </w:tcBorders>
            <w:hideMark/>
          </w:tcPr>
          <w:p w14:paraId="5A65E2E6" w14:textId="77777777" w:rsidR="00D9259F" w:rsidRDefault="00D9259F" w:rsidP="00511FE8">
            <w:pPr>
              <w:pStyle w:val="TableTextLeftBlue"/>
            </w:pPr>
            <w:r>
              <w:t>Population growth (per cent)</w:t>
            </w:r>
          </w:p>
        </w:tc>
        <w:tc>
          <w:tcPr>
            <w:tcW w:w="1121" w:type="dxa"/>
            <w:tcBorders>
              <w:top w:val="nil"/>
              <w:left w:val="nil"/>
              <w:bottom w:val="nil"/>
              <w:right w:val="nil"/>
            </w:tcBorders>
            <w:vAlign w:val="bottom"/>
          </w:tcPr>
          <w:p w14:paraId="11BE6840" w14:textId="3D185059" w:rsidR="00D9259F" w:rsidRPr="00386590" w:rsidRDefault="00D9259F" w:rsidP="00C23990">
            <w:pPr>
              <w:pStyle w:val="TableTextRight"/>
              <w:rPr>
                <w:rFonts w:cstheme="minorHAnsi"/>
              </w:rPr>
            </w:pPr>
            <w:r>
              <w:rPr>
                <w:rFonts w:ascii="Calibri" w:hAnsi="Calibri" w:cs="Calibri"/>
              </w:rPr>
              <w:t>1.2</w:t>
            </w:r>
          </w:p>
        </w:tc>
        <w:tc>
          <w:tcPr>
            <w:tcW w:w="1121" w:type="dxa"/>
            <w:tcBorders>
              <w:top w:val="nil"/>
              <w:left w:val="nil"/>
              <w:bottom w:val="nil"/>
              <w:right w:val="nil"/>
            </w:tcBorders>
            <w:vAlign w:val="bottom"/>
          </w:tcPr>
          <w:p w14:paraId="50B218CB" w14:textId="68CF43EA" w:rsidR="00D9259F" w:rsidRPr="00386590" w:rsidRDefault="00D9259F" w:rsidP="00C23990">
            <w:pPr>
              <w:pStyle w:val="TableTextRight"/>
              <w:rPr>
                <w:rFonts w:cstheme="minorHAnsi"/>
              </w:rPr>
            </w:pPr>
            <w:r>
              <w:rPr>
                <w:rFonts w:ascii="Calibri" w:hAnsi="Calibri" w:cs="Calibri"/>
              </w:rPr>
              <w:t>1.0</w:t>
            </w:r>
          </w:p>
        </w:tc>
        <w:tc>
          <w:tcPr>
            <w:tcW w:w="1121" w:type="dxa"/>
            <w:tcBorders>
              <w:top w:val="nil"/>
              <w:left w:val="nil"/>
              <w:bottom w:val="nil"/>
              <w:right w:val="nil"/>
            </w:tcBorders>
            <w:vAlign w:val="bottom"/>
          </w:tcPr>
          <w:p w14:paraId="5B6E10C4" w14:textId="726D6330" w:rsidR="00D9259F" w:rsidRPr="00386590" w:rsidRDefault="00D9259F" w:rsidP="00C23990">
            <w:pPr>
              <w:pStyle w:val="TableTextRight"/>
              <w:rPr>
                <w:rFonts w:cstheme="minorHAnsi"/>
              </w:rPr>
            </w:pPr>
            <w:r>
              <w:rPr>
                <w:rFonts w:ascii="Calibri" w:hAnsi="Calibri" w:cs="Calibri"/>
              </w:rPr>
              <w:t>0.8</w:t>
            </w:r>
          </w:p>
        </w:tc>
        <w:tc>
          <w:tcPr>
            <w:tcW w:w="1121" w:type="dxa"/>
            <w:tcBorders>
              <w:top w:val="nil"/>
              <w:left w:val="nil"/>
              <w:bottom w:val="nil"/>
              <w:right w:val="nil"/>
            </w:tcBorders>
            <w:vAlign w:val="bottom"/>
          </w:tcPr>
          <w:p w14:paraId="2886140F" w14:textId="698319F4" w:rsidR="00D9259F" w:rsidRPr="00386590" w:rsidRDefault="00D9259F" w:rsidP="00C23990">
            <w:pPr>
              <w:pStyle w:val="TableTextRight"/>
              <w:rPr>
                <w:rFonts w:cstheme="minorHAnsi"/>
              </w:rPr>
            </w:pPr>
            <w:r>
              <w:rPr>
                <w:rFonts w:ascii="Calibri" w:hAnsi="Calibri" w:cs="Calibri"/>
              </w:rPr>
              <w:t>0.8</w:t>
            </w:r>
          </w:p>
        </w:tc>
      </w:tr>
      <w:tr w:rsidR="00D9259F" w14:paraId="6C399C01" w14:textId="77777777" w:rsidTr="00916EF2">
        <w:trPr>
          <w:trHeight w:val="80"/>
        </w:trPr>
        <w:tc>
          <w:tcPr>
            <w:tcW w:w="4588" w:type="dxa"/>
            <w:tcBorders>
              <w:top w:val="nil"/>
              <w:left w:val="nil"/>
              <w:bottom w:val="single" w:sz="4" w:space="0" w:color="auto"/>
              <w:right w:val="nil"/>
            </w:tcBorders>
            <w:hideMark/>
          </w:tcPr>
          <w:p w14:paraId="64629370" w14:textId="77777777" w:rsidR="00D9259F" w:rsidRDefault="00D9259F" w:rsidP="00511FE8">
            <w:pPr>
              <w:pStyle w:val="TableTextLeftBlue"/>
            </w:pPr>
            <w:r>
              <w:t>Population growth (thousands)</w:t>
            </w:r>
          </w:p>
        </w:tc>
        <w:tc>
          <w:tcPr>
            <w:tcW w:w="1121" w:type="dxa"/>
            <w:tcBorders>
              <w:top w:val="nil"/>
              <w:left w:val="nil"/>
              <w:bottom w:val="single" w:sz="4" w:space="0" w:color="auto"/>
              <w:right w:val="nil"/>
            </w:tcBorders>
            <w:vAlign w:val="bottom"/>
          </w:tcPr>
          <w:p w14:paraId="34BF0E9F" w14:textId="658786AC" w:rsidR="00D9259F" w:rsidRPr="00386590" w:rsidRDefault="004418FE" w:rsidP="00C23990">
            <w:pPr>
              <w:pStyle w:val="TableTextRight"/>
              <w:rPr>
                <w:rFonts w:cstheme="minorHAnsi"/>
              </w:rPr>
            </w:pPr>
            <w:r>
              <w:rPr>
                <w:rFonts w:ascii="Calibri" w:hAnsi="Calibri" w:cs="Calibri"/>
              </w:rPr>
              <w:t>365</w:t>
            </w:r>
          </w:p>
        </w:tc>
        <w:tc>
          <w:tcPr>
            <w:tcW w:w="1121" w:type="dxa"/>
            <w:tcBorders>
              <w:top w:val="nil"/>
              <w:left w:val="nil"/>
              <w:bottom w:val="single" w:sz="4" w:space="0" w:color="auto"/>
              <w:right w:val="nil"/>
            </w:tcBorders>
            <w:vAlign w:val="bottom"/>
          </w:tcPr>
          <w:p w14:paraId="20A0C8EC" w14:textId="1B4656F1" w:rsidR="00D9259F" w:rsidRPr="00386590" w:rsidRDefault="004418FE" w:rsidP="00C23990">
            <w:pPr>
              <w:pStyle w:val="TableTextRight"/>
              <w:rPr>
                <w:rFonts w:cstheme="minorHAnsi"/>
              </w:rPr>
            </w:pPr>
            <w:r>
              <w:rPr>
                <w:rFonts w:ascii="Calibri" w:hAnsi="Calibri" w:cs="Calibri"/>
              </w:rPr>
              <w:t>342</w:t>
            </w:r>
          </w:p>
        </w:tc>
        <w:tc>
          <w:tcPr>
            <w:tcW w:w="1121" w:type="dxa"/>
            <w:tcBorders>
              <w:top w:val="nil"/>
              <w:left w:val="nil"/>
              <w:bottom w:val="single" w:sz="4" w:space="0" w:color="auto"/>
              <w:right w:val="nil"/>
            </w:tcBorders>
            <w:vAlign w:val="bottom"/>
          </w:tcPr>
          <w:p w14:paraId="5348D36F" w14:textId="748228F3" w:rsidR="00D9259F" w:rsidRPr="00386590" w:rsidRDefault="004418FE" w:rsidP="00C23990">
            <w:pPr>
              <w:pStyle w:val="TableTextRight"/>
              <w:rPr>
                <w:rFonts w:cstheme="minorHAnsi"/>
              </w:rPr>
            </w:pPr>
            <w:r>
              <w:rPr>
                <w:rFonts w:ascii="Calibri" w:hAnsi="Calibri" w:cs="Calibri"/>
              </w:rPr>
              <w:t>314</w:t>
            </w:r>
          </w:p>
        </w:tc>
        <w:tc>
          <w:tcPr>
            <w:tcW w:w="1121" w:type="dxa"/>
            <w:tcBorders>
              <w:top w:val="nil"/>
              <w:left w:val="nil"/>
              <w:bottom w:val="single" w:sz="4" w:space="0" w:color="auto"/>
              <w:right w:val="nil"/>
            </w:tcBorders>
            <w:vAlign w:val="bottom"/>
          </w:tcPr>
          <w:p w14:paraId="2BE43107" w14:textId="4069E478" w:rsidR="00D9259F" w:rsidRPr="00386590" w:rsidRDefault="004418FE" w:rsidP="00C23990">
            <w:pPr>
              <w:pStyle w:val="TableTextRight"/>
              <w:rPr>
                <w:rFonts w:cstheme="minorHAnsi"/>
              </w:rPr>
            </w:pPr>
            <w:r>
              <w:rPr>
                <w:rFonts w:ascii="Calibri" w:hAnsi="Calibri" w:cs="Calibri"/>
              </w:rPr>
              <w:t>313</w:t>
            </w:r>
          </w:p>
        </w:tc>
      </w:tr>
      <w:tr w:rsidR="00D9259F" w14:paraId="7868BB4E" w14:textId="77777777" w:rsidTr="00916EF2">
        <w:trPr>
          <w:trHeight w:val="324"/>
        </w:trPr>
        <w:tc>
          <w:tcPr>
            <w:tcW w:w="4588" w:type="dxa"/>
            <w:tcBorders>
              <w:top w:val="single" w:sz="4" w:space="0" w:color="auto"/>
              <w:left w:val="nil"/>
              <w:bottom w:val="nil"/>
              <w:right w:val="nil"/>
            </w:tcBorders>
            <w:hideMark/>
          </w:tcPr>
          <w:p w14:paraId="7922B09F" w14:textId="77777777" w:rsidR="00D9259F" w:rsidRDefault="00D9259F" w:rsidP="00511FE8">
            <w:pPr>
              <w:pStyle w:val="TableTextLeftBlue"/>
              <w:rPr>
                <w:i/>
                <w:iCs/>
              </w:rPr>
            </w:pPr>
            <w:r>
              <w:t>Natural increase (thousands)</w:t>
            </w:r>
          </w:p>
        </w:tc>
        <w:tc>
          <w:tcPr>
            <w:tcW w:w="1121" w:type="dxa"/>
            <w:tcBorders>
              <w:top w:val="single" w:sz="4" w:space="0" w:color="auto"/>
              <w:left w:val="nil"/>
              <w:bottom w:val="nil"/>
              <w:right w:val="nil"/>
            </w:tcBorders>
            <w:vAlign w:val="bottom"/>
          </w:tcPr>
          <w:p w14:paraId="42DEB115" w14:textId="396EA28A" w:rsidR="00D9259F" w:rsidRPr="00386590" w:rsidRDefault="004418FE" w:rsidP="00C23990">
            <w:pPr>
              <w:pStyle w:val="TableTextRight"/>
              <w:rPr>
                <w:rFonts w:cstheme="minorHAnsi"/>
                <w:i/>
              </w:rPr>
            </w:pPr>
            <w:r>
              <w:rPr>
                <w:rFonts w:ascii="Calibri" w:hAnsi="Calibri" w:cs="Calibri"/>
              </w:rPr>
              <w:t>130</w:t>
            </w:r>
          </w:p>
        </w:tc>
        <w:tc>
          <w:tcPr>
            <w:tcW w:w="1121" w:type="dxa"/>
            <w:tcBorders>
              <w:top w:val="single" w:sz="4" w:space="0" w:color="auto"/>
              <w:left w:val="nil"/>
              <w:bottom w:val="nil"/>
              <w:right w:val="nil"/>
            </w:tcBorders>
            <w:vAlign w:val="bottom"/>
          </w:tcPr>
          <w:p w14:paraId="743C4D11" w14:textId="645E64E4" w:rsidR="00D9259F" w:rsidRPr="00386590" w:rsidRDefault="004418FE" w:rsidP="00C23990">
            <w:pPr>
              <w:pStyle w:val="TableTextRight"/>
              <w:rPr>
                <w:rFonts w:cstheme="minorHAnsi"/>
                <w:i/>
              </w:rPr>
            </w:pPr>
            <w:r>
              <w:rPr>
                <w:rFonts w:ascii="Calibri" w:hAnsi="Calibri" w:cs="Calibri"/>
              </w:rPr>
              <w:t>107</w:t>
            </w:r>
          </w:p>
        </w:tc>
        <w:tc>
          <w:tcPr>
            <w:tcW w:w="1121" w:type="dxa"/>
            <w:tcBorders>
              <w:top w:val="single" w:sz="4" w:space="0" w:color="auto"/>
              <w:left w:val="nil"/>
              <w:bottom w:val="nil"/>
              <w:right w:val="nil"/>
            </w:tcBorders>
            <w:vAlign w:val="bottom"/>
          </w:tcPr>
          <w:p w14:paraId="4865683B" w14:textId="14517A17" w:rsidR="00D9259F" w:rsidRPr="00386590" w:rsidRDefault="004418FE" w:rsidP="00C23990">
            <w:pPr>
              <w:pStyle w:val="TableTextRight"/>
              <w:rPr>
                <w:rFonts w:cstheme="minorHAnsi"/>
                <w:i/>
              </w:rPr>
            </w:pPr>
            <w:r>
              <w:rPr>
                <w:rFonts w:ascii="Calibri" w:hAnsi="Calibri" w:cs="Calibri"/>
              </w:rPr>
              <w:t>79</w:t>
            </w:r>
          </w:p>
        </w:tc>
        <w:tc>
          <w:tcPr>
            <w:tcW w:w="1121" w:type="dxa"/>
            <w:tcBorders>
              <w:top w:val="single" w:sz="4" w:space="0" w:color="auto"/>
              <w:left w:val="nil"/>
              <w:bottom w:val="nil"/>
              <w:right w:val="nil"/>
            </w:tcBorders>
            <w:vAlign w:val="bottom"/>
          </w:tcPr>
          <w:p w14:paraId="755C7E5D" w14:textId="14C5701E" w:rsidR="00D9259F" w:rsidRPr="00386590" w:rsidRDefault="004418FE" w:rsidP="00C23990">
            <w:pPr>
              <w:pStyle w:val="TableTextRight"/>
              <w:rPr>
                <w:rFonts w:cstheme="minorHAnsi"/>
                <w:i/>
              </w:rPr>
            </w:pPr>
            <w:r>
              <w:rPr>
                <w:rFonts w:ascii="Calibri" w:hAnsi="Calibri" w:cs="Calibri"/>
              </w:rPr>
              <w:t>78</w:t>
            </w:r>
          </w:p>
        </w:tc>
      </w:tr>
      <w:tr w:rsidR="00D9259F" w14:paraId="4116D9E2" w14:textId="77777777" w:rsidTr="00800A43">
        <w:trPr>
          <w:trHeight w:val="63"/>
        </w:trPr>
        <w:tc>
          <w:tcPr>
            <w:tcW w:w="4588" w:type="dxa"/>
            <w:tcBorders>
              <w:top w:val="nil"/>
              <w:left w:val="nil"/>
              <w:bottom w:val="nil"/>
              <w:right w:val="nil"/>
            </w:tcBorders>
            <w:hideMark/>
          </w:tcPr>
          <w:p w14:paraId="64E6938C" w14:textId="77777777" w:rsidR="00D9259F" w:rsidRPr="00511FE8" w:rsidRDefault="00D9259F" w:rsidP="00511FE8">
            <w:pPr>
              <w:pStyle w:val="Tabletextleftindent"/>
            </w:pPr>
            <w:r w:rsidRPr="00511FE8">
              <w:t>Births</w:t>
            </w:r>
          </w:p>
        </w:tc>
        <w:tc>
          <w:tcPr>
            <w:tcW w:w="1121" w:type="dxa"/>
            <w:tcBorders>
              <w:top w:val="nil"/>
              <w:left w:val="nil"/>
              <w:bottom w:val="nil"/>
              <w:right w:val="nil"/>
            </w:tcBorders>
            <w:vAlign w:val="bottom"/>
          </w:tcPr>
          <w:p w14:paraId="7CB75791" w14:textId="756AE55E" w:rsidR="00D9259F" w:rsidRPr="00386590" w:rsidRDefault="00D9259F" w:rsidP="00C23990">
            <w:pPr>
              <w:pStyle w:val="TableTextRight"/>
              <w:rPr>
                <w:rFonts w:cstheme="minorHAnsi"/>
                <w:i/>
                <w:iCs/>
              </w:rPr>
            </w:pPr>
            <w:r>
              <w:rPr>
                <w:rFonts w:ascii="Calibri" w:hAnsi="Calibri" w:cs="Calibri"/>
                <w:i/>
              </w:rPr>
              <w:t>352</w:t>
            </w:r>
          </w:p>
        </w:tc>
        <w:tc>
          <w:tcPr>
            <w:tcW w:w="1121" w:type="dxa"/>
            <w:tcBorders>
              <w:top w:val="nil"/>
              <w:left w:val="nil"/>
              <w:bottom w:val="nil"/>
              <w:right w:val="nil"/>
            </w:tcBorders>
            <w:vAlign w:val="bottom"/>
          </w:tcPr>
          <w:p w14:paraId="20A76398" w14:textId="20EE4960" w:rsidR="00D9259F" w:rsidRPr="00386590" w:rsidRDefault="004418FE" w:rsidP="00C23990">
            <w:pPr>
              <w:pStyle w:val="TableTextRight"/>
              <w:rPr>
                <w:rFonts w:cstheme="minorHAnsi"/>
                <w:i/>
                <w:iCs/>
              </w:rPr>
            </w:pPr>
            <w:r>
              <w:rPr>
                <w:rFonts w:ascii="Calibri" w:hAnsi="Calibri" w:cs="Calibri"/>
                <w:i/>
                <w:iCs/>
              </w:rPr>
              <w:t>379</w:t>
            </w:r>
          </w:p>
        </w:tc>
        <w:tc>
          <w:tcPr>
            <w:tcW w:w="1121" w:type="dxa"/>
            <w:tcBorders>
              <w:top w:val="nil"/>
              <w:left w:val="nil"/>
              <w:bottom w:val="nil"/>
              <w:right w:val="nil"/>
            </w:tcBorders>
            <w:vAlign w:val="bottom"/>
          </w:tcPr>
          <w:p w14:paraId="50A472E5" w14:textId="7081B606" w:rsidR="00D9259F" w:rsidRPr="00386590" w:rsidRDefault="004418FE" w:rsidP="00C23990">
            <w:pPr>
              <w:pStyle w:val="TableTextRight"/>
              <w:rPr>
                <w:rFonts w:cstheme="minorHAnsi"/>
                <w:i/>
                <w:iCs/>
              </w:rPr>
            </w:pPr>
            <w:r>
              <w:rPr>
                <w:rFonts w:ascii="Calibri" w:hAnsi="Calibri" w:cs="Calibri"/>
                <w:i/>
                <w:iCs/>
              </w:rPr>
              <w:t>389</w:t>
            </w:r>
          </w:p>
        </w:tc>
        <w:tc>
          <w:tcPr>
            <w:tcW w:w="1121" w:type="dxa"/>
            <w:tcBorders>
              <w:top w:val="nil"/>
              <w:left w:val="nil"/>
              <w:bottom w:val="nil"/>
              <w:right w:val="nil"/>
            </w:tcBorders>
            <w:vAlign w:val="bottom"/>
          </w:tcPr>
          <w:p w14:paraId="4FD88944" w14:textId="3B30EF54" w:rsidR="00D9259F" w:rsidRPr="00386590" w:rsidRDefault="004418FE" w:rsidP="00C23990">
            <w:pPr>
              <w:pStyle w:val="TableTextRight"/>
              <w:rPr>
                <w:rFonts w:cstheme="minorHAnsi"/>
                <w:i/>
                <w:iCs/>
              </w:rPr>
            </w:pPr>
            <w:r>
              <w:rPr>
                <w:rFonts w:ascii="Calibri" w:hAnsi="Calibri" w:cs="Calibri"/>
                <w:i/>
                <w:iCs/>
              </w:rPr>
              <w:t>417</w:t>
            </w:r>
          </w:p>
        </w:tc>
      </w:tr>
      <w:tr w:rsidR="00D9259F" w14:paraId="0014D224" w14:textId="77777777" w:rsidTr="00800A43">
        <w:tc>
          <w:tcPr>
            <w:tcW w:w="4588" w:type="dxa"/>
            <w:tcBorders>
              <w:top w:val="nil"/>
              <w:left w:val="nil"/>
              <w:bottom w:val="nil"/>
              <w:right w:val="nil"/>
            </w:tcBorders>
            <w:hideMark/>
          </w:tcPr>
          <w:p w14:paraId="24B18753" w14:textId="77777777" w:rsidR="00D9259F" w:rsidRPr="00511FE8" w:rsidRDefault="00D9259F" w:rsidP="00511FE8">
            <w:pPr>
              <w:pStyle w:val="Tabletextleftindent"/>
            </w:pPr>
            <w:r w:rsidRPr="00511FE8">
              <w:t xml:space="preserve">Deaths </w:t>
            </w:r>
          </w:p>
        </w:tc>
        <w:tc>
          <w:tcPr>
            <w:tcW w:w="1121" w:type="dxa"/>
            <w:tcBorders>
              <w:top w:val="nil"/>
              <w:left w:val="nil"/>
              <w:bottom w:val="nil"/>
              <w:right w:val="nil"/>
            </w:tcBorders>
            <w:vAlign w:val="bottom"/>
          </w:tcPr>
          <w:p w14:paraId="49A134EC" w14:textId="5F5A39C3" w:rsidR="00D9259F" w:rsidRPr="00386590" w:rsidRDefault="004418FE" w:rsidP="00C23990">
            <w:pPr>
              <w:pStyle w:val="TableTextRight"/>
              <w:rPr>
                <w:rFonts w:cstheme="minorHAnsi"/>
                <w:i/>
                <w:iCs/>
              </w:rPr>
            </w:pPr>
            <w:r>
              <w:rPr>
                <w:rFonts w:ascii="Calibri" w:hAnsi="Calibri" w:cs="Calibri"/>
                <w:i/>
                <w:iCs/>
              </w:rPr>
              <w:t>222</w:t>
            </w:r>
          </w:p>
        </w:tc>
        <w:tc>
          <w:tcPr>
            <w:tcW w:w="1121" w:type="dxa"/>
            <w:tcBorders>
              <w:top w:val="nil"/>
              <w:left w:val="nil"/>
              <w:bottom w:val="nil"/>
              <w:right w:val="nil"/>
            </w:tcBorders>
            <w:vAlign w:val="bottom"/>
          </w:tcPr>
          <w:p w14:paraId="48781D4C" w14:textId="2366DC49" w:rsidR="00D9259F" w:rsidRPr="00386590" w:rsidRDefault="004418FE" w:rsidP="00C23990">
            <w:pPr>
              <w:pStyle w:val="TableTextRight"/>
              <w:rPr>
                <w:rFonts w:cstheme="minorHAnsi"/>
                <w:i/>
                <w:iCs/>
              </w:rPr>
            </w:pPr>
            <w:r>
              <w:rPr>
                <w:rFonts w:ascii="Calibri" w:hAnsi="Calibri" w:cs="Calibri"/>
                <w:i/>
                <w:iCs/>
              </w:rPr>
              <w:t>273</w:t>
            </w:r>
          </w:p>
        </w:tc>
        <w:tc>
          <w:tcPr>
            <w:tcW w:w="1121" w:type="dxa"/>
            <w:tcBorders>
              <w:top w:val="nil"/>
              <w:left w:val="nil"/>
              <w:bottom w:val="nil"/>
              <w:right w:val="nil"/>
            </w:tcBorders>
            <w:vAlign w:val="bottom"/>
          </w:tcPr>
          <w:p w14:paraId="4308C51A" w14:textId="3C1DAC52" w:rsidR="00D9259F" w:rsidRPr="00386590" w:rsidRDefault="004418FE" w:rsidP="00C23990">
            <w:pPr>
              <w:pStyle w:val="TableTextRight"/>
              <w:rPr>
                <w:rFonts w:cstheme="minorHAnsi"/>
                <w:i/>
                <w:iCs/>
              </w:rPr>
            </w:pPr>
            <w:r>
              <w:rPr>
                <w:rFonts w:ascii="Calibri" w:hAnsi="Calibri" w:cs="Calibri"/>
                <w:i/>
                <w:iCs/>
              </w:rPr>
              <w:t>310</w:t>
            </w:r>
          </w:p>
        </w:tc>
        <w:tc>
          <w:tcPr>
            <w:tcW w:w="1121" w:type="dxa"/>
            <w:tcBorders>
              <w:top w:val="nil"/>
              <w:left w:val="nil"/>
              <w:bottom w:val="nil"/>
              <w:right w:val="nil"/>
            </w:tcBorders>
            <w:vAlign w:val="bottom"/>
          </w:tcPr>
          <w:p w14:paraId="427E3DC7" w14:textId="59688A6C" w:rsidR="00D9259F" w:rsidRPr="00386590" w:rsidRDefault="004418FE" w:rsidP="00C23990">
            <w:pPr>
              <w:pStyle w:val="TableTextRight"/>
              <w:rPr>
                <w:rFonts w:cstheme="minorHAnsi"/>
                <w:i/>
                <w:iCs/>
              </w:rPr>
            </w:pPr>
            <w:r>
              <w:rPr>
                <w:rFonts w:ascii="Calibri" w:hAnsi="Calibri" w:cs="Calibri"/>
                <w:i/>
                <w:iCs/>
              </w:rPr>
              <w:t>338</w:t>
            </w:r>
          </w:p>
        </w:tc>
      </w:tr>
      <w:tr w:rsidR="00D9259F" w14:paraId="0AB4774B" w14:textId="77777777" w:rsidTr="00800A43">
        <w:tc>
          <w:tcPr>
            <w:tcW w:w="4588" w:type="dxa"/>
            <w:tcBorders>
              <w:top w:val="nil"/>
              <w:left w:val="nil"/>
              <w:bottom w:val="nil"/>
              <w:right w:val="nil"/>
            </w:tcBorders>
            <w:hideMark/>
          </w:tcPr>
          <w:p w14:paraId="39CE5032" w14:textId="77777777" w:rsidR="00D9259F" w:rsidRDefault="00D9259F" w:rsidP="00511FE8">
            <w:pPr>
              <w:pStyle w:val="TableTextLeftBlue"/>
            </w:pPr>
            <w:r>
              <w:t>Net overseas migration (thousands)</w:t>
            </w:r>
          </w:p>
        </w:tc>
        <w:tc>
          <w:tcPr>
            <w:tcW w:w="1121" w:type="dxa"/>
            <w:tcBorders>
              <w:top w:val="nil"/>
              <w:left w:val="nil"/>
              <w:bottom w:val="nil"/>
              <w:right w:val="nil"/>
            </w:tcBorders>
            <w:vAlign w:val="bottom"/>
          </w:tcPr>
          <w:p w14:paraId="3AE772F2" w14:textId="1A9339C3" w:rsidR="00D9259F" w:rsidRPr="00386590" w:rsidRDefault="00D9259F" w:rsidP="00C23990">
            <w:pPr>
              <w:pStyle w:val="TableTextRight"/>
              <w:rPr>
                <w:rFonts w:cstheme="minorHAnsi"/>
              </w:rPr>
            </w:pPr>
            <w:r>
              <w:rPr>
                <w:rFonts w:ascii="Calibri" w:hAnsi="Calibri" w:cs="Calibri"/>
              </w:rPr>
              <w:t>235</w:t>
            </w:r>
          </w:p>
        </w:tc>
        <w:tc>
          <w:tcPr>
            <w:tcW w:w="1121" w:type="dxa"/>
            <w:tcBorders>
              <w:top w:val="nil"/>
              <w:left w:val="nil"/>
              <w:bottom w:val="nil"/>
              <w:right w:val="nil"/>
            </w:tcBorders>
            <w:vAlign w:val="bottom"/>
          </w:tcPr>
          <w:p w14:paraId="5C317ACA" w14:textId="1D1BB03B" w:rsidR="00D9259F" w:rsidRPr="00386590" w:rsidRDefault="00D9259F" w:rsidP="00C23990">
            <w:pPr>
              <w:pStyle w:val="TableTextRight"/>
              <w:rPr>
                <w:rFonts w:cstheme="minorHAnsi"/>
              </w:rPr>
            </w:pPr>
            <w:r>
              <w:rPr>
                <w:rFonts w:ascii="Calibri" w:hAnsi="Calibri" w:cs="Calibri"/>
              </w:rPr>
              <w:t>235</w:t>
            </w:r>
          </w:p>
        </w:tc>
        <w:tc>
          <w:tcPr>
            <w:tcW w:w="1121" w:type="dxa"/>
            <w:tcBorders>
              <w:top w:val="nil"/>
              <w:left w:val="nil"/>
              <w:bottom w:val="nil"/>
              <w:right w:val="nil"/>
            </w:tcBorders>
            <w:vAlign w:val="bottom"/>
          </w:tcPr>
          <w:p w14:paraId="71407F28" w14:textId="4A44785D" w:rsidR="00D9259F" w:rsidRPr="00386590" w:rsidRDefault="00D9259F" w:rsidP="00C23990">
            <w:pPr>
              <w:pStyle w:val="TableTextRight"/>
              <w:rPr>
                <w:rFonts w:cstheme="minorHAnsi"/>
              </w:rPr>
            </w:pPr>
            <w:r>
              <w:rPr>
                <w:rFonts w:ascii="Calibri" w:hAnsi="Calibri" w:cs="Calibri"/>
              </w:rPr>
              <w:t>235</w:t>
            </w:r>
          </w:p>
        </w:tc>
        <w:tc>
          <w:tcPr>
            <w:tcW w:w="1121" w:type="dxa"/>
            <w:tcBorders>
              <w:top w:val="nil"/>
              <w:left w:val="nil"/>
              <w:bottom w:val="nil"/>
              <w:right w:val="nil"/>
            </w:tcBorders>
            <w:vAlign w:val="bottom"/>
          </w:tcPr>
          <w:p w14:paraId="525B1153" w14:textId="3FCA52B7" w:rsidR="00D9259F" w:rsidRPr="00386590" w:rsidRDefault="00D9259F" w:rsidP="00C23990">
            <w:pPr>
              <w:pStyle w:val="TableTextRight"/>
              <w:rPr>
                <w:rFonts w:cstheme="minorHAnsi"/>
              </w:rPr>
            </w:pPr>
            <w:r>
              <w:rPr>
                <w:rFonts w:ascii="Calibri" w:hAnsi="Calibri" w:cs="Calibri"/>
              </w:rPr>
              <w:t>235</w:t>
            </w:r>
          </w:p>
        </w:tc>
      </w:tr>
      <w:tr w:rsidR="00800A43" w:rsidRPr="00386590" w14:paraId="7E6A07AA" w14:textId="77777777" w:rsidTr="00800A43">
        <w:tc>
          <w:tcPr>
            <w:tcW w:w="4588" w:type="dxa"/>
            <w:tcBorders>
              <w:top w:val="nil"/>
              <w:left w:val="nil"/>
              <w:bottom w:val="nil"/>
              <w:right w:val="nil"/>
            </w:tcBorders>
            <w:hideMark/>
          </w:tcPr>
          <w:p w14:paraId="48513F6E" w14:textId="77777777" w:rsidR="00800A43" w:rsidRDefault="00800A43" w:rsidP="00800A43">
            <w:pPr>
              <w:pStyle w:val="Tabletextleftindent"/>
            </w:pPr>
            <w:r>
              <w:t xml:space="preserve">Overseas arrivals </w:t>
            </w:r>
          </w:p>
        </w:tc>
        <w:tc>
          <w:tcPr>
            <w:tcW w:w="1121" w:type="dxa"/>
            <w:tcBorders>
              <w:top w:val="nil"/>
              <w:left w:val="nil"/>
              <w:bottom w:val="nil"/>
              <w:right w:val="nil"/>
            </w:tcBorders>
            <w:vAlign w:val="bottom"/>
          </w:tcPr>
          <w:p w14:paraId="6FFB27DD" w14:textId="17F3CB61" w:rsidR="00800A43" w:rsidRPr="00386590" w:rsidRDefault="003F1758" w:rsidP="00800A43">
            <w:pPr>
              <w:pStyle w:val="TableTextRight"/>
              <w:rPr>
                <w:rFonts w:cstheme="minorHAnsi"/>
                <w:i/>
                <w:iCs/>
              </w:rPr>
            </w:pPr>
            <w:r>
              <w:rPr>
                <w:rFonts w:ascii="Calibri" w:hAnsi="Calibri" w:cs="Calibri"/>
                <w:i/>
                <w:iCs/>
              </w:rPr>
              <w:t>595</w:t>
            </w:r>
          </w:p>
        </w:tc>
        <w:tc>
          <w:tcPr>
            <w:tcW w:w="1121" w:type="dxa"/>
            <w:tcBorders>
              <w:top w:val="nil"/>
              <w:left w:val="nil"/>
              <w:bottom w:val="nil"/>
              <w:right w:val="nil"/>
            </w:tcBorders>
            <w:vAlign w:val="bottom"/>
          </w:tcPr>
          <w:p w14:paraId="11353F60" w14:textId="60E73235" w:rsidR="00800A43" w:rsidRPr="00386590" w:rsidRDefault="003F1758" w:rsidP="00800A43">
            <w:pPr>
              <w:pStyle w:val="TableTextRight"/>
              <w:rPr>
                <w:rFonts w:cstheme="minorHAnsi"/>
                <w:i/>
                <w:iCs/>
              </w:rPr>
            </w:pPr>
            <w:r>
              <w:rPr>
                <w:rFonts w:ascii="Calibri" w:hAnsi="Calibri" w:cs="Calibri"/>
                <w:i/>
                <w:iCs/>
              </w:rPr>
              <w:t>595</w:t>
            </w:r>
          </w:p>
        </w:tc>
        <w:tc>
          <w:tcPr>
            <w:tcW w:w="1121" w:type="dxa"/>
            <w:tcBorders>
              <w:top w:val="nil"/>
              <w:left w:val="nil"/>
              <w:bottom w:val="nil"/>
              <w:right w:val="nil"/>
            </w:tcBorders>
            <w:vAlign w:val="bottom"/>
          </w:tcPr>
          <w:p w14:paraId="42CD038B" w14:textId="2B375D66" w:rsidR="00800A43" w:rsidRPr="00386590" w:rsidRDefault="003F1758" w:rsidP="00800A43">
            <w:pPr>
              <w:pStyle w:val="TableTextRight"/>
              <w:rPr>
                <w:rFonts w:cstheme="minorHAnsi"/>
                <w:i/>
                <w:iCs/>
              </w:rPr>
            </w:pPr>
            <w:r>
              <w:rPr>
                <w:rFonts w:ascii="Calibri" w:hAnsi="Calibri" w:cs="Calibri"/>
                <w:i/>
                <w:iCs/>
              </w:rPr>
              <w:t>595</w:t>
            </w:r>
          </w:p>
        </w:tc>
        <w:tc>
          <w:tcPr>
            <w:tcW w:w="1121" w:type="dxa"/>
            <w:tcBorders>
              <w:top w:val="nil"/>
              <w:left w:val="nil"/>
              <w:bottom w:val="nil"/>
              <w:right w:val="nil"/>
            </w:tcBorders>
            <w:vAlign w:val="bottom"/>
          </w:tcPr>
          <w:p w14:paraId="4E0DB1C7" w14:textId="462A72FB" w:rsidR="00800A43" w:rsidRPr="00386590" w:rsidRDefault="003F1758" w:rsidP="00800A43">
            <w:pPr>
              <w:pStyle w:val="TableTextRight"/>
              <w:rPr>
                <w:rFonts w:cstheme="minorHAnsi"/>
                <w:i/>
                <w:iCs/>
              </w:rPr>
            </w:pPr>
            <w:r>
              <w:rPr>
                <w:rFonts w:ascii="Calibri" w:hAnsi="Calibri" w:cs="Calibri"/>
                <w:i/>
                <w:iCs/>
              </w:rPr>
              <w:t>595</w:t>
            </w:r>
          </w:p>
        </w:tc>
      </w:tr>
      <w:tr w:rsidR="00800A43" w:rsidRPr="00386590" w14:paraId="47886E50" w14:textId="77777777" w:rsidTr="00916EF2">
        <w:tc>
          <w:tcPr>
            <w:tcW w:w="4588" w:type="dxa"/>
            <w:tcBorders>
              <w:top w:val="nil"/>
              <w:left w:val="nil"/>
              <w:bottom w:val="single" w:sz="4" w:space="0" w:color="auto"/>
              <w:right w:val="nil"/>
            </w:tcBorders>
            <w:hideMark/>
          </w:tcPr>
          <w:p w14:paraId="44B505EF" w14:textId="77777777" w:rsidR="00800A43" w:rsidRDefault="00800A43" w:rsidP="00800A43">
            <w:pPr>
              <w:pStyle w:val="Tabletextleftindent"/>
            </w:pPr>
            <w:r>
              <w:t xml:space="preserve">Overseas departures </w:t>
            </w:r>
          </w:p>
        </w:tc>
        <w:tc>
          <w:tcPr>
            <w:tcW w:w="1121" w:type="dxa"/>
            <w:tcBorders>
              <w:top w:val="nil"/>
              <w:left w:val="nil"/>
              <w:bottom w:val="single" w:sz="4" w:space="0" w:color="auto"/>
              <w:right w:val="nil"/>
            </w:tcBorders>
            <w:vAlign w:val="bottom"/>
          </w:tcPr>
          <w:p w14:paraId="6FB1815B" w14:textId="50293318" w:rsidR="00800A43" w:rsidRPr="00386590" w:rsidRDefault="003F1758" w:rsidP="00800A43">
            <w:pPr>
              <w:pStyle w:val="TableTextRight"/>
              <w:rPr>
                <w:rFonts w:cstheme="minorHAnsi"/>
                <w:i/>
                <w:iCs/>
              </w:rPr>
            </w:pPr>
            <w:r>
              <w:rPr>
                <w:rFonts w:ascii="Calibri" w:hAnsi="Calibri" w:cs="Calibri"/>
                <w:i/>
                <w:iCs/>
              </w:rPr>
              <w:t>360</w:t>
            </w:r>
          </w:p>
        </w:tc>
        <w:tc>
          <w:tcPr>
            <w:tcW w:w="1121" w:type="dxa"/>
            <w:tcBorders>
              <w:top w:val="nil"/>
              <w:left w:val="nil"/>
              <w:bottom w:val="nil"/>
              <w:right w:val="nil"/>
            </w:tcBorders>
            <w:vAlign w:val="bottom"/>
          </w:tcPr>
          <w:p w14:paraId="07BC709B" w14:textId="3F910C78" w:rsidR="00800A43" w:rsidRPr="00386590" w:rsidRDefault="003F1758" w:rsidP="00800A43">
            <w:pPr>
              <w:pStyle w:val="TableTextRight"/>
              <w:rPr>
                <w:rFonts w:cstheme="minorHAnsi"/>
                <w:i/>
                <w:iCs/>
              </w:rPr>
            </w:pPr>
            <w:r>
              <w:rPr>
                <w:rFonts w:ascii="Calibri" w:hAnsi="Calibri" w:cs="Calibri"/>
                <w:i/>
                <w:iCs/>
              </w:rPr>
              <w:t>360</w:t>
            </w:r>
          </w:p>
        </w:tc>
        <w:tc>
          <w:tcPr>
            <w:tcW w:w="1121" w:type="dxa"/>
            <w:tcBorders>
              <w:top w:val="nil"/>
              <w:left w:val="nil"/>
              <w:bottom w:val="nil"/>
              <w:right w:val="nil"/>
            </w:tcBorders>
            <w:vAlign w:val="bottom"/>
          </w:tcPr>
          <w:p w14:paraId="63389730" w14:textId="46B5538A" w:rsidR="00800A43" w:rsidRPr="00386590" w:rsidRDefault="003F1758" w:rsidP="00800A43">
            <w:pPr>
              <w:pStyle w:val="TableTextRight"/>
              <w:rPr>
                <w:rFonts w:cstheme="minorHAnsi"/>
                <w:i/>
                <w:iCs/>
              </w:rPr>
            </w:pPr>
            <w:r>
              <w:rPr>
                <w:rFonts w:ascii="Calibri" w:hAnsi="Calibri" w:cs="Calibri"/>
                <w:i/>
                <w:iCs/>
              </w:rPr>
              <w:t>360</w:t>
            </w:r>
          </w:p>
        </w:tc>
        <w:tc>
          <w:tcPr>
            <w:tcW w:w="1121" w:type="dxa"/>
            <w:tcBorders>
              <w:top w:val="nil"/>
              <w:left w:val="nil"/>
              <w:bottom w:val="nil"/>
              <w:right w:val="nil"/>
            </w:tcBorders>
            <w:vAlign w:val="bottom"/>
          </w:tcPr>
          <w:p w14:paraId="0D0D0513" w14:textId="6ACD53AF" w:rsidR="00800A43" w:rsidRPr="00386590" w:rsidRDefault="003F1758" w:rsidP="00800A43">
            <w:pPr>
              <w:pStyle w:val="TableTextRight"/>
              <w:rPr>
                <w:rFonts w:cstheme="minorHAnsi"/>
                <w:i/>
                <w:iCs/>
              </w:rPr>
            </w:pPr>
            <w:r>
              <w:rPr>
                <w:rFonts w:ascii="Calibri" w:hAnsi="Calibri" w:cs="Calibri"/>
                <w:i/>
                <w:iCs/>
              </w:rPr>
              <w:t>360</w:t>
            </w:r>
          </w:p>
        </w:tc>
      </w:tr>
      <w:tr w:rsidR="00D9259F" w14:paraId="6BB999A0" w14:textId="77777777" w:rsidTr="00916EF2">
        <w:tc>
          <w:tcPr>
            <w:tcW w:w="4588" w:type="dxa"/>
            <w:tcBorders>
              <w:top w:val="single" w:sz="4" w:space="0" w:color="auto"/>
              <w:left w:val="nil"/>
              <w:bottom w:val="single" w:sz="4" w:space="0" w:color="auto"/>
              <w:right w:val="nil"/>
            </w:tcBorders>
            <w:hideMark/>
          </w:tcPr>
          <w:p w14:paraId="57FCC6AE" w14:textId="77777777" w:rsidR="00D9259F" w:rsidRDefault="00D9259F" w:rsidP="00511FE8">
            <w:pPr>
              <w:pStyle w:val="TableTextLeftBlue"/>
            </w:pPr>
            <w:r>
              <w:t>Median age (years)</w:t>
            </w:r>
          </w:p>
        </w:tc>
        <w:tc>
          <w:tcPr>
            <w:tcW w:w="1121" w:type="dxa"/>
            <w:tcBorders>
              <w:top w:val="single" w:sz="4" w:space="0" w:color="auto"/>
              <w:left w:val="nil"/>
              <w:bottom w:val="single" w:sz="4" w:space="0" w:color="auto"/>
              <w:right w:val="nil"/>
            </w:tcBorders>
            <w:vAlign w:val="bottom"/>
          </w:tcPr>
          <w:p w14:paraId="175EF654" w14:textId="62105F0D" w:rsidR="00D9259F" w:rsidRPr="00AE3E9D" w:rsidRDefault="009E7F47" w:rsidP="00C23990">
            <w:pPr>
              <w:pStyle w:val="TableTextRight"/>
              <w:rPr>
                <w:rFonts w:cstheme="minorHAnsi"/>
              </w:rPr>
            </w:pPr>
            <w:r>
              <w:rPr>
                <w:rFonts w:ascii="Calibri" w:hAnsi="Calibri" w:cs="Calibri"/>
              </w:rPr>
              <w:t>40.0</w:t>
            </w:r>
          </w:p>
        </w:tc>
        <w:tc>
          <w:tcPr>
            <w:tcW w:w="1121" w:type="dxa"/>
            <w:tcBorders>
              <w:top w:val="single" w:sz="4" w:space="0" w:color="auto"/>
              <w:left w:val="nil"/>
              <w:bottom w:val="single" w:sz="4" w:space="0" w:color="auto"/>
              <w:right w:val="nil"/>
            </w:tcBorders>
            <w:vAlign w:val="bottom"/>
          </w:tcPr>
          <w:p w14:paraId="311CA452" w14:textId="291B66F1" w:rsidR="00D9259F" w:rsidRPr="00AE3E9D" w:rsidRDefault="00D9259F" w:rsidP="00C23990">
            <w:pPr>
              <w:pStyle w:val="TableTextRight"/>
              <w:rPr>
                <w:rFonts w:cstheme="minorHAnsi"/>
              </w:rPr>
            </w:pPr>
            <w:r>
              <w:rPr>
                <w:rFonts w:ascii="Calibri" w:hAnsi="Calibri" w:cs="Calibri"/>
              </w:rPr>
              <w:t>41.2</w:t>
            </w:r>
          </w:p>
        </w:tc>
        <w:tc>
          <w:tcPr>
            <w:tcW w:w="1121" w:type="dxa"/>
            <w:tcBorders>
              <w:top w:val="single" w:sz="4" w:space="0" w:color="auto"/>
              <w:left w:val="nil"/>
              <w:bottom w:val="single" w:sz="4" w:space="0" w:color="auto"/>
              <w:right w:val="nil"/>
            </w:tcBorders>
            <w:vAlign w:val="bottom"/>
          </w:tcPr>
          <w:p w14:paraId="32D8B349" w14:textId="1B48F0A3" w:rsidR="00D9259F" w:rsidRPr="00AE3E9D" w:rsidRDefault="00D9259F" w:rsidP="00C23990">
            <w:pPr>
              <w:pStyle w:val="TableTextRight"/>
              <w:rPr>
                <w:rFonts w:cstheme="minorHAnsi"/>
              </w:rPr>
            </w:pPr>
            <w:r>
              <w:rPr>
                <w:rFonts w:ascii="Calibri" w:hAnsi="Calibri" w:cs="Calibri"/>
              </w:rPr>
              <w:t>42.5</w:t>
            </w:r>
          </w:p>
        </w:tc>
        <w:tc>
          <w:tcPr>
            <w:tcW w:w="1121" w:type="dxa"/>
            <w:tcBorders>
              <w:top w:val="single" w:sz="4" w:space="0" w:color="auto"/>
              <w:left w:val="nil"/>
              <w:bottom w:val="single" w:sz="4" w:space="0" w:color="auto"/>
              <w:right w:val="nil"/>
            </w:tcBorders>
            <w:vAlign w:val="bottom"/>
          </w:tcPr>
          <w:p w14:paraId="3E62B4A9" w14:textId="584462D2" w:rsidR="00D9259F" w:rsidRPr="00AE3E9D" w:rsidRDefault="00D9259F" w:rsidP="00C23990">
            <w:pPr>
              <w:pStyle w:val="TableTextRight"/>
              <w:rPr>
                <w:rFonts w:cstheme="minorHAnsi"/>
              </w:rPr>
            </w:pPr>
            <w:r>
              <w:rPr>
                <w:rFonts w:ascii="Calibri" w:hAnsi="Calibri" w:cs="Calibri"/>
              </w:rPr>
              <w:t>43.6</w:t>
            </w:r>
          </w:p>
        </w:tc>
      </w:tr>
      <w:tr w:rsidR="00D9259F" w14:paraId="2174B725" w14:textId="77777777" w:rsidTr="00916EF2">
        <w:tc>
          <w:tcPr>
            <w:tcW w:w="4588" w:type="dxa"/>
            <w:tcBorders>
              <w:top w:val="single" w:sz="4" w:space="0" w:color="auto"/>
              <w:left w:val="nil"/>
              <w:bottom w:val="single" w:sz="4" w:space="0" w:color="auto"/>
              <w:right w:val="nil"/>
            </w:tcBorders>
          </w:tcPr>
          <w:p w14:paraId="4A476DFC" w14:textId="0CD53FB3" w:rsidR="00D9259F" w:rsidRDefault="00A70EB3" w:rsidP="00511FE8">
            <w:pPr>
              <w:pStyle w:val="TableTextLeftBlue"/>
            </w:pPr>
            <w:r>
              <w:t>Old</w:t>
            </w:r>
            <w:r w:rsidR="00050D25">
              <w:noBreakHyphen/>
            </w:r>
            <w:r>
              <w:t>age d</w:t>
            </w:r>
            <w:r w:rsidR="00D9259F">
              <w:t>ependency ratio</w:t>
            </w:r>
          </w:p>
        </w:tc>
        <w:tc>
          <w:tcPr>
            <w:tcW w:w="1121" w:type="dxa"/>
            <w:tcBorders>
              <w:top w:val="single" w:sz="4" w:space="0" w:color="auto"/>
              <w:left w:val="nil"/>
              <w:bottom w:val="single" w:sz="4" w:space="0" w:color="auto"/>
              <w:right w:val="nil"/>
            </w:tcBorders>
            <w:vAlign w:val="bottom"/>
          </w:tcPr>
          <w:p w14:paraId="315334E3" w14:textId="7AA9AE62" w:rsidR="00D9259F" w:rsidRPr="00AE3E9D" w:rsidRDefault="009E7F47" w:rsidP="00C23990">
            <w:pPr>
              <w:pStyle w:val="TableTextRight"/>
              <w:rPr>
                <w:rFonts w:cstheme="minorHAnsi"/>
              </w:rPr>
            </w:pPr>
            <w:r>
              <w:rPr>
                <w:rFonts w:ascii="Calibri" w:hAnsi="Calibri" w:cs="Calibri"/>
              </w:rPr>
              <w:t>30.8</w:t>
            </w:r>
          </w:p>
        </w:tc>
        <w:tc>
          <w:tcPr>
            <w:tcW w:w="1121" w:type="dxa"/>
            <w:tcBorders>
              <w:top w:val="single" w:sz="4" w:space="0" w:color="auto"/>
              <w:left w:val="nil"/>
              <w:bottom w:val="single" w:sz="4" w:space="0" w:color="auto"/>
              <w:right w:val="nil"/>
            </w:tcBorders>
            <w:vAlign w:val="bottom"/>
          </w:tcPr>
          <w:p w14:paraId="6020C839" w14:textId="5A93E820" w:rsidR="00D9259F" w:rsidRPr="00AE3E9D" w:rsidRDefault="00D9259F" w:rsidP="00C23990">
            <w:pPr>
              <w:pStyle w:val="TableTextRight"/>
              <w:rPr>
                <w:rFonts w:cstheme="minorHAnsi"/>
              </w:rPr>
            </w:pPr>
            <w:r>
              <w:rPr>
                <w:rFonts w:ascii="Calibri" w:hAnsi="Calibri" w:cs="Calibri"/>
              </w:rPr>
              <w:t>32.9</w:t>
            </w:r>
          </w:p>
        </w:tc>
        <w:tc>
          <w:tcPr>
            <w:tcW w:w="1121" w:type="dxa"/>
            <w:tcBorders>
              <w:top w:val="single" w:sz="4" w:space="0" w:color="auto"/>
              <w:left w:val="nil"/>
              <w:bottom w:val="single" w:sz="4" w:space="0" w:color="auto"/>
              <w:right w:val="nil"/>
            </w:tcBorders>
            <w:vAlign w:val="bottom"/>
          </w:tcPr>
          <w:p w14:paraId="64AE11CA" w14:textId="773CFDA5" w:rsidR="00D9259F" w:rsidRPr="00AE3E9D" w:rsidRDefault="009E7F47" w:rsidP="00C23990">
            <w:pPr>
              <w:pStyle w:val="TableTextRight"/>
              <w:rPr>
                <w:rFonts w:cstheme="minorHAnsi"/>
              </w:rPr>
            </w:pPr>
            <w:r>
              <w:rPr>
                <w:rFonts w:ascii="Calibri" w:hAnsi="Calibri" w:cs="Calibri"/>
              </w:rPr>
              <w:t>35.</w:t>
            </w:r>
            <w:r w:rsidR="003F1758">
              <w:rPr>
                <w:rFonts w:ascii="Calibri" w:hAnsi="Calibri" w:cs="Calibri"/>
              </w:rPr>
              <w:t>8</w:t>
            </w:r>
          </w:p>
        </w:tc>
        <w:tc>
          <w:tcPr>
            <w:tcW w:w="1121" w:type="dxa"/>
            <w:tcBorders>
              <w:top w:val="single" w:sz="4" w:space="0" w:color="auto"/>
              <w:left w:val="nil"/>
              <w:bottom w:val="single" w:sz="4" w:space="0" w:color="auto"/>
              <w:right w:val="nil"/>
            </w:tcBorders>
            <w:vAlign w:val="bottom"/>
          </w:tcPr>
          <w:p w14:paraId="04ED5F7B" w14:textId="79DBA3F7" w:rsidR="00D9259F" w:rsidRPr="00AE3E9D" w:rsidRDefault="009E7F47" w:rsidP="00C23990">
            <w:pPr>
              <w:pStyle w:val="TableTextRight"/>
              <w:rPr>
                <w:rFonts w:cstheme="minorHAnsi"/>
              </w:rPr>
            </w:pPr>
            <w:r>
              <w:rPr>
                <w:rFonts w:ascii="Calibri" w:hAnsi="Calibri" w:cs="Calibri"/>
              </w:rPr>
              <w:t>39.4</w:t>
            </w:r>
          </w:p>
        </w:tc>
      </w:tr>
    </w:tbl>
    <w:p w14:paraId="15A2C888" w14:textId="77777777" w:rsidR="00D9259F" w:rsidRDefault="00D9259F" w:rsidP="00D9259F">
      <w:pPr>
        <w:pStyle w:val="Source"/>
      </w:pPr>
      <w:r w:rsidRPr="00252F42">
        <w:t xml:space="preserve">Source: </w:t>
      </w:r>
      <w:r w:rsidRPr="00252F42">
        <w:tab/>
        <w:t>Centre for Population.</w:t>
      </w:r>
    </w:p>
    <w:p w14:paraId="3FC774B5" w14:textId="77777777" w:rsidR="00C23990" w:rsidRPr="008E3493" w:rsidRDefault="00C23990" w:rsidP="008E3493">
      <w:pPr>
        <w:pStyle w:val="SingleParagraph"/>
      </w:pPr>
    </w:p>
    <w:p w14:paraId="20F3C4D4" w14:textId="77777777" w:rsidR="00D9259F" w:rsidRPr="00654915" w:rsidRDefault="00D9259F" w:rsidP="00654915">
      <w:pPr>
        <w:pStyle w:val="ChartMainHeading"/>
      </w:pPr>
      <w:bookmarkStart w:id="64" w:name="_Ref181178154"/>
      <w:r w:rsidRPr="00654915">
        <w:t>Population growth in Australia</w:t>
      </w:r>
      <w:bookmarkEnd w:id="64"/>
    </w:p>
    <w:p w14:paraId="42D2AE11" w14:textId="7A2E32D6" w:rsidR="00D9259F" w:rsidRPr="0048407F" w:rsidRDefault="001A6E37" w:rsidP="00151500">
      <w:pPr>
        <w:pStyle w:val="ChartGraphic"/>
      </w:pPr>
      <w:r w:rsidRPr="00151500">
        <w:rPr>
          <w:noProof/>
        </w:rPr>
        <w:drawing>
          <wp:inline distT="0" distB="0" distL="0" distR="0" wp14:anchorId="1BFD745E" wp14:editId="592B567B">
            <wp:extent cx="5583484" cy="2880000"/>
            <wp:effectExtent l="0" t="0" r="0" b="0"/>
            <wp:docPr id="1446217296" name="Picture 1446217296" descr="This chart shows Australia’s population growth rate and components of growth: natural increase, net overseas migration, and intercensal difference between 2018–19 and 2034–35. Population growth peaked at 2.5 per cent in 2022–23 and is forecast to decline to 1.2 per cent from 2026–27. Net overseas migration accounts for the majority of the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17296" name="Picture 1446217296" descr="This chart shows Australia’s population growth rate and components of growth: natural increase, net overseas migration, and intercensal difference between 2018–19 and 2034–35. Population growth peaked at 2.5 per cent in 2022–23 and is forecast to decline to 1.2 per cent from 2026–27. Net overseas migration accounts for the majority of the population growth over the projection peri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3484" cy="2880000"/>
                    </a:xfrm>
                    <a:prstGeom prst="rect">
                      <a:avLst/>
                    </a:prstGeom>
                    <a:noFill/>
                    <a:ln>
                      <a:noFill/>
                    </a:ln>
                  </pic:spPr>
                </pic:pic>
              </a:graphicData>
            </a:graphic>
          </wp:inline>
        </w:drawing>
      </w:r>
    </w:p>
    <w:p w14:paraId="276C8CBB" w14:textId="77777777" w:rsidR="00D9259F" w:rsidRPr="00966DDA" w:rsidRDefault="00D9259F" w:rsidP="00151500">
      <w:pPr>
        <w:pStyle w:val="ChartorTableNote"/>
      </w:pPr>
      <w:r w:rsidRPr="00966DDA">
        <w:t xml:space="preserve">Note: </w:t>
      </w:r>
      <w:r w:rsidRPr="00966DDA">
        <w:tab/>
        <w:t>Intercensal difference refers to the difference between the estimated resident population after incorporating the results of the 2021 Census and previously published estimates.</w:t>
      </w:r>
    </w:p>
    <w:p w14:paraId="0F8A08C5" w14:textId="16988E19" w:rsidR="008E3493" w:rsidRDefault="00D9259F" w:rsidP="00151500">
      <w:pPr>
        <w:pStyle w:val="Source"/>
      </w:pPr>
      <w:r w:rsidRPr="00966DDA">
        <w:t xml:space="preserve">Source: </w:t>
      </w:r>
      <w:r w:rsidRPr="00966DDA">
        <w:tab/>
        <w:t xml:space="preserve">ABS, </w:t>
      </w:r>
      <w:r w:rsidRPr="0037128E">
        <w:rPr>
          <w:i/>
        </w:rPr>
        <w:t>National, state and territory population, March 2024</w:t>
      </w:r>
      <w:r>
        <w:t>;</w:t>
      </w:r>
      <w:r w:rsidRPr="00966DDA">
        <w:t xml:space="preserve"> and Centre for Population</w:t>
      </w:r>
      <w:r w:rsidR="003D36AB">
        <w:t xml:space="preserve">. </w:t>
      </w:r>
    </w:p>
    <w:p w14:paraId="145DBF7D" w14:textId="77777777" w:rsidR="006A24B8" w:rsidRDefault="006A24B8" w:rsidP="006A24B8">
      <w:pPr>
        <w:pStyle w:val="SingleParagraph"/>
      </w:pPr>
    </w:p>
    <w:p w14:paraId="14299E52" w14:textId="58690210" w:rsidR="00D9259F" w:rsidRPr="005E5B63" w:rsidRDefault="00D9259F" w:rsidP="00D9259F">
      <w:pPr>
        <w:pStyle w:val="Heading3Numbered"/>
      </w:pPr>
      <w:r>
        <w:lastRenderedPageBreak/>
        <w:t>International population growth</w:t>
      </w:r>
    </w:p>
    <w:p w14:paraId="1BAB7E51" w14:textId="73A653A1" w:rsidR="00D9259F" w:rsidRDefault="00D9259F" w:rsidP="00D9259F">
      <w:pPr>
        <w:spacing w:before="160" w:after="160" w:line="257" w:lineRule="auto"/>
        <w:rPr>
          <w:rFonts w:ascii="Calibri" w:eastAsia="Calibri" w:hAnsi="Calibri" w:cs="Calibri"/>
        </w:rPr>
      </w:pPr>
      <w:r>
        <w:rPr>
          <w:rFonts w:ascii="Calibri" w:eastAsia="Calibri" w:hAnsi="Calibri" w:cs="Calibri"/>
        </w:rPr>
        <w:t xml:space="preserve">Recent population growth in </w:t>
      </w:r>
      <w:r w:rsidRPr="5C1A183D">
        <w:rPr>
          <w:rFonts w:ascii="Calibri" w:eastAsia="Calibri" w:hAnsi="Calibri" w:cs="Calibri"/>
        </w:rPr>
        <w:t>Australia</w:t>
      </w:r>
      <w:r>
        <w:rPr>
          <w:rFonts w:ascii="Calibri" w:eastAsia="Calibri" w:hAnsi="Calibri" w:cs="Calibri"/>
        </w:rPr>
        <w:t xml:space="preserve"> has been </w:t>
      </w:r>
      <w:proofErr w:type="gramStart"/>
      <w:r w:rsidR="00425B29">
        <w:rPr>
          <w:rFonts w:ascii="Calibri" w:eastAsia="Calibri" w:hAnsi="Calibri" w:cs="Calibri"/>
        </w:rPr>
        <w:t>similar</w:t>
      </w:r>
      <w:r w:rsidR="00425B29" w:rsidRPr="5C1A183D">
        <w:rPr>
          <w:rFonts w:ascii="Calibri" w:eastAsia="Calibri" w:hAnsi="Calibri" w:cs="Calibri"/>
        </w:rPr>
        <w:t xml:space="preserve"> </w:t>
      </w:r>
      <w:r w:rsidRPr="5C1A183D">
        <w:rPr>
          <w:rFonts w:ascii="Calibri" w:eastAsia="Calibri" w:hAnsi="Calibri" w:cs="Calibri"/>
        </w:rPr>
        <w:t>to</w:t>
      </w:r>
      <w:proofErr w:type="gramEnd"/>
      <w:r w:rsidRPr="5C1A183D">
        <w:rPr>
          <w:rFonts w:ascii="Calibri" w:eastAsia="Calibri" w:hAnsi="Calibri" w:cs="Calibri"/>
        </w:rPr>
        <w:t xml:space="preserve"> Canada and New Zealand</w:t>
      </w:r>
      <w:r>
        <w:rPr>
          <w:rFonts w:ascii="Calibri" w:eastAsia="Calibri" w:hAnsi="Calibri" w:cs="Calibri"/>
        </w:rPr>
        <w:t>.</w:t>
      </w:r>
      <w:r w:rsidRPr="5C1A183D">
        <w:rPr>
          <w:rFonts w:ascii="Calibri" w:eastAsia="Calibri" w:hAnsi="Calibri" w:cs="Calibri"/>
        </w:rPr>
        <w:t xml:space="preserve"> </w:t>
      </w:r>
      <w:r>
        <w:rPr>
          <w:rFonts w:ascii="Calibri" w:eastAsia="Calibri" w:hAnsi="Calibri" w:cs="Calibri"/>
        </w:rPr>
        <w:t>These</w:t>
      </w:r>
      <w:r w:rsidDel="002C3208">
        <w:rPr>
          <w:rFonts w:ascii="Calibri" w:eastAsia="Calibri" w:hAnsi="Calibri" w:cs="Calibri"/>
        </w:rPr>
        <w:t xml:space="preserve"> </w:t>
      </w:r>
      <w:r w:rsidR="002C3208">
        <w:rPr>
          <w:rFonts w:ascii="Calibri" w:eastAsia="Calibri" w:hAnsi="Calibri" w:cs="Calibri"/>
        </w:rPr>
        <w:t xml:space="preserve">3 </w:t>
      </w:r>
      <w:r>
        <w:rPr>
          <w:rFonts w:ascii="Calibri" w:eastAsia="Calibri" w:hAnsi="Calibri" w:cs="Calibri"/>
        </w:rPr>
        <w:t xml:space="preserve">countries have </w:t>
      </w:r>
      <w:r>
        <w:rPr>
          <w:rFonts w:ascii="Calibri" w:eastAsia="Calibri" w:hAnsi="Calibri"/>
          <w:szCs w:val="22"/>
        </w:rPr>
        <w:t>small</w:t>
      </w:r>
      <w:r w:rsidR="00E95A7E">
        <w:rPr>
          <w:rFonts w:ascii="Calibri" w:eastAsia="Calibri" w:hAnsi="Calibri"/>
          <w:szCs w:val="22"/>
        </w:rPr>
        <w:t>er</w:t>
      </w:r>
      <w:r>
        <w:rPr>
          <w:rFonts w:ascii="Calibri" w:eastAsia="Calibri" w:hAnsi="Calibri"/>
          <w:szCs w:val="22"/>
        </w:rPr>
        <w:t xml:space="preserve"> </w:t>
      </w:r>
      <w:r w:rsidRPr="004E3787">
        <w:rPr>
          <w:rFonts w:ascii="Calibri" w:eastAsia="Calibri" w:hAnsi="Calibri"/>
          <w:szCs w:val="22"/>
        </w:rPr>
        <w:t xml:space="preserve">populations and a higher contribution to growth from </w:t>
      </w:r>
      <w:r w:rsidR="00BD4DE6">
        <w:rPr>
          <w:rFonts w:ascii="Calibri" w:eastAsia="Calibri" w:hAnsi="Calibri"/>
          <w:szCs w:val="22"/>
        </w:rPr>
        <w:t>NOM</w:t>
      </w:r>
      <w:r>
        <w:rPr>
          <w:rFonts w:ascii="Calibri" w:eastAsia="Calibri" w:hAnsi="Calibri"/>
          <w:szCs w:val="22"/>
        </w:rPr>
        <w:t>, which</w:t>
      </w:r>
      <w:r w:rsidRPr="004E3787">
        <w:rPr>
          <w:rFonts w:ascii="Calibri" w:eastAsia="Calibri" w:hAnsi="Calibri"/>
          <w:szCs w:val="22"/>
        </w:rPr>
        <w:t xml:space="preserve"> mean</w:t>
      </w:r>
      <w:r>
        <w:rPr>
          <w:rFonts w:ascii="Calibri" w:eastAsia="Calibri" w:hAnsi="Calibri"/>
          <w:szCs w:val="22"/>
        </w:rPr>
        <w:t>s that they</w:t>
      </w:r>
      <w:r w:rsidRPr="004E3787">
        <w:rPr>
          <w:rFonts w:ascii="Calibri" w:eastAsia="Calibri" w:hAnsi="Calibri"/>
          <w:szCs w:val="22"/>
        </w:rPr>
        <w:t xml:space="preserve"> have more volatile growth rates than their larger counterparts, such as the </w:t>
      </w:r>
      <w:r w:rsidR="00DF0671">
        <w:rPr>
          <w:rFonts w:ascii="Calibri" w:eastAsia="Calibri" w:hAnsi="Calibri"/>
          <w:szCs w:val="22"/>
        </w:rPr>
        <w:t>US</w:t>
      </w:r>
      <w:r w:rsidRPr="004E3787">
        <w:rPr>
          <w:rFonts w:ascii="Calibri" w:eastAsia="Calibri" w:hAnsi="Calibri"/>
          <w:szCs w:val="22"/>
        </w:rPr>
        <w:t>.</w:t>
      </w:r>
      <w:r>
        <w:rPr>
          <w:rStyle w:val="FootnoteReference"/>
          <w:rFonts w:eastAsia="Calibri"/>
          <w:szCs w:val="22"/>
        </w:rPr>
        <w:footnoteReference w:id="2"/>
      </w:r>
    </w:p>
    <w:p w14:paraId="1D19AAB1" w14:textId="48E42C50" w:rsidR="00D9259F" w:rsidRDefault="00D9259F" w:rsidP="00D9259F">
      <w:pPr>
        <w:spacing w:before="80" w:after="160" w:line="259" w:lineRule="auto"/>
        <w:rPr>
          <w:rFonts w:ascii="Calibri" w:eastAsia="Calibri" w:hAnsi="Calibri"/>
          <w:szCs w:val="22"/>
        </w:rPr>
      </w:pPr>
      <w:r w:rsidRPr="004E3787">
        <w:rPr>
          <w:rFonts w:ascii="Calibri" w:eastAsia="Calibri" w:hAnsi="Calibri"/>
          <w:szCs w:val="22"/>
        </w:rPr>
        <w:t xml:space="preserve">In the 25 years prior to the </w:t>
      </w:r>
      <w:r>
        <w:rPr>
          <w:rFonts w:ascii="Calibri" w:eastAsia="Calibri" w:hAnsi="Calibri"/>
          <w:szCs w:val="22"/>
        </w:rPr>
        <w:t>pandemic,</w:t>
      </w:r>
      <w:r w:rsidRPr="004E3787">
        <w:rPr>
          <w:rFonts w:ascii="Calibri" w:eastAsia="Calibri" w:hAnsi="Calibri"/>
          <w:szCs w:val="22"/>
        </w:rPr>
        <w:t xml:space="preserve"> </w:t>
      </w:r>
      <w:r>
        <w:rPr>
          <w:rFonts w:ascii="Calibri" w:eastAsia="Calibri" w:hAnsi="Calibri"/>
          <w:szCs w:val="22"/>
        </w:rPr>
        <w:t xml:space="preserve">higher rates of </w:t>
      </w:r>
      <w:r w:rsidR="00BD4DE6">
        <w:rPr>
          <w:rFonts w:ascii="Calibri" w:eastAsia="Calibri" w:hAnsi="Calibri"/>
          <w:szCs w:val="22"/>
        </w:rPr>
        <w:t>NOM</w:t>
      </w:r>
      <w:r>
        <w:rPr>
          <w:rFonts w:ascii="Calibri" w:eastAsia="Calibri" w:hAnsi="Calibri"/>
          <w:szCs w:val="22"/>
        </w:rPr>
        <w:t xml:space="preserve"> in</w:t>
      </w:r>
      <w:r w:rsidRPr="004E3787">
        <w:rPr>
          <w:rFonts w:ascii="Calibri" w:eastAsia="Calibri" w:hAnsi="Calibri"/>
          <w:szCs w:val="22"/>
        </w:rPr>
        <w:t xml:space="preserve"> Australia, New Zealand, and Canada </w:t>
      </w:r>
      <w:r>
        <w:rPr>
          <w:rFonts w:ascii="Calibri" w:eastAsia="Calibri" w:hAnsi="Calibri"/>
          <w:szCs w:val="22"/>
        </w:rPr>
        <w:t xml:space="preserve">resulted in their populations growing </w:t>
      </w:r>
      <w:r w:rsidRPr="004E3787">
        <w:rPr>
          <w:rFonts w:ascii="Calibri" w:eastAsia="Calibri" w:hAnsi="Calibri"/>
          <w:szCs w:val="22"/>
        </w:rPr>
        <w:t xml:space="preserve">faster than the US, the </w:t>
      </w:r>
      <w:r w:rsidR="008050CD">
        <w:rPr>
          <w:rFonts w:ascii="Calibri" w:eastAsia="Calibri" w:hAnsi="Calibri"/>
          <w:szCs w:val="22"/>
        </w:rPr>
        <w:t>UK</w:t>
      </w:r>
      <w:r>
        <w:rPr>
          <w:rFonts w:ascii="Calibri" w:eastAsia="Calibri" w:hAnsi="Calibri"/>
          <w:szCs w:val="22"/>
        </w:rPr>
        <w:t>,</w:t>
      </w:r>
      <w:r w:rsidRPr="004E3787">
        <w:rPr>
          <w:rFonts w:ascii="Calibri" w:eastAsia="Calibri" w:hAnsi="Calibri"/>
          <w:szCs w:val="22"/>
        </w:rPr>
        <w:t xml:space="preserve"> and the European Union (</w:t>
      </w:r>
      <w:r>
        <w:rPr>
          <w:rFonts w:ascii="Calibri" w:eastAsia="Calibri" w:hAnsi="Calibri"/>
          <w:szCs w:val="22"/>
        </w:rPr>
        <w:fldChar w:fldCharType="begin"/>
      </w:r>
      <w:r>
        <w:rPr>
          <w:rFonts w:ascii="Calibri" w:eastAsia="Calibri" w:hAnsi="Calibri"/>
          <w:szCs w:val="22"/>
        </w:rPr>
        <w:instrText xml:space="preserve"> REF _Ref181179333 \r \h </w:instrText>
      </w:r>
      <w:r>
        <w:rPr>
          <w:rFonts w:ascii="Calibri" w:eastAsia="Calibri" w:hAnsi="Calibri"/>
          <w:szCs w:val="22"/>
        </w:rPr>
      </w:r>
      <w:r>
        <w:rPr>
          <w:rFonts w:ascii="Calibri" w:eastAsia="Calibri" w:hAnsi="Calibri"/>
          <w:szCs w:val="22"/>
        </w:rPr>
        <w:fldChar w:fldCharType="separate"/>
      </w:r>
      <w:r w:rsidR="00050D25">
        <w:rPr>
          <w:rFonts w:ascii="Calibri" w:eastAsia="Calibri" w:hAnsi="Calibri"/>
          <w:szCs w:val="22"/>
        </w:rPr>
        <w:t>Chart 2</w:t>
      </w:r>
      <w:r>
        <w:rPr>
          <w:rFonts w:ascii="Calibri" w:eastAsia="Calibri" w:hAnsi="Calibri"/>
          <w:szCs w:val="22"/>
        </w:rPr>
        <w:fldChar w:fldCharType="end"/>
      </w:r>
      <w:r w:rsidRPr="004E3787">
        <w:rPr>
          <w:rFonts w:ascii="Calibri" w:eastAsia="Calibri" w:hAnsi="Calibri"/>
          <w:szCs w:val="22"/>
        </w:rPr>
        <w:t>). Between 1994 and 2020, Australia</w:t>
      </w:r>
      <w:r w:rsidR="00050D25">
        <w:rPr>
          <w:rFonts w:ascii="Calibri" w:eastAsia="Calibri" w:hAnsi="Calibri"/>
          <w:szCs w:val="22"/>
        </w:rPr>
        <w:t>’</w:t>
      </w:r>
      <w:r>
        <w:rPr>
          <w:rFonts w:ascii="Calibri" w:eastAsia="Calibri" w:hAnsi="Calibri"/>
          <w:szCs w:val="22"/>
        </w:rPr>
        <w:t>s population</w:t>
      </w:r>
      <w:r w:rsidRPr="004E3787">
        <w:rPr>
          <w:rFonts w:ascii="Calibri" w:eastAsia="Calibri" w:hAnsi="Calibri"/>
          <w:szCs w:val="22"/>
        </w:rPr>
        <w:t xml:space="preserve"> grew </w:t>
      </w:r>
      <w:r>
        <w:rPr>
          <w:rFonts w:ascii="Calibri" w:eastAsia="Calibri" w:hAnsi="Calibri"/>
          <w:szCs w:val="22"/>
        </w:rPr>
        <w:t>at an</w:t>
      </w:r>
      <w:r w:rsidRPr="004E3787">
        <w:rPr>
          <w:rFonts w:ascii="Calibri" w:eastAsia="Calibri" w:hAnsi="Calibri"/>
          <w:szCs w:val="22"/>
        </w:rPr>
        <w:t xml:space="preserve"> </w:t>
      </w:r>
      <w:r>
        <w:rPr>
          <w:rFonts w:ascii="Calibri" w:eastAsia="Calibri" w:hAnsi="Calibri"/>
          <w:szCs w:val="22"/>
        </w:rPr>
        <w:t>average rate of</w:t>
      </w:r>
      <w:r w:rsidRPr="004E3787">
        <w:rPr>
          <w:rFonts w:ascii="Calibri" w:eastAsia="Calibri" w:hAnsi="Calibri"/>
          <w:szCs w:val="22"/>
        </w:rPr>
        <w:t xml:space="preserve"> 1.4</w:t>
      </w:r>
      <w:r w:rsidR="00FF207F">
        <w:t> per cent</w:t>
      </w:r>
      <w:r w:rsidRPr="004E3787">
        <w:rPr>
          <w:rFonts w:ascii="Calibri" w:eastAsia="Calibri" w:hAnsi="Calibri"/>
          <w:szCs w:val="22"/>
        </w:rPr>
        <w:t xml:space="preserve"> </w:t>
      </w:r>
      <w:r>
        <w:rPr>
          <w:rFonts w:ascii="Calibri" w:eastAsia="Calibri" w:hAnsi="Calibri"/>
          <w:szCs w:val="22"/>
        </w:rPr>
        <w:t>and</w:t>
      </w:r>
      <w:r w:rsidRPr="004E3787">
        <w:rPr>
          <w:rFonts w:ascii="Calibri" w:eastAsia="Calibri" w:hAnsi="Calibri"/>
          <w:szCs w:val="22"/>
        </w:rPr>
        <w:t xml:space="preserve"> New</w:t>
      </w:r>
      <w:r>
        <w:rPr>
          <w:rFonts w:ascii="Calibri" w:eastAsia="Calibri" w:hAnsi="Calibri"/>
          <w:szCs w:val="22"/>
        </w:rPr>
        <w:t> </w:t>
      </w:r>
      <w:r w:rsidRPr="004E3787">
        <w:rPr>
          <w:rFonts w:ascii="Calibri" w:eastAsia="Calibri" w:hAnsi="Calibri"/>
          <w:szCs w:val="22"/>
        </w:rPr>
        <w:t>Zealand</w:t>
      </w:r>
      <w:r w:rsidR="00050D25">
        <w:rPr>
          <w:rFonts w:ascii="Calibri" w:eastAsia="Calibri" w:hAnsi="Calibri"/>
          <w:szCs w:val="22"/>
        </w:rPr>
        <w:t>’</w:t>
      </w:r>
      <w:r>
        <w:rPr>
          <w:rFonts w:ascii="Calibri" w:eastAsia="Calibri" w:hAnsi="Calibri"/>
          <w:szCs w:val="22"/>
        </w:rPr>
        <w:t>s</w:t>
      </w:r>
      <w:r w:rsidRPr="004E3787">
        <w:rPr>
          <w:rFonts w:ascii="Calibri" w:eastAsia="Calibri" w:hAnsi="Calibri"/>
          <w:szCs w:val="22"/>
        </w:rPr>
        <w:t xml:space="preserve"> grew at an average rate of 1.3</w:t>
      </w:r>
      <w:r w:rsidR="00FF207F">
        <w:rPr>
          <w:rFonts w:ascii="Calibri" w:eastAsia="Calibri" w:hAnsi="Calibri"/>
          <w:szCs w:val="22"/>
        </w:rPr>
        <w:t> per cent</w:t>
      </w:r>
      <w:r>
        <w:rPr>
          <w:rFonts w:ascii="Calibri" w:eastAsia="Calibri" w:hAnsi="Calibri"/>
          <w:szCs w:val="22"/>
        </w:rPr>
        <w:t xml:space="preserve"> per year</w:t>
      </w:r>
      <w:r w:rsidRPr="004E3787">
        <w:rPr>
          <w:rFonts w:ascii="Calibri" w:eastAsia="Calibri" w:hAnsi="Calibri"/>
          <w:szCs w:val="22"/>
        </w:rPr>
        <w:t xml:space="preserve">. Canada reached </w:t>
      </w:r>
      <w:r w:rsidR="00014F3B">
        <w:rPr>
          <w:rFonts w:ascii="Calibri" w:eastAsia="Calibri" w:hAnsi="Calibri"/>
          <w:szCs w:val="22"/>
        </w:rPr>
        <w:t xml:space="preserve">annual </w:t>
      </w:r>
      <w:r w:rsidRPr="00840465">
        <w:rPr>
          <w:rFonts w:ascii="Calibri" w:eastAsia="Calibri" w:hAnsi="Calibri"/>
          <w:szCs w:val="22"/>
        </w:rPr>
        <w:t>growth of 1.</w:t>
      </w:r>
      <w:r w:rsidR="00FE3D49" w:rsidRPr="00840465">
        <w:rPr>
          <w:rFonts w:ascii="Calibri" w:eastAsia="Calibri" w:hAnsi="Calibri"/>
          <w:szCs w:val="22"/>
        </w:rPr>
        <w:t>6</w:t>
      </w:r>
      <w:r w:rsidR="00FF207F" w:rsidRPr="00840465">
        <w:rPr>
          <w:rFonts w:ascii="Calibri" w:eastAsia="Calibri" w:hAnsi="Calibri"/>
          <w:szCs w:val="22"/>
        </w:rPr>
        <w:t> per cent</w:t>
      </w:r>
      <w:r w:rsidRPr="00840465">
        <w:rPr>
          <w:rFonts w:ascii="Calibri" w:eastAsia="Calibri" w:hAnsi="Calibri"/>
          <w:szCs w:val="22"/>
        </w:rPr>
        <w:t xml:space="preserve"> in </w:t>
      </w:r>
      <w:r w:rsidR="00FE3D49" w:rsidRPr="00840465">
        <w:rPr>
          <w:rFonts w:ascii="Calibri" w:eastAsia="Calibri" w:hAnsi="Calibri"/>
          <w:szCs w:val="22"/>
        </w:rPr>
        <w:t>the</w:t>
      </w:r>
      <w:r w:rsidR="00FE3D49">
        <w:rPr>
          <w:rFonts w:ascii="Calibri" w:eastAsia="Calibri" w:hAnsi="Calibri"/>
          <w:szCs w:val="22"/>
        </w:rPr>
        <w:t xml:space="preserve"> fourth quarter of 2019 </w:t>
      </w:r>
      <w:r>
        <w:rPr>
          <w:rFonts w:ascii="Calibri" w:eastAsia="Calibri" w:hAnsi="Calibri"/>
          <w:szCs w:val="22"/>
        </w:rPr>
        <w:t xml:space="preserve">due to an increase in </w:t>
      </w:r>
      <w:r w:rsidR="00BD4DE6">
        <w:rPr>
          <w:rFonts w:ascii="Calibri" w:eastAsia="Calibri" w:hAnsi="Calibri"/>
          <w:szCs w:val="22"/>
        </w:rPr>
        <w:t>NOM</w:t>
      </w:r>
      <w:r w:rsidRPr="004E3787">
        <w:rPr>
          <w:rFonts w:ascii="Calibri" w:eastAsia="Calibri" w:hAnsi="Calibri"/>
          <w:szCs w:val="22"/>
        </w:rPr>
        <w:t>.</w:t>
      </w:r>
    </w:p>
    <w:p w14:paraId="7CB603CA" w14:textId="64A55F3E" w:rsidR="00D9259F" w:rsidRDefault="00D9259F" w:rsidP="00D9259F">
      <w:pPr>
        <w:spacing w:before="80" w:after="160" w:line="259" w:lineRule="auto"/>
        <w:rPr>
          <w:rFonts w:ascii="Calibri" w:eastAsia="Calibri" w:hAnsi="Calibri"/>
          <w:szCs w:val="22"/>
        </w:rPr>
      </w:pPr>
      <w:r w:rsidRPr="004E3787">
        <w:rPr>
          <w:rFonts w:ascii="Calibri" w:eastAsia="Calibri" w:hAnsi="Calibri"/>
          <w:szCs w:val="22"/>
        </w:rPr>
        <w:t xml:space="preserve">Population growth in advanced economies </w:t>
      </w:r>
      <w:r>
        <w:rPr>
          <w:rFonts w:ascii="Calibri" w:eastAsia="Calibri" w:hAnsi="Calibri"/>
          <w:szCs w:val="22"/>
        </w:rPr>
        <w:t>fell</w:t>
      </w:r>
      <w:r w:rsidRPr="004E3787" w:rsidDel="00F52079">
        <w:rPr>
          <w:rFonts w:ascii="Calibri" w:eastAsia="Calibri" w:hAnsi="Calibri"/>
          <w:szCs w:val="22"/>
        </w:rPr>
        <w:t xml:space="preserve"> </w:t>
      </w:r>
      <w:r w:rsidRPr="004E3787">
        <w:rPr>
          <w:rFonts w:ascii="Calibri" w:eastAsia="Calibri" w:hAnsi="Calibri"/>
          <w:szCs w:val="22"/>
        </w:rPr>
        <w:t xml:space="preserve">as international travel restrictions </w:t>
      </w:r>
      <w:r>
        <w:rPr>
          <w:rFonts w:ascii="Calibri" w:eastAsia="Calibri" w:hAnsi="Calibri"/>
          <w:szCs w:val="22"/>
        </w:rPr>
        <w:t>limited</w:t>
      </w:r>
      <w:r w:rsidRPr="004E3787">
        <w:rPr>
          <w:rFonts w:ascii="Calibri" w:eastAsia="Calibri" w:hAnsi="Calibri"/>
          <w:szCs w:val="22"/>
        </w:rPr>
        <w:t xml:space="preserve"> global migration. </w:t>
      </w:r>
      <w:r>
        <w:rPr>
          <w:rFonts w:ascii="Calibri" w:eastAsia="Calibri" w:hAnsi="Calibri"/>
          <w:szCs w:val="22"/>
        </w:rPr>
        <w:t xml:space="preserve">Australia, New </w:t>
      </w:r>
      <w:proofErr w:type="gramStart"/>
      <w:r>
        <w:rPr>
          <w:rFonts w:ascii="Calibri" w:eastAsia="Calibri" w:hAnsi="Calibri"/>
          <w:szCs w:val="22"/>
        </w:rPr>
        <w:t>Zealand</w:t>
      </w:r>
      <w:proofErr w:type="gramEnd"/>
      <w:r>
        <w:rPr>
          <w:rFonts w:ascii="Calibri" w:eastAsia="Calibri" w:hAnsi="Calibri"/>
          <w:szCs w:val="22"/>
        </w:rPr>
        <w:t xml:space="preserve"> and Canada all experienced particularly sharp declines, with Australia</w:t>
      </w:r>
      <w:r w:rsidR="00050D25">
        <w:rPr>
          <w:rFonts w:ascii="Calibri" w:eastAsia="Calibri" w:hAnsi="Calibri"/>
          <w:szCs w:val="22"/>
        </w:rPr>
        <w:t>’</w:t>
      </w:r>
      <w:r>
        <w:rPr>
          <w:rFonts w:ascii="Calibri" w:eastAsia="Calibri" w:hAnsi="Calibri"/>
          <w:szCs w:val="22"/>
        </w:rPr>
        <w:t xml:space="preserve">s growth falling to levels similar to the </w:t>
      </w:r>
      <w:r w:rsidR="008050CD">
        <w:rPr>
          <w:rFonts w:ascii="Calibri" w:eastAsia="Calibri" w:hAnsi="Calibri"/>
          <w:szCs w:val="22"/>
        </w:rPr>
        <w:t>UK</w:t>
      </w:r>
      <w:r>
        <w:rPr>
          <w:rFonts w:ascii="Calibri" w:eastAsia="Calibri" w:hAnsi="Calibri"/>
          <w:szCs w:val="22"/>
        </w:rPr>
        <w:t xml:space="preserve"> and the US.</w:t>
      </w:r>
    </w:p>
    <w:p w14:paraId="6DBC6520" w14:textId="07F7550F" w:rsidR="00D9259F" w:rsidRDefault="00D9259F" w:rsidP="00D9259F">
      <w:pPr>
        <w:spacing w:before="80" w:after="160" w:line="259" w:lineRule="auto"/>
        <w:rPr>
          <w:rFonts w:ascii="Calibri" w:eastAsia="Calibri" w:hAnsi="Calibri"/>
          <w:szCs w:val="22"/>
        </w:rPr>
      </w:pPr>
      <w:r>
        <w:rPr>
          <w:rFonts w:ascii="Calibri" w:eastAsia="Calibri" w:hAnsi="Calibri"/>
          <w:szCs w:val="22"/>
        </w:rPr>
        <w:t>The</w:t>
      </w:r>
      <w:r w:rsidRPr="004E3787">
        <w:rPr>
          <w:rFonts w:ascii="Calibri" w:eastAsia="Calibri" w:hAnsi="Calibri"/>
          <w:szCs w:val="22"/>
        </w:rPr>
        <w:t xml:space="preserve"> subsequent easing of restrictions </w:t>
      </w:r>
      <w:r>
        <w:rPr>
          <w:rFonts w:ascii="Calibri" w:eastAsia="Calibri" w:hAnsi="Calibri"/>
          <w:szCs w:val="22"/>
        </w:rPr>
        <w:t xml:space="preserve">released </w:t>
      </w:r>
      <w:r w:rsidRPr="004E3787">
        <w:rPr>
          <w:rFonts w:ascii="Calibri" w:eastAsia="Calibri" w:hAnsi="Calibri"/>
          <w:szCs w:val="22"/>
        </w:rPr>
        <w:t>pent</w:t>
      </w:r>
      <w:r w:rsidR="00050D25">
        <w:rPr>
          <w:rFonts w:ascii="Calibri" w:eastAsia="Calibri" w:hAnsi="Calibri"/>
          <w:szCs w:val="22"/>
        </w:rPr>
        <w:noBreakHyphen/>
      </w:r>
      <w:r w:rsidRPr="004E3787">
        <w:rPr>
          <w:rFonts w:ascii="Calibri" w:eastAsia="Calibri" w:hAnsi="Calibri"/>
          <w:szCs w:val="22"/>
        </w:rPr>
        <w:t>up demand for international migration. Australia, New</w:t>
      </w:r>
      <w:r w:rsidR="001339E1">
        <w:rPr>
          <w:rFonts w:ascii="Calibri" w:eastAsia="Calibri" w:hAnsi="Calibri"/>
          <w:szCs w:val="22"/>
        </w:rPr>
        <w:t> </w:t>
      </w:r>
      <w:proofErr w:type="gramStart"/>
      <w:r w:rsidRPr="004E3787">
        <w:rPr>
          <w:rFonts w:ascii="Calibri" w:eastAsia="Calibri" w:hAnsi="Calibri"/>
          <w:szCs w:val="22"/>
        </w:rPr>
        <w:t>Zealand</w:t>
      </w:r>
      <w:proofErr w:type="gramEnd"/>
      <w:r w:rsidRPr="004E3787">
        <w:rPr>
          <w:rFonts w:ascii="Calibri" w:eastAsia="Calibri" w:hAnsi="Calibri"/>
          <w:szCs w:val="22"/>
        </w:rPr>
        <w:t xml:space="preserve"> and Canada </w:t>
      </w:r>
      <w:r w:rsidR="004E0016">
        <w:rPr>
          <w:rFonts w:ascii="Calibri" w:eastAsia="Calibri" w:hAnsi="Calibri"/>
          <w:szCs w:val="22"/>
        </w:rPr>
        <w:t>re</w:t>
      </w:r>
      <w:r w:rsidR="00191B3C">
        <w:rPr>
          <w:rFonts w:ascii="Calibri" w:eastAsia="Calibri" w:hAnsi="Calibri"/>
          <w:szCs w:val="22"/>
        </w:rPr>
        <w:t xml:space="preserve">opened their borders over 2021–22 and </w:t>
      </w:r>
      <w:r>
        <w:rPr>
          <w:rFonts w:ascii="Calibri" w:eastAsia="Calibri" w:hAnsi="Calibri"/>
          <w:szCs w:val="22"/>
        </w:rPr>
        <w:t xml:space="preserve">all </w:t>
      </w:r>
      <w:r w:rsidR="00DC04BE">
        <w:rPr>
          <w:rFonts w:ascii="Calibri" w:eastAsia="Calibri" w:hAnsi="Calibri"/>
          <w:szCs w:val="22"/>
        </w:rPr>
        <w:t>subsequently</w:t>
      </w:r>
      <w:r>
        <w:rPr>
          <w:rFonts w:ascii="Calibri" w:eastAsia="Calibri" w:hAnsi="Calibri"/>
          <w:szCs w:val="22"/>
        </w:rPr>
        <w:t xml:space="preserve"> </w:t>
      </w:r>
      <w:r w:rsidRPr="004E3787">
        <w:rPr>
          <w:rFonts w:ascii="Calibri" w:eastAsia="Calibri" w:hAnsi="Calibri"/>
          <w:szCs w:val="22"/>
        </w:rPr>
        <w:t>recorded the</w:t>
      </w:r>
      <w:r>
        <w:rPr>
          <w:rFonts w:ascii="Calibri" w:eastAsia="Calibri" w:hAnsi="Calibri"/>
          <w:szCs w:val="22"/>
        </w:rPr>
        <w:t>ir</w:t>
      </w:r>
      <w:r w:rsidRPr="004E3787">
        <w:rPr>
          <w:rFonts w:ascii="Calibri" w:eastAsia="Calibri" w:hAnsi="Calibri"/>
          <w:szCs w:val="22"/>
        </w:rPr>
        <w:t xml:space="preserve"> highest population growth </w:t>
      </w:r>
      <w:r>
        <w:rPr>
          <w:rFonts w:ascii="Calibri" w:eastAsia="Calibri" w:hAnsi="Calibri"/>
          <w:szCs w:val="22"/>
        </w:rPr>
        <w:t xml:space="preserve">rates </w:t>
      </w:r>
      <w:r w:rsidRPr="004E3787">
        <w:rPr>
          <w:rFonts w:ascii="Calibri" w:eastAsia="Calibri" w:hAnsi="Calibri"/>
          <w:szCs w:val="22"/>
        </w:rPr>
        <w:t>in decades</w:t>
      </w:r>
      <w:r w:rsidR="00A03278">
        <w:rPr>
          <w:rFonts w:ascii="Calibri" w:eastAsia="Calibri" w:hAnsi="Calibri"/>
          <w:szCs w:val="22"/>
        </w:rPr>
        <w:t>,</w:t>
      </w:r>
      <w:r>
        <w:rPr>
          <w:rFonts w:ascii="Calibri" w:eastAsia="Calibri" w:hAnsi="Calibri"/>
          <w:szCs w:val="22"/>
        </w:rPr>
        <w:t xml:space="preserve"> peaking at 2.6, 3.0 and 3.2</w:t>
      </w:r>
      <w:r w:rsidR="00FF207F">
        <w:rPr>
          <w:rFonts w:ascii="Calibri" w:eastAsia="Calibri" w:hAnsi="Calibri"/>
          <w:szCs w:val="22"/>
        </w:rPr>
        <w:t> per cent</w:t>
      </w:r>
      <w:r>
        <w:rPr>
          <w:rFonts w:ascii="Calibri" w:eastAsia="Calibri" w:hAnsi="Calibri"/>
          <w:szCs w:val="22"/>
        </w:rPr>
        <w:t xml:space="preserve"> respectively.</w:t>
      </w:r>
      <w:r w:rsidRPr="004E3787">
        <w:rPr>
          <w:rFonts w:ascii="Calibri" w:eastAsia="Calibri" w:hAnsi="Calibri"/>
          <w:szCs w:val="22"/>
        </w:rPr>
        <w:t xml:space="preserve"> </w:t>
      </w:r>
    </w:p>
    <w:p w14:paraId="6F80697E" w14:textId="6BEFE430" w:rsidR="00D9259F" w:rsidRPr="004E3787" w:rsidRDefault="00D9259F" w:rsidP="00D9259F">
      <w:pPr>
        <w:spacing w:before="80" w:after="160" w:line="259" w:lineRule="auto"/>
        <w:rPr>
          <w:rFonts w:ascii="Calibri" w:eastAsia="Calibri" w:hAnsi="Calibri"/>
          <w:szCs w:val="22"/>
        </w:rPr>
      </w:pPr>
      <w:r>
        <w:rPr>
          <w:rFonts w:ascii="Calibri" w:eastAsia="Calibri" w:hAnsi="Calibri"/>
          <w:szCs w:val="22"/>
        </w:rPr>
        <w:t xml:space="preserve">Since peaking, population growth in all </w:t>
      </w:r>
      <w:r w:rsidR="006D60E2">
        <w:rPr>
          <w:rFonts w:ascii="Calibri" w:eastAsia="Calibri" w:hAnsi="Calibri"/>
          <w:szCs w:val="22"/>
        </w:rPr>
        <w:t xml:space="preserve">3 </w:t>
      </w:r>
      <w:r>
        <w:rPr>
          <w:rFonts w:ascii="Calibri" w:eastAsia="Calibri" w:hAnsi="Calibri"/>
          <w:szCs w:val="22"/>
        </w:rPr>
        <w:t xml:space="preserve">countries is now easing. </w:t>
      </w:r>
      <w:r w:rsidR="00DB7306">
        <w:rPr>
          <w:rFonts w:ascii="Calibri" w:eastAsia="Calibri" w:hAnsi="Calibri"/>
          <w:szCs w:val="22"/>
        </w:rPr>
        <w:t>Annual g</w:t>
      </w:r>
      <w:r>
        <w:rPr>
          <w:rFonts w:ascii="Calibri" w:eastAsia="Calibri" w:hAnsi="Calibri"/>
          <w:szCs w:val="22"/>
        </w:rPr>
        <w:t xml:space="preserve">rowth in New Zealand </w:t>
      </w:r>
      <w:r w:rsidR="00515607">
        <w:rPr>
          <w:rFonts w:ascii="Calibri" w:eastAsia="Calibri" w:hAnsi="Calibri"/>
          <w:szCs w:val="22"/>
        </w:rPr>
        <w:t>ha</w:t>
      </w:r>
      <w:r w:rsidR="005A3473">
        <w:rPr>
          <w:rFonts w:ascii="Calibri" w:eastAsia="Calibri" w:hAnsi="Calibri"/>
          <w:szCs w:val="22"/>
        </w:rPr>
        <w:t>s</w:t>
      </w:r>
      <w:r w:rsidR="00515607">
        <w:rPr>
          <w:rFonts w:ascii="Calibri" w:eastAsia="Calibri" w:hAnsi="Calibri"/>
          <w:szCs w:val="22"/>
        </w:rPr>
        <w:t xml:space="preserve"> been falling since the </w:t>
      </w:r>
      <w:r w:rsidR="00DB7306">
        <w:rPr>
          <w:rFonts w:ascii="Calibri" w:eastAsia="Calibri" w:hAnsi="Calibri"/>
          <w:szCs w:val="22"/>
        </w:rPr>
        <w:t xml:space="preserve">December </w:t>
      </w:r>
      <w:r w:rsidR="00515607">
        <w:rPr>
          <w:rFonts w:ascii="Calibri" w:eastAsia="Calibri" w:hAnsi="Calibri"/>
          <w:szCs w:val="22"/>
        </w:rPr>
        <w:t>quarter of 202</w:t>
      </w:r>
      <w:r w:rsidR="00DB7306">
        <w:rPr>
          <w:rFonts w:ascii="Calibri" w:eastAsia="Calibri" w:hAnsi="Calibri"/>
          <w:szCs w:val="22"/>
        </w:rPr>
        <w:t>3</w:t>
      </w:r>
      <w:r>
        <w:rPr>
          <w:rFonts w:ascii="Calibri" w:eastAsia="Calibri" w:hAnsi="Calibri"/>
          <w:szCs w:val="22"/>
        </w:rPr>
        <w:t xml:space="preserve">. </w:t>
      </w:r>
      <w:r w:rsidR="009A6B72">
        <w:rPr>
          <w:rFonts w:ascii="Calibri" w:eastAsia="Calibri" w:hAnsi="Calibri"/>
          <w:szCs w:val="22"/>
        </w:rPr>
        <w:t>With</w:t>
      </w:r>
      <w:r w:rsidR="009A6B72" w:rsidRPr="005F3925">
        <w:rPr>
          <w:rFonts w:ascii="Calibri" w:eastAsia="Calibri" w:hAnsi="Calibri"/>
          <w:szCs w:val="22"/>
        </w:rPr>
        <w:t xml:space="preserve"> </w:t>
      </w:r>
      <w:r w:rsidR="008237D1" w:rsidRPr="005F3925">
        <w:rPr>
          <w:rFonts w:ascii="Calibri" w:eastAsia="Calibri" w:hAnsi="Calibri"/>
          <w:szCs w:val="22"/>
        </w:rPr>
        <w:t>migration policy</w:t>
      </w:r>
      <w:r w:rsidR="008237D1">
        <w:rPr>
          <w:rFonts w:ascii="Calibri" w:eastAsia="Calibri" w:hAnsi="Calibri"/>
          <w:szCs w:val="22"/>
        </w:rPr>
        <w:t xml:space="preserve"> </w:t>
      </w:r>
      <w:r w:rsidR="008237D1" w:rsidRPr="005F3925">
        <w:rPr>
          <w:rFonts w:ascii="Calibri" w:eastAsia="Calibri" w:hAnsi="Calibri"/>
          <w:szCs w:val="22"/>
        </w:rPr>
        <w:t>tightening</w:t>
      </w:r>
      <w:r w:rsidR="008237D1">
        <w:rPr>
          <w:rFonts w:ascii="Calibri" w:eastAsia="Calibri" w:hAnsi="Calibri"/>
          <w:szCs w:val="22"/>
        </w:rPr>
        <w:t xml:space="preserve">, </w:t>
      </w:r>
      <w:r w:rsidR="00153B3E">
        <w:rPr>
          <w:rFonts w:ascii="Calibri" w:eastAsia="Calibri" w:hAnsi="Calibri"/>
          <w:szCs w:val="22"/>
        </w:rPr>
        <w:t>Canad</w:t>
      </w:r>
      <w:r w:rsidR="00382F41">
        <w:rPr>
          <w:rFonts w:ascii="Calibri" w:eastAsia="Calibri" w:hAnsi="Calibri"/>
          <w:szCs w:val="22"/>
        </w:rPr>
        <w:t>i</w:t>
      </w:r>
      <w:r w:rsidR="00153B3E">
        <w:rPr>
          <w:rFonts w:ascii="Calibri" w:eastAsia="Calibri" w:hAnsi="Calibri"/>
          <w:szCs w:val="22"/>
        </w:rPr>
        <w:t>a</w:t>
      </w:r>
      <w:r w:rsidR="00382F41">
        <w:rPr>
          <w:rFonts w:ascii="Calibri" w:eastAsia="Calibri" w:hAnsi="Calibri"/>
          <w:szCs w:val="22"/>
        </w:rPr>
        <w:t>n population growth</w:t>
      </w:r>
      <w:r w:rsidR="00153B3E">
        <w:rPr>
          <w:rFonts w:ascii="Calibri" w:eastAsia="Calibri" w:hAnsi="Calibri"/>
          <w:szCs w:val="22"/>
        </w:rPr>
        <w:t xml:space="preserve"> has </w:t>
      </w:r>
      <w:r w:rsidR="00B03457">
        <w:rPr>
          <w:rFonts w:ascii="Calibri" w:eastAsia="Calibri" w:hAnsi="Calibri"/>
          <w:szCs w:val="22"/>
        </w:rPr>
        <w:t>also</w:t>
      </w:r>
      <w:r w:rsidR="00153B3E">
        <w:rPr>
          <w:rFonts w:ascii="Calibri" w:eastAsia="Calibri" w:hAnsi="Calibri"/>
          <w:szCs w:val="22"/>
        </w:rPr>
        <w:t xml:space="preserve"> begun to </w:t>
      </w:r>
      <w:r w:rsidR="00B03457">
        <w:rPr>
          <w:rFonts w:ascii="Calibri" w:eastAsia="Calibri" w:hAnsi="Calibri"/>
          <w:szCs w:val="22"/>
        </w:rPr>
        <w:t>decline</w:t>
      </w:r>
      <w:r w:rsidR="008237D1">
        <w:rPr>
          <w:rFonts w:ascii="Calibri" w:eastAsia="Calibri" w:hAnsi="Calibri"/>
          <w:szCs w:val="22"/>
        </w:rPr>
        <w:t xml:space="preserve">, with slowing </w:t>
      </w:r>
      <w:r w:rsidR="00E871A4">
        <w:rPr>
          <w:rFonts w:ascii="Calibri" w:eastAsia="Calibri" w:hAnsi="Calibri"/>
          <w:szCs w:val="22"/>
        </w:rPr>
        <w:t xml:space="preserve">growth </w:t>
      </w:r>
      <w:r w:rsidR="008237D1">
        <w:rPr>
          <w:rFonts w:ascii="Calibri" w:eastAsia="Calibri" w:hAnsi="Calibri"/>
          <w:szCs w:val="22"/>
        </w:rPr>
        <w:t>in</w:t>
      </w:r>
      <w:r w:rsidR="001876EC">
        <w:rPr>
          <w:rFonts w:ascii="Calibri" w:eastAsia="Calibri" w:hAnsi="Calibri"/>
          <w:szCs w:val="22"/>
        </w:rPr>
        <w:t xml:space="preserve"> non</w:t>
      </w:r>
      <w:r w:rsidR="00050D25">
        <w:rPr>
          <w:rFonts w:ascii="Calibri" w:eastAsia="Calibri" w:hAnsi="Calibri"/>
          <w:szCs w:val="22"/>
        </w:rPr>
        <w:noBreakHyphen/>
      </w:r>
      <w:r w:rsidR="009E7FE1">
        <w:rPr>
          <w:rFonts w:ascii="Calibri" w:eastAsia="Calibri" w:hAnsi="Calibri"/>
          <w:szCs w:val="22"/>
        </w:rPr>
        <w:t>permanent residents</w:t>
      </w:r>
      <w:r w:rsidRPr="005F3925">
        <w:rPr>
          <w:rFonts w:ascii="Calibri" w:eastAsia="Calibri" w:hAnsi="Calibri"/>
          <w:szCs w:val="22"/>
        </w:rPr>
        <w:t>.</w:t>
      </w:r>
    </w:p>
    <w:p w14:paraId="174F557F" w14:textId="116A6D95" w:rsidR="004A4DC2" w:rsidRPr="00151500" w:rsidRDefault="00D9259F" w:rsidP="00654915">
      <w:pPr>
        <w:pStyle w:val="ChartMainHeading"/>
      </w:pPr>
      <w:bookmarkStart w:id="65" w:name="_Ref181179333"/>
      <w:r w:rsidRPr="00151500">
        <w:t>Annual population growth of selected countries and the European Union</w:t>
      </w:r>
      <w:bookmarkEnd w:id="65"/>
      <w:r w:rsidRPr="00151500">
        <w:t xml:space="preserve"> </w:t>
      </w:r>
    </w:p>
    <w:p w14:paraId="61173B7B" w14:textId="0AF0CB9A" w:rsidR="00D9259F" w:rsidRDefault="00641D82" w:rsidP="00654915">
      <w:pPr>
        <w:pStyle w:val="ChartGraphic"/>
      </w:pPr>
      <w:r w:rsidRPr="00641D82">
        <w:t xml:space="preserve"> </w:t>
      </w:r>
      <w:r w:rsidRPr="00641D82">
        <w:rPr>
          <w:noProof/>
        </w:rPr>
        <w:drawing>
          <wp:inline distT="0" distB="0" distL="0" distR="0" wp14:anchorId="1732C4E4" wp14:editId="2FBAE141">
            <wp:extent cx="5598000" cy="2890800"/>
            <wp:effectExtent l="0" t="0" r="0" b="5080"/>
            <wp:docPr id="699941612" name="Picture 699941612" descr="This chart shows population growth rates for Australia, New Zealand, Canada, United States, the United Kingdom and the European Union between 1993–94 and 2023–24. Over most of this period, growth rates have been relatively stable in most jurisdictions, although there has been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decline in growth in recent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1612" name="Picture 699941612" descr="This chart shows population growth rates for Australia, New Zealand, Canada, United States, the United Kingdom and the European Union between 1993–94 and 2023–24. Over most of this period, growth rates have been relatively stable in most jurisdictions, although there has been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decline in growth in recent quarter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000" cy="2890800"/>
                    </a:xfrm>
                    <a:prstGeom prst="rect">
                      <a:avLst/>
                    </a:prstGeom>
                    <a:noFill/>
                    <a:ln>
                      <a:noFill/>
                    </a:ln>
                  </pic:spPr>
                </pic:pic>
              </a:graphicData>
            </a:graphic>
          </wp:inline>
        </w:drawing>
      </w:r>
    </w:p>
    <w:p w14:paraId="5351C130" w14:textId="2F8DA4AA" w:rsidR="00D9259F" w:rsidRPr="00654915" w:rsidRDefault="00D9259F" w:rsidP="00654915">
      <w:pPr>
        <w:pStyle w:val="ChartorTableNote"/>
      </w:pPr>
      <w:r w:rsidRPr="00654915">
        <w:t>Note:</w:t>
      </w:r>
      <w:r w:rsidRPr="00654915">
        <w:tab/>
      </w:r>
      <w:r w:rsidR="003A6391" w:rsidRPr="00654915">
        <w:t xml:space="preserve">Latest data available varies by jurisdiction. </w:t>
      </w:r>
      <w:r w:rsidRPr="00654915">
        <w:t xml:space="preserve">EU line </w:t>
      </w:r>
      <w:r w:rsidR="00AE4976" w:rsidRPr="00654915">
        <w:t xml:space="preserve">excludes </w:t>
      </w:r>
      <w:r w:rsidR="003A6391" w:rsidRPr="00654915">
        <w:t xml:space="preserve">the </w:t>
      </w:r>
      <w:r w:rsidR="00AE4976" w:rsidRPr="00654915">
        <w:t xml:space="preserve">UK and has </w:t>
      </w:r>
      <w:r w:rsidRPr="00654915">
        <w:t xml:space="preserve">adjusted </w:t>
      </w:r>
      <w:r w:rsidR="003A6391" w:rsidRPr="00654915">
        <w:t>the</w:t>
      </w:r>
      <w:r w:rsidRPr="00654915">
        <w:t xml:space="preserve"> population of Germany in 2011 to avoid 2011 Census rebase. </w:t>
      </w:r>
    </w:p>
    <w:p w14:paraId="026D30AC" w14:textId="69AF015A" w:rsidR="00D9259F" w:rsidRPr="00654915" w:rsidRDefault="00D9259F" w:rsidP="00654915">
      <w:pPr>
        <w:pStyle w:val="Source"/>
      </w:pPr>
      <w:r w:rsidRPr="00654915">
        <w:t>Source:</w:t>
      </w:r>
      <w:r w:rsidRPr="00654915">
        <w:tab/>
        <w:t>ABS; Stats NZ; Statistics Canada; Office for National Statistics</w:t>
      </w:r>
      <w:r w:rsidR="00D26806" w:rsidRPr="00654915">
        <w:t xml:space="preserve"> (ONS)</w:t>
      </w:r>
      <w:r w:rsidRPr="00654915">
        <w:t>; US Bureau of Economic Analysis; Eurostat.</w:t>
      </w:r>
    </w:p>
    <w:p w14:paraId="772F4257" w14:textId="77777777" w:rsidR="00654915" w:rsidRDefault="00654915" w:rsidP="006A24B8">
      <w:pPr>
        <w:pStyle w:val="SingleParagraph"/>
      </w:pPr>
      <w:r>
        <w:br w:type="page"/>
      </w:r>
    </w:p>
    <w:p w14:paraId="25E3CE20" w14:textId="6A7C4D31" w:rsidR="00D52B25" w:rsidRDefault="00D9259F" w:rsidP="003914B2">
      <w:pPr>
        <w:spacing w:before="0" w:after="160" w:line="259" w:lineRule="auto"/>
      </w:pPr>
      <w:r w:rsidRPr="00654915">
        <w:lastRenderedPageBreak/>
        <w:t>The U</w:t>
      </w:r>
      <w:r w:rsidR="00B7453F" w:rsidRPr="00654915">
        <w:t xml:space="preserve">nited </w:t>
      </w:r>
      <w:r w:rsidRPr="00654915">
        <w:t>N</w:t>
      </w:r>
      <w:r w:rsidR="00B7453F" w:rsidRPr="00654915">
        <w:t>ations</w:t>
      </w:r>
      <w:r w:rsidRPr="00654915">
        <w:t xml:space="preserve"> projects th</w:t>
      </w:r>
      <w:r w:rsidR="00425B29" w:rsidRPr="00654915">
        <w:t>at th</w:t>
      </w:r>
      <w:r w:rsidRPr="00654915">
        <w:t xml:space="preserve">e global population will begin to decline in 2085. Some countries are already experiencing population decline, including China, the Republic of Korea, </w:t>
      </w:r>
      <w:proofErr w:type="gramStart"/>
      <w:r w:rsidRPr="00654915">
        <w:t>Japan</w:t>
      </w:r>
      <w:proofErr w:type="gramEnd"/>
      <w:r w:rsidRPr="00654915">
        <w:t xml:space="preserve"> and the Russian Federation. India surpassed China </w:t>
      </w:r>
      <w:r w:rsidR="00D90F11" w:rsidRPr="00654915">
        <w:t>to become the world</w:t>
      </w:r>
      <w:r w:rsidR="00050D25">
        <w:t>’</w:t>
      </w:r>
      <w:r w:rsidR="00D90F11" w:rsidRPr="00654915">
        <w:t xml:space="preserve">s most populous country </w:t>
      </w:r>
      <w:r w:rsidRPr="00654915">
        <w:t>in 2022. China</w:t>
      </w:r>
      <w:r w:rsidR="00050D25">
        <w:t>’</w:t>
      </w:r>
      <w:r w:rsidRPr="00654915">
        <w:t>s population is expected to fall from its peak of 1.4</w:t>
      </w:r>
      <w:r w:rsidR="00FF207F" w:rsidRPr="00654915">
        <w:t> billion</w:t>
      </w:r>
      <w:r w:rsidRPr="00654915">
        <w:t xml:space="preserve"> in 2023 to 63</w:t>
      </w:r>
      <w:r w:rsidR="00EE7F4E" w:rsidRPr="00654915">
        <w:t>3</w:t>
      </w:r>
      <w:r w:rsidR="00FF207F" w:rsidRPr="00654915">
        <w:t> million</w:t>
      </w:r>
      <w:r w:rsidRPr="00654915">
        <w:t xml:space="preserve"> by 2100, while India will fall from its peak of 1.7</w:t>
      </w:r>
      <w:r w:rsidR="00FF207F" w:rsidRPr="00654915">
        <w:t> billion</w:t>
      </w:r>
      <w:r w:rsidRPr="00654915">
        <w:t xml:space="preserve"> in</w:t>
      </w:r>
      <w:r>
        <w:t xml:space="preserve"> 2061 to 1.5</w:t>
      </w:r>
      <w:r w:rsidR="00FF207F">
        <w:t> billion</w:t>
      </w:r>
      <w:r>
        <w:t xml:space="preserve"> in 2100.</w:t>
      </w:r>
      <w:r w:rsidR="00E909F2">
        <w:t xml:space="preserve"> </w:t>
      </w:r>
      <w:r w:rsidR="005A727F">
        <w:t>In contrast, the</w:t>
      </w:r>
      <w:r w:rsidR="00AA1ADF">
        <w:t xml:space="preserve"> UN </w:t>
      </w:r>
      <w:r w:rsidR="009F23B3">
        <w:t>project</w:t>
      </w:r>
      <w:r w:rsidR="009B054D">
        <w:t>s</w:t>
      </w:r>
      <w:r w:rsidR="009F23B3">
        <w:t xml:space="preserve"> Australia</w:t>
      </w:r>
      <w:r w:rsidR="00050D25">
        <w:t>’</w:t>
      </w:r>
      <w:r w:rsidR="009F23B3">
        <w:t xml:space="preserve">s population to </w:t>
      </w:r>
      <w:r w:rsidR="009D2128">
        <w:t xml:space="preserve">still </w:t>
      </w:r>
      <w:r w:rsidR="002D1B22">
        <w:t>be</w:t>
      </w:r>
      <w:r w:rsidR="002D1B22" w:rsidRPr="009D2128">
        <w:t xml:space="preserve"> </w:t>
      </w:r>
      <w:r w:rsidR="00BF2021">
        <w:t xml:space="preserve">growing in </w:t>
      </w:r>
      <w:r w:rsidR="009F23B3">
        <w:t>2100</w:t>
      </w:r>
      <w:r w:rsidR="00D52B25">
        <w:t>,</w:t>
      </w:r>
      <w:r w:rsidR="009B054D">
        <w:t xml:space="preserve"> the end of </w:t>
      </w:r>
      <w:r w:rsidR="00C22DDE">
        <w:t>its</w:t>
      </w:r>
      <w:r w:rsidR="009B054D">
        <w:t xml:space="preserve"> projection period</w:t>
      </w:r>
      <w:r w:rsidR="009F23B3">
        <w:t>.</w:t>
      </w:r>
    </w:p>
    <w:p w14:paraId="030CEB61" w14:textId="77777777" w:rsidR="00D9259F" w:rsidRDefault="00D9259F" w:rsidP="00D9259F">
      <w:pPr>
        <w:pStyle w:val="Heading3Numbered"/>
      </w:pPr>
      <w:r>
        <w:t>Population ageing</w:t>
      </w:r>
    </w:p>
    <w:p w14:paraId="21AEAAB4" w14:textId="2F479A0A" w:rsidR="00D9259F" w:rsidRPr="00F74F06" w:rsidRDefault="00564B53" w:rsidP="00D9259F">
      <w:r>
        <w:t>The age structure of Australia</w:t>
      </w:r>
      <w:r w:rsidR="00050D25">
        <w:t>’</w:t>
      </w:r>
      <w:r>
        <w:t>s population has changed significantly over the past 40 years. T</w:t>
      </w:r>
      <w:r w:rsidDel="004B2023">
        <w:t xml:space="preserve">he share of </w:t>
      </w:r>
      <w:r w:rsidRPr="0008799D" w:rsidDel="004B2023">
        <w:t xml:space="preserve">people aged 65 </w:t>
      </w:r>
      <w:r w:rsidRPr="0008799D">
        <w:t xml:space="preserve">years </w:t>
      </w:r>
      <w:r w:rsidRPr="0008799D" w:rsidDel="004B2023">
        <w:t>and over</w:t>
      </w:r>
      <w:r w:rsidDel="004B2023">
        <w:t xml:space="preserve"> </w:t>
      </w:r>
      <w:r>
        <w:t>has doubled in that time</w:t>
      </w:r>
      <w:r w:rsidR="0064530B">
        <w:t xml:space="preserve">, reflecting </w:t>
      </w:r>
      <w:r w:rsidR="00F5069D">
        <w:t xml:space="preserve">the </w:t>
      </w:r>
      <w:r w:rsidR="0064530B">
        <w:t>ag</w:t>
      </w:r>
      <w:r w:rsidR="00F5069D">
        <w:t>e</w:t>
      </w:r>
      <w:r w:rsidR="0064530B">
        <w:t>ing population</w:t>
      </w:r>
      <w:r w:rsidR="00452454">
        <w:t xml:space="preserve"> (</w:t>
      </w:r>
      <w:r w:rsidR="0070081C">
        <w:fldChar w:fldCharType="begin"/>
      </w:r>
      <w:r w:rsidR="0070081C">
        <w:instrText xml:space="preserve"> REF _Ref185325161 \r \h </w:instrText>
      </w:r>
      <w:r w:rsidR="0070081C">
        <w:fldChar w:fldCharType="separate"/>
      </w:r>
      <w:r w:rsidR="00050D25">
        <w:t>Chart 3</w:t>
      </w:r>
      <w:r w:rsidR="0070081C">
        <w:fldChar w:fldCharType="end"/>
      </w:r>
      <w:r w:rsidR="00452454">
        <w:t>)</w:t>
      </w:r>
      <w:r>
        <w:t>.</w:t>
      </w:r>
      <w:r w:rsidR="0064530B">
        <w:t xml:space="preserve"> </w:t>
      </w:r>
      <w:r w:rsidR="00D9259F">
        <w:t>Australia</w:t>
      </w:r>
      <w:r w:rsidR="00050D25">
        <w:t>’</w:t>
      </w:r>
      <w:r w:rsidR="00D9259F">
        <w:t xml:space="preserve">s age distribution is influenced by </w:t>
      </w:r>
      <w:r w:rsidR="00D52F5F">
        <w:t xml:space="preserve">3 </w:t>
      </w:r>
      <w:r w:rsidR="00D9259F">
        <w:t>factors: a declining fertility rate, increasing life expectanc</w:t>
      </w:r>
      <w:r w:rsidR="00C7721C">
        <w:t>y</w:t>
      </w:r>
      <w:r w:rsidR="00D9259F">
        <w:t xml:space="preserve"> and the level and age composition of migra</w:t>
      </w:r>
      <w:r w:rsidR="00967182">
        <w:t>nts</w:t>
      </w:r>
      <w:r w:rsidR="00D9259F">
        <w:t>.</w:t>
      </w:r>
    </w:p>
    <w:p w14:paraId="44D7734A" w14:textId="6C80B477" w:rsidR="00D9259F" w:rsidRPr="00F057D9" w:rsidRDefault="00D9259F" w:rsidP="00654915">
      <w:pPr>
        <w:pStyle w:val="ChartMainHeading"/>
      </w:pPr>
      <w:bookmarkStart w:id="66" w:name="_Ref185325161"/>
      <w:r>
        <w:t xml:space="preserve">The </w:t>
      </w:r>
      <w:r w:rsidR="001E35D1">
        <w:t xml:space="preserve">proportional </w:t>
      </w:r>
      <w:r>
        <w:t>age structure of Australia</w:t>
      </w:r>
      <w:r w:rsidR="00050D25">
        <w:t>’</w:t>
      </w:r>
      <w:r>
        <w:t>s population</w:t>
      </w:r>
      <w:bookmarkEnd w:id="66"/>
    </w:p>
    <w:p w14:paraId="1A4468A3" w14:textId="0D181D1D" w:rsidR="00FE3B8C" w:rsidRPr="005A2B6C" w:rsidRDefault="00536C2F" w:rsidP="002F440F">
      <w:pPr>
        <w:pStyle w:val="ChartGraphic"/>
      </w:pPr>
      <w:r>
        <w:rPr>
          <w:noProof/>
        </w:rPr>
        <w:drawing>
          <wp:inline distT="0" distB="0" distL="0" distR="0" wp14:anchorId="593FB7D6" wp14:editId="71AA2B6B">
            <wp:extent cx="5584190" cy="2877820"/>
            <wp:effectExtent l="0" t="0" r="0" b="0"/>
            <wp:docPr id="291754739" name="Picture 291754739" descr="This chart shows the age structure of Australia’s population, including how it has changed from 1970–71 to 2022–23 and how it is forecast to change in 2060–61. From 1970–71 through 2022–23 to 2060–61, the population age structure shifts from a large proportion of under 25 years of age to a higher proportion of over 5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54739" name="Picture 291754739" descr="This chart shows the age structure of Australia’s population, including how it has changed from 1970–71 to 2022–23 and how it is forecast to change in 2060–61. From 1970–71 through 2022–23 to 2060–61, the population age structure shifts from a large proportion of under 25 years of age to a higher proportion of over 55 years of 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190" cy="2877820"/>
                    </a:xfrm>
                    <a:prstGeom prst="rect">
                      <a:avLst/>
                    </a:prstGeom>
                    <a:noFill/>
                  </pic:spPr>
                </pic:pic>
              </a:graphicData>
            </a:graphic>
          </wp:inline>
        </w:drawing>
      </w:r>
    </w:p>
    <w:p w14:paraId="6B235F06" w14:textId="41307F37" w:rsidR="00D9259F" w:rsidRPr="002F440F" w:rsidRDefault="00E06DB2" w:rsidP="002F440F">
      <w:pPr>
        <w:pStyle w:val="Source"/>
      </w:pPr>
      <w:r w:rsidRPr="002F440F">
        <w:t xml:space="preserve">Source: </w:t>
      </w:r>
      <w:r w:rsidRPr="002F440F">
        <w:tab/>
        <w:t xml:space="preserve">ABS, </w:t>
      </w:r>
      <w:r w:rsidRPr="002F440F">
        <w:rPr>
          <w:rStyle w:val="SubtleEmphasis"/>
        </w:rPr>
        <w:t>National, state and territory population</w:t>
      </w:r>
      <w:r w:rsidRPr="002F440F">
        <w:t>, March 2024; and Centre for Population.</w:t>
      </w:r>
    </w:p>
    <w:p w14:paraId="2B4C8D81" w14:textId="77777777" w:rsidR="002F440F" w:rsidRDefault="002F440F" w:rsidP="002F440F">
      <w:pPr>
        <w:pStyle w:val="SingleParagraph"/>
      </w:pPr>
    </w:p>
    <w:p w14:paraId="375F8D63" w14:textId="46E69847" w:rsidR="00635F20" w:rsidRDefault="000B56D6" w:rsidP="00D9259F">
      <w:pPr>
        <w:rPr>
          <w:rFonts w:cstheme="minorHAnsi"/>
        </w:rPr>
      </w:pPr>
      <w:r w:rsidRPr="000B56D6">
        <w:rPr>
          <w:rFonts w:cstheme="minorHAnsi"/>
        </w:rPr>
        <w:t>Australia</w:t>
      </w:r>
      <w:r w:rsidR="00050D25">
        <w:rPr>
          <w:rFonts w:cstheme="minorHAnsi"/>
        </w:rPr>
        <w:t>’</w:t>
      </w:r>
      <w:r w:rsidRPr="000B56D6">
        <w:rPr>
          <w:rFonts w:cstheme="minorHAnsi"/>
        </w:rPr>
        <w:t>s median age increased from 27.5 years in 1970</w:t>
      </w:r>
      <w:r w:rsidR="00493D62" w:rsidRPr="000B56D6">
        <w:rPr>
          <w:rFonts w:cstheme="minorHAnsi"/>
        </w:rPr>
        <w:t>–</w:t>
      </w:r>
      <w:r w:rsidRPr="000B56D6">
        <w:rPr>
          <w:rFonts w:cstheme="minorHAnsi"/>
        </w:rPr>
        <w:t>71 to 38.5 in 2021</w:t>
      </w:r>
      <w:r w:rsidR="00493D62" w:rsidRPr="000B56D6">
        <w:rPr>
          <w:rFonts w:cstheme="minorHAnsi"/>
        </w:rPr>
        <w:t>–</w:t>
      </w:r>
      <w:r w:rsidRPr="000B56D6">
        <w:rPr>
          <w:rFonts w:cstheme="minorHAnsi"/>
        </w:rPr>
        <w:t xml:space="preserve">22. </w:t>
      </w:r>
      <w:r w:rsidR="00D9259F" w:rsidRPr="001072C5">
        <w:rPr>
          <w:rFonts w:cstheme="minorHAnsi"/>
        </w:rPr>
        <w:t xml:space="preserve">The national median age </w:t>
      </w:r>
      <w:r w:rsidRPr="000B56D6">
        <w:rPr>
          <w:rFonts w:cstheme="minorHAnsi"/>
        </w:rPr>
        <w:t xml:space="preserve">then </w:t>
      </w:r>
      <w:r w:rsidR="00D9259F" w:rsidRPr="001072C5">
        <w:rPr>
          <w:rFonts w:cstheme="minorHAnsi"/>
        </w:rPr>
        <w:t>fell from 38.5 in 2021</w:t>
      </w:r>
      <w:r w:rsidR="00D9259F" w:rsidRPr="000B56D6">
        <w:rPr>
          <w:rFonts w:cstheme="minorHAnsi"/>
        </w:rPr>
        <w:t>–</w:t>
      </w:r>
      <w:r w:rsidR="00D9259F" w:rsidRPr="001072C5">
        <w:rPr>
          <w:rFonts w:cstheme="minorHAnsi"/>
        </w:rPr>
        <w:t>22 to 38.3 in 2022</w:t>
      </w:r>
      <w:r w:rsidR="00D9259F" w:rsidRPr="000B56D6">
        <w:rPr>
          <w:rFonts w:cstheme="minorHAnsi"/>
        </w:rPr>
        <w:t>–</w:t>
      </w:r>
      <w:r w:rsidR="00D9259F" w:rsidRPr="001072C5">
        <w:rPr>
          <w:rFonts w:cstheme="minorHAnsi"/>
        </w:rPr>
        <w:t xml:space="preserve">23. This was the largest annual fall since the 1960s, </w:t>
      </w:r>
      <w:r w:rsidR="00D9259F" w:rsidRPr="000B56D6">
        <w:rPr>
          <w:rFonts w:cstheme="minorHAnsi"/>
        </w:rPr>
        <w:t xml:space="preserve">reflecting the high level of </w:t>
      </w:r>
      <w:r w:rsidR="00BD4DE6" w:rsidRPr="000B56D6">
        <w:rPr>
          <w:rFonts w:cstheme="minorHAnsi"/>
        </w:rPr>
        <w:t>NOM</w:t>
      </w:r>
      <w:r w:rsidR="00D9259F" w:rsidRPr="000B56D6">
        <w:rPr>
          <w:rFonts w:cstheme="minorHAnsi"/>
        </w:rPr>
        <w:t xml:space="preserve">, with </w:t>
      </w:r>
      <w:r w:rsidR="00592366" w:rsidRPr="000B56D6">
        <w:rPr>
          <w:rFonts w:cstheme="minorHAnsi"/>
        </w:rPr>
        <w:t xml:space="preserve">recent </w:t>
      </w:r>
      <w:r w:rsidR="00D9259F" w:rsidRPr="001072C5">
        <w:rPr>
          <w:rFonts w:cstheme="minorHAnsi"/>
        </w:rPr>
        <w:t xml:space="preserve">migrants tending to be younger on average than the </w:t>
      </w:r>
      <w:r w:rsidR="00592366" w:rsidRPr="001072C5">
        <w:rPr>
          <w:rFonts w:cstheme="minorHAnsi"/>
        </w:rPr>
        <w:t xml:space="preserve">existing </w:t>
      </w:r>
      <w:r w:rsidR="00D9259F" w:rsidRPr="001072C5">
        <w:rPr>
          <w:rFonts w:cstheme="minorHAnsi"/>
        </w:rPr>
        <w:t>population. This followed a record annual rise of 0.5 years in 2020</w:t>
      </w:r>
      <w:r w:rsidR="00D9259F" w:rsidRPr="000B56D6">
        <w:rPr>
          <w:rFonts w:cstheme="minorHAnsi"/>
        </w:rPr>
        <w:t>–</w:t>
      </w:r>
      <w:r w:rsidR="00D9259F" w:rsidRPr="001072C5">
        <w:rPr>
          <w:rFonts w:cstheme="minorHAnsi"/>
        </w:rPr>
        <w:t xml:space="preserve">21, when border closures saw a net migration outflow. </w:t>
      </w:r>
    </w:p>
    <w:p w14:paraId="1826F51D" w14:textId="361E243E" w:rsidR="00D9259F" w:rsidRPr="001072C5" w:rsidRDefault="00D9259F" w:rsidP="00D9259F">
      <w:pPr>
        <w:rPr>
          <w:rFonts w:cstheme="minorHAnsi"/>
        </w:rPr>
      </w:pPr>
      <w:r w:rsidRPr="001072C5">
        <w:rPr>
          <w:rFonts w:cstheme="minorHAnsi"/>
        </w:rPr>
        <w:t>The old</w:t>
      </w:r>
      <w:r w:rsidR="00050D25">
        <w:rPr>
          <w:rFonts w:cstheme="minorHAnsi"/>
        </w:rPr>
        <w:noBreakHyphen/>
      </w:r>
      <w:r w:rsidRPr="001072C5">
        <w:rPr>
          <w:rFonts w:cstheme="minorHAnsi"/>
        </w:rPr>
        <w:t>age dependency ratio</w:t>
      </w:r>
      <w:r w:rsidR="00B0439B" w:rsidRPr="001072C5">
        <w:rPr>
          <w:rFonts w:cstheme="minorHAnsi"/>
        </w:rPr>
        <w:t xml:space="preserve"> is</w:t>
      </w:r>
      <w:r w:rsidRPr="001072C5">
        <w:rPr>
          <w:rFonts w:cstheme="minorHAnsi"/>
        </w:rPr>
        <w:t xml:space="preserve"> defined as the ratio of the number of people aged 65</w:t>
      </w:r>
      <w:r w:rsidR="00FF207F" w:rsidRPr="001072C5">
        <w:rPr>
          <w:rFonts w:cstheme="minorHAnsi"/>
        </w:rPr>
        <w:t> </w:t>
      </w:r>
      <w:r w:rsidRPr="001072C5">
        <w:rPr>
          <w:rFonts w:cstheme="minorHAnsi"/>
        </w:rPr>
        <w:t>years</w:t>
      </w:r>
      <w:r w:rsidR="003F03FF" w:rsidRPr="001072C5">
        <w:rPr>
          <w:rFonts w:cstheme="minorHAnsi"/>
        </w:rPr>
        <w:t xml:space="preserve"> and over</w:t>
      </w:r>
      <w:r w:rsidRPr="001072C5">
        <w:rPr>
          <w:rFonts w:cstheme="minorHAnsi"/>
        </w:rPr>
        <w:t xml:space="preserve"> to th</w:t>
      </w:r>
      <w:r w:rsidR="00CC2EAC" w:rsidRPr="001072C5">
        <w:rPr>
          <w:rFonts w:cstheme="minorHAnsi"/>
        </w:rPr>
        <w:t>ose</w:t>
      </w:r>
      <w:r w:rsidRPr="001072C5">
        <w:rPr>
          <w:rFonts w:cstheme="minorHAnsi"/>
        </w:rPr>
        <w:t xml:space="preserve"> age</w:t>
      </w:r>
      <w:r w:rsidR="00915DE0" w:rsidRPr="001072C5">
        <w:rPr>
          <w:rFonts w:cstheme="minorHAnsi"/>
        </w:rPr>
        <w:t>d</w:t>
      </w:r>
      <w:r w:rsidRPr="001072C5">
        <w:rPr>
          <w:rFonts w:cstheme="minorHAnsi"/>
        </w:rPr>
        <w:t xml:space="preserve"> 15</w:t>
      </w:r>
      <w:r w:rsidR="000520E8" w:rsidRPr="001072C5">
        <w:rPr>
          <w:rFonts w:cstheme="minorHAnsi"/>
        </w:rPr>
        <w:t xml:space="preserve"> to </w:t>
      </w:r>
      <w:r w:rsidRPr="001072C5">
        <w:rPr>
          <w:rFonts w:cstheme="minorHAnsi"/>
        </w:rPr>
        <w:t>64</w:t>
      </w:r>
      <w:r w:rsidR="00915DE0" w:rsidRPr="001072C5">
        <w:rPr>
          <w:rFonts w:cstheme="minorHAnsi"/>
        </w:rPr>
        <w:t xml:space="preserve"> years</w:t>
      </w:r>
      <w:r w:rsidRPr="001072C5">
        <w:rPr>
          <w:rFonts w:cstheme="minorHAnsi"/>
        </w:rPr>
        <w:t>. In 202</w:t>
      </w:r>
      <w:r w:rsidR="00E472E6" w:rsidRPr="001072C5">
        <w:rPr>
          <w:rFonts w:cstheme="minorHAnsi"/>
        </w:rPr>
        <w:t>2</w:t>
      </w:r>
      <w:r w:rsidR="0042726F">
        <w:t>–</w:t>
      </w:r>
      <w:r w:rsidR="00E472E6" w:rsidRPr="001072C5">
        <w:rPr>
          <w:rFonts w:cstheme="minorHAnsi"/>
        </w:rPr>
        <w:t>23</w:t>
      </w:r>
      <w:r w:rsidR="00F83849">
        <w:rPr>
          <w:rFonts w:cstheme="minorHAnsi"/>
        </w:rPr>
        <w:t>,</w:t>
      </w:r>
      <w:r w:rsidRPr="001072C5">
        <w:rPr>
          <w:rFonts w:cstheme="minorHAnsi"/>
        </w:rPr>
        <w:t xml:space="preserve"> this ratio was </w:t>
      </w:r>
      <w:r w:rsidR="003A1827" w:rsidRPr="001072C5">
        <w:rPr>
          <w:rFonts w:cstheme="minorHAnsi"/>
        </w:rPr>
        <w:t>26.3</w:t>
      </w:r>
      <w:r w:rsidRPr="001072C5">
        <w:rPr>
          <w:rFonts w:cstheme="minorHAnsi"/>
        </w:rPr>
        <w:t xml:space="preserve">, </w:t>
      </w:r>
      <w:r w:rsidR="001B7164" w:rsidRPr="001072C5">
        <w:rPr>
          <w:rFonts w:cstheme="minorHAnsi"/>
        </w:rPr>
        <w:t>having grown from</w:t>
      </w:r>
      <w:r w:rsidRPr="001072C5">
        <w:rPr>
          <w:rFonts w:cstheme="minorHAnsi"/>
        </w:rPr>
        <w:t xml:space="preserve"> 15.3 in 198</w:t>
      </w:r>
      <w:r w:rsidR="00E472E6" w:rsidRPr="001072C5">
        <w:rPr>
          <w:rFonts w:cstheme="minorHAnsi"/>
        </w:rPr>
        <w:t>3</w:t>
      </w:r>
      <w:r w:rsidR="0042726F">
        <w:t>–</w:t>
      </w:r>
      <w:r w:rsidR="00E472E6" w:rsidRPr="001072C5">
        <w:rPr>
          <w:rFonts w:cstheme="minorHAnsi"/>
        </w:rPr>
        <w:t>8</w:t>
      </w:r>
      <w:r w:rsidRPr="001072C5">
        <w:rPr>
          <w:rFonts w:cstheme="minorHAnsi"/>
        </w:rPr>
        <w:t>4.</w:t>
      </w:r>
      <w:r w:rsidRPr="001072C5" w:rsidDel="00252A54">
        <w:rPr>
          <w:rFonts w:cstheme="minorHAnsi"/>
        </w:rPr>
        <w:t xml:space="preserve"> </w:t>
      </w:r>
      <w:r w:rsidRPr="001072C5">
        <w:rPr>
          <w:rFonts w:cstheme="minorHAnsi"/>
        </w:rPr>
        <w:t>This increase will present fiscal challenges as demand for services such as aged care and healthcare increases, while Australia</w:t>
      </w:r>
      <w:r w:rsidR="00050D25">
        <w:rPr>
          <w:rFonts w:cstheme="minorHAnsi"/>
        </w:rPr>
        <w:t>’</w:t>
      </w:r>
      <w:r w:rsidRPr="001072C5">
        <w:rPr>
          <w:rFonts w:cstheme="minorHAnsi"/>
        </w:rPr>
        <w:t>s tax base shrinks.</w:t>
      </w:r>
      <w:r w:rsidRPr="0037128E">
        <w:rPr>
          <w:rStyle w:val="FootnoteReference"/>
          <w:rFonts w:asciiTheme="minorHAnsi" w:hAnsiTheme="minorHAnsi" w:cstheme="minorHAnsi"/>
        </w:rPr>
        <w:footnoteReference w:id="3"/>
      </w:r>
      <w:r w:rsidRPr="001072C5">
        <w:rPr>
          <w:rFonts w:cstheme="minorHAnsi"/>
        </w:rPr>
        <w:t xml:space="preserve"> </w:t>
      </w:r>
    </w:p>
    <w:p w14:paraId="6A0D13B4" w14:textId="6E062D23" w:rsidR="00C27383" w:rsidRPr="0037128E" w:rsidRDefault="00D9259F" w:rsidP="00A5608B">
      <w:r>
        <w:t>The ageing of Australia</w:t>
      </w:r>
      <w:r w:rsidR="00050D25">
        <w:t>’</w:t>
      </w:r>
      <w:r>
        <w:t>s</w:t>
      </w:r>
      <w:r w:rsidRPr="00F74F06">
        <w:t xml:space="preserve"> population </w:t>
      </w:r>
      <w:r>
        <w:t>will</w:t>
      </w:r>
      <w:r w:rsidRPr="00F74F06">
        <w:t xml:space="preserve"> </w:t>
      </w:r>
      <w:r>
        <w:t>continue</w:t>
      </w:r>
      <w:r w:rsidR="00C44A5A">
        <w:t xml:space="preserve"> </w:t>
      </w:r>
      <w:r>
        <w:t>– the</w:t>
      </w:r>
      <w:r w:rsidRPr="00AB3204">
        <w:t xml:space="preserve"> median age is projected to increase by 5.3 years between 202</w:t>
      </w:r>
      <w:r>
        <w:t>2</w:t>
      </w:r>
      <w:r w:rsidRPr="00FE68EA">
        <w:rPr>
          <w:rFonts w:ascii="Calibri" w:eastAsia="Calibri" w:hAnsi="Calibri" w:cs="Calibri"/>
        </w:rPr>
        <w:t>–</w:t>
      </w:r>
      <w:r>
        <w:t>2</w:t>
      </w:r>
      <w:r w:rsidRPr="00AB3204">
        <w:t>3 and 2064</w:t>
      </w:r>
      <w:r w:rsidRPr="00A5608B">
        <w:t>–</w:t>
      </w:r>
      <w:r>
        <w:t>65</w:t>
      </w:r>
      <w:r w:rsidRPr="00AB3204">
        <w:t>, to reach 43.6 years</w:t>
      </w:r>
      <w:r>
        <w:t>. B</w:t>
      </w:r>
      <w:r w:rsidRPr="00F74F06">
        <w:t xml:space="preserve">y </w:t>
      </w:r>
      <w:r w:rsidRPr="00236F76">
        <w:t>206</w:t>
      </w:r>
      <w:r>
        <w:t>4</w:t>
      </w:r>
      <w:r w:rsidRPr="00A5608B">
        <w:t>–</w:t>
      </w:r>
      <w:r w:rsidRPr="00236F76">
        <w:t>6</w:t>
      </w:r>
      <w:r>
        <w:t>5,</w:t>
      </w:r>
      <w:r w:rsidRPr="00F74F06">
        <w:t xml:space="preserve"> the share of </w:t>
      </w:r>
      <w:r>
        <w:t>the</w:t>
      </w:r>
      <w:r w:rsidRPr="00F74F06">
        <w:t xml:space="preserve"> population aged 65 </w:t>
      </w:r>
      <w:r>
        <w:t xml:space="preserve">and </w:t>
      </w:r>
      <w:r w:rsidRPr="00F74F06">
        <w:t xml:space="preserve">over </w:t>
      </w:r>
      <w:r>
        <w:t>is projected to reach</w:t>
      </w:r>
      <w:r w:rsidRPr="00F74F06">
        <w:t xml:space="preserve"> 2</w:t>
      </w:r>
      <w:r w:rsidR="00F018AA">
        <w:t>4.0</w:t>
      </w:r>
      <w:r w:rsidR="00FF207F">
        <w:t> per cent</w:t>
      </w:r>
      <w:r>
        <w:t xml:space="preserve">, up </w:t>
      </w:r>
      <w:r w:rsidRPr="00F74F06">
        <w:t>from 17.</w:t>
      </w:r>
      <w:r w:rsidR="00EA4B58">
        <w:t>3</w:t>
      </w:r>
      <w:r w:rsidR="00FF207F">
        <w:t> per cent</w:t>
      </w:r>
      <w:r>
        <w:t>.</w:t>
      </w:r>
    </w:p>
    <w:p w14:paraId="3AD6952B" w14:textId="74D35266" w:rsidR="00D9259F" w:rsidRDefault="00D9259F" w:rsidP="00C23990">
      <w:pPr>
        <w:pStyle w:val="Heading3Numbered"/>
      </w:pPr>
      <w:r>
        <w:lastRenderedPageBreak/>
        <w:t xml:space="preserve">Change to population projections since the </w:t>
      </w:r>
      <w:r w:rsidRPr="00D05398">
        <w:t>2023</w:t>
      </w:r>
      <w:r>
        <w:t xml:space="preserve"> Population Statement</w:t>
      </w:r>
    </w:p>
    <w:p w14:paraId="5525626B" w14:textId="578E16FE" w:rsidR="00D9259F" w:rsidRDefault="00D9259F" w:rsidP="00D9259F">
      <w:r>
        <w:t>Since</w:t>
      </w:r>
      <w:r w:rsidRPr="002F0AB8">
        <w:t xml:space="preserve"> the 2023 Population Statement, the population </w:t>
      </w:r>
      <w:r>
        <w:t xml:space="preserve">projection for </w:t>
      </w:r>
      <w:r w:rsidRPr="002F0AB8">
        <w:t>203</w:t>
      </w:r>
      <w:r>
        <w:t>4</w:t>
      </w:r>
      <w:r w:rsidRPr="00FE68EA">
        <w:rPr>
          <w:rFonts w:ascii="Calibri" w:eastAsia="Calibri" w:hAnsi="Calibri" w:cs="Calibri"/>
        </w:rPr>
        <w:t>–</w:t>
      </w:r>
      <w:r w:rsidRPr="002F0AB8">
        <w:t>3</w:t>
      </w:r>
      <w:r>
        <w:t>5</w:t>
      </w:r>
      <w:r w:rsidRPr="002F0AB8">
        <w:t xml:space="preserve"> </w:t>
      </w:r>
      <w:r>
        <w:t xml:space="preserve">has been revised </w:t>
      </w:r>
      <w:r w:rsidR="005C6A11">
        <w:t>up</w:t>
      </w:r>
      <w:r>
        <w:t xml:space="preserve"> by </w:t>
      </w:r>
      <w:r w:rsidR="005C6A11">
        <w:t>7</w:t>
      </w:r>
      <w:r>
        <w:t>,000</w:t>
      </w:r>
      <w:r w:rsidR="001339E1">
        <w:t> </w:t>
      </w:r>
      <w:r>
        <w:t xml:space="preserve">people </w:t>
      </w:r>
      <w:r w:rsidRPr="002F0AB8">
        <w:t>(0.</w:t>
      </w:r>
      <w:r w:rsidR="00DB20CA">
        <w:t>02</w:t>
      </w:r>
      <w:r w:rsidR="00FF207F">
        <w:t> per cent</w:t>
      </w:r>
      <w:r>
        <w:t xml:space="preserve">) </w:t>
      </w:r>
      <w:r w:rsidR="000E55DA">
        <w:t>driven by</w:t>
      </w:r>
      <w:r w:rsidR="00546C05">
        <w:t xml:space="preserve"> higher expected</w:t>
      </w:r>
      <w:r w:rsidR="009A0987">
        <w:t xml:space="preserve"> </w:t>
      </w:r>
      <w:r w:rsidR="00546C05">
        <w:t>NOM</w:t>
      </w:r>
      <w:r w:rsidR="005B1627">
        <w:t>,</w:t>
      </w:r>
      <w:r w:rsidR="00546C05">
        <w:t xml:space="preserve"> </w:t>
      </w:r>
      <w:r w:rsidR="00072896">
        <w:t xml:space="preserve">which is </w:t>
      </w:r>
      <w:r w:rsidR="006E5043">
        <w:t xml:space="preserve">largely </w:t>
      </w:r>
      <w:r w:rsidR="00072896">
        <w:t>offset by</w:t>
      </w:r>
      <w:r>
        <w:t xml:space="preserve"> fewer </w:t>
      </w:r>
      <w:r w:rsidRPr="002F0AB8">
        <w:t xml:space="preserve">births </w:t>
      </w:r>
      <w:r w:rsidR="008626F9">
        <w:t>(</w:t>
      </w:r>
      <w:r w:rsidR="000D287D">
        <w:fldChar w:fldCharType="begin"/>
      </w:r>
      <w:r w:rsidR="000D287D">
        <w:instrText xml:space="preserve"> REF _Ref179795751 \r \h </w:instrText>
      </w:r>
      <w:r w:rsidR="000D287D">
        <w:fldChar w:fldCharType="separate"/>
      </w:r>
      <w:r w:rsidR="00050D25">
        <w:t>Chart 4</w:t>
      </w:r>
      <w:r w:rsidR="000D287D">
        <w:fldChar w:fldCharType="end"/>
      </w:r>
      <w:r w:rsidR="008626F9">
        <w:t>).</w:t>
      </w:r>
      <w:r w:rsidRPr="002F0AB8">
        <w:t xml:space="preserve"> Births </w:t>
      </w:r>
      <w:r>
        <w:t>are forecast to be</w:t>
      </w:r>
      <w:r w:rsidRPr="002F0AB8">
        <w:t xml:space="preserve"> cumulatively </w:t>
      </w:r>
      <w:r>
        <w:t>lower by</w:t>
      </w:r>
      <w:r w:rsidRPr="002F0AB8">
        <w:t xml:space="preserve"> 1</w:t>
      </w:r>
      <w:r w:rsidR="00296C9E">
        <w:t>50</w:t>
      </w:r>
      <w:r w:rsidRPr="002F0AB8">
        <w:t xml:space="preserve">,000 </w:t>
      </w:r>
      <w:r w:rsidR="0050496F">
        <w:t xml:space="preserve">over 2022–23 </w:t>
      </w:r>
      <w:r w:rsidRPr="002F0AB8">
        <w:t>to 203</w:t>
      </w:r>
      <w:r>
        <w:t>4</w:t>
      </w:r>
      <w:r w:rsidRPr="00FE68EA">
        <w:rPr>
          <w:rFonts w:ascii="Calibri" w:eastAsia="Calibri" w:hAnsi="Calibri" w:cs="Calibri"/>
        </w:rPr>
        <w:t>–</w:t>
      </w:r>
      <w:r w:rsidRPr="002F0AB8">
        <w:t>3</w:t>
      </w:r>
      <w:r>
        <w:t>5</w:t>
      </w:r>
      <w:r w:rsidRPr="002F0AB8">
        <w:t xml:space="preserve">. Conversely, </w:t>
      </w:r>
      <w:r w:rsidR="00BD4DE6">
        <w:t>NOM</w:t>
      </w:r>
      <w:r w:rsidRPr="002F0AB8">
        <w:t xml:space="preserve"> is expected to decline more slowly</w:t>
      </w:r>
      <w:r>
        <w:t xml:space="preserve"> than previously thought</w:t>
      </w:r>
      <w:r w:rsidRPr="002F0AB8">
        <w:t>, contributing 1</w:t>
      </w:r>
      <w:r w:rsidR="00296C9E">
        <w:t>65</w:t>
      </w:r>
      <w:r w:rsidRPr="002F0AB8">
        <w:t>,000 more pe</w:t>
      </w:r>
      <w:r>
        <w:t>ople</w:t>
      </w:r>
      <w:r w:rsidRPr="002F0AB8">
        <w:t xml:space="preserve"> than in the 2023</w:t>
      </w:r>
      <w:r w:rsidR="001339E1">
        <w:t> </w:t>
      </w:r>
      <w:r w:rsidRPr="002F0AB8">
        <w:t>Statement</w:t>
      </w:r>
      <w:r w:rsidR="00DB20CA">
        <w:t xml:space="preserve"> over the same period</w:t>
      </w:r>
      <w:r w:rsidRPr="002F0AB8">
        <w:t>.</w:t>
      </w:r>
      <w:r>
        <w:t xml:space="preserve"> The median age in 2034</w:t>
      </w:r>
      <w:r w:rsidRPr="00FE68EA">
        <w:rPr>
          <w:rFonts w:ascii="Calibri" w:eastAsia="Calibri" w:hAnsi="Calibri" w:cs="Calibri"/>
        </w:rPr>
        <w:t>–</w:t>
      </w:r>
      <w:r>
        <w:t xml:space="preserve">35 is </w:t>
      </w:r>
      <w:r w:rsidRPr="00D826B0">
        <w:t>0.</w:t>
      </w:r>
      <w:r w:rsidR="002C7F6C">
        <w:t>0</w:t>
      </w:r>
      <w:r w:rsidR="00F27969">
        <w:t>7</w:t>
      </w:r>
      <w:r w:rsidRPr="003C0885">
        <w:t> year</w:t>
      </w:r>
      <w:r w:rsidR="002C7F6C">
        <w:t>s</w:t>
      </w:r>
      <w:r w:rsidRPr="00D826B0">
        <w:t xml:space="preserve"> h</w:t>
      </w:r>
      <w:r>
        <w:t>igher than projected in the 2023</w:t>
      </w:r>
      <w:r w:rsidR="00DB1B74">
        <w:t> </w:t>
      </w:r>
      <w:r>
        <w:t>Statement, reflecting the lower births forecast.</w:t>
      </w:r>
    </w:p>
    <w:p w14:paraId="163D8DDF" w14:textId="230CC042" w:rsidR="00D9259F" w:rsidRPr="00CE3770" w:rsidRDefault="00D9259F" w:rsidP="00CE3770">
      <w:pPr>
        <w:pStyle w:val="ChartMainHeading"/>
      </w:pPr>
      <w:bookmarkStart w:id="67" w:name="_Ref179795751"/>
      <w:bookmarkStart w:id="68" w:name="_Hlk149832557"/>
      <w:r w:rsidRPr="00CE3770">
        <w:t xml:space="preserve">Change in </w:t>
      </w:r>
      <w:r w:rsidR="00842BCE" w:rsidRPr="00CE3770">
        <w:t xml:space="preserve">projected </w:t>
      </w:r>
      <w:r w:rsidR="003D5F66" w:rsidRPr="00CE3770">
        <w:t>population growth</w:t>
      </w:r>
      <w:r w:rsidRPr="00CE3770">
        <w:t xml:space="preserve"> compared to the 2023 Population Statement</w:t>
      </w:r>
      <w:bookmarkEnd w:id="67"/>
    </w:p>
    <w:p w14:paraId="5278662C" w14:textId="7DD893C8" w:rsidR="00D9259F" w:rsidRDefault="00E91A34" w:rsidP="002F440F">
      <w:pPr>
        <w:pStyle w:val="ChartGraphic"/>
      </w:pPr>
      <w:r w:rsidRPr="00E91A34">
        <w:rPr>
          <w:noProof/>
        </w:rPr>
        <w:drawing>
          <wp:inline distT="0" distB="0" distL="0" distR="0" wp14:anchorId="41B41B64" wp14:editId="03D7AB40">
            <wp:extent cx="5553075" cy="2886075"/>
            <wp:effectExtent l="0" t="0" r="0" b="0"/>
            <wp:docPr id="512919805" name="Picture 16" descr="This chart shows the difference in national population growth forecasts between the 2023 and 2024 Population Statements, broken down by component, from 2022–23 to 2034–35. Growth has been revised up in 2023–24 and 2024–25, driven by lower migrant departures and higher migrant arrivals. Growth has been revised down in 2025–26 to 2030–31, mostly reflecting lower births. Growth is largely unchanged from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9805" name="Picture 16" descr="This chart shows the difference in national population growth forecasts between the 2023 and 2024 Population Statements, broken down by component, from 2022–23 to 2034–35. Growth has been revised up in 2023–24 and 2024–25, driven by lower migrant departures and higher migrant arrivals. Growth has been revised down in 2025–26 to 2030–31, mostly reflecting lower births. Growth is largely unchanged from 203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2886075"/>
                    </a:xfrm>
                    <a:prstGeom prst="rect">
                      <a:avLst/>
                    </a:prstGeom>
                    <a:noFill/>
                    <a:ln>
                      <a:noFill/>
                    </a:ln>
                  </pic:spPr>
                </pic:pic>
              </a:graphicData>
            </a:graphic>
          </wp:inline>
        </w:drawing>
      </w:r>
    </w:p>
    <w:p w14:paraId="7963E2A2" w14:textId="78AA4E19" w:rsidR="001F7B7E" w:rsidRPr="001339E1" w:rsidRDefault="00533196" w:rsidP="001339E1">
      <w:pPr>
        <w:pStyle w:val="ChartorTableNote"/>
      </w:pPr>
      <w:r w:rsidRPr="001339E1">
        <w:t>Note:</w:t>
      </w:r>
      <w:r w:rsidRPr="001339E1">
        <w:tab/>
      </w:r>
      <w:r w:rsidR="00431699" w:rsidRPr="001339E1">
        <w:t>Positive departures</w:t>
      </w:r>
      <w:r w:rsidR="00465EDB" w:rsidRPr="001339E1">
        <w:t>/</w:t>
      </w:r>
      <w:r w:rsidR="003A4941" w:rsidRPr="001339E1">
        <w:t xml:space="preserve">deaths </w:t>
      </w:r>
      <w:r w:rsidR="00431699" w:rsidRPr="001339E1">
        <w:t xml:space="preserve">indicate </w:t>
      </w:r>
      <w:r w:rsidR="00C93CBC" w:rsidRPr="001339E1">
        <w:t xml:space="preserve">a downwards revision </w:t>
      </w:r>
      <w:r w:rsidR="00AF4283" w:rsidRPr="001339E1">
        <w:t xml:space="preserve">and </w:t>
      </w:r>
      <w:r w:rsidR="00465EDB" w:rsidRPr="001339E1">
        <w:t>higher</w:t>
      </w:r>
      <w:r w:rsidR="00AF4283" w:rsidRPr="001339E1">
        <w:t xml:space="preserve"> population growth, and negative departures</w:t>
      </w:r>
      <w:r w:rsidR="00465EDB" w:rsidRPr="001339E1">
        <w:t>/deaths indicate</w:t>
      </w:r>
      <w:r w:rsidR="00AF4283" w:rsidRPr="001339E1">
        <w:t xml:space="preserve"> </w:t>
      </w:r>
      <w:r w:rsidR="00C93CBC" w:rsidRPr="001339E1">
        <w:t xml:space="preserve">an upwards revision </w:t>
      </w:r>
      <w:r w:rsidR="00AF4283" w:rsidRPr="001339E1">
        <w:t xml:space="preserve">and </w:t>
      </w:r>
      <w:r w:rsidR="00465EDB" w:rsidRPr="001339E1">
        <w:t>lower</w:t>
      </w:r>
      <w:r w:rsidR="00AF4283" w:rsidRPr="001339E1">
        <w:t xml:space="preserve"> population growth. </w:t>
      </w:r>
    </w:p>
    <w:p w14:paraId="155A42B7" w14:textId="04E67575" w:rsidR="008E3493" w:rsidRDefault="00D9259F" w:rsidP="002F440F">
      <w:pPr>
        <w:pStyle w:val="Source"/>
      </w:pPr>
      <w:r w:rsidRPr="002F440F">
        <w:t xml:space="preserve">Source: </w:t>
      </w:r>
      <w:r w:rsidRPr="002F440F">
        <w:tab/>
        <w:t xml:space="preserve">ABS, </w:t>
      </w:r>
      <w:r w:rsidRPr="002F440F">
        <w:rPr>
          <w:rStyle w:val="SubtleEmphasis"/>
        </w:rPr>
        <w:t>National, state and territory population</w:t>
      </w:r>
      <w:r w:rsidRPr="002F440F">
        <w:t>, March 2024; and Centre for Population.</w:t>
      </w:r>
      <w:r w:rsidR="00330655" w:rsidRPr="002F440F">
        <w:t xml:space="preserve"> </w:t>
      </w:r>
    </w:p>
    <w:p w14:paraId="12296214" w14:textId="77777777" w:rsidR="006A24B8" w:rsidRPr="002F440F" w:rsidRDefault="006A24B8" w:rsidP="006A24B8">
      <w:pPr>
        <w:pStyle w:val="SingleParagraph"/>
      </w:pP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AC020E" w14:paraId="1A83FE82" w14:textId="77777777" w:rsidTr="008E5867">
        <w:tc>
          <w:tcPr>
            <w:tcW w:w="9072" w:type="dxa"/>
            <w:shd w:val="clear" w:color="auto" w:fill="auto"/>
          </w:tcPr>
          <w:p w14:paraId="7E72CF17" w14:textId="798F6523" w:rsidR="00AC020E" w:rsidRPr="002F440F" w:rsidRDefault="002D7569" w:rsidP="002F440F">
            <w:pPr>
              <w:pStyle w:val="BoxHeading"/>
            </w:pPr>
            <w:r w:rsidRPr="002F440F">
              <w:lastRenderedPageBreak/>
              <w:t>Population outcomes</w:t>
            </w:r>
            <w:r w:rsidR="00BF1830" w:rsidRPr="002F440F">
              <w:t xml:space="preserve"> </w:t>
            </w:r>
            <w:r w:rsidR="00474DCF" w:rsidRPr="002F440F">
              <w:t>compared to</w:t>
            </w:r>
            <w:r w:rsidR="00BF1830" w:rsidRPr="002F440F">
              <w:t xml:space="preserve"> </w:t>
            </w:r>
            <w:r w:rsidRPr="002F440F">
              <w:t>pre</w:t>
            </w:r>
            <w:r w:rsidR="00050D25">
              <w:noBreakHyphen/>
            </w:r>
            <w:r w:rsidR="00DF1738" w:rsidRPr="002F440F">
              <w:t>pandemic</w:t>
            </w:r>
            <w:r w:rsidRPr="002F440F">
              <w:t xml:space="preserve"> projections</w:t>
            </w:r>
          </w:p>
          <w:p w14:paraId="57819F02" w14:textId="39B7B4C4" w:rsidR="008A6594" w:rsidRPr="002F440F" w:rsidRDefault="00DC0F4A" w:rsidP="002F440F">
            <w:pPr>
              <w:pStyle w:val="BoxText"/>
            </w:pPr>
            <w:r w:rsidRPr="002F440F">
              <w:t>Australia</w:t>
            </w:r>
            <w:r w:rsidR="00050D25">
              <w:t>’</w:t>
            </w:r>
            <w:r w:rsidRPr="002F440F">
              <w:t xml:space="preserve">s population is </w:t>
            </w:r>
            <w:r w:rsidR="008A39E1" w:rsidRPr="002F440F">
              <w:t>lower</w:t>
            </w:r>
            <w:r w:rsidR="002D7569" w:rsidRPr="002F440F">
              <w:t xml:space="preserve"> </w:t>
            </w:r>
            <w:r w:rsidR="008A39E1" w:rsidRPr="002F440F">
              <w:t>tha</w:t>
            </w:r>
            <w:r w:rsidR="00712E2A" w:rsidRPr="002F440F">
              <w:t xml:space="preserve">n was projected prior to the </w:t>
            </w:r>
            <w:r w:rsidR="00CC2A9D" w:rsidRPr="002F440F">
              <w:t>pandemic</w:t>
            </w:r>
            <w:r w:rsidR="001C1E5E" w:rsidRPr="002F440F">
              <w:t>.</w:t>
            </w:r>
            <w:r w:rsidR="009948DF" w:rsidRPr="002F440F">
              <w:t xml:space="preserve"> </w:t>
            </w:r>
            <w:r w:rsidR="0033755B" w:rsidRPr="002F440F">
              <w:t xml:space="preserve">The national population </w:t>
            </w:r>
            <w:r w:rsidR="009F1ABB" w:rsidRPr="002F440F">
              <w:t>in 20</w:t>
            </w:r>
            <w:r w:rsidR="00176A40" w:rsidRPr="002F440F">
              <w:t>23</w:t>
            </w:r>
            <w:r w:rsidR="001339E1">
              <w:t>‍</w:t>
            </w:r>
            <w:r w:rsidR="009F1ABB" w:rsidRPr="002F440F">
              <w:t>–‍</w:t>
            </w:r>
            <w:r w:rsidR="00176A40" w:rsidRPr="002F440F">
              <w:t>24</w:t>
            </w:r>
            <w:r w:rsidR="0033755B" w:rsidRPr="002F440F">
              <w:t xml:space="preserve"> is expected to be </w:t>
            </w:r>
            <w:r w:rsidR="00176A40" w:rsidRPr="002F440F">
              <w:t>3</w:t>
            </w:r>
            <w:r w:rsidR="009D48D1" w:rsidRPr="002F440F">
              <w:t>3</w:t>
            </w:r>
            <w:r w:rsidR="00FE0EAF" w:rsidRPr="002F440F">
              <w:t>0</w:t>
            </w:r>
            <w:r w:rsidR="0033755B" w:rsidRPr="002F440F">
              <w:t>,000 (</w:t>
            </w:r>
            <w:r w:rsidR="00FE592B" w:rsidRPr="002F440F">
              <w:t>1.</w:t>
            </w:r>
            <w:r w:rsidR="00FE0EAF" w:rsidRPr="002F440F">
              <w:t>2</w:t>
            </w:r>
            <w:r w:rsidR="0033755B" w:rsidRPr="002F440F">
              <w:t xml:space="preserve"> per cent) lower than was projected in t</w:t>
            </w:r>
            <w:r w:rsidR="00FB3A4C" w:rsidRPr="002F440F">
              <w:t xml:space="preserve">he 2019–20 </w:t>
            </w:r>
            <w:r w:rsidR="0012360C" w:rsidRPr="002F440F">
              <w:t>Mid</w:t>
            </w:r>
            <w:r w:rsidR="00050D25">
              <w:noBreakHyphen/>
            </w:r>
            <w:r w:rsidR="0012360C" w:rsidRPr="002F440F">
              <w:t>Year</w:t>
            </w:r>
            <w:r w:rsidR="00F711B4" w:rsidRPr="002F440F">
              <w:t xml:space="preserve"> </w:t>
            </w:r>
            <w:r w:rsidR="0012360C" w:rsidRPr="002F440F">
              <w:t>Economic and Fiscal Outlook</w:t>
            </w:r>
            <w:r w:rsidR="0066094F" w:rsidRPr="002F440F">
              <w:t xml:space="preserve"> (</w:t>
            </w:r>
            <w:r w:rsidR="00FB3A4C" w:rsidRPr="002F440F">
              <w:t>MYEFO</w:t>
            </w:r>
            <w:r w:rsidR="00B54746" w:rsidRPr="002F440F">
              <w:t>)</w:t>
            </w:r>
            <w:r w:rsidR="00086BC4" w:rsidRPr="002F440F">
              <w:t>,</w:t>
            </w:r>
            <w:r w:rsidR="00FB3A4C" w:rsidRPr="002F440F">
              <w:t xml:space="preserve"> the last Government population projection prior to the pandemic (</w:t>
            </w:r>
            <w:r w:rsidR="001C6963" w:rsidRPr="002F440F">
              <w:fldChar w:fldCharType="begin"/>
            </w:r>
            <w:r w:rsidR="001C6963" w:rsidRPr="002F440F">
              <w:instrText xml:space="preserve"> REF _Ref184655389 \r \h </w:instrText>
            </w:r>
            <w:r w:rsidR="002F440F">
              <w:instrText xml:space="preserve"> \* MERGEFORMAT </w:instrText>
            </w:r>
            <w:r w:rsidR="001C6963" w:rsidRPr="002F440F">
              <w:fldChar w:fldCharType="separate"/>
            </w:r>
            <w:r w:rsidR="00050D25">
              <w:t>Chart 5</w:t>
            </w:r>
            <w:r w:rsidR="001C6963" w:rsidRPr="002F440F">
              <w:fldChar w:fldCharType="end"/>
            </w:r>
            <w:r w:rsidR="00FB3A4C" w:rsidRPr="002F440F">
              <w:t>).</w:t>
            </w:r>
            <w:r w:rsidR="00831543" w:rsidRPr="002F440F">
              <w:t xml:space="preserve"> </w:t>
            </w:r>
            <w:r w:rsidR="00FB3A4C" w:rsidRPr="002F440F">
              <w:t xml:space="preserve">This </w:t>
            </w:r>
            <w:r w:rsidR="002746C7" w:rsidRPr="002F440F">
              <w:t xml:space="preserve">reflects </w:t>
            </w:r>
            <w:r w:rsidR="00086BC4" w:rsidRPr="002F440F">
              <w:t>an expected</w:t>
            </w:r>
            <w:r w:rsidR="002746C7" w:rsidRPr="002F440F">
              <w:t xml:space="preserve"> </w:t>
            </w:r>
            <w:r w:rsidR="00CB29FB" w:rsidRPr="002F440F">
              <w:t>345,</w:t>
            </w:r>
            <w:r w:rsidR="002746C7" w:rsidRPr="002F440F">
              <w:t>000 fewer births b</w:t>
            </w:r>
            <w:r w:rsidR="00B4598D" w:rsidRPr="002F440F">
              <w:t>etween 2018–19 and</w:t>
            </w:r>
            <w:r w:rsidR="002746C7" w:rsidRPr="002F440F">
              <w:t xml:space="preserve"> 2023–24 </w:t>
            </w:r>
            <w:r w:rsidR="00746D17" w:rsidRPr="002F440F">
              <w:t>than</w:t>
            </w:r>
            <w:r w:rsidR="00FB3A4C" w:rsidRPr="002F440F">
              <w:t xml:space="preserve"> </w:t>
            </w:r>
            <w:r w:rsidR="000A64A7" w:rsidRPr="002F440F">
              <w:t>was projected in</w:t>
            </w:r>
            <w:r w:rsidR="00FB3A4C" w:rsidRPr="002F440F">
              <w:t xml:space="preserve"> the 2019–</w:t>
            </w:r>
            <w:r w:rsidR="00255488" w:rsidRPr="002F440F">
              <w:t>‍</w:t>
            </w:r>
            <w:r w:rsidR="00FB3A4C" w:rsidRPr="002F440F">
              <w:t>20</w:t>
            </w:r>
            <w:r w:rsidR="00255488" w:rsidRPr="002F440F">
              <w:t> </w:t>
            </w:r>
            <w:r w:rsidR="00FB3A4C" w:rsidRPr="002F440F">
              <w:t>MYEFO</w:t>
            </w:r>
            <w:r w:rsidR="00746D17" w:rsidRPr="002F440F">
              <w:t>,</w:t>
            </w:r>
            <w:r w:rsidR="00FB3A4C" w:rsidRPr="002F440F">
              <w:t xml:space="preserve"> </w:t>
            </w:r>
            <w:r w:rsidR="000C7127" w:rsidRPr="002F440F">
              <w:t xml:space="preserve">which used </w:t>
            </w:r>
            <w:r w:rsidR="00FB3A4C" w:rsidRPr="002F440F">
              <w:t xml:space="preserve">a higher fertility assumption than </w:t>
            </w:r>
            <w:r w:rsidR="000C7127" w:rsidRPr="002F440F">
              <w:t>has since been realised</w:t>
            </w:r>
            <w:r w:rsidR="00FB3A4C" w:rsidRPr="002F440F">
              <w:t xml:space="preserve">. </w:t>
            </w:r>
          </w:p>
          <w:p w14:paraId="27DB4D29" w14:textId="2680E045" w:rsidR="00A6201B" w:rsidRPr="002F440F" w:rsidRDefault="00820485" w:rsidP="002F440F">
            <w:pPr>
              <w:pStyle w:val="BoxText"/>
            </w:pPr>
            <w:r w:rsidRPr="002F440F">
              <w:t xml:space="preserve">Through </w:t>
            </w:r>
            <w:r w:rsidR="00FB3A4C" w:rsidRPr="002F440F">
              <w:t>to the end of 2021–</w:t>
            </w:r>
            <w:r w:rsidR="00100806" w:rsidRPr="002F440F">
              <w:t>‍</w:t>
            </w:r>
            <w:r w:rsidR="00FB3A4C" w:rsidRPr="002F440F">
              <w:t xml:space="preserve">22, </w:t>
            </w:r>
            <w:r w:rsidRPr="002F440F">
              <w:t xml:space="preserve">NOM was </w:t>
            </w:r>
            <w:r w:rsidR="00CD40B5" w:rsidRPr="002F440F">
              <w:t>449</w:t>
            </w:r>
            <w:r w:rsidRPr="002F440F">
              <w:t xml:space="preserve">,000 </w:t>
            </w:r>
            <w:r w:rsidR="00235FEC" w:rsidRPr="002F440F">
              <w:t>lower than projected at the 2019–20 MYEFO</w:t>
            </w:r>
            <w:r w:rsidR="007527FD" w:rsidRPr="002F440F">
              <w:t>,</w:t>
            </w:r>
            <w:r w:rsidR="00235FEC" w:rsidRPr="002F440F">
              <w:t xml:space="preserve"> </w:t>
            </w:r>
            <w:r w:rsidR="00FB3A4C" w:rsidRPr="002F440F">
              <w:t>due to pandemic</w:t>
            </w:r>
            <w:r w:rsidR="00050D25">
              <w:noBreakHyphen/>
            </w:r>
            <w:r w:rsidR="00FB3A4C" w:rsidRPr="002F440F">
              <w:t xml:space="preserve">era border closures. With the catch up </w:t>
            </w:r>
            <w:r w:rsidR="00ED256D" w:rsidRPr="002F440F">
              <w:t>in</w:t>
            </w:r>
            <w:r w:rsidR="00FB3A4C" w:rsidRPr="002F440F">
              <w:t xml:space="preserve"> migration </w:t>
            </w:r>
            <w:r w:rsidR="00ED256D" w:rsidRPr="002F440F">
              <w:t xml:space="preserve">over </w:t>
            </w:r>
            <w:r w:rsidR="00FB3A4C" w:rsidRPr="002F440F">
              <w:t xml:space="preserve">2022–23 and 2023–24, NOM </w:t>
            </w:r>
            <w:r w:rsidR="007527FD" w:rsidRPr="002F440F">
              <w:t xml:space="preserve">is </w:t>
            </w:r>
            <w:r w:rsidR="008F38A7" w:rsidRPr="002F440F">
              <w:t xml:space="preserve">now </w:t>
            </w:r>
            <w:r w:rsidR="007527FD" w:rsidRPr="002F440F">
              <w:t xml:space="preserve">expected to be </w:t>
            </w:r>
            <w:r w:rsidR="00FB3A4C" w:rsidRPr="002F440F">
              <w:t>around 85,000</w:t>
            </w:r>
            <w:r w:rsidR="00EC7A58" w:rsidRPr="002F440F">
              <w:t xml:space="preserve"> </w:t>
            </w:r>
            <w:r w:rsidR="00754AA1" w:rsidRPr="002F440F">
              <w:t xml:space="preserve">or </w:t>
            </w:r>
            <w:r w:rsidR="006327FA" w:rsidRPr="002F440F">
              <w:t>5</w:t>
            </w:r>
            <w:r w:rsidR="00FE6064" w:rsidRPr="002F440F">
              <w:t>.7</w:t>
            </w:r>
            <w:r w:rsidR="00754AA1" w:rsidRPr="002F440F">
              <w:t xml:space="preserve"> per cent </w:t>
            </w:r>
            <w:r w:rsidR="000E63FB" w:rsidRPr="002F440F">
              <w:t>higher</w:t>
            </w:r>
            <w:r w:rsidR="007527FD" w:rsidRPr="002F440F">
              <w:t xml:space="preserve"> </w:t>
            </w:r>
            <w:r w:rsidR="00885A25" w:rsidRPr="002F440F">
              <w:t xml:space="preserve">over 2018–‍19 to 2023–‍24 </w:t>
            </w:r>
            <w:r w:rsidR="007527FD" w:rsidRPr="002F440F">
              <w:t>than projected at the</w:t>
            </w:r>
            <w:r w:rsidR="001339E1">
              <w:t xml:space="preserve"> </w:t>
            </w:r>
            <w:r w:rsidR="007527FD" w:rsidRPr="002F440F">
              <w:t>2019</w:t>
            </w:r>
            <w:r w:rsidR="001339E1">
              <w:t>‍</w:t>
            </w:r>
            <w:r w:rsidR="007527FD" w:rsidRPr="002F440F">
              <w:t>–</w:t>
            </w:r>
            <w:r w:rsidR="001339E1">
              <w:t>‍</w:t>
            </w:r>
            <w:r w:rsidR="007527FD" w:rsidRPr="002F440F">
              <w:t>20</w:t>
            </w:r>
            <w:r w:rsidR="00885A25" w:rsidRPr="002F440F">
              <w:t> </w:t>
            </w:r>
            <w:r w:rsidR="007527FD" w:rsidRPr="002F440F">
              <w:t>MYEFO</w:t>
            </w:r>
            <w:r w:rsidR="00FB3A4C" w:rsidRPr="002F440F">
              <w:t xml:space="preserve">. </w:t>
            </w:r>
          </w:p>
          <w:p w14:paraId="75C46C84" w14:textId="286F67D4" w:rsidR="005F55CA" w:rsidRPr="002F440F" w:rsidRDefault="005F55CA" w:rsidP="002F440F">
            <w:pPr>
              <w:pStyle w:val="ChartMainHeading"/>
            </w:pPr>
            <w:bookmarkStart w:id="69" w:name="_Ref184655389"/>
            <w:r w:rsidRPr="002F440F">
              <w:t>Population out</w:t>
            </w:r>
            <w:r w:rsidR="009658A8" w:rsidRPr="002F440F">
              <w:t>come</w:t>
            </w:r>
            <w:r w:rsidRPr="002F440F">
              <w:t>s compared to the 2019–20 MYEFO</w:t>
            </w:r>
            <w:bookmarkEnd w:id="69"/>
          </w:p>
          <w:tbl>
            <w:tblPr>
              <w:tblStyle w:val="TableGrid"/>
              <w:tblW w:w="0" w:type="auto"/>
              <w:tblLook w:val="04A0" w:firstRow="1" w:lastRow="0" w:firstColumn="1" w:lastColumn="0" w:noHBand="0" w:noVBand="1"/>
            </w:tblPr>
            <w:tblGrid>
              <w:gridCol w:w="4428"/>
              <w:gridCol w:w="4418"/>
            </w:tblGrid>
            <w:tr w:rsidR="005F55CA" w14:paraId="14E8C2A4" w14:textId="77777777" w:rsidTr="008E5867">
              <w:tc>
                <w:tcPr>
                  <w:tcW w:w="4428" w:type="dxa"/>
                  <w:shd w:val="clear" w:color="auto" w:fill="auto"/>
                </w:tcPr>
                <w:p w14:paraId="0B83F8D8" w14:textId="27A35E41" w:rsidR="005F55CA" w:rsidRPr="002F440F" w:rsidRDefault="005F55CA" w:rsidP="002F440F">
                  <w:pPr>
                    <w:pStyle w:val="ChartSecondHeading"/>
                  </w:pPr>
                  <w:r w:rsidRPr="002F440F">
                    <w:t>Total population</w:t>
                  </w:r>
                  <w:r w:rsidRPr="002F440F" w:rsidDel="00931365">
                    <w:t xml:space="preserve"> </w:t>
                  </w:r>
                </w:p>
                <w:p w14:paraId="60EE37BB" w14:textId="3EE651DE" w:rsidR="005F55CA" w:rsidRDefault="00846E90" w:rsidP="002F440F">
                  <w:pPr>
                    <w:pStyle w:val="ChartGraphic"/>
                  </w:pPr>
                  <w:r w:rsidRPr="00846E90">
                    <w:rPr>
                      <w:noProof/>
                    </w:rPr>
                    <w:drawing>
                      <wp:inline distT="0" distB="0" distL="0" distR="0" wp14:anchorId="598E751E" wp14:editId="5CCEDF54">
                        <wp:extent cx="2806700" cy="2878455"/>
                        <wp:effectExtent l="0" t="0" r="0" b="0"/>
                        <wp:docPr id="1510650722" name="Picture 1" descr="This chart shows national population estimates for the 2024 Population Statement and the 2019–20 Mid-Year Economic Fiscal Outlook from 2017–18 to 2023–24. Population outcomes have diverged from the 2019–20 projections, particularly in 2020–21. Population outcomes in 2022–23 and 2023–24 have narrowed the gap but still remain below 2019–20 MYEFO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50722" name="Picture 1" descr="This chart shows national population estimates for the 2024 Population Statement and the 2019–20 Mid-Year Economic Fiscal Outlook from 2017–18 to 2023–24. Population outcomes have diverged from the 2019–20 projections, particularly in 2020–21. Population outcomes in 2022–23 and 2023–24 have narrowed the gap but still remain below 2019–20 MYEFO projectio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2878455"/>
                                </a:xfrm>
                                <a:prstGeom prst="rect">
                                  <a:avLst/>
                                </a:prstGeom>
                                <a:noFill/>
                                <a:ln>
                                  <a:noFill/>
                                </a:ln>
                              </pic:spPr>
                            </pic:pic>
                          </a:graphicData>
                        </a:graphic>
                      </wp:inline>
                    </w:drawing>
                  </w:r>
                  <w:r w:rsidR="005F55CA" w:rsidRPr="00931365" w:rsidDel="00931365">
                    <w:t xml:space="preserve"> </w:t>
                  </w:r>
                </w:p>
              </w:tc>
              <w:tc>
                <w:tcPr>
                  <w:tcW w:w="4428" w:type="dxa"/>
                  <w:shd w:val="clear" w:color="auto" w:fill="auto"/>
                </w:tcPr>
                <w:p w14:paraId="2DDCE2CB" w14:textId="788823E9" w:rsidR="005F55CA" w:rsidRPr="002F440F" w:rsidRDefault="005F55CA" w:rsidP="002F440F">
                  <w:pPr>
                    <w:pStyle w:val="ChartSecondHeading"/>
                  </w:pPr>
                  <w:r w:rsidRPr="002F440F">
                    <w:t>Cumulative difference</w:t>
                  </w:r>
                </w:p>
                <w:p w14:paraId="0DF541C4" w14:textId="24DF7D2E" w:rsidR="005F55CA" w:rsidRDefault="008F0F7C" w:rsidP="002F440F">
                  <w:pPr>
                    <w:pStyle w:val="ChartGraphic"/>
                  </w:pPr>
                  <w:r w:rsidRPr="008F0F7C">
                    <w:rPr>
                      <w:noProof/>
                    </w:rPr>
                    <w:drawing>
                      <wp:inline distT="0" distB="0" distL="0" distR="0" wp14:anchorId="551F842E" wp14:editId="314B0BFA">
                        <wp:extent cx="2795270" cy="2872740"/>
                        <wp:effectExtent l="0" t="0" r="5080" b="0"/>
                        <wp:docPr id="160465309" name="Picture 160465309" descr="This chart shows the cumulative difference in components outcomes and projections in the 2019–20 Mid-Year Economic Fiscal Outlook from 2017–18 to 2023–24. The largest driver of the lower expected population in 2023–24 is births, which have been lower over the whole period. Cumulative net overseas migration was significantly below forecast in 2019–20 and 2020–21 but has since recovered and is expected to be higher than forecast in 2023–24. Relative to the other components, deaths have not been a big factor in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309" name="Picture 160465309" descr="This chart shows the cumulative difference in components outcomes and projections in the 2019–20 Mid-Year Economic Fiscal Outlook from 2017–18 to 2023–24. The largest driver of the lower expected population in 2023–24 is births, which have been lower over the whole period. Cumulative net overseas migration was significantly below forecast in 2019–20 and 2020–21 but has since recovered and is expected to be higher than forecast in 2023–24. Relative to the other components, deaths have not been a big factor in the differ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270" cy="2872740"/>
                                </a:xfrm>
                                <a:prstGeom prst="rect">
                                  <a:avLst/>
                                </a:prstGeom>
                                <a:noFill/>
                                <a:ln>
                                  <a:noFill/>
                                </a:ln>
                              </pic:spPr>
                            </pic:pic>
                          </a:graphicData>
                        </a:graphic>
                      </wp:inline>
                    </w:drawing>
                  </w:r>
                </w:p>
              </w:tc>
            </w:tr>
          </w:tbl>
          <w:p w14:paraId="407FB72A" w14:textId="2CD204C9" w:rsidR="005F55CA" w:rsidRDefault="005F55CA" w:rsidP="002F440F">
            <w:pPr>
              <w:pStyle w:val="ChartorTableNote"/>
            </w:pPr>
            <w:r>
              <w:t>Note:</w:t>
            </w:r>
            <w:r>
              <w:tab/>
            </w:r>
            <w:r w:rsidR="00C71028">
              <w:t xml:space="preserve">2023–24 consists of 3 quarters of </w:t>
            </w:r>
            <w:r w:rsidR="00A55B51">
              <w:t>estimates</w:t>
            </w:r>
            <w:r w:rsidR="00C71028">
              <w:t xml:space="preserve"> </w:t>
            </w:r>
            <w:r w:rsidR="0094537D">
              <w:t>a</w:t>
            </w:r>
            <w:r w:rsidR="00A55B51">
              <w:t>nd one quarter of forecasts.</w:t>
            </w:r>
            <w:r>
              <w:t xml:space="preserve"> </w:t>
            </w:r>
            <w:r w:rsidR="00184451">
              <w:t xml:space="preserve">Components do not sum to </w:t>
            </w:r>
            <w:r w:rsidR="008C3D85">
              <w:t xml:space="preserve">total population change due to </w:t>
            </w:r>
            <w:r w:rsidR="00AC6AAA">
              <w:t>ABS</w:t>
            </w:r>
            <w:r w:rsidR="008C3D85">
              <w:t xml:space="preserve"> revisions.</w:t>
            </w:r>
          </w:p>
          <w:p w14:paraId="37AD69B6" w14:textId="7EA298D3" w:rsidR="005F55CA" w:rsidRPr="002F440F" w:rsidRDefault="005F55CA" w:rsidP="002F440F">
            <w:pPr>
              <w:pStyle w:val="Source"/>
            </w:pPr>
            <w:r w:rsidRPr="002F440F">
              <w:t>Source:</w:t>
            </w:r>
            <w:r w:rsidRPr="002F440F">
              <w:tab/>
              <w:t xml:space="preserve">ABS, </w:t>
            </w:r>
            <w:r w:rsidRPr="002F440F">
              <w:rPr>
                <w:rStyle w:val="SubtleEmphasis"/>
              </w:rPr>
              <w:t>National, state and territory population</w:t>
            </w:r>
            <w:r w:rsidRPr="002F440F">
              <w:t>, March 2024; the Commonwealth of Australia, MYEFO 2019–20; and Centre for Population.</w:t>
            </w:r>
          </w:p>
          <w:p w14:paraId="3DD5BF92" w14:textId="77777777" w:rsidR="006A24B8" w:rsidRDefault="006A24B8" w:rsidP="006A24B8">
            <w:pPr>
              <w:pStyle w:val="SingleParagraph"/>
            </w:pPr>
          </w:p>
          <w:p w14:paraId="43F7F522" w14:textId="1C647580" w:rsidR="00A31510" w:rsidRPr="00BB2387" w:rsidRDefault="00865389" w:rsidP="003914B2">
            <w:pPr>
              <w:pStyle w:val="BoxText"/>
            </w:pPr>
            <w:r>
              <w:t xml:space="preserve">In the </w:t>
            </w:r>
            <w:r w:rsidR="00DA096F">
              <w:t xml:space="preserve">current </w:t>
            </w:r>
            <w:r>
              <w:t>projections, p</w:t>
            </w:r>
            <w:r w:rsidR="00817329">
              <w:t xml:space="preserve">opulation growth is </w:t>
            </w:r>
            <w:r w:rsidR="00027BBC">
              <w:t xml:space="preserve">expected to </w:t>
            </w:r>
            <w:r w:rsidR="00DD449A">
              <w:t>be lower than</w:t>
            </w:r>
            <w:r w:rsidR="00817329">
              <w:t xml:space="preserve"> </w:t>
            </w:r>
            <w:r w:rsidR="00867081">
              <w:t xml:space="preserve">the </w:t>
            </w:r>
            <w:r w:rsidR="00867081" w:rsidRPr="00FB3A4C">
              <w:t>2019–</w:t>
            </w:r>
            <w:r w:rsidR="00867081">
              <w:t>‍</w:t>
            </w:r>
            <w:r w:rsidR="00867081" w:rsidRPr="00FB3A4C">
              <w:t>20</w:t>
            </w:r>
            <w:r w:rsidR="00867081">
              <w:t> </w:t>
            </w:r>
            <w:r w:rsidR="00867081" w:rsidRPr="00FB3A4C">
              <w:t>MYEFO</w:t>
            </w:r>
            <w:r w:rsidR="00867081">
              <w:t xml:space="preserve"> </w:t>
            </w:r>
            <w:r w:rsidR="00AF4D17">
              <w:t xml:space="preserve">projections </w:t>
            </w:r>
            <w:r w:rsidR="00867081">
              <w:t xml:space="preserve">from </w:t>
            </w:r>
            <w:r w:rsidR="00867081" w:rsidRPr="00D0363B">
              <w:t>20</w:t>
            </w:r>
            <w:r w:rsidR="00DE7D72" w:rsidRPr="00D0363B">
              <w:t>25–</w:t>
            </w:r>
            <w:r w:rsidR="001854A9" w:rsidRPr="00D0363B">
              <w:t>2</w:t>
            </w:r>
            <w:r w:rsidR="001854A9">
              <w:t>6</w:t>
            </w:r>
            <w:r w:rsidR="00CD794C">
              <w:t>, driven by the lower fertility assumption</w:t>
            </w:r>
            <w:r w:rsidR="00E310A9">
              <w:t>.</w:t>
            </w:r>
            <w:r w:rsidR="00C82FCB">
              <w:t xml:space="preserve"> </w:t>
            </w:r>
            <w:r w:rsidR="001A4BCA">
              <w:t>By</w:t>
            </w:r>
            <w:r w:rsidR="005C3711">
              <w:t xml:space="preserve"> 203</w:t>
            </w:r>
            <w:r w:rsidR="00F22A03">
              <w:t>0</w:t>
            </w:r>
            <w:r w:rsidR="005C3711">
              <w:t>‍–3</w:t>
            </w:r>
            <w:r w:rsidR="00F22A03">
              <w:t>1</w:t>
            </w:r>
            <w:r w:rsidR="00B86F6D">
              <w:t xml:space="preserve">, </w:t>
            </w:r>
            <w:r w:rsidR="009369E5">
              <w:t xml:space="preserve">the </w:t>
            </w:r>
            <w:r w:rsidR="000D0C21">
              <w:t xml:space="preserve">population is expected to </w:t>
            </w:r>
            <w:r w:rsidR="000D0C21" w:rsidRPr="00865885">
              <w:t xml:space="preserve">be </w:t>
            </w:r>
            <w:r w:rsidR="00865885" w:rsidRPr="00075620">
              <w:t>6</w:t>
            </w:r>
            <w:r w:rsidR="00B04A2C">
              <w:t>45</w:t>
            </w:r>
            <w:r w:rsidR="00EB60C0" w:rsidRPr="00865885">
              <w:t>,</w:t>
            </w:r>
            <w:r w:rsidR="00EB60C0" w:rsidRPr="00DD757A">
              <w:t>000</w:t>
            </w:r>
            <w:r w:rsidR="003A13EE">
              <w:t> </w:t>
            </w:r>
            <w:r w:rsidR="00EB60C0" w:rsidRPr="00DD757A">
              <w:t>(</w:t>
            </w:r>
            <w:r w:rsidR="00842390" w:rsidRPr="00075620">
              <w:t>2.</w:t>
            </w:r>
            <w:r w:rsidR="00162D80">
              <w:t>1</w:t>
            </w:r>
            <w:r w:rsidR="00EB60C0" w:rsidRPr="00DD757A">
              <w:t xml:space="preserve"> per cent) lower than</w:t>
            </w:r>
            <w:r w:rsidR="00EB60C0">
              <w:t xml:space="preserve"> </w:t>
            </w:r>
            <w:r w:rsidR="009369E5">
              <w:t xml:space="preserve">projected </w:t>
            </w:r>
            <w:r w:rsidR="00EB60C0">
              <w:t xml:space="preserve">in </w:t>
            </w:r>
            <w:r w:rsidR="00CF3C44">
              <w:t xml:space="preserve">the </w:t>
            </w:r>
            <w:r w:rsidR="00EB60C0">
              <w:t xml:space="preserve">2019–20 MYEFO. </w:t>
            </w:r>
            <w:r w:rsidR="000F2E53">
              <w:t xml:space="preserve">This is driven by </w:t>
            </w:r>
            <w:r w:rsidR="00162D80">
              <w:t>886</w:t>
            </w:r>
            <w:r w:rsidR="000F2E53">
              <w:t xml:space="preserve">,000 fewer births, partly offset by </w:t>
            </w:r>
            <w:r w:rsidR="00E61F4B">
              <w:t>3</w:t>
            </w:r>
            <w:r w:rsidR="006C389F">
              <w:t>15</w:t>
            </w:r>
            <w:r w:rsidR="00E61F4B">
              <w:t xml:space="preserve">,000 </w:t>
            </w:r>
            <w:r w:rsidR="004B316F">
              <w:t xml:space="preserve">additional </w:t>
            </w:r>
            <w:r w:rsidR="00BB270F">
              <w:t>NOM</w:t>
            </w:r>
            <w:r w:rsidR="000F2E53">
              <w:t>.</w:t>
            </w:r>
            <w:r w:rsidR="007D4E88">
              <w:t xml:space="preserve"> Deaths </w:t>
            </w:r>
            <w:r w:rsidR="00282ED1">
              <w:t xml:space="preserve">are projected to be </w:t>
            </w:r>
            <w:r w:rsidR="007D4E88">
              <w:t xml:space="preserve">slightly higher than </w:t>
            </w:r>
            <w:r w:rsidR="0098329C">
              <w:t>in the</w:t>
            </w:r>
            <w:r w:rsidR="001339E1">
              <w:t xml:space="preserve"> </w:t>
            </w:r>
            <w:r w:rsidR="0098329C" w:rsidRPr="00FB3A4C">
              <w:t>2019</w:t>
            </w:r>
            <w:r w:rsidR="001339E1">
              <w:t>‍</w:t>
            </w:r>
            <w:r w:rsidR="0098329C" w:rsidRPr="00FB3A4C">
              <w:t>–</w:t>
            </w:r>
            <w:r w:rsidR="0098329C">
              <w:t>‍</w:t>
            </w:r>
            <w:r w:rsidR="0098329C" w:rsidRPr="00FB3A4C">
              <w:t>20</w:t>
            </w:r>
            <w:r w:rsidR="0098329C">
              <w:t> </w:t>
            </w:r>
            <w:r w:rsidR="0098329C" w:rsidRPr="00FB3A4C">
              <w:t>MYEFO</w:t>
            </w:r>
            <w:r w:rsidR="0098329C">
              <w:t xml:space="preserve"> </w:t>
            </w:r>
            <w:r w:rsidR="006A2F6A">
              <w:t>(1</w:t>
            </w:r>
            <w:r w:rsidR="00C26142">
              <w:t>4</w:t>
            </w:r>
            <w:r w:rsidR="006A2F6A">
              <w:t>,000)</w:t>
            </w:r>
            <w:r w:rsidR="007D4E88">
              <w:t>,</w:t>
            </w:r>
            <w:r w:rsidR="00905C7A">
              <w:t xml:space="preserve"> reflecting the impact of the </w:t>
            </w:r>
            <w:r w:rsidR="001037AF">
              <w:t>COVID</w:t>
            </w:r>
            <w:r w:rsidR="00050D25">
              <w:noBreakHyphen/>
            </w:r>
            <w:r w:rsidR="001037AF">
              <w:t xml:space="preserve">19 </w:t>
            </w:r>
            <w:r w:rsidR="00905C7A">
              <w:t>pandemic.</w:t>
            </w:r>
          </w:p>
        </w:tc>
      </w:tr>
    </w:tbl>
    <w:p w14:paraId="32A14014" w14:textId="77777777" w:rsidR="008377B5" w:rsidRPr="000F2FC4" w:rsidRDefault="008377B5" w:rsidP="003914B2"/>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D9259F" w:rsidRPr="003B6850" w14:paraId="2C428FB3" w14:textId="77777777" w:rsidTr="0095584C">
        <w:trPr>
          <w:trHeight w:val="293"/>
        </w:trPr>
        <w:tc>
          <w:tcPr>
            <w:tcW w:w="9072" w:type="dxa"/>
            <w:shd w:val="clear" w:color="auto" w:fill="auto"/>
          </w:tcPr>
          <w:p w14:paraId="14149997" w14:textId="77777777" w:rsidR="00D9259F" w:rsidRPr="00645008" w:rsidRDefault="00D9259F" w:rsidP="00916EF2">
            <w:pPr>
              <w:pStyle w:val="BoxHeading"/>
            </w:pPr>
            <w:bookmarkStart w:id="70" w:name="_Toc151994718"/>
            <w:bookmarkStart w:id="71" w:name="_Toc149846499"/>
            <w:bookmarkStart w:id="72" w:name="_Toc149846540"/>
            <w:bookmarkStart w:id="73" w:name="_Toc149846638"/>
            <w:bookmarkStart w:id="74" w:name="_Toc149847581"/>
            <w:bookmarkEnd w:id="68"/>
            <w:r w:rsidRPr="00C13BB0">
              <w:lastRenderedPageBreak/>
              <w:t xml:space="preserve">Comparison </w:t>
            </w:r>
            <w:r>
              <w:t>to</w:t>
            </w:r>
            <w:r w:rsidRPr="00C13BB0">
              <w:t xml:space="preserve"> UN population projections for Australia</w:t>
            </w:r>
          </w:p>
          <w:p w14:paraId="755500DB" w14:textId="56DAE01B" w:rsidR="00D9259F" w:rsidRPr="00C23990" w:rsidRDefault="00D9259F" w:rsidP="00C23990">
            <w:pPr>
              <w:pStyle w:val="BoxText"/>
            </w:pPr>
            <w:r w:rsidRPr="00C23990">
              <w:t xml:space="preserve">This year, the United Nations published the </w:t>
            </w:r>
            <w:r w:rsidRPr="00CE3770">
              <w:rPr>
                <w:rStyle w:val="SubtleEmphasis"/>
              </w:rPr>
              <w:t>World Population Prospects 2024</w:t>
            </w:r>
            <w:r w:rsidRPr="00C23990">
              <w:t>, a biennial report providing global population projections to the end of the century. By 2064–65, the UN projects the Australian population will be 35.</w:t>
            </w:r>
            <w:r w:rsidR="00A525DB">
              <w:t>6</w:t>
            </w:r>
            <w:r w:rsidRPr="00C23990">
              <w:t> million, whereas the Centre for Population projects 4</w:t>
            </w:r>
            <w:r w:rsidR="00065EF4">
              <w:t>1</w:t>
            </w:r>
            <w:r w:rsidRPr="00C23990">
              <w:t>.</w:t>
            </w:r>
            <w:r w:rsidR="00065EF4">
              <w:t>2</w:t>
            </w:r>
            <w:r w:rsidRPr="00C23990">
              <w:t> million.</w:t>
            </w:r>
          </w:p>
          <w:p w14:paraId="590ECAF1" w14:textId="4A76D43C" w:rsidR="00D9259F" w:rsidRPr="00C23990" w:rsidRDefault="00D9259F" w:rsidP="00C23990">
            <w:pPr>
              <w:pStyle w:val="BoxText"/>
            </w:pPr>
            <w:r w:rsidRPr="00C23990">
              <w:t xml:space="preserve">Although both the UN and the Centre forecast slowing Australian population growth over time, there is a large difference between the projections. The largest difference is in 2023–24, </w:t>
            </w:r>
            <w:r w:rsidR="009E0FC9">
              <w:t>for which</w:t>
            </w:r>
            <w:r w:rsidR="009E0FC9" w:rsidRPr="00C23990">
              <w:t xml:space="preserve"> </w:t>
            </w:r>
            <w:r w:rsidRPr="00C23990">
              <w:t>the UN</w:t>
            </w:r>
            <w:r w:rsidR="00050D25">
              <w:t>’</w:t>
            </w:r>
            <w:r w:rsidRPr="00C23990">
              <w:t>s projected annual growth is half the Centre</w:t>
            </w:r>
            <w:r w:rsidR="00050D25">
              <w:t>’</w:t>
            </w:r>
            <w:r w:rsidRPr="00C23990">
              <w:t>s projection (1.0</w:t>
            </w:r>
            <w:r w:rsidR="00FF207F">
              <w:t> per cent</w:t>
            </w:r>
            <w:r w:rsidRPr="00C23990">
              <w:t xml:space="preserve"> and 2.</w:t>
            </w:r>
            <w:r w:rsidR="00F4554B">
              <w:t>1</w:t>
            </w:r>
            <w:r w:rsidR="00FF207F">
              <w:t> per cent</w:t>
            </w:r>
            <w:r w:rsidRPr="00C23990">
              <w:t>). The difference narrows over time with the UN and the Centre projecting 0.6</w:t>
            </w:r>
            <w:r w:rsidR="00445214">
              <w:t xml:space="preserve"> and 0.8</w:t>
            </w:r>
            <w:r w:rsidR="00FF207F">
              <w:t> per cent</w:t>
            </w:r>
            <w:r w:rsidRPr="00C23990">
              <w:t xml:space="preserve"> growth by 2064–65 (</w:t>
            </w:r>
            <w:r w:rsidRPr="00C23990">
              <w:fldChar w:fldCharType="begin"/>
            </w:r>
            <w:r w:rsidRPr="00C23990">
              <w:instrText xml:space="preserve"> REF _Ref181180815 \r \h </w:instrText>
            </w:r>
            <w:r w:rsidR="00C23990">
              <w:instrText xml:space="preserve"> \* MERGEFORMAT </w:instrText>
            </w:r>
            <w:r w:rsidRPr="00C23990">
              <w:fldChar w:fldCharType="separate"/>
            </w:r>
            <w:r w:rsidR="00050D25">
              <w:t>Chart 6</w:t>
            </w:r>
            <w:r w:rsidRPr="00C23990">
              <w:fldChar w:fldCharType="end"/>
            </w:r>
            <w:r w:rsidRPr="00C23990">
              <w:t>).</w:t>
            </w:r>
          </w:p>
          <w:p w14:paraId="278C6348" w14:textId="0B61C755" w:rsidR="00D9259F" w:rsidRDefault="00D9259F" w:rsidP="00C23990">
            <w:pPr>
              <w:pStyle w:val="BoxText"/>
            </w:pPr>
            <w:r w:rsidRPr="00C23990">
              <w:t xml:space="preserve">The main difference between the projections is the </w:t>
            </w:r>
            <w:r w:rsidR="00BD4DE6">
              <w:t>NOM</w:t>
            </w:r>
            <w:r w:rsidRPr="00C23990">
              <w:t xml:space="preserve"> assumptions. The UN assumes </w:t>
            </w:r>
            <w:r w:rsidR="00BD4DE6">
              <w:t>NOM</w:t>
            </w:r>
            <w:r w:rsidRPr="00C23990">
              <w:t xml:space="preserve"> will gradually increase over the projection period</w:t>
            </w:r>
            <w:r w:rsidR="002719F8">
              <w:t>,</w:t>
            </w:r>
            <w:r w:rsidRPr="00C23990" w:rsidDel="002719F8">
              <w:t xml:space="preserve"> </w:t>
            </w:r>
            <w:r w:rsidRPr="00C23990">
              <w:t xml:space="preserve">from 139,000 to 174,000. </w:t>
            </w:r>
            <w:r w:rsidR="004C5E10" w:rsidRPr="00C23990">
              <w:t>This assumption corresponds to the average level observed between 1994–95 and 2014</w:t>
            </w:r>
            <w:r w:rsidR="004C5E10" w:rsidRPr="00FE68EA">
              <w:rPr>
                <w:rFonts w:ascii="Calibri" w:eastAsia="Calibri" w:hAnsi="Calibri" w:cs="Calibri"/>
              </w:rPr>
              <w:t>–</w:t>
            </w:r>
            <w:r w:rsidR="004C5E10">
              <w:t>15.</w:t>
            </w:r>
            <w:r w:rsidRPr="00C23990">
              <w:t xml:space="preserve"> By comparison, the Centre for Population uses a long</w:t>
            </w:r>
            <w:r w:rsidR="00050D25">
              <w:noBreakHyphen/>
            </w:r>
            <w:r w:rsidRPr="00C23990">
              <w:t>term migration assumption of 235,000 (Appendix</w:t>
            </w:r>
            <w:r w:rsidR="008E0911">
              <w:t xml:space="preserve"> – Section </w:t>
            </w:r>
            <w:r w:rsidR="008E0911">
              <w:fldChar w:fldCharType="begin"/>
            </w:r>
            <w:r w:rsidR="008E0911">
              <w:instrText xml:space="preserve"> REF _Ref184646542 \r \h </w:instrText>
            </w:r>
            <w:r w:rsidR="0095584C">
              <w:instrText xml:space="preserve"> \* MERGEFORMAT </w:instrText>
            </w:r>
            <w:r w:rsidR="008E0911">
              <w:fldChar w:fldCharType="separate"/>
            </w:r>
            <w:r w:rsidR="00050D25">
              <w:t>3.1.1</w:t>
            </w:r>
            <w:r w:rsidR="008E0911">
              <w:fldChar w:fldCharType="end"/>
            </w:r>
            <w:r w:rsidRPr="00C23990">
              <w:t xml:space="preserve">). </w:t>
            </w:r>
          </w:p>
          <w:p w14:paraId="4FC991EE" w14:textId="751EDDAE" w:rsidR="00D9259F" w:rsidRDefault="00D9259F" w:rsidP="00654915">
            <w:pPr>
              <w:pStyle w:val="ChartMainHeading"/>
            </w:pPr>
            <w:bookmarkStart w:id="75" w:name="_Ref181180815"/>
            <w:r>
              <w:t xml:space="preserve">Australian population growth, </w:t>
            </w:r>
            <w:proofErr w:type="gramStart"/>
            <w:r>
              <w:t>UN</w:t>
            </w:r>
            <w:proofErr w:type="gramEnd"/>
            <w:r>
              <w:t xml:space="preserve"> and Population Statement comparison </w:t>
            </w:r>
            <w:bookmarkEnd w:id="75"/>
          </w:p>
          <w:p w14:paraId="4D6A0307" w14:textId="4C9CF1CD" w:rsidR="00F45D55" w:rsidRPr="00CE3770" w:rsidRDefault="00384F83" w:rsidP="00CE3770">
            <w:pPr>
              <w:pStyle w:val="ChartGraphic"/>
            </w:pPr>
            <w:r w:rsidRPr="00CE3770">
              <w:rPr>
                <w:noProof/>
              </w:rPr>
              <w:drawing>
                <wp:inline distT="0" distB="0" distL="0" distR="0" wp14:anchorId="079E3165" wp14:editId="490DBB7F">
                  <wp:extent cx="5581015" cy="2889885"/>
                  <wp:effectExtent l="0" t="0" r="0" b="0"/>
                  <wp:docPr id="1086256026" name="Picture 1086256026" descr="This chart shows the national population growth estimates and forecasts comparisons between the Centre for Population and the 2024 United Nations projections between 1984–85 and 2064–65. Both the Centre and the UN forecast slowing population growth over time, with the Centre forecasting higher growth over the period. The largest difference between the projections is 2023–24 where the Centre expects growth to be over 2 per cent, while the UN projects growth of around 1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56026" name="Picture 1086256026" descr="This chart shows the national population growth estimates and forecasts comparisons between the Centre for Population and the 2024 United Nations projections between 1984–85 and 2064–65. Both the Centre and the UN forecast slowing population growth over time, with the Centre forecasting higher growth over the period. The largest difference between the projections is 2023–24 where the Centre expects growth to be over 2 per cent, while the UN projects growth of around 1 per cen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2889885"/>
                          </a:xfrm>
                          <a:prstGeom prst="rect">
                            <a:avLst/>
                          </a:prstGeom>
                          <a:noFill/>
                          <a:ln>
                            <a:noFill/>
                          </a:ln>
                        </pic:spPr>
                      </pic:pic>
                    </a:graphicData>
                  </a:graphic>
                </wp:inline>
              </w:drawing>
            </w:r>
          </w:p>
          <w:p w14:paraId="52867551" w14:textId="2E891C1B" w:rsidR="00D9259F" w:rsidRDefault="00D9259F" w:rsidP="00916EF2">
            <w:pPr>
              <w:pStyle w:val="Source"/>
            </w:pPr>
            <w:r>
              <w:t>Source:</w:t>
            </w:r>
            <w:r>
              <w:tab/>
              <w:t xml:space="preserve">ABS, </w:t>
            </w:r>
            <w:r w:rsidRPr="00CE3770">
              <w:rPr>
                <w:rStyle w:val="SubtleEmphasis"/>
              </w:rPr>
              <w:t>National, state and territory population</w:t>
            </w:r>
            <w:r w:rsidRPr="0037128E">
              <w:rPr>
                <w:i/>
              </w:rPr>
              <w:t>, March 2024</w:t>
            </w:r>
            <w:r>
              <w:t>; United Nations</w:t>
            </w:r>
            <w:r w:rsidR="00986A5F">
              <w:t>,</w:t>
            </w:r>
            <w:r>
              <w:t xml:space="preserve"> </w:t>
            </w:r>
            <w:r w:rsidRPr="0037128E">
              <w:rPr>
                <w:i/>
              </w:rPr>
              <w:t>World Population Prospects 2024</w:t>
            </w:r>
            <w:r w:rsidR="008A1EEF">
              <w:t>; and Centre for Population</w:t>
            </w:r>
            <w:r>
              <w:t>.</w:t>
            </w:r>
          </w:p>
          <w:p w14:paraId="6F84A12F" w14:textId="77777777" w:rsidR="006A24B8" w:rsidRDefault="006A24B8" w:rsidP="006A24B8">
            <w:pPr>
              <w:pStyle w:val="SingleParagraph"/>
            </w:pPr>
          </w:p>
          <w:p w14:paraId="0B4F920D" w14:textId="78585367" w:rsidR="00D9259F" w:rsidRDefault="00D9259F" w:rsidP="00CE3770">
            <w:pPr>
              <w:pStyle w:val="BoxText"/>
            </w:pPr>
            <w:r>
              <w:t xml:space="preserve">Due to the higher projected </w:t>
            </w:r>
            <w:r w:rsidR="00BD4DE6">
              <w:t>NOM</w:t>
            </w:r>
            <w:r>
              <w:t>, the Centre for Population also expects a larger young adult population in Australia which results in 70,000 more births per year by 2064</w:t>
            </w:r>
            <w:r w:rsidRPr="00FE68EA">
              <w:rPr>
                <w:rFonts w:ascii="Calibri" w:eastAsia="Calibri" w:hAnsi="Calibri" w:cs="Calibri"/>
              </w:rPr>
              <w:t>–</w:t>
            </w:r>
            <w:r>
              <w:t>65</w:t>
            </w:r>
            <w:r w:rsidR="00EB2DA6">
              <w:t>. This is</w:t>
            </w:r>
            <w:r>
              <w:t xml:space="preserve"> despite the UN assuming broadly the same total fertility rate </w:t>
            </w:r>
            <w:r w:rsidDel="007710A4">
              <w:t>(1.6 from 2025</w:t>
            </w:r>
            <w:r w:rsidRPr="00FE68EA" w:rsidDel="007710A4">
              <w:rPr>
                <w:rFonts w:ascii="Calibri" w:eastAsia="Calibri" w:hAnsi="Calibri" w:cs="Calibri"/>
              </w:rPr>
              <w:t>–</w:t>
            </w:r>
            <w:r w:rsidDel="007710A4">
              <w:t>26 onwards)</w:t>
            </w:r>
            <w:r w:rsidDel="005029DD">
              <w:t xml:space="preserve"> </w:t>
            </w:r>
            <w:r>
              <w:t>as the Centre</w:t>
            </w:r>
            <w:r w:rsidDel="00C06917">
              <w:t>.</w:t>
            </w:r>
          </w:p>
          <w:p w14:paraId="06A2BD3D" w14:textId="7AB85992" w:rsidR="00D9259F" w:rsidRPr="00DE55D4" w:rsidRDefault="00D9259F" w:rsidP="00CE3770">
            <w:pPr>
              <w:pStyle w:val="BoxText"/>
              <w:rPr>
                <w:i/>
              </w:rPr>
            </w:pPr>
            <w:r>
              <w:t xml:space="preserve">A recent </w:t>
            </w:r>
            <w:r w:rsidRPr="00CE3770">
              <w:rPr>
                <w:rStyle w:val="SubtleEmphasis"/>
              </w:rPr>
              <w:t>Lancet</w:t>
            </w:r>
            <w:r>
              <w:t xml:space="preserve"> article projected lower total fertility rates for Australia than both the UN </w:t>
            </w:r>
            <w:r w:rsidDel="00886D38">
              <w:t>and the Centre.</w:t>
            </w:r>
            <w:r>
              <w:rPr>
                <w:rStyle w:val="FootnoteReference"/>
              </w:rPr>
              <w:footnoteReference w:id="4"/>
            </w:r>
            <w:r>
              <w:t xml:space="preserve"> The </w:t>
            </w:r>
            <w:r w:rsidRPr="003914B2">
              <w:rPr>
                <w:i/>
              </w:rPr>
              <w:t>Lancet</w:t>
            </w:r>
            <w:r>
              <w:t xml:space="preserve"> article predicts fertility will fall to 1.45 babies per woman by 2050, compared to 1.62 in the Centre</w:t>
            </w:r>
            <w:r w:rsidR="00050D25">
              <w:t>’</w:t>
            </w:r>
            <w:r>
              <w:t>s long</w:t>
            </w:r>
            <w:r w:rsidR="00050D25">
              <w:noBreakHyphen/>
            </w:r>
            <w:r>
              <w:t>run forecast (from 2031</w:t>
            </w:r>
            <w:r w:rsidRPr="00FE68EA">
              <w:rPr>
                <w:rFonts w:ascii="Calibri" w:eastAsia="Calibri" w:hAnsi="Calibri" w:cs="Calibri"/>
              </w:rPr>
              <w:t>–</w:t>
            </w:r>
            <w:r>
              <w:t>32 onwards). The article does not describe the specific factors behind its projection for Australia, but attributes the global</w:t>
            </w:r>
            <w:r w:rsidR="00E70925">
              <w:t xml:space="preserve"> fertility</w:t>
            </w:r>
            <w:r>
              <w:t xml:space="preserve"> decline to contraceptive use, higher education attainment, declining child mortality rates, and population size in habitable areas. </w:t>
            </w:r>
          </w:p>
        </w:tc>
      </w:tr>
    </w:tbl>
    <w:p w14:paraId="5212D32A" w14:textId="77777777" w:rsidR="00014F7B" w:rsidRDefault="00014F7B">
      <w:pPr>
        <w:spacing w:before="0" w:after="160" w:line="259" w:lineRule="auto"/>
        <w:rPr>
          <w:b/>
          <w:smallCaps/>
          <w:color w:val="002C47" w:themeColor="accent1"/>
          <w:spacing w:val="15"/>
        </w:rPr>
      </w:pPr>
      <w:bookmarkStart w:id="76" w:name="_Toc180584516"/>
      <w:r>
        <w:br w:type="page"/>
      </w:r>
    </w:p>
    <w:p w14:paraId="5B795942" w14:textId="061E4391" w:rsidR="000D06A9" w:rsidRDefault="000D06A9" w:rsidP="000D06A9">
      <w:pPr>
        <w:pStyle w:val="Heading3Numbered"/>
      </w:pPr>
      <w:r>
        <w:lastRenderedPageBreak/>
        <w:t>First Nations population</w:t>
      </w:r>
    </w:p>
    <w:p w14:paraId="59621B5B" w14:textId="15B0B79F" w:rsidR="000D06A9" w:rsidRDefault="000D06A9" w:rsidP="000D06A9">
      <w:r>
        <w:t>According to the 2021 Census</w:t>
      </w:r>
      <w:r w:rsidR="00050D25">
        <w:noBreakHyphen/>
      </w:r>
      <w:r>
        <w:t xml:space="preserve">based estimated resident population, there were 984,000 First Nations </w:t>
      </w:r>
      <w:r w:rsidR="00FF4CCB">
        <w:t>people</w:t>
      </w:r>
      <w:r>
        <w:t>, representing 3.8 per cent of the total Australian population</w:t>
      </w:r>
      <w:r w:rsidR="004C7CBA">
        <w:t>.</w:t>
      </w:r>
      <w:r w:rsidR="00EF4331">
        <w:rPr>
          <w:rStyle w:val="FootnoteReference"/>
        </w:rPr>
        <w:footnoteReference w:id="5"/>
      </w:r>
      <w:r>
        <w:t xml:space="preserve"> Of these</w:t>
      </w:r>
      <w:r w:rsidRPr="005E1DCA">
        <w:t>, 41</w:t>
      </w:r>
      <w:r>
        <w:t> per cent</w:t>
      </w:r>
      <w:r w:rsidRPr="005E1DCA">
        <w:t xml:space="preserve"> lived in major cities, </w:t>
      </w:r>
      <w:r>
        <w:t>4</w:t>
      </w:r>
      <w:r w:rsidRPr="005E1DCA">
        <w:t>4</w:t>
      </w:r>
      <w:r>
        <w:t> per cent</w:t>
      </w:r>
      <w:r w:rsidRPr="005E1DCA">
        <w:t xml:space="preserve"> in regional areas, and </w:t>
      </w:r>
      <w:r w:rsidRPr="005E1DCA" w:rsidDel="00F9152C">
        <w:t>15</w:t>
      </w:r>
      <w:r>
        <w:t> per cent i</w:t>
      </w:r>
      <w:r w:rsidRPr="005E1DCA">
        <w:t xml:space="preserve">n remote areas. </w:t>
      </w:r>
      <w:r>
        <w:t>By comparison,</w:t>
      </w:r>
      <w:r w:rsidRPr="005E1DCA">
        <w:t xml:space="preserve"> 26</w:t>
      </w:r>
      <w:r>
        <w:t> per cent</w:t>
      </w:r>
      <w:r w:rsidRPr="005E1DCA">
        <w:t xml:space="preserve"> of the </w:t>
      </w:r>
      <w:r>
        <w:t>total Australian</w:t>
      </w:r>
      <w:r w:rsidRPr="005E1DCA">
        <w:t xml:space="preserve"> population </w:t>
      </w:r>
      <w:r>
        <w:t xml:space="preserve">lives </w:t>
      </w:r>
      <w:r w:rsidRPr="005E1DCA">
        <w:t>in regional areas, and just 2</w:t>
      </w:r>
      <w:r>
        <w:t> per cent</w:t>
      </w:r>
      <w:r w:rsidRPr="005E1DCA">
        <w:t xml:space="preserve"> in remote areas</w:t>
      </w:r>
      <w:r w:rsidR="0003207F">
        <w:t>.</w:t>
      </w:r>
      <w:r w:rsidR="00A4088A">
        <w:rPr>
          <w:rStyle w:val="FootnoteReference"/>
        </w:rPr>
        <w:footnoteReference w:id="6"/>
      </w:r>
      <w:r>
        <w:t xml:space="preserve"> However, it has been difficult to measure </w:t>
      </w:r>
      <w:r>
        <w:rPr>
          <w:rFonts w:eastAsiaTheme="minorHAnsi"/>
        </w:rPr>
        <w:t>First Nations</w:t>
      </w:r>
      <w:r w:rsidRPr="00182E70">
        <w:rPr>
          <w:rFonts w:eastAsiaTheme="minorHAnsi"/>
        </w:rPr>
        <w:t xml:space="preserve"> populations due to undercounting</w:t>
      </w:r>
      <w:r w:rsidRPr="00182E70" w:rsidDel="00A63CB0">
        <w:rPr>
          <w:rFonts w:eastAsiaTheme="minorHAnsi"/>
        </w:rPr>
        <w:t xml:space="preserve"> in </w:t>
      </w:r>
      <w:r>
        <w:rPr>
          <w:rFonts w:eastAsiaTheme="minorHAnsi"/>
        </w:rPr>
        <w:t>r</w:t>
      </w:r>
      <w:r w:rsidRPr="00182E70">
        <w:rPr>
          <w:rFonts w:eastAsiaTheme="minorHAnsi"/>
        </w:rPr>
        <w:t>emote Australia</w:t>
      </w:r>
      <w:r>
        <w:rPr>
          <w:rFonts w:eastAsiaTheme="minorHAnsi"/>
        </w:rPr>
        <w:t xml:space="preserve">, and </w:t>
      </w:r>
      <w:r w:rsidRPr="000A5F4B">
        <w:t xml:space="preserve">people </w:t>
      </w:r>
      <w:r>
        <w:t>identifying their First Nations background in the Census where they previously had not (which is termed identification change)</w:t>
      </w:r>
      <w:r w:rsidRPr="007669C9">
        <w:t>.</w:t>
      </w:r>
      <w:r>
        <w:t xml:space="preserve"> </w:t>
      </w:r>
    </w:p>
    <w:p w14:paraId="23C05EDB" w14:textId="18B93045" w:rsidR="000D06A9" w:rsidRDefault="000D06A9" w:rsidP="000D06A9">
      <w:r>
        <w:t>The First Nations population generally grows faster than the total population. Between 20</w:t>
      </w:r>
      <w:r w:rsidR="007907E2">
        <w:t>10–</w:t>
      </w:r>
      <w:r>
        <w:t>11 and 20</w:t>
      </w:r>
      <w:r w:rsidR="007907E2">
        <w:t>20</w:t>
      </w:r>
      <w:r w:rsidR="001339E1">
        <w:t>‍</w:t>
      </w:r>
      <w:r w:rsidR="007907E2">
        <w:t>–</w:t>
      </w:r>
      <w:r w:rsidR="001339E1">
        <w:t>‍</w:t>
      </w:r>
      <w:r>
        <w:t>2</w:t>
      </w:r>
      <w:r w:rsidR="00D00771">
        <w:t>1</w:t>
      </w:r>
      <w:r>
        <w:t>, the First Nations population grew at an annual rate of 2.0 per cent, above the total Australian rate of 1.4 per cent (</w:t>
      </w:r>
      <w:r w:rsidR="00926D13">
        <w:fldChar w:fldCharType="begin"/>
      </w:r>
      <w:r w:rsidR="00926D13">
        <w:instrText xml:space="preserve"> REF _Ref184655246 \r \h </w:instrText>
      </w:r>
      <w:r w:rsidR="00926D13">
        <w:fldChar w:fldCharType="separate"/>
      </w:r>
      <w:r w:rsidR="00050D25">
        <w:t>Chart 7</w:t>
      </w:r>
      <w:r w:rsidR="00926D13">
        <w:fldChar w:fldCharType="end"/>
      </w:r>
      <w:r w:rsidRPr="00497AE0">
        <w:t>).</w:t>
      </w:r>
      <w:r>
        <w:t xml:space="preserve"> </w:t>
      </w:r>
      <w:r w:rsidDel="006D06EC">
        <w:t>While Australia</w:t>
      </w:r>
      <w:r w:rsidR="00050D25">
        <w:t>’</w:t>
      </w:r>
      <w:r w:rsidDel="006D06EC">
        <w:t>s population</w:t>
      </w:r>
      <w:r w:rsidRPr="00EA7EE7">
        <w:t xml:space="preserve"> growth </w:t>
      </w:r>
      <w:r w:rsidDel="006D06EC">
        <w:t xml:space="preserve">is </w:t>
      </w:r>
      <w:r>
        <w:t>mostly affected by</w:t>
      </w:r>
      <w:r w:rsidDel="006D06EC">
        <w:t xml:space="preserve"> fluctuations in overseas migration, the </w:t>
      </w:r>
      <w:r>
        <w:t>First Nations</w:t>
      </w:r>
      <w:r w:rsidDel="006D06EC">
        <w:t xml:space="preserve"> population </w:t>
      </w:r>
      <w:r>
        <w:t>grows</w:t>
      </w:r>
      <w:r w:rsidDel="006D06EC">
        <w:t xml:space="preserve"> through </w:t>
      </w:r>
      <w:r>
        <w:t xml:space="preserve">strong </w:t>
      </w:r>
      <w:r w:rsidDel="006D06EC">
        <w:t xml:space="preserve">natural increase and </w:t>
      </w:r>
      <w:r>
        <w:t>non</w:t>
      </w:r>
      <w:r w:rsidR="00050D25">
        <w:noBreakHyphen/>
      </w:r>
      <w:r>
        <w:t>demographic factors such as more Australians identifying as First Nations, and changes in Census coverage and response</w:t>
      </w:r>
      <w:r w:rsidDel="006D06EC">
        <w:t>.</w:t>
      </w:r>
      <w:r>
        <w:t xml:space="preserve"> These non</w:t>
      </w:r>
      <w:r w:rsidR="00050D25">
        <w:noBreakHyphen/>
      </w:r>
      <w:r>
        <w:t xml:space="preserve">demographic factors accounted for </w:t>
      </w:r>
      <w:r w:rsidDel="00F234BF">
        <w:t>39</w:t>
      </w:r>
      <w:r>
        <w:t xml:space="preserve"> per cent of </w:t>
      </w:r>
      <w:r w:rsidDel="007C0B09">
        <w:t xml:space="preserve">the </w:t>
      </w:r>
      <w:r>
        <w:t>observed First Nations population</w:t>
      </w:r>
      <w:r w:rsidDel="00F23CE8">
        <w:t xml:space="preserve"> </w:t>
      </w:r>
      <w:r>
        <w:t>growth between the 2011 and 2016</w:t>
      </w:r>
      <w:r w:rsidR="00036DC7">
        <w:t> </w:t>
      </w:r>
      <w:r>
        <w:t>Census</w:t>
      </w:r>
      <w:r w:rsidR="00A24587">
        <w:t>es</w:t>
      </w:r>
      <w:r>
        <w:t>, and 57 per cent of growth between the 2016 and 2021 Census</w:t>
      </w:r>
      <w:r w:rsidR="00A24587">
        <w:t>es</w:t>
      </w:r>
      <w:r>
        <w:t>.</w:t>
      </w:r>
      <w:r w:rsidDel="00DD5B54">
        <w:t xml:space="preserve"> </w:t>
      </w:r>
    </w:p>
    <w:p w14:paraId="7A0998CB" w14:textId="69E062D3" w:rsidR="000D06A9" w:rsidRDefault="000D06A9" w:rsidP="000D06A9">
      <w:r w:rsidRPr="00336ACD">
        <w:t xml:space="preserve">The ABS </w:t>
      </w:r>
      <w:r>
        <w:t>produces First Nations</w:t>
      </w:r>
      <w:r w:rsidRPr="00336ACD">
        <w:t xml:space="preserve"> population</w:t>
      </w:r>
      <w:r>
        <w:t xml:space="preserve"> projections every</w:t>
      </w:r>
      <w:r w:rsidRPr="00336ACD">
        <w:t xml:space="preserve"> 5</w:t>
      </w:r>
      <w:r>
        <w:t> </w:t>
      </w:r>
      <w:r w:rsidRPr="00336ACD">
        <w:t>years</w:t>
      </w:r>
      <w:r w:rsidRPr="000933E8">
        <w:t>.</w:t>
      </w:r>
      <w:r w:rsidRPr="00336ACD">
        <w:t xml:space="preserve"> </w:t>
      </w:r>
      <w:r>
        <w:t xml:space="preserve">The most recent </w:t>
      </w:r>
      <w:r w:rsidRPr="00336ACD">
        <w:t>ABS projections</w:t>
      </w:r>
      <w:r>
        <w:t xml:space="preserve"> suggest that</w:t>
      </w:r>
      <w:r w:rsidRPr="00336ACD">
        <w:t xml:space="preserve"> the </w:t>
      </w:r>
      <w:r>
        <w:t>First Nations</w:t>
      </w:r>
      <w:r w:rsidRPr="00336ACD">
        <w:t xml:space="preserve"> population is now over 1</w:t>
      </w:r>
      <w:r>
        <w:t> million and is expected to reach</w:t>
      </w:r>
      <w:r w:rsidRPr="00336ACD">
        <w:t xml:space="preserve"> 1.2</w:t>
      </w:r>
      <w:r>
        <w:t> million</w:t>
      </w:r>
      <w:r w:rsidRPr="00336ACD">
        <w:t xml:space="preserve"> by 20</w:t>
      </w:r>
      <w:r w:rsidR="007907E2">
        <w:t>30–</w:t>
      </w:r>
      <w:r w:rsidRPr="00336ACD">
        <w:t>31</w:t>
      </w:r>
      <w:r>
        <w:t>.</w:t>
      </w:r>
      <w:r>
        <w:rPr>
          <w:rStyle w:val="FootnoteReference"/>
        </w:rPr>
        <w:footnoteReference w:id="7"/>
      </w:r>
      <w:r>
        <w:t xml:space="preserve"> The ABS is project</w:t>
      </w:r>
      <w:r w:rsidDel="00F41359">
        <w:t>ing</w:t>
      </w:r>
      <w:r>
        <w:t xml:space="preserve"> that higher fertility</w:t>
      </w:r>
      <w:r w:rsidR="00E2007D">
        <w:t xml:space="preserve"> rates</w:t>
      </w:r>
      <w:r>
        <w:t>, relative to non</w:t>
      </w:r>
      <w:r w:rsidR="00050D25">
        <w:noBreakHyphen/>
      </w:r>
      <w:r>
        <w:t xml:space="preserve">Indigenous Australians, will drive </w:t>
      </w:r>
      <w:r w:rsidR="001F166F">
        <w:t>the</w:t>
      </w:r>
      <w:r>
        <w:t xml:space="preserve"> First Nations population</w:t>
      </w:r>
      <w:r w:rsidRPr="00EA7EE7">
        <w:t xml:space="preserve"> </w:t>
      </w:r>
      <w:r>
        <w:t xml:space="preserve">to </w:t>
      </w:r>
      <w:r w:rsidR="006E0EC4">
        <w:t>grow faster than the total Australian population to 20</w:t>
      </w:r>
      <w:r w:rsidR="007907E2">
        <w:t>30–</w:t>
      </w:r>
      <w:r w:rsidR="006E0EC4">
        <w:t>31</w:t>
      </w:r>
      <w:r w:rsidR="007907E2">
        <w:t xml:space="preserve"> </w:t>
      </w:r>
      <w:r w:rsidR="00701AE4">
        <w:t>(</w:t>
      </w:r>
      <w:r w:rsidR="001B7EEE">
        <w:t xml:space="preserve">averaging </w:t>
      </w:r>
      <w:r w:rsidR="00701AE4">
        <w:t xml:space="preserve">1.8 </w:t>
      </w:r>
      <w:r w:rsidR="00A17588">
        <w:t xml:space="preserve">and </w:t>
      </w:r>
      <w:r w:rsidR="003746A8">
        <w:t>1</w:t>
      </w:r>
      <w:r w:rsidR="00A17588">
        <w:t>.</w:t>
      </w:r>
      <w:r w:rsidR="003746A8">
        <w:t>4</w:t>
      </w:r>
      <w:r w:rsidR="00A17588">
        <w:t xml:space="preserve"> per cent respectively)</w:t>
      </w:r>
      <w:r w:rsidR="0003207F">
        <w:t>.</w:t>
      </w:r>
      <w:r w:rsidR="00751003">
        <w:rPr>
          <w:rStyle w:val="FootnoteReference"/>
        </w:rPr>
        <w:footnoteReference w:id="8"/>
      </w:r>
      <w:r w:rsidRPr="00142C73">
        <w:rPr>
          <w:rStyle w:val="cf01"/>
          <w:rFonts w:asciiTheme="minorHAnsi" w:hAnsiTheme="minorHAnsi" w:cstheme="minorHAnsi"/>
          <w:sz w:val="20"/>
          <w:szCs w:val="20"/>
        </w:rPr>
        <w:t xml:space="preserve"> The</w:t>
      </w:r>
      <w:r>
        <w:rPr>
          <w:rStyle w:val="cf01"/>
          <w:rFonts w:asciiTheme="minorHAnsi" w:hAnsiTheme="minorHAnsi" w:cstheme="minorHAnsi"/>
          <w:sz w:val="20"/>
          <w:szCs w:val="20"/>
        </w:rPr>
        <w:t xml:space="preserve"> current</w:t>
      </w:r>
      <w:r w:rsidRPr="00142C73">
        <w:rPr>
          <w:rStyle w:val="cf01"/>
          <w:rFonts w:asciiTheme="minorHAnsi" w:hAnsiTheme="minorHAnsi" w:cstheme="minorHAnsi"/>
          <w:sz w:val="20"/>
          <w:szCs w:val="20"/>
        </w:rPr>
        <w:t xml:space="preserve"> ABS projections assume no identification change</w:t>
      </w:r>
      <w:r>
        <w:rPr>
          <w:rStyle w:val="cf01"/>
          <w:rFonts w:asciiTheme="minorHAnsi" w:hAnsiTheme="minorHAnsi" w:cstheme="minorHAnsi"/>
          <w:sz w:val="20"/>
          <w:szCs w:val="20"/>
        </w:rPr>
        <w:t>, only demographic change</w:t>
      </w:r>
      <w:r>
        <w:t>, which</w:t>
      </w:r>
      <w:r>
        <w:rPr>
          <w:rStyle w:val="cf01"/>
          <w:rFonts w:asciiTheme="minorHAnsi" w:hAnsiTheme="minorHAnsi" w:cstheme="minorHAnsi"/>
          <w:sz w:val="20"/>
          <w:szCs w:val="20"/>
        </w:rPr>
        <w:t xml:space="preserve"> represents some upside risk to the projected growth in the First Nations population</w:t>
      </w:r>
      <w:r>
        <w:t xml:space="preserve">. In the first half of 2025, the ABS </w:t>
      </w:r>
      <w:r w:rsidR="00A801B6">
        <w:t>will</w:t>
      </w:r>
      <w:r>
        <w:t xml:space="preserve"> release an additional projection series including an identification change assumption. </w:t>
      </w:r>
    </w:p>
    <w:p w14:paraId="5D37AA64" w14:textId="77777777" w:rsidR="000D06A9" w:rsidRPr="00EF0C31" w:rsidRDefault="000D06A9" w:rsidP="00654915">
      <w:pPr>
        <w:pStyle w:val="ChartMainHeading"/>
      </w:pPr>
      <w:bookmarkStart w:id="77" w:name="_Ref184655246"/>
      <w:bookmarkStart w:id="78" w:name="_Ref184655350"/>
      <w:r>
        <w:lastRenderedPageBreak/>
        <w:t>First nations</w:t>
      </w:r>
      <w:r w:rsidRPr="00EF0C31">
        <w:t xml:space="preserve"> </w:t>
      </w:r>
      <w:r>
        <w:t xml:space="preserve">population </w:t>
      </w:r>
      <w:r w:rsidRPr="00EF0C31">
        <w:t>growth</w:t>
      </w:r>
      <w:bookmarkEnd w:id="77"/>
      <w:bookmarkEnd w:id="78"/>
      <w:r w:rsidRPr="00EF0C31">
        <w:t xml:space="preserve"> </w:t>
      </w:r>
    </w:p>
    <w:p w14:paraId="1729CC1D" w14:textId="00B80C58" w:rsidR="000108A9" w:rsidRPr="000108A9" w:rsidRDefault="008E7E58" w:rsidP="006A24B8">
      <w:pPr>
        <w:pStyle w:val="ChartGraphic"/>
      </w:pPr>
      <w:r w:rsidRPr="008E7E58">
        <w:t xml:space="preserve"> </w:t>
      </w:r>
      <w:r w:rsidR="00B42B36" w:rsidRPr="00B42B36">
        <w:t xml:space="preserve"> </w:t>
      </w:r>
      <w:r w:rsidR="00B42B36" w:rsidRPr="00B42B36">
        <w:rPr>
          <w:noProof/>
        </w:rPr>
        <w:drawing>
          <wp:inline distT="0" distB="0" distL="0" distR="0" wp14:anchorId="04744610" wp14:editId="5D2E6AB5">
            <wp:extent cx="5581650" cy="2886075"/>
            <wp:effectExtent l="0" t="0" r="0" b="0"/>
            <wp:docPr id="1968489366" name="Picture 2" descr="This line chart shows First Nations and total Australian population growth rate from the years 2012–13 to 2030–31, actuals and projections. First Nations population growth experiences steady decline over time series, 2.3 per cent in 2012–13 to 1.8 per cent in 2030–31. The national population growth varies more significantly, with growth reaching a low of 0.1 per cent in 2020–21, a high of 2.0 per cent in 2022–23, and overall decline between the years 2022–23 to 20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89366" name="Picture 2" descr="This line chart shows First Nations and total Australian population growth rate from the years 2012–13 to 2030–31, actuals and projections. First Nations population growth experiences steady decline over time series, 2.3 per cent in 2012–13 to 1.8 per cent in 2030–31. The national population growth varies more significantly, with growth reaching a low of 0.1 per cent in 2020–21, a high of 2.0 per cent in 2022–23, and overall decline between the years 2022–23 to 2030–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37862023" w14:textId="7EB47DD3" w:rsidR="000D06A9" w:rsidRDefault="000D06A9" w:rsidP="000D06A9">
      <w:pPr>
        <w:pStyle w:val="Source"/>
      </w:pPr>
      <w:r w:rsidRPr="00187E58">
        <w:t xml:space="preserve">Source: </w:t>
      </w:r>
      <w:r>
        <w:tab/>
      </w:r>
      <w:r w:rsidRPr="00187E58">
        <w:t>ABS</w:t>
      </w:r>
      <w:r w:rsidRPr="0037128E">
        <w:rPr>
          <w:i/>
        </w:rPr>
        <w:t>, Estimates and Projections, Aboriginal and Torres Strait Islander Australians, 2011 to 2031</w:t>
      </w:r>
      <w:r>
        <w:t xml:space="preserve">; ABS, </w:t>
      </w:r>
      <w:r w:rsidRPr="0037128E">
        <w:rPr>
          <w:i/>
        </w:rPr>
        <w:t>Historical Population</w:t>
      </w:r>
      <w:r>
        <w:t xml:space="preserve">; and ABS, </w:t>
      </w:r>
      <w:r w:rsidRPr="0037128E">
        <w:rPr>
          <w:i/>
        </w:rPr>
        <w:t>Population Projections, Australia, 2022–2071</w:t>
      </w:r>
      <w:r>
        <w:t xml:space="preserve">. </w:t>
      </w:r>
    </w:p>
    <w:p w14:paraId="38BBFFA8" w14:textId="77777777" w:rsidR="006A24B8" w:rsidRDefault="006A24B8" w:rsidP="006A24B8">
      <w:pPr>
        <w:pStyle w:val="SingleParagraph"/>
      </w:pPr>
    </w:p>
    <w:p w14:paraId="2F8BA2AD" w14:textId="628253A9" w:rsidR="000D06A9" w:rsidRDefault="000D06A9" w:rsidP="000D06A9">
      <w:r>
        <w:t>There were 25,000 First Nations children born</w:t>
      </w:r>
      <w:r w:rsidDel="00C8230A">
        <w:t xml:space="preserve"> </w:t>
      </w:r>
      <w:r>
        <w:t>in 2023, an increase of 1.4 per cent from 2022</w:t>
      </w:r>
      <w:r w:rsidR="006A6D38">
        <w:t>.</w:t>
      </w:r>
      <w:r w:rsidR="00502FAD">
        <w:rPr>
          <w:rStyle w:val="FootnoteReference"/>
        </w:rPr>
        <w:footnoteReference w:id="9"/>
      </w:r>
      <w:r>
        <w:t xml:space="preserve"> The total fertility rate for First Nations women was 2.17 babies per woman, which</w:t>
      </w:r>
      <w:r w:rsidRPr="00A931F6">
        <w:t xml:space="preserve"> is </w:t>
      </w:r>
      <w:proofErr w:type="gramStart"/>
      <w:r>
        <w:t>similar to</w:t>
      </w:r>
      <w:proofErr w:type="gramEnd"/>
      <w:r w:rsidRPr="00A931F6">
        <w:t xml:space="preserve"> 2022 (2.16).</w:t>
      </w:r>
      <w:r>
        <w:t xml:space="preserve"> First Nations</w:t>
      </w:r>
      <w:r w:rsidRPr="00A931F6">
        <w:t xml:space="preserve"> women </w:t>
      </w:r>
      <w:r>
        <w:t>under the age of 30 years</w:t>
      </w:r>
      <w:r w:rsidRPr="00A931F6">
        <w:t xml:space="preserve"> have higher age</w:t>
      </w:r>
      <w:r w:rsidR="00050D25">
        <w:noBreakHyphen/>
      </w:r>
      <w:r w:rsidRPr="00A931F6">
        <w:t xml:space="preserve">specific fertility rates than </w:t>
      </w:r>
      <w:r>
        <w:t>non</w:t>
      </w:r>
      <w:r w:rsidR="00050D25">
        <w:noBreakHyphen/>
      </w:r>
      <w:r w:rsidR="00A801B6">
        <w:t>Indigenous</w:t>
      </w:r>
      <w:r w:rsidRPr="00A931F6">
        <w:t xml:space="preserve"> women, while those 30 and over have lower </w:t>
      </w:r>
      <w:r>
        <w:t>age</w:t>
      </w:r>
      <w:r w:rsidR="00050D25">
        <w:noBreakHyphen/>
      </w:r>
      <w:r>
        <w:t xml:space="preserve">specific </w:t>
      </w:r>
      <w:r w:rsidRPr="00A931F6">
        <w:t>fertility rates</w:t>
      </w:r>
      <w:r>
        <w:t xml:space="preserve"> than non</w:t>
      </w:r>
      <w:r w:rsidR="00050D25">
        <w:noBreakHyphen/>
      </w:r>
      <w:r w:rsidR="00A801B6">
        <w:t>Indigenous</w:t>
      </w:r>
      <w:r>
        <w:t xml:space="preserve"> women. </w:t>
      </w:r>
      <w:r w:rsidRPr="007260CD">
        <w:t>T</w:t>
      </w:r>
      <w:r>
        <w:t>he ABS projects the total fertility rate for First Nations women</w:t>
      </w:r>
      <w:r w:rsidDel="008273FF">
        <w:t xml:space="preserve"> </w:t>
      </w:r>
      <w:r>
        <w:t>will decline to 1.89 by 20</w:t>
      </w:r>
      <w:r w:rsidR="005C612E">
        <w:t>30–</w:t>
      </w:r>
      <w:r>
        <w:t>31</w:t>
      </w:r>
      <w:r w:rsidR="0012609D">
        <w:t>,</w:t>
      </w:r>
      <w:r w:rsidR="0064394E">
        <w:t xml:space="preserve"> remaining higher than </w:t>
      </w:r>
      <w:r w:rsidR="00550E84">
        <w:t xml:space="preserve">for </w:t>
      </w:r>
      <w:r w:rsidR="0064394E">
        <w:t>all Australian women.</w:t>
      </w:r>
      <w:r>
        <w:rPr>
          <w:rStyle w:val="FootnoteReference"/>
        </w:rPr>
        <w:footnoteReference w:id="10"/>
      </w:r>
      <w:r w:rsidR="005B72F2">
        <w:t xml:space="preserve"> </w:t>
      </w:r>
    </w:p>
    <w:p w14:paraId="1AEC9706" w14:textId="399580A2" w:rsidR="000D06A9" w:rsidRDefault="000D06A9" w:rsidP="000D06A9">
      <w:r>
        <w:t>However not all First Nations children are born to a First Nations mother. In 2022, 3</w:t>
      </w:r>
      <w:r w:rsidR="00FB1CBE">
        <w:t>1</w:t>
      </w:r>
      <w:r>
        <w:t> per cent of First Nations births occurred where only the father identified as a First Nations person.</w:t>
      </w:r>
      <w:r>
        <w:rPr>
          <w:rStyle w:val="FootnoteReference"/>
        </w:rPr>
        <w:footnoteReference w:id="11"/>
      </w:r>
      <w:r>
        <w:t xml:space="preserve"> As such, the ABS</w:t>
      </w:r>
      <w:r w:rsidR="00050D25">
        <w:t>’</w:t>
      </w:r>
      <w:r>
        <w:t>s First Nations population projections also consider the total paternity rate –</w:t>
      </w:r>
      <w:r w:rsidDel="007D7477">
        <w:t xml:space="preserve"> </w:t>
      </w:r>
      <w:r>
        <w:t>the average number of children born to a First Nations father where the mother</w:t>
      </w:r>
      <w:r w:rsidR="00050D25">
        <w:t>’</w:t>
      </w:r>
      <w:r>
        <w:t>s Indigenous Australian status is either non</w:t>
      </w:r>
      <w:r w:rsidR="00050D25">
        <w:noBreakHyphen/>
      </w:r>
      <w:r>
        <w:t>Indigenous or not stated. This differs from the fertility rate, which measures the birth rate for First Nations mothers, where fathers are either First Nations or non</w:t>
      </w:r>
      <w:r w:rsidR="00050D25">
        <w:noBreakHyphen/>
      </w:r>
      <w:r>
        <w:t xml:space="preserve">Indigenous. The ABS </w:t>
      </w:r>
      <w:r w:rsidR="00C73320">
        <w:t>assumes</w:t>
      </w:r>
      <w:r>
        <w:t xml:space="preserve"> a First Nations paternity rate of 1.03 births per father, based on the paternity rate for First Nations men between 20</w:t>
      </w:r>
      <w:r w:rsidR="008E5732">
        <w:t>10–</w:t>
      </w:r>
      <w:r>
        <w:t>11 and 20</w:t>
      </w:r>
      <w:r w:rsidR="008E5732">
        <w:t>21–</w:t>
      </w:r>
      <w:r>
        <w:t xml:space="preserve">22. </w:t>
      </w:r>
    </w:p>
    <w:p w14:paraId="2719109B" w14:textId="77777777" w:rsidR="001339E1" w:rsidRDefault="001339E1">
      <w:pPr>
        <w:spacing w:before="0" w:after="160" w:line="259" w:lineRule="auto"/>
      </w:pPr>
      <w:r>
        <w:br w:type="page"/>
      </w:r>
    </w:p>
    <w:p w14:paraId="016A824C" w14:textId="6A179E19" w:rsidR="000D06A9" w:rsidRDefault="000D06A9" w:rsidP="000D06A9">
      <w:r>
        <w:lastRenderedPageBreak/>
        <w:t>There is more to do to close the gap in life expectancy by 2031. For the 2020–22 period, First Nations life expectancy was 71.9 for men (8.8 years less than non</w:t>
      </w:r>
      <w:r w:rsidR="00050D25">
        <w:noBreakHyphen/>
      </w:r>
      <w:r>
        <w:t>Indigenous men) and 75.6 for women (8.1 years less than non</w:t>
      </w:r>
      <w:r w:rsidR="00050D25">
        <w:noBreakHyphen/>
      </w:r>
      <w:r>
        <w:t>Indigenous women)</w:t>
      </w:r>
      <w:r w:rsidRPr="00D91044">
        <w:t>.</w:t>
      </w:r>
      <w:r>
        <w:t xml:space="preserve"> Increases in life expectancy reflect lower mortality rates for infants and those over 45</w:t>
      </w:r>
      <w:r w:rsidR="001339E1">
        <w:t> </w:t>
      </w:r>
      <w:r>
        <w:t>years of age.</w:t>
      </w:r>
      <w:r>
        <w:rPr>
          <w:rStyle w:val="FootnoteReference"/>
        </w:rPr>
        <w:footnoteReference w:id="12"/>
      </w:r>
      <w:r>
        <w:t xml:space="preserve"> </w:t>
      </w:r>
      <w:r w:rsidDel="00C46DB4">
        <w:t>T</w:t>
      </w:r>
      <w:r>
        <w:t>he ABS assumes improvements in life expectancy will continue, increasing by 0.15 years for men and 0.10 years for women annually through to 20</w:t>
      </w:r>
      <w:r w:rsidR="008E5732">
        <w:t>30–</w:t>
      </w:r>
      <w:r>
        <w:t>31, equivalent to</w:t>
      </w:r>
      <w:r w:rsidRPr="00A374CA">
        <w:t xml:space="preserve"> the rate</w:t>
      </w:r>
      <w:r>
        <w:t xml:space="preserve"> of improvement</w:t>
      </w:r>
      <w:r w:rsidRPr="00A374CA">
        <w:t xml:space="preserve"> for the total </w:t>
      </w:r>
      <w:r w:rsidR="00966E0C">
        <w:t xml:space="preserve">Australian </w:t>
      </w:r>
      <w:r w:rsidRPr="00A374CA">
        <w:t xml:space="preserve">population over the </w:t>
      </w:r>
      <w:r>
        <w:t>past</w:t>
      </w:r>
      <w:r w:rsidRPr="00A374CA">
        <w:t xml:space="preserve"> 10 years</w:t>
      </w:r>
      <w:r>
        <w:t xml:space="preserve">. </w:t>
      </w:r>
    </w:p>
    <w:p w14:paraId="6E154B2A" w14:textId="720240FE" w:rsidR="000D06A9" w:rsidRDefault="000D06A9" w:rsidP="000D06A9">
      <w:r>
        <w:t>Due to higher fertility rates and the gap in life expectancy, the First Nations population has a much younger age structure compared to the rest of Australia (</w:t>
      </w:r>
      <w:r w:rsidR="00F91506">
        <w:fldChar w:fldCharType="begin"/>
      </w:r>
      <w:r w:rsidR="00F91506">
        <w:instrText xml:space="preserve"> REF _Ref184655289 \r \h </w:instrText>
      </w:r>
      <w:r w:rsidR="00F91506">
        <w:fldChar w:fldCharType="separate"/>
      </w:r>
      <w:r w:rsidR="00050D25">
        <w:t>Chart 8</w:t>
      </w:r>
      <w:r w:rsidR="00F91506">
        <w:fldChar w:fldCharType="end"/>
      </w:r>
      <w:r w:rsidR="00F91506">
        <w:t>)</w:t>
      </w:r>
      <w:r>
        <w:t>. The First Nations population had a median age of 24.0 years compared to 38.4 years for the national population in 20</w:t>
      </w:r>
      <w:r w:rsidR="008E5732">
        <w:t>20–</w:t>
      </w:r>
      <w:r>
        <w:t>21. By 20</w:t>
      </w:r>
      <w:r w:rsidR="008E5732">
        <w:t>30–</w:t>
      </w:r>
      <w:r>
        <w:t>31,</w:t>
      </w:r>
      <w:r w:rsidR="00E01508">
        <w:t xml:space="preserve"> the ABS projects</w:t>
      </w:r>
      <w:r>
        <w:t xml:space="preserve"> the median age of the First Nations population </w:t>
      </w:r>
      <w:r w:rsidR="00E53EB6">
        <w:t>will</w:t>
      </w:r>
      <w:r>
        <w:t xml:space="preserve"> be around 25.7 years, compared with</w:t>
      </w:r>
      <w:r w:rsidR="00B559D1">
        <w:t xml:space="preserve"> their projection of</w:t>
      </w:r>
      <w:r>
        <w:t xml:space="preserve"> 40.</w:t>
      </w:r>
      <w:r w:rsidR="00172864">
        <w:t>2</w:t>
      </w:r>
      <w:r w:rsidR="00B559D1">
        <w:t> </w:t>
      </w:r>
      <w:r>
        <w:t xml:space="preserve">years for the total population. </w:t>
      </w:r>
    </w:p>
    <w:p w14:paraId="41F174E2" w14:textId="1630E8CC" w:rsidR="000D06A9" w:rsidRPr="00EF0C31" w:rsidRDefault="000D06A9" w:rsidP="00654915">
      <w:pPr>
        <w:pStyle w:val="ChartMainHeading"/>
      </w:pPr>
      <w:bookmarkStart w:id="79" w:name="_Ref184655289"/>
      <w:r w:rsidRPr="00EF0C31">
        <w:t>Estimated and projected populations, by age group</w:t>
      </w:r>
      <w:bookmarkEnd w:id="79"/>
    </w:p>
    <w:tbl>
      <w:tblPr>
        <w:tblStyle w:val="TableGrid"/>
        <w:tblW w:w="0" w:type="auto"/>
        <w:shd w:val="clear" w:color="auto" w:fill="FFFFFF" w:themeFill="background1"/>
        <w:tblLook w:val="04A0" w:firstRow="1" w:lastRow="0" w:firstColumn="1" w:lastColumn="0" w:noHBand="0" w:noVBand="1"/>
      </w:tblPr>
      <w:tblGrid>
        <w:gridCol w:w="4551"/>
        <w:gridCol w:w="4521"/>
      </w:tblGrid>
      <w:tr w:rsidR="000D06A9" w14:paraId="6E35CD41" w14:textId="77777777">
        <w:tc>
          <w:tcPr>
            <w:tcW w:w="4536" w:type="dxa"/>
            <w:shd w:val="clear" w:color="auto" w:fill="FFFFFF" w:themeFill="background1"/>
          </w:tcPr>
          <w:p w14:paraId="671DD366" w14:textId="77777777" w:rsidR="000D06A9" w:rsidRPr="003914B2" w:rsidRDefault="000D06A9">
            <w:pPr>
              <w:pStyle w:val="ChartSecondHeading"/>
              <w:rPr>
                <w:color w:val="002C47" w:themeColor="accent1"/>
              </w:rPr>
            </w:pPr>
            <w:r w:rsidRPr="003914B2">
              <w:rPr>
                <w:color w:val="002C47" w:themeColor="accent1"/>
              </w:rPr>
              <w:t>Total population</w:t>
            </w:r>
          </w:p>
          <w:p w14:paraId="7E43CCF6" w14:textId="6B6B79B8" w:rsidR="000D06A9" w:rsidRDefault="009E10D6" w:rsidP="006A24B8">
            <w:pPr>
              <w:pStyle w:val="ChartGraphic"/>
            </w:pPr>
            <w:r w:rsidRPr="009E10D6">
              <w:rPr>
                <w:noProof/>
              </w:rPr>
              <w:drawing>
                <wp:inline distT="0" distB="0" distL="0" distR="0" wp14:anchorId="67A7F01E" wp14:editId="78554A86">
                  <wp:extent cx="2752725" cy="2762250"/>
                  <wp:effectExtent l="0" t="0" r="0" b="0"/>
                  <wp:docPr id="29892018" name="Picture 29892018" descr="This population pyramid shows the estimated and projected populations of the total Australian for 2020–21 and 2030–31. Total population pyramid shows an older population with a higher proportion of the population in older age groups. The population is projected to age from 2020–21 to 2030–31, with a decline in younger age groups and growth in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2018" name="Picture 29892018" descr="This population pyramid shows the estimated and projected populations of the total Australian for 2020–21 and 2030–31. Total population pyramid shows an older population with a higher proportion of the population in older age groups. The population is projected to age from 2020–21 to 2030–31, with a decline in younger age groups and growth in older age grou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2762250"/>
                          </a:xfrm>
                          <a:prstGeom prst="rect">
                            <a:avLst/>
                          </a:prstGeom>
                          <a:noFill/>
                          <a:ln>
                            <a:noFill/>
                          </a:ln>
                        </pic:spPr>
                      </pic:pic>
                    </a:graphicData>
                  </a:graphic>
                </wp:inline>
              </w:drawing>
            </w:r>
          </w:p>
        </w:tc>
        <w:tc>
          <w:tcPr>
            <w:tcW w:w="4536" w:type="dxa"/>
            <w:shd w:val="clear" w:color="auto" w:fill="FFFFFF" w:themeFill="background1"/>
          </w:tcPr>
          <w:p w14:paraId="0A1B0291" w14:textId="77777777" w:rsidR="000D06A9" w:rsidRPr="003914B2" w:rsidRDefault="000D06A9">
            <w:pPr>
              <w:pStyle w:val="ChartSecondHeading"/>
              <w:rPr>
                <w:color w:val="002C47" w:themeColor="accent1"/>
              </w:rPr>
            </w:pPr>
            <w:r w:rsidRPr="003914B2">
              <w:rPr>
                <w:color w:val="002C47" w:themeColor="accent1"/>
              </w:rPr>
              <w:t>Total First Nations population</w:t>
            </w:r>
          </w:p>
          <w:p w14:paraId="493E1844" w14:textId="0F23F99B" w:rsidR="000D06A9" w:rsidRDefault="00A23571" w:rsidP="006A24B8">
            <w:pPr>
              <w:pStyle w:val="ChartGraphic"/>
            </w:pPr>
            <w:r w:rsidRPr="00A23571">
              <w:rPr>
                <w:noProof/>
              </w:rPr>
              <w:drawing>
                <wp:inline distT="0" distB="0" distL="0" distR="0" wp14:anchorId="53726A72" wp14:editId="58326AB2">
                  <wp:extent cx="2724150" cy="2819400"/>
                  <wp:effectExtent l="0" t="0" r="0" b="0"/>
                  <wp:docPr id="1580337977" name="Picture 1580337977" descr="This population pyramid shows the estimated and projected populations of the First Nations populations for 2020–21 and 2030–31. The First Nations pyramid reflects a higher proportion in younger age groups, than in the total population. The First Nations population is projected to age from 2020–21 to 2030–31, with a decline in younger age groups and growth in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7977" name="Picture 1580337977" descr="This population pyramid shows the estimated and projected populations of the First Nations populations for 2020–21 and 2030–31. The First Nations pyramid reflects a higher proportion in younger age groups, than in the total population. The First Nations population is projected to age from 2020–21 to 2030–31, with a decline in younger age groups and growth in older age grou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2819400"/>
                          </a:xfrm>
                          <a:prstGeom prst="rect">
                            <a:avLst/>
                          </a:prstGeom>
                          <a:noFill/>
                          <a:ln>
                            <a:noFill/>
                          </a:ln>
                        </pic:spPr>
                      </pic:pic>
                    </a:graphicData>
                  </a:graphic>
                </wp:inline>
              </w:drawing>
            </w:r>
          </w:p>
        </w:tc>
      </w:tr>
    </w:tbl>
    <w:p w14:paraId="21102DAD" w14:textId="14F1A9B1" w:rsidR="000D06A9" w:rsidRPr="00C23990" w:rsidRDefault="000D06A9" w:rsidP="000D06A9">
      <w:pPr>
        <w:pStyle w:val="Source"/>
      </w:pPr>
      <w:r w:rsidRPr="00C23990">
        <w:t xml:space="preserve">Source: </w:t>
      </w:r>
      <w:r w:rsidRPr="00C23990">
        <w:tab/>
        <w:t xml:space="preserve">ABS, </w:t>
      </w:r>
      <w:r w:rsidRPr="0037128E">
        <w:rPr>
          <w:i/>
        </w:rPr>
        <w:t>Estimates and Projections, Aboriginal and Torres Strait Islander Australians, 2011 to 2031</w:t>
      </w:r>
      <w:r w:rsidRPr="00C23990">
        <w:t>.</w:t>
      </w:r>
    </w:p>
    <w:p w14:paraId="108F84E5" w14:textId="77777777" w:rsidR="00D9259F" w:rsidRPr="006A24B8" w:rsidRDefault="00D9259F" w:rsidP="006A24B8">
      <w:pPr>
        <w:pStyle w:val="SingleParagraph"/>
      </w:pPr>
    </w:p>
    <w:p w14:paraId="6CEA07E0" w14:textId="77777777" w:rsidR="00D9259F" w:rsidRDefault="00D9259F" w:rsidP="00D9259F">
      <w:pPr>
        <w:pStyle w:val="Heading2Numbered"/>
      </w:pPr>
      <w:bookmarkStart w:id="80" w:name="_Toc185333107"/>
      <w:bookmarkStart w:id="81" w:name="_Toc185346724"/>
      <w:r>
        <w:t xml:space="preserve">Net overseas </w:t>
      </w:r>
      <w:r w:rsidRPr="002F5E39">
        <w:t>migration</w:t>
      </w:r>
      <w:bookmarkEnd w:id="70"/>
      <w:bookmarkEnd w:id="76"/>
      <w:bookmarkEnd w:id="80"/>
      <w:bookmarkEnd w:id="81"/>
    </w:p>
    <w:p w14:paraId="693D0F8A" w14:textId="77777777" w:rsidR="00D9259F" w:rsidRDefault="00D9259F" w:rsidP="00D9259F">
      <w:pPr>
        <w:pStyle w:val="Heading3Numbered"/>
      </w:pPr>
      <w:bookmarkStart w:id="82" w:name="_Hlk151471296"/>
      <w:bookmarkEnd w:id="71"/>
      <w:bookmarkEnd w:id="72"/>
      <w:bookmarkEnd w:id="73"/>
      <w:bookmarkEnd w:id="74"/>
      <w:r w:rsidRPr="004218BD">
        <w:t>Overview</w:t>
      </w:r>
    </w:p>
    <w:p w14:paraId="668A0203" w14:textId="2CB1B36C" w:rsidR="00D9259F" w:rsidRDefault="00D9259F" w:rsidP="00C23990">
      <w:bookmarkStart w:id="83" w:name="_Hlk153267511"/>
      <w:bookmarkEnd w:id="82"/>
      <w:r>
        <w:t>Australia has a history of strong migration and population growth. As of June 2023, 30.7</w:t>
      </w:r>
      <w:r w:rsidR="00FF207F">
        <w:t> per cent</w:t>
      </w:r>
      <w:r>
        <w:t xml:space="preserve"> of Australia</w:t>
      </w:r>
      <w:r w:rsidR="00050D25">
        <w:t>’</w:t>
      </w:r>
      <w:r>
        <w:t>s population was born overseas.</w:t>
      </w:r>
      <w:r>
        <w:rPr>
          <w:rStyle w:val="FootnoteReference"/>
        </w:rPr>
        <w:footnoteReference w:id="13"/>
      </w:r>
      <w:r>
        <w:t xml:space="preserve"> Switzerland and Luxembourg are the only OECD countries with higher shares of overseas</w:t>
      </w:r>
      <w:r w:rsidR="00050D25">
        <w:noBreakHyphen/>
      </w:r>
      <w:r>
        <w:t xml:space="preserve">born populations. </w:t>
      </w:r>
      <w:r w:rsidRPr="001F78CE">
        <w:t xml:space="preserve">The Australian migration program attracts </w:t>
      </w:r>
      <w:r w:rsidR="008E58CF">
        <w:t>some of</w:t>
      </w:r>
      <w:r w:rsidR="008E58CF" w:rsidRPr="001F78CE">
        <w:t xml:space="preserve"> </w:t>
      </w:r>
      <w:r w:rsidRPr="001F78CE">
        <w:t>the most educated migrants in the OECD</w:t>
      </w:r>
      <w:r w:rsidRPr="002468EA">
        <w:t xml:space="preserve"> </w:t>
      </w:r>
      <w:r>
        <w:t>– supplying</w:t>
      </w:r>
      <w:r w:rsidRPr="002468EA">
        <w:t xml:space="preserve"> labour and bring</w:t>
      </w:r>
      <w:r>
        <w:t>ing</w:t>
      </w:r>
      <w:r w:rsidRPr="002468EA">
        <w:t xml:space="preserve"> skills to meet workforce needs</w:t>
      </w:r>
      <w:r w:rsidRPr="001F78CE">
        <w:t xml:space="preserve">. </w:t>
      </w:r>
      <w:r>
        <w:t>M</w:t>
      </w:r>
      <w:r w:rsidRPr="001F78CE">
        <w:t xml:space="preserve">igrants </w:t>
      </w:r>
      <w:r>
        <w:t>promote</w:t>
      </w:r>
      <w:r w:rsidRPr="001F78CE">
        <w:t xml:space="preserve"> growth</w:t>
      </w:r>
      <w:r>
        <w:t xml:space="preserve"> and increase </w:t>
      </w:r>
      <w:r w:rsidRPr="001F78CE">
        <w:t>productivity</w:t>
      </w:r>
      <w:r>
        <w:t>, including</w:t>
      </w:r>
      <w:r w:rsidRPr="001F78CE">
        <w:t xml:space="preserve"> through innovation and firm creation</w:t>
      </w:r>
      <w:r>
        <w:t xml:space="preserve"> (</w:t>
      </w:r>
      <w:r>
        <w:fldChar w:fldCharType="begin"/>
      </w:r>
      <w:r>
        <w:instrText xml:space="preserve"> REF _Ref181189494 \r \h </w:instrText>
      </w:r>
      <w:r w:rsidR="00C23990">
        <w:instrText xml:space="preserve"> \* MERGEFORMAT </w:instrText>
      </w:r>
      <w:r>
        <w:fldChar w:fldCharType="separate"/>
      </w:r>
      <w:r w:rsidR="00050D25">
        <w:t>Box 4</w:t>
      </w:r>
      <w:r>
        <w:fldChar w:fldCharType="end"/>
      </w:r>
      <w:r>
        <w:t>)</w:t>
      </w:r>
      <w:r w:rsidRPr="001F78CE">
        <w:t>.</w:t>
      </w:r>
    </w:p>
    <w:p w14:paraId="1D48E6F4" w14:textId="77777777" w:rsidR="001339E1" w:rsidRDefault="001339E1">
      <w:pPr>
        <w:spacing w:before="0" w:after="160" w:line="259" w:lineRule="auto"/>
      </w:pPr>
      <w:r>
        <w:br w:type="page"/>
      </w:r>
    </w:p>
    <w:p w14:paraId="577C27F9" w14:textId="47EAFF17" w:rsidR="00D9259F" w:rsidRDefault="00D9259F" w:rsidP="00C23990">
      <w:r w:rsidRPr="30A6BAC2">
        <w:lastRenderedPageBreak/>
        <w:t xml:space="preserve">NOM peaked in 2022–23 at 537,000. This reflected a catch up from </w:t>
      </w:r>
      <w:r>
        <w:t xml:space="preserve">very </w:t>
      </w:r>
      <w:r w:rsidRPr="30A6BAC2">
        <w:t xml:space="preserve">low migration </w:t>
      </w:r>
      <w:r>
        <w:t>during</w:t>
      </w:r>
      <w:r w:rsidRPr="30A6BAC2">
        <w:t xml:space="preserve"> the pandemic, a surge in global demand for international study and a strong domestic labour market. NOM is expected to have fallen to 460,000 in 2023–24</w:t>
      </w:r>
      <w:r w:rsidR="00BE5B8C">
        <w:t>,</w:t>
      </w:r>
      <w:r w:rsidRPr="30A6BAC2">
        <w:t xml:space="preserve"> primarily due to </w:t>
      </w:r>
      <w:r>
        <w:t>lower</w:t>
      </w:r>
      <w:r w:rsidRPr="30A6BAC2">
        <w:t xml:space="preserve"> migrant arrivals by those on temporary visas, particular</w:t>
      </w:r>
      <w:r>
        <w:t>ly</w:t>
      </w:r>
      <w:r w:rsidRPr="30A6BAC2">
        <w:t xml:space="preserve"> students. By contrast, New Zealand citizen arrivals have continued to rise </w:t>
      </w:r>
      <w:r w:rsidR="00185E57">
        <w:t>in</w:t>
      </w:r>
      <w:r w:rsidR="00185E57" w:rsidRPr="30A6BAC2">
        <w:t xml:space="preserve"> </w:t>
      </w:r>
      <w:r w:rsidRPr="30A6BAC2">
        <w:t xml:space="preserve">2023–24, likely driven by </w:t>
      </w:r>
      <w:r w:rsidR="003F53AE">
        <w:t>the</w:t>
      </w:r>
      <w:r w:rsidRPr="30A6BAC2">
        <w:t xml:space="preserve"> stronger Australian labour market. Migrant departures on temporary visas have </w:t>
      </w:r>
      <w:r w:rsidR="00A2648A">
        <w:t xml:space="preserve">started to pick up for some visa groups, but overall have </w:t>
      </w:r>
      <w:r w:rsidRPr="30A6BAC2">
        <w:t xml:space="preserve">remained </w:t>
      </w:r>
      <w:proofErr w:type="gramStart"/>
      <w:r w:rsidR="00A2648A">
        <w:t>similar to</w:t>
      </w:r>
      <w:proofErr w:type="gramEnd"/>
      <w:r w:rsidR="00A2648A">
        <w:t xml:space="preserve"> </w:t>
      </w:r>
      <w:r w:rsidRPr="30A6BAC2">
        <w:t xml:space="preserve">2022–23 levels. </w:t>
      </w:r>
    </w:p>
    <w:p w14:paraId="51165119" w14:textId="48369BE1" w:rsidR="00D9259F" w:rsidRDefault="00E84835" w:rsidP="00C23990">
      <w:pPr>
        <w:rPr>
          <w:rFonts w:eastAsiaTheme="minorHAnsi"/>
        </w:rPr>
      </w:pPr>
      <w:bookmarkStart w:id="84" w:name="_Hlk180657917"/>
      <w:r>
        <w:rPr>
          <w:rFonts w:eastAsiaTheme="minorHAnsi"/>
        </w:rPr>
        <w:t>NOM</w:t>
      </w:r>
      <w:r w:rsidR="00D9259F">
        <w:rPr>
          <w:rFonts w:eastAsiaTheme="minorHAnsi"/>
        </w:rPr>
        <w:t xml:space="preserve"> is expected to continue to </w:t>
      </w:r>
      <w:r w:rsidR="00BE5B8C">
        <w:rPr>
          <w:rFonts w:eastAsiaTheme="minorHAnsi"/>
        </w:rPr>
        <w:t xml:space="preserve">decline </w:t>
      </w:r>
      <w:r w:rsidR="00D9259F">
        <w:rPr>
          <w:rFonts w:eastAsiaTheme="minorHAnsi"/>
        </w:rPr>
        <w:t xml:space="preserve">through to 2026–27 </w:t>
      </w:r>
      <w:r w:rsidR="00D9259F">
        <w:t>(</w:t>
      </w:r>
      <w:r w:rsidR="00D9259F">
        <w:fldChar w:fldCharType="begin"/>
      </w:r>
      <w:r w:rsidR="00D9259F">
        <w:instrText xml:space="preserve"> REF _Ref152852069 \n \h </w:instrText>
      </w:r>
      <w:r w:rsidR="00C23990">
        <w:instrText xml:space="preserve"> \* MERGEFORMAT </w:instrText>
      </w:r>
      <w:r w:rsidR="00D9259F">
        <w:fldChar w:fldCharType="separate"/>
      </w:r>
      <w:r w:rsidR="00050D25">
        <w:t>Table 3</w:t>
      </w:r>
      <w:r w:rsidR="00D9259F">
        <w:fldChar w:fldCharType="end"/>
      </w:r>
      <w:r w:rsidR="00D9259F">
        <w:t xml:space="preserve"> and </w:t>
      </w:r>
      <w:r w:rsidR="00C13D10">
        <w:fldChar w:fldCharType="begin"/>
      </w:r>
      <w:r w:rsidR="00C13D10">
        <w:instrText xml:space="preserve"> REF _Ref183505968 \r \h </w:instrText>
      </w:r>
      <w:r w:rsidR="00C13D10">
        <w:fldChar w:fldCharType="separate"/>
      </w:r>
      <w:r w:rsidR="00050D25">
        <w:t>Chart 9</w:t>
      </w:r>
      <w:r w:rsidR="00C13D10">
        <w:fldChar w:fldCharType="end"/>
      </w:r>
      <w:r w:rsidR="00D9259F">
        <w:t>)</w:t>
      </w:r>
      <w:r w:rsidR="00D9259F">
        <w:rPr>
          <w:rFonts w:eastAsiaTheme="minorHAnsi"/>
        </w:rPr>
        <w:t xml:space="preserve">. This will be driven, in part, by further </w:t>
      </w:r>
      <w:r w:rsidR="00BE5B8C">
        <w:rPr>
          <w:rFonts w:eastAsiaTheme="minorHAnsi"/>
        </w:rPr>
        <w:t xml:space="preserve">falls </w:t>
      </w:r>
      <w:r w:rsidR="00D9259F">
        <w:rPr>
          <w:rFonts w:eastAsiaTheme="minorHAnsi"/>
        </w:rPr>
        <w:t xml:space="preserve">in migrant arrivals, which are expected to stabilise from 2025–26. </w:t>
      </w:r>
      <w:r w:rsidR="00BE5B8C">
        <w:rPr>
          <w:rFonts w:eastAsiaTheme="minorHAnsi"/>
        </w:rPr>
        <w:t>Departures of t</w:t>
      </w:r>
      <w:r w:rsidR="00D9259F" w:rsidRPr="00BA7D9B">
        <w:rPr>
          <w:rFonts w:eastAsiaTheme="minorHAnsi"/>
        </w:rPr>
        <w:t>emporary visa</w:t>
      </w:r>
      <w:r w:rsidR="00D9259F" w:rsidRPr="00BA7D9B" w:rsidDel="00BE5B8C">
        <w:rPr>
          <w:rFonts w:eastAsiaTheme="minorHAnsi"/>
        </w:rPr>
        <w:t xml:space="preserve"> </w:t>
      </w:r>
      <w:r w:rsidR="00BE5B8C">
        <w:rPr>
          <w:rFonts w:eastAsiaTheme="minorHAnsi"/>
        </w:rPr>
        <w:t>holders</w:t>
      </w:r>
      <w:r w:rsidR="00D9259F" w:rsidRPr="00BA7D9B">
        <w:rPr>
          <w:rFonts w:eastAsiaTheme="minorHAnsi"/>
        </w:rPr>
        <w:t xml:space="preserve"> are expected to pick up </w:t>
      </w:r>
      <w:r w:rsidR="00D9259F">
        <w:rPr>
          <w:rFonts w:eastAsiaTheme="minorHAnsi"/>
        </w:rPr>
        <w:t>from</w:t>
      </w:r>
      <w:r w:rsidR="00D9259F" w:rsidRPr="00BA7D9B">
        <w:rPr>
          <w:rFonts w:eastAsiaTheme="minorHAnsi"/>
        </w:rPr>
        <w:t xml:space="preserve"> 2024</w:t>
      </w:r>
      <w:r w:rsidR="00D9259F">
        <w:rPr>
          <w:rFonts w:eastAsiaTheme="minorHAnsi"/>
        </w:rPr>
        <w:t>–</w:t>
      </w:r>
      <w:r w:rsidR="00D9259F" w:rsidRPr="00BA7D9B">
        <w:rPr>
          <w:rFonts w:eastAsiaTheme="minorHAnsi"/>
        </w:rPr>
        <w:t>25</w:t>
      </w:r>
      <w:r w:rsidR="00D9259F" w:rsidRPr="00BF112E">
        <w:rPr>
          <w:rFonts w:eastAsiaTheme="minorHAnsi"/>
        </w:rPr>
        <w:t xml:space="preserve"> </w:t>
      </w:r>
      <w:r w:rsidR="00D9259F">
        <w:rPr>
          <w:rFonts w:eastAsiaTheme="minorHAnsi"/>
        </w:rPr>
        <w:t xml:space="preserve">and remain elevated, as those migrants who arrived shortly after border restrictions were lifted approach the expiry of their visas. </w:t>
      </w:r>
    </w:p>
    <w:p w14:paraId="60321D86" w14:textId="576D171D" w:rsidR="00D9259F" w:rsidRDefault="00D9259F" w:rsidP="00C23990">
      <w:pPr>
        <w:rPr>
          <w:rFonts w:eastAsiaTheme="minorHAnsi"/>
        </w:rPr>
      </w:pPr>
      <w:r>
        <w:rPr>
          <w:rFonts w:eastAsiaTheme="minorHAnsi"/>
        </w:rPr>
        <w:t xml:space="preserve">Departures of temporary migrants are now expected to </w:t>
      </w:r>
      <w:r w:rsidR="000933E5">
        <w:rPr>
          <w:rFonts w:eastAsiaTheme="minorHAnsi"/>
        </w:rPr>
        <w:t>be lower</w:t>
      </w:r>
      <w:r w:rsidR="000A2516">
        <w:rPr>
          <w:rFonts w:eastAsiaTheme="minorHAnsi"/>
        </w:rPr>
        <w:t xml:space="preserve"> in </w:t>
      </w:r>
      <w:r w:rsidR="000933E5">
        <w:rPr>
          <w:rFonts w:eastAsiaTheme="minorHAnsi"/>
        </w:rPr>
        <w:t>2023–24</w:t>
      </w:r>
      <w:r w:rsidR="000933E5" w:rsidRPr="00BA7D9B">
        <w:rPr>
          <w:rFonts w:eastAsiaTheme="minorHAnsi"/>
        </w:rPr>
        <w:t xml:space="preserve"> </w:t>
      </w:r>
      <w:r w:rsidR="000933E5">
        <w:rPr>
          <w:rFonts w:eastAsiaTheme="minorHAnsi"/>
        </w:rPr>
        <w:t xml:space="preserve">and </w:t>
      </w:r>
      <w:r w:rsidR="000A2516">
        <w:rPr>
          <w:rFonts w:eastAsiaTheme="minorHAnsi"/>
        </w:rPr>
        <w:t xml:space="preserve">2024–25 </w:t>
      </w:r>
      <w:r w:rsidRPr="00BA7D9B">
        <w:rPr>
          <w:rFonts w:eastAsiaTheme="minorHAnsi"/>
        </w:rPr>
        <w:t xml:space="preserve">than </w:t>
      </w:r>
      <w:r w:rsidR="000A2516">
        <w:rPr>
          <w:rFonts w:eastAsiaTheme="minorHAnsi"/>
        </w:rPr>
        <w:t xml:space="preserve">in </w:t>
      </w:r>
      <w:r>
        <w:rPr>
          <w:rFonts w:eastAsiaTheme="minorHAnsi"/>
        </w:rPr>
        <w:t>the 2023</w:t>
      </w:r>
      <w:r w:rsidR="001339E1">
        <w:rPr>
          <w:rFonts w:eastAsiaTheme="minorHAnsi"/>
        </w:rPr>
        <w:t> </w:t>
      </w:r>
      <w:r>
        <w:rPr>
          <w:rFonts w:eastAsiaTheme="minorHAnsi"/>
        </w:rPr>
        <w:t xml:space="preserve">Population Statement. This is due to people on temporary visas being motivated to remain in Australia, as </w:t>
      </w:r>
      <w:r w:rsidR="001E2254">
        <w:rPr>
          <w:rFonts w:eastAsiaTheme="minorHAnsi"/>
        </w:rPr>
        <w:t>indicated by</w:t>
      </w:r>
      <w:r>
        <w:rPr>
          <w:rFonts w:eastAsiaTheme="minorHAnsi"/>
        </w:rPr>
        <w:t xml:space="preserve"> high numbers of onshore visa applications. This reflects our relatively strong labour market and high living standards, and that migrants who remained during border closures have developed strong ties </w:t>
      </w:r>
      <w:r w:rsidDel="007B487B">
        <w:rPr>
          <w:rFonts w:eastAsiaTheme="minorHAnsi"/>
        </w:rPr>
        <w:t>to Australia</w:t>
      </w:r>
      <w:r>
        <w:rPr>
          <w:rFonts w:eastAsiaTheme="minorHAnsi"/>
        </w:rPr>
        <w:t xml:space="preserve">. Further delaying potential departures is the increase in wait times of onshore student visa processing, and </w:t>
      </w:r>
      <w:proofErr w:type="gramStart"/>
      <w:r w:rsidR="005A5880">
        <w:rPr>
          <w:rFonts w:eastAsiaTheme="minorHAnsi"/>
        </w:rPr>
        <w:t>a large number of</w:t>
      </w:r>
      <w:proofErr w:type="gramEnd"/>
      <w:r w:rsidR="005A5880">
        <w:rPr>
          <w:rFonts w:eastAsiaTheme="minorHAnsi"/>
        </w:rPr>
        <w:t xml:space="preserve"> </w:t>
      </w:r>
      <w:r>
        <w:rPr>
          <w:rFonts w:eastAsiaTheme="minorHAnsi"/>
        </w:rPr>
        <w:t>people seeking review</w:t>
      </w:r>
      <w:r w:rsidR="00DE747E">
        <w:rPr>
          <w:rFonts w:eastAsiaTheme="minorHAnsi"/>
        </w:rPr>
        <w:t xml:space="preserve"> of visa decisions</w:t>
      </w:r>
      <w:r>
        <w:rPr>
          <w:rFonts w:eastAsiaTheme="minorHAnsi"/>
        </w:rPr>
        <w:t xml:space="preserve"> </w:t>
      </w:r>
      <w:r w:rsidR="005A5880">
        <w:rPr>
          <w:rFonts w:eastAsiaTheme="minorHAnsi"/>
        </w:rPr>
        <w:t>by the Administrative Review Tribunal</w:t>
      </w:r>
      <w:r w:rsidR="005C6C59">
        <w:rPr>
          <w:rFonts w:eastAsiaTheme="minorHAnsi"/>
        </w:rPr>
        <w:t>.</w:t>
      </w:r>
      <w:r>
        <w:rPr>
          <w:rStyle w:val="FootnoteReference"/>
          <w:rFonts w:eastAsiaTheme="minorHAnsi"/>
        </w:rPr>
        <w:footnoteReference w:id="14"/>
      </w:r>
      <w:r>
        <w:rPr>
          <w:rFonts w:eastAsiaTheme="minorHAnsi"/>
        </w:rPr>
        <w:t xml:space="preserve"> Depending on their visa conditions, those applying for another visa from within Australia can continue to work and study in Australia while they await the outcome of their reviews.</w:t>
      </w:r>
    </w:p>
    <w:bookmarkEnd w:id="84"/>
    <w:p w14:paraId="6C8EB834" w14:textId="762D020D" w:rsidR="00636638" w:rsidRDefault="00D9259F" w:rsidP="0037128E">
      <w:pPr>
        <w:rPr>
          <w:rFonts w:eastAsiaTheme="minorHAnsi"/>
        </w:rPr>
      </w:pPr>
      <w:r>
        <w:rPr>
          <w:rFonts w:eastAsiaTheme="minorHAnsi"/>
        </w:rPr>
        <w:t>Government policies are placing downward pressure on NOM. The policy environment for temporary visa holders has changed over the past year, including limiting visa applications for people already in Australia, and measures to improve integrity in the international education sector. There has also been a</w:t>
      </w:r>
      <w:r w:rsidR="000940E2">
        <w:rPr>
          <w:rFonts w:eastAsiaTheme="minorHAnsi"/>
        </w:rPr>
        <w:t xml:space="preserve"> modest</w:t>
      </w:r>
      <w:r>
        <w:rPr>
          <w:rFonts w:eastAsiaTheme="minorHAnsi"/>
        </w:rPr>
        <w:t xml:space="preserve"> reduction in the size of the</w:t>
      </w:r>
      <w:r w:rsidDel="008B3291">
        <w:rPr>
          <w:rFonts w:eastAsiaTheme="minorHAnsi"/>
        </w:rPr>
        <w:t xml:space="preserve"> </w:t>
      </w:r>
      <w:r w:rsidR="00DF0BE8">
        <w:rPr>
          <w:rFonts w:eastAsiaTheme="minorHAnsi"/>
        </w:rPr>
        <w:t>Permanent Migration Program</w:t>
      </w:r>
      <w:r>
        <w:rPr>
          <w:rFonts w:eastAsiaTheme="minorHAnsi"/>
        </w:rPr>
        <w:t xml:space="preserve"> to </w:t>
      </w:r>
      <w:r w:rsidRPr="00B125F2">
        <w:rPr>
          <w:rFonts w:eastAsiaTheme="minorHAnsi"/>
        </w:rPr>
        <w:t>185,000</w:t>
      </w:r>
      <w:r>
        <w:rPr>
          <w:rFonts w:eastAsiaTheme="minorHAnsi"/>
        </w:rPr>
        <w:t xml:space="preserve"> places in 2024–25, from 190,000 in 2023–24.</w:t>
      </w:r>
    </w:p>
    <w:p w14:paraId="0332BABC" w14:textId="77777777" w:rsidR="00D9259F" w:rsidRPr="00BC44D5" w:rsidRDefault="00D9259F" w:rsidP="00A633E1">
      <w:pPr>
        <w:pStyle w:val="TableMainHeading"/>
      </w:pPr>
      <w:bookmarkStart w:id="85" w:name="_Ref152852069"/>
      <w:bookmarkEnd w:id="83"/>
      <w:r w:rsidRPr="00BD2A0A">
        <w:t>Net overseas migration</w:t>
      </w:r>
      <w:r w:rsidRPr="002375F0">
        <w:t xml:space="preserve"> forecasts by visa group</w:t>
      </w:r>
      <w:bookmarkEnd w:id="85"/>
    </w:p>
    <w:tbl>
      <w:tblPr>
        <w:tblStyle w:val="CPOPTable"/>
        <w:tblW w:w="5000" w:type="pct"/>
        <w:tblLayout w:type="fixed"/>
        <w:tblLook w:val="04A0" w:firstRow="1" w:lastRow="0" w:firstColumn="1" w:lastColumn="0" w:noHBand="0" w:noVBand="1"/>
      </w:tblPr>
      <w:tblGrid>
        <w:gridCol w:w="2835"/>
        <w:gridCol w:w="1039"/>
        <w:gridCol w:w="1040"/>
        <w:gridCol w:w="1039"/>
        <w:gridCol w:w="1040"/>
        <w:gridCol w:w="1039"/>
        <w:gridCol w:w="1040"/>
      </w:tblGrid>
      <w:tr w:rsidR="00D9259F" w14:paraId="13B77DD9" w14:textId="77777777" w:rsidTr="00916EF2">
        <w:trPr>
          <w:cnfStyle w:val="100000000000" w:firstRow="1" w:lastRow="0" w:firstColumn="0" w:lastColumn="0" w:oddVBand="0" w:evenVBand="0" w:oddHBand="0" w:evenHBand="0" w:firstRowFirstColumn="0" w:firstRowLastColumn="0" w:lastRowFirstColumn="0" w:lastRowLastColumn="0"/>
        </w:trPr>
        <w:tc>
          <w:tcPr>
            <w:tcW w:w="2835" w:type="dxa"/>
            <w:tcBorders>
              <w:top w:val="single" w:sz="4" w:space="0" w:color="auto"/>
              <w:bottom w:val="single" w:sz="4" w:space="0" w:color="auto"/>
            </w:tcBorders>
            <w:vAlign w:val="bottom"/>
          </w:tcPr>
          <w:p w14:paraId="4C326915" w14:textId="77777777" w:rsidR="00D9259F" w:rsidRPr="00331025" w:rsidRDefault="00D9259F" w:rsidP="00916EF2">
            <w:pPr>
              <w:pStyle w:val="TableSecondHeading"/>
            </w:pPr>
            <w:r>
              <w:rPr>
                <w:rFonts w:ascii="Calibri" w:hAnsi="Calibri" w:cs="Calibri"/>
                <w:color w:val="000000"/>
              </w:rPr>
              <w:t> </w:t>
            </w:r>
          </w:p>
        </w:tc>
        <w:tc>
          <w:tcPr>
            <w:tcW w:w="1039" w:type="dxa"/>
            <w:tcBorders>
              <w:top w:val="single" w:sz="4" w:space="0" w:color="auto"/>
              <w:bottom w:val="single" w:sz="4" w:space="0" w:color="auto"/>
            </w:tcBorders>
            <w:vAlign w:val="bottom"/>
            <w:hideMark/>
          </w:tcPr>
          <w:p w14:paraId="44F6199B" w14:textId="531392DC" w:rsidR="00D9259F" w:rsidRPr="007D395D" w:rsidRDefault="00D9259F" w:rsidP="00636638">
            <w:pPr>
              <w:pStyle w:val="TableColumnHeadingRight"/>
            </w:pPr>
            <w:r w:rsidRPr="00B7052B">
              <w:t>2022</w:t>
            </w:r>
            <w:r w:rsidR="004B49FE">
              <w:t>–</w:t>
            </w:r>
            <w:r w:rsidRPr="00B7052B">
              <w:t>23</w:t>
            </w:r>
          </w:p>
        </w:tc>
        <w:tc>
          <w:tcPr>
            <w:tcW w:w="1040" w:type="dxa"/>
            <w:tcBorders>
              <w:top w:val="single" w:sz="4" w:space="0" w:color="auto"/>
              <w:bottom w:val="single" w:sz="4" w:space="0" w:color="auto"/>
            </w:tcBorders>
            <w:shd w:val="clear" w:color="auto" w:fill="D2EDFF" w:themeFill="accent1" w:themeFillTint="1A"/>
            <w:vAlign w:val="bottom"/>
            <w:hideMark/>
          </w:tcPr>
          <w:p w14:paraId="30412B06" w14:textId="30F5F3E4" w:rsidR="00D9259F" w:rsidRPr="007D395D" w:rsidRDefault="00D9259F" w:rsidP="00636638">
            <w:pPr>
              <w:pStyle w:val="TableColumnHeadingRight"/>
            </w:pPr>
            <w:r w:rsidRPr="00B7052B">
              <w:t>2023</w:t>
            </w:r>
            <w:r w:rsidR="004B49FE">
              <w:t>–</w:t>
            </w:r>
            <w:r w:rsidRPr="00B7052B">
              <w:t>24</w:t>
            </w:r>
          </w:p>
        </w:tc>
        <w:tc>
          <w:tcPr>
            <w:tcW w:w="1039" w:type="dxa"/>
            <w:tcBorders>
              <w:top w:val="single" w:sz="4" w:space="0" w:color="auto"/>
              <w:bottom w:val="single" w:sz="4" w:space="0" w:color="auto"/>
            </w:tcBorders>
            <w:vAlign w:val="bottom"/>
            <w:hideMark/>
          </w:tcPr>
          <w:p w14:paraId="4F1C453E" w14:textId="669A2FDE" w:rsidR="00D9259F" w:rsidRPr="007D395D" w:rsidRDefault="00D9259F" w:rsidP="00636638">
            <w:pPr>
              <w:pStyle w:val="TableColumnHeadingRight"/>
            </w:pPr>
            <w:r w:rsidRPr="00B7052B">
              <w:t>2024</w:t>
            </w:r>
            <w:r w:rsidR="004B49FE">
              <w:t>–</w:t>
            </w:r>
            <w:r w:rsidRPr="00B7052B">
              <w:t>25</w:t>
            </w:r>
          </w:p>
        </w:tc>
        <w:tc>
          <w:tcPr>
            <w:tcW w:w="1040" w:type="dxa"/>
            <w:tcBorders>
              <w:top w:val="single" w:sz="4" w:space="0" w:color="auto"/>
              <w:bottom w:val="single" w:sz="4" w:space="0" w:color="auto"/>
            </w:tcBorders>
            <w:vAlign w:val="bottom"/>
            <w:hideMark/>
          </w:tcPr>
          <w:p w14:paraId="0A9940FB" w14:textId="442B40C6" w:rsidR="00D9259F" w:rsidRPr="007D395D" w:rsidRDefault="00D9259F" w:rsidP="00636638">
            <w:pPr>
              <w:pStyle w:val="TableColumnHeadingRight"/>
            </w:pPr>
            <w:r w:rsidRPr="00B7052B">
              <w:t>2025</w:t>
            </w:r>
            <w:r w:rsidR="004B49FE">
              <w:t>–</w:t>
            </w:r>
            <w:r w:rsidRPr="00B7052B">
              <w:t>26</w:t>
            </w:r>
          </w:p>
        </w:tc>
        <w:tc>
          <w:tcPr>
            <w:tcW w:w="1039" w:type="dxa"/>
            <w:tcBorders>
              <w:top w:val="single" w:sz="4" w:space="0" w:color="auto"/>
              <w:bottom w:val="single" w:sz="4" w:space="0" w:color="auto"/>
            </w:tcBorders>
            <w:vAlign w:val="bottom"/>
            <w:hideMark/>
          </w:tcPr>
          <w:p w14:paraId="345E8E6A" w14:textId="4A60BFB3" w:rsidR="00D9259F" w:rsidRPr="007D395D" w:rsidRDefault="00D9259F" w:rsidP="00636638">
            <w:pPr>
              <w:pStyle w:val="TableColumnHeadingRight"/>
            </w:pPr>
            <w:r w:rsidRPr="00B7052B">
              <w:t>2026</w:t>
            </w:r>
            <w:r w:rsidR="004B49FE">
              <w:t>–</w:t>
            </w:r>
            <w:r w:rsidRPr="00B7052B">
              <w:t>27</w:t>
            </w:r>
          </w:p>
        </w:tc>
        <w:tc>
          <w:tcPr>
            <w:tcW w:w="1040" w:type="dxa"/>
            <w:tcBorders>
              <w:top w:val="single" w:sz="4" w:space="0" w:color="auto"/>
              <w:bottom w:val="single" w:sz="4" w:space="0" w:color="auto"/>
            </w:tcBorders>
            <w:vAlign w:val="bottom"/>
            <w:hideMark/>
          </w:tcPr>
          <w:p w14:paraId="2A8A38F3" w14:textId="7CA712B6" w:rsidR="00D9259F" w:rsidRPr="007D395D" w:rsidRDefault="00D9259F" w:rsidP="00636638">
            <w:pPr>
              <w:pStyle w:val="TableColumnHeadingRight"/>
            </w:pPr>
            <w:r w:rsidRPr="00B7052B">
              <w:t>2027</w:t>
            </w:r>
            <w:r w:rsidR="004B49FE">
              <w:t>–</w:t>
            </w:r>
            <w:r w:rsidRPr="00B7052B">
              <w:t>28</w:t>
            </w:r>
          </w:p>
        </w:tc>
      </w:tr>
      <w:tr w:rsidR="00D9259F" w:rsidRPr="00D0293B" w14:paraId="2C37143E" w14:textId="77777777" w:rsidTr="00BD5B33">
        <w:trPr>
          <w:trHeight w:val="294"/>
        </w:trPr>
        <w:tc>
          <w:tcPr>
            <w:tcW w:w="0" w:type="dxa"/>
            <w:tcBorders>
              <w:top w:val="single" w:sz="4" w:space="0" w:color="auto"/>
              <w:left w:val="nil"/>
              <w:bottom w:val="nil"/>
              <w:right w:val="nil"/>
            </w:tcBorders>
            <w:vAlign w:val="bottom"/>
            <w:hideMark/>
          </w:tcPr>
          <w:p w14:paraId="0163B0D2" w14:textId="16CCA007" w:rsidR="00D9259F" w:rsidRPr="00636638" w:rsidRDefault="00D9259F" w:rsidP="00636638">
            <w:pPr>
              <w:pStyle w:val="TableColumnHeadingLeft"/>
            </w:pPr>
            <w:r w:rsidRPr="00636638">
              <w:t xml:space="preserve">Australian </w:t>
            </w:r>
            <w:r w:rsidR="00B70CD3">
              <w:t>c</w:t>
            </w:r>
            <w:r w:rsidRPr="00636638">
              <w:t>itizen</w:t>
            </w:r>
          </w:p>
        </w:tc>
        <w:tc>
          <w:tcPr>
            <w:tcW w:w="0" w:type="dxa"/>
            <w:tcBorders>
              <w:top w:val="single" w:sz="4" w:space="0" w:color="auto"/>
              <w:left w:val="nil"/>
              <w:bottom w:val="nil"/>
              <w:right w:val="nil"/>
            </w:tcBorders>
          </w:tcPr>
          <w:p w14:paraId="68832A99" w14:textId="6132DE05" w:rsidR="00D9259F" w:rsidRPr="00F828E7" w:rsidRDefault="00050D25" w:rsidP="00F828E7">
            <w:pPr>
              <w:pStyle w:val="TableTextRight"/>
            </w:pPr>
            <w:r>
              <w:noBreakHyphen/>
            </w:r>
            <w:r w:rsidR="00D9259F" w:rsidRPr="00F828E7">
              <w:t>31,000</w:t>
            </w:r>
          </w:p>
        </w:tc>
        <w:tc>
          <w:tcPr>
            <w:tcW w:w="0" w:type="dxa"/>
            <w:tcBorders>
              <w:top w:val="single" w:sz="4" w:space="0" w:color="auto"/>
              <w:left w:val="nil"/>
              <w:bottom w:val="nil"/>
              <w:right w:val="nil"/>
            </w:tcBorders>
            <w:shd w:val="clear" w:color="auto" w:fill="D2EDFF" w:themeFill="accent1" w:themeFillTint="1A"/>
          </w:tcPr>
          <w:p w14:paraId="0B062646" w14:textId="79688ABD" w:rsidR="00D9259F" w:rsidRPr="00F828E7" w:rsidRDefault="00050D25" w:rsidP="00F828E7">
            <w:pPr>
              <w:pStyle w:val="TableTextRight"/>
            </w:pPr>
            <w:r>
              <w:noBreakHyphen/>
            </w:r>
            <w:r w:rsidR="00D9259F" w:rsidRPr="00F828E7">
              <w:t>25,000</w:t>
            </w:r>
          </w:p>
        </w:tc>
        <w:tc>
          <w:tcPr>
            <w:tcW w:w="0" w:type="dxa"/>
            <w:tcBorders>
              <w:top w:val="single" w:sz="4" w:space="0" w:color="auto"/>
              <w:left w:val="nil"/>
              <w:bottom w:val="nil"/>
              <w:right w:val="nil"/>
            </w:tcBorders>
          </w:tcPr>
          <w:p w14:paraId="05F6FF95" w14:textId="0E81C002" w:rsidR="00D9259F" w:rsidRPr="00F828E7" w:rsidRDefault="00050D25" w:rsidP="00F828E7">
            <w:pPr>
              <w:pStyle w:val="TableTextRight"/>
            </w:pPr>
            <w:r>
              <w:noBreakHyphen/>
            </w:r>
            <w:r w:rsidR="00D9259F" w:rsidRPr="00F828E7">
              <w:t>25,000</w:t>
            </w:r>
          </w:p>
        </w:tc>
        <w:tc>
          <w:tcPr>
            <w:tcW w:w="0" w:type="dxa"/>
            <w:tcBorders>
              <w:top w:val="single" w:sz="4" w:space="0" w:color="auto"/>
              <w:left w:val="nil"/>
              <w:bottom w:val="nil"/>
              <w:right w:val="nil"/>
            </w:tcBorders>
          </w:tcPr>
          <w:p w14:paraId="6FB7BAC9" w14:textId="49AA10DE" w:rsidR="00D9259F" w:rsidRPr="00F828E7" w:rsidRDefault="00050D25" w:rsidP="00F828E7">
            <w:pPr>
              <w:pStyle w:val="TableTextRight"/>
            </w:pPr>
            <w:r>
              <w:noBreakHyphen/>
            </w:r>
            <w:r w:rsidR="00D9259F" w:rsidRPr="00F828E7">
              <w:t>15,000</w:t>
            </w:r>
          </w:p>
        </w:tc>
        <w:tc>
          <w:tcPr>
            <w:tcW w:w="0" w:type="dxa"/>
            <w:tcBorders>
              <w:top w:val="single" w:sz="4" w:space="0" w:color="auto"/>
              <w:left w:val="nil"/>
              <w:bottom w:val="nil"/>
              <w:right w:val="nil"/>
            </w:tcBorders>
          </w:tcPr>
          <w:p w14:paraId="7685B20B" w14:textId="26D36CC9" w:rsidR="00D9259F" w:rsidRPr="00F828E7" w:rsidRDefault="00050D25" w:rsidP="00F828E7">
            <w:pPr>
              <w:pStyle w:val="TableTextRight"/>
            </w:pPr>
            <w:r>
              <w:noBreakHyphen/>
            </w:r>
            <w:r w:rsidR="00D9259F" w:rsidRPr="00F828E7">
              <w:t>15,000</w:t>
            </w:r>
          </w:p>
        </w:tc>
        <w:tc>
          <w:tcPr>
            <w:tcW w:w="0" w:type="dxa"/>
            <w:tcBorders>
              <w:top w:val="single" w:sz="4" w:space="0" w:color="auto"/>
              <w:left w:val="nil"/>
              <w:bottom w:val="nil"/>
              <w:right w:val="nil"/>
            </w:tcBorders>
          </w:tcPr>
          <w:p w14:paraId="020C481C" w14:textId="7BD80CD5" w:rsidR="00D9259F" w:rsidRPr="00F828E7" w:rsidRDefault="00050D25" w:rsidP="00F828E7">
            <w:pPr>
              <w:pStyle w:val="TableTextRight"/>
            </w:pPr>
            <w:r>
              <w:noBreakHyphen/>
            </w:r>
            <w:r w:rsidR="00D9259F" w:rsidRPr="00F828E7">
              <w:t>15,000</w:t>
            </w:r>
          </w:p>
        </w:tc>
      </w:tr>
      <w:tr w:rsidR="00D9259F" w14:paraId="70FF2135" w14:textId="77777777" w:rsidTr="00BD5B33">
        <w:trPr>
          <w:trHeight w:val="224"/>
        </w:trPr>
        <w:tc>
          <w:tcPr>
            <w:tcW w:w="0" w:type="dxa"/>
            <w:tcBorders>
              <w:top w:val="nil"/>
              <w:left w:val="nil"/>
              <w:bottom w:val="nil"/>
              <w:right w:val="nil"/>
            </w:tcBorders>
            <w:vAlign w:val="bottom"/>
            <w:hideMark/>
          </w:tcPr>
          <w:p w14:paraId="58105F99" w14:textId="025F8958" w:rsidR="00D9259F" w:rsidRPr="00636638" w:rsidRDefault="00D9259F" w:rsidP="00636638">
            <w:pPr>
              <w:pStyle w:val="TableColumnHeadingLeft"/>
            </w:pPr>
            <w:r w:rsidRPr="00636638">
              <w:t xml:space="preserve">New Zealand </w:t>
            </w:r>
            <w:r w:rsidR="00B70CD3">
              <w:t>c</w:t>
            </w:r>
            <w:r w:rsidRPr="00636638">
              <w:t>itizen</w:t>
            </w:r>
          </w:p>
        </w:tc>
        <w:tc>
          <w:tcPr>
            <w:tcW w:w="0" w:type="dxa"/>
            <w:tcBorders>
              <w:top w:val="nil"/>
              <w:left w:val="nil"/>
              <w:bottom w:val="nil"/>
              <w:right w:val="nil"/>
            </w:tcBorders>
          </w:tcPr>
          <w:p w14:paraId="07304F98" w14:textId="262493C4" w:rsidR="00D9259F" w:rsidRPr="00F828E7" w:rsidRDefault="00D9259F" w:rsidP="00F828E7">
            <w:pPr>
              <w:pStyle w:val="TableTextRight"/>
            </w:pPr>
            <w:r w:rsidRPr="00F828E7">
              <w:t>26,000</w:t>
            </w:r>
          </w:p>
        </w:tc>
        <w:tc>
          <w:tcPr>
            <w:tcW w:w="0" w:type="dxa"/>
            <w:tcBorders>
              <w:top w:val="nil"/>
              <w:left w:val="nil"/>
              <w:bottom w:val="nil"/>
              <w:right w:val="nil"/>
            </w:tcBorders>
            <w:shd w:val="clear" w:color="auto" w:fill="D2EDFF" w:themeFill="accent1" w:themeFillTint="1A"/>
          </w:tcPr>
          <w:p w14:paraId="636A39FB" w14:textId="644592C8" w:rsidR="00D9259F" w:rsidRPr="00F828E7" w:rsidRDefault="00D9259F" w:rsidP="00F828E7">
            <w:pPr>
              <w:pStyle w:val="TableTextRight"/>
            </w:pPr>
            <w:r w:rsidRPr="00F828E7">
              <w:t>35,000</w:t>
            </w:r>
          </w:p>
        </w:tc>
        <w:tc>
          <w:tcPr>
            <w:tcW w:w="0" w:type="dxa"/>
            <w:tcBorders>
              <w:top w:val="nil"/>
              <w:left w:val="nil"/>
              <w:bottom w:val="nil"/>
              <w:right w:val="nil"/>
            </w:tcBorders>
          </w:tcPr>
          <w:p w14:paraId="7D3F4220" w14:textId="5C1CE58F" w:rsidR="00D9259F" w:rsidRPr="00F828E7" w:rsidRDefault="00D9259F" w:rsidP="00F828E7">
            <w:pPr>
              <w:pStyle w:val="TableTextRight"/>
            </w:pPr>
            <w:r w:rsidRPr="00F828E7">
              <w:t>35,000</w:t>
            </w:r>
          </w:p>
        </w:tc>
        <w:tc>
          <w:tcPr>
            <w:tcW w:w="0" w:type="dxa"/>
            <w:tcBorders>
              <w:top w:val="nil"/>
              <w:left w:val="nil"/>
              <w:bottom w:val="nil"/>
              <w:right w:val="nil"/>
            </w:tcBorders>
          </w:tcPr>
          <w:p w14:paraId="7ED8ADB2" w14:textId="5B9F9629" w:rsidR="00D9259F" w:rsidRPr="00F828E7" w:rsidRDefault="00D9259F" w:rsidP="00F828E7">
            <w:pPr>
              <w:pStyle w:val="TableTextRight"/>
            </w:pPr>
            <w:r w:rsidRPr="00F828E7">
              <w:t>20,000</w:t>
            </w:r>
          </w:p>
        </w:tc>
        <w:tc>
          <w:tcPr>
            <w:tcW w:w="0" w:type="dxa"/>
            <w:tcBorders>
              <w:top w:val="nil"/>
              <w:left w:val="nil"/>
              <w:bottom w:val="nil"/>
              <w:right w:val="nil"/>
            </w:tcBorders>
          </w:tcPr>
          <w:p w14:paraId="598C9167" w14:textId="14507C5D" w:rsidR="00D9259F" w:rsidRPr="00F828E7" w:rsidRDefault="00D9259F" w:rsidP="00F828E7">
            <w:pPr>
              <w:pStyle w:val="TableTextRight"/>
            </w:pPr>
            <w:r w:rsidRPr="00F828E7">
              <w:t>15,000</w:t>
            </w:r>
          </w:p>
        </w:tc>
        <w:tc>
          <w:tcPr>
            <w:tcW w:w="0" w:type="dxa"/>
            <w:tcBorders>
              <w:top w:val="nil"/>
              <w:left w:val="nil"/>
              <w:bottom w:val="nil"/>
              <w:right w:val="nil"/>
            </w:tcBorders>
          </w:tcPr>
          <w:p w14:paraId="00B3137C" w14:textId="6EBFAA9D" w:rsidR="00D9259F" w:rsidRPr="00F828E7" w:rsidRDefault="00D9259F" w:rsidP="00F828E7">
            <w:pPr>
              <w:pStyle w:val="TableTextRight"/>
            </w:pPr>
            <w:r w:rsidRPr="00F828E7">
              <w:t>15,000</w:t>
            </w:r>
          </w:p>
        </w:tc>
      </w:tr>
      <w:tr w:rsidR="00D9259F" w14:paraId="66779C40" w14:textId="77777777" w:rsidTr="00BD5B33">
        <w:trPr>
          <w:trHeight w:val="286"/>
        </w:trPr>
        <w:tc>
          <w:tcPr>
            <w:tcW w:w="0" w:type="dxa"/>
            <w:tcBorders>
              <w:top w:val="nil"/>
              <w:left w:val="nil"/>
              <w:bottom w:val="nil"/>
              <w:right w:val="nil"/>
            </w:tcBorders>
            <w:vAlign w:val="bottom"/>
            <w:hideMark/>
          </w:tcPr>
          <w:p w14:paraId="06A9F20F" w14:textId="4A013708" w:rsidR="00D9259F" w:rsidRPr="00636638" w:rsidRDefault="00D9259F" w:rsidP="00636638">
            <w:pPr>
              <w:pStyle w:val="TableColumnHeadingLeft"/>
            </w:pPr>
            <w:r w:rsidRPr="00636638">
              <w:t>Permanent</w:t>
            </w:r>
          </w:p>
        </w:tc>
        <w:tc>
          <w:tcPr>
            <w:tcW w:w="0" w:type="dxa"/>
            <w:tcBorders>
              <w:top w:val="nil"/>
              <w:left w:val="nil"/>
              <w:bottom w:val="nil"/>
              <w:right w:val="nil"/>
            </w:tcBorders>
          </w:tcPr>
          <w:p w14:paraId="40B7D595" w14:textId="2BA8FA42" w:rsidR="00D9259F" w:rsidRPr="00F828E7" w:rsidRDefault="00D9259F" w:rsidP="00F828E7">
            <w:pPr>
              <w:pStyle w:val="TableTextRight"/>
            </w:pPr>
            <w:r w:rsidRPr="00F828E7">
              <w:t>60,000</w:t>
            </w:r>
          </w:p>
        </w:tc>
        <w:tc>
          <w:tcPr>
            <w:tcW w:w="0" w:type="dxa"/>
            <w:tcBorders>
              <w:top w:val="nil"/>
              <w:left w:val="nil"/>
              <w:bottom w:val="nil"/>
              <w:right w:val="nil"/>
            </w:tcBorders>
            <w:shd w:val="clear" w:color="auto" w:fill="D2EDFF" w:themeFill="accent1" w:themeFillTint="1A"/>
          </w:tcPr>
          <w:p w14:paraId="67898E71" w14:textId="0C959357" w:rsidR="00D9259F" w:rsidRPr="00F828E7" w:rsidRDefault="00D9259F" w:rsidP="00F828E7">
            <w:pPr>
              <w:pStyle w:val="TableTextRight"/>
            </w:pPr>
            <w:r w:rsidRPr="00F828E7">
              <w:t>70,000</w:t>
            </w:r>
          </w:p>
        </w:tc>
        <w:tc>
          <w:tcPr>
            <w:tcW w:w="0" w:type="dxa"/>
            <w:tcBorders>
              <w:top w:val="nil"/>
              <w:left w:val="nil"/>
              <w:bottom w:val="nil"/>
              <w:right w:val="nil"/>
            </w:tcBorders>
          </w:tcPr>
          <w:p w14:paraId="232A72AC" w14:textId="61423085" w:rsidR="00D9259F" w:rsidRPr="00F828E7" w:rsidRDefault="00D9259F" w:rsidP="00F828E7">
            <w:pPr>
              <w:pStyle w:val="TableTextRight"/>
            </w:pPr>
            <w:r w:rsidRPr="00F828E7">
              <w:t>65,000</w:t>
            </w:r>
          </w:p>
        </w:tc>
        <w:tc>
          <w:tcPr>
            <w:tcW w:w="0" w:type="dxa"/>
            <w:tcBorders>
              <w:top w:val="nil"/>
              <w:left w:val="nil"/>
              <w:bottom w:val="nil"/>
              <w:right w:val="nil"/>
            </w:tcBorders>
          </w:tcPr>
          <w:p w14:paraId="2E7E005C" w14:textId="434C35D5" w:rsidR="00D9259F" w:rsidRPr="00F828E7" w:rsidRDefault="00D9259F" w:rsidP="00F828E7">
            <w:pPr>
              <w:pStyle w:val="TableTextRight"/>
            </w:pPr>
            <w:r w:rsidRPr="00F828E7">
              <w:t>70,000</w:t>
            </w:r>
          </w:p>
        </w:tc>
        <w:tc>
          <w:tcPr>
            <w:tcW w:w="0" w:type="dxa"/>
            <w:tcBorders>
              <w:top w:val="nil"/>
              <w:left w:val="nil"/>
              <w:bottom w:val="nil"/>
              <w:right w:val="nil"/>
            </w:tcBorders>
          </w:tcPr>
          <w:p w14:paraId="32E09507" w14:textId="5DBA0C36" w:rsidR="00D9259F" w:rsidRPr="00F828E7" w:rsidRDefault="00D9259F" w:rsidP="00F828E7">
            <w:pPr>
              <w:pStyle w:val="TableTextRight"/>
            </w:pPr>
            <w:r w:rsidRPr="00F828E7">
              <w:t>70,000</w:t>
            </w:r>
          </w:p>
        </w:tc>
        <w:tc>
          <w:tcPr>
            <w:tcW w:w="0" w:type="dxa"/>
            <w:tcBorders>
              <w:top w:val="nil"/>
              <w:left w:val="nil"/>
              <w:bottom w:val="nil"/>
              <w:right w:val="nil"/>
            </w:tcBorders>
          </w:tcPr>
          <w:p w14:paraId="6CC1EB95" w14:textId="457359AB" w:rsidR="00D9259F" w:rsidRPr="00F828E7" w:rsidRDefault="00D9259F" w:rsidP="00F828E7">
            <w:pPr>
              <w:pStyle w:val="TableTextRight"/>
            </w:pPr>
            <w:r w:rsidRPr="00F828E7">
              <w:t>70,000</w:t>
            </w:r>
          </w:p>
        </w:tc>
      </w:tr>
      <w:tr w:rsidR="00D9259F" w14:paraId="041B4F99" w14:textId="77777777" w:rsidTr="00BD5B33">
        <w:trPr>
          <w:trHeight w:val="324"/>
        </w:trPr>
        <w:tc>
          <w:tcPr>
            <w:tcW w:w="0" w:type="dxa"/>
            <w:tcBorders>
              <w:top w:val="nil"/>
              <w:left w:val="nil"/>
              <w:bottom w:val="nil"/>
              <w:right w:val="nil"/>
            </w:tcBorders>
            <w:vAlign w:val="bottom"/>
            <w:hideMark/>
          </w:tcPr>
          <w:p w14:paraId="15B23D76" w14:textId="7543DE18" w:rsidR="00D9259F" w:rsidRPr="00636638" w:rsidRDefault="00D9259F" w:rsidP="00636638">
            <w:pPr>
              <w:pStyle w:val="TableColumnHeadingLeft"/>
            </w:pPr>
            <w:r w:rsidRPr="00636638">
              <w:t>Student</w:t>
            </w:r>
          </w:p>
        </w:tc>
        <w:tc>
          <w:tcPr>
            <w:tcW w:w="0" w:type="dxa"/>
            <w:tcBorders>
              <w:top w:val="nil"/>
              <w:left w:val="nil"/>
              <w:bottom w:val="nil"/>
              <w:right w:val="nil"/>
            </w:tcBorders>
          </w:tcPr>
          <w:p w14:paraId="71EC9528" w14:textId="47AC2AEA" w:rsidR="00D9259F" w:rsidRPr="00F828E7" w:rsidRDefault="00D9259F" w:rsidP="00F828E7">
            <w:pPr>
              <w:pStyle w:val="TableTextRight"/>
            </w:pPr>
            <w:r w:rsidRPr="00F828E7">
              <w:t>263,000</w:t>
            </w:r>
          </w:p>
        </w:tc>
        <w:tc>
          <w:tcPr>
            <w:tcW w:w="0" w:type="dxa"/>
            <w:tcBorders>
              <w:top w:val="nil"/>
              <w:left w:val="nil"/>
              <w:bottom w:val="nil"/>
              <w:right w:val="nil"/>
            </w:tcBorders>
            <w:shd w:val="clear" w:color="auto" w:fill="D2EDFF" w:themeFill="accent1" w:themeFillTint="1A"/>
          </w:tcPr>
          <w:p w14:paraId="1C230FB4" w14:textId="32F737F0" w:rsidR="00D9259F" w:rsidRPr="00F828E7" w:rsidRDefault="00D9259F" w:rsidP="00F828E7">
            <w:pPr>
              <w:pStyle w:val="TableTextRight"/>
            </w:pPr>
            <w:r w:rsidRPr="00F828E7">
              <w:t>180,000</w:t>
            </w:r>
          </w:p>
        </w:tc>
        <w:tc>
          <w:tcPr>
            <w:tcW w:w="0" w:type="dxa"/>
            <w:tcBorders>
              <w:top w:val="nil"/>
              <w:left w:val="nil"/>
              <w:bottom w:val="nil"/>
              <w:right w:val="nil"/>
            </w:tcBorders>
          </w:tcPr>
          <w:p w14:paraId="081E1CB9" w14:textId="5129BF5D" w:rsidR="00D9259F" w:rsidRPr="00F828E7" w:rsidRDefault="00D9259F" w:rsidP="00F828E7">
            <w:pPr>
              <w:pStyle w:val="TableTextRight"/>
            </w:pPr>
            <w:r w:rsidRPr="00F828E7">
              <w:t>140,000</w:t>
            </w:r>
          </w:p>
        </w:tc>
        <w:tc>
          <w:tcPr>
            <w:tcW w:w="0" w:type="dxa"/>
            <w:tcBorders>
              <w:top w:val="nil"/>
              <w:left w:val="nil"/>
              <w:bottom w:val="nil"/>
              <w:right w:val="nil"/>
            </w:tcBorders>
          </w:tcPr>
          <w:p w14:paraId="06409EC1" w14:textId="499F3012" w:rsidR="00D9259F" w:rsidRPr="00F828E7" w:rsidRDefault="00D9259F" w:rsidP="00F828E7">
            <w:pPr>
              <w:pStyle w:val="TableTextRight"/>
            </w:pPr>
            <w:r w:rsidRPr="00F828E7">
              <w:t>115,000</w:t>
            </w:r>
          </w:p>
        </w:tc>
        <w:tc>
          <w:tcPr>
            <w:tcW w:w="0" w:type="dxa"/>
            <w:tcBorders>
              <w:top w:val="nil"/>
              <w:left w:val="nil"/>
              <w:bottom w:val="nil"/>
              <w:right w:val="nil"/>
            </w:tcBorders>
          </w:tcPr>
          <w:p w14:paraId="781718C4" w14:textId="7B0401D8" w:rsidR="00D9259F" w:rsidRPr="00F828E7" w:rsidRDefault="00D9259F" w:rsidP="00F828E7">
            <w:pPr>
              <w:pStyle w:val="TableTextRight"/>
            </w:pPr>
            <w:r w:rsidRPr="00F828E7">
              <w:t>85,000</w:t>
            </w:r>
          </w:p>
        </w:tc>
        <w:tc>
          <w:tcPr>
            <w:tcW w:w="0" w:type="dxa"/>
            <w:tcBorders>
              <w:top w:val="nil"/>
              <w:left w:val="nil"/>
              <w:bottom w:val="nil"/>
              <w:right w:val="nil"/>
            </w:tcBorders>
          </w:tcPr>
          <w:p w14:paraId="291E226C" w14:textId="63C7BD78" w:rsidR="00D9259F" w:rsidRPr="00F828E7" w:rsidRDefault="00D9259F" w:rsidP="00F828E7">
            <w:pPr>
              <w:pStyle w:val="TableTextRight"/>
            </w:pPr>
            <w:r w:rsidRPr="00F828E7">
              <w:t>85,000</w:t>
            </w:r>
          </w:p>
        </w:tc>
      </w:tr>
      <w:tr w:rsidR="00D9259F" w14:paraId="4BD51E43" w14:textId="77777777" w:rsidTr="00BD5B33">
        <w:trPr>
          <w:trHeight w:val="324"/>
        </w:trPr>
        <w:tc>
          <w:tcPr>
            <w:tcW w:w="0" w:type="dxa"/>
            <w:tcBorders>
              <w:top w:val="nil"/>
              <w:left w:val="nil"/>
              <w:bottom w:val="nil"/>
              <w:right w:val="nil"/>
            </w:tcBorders>
            <w:vAlign w:val="bottom"/>
          </w:tcPr>
          <w:p w14:paraId="26C94333" w14:textId="5B25B02A" w:rsidR="00D9259F" w:rsidRPr="00636638" w:rsidRDefault="00D9259F" w:rsidP="00636638">
            <w:pPr>
              <w:pStyle w:val="TableColumnHeadingLeft"/>
            </w:pPr>
            <w:r w:rsidRPr="00636638">
              <w:t xml:space="preserve">All other temporary </w:t>
            </w:r>
          </w:p>
        </w:tc>
        <w:tc>
          <w:tcPr>
            <w:tcW w:w="0" w:type="dxa"/>
            <w:tcBorders>
              <w:top w:val="nil"/>
              <w:left w:val="nil"/>
              <w:bottom w:val="nil"/>
              <w:right w:val="nil"/>
            </w:tcBorders>
          </w:tcPr>
          <w:p w14:paraId="1223D239" w14:textId="4FE434B8" w:rsidR="00D9259F" w:rsidRPr="00F828E7" w:rsidRDefault="00D9259F" w:rsidP="00F828E7">
            <w:pPr>
              <w:pStyle w:val="TableTextRight"/>
            </w:pPr>
            <w:r w:rsidRPr="00F828E7">
              <w:t>218,000</w:t>
            </w:r>
          </w:p>
        </w:tc>
        <w:tc>
          <w:tcPr>
            <w:tcW w:w="0" w:type="dxa"/>
            <w:tcBorders>
              <w:top w:val="nil"/>
              <w:left w:val="nil"/>
              <w:bottom w:val="nil"/>
              <w:right w:val="nil"/>
            </w:tcBorders>
            <w:shd w:val="clear" w:color="auto" w:fill="D2EDFF" w:themeFill="accent1" w:themeFillTint="1A"/>
          </w:tcPr>
          <w:p w14:paraId="03448E42" w14:textId="00C746A6" w:rsidR="00D9259F" w:rsidRPr="00F828E7" w:rsidRDefault="00D9259F" w:rsidP="00F828E7">
            <w:pPr>
              <w:pStyle w:val="TableTextRight"/>
            </w:pPr>
            <w:r w:rsidRPr="00F828E7">
              <w:t>195,000</w:t>
            </w:r>
          </w:p>
        </w:tc>
        <w:tc>
          <w:tcPr>
            <w:tcW w:w="0" w:type="dxa"/>
            <w:tcBorders>
              <w:top w:val="nil"/>
              <w:left w:val="nil"/>
              <w:bottom w:val="nil"/>
              <w:right w:val="nil"/>
            </w:tcBorders>
          </w:tcPr>
          <w:p w14:paraId="78121A44" w14:textId="77EDEC93" w:rsidR="00D9259F" w:rsidRPr="00F828E7" w:rsidRDefault="00C47274" w:rsidP="00F828E7">
            <w:pPr>
              <w:pStyle w:val="TableTextRight"/>
            </w:pPr>
            <w:r w:rsidRPr="003E2E71">
              <w:t>125,</w:t>
            </w:r>
            <w:r w:rsidR="00D9259F" w:rsidRPr="00F828E7">
              <w:t>000</w:t>
            </w:r>
          </w:p>
        </w:tc>
        <w:tc>
          <w:tcPr>
            <w:tcW w:w="0" w:type="dxa"/>
            <w:tcBorders>
              <w:top w:val="nil"/>
              <w:left w:val="nil"/>
              <w:bottom w:val="nil"/>
              <w:right w:val="nil"/>
            </w:tcBorders>
          </w:tcPr>
          <w:p w14:paraId="6986ADEC" w14:textId="7D99ABED" w:rsidR="00D9259F" w:rsidRPr="00F828E7" w:rsidRDefault="00D9259F" w:rsidP="00F828E7">
            <w:pPr>
              <w:pStyle w:val="TableTextRight"/>
            </w:pPr>
            <w:r w:rsidRPr="00F828E7">
              <w:t>70,000</w:t>
            </w:r>
          </w:p>
        </w:tc>
        <w:tc>
          <w:tcPr>
            <w:tcW w:w="0" w:type="dxa"/>
            <w:tcBorders>
              <w:top w:val="nil"/>
              <w:left w:val="nil"/>
              <w:bottom w:val="nil"/>
              <w:right w:val="nil"/>
            </w:tcBorders>
          </w:tcPr>
          <w:p w14:paraId="6ECB1404" w14:textId="0B659777" w:rsidR="00D9259F" w:rsidRPr="00F828E7" w:rsidRDefault="00D9259F" w:rsidP="00F828E7">
            <w:pPr>
              <w:pStyle w:val="TableTextRight"/>
            </w:pPr>
            <w:r w:rsidRPr="00F828E7">
              <w:t>65,000</w:t>
            </w:r>
          </w:p>
        </w:tc>
        <w:tc>
          <w:tcPr>
            <w:tcW w:w="0" w:type="dxa"/>
            <w:tcBorders>
              <w:top w:val="nil"/>
              <w:left w:val="nil"/>
              <w:bottom w:val="nil"/>
              <w:right w:val="nil"/>
            </w:tcBorders>
          </w:tcPr>
          <w:p w14:paraId="7FCBE31F" w14:textId="53706727" w:rsidR="00D9259F" w:rsidRPr="00F828E7" w:rsidRDefault="00D9259F" w:rsidP="00F828E7">
            <w:pPr>
              <w:pStyle w:val="TableTextRight"/>
            </w:pPr>
            <w:r w:rsidRPr="00F828E7">
              <w:t>70,000</w:t>
            </w:r>
          </w:p>
        </w:tc>
      </w:tr>
      <w:tr w:rsidR="00D9259F" w14:paraId="51400B13" w14:textId="77777777" w:rsidTr="00BD5B33">
        <w:trPr>
          <w:trHeight w:val="268"/>
        </w:trPr>
        <w:tc>
          <w:tcPr>
            <w:tcW w:w="0" w:type="dxa"/>
            <w:tcBorders>
              <w:top w:val="nil"/>
              <w:left w:val="nil"/>
              <w:bottom w:val="single" w:sz="4" w:space="0" w:color="auto"/>
              <w:right w:val="nil"/>
            </w:tcBorders>
            <w:vAlign w:val="bottom"/>
          </w:tcPr>
          <w:p w14:paraId="49F6CFE0" w14:textId="77777777" w:rsidR="00D9259F" w:rsidRPr="00636638" w:rsidRDefault="00D9259F" w:rsidP="00636638">
            <w:pPr>
              <w:pStyle w:val="TableColumnHeadingLeft"/>
            </w:pPr>
            <w:r w:rsidRPr="00636638">
              <w:t>Total</w:t>
            </w:r>
          </w:p>
        </w:tc>
        <w:tc>
          <w:tcPr>
            <w:tcW w:w="0" w:type="dxa"/>
            <w:tcBorders>
              <w:top w:val="nil"/>
              <w:left w:val="nil"/>
              <w:bottom w:val="single" w:sz="4" w:space="0" w:color="auto"/>
              <w:right w:val="nil"/>
            </w:tcBorders>
          </w:tcPr>
          <w:p w14:paraId="1C918E8E" w14:textId="1A32227B" w:rsidR="00D9259F" w:rsidRPr="00331025" w:rsidRDefault="00D9259F" w:rsidP="00916EF2">
            <w:pPr>
              <w:pStyle w:val="TableTextRight"/>
              <w:keepNext/>
              <w:rPr>
                <w:b/>
              </w:rPr>
            </w:pPr>
            <w:r w:rsidRPr="003914B2">
              <w:rPr>
                <w:b/>
              </w:rPr>
              <w:t>537,000</w:t>
            </w:r>
          </w:p>
        </w:tc>
        <w:tc>
          <w:tcPr>
            <w:tcW w:w="0" w:type="dxa"/>
            <w:tcBorders>
              <w:top w:val="nil"/>
              <w:left w:val="nil"/>
              <w:bottom w:val="single" w:sz="4" w:space="0" w:color="auto"/>
              <w:right w:val="nil"/>
            </w:tcBorders>
            <w:shd w:val="clear" w:color="auto" w:fill="D2EDFF" w:themeFill="accent1" w:themeFillTint="1A"/>
          </w:tcPr>
          <w:p w14:paraId="1716B0AF" w14:textId="10617DF6" w:rsidR="00D9259F" w:rsidRPr="00331025" w:rsidRDefault="00D9259F" w:rsidP="00916EF2">
            <w:pPr>
              <w:pStyle w:val="TableTextRight"/>
              <w:keepNext/>
              <w:rPr>
                <w:b/>
              </w:rPr>
            </w:pPr>
            <w:r w:rsidRPr="003914B2">
              <w:rPr>
                <w:b/>
              </w:rPr>
              <w:t>460,000</w:t>
            </w:r>
          </w:p>
        </w:tc>
        <w:tc>
          <w:tcPr>
            <w:tcW w:w="0" w:type="dxa"/>
            <w:tcBorders>
              <w:top w:val="nil"/>
              <w:left w:val="nil"/>
              <w:bottom w:val="single" w:sz="4" w:space="0" w:color="auto"/>
              <w:right w:val="nil"/>
            </w:tcBorders>
          </w:tcPr>
          <w:p w14:paraId="5C84EDE8" w14:textId="0729FF77" w:rsidR="00D9259F" w:rsidRPr="00331025" w:rsidRDefault="00C47274" w:rsidP="00916EF2">
            <w:pPr>
              <w:pStyle w:val="TableTextRight"/>
              <w:keepNext/>
              <w:rPr>
                <w:b/>
              </w:rPr>
            </w:pPr>
            <w:r w:rsidRPr="003914B2">
              <w:rPr>
                <w:b/>
              </w:rPr>
              <w:t>340,</w:t>
            </w:r>
            <w:r w:rsidR="00D9259F" w:rsidRPr="003914B2">
              <w:rPr>
                <w:b/>
              </w:rPr>
              <w:t>000</w:t>
            </w:r>
          </w:p>
        </w:tc>
        <w:tc>
          <w:tcPr>
            <w:tcW w:w="0" w:type="dxa"/>
            <w:tcBorders>
              <w:top w:val="nil"/>
              <w:left w:val="nil"/>
              <w:bottom w:val="single" w:sz="4" w:space="0" w:color="auto"/>
              <w:right w:val="nil"/>
            </w:tcBorders>
          </w:tcPr>
          <w:p w14:paraId="72A7D04B" w14:textId="713A3B70" w:rsidR="00D9259F" w:rsidRPr="00331025" w:rsidRDefault="00C47274" w:rsidP="00916EF2">
            <w:pPr>
              <w:pStyle w:val="TableTextRight"/>
              <w:keepNext/>
              <w:rPr>
                <w:b/>
              </w:rPr>
            </w:pPr>
            <w:r w:rsidRPr="003914B2">
              <w:rPr>
                <w:b/>
              </w:rPr>
              <w:t>255,</w:t>
            </w:r>
            <w:r w:rsidR="00D9259F" w:rsidRPr="003914B2">
              <w:rPr>
                <w:b/>
              </w:rPr>
              <w:t>000</w:t>
            </w:r>
          </w:p>
        </w:tc>
        <w:tc>
          <w:tcPr>
            <w:tcW w:w="0" w:type="dxa"/>
            <w:tcBorders>
              <w:top w:val="nil"/>
              <w:left w:val="nil"/>
              <w:bottom w:val="single" w:sz="4" w:space="0" w:color="auto"/>
              <w:right w:val="nil"/>
            </w:tcBorders>
          </w:tcPr>
          <w:p w14:paraId="2AEEC67B" w14:textId="62073544" w:rsidR="00D9259F" w:rsidRPr="00331025" w:rsidRDefault="00D9259F" w:rsidP="00916EF2">
            <w:pPr>
              <w:pStyle w:val="TableTextRight"/>
              <w:keepNext/>
              <w:rPr>
                <w:b/>
              </w:rPr>
            </w:pPr>
            <w:r w:rsidRPr="003914B2">
              <w:rPr>
                <w:b/>
              </w:rPr>
              <w:t>225,000</w:t>
            </w:r>
          </w:p>
        </w:tc>
        <w:tc>
          <w:tcPr>
            <w:tcW w:w="0" w:type="dxa"/>
            <w:tcBorders>
              <w:top w:val="nil"/>
              <w:left w:val="nil"/>
              <w:bottom w:val="single" w:sz="4" w:space="0" w:color="auto"/>
              <w:right w:val="nil"/>
            </w:tcBorders>
          </w:tcPr>
          <w:p w14:paraId="254132A1" w14:textId="49935C07" w:rsidR="00D9259F" w:rsidRPr="00331025" w:rsidRDefault="00D9259F" w:rsidP="00916EF2">
            <w:pPr>
              <w:pStyle w:val="TableTextRight"/>
              <w:keepNext/>
              <w:rPr>
                <w:b/>
              </w:rPr>
            </w:pPr>
            <w:r w:rsidRPr="003914B2">
              <w:rPr>
                <w:b/>
              </w:rPr>
              <w:t>225,000</w:t>
            </w:r>
          </w:p>
        </w:tc>
      </w:tr>
    </w:tbl>
    <w:p w14:paraId="20F5C7C6" w14:textId="77777777" w:rsidR="00D9259F" w:rsidRPr="006F48FB" w:rsidRDefault="00D9259F" w:rsidP="00D9259F">
      <w:pPr>
        <w:pStyle w:val="Source"/>
      </w:pPr>
      <w:r w:rsidRPr="00562D4D">
        <w:t xml:space="preserve">Source: </w:t>
      </w:r>
      <w:r>
        <w:tab/>
      </w:r>
      <w:r w:rsidRPr="00562D4D">
        <w:t>ABS</w:t>
      </w:r>
      <w:r w:rsidRPr="004218BD">
        <w:t xml:space="preserve">, </w:t>
      </w:r>
      <w:r w:rsidRPr="0037128E">
        <w:rPr>
          <w:i/>
        </w:rPr>
        <w:t>National, state and territory population, March 2024</w:t>
      </w:r>
      <w:r>
        <w:t>; and</w:t>
      </w:r>
      <w:r w:rsidRPr="004218BD">
        <w:t xml:space="preserve"> Centre for Population</w:t>
      </w:r>
      <w:r>
        <w:t>.</w:t>
      </w:r>
    </w:p>
    <w:p w14:paraId="0E26F7EB" w14:textId="77777777" w:rsidR="00B17627" w:rsidRDefault="00B17627" w:rsidP="00C23990">
      <w:pPr>
        <w:pStyle w:val="SingleParagraph"/>
      </w:pPr>
      <w:bookmarkStart w:id="86" w:name="_Ref152852103"/>
    </w:p>
    <w:p w14:paraId="0FFDB1AD" w14:textId="3A0A58C9" w:rsidR="00D9259F" w:rsidRPr="002375F0" w:rsidRDefault="00D9259F" w:rsidP="00654915">
      <w:pPr>
        <w:pStyle w:val="ChartMainHeading"/>
      </w:pPr>
      <w:bookmarkStart w:id="87" w:name="_Ref183505968"/>
      <w:r w:rsidRPr="00666E22">
        <w:lastRenderedPageBreak/>
        <w:t>Net overseas migration forecasts by visa group</w:t>
      </w:r>
      <w:bookmarkEnd w:id="86"/>
      <w:bookmarkEnd w:id="87"/>
    </w:p>
    <w:p w14:paraId="1295FCE9" w14:textId="6E0DD181" w:rsidR="00D9259F" w:rsidRPr="00FC3B5A" w:rsidRDefault="00350668" w:rsidP="006A24B8">
      <w:pPr>
        <w:pStyle w:val="ChartGraphic"/>
      </w:pPr>
      <w:r w:rsidRPr="006A24B8">
        <w:rPr>
          <w:noProof/>
        </w:rPr>
        <w:drawing>
          <wp:inline distT="0" distB="0" distL="0" distR="0" wp14:anchorId="5343701D" wp14:editId="028D8769">
            <wp:extent cx="5582285" cy="2881630"/>
            <wp:effectExtent l="0" t="0" r="0" b="0"/>
            <wp:docPr id="11" name="Picture 11" descr="This chart shows annual net overseas migration by visa group, by financial year. Border restrictions during the pandemic caused a drop in net overseas migration to record lows. Net overseas migration rose quickly to 537,000 in 2022–23 and is forecast to drop to around 460,000 in 2023–24, then to 340,000 in 2024–25 and continuing to decline thereafter. The largest contributor to net overseas migration over the forecasted period are students, followed by all other temporary visas group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annual net overseas migration by visa group, by financial year. Border restrictions during the pandemic caused a drop in net overseas migration to record lows. Net overseas migration rose quickly to 537,000 in 2022–23 and is forecast to drop to around 460,000 in 2023–24, then to 340,000 in 2024–25 and continuing to decline thereafter. The largest contributor to net overseas migration over the forecasted period are students, followed by all other temporary visas grouped togeth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2285" cy="2881630"/>
                    </a:xfrm>
                    <a:prstGeom prst="rect">
                      <a:avLst/>
                    </a:prstGeom>
                    <a:noFill/>
                    <a:ln>
                      <a:noFill/>
                    </a:ln>
                  </pic:spPr>
                </pic:pic>
              </a:graphicData>
            </a:graphic>
          </wp:inline>
        </w:drawing>
      </w:r>
      <w:r w:rsidR="00D9259F" w:rsidRPr="00110C42">
        <w:rPr>
          <w:noProof/>
        </w:rPr>
        <w:t xml:space="preserve"> </w:t>
      </w:r>
    </w:p>
    <w:p w14:paraId="1F143FED" w14:textId="04142BD8" w:rsidR="00D9259F" w:rsidRPr="00EF084E" w:rsidRDefault="00D9259F" w:rsidP="00D9259F">
      <w:pPr>
        <w:pStyle w:val="Source"/>
        <w:rPr>
          <w:rFonts w:ascii="Calibri" w:eastAsia="SimSun" w:hAnsi="Calibri" w:cs="Times New Roman"/>
        </w:rPr>
      </w:pPr>
      <w:r>
        <w:t xml:space="preserve">Source: </w:t>
      </w:r>
      <w:r>
        <w:tab/>
        <w:t xml:space="preserve">ABS, </w:t>
      </w:r>
      <w:r w:rsidRPr="0037128E">
        <w:rPr>
          <w:i/>
        </w:rPr>
        <w:t>National, state and territory population, March 2024</w:t>
      </w:r>
      <w:r>
        <w:t>; and Centre for Population.</w:t>
      </w:r>
      <w:r w:rsidR="00C47108">
        <w:t xml:space="preserve"> </w:t>
      </w:r>
    </w:p>
    <w:p w14:paraId="0FCDC92A" w14:textId="77777777" w:rsidR="006A24B8" w:rsidRDefault="006A24B8" w:rsidP="006A24B8">
      <w:pPr>
        <w:pStyle w:val="SingleParagraph"/>
      </w:pPr>
      <w:bookmarkStart w:id="88" w:name="_Hlk153286040"/>
    </w:p>
    <w:p w14:paraId="66E5334C" w14:textId="5B7AC469" w:rsidR="00D9259F" w:rsidRPr="00961E06" w:rsidRDefault="00D9259F" w:rsidP="00D9259F">
      <w:pPr>
        <w:pStyle w:val="Heading3Numbered"/>
      </w:pPr>
      <w:r w:rsidRPr="00961E06">
        <w:t xml:space="preserve">Temporary </w:t>
      </w:r>
      <w:r>
        <w:t>m</w:t>
      </w:r>
      <w:r w:rsidRPr="00961E06">
        <w:t>igrant</w:t>
      </w:r>
      <w:r>
        <w:t xml:space="preserve"> arrivals</w:t>
      </w:r>
    </w:p>
    <w:p w14:paraId="01EDE067" w14:textId="48AEAD3E" w:rsidR="00D9259F" w:rsidRDefault="00D9259F" w:rsidP="00D9259F">
      <w:pPr>
        <w:spacing w:after="160"/>
      </w:pPr>
      <w:bookmarkStart w:id="89" w:name="_Hlk153267525"/>
      <w:bookmarkEnd w:id="88"/>
      <w:r>
        <w:t xml:space="preserve">Migrant arrivals across almost all temporary visa groups were high in 2022–23 </w:t>
      </w:r>
      <w:r w:rsidR="006621DA">
        <w:t>following the reopening of international borders</w:t>
      </w:r>
      <w:r>
        <w:t xml:space="preserve"> and fell in 2023–24 (</w:t>
      </w:r>
      <w:r>
        <w:fldChar w:fldCharType="begin"/>
      </w:r>
      <w:r>
        <w:instrText xml:space="preserve"> REF _Ref181026704 \n \h </w:instrText>
      </w:r>
      <w:r>
        <w:fldChar w:fldCharType="separate"/>
      </w:r>
      <w:r w:rsidR="00050D25">
        <w:t>Chart 10</w:t>
      </w:r>
      <w:r>
        <w:fldChar w:fldCharType="end"/>
      </w:r>
      <w:r>
        <w:t>).</w:t>
      </w:r>
    </w:p>
    <w:p w14:paraId="1DC67137" w14:textId="246D8910" w:rsidR="00D9259F" w:rsidRDefault="00D9259F" w:rsidP="00D9259F">
      <w:pPr>
        <w:spacing w:after="160"/>
      </w:pPr>
      <w:r>
        <w:t xml:space="preserve">Students account for the largest share of temporary </w:t>
      </w:r>
      <w:r w:rsidR="000F698E">
        <w:t xml:space="preserve">visa </w:t>
      </w:r>
      <w:r w:rsidR="00582F5A">
        <w:t xml:space="preserve">migrant </w:t>
      </w:r>
      <w:r>
        <w:t>arrivals. Student visa holders made up 50</w:t>
      </w:r>
      <w:r w:rsidR="00FF207F">
        <w:t> per cent</w:t>
      </w:r>
      <w:r>
        <w:t xml:space="preserve"> of temporary visa migrant arrivals in 2022–23. This is around the historical average, which is expected to persist to 2027–28. The strong demand to study in Australia is being moderated by higher offshore visa refusal rates compared to pre</w:t>
      </w:r>
      <w:r w:rsidR="00050D25">
        <w:noBreakHyphen/>
      </w:r>
      <w:r>
        <w:t>pandemic</w:t>
      </w:r>
      <w:r w:rsidR="001F4650">
        <w:t xml:space="preserve"> rates</w:t>
      </w:r>
      <w:r>
        <w:t>.</w:t>
      </w:r>
    </w:p>
    <w:p w14:paraId="60F1FB63" w14:textId="34FC2F66" w:rsidR="00D9259F" w:rsidRDefault="00D9259F" w:rsidP="00D9259F">
      <w:pPr>
        <w:spacing w:after="160"/>
      </w:pPr>
      <w:r>
        <w:t>The number of student visa holders in Australia</w:t>
      </w:r>
      <w:r w:rsidR="00F9777A">
        <w:t xml:space="preserve"> </w:t>
      </w:r>
      <w:r>
        <w:t>increased to 675,000 in September 2024</w:t>
      </w:r>
      <w:r w:rsidR="009F2A44">
        <w:t>,</w:t>
      </w:r>
      <w:r>
        <w:t xml:space="preserve"> around 40,000 higher than the pre</w:t>
      </w:r>
      <w:r w:rsidR="00050D25">
        <w:noBreakHyphen/>
      </w:r>
      <w:r>
        <w:t>pandemic high of 634,000 (</w:t>
      </w:r>
      <w:r w:rsidR="00960EF4">
        <w:fldChar w:fldCharType="begin"/>
      </w:r>
      <w:r w:rsidR="00960EF4">
        <w:instrText xml:space="preserve"> REF _Ref185350244 \r \h </w:instrText>
      </w:r>
      <w:r w:rsidR="00960EF4">
        <w:fldChar w:fldCharType="separate"/>
      </w:r>
      <w:r w:rsidR="00050D25">
        <w:t>Chart 11</w:t>
      </w:r>
      <w:r w:rsidR="00960EF4">
        <w:fldChar w:fldCharType="end"/>
      </w:r>
      <w:r w:rsidR="00823204">
        <w:fldChar w:fldCharType="begin"/>
      </w:r>
      <w:r w:rsidR="00823204">
        <w:fldChar w:fldCharType="separate"/>
      </w:r>
      <w:r w:rsidR="00F91FC5">
        <w:t>Chart 11</w:t>
      </w:r>
      <w:r w:rsidR="00823204">
        <w:fldChar w:fldCharType="end"/>
      </w:r>
      <w:r>
        <w:t>).</w:t>
      </w:r>
      <w:r w:rsidR="00FD496B" w:rsidDel="00FC041B">
        <w:rPr>
          <w:rStyle w:val="FootnoteReference"/>
        </w:rPr>
        <w:footnoteReference w:id="15"/>
      </w:r>
      <w:r w:rsidDel="00FC041B">
        <w:t xml:space="preserve"> </w:t>
      </w:r>
      <w:r w:rsidRPr="0076438B">
        <w:t>In addition, people can study wh</w:t>
      </w:r>
      <w:r w:rsidR="008A0991">
        <w:t>en</w:t>
      </w:r>
      <w:r w:rsidRPr="0076438B">
        <w:t xml:space="preserve"> on bridging visas </w:t>
      </w:r>
      <w:r>
        <w:t xml:space="preserve">while </w:t>
      </w:r>
      <w:r w:rsidRPr="0076438B">
        <w:t>awaiting a decision on a student visa application. In 2024</w:t>
      </w:r>
      <w:r w:rsidR="005A3C1E">
        <w:t>,</w:t>
      </w:r>
      <w:r w:rsidRPr="0076438B">
        <w:t xml:space="preserve"> there </w:t>
      </w:r>
      <w:r w:rsidR="009F2A44">
        <w:t>has</w:t>
      </w:r>
      <w:r w:rsidRPr="0076438B">
        <w:t xml:space="preserve"> been </w:t>
      </w:r>
      <w:r w:rsidR="009F2A44">
        <w:t xml:space="preserve">a </w:t>
      </w:r>
      <w:r w:rsidRPr="0076438B">
        <w:t>backlog</w:t>
      </w:r>
      <w:r w:rsidR="009F2A44">
        <w:t xml:space="preserve"> of over 100,000 </w:t>
      </w:r>
      <w:r w:rsidRPr="0076438B">
        <w:t>onshore student visa applications</w:t>
      </w:r>
      <w:r w:rsidR="00AB3064">
        <w:t xml:space="preserve">, many of whom are on a bridging visa. These </w:t>
      </w:r>
      <w:r w:rsidR="00604814">
        <w:t>people</w:t>
      </w:r>
      <w:r w:rsidR="00AB3064">
        <w:t xml:space="preserve"> </w:t>
      </w:r>
      <w:r w:rsidR="00EC6D8A">
        <w:t>will</w:t>
      </w:r>
      <w:r w:rsidR="00A152AD">
        <w:t xml:space="preserve"> not</w:t>
      </w:r>
      <w:r w:rsidR="00EC6D8A">
        <w:t xml:space="preserve"> be</w:t>
      </w:r>
      <w:r w:rsidR="00366C36">
        <w:t xml:space="preserve"> </w:t>
      </w:r>
      <w:r w:rsidR="00604814">
        <w:t>counted</w:t>
      </w:r>
      <w:r w:rsidR="00366C36">
        <w:t xml:space="preserve"> in</w:t>
      </w:r>
      <w:r w:rsidRPr="0076438B">
        <w:t xml:space="preserve"> </w:t>
      </w:r>
      <w:r w:rsidR="008E5ECA">
        <w:t>the published numbers of student visa holders in Australia</w:t>
      </w:r>
      <w:r w:rsidR="00C24085">
        <w:t xml:space="preserve"> </w:t>
      </w:r>
      <w:r w:rsidR="00A152AD">
        <w:t>unless</w:t>
      </w:r>
      <w:r w:rsidR="00C24085">
        <w:t xml:space="preserve"> their student visa is granted.</w:t>
      </w:r>
    </w:p>
    <w:p w14:paraId="19283A85" w14:textId="2F2ED6B4" w:rsidR="00D9259F" w:rsidRDefault="00D9259F" w:rsidP="00D9259F">
      <w:pPr>
        <w:spacing w:after="160"/>
      </w:pPr>
      <w:r>
        <w:t xml:space="preserve">Working holiday migrant arrivals </w:t>
      </w:r>
      <w:r w:rsidR="001435EB">
        <w:t xml:space="preserve">have </w:t>
      </w:r>
      <w:r w:rsidR="006D4A60">
        <w:t xml:space="preserve">been elevated </w:t>
      </w:r>
      <w:r>
        <w:t>in 2023–24</w:t>
      </w:r>
      <w:r w:rsidR="006D4A60">
        <w:t xml:space="preserve"> and are expected to remain high in 2024</w:t>
      </w:r>
      <w:r w:rsidR="001339E1">
        <w:t>‍</w:t>
      </w:r>
      <w:r w:rsidR="006D4A60">
        <w:t>–</w:t>
      </w:r>
      <w:r w:rsidR="001339E1">
        <w:t>‍</w:t>
      </w:r>
      <w:r w:rsidR="006D4A60">
        <w:t>25</w:t>
      </w:r>
      <w:r>
        <w:t xml:space="preserve">. Notably, working holiday makers have been staying in Australia longer than they </w:t>
      </w:r>
      <w:r w:rsidR="00C94878">
        <w:t>were</w:t>
      </w:r>
      <w:r>
        <w:t xml:space="preserve"> before the pandemic, with a greater share staying over 12</w:t>
      </w:r>
      <w:r w:rsidR="00705E0A">
        <w:t> </w:t>
      </w:r>
      <w:r>
        <w:t xml:space="preserve">months. The strength in the </w:t>
      </w:r>
      <w:r w:rsidR="00705E0A">
        <w:t xml:space="preserve">Australian </w:t>
      </w:r>
      <w:r>
        <w:t xml:space="preserve">labour market </w:t>
      </w:r>
      <w:r w:rsidR="00C83B53">
        <w:t xml:space="preserve">is </w:t>
      </w:r>
      <w:r w:rsidR="00AF6755">
        <w:t>likely</w:t>
      </w:r>
      <w:r w:rsidR="00C83B53">
        <w:t xml:space="preserve"> </w:t>
      </w:r>
      <w:r>
        <w:t>a</w:t>
      </w:r>
      <w:r w:rsidR="00903B86">
        <w:t xml:space="preserve"> </w:t>
      </w:r>
      <w:r>
        <w:t>driving factor.</w:t>
      </w:r>
    </w:p>
    <w:p w14:paraId="3759C002" w14:textId="57018C59" w:rsidR="00D9259F" w:rsidRDefault="00D9259F" w:rsidP="006A24B8">
      <w:pPr>
        <w:pStyle w:val="Heading3Numbered"/>
      </w:pPr>
      <w:r>
        <w:t xml:space="preserve">Temporary </w:t>
      </w:r>
      <w:r w:rsidRPr="006A24B8">
        <w:t>migrant</w:t>
      </w:r>
      <w:r>
        <w:t xml:space="preserve"> departures</w:t>
      </w:r>
    </w:p>
    <w:p w14:paraId="0927CF57" w14:textId="7A68180D" w:rsidR="00D9259F" w:rsidRDefault="00D9259F" w:rsidP="00D9259F">
      <w:pPr>
        <w:spacing w:after="160"/>
        <w:rPr>
          <w:rFonts w:eastAsiaTheme="minorHAnsi"/>
        </w:rPr>
      </w:pPr>
      <w:r>
        <w:t xml:space="preserve">Migrants who are temporary visa holders have been departing Australia at </w:t>
      </w:r>
      <w:r w:rsidR="00E44879">
        <w:t xml:space="preserve">lower rates than </w:t>
      </w:r>
      <w:r w:rsidR="00D9450D">
        <w:t>pre</w:t>
      </w:r>
      <w:r w:rsidR="00050D25">
        <w:noBreakHyphen/>
      </w:r>
      <w:r w:rsidR="00D9450D">
        <w:t>pandemic</w:t>
      </w:r>
      <w:r>
        <w:t>.</w:t>
      </w:r>
      <w:r w:rsidDel="001C542F">
        <w:t xml:space="preserve"> </w:t>
      </w:r>
      <w:r>
        <w:t>This</w:t>
      </w:r>
      <w:r w:rsidR="006A24B8">
        <w:t> </w:t>
      </w:r>
      <w:r>
        <w:t xml:space="preserve">has contributed to higher </w:t>
      </w:r>
      <w:r w:rsidR="00E84835">
        <w:t>NOM</w:t>
      </w:r>
      <w:r>
        <w:t xml:space="preserve"> in 2022–23 and 2023–24. Departures have started to increase as more people</w:t>
      </w:r>
      <w:r w:rsidR="00C94878">
        <w:t>,</w:t>
      </w:r>
      <w:r>
        <w:t xml:space="preserve"> </w:t>
      </w:r>
      <w:r w:rsidR="00C94878">
        <w:t>having</w:t>
      </w:r>
      <w:r>
        <w:t xml:space="preserve"> arrived shortly after border </w:t>
      </w:r>
      <w:r>
        <w:rPr>
          <w:rFonts w:eastAsiaTheme="minorHAnsi"/>
        </w:rPr>
        <w:t>restrictions were lifted</w:t>
      </w:r>
      <w:r w:rsidR="00880216">
        <w:rPr>
          <w:rFonts w:eastAsiaTheme="minorHAnsi"/>
        </w:rPr>
        <w:t>,</w:t>
      </w:r>
      <w:r>
        <w:rPr>
          <w:rFonts w:eastAsiaTheme="minorHAnsi"/>
        </w:rPr>
        <w:t xml:space="preserve"> approach the expiry of their visa</w:t>
      </w:r>
      <w:r w:rsidR="00DF057F">
        <w:rPr>
          <w:rFonts w:eastAsiaTheme="minorHAnsi"/>
        </w:rPr>
        <w:t>. This is</w:t>
      </w:r>
      <w:r>
        <w:t xml:space="preserve"> particularly </w:t>
      </w:r>
      <w:r w:rsidR="00DF057F">
        <w:t xml:space="preserve">the case for </w:t>
      </w:r>
      <w:r>
        <w:t>working holiday makers who tend to have shorter stays</w:t>
      </w:r>
      <w:r>
        <w:rPr>
          <w:rFonts w:eastAsiaTheme="minorHAnsi"/>
        </w:rPr>
        <w:t xml:space="preserve">. </w:t>
      </w:r>
      <w:r w:rsidR="0045378C">
        <w:rPr>
          <w:rFonts w:eastAsiaTheme="minorHAnsi"/>
        </w:rPr>
        <w:t>However,</w:t>
      </w:r>
      <w:r w:rsidR="00BC2B75">
        <w:rPr>
          <w:rFonts w:eastAsiaTheme="minorHAnsi"/>
        </w:rPr>
        <w:t xml:space="preserve"> </w:t>
      </w:r>
      <w:r w:rsidR="00F109B6">
        <w:rPr>
          <w:rFonts w:eastAsiaTheme="minorHAnsi"/>
        </w:rPr>
        <w:t xml:space="preserve">it will take time </w:t>
      </w:r>
      <w:r w:rsidR="00DF057F">
        <w:rPr>
          <w:rFonts w:eastAsiaTheme="minorHAnsi"/>
        </w:rPr>
        <w:t xml:space="preserve">for </w:t>
      </w:r>
      <w:r w:rsidR="00F109B6">
        <w:rPr>
          <w:rFonts w:eastAsiaTheme="minorHAnsi"/>
        </w:rPr>
        <w:t xml:space="preserve">departures </w:t>
      </w:r>
      <w:r w:rsidR="00DF057F">
        <w:rPr>
          <w:rFonts w:eastAsiaTheme="minorHAnsi"/>
        </w:rPr>
        <w:t xml:space="preserve">to </w:t>
      </w:r>
      <w:r w:rsidR="00F109B6">
        <w:rPr>
          <w:rFonts w:eastAsiaTheme="minorHAnsi"/>
        </w:rPr>
        <w:t xml:space="preserve">increase </w:t>
      </w:r>
      <w:r w:rsidR="0045378C">
        <w:rPr>
          <w:rFonts w:eastAsiaTheme="minorHAnsi"/>
        </w:rPr>
        <w:t>a</w:t>
      </w:r>
      <w:r w:rsidR="00FC7A36">
        <w:rPr>
          <w:rFonts w:eastAsiaTheme="minorHAnsi"/>
        </w:rPr>
        <w:t xml:space="preserve">s </w:t>
      </w:r>
      <w:proofErr w:type="gramStart"/>
      <w:r w:rsidR="00DC599A">
        <w:rPr>
          <w:rFonts w:eastAsiaTheme="minorHAnsi"/>
        </w:rPr>
        <w:t>the majority</w:t>
      </w:r>
      <w:r w:rsidR="0045378C">
        <w:rPr>
          <w:rFonts w:eastAsiaTheme="minorHAnsi"/>
        </w:rPr>
        <w:t xml:space="preserve"> of</w:t>
      </w:r>
      <w:proofErr w:type="gramEnd"/>
      <w:r w:rsidR="0045378C">
        <w:rPr>
          <w:rFonts w:eastAsiaTheme="minorHAnsi"/>
        </w:rPr>
        <w:t xml:space="preserve"> </w:t>
      </w:r>
      <w:r w:rsidR="00DC599A">
        <w:rPr>
          <w:rFonts w:eastAsiaTheme="minorHAnsi"/>
        </w:rPr>
        <w:t>arrivals were new</w:t>
      </w:r>
      <w:r w:rsidR="00BC2B75">
        <w:rPr>
          <w:rFonts w:eastAsiaTheme="minorHAnsi"/>
        </w:rPr>
        <w:t xml:space="preserve"> students</w:t>
      </w:r>
      <w:r w:rsidR="00367657">
        <w:rPr>
          <w:rFonts w:eastAsiaTheme="minorHAnsi"/>
        </w:rPr>
        <w:t xml:space="preserve"> who are yet</w:t>
      </w:r>
      <w:r w:rsidR="00DC599A">
        <w:rPr>
          <w:rFonts w:eastAsiaTheme="minorHAnsi"/>
        </w:rPr>
        <w:t xml:space="preserve"> to </w:t>
      </w:r>
      <w:r w:rsidR="007A1382">
        <w:rPr>
          <w:rFonts w:eastAsiaTheme="minorHAnsi"/>
        </w:rPr>
        <w:t>complete</w:t>
      </w:r>
      <w:r w:rsidR="00DC599A">
        <w:rPr>
          <w:rFonts w:eastAsiaTheme="minorHAnsi"/>
        </w:rPr>
        <w:t xml:space="preserve"> their studies.</w:t>
      </w:r>
      <w:r w:rsidR="002559C9">
        <w:rPr>
          <w:rFonts w:eastAsiaTheme="minorHAnsi"/>
        </w:rPr>
        <w:t xml:space="preserve"> </w:t>
      </w:r>
      <w:r>
        <w:rPr>
          <w:rFonts w:eastAsiaTheme="minorHAnsi"/>
        </w:rPr>
        <w:lastRenderedPageBreak/>
        <w:t>The</w:t>
      </w:r>
      <w:r w:rsidR="006A24B8">
        <w:rPr>
          <w:rFonts w:eastAsiaTheme="minorHAnsi"/>
        </w:rPr>
        <w:t> </w:t>
      </w:r>
      <w:r>
        <w:rPr>
          <w:rFonts w:eastAsiaTheme="minorHAnsi"/>
        </w:rPr>
        <w:t xml:space="preserve">Centre does not expect a sharp increase in departures of temporary visa holders that would mirror the sharp increase in arrivals when border restrictions were lifted. </w:t>
      </w:r>
      <w:r w:rsidR="00166B2C">
        <w:rPr>
          <w:rFonts w:eastAsiaTheme="minorHAnsi"/>
        </w:rPr>
        <w:t xml:space="preserve">Visas </w:t>
      </w:r>
      <w:r w:rsidR="00651C81">
        <w:rPr>
          <w:rFonts w:eastAsiaTheme="minorHAnsi"/>
        </w:rPr>
        <w:t>permit</w:t>
      </w:r>
      <w:r w:rsidR="00166B2C">
        <w:rPr>
          <w:rFonts w:eastAsiaTheme="minorHAnsi"/>
        </w:rPr>
        <w:t xml:space="preserve"> varying lengths of stay </w:t>
      </w:r>
      <w:r>
        <w:rPr>
          <w:rFonts w:eastAsiaTheme="minorHAnsi"/>
        </w:rPr>
        <w:t xml:space="preserve">in Australia, and some migrants will obtain </w:t>
      </w:r>
      <w:r w:rsidR="00E02DC5">
        <w:rPr>
          <w:rFonts w:eastAsiaTheme="minorHAnsi"/>
        </w:rPr>
        <w:t xml:space="preserve">a subsequent </w:t>
      </w:r>
      <w:r>
        <w:rPr>
          <w:rFonts w:eastAsiaTheme="minorHAnsi"/>
        </w:rPr>
        <w:t>temporary visa or a permanent visa.</w:t>
      </w:r>
    </w:p>
    <w:p w14:paraId="574A0270" w14:textId="5D904AC8" w:rsidR="00D9259F" w:rsidRDefault="00530D91" w:rsidP="00D9259F">
      <w:pPr>
        <w:spacing w:after="160"/>
        <w:rPr>
          <w:rFonts w:eastAsiaTheme="minorHAnsi"/>
        </w:rPr>
      </w:pPr>
      <w:r>
        <w:rPr>
          <w:rFonts w:eastAsiaTheme="minorHAnsi"/>
        </w:rPr>
        <w:t>In 2022</w:t>
      </w:r>
      <w:r w:rsidRPr="002D2FB4">
        <w:rPr>
          <w:rFonts w:eastAsiaTheme="minorHAnsi"/>
        </w:rPr>
        <w:t>–</w:t>
      </w:r>
      <w:r>
        <w:rPr>
          <w:rFonts w:eastAsiaTheme="minorHAnsi"/>
        </w:rPr>
        <w:t xml:space="preserve">23, </w:t>
      </w:r>
      <w:r w:rsidR="004A3A0F">
        <w:rPr>
          <w:rFonts w:eastAsiaTheme="minorHAnsi"/>
        </w:rPr>
        <w:t>a</w:t>
      </w:r>
      <w:r w:rsidR="007B0648">
        <w:rPr>
          <w:rFonts w:eastAsiaTheme="minorHAnsi"/>
        </w:rPr>
        <w:t xml:space="preserve"> </w:t>
      </w:r>
      <w:r w:rsidR="00D9259F" w:rsidRPr="002D2FB4">
        <w:rPr>
          <w:rFonts w:eastAsiaTheme="minorHAnsi"/>
        </w:rPr>
        <w:t xml:space="preserve">high number of </w:t>
      </w:r>
      <w:r w:rsidR="00A433A3">
        <w:rPr>
          <w:rFonts w:eastAsiaTheme="minorHAnsi"/>
        </w:rPr>
        <w:t>625</w:t>
      </w:r>
      <w:r w:rsidR="007A791C">
        <w:rPr>
          <w:rFonts w:eastAsiaTheme="minorHAnsi"/>
        </w:rPr>
        <w:t xml:space="preserve">,000 </w:t>
      </w:r>
      <w:r w:rsidR="00A433A3">
        <w:rPr>
          <w:rFonts w:eastAsiaTheme="minorHAnsi"/>
        </w:rPr>
        <w:t>temporary</w:t>
      </w:r>
      <w:r w:rsidR="007A791C">
        <w:rPr>
          <w:rFonts w:eastAsiaTheme="minorHAnsi"/>
        </w:rPr>
        <w:t xml:space="preserve"> </w:t>
      </w:r>
      <w:r w:rsidR="00D9259F" w:rsidRPr="002D2FB4">
        <w:rPr>
          <w:rFonts w:eastAsiaTheme="minorHAnsi"/>
        </w:rPr>
        <w:t>visa</w:t>
      </w:r>
      <w:r w:rsidR="00F867DB">
        <w:rPr>
          <w:rFonts w:eastAsiaTheme="minorHAnsi"/>
        </w:rPr>
        <w:t>s were</w:t>
      </w:r>
      <w:r w:rsidR="00D9259F" w:rsidRPr="002D2FB4">
        <w:rPr>
          <w:rFonts w:eastAsiaTheme="minorHAnsi"/>
        </w:rPr>
        <w:t xml:space="preserve"> grant</w:t>
      </w:r>
      <w:r w:rsidR="00F867DB">
        <w:rPr>
          <w:rFonts w:eastAsiaTheme="minorHAnsi"/>
        </w:rPr>
        <w:t>ed</w:t>
      </w:r>
      <w:r w:rsidR="00D9259F" w:rsidRPr="002D2FB4">
        <w:rPr>
          <w:rFonts w:eastAsiaTheme="minorHAnsi"/>
        </w:rPr>
        <w:t xml:space="preserve"> to temporary visa holders already onshore</w:t>
      </w:r>
      <w:r w:rsidR="00F867DB">
        <w:rPr>
          <w:rFonts w:eastAsiaTheme="minorHAnsi"/>
        </w:rPr>
        <w:t>, which</w:t>
      </w:r>
      <w:r w:rsidR="00D9259F" w:rsidRPr="002D2FB4">
        <w:rPr>
          <w:rFonts w:eastAsiaTheme="minorHAnsi"/>
        </w:rPr>
        <w:t xml:space="preserve"> indicate</w:t>
      </w:r>
      <w:r w:rsidR="00D9259F">
        <w:rPr>
          <w:rFonts w:eastAsiaTheme="minorHAnsi"/>
        </w:rPr>
        <w:t>s</w:t>
      </w:r>
      <w:r w:rsidR="00D9259F" w:rsidRPr="002D2FB4">
        <w:rPr>
          <w:rFonts w:eastAsiaTheme="minorHAnsi"/>
        </w:rPr>
        <w:t xml:space="preserve"> continued demand to stay in Australia. As a proportion of the temporary visa holders onshore, the transition rate </w:t>
      </w:r>
      <w:r w:rsidR="00BB3872">
        <w:rPr>
          <w:rFonts w:eastAsiaTheme="minorHAnsi"/>
        </w:rPr>
        <w:t xml:space="preserve">to new </w:t>
      </w:r>
      <w:r w:rsidR="00AA0750">
        <w:rPr>
          <w:rFonts w:eastAsiaTheme="minorHAnsi"/>
        </w:rPr>
        <w:t>temporary</w:t>
      </w:r>
      <w:r w:rsidR="00BB3872">
        <w:rPr>
          <w:rFonts w:eastAsiaTheme="minorHAnsi"/>
        </w:rPr>
        <w:t xml:space="preserve"> visas </w:t>
      </w:r>
      <w:r w:rsidR="00D9259F" w:rsidRPr="002D2FB4">
        <w:rPr>
          <w:rFonts w:eastAsiaTheme="minorHAnsi"/>
        </w:rPr>
        <w:t xml:space="preserve">was </w:t>
      </w:r>
      <w:r w:rsidR="007B0648">
        <w:rPr>
          <w:rFonts w:eastAsiaTheme="minorHAnsi"/>
        </w:rPr>
        <w:t xml:space="preserve">also </w:t>
      </w:r>
      <w:r w:rsidR="00D9259F" w:rsidRPr="002D2FB4">
        <w:rPr>
          <w:rFonts w:eastAsiaTheme="minorHAnsi"/>
        </w:rPr>
        <w:t xml:space="preserve">at a record high. </w:t>
      </w:r>
      <w:r w:rsidR="00D9259F">
        <w:rPr>
          <w:rFonts w:eastAsiaTheme="minorHAnsi"/>
        </w:rPr>
        <w:t>O</w:t>
      </w:r>
      <w:r w:rsidR="00D9259F" w:rsidRPr="002D2FB4">
        <w:rPr>
          <w:rFonts w:eastAsiaTheme="minorHAnsi"/>
        </w:rPr>
        <w:t xml:space="preserve">nshore transitions </w:t>
      </w:r>
      <w:r w:rsidR="00A433A3">
        <w:rPr>
          <w:rFonts w:eastAsiaTheme="minorHAnsi"/>
        </w:rPr>
        <w:t>to temporary visas</w:t>
      </w:r>
      <w:r w:rsidR="00D9259F" w:rsidRPr="002D2FB4">
        <w:rPr>
          <w:rFonts w:eastAsiaTheme="minorHAnsi"/>
        </w:rPr>
        <w:t xml:space="preserve"> </w:t>
      </w:r>
      <w:r w:rsidR="00F867DB">
        <w:rPr>
          <w:rFonts w:eastAsiaTheme="minorHAnsi"/>
        </w:rPr>
        <w:t xml:space="preserve">fell </w:t>
      </w:r>
      <w:r w:rsidR="00D9259F">
        <w:rPr>
          <w:rFonts w:eastAsiaTheme="minorHAnsi"/>
        </w:rPr>
        <w:t xml:space="preserve">to </w:t>
      </w:r>
      <w:r w:rsidR="00A433A3">
        <w:rPr>
          <w:rFonts w:eastAsiaTheme="minorHAnsi"/>
        </w:rPr>
        <w:t>400</w:t>
      </w:r>
      <w:r w:rsidR="00D9259F" w:rsidRPr="002D2FB4">
        <w:rPr>
          <w:rFonts w:eastAsiaTheme="minorHAnsi"/>
        </w:rPr>
        <w:t>,000</w:t>
      </w:r>
      <w:r w:rsidR="00D9259F">
        <w:rPr>
          <w:rFonts w:eastAsiaTheme="minorHAnsi"/>
        </w:rPr>
        <w:t xml:space="preserve"> in </w:t>
      </w:r>
      <w:r w:rsidR="00D9259F" w:rsidRPr="002D2FB4">
        <w:rPr>
          <w:rFonts w:eastAsiaTheme="minorHAnsi"/>
        </w:rPr>
        <w:t>2023–</w:t>
      </w:r>
      <w:r w:rsidR="00222767">
        <w:rPr>
          <w:rFonts w:eastAsiaTheme="minorHAnsi"/>
        </w:rPr>
        <w:t>‍</w:t>
      </w:r>
      <w:r w:rsidR="00D9259F" w:rsidRPr="002D2FB4">
        <w:rPr>
          <w:rFonts w:eastAsiaTheme="minorHAnsi"/>
        </w:rPr>
        <w:t>24</w:t>
      </w:r>
      <w:r w:rsidR="00D9259F">
        <w:rPr>
          <w:rFonts w:eastAsiaTheme="minorHAnsi"/>
        </w:rPr>
        <w:t>. This was still higher than pre</w:t>
      </w:r>
      <w:r w:rsidR="00050D25">
        <w:rPr>
          <w:rFonts w:eastAsiaTheme="minorHAnsi"/>
        </w:rPr>
        <w:noBreakHyphen/>
      </w:r>
      <w:r w:rsidR="00D9259F">
        <w:rPr>
          <w:rFonts w:eastAsiaTheme="minorHAnsi"/>
        </w:rPr>
        <w:t xml:space="preserve">pandemic levels, but </w:t>
      </w:r>
      <w:r w:rsidR="006D36B3">
        <w:rPr>
          <w:rFonts w:eastAsiaTheme="minorHAnsi"/>
        </w:rPr>
        <w:t xml:space="preserve">reflects </w:t>
      </w:r>
      <w:r w:rsidR="00D9259F">
        <w:rPr>
          <w:rFonts w:eastAsiaTheme="minorHAnsi"/>
        </w:rPr>
        <w:t>a larger population of temporary visa holders</w:t>
      </w:r>
      <w:r w:rsidR="0013038C">
        <w:rPr>
          <w:rFonts w:eastAsiaTheme="minorHAnsi"/>
        </w:rPr>
        <w:t>,</w:t>
      </w:r>
      <w:r w:rsidR="00F6369D">
        <w:rPr>
          <w:rFonts w:eastAsiaTheme="minorHAnsi"/>
        </w:rPr>
        <w:t xml:space="preserve"> with</w:t>
      </w:r>
      <w:r w:rsidR="00D9259F">
        <w:rPr>
          <w:rFonts w:eastAsiaTheme="minorHAnsi"/>
        </w:rPr>
        <w:t xml:space="preserve"> </w:t>
      </w:r>
      <w:r w:rsidR="00D9259F" w:rsidRPr="002D2FB4">
        <w:rPr>
          <w:rFonts w:eastAsiaTheme="minorHAnsi"/>
        </w:rPr>
        <w:t xml:space="preserve">the </w:t>
      </w:r>
      <w:r w:rsidR="00D9259F">
        <w:rPr>
          <w:rFonts w:eastAsiaTheme="minorHAnsi"/>
        </w:rPr>
        <w:t xml:space="preserve">transition </w:t>
      </w:r>
      <w:r w:rsidR="00D9259F" w:rsidRPr="002D2FB4">
        <w:rPr>
          <w:rFonts w:eastAsiaTheme="minorHAnsi"/>
        </w:rPr>
        <w:t xml:space="preserve">rate </w:t>
      </w:r>
      <w:r w:rsidR="00F6369D">
        <w:rPr>
          <w:rFonts w:eastAsiaTheme="minorHAnsi"/>
        </w:rPr>
        <w:t xml:space="preserve">returning </w:t>
      </w:r>
      <w:r w:rsidR="00D9259F">
        <w:rPr>
          <w:rFonts w:eastAsiaTheme="minorHAnsi"/>
        </w:rPr>
        <w:t xml:space="preserve">to </w:t>
      </w:r>
      <w:r w:rsidR="00D9259F" w:rsidRPr="002D2FB4">
        <w:rPr>
          <w:rFonts w:eastAsiaTheme="minorHAnsi"/>
        </w:rPr>
        <w:t>pre</w:t>
      </w:r>
      <w:r w:rsidR="00050D25">
        <w:rPr>
          <w:rFonts w:eastAsiaTheme="minorHAnsi"/>
        </w:rPr>
        <w:noBreakHyphen/>
      </w:r>
      <w:r w:rsidR="00D9259F" w:rsidRPr="002D2FB4">
        <w:rPr>
          <w:rFonts w:eastAsiaTheme="minorHAnsi"/>
        </w:rPr>
        <w:t xml:space="preserve">pandemic </w:t>
      </w:r>
      <w:r w:rsidR="00D9259F">
        <w:rPr>
          <w:rFonts w:eastAsiaTheme="minorHAnsi"/>
        </w:rPr>
        <w:t>trends</w:t>
      </w:r>
      <w:r w:rsidR="00D9259F" w:rsidRPr="002D2FB4">
        <w:rPr>
          <w:rFonts w:eastAsiaTheme="minorHAnsi"/>
        </w:rPr>
        <w:t>.</w:t>
      </w:r>
      <w:r w:rsidR="00DC173D" w:rsidRPr="00DC173D">
        <w:t xml:space="preserve"> </w:t>
      </w:r>
      <w:r w:rsidR="00DC173D" w:rsidRPr="00DC173D">
        <w:rPr>
          <w:rFonts w:eastAsiaTheme="minorHAnsi"/>
        </w:rPr>
        <w:t>Policy measures to remove or limit onshore visa transitions, particularly to a new student visa, will mean some people will depart who would otherwise have remained in Australia.</w:t>
      </w:r>
    </w:p>
    <w:p w14:paraId="4D4C679E" w14:textId="591B2041" w:rsidR="00D9259F" w:rsidRDefault="00D9259F" w:rsidP="00D9259F">
      <w:pPr>
        <w:spacing w:after="160"/>
        <w:rPr>
          <w:rFonts w:eastAsiaTheme="minorHAnsi"/>
        </w:rPr>
      </w:pPr>
      <w:r>
        <w:rPr>
          <w:rFonts w:eastAsiaTheme="minorHAnsi"/>
        </w:rPr>
        <w:t xml:space="preserve">Student departures have been low, particularly in 2022–23. </w:t>
      </w:r>
      <w:r w:rsidR="00DA51B9">
        <w:rPr>
          <w:rFonts w:eastAsiaTheme="minorHAnsi"/>
        </w:rPr>
        <w:t>This is partly</w:t>
      </w:r>
      <w:r w:rsidR="00DA64BB">
        <w:rPr>
          <w:rFonts w:eastAsiaTheme="minorHAnsi"/>
        </w:rPr>
        <w:t xml:space="preserve"> because</w:t>
      </w:r>
      <w:r w:rsidR="00CE1041">
        <w:rPr>
          <w:rFonts w:eastAsiaTheme="minorHAnsi"/>
        </w:rPr>
        <w:t xml:space="preserve"> </w:t>
      </w:r>
      <w:r w:rsidR="006B002E">
        <w:rPr>
          <w:rFonts w:eastAsiaTheme="minorHAnsi"/>
        </w:rPr>
        <w:t xml:space="preserve">many </w:t>
      </w:r>
      <w:r w:rsidR="00B81D09">
        <w:rPr>
          <w:rFonts w:eastAsiaTheme="minorHAnsi"/>
        </w:rPr>
        <w:t>student</w:t>
      </w:r>
      <w:r w:rsidR="006B002E">
        <w:rPr>
          <w:rFonts w:eastAsiaTheme="minorHAnsi"/>
        </w:rPr>
        <w:t>s</w:t>
      </w:r>
      <w:r w:rsidR="00B81D09">
        <w:rPr>
          <w:rFonts w:eastAsiaTheme="minorHAnsi"/>
        </w:rPr>
        <w:t xml:space="preserve"> </w:t>
      </w:r>
      <w:r w:rsidR="00AF3CED">
        <w:rPr>
          <w:rFonts w:eastAsiaTheme="minorHAnsi"/>
        </w:rPr>
        <w:t xml:space="preserve">who </w:t>
      </w:r>
      <w:r w:rsidR="00CE1041">
        <w:rPr>
          <w:rFonts w:eastAsiaTheme="minorHAnsi"/>
        </w:rPr>
        <w:t xml:space="preserve">arrived after borders reopened are yet to complete their studies. </w:t>
      </w:r>
      <w:r w:rsidR="00D0743B">
        <w:rPr>
          <w:rFonts w:eastAsiaTheme="minorHAnsi"/>
        </w:rPr>
        <w:t>Further, there was</w:t>
      </w:r>
      <w:r>
        <w:rPr>
          <w:rFonts w:eastAsiaTheme="minorHAnsi"/>
        </w:rPr>
        <w:t xml:space="preserve"> a significant increase in the transition rate to temporary graduate visas in 2022</w:t>
      </w:r>
      <w:r w:rsidR="00AF38FB">
        <w:rPr>
          <w:rFonts w:eastAsiaTheme="minorHAnsi"/>
        </w:rPr>
        <w:t>–</w:t>
      </w:r>
      <w:r>
        <w:rPr>
          <w:rFonts w:eastAsiaTheme="minorHAnsi"/>
        </w:rPr>
        <w:t xml:space="preserve">23. </w:t>
      </w:r>
      <w:r w:rsidR="004D35C4">
        <w:rPr>
          <w:rFonts w:eastAsiaTheme="minorHAnsi"/>
        </w:rPr>
        <w:t>T</w:t>
      </w:r>
      <w:r w:rsidR="00E02946">
        <w:rPr>
          <w:rFonts w:eastAsiaTheme="minorHAnsi"/>
        </w:rPr>
        <w:t>he transition rate has moderated</w:t>
      </w:r>
      <w:r w:rsidR="00AC590D">
        <w:rPr>
          <w:rFonts w:eastAsiaTheme="minorHAnsi"/>
        </w:rPr>
        <w:t xml:space="preserve"> </w:t>
      </w:r>
      <w:r>
        <w:rPr>
          <w:rFonts w:eastAsiaTheme="minorHAnsi"/>
        </w:rPr>
        <w:t>in 2023</w:t>
      </w:r>
      <w:r w:rsidR="001339E1">
        <w:t>‍</w:t>
      </w:r>
      <w:r>
        <w:rPr>
          <w:rFonts w:eastAsiaTheme="minorHAnsi"/>
        </w:rPr>
        <w:t>–</w:t>
      </w:r>
      <w:r w:rsidR="001339E1">
        <w:t>‍</w:t>
      </w:r>
      <w:r>
        <w:rPr>
          <w:rFonts w:eastAsiaTheme="minorHAnsi"/>
        </w:rPr>
        <w:t xml:space="preserve">24 to </w:t>
      </w:r>
      <w:r w:rsidR="00D50963">
        <w:rPr>
          <w:rFonts w:eastAsiaTheme="minorHAnsi"/>
        </w:rPr>
        <w:t xml:space="preserve">around </w:t>
      </w:r>
      <w:r>
        <w:rPr>
          <w:rFonts w:eastAsiaTheme="minorHAnsi"/>
        </w:rPr>
        <w:t>pre</w:t>
      </w:r>
      <w:r w:rsidR="00050D25">
        <w:rPr>
          <w:rFonts w:eastAsiaTheme="minorHAnsi"/>
        </w:rPr>
        <w:noBreakHyphen/>
      </w:r>
      <w:r>
        <w:rPr>
          <w:rFonts w:eastAsiaTheme="minorHAnsi"/>
        </w:rPr>
        <w:t xml:space="preserve">pandemic </w:t>
      </w:r>
      <w:r w:rsidR="00E7048A">
        <w:rPr>
          <w:rFonts w:eastAsiaTheme="minorHAnsi"/>
        </w:rPr>
        <w:t>levels</w:t>
      </w:r>
      <w:r>
        <w:rPr>
          <w:rFonts w:eastAsiaTheme="minorHAnsi"/>
        </w:rPr>
        <w:t xml:space="preserve">. Changes to </w:t>
      </w:r>
      <w:r w:rsidR="00990C6B">
        <w:rPr>
          <w:rFonts w:eastAsiaTheme="minorHAnsi"/>
        </w:rPr>
        <w:t>temporary graduate visa</w:t>
      </w:r>
      <w:r w:rsidR="00F95494">
        <w:rPr>
          <w:rFonts w:eastAsiaTheme="minorHAnsi"/>
        </w:rPr>
        <w:t>s</w:t>
      </w:r>
      <w:r>
        <w:rPr>
          <w:rFonts w:eastAsiaTheme="minorHAnsi"/>
        </w:rPr>
        <w:t xml:space="preserve"> from 1 July 2024, including </w:t>
      </w:r>
      <w:r w:rsidR="00AA3F9B">
        <w:rPr>
          <w:rFonts w:eastAsiaTheme="minorHAnsi"/>
        </w:rPr>
        <w:t xml:space="preserve">reducing the length of stay and </w:t>
      </w:r>
      <w:r>
        <w:rPr>
          <w:rFonts w:eastAsiaTheme="minorHAnsi"/>
        </w:rPr>
        <w:t xml:space="preserve">further age restrictions, are expected to </w:t>
      </w:r>
      <w:r w:rsidR="00E7048A">
        <w:rPr>
          <w:rFonts w:eastAsiaTheme="minorHAnsi"/>
        </w:rPr>
        <w:t xml:space="preserve">further </w:t>
      </w:r>
      <w:r>
        <w:rPr>
          <w:rFonts w:eastAsiaTheme="minorHAnsi"/>
        </w:rPr>
        <w:t xml:space="preserve">moderate the number of </w:t>
      </w:r>
      <w:r w:rsidR="00990C6B">
        <w:rPr>
          <w:rFonts w:eastAsiaTheme="minorHAnsi"/>
        </w:rPr>
        <w:t>temporary graduate visas</w:t>
      </w:r>
      <w:r w:rsidR="00990C6B" w:rsidDel="00990C6B">
        <w:rPr>
          <w:rFonts w:eastAsiaTheme="minorHAnsi"/>
        </w:rPr>
        <w:t xml:space="preserve"> </w:t>
      </w:r>
      <w:r>
        <w:rPr>
          <w:rFonts w:eastAsiaTheme="minorHAnsi"/>
        </w:rPr>
        <w:t xml:space="preserve">granted in the future. </w:t>
      </w:r>
    </w:p>
    <w:p w14:paraId="072FE594" w14:textId="3D857348" w:rsidR="00D9259F" w:rsidRDefault="005A5880" w:rsidP="00D9259F">
      <w:pPr>
        <w:spacing w:after="160"/>
        <w:rPr>
          <w:rFonts w:eastAsiaTheme="minorHAnsi"/>
        </w:rPr>
      </w:pPr>
      <w:r>
        <w:rPr>
          <w:rFonts w:eastAsiaTheme="minorHAnsi"/>
        </w:rPr>
        <w:t>Many</w:t>
      </w:r>
      <w:r w:rsidR="00D9259F">
        <w:rPr>
          <w:rFonts w:eastAsiaTheme="minorHAnsi"/>
        </w:rPr>
        <w:t xml:space="preserve"> temporary visa holders are also appealing visa refusals while onshore, which can prolong their stay in Australia. Even unsuccessful appeals have the effect of delaying departures. Between </w:t>
      </w:r>
      <w:r w:rsidR="00642E5F">
        <w:rPr>
          <w:rFonts w:eastAsiaTheme="minorHAnsi"/>
        </w:rPr>
        <w:t>April</w:t>
      </w:r>
      <w:r w:rsidR="00D9259F">
        <w:rPr>
          <w:rFonts w:eastAsiaTheme="minorHAnsi"/>
        </w:rPr>
        <w:t xml:space="preserve"> and </w:t>
      </w:r>
      <w:r w:rsidR="00642E5F">
        <w:rPr>
          <w:rFonts w:eastAsiaTheme="minorHAnsi"/>
        </w:rPr>
        <w:t xml:space="preserve">September </w:t>
      </w:r>
      <w:r w:rsidR="00D9259F">
        <w:rPr>
          <w:rFonts w:eastAsiaTheme="minorHAnsi"/>
        </w:rPr>
        <w:t xml:space="preserve">2024, the median time taken by the Administrative Appeals Tribunal </w:t>
      </w:r>
      <w:r w:rsidR="00985603">
        <w:rPr>
          <w:rFonts w:eastAsiaTheme="minorHAnsi"/>
        </w:rPr>
        <w:t xml:space="preserve">(now replaced by the </w:t>
      </w:r>
      <w:r w:rsidR="00985603" w:rsidRPr="00985603">
        <w:rPr>
          <w:rFonts w:eastAsiaTheme="minorHAnsi"/>
        </w:rPr>
        <w:t xml:space="preserve">Administrative </w:t>
      </w:r>
      <w:r w:rsidR="004E6664">
        <w:rPr>
          <w:rFonts w:eastAsiaTheme="minorHAnsi"/>
        </w:rPr>
        <w:t xml:space="preserve">Review </w:t>
      </w:r>
      <w:r w:rsidR="00D9259F">
        <w:rPr>
          <w:rFonts w:eastAsiaTheme="minorHAnsi"/>
        </w:rPr>
        <w:t>Tribunal</w:t>
      </w:r>
      <w:r w:rsidR="00985603">
        <w:rPr>
          <w:rFonts w:eastAsiaTheme="minorHAnsi"/>
        </w:rPr>
        <w:t>)</w:t>
      </w:r>
      <w:r w:rsidR="00D9259F">
        <w:rPr>
          <w:rFonts w:eastAsiaTheme="minorHAnsi"/>
        </w:rPr>
        <w:t xml:space="preserve"> to complete reviews of student visa refusals was </w:t>
      </w:r>
      <w:r w:rsidR="004E6664">
        <w:rPr>
          <w:rFonts w:eastAsiaTheme="minorHAnsi"/>
        </w:rPr>
        <w:t>11</w:t>
      </w:r>
      <w:r w:rsidR="00D9259F">
        <w:rPr>
          <w:rFonts w:eastAsiaTheme="minorHAnsi"/>
        </w:rPr>
        <w:t xml:space="preserve"> months.</w:t>
      </w:r>
      <w:r w:rsidR="00403C7D">
        <w:rPr>
          <w:rStyle w:val="FootnoteReference"/>
          <w:rFonts w:eastAsiaTheme="minorHAnsi"/>
        </w:rPr>
        <w:footnoteReference w:id="16"/>
      </w:r>
    </w:p>
    <w:p w14:paraId="538715B0" w14:textId="3746CB06" w:rsidR="00D9259F" w:rsidRDefault="00D9259F" w:rsidP="00654915">
      <w:pPr>
        <w:pStyle w:val="ChartMainHeading"/>
      </w:pPr>
      <w:bookmarkStart w:id="90" w:name="_Ref181026704"/>
      <w:r>
        <w:t>Temporary migrant arrivals and departures, 2024 Population Statement compared to 2023 Population Statement</w:t>
      </w:r>
      <w:bookmarkEnd w:id="90"/>
    </w:p>
    <w:p w14:paraId="297292DD" w14:textId="2715D84E" w:rsidR="00D9259F" w:rsidRDefault="003B67E7" w:rsidP="006A24B8">
      <w:pPr>
        <w:pStyle w:val="ChartGraphic"/>
      </w:pPr>
      <w:r w:rsidRPr="003B67E7">
        <w:rPr>
          <w:noProof/>
        </w:rPr>
        <w:drawing>
          <wp:inline distT="0" distB="0" distL="0" distR="0" wp14:anchorId="4EA89C1E" wp14:editId="61C530C1">
            <wp:extent cx="5581650" cy="2886075"/>
            <wp:effectExtent l="0" t="0" r="0" b="0"/>
            <wp:docPr id="968695026" name="Picture 968695026" descr="This chart shows a comparison of the temporary visa migrant arrivals and departures forecast in the 2023 Population Statement with the forecast in the 2024 Population Statement. Compared to the 2024 Population Statement, the 2023 Population Statement had fewer temporary visa migrant arrivals and more departures in both 2023–24 and 2024–25. The two forecasts begin to converge by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95026" name="Picture 968695026" descr="This chart shows a comparison of the temporary visa migrant arrivals and departures forecast in the 2023 Population Statement with the forecast in the 2024 Population Statement. Compared to the 2024 Population Statement, the 2023 Population Statement had fewer temporary visa migrant arrivals and more departures in both 2023–24 and 2024–25. The two forecasts begin to converge by 2025–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0101C82A" w14:textId="77777777" w:rsidR="00AC05AA" w:rsidRDefault="00AC05AA" w:rsidP="006A24B8">
      <w:pPr>
        <w:pStyle w:val="ChartorTableNote"/>
      </w:pPr>
      <w:r>
        <w:t xml:space="preserve">Note: </w:t>
      </w:r>
      <w:r>
        <w:tab/>
        <w:t>2024 Population Statement is shown using solid lines and 2023 Population Statement is shown using dashed lines.</w:t>
      </w:r>
    </w:p>
    <w:p w14:paraId="4642AC86" w14:textId="17123422" w:rsidR="00D9259F" w:rsidRPr="005E24D1" w:rsidRDefault="00D9259F" w:rsidP="00D9259F">
      <w:pPr>
        <w:pStyle w:val="Source"/>
        <w:ind w:left="720" w:hanging="720"/>
      </w:pPr>
      <w:r>
        <w:t xml:space="preserve">Source: </w:t>
      </w:r>
      <w:r>
        <w:tab/>
      </w:r>
      <w:r w:rsidRPr="006A24B8">
        <w:rPr>
          <w:rStyle w:val="SubtleEmphasis"/>
        </w:rPr>
        <w:t>2023 Population Statement</w:t>
      </w:r>
      <w:r>
        <w:t xml:space="preserve">; </w:t>
      </w:r>
      <w:r w:rsidRPr="00562D4D">
        <w:t>ABS</w:t>
      </w:r>
      <w:r w:rsidRPr="004218BD">
        <w:t xml:space="preserve">, </w:t>
      </w:r>
      <w:r w:rsidRPr="006A24B8">
        <w:rPr>
          <w:rStyle w:val="SubtleEmphasis"/>
        </w:rPr>
        <w:t>National, state and territory population</w:t>
      </w:r>
      <w:r w:rsidRPr="0037128E">
        <w:rPr>
          <w:i/>
        </w:rPr>
        <w:t>, March 2024</w:t>
      </w:r>
      <w:r>
        <w:t>; and</w:t>
      </w:r>
      <w:r w:rsidRPr="004218BD">
        <w:t xml:space="preserve"> Centre for Population</w:t>
      </w:r>
      <w:r>
        <w:t xml:space="preserve">. </w:t>
      </w:r>
    </w:p>
    <w:p w14:paraId="06E17025" w14:textId="65EF1F82" w:rsidR="00D9259F" w:rsidRPr="006F0E23" w:rsidRDefault="00D9259F" w:rsidP="00654915">
      <w:pPr>
        <w:pStyle w:val="ChartMainHeading"/>
      </w:pPr>
      <w:bookmarkStart w:id="91" w:name="_Ref152852342"/>
      <w:bookmarkStart w:id="92" w:name="_Ref183184396"/>
      <w:bookmarkStart w:id="93" w:name="_Ref185350244"/>
      <w:bookmarkEnd w:id="89"/>
      <w:r>
        <w:lastRenderedPageBreak/>
        <w:t>Number of t</w:t>
      </w:r>
      <w:r w:rsidRPr="00435810">
        <w:t>emporary visa holders</w:t>
      </w:r>
      <w:r>
        <w:t xml:space="preserve"> in Australia</w:t>
      </w:r>
      <w:r w:rsidRPr="00435810">
        <w:t>, by category</w:t>
      </w:r>
      <w:bookmarkEnd w:id="91"/>
      <w:bookmarkEnd w:id="92"/>
      <w:bookmarkEnd w:id="93"/>
    </w:p>
    <w:p w14:paraId="1197E6AE" w14:textId="05C3C14E" w:rsidR="00D9259F" w:rsidRDefault="00F63679" w:rsidP="00C23990">
      <w:pPr>
        <w:pStyle w:val="ChartGraphic"/>
        <w:rPr>
          <w:noProof/>
        </w:rPr>
      </w:pPr>
      <w:r w:rsidRPr="00F63679">
        <w:rPr>
          <w:noProof/>
        </w:rPr>
        <w:drawing>
          <wp:inline distT="0" distB="0" distL="0" distR="0" wp14:anchorId="3AE31714" wp14:editId="650E273C">
            <wp:extent cx="5760720" cy="2880360"/>
            <wp:effectExtent l="0" t="0" r="0" b="0"/>
            <wp:docPr id="9" name="Picture 9" descr="This chart shows the number of temporary visa holders present in Australia by visa category including student visas, bridging visas, and all other temporary visas grouped together. The number of bridging visa holders has increased in the last year, the number of students has surpassed the pre-pandemic peak, and all other temporary visa holders increased rapidly after 2021–22 to plateau at a historic high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the number of temporary visa holders present in Australia by visa category including student visas, bridging visas, and all other temporary visas grouped together. The number of bridging visa holders has increased in the last year, the number of students has surpassed the pre-pandemic peak, and all other temporary visa holders increased rapidly after 2021–22 to plateau at a historic high in 202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B794D46" w14:textId="2114B0AA" w:rsidR="00D9259F" w:rsidRDefault="00D9259F" w:rsidP="00C23990">
      <w:pPr>
        <w:pStyle w:val="ChartorTableNote"/>
      </w:pPr>
      <w:r>
        <w:t>Note:</w:t>
      </w:r>
      <w:r>
        <w:tab/>
        <w:t xml:space="preserve">Excludes people on Visitor, Crew and Transit and </w:t>
      </w:r>
      <w:r w:rsidR="00644B0D">
        <w:t>Special Category</w:t>
      </w:r>
      <w:r>
        <w:t xml:space="preserve"> </w:t>
      </w:r>
      <w:r w:rsidR="00644B0D">
        <w:t xml:space="preserve">(for </w:t>
      </w:r>
      <w:r>
        <w:t xml:space="preserve">New Zealand </w:t>
      </w:r>
      <w:r w:rsidR="00644B0D">
        <w:t xml:space="preserve">citizens) </w:t>
      </w:r>
      <w:r>
        <w:t>visas.</w:t>
      </w:r>
    </w:p>
    <w:p w14:paraId="4796226A" w14:textId="017ADCAA" w:rsidR="00D9259F" w:rsidRDefault="00D9259F" w:rsidP="00D9259F">
      <w:pPr>
        <w:pStyle w:val="Source"/>
      </w:pPr>
      <w:r>
        <w:t>Source:</w:t>
      </w:r>
      <w:r>
        <w:tab/>
        <w:t xml:space="preserve">Department of Home Affairs, </w:t>
      </w:r>
      <w:r w:rsidRPr="006A24B8">
        <w:rPr>
          <w:rStyle w:val="SubtleEmphasis"/>
        </w:rPr>
        <w:t>Temporary visa holders in Australia, September 2024</w:t>
      </w:r>
      <w:r w:rsidRPr="008F1F7C">
        <w:t>.</w:t>
      </w:r>
      <w:r w:rsidR="00FF2E23">
        <w:t xml:space="preserve"> </w:t>
      </w:r>
    </w:p>
    <w:p w14:paraId="4AFE9332" w14:textId="77777777" w:rsidR="006A24B8" w:rsidRPr="006A24B8" w:rsidRDefault="006A24B8" w:rsidP="006A24B8">
      <w:pPr>
        <w:pStyle w:val="SingleParagraph"/>
        <w:rPr>
          <w:rStyle w:val="Hyperlink"/>
          <w:color w:val="auto"/>
        </w:rPr>
      </w:pPr>
    </w:p>
    <w:p w14:paraId="65B307E2" w14:textId="5C64A871" w:rsidR="00D9259F" w:rsidRDefault="00D9259F" w:rsidP="00D9259F">
      <w:pPr>
        <w:pStyle w:val="Heading3Numbered"/>
      </w:pPr>
      <w:bookmarkStart w:id="94" w:name="_Hlk153267555"/>
      <w:r>
        <w:t xml:space="preserve">Permanent migrants, New </w:t>
      </w:r>
      <w:proofErr w:type="gramStart"/>
      <w:r>
        <w:t>Zealand</w:t>
      </w:r>
      <w:proofErr w:type="gramEnd"/>
      <w:r>
        <w:t xml:space="preserve"> and Australian citizens </w:t>
      </w:r>
    </w:p>
    <w:p w14:paraId="20425EF7" w14:textId="34F42BBE" w:rsidR="00D9259F" w:rsidRDefault="00E84835" w:rsidP="00D9259F">
      <w:r>
        <w:t>NOM</w:t>
      </w:r>
      <w:r w:rsidR="00D9259F">
        <w:t xml:space="preserve"> of permanent visa holders</w:t>
      </w:r>
      <w:r w:rsidR="00D0460C">
        <w:t>, which does not include Australian and New Zealand citizens</w:t>
      </w:r>
      <w:r w:rsidR="00BF7FAB">
        <w:t>,</w:t>
      </w:r>
      <w:r w:rsidR="00D9259F">
        <w:t xml:space="preserve"> is expected to be 65,000 in 2024–25 and then return to its historical average of 70,000. Permanent visa migrant arrivals are largely controlled by the number of permanent visas granted to people living outside Australia (</w:t>
      </w:r>
      <w:r w:rsidR="00D9259F">
        <w:fldChar w:fldCharType="begin"/>
      </w:r>
      <w:r w:rsidR="00D9259F">
        <w:instrText xml:space="preserve"> REF _Ref179450768 \n \h  \* MERGEFORMAT </w:instrText>
      </w:r>
      <w:r w:rsidR="00D9259F">
        <w:fldChar w:fldCharType="separate"/>
      </w:r>
      <w:r w:rsidR="00050D25">
        <w:t>Box 3</w:t>
      </w:r>
      <w:r w:rsidR="00D9259F">
        <w:fldChar w:fldCharType="end"/>
      </w:r>
      <w:r w:rsidR="00D9259F">
        <w:t xml:space="preserve">). A small and stable number of permanent visa holders depart each year. </w:t>
      </w:r>
    </w:p>
    <w:p w14:paraId="2D41F8DB" w14:textId="79BEC749" w:rsidR="00D9259F" w:rsidRDefault="00E84835" w:rsidP="00D9259F">
      <w:pPr>
        <w:spacing w:before="0" w:after="160"/>
      </w:pPr>
      <w:r>
        <w:t>NOM</w:t>
      </w:r>
      <w:r w:rsidR="00D9259F">
        <w:t xml:space="preserve"> of New Zealand citizens has been increasing since 2020–21 and is expected to peak in 2023–24</w:t>
      </w:r>
      <w:r w:rsidR="0041761F">
        <w:t xml:space="preserve"> at its highest level since</w:t>
      </w:r>
      <w:r w:rsidR="00B1082D">
        <w:t xml:space="preserve"> 201</w:t>
      </w:r>
      <w:r w:rsidR="00E27279">
        <w:t>2</w:t>
      </w:r>
      <w:r w:rsidR="00B1082D">
        <w:t>–1</w:t>
      </w:r>
      <w:r w:rsidR="00E27279">
        <w:t>3</w:t>
      </w:r>
      <w:r w:rsidR="0041761F">
        <w:t>,</w:t>
      </w:r>
      <w:r w:rsidR="00D9259F">
        <w:t xml:space="preserve"> before declining </w:t>
      </w:r>
      <w:r w:rsidR="005A566D">
        <w:t xml:space="preserve">and </w:t>
      </w:r>
      <w:r w:rsidR="001428A7">
        <w:t>stabilis</w:t>
      </w:r>
      <w:r w:rsidR="005A566D">
        <w:t>ing</w:t>
      </w:r>
      <w:r w:rsidR="009F717B">
        <w:t xml:space="preserve"> by 2026</w:t>
      </w:r>
      <w:r w:rsidR="00F54B17">
        <w:t>–</w:t>
      </w:r>
      <w:r w:rsidR="009F717B">
        <w:t>27</w:t>
      </w:r>
      <w:r w:rsidR="00D9259F">
        <w:t>. New Zealand citizens can make Australia their home indefinitely and are entitled to Medicare, student loans and various government payments including the Age Pension. New Zealand currently has a higher unemployment rate than Australia, which historically is associated with more New Zealand migrant arrivals (</w:t>
      </w:r>
      <w:r w:rsidR="00D9259F">
        <w:fldChar w:fldCharType="begin"/>
      </w:r>
      <w:r w:rsidR="00D9259F">
        <w:instrText xml:space="preserve"> REF _Ref181026893 \n \h </w:instrText>
      </w:r>
      <w:r w:rsidR="00D9259F">
        <w:fldChar w:fldCharType="separate"/>
      </w:r>
      <w:r w:rsidR="00050D25">
        <w:t>Chart 12</w:t>
      </w:r>
      <w:r w:rsidR="00D9259F">
        <w:fldChar w:fldCharType="end"/>
      </w:r>
      <w:r w:rsidR="00D9259F">
        <w:t>).</w:t>
      </w:r>
    </w:p>
    <w:p w14:paraId="56F4BC34" w14:textId="4E1C9A56" w:rsidR="00D9259F" w:rsidRDefault="00E84835" w:rsidP="00D9259F">
      <w:pPr>
        <w:spacing w:before="0" w:after="160"/>
      </w:pPr>
      <w:r>
        <w:t>NOM</w:t>
      </w:r>
      <w:r w:rsidR="00D9259F">
        <w:t xml:space="preserve"> of Australian citizens is historically negative. It became positive during the pandemic as Australian citizens returned from overseas. When borders reopened, departures </w:t>
      </w:r>
      <w:proofErr w:type="gramStart"/>
      <w:r w:rsidR="00D9259F">
        <w:t>increased</w:t>
      </w:r>
      <w:proofErr w:type="gramEnd"/>
      <w:r w:rsidR="00D9259F">
        <w:t xml:space="preserve"> and the net outflow of Australian citizens reached a </w:t>
      </w:r>
      <w:r w:rsidR="001040A1">
        <w:t xml:space="preserve">high </w:t>
      </w:r>
      <w:r w:rsidR="00D9259F">
        <w:t xml:space="preserve">of </w:t>
      </w:r>
      <w:r w:rsidR="005D50F8">
        <w:t>31</w:t>
      </w:r>
      <w:r w:rsidR="00D9259F">
        <w:t>,000 in 2022–23. It is expected to steadily return to 15,000 in 2025–‍26, its long</w:t>
      </w:r>
      <w:r w:rsidR="00050D25">
        <w:noBreakHyphen/>
      </w:r>
      <w:r w:rsidR="00D9259F">
        <w:t xml:space="preserve">term trend level. </w:t>
      </w:r>
    </w:p>
    <w:p w14:paraId="05E4FE25" w14:textId="4B779382" w:rsidR="00D9259F" w:rsidRDefault="00D9259F" w:rsidP="00654915">
      <w:pPr>
        <w:pStyle w:val="ChartMainHeading"/>
      </w:pPr>
      <w:bookmarkStart w:id="95" w:name="_Ref181026893"/>
      <w:r>
        <w:lastRenderedPageBreak/>
        <w:t>New Zealand citizen migrant arrivals and unemployment rate difference</w:t>
      </w:r>
      <w:bookmarkEnd w:id="95"/>
      <w:r>
        <w:t xml:space="preserve"> between Australia and New Zealand</w:t>
      </w:r>
      <w:r w:rsidR="005074CD">
        <w:t>, quarterly</w:t>
      </w:r>
    </w:p>
    <w:p w14:paraId="3CF69075" w14:textId="594B5699" w:rsidR="00D9259F" w:rsidRPr="000D4FEB" w:rsidRDefault="008F6C68" w:rsidP="006A24B8">
      <w:pPr>
        <w:pStyle w:val="ChartGraphic"/>
      </w:pPr>
      <w:r w:rsidRPr="008F6C68">
        <w:rPr>
          <w:noProof/>
        </w:rPr>
        <w:drawing>
          <wp:inline distT="0" distB="0" distL="0" distR="0" wp14:anchorId="6C07F3D4" wp14:editId="78007EFB">
            <wp:extent cx="5581650" cy="2889250"/>
            <wp:effectExtent l="0" t="0" r="0" b="0"/>
            <wp:docPr id="1652631568" name="Picture 1652631568" descr="This chart shows a comparison of the number of New Zealand citizen migrant arrivals and the difference between Australia and New Zealand's unemployment rates. There are more New Zealand citizen migrant arrivals when New Zealand’s unemployment rate is higher than Australia’s, and likewise there are fewer New Zealand citizen migrant arrivals when New Zealand’s unemployment rate is lower than Austr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31568" name="Picture 1652631568" descr="This chart shows a comparison of the number of New Zealand citizen migrant arrivals and the difference between Australia and New Zealand's unemployment rates. There are more New Zealand citizen migrant arrivals when New Zealand’s unemployment rate is higher than Australia’s, and likewise there are fewer New Zealand citizen migrant arrivals when New Zealand’s unemployment rate is lower than Australi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2889250"/>
                    </a:xfrm>
                    <a:prstGeom prst="rect">
                      <a:avLst/>
                    </a:prstGeom>
                    <a:noFill/>
                    <a:ln>
                      <a:noFill/>
                    </a:ln>
                  </pic:spPr>
                </pic:pic>
              </a:graphicData>
            </a:graphic>
          </wp:inline>
        </w:drawing>
      </w:r>
    </w:p>
    <w:p w14:paraId="5A10A920" w14:textId="45A39B9E" w:rsidR="00D9259F" w:rsidRPr="006A24B8" w:rsidRDefault="00D9259F" w:rsidP="006A24B8">
      <w:pPr>
        <w:pStyle w:val="ChartorTableNote"/>
      </w:pPr>
      <w:r w:rsidRPr="006A24B8">
        <w:t xml:space="preserve">Note: </w:t>
      </w:r>
      <w:r w:rsidRPr="006A24B8">
        <w:tab/>
        <w:t xml:space="preserve">Unemployment rates are seasonally adjusted. A positive unemployment rate difference means that </w:t>
      </w:r>
      <w:r w:rsidR="00E96848" w:rsidRPr="006A24B8">
        <w:t>Australia</w:t>
      </w:r>
      <w:r w:rsidR="00050D25">
        <w:t>’</w:t>
      </w:r>
      <w:r w:rsidR="00E96848" w:rsidRPr="006A24B8">
        <w:t>s</w:t>
      </w:r>
      <w:r w:rsidRPr="006A24B8">
        <w:t xml:space="preserve"> </w:t>
      </w:r>
      <w:r w:rsidR="005033E0">
        <w:t>unemployment rate is lower</w:t>
      </w:r>
      <w:r w:rsidR="00A018BB" w:rsidRPr="006A24B8">
        <w:t xml:space="preserve"> than </w:t>
      </w:r>
      <w:r w:rsidR="00E96848" w:rsidRPr="006A24B8">
        <w:t>New Zealand</w:t>
      </w:r>
      <w:r w:rsidR="00050D25">
        <w:t>’</w:t>
      </w:r>
      <w:r w:rsidR="00E96848" w:rsidRPr="006A24B8">
        <w:t>s</w:t>
      </w:r>
      <w:r w:rsidRPr="006A24B8">
        <w:t>.</w:t>
      </w:r>
    </w:p>
    <w:p w14:paraId="671272B3" w14:textId="405E66C0" w:rsidR="008E3493" w:rsidRPr="000D4FEB" w:rsidRDefault="00D9259F" w:rsidP="008E3493">
      <w:pPr>
        <w:pStyle w:val="Source"/>
      </w:pPr>
      <w:r>
        <w:t xml:space="preserve">Source: </w:t>
      </w:r>
      <w:r>
        <w:tab/>
        <w:t>Stats NZ; ABS,</w:t>
      </w:r>
      <w:r w:rsidRPr="006A24B8">
        <w:rPr>
          <w:rStyle w:val="SubtleEmphasis"/>
        </w:rPr>
        <w:t xml:space="preserve"> National, state and territory population,</w:t>
      </w:r>
      <w:r w:rsidRPr="0037128E">
        <w:rPr>
          <w:i/>
        </w:rPr>
        <w:t xml:space="preserve"> March 2024</w:t>
      </w:r>
      <w:r>
        <w:t xml:space="preserve">; and ABS, </w:t>
      </w:r>
      <w:r w:rsidRPr="006A24B8">
        <w:rPr>
          <w:rStyle w:val="SubtleEmphasis"/>
        </w:rPr>
        <w:t>Labour Force, Australia, September</w:t>
      </w:r>
      <w:r w:rsidR="006A24B8" w:rsidRPr="006A24B8">
        <w:rPr>
          <w:rStyle w:val="SubtleEmphasis"/>
        </w:rPr>
        <w:t> </w:t>
      </w:r>
      <w:r w:rsidRPr="006A24B8">
        <w:rPr>
          <w:rStyle w:val="SubtleEmphasis"/>
        </w:rPr>
        <w:t xml:space="preserve">2024. </w:t>
      </w:r>
    </w:p>
    <w:tbl>
      <w:tblPr>
        <w:tblStyle w:val="TableGrid"/>
        <w:tblW w:w="0" w:type="auto"/>
        <w:tblLook w:val="04A0" w:firstRow="1" w:lastRow="0" w:firstColumn="1" w:lastColumn="0" w:noHBand="0" w:noVBand="1"/>
      </w:tblPr>
      <w:tblGrid>
        <w:gridCol w:w="9062"/>
      </w:tblGrid>
      <w:tr w:rsidR="00D9259F" w:rsidRPr="003B6850" w14:paraId="5B566B2B" w14:textId="77777777" w:rsidTr="0095584C">
        <w:trPr>
          <w:trHeight w:val="293"/>
        </w:trPr>
        <w:tc>
          <w:tcPr>
            <w:tcW w:w="9072" w:type="dxa"/>
            <w:tcBorders>
              <w:top w:val="single" w:sz="4" w:space="0" w:color="9E928F" w:themeColor="accent5"/>
              <w:left w:val="single" w:sz="4" w:space="0" w:color="9E928F" w:themeColor="accent5"/>
              <w:bottom w:val="single" w:sz="4" w:space="0" w:color="9E928F" w:themeColor="accent5"/>
              <w:right w:val="single" w:sz="4" w:space="0" w:color="9E928F" w:themeColor="accent5"/>
            </w:tcBorders>
            <w:shd w:val="clear" w:color="auto" w:fill="auto"/>
            <w:vAlign w:val="center"/>
          </w:tcPr>
          <w:p w14:paraId="2C6EAB6B" w14:textId="025BBD65" w:rsidR="00D9259F" w:rsidRPr="006A24B8" w:rsidRDefault="00D9259F" w:rsidP="006A24B8">
            <w:pPr>
              <w:pStyle w:val="BoxHeading"/>
            </w:pPr>
            <w:bookmarkStart w:id="96" w:name="_Ref179450768"/>
            <w:r w:rsidRPr="006A24B8">
              <w:lastRenderedPageBreak/>
              <w:t xml:space="preserve">The relationship between the </w:t>
            </w:r>
            <w:r w:rsidR="00DF0BE8" w:rsidRPr="006A24B8">
              <w:t>Permanent Migration Program</w:t>
            </w:r>
            <w:r w:rsidRPr="006A24B8">
              <w:t xml:space="preserve"> and net overseas migration</w:t>
            </w:r>
            <w:bookmarkEnd w:id="96"/>
            <w:r w:rsidRPr="006A24B8">
              <w:t xml:space="preserve"> </w:t>
            </w:r>
          </w:p>
          <w:p w14:paraId="0F32401A" w14:textId="0ADB9318" w:rsidR="00D523EE" w:rsidRDefault="00D523EE" w:rsidP="00222767">
            <w:pPr>
              <w:pStyle w:val="BoxText"/>
            </w:pPr>
            <w:r>
              <w:t xml:space="preserve">NOM </w:t>
            </w:r>
            <w:r w:rsidR="00432D90">
              <w:t>is a</w:t>
            </w:r>
            <w:r w:rsidR="00667E30">
              <w:t xml:space="preserve"> statistical concept </w:t>
            </w:r>
            <w:r w:rsidR="00432D90">
              <w:t>that</w:t>
            </w:r>
            <w:r w:rsidR="00667E30">
              <w:t xml:space="preserve"> </w:t>
            </w:r>
            <w:r w:rsidR="00CA6E03">
              <w:t>measures the flow of</w:t>
            </w:r>
            <w:r w:rsidR="00667E30" w:rsidRPr="007158FE">
              <w:t xml:space="preserve"> migrants on </w:t>
            </w:r>
            <w:r>
              <w:t xml:space="preserve">permanent and </w:t>
            </w:r>
            <w:r w:rsidR="00667E30" w:rsidRPr="007158FE">
              <w:t>temporary visas</w:t>
            </w:r>
            <w:r w:rsidR="00667E30">
              <w:t>, and</w:t>
            </w:r>
            <w:r w:rsidR="00667E30" w:rsidRPr="007158FE">
              <w:t xml:space="preserve"> Australian and New Zealand citizens</w:t>
            </w:r>
            <w:r w:rsidR="00CA6E03">
              <w:t xml:space="preserve"> into and out of Australia</w:t>
            </w:r>
            <w:r w:rsidR="00050D25">
              <w:t>’</w:t>
            </w:r>
            <w:r w:rsidR="00CA6E03">
              <w:t>s population</w:t>
            </w:r>
            <w:r w:rsidR="00667E30" w:rsidRPr="007158FE">
              <w:t xml:space="preserve">. </w:t>
            </w:r>
            <w:r w:rsidR="00667E30" w:rsidRPr="00A6205A">
              <w:t>From 2007</w:t>
            </w:r>
            <w:r w:rsidR="00667E30" w:rsidRPr="00F34D8A">
              <w:t>–</w:t>
            </w:r>
            <w:r w:rsidR="00667E30" w:rsidRPr="00A6205A">
              <w:t>08 to 2018</w:t>
            </w:r>
            <w:r w:rsidR="00667E30" w:rsidRPr="00F34D8A">
              <w:t>–19</w:t>
            </w:r>
            <w:r w:rsidR="00667E30" w:rsidRPr="00A6205A">
              <w:t xml:space="preserve">, around </w:t>
            </w:r>
            <w:r w:rsidR="008A02BA" w:rsidRPr="00A6205A">
              <w:t>one</w:t>
            </w:r>
            <w:r w:rsidR="00050D25">
              <w:noBreakHyphen/>
            </w:r>
            <w:r w:rsidR="00667E30" w:rsidRPr="00A6205A">
              <w:t>third of NOM was in the permanent visa category.</w:t>
            </w:r>
            <w:r>
              <w:t xml:space="preserve"> </w:t>
            </w:r>
          </w:p>
          <w:p w14:paraId="2CB2EE61" w14:textId="093C3C9D" w:rsidR="00D9259F" w:rsidRDefault="00EA34AA" w:rsidP="00222767">
            <w:pPr>
              <w:pStyle w:val="BoxText"/>
            </w:pPr>
            <w:r>
              <w:t>T</w:t>
            </w:r>
            <w:r w:rsidR="00D9259F">
              <w:t xml:space="preserve">he </w:t>
            </w:r>
            <w:r w:rsidR="00F50C5A">
              <w:t>P</w:t>
            </w:r>
            <w:r w:rsidR="00D9259F">
              <w:t xml:space="preserve">ermanent Migration Program is </w:t>
            </w:r>
            <w:r w:rsidR="00CA6E03">
              <w:t xml:space="preserve">a narrower </w:t>
            </w:r>
            <w:r w:rsidR="00432D90">
              <w:t>migration policy</w:t>
            </w:r>
            <w:r w:rsidR="00CA6E03">
              <w:t xml:space="preserve"> concept</w:t>
            </w:r>
            <w:r>
              <w:t xml:space="preserve"> than NOM</w:t>
            </w:r>
            <w:r w:rsidR="00CA6E03">
              <w:t>. It</w:t>
            </w:r>
            <w:r w:rsidR="00D9259F">
              <w:t xml:space="preserve"> is the main pathway to permanent residenc</w:t>
            </w:r>
            <w:r w:rsidR="00F620E2">
              <w:t>y</w:t>
            </w:r>
            <w:r w:rsidR="00D9259F">
              <w:t xml:space="preserve"> in Australia, and includes skilled, family, and special eligibility permanent visas. </w:t>
            </w:r>
            <w:r w:rsidR="003136DD" w:rsidRPr="007158FE">
              <w:t xml:space="preserve">The </w:t>
            </w:r>
            <w:r w:rsidR="003136DD">
              <w:t>Government sets the</w:t>
            </w:r>
            <w:r w:rsidR="003136DD" w:rsidRPr="007158FE">
              <w:t xml:space="preserve"> </w:t>
            </w:r>
            <w:r w:rsidR="003136DD">
              <w:t xml:space="preserve">number of places available each financial year, with the </w:t>
            </w:r>
            <w:r w:rsidR="003136DD" w:rsidRPr="007158FE">
              <w:t>2024</w:t>
            </w:r>
            <w:r w:rsidR="003136DD">
              <w:t>–</w:t>
            </w:r>
            <w:r w:rsidR="003136DD" w:rsidRPr="007158FE">
              <w:t xml:space="preserve">25 planning level </w:t>
            </w:r>
            <w:r w:rsidR="003136DD">
              <w:t xml:space="preserve">set at </w:t>
            </w:r>
            <w:r w:rsidR="003136DD" w:rsidRPr="007158FE">
              <w:t xml:space="preserve">185,000 places. </w:t>
            </w:r>
            <w:r w:rsidR="000C7AD3">
              <w:t xml:space="preserve">An </w:t>
            </w:r>
            <w:r w:rsidR="00C327C6">
              <w:t>additional</w:t>
            </w:r>
            <w:r w:rsidR="00AF1644">
              <w:t xml:space="preserve"> </w:t>
            </w:r>
            <w:r w:rsidR="000C7AD3">
              <w:t>20,000</w:t>
            </w:r>
            <w:r w:rsidR="00AF1644">
              <w:t xml:space="preserve"> permanent visas are</w:t>
            </w:r>
            <w:r w:rsidR="003136DD" w:rsidRPr="007158FE">
              <w:t xml:space="preserve"> </w:t>
            </w:r>
            <w:r w:rsidR="00AF1644">
              <w:t xml:space="preserve">available </w:t>
            </w:r>
            <w:r w:rsidR="000C7AD3">
              <w:t xml:space="preserve">in </w:t>
            </w:r>
            <w:r w:rsidR="000C7AD3" w:rsidRPr="007158FE">
              <w:t>2024</w:t>
            </w:r>
            <w:r w:rsidR="000C7AD3">
              <w:t>–</w:t>
            </w:r>
            <w:r w:rsidR="000C7AD3" w:rsidRPr="007158FE">
              <w:t xml:space="preserve">25 </w:t>
            </w:r>
            <w:r w:rsidR="00AF1644">
              <w:t xml:space="preserve">through </w:t>
            </w:r>
            <w:r w:rsidR="00C327C6">
              <w:t xml:space="preserve">the </w:t>
            </w:r>
            <w:r w:rsidR="00C327C6" w:rsidRPr="007158FE">
              <w:t>Refugee and Humanitarian Program</w:t>
            </w:r>
            <w:r w:rsidR="00C327C6">
              <w:t>.</w:t>
            </w:r>
            <w:r w:rsidR="00AF1644">
              <w:t xml:space="preserve"> </w:t>
            </w:r>
          </w:p>
          <w:p w14:paraId="694EF3B5" w14:textId="7187CFF2" w:rsidR="00917A56" w:rsidRDefault="00917A56" w:rsidP="00917A56">
            <w:pPr>
              <w:pStyle w:val="BoxText"/>
            </w:pPr>
            <w:r>
              <w:t xml:space="preserve">Many individuals who are granted a </w:t>
            </w:r>
            <w:r w:rsidRPr="007158FE">
              <w:t xml:space="preserve">permanent visa </w:t>
            </w:r>
            <w:r>
              <w:t xml:space="preserve">are not counted in NOM as a </w:t>
            </w:r>
            <w:r w:rsidRPr="007158FE">
              <w:t>permanent migrant arrival.</w:t>
            </w:r>
            <w:r>
              <w:t xml:space="preserve"> This is because</w:t>
            </w:r>
            <w:r w:rsidRPr="007158FE">
              <w:t xml:space="preserve"> many permanent visas are granted to individuals who are already in Australia on a temporary visa</w:t>
            </w:r>
            <w:r>
              <w:t xml:space="preserve"> </w:t>
            </w:r>
            <w:r w:rsidR="002F1DB5">
              <w:t xml:space="preserve">– in </w:t>
            </w:r>
            <w:r w:rsidR="002F1DB5" w:rsidRPr="007158FE">
              <w:t>2022</w:t>
            </w:r>
            <w:r w:rsidR="002F1DB5">
              <w:t>–</w:t>
            </w:r>
            <w:r w:rsidR="002F1DB5" w:rsidRPr="007158FE">
              <w:t>23</w:t>
            </w:r>
            <w:r w:rsidR="002F1DB5">
              <w:t xml:space="preserve">, </w:t>
            </w:r>
            <w:r>
              <w:t>this was around</w:t>
            </w:r>
            <w:r w:rsidRPr="007158FE">
              <w:t xml:space="preserve"> 60</w:t>
            </w:r>
            <w:r>
              <w:t> per cent</w:t>
            </w:r>
            <w:r w:rsidRPr="007158FE">
              <w:t xml:space="preserve"> of the 195,000 </w:t>
            </w:r>
            <w:r>
              <w:t>Permanent Migration Program</w:t>
            </w:r>
            <w:r w:rsidRPr="007158FE">
              <w:t xml:space="preserve"> visa grants.</w:t>
            </w:r>
            <w:r>
              <w:t xml:space="preserve"> These people would have already been counted as a migrant arrival when they first </w:t>
            </w:r>
            <w:r w:rsidRPr="007158FE">
              <w:t>arrive</w:t>
            </w:r>
            <w:r>
              <w:t>d</w:t>
            </w:r>
            <w:r w:rsidRPr="007158FE">
              <w:t xml:space="preserve"> in Australia</w:t>
            </w:r>
            <w:r>
              <w:t xml:space="preserve"> on a temporary visa.</w:t>
            </w:r>
            <w:r w:rsidR="0077519C">
              <w:t xml:space="preserve"> This means that changes to the size of the Permanent Migration Program do not result in equivalent changes to the </w:t>
            </w:r>
            <w:r w:rsidR="001F78C3">
              <w:t>level</w:t>
            </w:r>
            <w:r w:rsidR="0077519C">
              <w:t xml:space="preserve"> of NOM.</w:t>
            </w:r>
          </w:p>
          <w:p w14:paraId="48778AFB" w14:textId="281CBF9E" w:rsidR="00D9259F" w:rsidRPr="007158FE" w:rsidRDefault="00D9259F" w:rsidP="00222767">
            <w:pPr>
              <w:pStyle w:val="BoxText"/>
            </w:pPr>
            <w:r>
              <w:t>Du</w:t>
            </w:r>
            <w:r w:rsidRPr="007158FE">
              <w:t xml:space="preserve">ring periods </w:t>
            </w:r>
            <w:r w:rsidR="00190206">
              <w:t>when</w:t>
            </w:r>
            <w:r w:rsidR="00190206" w:rsidRPr="007158FE">
              <w:t xml:space="preserve"> </w:t>
            </w:r>
            <w:r w:rsidR="004C7EF0">
              <w:t xml:space="preserve">migrant </w:t>
            </w:r>
            <w:r w:rsidRPr="007158FE">
              <w:t xml:space="preserve">arrivals are growing, and outpacing departures, there is a larger gap between NOM and permanent </w:t>
            </w:r>
            <w:r>
              <w:t xml:space="preserve">visa </w:t>
            </w:r>
            <w:r w:rsidRPr="007158FE">
              <w:t>grants</w:t>
            </w:r>
            <w:r>
              <w:t xml:space="preserve"> (</w:t>
            </w:r>
            <w:r w:rsidR="001810C0">
              <w:fldChar w:fldCharType="begin"/>
            </w:r>
            <w:r w:rsidR="001810C0">
              <w:instrText xml:space="preserve"> REF _Ref178326454 \r \h </w:instrText>
            </w:r>
            <w:r w:rsidR="0095584C">
              <w:instrText xml:space="preserve"> \* MERGEFORMAT </w:instrText>
            </w:r>
            <w:r w:rsidR="001810C0">
              <w:fldChar w:fldCharType="separate"/>
            </w:r>
            <w:r w:rsidR="00050D25">
              <w:t>Chart 13</w:t>
            </w:r>
            <w:r w:rsidR="001810C0">
              <w:fldChar w:fldCharType="end"/>
            </w:r>
            <w:r>
              <w:t>)</w:t>
            </w:r>
            <w:r w:rsidRPr="007158FE">
              <w:t xml:space="preserve">. </w:t>
            </w:r>
            <w:r w:rsidR="00236516">
              <w:t xml:space="preserve">The surges in arrivals are </w:t>
            </w:r>
            <w:r w:rsidR="00BB47FF">
              <w:t>caused</w:t>
            </w:r>
            <w:r w:rsidR="00236516">
              <w:t xml:space="preserve"> </w:t>
            </w:r>
            <w:r w:rsidR="00F42E0F">
              <w:t xml:space="preserve">by </w:t>
            </w:r>
            <w:r w:rsidR="00236516">
              <w:t>d</w:t>
            </w:r>
            <w:r>
              <w:t>emand</w:t>
            </w:r>
            <w:r w:rsidR="00050D25">
              <w:noBreakHyphen/>
            </w:r>
            <w:r>
              <w:t xml:space="preserve">driven temporary visas, weakening the relationship between permanent visa grants and NOM. </w:t>
            </w:r>
          </w:p>
          <w:p w14:paraId="184B12EB" w14:textId="305BBA5B" w:rsidR="00A633E1" w:rsidRDefault="00D9259F" w:rsidP="00654915">
            <w:pPr>
              <w:pStyle w:val="ChartMainHeading"/>
            </w:pPr>
            <w:bookmarkStart w:id="97" w:name="_Ref178326454"/>
            <w:bookmarkStart w:id="98" w:name="_Ref179450690"/>
            <w:bookmarkStart w:id="99" w:name="_Ref181026940"/>
            <w:r>
              <w:t>NOM</w:t>
            </w:r>
            <w:r w:rsidRPr="00A82A02">
              <w:t xml:space="preserve"> </w:t>
            </w:r>
            <w:r>
              <w:t xml:space="preserve">(excluding Australian </w:t>
            </w:r>
            <w:r w:rsidR="00B611D8">
              <w:t>and</w:t>
            </w:r>
            <w:r>
              <w:t xml:space="preserve"> New Zealand citizens)</w:t>
            </w:r>
            <w:r w:rsidRPr="00A82A02">
              <w:t xml:space="preserve"> and permanent visa grants</w:t>
            </w:r>
            <w:bookmarkEnd w:id="97"/>
            <w:bookmarkEnd w:id="98"/>
          </w:p>
          <w:bookmarkEnd w:id="99"/>
          <w:p w14:paraId="352E2CA0" w14:textId="61C3D821" w:rsidR="00FC68D2" w:rsidRPr="00647C5F" w:rsidRDefault="00295758" w:rsidP="006A24B8">
            <w:pPr>
              <w:pStyle w:val="ChartGraphic"/>
            </w:pPr>
            <w:r w:rsidRPr="00295758">
              <w:rPr>
                <w:noProof/>
              </w:rPr>
              <w:drawing>
                <wp:inline distT="0" distB="0" distL="0" distR="0" wp14:anchorId="663CDBFC" wp14:editId="15A682F5">
                  <wp:extent cx="5400675" cy="2886075"/>
                  <wp:effectExtent l="0" t="0" r="0" b="0"/>
                  <wp:docPr id="12" name="Picture 12" descr="This chart shows the number of permanent visa grants, compared to the size of net overseas migration (excluding Australian and New Zealand citizens), from 2004–05 to 2022–23. The chart also shows the number of migrant arrivals and migrant departures. When migrant arrivals are increasing and outpacing departures, net overseas migration tends to be larger than the number of permanent visa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e number of permanent visa grants, compared to the size of net overseas migration (excluding Australian and New Zealand citizens), from 2004–05 to 2022–23. The chart also shows the number of migrant arrivals and migrant departures. When migrant arrivals are increasing and outpacing departures, net overseas migration tends to be larger than the number of permanent visa gra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inline>
              </w:drawing>
            </w:r>
          </w:p>
          <w:p w14:paraId="629469DF" w14:textId="50187D51" w:rsidR="00B17627" w:rsidRDefault="00335B63" w:rsidP="006A24B8">
            <w:pPr>
              <w:pStyle w:val="ChartorTableNote"/>
            </w:pPr>
            <w:r>
              <w:t xml:space="preserve">Note: </w:t>
            </w:r>
            <w:r w:rsidR="00B17627">
              <w:tab/>
            </w:r>
            <w:r>
              <w:t xml:space="preserve">Excludes permanent visa grants not </w:t>
            </w:r>
            <w:r w:rsidR="004708E1">
              <w:t xml:space="preserve">under the </w:t>
            </w:r>
            <w:r w:rsidR="00F34D8A">
              <w:t>P</w:t>
            </w:r>
            <w:r w:rsidR="004708E1">
              <w:t>ermanent Migration Program</w:t>
            </w:r>
            <w:r w:rsidR="00F822ED">
              <w:t xml:space="preserve"> or </w:t>
            </w:r>
            <w:r w:rsidR="00B42283">
              <w:t xml:space="preserve">Refugee and </w:t>
            </w:r>
            <w:r w:rsidR="003A5AD3">
              <w:t>H</w:t>
            </w:r>
            <w:r w:rsidR="00F822ED">
              <w:t>umanitarian Program</w:t>
            </w:r>
            <w:r w:rsidR="00F34D8A">
              <w:t>.</w:t>
            </w:r>
          </w:p>
          <w:p w14:paraId="24EB11BF" w14:textId="77777777" w:rsidR="008E3493" w:rsidRDefault="00D9259F" w:rsidP="003914B2">
            <w:pPr>
              <w:pStyle w:val="Source"/>
              <w:ind w:left="720" w:hanging="720"/>
              <w:jc w:val="left"/>
              <w:rPr>
                <w:rStyle w:val="SubtleEmphasis"/>
              </w:rPr>
            </w:pPr>
            <w:r w:rsidRPr="00A82A02">
              <w:t>Source:</w:t>
            </w:r>
            <w:r w:rsidR="002B28FC">
              <w:t xml:space="preserve"> </w:t>
            </w:r>
            <w:r w:rsidR="000651CF" w:rsidDel="002B28FC">
              <w:tab/>
            </w:r>
            <w:r w:rsidRPr="00A82A02">
              <w:t>Department of Home Affairs</w:t>
            </w:r>
            <w:r>
              <w:t>; and</w:t>
            </w:r>
            <w:r w:rsidRPr="00A82A02">
              <w:t xml:space="preserve"> </w:t>
            </w:r>
            <w:r>
              <w:t>ABS</w:t>
            </w:r>
            <w:r w:rsidRPr="0080067E">
              <w:t xml:space="preserve">, </w:t>
            </w:r>
            <w:r w:rsidRPr="006A24B8">
              <w:rPr>
                <w:rStyle w:val="SubtleEmphasis"/>
              </w:rPr>
              <w:t>National, state and territory population, March 2024.</w:t>
            </w:r>
          </w:p>
          <w:p w14:paraId="1CFAC4A3" w14:textId="5BF1A5C8" w:rsidR="006A24B8" w:rsidRPr="00317405" w:rsidRDefault="006A24B8" w:rsidP="006A24B8">
            <w:pPr>
              <w:pStyle w:val="SingleParagraph"/>
            </w:pPr>
          </w:p>
        </w:tc>
      </w:tr>
    </w:tbl>
    <w:p w14:paraId="1D5A352D" w14:textId="77777777" w:rsidR="00D9259F" w:rsidRPr="006E4545" w:rsidRDefault="00D9259F" w:rsidP="00D9259F">
      <w:pPr>
        <w:pStyle w:val="SingleParagraph"/>
        <w:rPr>
          <w:sz w:val="2"/>
          <w:szCs w:val="2"/>
        </w:rPr>
      </w:pP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D9259F" w:rsidRPr="003B6850" w14:paraId="4E3C11F3" w14:textId="77777777" w:rsidTr="0095584C">
        <w:trPr>
          <w:trHeight w:val="293"/>
        </w:trPr>
        <w:tc>
          <w:tcPr>
            <w:tcW w:w="9072" w:type="dxa"/>
            <w:shd w:val="clear" w:color="auto" w:fill="auto"/>
          </w:tcPr>
          <w:p w14:paraId="28B6D00C" w14:textId="77777777" w:rsidR="00D9259F" w:rsidRPr="006A24B8" w:rsidRDefault="00D9259F" w:rsidP="006A24B8">
            <w:pPr>
              <w:pStyle w:val="BoxHeading"/>
            </w:pPr>
            <w:bookmarkStart w:id="100" w:name="_Ref181189494"/>
            <w:r w:rsidRPr="006A24B8">
              <w:lastRenderedPageBreak/>
              <w:t>Recent research on the economic effects of migration</w:t>
            </w:r>
            <w:bookmarkEnd w:id="100"/>
          </w:p>
          <w:p w14:paraId="085827E4" w14:textId="2B3AF692" w:rsidR="00D9259F" w:rsidRDefault="00D9259F" w:rsidP="00916EF2">
            <w:pPr>
              <w:pStyle w:val="BoxText"/>
            </w:pPr>
            <w:r>
              <w:t xml:space="preserve">Recent research has advanced </w:t>
            </w:r>
            <w:r w:rsidR="7A0B1808">
              <w:t>the Centre</w:t>
            </w:r>
            <w:r w:rsidR="00050D25">
              <w:t>’</w:t>
            </w:r>
            <w:r w:rsidR="7A0B1808">
              <w:t xml:space="preserve">s </w:t>
            </w:r>
            <w:r>
              <w:t>understanding of the effects of migration on the economy, including on the labour market, productivity, and the fiscal benefits of migration. The research also notes the challenges migration can create.</w:t>
            </w:r>
          </w:p>
          <w:p w14:paraId="38FF0CE7" w14:textId="77777777" w:rsidR="00D9259F" w:rsidRPr="009620B9" w:rsidRDefault="00D9259F" w:rsidP="009620B9">
            <w:pPr>
              <w:pStyle w:val="BoxHeading2"/>
            </w:pPr>
            <w:r w:rsidRPr="009620B9">
              <w:t xml:space="preserve">Migration and the labour market </w:t>
            </w:r>
          </w:p>
          <w:p w14:paraId="2B9EC0CD" w14:textId="33043CFC" w:rsidR="00D9259F" w:rsidRDefault="00D9259F" w:rsidP="00222767">
            <w:pPr>
              <w:pStyle w:val="BoxText"/>
            </w:pPr>
            <w:r>
              <w:t>Migrants supply labour and bring skills where Australia has shortages. The Australian migration program attracts migrants who are among the most educated in the Organisation for Economic Co</w:t>
            </w:r>
            <w:r w:rsidR="00050D25">
              <w:noBreakHyphen/>
            </w:r>
            <w:r>
              <w:t>operation and Development (OECD). This is essential in supporting economic opportunities in existing and developing industries, including for the net zero transformation.</w:t>
            </w:r>
          </w:p>
          <w:p w14:paraId="04574BDF" w14:textId="1EFCCC3F" w:rsidR="00D9259F" w:rsidRDefault="00D9259F" w:rsidP="00222767">
            <w:pPr>
              <w:pStyle w:val="BoxText"/>
            </w:pPr>
            <w:r>
              <w:t xml:space="preserve">Australian workers can benefit from migration through higher </w:t>
            </w:r>
            <w:r w:rsidDel="003C663F">
              <w:t>ec</w:t>
            </w:r>
            <w:r>
              <w:t xml:space="preserve">onomic growth and job creation driven by higher demand for goods and services. The Centre for Population partnered with the OECD to </w:t>
            </w:r>
            <w:r w:rsidR="66E066DA">
              <w:t xml:space="preserve">research </w:t>
            </w:r>
            <w:r>
              <w:t>the effects of migration on Australia</w:t>
            </w:r>
            <w:r w:rsidR="00050D25">
              <w:t>’</w:t>
            </w:r>
            <w:r>
              <w:t xml:space="preserve">s economy. </w:t>
            </w:r>
            <w:r w:rsidR="00536004">
              <w:t>This research found:</w:t>
            </w:r>
            <w:r>
              <w:t xml:space="preserve"> </w:t>
            </w:r>
          </w:p>
          <w:p w14:paraId="240663DC" w14:textId="32DB1403" w:rsidR="00D9259F" w:rsidRDefault="1DD238B7" w:rsidP="000651CF">
            <w:pPr>
              <w:pStyle w:val="BoxBullet"/>
            </w:pPr>
            <w:r>
              <w:t>G</w:t>
            </w:r>
            <w:r w:rsidR="00D9259F">
              <w:t xml:space="preserve">eographic areas with higher shares of migrants have higher employment rates of Australians. A </w:t>
            </w:r>
            <w:r w:rsidR="0099100E">
              <w:t>one</w:t>
            </w:r>
            <w:r w:rsidR="00D9259F">
              <w:t> percentage point rise in the annual migrant inflow (measured as share of the total population), on average, leads to a 0.5</w:t>
            </w:r>
            <w:r w:rsidR="00FF207F">
              <w:t> per cent</w:t>
            </w:r>
            <w:r w:rsidR="00D9259F">
              <w:t xml:space="preserve"> increase in the employment of the Australian</w:t>
            </w:r>
            <w:r w:rsidR="00050D25">
              <w:noBreakHyphen/>
            </w:r>
            <w:r w:rsidR="00D9259F">
              <w:t>born population; Australian</w:t>
            </w:r>
            <w:r w:rsidR="00050D25">
              <w:noBreakHyphen/>
            </w:r>
            <w:r w:rsidR="00D9259F">
              <w:t>born people of all skill levels, ages or genders benefit from this positive effect</w:t>
            </w:r>
            <w:r w:rsidR="16D7009C">
              <w:t>.</w:t>
            </w:r>
            <w:bookmarkStart w:id="101" w:name="_Ref184219196"/>
            <w:r w:rsidR="00D9259F" w:rsidRPr="00B7052B">
              <w:rPr>
                <w:rStyle w:val="FootnoteReference"/>
              </w:rPr>
              <w:footnoteReference w:id="17"/>
            </w:r>
            <w:bookmarkEnd w:id="101"/>
            <w:r w:rsidR="00D9259F">
              <w:t xml:space="preserve"> </w:t>
            </w:r>
          </w:p>
          <w:p w14:paraId="3CF15BDE" w14:textId="2EAA9495" w:rsidR="00536004" w:rsidRDefault="6385B82A" w:rsidP="006A24B8">
            <w:pPr>
              <w:pStyle w:val="BoxBullet"/>
            </w:pPr>
            <w:r>
              <w:t>M</w:t>
            </w:r>
            <w:r w:rsidR="00D9259F">
              <w:t>igrants to Australia are typically highly</w:t>
            </w:r>
            <w:r w:rsidR="00050D25">
              <w:noBreakHyphen/>
            </w:r>
            <w:r w:rsidR="00D9259F">
              <w:t>educated and well</w:t>
            </w:r>
            <w:r w:rsidR="00050D25">
              <w:noBreakHyphen/>
            </w:r>
            <w:r w:rsidR="00D9259F">
              <w:t>placed to integrate into the labour market.</w:t>
            </w:r>
          </w:p>
          <w:p w14:paraId="2431AB17" w14:textId="3853796B" w:rsidR="00D9259F" w:rsidRDefault="00D9259F" w:rsidP="006A24B8">
            <w:pPr>
              <w:pStyle w:val="BoxText"/>
            </w:pPr>
            <w:r>
              <w:t>However, migrants are slightly less likely to be employed than Australians due to lower labour</w:t>
            </w:r>
            <w:r w:rsidR="00386141">
              <w:t xml:space="preserve"> </w:t>
            </w:r>
            <w:r>
              <w:t>force participation among migrant women</w:t>
            </w:r>
            <w:r w:rsidRPr="00B7052B">
              <w:t>.</w:t>
            </w:r>
            <w:r w:rsidR="007F4AEF">
              <w:t xml:space="preserve"> </w:t>
            </w:r>
          </w:p>
          <w:p w14:paraId="252184A3" w14:textId="78DD2990" w:rsidR="002E5AA9" w:rsidRDefault="00D9259F" w:rsidP="002E5AA9">
            <w:pPr>
              <w:pStyle w:val="BoxBullet"/>
            </w:pPr>
            <w:r>
              <w:t>Over the past decade, the labour</w:t>
            </w:r>
            <w:r w:rsidR="00386141">
              <w:t xml:space="preserve"> </w:t>
            </w:r>
            <w:r>
              <w:t>force participation rate of migrant women in Australia ranged between 66</w:t>
            </w:r>
            <w:r w:rsidR="00FF207F">
              <w:t> per cent</w:t>
            </w:r>
            <w:r>
              <w:t xml:space="preserve"> and 69</w:t>
            </w:r>
            <w:r w:rsidR="00FF207F">
              <w:t> per cent</w:t>
            </w:r>
            <w:r>
              <w:t xml:space="preserve">, whereas the participation rate of women </w:t>
            </w:r>
            <w:r w:rsidR="008E5CEA">
              <w:t xml:space="preserve">generally </w:t>
            </w:r>
            <w:r>
              <w:t>ranged between 73</w:t>
            </w:r>
            <w:r w:rsidR="00FF207F">
              <w:t> per cent</w:t>
            </w:r>
            <w:r>
              <w:t xml:space="preserve"> and 77</w:t>
            </w:r>
            <w:r w:rsidR="00FF207F">
              <w:t> per cent</w:t>
            </w:r>
            <w:r w:rsidRPr="00B7052B">
              <w:t>.</w:t>
            </w:r>
            <w:r w:rsidR="00C9087C">
              <w:rPr>
                <w:rStyle w:val="FootnoteReference"/>
              </w:rPr>
              <w:footnoteReference w:id="18"/>
            </w:r>
            <w:r>
              <w:t xml:space="preserve"> </w:t>
            </w:r>
          </w:p>
          <w:p w14:paraId="207D65BA" w14:textId="48890A31" w:rsidR="00D9259F" w:rsidRDefault="00D9259F" w:rsidP="002E5AA9">
            <w:pPr>
              <w:pStyle w:val="BoxBullet"/>
            </w:pPr>
            <w:r w:rsidRPr="000661EC">
              <w:t>The lower labour</w:t>
            </w:r>
            <w:r w:rsidR="00386141">
              <w:t xml:space="preserve"> </w:t>
            </w:r>
            <w:r w:rsidRPr="000661EC">
              <w:t xml:space="preserve">force participation among migrant </w:t>
            </w:r>
            <w:r>
              <w:t>women</w:t>
            </w:r>
            <w:r w:rsidRPr="000661EC">
              <w:t xml:space="preserve"> may stem from restrictions related to specific visa statuses, limited language proficiency, and cultural differences (including </w:t>
            </w:r>
            <w:proofErr w:type="gramStart"/>
            <w:r>
              <w:t>child</w:t>
            </w:r>
            <w:r w:rsidR="6C829B79">
              <w:t xml:space="preserve"> </w:t>
            </w:r>
            <w:r>
              <w:t>care</w:t>
            </w:r>
            <w:proofErr w:type="gramEnd"/>
            <w:r w:rsidRPr="000661EC">
              <w:t xml:space="preserve"> and domestic responsibilities)</w:t>
            </w:r>
            <w:r>
              <w:t xml:space="preserve">. </w:t>
            </w:r>
          </w:p>
          <w:p w14:paraId="290350C2" w14:textId="4C58E180" w:rsidR="00242855" w:rsidRDefault="00D9259F" w:rsidP="00222767">
            <w:pPr>
              <w:pStyle w:val="BoxText"/>
            </w:pPr>
            <w:r>
              <w:t>Lower labour</w:t>
            </w:r>
            <w:r w:rsidR="00386141">
              <w:t xml:space="preserve"> </w:t>
            </w:r>
            <w:r>
              <w:t>force participation among migrant women suggests there is untapped potential within the existing migrant population in Australia</w:t>
            </w:r>
            <w:r w:rsidRPr="00B7052B">
              <w:t>.</w:t>
            </w:r>
          </w:p>
          <w:p w14:paraId="05B45848" w14:textId="6B0F7DEB" w:rsidR="00D9259F" w:rsidRDefault="00D9259F" w:rsidP="00222767">
            <w:pPr>
              <w:pStyle w:val="BoxText"/>
              <w:rPr>
                <w:vertAlign w:val="superscript"/>
              </w:rPr>
            </w:pPr>
            <w:r>
              <w:t>A</w:t>
            </w:r>
            <w:r w:rsidR="61B2B7FC">
              <w:t>n</w:t>
            </w:r>
            <w:r>
              <w:t xml:space="preserve"> objective of the Government</w:t>
            </w:r>
            <w:r w:rsidR="00050D25">
              <w:t>’</w:t>
            </w:r>
            <w:r>
              <w:t xml:space="preserve">s Employment White Paper is overcoming barriers to employment and broadening opportunity, including economic equality for women from all </w:t>
            </w:r>
            <w:r w:rsidR="0027598A">
              <w:t>walks</w:t>
            </w:r>
            <w:r>
              <w:t xml:space="preserve"> of life, including migrants.</w:t>
            </w:r>
            <w:r w:rsidRPr="00B7052B" w:rsidDel="00141C16">
              <w:rPr>
                <w:vertAlign w:val="superscript"/>
              </w:rPr>
              <w:t xml:space="preserve"> </w:t>
            </w:r>
          </w:p>
          <w:p w14:paraId="72AB6F1C" w14:textId="77777777" w:rsidR="00D9259F" w:rsidRPr="009620B9" w:rsidRDefault="00D9259F" w:rsidP="009620B9">
            <w:pPr>
              <w:pStyle w:val="BoxHeading2"/>
              <w:rPr>
                <w:rStyle w:val="Strong"/>
                <w:b/>
                <w:bCs w:val="0"/>
              </w:rPr>
            </w:pPr>
            <w:r w:rsidRPr="009620B9">
              <w:rPr>
                <w:rStyle w:val="Strong"/>
                <w:b/>
                <w:bCs w:val="0"/>
              </w:rPr>
              <w:t xml:space="preserve">Migration and productivity </w:t>
            </w:r>
          </w:p>
          <w:p w14:paraId="35D284C7" w14:textId="08CFD454" w:rsidR="00D9259F" w:rsidRDefault="00D9259F" w:rsidP="00222767">
            <w:pPr>
              <w:pStyle w:val="BoxText"/>
            </w:pPr>
            <w:r>
              <w:t>In addition to skills</w:t>
            </w:r>
            <w:r w:rsidR="000E628A">
              <w:t xml:space="preserve">, </w:t>
            </w:r>
            <w:r>
              <w:t>migrants bring new ideas and increase productivity through innovation, specialisation</w:t>
            </w:r>
            <w:r w:rsidR="000E628A">
              <w:t>,</w:t>
            </w:r>
            <w:r>
              <w:t xml:space="preserve"> and firm creation. The OECD analysed these linkages further and found that on average:</w:t>
            </w:r>
          </w:p>
          <w:p w14:paraId="683C86A7" w14:textId="0644B53E" w:rsidR="00D9259F" w:rsidRPr="001F694D" w:rsidRDefault="51CF575C" w:rsidP="000651CF">
            <w:pPr>
              <w:pStyle w:val="BoxBullet"/>
            </w:pPr>
            <w:r>
              <w:t>W</w:t>
            </w:r>
            <w:r w:rsidR="00D9259F">
              <w:t>ages in areas with larger migrant shares are higher</w:t>
            </w:r>
            <w:r w:rsidR="00265048">
              <w:t xml:space="preserve"> (a 10 </w:t>
            </w:r>
            <w:r w:rsidR="00FF207F">
              <w:t>per</w:t>
            </w:r>
            <w:r w:rsidR="00265048">
              <w:t xml:space="preserve"> </w:t>
            </w:r>
            <w:r w:rsidR="00FF207F">
              <w:t>cent</w:t>
            </w:r>
            <w:r w:rsidR="00D9259F">
              <w:t xml:space="preserve"> </w:t>
            </w:r>
            <w:r w:rsidR="00265048">
              <w:t>larger migrant share is associated with a 1.3 per cent larger regional wage difference)</w:t>
            </w:r>
            <w:r w:rsidR="00D9259F">
              <w:t xml:space="preserve">, which suggests a positive link between migration </w:t>
            </w:r>
            <w:r w:rsidR="00D9259F" w:rsidRPr="001F694D">
              <w:t>and labour productivity</w:t>
            </w:r>
            <w:r w:rsidR="49A4199F">
              <w:t>.</w:t>
            </w:r>
            <w:bookmarkStart w:id="102" w:name="_Ref184998426"/>
            <w:r w:rsidR="005E7730">
              <w:rPr>
                <w:rStyle w:val="FootnoteReference"/>
              </w:rPr>
              <w:footnoteReference w:id="19"/>
            </w:r>
            <w:bookmarkEnd w:id="102"/>
          </w:p>
          <w:p w14:paraId="109BF82C" w14:textId="636E6E27" w:rsidR="00D52B25" w:rsidRPr="009620B9" w:rsidRDefault="2AB7F57E" w:rsidP="006A24B8">
            <w:pPr>
              <w:pStyle w:val="BoxBullet"/>
            </w:pPr>
            <w:r>
              <w:t>A</w:t>
            </w:r>
            <w:r w:rsidR="00D9259F">
              <w:t xml:space="preserve"> one percentage point increase in an area</w:t>
            </w:r>
            <w:r w:rsidR="00050D25">
              <w:t>’</w:t>
            </w:r>
            <w:r w:rsidR="00D9259F">
              <w:t>s employment share of higher</w:t>
            </w:r>
            <w:r w:rsidR="00050D25">
              <w:noBreakHyphen/>
            </w:r>
            <w:r w:rsidR="00D9259F">
              <w:t xml:space="preserve">educated migrants (those with at least a university degree) leads to a </w:t>
            </w:r>
            <w:r w:rsidR="00696C43">
              <w:t>6.6</w:t>
            </w:r>
            <w:r w:rsidR="00FF207F">
              <w:t> per cent</w:t>
            </w:r>
            <w:r w:rsidR="00D9259F">
              <w:t xml:space="preserve"> rise in patent applications in the medium run (5 years) in that area</w:t>
            </w:r>
            <w:r w:rsidR="00D9259F" w:rsidRPr="00B7052B">
              <w:t>.</w:t>
            </w:r>
            <w:r w:rsidR="00AD3B14" w:rsidRPr="00690BE6" w:rsidDel="00AD3B14">
              <w:rPr>
                <w:vertAlign w:val="superscript"/>
              </w:rPr>
              <w:t xml:space="preserve"> </w:t>
            </w:r>
          </w:p>
          <w:p w14:paraId="46C3E025" w14:textId="0D54F2D7" w:rsidR="009620B9" w:rsidRPr="009620B9" w:rsidRDefault="009620B9" w:rsidP="009620B9">
            <w:pPr>
              <w:pStyle w:val="Bullet"/>
              <w:numPr>
                <w:ilvl w:val="0"/>
                <w:numId w:val="0"/>
              </w:numPr>
              <w:jc w:val="right"/>
              <w:rPr>
                <w:rStyle w:val="Box-Continuedoverpage"/>
              </w:rPr>
            </w:pPr>
            <w:r w:rsidRPr="009620B9">
              <w:rPr>
                <w:rStyle w:val="Box-Continuedoverpage"/>
              </w:rPr>
              <w:t xml:space="preserve">continued over next </w:t>
            </w:r>
            <w:proofErr w:type="gramStart"/>
            <w:r w:rsidRPr="009620B9">
              <w:rPr>
                <w:rStyle w:val="Box-Continuedoverpage"/>
              </w:rPr>
              <w:t>page</w:t>
            </w:r>
            <w:proofErr w:type="gramEnd"/>
          </w:p>
          <w:p w14:paraId="1D80BEBF" w14:textId="76FADC04" w:rsidR="00D9259F" w:rsidRPr="009620B9" w:rsidRDefault="00D9259F" w:rsidP="009620B9">
            <w:pPr>
              <w:pStyle w:val="BoxHeading2"/>
              <w:rPr>
                <w:rStyle w:val="Strong"/>
                <w:b/>
                <w:bCs w:val="0"/>
              </w:rPr>
            </w:pPr>
            <w:r w:rsidRPr="009620B9">
              <w:rPr>
                <w:rStyle w:val="Strong"/>
                <w:b/>
                <w:bCs w:val="0"/>
              </w:rPr>
              <w:lastRenderedPageBreak/>
              <w:t>Fiscal benefits of migration</w:t>
            </w:r>
          </w:p>
          <w:p w14:paraId="15E58EDF" w14:textId="14B7174E" w:rsidR="00D9259F" w:rsidRPr="001F694D" w:rsidRDefault="00CE050B" w:rsidP="00973005">
            <w:pPr>
              <w:pStyle w:val="BoxText"/>
            </w:pPr>
            <w:r>
              <w:t>L</w:t>
            </w:r>
            <w:r w:rsidR="00D9259F">
              <w:t xml:space="preserve">ike all Australians, </w:t>
            </w:r>
            <w:r>
              <w:t>migrants</w:t>
            </w:r>
            <w:r w:rsidR="00050D25">
              <w:t>’</w:t>
            </w:r>
            <w:r>
              <w:t xml:space="preserve"> fiscal impacts</w:t>
            </w:r>
            <w:r w:rsidR="00D9259F">
              <w:t xml:space="preserve"> vary at different life stages. Treasury model</w:t>
            </w:r>
            <w:r w:rsidR="6F79CEDD">
              <w:t>ling</w:t>
            </w:r>
            <w:r w:rsidR="00D9259F">
              <w:t xml:space="preserve"> found that age and labour market outcomes are the main drivers of a permanent migrant</w:t>
            </w:r>
            <w:r w:rsidR="00050D25">
              <w:t>’</w:t>
            </w:r>
            <w:r w:rsidR="00D9259F">
              <w:t xml:space="preserve">s lifetime fiscal impact. Younger migrants have more taxpaying years ahead of them, as well as more opportunities to increase their skills and income. </w:t>
            </w:r>
            <w:r w:rsidR="00A53927" w:rsidRPr="00A53927">
              <w:t>To achieve the same positive fiscal impact as a 30</w:t>
            </w:r>
            <w:r w:rsidR="00050D25">
              <w:noBreakHyphen/>
            </w:r>
            <w:r w:rsidR="00A53927" w:rsidRPr="00A53927">
              <w:t>year</w:t>
            </w:r>
            <w:r w:rsidR="00050D25">
              <w:noBreakHyphen/>
            </w:r>
            <w:r w:rsidR="00A53927" w:rsidRPr="00A53927">
              <w:t>old skilled migra</w:t>
            </w:r>
            <w:r w:rsidR="006F36CF">
              <w:t>n</w:t>
            </w:r>
            <w:r w:rsidR="00A53927" w:rsidRPr="00A53927">
              <w:t>t with an income of $100,000, a 45</w:t>
            </w:r>
            <w:r w:rsidR="00050D25">
              <w:noBreakHyphen/>
            </w:r>
            <w:r w:rsidR="00A53927" w:rsidRPr="00A53927">
              <w:t>year</w:t>
            </w:r>
            <w:r w:rsidR="00050D25">
              <w:noBreakHyphen/>
            </w:r>
            <w:r w:rsidR="00A53927" w:rsidRPr="00A53927">
              <w:t>old skilled migrant would need an annual income of $160,000</w:t>
            </w:r>
            <w:r w:rsidR="00D9259F" w:rsidRPr="009F53EB">
              <w:t>.</w:t>
            </w:r>
            <w:r w:rsidR="00D9259F" w:rsidRPr="00B7052B">
              <w:rPr>
                <w:rStyle w:val="FootnoteReference"/>
              </w:rPr>
              <w:footnoteReference w:id="20"/>
            </w:r>
          </w:p>
          <w:p w14:paraId="71416740" w14:textId="7932AD40" w:rsidR="00D9259F" w:rsidRDefault="00D9259F" w:rsidP="00222767">
            <w:pPr>
              <w:pStyle w:val="BoxText"/>
            </w:pPr>
            <w:r>
              <w:t>Skilled migrants are more likely to participate</w:t>
            </w:r>
            <w:r w:rsidR="00AC591B">
              <w:t xml:space="preserve"> in the labour market</w:t>
            </w:r>
            <w:r>
              <w:t>, find employment, and receive a higher income than the Australian population, increasing their net fiscal contribution.</w:t>
            </w:r>
            <w:r w:rsidR="00DA3566">
              <w:t xml:space="preserve"> </w:t>
            </w:r>
          </w:p>
          <w:p w14:paraId="7522FBB5" w14:textId="3678CD00" w:rsidR="00D9259F" w:rsidRPr="00753952" w:rsidRDefault="003C7191" w:rsidP="00753952">
            <w:pPr>
              <w:pStyle w:val="BoxHeading2"/>
            </w:pPr>
            <w:r w:rsidRPr="00753952">
              <w:t>Economic c</w:t>
            </w:r>
            <w:r w:rsidR="00D9259F" w:rsidRPr="00753952">
              <w:t>hallenges of migration</w:t>
            </w:r>
          </w:p>
          <w:p w14:paraId="5A1F3987" w14:textId="7FAF49DE" w:rsidR="00D9259F" w:rsidRDefault="00D9259F" w:rsidP="00222767">
            <w:pPr>
              <w:pStyle w:val="BoxText"/>
            </w:pPr>
            <w:r w:rsidRPr="0015139B">
              <w:t>Australia</w:t>
            </w:r>
            <w:r w:rsidR="00050D25">
              <w:t>’</w:t>
            </w:r>
            <w:r w:rsidRPr="0015139B">
              <w:t>s</w:t>
            </w:r>
            <w:r w:rsidDel="00452687">
              <w:t xml:space="preserve"> </w:t>
            </w:r>
            <w:r w:rsidR="00CC6B04">
              <w:t xml:space="preserve">current </w:t>
            </w:r>
            <w:r w:rsidRPr="0015139B">
              <w:t>population growth rate is high</w:t>
            </w:r>
            <w:r w:rsidR="00CC6B04">
              <w:t>er than historical averages</w:t>
            </w:r>
            <w:r w:rsidRPr="0015139B" w:rsidDel="00E30EF5">
              <w:t xml:space="preserve"> </w:t>
            </w:r>
            <w:r w:rsidRPr="0015139B">
              <w:t>and</w:t>
            </w:r>
            <w:r w:rsidR="00CC6B04">
              <w:t xml:space="preserve"> has been</w:t>
            </w:r>
            <w:r w:rsidRPr="0015139B">
              <w:t xml:space="preserve"> volatile by international standards. </w:t>
            </w:r>
            <w:r w:rsidRPr="00B11F58">
              <w:t xml:space="preserve">Migration can contribute to volatile population growth. High population growth can put </w:t>
            </w:r>
            <w:r>
              <w:t xml:space="preserve">temporary </w:t>
            </w:r>
            <w:r w:rsidRPr="00B11F58">
              <w:t>pressure on housing</w:t>
            </w:r>
            <w:r>
              <w:t xml:space="preserve"> as supply takes time to adjust,</w:t>
            </w:r>
            <w:r w:rsidRPr="00B11F58">
              <w:t xml:space="preserve"> which can push up rents and inflation in the short </w:t>
            </w:r>
            <w:r w:rsidR="00A42F14">
              <w:t>term</w:t>
            </w:r>
            <w:r w:rsidRPr="00B11F58">
              <w:t xml:space="preserve">. </w:t>
            </w:r>
            <w:r>
              <w:t>As housing supply and rents adjust, the effect on inflation in the long</w:t>
            </w:r>
            <w:r w:rsidR="00050D25">
              <w:noBreakHyphen/>
            </w:r>
            <w:r w:rsidR="00A42F14">
              <w:t xml:space="preserve">term </w:t>
            </w:r>
            <w:r>
              <w:t xml:space="preserve">is neutral. </w:t>
            </w:r>
            <w:r w:rsidRPr="00B11F58">
              <w:t>Low migration can add to other economic challenges such as labour supply shortages in some geographical areas.</w:t>
            </w:r>
          </w:p>
          <w:p w14:paraId="7AEEC3BC" w14:textId="53DA8D0E" w:rsidR="00D9259F" w:rsidRDefault="00D9259F" w:rsidP="00222767">
            <w:pPr>
              <w:pStyle w:val="BoxText"/>
            </w:pPr>
            <w:r>
              <w:t>Migrants</w:t>
            </w:r>
            <w:r w:rsidRPr="00EA3C60">
              <w:t xml:space="preserve"> tend to </w:t>
            </w:r>
            <w:r>
              <w:t>disproportionately</w:t>
            </w:r>
            <w:r w:rsidRPr="00EA3C60">
              <w:t xml:space="preserve"> </w:t>
            </w:r>
            <w:r w:rsidR="00D143E8">
              <w:t xml:space="preserve">live in </w:t>
            </w:r>
            <w:r>
              <w:t>major</w:t>
            </w:r>
            <w:r w:rsidRPr="00EA3C60">
              <w:t xml:space="preserve"> cities</w:t>
            </w:r>
            <w:r>
              <w:t xml:space="preserve">, especially </w:t>
            </w:r>
            <w:r w:rsidRPr="00222767">
              <w:t>Sydney</w:t>
            </w:r>
            <w:r>
              <w:t xml:space="preserve"> and Melbourne, which contributes to the uneven growth between cities and regional Australia. Labour</w:t>
            </w:r>
            <w:r w:rsidRPr="00D529DF">
              <w:t xml:space="preserve"> shortages have been particularly acute in regional </w:t>
            </w:r>
            <w:r>
              <w:t xml:space="preserve">Australia while on average housing prices and rents have grown </w:t>
            </w:r>
            <w:r w:rsidR="00CC7116">
              <w:t>faster</w:t>
            </w:r>
            <w:r>
              <w:t xml:space="preserve"> in cities compared to regional Australia over the last </w:t>
            </w:r>
            <w:r w:rsidR="4AE94C9C">
              <w:t xml:space="preserve">5 </w:t>
            </w:r>
            <w:r>
              <w:t>years</w:t>
            </w:r>
            <w:r w:rsidRPr="00D529DF">
              <w:t>.</w:t>
            </w:r>
            <w:r>
              <w:t xml:space="preserve"> </w:t>
            </w:r>
            <w:r w:rsidR="0037758F">
              <w:t xml:space="preserve">The Migration Strategy </w:t>
            </w:r>
            <w:r w:rsidR="008C3A91">
              <w:t>outlines the Government</w:t>
            </w:r>
            <w:r w:rsidR="00050D25">
              <w:t>’</w:t>
            </w:r>
            <w:r w:rsidR="008C3A91">
              <w:t xml:space="preserve">s commitment </w:t>
            </w:r>
            <w:r w:rsidR="00266290">
              <w:t>for</w:t>
            </w:r>
            <w:r w:rsidR="00E518FC">
              <w:t xml:space="preserve"> </w:t>
            </w:r>
            <w:r w:rsidR="00A17A2B">
              <w:t>a migration system that works for all Australians</w:t>
            </w:r>
            <w:r w:rsidR="00DB37A9">
              <w:t xml:space="preserve">. As part of this, the Government </w:t>
            </w:r>
            <w:r w:rsidR="00CE0EE3">
              <w:t>is</w:t>
            </w:r>
            <w:r w:rsidR="00DB37A9">
              <w:t xml:space="preserve"> undertak</w:t>
            </w:r>
            <w:r w:rsidR="00CE0EE3">
              <w:t>ing</w:t>
            </w:r>
            <w:r w:rsidR="00DB37A9">
              <w:t xml:space="preserve"> a review of</w:t>
            </w:r>
            <w:r w:rsidR="00A17A2B">
              <w:t xml:space="preserve"> regional </w:t>
            </w:r>
            <w:r w:rsidR="00DB37A9">
              <w:t xml:space="preserve">migration settings with a discussion paper released </w:t>
            </w:r>
            <w:r w:rsidR="00AE75B9">
              <w:t>in June 2024</w:t>
            </w:r>
            <w:r w:rsidR="00DB37A9">
              <w:t xml:space="preserve">. </w:t>
            </w:r>
          </w:p>
          <w:p w14:paraId="34D7FF61" w14:textId="7F97A258" w:rsidR="00D9259F" w:rsidRPr="00A433F4" w:rsidRDefault="00F86628" w:rsidP="00222767">
            <w:pPr>
              <w:pStyle w:val="BoxText"/>
            </w:pPr>
            <w:r>
              <w:t>C</w:t>
            </w:r>
            <w:r w:rsidR="00D9259F">
              <w:t>utting migration levels can also create economic challenges. The Grattan Institute found that while cutting migration may</w:t>
            </w:r>
            <w:r w:rsidR="00D9259F" w:rsidDel="006559E2">
              <w:t xml:space="preserve"> </w:t>
            </w:r>
            <w:r w:rsidR="00D9259F" w:rsidDel="00660E15">
              <w:t xml:space="preserve">make </w:t>
            </w:r>
            <w:r w:rsidR="00D9259F">
              <w:t>housing slightly cheaper in the short term, it would likely result</w:t>
            </w:r>
            <w:r w:rsidR="00D9259F" w:rsidRPr="00260A93">
              <w:t xml:space="preserve"> in </w:t>
            </w:r>
            <w:r w:rsidR="00D9259F">
              <w:t xml:space="preserve">Australians </w:t>
            </w:r>
            <w:r w:rsidR="00D9259F" w:rsidRPr="00260A93">
              <w:t xml:space="preserve">having to pay </w:t>
            </w:r>
            <w:r w:rsidR="00D9259F">
              <w:t>higher taxes</w:t>
            </w:r>
            <w:r w:rsidR="00D9259F" w:rsidRPr="00260A93">
              <w:t xml:space="preserve"> or </w:t>
            </w:r>
            <w:r w:rsidR="00D9259F">
              <w:t>receive</w:t>
            </w:r>
            <w:r w:rsidR="00D9259F" w:rsidRPr="00260A93">
              <w:t xml:space="preserve"> fewer services</w:t>
            </w:r>
            <w:r w:rsidR="00D9259F">
              <w:t>.</w:t>
            </w:r>
            <w:r w:rsidR="00D9259F">
              <w:rPr>
                <w:rStyle w:val="FootnoteReference"/>
              </w:rPr>
              <w:footnoteReference w:id="21"/>
            </w:r>
            <w:r w:rsidR="00D9259F">
              <w:t xml:space="preserve"> </w:t>
            </w:r>
            <w:r w:rsidR="00D9259F" w:rsidRPr="0015139B">
              <w:t xml:space="preserve">Ensuring housing and infrastructure keep pace with elevated population growth during periods of volatility </w:t>
            </w:r>
            <w:r w:rsidR="00D9259F">
              <w:t>can pose significant planning challenges</w:t>
            </w:r>
            <w:r w:rsidR="00D9259F" w:rsidRPr="0015139B">
              <w:t>.</w:t>
            </w:r>
          </w:p>
          <w:p w14:paraId="5D6CFE49" w14:textId="77777777" w:rsidR="00D9259F" w:rsidRPr="00753952" w:rsidRDefault="00D9259F" w:rsidP="00753952">
            <w:pPr>
              <w:pStyle w:val="BoxHeading2"/>
            </w:pPr>
            <w:r w:rsidRPr="00753952">
              <w:t xml:space="preserve">Balancing the benefits and challenges </w:t>
            </w:r>
          </w:p>
          <w:p w14:paraId="39640C63" w14:textId="5ADB659D" w:rsidR="00D9259F" w:rsidRPr="00B344C9" w:rsidRDefault="00D9259F" w:rsidP="00916EF2">
            <w:pPr>
              <w:pStyle w:val="BoxText"/>
            </w:pPr>
            <w:r w:rsidRPr="00216B0B">
              <w:rPr>
                <w:bCs/>
              </w:rPr>
              <w:t>Australia has one of the most successful skilled migration programs globally</w:t>
            </w:r>
            <w:r>
              <w:rPr>
                <w:bCs/>
              </w:rPr>
              <w:t>, and the Government is further improving it through the Migration Strategy.</w:t>
            </w:r>
            <w:r>
              <w:rPr>
                <w:rStyle w:val="FootnoteReference"/>
                <w:bCs/>
              </w:rPr>
              <w:footnoteReference w:id="22"/>
            </w:r>
            <w:r w:rsidRPr="00216B0B">
              <w:rPr>
                <w:bCs/>
              </w:rPr>
              <w:t xml:space="preserve"> </w:t>
            </w:r>
            <w:r w:rsidRPr="00216B0B">
              <w:rPr>
                <w:rFonts w:cstheme="minorBidi"/>
                <w:bCs/>
              </w:rPr>
              <w:t xml:space="preserve">Migration can bring needed skills and boost productivity while </w:t>
            </w:r>
            <w:r>
              <w:rPr>
                <w:rFonts w:cstheme="minorBidi"/>
                <w:bCs/>
              </w:rPr>
              <w:t>providing</w:t>
            </w:r>
            <w:r w:rsidRPr="00216B0B">
              <w:rPr>
                <w:rFonts w:cstheme="minorBidi"/>
                <w:bCs/>
              </w:rPr>
              <w:t xml:space="preserve"> a fiscal d</w:t>
            </w:r>
            <w:r w:rsidRPr="00216B0B">
              <w:rPr>
                <w:bCs/>
              </w:rPr>
              <w:t>ividend. These benefits complement non</w:t>
            </w:r>
            <w:r w:rsidR="00050D25">
              <w:rPr>
                <w:bCs/>
              </w:rPr>
              <w:noBreakHyphen/>
            </w:r>
            <w:r w:rsidRPr="00216B0B">
              <w:rPr>
                <w:bCs/>
              </w:rPr>
              <w:t xml:space="preserve">economic benefits, such as family reunions, and </w:t>
            </w:r>
            <w:r w:rsidRPr="1AC62331">
              <w:t>contribut</w:t>
            </w:r>
            <w:r w:rsidR="5D707127" w:rsidRPr="1AC62331">
              <w:t>e</w:t>
            </w:r>
            <w:r w:rsidRPr="00216B0B">
              <w:rPr>
                <w:bCs/>
              </w:rPr>
              <w:t xml:space="preserve"> to Australia</w:t>
            </w:r>
            <w:r w:rsidR="00050D25">
              <w:rPr>
                <w:bCs/>
              </w:rPr>
              <w:t>’</w:t>
            </w:r>
            <w:r w:rsidRPr="00216B0B">
              <w:rPr>
                <w:bCs/>
              </w:rPr>
              <w:t xml:space="preserve">s social fabric. </w:t>
            </w:r>
            <w:r w:rsidRPr="000F64C5">
              <w:rPr>
                <w:bCs/>
              </w:rPr>
              <w:t>Australia</w:t>
            </w:r>
            <w:r w:rsidR="00050D25">
              <w:rPr>
                <w:bCs/>
              </w:rPr>
              <w:t>’</w:t>
            </w:r>
            <w:r w:rsidRPr="000F64C5">
              <w:rPr>
                <w:bCs/>
              </w:rPr>
              <w:t xml:space="preserve">s migration system </w:t>
            </w:r>
            <w:r>
              <w:rPr>
                <w:bCs/>
              </w:rPr>
              <w:t xml:space="preserve">works </w:t>
            </w:r>
            <w:r w:rsidRPr="000F64C5">
              <w:rPr>
                <w:bCs/>
              </w:rPr>
              <w:t xml:space="preserve">best when national needs </w:t>
            </w:r>
            <w:r>
              <w:rPr>
                <w:bCs/>
              </w:rPr>
              <w:t xml:space="preserve">and </w:t>
            </w:r>
            <w:r w:rsidRPr="000F64C5">
              <w:rPr>
                <w:bCs/>
              </w:rPr>
              <w:t>migrant opportunity</w:t>
            </w:r>
            <w:r>
              <w:rPr>
                <w:bCs/>
              </w:rPr>
              <w:t xml:space="preserve"> are balanced</w:t>
            </w:r>
            <w:r w:rsidRPr="000F64C5">
              <w:rPr>
                <w:bCs/>
              </w:rPr>
              <w:t>.</w:t>
            </w:r>
            <w:r>
              <w:rPr>
                <w:bCs/>
              </w:rPr>
              <w:t xml:space="preserve"> </w:t>
            </w:r>
          </w:p>
        </w:tc>
      </w:tr>
    </w:tbl>
    <w:p w14:paraId="718964E6" w14:textId="77777777" w:rsidR="00D9259F" w:rsidRDefault="00D9259F" w:rsidP="00753952">
      <w:pPr>
        <w:pStyle w:val="SingleParagraph"/>
      </w:pP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D9259F" w:rsidRPr="003B6850" w14:paraId="1AE2B965" w14:textId="77777777" w:rsidTr="0095584C">
        <w:trPr>
          <w:trHeight w:val="293"/>
        </w:trPr>
        <w:tc>
          <w:tcPr>
            <w:tcW w:w="9072" w:type="dxa"/>
            <w:shd w:val="clear" w:color="auto" w:fill="auto"/>
          </w:tcPr>
          <w:p w14:paraId="3EF0D2A7" w14:textId="77777777" w:rsidR="00D9259F" w:rsidRPr="00753952" w:rsidRDefault="00D9259F" w:rsidP="00753952">
            <w:pPr>
              <w:pStyle w:val="BoxHeading"/>
            </w:pPr>
            <w:r w:rsidRPr="00753952">
              <w:lastRenderedPageBreak/>
              <w:t xml:space="preserve">What are the determinants of the economic outcomes of Australian permanent migrants? </w:t>
            </w:r>
          </w:p>
          <w:p w14:paraId="37CE1754" w14:textId="5A3C2BF5" w:rsidR="00D9259F" w:rsidRDefault="00D9259F" w:rsidP="00916EF2">
            <w:pPr>
              <w:pStyle w:val="BoxText"/>
            </w:pPr>
            <w:r>
              <w:rPr>
                <w:rFonts w:cs="Times New Roman"/>
              </w:rPr>
              <w:t xml:space="preserve">In research commissioned by the Centre for Population, the Australian National University (ANU) found the primary factors that indicate whether a migrant will be successful, as measured by their income, include educational attainment, occupation, </w:t>
            </w:r>
            <w:proofErr w:type="gramStart"/>
            <w:r>
              <w:rPr>
                <w:rFonts w:cs="Times New Roman"/>
              </w:rPr>
              <w:t>language</w:t>
            </w:r>
            <w:proofErr w:type="gramEnd"/>
            <w:r>
              <w:rPr>
                <w:rFonts w:cs="Times New Roman"/>
              </w:rPr>
              <w:t xml:space="preserve"> and communication skills, as well as visa status. Beyond these, there are also unobservable characteristics such as motivation, </w:t>
            </w:r>
            <w:proofErr w:type="gramStart"/>
            <w:r>
              <w:rPr>
                <w:rFonts w:cs="Times New Roman"/>
              </w:rPr>
              <w:t>attitudes</w:t>
            </w:r>
            <w:proofErr w:type="gramEnd"/>
            <w:r>
              <w:rPr>
                <w:rFonts w:cs="Times New Roman"/>
              </w:rPr>
              <w:t xml:space="preserve"> and the ease of integration into the labour market and the broader community, which can also contribute to successful outcomes for migrants. This research helps us </w:t>
            </w:r>
            <w:r>
              <w:t>better understand the factors associated with the economic outcomes of Australian permanent migrants.</w:t>
            </w:r>
          </w:p>
          <w:p w14:paraId="7861B001" w14:textId="77777777" w:rsidR="00D9259F" w:rsidRPr="00753952" w:rsidRDefault="00D9259F" w:rsidP="00753952">
            <w:pPr>
              <w:pStyle w:val="BoxHeading2"/>
            </w:pPr>
            <w:r w:rsidRPr="00753952">
              <w:t>Education and occupation</w:t>
            </w:r>
          </w:p>
          <w:p w14:paraId="56AA02EF" w14:textId="37013ADC" w:rsidR="00D9259F" w:rsidRDefault="1F4D8CBF" w:rsidP="00753952">
            <w:pPr>
              <w:pStyle w:val="BoxText"/>
            </w:pPr>
            <w:r>
              <w:t xml:space="preserve">The research found </w:t>
            </w:r>
            <w:r w:rsidR="1BD86B5E">
              <w:t>e</w:t>
            </w:r>
            <w:r w:rsidR="00D9259F">
              <w:t xml:space="preserve">ducation levels and </w:t>
            </w:r>
            <w:r w:rsidR="00CC5DFF">
              <w:t xml:space="preserve">the </w:t>
            </w:r>
            <w:r w:rsidR="00D9259F">
              <w:t xml:space="preserve">occupation of migrants are some of the most important factors influencing their incomes. </w:t>
            </w:r>
          </w:p>
          <w:p w14:paraId="533F6C4E" w14:textId="0A0AFDF2" w:rsidR="00D9259F" w:rsidRDefault="00D9259F" w:rsidP="00787FCC">
            <w:pPr>
              <w:pStyle w:val="BoxBullet"/>
            </w:pPr>
            <w:r w:rsidRPr="00EA7115">
              <w:t xml:space="preserve">Across each </w:t>
            </w:r>
            <w:r>
              <w:t xml:space="preserve">permanent </w:t>
            </w:r>
            <w:r w:rsidRPr="00EA7115">
              <w:t xml:space="preserve">visa stream, migrants with higher levels of education have higher levels of income. </w:t>
            </w:r>
            <w:r>
              <w:t xml:space="preserve">Compared to migrants with a high school </w:t>
            </w:r>
            <w:r w:rsidR="45044B8B">
              <w:t>qualification</w:t>
            </w:r>
            <w:r>
              <w:t>, those with an undergraduate degree earned 11</w:t>
            </w:r>
            <w:r w:rsidR="00FF207F">
              <w:t> per cent</w:t>
            </w:r>
            <w:r>
              <w:t xml:space="preserve"> more, those with a </w:t>
            </w:r>
            <w:proofErr w:type="gramStart"/>
            <w:r>
              <w:t>Master</w:t>
            </w:r>
            <w:r w:rsidR="00050D25">
              <w:t>’</w:t>
            </w:r>
            <w:r>
              <w:t>s</w:t>
            </w:r>
            <w:proofErr w:type="gramEnd"/>
            <w:r>
              <w:t xml:space="preserve"> degree earned </w:t>
            </w:r>
            <w:r w:rsidRPr="00EA7115">
              <w:t>17</w:t>
            </w:r>
            <w:r w:rsidR="00FF207F">
              <w:t> per cent</w:t>
            </w:r>
            <w:r w:rsidRPr="00EA7115">
              <w:t xml:space="preserve"> </w:t>
            </w:r>
            <w:r>
              <w:t>more, and those with a PhD earned</w:t>
            </w:r>
            <w:r w:rsidRPr="00EA7115">
              <w:t xml:space="preserve"> 41</w:t>
            </w:r>
            <w:r w:rsidR="00FF207F">
              <w:t> per cent</w:t>
            </w:r>
            <w:r>
              <w:t xml:space="preserve"> more</w:t>
            </w:r>
            <w:r w:rsidRPr="00EA7115">
              <w:t>.</w:t>
            </w:r>
            <w:bookmarkStart w:id="103" w:name="_Ref178341076"/>
            <w:r>
              <w:rPr>
                <w:rStyle w:val="FootnoteReference"/>
              </w:rPr>
              <w:footnoteReference w:id="23"/>
            </w:r>
            <w:bookmarkEnd w:id="103"/>
          </w:p>
          <w:p w14:paraId="432AD23D" w14:textId="088ACC33" w:rsidR="00D9259F" w:rsidRPr="00753952" w:rsidRDefault="00D9259F" w:rsidP="00753952">
            <w:pPr>
              <w:pStyle w:val="BoxBullet"/>
            </w:pPr>
            <w:r w:rsidRPr="00753952">
              <w:t xml:space="preserve">Occupation is important in explaining the different outcomes of visa streams. </w:t>
            </w:r>
            <w:r w:rsidR="59BF4188" w:rsidRPr="00753952">
              <w:t>U</w:t>
            </w:r>
            <w:r w:rsidRPr="00753952">
              <w:t>nsurprisingly, migrants who work in higher paid occupations are more economically successful.</w:t>
            </w:r>
            <w:r w:rsidR="0090158C" w:rsidRPr="00753952" w:rsidDel="0090158C">
              <w:t xml:space="preserve"> </w:t>
            </w:r>
          </w:p>
          <w:p w14:paraId="5CD04932" w14:textId="77777777" w:rsidR="00D9259F" w:rsidRPr="00753952" w:rsidRDefault="00D9259F" w:rsidP="00753952">
            <w:pPr>
              <w:pStyle w:val="BoxHeading2"/>
            </w:pPr>
            <w:r w:rsidRPr="00753952">
              <w:t>Language and communication</w:t>
            </w:r>
          </w:p>
          <w:p w14:paraId="3D94F79A" w14:textId="687BB072" w:rsidR="00D9259F" w:rsidRDefault="00D9259F" w:rsidP="00222767">
            <w:pPr>
              <w:pStyle w:val="BoxText"/>
              <w:rPr>
                <w:vertAlign w:val="superscript"/>
              </w:rPr>
            </w:pPr>
            <w:r>
              <w:t xml:space="preserve">Language and communication skills are a good predictor of success. </w:t>
            </w:r>
            <w:r w:rsidR="00DC74B0">
              <w:t>Stronger</w:t>
            </w:r>
            <w:r>
              <w:t xml:space="preserve"> English language skills correlate with </w:t>
            </w:r>
            <w:r w:rsidRPr="004B3CE0">
              <w:t>higher incomes</w:t>
            </w:r>
            <w:r>
              <w:t xml:space="preserve"> across all visa streams. </w:t>
            </w:r>
            <w:r w:rsidR="00570209">
              <w:t>Migrants</w:t>
            </w:r>
            <w:r w:rsidR="00570209" w:rsidRPr="0056368D">
              <w:t xml:space="preserve"> that report </w:t>
            </w:r>
            <w:r w:rsidR="00570209">
              <w:t>low English language skills</w:t>
            </w:r>
            <w:r w:rsidR="00570209" w:rsidRPr="0056368D">
              <w:t xml:space="preserve"> face a 28</w:t>
            </w:r>
            <w:r w:rsidR="00570209">
              <w:t> per cent</w:t>
            </w:r>
            <w:r w:rsidR="00570209" w:rsidRPr="0056368D">
              <w:t xml:space="preserve"> income penalty and are less likely to report an </w:t>
            </w:r>
            <w:r w:rsidR="00570209">
              <w:t xml:space="preserve">annual </w:t>
            </w:r>
            <w:r w:rsidR="00570209" w:rsidRPr="0056368D">
              <w:t>income over $20,000.</w:t>
            </w:r>
            <w:r w:rsidR="00EB734F">
              <w:rPr>
                <w:vertAlign w:val="superscript"/>
              </w:rPr>
              <w:fldChar w:fldCharType="begin"/>
            </w:r>
            <w:r w:rsidR="00EB734F">
              <w:rPr>
                <w:vertAlign w:val="superscript"/>
              </w:rPr>
              <w:instrText xml:space="preserve"> NOTEREF _Ref178341076 </w:instrText>
            </w:r>
            <w:r w:rsidR="0095584C">
              <w:rPr>
                <w:vertAlign w:val="superscript"/>
              </w:rPr>
              <w:instrText xml:space="preserve"> \* MERGEFORMAT </w:instrText>
            </w:r>
            <w:r w:rsidR="00EB734F">
              <w:rPr>
                <w:vertAlign w:val="superscript"/>
              </w:rPr>
              <w:fldChar w:fldCharType="separate"/>
            </w:r>
            <w:r w:rsidR="00050D25">
              <w:rPr>
                <w:vertAlign w:val="superscript"/>
              </w:rPr>
              <w:t>22</w:t>
            </w:r>
            <w:r w:rsidR="00EB734F">
              <w:rPr>
                <w:vertAlign w:val="superscript"/>
              </w:rPr>
              <w:fldChar w:fldCharType="end"/>
            </w:r>
            <w:r w:rsidR="00570209">
              <w:rPr>
                <w:vertAlign w:val="superscript"/>
              </w:rPr>
              <w:t xml:space="preserve"> </w:t>
            </w:r>
            <w:r w:rsidR="004E41E2">
              <w:t>However</w:t>
            </w:r>
            <w:r>
              <w:t>, i</w:t>
            </w:r>
            <w:r w:rsidRPr="00EC6CD4">
              <w:t xml:space="preserve">n an increasingly globalised world, the ability to </w:t>
            </w:r>
            <w:r>
              <w:t xml:space="preserve">proficiently </w:t>
            </w:r>
            <w:r w:rsidRPr="00EC6CD4">
              <w:t>speak a language other than English is a valuable skill, and one that also supports a more multicultural Australi</w:t>
            </w:r>
            <w:r>
              <w:t>a.</w:t>
            </w:r>
            <w:r>
              <w:rPr>
                <w:rStyle w:val="FootnoteReference"/>
              </w:rPr>
              <w:footnoteReference w:id="24"/>
            </w:r>
            <w:r>
              <w:t xml:space="preserve"> </w:t>
            </w:r>
          </w:p>
          <w:p w14:paraId="16EBB321" w14:textId="77777777" w:rsidR="00D9259F" w:rsidRPr="00753952" w:rsidRDefault="00D9259F" w:rsidP="00753952">
            <w:pPr>
              <w:pStyle w:val="BoxHeading2"/>
            </w:pPr>
            <w:r w:rsidRPr="00753952">
              <w:t>Visa characteristics and status</w:t>
            </w:r>
          </w:p>
          <w:p w14:paraId="6B43A6D8" w14:textId="7D4F826D" w:rsidR="00D9259F" w:rsidRDefault="00D9259F" w:rsidP="00916EF2">
            <w:pPr>
              <w:pStyle w:val="BoxText"/>
            </w:pPr>
            <w:r>
              <w:rPr>
                <w:rFonts w:cs="Times New Roman"/>
              </w:rPr>
              <w:t>The ANU research also found the e</w:t>
            </w:r>
            <w:r w:rsidRPr="004570BA">
              <w:rPr>
                <w:rFonts w:cs="Times New Roman"/>
              </w:rPr>
              <w:t>conomic outcomes of migrants vary across visa programs</w:t>
            </w:r>
            <w:r>
              <w:rPr>
                <w:rFonts w:cs="Times New Roman"/>
              </w:rPr>
              <w:t xml:space="preserve">. </w:t>
            </w:r>
            <w:r w:rsidRPr="004570BA">
              <w:rPr>
                <w:rFonts w:cs="Times New Roman"/>
              </w:rPr>
              <w:t xml:space="preserve">Skilled migrants have </w:t>
            </w:r>
            <w:r>
              <w:rPr>
                <w:rFonts w:cs="Times New Roman"/>
              </w:rPr>
              <w:t>better</w:t>
            </w:r>
            <w:r w:rsidRPr="004570BA">
              <w:rPr>
                <w:rFonts w:cs="Times New Roman"/>
              </w:rPr>
              <w:t xml:space="preserve"> economic outcomes tha</w:t>
            </w:r>
            <w:r w:rsidR="003E680E">
              <w:rPr>
                <w:rFonts w:cs="Times New Roman"/>
              </w:rPr>
              <w:t>n</w:t>
            </w:r>
            <w:r w:rsidR="00E06F97">
              <w:rPr>
                <w:rFonts w:cs="Times New Roman"/>
              </w:rPr>
              <w:t xml:space="preserve"> other</w:t>
            </w:r>
            <w:r>
              <w:rPr>
                <w:rFonts w:cs="Times New Roman"/>
              </w:rPr>
              <w:t xml:space="preserve"> migrants</w:t>
            </w:r>
            <w:r w:rsidRPr="004570BA">
              <w:rPr>
                <w:rFonts w:cs="Times New Roman"/>
              </w:rPr>
              <w:t>.</w:t>
            </w:r>
            <w:r>
              <w:rPr>
                <w:rFonts w:cs="Times New Roman"/>
              </w:rPr>
              <w:t xml:space="preserve"> </w:t>
            </w:r>
            <w:r>
              <w:t>Skilled migrants tend to have higher educational attainment and work in occupations that attract higher incomes, contributing to their success.</w:t>
            </w:r>
          </w:p>
          <w:p w14:paraId="1D648C9B" w14:textId="1B1B4470" w:rsidR="00D9259F" w:rsidRDefault="00D9259F" w:rsidP="00787FCC">
            <w:pPr>
              <w:pStyle w:val="BoxBullet"/>
            </w:pPr>
            <w:r>
              <w:t xml:space="preserve">Permanent </w:t>
            </w:r>
            <w:r w:rsidRPr="00484C9F">
              <w:t xml:space="preserve">migrants who </w:t>
            </w:r>
            <w:r>
              <w:t xml:space="preserve">previously </w:t>
            </w:r>
            <w:r w:rsidRPr="00484C9F">
              <w:t xml:space="preserve">held </w:t>
            </w:r>
            <w:r>
              <w:t>a</w:t>
            </w:r>
            <w:r w:rsidRPr="00484C9F">
              <w:t xml:space="preserve"> </w:t>
            </w:r>
            <w:r w:rsidRPr="00222767">
              <w:t>temporary</w:t>
            </w:r>
            <w:r w:rsidRPr="00484C9F">
              <w:t xml:space="preserve"> visa </w:t>
            </w:r>
            <w:r>
              <w:t>are more likely to have an</w:t>
            </w:r>
            <w:r w:rsidRPr="00484C9F">
              <w:t xml:space="preserve"> income above $20</w:t>
            </w:r>
            <w:r>
              <w:rPr>
                <w:sz w:val="18"/>
                <w:szCs w:val="18"/>
              </w:rPr>
              <w:t>,</w:t>
            </w:r>
            <w:r w:rsidRPr="00484C9F">
              <w:t>000 than</w:t>
            </w:r>
            <w:r>
              <w:t xml:space="preserve"> offshore applicants</w:t>
            </w:r>
            <w:r w:rsidRPr="00484C9F">
              <w:t>.</w:t>
            </w:r>
          </w:p>
          <w:p w14:paraId="3572CB95" w14:textId="5650B484" w:rsidR="00D9259F" w:rsidRPr="00753952" w:rsidRDefault="00D9259F" w:rsidP="00753952">
            <w:pPr>
              <w:pStyle w:val="BoxBullet"/>
            </w:pPr>
            <w:r w:rsidRPr="00753952">
              <w:t xml:space="preserve">Migrants </w:t>
            </w:r>
            <w:r w:rsidR="20B5BB0E" w:rsidRPr="00753952">
              <w:t xml:space="preserve">who </w:t>
            </w:r>
            <w:r w:rsidRPr="00753952">
              <w:t xml:space="preserve">have previously held a temporary skilled visa have higher incomes than migrants </w:t>
            </w:r>
            <w:r w:rsidR="27053875" w:rsidRPr="00753952">
              <w:t xml:space="preserve">who </w:t>
            </w:r>
            <w:r w:rsidRPr="00753952">
              <w:t>have held other types of temporary visas.</w:t>
            </w:r>
            <w:r w:rsidR="00B545BA" w:rsidRPr="00753952">
              <w:t xml:space="preserve"> </w:t>
            </w:r>
          </w:p>
          <w:p w14:paraId="0FF8F297" w14:textId="7B75AE80" w:rsidR="00D9259F" w:rsidRPr="00753952" w:rsidRDefault="00D9259F" w:rsidP="00753952">
            <w:pPr>
              <w:pStyle w:val="BoxBullet"/>
            </w:pPr>
            <w:r w:rsidRPr="00753952">
              <w:t>These characteristics are more important in determining short</w:t>
            </w:r>
            <w:r w:rsidR="00050D25">
              <w:noBreakHyphen/>
            </w:r>
            <w:r w:rsidRPr="00753952">
              <w:t>term outcomes than long</w:t>
            </w:r>
            <w:r w:rsidR="00050D25">
              <w:noBreakHyphen/>
            </w:r>
            <w:r w:rsidRPr="00753952">
              <w:t>term outcomes as there is some convergence over the long</w:t>
            </w:r>
            <w:r w:rsidR="00965F5E">
              <w:t xml:space="preserve"> </w:t>
            </w:r>
            <w:r w:rsidRPr="00753952">
              <w:t>term.</w:t>
            </w:r>
            <w:r w:rsidR="00B545BA" w:rsidRPr="00753952">
              <w:t xml:space="preserve"> </w:t>
            </w:r>
          </w:p>
          <w:p w14:paraId="5C7F4E11" w14:textId="166CE1C9" w:rsidR="00D9259F" w:rsidRPr="00B344C9" w:rsidRDefault="00D9259F" w:rsidP="00916EF2">
            <w:pPr>
              <w:pStyle w:val="BoxText"/>
            </w:pPr>
            <w:r>
              <w:rPr>
                <w:rFonts w:cs="Times New Roman"/>
              </w:rPr>
              <w:t xml:space="preserve">The ANU found that </w:t>
            </w:r>
            <w:r w:rsidRPr="004570BA">
              <w:rPr>
                <w:rFonts w:cs="Times New Roman"/>
              </w:rPr>
              <w:t xml:space="preserve">Family and Humanitarian migrants have weaker economic outcomes than </w:t>
            </w:r>
            <w:r w:rsidR="00EC5075">
              <w:rPr>
                <w:rFonts w:cs="Times New Roman"/>
              </w:rPr>
              <w:t>the Australian born population</w:t>
            </w:r>
            <w:r w:rsidRPr="004570BA">
              <w:rPr>
                <w:rFonts w:cs="Times New Roman"/>
              </w:rPr>
              <w:t>.</w:t>
            </w:r>
            <w:r>
              <w:rPr>
                <w:rFonts w:cs="Times New Roman"/>
              </w:rPr>
              <w:t xml:space="preserve"> </w:t>
            </w:r>
            <w:r w:rsidR="00B63DBE">
              <w:rPr>
                <w:rFonts w:cs="Times New Roman"/>
              </w:rPr>
              <w:t xml:space="preserve">While improving the economic outcomes of Family and </w:t>
            </w:r>
            <w:r w:rsidR="00747356">
              <w:rPr>
                <w:rFonts w:cs="Times New Roman"/>
              </w:rPr>
              <w:t>Humanitarian migrant</w:t>
            </w:r>
            <w:r w:rsidR="00DA67FA">
              <w:rPr>
                <w:rFonts w:cs="Times New Roman"/>
              </w:rPr>
              <w:t>s is important, non</w:t>
            </w:r>
            <w:r w:rsidR="00050D25">
              <w:rPr>
                <w:rFonts w:cs="Times New Roman"/>
              </w:rPr>
              <w:noBreakHyphen/>
            </w:r>
            <w:r w:rsidR="00DA67FA">
              <w:rPr>
                <w:rFonts w:cs="Times New Roman"/>
              </w:rPr>
              <w:t xml:space="preserve">economic benefits </w:t>
            </w:r>
            <w:r w:rsidR="00365A78">
              <w:rPr>
                <w:rFonts w:cs="Times New Roman"/>
              </w:rPr>
              <w:t>of</w:t>
            </w:r>
            <w:r w:rsidRPr="004570BA">
              <w:t xml:space="preserve"> </w:t>
            </w:r>
            <w:r>
              <w:t>protecting people from persecution and reuniting them with their families in Australia</w:t>
            </w:r>
            <w:r w:rsidR="00DA67FA">
              <w:t xml:space="preserve"> are the primary motivators of these programs</w:t>
            </w:r>
            <w:r>
              <w:t>.</w:t>
            </w:r>
          </w:p>
        </w:tc>
      </w:tr>
      <w:bookmarkEnd w:id="94"/>
    </w:tbl>
    <w:p w14:paraId="609F6729" w14:textId="3136F8FC" w:rsidR="00FD68B9" w:rsidRDefault="00FD68B9" w:rsidP="00753952">
      <w:pPr>
        <w:pStyle w:val="SingleParagraph"/>
      </w:pPr>
    </w:p>
    <w:p w14:paraId="3F902BC3" w14:textId="77777777" w:rsidR="001C4D6C" w:rsidRPr="00C306BF" w:rsidRDefault="001C4D6C" w:rsidP="000D449A">
      <w:pPr>
        <w:pStyle w:val="Heading2Numbered"/>
      </w:pPr>
      <w:bookmarkStart w:id="104" w:name="_Toc149846502"/>
      <w:bookmarkStart w:id="105" w:name="_Toc149846543"/>
      <w:bookmarkStart w:id="106" w:name="_Toc149846641"/>
      <w:bookmarkStart w:id="107" w:name="_Toc149847584"/>
      <w:bookmarkStart w:id="108" w:name="_Toc151994719"/>
      <w:bookmarkStart w:id="109" w:name="_Toc180584517"/>
      <w:bookmarkStart w:id="110" w:name="_Toc185333108"/>
      <w:bookmarkStart w:id="111" w:name="_Toc185346725"/>
      <w:r w:rsidRPr="00C306BF">
        <w:lastRenderedPageBreak/>
        <w:t>Births</w:t>
      </w:r>
      <w:bookmarkEnd w:id="104"/>
      <w:bookmarkEnd w:id="105"/>
      <w:bookmarkEnd w:id="106"/>
      <w:bookmarkEnd w:id="107"/>
      <w:bookmarkEnd w:id="108"/>
      <w:bookmarkEnd w:id="109"/>
      <w:bookmarkEnd w:id="110"/>
      <w:bookmarkEnd w:id="111"/>
    </w:p>
    <w:p w14:paraId="18EB9C41" w14:textId="5D8E7992" w:rsidR="001C4D6C" w:rsidRDefault="001C4D6C" w:rsidP="001C4D6C">
      <w:bookmarkStart w:id="112" w:name="_Hlk153269474"/>
      <w:r>
        <w:t>In 2022–23, the total fertility rate fell to a record low of 1.55 babies per woman and</w:t>
      </w:r>
      <w:r w:rsidR="00B56D53">
        <w:t xml:space="preserve">, at </w:t>
      </w:r>
      <w:r w:rsidR="003251D5">
        <w:t>291,000</w:t>
      </w:r>
      <w:r>
        <w:t xml:space="preserve"> births</w:t>
      </w:r>
      <w:r w:rsidR="00D849FF">
        <w:t>, the number of births</w:t>
      </w:r>
      <w:r>
        <w:t xml:space="preserve"> was the lowest since 2006–07, when the national population was about one</w:t>
      </w:r>
      <w:r w:rsidR="00050D25">
        <w:noBreakHyphen/>
      </w:r>
      <w:r>
        <w:t xml:space="preserve">fifth smaller. The fertility rate </w:t>
      </w:r>
      <w:r w:rsidR="00631995">
        <w:t>has fallen</w:t>
      </w:r>
      <w:r>
        <w:t xml:space="preserve"> from 1.69 in 2021–22. This builds on a multi</w:t>
      </w:r>
      <w:r w:rsidR="00050D25">
        <w:noBreakHyphen/>
      </w:r>
      <w:r>
        <w:t>decade trend of declining fertility (</w:t>
      </w:r>
      <w:r w:rsidR="00DF5ECB">
        <w:fldChar w:fldCharType="begin"/>
      </w:r>
      <w:r w:rsidR="00DF5ECB">
        <w:instrText xml:space="preserve"> REF _Ref179482575 \r \h </w:instrText>
      </w:r>
      <w:r w:rsidR="00DF5ECB">
        <w:fldChar w:fldCharType="separate"/>
      </w:r>
      <w:r w:rsidR="00050D25">
        <w:t>Box 6</w:t>
      </w:r>
      <w:r w:rsidR="00DF5ECB">
        <w:fldChar w:fldCharType="end"/>
      </w:r>
      <w:r>
        <w:t xml:space="preserve">). </w:t>
      </w:r>
    </w:p>
    <w:p w14:paraId="21D616DF" w14:textId="0B29AA70" w:rsidR="001C4D6C" w:rsidRPr="00A73455" w:rsidRDefault="001C4D6C" w:rsidP="001C4D6C">
      <w:r>
        <w:t>Australia</w:t>
      </w:r>
      <w:r w:rsidR="00050D25">
        <w:t>’</w:t>
      </w:r>
      <w:r>
        <w:t>s fertility rate is expected to remain at record lows in 2023–24 (1.</w:t>
      </w:r>
      <w:r w:rsidDel="00F55126">
        <w:t>48</w:t>
      </w:r>
      <w:r>
        <w:t>) and 2024–25 (1.4</w:t>
      </w:r>
      <w:r w:rsidR="008547ED">
        <w:t>5</w:t>
      </w:r>
      <w:r w:rsidR="003A151C">
        <w:t>)</w:t>
      </w:r>
      <w:r>
        <w:t xml:space="preserve">. </w:t>
      </w:r>
      <w:r w:rsidR="003A151C">
        <w:t xml:space="preserve">Based on </w:t>
      </w:r>
      <w:r w:rsidR="00DA1446">
        <w:t>the Centre</w:t>
      </w:r>
      <w:r w:rsidR="00050D25">
        <w:t>’</w:t>
      </w:r>
      <w:r w:rsidR="00DA1446">
        <w:t xml:space="preserve">s </w:t>
      </w:r>
      <w:r w:rsidR="003A151C">
        <w:t xml:space="preserve">new leading indicator (Appendix – </w:t>
      </w:r>
      <w:r w:rsidR="004E1202">
        <w:fldChar w:fldCharType="begin"/>
      </w:r>
      <w:r w:rsidR="004E1202">
        <w:instrText xml:space="preserve"> REF _Ref179371002 \r \h </w:instrText>
      </w:r>
      <w:r w:rsidR="004E1202">
        <w:fldChar w:fldCharType="separate"/>
      </w:r>
      <w:r w:rsidR="00050D25">
        <w:t>Box 11</w:t>
      </w:r>
      <w:r w:rsidR="004E1202">
        <w:fldChar w:fldCharType="end"/>
      </w:r>
      <w:r w:rsidR="003A151C">
        <w:t>)</w:t>
      </w:r>
      <w:r>
        <w:t xml:space="preserve">, births are expected to fall further, reaching </w:t>
      </w:r>
      <w:r w:rsidRPr="00A73455">
        <w:t>28</w:t>
      </w:r>
      <w:r w:rsidR="005137B7">
        <w:t>8</w:t>
      </w:r>
      <w:r w:rsidRPr="00A73455">
        <w:t>,000 i</w:t>
      </w:r>
      <w:r>
        <w:t>n 2024–25</w:t>
      </w:r>
      <w:r w:rsidRPr="00A73455">
        <w:t>.</w:t>
      </w:r>
    </w:p>
    <w:p w14:paraId="2D3837C3" w14:textId="54CCF8DF" w:rsidR="001C4D6C" w:rsidRDefault="001C4D6C" w:rsidP="001C4D6C">
      <w:r>
        <w:t xml:space="preserve">Recovery from the current low fertility rate is expected to take time. The total fertility rate is </w:t>
      </w:r>
      <w:r w:rsidRPr="007E6C12">
        <w:t>projected to gradually</w:t>
      </w:r>
      <w:r>
        <w:t xml:space="preserve"> return to and stabilise at 1.62 by 2031–32</w:t>
      </w:r>
      <w:r w:rsidRPr="001707F8">
        <w:t xml:space="preserve">. </w:t>
      </w:r>
      <w:r w:rsidR="00BB009C">
        <w:t>The f</w:t>
      </w:r>
      <w:r w:rsidR="00432867">
        <w:t>ertility</w:t>
      </w:r>
      <w:r w:rsidR="00BB009C">
        <w:t xml:space="preserve"> rate</w:t>
      </w:r>
      <w:r w:rsidR="00432867">
        <w:t xml:space="preserve"> </w:t>
      </w:r>
      <w:r w:rsidR="001E6EAF">
        <w:t>is expected to</w:t>
      </w:r>
      <w:r w:rsidR="00432867">
        <w:t xml:space="preserve"> </w:t>
      </w:r>
      <w:r w:rsidR="00B731F6">
        <w:t>return</w:t>
      </w:r>
      <w:r w:rsidR="00432867">
        <w:t xml:space="preserve"> to this</w:t>
      </w:r>
      <w:r w:rsidR="00432867" w:rsidRPr="00BC4175">
        <w:t xml:space="preserve"> </w:t>
      </w:r>
      <w:r w:rsidR="00432867">
        <w:t>long</w:t>
      </w:r>
      <w:r w:rsidR="00050D25">
        <w:noBreakHyphen/>
      </w:r>
      <w:r w:rsidR="00432867">
        <w:t xml:space="preserve">run rate </w:t>
      </w:r>
      <w:r w:rsidR="00BF0D18">
        <w:t>as</w:t>
      </w:r>
      <w:r w:rsidR="00432867">
        <w:t xml:space="preserve"> </w:t>
      </w:r>
      <w:r w:rsidR="00432867" w:rsidRPr="003E0C4C">
        <w:t>the proportion of</w:t>
      </w:r>
      <w:r w:rsidR="00432867">
        <w:t xml:space="preserve"> </w:t>
      </w:r>
      <w:r w:rsidR="00432867" w:rsidRPr="003E0C4C">
        <w:t>women without children has not increased significantly</w:t>
      </w:r>
      <w:r w:rsidR="00432867">
        <w:t xml:space="preserve"> in recent years.</w:t>
      </w:r>
      <w:r w:rsidR="00432867" w:rsidRPr="004E0F8C">
        <w:t xml:space="preserve"> </w:t>
      </w:r>
      <w:r>
        <w:t>As the fertility rate moves towards to</w:t>
      </w:r>
      <w:r w:rsidDel="006E06BF">
        <w:t xml:space="preserve"> </w:t>
      </w:r>
      <w:r>
        <w:t>its</w:t>
      </w:r>
      <w:r w:rsidDel="006E06BF">
        <w:t xml:space="preserve"> long</w:t>
      </w:r>
      <w:r w:rsidR="00050D25">
        <w:noBreakHyphen/>
      </w:r>
      <w:r w:rsidDel="006E06BF">
        <w:t>run level</w:t>
      </w:r>
      <w:r>
        <w:t xml:space="preserve">, and the number of potential parents grows with </w:t>
      </w:r>
      <w:r w:rsidR="00522977">
        <w:t>the</w:t>
      </w:r>
      <w:r w:rsidRPr="001627E8">
        <w:t xml:space="preserve"> </w:t>
      </w:r>
      <w:r>
        <w:t>population,</w:t>
      </w:r>
      <w:r w:rsidRPr="001707F8">
        <w:t xml:space="preserve"> </w:t>
      </w:r>
      <w:r w:rsidR="009737BF">
        <w:t>annual</w:t>
      </w:r>
      <w:r w:rsidRPr="001707F8">
        <w:t xml:space="preserve"> </w:t>
      </w:r>
      <w:r>
        <w:t xml:space="preserve">births are forecast to increase to 352,000 by 2034–35. </w:t>
      </w:r>
    </w:p>
    <w:p w14:paraId="60C00A01" w14:textId="74DC3F71" w:rsidR="001C4D6C" w:rsidRPr="00645008" w:rsidRDefault="001C4D6C" w:rsidP="00654915">
      <w:pPr>
        <w:pStyle w:val="ChartMainHeading"/>
      </w:pPr>
      <w:r w:rsidRPr="00645008">
        <w:t xml:space="preserve">Total fertility rate </w:t>
      </w:r>
    </w:p>
    <w:p w14:paraId="1138AD74" w14:textId="0187FDFE" w:rsidR="008E3493" w:rsidRDefault="0021021F" w:rsidP="00753952">
      <w:pPr>
        <w:pStyle w:val="ChartGraphic"/>
        <w:rPr>
          <w:rStyle w:val="SourceChar"/>
          <w:b/>
          <w:smallCaps/>
          <w:color w:val="002C47" w:themeColor="accent1"/>
          <w:spacing w:val="15"/>
        </w:rPr>
      </w:pPr>
      <w:r w:rsidRPr="0021021F">
        <w:rPr>
          <w:rStyle w:val="SourceChar"/>
          <w:noProof/>
          <w:sz w:val="20"/>
          <w:bdr w:val="none" w:sz="0" w:space="0" w:color="auto"/>
        </w:rPr>
        <w:drawing>
          <wp:inline distT="0" distB="0" distL="0" distR="0" wp14:anchorId="38AAF812" wp14:editId="73B41999">
            <wp:extent cx="5581650" cy="2886075"/>
            <wp:effectExtent l="0" t="0" r="0" b="0"/>
            <wp:docPr id="1830195626" name="Picture 1830195626" descr="This line chart shows the total fertility rate of Australia from 1984–85 to 2034–35, including forecasts and projections from 2023–24 onwards. The total fertility rate declines gradually, before increasing significantly to around 2.0 in 2008–09. It then declines again, reaching a low of 1.45 in 2024–25. The rate is then forecast to increase again to a flat rate of 1.62 from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95626" name="Picture 1830195626" descr="This line chart shows the total fertility rate of Australia from 1984–85 to 2034–35, including forecasts and projections from 2023–24 onwards. The total fertility rate declines gradually, before increasing significantly to around 2.0 in 2008–09. It then declines again, reaching a low of 1.45 in 2024–25. The rate is then forecast to increase again to a flat rate of 1.62 from 203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424CC438" w14:textId="7B89C178" w:rsidR="001C4D6C" w:rsidRDefault="001C4D6C" w:rsidP="008E3493">
      <w:pPr>
        <w:pStyle w:val="Source"/>
        <w:rPr>
          <w:rStyle w:val="SourceChar"/>
        </w:rPr>
      </w:pPr>
      <w:r w:rsidRPr="008E3493">
        <w:rPr>
          <w:rStyle w:val="SourceChar"/>
        </w:rPr>
        <w:t xml:space="preserve">Source: </w:t>
      </w:r>
      <w:r w:rsidRPr="008E3493">
        <w:rPr>
          <w:rStyle w:val="SourceChar"/>
        </w:rPr>
        <w:tab/>
        <w:t xml:space="preserve">ABS, </w:t>
      </w:r>
      <w:r w:rsidRPr="00753952">
        <w:rPr>
          <w:rStyle w:val="SubtleEmphasis"/>
        </w:rPr>
        <w:t>National, state and territory population, March 2024</w:t>
      </w:r>
      <w:r w:rsidRPr="008E3493">
        <w:rPr>
          <w:rStyle w:val="SourceChar"/>
        </w:rPr>
        <w:t xml:space="preserve">; and Centre for Population. </w:t>
      </w:r>
    </w:p>
    <w:p w14:paraId="72BD43AD" w14:textId="77777777" w:rsidR="00753952" w:rsidRDefault="00753952" w:rsidP="00753952">
      <w:pPr>
        <w:pStyle w:val="SingleParagraph"/>
      </w:pPr>
    </w:p>
    <w:p w14:paraId="16107BDA" w14:textId="3978218E" w:rsidR="001C4D6C" w:rsidRDefault="001C4D6C" w:rsidP="001C4D6C">
      <w:pPr>
        <w:pStyle w:val="Heading3Numbered"/>
        <w:rPr>
          <w:lang w:eastAsia="en-AU"/>
        </w:rPr>
      </w:pPr>
      <w:r>
        <w:rPr>
          <w:lang w:eastAsia="en-AU"/>
        </w:rPr>
        <w:t>Recuperation and cohort fertility</w:t>
      </w:r>
    </w:p>
    <w:p w14:paraId="116C1611" w14:textId="48A7EE0A" w:rsidR="001C4D6C" w:rsidRDefault="001C4D6C" w:rsidP="003914B2">
      <w:r>
        <w:t xml:space="preserve">The speed and trajectory of the recovery </w:t>
      </w:r>
      <w:r w:rsidR="00CB149E">
        <w:t>of the fertility rate</w:t>
      </w:r>
      <w:r>
        <w:t xml:space="preserve"> is highly uncertain. </w:t>
      </w:r>
      <w:r w:rsidRPr="0039755B">
        <w:t>T</w:t>
      </w:r>
      <w:r>
        <w:t>he t</w:t>
      </w:r>
      <w:r w:rsidRPr="0039755B">
        <w:t xml:space="preserve">otal fertility </w:t>
      </w:r>
      <w:r w:rsidRPr="00E83AA4">
        <w:t>rate</w:t>
      </w:r>
      <w:r w:rsidRPr="0039755B">
        <w:t xml:space="preserve"> can </w:t>
      </w:r>
      <w:r>
        <w:t>be influenced by</w:t>
      </w:r>
      <w:r w:rsidDel="005A4311">
        <w:t xml:space="preserve"> </w:t>
      </w:r>
      <w:r>
        <w:t xml:space="preserve">gradual, </w:t>
      </w:r>
      <w:r w:rsidRPr="0039755B">
        <w:t>broad</w:t>
      </w:r>
      <w:r w:rsidR="00050D25">
        <w:noBreakHyphen/>
      </w:r>
      <w:r w:rsidRPr="0039755B">
        <w:t>based trends in fertility desires</w:t>
      </w:r>
      <w:r w:rsidR="00CB149E">
        <w:t xml:space="preserve"> and intentions</w:t>
      </w:r>
      <w:r>
        <w:t>. However, it is also affected by the timing of childbearing, which is sensitive to economic and social conditions. For example, households may delay having children during periods of increased financial strain</w:t>
      </w:r>
      <w:r w:rsidR="007F5CE9">
        <w:t xml:space="preserve"> and this delay may have differential effects across socioeconomic groups</w:t>
      </w:r>
      <w:r>
        <w:t>.</w:t>
      </w:r>
      <w:r w:rsidR="00B10E0F">
        <w:rPr>
          <w:rStyle w:val="FootnoteReference"/>
        </w:rPr>
        <w:footnoteReference w:id="25"/>
      </w:r>
      <w:r>
        <w:t xml:space="preserve"> In time, this </w:t>
      </w:r>
      <w:r w:rsidDel="007C0F19">
        <w:t xml:space="preserve">means </w:t>
      </w:r>
      <w:r>
        <w:t xml:space="preserve">that those delayed births occur for women at older ages </w:t>
      </w:r>
      <w:r>
        <w:lastRenderedPageBreak/>
        <w:t>than would otherwise have been the case</w:t>
      </w:r>
      <w:r w:rsidDel="00931CC1">
        <w:t>,</w:t>
      </w:r>
      <w:r>
        <w:t xml:space="preserve"> </w:t>
      </w:r>
      <w:r w:rsidDel="00931CC1">
        <w:t xml:space="preserve">a </w:t>
      </w:r>
      <w:r>
        <w:t xml:space="preserve">phenomenon </w:t>
      </w:r>
      <w:r w:rsidR="005C0A63">
        <w:t>demography terms</w:t>
      </w:r>
      <w:r>
        <w:t xml:space="preserve"> recuperation. The total fertility rate falls when births are delayed and rises when </w:t>
      </w:r>
      <w:r w:rsidR="00FD1DDA">
        <w:t>people ha</w:t>
      </w:r>
      <w:r w:rsidR="00995348">
        <w:t>ve</w:t>
      </w:r>
      <w:r w:rsidR="00FD1DDA">
        <w:t xml:space="preserve"> those children that they had put off</w:t>
      </w:r>
      <w:r>
        <w:t>.</w:t>
      </w:r>
    </w:p>
    <w:p w14:paraId="1FF1D768" w14:textId="2ABED3C0" w:rsidR="00DB2F76" w:rsidRDefault="00DB2F76" w:rsidP="00DB2F76">
      <w:r>
        <w:t xml:space="preserve">The recent decline in fertility could be the result of a delay in births, a temporary reduction, or </w:t>
      </w:r>
      <w:r w:rsidR="00060530">
        <w:t xml:space="preserve">reflect </w:t>
      </w:r>
      <w:r>
        <w:t>a more structural reduction. The Centre projects the recent decline to be temporary, but with no additional recuperation of this recent decline. However, it is possible mothers will recuperate the births that were delayed, either fully or partly, in future years. This would mean a faster recovery in total fertility rate, with the rate temporarily peaking above the long</w:t>
      </w:r>
      <w:r w:rsidR="00050D25">
        <w:noBreakHyphen/>
      </w:r>
      <w:r>
        <w:t>run level of 1.62 (at 1.70 and 1.6</w:t>
      </w:r>
      <w:r w:rsidR="002C678D">
        <w:t>6</w:t>
      </w:r>
      <w:r>
        <w:t xml:space="preserve"> in </w:t>
      </w:r>
      <w:r w:rsidR="00216D70">
        <w:t>the full and partial recuperation scenarios</w:t>
      </w:r>
      <w:r>
        <w:t xml:space="preserve"> respectively</w:t>
      </w:r>
      <w:r w:rsidR="00DA5D5B">
        <w:t>)</w:t>
      </w:r>
      <w:r>
        <w:t xml:space="preserve">. By contrast, if the fall in </w:t>
      </w:r>
      <w:r w:rsidR="00CB149E">
        <w:t xml:space="preserve">the </w:t>
      </w:r>
      <w:r>
        <w:t xml:space="preserve">fertility </w:t>
      </w:r>
      <w:r w:rsidR="00CB149E">
        <w:t xml:space="preserve">rate </w:t>
      </w:r>
      <w:r>
        <w:t>is structural, we would expect the recent low fertility rate to be sustained.</w:t>
      </w:r>
      <w:r w:rsidR="00DA5D5B">
        <w:t xml:space="preserve"> This would lead to a </w:t>
      </w:r>
      <w:r w:rsidR="00B20502">
        <w:t>large</w:t>
      </w:r>
      <w:r w:rsidR="00DA5D5B">
        <w:t xml:space="preserve"> reduction in births </w:t>
      </w:r>
      <w:r w:rsidR="004F1484">
        <w:t>and accelerat</w:t>
      </w:r>
      <w:r w:rsidR="00F40C88">
        <w:t>e</w:t>
      </w:r>
      <w:r w:rsidR="008B3593">
        <w:t xml:space="preserve"> population ageing, </w:t>
      </w:r>
      <w:r w:rsidR="00C21687">
        <w:t>with the median age of the population reaching 4</w:t>
      </w:r>
      <w:r w:rsidR="00D463A3">
        <w:t>0</w:t>
      </w:r>
      <w:r w:rsidR="00C21687">
        <w:t xml:space="preserve"> years in 2</w:t>
      </w:r>
      <w:r w:rsidR="00D463A3">
        <w:t>038</w:t>
      </w:r>
      <w:r w:rsidR="001071AD">
        <w:t>–</w:t>
      </w:r>
      <w:r w:rsidR="00D463A3">
        <w:t xml:space="preserve">39, </w:t>
      </w:r>
      <w:r w:rsidR="008B4619">
        <w:t>which is</w:t>
      </w:r>
      <w:r w:rsidR="00844365">
        <w:t xml:space="preserve"> </w:t>
      </w:r>
      <w:r w:rsidR="001426E2">
        <w:t>4</w:t>
      </w:r>
      <w:r w:rsidR="00CE453A">
        <w:t xml:space="preserve"> </w:t>
      </w:r>
      <w:r w:rsidR="00D463A3">
        <w:t>years earlier than</w:t>
      </w:r>
      <w:r w:rsidR="00D463A3">
        <w:rPr>
          <w:rStyle w:val="CommentReference"/>
        </w:rPr>
        <w:t xml:space="preserve"> </w:t>
      </w:r>
      <w:r w:rsidR="008C57BE">
        <w:t>forecast.</w:t>
      </w:r>
    </w:p>
    <w:p w14:paraId="0ECB5695" w14:textId="425439E6" w:rsidR="000E53B4" w:rsidRDefault="001C4D6C" w:rsidP="00654915">
      <w:pPr>
        <w:pStyle w:val="ChartMainHeading"/>
      </w:pPr>
      <w:r>
        <w:t>Total fertility rate, comparison with alternative fertility scenarios</w:t>
      </w:r>
    </w:p>
    <w:p w14:paraId="7D1C7273" w14:textId="48B67750" w:rsidR="000651CF" w:rsidRDefault="00E25227" w:rsidP="00753952">
      <w:pPr>
        <w:pStyle w:val="ChartGraphic"/>
      </w:pPr>
      <w:r w:rsidRPr="00E25227">
        <w:rPr>
          <w:noProof/>
        </w:rPr>
        <w:drawing>
          <wp:inline distT="0" distB="0" distL="0" distR="0" wp14:anchorId="4B41DF7D" wp14:editId="78D06CB4">
            <wp:extent cx="5581650" cy="2876550"/>
            <wp:effectExtent l="0" t="0" r="0" b="0"/>
            <wp:docPr id="188353272" name="Picture 188353272" descr="This line chart shows the total fertility rate, under current projections as well as a variety of alternative fertility scenarios, from 1989–90 to 2049–50, with forecast figures incorporated for 2023–24 onwards. The full recuperation scenario shows a recovery in the total fertility rate to 1.70 babies per woman in 2031–32 before declining to a rate of 1.62 by 2049–50. The partial recuperation scenario shows a more modest recovery, up to a high of 1.66 and down to 1.62 over the same timeframe. The low fertility scenario shows the total fertility rate remaining constant a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272" name="Picture 188353272" descr="This line chart shows the total fertility rate, under current projections as well as a variety of alternative fertility scenarios, from 1989–90 to 2049–50, with forecast figures incorporated for 2023–24 onwards. The full recuperation scenario shows a recovery in the total fertility rate to 1.70 babies per woman in 2031–32 before declining to a rate of 1.62 by 2049–50. The partial recuperation scenario shows a more modest recovery, up to a high of 1.66 and down to 1.62 over the same timeframe. The low fertility scenario shows the total fertility rate remaining constant at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000E53B4" w:rsidRPr="000E53B4" w:rsidDel="000E53B4">
        <w:t xml:space="preserve"> </w:t>
      </w:r>
    </w:p>
    <w:p w14:paraId="5E1EF6BE" w14:textId="1F658821" w:rsidR="001C4D6C" w:rsidRDefault="001C4D6C" w:rsidP="001C4D6C">
      <w:pPr>
        <w:pStyle w:val="Source"/>
      </w:pPr>
      <w:r>
        <w:t xml:space="preserve">Source: </w:t>
      </w:r>
      <w:r w:rsidR="000651CF">
        <w:tab/>
      </w:r>
      <w:r>
        <w:t>Centre for Population.</w:t>
      </w:r>
    </w:p>
    <w:p w14:paraId="031CDA9A" w14:textId="77777777" w:rsidR="00753952" w:rsidRDefault="00753952" w:rsidP="00753952">
      <w:pPr>
        <w:pStyle w:val="SingleParagraph"/>
      </w:pPr>
    </w:p>
    <w:p w14:paraId="64ECC551" w14:textId="6E88AB4D" w:rsidR="001C4D6C" w:rsidRDefault="001C4D6C" w:rsidP="003914B2">
      <w:r>
        <w:t xml:space="preserve">An alternative measure of </w:t>
      </w:r>
      <w:r w:rsidR="00F541BF">
        <w:t xml:space="preserve">the </w:t>
      </w:r>
      <w:r>
        <w:t xml:space="preserve">fertility </w:t>
      </w:r>
      <w:r w:rsidR="00F541BF">
        <w:t>rate</w:t>
      </w:r>
      <w:r>
        <w:t xml:space="preserve"> is</w:t>
      </w:r>
      <w:r w:rsidDel="00C63237">
        <w:t xml:space="preserve"> </w:t>
      </w:r>
      <w:r>
        <w:t>the completed cohort fertility rate – the average number of children born to a cohort of women (</w:t>
      </w:r>
      <w:r w:rsidR="00535659">
        <w:t>that is,</w:t>
      </w:r>
      <w:r>
        <w:t xml:space="preserve"> women of the same birth year) over their lifetime. This metric is more stable than the total fertility rate, as</w:t>
      </w:r>
      <w:r w:rsidDel="00D41F4F">
        <w:t xml:space="preserve"> </w:t>
      </w:r>
      <w:r>
        <w:t>it accounts for changes in the timing of births over a woman</w:t>
      </w:r>
      <w:r w:rsidR="00050D25">
        <w:t>’</w:t>
      </w:r>
      <w:r>
        <w:t>s lifetime. For example, based on the Centre</w:t>
      </w:r>
      <w:r w:rsidR="00050D25">
        <w:t>’</w:t>
      </w:r>
      <w:r>
        <w:t>s forecasts, a woman born in 1991</w:t>
      </w:r>
      <w:r w:rsidR="00AF38FB">
        <w:t>–</w:t>
      </w:r>
      <w:r>
        <w:t>92 is forecast to have on average 1.7 children over her life, despite the total fertility rate fluctuating</w:t>
      </w:r>
      <w:r w:rsidR="005D4839">
        <w:t xml:space="preserve"> during this period</w:t>
      </w:r>
      <w:r>
        <w:t xml:space="preserve"> between a high of 2.00 to a low of 1.4</w:t>
      </w:r>
      <w:r w:rsidR="00A052F2">
        <w:t>5</w:t>
      </w:r>
      <w:r>
        <w:t>.</w:t>
      </w:r>
    </w:p>
    <w:p w14:paraId="6A5A9CA6" w14:textId="2FD26133" w:rsidR="001C4D6C" w:rsidRDefault="000B5129" w:rsidP="003914B2">
      <w:r>
        <w:t>B</w:t>
      </w:r>
      <w:r w:rsidR="001C4D6C">
        <w:t xml:space="preserve">oth </w:t>
      </w:r>
      <w:r w:rsidR="001D5B82">
        <w:t xml:space="preserve">recuperation scenarios </w:t>
      </w:r>
      <w:r w:rsidR="00D322D5">
        <w:t>project</w:t>
      </w:r>
      <w:r w:rsidR="001C4D6C">
        <w:t xml:space="preserve"> higher</w:t>
      </w:r>
      <w:r w:rsidR="001C4D6C" w:rsidDel="00495184">
        <w:t xml:space="preserve"> </w:t>
      </w:r>
      <w:r w:rsidR="001C4D6C">
        <w:t xml:space="preserve">cohort fertility </w:t>
      </w:r>
      <w:r>
        <w:t>for women born between 1987–88 and 2009</w:t>
      </w:r>
      <w:r w:rsidR="001339E1">
        <w:t>‍</w:t>
      </w:r>
      <w:r>
        <w:t>–</w:t>
      </w:r>
      <w:r w:rsidR="001339E1">
        <w:t>‍</w:t>
      </w:r>
      <w:r>
        <w:t>10</w:t>
      </w:r>
      <w:r w:rsidR="007B394D">
        <w:t xml:space="preserve"> </w:t>
      </w:r>
      <w:r w:rsidR="001C4D6C">
        <w:t xml:space="preserve">than </w:t>
      </w:r>
      <w:r w:rsidR="00D01618">
        <w:t>is</w:t>
      </w:r>
      <w:r w:rsidR="004A5377">
        <w:t xml:space="preserve"> expected under</w:t>
      </w:r>
      <w:r w:rsidR="001C4D6C">
        <w:t xml:space="preserve"> </w:t>
      </w:r>
      <w:r w:rsidR="00AF0115">
        <w:t>the Centre</w:t>
      </w:r>
      <w:r w:rsidR="00050D25">
        <w:t>’</w:t>
      </w:r>
      <w:r w:rsidR="00AF0115">
        <w:t>s current</w:t>
      </w:r>
      <w:r w:rsidR="001C4D6C">
        <w:t xml:space="preserve"> forecast</w:t>
      </w:r>
      <w:r w:rsidR="00047DA0">
        <w:t>, as</w:t>
      </w:r>
      <w:r w:rsidR="00AB60DF">
        <w:t xml:space="preserve"> </w:t>
      </w:r>
      <w:r w:rsidR="001C4D6C">
        <w:t xml:space="preserve">recuperation </w:t>
      </w:r>
      <w:r w:rsidR="000F7E0F">
        <w:t>means</w:t>
      </w:r>
      <w:r w:rsidR="001C4D6C">
        <w:t xml:space="preserve"> </w:t>
      </w:r>
      <w:r w:rsidR="00DE1436">
        <w:t xml:space="preserve">births </w:t>
      </w:r>
      <w:r w:rsidR="000F7E0F">
        <w:t xml:space="preserve">end up </w:t>
      </w:r>
      <w:r w:rsidR="000A0FEF">
        <w:t>happening later rather than not happening at all</w:t>
      </w:r>
      <w:r w:rsidR="001C4D6C">
        <w:t>. Th</w:t>
      </w:r>
      <w:r w:rsidR="00BA7296">
        <w:t>is</w:t>
      </w:r>
      <w:r w:rsidR="001C4D6C">
        <w:t xml:space="preserve"> effect </w:t>
      </w:r>
      <w:r w:rsidR="00BA7296">
        <w:t xml:space="preserve">is smaller </w:t>
      </w:r>
      <w:r w:rsidR="006B05DB">
        <w:t>if</w:t>
      </w:r>
      <w:r w:rsidR="00BA7296">
        <w:t xml:space="preserve"> </w:t>
      </w:r>
      <w:r w:rsidR="001D5B82">
        <w:t>recuperation</w:t>
      </w:r>
      <w:r w:rsidR="006B05DB">
        <w:t xml:space="preserve"> occurs only partially, rather than fully</w:t>
      </w:r>
      <w:r w:rsidR="001C4D6C">
        <w:t xml:space="preserve">, </w:t>
      </w:r>
      <w:r w:rsidR="00C5726C">
        <w:t>although</w:t>
      </w:r>
      <w:r w:rsidR="006B05DB">
        <w:t xml:space="preserve"> younger cohorts would recuperate relatively more </w:t>
      </w:r>
      <w:r w:rsidR="000F30C3">
        <w:t xml:space="preserve">births </w:t>
      </w:r>
      <w:r w:rsidR="006B05DB">
        <w:t>than older cohorts</w:t>
      </w:r>
      <w:r w:rsidR="000F4DE0">
        <w:t>, as they have more time to achieve their fertility intentions</w:t>
      </w:r>
      <w:r w:rsidR="006B05DB">
        <w:t xml:space="preserve"> (</w:t>
      </w:r>
      <w:r w:rsidR="0070081C">
        <w:fldChar w:fldCharType="begin"/>
      </w:r>
      <w:r w:rsidR="0070081C">
        <w:instrText xml:space="preserve"> REF _Ref185325212 \r \h </w:instrText>
      </w:r>
      <w:r w:rsidR="0070081C">
        <w:fldChar w:fldCharType="separate"/>
      </w:r>
      <w:r w:rsidR="00050D25">
        <w:t>Chart 16</w:t>
      </w:r>
      <w:r w:rsidR="0070081C">
        <w:fldChar w:fldCharType="end"/>
      </w:r>
      <w:r w:rsidR="006B05DB">
        <w:t>)</w:t>
      </w:r>
      <w:r w:rsidR="001C4D6C" w:rsidDel="006B05DB">
        <w:t>.</w:t>
      </w:r>
      <w:r w:rsidR="001C4D6C">
        <w:t xml:space="preserve"> Under </w:t>
      </w:r>
      <w:r w:rsidR="001D5B82">
        <w:t>the low fertility scenario</w:t>
      </w:r>
      <w:r w:rsidR="001C4D6C">
        <w:t>, cohort fertility rates are permanently lower.</w:t>
      </w:r>
    </w:p>
    <w:p w14:paraId="31387F8C" w14:textId="77777777" w:rsidR="001C4D6C" w:rsidRDefault="001C4D6C" w:rsidP="00654915">
      <w:pPr>
        <w:pStyle w:val="ChartMainHeading"/>
      </w:pPr>
      <w:bookmarkStart w:id="113" w:name="_Ref185325212"/>
      <w:r>
        <w:lastRenderedPageBreak/>
        <w:t>Completed cohort fertility rate, comparison with alternative fertility scenarios</w:t>
      </w:r>
      <w:bookmarkEnd w:id="113"/>
    </w:p>
    <w:p w14:paraId="5BC9F624" w14:textId="298322A7" w:rsidR="001C4D6C" w:rsidRPr="002860B2" w:rsidRDefault="00FA1D62" w:rsidP="00753952">
      <w:pPr>
        <w:pStyle w:val="ChartGraphic"/>
      </w:pPr>
      <w:r w:rsidRPr="00FA1D62">
        <w:rPr>
          <w:noProof/>
        </w:rPr>
        <w:drawing>
          <wp:inline distT="0" distB="0" distL="0" distR="0" wp14:anchorId="6A3FECF4" wp14:editId="02334BAB">
            <wp:extent cx="5600700" cy="2867025"/>
            <wp:effectExtent l="0" t="0" r="0" b="0"/>
            <wp:docPr id="1313932584" name="Picture 1313932584" descr="This line chart shows the completed cohort fertility rate, under current projections as well as a variety of alternative fertility scenarios, for cohorts born between 1981–82 and 2016–17. Under the 2024 Population Statement forecast, cohort fertility reaches a low of 1.55 babies per woman with the 2000–01 cohort, before rising to a long-run level of 1.62 with the 2016–17 cohort. Cohort fertility in the full and partial recuperation scenario declines more modestly, reaching a low of 1.60 babies per woman for the 2003–04 cohort for the full recuperation scenario, and 1.59 babies per woman with the 2000–01 cohort in the partial recuperation scenario, before stabilising at the same long-run level. The low fertility shows a strict decline to a rate of 1.45 babies per woman with the 2016–17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2584" name="Picture 1313932584" descr="This line chart shows the completed cohort fertility rate, under current projections as well as a variety of alternative fertility scenarios, for cohorts born between 1981–82 and 2016–17. Under the 2024 Population Statement forecast, cohort fertility reaches a low of 1.55 babies per woman with the 2000–01 cohort, before rising to a long-run level of 1.62 with the 2016–17 cohort. Cohort fertility in the full and partial recuperation scenario declines more modestly, reaching a low of 1.60 babies per woman for the 2003–04 cohort for the full recuperation scenario, and 1.59 babies per woman with the 2000–01 cohort in the partial recuperation scenario, before stabilising at the same long-run level. The low fertility shows a strict decline to a rate of 1.45 babies per woman with the 2016–17 coh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2867025"/>
                    </a:xfrm>
                    <a:prstGeom prst="rect">
                      <a:avLst/>
                    </a:prstGeom>
                    <a:noFill/>
                    <a:ln>
                      <a:noFill/>
                    </a:ln>
                  </pic:spPr>
                </pic:pic>
              </a:graphicData>
            </a:graphic>
          </wp:inline>
        </w:drawing>
      </w:r>
    </w:p>
    <w:p w14:paraId="145F49DD" w14:textId="6D462663" w:rsidR="001C4D6C" w:rsidRDefault="001C4D6C" w:rsidP="001C4D6C">
      <w:pPr>
        <w:pStyle w:val="Source"/>
      </w:pPr>
      <w:r>
        <w:t>Source:</w:t>
      </w:r>
      <w:r w:rsidRPr="005957D0">
        <w:t xml:space="preserve"> </w:t>
      </w:r>
      <w:r w:rsidR="000651CF">
        <w:tab/>
      </w:r>
      <w:r>
        <w:t>Centre for Population.</w:t>
      </w:r>
      <w:r w:rsidR="00B20FFB">
        <w:t xml:space="preserve"> </w:t>
      </w:r>
    </w:p>
    <w:p w14:paraId="72333DCA" w14:textId="77777777" w:rsidR="00753952" w:rsidRPr="00877D83" w:rsidRDefault="00753952" w:rsidP="00753952">
      <w:pPr>
        <w:pStyle w:val="SingleParagraph"/>
      </w:pPr>
    </w:p>
    <w:p w14:paraId="26A15710" w14:textId="7D9CB488" w:rsidR="001C4D6C" w:rsidRDefault="001C4D6C" w:rsidP="001C4D6C">
      <w:pPr>
        <w:pStyle w:val="Heading3Numbered"/>
        <w:rPr>
          <w:lang w:eastAsia="en-AU"/>
        </w:rPr>
      </w:pPr>
      <w:r>
        <w:rPr>
          <w:lang w:eastAsia="en-AU"/>
        </w:rPr>
        <w:t>Longer term and international trends</w:t>
      </w:r>
    </w:p>
    <w:p w14:paraId="1695C7FF" w14:textId="356E584D" w:rsidR="001C4D6C" w:rsidRDefault="001C4D6C" w:rsidP="000D449A">
      <w:r>
        <w:rPr>
          <w:lang w:eastAsia="en-AU"/>
        </w:rPr>
        <w:t>Despite recent volatility, there is a long</w:t>
      </w:r>
      <w:r w:rsidR="00050D25">
        <w:rPr>
          <w:lang w:eastAsia="en-AU"/>
        </w:rPr>
        <w:noBreakHyphen/>
      </w:r>
      <w:r>
        <w:rPr>
          <w:lang w:eastAsia="en-AU"/>
        </w:rPr>
        <w:t xml:space="preserve">running trend of Australian women having children later in life and having fewer </w:t>
      </w:r>
      <w:r w:rsidR="005D4943">
        <w:rPr>
          <w:lang w:eastAsia="en-AU"/>
        </w:rPr>
        <w:t>of them</w:t>
      </w:r>
      <w:r>
        <w:rPr>
          <w:lang w:eastAsia="en-AU"/>
        </w:rPr>
        <w:t>. Australia</w:t>
      </w:r>
      <w:r w:rsidR="00050D25">
        <w:rPr>
          <w:lang w:eastAsia="en-AU"/>
        </w:rPr>
        <w:t>’</w:t>
      </w:r>
      <w:r>
        <w:rPr>
          <w:lang w:eastAsia="en-AU"/>
        </w:rPr>
        <w:t xml:space="preserve">s fertility rate has been falling since 1961 when it peaked at 3.55 babies per woman. </w:t>
      </w:r>
      <w:r>
        <w:t>The median age of mothers has risen from 25.</w:t>
      </w:r>
      <w:r w:rsidR="00024946">
        <w:t>4</w:t>
      </w:r>
      <w:r>
        <w:t xml:space="preserve"> years in 197</w:t>
      </w:r>
      <w:r w:rsidR="00024946">
        <w:t>1</w:t>
      </w:r>
      <w:r>
        <w:t xml:space="preserve"> to 31.9 years in 2023.</w:t>
      </w:r>
      <w:r w:rsidRPr="00AC1602">
        <w:t xml:space="preserve"> </w:t>
      </w:r>
      <w:r>
        <w:t xml:space="preserve">Later childbearing has seen fewer families having </w:t>
      </w:r>
      <w:r w:rsidR="003E28D2">
        <w:t xml:space="preserve">3 </w:t>
      </w:r>
      <w:r>
        <w:t>or more children. These trends have been driven by cultural norms, economic development and access to education and employment (</w:t>
      </w:r>
      <w:r>
        <w:fldChar w:fldCharType="begin"/>
      </w:r>
      <w:r>
        <w:instrText xml:space="preserve"> REF _Ref179482575 \r \h </w:instrText>
      </w:r>
      <w:r>
        <w:fldChar w:fldCharType="separate"/>
      </w:r>
      <w:r w:rsidR="00050D25">
        <w:t>Box 6</w:t>
      </w:r>
      <w:r>
        <w:fldChar w:fldCharType="end"/>
      </w:r>
      <w:r>
        <w:t>)</w:t>
      </w:r>
      <w:r w:rsidRPr="00AC1602">
        <w:t>.</w:t>
      </w:r>
    </w:p>
    <w:p w14:paraId="0B264A8C" w14:textId="546C7C85" w:rsidR="001C4D6C" w:rsidRDefault="001C4D6C" w:rsidP="001C4D6C">
      <w:r w:rsidRPr="002341F4">
        <w:rPr>
          <w:rFonts w:ascii="Calibri" w:eastAsia="Times New Roman" w:hAnsi="Calibri" w:cs="Calibri"/>
          <w:lang w:eastAsia="en-AU"/>
        </w:rPr>
        <w:t xml:space="preserve">Australia is not unique in seeing its fertility </w:t>
      </w:r>
      <w:r w:rsidR="007E6513">
        <w:rPr>
          <w:rFonts w:ascii="Calibri" w:eastAsia="Times New Roman" w:hAnsi="Calibri" w:cs="Calibri"/>
          <w:lang w:eastAsia="en-AU"/>
        </w:rPr>
        <w:t>rate</w:t>
      </w:r>
      <w:r w:rsidRPr="002341F4">
        <w:rPr>
          <w:rFonts w:ascii="Calibri" w:eastAsia="Times New Roman" w:hAnsi="Calibri" w:cs="Calibri"/>
          <w:lang w:eastAsia="en-AU"/>
        </w:rPr>
        <w:t xml:space="preserve"> fall. Declining fertility</w:t>
      </w:r>
      <w:r w:rsidR="007E6513">
        <w:rPr>
          <w:rFonts w:ascii="Calibri" w:eastAsia="Times New Roman" w:hAnsi="Calibri" w:cs="Calibri"/>
          <w:lang w:eastAsia="en-AU"/>
        </w:rPr>
        <w:t xml:space="preserve"> rates are</w:t>
      </w:r>
      <w:r w:rsidRPr="002341F4">
        <w:rPr>
          <w:rFonts w:ascii="Calibri" w:eastAsia="Times New Roman" w:hAnsi="Calibri" w:cs="Calibri"/>
          <w:lang w:eastAsia="en-AU"/>
        </w:rPr>
        <w:t xml:space="preserve"> a global phenomenon </w:t>
      </w:r>
      <w:r w:rsidR="0096155C">
        <w:rPr>
          <w:rFonts w:ascii="Calibri" w:eastAsia="Times New Roman" w:hAnsi="Calibri" w:cs="Calibri"/>
          <w:lang w:eastAsia="en-AU"/>
        </w:rPr>
        <w:t>and are</w:t>
      </w:r>
      <w:r w:rsidRPr="002341F4">
        <w:rPr>
          <w:rFonts w:ascii="Calibri" w:eastAsia="Times New Roman" w:hAnsi="Calibri" w:cs="Calibri"/>
          <w:lang w:eastAsia="en-AU"/>
        </w:rPr>
        <w:t xml:space="preserve"> expected to continue over the coming decades</w:t>
      </w:r>
      <w:r>
        <w:rPr>
          <w:rFonts w:ascii="Calibri" w:eastAsia="Times New Roman" w:hAnsi="Calibri" w:cs="Calibri"/>
          <w:lang w:eastAsia="en-AU"/>
        </w:rPr>
        <w:t>.</w:t>
      </w:r>
      <w:r>
        <w:rPr>
          <w:rStyle w:val="FootnoteReference"/>
          <w:rFonts w:eastAsia="Times New Roman" w:cs="Calibri"/>
          <w:lang w:eastAsia="en-AU"/>
        </w:rPr>
        <w:footnoteReference w:id="26"/>
      </w:r>
      <w:r w:rsidRPr="002341F4">
        <w:rPr>
          <w:rFonts w:ascii="Calibri" w:eastAsia="Times New Roman" w:hAnsi="Calibri" w:cs="Calibri"/>
          <w:lang w:eastAsia="en-AU"/>
        </w:rPr>
        <w:t xml:space="preserve"> While following a similar pattern of decline, Australia</w:t>
      </w:r>
      <w:r w:rsidR="00050D25">
        <w:rPr>
          <w:rFonts w:ascii="Calibri" w:eastAsia="Times New Roman" w:hAnsi="Calibri" w:cs="Calibri"/>
          <w:lang w:eastAsia="en-AU"/>
        </w:rPr>
        <w:t>’</w:t>
      </w:r>
      <w:r w:rsidRPr="002341F4">
        <w:rPr>
          <w:rFonts w:ascii="Calibri" w:eastAsia="Times New Roman" w:hAnsi="Calibri" w:cs="Calibri"/>
          <w:lang w:eastAsia="en-AU"/>
        </w:rPr>
        <w:t xml:space="preserve">s total fertility rate remains above most advanced economies and well above levels </w:t>
      </w:r>
      <w:r>
        <w:rPr>
          <w:rFonts w:ascii="Calibri" w:eastAsia="Times New Roman" w:hAnsi="Calibri" w:cs="Calibri"/>
          <w:lang w:eastAsia="en-AU"/>
        </w:rPr>
        <w:t>recorded</w:t>
      </w:r>
      <w:r w:rsidRPr="002341F4">
        <w:rPr>
          <w:rFonts w:ascii="Calibri" w:eastAsia="Times New Roman" w:hAnsi="Calibri" w:cs="Calibri"/>
          <w:lang w:eastAsia="en-AU"/>
        </w:rPr>
        <w:t xml:space="preserve"> in Canada, Italy and </w:t>
      </w:r>
      <w:r>
        <w:rPr>
          <w:rFonts w:ascii="Calibri" w:eastAsia="Times New Roman" w:hAnsi="Calibri" w:cs="Calibri"/>
          <w:lang w:eastAsia="en-AU"/>
        </w:rPr>
        <w:t>the</w:t>
      </w:r>
      <w:r w:rsidRPr="002341F4">
        <w:rPr>
          <w:rFonts w:ascii="Calibri" w:eastAsia="Times New Roman" w:hAnsi="Calibri" w:cs="Calibri"/>
          <w:lang w:eastAsia="en-AU"/>
        </w:rPr>
        <w:t xml:space="preserve"> </w:t>
      </w:r>
      <w:r>
        <w:rPr>
          <w:rFonts w:ascii="Calibri" w:eastAsia="Times New Roman" w:hAnsi="Calibri" w:cs="Calibri"/>
          <w:lang w:eastAsia="en-AU"/>
        </w:rPr>
        <w:t>Republic of</w:t>
      </w:r>
      <w:r w:rsidRPr="00851FC3">
        <w:rPr>
          <w:rFonts w:ascii="Calibri" w:eastAsia="Times New Roman" w:hAnsi="Calibri" w:cs="Calibri"/>
          <w:lang w:eastAsia="en-AU"/>
        </w:rPr>
        <w:t xml:space="preserve"> Korea</w:t>
      </w:r>
      <w:r w:rsidR="00AD0D21">
        <w:rPr>
          <w:rFonts w:ascii="Calibri" w:eastAsia="Times New Roman" w:hAnsi="Calibri" w:cs="Calibri"/>
          <w:lang w:eastAsia="en-AU"/>
        </w:rPr>
        <w:t xml:space="preserve"> (</w:t>
      </w:r>
      <w:r w:rsidR="00AD0D21">
        <w:rPr>
          <w:rFonts w:ascii="Calibri" w:eastAsia="Times New Roman" w:hAnsi="Calibri" w:cs="Calibri"/>
          <w:lang w:eastAsia="en-AU"/>
        </w:rPr>
        <w:fldChar w:fldCharType="begin"/>
      </w:r>
      <w:r w:rsidR="00AD0D21">
        <w:rPr>
          <w:rFonts w:ascii="Calibri" w:eastAsia="Times New Roman" w:hAnsi="Calibri" w:cs="Calibri"/>
          <w:lang w:eastAsia="en-AU"/>
        </w:rPr>
        <w:instrText xml:space="preserve"> REF _Ref184996471 \r \h </w:instrText>
      </w:r>
      <w:r w:rsidR="00AD0D21">
        <w:rPr>
          <w:rFonts w:ascii="Calibri" w:eastAsia="Times New Roman" w:hAnsi="Calibri" w:cs="Calibri"/>
          <w:lang w:eastAsia="en-AU"/>
        </w:rPr>
      </w:r>
      <w:r w:rsidR="00AD0D21">
        <w:rPr>
          <w:rFonts w:ascii="Calibri" w:eastAsia="Times New Roman" w:hAnsi="Calibri" w:cs="Calibri"/>
          <w:lang w:eastAsia="en-AU"/>
        </w:rPr>
        <w:fldChar w:fldCharType="separate"/>
      </w:r>
      <w:r w:rsidR="00050D25">
        <w:rPr>
          <w:rFonts w:ascii="Calibri" w:eastAsia="Times New Roman" w:hAnsi="Calibri" w:cs="Calibri"/>
          <w:lang w:eastAsia="en-AU"/>
        </w:rPr>
        <w:t>Chart 17</w:t>
      </w:r>
      <w:r w:rsidR="00AD0D21">
        <w:rPr>
          <w:rFonts w:ascii="Calibri" w:eastAsia="Times New Roman" w:hAnsi="Calibri" w:cs="Calibri"/>
          <w:lang w:eastAsia="en-AU"/>
        </w:rPr>
        <w:fldChar w:fldCharType="end"/>
      </w:r>
      <w:r w:rsidR="00AD0D21">
        <w:rPr>
          <w:rFonts w:ascii="Calibri" w:eastAsia="Times New Roman" w:hAnsi="Calibri" w:cs="Calibri"/>
          <w:lang w:eastAsia="en-AU"/>
        </w:rPr>
        <w:t>)</w:t>
      </w:r>
      <w:r w:rsidRPr="00851FC3">
        <w:rPr>
          <w:rFonts w:ascii="Calibri" w:eastAsia="Times New Roman" w:hAnsi="Calibri" w:cs="Calibri"/>
          <w:lang w:eastAsia="en-AU"/>
        </w:rPr>
        <w:t>.</w:t>
      </w:r>
      <w:r>
        <w:rPr>
          <w:rFonts w:ascii="Calibri" w:eastAsia="Times New Roman" w:hAnsi="Calibri" w:cs="Calibri"/>
          <w:lang w:eastAsia="en-AU"/>
        </w:rPr>
        <w:t xml:space="preserve"> </w:t>
      </w:r>
      <w:r w:rsidRPr="003E0C4C">
        <w:t xml:space="preserve">This </w:t>
      </w:r>
      <w:r>
        <w:t xml:space="preserve">reflects many </w:t>
      </w:r>
      <w:r w:rsidRPr="003E0C4C">
        <w:t xml:space="preserve">OECD countries, </w:t>
      </w:r>
      <w:r w:rsidR="001D1E7B">
        <w:t>including</w:t>
      </w:r>
      <w:r w:rsidRPr="003E0C4C">
        <w:t xml:space="preserve"> Japan, </w:t>
      </w:r>
      <w:proofErr w:type="gramStart"/>
      <w:r w:rsidRPr="003E0C4C">
        <w:t>Italy</w:t>
      </w:r>
      <w:proofErr w:type="gramEnd"/>
      <w:r w:rsidR="00CA578C" w:rsidRPr="003E0C4C">
        <w:t xml:space="preserve"> </w:t>
      </w:r>
      <w:r w:rsidRPr="003E0C4C">
        <w:t>and the UK (England and Wales)</w:t>
      </w:r>
      <w:r>
        <w:t xml:space="preserve">, having </w:t>
      </w:r>
      <w:r w:rsidRPr="003E0C4C">
        <w:t xml:space="preserve">a </w:t>
      </w:r>
      <w:r>
        <w:t>larger</w:t>
      </w:r>
      <w:r w:rsidRPr="003E0C4C">
        <w:t xml:space="preserve"> proportion of women </w:t>
      </w:r>
      <w:r>
        <w:t xml:space="preserve">with </w:t>
      </w:r>
      <w:r w:rsidRPr="003E0C4C">
        <w:t>no children</w:t>
      </w:r>
      <w:r w:rsidR="00306C70">
        <w:t xml:space="preserve"> </w:t>
      </w:r>
      <w:r w:rsidR="00CA578C" w:rsidRPr="003E0C4C">
        <w:t>(</w:t>
      </w:r>
      <w:r w:rsidR="00982E46">
        <w:t>18</w:t>
      </w:r>
      <w:r w:rsidR="00CA578C" w:rsidRPr="003E0C4C">
        <w:t xml:space="preserve"> to 30</w:t>
      </w:r>
      <w:r w:rsidR="00CA578C">
        <w:t> per cent</w:t>
      </w:r>
      <w:r w:rsidR="00CA578C" w:rsidRPr="003E0C4C">
        <w:t>)</w:t>
      </w:r>
      <w:r>
        <w:t>, compared to Australia</w:t>
      </w:r>
      <w:r w:rsidR="00CA578C">
        <w:t xml:space="preserve"> (</w:t>
      </w:r>
      <w:r w:rsidR="00CA578C" w:rsidRPr="001329DF">
        <w:t>16.3</w:t>
      </w:r>
      <w:r w:rsidR="00CA578C">
        <w:t> per cent)</w:t>
      </w:r>
      <w:r>
        <w:t>.</w:t>
      </w:r>
      <w:r>
        <w:rPr>
          <w:rStyle w:val="FootnoteReference"/>
        </w:rPr>
        <w:footnoteReference w:id="27"/>
      </w:r>
    </w:p>
    <w:p w14:paraId="57068638" w14:textId="76B5CC1B" w:rsidR="001C4D6C" w:rsidRPr="00962EE2" w:rsidRDefault="001C4D6C" w:rsidP="001C4D6C">
      <w:r>
        <w:t xml:space="preserve">Most countries reached historically low fertility rates in 2023. The UK has now reached a record low of </w:t>
      </w:r>
      <w:r w:rsidRPr="00A87543">
        <w:t>1.4</w:t>
      </w:r>
      <w:r w:rsidRPr="00811EF3">
        <w:t>4</w:t>
      </w:r>
      <w:r w:rsidR="00F44740">
        <w:t> </w:t>
      </w:r>
      <w:r>
        <w:t xml:space="preserve">babies per woman. Canada, </w:t>
      </w:r>
      <w:r w:rsidR="005929B4">
        <w:t xml:space="preserve">with </w:t>
      </w:r>
      <w:r>
        <w:t xml:space="preserve">consistently </w:t>
      </w:r>
      <w:r w:rsidR="004D037D">
        <w:t>lower fertility than</w:t>
      </w:r>
      <w:r>
        <w:t xml:space="preserve"> Australia, also recorded a historic low of </w:t>
      </w:r>
      <w:r w:rsidRPr="00A87543">
        <w:t>1.2</w:t>
      </w:r>
      <w:r w:rsidRPr="00811EF3">
        <w:t>6</w:t>
      </w:r>
      <w:r>
        <w:t xml:space="preserve"> in 2023. Meanwhile, the Republic of Korea, which has the lowest fertility rate in the world, set a record low of </w:t>
      </w:r>
      <w:r w:rsidRPr="00A87543">
        <w:t>0.</w:t>
      </w:r>
      <w:r w:rsidRPr="00811EF3">
        <w:t>7</w:t>
      </w:r>
      <w:r w:rsidR="00401E43">
        <w:t>2</w:t>
      </w:r>
      <w:r>
        <w:t xml:space="preserve"> in 2023. In China, the fertility rate</w:t>
      </w:r>
      <w:r w:rsidR="00E43944" w:rsidRPr="00E43944">
        <w:t xml:space="preserve"> </w:t>
      </w:r>
      <w:r w:rsidR="00E43944">
        <w:t>has declin</w:t>
      </w:r>
      <w:r w:rsidR="00D07682">
        <w:t>ed rapidly</w:t>
      </w:r>
      <w:r w:rsidR="00E43944">
        <w:t xml:space="preserve"> </w:t>
      </w:r>
      <w:r w:rsidR="00707E1E">
        <w:t>since</w:t>
      </w:r>
      <w:r w:rsidR="00E43944">
        <w:t xml:space="preserve"> 2017</w:t>
      </w:r>
      <w:r w:rsidR="00D07682">
        <w:t xml:space="preserve">, even with </w:t>
      </w:r>
      <w:r>
        <w:t>the end of the one</w:t>
      </w:r>
      <w:r w:rsidR="00050D25">
        <w:noBreakHyphen/>
      </w:r>
      <w:r>
        <w:t>child policy in 2015.</w:t>
      </w:r>
    </w:p>
    <w:p w14:paraId="3057F660" w14:textId="77777777" w:rsidR="001C4D6C" w:rsidRPr="00194CCF" w:rsidRDefault="001C4D6C" w:rsidP="00654915">
      <w:pPr>
        <w:pStyle w:val="ChartMainHeading"/>
      </w:pPr>
      <w:bookmarkStart w:id="114" w:name="_Ref184996471"/>
      <w:r w:rsidRPr="008A0174">
        <w:lastRenderedPageBreak/>
        <w:t xml:space="preserve">Total fertility rates, </w:t>
      </w:r>
      <w:r>
        <w:t>s</w:t>
      </w:r>
      <w:r w:rsidRPr="008A0174">
        <w:t xml:space="preserve">elected </w:t>
      </w:r>
      <w:r>
        <w:t>c</w:t>
      </w:r>
      <w:r w:rsidRPr="008A0174">
        <w:t>ountries</w:t>
      </w:r>
      <w:bookmarkEnd w:id="114"/>
      <w:r w:rsidRPr="008A0174">
        <w:t xml:space="preserve"> </w:t>
      </w:r>
    </w:p>
    <w:p w14:paraId="0D247408" w14:textId="553AF565" w:rsidR="008254E2" w:rsidRPr="008254E2" w:rsidRDefault="00B320B7" w:rsidP="0037128E">
      <w:pPr>
        <w:pStyle w:val="ChartGraphic"/>
        <w:jc w:val="left"/>
      </w:pPr>
      <w:r w:rsidRPr="00B320B7">
        <w:rPr>
          <w:noProof/>
        </w:rPr>
        <w:drawing>
          <wp:inline distT="0" distB="0" distL="0" distR="0" wp14:anchorId="70568700" wp14:editId="4265E170">
            <wp:extent cx="5581650" cy="2876550"/>
            <wp:effectExtent l="0" t="0" r="0" b="0"/>
            <wp:docPr id="936482113" name="Picture 1" descr="This line chart displays the historical total fertility rate for Australia, the US, the UK, China, Canada, Italy, and the Republic of Korea from 2007 to 2023. All nations included in the graph experience overall decline during this period. Most countries reached historic lows in 2023. Australia fell to 1.50 in 2023 from 1.63 in 2022. The UK and Canada reached record lows of 1.44 and 1.26 respectively in 2023. China’s total fertility rate has declined rapidly since 2017. The Republic of Korea maintains the lowest total fertility rate across the graph, declining to 0.72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2113" name="Picture 1" descr="This line chart displays the historical total fertility rate for Australia, the US, the UK, China, Canada, Italy, and the Republic of Korea from 2007 to 2023. All nations included in the graph experience overall decline during this period. Most countries reached historic lows in 2023. Australia fell to 1.50 in 2023 from 1.63 in 2022. The UK and Canada reached record lows of 1.44 and 1.26 respectively in 2023. China’s total fertility rate has declined rapidly since 2017. The Republic of Korea maintains the lowest total fertility rate across the graph, declining to 0.72 in 2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6BB4F1E7" w14:textId="55961291" w:rsidR="001C4D6C" w:rsidRPr="00753952" w:rsidRDefault="001C4D6C" w:rsidP="00753952">
      <w:pPr>
        <w:pStyle w:val="ChartorTableNote"/>
      </w:pPr>
      <w:r w:rsidRPr="00753952">
        <w:t xml:space="preserve">Note: </w:t>
      </w:r>
      <w:r w:rsidRPr="00753952">
        <w:tab/>
        <w:t>Total fertility rates in this chart are presented on a calendar year basis and differ from the Centre</w:t>
      </w:r>
      <w:r w:rsidR="00050D25">
        <w:t>’</w:t>
      </w:r>
      <w:r w:rsidRPr="00753952">
        <w:t>s projections which are on a financial year basis.</w:t>
      </w:r>
    </w:p>
    <w:p w14:paraId="17B12C19" w14:textId="1FEAB96E" w:rsidR="001C4D6C" w:rsidRDefault="001C4D6C" w:rsidP="00753952">
      <w:pPr>
        <w:pStyle w:val="Source"/>
      </w:pPr>
      <w:r w:rsidRPr="00075B32">
        <w:t xml:space="preserve">Source: </w:t>
      </w:r>
      <w:r w:rsidRPr="00075B32">
        <w:tab/>
        <w:t xml:space="preserve">Human Fertility Database, </w:t>
      </w:r>
      <w:r w:rsidRPr="00753952">
        <w:rPr>
          <w:rStyle w:val="SubtleEmphasis"/>
        </w:rPr>
        <w:t>Short Term Fertility Fluctuations</w:t>
      </w:r>
      <w:r w:rsidR="00080D9F" w:rsidRPr="00080D9F">
        <w:rPr>
          <w:iCs/>
        </w:rPr>
        <w:t>,</w:t>
      </w:r>
      <w:r w:rsidRPr="00080D9F">
        <w:rPr>
          <w:iCs/>
        </w:rPr>
        <w:t xml:space="preserve"> 2023</w:t>
      </w:r>
      <w:r>
        <w:t>;</w:t>
      </w:r>
      <w:r w:rsidRPr="00075B32">
        <w:t xml:space="preserve"> ABS, </w:t>
      </w:r>
      <w:r w:rsidRPr="00753952">
        <w:rPr>
          <w:rStyle w:val="SubtleEmphasis"/>
        </w:rPr>
        <w:t>Births, Australia 2023</w:t>
      </w:r>
      <w:r>
        <w:t xml:space="preserve">; </w:t>
      </w:r>
      <w:r w:rsidR="00D26806">
        <w:t>ONS</w:t>
      </w:r>
      <w:r>
        <w:t xml:space="preserve">, </w:t>
      </w:r>
      <w:r w:rsidRPr="00753952">
        <w:rPr>
          <w:rStyle w:val="SubtleEmphasis"/>
        </w:rPr>
        <w:t>Births in England and Wales</w:t>
      </w:r>
      <w:r w:rsidRPr="0037128E">
        <w:t>: 2023</w:t>
      </w:r>
      <w:r>
        <w:t>; Statisti</w:t>
      </w:r>
      <w:r w:rsidR="00944C85">
        <w:t>cs</w:t>
      </w:r>
      <w:r>
        <w:t xml:space="preserve"> Canada, </w:t>
      </w:r>
      <w:r w:rsidRPr="00186063">
        <w:rPr>
          <w:rStyle w:val="SubtleEmphasis"/>
        </w:rPr>
        <w:t>Fertility Indicators, Canada, 2023</w:t>
      </w:r>
      <w:r w:rsidR="003F39D0">
        <w:t>; United Nations</w:t>
      </w:r>
      <w:r w:rsidR="00766322">
        <w:t>,</w:t>
      </w:r>
      <w:r w:rsidR="003F39D0">
        <w:t xml:space="preserve"> </w:t>
      </w:r>
      <w:r w:rsidR="003F39D0" w:rsidRPr="00186063">
        <w:rPr>
          <w:rStyle w:val="SubtleEmphasis"/>
        </w:rPr>
        <w:t>World Population Prospects</w:t>
      </w:r>
      <w:r w:rsidR="00493D80" w:rsidRPr="00186063">
        <w:rPr>
          <w:rStyle w:val="SubtleEmphasis"/>
        </w:rPr>
        <w:t>,</w:t>
      </w:r>
      <w:r w:rsidR="003F39D0" w:rsidRPr="00186063">
        <w:rPr>
          <w:rStyle w:val="SubtleEmphasis"/>
        </w:rPr>
        <w:t xml:space="preserve"> </w:t>
      </w:r>
      <w:r w:rsidR="003F39D0" w:rsidRPr="00493D80">
        <w:rPr>
          <w:iCs/>
        </w:rPr>
        <w:t>2024</w:t>
      </w:r>
      <w:r>
        <w:t xml:space="preserve">. </w:t>
      </w:r>
    </w:p>
    <w:p w14:paraId="7D070F5C" w14:textId="77777777" w:rsidR="00186063" w:rsidRPr="00863A40" w:rsidRDefault="00186063" w:rsidP="00186063">
      <w:pPr>
        <w:pStyle w:val="SingleParagraph"/>
      </w:pPr>
    </w:p>
    <w:p w14:paraId="02F57442" w14:textId="630ACC11" w:rsidR="001C4D6C" w:rsidRDefault="001C4D6C" w:rsidP="001C4D6C">
      <w:pPr>
        <w:pStyle w:val="Heading3Numbered"/>
        <w:ind w:left="357" w:hanging="357"/>
        <w:rPr>
          <w:lang w:eastAsia="en-AU"/>
        </w:rPr>
      </w:pPr>
      <w:r w:rsidRPr="00433CB9">
        <w:t>Replacement</w:t>
      </w:r>
      <w:r>
        <w:rPr>
          <w:lang w:eastAsia="en-AU"/>
        </w:rPr>
        <w:t xml:space="preserve"> fertility </w:t>
      </w:r>
    </w:p>
    <w:p w14:paraId="1D79ABCB" w14:textId="0461E428" w:rsidR="001C4D6C" w:rsidRDefault="001C4D6C" w:rsidP="001C4D6C">
      <w:r>
        <w:t>S</w:t>
      </w:r>
      <w:r w:rsidRPr="00AC1602">
        <w:t>ince the 1970s</w:t>
      </w:r>
      <w:r>
        <w:t xml:space="preserve">, </w:t>
      </w:r>
      <w:r w:rsidRPr="00AC1602">
        <w:t>Australia</w:t>
      </w:r>
      <w:r w:rsidR="00050D25">
        <w:t>’</w:t>
      </w:r>
      <w:r w:rsidRPr="00AC1602">
        <w:t>s total fertility rate has been below the replacement rate</w:t>
      </w:r>
      <w:r>
        <w:t xml:space="preserve">, which is the level required for a generation to replace itself. </w:t>
      </w:r>
    </w:p>
    <w:p w14:paraId="5FC05DD8" w14:textId="0803DCF5" w:rsidR="001C4D6C" w:rsidRDefault="001C4D6C" w:rsidP="001C4D6C">
      <w:r>
        <w:t xml:space="preserve">In the absence of migration, the replacement rate is </w:t>
      </w:r>
      <w:r w:rsidR="003E3781">
        <w:t>a</w:t>
      </w:r>
      <w:r>
        <w:t xml:space="preserve"> straightforward</w:t>
      </w:r>
      <w:r w:rsidR="003E3781" w:rsidRPr="003E3781">
        <w:t xml:space="preserve"> </w:t>
      </w:r>
      <w:r w:rsidR="003E3781">
        <w:t>concept</w:t>
      </w:r>
      <w:r>
        <w:t xml:space="preserve">: 2 babies per woman are needed to replace each parent, plus an additional factor </w:t>
      </w:r>
      <w:r w:rsidR="00C45DD1">
        <w:t>a</w:t>
      </w:r>
      <w:r w:rsidR="005C28D2">
        <w:t>s not all</w:t>
      </w:r>
      <w:r w:rsidR="00C45DD1" w:rsidRPr="00C45DD1">
        <w:rPr>
          <w:rFonts w:eastAsia="Times New Roman"/>
        </w:rPr>
        <w:t xml:space="preserve"> </w:t>
      </w:r>
      <w:r w:rsidR="00C45DD1" w:rsidRPr="00977581">
        <w:rPr>
          <w:rFonts w:eastAsia="Times New Roman"/>
        </w:rPr>
        <w:t>babies survive to reproductive age</w:t>
      </w:r>
      <w:r>
        <w:t xml:space="preserve">. In </w:t>
      </w:r>
      <w:r w:rsidR="008F04FD">
        <w:t>advanced economies</w:t>
      </w:r>
      <w:r>
        <w:t xml:space="preserve">, where mortality is low, this typically results in an average replacement rate of </w:t>
      </w:r>
      <w:r w:rsidR="00D625AF">
        <w:t>around</w:t>
      </w:r>
      <w:r w:rsidR="00C103CE">
        <w:t> </w:t>
      </w:r>
      <w:r>
        <w:t>2.</w:t>
      </w:r>
      <w:r w:rsidR="00371B7B">
        <w:t>1</w:t>
      </w:r>
      <w:r>
        <w:t>.</w:t>
      </w:r>
      <w:r w:rsidDel="00E4182F">
        <w:t xml:space="preserve"> </w:t>
      </w:r>
      <w:r w:rsidR="00E4182F">
        <w:t xml:space="preserve">Under </w:t>
      </w:r>
      <w:r w:rsidR="005269FE">
        <w:t xml:space="preserve">its </w:t>
      </w:r>
      <w:r w:rsidR="00E4182F">
        <w:t xml:space="preserve">current </w:t>
      </w:r>
      <w:r>
        <w:t xml:space="preserve">mortality </w:t>
      </w:r>
      <w:r w:rsidR="00E4182F">
        <w:t>projections</w:t>
      </w:r>
      <w:r>
        <w:t>, the Centre estimates Australia</w:t>
      </w:r>
      <w:r w:rsidR="00050D25">
        <w:t>’</w:t>
      </w:r>
      <w:r>
        <w:t>s replacement rate is 2.</w:t>
      </w:r>
      <w:r w:rsidRPr="00A73455">
        <w:t>06</w:t>
      </w:r>
      <w:r w:rsidRPr="00A73455" w:rsidDel="00681DEC">
        <w:t>.</w:t>
      </w:r>
      <w:r w:rsidRPr="00A73455">
        <w:t xml:space="preserve"> </w:t>
      </w:r>
      <w:r w:rsidR="00592240">
        <w:t>Assuming no migration, t</w:t>
      </w:r>
      <w:r w:rsidRPr="00A73455">
        <w:t xml:space="preserve">his level leads to </w:t>
      </w:r>
      <w:r w:rsidR="00A14539">
        <w:t xml:space="preserve">the </w:t>
      </w:r>
      <w:r w:rsidRPr="00A73455">
        <w:t>population eventually stabilising</w:t>
      </w:r>
      <w:r w:rsidR="00A14539">
        <w:t xml:space="preserve">, </w:t>
      </w:r>
      <w:r w:rsidR="00FA1B42">
        <w:t xml:space="preserve">with </w:t>
      </w:r>
      <w:r w:rsidR="0029764F">
        <w:t xml:space="preserve">roughly equal numbers of </w:t>
      </w:r>
      <w:r w:rsidR="00FA1B42">
        <w:t>births and deaths</w:t>
      </w:r>
      <w:r w:rsidRPr="00A73455">
        <w:t xml:space="preserve"> </w:t>
      </w:r>
      <w:r w:rsidR="00CF7673">
        <w:t>occurring each year</w:t>
      </w:r>
      <w:r w:rsidRPr="00A73455">
        <w:t>. However, th</w:t>
      </w:r>
      <w:r w:rsidR="0009496C">
        <w:t xml:space="preserve">e replacement rate </w:t>
      </w:r>
      <w:r w:rsidRPr="00A73455">
        <w:t xml:space="preserve">varies more widely </w:t>
      </w:r>
      <w:r w:rsidR="009E3571">
        <w:t xml:space="preserve">across </w:t>
      </w:r>
      <w:r w:rsidR="005D60C9">
        <w:t>lower</w:t>
      </w:r>
      <w:r w:rsidR="00050D25">
        <w:noBreakHyphen/>
      </w:r>
      <w:r w:rsidR="005D60C9">
        <w:t>income</w:t>
      </w:r>
      <w:r>
        <w:t xml:space="preserve"> </w:t>
      </w:r>
      <w:r w:rsidR="00727039">
        <w:t>economies</w:t>
      </w:r>
      <w:r>
        <w:t>, with around 80 countries having a replacement rate higher than 2.2 and some exceeding 3.</w:t>
      </w:r>
      <w:r>
        <w:rPr>
          <w:rStyle w:val="FootnoteReference"/>
        </w:rPr>
        <w:footnoteReference w:id="28"/>
      </w:r>
    </w:p>
    <w:p w14:paraId="7EB850A1" w14:textId="5F6E08D5" w:rsidR="00A82311" w:rsidRDefault="00A82311" w:rsidP="001C4D6C">
      <w:r>
        <w:t>Despite Australia</w:t>
      </w:r>
      <w:r w:rsidR="00050D25">
        <w:t>’</w:t>
      </w:r>
      <w:r>
        <w:t>s</w:t>
      </w:r>
      <w:r w:rsidR="00481570">
        <w:t xml:space="preserve"> fertility</w:t>
      </w:r>
      <w:r w:rsidR="00C05356">
        <w:t xml:space="preserve"> rate</w:t>
      </w:r>
      <w:r w:rsidR="00481570">
        <w:t xml:space="preserve"> being</w:t>
      </w:r>
      <w:r>
        <w:t xml:space="preserve"> below replacement, the population is not at risk of decline for 2 reasons. First, the population is still sufficiently young</w:t>
      </w:r>
      <w:r w:rsidR="00E43ED9">
        <w:t>, such</w:t>
      </w:r>
      <w:r>
        <w:t xml:space="preserve"> that </w:t>
      </w:r>
      <w:r w:rsidR="00824B21">
        <w:t>there are</w:t>
      </w:r>
      <w:r>
        <w:t xml:space="preserve"> more births than deaths</w:t>
      </w:r>
      <w:r w:rsidR="00F50F8A">
        <w:t xml:space="preserve"> </w:t>
      </w:r>
      <w:r w:rsidR="00C106B8">
        <w:t>under</w:t>
      </w:r>
      <w:r w:rsidR="00F50F8A">
        <w:t xml:space="preserve"> current fertility rates</w:t>
      </w:r>
      <w:r>
        <w:t xml:space="preserve">. </w:t>
      </w:r>
      <w:r w:rsidR="00DC749E">
        <w:t>Th</w:t>
      </w:r>
      <w:r w:rsidR="002E3716">
        <w:t xml:space="preserve">is is because </w:t>
      </w:r>
      <w:r w:rsidR="00DC749E">
        <w:t>natural increase</w:t>
      </w:r>
      <w:r>
        <w:t xml:space="preserve"> is determined not only by the total fertility rate but also by the age structure of the population, particularly the proportion of women of reproductive age. This concept is known as population momentum.</w:t>
      </w:r>
      <w:r>
        <w:rPr>
          <w:rStyle w:val="FootnoteReference"/>
        </w:rPr>
        <w:footnoteReference w:id="29"/>
      </w:r>
      <w:r>
        <w:t xml:space="preserve"> </w:t>
      </w:r>
      <w:r w:rsidR="00C27D49">
        <w:t>Even without</w:t>
      </w:r>
      <w:r w:rsidR="008C5204">
        <w:t xml:space="preserve"> migration, population momentum w</w:t>
      </w:r>
      <w:r w:rsidR="00BB6298">
        <w:t>ill</w:t>
      </w:r>
      <w:r w:rsidR="008C5204">
        <w:t xml:space="preserve"> mean Australia</w:t>
      </w:r>
      <w:r w:rsidR="00050D25">
        <w:t>’</w:t>
      </w:r>
      <w:r w:rsidR="008C5204">
        <w:t>s population</w:t>
      </w:r>
      <w:r w:rsidR="00C27D49">
        <w:t xml:space="preserve"> </w:t>
      </w:r>
      <w:r w:rsidR="00BB6298">
        <w:t xml:space="preserve">will continue to </w:t>
      </w:r>
      <w:r w:rsidR="0065543D">
        <w:t xml:space="preserve">experience natural increase and </w:t>
      </w:r>
      <w:r w:rsidR="00BB6298">
        <w:t>grow</w:t>
      </w:r>
      <w:r w:rsidR="00537331">
        <w:t>th</w:t>
      </w:r>
      <w:r w:rsidR="00BB6298">
        <w:t xml:space="preserve"> until </w:t>
      </w:r>
      <w:r w:rsidR="002E218F">
        <w:t>2041</w:t>
      </w:r>
      <w:r w:rsidR="002B2095">
        <w:t>–</w:t>
      </w:r>
      <w:r w:rsidR="002E218F">
        <w:t>42</w:t>
      </w:r>
      <w:r w:rsidR="00753CFB">
        <w:t>.</w:t>
      </w:r>
    </w:p>
    <w:p w14:paraId="17111AED" w14:textId="77777777" w:rsidR="00186063" w:rsidRDefault="00186063">
      <w:pPr>
        <w:spacing w:before="0" w:after="160" w:line="259" w:lineRule="auto"/>
      </w:pPr>
      <w:r>
        <w:br w:type="page"/>
      </w:r>
    </w:p>
    <w:p w14:paraId="46C182C9" w14:textId="2A4D60C9" w:rsidR="001C4D6C" w:rsidRDefault="001C4D6C" w:rsidP="001C4D6C">
      <w:r>
        <w:lastRenderedPageBreak/>
        <w:t xml:space="preserve">Second, </w:t>
      </w:r>
      <w:r w:rsidR="00E84835">
        <w:t>NOM</w:t>
      </w:r>
      <w:r>
        <w:t xml:space="preserve"> continues to add to the population, and keeps the population young. The total fertility rate required for </w:t>
      </w:r>
      <w:r w:rsidR="00975F07">
        <w:t>the</w:t>
      </w:r>
      <w:r>
        <w:t xml:space="preserve"> </w:t>
      </w:r>
      <w:r w:rsidR="00523D3C">
        <w:t xml:space="preserve">population </w:t>
      </w:r>
      <w:r w:rsidR="00F00766">
        <w:t xml:space="preserve">to </w:t>
      </w:r>
      <w:r w:rsidR="00523D3C">
        <w:t>replace</w:t>
      </w:r>
      <w:r w:rsidR="00F00766">
        <w:t xml:space="preserve"> itself</w:t>
      </w:r>
      <w:r>
        <w:t xml:space="preserve"> can be lower than 2.1 in the presence of positive </w:t>
      </w:r>
      <w:r w:rsidR="00E84835">
        <w:t>NOM</w:t>
      </w:r>
      <w:r>
        <w:t xml:space="preserve">, with </w:t>
      </w:r>
      <w:r w:rsidR="003B7478">
        <w:t xml:space="preserve">research </w:t>
      </w:r>
      <w:r>
        <w:t xml:space="preserve">suggesting </w:t>
      </w:r>
      <w:r w:rsidR="00E24CE8">
        <w:t xml:space="preserve">a </w:t>
      </w:r>
      <w:r>
        <w:t>with</w:t>
      </w:r>
      <w:r w:rsidR="00050D25">
        <w:noBreakHyphen/>
      </w:r>
      <w:r>
        <w:t xml:space="preserve">migration replacement total fertility rate for Australia </w:t>
      </w:r>
      <w:r w:rsidR="00E24CE8">
        <w:t xml:space="preserve">of </w:t>
      </w:r>
      <w:r>
        <w:t>1.0</w:t>
      </w:r>
      <w:r w:rsidR="00E24CE8">
        <w:t>,</w:t>
      </w:r>
      <w:r>
        <w:t xml:space="preserve"> based on trends between 2011 and 2015.</w:t>
      </w:r>
      <w:r>
        <w:rPr>
          <w:rStyle w:val="FootnoteReference"/>
        </w:rPr>
        <w:footnoteReference w:id="30"/>
      </w:r>
      <w:r w:rsidR="0000324D">
        <w:t xml:space="preserve"> </w:t>
      </w:r>
      <w:r w:rsidR="00BF7B1E">
        <w:t>Under current mortality and migration assumptions</w:t>
      </w:r>
      <w:r w:rsidR="00536E27">
        <w:t xml:space="preserve">, the Centre estimates </w:t>
      </w:r>
      <w:r w:rsidR="003B7478">
        <w:t xml:space="preserve">that a rate of </w:t>
      </w:r>
      <w:r w:rsidR="00BF7B1E">
        <w:t xml:space="preserve">around </w:t>
      </w:r>
      <w:r w:rsidR="003B7478">
        <w:t>1.2</w:t>
      </w:r>
      <w:r w:rsidR="00E77357">
        <w:t xml:space="preserve"> </w:t>
      </w:r>
      <w:r w:rsidR="001D1CAC">
        <w:t xml:space="preserve">leads to a </w:t>
      </w:r>
      <w:r w:rsidR="004D19E9">
        <w:t>stable</w:t>
      </w:r>
      <w:r w:rsidR="001D1CAC">
        <w:t xml:space="preserve"> population earlier than any other rate, and is the lowest fertility rate that does not result in a period of population decline.</w:t>
      </w:r>
      <w:r w:rsidR="00BF7B1E">
        <w:rPr>
          <w:rStyle w:val="FootnoteReference"/>
        </w:rPr>
        <w:footnoteReference w:id="31"/>
      </w:r>
    </w:p>
    <w:p w14:paraId="08C32CDE" w14:textId="1ADAA3F8" w:rsidR="001C4D6C" w:rsidRDefault="001C4D6C" w:rsidP="001C4D6C">
      <w:pPr>
        <w:pStyle w:val="Heading3Numbered"/>
        <w:ind w:left="357" w:hanging="357"/>
      </w:pPr>
      <w:r>
        <w:t>Fertility by country of birth</w:t>
      </w:r>
    </w:p>
    <w:p w14:paraId="429CFDF1" w14:textId="0DDA673B" w:rsidR="001C4D6C" w:rsidRDefault="001C4D6C" w:rsidP="001C4D6C">
      <w:r>
        <w:t xml:space="preserve">Recent calendar year data shows </w:t>
      </w:r>
      <w:r w:rsidRPr="00C27395">
        <w:t>the total fertility rate fell to a record low of 1.50 in 2023, a sharp decline from 1.63 in 2022. Births declined by 4.6</w:t>
      </w:r>
      <w:r w:rsidR="00FF207F">
        <w:t> per cent</w:t>
      </w:r>
      <w:r>
        <w:t>, which</w:t>
      </w:r>
      <w:r w:rsidRPr="00C27395">
        <w:t xml:space="preserve"> was the largest annual decrease since 1975.</w:t>
      </w:r>
      <w:r>
        <w:t xml:space="preserve"> This data also allows us to understand </w:t>
      </w:r>
      <w:r w:rsidR="00BE2F02">
        <w:t xml:space="preserve">how </w:t>
      </w:r>
      <w:r>
        <w:t xml:space="preserve">fertility </w:t>
      </w:r>
      <w:r w:rsidR="00C05356">
        <w:t xml:space="preserve">rates </w:t>
      </w:r>
      <w:r>
        <w:t>var</w:t>
      </w:r>
      <w:r w:rsidR="00D30444">
        <w:t>y</w:t>
      </w:r>
      <w:r>
        <w:t xml:space="preserve"> </w:t>
      </w:r>
      <w:r w:rsidR="00BE2F02">
        <w:t>for those born overseas</w:t>
      </w:r>
      <w:r>
        <w:t xml:space="preserve">. </w:t>
      </w:r>
    </w:p>
    <w:p w14:paraId="7A2AB7C3" w14:textId="30DF32AC" w:rsidR="000C68C9" w:rsidRDefault="001C4D6C" w:rsidP="00CF1DB3">
      <w:r>
        <w:t>Over 2021 to 2023, overseas</w:t>
      </w:r>
      <w:r w:rsidR="00050D25">
        <w:noBreakHyphen/>
      </w:r>
      <w:r>
        <w:t>born women in Australia had lower fertility rates than Australian</w:t>
      </w:r>
      <w:r w:rsidR="00050D25">
        <w:noBreakHyphen/>
      </w:r>
      <w:r>
        <w:t xml:space="preserve">born women </w:t>
      </w:r>
      <w:r w:rsidR="00BF0962">
        <w:t>(1.</w:t>
      </w:r>
      <w:r>
        <w:t>34 babies per woman compared to 1.69)</w:t>
      </w:r>
      <w:r w:rsidR="00F43985">
        <w:t>.</w:t>
      </w:r>
      <w:r w:rsidR="0015748E">
        <w:rPr>
          <w:rStyle w:val="FootnoteReference"/>
        </w:rPr>
        <w:footnoteReference w:id="32"/>
      </w:r>
      <w:r w:rsidR="002026FA">
        <w:t xml:space="preserve"> </w:t>
      </w:r>
      <w:r w:rsidR="0015748E">
        <w:rPr>
          <w:rStyle w:val="FootnoteReference"/>
        </w:rPr>
        <w:footnoteReference w:id="33"/>
      </w:r>
      <w:r>
        <w:t xml:space="preserve"> </w:t>
      </w:r>
      <w:r w:rsidR="00FB63E9">
        <w:t>H</w:t>
      </w:r>
      <w:r w:rsidR="00204C68">
        <w:t>owever</w:t>
      </w:r>
      <w:r w:rsidR="00CF1DB3">
        <w:rPr>
          <w:rFonts w:hint="eastAsia"/>
        </w:rPr>
        <w:t>,</w:t>
      </w:r>
      <w:r w:rsidR="00492BE0">
        <w:t xml:space="preserve"> </w:t>
      </w:r>
      <w:r w:rsidR="00FB63E9">
        <w:t xml:space="preserve">this has changed </w:t>
      </w:r>
      <w:r w:rsidR="00E2663C">
        <w:t>from</w:t>
      </w:r>
      <w:r w:rsidR="00566889">
        <w:t xml:space="preserve"> two</w:t>
      </w:r>
      <w:r w:rsidR="00CF1DB3">
        <w:rPr>
          <w:rFonts w:hint="eastAsia"/>
        </w:rPr>
        <w:t xml:space="preserve"> decade</w:t>
      </w:r>
      <w:r w:rsidR="00566889">
        <w:t>s</w:t>
      </w:r>
      <w:r w:rsidR="00E2663C">
        <w:t xml:space="preserve"> ear</w:t>
      </w:r>
      <w:r w:rsidR="00076C7B">
        <w:t>l</w:t>
      </w:r>
      <w:r w:rsidR="00E2663C">
        <w:t>ier</w:t>
      </w:r>
      <w:r w:rsidR="00CF1DB3">
        <w:rPr>
          <w:rFonts w:hint="eastAsia"/>
        </w:rPr>
        <w:t xml:space="preserve">. </w:t>
      </w:r>
      <w:r w:rsidR="00BF0962">
        <w:t>Over 2001 to 20</w:t>
      </w:r>
      <w:r w:rsidR="00BF0962">
        <w:rPr>
          <w:rFonts w:hint="eastAsia"/>
        </w:rPr>
        <w:t>03, the</w:t>
      </w:r>
      <w:r w:rsidR="00BF0962">
        <w:t xml:space="preserve"> total</w:t>
      </w:r>
      <w:r w:rsidR="00BF0962">
        <w:rPr>
          <w:rFonts w:hint="eastAsia"/>
        </w:rPr>
        <w:t xml:space="preserve"> fertility rate </w:t>
      </w:r>
      <w:r w:rsidR="00BF0962">
        <w:t>for</w:t>
      </w:r>
      <w:r w:rsidR="00BF0962">
        <w:rPr>
          <w:rFonts w:hint="eastAsia"/>
        </w:rPr>
        <w:t xml:space="preserve"> oversea</w:t>
      </w:r>
      <w:r w:rsidR="00BF0962">
        <w:t>s</w:t>
      </w:r>
      <w:r w:rsidR="00050D25">
        <w:noBreakHyphen/>
      </w:r>
      <w:r w:rsidR="00BF0962">
        <w:rPr>
          <w:rFonts w:hint="eastAsia"/>
        </w:rPr>
        <w:t xml:space="preserve">born women was </w:t>
      </w:r>
      <w:r w:rsidR="00BF0962">
        <w:t>slightly</w:t>
      </w:r>
      <w:r w:rsidR="00BF0962">
        <w:rPr>
          <w:rFonts w:hint="eastAsia"/>
        </w:rPr>
        <w:t xml:space="preserve"> higher than </w:t>
      </w:r>
      <w:r w:rsidR="00BF0962">
        <w:t>for</w:t>
      </w:r>
      <w:r w:rsidR="00BF0962">
        <w:rPr>
          <w:rFonts w:hint="eastAsia"/>
        </w:rPr>
        <w:t xml:space="preserve"> Australian</w:t>
      </w:r>
      <w:r w:rsidR="00050D25">
        <w:noBreakHyphen/>
      </w:r>
      <w:r w:rsidR="00BF0962">
        <w:t>born</w:t>
      </w:r>
      <w:r w:rsidR="00BF0962">
        <w:rPr>
          <w:rFonts w:hint="eastAsia"/>
        </w:rPr>
        <w:t xml:space="preserve"> women</w:t>
      </w:r>
      <w:r w:rsidR="00BF0962">
        <w:t xml:space="preserve"> (1.7</w:t>
      </w:r>
      <w:r w:rsidR="007602FD">
        <w:t>7</w:t>
      </w:r>
      <w:r w:rsidR="00C33654">
        <w:t> </w:t>
      </w:r>
      <w:r w:rsidR="00BF0962">
        <w:t xml:space="preserve">babies per woman compared to </w:t>
      </w:r>
      <w:r w:rsidR="00BF0962" w:rsidRPr="003914B2">
        <w:t>1.73</w:t>
      </w:r>
      <w:r w:rsidR="00BF0962">
        <w:t>)</w:t>
      </w:r>
      <w:r w:rsidR="00F43985">
        <w:t>.</w:t>
      </w:r>
      <w:r w:rsidR="0015748E">
        <w:rPr>
          <w:rStyle w:val="FootnoteReference"/>
        </w:rPr>
        <w:footnoteReference w:id="34"/>
      </w:r>
    </w:p>
    <w:p w14:paraId="1BC6D05C" w14:textId="2C28F607" w:rsidR="001C4D6C" w:rsidRDefault="00FB63E9" w:rsidP="001C4D6C">
      <w:r>
        <w:rPr>
          <w:rFonts w:hint="eastAsia"/>
        </w:rPr>
        <w:t xml:space="preserve">The shift to lower fertility </w:t>
      </w:r>
      <w:r w:rsidR="00C05356">
        <w:t>rates</w:t>
      </w:r>
      <w:r>
        <w:rPr>
          <w:rFonts w:hint="eastAsia"/>
        </w:rPr>
        <w:t xml:space="preserve"> among the overseas</w:t>
      </w:r>
      <w:r w:rsidR="00050D25">
        <w:noBreakHyphen/>
      </w:r>
      <w:r>
        <w:rPr>
          <w:rFonts w:hint="eastAsia"/>
        </w:rPr>
        <w:t xml:space="preserve">born </w:t>
      </w:r>
      <w:r w:rsidR="006C4850">
        <w:t>reflects</w:t>
      </w:r>
      <w:r>
        <w:rPr>
          <w:rFonts w:hint="eastAsia"/>
        </w:rPr>
        <w:t xml:space="preserve"> the growing incidence of</w:t>
      </w:r>
      <w:r>
        <w:t xml:space="preserve"> </w:t>
      </w:r>
      <w:r>
        <w:rPr>
          <w:rFonts w:hint="eastAsia"/>
        </w:rPr>
        <w:t>residents</w:t>
      </w:r>
      <w:r w:rsidR="006C4850">
        <w:t xml:space="preserve"> on temporary visas</w:t>
      </w:r>
      <w:r w:rsidR="00A400DA">
        <w:t xml:space="preserve"> (</w:t>
      </w:r>
      <w:r w:rsidR="001C4D6C">
        <w:t>such as international students</w:t>
      </w:r>
      <w:r w:rsidR="00A400DA">
        <w:t>)</w:t>
      </w:r>
      <w:r w:rsidR="001C4D6C">
        <w:t xml:space="preserve">, </w:t>
      </w:r>
      <w:r w:rsidR="005025A5">
        <w:t>w</w:t>
      </w:r>
      <w:r w:rsidR="001214CB">
        <w:t>ho</w:t>
      </w:r>
      <w:r w:rsidR="005025A5">
        <w:t xml:space="preserve"> represented</w:t>
      </w:r>
      <w:r w:rsidR="00564E99">
        <w:t xml:space="preserve"> </w:t>
      </w:r>
      <w:r w:rsidR="006C4850">
        <w:t>aroun</w:t>
      </w:r>
      <w:r w:rsidR="006C4850" w:rsidRPr="005025A5">
        <w:t xml:space="preserve">d </w:t>
      </w:r>
      <w:r w:rsidR="005025A5" w:rsidRPr="003914B2">
        <w:t>13</w:t>
      </w:r>
      <w:r w:rsidR="006C4850">
        <w:t xml:space="preserve"> per cent of women aged 20</w:t>
      </w:r>
      <w:r w:rsidR="00994938">
        <w:t xml:space="preserve"> to </w:t>
      </w:r>
      <w:r w:rsidR="006C4850">
        <w:t>29 at the 20</w:t>
      </w:r>
      <w:r w:rsidR="005025A5">
        <w:t>2</w:t>
      </w:r>
      <w:r w:rsidR="006C4850">
        <w:t>1 Census</w:t>
      </w:r>
      <w:r w:rsidR="00564E99">
        <w:t xml:space="preserve">. Women </w:t>
      </w:r>
      <w:r w:rsidR="001C4D6C">
        <w:t>are unlikely to give birth while on a temporary visa</w:t>
      </w:r>
      <w:r w:rsidR="00564E99">
        <w:t xml:space="preserve"> – </w:t>
      </w:r>
      <w:r w:rsidR="00C82394" w:rsidDel="00957BD1">
        <w:t>a</w:t>
      </w:r>
      <w:r w:rsidR="001C4D6C" w:rsidDel="00957BD1">
        <w:t>ccording to the 2021</w:t>
      </w:r>
      <w:r w:rsidR="0054461E">
        <w:t> </w:t>
      </w:r>
      <w:r w:rsidR="001C4D6C">
        <w:t>Census, the number of children born to temporary visa holders of all ages is lower than both Australian‐born and other overseas‐born women (</w:t>
      </w:r>
      <w:r w:rsidR="001C4D6C">
        <w:fldChar w:fldCharType="begin"/>
      </w:r>
      <w:r w:rsidR="001C4D6C">
        <w:instrText xml:space="preserve"> REF _Ref179370921 \r \h </w:instrText>
      </w:r>
      <w:r w:rsidR="001C4D6C">
        <w:fldChar w:fldCharType="separate"/>
      </w:r>
      <w:r w:rsidR="00050D25">
        <w:t>Chart 18</w:t>
      </w:r>
      <w:r w:rsidR="001C4D6C">
        <w:fldChar w:fldCharType="end"/>
      </w:r>
      <w:r w:rsidR="001C4D6C">
        <w:t>).</w:t>
      </w:r>
      <w:r w:rsidR="001C4D6C" w:rsidDel="00C82394">
        <w:t xml:space="preserve"> </w:t>
      </w:r>
      <w:r w:rsidR="006627A6">
        <w:t>Over time, o</w:t>
      </w:r>
      <w:r w:rsidR="006E5534">
        <w:t>verseas</w:t>
      </w:r>
      <w:r w:rsidR="00050D25">
        <w:noBreakHyphen/>
      </w:r>
      <w:r w:rsidR="001C4D6C" w:rsidRPr="00D95AF3">
        <w:t>born women</w:t>
      </w:r>
      <w:r w:rsidR="00050D25">
        <w:t>’</w:t>
      </w:r>
      <w:r w:rsidR="001C4D6C" w:rsidRPr="00D95AF3">
        <w:t xml:space="preserve">s fertility </w:t>
      </w:r>
      <w:r w:rsidR="00C05356">
        <w:t>rates</w:t>
      </w:r>
      <w:r w:rsidR="001C4D6C" w:rsidRPr="00D95AF3">
        <w:t xml:space="preserve"> </w:t>
      </w:r>
      <w:r w:rsidR="0026469C" w:rsidRPr="00D95AF3">
        <w:t>converge</w:t>
      </w:r>
      <w:r w:rsidR="001C4D6C" w:rsidRPr="00D95AF3">
        <w:t xml:space="preserve"> </w:t>
      </w:r>
      <w:r w:rsidR="001C4D6C">
        <w:t>to</w:t>
      </w:r>
      <w:r w:rsidR="001C4D6C" w:rsidRPr="00D95AF3">
        <w:t xml:space="preserve"> those of</w:t>
      </w:r>
      <w:r w:rsidR="001C4D6C" w:rsidRPr="00D95AF3" w:rsidDel="00FA3973">
        <w:t xml:space="preserve"> </w:t>
      </w:r>
      <w:r w:rsidR="001C4D6C" w:rsidRPr="00D95AF3" w:rsidDel="003E28D2">
        <w:t>Australian</w:t>
      </w:r>
      <w:r w:rsidR="00050D25">
        <w:noBreakHyphen/>
      </w:r>
      <w:r w:rsidR="001C4D6C" w:rsidRPr="00D95AF3">
        <w:t xml:space="preserve">born women. However, even with time, </w:t>
      </w:r>
      <w:r w:rsidR="00896D0B">
        <w:t>their</w:t>
      </w:r>
      <w:r w:rsidR="001C4D6C" w:rsidRPr="00D95AF3">
        <w:t xml:space="preserve"> fertility </w:t>
      </w:r>
      <w:r w:rsidR="00C05356">
        <w:t xml:space="preserve">rate </w:t>
      </w:r>
      <w:r w:rsidR="001C4D6C" w:rsidRPr="00D95AF3">
        <w:t xml:space="preserve">patterns do not fully converge </w:t>
      </w:r>
      <w:r w:rsidR="001C4D6C">
        <w:t>to</w:t>
      </w:r>
      <w:r w:rsidR="001C4D6C" w:rsidRPr="004B02EA">
        <w:t xml:space="preserve"> those of Australian</w:t>
      </w:r>
      <w:r w:rsidR="00050D25">
        <w:noBreakHyphen/>
      </w:r>
      <w:r w:rsidR="001C4D6C" w:rsidRPr="004B02EA">
        <w:t>born women</w:t>
      </w:r>
      <w:r w:rsidR="001C4D6C">
        <w:t>.</w:t>
      </w:r>
      <w:r w:rsidR="001C4D6C">
        <w:rPr>
          <w:rStyle w:val="FootnoteReference"/>
        </w:rPr>
        <w:footnoteReference w:id="35"/>
      </w:r>
    </w:p>
    <w:p w14:paraId="2FF99E56" w14:textId="5E937B71" w:rsidR="00C94FAF" w:rsidRDefault="0038305A" w:rsidP="00654915">
      <w:pPr>
        <w:pStyle w:val="ChartMainHeading"/>
      </w:pPr>
      <w:bookmarkStart w:id="115" w:name="_Ref179370921"/>
      <w:bookmarkEnd w:id="112"/>
      <w:r>
        <w:lastRenderedPageBreak/>
        <w:t>Number</w:t>
      </w:r>
      <w:r w:rsidR="001C4D6C">
        <w:t xml:space="preserve"> of children ever</w:t>
      </w:r>
      <w:r w:rsidR="007357B3">
        <w:t xml:space="preserve"> </w:t>
      </w:r>
      <w:r w:rsidR="001C4D6C">
        <w:t xml:space="preserve">born by country of birth and visa type of mothers, 2021 </w:t>
      </w:r>
      <w:bookmarkEnd w:id="115"/>
    </w:p>
    <w:p w14:paraId="28640ACA" w14:textId="540DD8B4" w:rsidR="001C4D6C" w:rsidRPr="009C4E2A" w:rsidRDefault="00BB6E28" w:rsidP="00186063">
      <w:pPr>
        <w:pStyle w:val="ChartGraphic"/>
      </w:pPr>
      <w:r w:rsidRPr="00BB6E28">
        <w:rPr>
          <w:noProof/>
        </w:rPr>
        <w:drawing>
          <wp:inline distT="0" distB="0" distL="0" distR="0" wp14:anchorId="5CCCF4BD" wp14:editId="2DF98CBE">
            <wp:extent cx="5582285" cy="2881630"/>
            <wp:effectExtent l="0" t="0" r="0" b="0"/>
            <wp:docPr id="827039319" name="Picture 827039319" descr="This line chart displays the number of children ever born by age category for Australian-born women, overseas-born women excluding temporary visa holders, temporary visa holders and international students. Overseas-born categories have fewer children at nearly every age. Temporary visa holders and international students have substantially fewer children than Australian-bor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39319" name="Picture 827039319" descr="This line chart displays the number of children ever born by age category for Australian-born women, overseas-born women excluding temporary visa holders, temporary visa holders and international students. Overseas-born categories have fewer children at nearly every age. Temporary visa holders and international students have substantially fewer children than Australian-born wom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2285" cy="2881630"/>
                    </a:xfrm>
                    <a:prstGeom prst="rect">
                      <a:avLst/>
                    </a:prstGeom>
                    <a:noFill/>
                    <a:ln>
                      <a:noFill/>
                    </a:ln>
                  </pic:spPr>
                </pic:pic>
              </a:graphicData>
            </a:graphic>
          </wp:inline>
        </w:drawing>
      </w:r>
    </w:p>
    <w:p w14:paraId="20FEB22A" w14:textId="664C66FE" w:rsidR="001C4D6C" w:rsidRDefault="001C4D6C" w:rsidP="000651CF">
      <w:pPr>
        <w:pStyle w:val="ChartorTableNote"/>
      </w:pPr>
      <w:r w:rsidRPr="00AB2BBE">
        <w:t>Note:</w:t>
      </w:r>
      <w:r>
        <w:tab/>
      </w:r>
      <w:r w:rsidR="00EA216E">
        <w:t>The o</w:t>
      </w:r>
      <w:r w:rsidRPr="00AB2BBE">
        <w:t>verseas</w:t>
      </w:r>
      <w:r w:rsidR="00050D25">
        <w:noBreakHyphen/>
      </w:r>
      <w:r w:rsidRPr="00AB2BBE">
        <w:t>born</w:t>
      </w:r>
      <w:r w:rsidR="00BA6C7D">
        <w:t xml:space="preserve"> line excludes</w:t>
      </w:r>
      <w:r w:rsidRPr="00AB2BBE">
        <w:t xml:space="preserve"> temporary visa holders</w:t>
      </w:r>
      <w:r w:rsidR="00BA6C7D">
        <w:t>, except for</w:t>
      </w:r>
      <w:r w:rsidRPr="00AB2BBE">
        <w:t xml:space="preserve"> N</w:t>
      </w:r>
      <w:r w:rsidR="00BA4189">
        <w:t xml:space="preserve">ew </w:t>
      </w:r>
      <w:r w:rsidRPr="00AB2BBE">
        <w:t>Z</w:t>
      </w:r>
      <w:r w:rsidR="00BA4189">
        <w:t>ealand</w:t>
      </w:r>
      <w:r w:rsidRPr="00AB2BBE">
        <w:t xml:space="preserve"> citizens</w:t>
      </w:r>
      <w:r w:rsidR="00BA6C7D">
        <w:t xml:space="preserve"> because they can remain indefinitely on a temporary visa. The </w:t>
      </w:r>
      <w:r w:rsidR="00083E64">
        <w:t>t</w:t>
      </w:r>
      <w:r w:rsidRPr="00AB2BBE">
        <w:t>emporary visa holders</w:t>
      </w:r>
      <w:r w:rsidR="00083E64">
        <w:t xml:space="preserve"> line</w:t>
      </w:r>
      <w:r w:rsidRPr="00AB2BBE">
        <w:t xml:space="preserve"> exclud</w:t>
      </w:r>
      <w:r w:rsidR="00083E64">
        <w:t>es both</w:t>
      </w:r>
      <w:r w:rsidRPr="00AB2BBE">
        <w:t xml:space="preserve"> N</w:t>
      </w:r>
      <w:r w:rsidR="00BA4189">
        <w:t xml:space="preserve">ew </w:t>
      </w:r>
      <w:r w:rsidRPr="00AB2BBE">
        <w:t>Z</w:t>
      </w:r>
      <w:r w:rsidR="00BA4189">
        <w:t>ealand</w:t>
      </w:r>
      <w:r w:rsidRPr="00AB2BBE">
        <w:t xml:space="preserve"> citizens and international students.</w:t>
      </w:r>
    </w:p>
    <w:p w14:paraId="03BF339C" w14:textId="02AF8865" w:rsidR="001C4D6C" w:rsidRDefault="001C4D6C" w:rsidP="008E3493">
      <w:pPr>
        <w:pStyle w:val="Source"/>
      </w:pPr>
      <w:r w:rsidRPr="00645008">
        <w:t xml:space="preserve">Source: </w:t>
      </w:r>
      <w:r>
        <w:tab/>
      </w:r>
      <w:r w:rsidRPr="00645008">
        <w:t xml:space="preserve">ABS, </w:t>
      </w:r>
      <w:r w:rsidRPr="00186063">
        <w:rPr>
          <w:rStyle w:val="SubtleEmphasis"/>
        </w:rPr>
        <w:t>Census 2021.</w:t>
      </w: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1C4D6C" w:rsidRPr="003B6850" w14:paraId="6C413FAA" w14:textId="77777777" w:rsidTr="0095584C">
        <w:trPr>
          <w:trHeight w:val="293"/>
        </w:trPr>
        <w:tc>
          <w:tcPr>
            <w:tcW w:w="9072" w:type="dxa"/>
            <w:shd w:val="clear" w:color="auto" w:fill="auto"/>
          </w:tcPr>
          <w:p w14:paraId="7764E410" w14:textId="4D71EA81" w:rsidR="001C4D6C" w:rsidRPr="00645008" w:rsidRDefault="001C4D6C" w:rsidP="00916EF2">
            <w:pPr>
              <w:pStyle w:val="BoxHeading"/>
            </w:pPr>
            <w:bookmarkStart w:id="116" w:name="_Ref179482575"/>
            <w:r>
              <w:lastRenderedPageBreak/>
              <w:t>Macroeconomic factors driving fertility decline in Australia</w:t>
            </w:r>
            <w:bookmarkEnd w:id="116"/>
          </w:p>
          <w:p w14:paraId="529BB87D" w14:textId="04E12E4B" w:rsidR="00365DA3" w:rsidRPr="00365DA3" w:rsidRDefault="001C4D6C" w:rsidP="00186063">
            <w:pPr>
              <w:pStyle w:val="BoxText"/>
            </w:pPr>
            <w:r>
              <w:t xml:space="preserve">The factors contributing to </w:t>
            </w:r>
            <w:r w:rsidR="00C05356">
              <w:t xml:space="preserve">decline in </w:t>
            </w:r>
            <w:r>
              <w:t xml:space="preserve">fertility </w:t>
            </w:r>
            <w:r w:rsidR="00C05356">
              <w:t>rates</w:t>
            </w:r>
            <w:r>
              <w:t xml:space="preserve"> are complex, with macroeconomic, </w:t>
            </w:r>
            <w:proofErr w:type="gramStart"/>
            <w:r>
              <w:t>social</w:t>
            </w:r>
            <w:proofErr w:type="gramEnd"/>
            <w:r>
              <w:t xml:space="preserve"> and individual dimensions. Broad macroeconomic factors reducing Australia</w:t>
            </w:r>
            <w:r w:rsidR="00050D25">
              <w:t>’</w:t>
            </w:r>
            <w:r>
              <w:t>s fertility rate include higher educational attainment by women, female labour</w:t>
            </w:r>
            <w:r w:rsidR="00386141">
              <w:t xml:space="preserve"> </w:t>
            </w:r>
            <w:r>
              <w:t>force participation, job security, as well as housing and child</w:t>
            </w:r>
            <w:r w:rsidR="00050D25">
              <w:noBreakHyphen/>
            </w:r>
            <w:r w:rsidR="001445BD">
              <w:t>rearing</w:t>
            </w:r>
            <w:r>
              <w:t xml:space="preserve"> costs. These factors influence individual choices regarding family formation.</w:t>
            </w:r>
          </w:p>
          <w:p w14:paraId="2CDF729A" w14:textId="6837C21E" w:rsidR="00E06F97" w:rsidRPr="00365DA3" w:rsidRDefault="00E06F97" w:rsidP="00186063">
            <w:pPr>
              <w:pStyle w:val="BoxText"/>
            </w:pPr>
            <w:r>
              <w:t xml:space="preserve">Survey data indicates that </w:t>
            </w:r>
            <w:r w:rsidRPr="00A2591C">
              <w:t>Australia</w:t>
            </w:r>
            <w:r w:rsidR="00050D25">
              <w:t>’</w:t>
            </w:r>
            <w:r w:rsidRPr="00A2591C">
              <w:t xml:space="preserve">s fertility intentions are not being met. </w:t>
            </w:r>
            <w:r>
              <w:t>The Household, Income and Labour Dynamics in Australia (</w:t>
            </w:r>
            <w:r w:rsidRPr="00A2591C">
              <w:t>HILDA</w:t>
            </w:r>
            <w:r>
              <w:t>)</w:t>
            </w:r>
            <w:r w:rsidRPr="00A2591C">
              <w:t xml:space="preserve"> survey found </w:t>
            </w:r>
            <w:r>
              <w:t>average adult</w:t>
            </w:r>
            <w:r w:rsidRPr="00A2591C">
              <w:t xml:space="preserve"> fertility intentions to be 1.9 children in 2020</w:t>
            </w:r>
            <w:r>
              <w:t>,</w:t>
            </w:r>
            <w:r w:rsidRPr="00A2591C">
              <w:t xml:space="preserve"> when the </w:t>
            </w:r>
            <w:r>
              <w:t>total fertility rate</w:t>
            </w:r>
            <w:r w:rsidRPr="00A2591C">
              <w:t xml:space="preserve"> was </w:t>
            </w:r>
            <w:r>
              <w:t>1.6.</w:t>
            </w:r>
            <w:r>
              <w:rPr>
                <w:rStyle w:val="FootnoteReference"/>
              </w:rPr>
              <w:footnoteReference w:id="36"/>
            </w:r>
            <w:r>
              <w:rPr>
                <w:rStyle w:val="FootnoteReference"/>
              </w:rPr>
              <w:t xml:space="preserve"> </w:t>
            </w:r>
            <w:r>
              <w:rPr>
                <w:rStyle w:val="FootnoteReference"/>
              </w:rPr>
              <w:footnoteReference w:id="37"/>
            </w:r>
            <w:r w:rsidRPr="00A2591C">
              <w:t xml:space="preserve"> </w:t>
            </w:r>
            <w:r>
              <w:t xml:space="preserve">Fertility decisions are based on a complex mix of individual, social and economic factors, with </w:t>
            </w:r>
            <w:r w:rsidRPr="00186063">
              <w:t>financial</w:t>
            </w:r>
            <w:r>
              <w:t xml:space="preserve"> and career barriers a major part of the current low</w:t>
            </w:r>
            <w:r w:rsidR="00050D25">
              <w:noBreakHyphen/>
            </w:r>
            <w:r>
              <w:t>fertility story.</w:t>
            </w:r>
            <w:r>
              <w:rPr>
                <w:rStyle w:val="FootnoteReference"/>
              </w:rPr>
              <w:footnoteReference w:id="38"/>
            </w:r>
            <w:r>
              <w:t xml:space="preserve"> Research indicates that policies </w:t>
            </w:r>
            <w:r w:rsidR="00BE0536">
              <w:t xml:space="preserve">that </w:t>
            </w:r>
            <w:r>
              <w:t>encoura</w:t>
            </w:r>
            <w:r w:rsidR="00BE0536">
              <w:t>ge</w:t>
            </w:r>
            <w:r>
              <w:t xml:space="preserve"> a more equal division of household labour, alleviate the financial cost of having children, and policies that promote housing security could be effective in raising fertility to </w:t>
            </w:r>
            <w:r w:rsidR="00905733">
              <w:t>support</w:t>
            </w:r>
            <w:r>
              <w:t xml:space="preserve"> the </w:t>
            </w:r>
            <w:r w:rsidR="00905733">
              <w:t>choices</w:t>
            </w:r>
            <w:r>
              <w:t xml:space="preserve"> of individuals.</w:t>
            </w:r>
            <w:r w:rsidR="002C3357">
              <w:rPr>
                <w:rStyle w:val="FootnoteReference"/>
              </w:rPr>
              <w:footnoteReference w:id="39"/>
            </w:r>
          </w:p>
          <w:p w14:paraId="0D0457D8" w14:textId="1F8C780D" w:rsidR="001C4D6C" w:rsidRPr="00186063" w:rsidRDefault="001C4D6C" w:rsidP="00186063">
            <w:pPr>
              <w:pStyle w:val="BoxHeading2"/>
              <w:rPr>
                <w:rStyle w:val="Strong"/>
                <w:b/>
                <w:bCs w:val="0"/>
              </w:rPr>
            </w:pPr>
            <w:r w:rsidRPr="00186063">
              <w:rPr>
                <w:rStyle w:val="Strong"/>
                <w:b/>
                <w:bCs w:val="0"/>
              </w:rPr>
              <w:t>Female education</w:t>
            </w:r>
            <w:r w:rsidR="00266BFC" w:rsidRPr="00186063">
              <w:rPr>
                <w:rStyle w:val="Strong"/>
                <w:b/>
                <w:bCs w:val="0"/>
              </w:rPr>
              <w:t xml:space="preserve"> and </w:t>
            </w:r>
            <w:r w:rsidRPr="00186063">
              <w:rPr>
                <w:rStyle w:val="Strong"/>
                <w:b/>
                <w:bCs w:val="0"/>
              </w:rPr>
              <w:t xml:space="preserve">labour force participation </w:t>
            </w:r>
          </w:p>
          <w:p w14:paraId="7AAAB87B" w14:textId="400028E7" w:rsidR="001C4D6C" w:rsidRDefault="001C4D6C" w:rsidP="00916EF2">
            <w:pPr>
              <w:pStyle w:val="BoxText"/>
            </w:pPr>
            <w:r>
              <w:t xml:space="preserve">Over the past </w:t>
            </w:r>
            <w:r w:rsidR="00E57F4C">
              <w:t xml:space="preserve">60 </w:t>
            </w:r>
            <w:r>
              <w:t>years, Australian women have attained higher levels of educational qualifications and increased their participation in the labour force. These</w:t>
            </w:r>
            <w:r w:rsidDel="00E228C7">
              <w:t xml:space="preserve"> </w:t>
            </w:r>
            <w:r w:rsidR="00E228C7">
              <w:t>2</w:t>
            </w:r>
            <w:r>
              <w:t xml:space="preserve"> trends have had a major effect on </w:t>
            </w:r>
            <w:r w:rsidR="00D14010">
              <w:t>households</w:t>
            </w:r>
            <w:r w:rsidR="00050D25">
              <w:t>’</w:t>
            </w:r>
            <w:r w:rsidR="00D14010">
              <w:t xml:space="preserve"> </w:t>
            </w:r>
            <w:r>
              <w:t xml:space="preserve">fertility choices. </w:t>
            </w:r>
            <w:r w:rsidRPr="00DD4C40">
              <w:t xml:space="preserve">Research </w:t>
            </w:r>
            <w:r w:rsidR="00F50ED5">
              <w:t xml:space="preserve">from the ANU, </w:t>
            </w:r>
            <w:r w:rsidRPr="00DD4C40">
              <w:t>commissioned by the Centre for Population</w:t>
            </w:r>
            <w:r w:rsidR="007949A0">
              <w:t>,</w:t>
            </w:r>
            <w:r w:rsidRPr="00DD4C40">
              <w:t xml:space="preserve"> found </w:t>
            </w:r>
            <w:r>
              <w:t>many women want financial and professional stability before taking time out of the workforce to have a child. This results in delayed childbearing and, in some cases, fewer children.</w:t>
            </w:r>
          </w:p>
          <w:p w14:paraId="02743DAC" w14:textId="699228AE" w:rsidR="001C4D6C" w:rsidRDefault="001C4D6C" w:rsidP="00916EF2">
            <w:pPr>
              <w:pStyle w:val="BoxText"/>
              <w:rPr>
                <w:i/>
              </w:rPr>
            </w:pPr>
            <w:r>
              <w:t>Despite changes in women</w:t>
            </w:r>
            <w:r w:rsidR="00050D25">
              <w:t>’</w:t>
            </w:r>
            <w:r>
              <w:t>s workforce participation, women still perform more unpaid work in the home than men, especially if they have children. This gender gap peaks at ages 31 to 35. In 2022, women in this age group spent 18 hours per week more than men on unpaid household labour and care.</w:t>
            </w:r>
            <w:r>
              <w:rPr>
                <w:rStyle w:val="FootnoteReference"/>
              </w:rPr>
              <w:footnoteReference w:id="40"/>
            </w:r>
            <w:r>
              <w:t xml:space="preserve"> </w:t>
            </w:r>
            <w:r w:rsidR="00CD274A">
              <w:t>Further to this</w:t>
            </w:r>
            <w:r w:rsidR="00DC0258">
              <w:t>, t</w:t>
            </w:r>
            <w:r w:rsidR="00CD274A" w:rsidRPr="2261E651">
              <w:t>he ABS ha</w:t>
            </w:r>
            <w:r w:rsidR="00610B5D">
              <w:t>s</w:t>
            </w:r>
            <w:r w:rsidR="00CD274A" w:rsidRPr="2261E651">
              <w:t xml:space="preserve"> recently released </w:t>
            </w:r>
            <w:r w:rsidR="00534B1E">
              <w:t xml:space="preserve">early </w:t>
            </w:r>
            <w:r w:rsidR="00610B5D">
              <w:t xml:space="preserve">experimental </w:t>
            </w:r>
            <w:r w:rsidR="00CD274A" w:rsidRPr="2261E651">
              <w:t xml:space="preserve">estimates of the value of unpaid </w:t>
            </w:r>
            <w:proofErr w:type="gramStart"/>
            <w:r w:rsidR="00CD274A" w:rsidRPr="2261E651">
              <w:t>child</w:t>
            </w:r>
            <w:r w:rsidR="00CD274A">
              <w:t xml:space="preserve"> </w:t>
            </w:r>
            <w:r w:rsidR="00CD274A" w:rsidRPr="2261E651">
              <w:t>care</w:t>
            </w:r>
            <w:proofErr w:type="gramEnd"/>
            <w:r w:rsidR="00CD274A" w:rsidRPr="2261E651">
              <w:t xml:space="preserve"> in Australia. These</w:t>
            </w:r>
            <w:r w:rsidR="00CD274A">
              <w:t xml:space="preserve"> estimates found</w:t>
            </w:r>
            <w:r w:rsidR="00CD274A" w:rsidRPr="2261E651">
              <w:t xml:space="preserve"> the monetary value of unpaid care work that occurred in</w:t>
            </w:r>
            <w:r w:rsidR="00CD274A">
              <w:t xml:space="preserve"> Australia</w:t>
            </w:r>
            <w:r w:rsidR="00CD274A" w:rsidRPr="2261E651">
              <w:t xml:space="preserve"> equated to $55.6 billion in the June quarter 2021</w:t>
            </w:r>
            <w:r w:rsidR="006C7244">
              <w:t xml:space="preserve">, and </w:t>
            </w:r>
            <w:r w:rsidR="00E95908">
              <w:t>69</w:t>
            </w:r>
            <w:r w:rsidR="00CD274A" w:rsidRPr="2261E651">
              <w:t xml:space="preserve"> per cent of th</w:t>
            </w:r>
            <w:r w:rsidR="00BF7682">
              <w:t>is</w:t>
            </w:r>
            <w:r w:rsidR="00CD274A" w:rsidRPr="2261E651">
              <w:t xml:space="preserve"> was performed by women.</w:t>
            </w:r>
            <w:r w:rsidR="00CD274A">
              <w:rPr>
                <w:rStyle w:val="FootnoteReference"/>
              </w:rPr>
              <w:footnoteReference w:id="41"/>
            </w:r>
            <w:r w:rsidR="00CD274A">
              <w:t xml:space="preserve"> </w:t>
            </w:r>
            <w:r>
              <w:t xml:space="preserve">This results in women, especially mothers, undertaking a </w:t>
            </w:r>
            <w:r w:rsidR="00050D25">
              <w:t>‘</w:t>
            </w:r>
            <w:r>
              <w:t>second shift</w:t>
            </w:r>
            <w:r w:rsidR="00050D25">
              <w:t>’</w:t>
            </w:r>
            <w:r>
              <w:t xml:space="preserve"> in the home </w:t>
            </w:r>
            <w:r w:rsidR="00396172">
              <w:t>often</w:t>
            </w:r>
            <w:r>
              <w:t xml:space="preserve"> in addition to work outside the home, which can discourage them from either having children or having more children.</w:t>
            </w:r>
            <w:r>
              <w:rPr>
                <w:rStyle w:val="FootnoteReference"/>
              </w:rPr>
              <w:footnoteReference w:id="42"/>
            </w:r>
            <w:r w:rsidR="0D5ED350">
              <w:t xml:space="preserve"> </w:t>
            </w:r>
          </w:p>
          <w:p w14:paraId="62699692" w14:textId="104E97B7" w:rsidR="00266BFC" w:rsidRPr="00186063" w:rsidRDefault="00266BFC" w:rsidP="00186063">
            <w:pPr>
              <w:pStyle w:val="BoxHeading2"/>
              <w:rPr>
                <w:rStyle w:val="Strong"/>
                <w:b/>
                <w:bCs w:val="0"/>
              </w:rPr>
            </w:pPr>
            <w:r w:rsidRPr="00186063">
              <w:rPr>
                <w:rStyle w:val="Strong"/>
                <w:b/>
                <w:bCs w:val="0"/>
              </w:rPr>
              <w:t>Job security</w:t>
            </w:r>
          </w:p>
          <w:p w14:paraId="406EB40B" w14:textId="462215A7" w:rsidR="001C4D6C" w:rsidRDefault="001C4D6C" w:rsidP="00916EF2">
            <w:pPr>
              <w:pStyle w:val="BoxText"/>
            </w:pPr>
            <w:r>
              <w:t>Labour market conditions have also changed in recent decades, potentially influencing fertility decisions. The labour market has experienced a decline in stable, low</w:t>
            </w:r>
            <w:r w:rsidR="00050D25">
              <w:noBreakHyphen/>
            </w:r>
            <w:r>
              <w:t>skilled job opportunities, creating job insecurity for younger adults.</w:t>
            </w:r>
            <w:r>
              <w:rPr>
                <w:rStyle w:val="FootnoteReference"/>
              </w:rPr>
              <w:footnoteReference w:id="43"/>
            </w:r>
            <w:r>
              <w:t xml:space="preserve"> </w:t>
            </w:r>
            <w:r>
              <w:rPr>
                <w:rStyle w:val="FootnoteReference"/>
              </w:rPr>
              <w:footnoteReference w:id="44"/>
            </w:r>
            <w:r>
              <w:t xml:space="preserve"> This</w:t>
            </w:r>
            <w:r w:rsidDel="001665C2">
              <w:t xml:space="preserve"> </w:t>
            </w:r>
            <w:r>
              <w:t xml:space="preserve">encourages young people to </w:t>
            </w:r>
            <w:r w:rsidR="0076556F">
              <w:t>invest</w:t>
            </w:r>
            <w:r>
              <w:t xml:space="preserve"> more time in their education and establishing themselves in their chosen career. Research has found that compared to permanent employment, fixed</w:t>
            </w:r>
            <w:r w:rsidR="00050D25">
              <w:noBreakHyphen/>
            </w:r>
            <w:r>
              <w:t xml:space="preserve">term employment among men aged 18 to 45 reduces the probability of </w:t>
            </w:r>
            <w:r w:rsidR="00AA0471">
              <w:t>having a first child</w:t>
            </w:r>
            <w:r>
              <w:t xml:space="preserve"> by 18.4 percentage points and casual employment among men reduces the probability of first birth by 9.7 percentage points.</w:t>
            </w:r>
            <w:r>
              <w:rPr>
                <w:rStyle w:val="FootnoteReference"/>
              </w:rPr>
              <w:footnoteReference w:id="45"/>
            </w:r>
          </w:p>
          <w:p w14:paraId="71FDEB8D" w14:textId="3529B821" w:rsidR="001C4D6C" w:rsidRPr="00186063" w:rsidRDefault="00D14010" w:rsidP="00186063">
            <w:pPr>
              <w:pStyle w:val="BoxHeading2"/>
              <w:rPr>
                <w:rStyle w:val="Strong"/>
                <w:b/>
                <w:bCs w:val="0"/>
              </w:rPr>
            </w:pPr>
            <w:r w:rsidRPr="00186063">
              <w:rPr>
                <w:rStyle w:val="Strong"/>
                <w:b/>
                <w:bCs w:val="0"/>
              </w:rPr>
              <w:t>C</w:t>
            </w:r>
            <w:r w:rsidR="001C4D6C" w:rsidRPr="00186063">
              <w:rPr>
                <w:rStyle w:val="Strong"/>
                <w:b/>
                <w:bCs w:val="0"/>
              </w:rPr>
              <w:t>ost</w:t>
            </w:r>
            <w:r w:rsidRPr="00186063">
              <w:rPr>
                <w:rStyle w:val="Strong"/>
                <w:b/>
                <w:bCs w:val="0"/>
              </w:rPr>
              <w:t>s</w:t>
            </w:r>
            <w:r w:rsidR="001C4D6C" w:rsidRPr="00186063">
              <w:rPr>
                <w:rStyle w:val="Strong"/>
                <w:b/>
                <w:bCs w:val="0"/>
              </w:rPr>
              <w:t xml:space="preserve"> of having children</w:t>
            </w:r>
          </w:p>
          <w:p w14:paraId="4DA92019" w14:textId="26252795" w:rsidR="001C4D6C" w:rsidRPr="00B344C9" w:rsidRDefault="00BE0536" w:rsidP="00916EF2">
            <w:pPr>
              <w:pStyle w:val="BoxText"/>
            </w:pPr>
            <w:r>
              <w:t>The c</w:t>
            </w:r>
            <w:r w:rsidR="001C4D6C">
              <w:t xml:space="preserve">ost of raising children, including housing, </w:t>
            </w:r>
            <w:proofErr w:type="gramStart"/>
            <w:r w:rsidR="001C4D6C">
              <w:t>child care</w:t>
            </w:r>
            <w:proofErr w:type="gramEnd"/>
            <w:r w:rsidR="001C4D6C">
              <w:t xml:space="preserve"> and education, influences childbearing decisions, with 39</w:t>
            </w:r>
            <w:r w:rsidR="00FF207F">
              <w:t> per cent</w:t>
            </w:r>
            <w:r w:rsidR="001C4D6C">
              <w:t xml:space="preserve"> of childless people citing the cost of raising children to be a very important factor in their fertility decisions.</w:t>
            </w:r>
            <w:r w:rsidR="001C4D6C">
              <w:rPr>
                <w:rStyle w:val="FootnoteReference"/>
              </w:rPr>
              <w:footnoteReference w:id="46"/>
            </w:r>
          </w:p>
        </w:tc>
      </w:tr>
    </w:tbl>
    <w:p w14:paraId="1E343BC5" w14:textId="77777777" w:rsidR="001C4D6C" w:rsidRDefault="001C4D6C" w:rsidP="00186063">
      <w:pPr>
        <w:pStyle w:val="SingleParagraph"/>
        <w:rPr>
          <w:rStyle w:val="Hyperlink"/>
          <w:sz w:val="18"/>
          <w:bdr w:val="none" w:sz="0" w:space="0" w:color="auto" w:frame="1"/>
        </w:rPr>
      </w:pPr>
      <w:r>
        <w:rPr>
          <w:rStyle w:val="Hyperlink"/>
        </w:rPr>
        <w:br w:type="page"/>
      </w:r>
    </w:p>
    <w:p w14:paraId="54E5B454" w14:textId="77777777" w:rsidR="001C4D6C" w:rsidRPr="00645008" w:rsidRDefault="001C4D6C" w:rsidP="001C4D6C">
      <w:pPr>
        <w:pStyle w:val="Heading2Numbered"/>
      </w:pPr>
      <w:bookmarkStart w:id="117" w:name="_Toc149846503"/>
      <w:bookmarkStart w:id="118" w:name="_Toc149846544"/>
      <w:bookmarkStart w:id="119" w:name="_Toc149846642"/>
      <w:bookmarkStart w:id="120" w:name="_Toc149847585"/>
      <w:bookmarkStart w:id="121" w:name="_Toc151994720"/>
      <w:r w:rsidRPr="00645008">
        <w:lastRenderedPageBreak/>
        <w:t xml:space="preserve"> </w:t>
      </w:r>
      <w:bookmarkStart w:id="122" w:name="_Toc180584518"/>
      <w:bookmarkStart w:id="123" w:name="_Toc185333109"/>
      <w:bookmarkStart w:id="124" w:name="_Toc185346726"/>
      <w:bookmarkEnd w:id="117"/>
      <w:bookmarkEnd w:id="118"/>
      <w:bookmarkEnd w:id="119"/>
      <w:bookmarkEnd w:id="120"/>
      <w:r w:rsidRPr="00645008">
        <w:t>Deaths</w:t>
      </w:r>
      <w:bookmarkEnd w:id="122"/>
      <w:bookmarkEnd w:id="123"/>
      <w:bookmarkEnd w:id="124"/>
      <w:r w:rsidRPr="00645008">
        <w:t xml:space="preserve"> </w:t>
      </w:r>
      <w:bookmarkEnd w:id="121"/>
    </w:p>
    <w:p w14:paraId="47867294" w14:textId="70BD536A" w:rsidR="001C4D6C" w:rsidRDefault="001C4D6C" w:rsidP="001C4D6C">
      <w:bookmarkStart w:id="125" w:name="_Hlk117064693"/>
      <w:bookmarkStart w:id="126" w:name="_Hlk117067832"/>
      <w:r>
        <w:t>In 2023–24, around 18</w:t>
      </w:r>
      <w:r w:rsidR="005A7310">
        <w:t>4</w:t>
      </w:r>
      <w:r>
        <w:t>,</w:t>
      </w:r>
      <w:r w:rsidR="005A7310">
        <w:t>0</w:t>
      </w:r>
      <w:r>
        <w:t>00 deaths occurred in Australia (based on ABS provisional data).</w:t>
      </w:r>
      <w:r w:rsidR="00053BE5">
        <w:rPr>
          <w:rStyle w:val="FootnoteReference"/>
        </w:rPr>
        <w:footnoteReference w:id="47"/>
      </w:r>
      <w:r>
        <w:t xml:space="preserve"> This is 2.</w:t>
      </w:r>
      <w:r w:rsidR="00544156">
        <w:t>2</w:t>
      </w:r>
      <w:r w:rsidR="00FF207F">
        <w:t> per cent</w:t>
      </w:r>
      <w:r>
        <w:t xml:space="preserve"> (or 4,</w:t>
      </w:r>
      <w:r w:rsidR="00544156">
        <w:t>2</w:t>
      </w:r>
      <w:r>
        <w:t>00 deaths) below the 2022</w:t>
      </w:r>
      <w:r w:rsidR="00AF38FB">
        <w:t>–</w:t>
      </w:r>
      <w:r>
        <w:t>23 peak that occurred as</w:t>
      </w:r>
      <w:r w:rsidDel="00AA776A">
        <w:t xml:space="preserve"> </w:t>
      </w:r>
      <w:r>
        <w:t>COVID</w:t>
      </w:r>
      <w:r w:rsidR="00050D25">
        <w:noBreakHyphen/>
      </w:r>
      <w:r>
        <w:t>19 spread</w:t>
      </w:r>
      <w:r w:rsidDel="0078674A">
        <w:t xml:space="preserve"> </w:t>
      </w:r>
      <w:r>
        <w:t>widely within the community. However, it is still 12.</w:t>
      </w:r>
      <w:r w:rsidR="00131E2C">
        <w:t>9</w:t>
      </w:r>
      <w:r w:rsidR="00FF207F">
        <w:t> per cent</w:t>
      </w:r>
      <w:r>
        <w:t xml:space="preserve"> above the pre</w:t>
      </w:r>
      <w:r w:rsidR="00050D25">
        <w:noBreakHyphen/>
      </w:r>
      <w:r>
        <w:t xml:space="preserve">pandemic level observed in 2018–19 and above </w:t>
      </w:r>
      <w:r w:rsidR="00050D25">
        <w:t>‘</w:t>
      </w:r>
      <w:r>
        <w:t>expected</w:t>
      </w:r>
      <w:r w:rsidR="00050D25">
        <w:t>’</w:t>
      </w:r>
      <w:r>
        <w:t xml:space="preserve"> levels, a concept known as excess </w:t>
      </w:r>
      <w:r w:rsidRPr="00A51436">
        <w:t>mortality</w:t>
      </w:r>
      <w:r w:rsidR="00EF39CE" w:rsidRPr="00A51436">
        <w:t xml:space="preserve"> (</w:t>
      </w:r>
      <w:r w:rsidR="00A51436" w:rsidRPr="003914B2">
        <w:fldChar w:fldCharType="begin"/>
      </w:r>
      <w:r w:rsidR="00A51436" w:rsidRPr="0037128E">
        <w:instrText xml:space="preserve"> REF _Ref184716264 \n \h </w:instrText>
      </w:r>
      <w:r w:rsidR="00A51436">
        <w:instrText xml:space="preserve"> \* MERGEFORMAT</w:instrText>
      </w:r>
      <w:r w:rsidR="00A51436" w:rsidRPr="00A51436">
        <w:instrText xml:space="preserve"> </w:instrText>
      </w:r>
      <w:r w:rsidR="00A51436" w:rsidRPr="003914B2">
        <w:fldChar w:fldCharType="separate"/>
      </w:r>
      <w:r w:rsidR="00050D25">
        <w:t>Box 7</w:t>
      </w:r>
      <w:r w:rsidR="00A51436" w:rsidRPr="003914B2">
        <w:fldChar w:fldCharType="end"/>
      </w:r>
      <w:r w:rsidR="00EF39CE" w:rsidRPr="00A51436">
        <w:t>)</w:t>
      </w:r>
      <w:r w:rsidRPr="00A51436">
        <w:t>.</w:t>
      </w:r>
      <w:r w:rsidR="00FF4AE3" w:rsidRPr="00A51436">
        <w:t xml:space="preserve"> </w:t>
      </w:r>
      <w:r w:rsidRPr="00A51436">
        <w:t>There</w:t>
      </w:r>
      <w:r w:rsidRPr="00333759">
        <w:t xml:space="preserve"> were 4,000 deaths due to COVID</w:t>
      </w:r>
      <w:r w:rsidR="00050D25">
        <w:noBreakHyphen/>
      </w:r>
      <w:r w:rsidRPr="00333759">
        <w:t>19 over 2023</w:t>
      </w:r>
      <w:r w:rsidR="00AF38FB">
        <w:t>–</w:t>
      </w:r>
      <w:r w:rsidR="00BE0536">
        <w:t>‍</w:t>
      </w:r>
      <w:r w:rsidRPr="00333759">
        <w:t>24, 47.</w:t>
      </w:r>
      <w:r w:rsidR="000D3FF4">
        <w:t>5</w:t>
      </w:r>
      <w:r w:rsidR="00FF207F">
        <w:t> per cent</w:t>
      </w:r>
      <w:r w:rsidRPr="00333759">
        <w:t xml:space="preserve"> (or 3,600) lower than the 2022</w:t>
      </w:r>
      <w:r>
        <w:t>–</w:t>
      </w:r>
      <w:r w:rsidRPr="00333759">
        <w:t>23 peak. COVID</w:t>
      </w:r>
      <w:r w:rsidR="00050D25">
        <w:noBreakHyphen/>
      </w:r>
      <w:r w:rsidRPr="00333759">
        <w:t>19 accounted for 2.2</w:t>
      </w:r>
      <w:r w:rsidR="00FF207F">
        <w:t> per cent</w:t>
      </w:r>
      <w:r w:rsidRPr="00333759">
        <w:t xml:space="preserve"> of deaths</w:t>
      </w:r>
      <w:r w:rsidR="0028442F" w:rsidRPr="0028442F">
        <w:t xml:space="preserve"> </w:t>
      </w:r>
      <w:r w:rsidR="0028442F">
        <w:t>o</w:t>
      </w:r>
      <w:r w:rsidR="0028442F" w:rsidRPr="00333759">
        <w:t>ver 2023</w:t>
      </w:r>
      <w:r w:rsidR="0028442F">
        <w:t>–</w:t>
      </w:r>
      <w:r w:rsidR="0028442F" w:rsidRPr="00333759">
        <w:t>24</w:t>
      </w:r>
      <w:r w:rsidRPr="00333759">
        <w:t>, compared with 4.</w:t>
      </w:r>
      <w:r w:rsidR="00986FE3">
        <w:t>1</w:t>
      </w:r>
      <w:r w:rsidR="00FF207F">
        <w:t> per cent</w:t>
      </w:r>
      <w:r w:rsidRPr="00333759">
        <w:t xml:space="preserve"> over 2022</w:t>
      </w:r>
      <w:r>
        <w:t>–</w:t>
      </w:r>
      <w:r w:rsidRPr="00333759">
        <w:t>23.</w:t>
      </w:r>
      <w:r>
        <w:rPr>
          <w:rStyle w:val="FootnoteReference"/>
        </w:rPr>
        <w:footnoteReference w:id="48"/>
      </w:r>
      <w:r w:rsidRPr="00333759">
        <w:t xml:space="preserve"> </w:t>
      </w:r>
    </w:p>
    <w:p w14:paraId="015D77D9" w14:textId="7E0FEF5C" w:rsidR="001C4D6C" w:rsidRDefault="001C4D6C" w:rsidP="001C4D6C">
      <w:r w:rsidRPr="00B57566">
        <w:t>COVID</w:t>
      </w:r>
      <w:r w:rsidR="00050D25">
        <w:noBreakHyphen/>
      </w:r>
      <w:r w:rsidRPr="00B57566">
        <w:t xml:space="preserve">19 is </w:t>
      </w:r>
      <w:r w:rsidR="00B32896">
        <w:t>expected</w:t>
      </w:r>
      <w:r w:rsidR="00347295" w:rsidRPr="00B57566">
        <w:t xml:space="preserve"> </w:t>
      </w:r>
      <w:r w:rsidRPr="00B57566">
        <w:t xml:space="preserve">to continue </w:t>
      </w:r>
      <w:r>
        <w:t>to lead to</w:t>
      </w:r>
      <w:r w:rsidRPr="00B57566" w:rsidDel="0037185E">
        <w:t xml:space="preserve"> </w:t>
      </w:r>
      <w:r>
        <w:t xml:space="preserve">higher mortality over 2024‍–‍25 </w:t>
      </w:r>
      <w:r w:rsidR="006022E8">
        <w:t xml:space="preserve">to </w:t>
      </w:r>
      <w:r>
        <w:t>2027–28</w:t>
      </w:r>
      <w:r w:rsidR="006022E8">
        <w:t>, with excess mortality (relative to pre</w:t>
      </w:r>
      <w:r w:rsidR="00050D25">
        <w:noBreakHyphen/>
      </w:r>
      <w:r w:rsidR="006022E8">
        <w:t>pandemic trends) subsiding over the period</w:t>
      </w:r>
      <w:r>
        <w:t>.</w:t>
      </w:r>
      <w:r w:rsidDel="00AD0054">
        <w:t xml:space="preserve"> </w:t>
      </w:r>
      <w:r>
        <w:t xml:space="preserve">As excess mortality subsides, deaths are forecast to fall to </w:t>
      </w:r>
      <w:r w:rsidRPr="00E83FBD">
        <w:t>1</w:t>
      </w:r>
      <w:r w:rsidR="00CC2A46">
        <w:t>8</w:t>
      </w:r>
      <w:r w:rsidR="00305775">
        <w:t>6</w:t>
      </w:r>
      <w:r w:rsidRPr="00E83FBD">
        <w:t xml:space="preserve">,000 in 2024–25, then </w:t>
      </w:r>
      <w:r>
        <w:t xml:space="preserve">slowly </w:t>
      </w:r>
      <w:r w:rsidRPr="00E83FBD">
        <w:t>rise to 1</w:t>
      </w:r>
      <w:r>
        <w:t>9</w:t>
      </w:r>
      <w:r w:rsidR="00A425C5">
        <w:t>1</w:t>
      </w:r>
      <w:r w:rsidRPr="00E83FBD">
        <w:t>,</w:t>
      </w:r>
      <w:r w:rsidR="00A425C5">
        <w:t>0</w:t>
      </w:r>
      <w:r w:rsidRPr="00E83FBD">
        <w:t>00 by 202</w:t>
      </w:r>
      <w:r>
        <w:t>7</w:t>
      </w:r>
      <w:r w:rsidRPr="00E83FBD">
        <w:t>–</w:t>
      </w:r>
      <w:r>
        <w:t>28</w:t>
      </w:r>
      <w:r w:rsidRPr="00E83FBD">
        <w:t>.</w:t>
      </w:r>
      <w:r w:rsidR="000F7D3E">
        <w:t xml:space="preserve"> </w:t>
      </w:r>
      <w:r>
        <w:t>From 2028–29 onwards, mortality rates for all age groups are expected to return to pre</w:t>
      </w:r>
      <w:r w:rsidR="00050D25">
        <w:noBreakHyphen/>
      </w:r>
      <w:r>
        <w:t>pandemic trends and continue to decline at the rate observed over the past 3 decades. Deaths are forecast to increase to 22</w:t>
      </w:r>
      <w:r w:rsidR="005D2254">
        <w:t>2</w:t>
      </w:r>
      <w:r>
        <w:t>,</w:t>
      </w:r>
      <w:r w:rsidR="00A425C5">
        <w:t>0</w:t>
      </w:r>
      <w:r>
        <w:t>00 by 2034</w:t>
      </w:r>
      <w:r w:rsidR="00AF38FB">
        <w:t>–</w:t>
      </w:r>
      <w:r>
        <w:t>35, reflecting the growing and ageing population.</w:t>
      </w:r>
      <w:r w:rsidR="00930635">
        <w:t xml:space="preserve"> </w:t>
      </w:r>
      <w:r>
        <w:t>The Centre</w:t>
      </w:r>
      <w:r w:rsidR="00050D25">
        <w:t>’</w:t>
      </w:r>
      <w:r>
        <w:t>s forecast is based on the most recent data and trends, but the medium and long</w:t>
      </w:r>
      <w:r w:rsidR="00050D25">
        <w:noBreakHyphen/>
      </w:r>
      <w:r>
        <w:t>term effects of COVID</w:t>
      </w:r>
      <w:r w:rsidR="00050D25">
        <w:noBreakHyphen/>
      </w:r>
      <w:r>
        <w:t xml:space="preserve">19 remain uncertain. </w:t>
      </w:r>
    </w:p>
    <w:p w14:paraId="6D7F53EC" w14:textId="7BA86B6B" w:rsidR="00997375" w:rsidRDefault="00997375">
      <w:pPr>
        <w:spacing w:before="0" w:after="160" w:line="259" w:lineRule="auto"/>
      </w:pPr>
      <w:r>
        <w:br w:type="page"/>
      </w:r>
    </w:p>
    <w:p w14:paraId="79CB7AA6" w14:textId="37D0F217" w:rsidR="001C4D6C" w:rsidRDefault="001C4D6C" w:rsidP="001C4D6C">
      <w:pPr>
        <w:pStyle w:val="Heading3Numbered"/>
        <w:ind w:left="357" w:hanging="357"/>
      </w:pPr>
      <w:r w:rsidRPr="00841A7D">
        <w:lastRenderedPageBreak/>
        <w:t>Life expectancy</w:t>
      </w:r>
      <w:r>
        <w:t xml:space="preserve"> </w:t>
      </w:r>
    </w:p>
    <w:p w14:paraId="0129220E" w14:textId="234D8DD6" w:rsidR="00293380" w:rsidRDefault="001C4D6C" w:rsidP="003914B2">
      <w:r>
        <w:t xml:space="preserve">Australia has the fourth highest life expectancy </w:t>
      </w:r>
      <w:r w:rsidR="00293577">
        <w:t>among OECD countries</w:t>
      </w:r>
      <w:r>
        <w:t>, behind Japan, Switzerland, and</w:t>
      </w:r>
      <w:r w:rsidR="00462BF6">
        <w:t xml:space="preserve"> the Republic of</w:t>
      </w:r>
      <w:r>
        <w:t xml:space="preserve"> Korea</w:t>
      </w:r>
      <w:r w:rsidR="00E95908">
        <w:t>. However</w:t>
      </w:r>
      <w:r>
        <w:t>, continued excess mortality has temporarily reduced life expectancy.</w:t>
      </w:r>
      <w:r w:rsidR="00D46339">
        <w:rPr>
          <w:rStyle w:val="FootnoteReference"/>
        </w:rPr>
        <w:footnoteReference w:id="49"/>
      </w:r>
      <w:r>
        <w:t xml:space="preserve"> </w:t>
      </w:r>
      <w:r w:rsidR="007B790D">
        <w:t xml:space="preserve">Despite the recent fall in life expectancy, </w:t>
      </w:r>
      <w:r w:rsidR="009E3C98">
        <w:t>Australia</w:t>
      </w:r>
      <w:r w:rsidR="00050D25">
        <w:t>’</w:t>
      </w:r>
      <w:r w:rsidR="009E3C98">
        <w:t>s ranking</w:t>
      </w:r>
      <w:r w:rsidR="009E3C98" w:rsidRPr="006B02E5">
        <w:t xml:space="preserve"> has risen relative to </w:t>
      </w:r>
      <w:r w:rsidR="00C379D1">
        <w:t xml:space="preserve">2021 </w:t>
      </w:r>
      <w:r w:rsidR="00F33B5C">
        <w:t xml:space="preserve">and </w:t>
      </w:r>
      <w:r w:rsidR="009E3C98" w:rsidRPr="006B02E5">
        <w:t>pre</w:t>
      </w:r>
      <w:r w:rsidR="00050D25">
        <w:noBreakHyphen/>
      </w:r>
      <w:r w:rsidR="009E3C98" w:rsidRPr="006B02E5">
        <w:t>pandemic</w:t>
      </w:r>
      <w:r w:rsidR="00293380">
        <w:t>.</w:t>
      </w:r>
      <w:r w:rsidR="0081455C">
        <w:rPr>
          <w:rStyle w:val="FootnoteReference"/>
        </w:rPr>
        <w:footnoteReference w:id="50"/>
      </w:r>
      <w:r w:rsidR="00293380">
        <w:t xml:space="preserve"> This </w:t>
      </w:r>
      <w:r w:rsidR="009E3C98" w:rsidRPr="006B02E5">
        <w:t>reflect</w:t>
      </w:r>
      <w:r w:rsidR="00293380">
        <w:t>s</w:t>
      </w:r>
      <w:r w:rsidR="009E3C98" w:rsidRPr="006B02E5">
        <w:t xml:space="preserve"> Australia</w:t>
      </w:r>
      <w:r w:rsidR="00050D25">
        <w:t>’</w:t>
      </w:r>
      <w:r w:rsidR="009E3C98" w:rsidRPr="006B02E5">
        <w:t xml:space="preserve">s </w:t>
      </w:r>
      <w:r w:rsidR="00414D30">
        <w:t>comparatively better pandemic</w:t>
      </w:r>
      <w:r w:rsidR="009E3C98" w:rsidRPr="006B02E5">
        <w:t xml:space="preserve"> experience</w:t>
      </w:r>
      <w:r w:rsidR="00BE0536">
        <w:t>:</w:t>
      </w:r>
      <w:r w:rsidR="00414D30">
        <w:t xml:space="preserve"> </w:t>
      </w:r>
      <w:r w:rsidR="009E3C98" w:rsidRPr="006B02E5">
        <w:t>delay</w:t>
      </w:r>
      <w:r w:rsidR="00414D30">
        <w:t>ing</w:t>
      </w:r>
      <w:r w:rsidR="009E3C98" w:rsidRPr="006B02E5">
        <w:t xml:space="preserve"> </w:t>
      </w:r>
      <w:r w:rsidR="00DA5B43">
        <w:t>widespread</w:t>
      </w:r>
      <w:r w:rsidR="009E3C98" w:rsidRPr="006B02E5">
        <w:t xml:space="preserve"> COVID</w:t>
      </w:r>
      <w:r w:rsidR="00050D25">
        <w:noBreakHyphen/>
      </w:r>
      <w:r w:rsidR="009E3C98" w:rsidRPr="006B02E5">
        <w:t>19</w:t>
      </w:r>
      <w:r w:rsidR="00DA5B43">
        <w:t xml:space="preserve"> until </w:t>
      </w:r>
      <w:proofErr w:type="gramStart"/>
      <w:r w:rsidR="00DA5B43">
        <w:t xml:space="preserve">the </w:t>
      </w:r>
      <w:r w:rsidR="00282332">
        <w:t>v</w:t>
      </w:r>
      <w:r w:rsidR="00DA5B43">
        <w:t>ast majority of</w:t>
      </w:r>
      <w:proofErr w:type="gramEnd"/>
      <w:r w:rsidR="00DA5B43">
        <w:t xml:space="preserve"> the population was vaccinated resulted in </w:t>
      </w:r>
      <w:r w:rsidR="00282332">
        <w:t xml:space="preserve">a later peak in mortality, </w:t>
      </w:r>
      <w:r w:rsidR="004F250E">
        <w:t>and</w:t>
      </w:r>
      <w:r w:rsidR="00634336">
        <w:t xml:space="preserve"> </w:t>
      </w:r>
      <w:r w:rsidR="00966874" w:rsidRPr="005062AE">
        <w:t xml:space="preserve">lower </w:t>
      </w:r>
      <w:r w:rsidR="006952E6">
        <w:t xml:space="preserve">overall </w:t>
      </w:r>
      <w:r w:rsidR="00966874" w:rsidRPr="005062AE">
        <w:t>mortality</w:t>
      </w:r>
      <w:r w:rsidR="006952E6">
        <w:t>,</w:t>
      </w:r>
      <w:r w:rsidR="00966874" w:rsidRPr="005062AE">
        <w:t xml:space="preserve"> compared to other countries</w:t>
      </w:r>
      <w:r w:rsidR="009E3C98">
        <w:t xml:space="preserve">. </w:t>
      </w:r>
    </w:p>
    <w:p w14:paraId="0E2D22B4" w14:textId="35E7503D" w:rsidR="001C4D6C" w:rsidRDefault="001C4D6C" w:rsidP="00F07AA6">
      <w:r>
        <w:t xml:space="preserve">In 2021–23, Australia recorded a decline in life expectancy at birth for the second </w:t>
      </w:r>
      <w:r w:rsidR="00DD336B">
        <w:t xml:space="preserve">consecutive </w:t>
      </w:r>
      <w:r>
        <w:t xml:space="preserve">year, </w:t>
      </w:r>
      <w:r w:rsidR="008923B6">
        <w:t xml:space="preserve">for </w:t>
      </w:r>
      <w:r>
        <w:t xml:space="preserve">the first time since the 1960s. </w:t>
      </w:r>
      <w:r w:rsidR="00486217" w:rsidRPr="000251EC">
        <w:t>Life expectancy decreased by 0.</w:t>
      </w:r>
      <w:r w:rsidR="00057D54">
        <w:t>2</w:t>
      </w:r>
      <w:r w:rsidR="00486217" w:rsidRPr="000251EC">
        <w:t xml:space="preserve"> years for </w:t>
      </w:r>
      <w:r w:rsidR="00266BFC">
        <w:t>men</w:t>
      </w:r>
      <w:r w:rsidR="00486217" w:rsidRPr="000251EC">
        <w:t xml:space="preserve"> and 0.</w:t>
      </w:r>
      <w:r w:rsidR="00057D54">
        <w:t xml:space="preserve">3 </w:t>
      </w:r>
      <w:r w:rsidR="00486217" w:rsidRPr="000251EC">
        <w:t xml:space="preserve">years for </w:t>
      </w:r>
      <w:r w:rsidR="00266BFC">
        <w:t>women</w:t>
      </w:r>
      <w:r w:rsidR="00AA446E">
        <w:t xml:space="preserve"> from the p</w:t>
      </w:r>
      <w:r w:rsidR="007D0B44">
        <w:t>eak in 2019–21</w:t>
      </w:r>
      <w:r w:rsidR="00486217" w:rsidRPr="000251EC">
        <w:t>, to be 81.1 years for men and 85.1 for women</w:t>
      </w:r>
      <w:r w:rsidR="00486217">
        <w:t xml:space="preserve">. </w:t>
      </w:r>
      <w:r>
        <w:t>Life expectancy at birth is projected to have reached its lowest point in 2022–23, before increasing and gradually returning to pre</w:t>
      </w:r>
      <w:r w:rsidR="00050D25">
        <w:noBreakHyphen/>
      </w:r>
      <w:r>
        <w:t>pandemic trends by 202</w:t>
      </w:r>
      <w:r w:rsidR="00FC3B12">
        <w:t>8</w:t>
      </w:r>
      <w:r>
        <w:t>–2</w:t>
      </w:r>
      <w:r w:rsidR="00FC3B12">
        <w:t>9</w:t>
      </w:r>
      <w:r>
        <w:t xml:space="preserve">. </w:t>
      </w:r>
    </w:p>
    <w:p w14:paraId="7498FDB9" w14:textId="4F33F23E" w:rsidR="001C4D6C" w:rsidRDefault="001C4D6C" w:rsidP="00F07AA6">
      <w:r>
        <w:t xml:space="preserve">Analysis by </w:t>
      </w:r>
      <w:r w:rsidR="004F32BB">
        <w:t xml:space="preserve">ANU and University of Melbourne </w:t>
      </w:r>
      <w:r>
        <w:t>demographers</w:t>
      </w:r>
      <w:r w:rsidR="006A4579">
        <w:t xml:space="preserve"> </w:t>
      </w:r>
      <w:r w:rsidR="006240BD">
        <w:t>shows</w:t>
      </w:r>
      <w:r>
        <w:t xml:space="preserve"> how life expectancy changed in each year of the pandemic.</w:t>
      </w:r>
      <w:r>
        <w:rPr>
          <w:rStyle w:val="FootnoteReference"/>
        </w:rPr>
        <w:footnoteReference w:id="51"/>
      </w:r>
      <w:r>
        <w:t xml:space="preserve"> In 2020, Australia</w:t>
      </w:r>
      <w:r w:rsidR="00050D25">
        <w:t>’</w:t>
      </w:r>
      <w:r>
        <w:t>s COVID</w:t>
      </w:r>
      <w:r w:rsidR="00050D25">
        <w:noBreakHyphen/>
      </w:r>
      <w:r>
        <w:t>19 lockdowns and travel restrictions, the seventh most stringent restrictions among 34 high</w:t>
      </w:r>
      <w:r w:rsidR="00050D25">
        <w:noBreakHyphen/>
      </w:r>
      <w:r>
        <w:t xml:space="preserve">income countries, caused the largest single year increase in life expectancy since the 1990s. In 2021, life expectancy declined from </w:t>
      </w:r>
      <w:r w:rsidR="00E95908">
        <w:t xml:space="preserve">its </w:t>
      </w:r>
      <w:r>
        <w:t xml:space="preserve">2020 peak, due to mortality displacement (delayed deaths). In other words, the lower mortality rates among older and more frail populations in 2020 were </w:t>
      </w:r>
      <w:r w:rsidR="00486217">
        <w:t xml:space="preserve">to some extent </w:t>
      </w:r>
      <w:r>
        <w:t>offset by higher mortality in 2021. In</w:t>
      </w:r>
      <w:r w:rsidR="000D449A">
        <w:t> </w:t>
      </w:r>
      <w:r>
        <w:t>2022, a sharp increase in COVID</w:t>
      </w:r>
      <w:r w:rsidR="00050D25">
        <w:noBreakHyphen/>
      </w:r>
      <w:r>
        <w:t>19</w:t>
      </w:r>
      <w:r w:rsidR="00050D25">
        <w:noBreakHyphen/>
      </w:r>
      <w:r>
        <w:t>related deaths led to the largest fall in life expectancy in decades.</w:t>
      </w:r>
    </w:p>
    <w:p w14:paraId="2C4A9419" w14:textId="77777777" w:rsidR="001C4D6C" w:rsidRPr="00207D66" w:rsidRDefault="001C4D6C" w:rsidP="00654915">
      <w:pPr>
        <w:pStyle w:val="ChartMainHeading"/>
      </w:pPr>
      <w:r w:rsidRPr="00207D66">
        <w:t>Historical and projected life expectancies</w:t>
      </w:r>
    </w:p>
    <w:p w14:paraId="44206085" w14:textId="09220FD1" w:rsidR="001C4D6C" w:rsidRDefault="00CE281A" w:rsidP="00997375">
      <w:pPr>
        <w:pStyle w:val="ChartGraphic"/>
      </w:pPr>
      <w:r w:rsidRPr="00CE281A">
        <w:rPr>
          <w:noProof/>
        </w:rPr>
        <w:drawing>
          <wp:inline distT="0" distB="0" distL="0" distR="0" wp14:anchorId="540BB544" wp14:editId="5962C8B9">
            <wp:extent cx="5582285" cy="2881630"/>
            <wp:effectExtent l="0" t="0" r="0" b="0"/>
            <wp:docPr id="1142125893" name="Picture 1142125893" descr="This is a line chart of male and female life expectancy at birth, with female life expectancy roughly 4 years higher than male life expectancy in 2022–23. There is a noticeable decline in life expectancy between 2019–20 and 2022–23 due to the impact of COVID-19. Life expectancy recovers to the historical trend of gradual improvement from 2028–29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5893" name="Picture 1142125893" descr="This is a line chart of male and female life expectancy at birth, with female life expectancy roughly 4 years higher than male life expectancy in 2022–23. There is a noticeable decline in life expectancy between 2019–20 and 2022–23 due to the impact of COVID-19. Life expectancy recovers to the historical trend of gradual improvement from 2028–29 onwar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2285" cy="2881630"/>
                    </a:xfrm>
                    <a:prstGeom prst="rect">
                      <a:avLst/>
                    </a:prstGeom>
                    <a:noFill/>
                    <a:ln>
                      <a:noFill/>
                    </a:ln>
                  </pic:spPr>
                </pic:pic>
              </a:graphicData>
            </a:graphic>
          </wp:inline>
        </w:drawing>
      </w:r>
    </w:p>
    <w:p w14:paraId="29239533" w14:textId="3661E09A" w:rsidR="001C4D6C" w:rsidRDefault="001C4D6C" w:rsidP="001C4D6C">
      <w:pPr>
        <w:pStyle w:val="Source"/>
      </w:pPr>
      <w:r w:rsidRPr="00207D66">
        <w:t xml:space="preserve">Source: </w:t>
      </w:r>
      <w:r>
        <w:tab/>
      </w:r>
      <w:r w:rsidRPr="00207D66">
        <w:t xml:space="preserve">ABS, </w:t>
      </w:r>
      <w:r w:rsidRPr="00997375">
        <w:rPr>
          <w:rStyle w:val="SubtleEmphasis"/>
        </w:rPr>
        <w:t>Life expectancy, 2021–2023</w:t>
      </w:r>
      <w:r w:rsidRPr="00207D66">
        <w:t>; Australian Government Actuary</w:t>
      </w:r>
      <w:r w:rsidR="007D4AC6">
        <w:t>;</w:t>
      </w:r>
      <w:r>
        <w:t xml:space="preserve"> and</w:t>
      </w:r>
      <w:r w:rsidRPr="00207D66">
        <w:t xml:space="preserve"> Centre for Population.</w:t>
      </w:r>
    </w:p>
    <w:p w14:paraId="0DC24034" w14:textId="77777777" w:rsidR="00997375" w:rsidRPr="00997375" w:rsidRDefault="00997375" w:rsidP="00997375">
      <w:pPr>
        <w:pStyle w:val="SingleParagraph"/>
        <w:rPr>
          <w:rStyle w:val="Hyperlink"/>
          <w:color w:val="auto"/>
        </w:rPr>
      </w:pPr>
    </w:p>
    <w:p w14:paraId="551F98EC" w14:textId="3B93CB3B" w:rsidR="001C4D6C" w:rsidRDefault="001C4D6C" w:rsidP="001C4D6C">
      <w:pPr>
        <w:pStyle w:val="Heading3Numbered"/>
        <w:ind w:left="357" w:hanging="357"/>
      </w:pPr>
      <w:r>
        <w:lastRenderedPageBreak/>
        <w:t>Causes of death</w:t>
      </w:r>
    </w:p>
    <w:p w14:paraId="35CB8115" w14:textId="54A0040F" w:rsidR="001C4D6C" w:rsidRDefault="001C4D6C" w:rsidP="001C4D6C">
      <w:pPr>
        <w:rPr>
          <w:lang w:val="en-GB"/>
        </w:rPr>
      </w:pPr>
      <w:r>
        <w:rPr>
          <w:lang w:val="en-GB"/>
        </w:rPr>
        <w:t>In the 2023 calendar year, t</w:t>
      </w:r>
      <w:r w:rsidRPr="002901E5">
        <w:rPr>
          <w:lang w:val="en-GB"/>
        </w:rPr>
        <w:t xml:space="preserve">he </w:t>
      </w:r>
      <w:r w:rsidRPr="00236BEE">
        <w:rPr>
          <w:lang w:val="en-GB"/>
        </w:rPr>
        <w:t xml:space="preserve">5 leading causes of death </w:t>
      </w:r>
      <w:r w:rsidR="0053034D" w:rsidRPr="0053034D">
        <w:rPr>
          <w:lang w:val="en-GB"/>
        </w:rPr>
        <w:t>accounted for one</w:t>
      </w:r>
      <w:r w:rsidR="00050D25">
        <w:rPr>
          <w:lang w:val="en-GB"/>
        </w:rPr>
        <w:noBreakHyphen/>
      </w:r>
      <w:r w:rsidR="0053034D" w:rsidRPr="0053034D">
        <w:rPr>
          <w:lang w:val="en-GB"/>
        </w:rPr>
        <w:t>third of all registered deaths</w:t>
      </w:r>
      <w:r w:rsidR="0053034D">
        <w:rPr>
          <w:lang w:val="en-GB"/>
        </w:rPr>
        <w:t>. These</w:t>
      </w:r>
      <w:r w:rsidR="0053034D" w:rsidRPr="0053034D">
        <w:rPr>
          <w:lang w:val="en-GB"/>
        </w:rPr>
        <w:t xml:space="preserve"> </w:t>
      </w:r>
      <w:r>
        <w:rPr>
          <w:lang w:val="en-GB"/>
        </w:rPr>
        <w:t xml:space="preserve">in order </w:t>
      </w:r>
      <w:proofErr w:type="gramStart"/>
      <w:r w:rsidR="0028442F">
        <w:rPr>
          <w:lang w:val="en-GB"/>
        </w:rPr>
        <w:t>were:</w:t>
      </w:r>
      <w:proofErr w:type="gramEnd"/>
      <w:r w:rsidR="00F640A8">
        <w:rPr>
          <w:lang w:val="en-GB"/>
        </w:rPr>
        <w:t xml:space="preserve"> </w:t>
      </w:r>
      <w:r>
        <w:t xml:space="preserve">heart disease due to a lack of blood and oxygen (ischaemic heart disease or IHD), </w:t>
      </w:r>
      <w:r w:rsidRPr="0028442F">
        <w:rPr>
          <w:lang w:val="en-GB"/>
        </w:rPr>
        <w:t>dementia (including Alzheimer</w:t>
      </w:r>
      <w:r w:rsidR="00050D25">
        <w:rPr>
          <w:lang w:val="en-GB"/>
        </w:rPr>
        <w:t>’</w:t>
      </w:r>
      <w:r w:rsidRPr="0028442F">
        <w:rPr>
          <w:lang w:val="en-GB"/>
        </w:rPr>
        <w:t xml:space="preserve">s disease), conditions that affect blood flow to the brain (cerebrovascular diseases), lung cancer, and chronic lower respiratory diseases. </w:t>
      </w:r>
      <w:r w:rsidRPr="00D440DD">
        <w:rPr>
          <w:lang w:val="en-GB"/>
        </w:rPr>
        <w:t xml:space="preserve">Over the past 50 years, </w:t>
      </w:r>
      <w:r>
        <w:rPr>
          <w:lang w:val="en-GB"/>
        </w:rPr>
        <w:t xml:space="preserve">IHD </w:t>
      </w:r>
      <w:r w:rsidRPr="00D440DD">
        <w:rPr>
          <w:lang w:val="en-GB"/>
        </w:rPr>
        <w:t xml:space="preserve">mortality has </w:t>
      </w:r>
      <w:r>
        <w:rPr>
          <w:lang w:val="en-GB"/>
        </w:rPr>
        <w:t>fallen</w:t>
      </w:r>
      <w:r w:rsidRPr="00D440DD">
        <w:rPr>
          <w:lang w:val="en-GB"/>
        </w:rPr>
        <w:t xml:space="preserve"> by nearly 90</w:t>
      </w:r>
      <w:r w:rsidR="00FF207F">
        <w:rPr>
          <w:lang w:val="en-GB"/>
        </w:rPr>
        <w:t> per cent</w:t>
      </w:r>
      <w:r>
        <w:rPr>
          <w:lang w:val="en-GB"/>
        </w:rPr>
        <w:t xml:space="preserve"> with i</w:t>
      </w:r>
      <w:r w:rsidRPr="00D440DD">
        <w:rPr>
          <w:lang w:val="en-GB"/>
        </w:rPr>
        <w:t>mproved health care and medical intervention</w:t>
      </w:r>
      <w:r>
        <w:rPr>
          <w:lang w:val="en-GB"/>
        </w:rPr>
        <w:t xml:space="preserve">. Meanwhile, </w:t>
      </w:r>
      <w:r w:rsidRPr="00D440DD">
        <w:rPr>
          <w:lang w:val="en-GB"/>
        </w:rPr>
        <w:t>dementia mortality has increased by over 800</w:t>
      </w:r>
      <w:r w:rsidR="00FF207F">
        <w:rPr>
          <w:lang w:val="en-GB"/>
        </w:rPr>
        <w:t> per cent</w:t>
      </w:r>
      <w:r>
        <w:rPr>
          <w:lang w:val="en-GB"/>
        </w:rPr>
        <w:t xml:space="preserve">, due </w:t>
      </w:r>
      <w:r w:rsidR="00F2511A">
        <w:rPr>
          <w:lang w:val="en-GB"/>
        </w:rPr>
        <w:t xml:space="preserve">in part </w:t>
      </w:r>
      <w:r>
        <w:rPr>
          <w:lang w:val="en-GB"/>
        </w:rPr>
        <w:t xml:space="preserve">to </w:t>
      </w:r>
      <w:r w:rsidRPr="00D440DD">
        <w:rPr>
          <w:lang w:val="en-GB"/>
        </w:rPr>
        <w:t xml:space="preserve">population </w:t>
      </w:r>
      <w:r>
        <w:rPr>
          <w:lang w:val="en-GB"/>
        </w:rPr>
        <w:t>ageing</w:t>
      </w:r>
      <w:r w:rsidRPr="00D440DD">
        <w:rPr>
          <w:lang w:val="en-GB"/>
        </w:rPr>
        <w:t xml:space="preserve">. If these trends continue, dementia </w:t>
      </w:r>
      <w:r>
        <w:rPr>
          <w:lang w:val="en-GB"/>
        </w:rPr>
        <w:t>will</w:t>
      </w:r>
      <w:r w:rsidRPr="00D440DD">
        <w:rPr>
          <w:lang w:val="en-GB"/>
        </w:rPr>
        <w:t xml:space="preserve"> become the leading cause of death </w:t>
      </w:r>
      <w:r w:rsidRPr="00D440DD" w:rsidDel="00486217">
        <w:rPr>
          <w:lang w:val="en-GB"/>
        </w:rPr>
        <w:t xml:space="preserve">in </w:t>
      </w:r>
      <w:r w:rsidRPr="00D440DD">
        <w:rPr>
          <w:lang w:val="en-GB"/>
        </w:rPr>
        <w:t>coming years.</w:t>
      </w:r>
    </w:p>
    <w:p w14:paraId="5B23D6FF" w14:textId="704462AD" w:rsidR="001C4D6C" w:rsidRPr="00333759" w:rsidRDefault="001C4D6C" w:rsidP="001C4D6C">
      <w:r w:rsidRPr="00236BEE">
        <w:rPr>
          <w:rFonts w:cstheme="minorHAnsi"/>
          <w:color w:val="000000"/>
        </w:rPr>
        <w:t>COVID</w:t>
      </w:r>
      <w:r w:rsidR="00050D25">
        <w:rPr>
          <w:rFonts w:cstheme="minorHAnsi"/>
          <w:color w:val="000000"/>
        </w:rPr>
        <w:noBreakHyphen/>
      </w:r>
      <w:r w:rsidRPr="00236BEE">
        <w:rPr>
          <w:rFonts w:cstheme="minorHAnsi"/>
          <w:color w:val="000000"/>
        </w:rPr>
        <w:t>19 mortality was much lower in 2023 than 2022, falling from the third to the ninth leading cause of death over this period.</w:t>
      </w:r>
      <w:r>
        <w:rPr>
          <w:rFonts w:cstheme="minorHAnsi"/>
          <w:color w:val="000000"/>
        </w:rPr>
        <w:t xml:space="preserve"> </w:t>
      </w:r>
      <w:r w:rsidRPr="002558B6">
        <w:rPr>
          <w:rFonts w:cstheme="minorHAnsi"/>
          <w:color w:val="000000"/>
        </w:rPr>
        <w:t xml:space="preserve">This coincides with the announcement </w:t>
      </w:r>
      <w:r w:rsidR="00445A7B">
        <w:rPr>
          <w:rFonts w:cstheme="minorHAnsi"/>
          <w:color w:val="000000"/>
        </w:rPr>
        <w:t>by</w:t>
      </w:r>
      <w:r w:rsidR="00445A7B" w:rsidRPr="002558B6">
        <w:rPr>
          <w:rFonts w:cstheme="minorHAnsi"/>
          <w:color w:val="000000"/>
        </w:rPr>
        <w:t xml:space="preserve"> </w:t>
      </w:r>
      <w:r w:rsidRPr="002558B6">
        <w:rPr>
          <w:rFonts w:cstheme="minorHAnsi"/>
          <w:color w:val="000000"/>
        </w:rPr>
        <w:t xml:space="preserve">the </w:t>
      </w:r>
      <w:r w:rsidRPr="009C406F">
        <w:t>World Health Organization</w:t>
      </w:r>
      <w:r w:rsidR="0099100E">
        <w:t xml:space="preserve"> (WHO)</w:t>
      </w:r>
      <w:r w:rsidRPr="009C406F">
        <w:t xml:space="preserve"> </w:t>
      </w:r>
      <w:r w:rsidRPr="002558B6">
        <w:rPr>
          <w:rFonts w:cstheme="minorHAnsi"/>
          <w:color w:val="000000"/>
        </w:rPr>
        <w:t>of an end to the emergency phase of the COVID</w:t>
      </w:r>
      <w:r w:rsidR="00050D25">
        <w:rPr>
          <w:rFonts w:cstheme="minorHAnsi"/>
          <w:color w:val="000000"/>
        </w:rPr>
        <w:noBreakHyphen/>
      </w:r>
      <w:r w:rsidRPr="002558B6">
        <w:rPr>
          <w:rFonts w:cstheme="minorHAnsi"/>
          <w:color w:val="000000"/>
        </w:rPr>
        <w:t>19 pandemic in 2023.</w:t>
      </w:r>
      <w:r w:rsidRPr="00236BEE" w:rsidDel="00650438">
        <w:rPr>
          <w:rFonts w:cstheme="minorHAnsi"/>
          <w:color w:val="000000"/>
        </w:rPr>
        <w:t xml:space="preserve"> </w:t>
      </w:r>
    </w:p>
    <w:p w14:paraId="7FD6ABA4" w14:textId="738085CD" w:rsidR="00297560" w:rsidRDefault="00445A7B" w:rsidP="001C4D6C">
      <w:pPr>
        <w:rPr>
          <w:rFonts w:cstheme="minorHAnsi"/>
          <w:color w:val="000000"/>
        </w:rPr>
      </w:pPr>
      <w:r>
        <w:rPr>
          <w:rFonts w:cstheme="minorHAnsi"/>
          <w:color w:val="000000"/>
        </w:rPr>
        <w:t>There were</w:t>
      </w:r>
      <w:r w:rsidR="001C4D6C">
        <w:rPr>
          <w:rFonts w:cstheme="minorHAnsi"/>
          <w:color w:val="000000"/>
        </w:rPr>
        <w:t xml:space="preserve"> 5,300 </w:t>
      </w:r>
      <w:r w:rsidR="00CA7A83">
        <w:rPr>
          <w:rFonts w:cstheme="minorHAnsi"/>
          <w:color w:val="000000"/>
        </w:rPr>
        <w:t xml:space="preserve">deaths of </w:t>
      </w:r>
      <w:r w:rsidR="00FF207F">
        <w:rPr>
          <w:rFonts w:cstheme="minorHAnsi"/>
          <w:color w:val="000000"/>
        </w:rPr>
        <w:t>First Nations</w:t>
      </w:r>
      <w:r w:rsidR="001C4D6C">
        <w:rPr>
          <w:rFonts w:cstheme="minorHAnsi"/>
          <w:color w:val="000000"/>
        </w:rPr>
        <w:t xml:space="preserve"> </w:t>
      </w:r>
      <w:r w:rsidR="00CA7A83">
        <w:rPr>
          <w:rFonts w:cstheme="minorHAnsi"/>
          <w:color w:val="000000"/>
        </w:rPr>
        <w:t>people</w:t>
      </w:r>
      <w:r w:rsidR="001C4D6C">
        <w:rPr>
          <w:rFonts w:cstheme="minorHAnsi"/>
          <w:color w:val="000000"/>
        </w:rPr>
        <w:t xml:space="preserve"> </w:t>
      </w:r>
      <w:r>
        <w:rPr>
          <w:rFonts w:cstheme="minorHAnsi"/>
          <w:color w:val="000000"/>
        </w:rPr>
        <w:t>in 2023</w:t>
      </w:r>
      <w:r w:rsidR="001C4D6C">
        <w:rPr>
          <w:rFonts w:cstheme="minorHAnsi"/>
          <w:color w:val="000000"/>
        </w:rPr>
        <w:t>.</w:t>
      </w:r>
      <w:r w:rsidR="002D7392">
        <w:rPr>
          <w:rFonts w:cstheme="minorHAnsi"/>
          <w:color w:val="000000"/>
        </w:rPr>
        <w:t xml:space="preserve"> </w:t>
      </w:r>
      <w:r w:rsidR="00293865">
        <w:rPr>
          <w:rFonts w:cstheme="minorHAnsi"/>
          <w:color w:val="000000"/>
        </w:rPr>
        <w:t>A</w:t>
      </w:r>
      <w:r w:rsidR="001C4D6C">
        <w:rPr>
          <w:rFonts w:cstheme="minorHAnsi"/>
          <w:color w:val="000000"/>
        </w:rPr>
        <w:t xml:space="preserve"> larger share of </w:t>
      </w:r>
      <w:r w:rsidR="00CA7A83">
        <w:rPr>
          <w:rFonts w:cstheme="minorHAnsi"/>
          <w:color w:val="000000"/>
        </w:rPr>
        <w:t xml:space="preserve">deaths of </w:t>
      </w:r>
      <w:r w:rsidR="00FF207F">
        <w:rPr>
          <w:rFonts w:cstheme="minorHAnsi"/>
          <w:color w:val="000000"/>
        </w:rPr>
        <w:t>First Nations</w:t>
      </w:r>
      <w:r w:rsidR="001C4D6C">
        <w:rPr>
          <w:rFonts w:cstheme="minorHAnsi"/>
          <w:color w:val="000000"/>
        </w:rPr>
        <w:t xml:space="preserve"> </w:t>
      </w:r>
      <w:r w:rsidR="00CA7A83">
        <w:rPr>
          <w:rFonts w:cstheme="minorHAnsi"/>
          <w:color w:val="000000"/>
        </w:rPr>
        <w:t>people</w:t>
      </w:r>
      <w:r w:rsidR="001C4D6C">
        <w:rPr>
          <w:rFonts w:cstheme="minorHAnsi"/>
          <w:color w:val="000000"/>
        </w:rPr>
        <w:t xml:space="preserve"> w</w:t>
      </w:r>
      <w:r w:rsidR="002102CA">
        <w:rPr>
          <w:rFonts w:cstheme="minorHAnsi"/>
          <w:color w:val="000000"/>
        </w:rPr>
        <w:t>ere</w:t>
      </w:r>
      <w:r w:rsidR="001C4D6C">
        <w:rPr>
          <w:rFonts w:cstheme="minorHAnsi"/>
          <w:color w:val="000000"/>
        </w:rPr>
        <w:t xml:space="preserve"> among younger</w:t>
      </w:r>
      <w:r w:rsidR="001C4D6C" w:rsidRPr="00A6483D">
        <w:rPr>
          <w:rFonts w:cstheme="minorHAnsi"/>
          <w:color w:val="000000"/>
        </w:rPr>
        <w:t xml:space="preserve"> people</w:t>
      </w:r>
      <w:r w:rsidR="000310F3">
        <w:rPr>
          <w:rFonts w:cstheme="minorHAnsi"/>
          <w:color w:val="000000"/>
        </w:rPr>
        <w:t xml:space="preserve"> compared with deaths of non</w:t>
      </w:r>
      <w:r w:rsidR="00050D25">
        <w:rPr>
          <w:rFonts w:cstheme="minorHAnsi"/>
          <w:color w:val="000000"/>
        </w:rPr>
        <w:noBreakHyphen/>
      </w:r>
      <w:r w:rsidR="000310F3">
        <w:rPr>
          <w:rFonts w:cstheme="minorHAnsi"/>
          <w:color w:val="000000"/>
        </w:rPr>
        <w:t>Indigenous Australians</w:t>
      </w:r>
      <w:r w:rsidR="00DE2B11">
        <w:rPr>
          <w:rFonts w:cstheme="minorHAnsi"/>
          <w:color w:val="000000"/>
        </w:rPr>
        <w:t>,</w:t>
      </w:r>
      <w:r w:rsidR="001C4D6C" w:rsidRPr="00A6483D">
        <w:rPr>
          <w:rFonts w:cstheme="minorHAnsi"/>
          <w:color w:val="000000"/>
        </w:rPr>
        <w:t xml:space="preserve"> reflecting </w:t>
      </w:r>
      <w:r w:rsidR="001C4D6C">
        <w:rPr>
          <w:rFonts w:cstheme="minorHAnsi"/>
          <w:color w:val="000000"/>
        </w:rPr>
        <w:t>higher mortality rates and a younger age profile</w:t>
      </w:r>
      <w:r w:rsidR="001C4D6C" w:rsidRPr="00A6483D">
        <w:rPr>
          <w:rFonts w:cstheme="minorHAnsi"/>
          <w:color w:val="000000"/>
        </w:rPr>
        <w:t>.</w:t>
      </w:r>
      <w:r w:rsidR="001C4D6C">
        <w:rPr>
          <w:rFonts w:cstheme="minorHAnsi"/>
          <w:color w:val="000000"/>
        </w:rPr>
        <w:t xml:space="preserve"> </w:t>
      </w:r>
    </w:p>
    <w:p w14:paraId="42350D13" w14:textId="5349F4CC" w:rsidR="001C4D6C" w:rsidRDefault="001C4D6C" w:rsidP="001C4D6C">
      <w:r w:rsidRPr="001A448C">
        <w:rPr>
          <w:rFonts w:cstheme="minorHAnsi"/>
          <w:color w:val="000000"/>
        </w:rPr>
        <w:t xml:space="preserve">The most common causes of death differed for </w:t>
      </w:r>
      <w:r w:rsidR="00FF207F">
        <w:rPr>
          <w:rFonts w:cstheme="minorHAnsi"/>
          <w:color w:val="000000"/>
        </w:rPr>
        <w:t>First Nations</w:t>
      </w:r>
      <w:r w:rsidRPr="001A448C">
        <w:rPr>
          <w:rFonts w:cstheme="minorHAnsi"/>
          <w:color w:val="000000"/>
        </w:rPr>
        <w:t xml:space="preserve"> people</w:t>
      </w:r>
      <w:r>
        <w:rPr>
          <w:rFonts w:cstheme="minorHAnsi"/>
          <w:color w:val="000000"/>
        </w:rPr>
        <w:t>, compared to the broader population</w:t>
      </w:r>
      <w:r w:rsidRPr="001A448C">
        <w:rPr>
          <w:rFonts w:cstheme="minorHAnsi"/>
          <w:color w:val="000000"/>
        </w:rPr>
        <w:t xml:space="preserve">. </w:t>
      </w:r>
      <w:r w:rsidR="00CF17AB">
        <w:rPr>
          <w:rFonts w:cstheme="minorHAnsi"/>
          <w:color w:val="000000"/>
        </w:rPr>
        <w:t>I</w:t>
      </w:r>
      <w:r w:rsidR="00CF17AB" w:rsidRPr="004D3EFD">
        <w:rPr>
          <w:rFonts w:cstheme="minorHAnsi"/>
          <w:color w:val="000000"/>
        </w:rPr>
        <w:t>n 2023</w:t>
      </w:r>
      <w:r w:rsidR="00CF17AB">
        <w:rPr>
          <w:rFonts w:cstheme="minorHAnsi"/>
          <w:color w:val="000000"/>
        </w:rPr>
        <w:t>,</w:t>
      </w:r>
      <w:r w:rsidR="00CF17AB" w:rsidRPr="004D3EFD">
        <w:rPr>
          <w:rFonts w:cstheme="minorHAnsi"/>
          <w:color w:val="000000"/>
        </w:rPr>
        <w:t xml:space="preserve"> </w:t>
      </w:r>
      <w:r w:rsidR="00CF17AB">
        <w:rPr>
          <w:rFonts w:cstheme="minorHAnsi"/>
          <w:color w:val="000000"/>
        </w:rPr>
        <w:t>t</w:t>
      </w:r>
      <w:r w:rsidRPr="00726A9A">
        <w:rPr>
          <w:rFonts w:cstheme="minorHAnsi"/>
          <w:color w:val="000000"/>
        </w:rPr>
        <w:t xml:space="preserve">he </w:t>
      </w:r>
      <w:r>
        <w:rPr>
          <w:rFonts w:cstheme="minorHAnsi"/>
          <w:color w:val="000000"/>
        </w:rPr>
        <w:t>5</w:t>
      </w:r>
      <w:r w:rsidRPr="00726A9A">
        <w:rPr>
          <w:rFonts w:cstheme="minorHAnsi"/>
          <w:color w:val="000000"/>
        </w:rPr>
        <w:t xml:space="preserve"> leading causes of death for </w:t>
      </w:r>
      <w:r w:rsidR="00FF207F">
        <w:rPr>
          <w:rFonts w:cstheme="minorHAnsi"/>
          <w:color w:val="000000"/>
        </w:rPr>
        <w:t>First Nations</w:t>
      </w:r>
      <w:r w:rsidRPr="00726A9A">
        <w:rPr>
          <w:rFonts w:cstheme="minorHAnsi"/>
          <w:color w:val="000000"/>
        </w:rPr>
        <w:t xml:space="preserve"> </w:t>
      </w:r>
      <w:r w:rsidR="00F53B82">
        <w:rPr>
          <w:rFonts w:cstheme="minorHAnsi"/>
          <w:color w:val="000000"/>
        </w:rPr>
        <w:t>people</w:t>
      </w:r>
      <w:r w:rsidR="00297560" w:rsidRPr="00726A9A">
        <w:rPr>
          <w:rFonts w:cstheme="minorHAnsi"/>
          <w:color w:val="000000"/>
        </w:rPr>
        <w:t xml:space="preserve"> </w:t>
      </w:r>
      <w:r w:rsidRPr="00726A9A">
        <w:rPr>
          <w:rFonts w:cstheme="minorHAnsi"/>
          <w:color w:val="000000"/>
        </w:rPr>
        <w:t>were (in order) IHD, chronic lower respiratory diseases, diabetes, lung cancer, and intentional self</w:t>
      </w:r>
      <w:r w:rsidR="00050D25">
        <w:rPr>
          <w:rFonts w:cstheme="minorHAnsi"/>
          <w:color w:val="000000"/>
        </w:rPr>
        <w:noBreakHyphen/>
      </w:r>
      <w:r w:rsidRPr="00726A9A">
        <w:rPr>
          <w:rFonts w:cstheme="minorHAnsi"/>
          <w:color w:val="000000"/>
        </w:rPr>
        <w:t>harm (suicide)</w:t>
      </w:r>
      <w:r>
        <w:rPr>
          <w:rFonts w:cstheme="minorHAnsi"/>
          <w:color w:val="000000"/>
        </w:rPr>
        <w:t>.</w:t>
      </w:r>
      <w:r w:rsidR="000E0DD1">
        <w:rPr>
          <w:rStyle w:val="FootnoteReference"/>
          <w:rFonts w:cstheme="minorHAnsi"/>
          <w:color w:val="000000"/>
        </w:rPr>
        <w:footnoteReference w:id="52"/>
      </w:r>
      <w:r w:rsidR="000E0DD1" w:rsidRPr="001A448C">
        <w:rPr>
          <w:rFonts w:cstheme="minorHAnsi"/>
          <w:color w:val="000000"/>
        </w:rPr>
        <w:t xml:space="preserve"> </w:t>
      </w:r>
      <w:r w:rsidR="000E0DD1">
        <w:rPr>
          <w:rFonts w:cstheme="minorHAnsi"/>
          <w:color w:val="000000"/>
        </w:rPr>
        <w:t>T</w:t>
      </w:r>
      <w:r w:rsidR="00AC6B7E">
        <w:rPr>
          <w:rFonts w:cstheme="minorHAnsi"/>
          <w:color w:val="000000"/>
        </w:rPr>
        <w:t>he</w:t>
      </w:r>
      <w:r w:rsidR="000E0DD1">
        <w:rPr>
          <w:rFonts w:cstheme="minorHAnsi"/>
          <w:color w:val="000000"/>
        </w:rPr>
        <w:t>se</w:t>
      </w:r>
      <w:r w:rsidR="004A0299">
        <w:rPr>
          <w:rFonts w:cstheme="minorHAnsi"/>
          <w:color w:val="000000"/>
        </w:rPr>
        <w:t xml:space="preserve"> causes </w:t>
      </w:r>
      <w:r w:rsidR="009223AE">
        <w:rPr>
          <w:rFonts w:cstheme="minorHAnsi"/>
          <w:color w:val="000000"/>
        </w:rPr>
        <w:t xml:space="preserve">of </w:t>
      </w:r>
      <w:r w:rsidR="00BD5AC8">
        <w:rPr>
          <w:rFonts w:cstheme="minorHAnsi"/>
          <w:color w:val="000000"/>
        </w:rPr>
        <w:t xml:space="preserve">death also </w:t>
      </w:r>
      <w:r w:rsidR="00AC6B7E">
        <w:rPr>
          <w:rFonts w:cstheme="minorHAnsi"/>
          <w:color w:val="000000"/>
        </w:rPr>
        <w:t>had the largest</w:t>
      </w:r>
      <w:r w:rsidR="009223AE">
        <w:rPr>
          <w:rFonts w:cstheme="minorHAnsi"/>
          <w:color w:val="000000"/>
        </w:rPr>
        <w:t xml:space="preserve"> </w:t>
      </w:r>
      <w:r w:rsidR="000929AC">
        <w:rPr>
          <w:rFonts w:cstheme="minorHAnsi"/>
          <w:color w:val="000000"/>
        </w:rPr>
        <w:t>differences</w:t>
      </w:r>
      <w:r w:rsidR="009223AE">
        <w:rPr>
          <w:rFonts w:cstheme="minorHAnsi"/>
          <w:color w:val="000000"/>
        </w:rPr>
        <w:t xml:space="preserve"> in </w:t>
      </w:r>
      <w:r w:rsidR="00BD495C">
        <w:rPr>
          <w:rFonts w:cstheme="minorHAnsi"/>
          <w:color w:val="000000"/>
        </w:rPr>
        <w:t>age</w:t>
      </w:r>
      <w:r w:rsidR="00050D25">
        <w:rPr>
          <w:rFonts w:cstheme="minorHAnsi"/>
          <w:color w:val="000000"/>
        </w:rPr>
        <w:noBreakHyphen/>
      </w:r>
      <w:r w:rsidR="00BD495C">
        <w:rPr>
          <w:rFonts w:cstheme="minorHAnsi"/>
          <w:color w:val="000000"/>
        </w:rPr>
        <w:t xml:space="preserve">standardised </w:t>
      </w:r>
      <w:r w:rsidR="009223AE">
        <w:rPr>
          <w:rFonts w:cstheme="minorHAnsi"/>
          <w:color w:val="000000"/>
        </w:rPr>
        <w:t>death rates between First Nations and</w:t>
      </w:r>
      <w:r w:rsidR="00BD5AC8">
        <w:rPr>
          <w:rFonts w:cstheme="minorHAnsi"/>
          <w:color w:val="000000"/>
        </w:rPr>
        <w:t xml:space="preserve"> </w:t>
      </w:r>
      <w:r w:rsidR="006529C7">
        <w:rPr>
          <w:rFonts w:cstheme="minorHAnsi"/>
          <w:color w:val="000000"/>
        </w:rPr>
        <w:t>non</w:t>
      </w:r>
      <w:r w:rsidR="00050D25">
        <w:rPr>
          <w:rFonts w:cstheme="minorHAnsi"/>
          <w:color w:val="000000"/>
        </w:rPr>
        <w:noBreakHyphen/>
      </w:r>
      <w:r w:rsidR="000929AC">
        <w:rPr>
          <w:rFonts w:cstheme="minorHAnsi"/>
          <w:color w:val="000000"/>
        </w:rPr>
        <w:t>Indigenous</w:t>
      </w:r>
      <w:r w:rsidR="006529C7">
        <w:rPr>
          <w:rFonts w:cstheme="minorHAnsi"/>
          <w:color w:val="000000"/>
        </w:rPr>
        <w:t xml:space="preserve"> Australians. </w:t>
      </w:r>
      <w:bookmarkStart w:id="127" w:name="_Toc151994721"/>
      <w:bookmarkEnd w:id="125"/>
      <w:bookmarkEnd w:id="126"/>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1C4D6C" w:rsidRPr="003B6850" w14:paraId="7B79C37A" w14:textId="77777777" w:rsidTr="0095584C">
        <w:trPr>
          <w:trHeight w:val="293"/>
        </w:trPr>
        <w:tc>
          <w:tcPr>
            <w:tcW w:w="9072" w:type="dxa"/>
            <w:shd w:val="clear" w:color="auto" w:fill="auto"/>
          </w:tcPr>
          <w:p w14:paraId="08436B25" w14:textId="64DDD9DA" w:rsidR="001C4D6C" w:rsidRPr="00645008" w:rsidRDefault="001C4D6C" w:rsidP="00916EF2">
            <w:pPr>
              <w:pStyle w:val="BoxHeading"/>
            </w:pPr>
            <w:bookmarkStart w:id="128" w:name="_Ref179525172"/>
            <w:bookmarkStart w:id="129" w:name="_Ref184716264"/>
            <w:r w:rsidRPr="00205172">
              <w:lastRenderedPageBreak/>
              <w:t>Excess mortality during and after the pandemic</w:t>
            </w:r>
            <w:bookmarkEnd w:id="128"/>
            <w:r>
              <w:rPr>
                <w:rStyle w:val="FootnoteReference"/>
              </w:rPr>
              <w:footnoteReference w:id="53"/>
            </w:r>
            <w:bookmarkEnd w:id="129"/>
          </w:p>
          <w:p w14:paraId="1D722ABB" w14:textId="3A92F2E3" w:rsidR="001C4D6C" w:rsidRDefault="001C4D6C" w:rsidP="00916EF2">
            <w:pPr>
              <w:pStyle w:val="BoxText"/>
            </w:pPr>
            <w:r w:rsidRPr="00997375">
              <w:rPr>
                <w:rStyle w:val="SubtleEmphasis"/>
              </w:rPr>
              <w:t>Excess mortality</w:t>
            </w:r>
            <w:r>
              <w:t xml:space="preserve"> is</w:t>
            </w:r>
            <w:r w:rsidRPr="003B15A8">
              <w:t xml:space="preserve"> the difference </w:t>
            </w:r>
            <w:r w:rsidRPr="006771AB">
              <w:t xml:space="preserve">between </w:t>
            </w:r>
            <w:r>
              <w:t>actual</w:t>
            </w:r>
            <w:r w:rsidRPr="006771AB">
              <w:t xml:space="preserve"> </w:t>
            </w:r>
            <w:r>
              <w:t>and expected</w:t>
            </w:r>
            <w:r w:rsidRPr="006771AB">
              <w:t xml:space="preserve"> deaths </w:t>
            </w:r>
            <w:proofErr w:type="gramStart"/>
            <w:r w:rsidRPr="006771AB">
              <w:t>in a given</w:t>
            </w:r>
            <w:proofErr w:type="gramEnd"/>
            <w:r w:rsidRPr="006771AB">
              <w:t xml:space="preserve"> period. </w:t>
            </w:r>
            <w:r>
              <w:t xml:space="preserve">It measures whether deaths are above their normal or trend level. Expected deaths </w:t>
            </w:r>
            <w:r w:rsidR="000C2A8A">
              <w:t>are</w:t>
            </w:r>
            <w:r>
              <w:t xml:space="preserve"> the number of deaths that would be anticipated under </w:t>
            </w:r>
            <w:r w:rsidR="00050D25">
              <w:t>‘</w:t>
            </w:r>
            <w:r>
              <w:t>normal</w:t>
            </w:r>
            <w:r w:rsidR="00050D25">
              <w:t>’</w:t>
            </w:r>
            <w:r>
              <w:t xml:space="preserve"> conditions (for example, in the absence of the COVID</w:t>
            </w:r>
            <w:r w:rsidR="00050D25">
              <w:noBreakHyphen/>
            </w:r>
            <w:r>
              <w:t>19 pandemic). The ABS</w:t>
            </w:r>
            <w:r w:rsidR="00050D25">
              <w:t>’</w:t>
            </w:r>
            <w:r>
              <w:t>s methodology for estimating excess deaths accounts for changes in the size and age profile of population, as well as seasonal factors.</w:t>
            </w:r>
          </w:p>
          <w:p w14:paraId="46E244B0" w14:textId="78B16A55" w:rsidR="001C4D6C" w:rsidRPr="009C406F" w:rsidRDefault="001C4D6C" w:rsidP="00916EF2">
            <w:pPr>
              <w:pStyle w:val="BoxText"/>
            </w:pPr>
            <w:r w:rsidRPr="009C406F">
              <w:t xml:space="preserve">The </w:t>
            </w:r>
            <w:r>
              <w:t xml:space="preserve">WHO </w:t>
            </w:r>
            <w:r w:rsidRPr="009C406F">
              <w:t>declared COVID</w:t>
            </w:r>
            <w:r w:rsidR="00050D25">
              <w:noBreakHyphen/>
            </w:r>
            <w:r w:rsidRPr="009C406F">
              <w:t>19</w:t>
            </w:r>
            <w:r>
              <w:t xml:space="preserve"> </w:t>
            </w:r>
            <w:r w:rsidRPr="009C406F">
              <w:t>a worldwide pandemic on 11 March 2020.</w:t>
            </w:r>
            <w:r>
              <w:t xml:space="preserve"> </w:t>
            </w:r>
            <w:r w:rsidRPr="009C406F">
              <w:t>During the first</w:t>
            </w:r>
            <w:r w:rsidRPr="009C406F" w:rsidDel="002067B2">
              <w:t xml:space="preserve"> </w:t>
            </w:r>
            <w:r w:rsidR="002067B2">
              <w:t>2</w:t>
            </w:r>
            <w:r w:rsidR="002067B2" w:rsidRPr="009C406F">
              <w:t xml:space="preserve"> </w:t>
            </w:r>
            <w:r w:rsidRPr="009C406F">
              <w:t xml:space="preserve">years of the pandemic, deaths </w:t>
            </w:r>
            <w:r w:rsidR="0031447F">
              <w:t xml:space="preserve">in Australia </w:t>
            </w:r>
            <w:r w:rsidRPr="009C406F">
              <w:t>were 3.1</w:t>
            </w:r>
            <w:r w:rsidR="00FF207F">
              <w:t> per cent</w:t>
            </w:r>
            <w:r w:rsidRPr="009C406F">
              <w:t xml:space="preserve"> (5,</w:t>
            </w:r>
            <w:r w:rsidR="0041748C">
              <w:t>2</w:t>
            </w:r>
            <w:r w:rsidR="0041748C" w:rsidRPr="009C406F">
              <w:t>00</w:t>
            </w:r>
            <w:r w:rsidRPr="009C406F">
              <w:t>) lower than expected in 2020 and were 1.6</w:t>
            </w:r>
            <w:r w:rsidR="00FF207F">
              <w:t> per cent</w:t>
            </w:r>
            <w:r w:rsidRPr="009C406F">
              <w:t xml:space="preserve"> (2,800) higher than expected in 2021. This period was marked by lockdowns and border restrictions, </w:t>
            </w:r>
            <w:r>
              <w:t>which</w:t>
            </w:r>
            <w:r w:rsidRPr="009C406F">
              <w:t xml:space="preserve"> limited </w:t>
            </w:r>
            <w:r>
              <w:t xml:space="preserve">the </w:t>
            </w:r>
            <w:r w:rsidRPr="009C406F">
              <w:t>spread of COVID</w:t>
            </w:r>
            <w:r w:rsidR="00050D25">
              <w:noBreakHyphen/>
            </w:r>
            <w:r w:rsidRPr="009C406F">
              <w:t>19 and other disease</w:t>
            </w:r>
            <w:r>
              <w:t>s</w:t>
            </w:r>
            <w:r w:rsidRPr="009C406F">
              <w:t>.</w:t>
            </w:r>
            <w:r>
              <w:t xml:space="preserve"> </w:t>
            </w:r>
            <w:r w:rsidRPr="009C406F">
              <w:t xml:space="preserve">Excess mortality peaked in 2022 </w:t>
            </w:r>
            <w:r w:rsidR="0004279C">
              <w:t xml:space="preserve">at </w:t>
            </w:r>
            <w:r w:rsidRPr="009C406F">
              <w:t>11.7</w:t>
            </w:r>
            <w:r w:rsidR="00FF207F">
              <w:t> per cent</w:t>
            </w:r>
            <w:r>
              <w:t>,</w:t>
            </w:r>
            <w:r w:rsidRPr="009C406F">
              <w:t xml:space="preserve"> or </w:t>
            </w:r>
            <w:r w:rsidR="00250FBA">
              <w:t>20</w:t>
            </w:r>
            <w:r w:rsidRPr="009C406F">
              <w:t>,</w:t>
            </w:r>
            <w:r w:rsidR="00250FBA">
              <w:t>0</w:t>
            </w:r>
            <w:r w:rsidR="00250FBA" w:rsidRPr="009C406F">
              <w:t xml:space="preserve">00 </w:t>
            </w:r>
            <w:r w:rsidRPr="009C406F">
              <w:t>deaths above expected</w:t>
            </w:r>
            <w:r w:rsidR="00C334CA">
              <w:t xml:space="preserve">, which </w:t>
            </w:r>
            <w:r w:rsidRPr="009C406F">
              <w:t>coincided with the peak in COVID</w:t>
            </w:r>
            <w:r w:rsidR="00050D25">
              <w:noBreakHyphen/>
            </w:r>
            <w:r w:rsidRPr="009C406F">
              <w:t xml:space="preserve">19 deaths, as the virus </w:t>
            </w:r>
            <w:r>
              <w:t>spread more widely with</w:t>
            </w:r>
            <w:r w:rsidRPr="009C406F">
              <w:t>in the community.</w:t>
            </w:r>
          </w:p>
          <w:p w14:paraId="7171FBDC" w14:textId="6A0B24DC" w:rsidR="001C4D6C" w:rsidRDefault="001C4D6C" w:rsidP="00916EF2">
            <w:pPr>
              <w:pStyle w:val="BoxText"/>
            </w:pPr>
            <w:r>
              <w:t>In 2023</w:t>
            </w:r>
            <w:r w:rsidRPr="00240E5E">
              <w:t xml:space="preserve">, </w:t>
            </w:r>
            <w:r>
              <w:t>the WHO</w:t>
            </w:r>
            <w:r w:rsidRPr="009C406F">
              <w:t xml:space="preserve"> </w:t>
            </w:r>
            <w:r>
              <w:t>stopped</w:t>
            </w:r>
            <w:r w:rsidRPr="00240E5E">
              <w:t xml:space="preserve"> consider</w:t>
            </w:r>
            <w:r>
              <w:t>ing</w:t>
            </w:r>
            <w:r w:rsidRPr="00240E5E">
              <w:t xml:space="preserve"> COVID</w:t>
            </w:r>
            <w:r w:rsidR="00050D25">
              <w:noBreakHyphen/>
            </w:r>
            <w:r w:rsidRPr="00240E5E">
              <w:t xml:space="preserve">19 to be a </w:t>
            </w:r>
            <w:r>
              <w:t xml:space="preserve">public health emergency of international concern and </w:t>
            </w:r>
            <w:r w:rsidRPr="00240E5E">
              <w:t>Australia</w:t>
            </w:r>
            <w:r>
              <w:t xml:space="preserve"> </w:t>
            </w:r>
            <w:r w:rsidRPr="00240E5E">
              <w:t>shifted to managing COVID</w:t>
            </w:r>
            <w:r w:rsidR="00050D25">
              <w:noBreakHyphen/>
            </w:r>
            <w:r w:rsidRPr="00240E5E">
              <w:t>19 like other common communicable diseases.</w:t>
            </w:r>
            <w:r>
              <w:t xml:space="preserve"> Excess mortality</w:t>
            </w:r>
            <w:r w:rsidRPr="00240E5E">
              <w:t xml:space="preserve"> </w:t>
            </w:r>
            <w:r>
              <w:t>persisted in</w:t>
            </w:r>
            <w:r w:rsidRPr="00240E5E">
              <w:t xml:space="preserve"> 2023 (with deaths 5.1</w:t>
            </w:r>
            <w:r w:rsidR="00FF207F">
              <w:t> per cent</w:t>
            </w:r>
            <w:r w:rsidRPr="00240E5E">
              <w:t xml:space="preserve"> above expected) although it is less than half </w:t>
            </w:r>
            <w:r w:rsidR="00D55430">
              <w:t>the</w:t>
            </w:r>
            <w:r w:rsidRPr="00240E5E">
              <w:t xml:space="preserve"> excess mortality recorded in 2022 (11.7</w:t>
            </w:r>
            <w:r w:rsidR="00FF207F">
              <w:t> per cent</w:t>
            </w:r>
            <w:r w:rsidRPr="00240E5E">
              <w:t>)</w:t>
            </w:r>
            <w:r>
              <w:t xml:space="preserve"> </w:t>
            </w:r>
            <w:r w:rsidRPr="00D362E1">
              <w:t>with fewer COVID</w:t>
            </w:r>
            <w:r w:rsidR="00050D25">
              <w:noBreakHyphen/>
            </w:r>
            <w:r w:rsidRPr="00D362E1">
              <w:t>19 deaths</w:t>
            </w:r>
            <w:r>
              <w:t xml:space="preserve"> </w:t>
            </w:r>
            <w:r w:rsidRPr="00D362E1">
              <w:t>than in 2022</w:t>
            </w:r>
            <w:r>
              <w:t>.</w:t>
            </w:r>
          </w:p>
          <w:p w14:paraId="3CD824A7" w14:textId="393C461C" w:rsidR="001C4D6C" w:rsidRDefault="001C4D6C" w:rsidP="00916EF2">
            <w:pPr>
              <w:pStyle w:val="BoxText"/>
            </w:pPr>
            <w:r w:rsidRPr="00D362E1">
              <w:t>COVID</w:t>
            </w:r>
            <w:r w:rsidR="00050D25">
              <w:noBreakHyphen/>
            </w:r>
            <w:r w:rsidRPr="00D362E1">
              <w:t xml:space="preserve">19 </w:t>
            </w:r>
            <w:r w:rsidR="00775CAB">
              <w:t>has been</w:t>
            </w:r>
            <w:r w:rsidRPr="00D362E1">
              <w:t xml:space="preserve"> the main contributor to </w:t>
            </w:r>
            <w:r>
              <w:t>excess</w:t>
            </w:r>
            <w:r w:rsidRPr="00D362E1">
              <w:t xml:space="preserve"> mortality</w:t>
            </w:r>
            <w:r>
              <w:t>. From 2022</w:t>
            </w:r>
            <w:r w:rsidRPr="00D362E1">
              <w:t>,</w:t>
            </w:r>
            <w:r>
              <w:t xml:space="preserve"> when COVID</w:t>
            </w:r>
            <w:r w:rsidR="00050D25">
              <w:noBreakHyphen/>
            </w:r>
            <w:r>
              <w:t>19 became</w:t>
            </w:r>
            <w:r w:rsidDel="008D589C">
              <w:t xml:space="preserve"> </w:t>
            </w:r>
            <w:r>
              <w:t>endemic, it has</w:t>
            </w:r>
            <w:r w:rsidRPr="00D362E1">
              <w:t xml:space="preserve"> account</w:t>
            </w:r>
            <w:r>
              <w:t>ed</w:t>
            </w:r>
            <w:r w:rsidRPr="00D362E1">
              <w:t xml:space="preserve"> </w:t>
            </w:r>
            <w:r w:rsidRPr="000F176D">
              <w:t>for 6</w:t>
            </w:r>
            <w:r w:rsidR="005339DF">
              <w:t>7</w:t>
            </w:r>
            <w:r w:rsidR="00FF207F">
              <w:t> per cent</w:t>
            </w:r>
            <w:r w:rsidRPr="00D362E1">
              <w:t xml:space="preserve"> of excess deaths. </w:t>
            </w:r>
            <w:r>
              <w:t>Deaths without COVID</w:t>
            </w:r>
            <w:r w:rsidR="00050D25">
              <w:noBreakHyphen/>
            </w:r>
            <w:r>
              <w:t>19 often increased alongside COVID</w:t>
            </w:r>
            <w:r w:rsidR="00050D25">
              <w:noBreakHyphen/>
            </w:r>
            <w:r>
              <w:t xml:space="preserve">19 deaths. Potential reasons for this </w:t>
            </w:r>
            <w:proofErr w:type="gramStart"/>
            <w:r>
              <w:t>include:</w:t>
            </w:r>
            <w:proofErr w:type="gramEnd"/>
            <w:r>
              <w:t xml:space="preserve"> delays in emergency </w:t>
            </w:r>
            <w:r w:rsidR="007E306F">
              <w:t>care during COVID</w:t>
            </w:r>
            <w:r w:rsidR="00050D25">
              <w:noBreakHyphen/>
            </w:r>
            <w:r w:rsidR="007E306F">
              <w:t>19 waves and influenza outbreaks</w:t>
            </w:r>
            <w:r>
              <w:t xml:space="preserve">, </w:t>
            </w:r>
            <w:r w:rsidR="0079679F">
              <w:t>long</w:t>
            </w:r>
            <w:r w:rsidR="00050D25">
              <w:noBreakHyphen/>
            </w:r>
            <w:r w:rsidR="0079679F">
              <w:t>term health impacts of COVID</w:t>
            </w:r>
            <w:r w:rsidR="00050D25">
              <w:noBreakHyphen/>
            </w:r>
            <w:r w:rsidR="0079679F">
              <w:t>19 infection or where COVID</w:t>
            </w:r>
            <w:r w:rsidR="00050D25">
              <w:noBreakHyphen/>
            </w:r>
            <w:r w:rsidR="0079679F">
              <w:t>19 may have exacerbated another health condition</w:t>
            </w:r>
            <w:r w:rsidR="003F02FB">
              <w:t>,</w:t>
            </w:r>
            <w:r w:rsidR="00A7008B">
              <w:t xml:space="preserve"> redu</w:t>
            </w:r>
            <w:r w:rsidR="003F02FB">
              <w:t>ced</w:t>
            </w:r>
            <w:r w:rsidR="00A7008B">
              <w:t xml:space="preserve"> timeliness of routine healthcare (</w:t>
            </w:r>
            <w:r w:rsidR="00505478">
              <w:t>for example</w:t>
            </w:r>
            <w:r w:rsidR="00A7008B">
              <w:t xml:space="preserve"> health assessments, diagnostic testing and elective surgeries)</w:t>
            </w:r>
            <w:r w:rsidR="008208FE">
              <w:t xml:space="preserve"> and mortality displacement</w:t>
            </w:r>
            <w:r>
              <w:t>.</w:t>
            </w:r>
            <w:r>
              <w:rPr>
                <w:rStyle w:val="FootnoteReference"/>
              </w:rPr>
              <w:footnoteReference w:id="54"/>
            </w:r>
          </w:p>
          <w:p w14:paraId="4B02ECB7" w14:textId="239A04A8" w:rsidR="001C4D6C" w:rsidRPr="001159B7" w:rsidRDefault="001C4D6C" w:rsidP="00654915">
            <w:pPr>
              <w:pStyle w:val="ChartMainHeading"/>
            </w:pPr>
            <w:r>
              <w:t>Weekly deaths, with and without COVID</w:t>
            </w:r>
            <w:r w:rsidR="00050D25">
              <w:noBreakHyphen/>
            </w:r>
            <w:r>
              <w:t>19</w:t>
            </w:r>
          </w:p>
          <w:p w14:paraId="4A3FFE59" w14:textId="2024B038" w:rsidR="001C4D6C" w:rsidRPr="00A633E1" w:rsidRDefault="004B2AD4" w:rsidP="00997375">
            <w:pPr>
              <w:pStyle w:val="ChartGraphic"/>
            </w:pPr>
            <w:r w:rsidRPr="004B2AD4">
              <w:rPr>
                <w:noProof/>
              </w:rPr>
              <w:drawing>
                <wp:inline distT="0" distB="0" distL="0" distR="0" wp14:anchorId="6637A4A2" wp14:editId="46BBC69F">
                  <wp:extent cx="5581650" cy="2886075"/>
                  <wp:effectExtent l="0" t="0" r="0" b="9525"/>
                  <wp:docPr id="2033247063" name="Picture 2033247063" descr="This chart displays the weekly number of deaths with and without COVID-19 between March 2020 and December 2023. There is also a line depicting expected deaths with seasonality, and a 95 per cent confidence interval. COVID-19 deaths have been the main factor in deaths being above the expected deaths line since the start of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47063" name="Picture 2033247063" descr="This chart displays the weekly number of deaths with and without COVID-19 between March 2020 and December 2023. There is also a line depicting expected deaths with seasonality, and a 95 per cent confidence interval. COVID-19 deaths have been the main factor in deaths being above the expected deaths line since the start of 2022.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140D7C51" w14:textId="63AFB4AF" w:rsidR="001C4D6C" w:rsidRPr="00997375" w:rsidRDefault="001C4D6C" w:rsidP="00997375">
            <w:pPr>
              <w:pStyle w:val="ChartorTableNote"/>
            </w:pPr>
            <w:r w:rsidRPr="00997375">
              <w:t>Note:</w:t>
            </w:r>
            <w:r w:rsidR="000651CF" w:rsidRPr="00997375">
              <w:tab/>
            </w:r>
            <w:r w:rsidRPr="00997375">
              <w:t>COVID</w:t>
            </w:r>
            <w:r w:rsidR="00050D25">
              <w:noBreakHyphen/>
            </w:r>
            <w:r w:rsidRPr="00997375">
              <w:t>19 deaths are where COVID</w:t>
            </w:r>
            <w:r w:rsidR="00050D25">
              <w:noBreakHyphen/>
            </w:r>
            <w:r w:rsidRPr="00997375">
              <w:t xml:space="preserve">19 is identified as either the cause of death or a contributing factor. </w:t>
            </w:r>
          </w:p>
          <w:p w14:paraId="6466FD0D" w14:textId="16181F24" w:rsidR="001C4D6C" w:rsidRDefault="001C4D6C" w:rsidP="00916EF2">
            <w:pPr>
              <w:pStyle w:val="Source"/>
            </w:pPr>
            <w:r w:rsidRPr="00187E58">
              <w:t xml:space="preserve">Source: </w:t>
            </w:r>
            <w:r>
              <w:tab/>
            </w:r>
            <w:r w:rsidRPr="00187E58">
              <w:t xml:space="preserve">ABS, </w:t>
            </w:r>
            <w:r w:rsidRPr="00997375">
              <w:rPr>
                <w:rStyle w:val="SubtleEmphasis"/>
              </w:rPr>
              <w:t>Measuring Australia</w:t>
            </w:r>
            <w:r w:rsidR="00050D25">
              <w:rPr>
                <w:rStyle w:val="SubtleEmphasis"/>
              </w:rPr>
              <w:t>’</w:t>
            </w:r>
            <w:r w:rsidRPr="00997375">
              <w:rPr>
                <w:rStyle w:val="SubtleEmphasis"/>
              </w:rPr>
              <w:t>s excess mortality during the COVID</w:t>
            </w:r>
            <w:r w:rsidR="00050D25">
              <w:rPr>
                <w:rStyle w:val="SubtleEmphasis"/>
              </w:rPr>
              <w:noBreakHyphen/>
            </w:r>
            <w:r w:rsidRPr="00997375">
              <w:rPr>
                <w:rStyle w:val="SubtleEmphasis"/>
              </w:rPr>
              <w:t>19 pandemic until December 2023</w:t>
            </w:r>
            <w:r>
              <w:t>.</w:t>
            </w:r>
            <w:r w:rsidR="00297314">
              <w:t xml:space="preserve"> </w:t>
            </w:r>
          </w:p>
          <w:p w14:paraId="477AD531" w14:textId="77777777" w:rsidR="00997375" w:rsidRDefault="00997375" w:rsidP="00997375">
            <w:pPr>
              <w:pStyle w:val="SingleParagraph"/>
            </w:pPr>
          </w:p>
          <w:p w14:paraId="5E138863" w14:textId="77777777" w:rsidR="00997375" w:rsidRPr="009620B9" w:rsidRDefault="00997375" w:rsidP="00997375">
            <w:pPr>
              <w:pStyle w:val="Bullet"/>
              <w:numPr>
                <w:ilvl w:val="0"/>
                <w:numId w:val="0"/>
              </w:numPr>
              <w:jc w:val="right"/>
              <w:rPr>
                <w:rStyle w:val="Box-Continuedoverpage"/>
              </w:rPr>
            </w:pPr>
            <w:r w:rsidRPr="009620B9">
              <w:rPr>
                <w:rStyle w:val="Box-Continuedoverpage"/>
              </w:rPr>
              <w:t xml:space="preserve">continued over next </w:t>
            </w:r>
            <w:proofErr w:type="gramStart"/>
            <w:r w:rsidRPr="009620B9">
              <w:rPr>
                <w:rStyle w:val="Box-Continuedoverpage"/>
              </w:rPr>
              <w:t>page</w:t>
            </w:r>
            <w:proofErr w:type="gramEnd"/>
          </w:p>
          <w:p w14:paraId="5E06BC74" w14:textId="125282B4" w:rsidR="001C4D6C" w:rsidRPr="003D1DA6" w:rsidRDefault="001C4D6C" w:rsidP="00916EF2">
            <w:pPr>
              <w:pStyle w:val="BoxText"/>
            </w:pPr>
            <w:r w:rsidRPr="009C406F">
              <w:lastRenderedPageBreak/>
              <w:t>Excess mortality since the onset of the pandemic increases with age. Since the start of 2022,</w:t>
            </w:r>
            <w:r>
              <w:t xml:space="preserve"> nearly all </w:t>
            </w:r>
            <w:r w:rsidRPr="009C406F">
              <w:t xml:space="preserve">excess deaths </w:t>
            </w:r>
            <w:r>
              <w:t xml:space="preserve">occurred among </w:t>
            </w:r>
            <w:r w:rsidRPr="009C406F">
              <w:t>those aged 55 and over</w:t>
            </w:r>
            <w:r>
              <w:t xml:space="preserve"> (</w:t>
            </w:r>
            <w:r w:rsidRPr="009C406F">
              <w:t>99</w:t>
            </w:r>
            <w:r w:rsidR="00FF207F">
              <w:t> per cent</w:t>
            </w:r>
            <w:r>
              <w:t>)</w:t>
            </w:r>
            <w:r w:rsidRPr="009C406F">
              <w:t xml:space="preserve">, </w:t>
            </w:r>
            <w:r>
              <w:t xml:space="preserve">with </w:t>
            </w:r>
            <w:r w:rsidR="00E365B4">
              <w:t xml:space="preserve">almost </w:t>
            </w:r>
            <w:r>
              <w:t>half (</w:t>
            </w:r>
            <w:r w:rsidRPr="009C406F">
              <w:t>4</w:t>
            </w:r>
            <w:r w:rsidR="00E365B4">
              <w:t>7</w:t>
            </w:r>
            <w:r w:rsidR="00FF207F">
              <w:t> per cent</w:t>
            </w:r>
            <w:r>
              <w:t>) among</w:t>
            </w:r>
            <w:r w:rsidRPr="009C406F">
              <w:t xml:space="preserve"> those aged 85 and over. In 2022, all age groups recorded excess mortality, although this was higher for those aged over 55</w:t>
            </w:r>
            <w:r>
              <w:t>, while in 2023</w:t>
            </w:r>
            <w:r w:rsidRPr="00FC1D67">
              <w:t xml:space="preserve"> only those aged 55 years and above experienced excess mortality</w:t>
            </w:r>
            <w:r w:rsidRPr="009C406F">
              <w:t>. In 2021, prior to COVID</w:t>
            </w:r>
            <w:r w:rsidR="00050D25">
              <w:noBreakHyphen/>
            </w:r>
            <w:r w:rsidRPr="009C406F">
              <w:t>19 becoming widespread, excess deaths w</w:t>
            </w:r>
            <w:r>
              <w:t>ere</w:t>
            </w:r>
            <w:r w:rsidRPr="009C406F">
              <w:t xml:space="preserve"> lower, but </w:t>
            </w:r>
            <w:r>
              <w:t>were also</w:t>
            </w:r>
            <w:r w:rsidRPr="009C406F">
              <w:t xml:space="preserve"> concentrated in older age groups. </w:t>
            </w:r>
          </w:p>
          <w:p w14:paraId="43789B16" w14:textId="320CEAEA" w:rsidR="001C4D6C" w:rsidRPr="007C580D" w:rsidRDefault="001C4D6C" w:rsidP="00654915">
            <w:pPr>
              <w:pStyle w:val="ChartMainHeading"/>
            </w:pPr>
            <w:bookmarkStart w:id="130" w:name="_Ref177656158"/>
            <w:bookmarkStart w:id="131" w:name="_Ref179790158"/>
            <w:r w:rsidRPr="007C580D">
              <w:t xml:space="preserve">Excess mortality </w:t>
            </w:r>
            <w:r w:rsidR="00C60F19">
              <w:t>by age group</w:t>
            </w:r>
            <w:r w:rsidRPr="007C580D">
              <w:t xml:space="preserve"> (percentage deaths above/below expected</w:t>
            </w:r>
            <w:bookmarkEnd w:id="130"/>
            <w:r w:rsidRPr="007C580D">
              <w:t>)</w:t>
            </w:r>
            <w:bookmarkEnd w:id="131"/>
          </w:p>
          <w:p w14:paraId="04E278E2" w14:textId="5CA46315" w:rsidR="001C4D6C" w:rsidRPr="00997375" w:rsidRDefault="00A05395" w:rsidP="00997375">
            <w:pPr>
              <w:pStyle w:val="ChartGraphic"/>
            </w:pPr>
            <w:r w:rsidRPr="00997375">
              <w:rPr>
                <w:noProof/>
              </w:rPr>
              <w:drawing>
                <wp:inline distT="0" distB="0" distL="0" distR="0" wp14:anchorId="572D64B9" wp14:editId="1EAA7E89">
                  <wp:extent cx="5581650" cy="2886075"/>
                  <wp:effectExtent l="0" t="0" r="0" b="0"/>
                  <wp:docPr id="1480946601" name="Picture 1480946601" descr="This is a column graph showing excess mortality by age group for the years 2020 to 2023. In the years 2020 and 2021, excess mortality remained below 5 per cent for all age groups, except those aged over 95 in 2021. Excess mortality significantly increased in 2022 for all age groups, with the increase being larger for older age groups. Excess mortality moderated in 2023 for all age groups and became negative for those aged unde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6601" name="Picture 1480946601" descr="This is a column graph showing excess mortality by age group for the years 2020 to 2023. In the years 2020 and 2021, excess mortality remained below 5 per cent for all age groups, except those aged over 95 in 2021. Excess mortality significantly increased in 2022 for all age groups, with the increase being larger for older age groups. Excess mortality moderated in 2023 for all age groups and became negative for those aged under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7F441A10" w14:textId="6C42C3C9" w:rsidR="001C4D6C" w:rsidRPr="00997375" w:rsidRDefault="001C4D6C" w:rsidP="00916EF2">
            <w:pPr>
              <w:pStyle w:val="Source"/>
              <w:rPr>
                <w:rStyle w:val="SubtleEmphasis"/>
              </w:rPr>
            </w:pPr>
            <w:r w:rsidRPr="00187E58">
              <w:t xml:space="preserve">Source: </w:t>
            </w:r>
            <w:r>
              <w:tab/>
            </w:r>
            <w:r w:rsidRPr="00187E58">
              <w:t xml:space="preserve">ABS, </w:t>
            </w:r>
            <w:r w:rsidRPr="00997375">
              <w:rPr>
                <w:rStyle w:val="SubtleEmphasis"/>
              </w:rPr>
              <w:t>Measuring Australia</w:t>
            </w:r>
            <w:r w:rsidR="00050D25">
              <w:rPr>
                <w:rStyle w:val="SubtleEmphasis"/>
              </w:rPr>
              <w:t>’</w:t>
            </w:r>
            <w:r w:rsidRPr="00997375">
              <w:rPr>
                <w:rStyle w:val="SubtleEmphasis"/>
              </w:rPr>
              <w:t>s excess mortality during the COVID</w:t>
            </w:r>
            <w:r w:rsidR="00050D25">
              <w:rPr>
                <w:rStyle w:val="SubtleEmphasis"/>
              </w:rPr>
              <w:noBreakHyphen/>
            </w:r>
            <w:r w:rsidRPr="00997375">
              <w:rPr>
                <w:rStyle w:val="SubtleEmphasis"/>
              </w:rPr>
              <w:t>19 pandemic until December 2023.</w:t>
            </w:r>
            <w:r w:rsidR="00297314" w:rsidRPr="00997375">
              <w:rPr>
                <w:rStyle w:val="SubtleEmphasis"/>
              </w:rPr>
              <w:t xml:space="preserve"> </w:t>
            </w:r>
          </w:p>
          <w:p w14:paraId="72A8DF35" w14:textId="4CB827BE" w:rsidR="001C4D6C" w:rsidRDefault="001C4D6C" w:rsidP="00287546">
            <w:pPr>
              <w:pStyle w:val="BoxText"/>
            </w:pPr>
            <w:r w:rsidRPr="00A06C36">
              <w:t>Australia ha</w:t>
            </w:r>
            <w:r>
              <w:t>s experienced</w:t>
            </w:r>
            <w:r w:rsidRPr="00A06C36">
              <w:t xml:space="preserve"> lower excess mortality than many </w:t>
            </w:r>
            <w:r>
              <w:t>a</w:t>
            </w:r>
            <w:r w:rsidRPr="00A06C36">
              <w:t xml:space="preserve">dvanced economies. </w:t>
            </w:r>
            <w:r w:rsidRPr="003914B2">
              <w:rPr>
                <w:i/>
              </w:rPr>
              <w:t>The Economist</w:t>
            </w:r>
            <w:r w:rsidRPr="00A06C36">
              <w:t xml:space="preserve"> estimate</w:t>
            </w:r>
            <w:r w:rsidR="00E70EE2">
              <w:t>d</w:t>
            </w:r>
            <w:r w:rsidRPr="00A06C36">
              <w:t xml:space="preserve"> that since the start of the COVID</w:t>
            </w:r>
            <w:r w:rsidR="00050D25">
              <w:noBreakHyphen/>
            </w:r>
            <w:r w:rsidRPr="00A06C36">
              <w:t xml:space="preserve">19 pandemic (to </w:t>
            </w:r>
            <w:r>
              <w:t>17 June</w:t>
            </w:r>
            <w:r w:rsidRPr="00A06C36">
              <w:t xml:space="preserve"> 2024)</w:t>
            </w:r>
            <w:r>
              <w:t>,</w:t>
            </w:r>
            <w:r w:rsidRPr="00A06C36">
              <w:t xml:space="preserve"> Australia experienced 1</w:t>
            </w:r>
            <w:r>
              <w:t>63</w:t>
            </w:r>
            <w:r w:rsidRPr="00A06C36">
              <w:t xml:space="preserve"> excess deaths per 100,000 people</w:t>
            </w:r>
            <w:r>
              <w:t>.</w:t>
            </w:r>
            <w:r w:rsidRPr="00A06C36" w:rsidDel="00771215">
              <w:t xml:space="preserve"> </w:t>
            </w:r>
            <w:r>
              <w:t>This was</w:t>
            </w:r>
            <w:r w:rsidDel="0016037D">
              <w:t xml:space="preserve"> </w:t>
            </w:r>
            <w:r>
              <w:t>lower than</w:t>
            </w:r>
            <w:r w:rsidRPr="00A06C36">
              <w:t xml:space="preserve"> the </w:t>
            </w:r>
            <w:r w:rsidR="008050CD">
              <w:t>UK</w:t>
            </w:r>
            <w:r>
              <w:t xml:space="preserve"> (409 per 100,000 people)</w:t>
            </w:r>
            <w:r w:rsidRPr="00A06C36">
              <w:t>, the United States</w:t>
            </w:r>
            <w:r>
              <w:t xml:space="preserve"> (434)</w:t>
            </w:r>
            <w:r w:rsidRPr="00A06C36">
              <w:t xml:space="preserve"> and </w:t>
            </w:r>
            <w:r w:rsidRPr="00A06C36" w:rsidDel="001F5023">
              <w:t>Canada</w:t>
            </w:r>
            <w:r w:rsidR="001F5023">
              <w:t> </w:t>
            </w:r>
            <w:r>
              <w:t xml:space="preserve">(225). </w:t>
            </w:r>
            <w:r w:rsidRPr="00A06C36">
              <w:t xml:space="preserve">New Zealand experienced fewer excess deaths than Australia, with 19 excess deaths per 100,000 people. </w:t>
            </w:r>
            <w:r>
              <w:t>O</w:t>
            </w:r>
            <w:r w:rsidRPr="00A06C36">
              <w:t xml:space="preserve">ther estimates </w:t>
            </w:r>
            <w:r w:rsidR="00CB7200">
              <w:t>likewise</w:t>
            </w:r>
            <w:r>
              <w:t xml:space="preserve"> </w:t>
            </w:r>
            <w:r w:rsidRPr="00A06C36">
              <w:t>show Australia ha</w:t>
            </w:r>
            <w:r w:rsidR="00D136BA">
              <w:t>d</w:t>
            </w:r>
            <w:r w:rsidRPr="00A06C36">
              <w:t xml:space="preserve"> lower excess mortality than comparable countries. </w:t>
            </w:r>
          </w:p>
          <w:p w14:paraId="5552D00A" w14:textId="63D8B89F" w:rsidR="00997375" w:rsidRPr="00997375" w:rsidRDefault="00997375" w:rsidP="00997375">
            <w:pPr>
              <w:pStyle w:val="Bullet"/>
              <w:numPr>
                <w:ilvl w:val="0"/>
                <w:numId w:val="0"/>
              </w:numPr>
              <w:jc w:val="right"/>
              <w:rPr>
                <w:rFonts w:eastAsiaTheme="majorEastAsia"/>
                <w:i/>
                <w:iCs/>
              </w:rPr>
            </w:pPr>
            <w:r w:rsidRPr="009620B9">
              <w:rPr>
                <w:rStyle w:val="Box-Continuedoverpage"/>
              </w:rPr>
              <w:t xml:space="preserve">continued over next </w:t>
            </w:r>
            <w:proofErr w:type="gramStart"/>
            <w:r w:rsidRPr="009620B9">
              <w:rPr>
                <w:rStyle w:val="Box-Continuedoverpage"/>
              </w:rPr>
              <w:t>page</w:t>
            </w:r>
            <w:proofErr w:type="gramEnd"/>
          </w:p>
          <w:p w14:paraId="5387D6C9" w14:textId="77777777" w:rsidR="001C4D6C" w:rsidRPr="00A06C36" w:rsidRDefault="001C4D6C" w:rsidP="00654915">
            <w:pPr>
              <w:pStyle w:val="ChartMainHeading"/>
            </w:pPr>
            <w:bookmarkStart w:id="132" w:name="_Ref177656170"/>
            <w:r>
              <w:lastRenderedPageBreak/>
              <w:t>Cumulative e</w:t>
            </w:r>
            <w:r w:rsidRPr="00BF0892">
              <w:t xml:space="preserve">xcess </w:t>
            </w:r>
            <w:r>
              <w:t>deaths per 100,000 persons, January 2020 to June 2024</w:t>
            </w:r>
            <w:bookmarkEnd w:id="132"/>
          </w:p>
          <w:p w14:paraId="1D47B177" w14:textId="0EB3DCF0" w:rsidR="001C4D6C" w:rsidRDefault="002F1A5E" w:rsidP="00287546">
            <w:pPr>
              <w:pStyle w:val="ChartGraphic"/>
            </w:pPr>
            <w:r w:rsidRPr="002F1A5E">
              <w:rPr>
                <w:noProof/>
              </w:rPr>
              <w:drawing>
                <wp:inline distT="0" distB="0" distL="0" distR="0" wp14:anchorId="43CF03B5" wp14:editId="3ACDEA4D">
                  <wp:extent cx="5581650" cy="2876550"/>
                  <wp:effectExtent l="0" t="0" r="0" b="0"/>
                  <wp:docPr id="1599293307" name="Picture 1599293307" descr="This column chart shows cumulative excess deaths per 100,000 peoples between January 2020 and June 2024 for Australia, New Zealand, Canada, United Kingdom, and the United States. Canada, United Kingdom, and the United States experienced significantly more deaths than Australia and New Zealand. New Zealand’s excess deaths for the period remains significantly lower than the other select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93307" name="Picture 1599293307" descr="This column chart shows cumulative excess deaths per 100,000 peoples between January 2020 and June 2024 for Australia, New Zealand, Canada, United Kingdom, and the United States. Canada, United Kingdom, and the United States experienced significantly more deaths than Australia and New Zealand. New Zealand’s excess deaths for the period remains significantly lower than the other selected countr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77EE83F7" w14:textId="77777777" w:rsidR="008E3493" w:rsidRDefault="001C4D6C" w:rsidP="008E3493">
            <w:pPr>
              <w:pStyle w:val="Source"/>
            </w:pPr>
            <w:r w:rsidRPr="00A633E1">
              <w:t xml:space="preserve">Source: </w:t>
            </w:r>
            <w:r w:rsidRPr="00A633E1">
              <w:tab/>
              <w:t xml:space="preserve">The Economist – processed by Our World in Data, </w:t>
            </w:r>
            <w:r w:rsidRPr="00997375">
              <w:rPr>
                <w:rStyle w:val="SubtleEmphasis"/>
              </w:rPr>
              <w:t>Estimated cumulative excess deaths per 100,000 people during COVID</w:t>
            </w:r>
            <w:r w:rsidR="00365E19">
              <w:t>, 2024</w:t>
            </w:r>
            <w:r w:rsidRPr="00A633E1">
              <w:t>.</w:t>
            </w:r>
            <w:r w:rsidR="00C645B4">
              <w:t xml:space="preserve"> </w:t>
            </w:r>
          </w:p>
          <w:p w14:paraId="626FF0E7" w14:textId="30110314" w:rsidR="00997375" w:rsidRPr="00A633E1" w:rsidRDefault="00997375" w:rsidP="00997375">
            <w:pPr>
              <w:pStyle w:val="SingleParagraph"/>
            </w:pPr>
          </w:p>
        </w:tc>
      </w:tr>
    </w:tbl>
    <w:p w14:paraId="60ABAC16" w14:textId="77777777" w:rsidR="005C63AA" w:rsidRDefault="005C63AA" w:rsidP="005C63AA">
      <w:pPr>
        <w:rPr>
          <w:lang w:eastAsia="en-AU"/>
        </w:rPr>
        <w:sectPr w:rsidR="005C63AA" w:rsidSect="00054E63">
          <w:headerReference w:type="even" r:id="rId48"/>
          <w:headerReference w:type="default" r:id="rId49"/>
          <w:footerReference w:type="even" r:id="rId50"/>
          <w:footerReference w:type="default" r:id="rId51"/>
          <w:headerReference w:type="first" r:id="rId52"/>
          <w:footerReference w:type="first" r:id="rId53"/>
          <w:type w:val="oddPage"/>
          <w:pgSz w:w="11906" w:h="16838" w:code="9"/>
          <w:pgMar w:top="1417" w:right="1417" w:bottom="1417" w:left="1417" w:header="709" w:footer="709" w:gutter="0"/>
          <w:pgNumType w:start="1"/>
          <w:cols w:space="708"/>
          <w:docGrid w:linePitch="360"/>
        </w:sectPr>
      </w:pPr>
      <w:bookmarkStart w:id="133" w:name="_Toc149846504"/>
      <w:bookmarkStart w:id="134" w:name="_Toc149846545"/>
      <w:bookmarkStart w:id="135" w:name="_Toc149846643"/>
      <w:bookmarkStart w:id="136" w:name="_Toc149847586"/>
      <w:bookmarkStart w:id="137" w:name="_Toc180584519"/>
      <w:bookmarkEnd w:id="127"/>
    </w:p>
    <w:p w14:paraId="1DDCB0FC" w14:textId="6388126F" w:rsidR="003D3EC9" w:rsidRDefault="003D3EC9" w:rsidP="003D3EC9">
      <w:pPr>
        <w:pStyle w:val="Heading1Numbered"/>
      </w:pPr>
      <w:bookmarkStart w:id="138" w:name="_Toc185333110"/>
      <w:bookmarkStart w:id="139" w:name="_Toc185346727"/>
      <w:r>
        <w:lastRenderedPageBreak/>
        <w:t>Sub</w:t>
      </w:r>
      <w:r w:rsidR="00050D25">
        <w:noBreakHyphen/>
      </w:r>
      <w:r>
        <w:t>national populations</w:t>
      </w:r>
      <w:bookmarkEnd w:id="133"/>
      <w:bookmarkEnd w:id="134"/>
      <w:bookmarkEnd w:id="135"/>
      <w:bookmarkEnd w:id="136"/>
      <w:bookmarkEnd w:id="137"/>
      <w:bookmarkEnd w:id="138"/>
      <w:bookmarkEnd w:id="139"/>
    </w:p>
    <w:p w14:paraId="367E64ED" w14:textId="77777777" w:rsidR="003D3EC9" w:rsidRDefault="003D3EC9" w:rsidP="003D3EC9">
      <w:pPr>
        <w:pStyle w:val="Heading2Numbered"/>
      </w:pPr>
      <w:bookmarkStart w:id="140" w:name="_Toc149846505"/>
      <w:bookmarkStart w:id="141" w:name="_Toc149846546"/>
      <w:bookmarkStart w:id="142" w:name="_Toc149846644"/>
      <w:bookmarkStart w:id="143" w:name="_Toc149847587"/>
      <w:bookmarkStart w:id="144" w:name="_Toc151994722"/>
      <w:bookmarkStart w:id="145" w:name="_Toc180584520"/>
      <w:bookmarkStart w:id="146" w:name="_Toc185333111"/>
      <w:bookmarkStart w:id="147" w:name="_Toc185346728"/>
      <w:r>
        <w:t>Summary</w:t>
      </w:r>
      <w:bookmarkEnd w:id="140"/>
      <w:bookmarkEnd w:id="141"/>
      <w:bookmarkEnd w:id="142"/>
      <w:bookmarkEnd w:id="143"/>
      <w:bookmarkEnd w:id="144"/>
      <w:bookmarkEnd w:id="145"/>
      <w:bookmarkEnd w:id="146"/>
      <w:bookmarkEnd w:id="147"/>
    </w:p>
    <w:p w14:paraId="29F2B1FA" w14:textId="45A21835" w:rsidR="003D3EC9" w:rsidRDefault="003D3EC9" w:rsidP="003D3EC9">
      <w:pPr>
        <w:pStyle w:val="Heading3Numbered"/>
      </w:pPr>
      <w:bookmarkStart w:id="148" w:name="_Toc149846506"/>
      <w:bookmarkStart w:id="149" w:name="_Toc149846547"/>
      <w:bookmarkStart w:id="150" w:name="_Toc149846645"/>
      <w:bookmarkStart w:id="151" w:name="_Toc149847588"/>
      <w:r>
        <w:t xml:space="preserve">States and </w:t>
      </w:r>
      <w:r w:rsidRPr="00207D66">
        <w:t>territories</w:t>
      </w:r>
      <w:bookmarkEnd w:id="148"/>
      <w:bookmarkEnd w:id="149"/>
      <w:bookmarkEnd w:id="150"/>
      <w:bookmarkEnd w:id="151"/>
    </w:p>
    <w:p w14:paraId="5EA285C1" w14:textId="10F4ECC1" w:rsidR="003D3EC9" w:rsidRPr="00657322" w:rsidRDefault="003D3EC9" w:rsidP="003D3EC9">
      <w:pPr>
        <w:rPr>
          <w:rFonts w:ascii="Calibri" w:eastAsia="SimSun" w:hAnsi="Calibri" w:cs="Times New Roman"/>
        </w:rPr>
      </w:pPr>
      <w:r>
        <w:rPr>
          <w:rFonts w:ascii="Calibri" w:eastAsia="SimSun" w:hAnsi="Calibri" w:cs="Times New Roman"/>
        </w:rPr>
        <w:t>Most s</w:t>
      </w:r>
      <w:r w:rsidRPr="00657322">
        <w:rPr>
          <w:rFonts w:ascii="Calibri" w:eastAsia="SimSun" w:hAnsi="Calibri" w:cs="Times New Roman"/>
        </w:rPr>
        <w:t>tates and territories</w:t>
      </w:r>
      <w:r>
        <w:rPr>
          <w:rFonts w:ascii="Calibri" w:eastAsia="SimSun" w:hAnsi="Calibri" w:cs="Times New Roman"/>
        </w:rPr>
        <w:t xml:space="preserve"> have been experiencing high population growth, driven by </w:t>
      </w:r>
      <w:r w:rsidR="00E84835">
        <w:rPr>
          <w:rFonts w:ascii="Calibri" w:eastAsia="SimSun" w:hAnsi="Calibri" w:cs="Times New Roman"/>
        </w:rPr>
        <w:t>NOM</w:t>
      </w:r>
      <w:r>
        <w:rPr>
          <w:rFonts w:ascii="Calibri" w:eastAsia="SimSun" w:hAnsi="Calibri" w:cs="Times New Roman"/>
        </w:rPr>
        <w:t>. Population growth is expected to decline in 2023–24 for all states and territories as migration slows (</w:t>
      </w:r>
      <w:r>
        <w:rPr>
          <w:rFonts w:ascii="Calibri" w:eastAsia="SimSun" w:hAnsi="Calibri" w:cs="Times New Roman"/>
        </w:rPr>
        <w:fldChar w:fldCharType="begin"/>
      </w:r>
      <w:r>
        <w:rPr>
          <w:rFonts w:ascii="Calibri" w:eastAsia="SimSun" w:hAnsi="Calibri" w:cs="Times New Roman"/>
        </w:rPr>
        <w:instrText xml:space="preserve"> REF _Ref181188144 \r \h </w:instrText>
      </w:r>
      <w:r>
        <w:rPr>
          <w:rFonts w:ascii="Calibri" w:eastAsia="SimSun" w:hAnsi="Calibri" w:cs="Times New Roman"/>
        </w:rPr>
      </w:r>
      <w:r>
        <w:rPr>
          <w:rFonts w:ascii="Calibri" w:eastAsia="SimSun" w:hAnsi="Calibri" w:cs="Times New Roman"/>
        </w:rPr>
        <w:fldChar w:fldCharType="separate"/>
      </w:r>
      <w:r w:rsidR="00050D25">
        <w:rPr>
          <w:rFonts w:ascii="Calibri" w:eastAsia="SimSun" w:hAnsi="Calibri" w:cs="Times New Roman"/>
        </w:rPr>
        <w:t>Chart 23</w:t>
      </w:r>
      <w:r>
        <w:rPr>
          <w:rFonts w:ascii="Calibri" w:eastAsia="SimSun" w:hAnsi="Calibri" w:cs="Times New Roman"/>
        </w:rPr>
        <w:fldChar w:fldCharType="end"/>
      </w:r>
      <w:r>
        <w:rPr>
          <w:rFonts w:ascii="Calibri" w:eastAsia="SimSun" w:hAnsi="Calibri" w:cs="Times New Roman"/>
        </w:rPr>
        <w:t>). Net internal migration is above long</w:t>
      </w:r>
      <w:r w:rsidR="00050D25">
        <w:rPr>
          <w:rFonts w:ascii="Calibri" w:eastAsia="SimSun" w:hAnsi="Calibri" w:cs="Times New Roman"/>
        </w:rPr>
        <w:noBreakHyphen/>
      </w:r>
      <w:r>
        <w:rPr>
          <w:rFonts w:ascii="Calibri" w:eastAsia="SimSun" w:hAnsi="Calibri" w:cs="Times New Roman"/>
        </w:rPr>
        <w:t>term trend levels in Queensland and Western Australia, and below trend levels in New</w:t>
      </w:r>
      <w:r w:rsidR="001339E1">
        <w:rPr>
          <w:rFonts w:ascii="Calibri" w:eastAsia="SimSun" w:hAnsi="Calibri" w:cs="Times New Roman"/>
        </w:rPr>
        <w:t> </w:t>
      </w:r>
      <w:r>
        <w:rPr>
          <w:rFonts w:ascii="Calibri" w:eastAsia="SimSun" w:hAnsi="Calibri" w:cs="Times New Roman"/>
        </w:rPr>
        <w:t xml:space="preserve">South Wales, Tasmania, the Northern </w:t>
      </w:r>
      <w:proofErr w:type="gramStart"/>
      <w:r>
        <w:rPr>
          <w:rFonts w:ascii="Calibri" w:eastAsia="SimSun" w:hAnsi="Calibri" w:cs="Times New Roman"/>
        </w:rPr>
        <w:t>Territory</w:t>
      </w:r>
      <w:proofErr w:type="gramEnd"/>
      <w:r>
        <w:rPr>
          <w:rFonts w:ascii="Calibri" w:eastAsia="SimSun" w:hAnsi="Calibri" w:cs="Times New Roman"/>
        </w:rPr>
        <w:t xml:space="preserve"> and the Australian Capital Territory.</w:t>
      </w:r>
    </w:p>
    <w:p w14:paraId="1BF23753" w14:textId="6E29E4AD" w:rsidR="003D3EC9" w:rsidRPr="00657322" w:rsidRDefault="003D3EC9" w:rsidP="003D3EC9">
      <w:pPr>
        <w:rPr>
          <w:rFonts w:ascii="Calibri" w:eastAsia="SimSun" w:hAnsi="Calibri" w:cs="Times New Roman"/>
        </w:rPr>
      </w:pPr>
      <w:r w:rsidRPr="00657322">
        <w:rPr>
          <w:rFonts w:ascii="Calibri" w:eastAsia="SimSun" w:hAnsi="Calibri" w:cs="Times New Roman"/>
        </w:rPr>
        <w:t>In 202</w:t>
      </w:r>
      <w:r>
        <w:rPr>
          <w:rFonts w:ascii="Calibri" w:eastAsia="SimSun" w:hAnsi="Calibri" w:cs="Times New Roman"/>
        </w:rPr>
        <w:t>4</w:t>
      </w:r>
      <w:r w:rsidRPr="00657322">
        <w:rPr>
          <w:rFonts w:ascii="Calibri" w:eastAsia="SimSun" w:hAnsi="Calibri" w:cs="Times New Roman"/>
        </w:rPr>
        <w:t>–2</w:t>
      </w:r>
      <w:r>
        <w:rPr>
          <w:rFonts w:ascii="Calibri" w:eastAsia="SimSun" w:hAnsi="Calibri" w:cs="Times New Roman"/>
        </w:rPr>
        <w:t>5</w:t>
      </w:r>
      <w:r w:rsidRPr="00657322">
        <w:rPr>
          <w:rFonts w:ascii="Calibri" w:eastAsia="SimSun" w:hAnsi="Calibri" w:cs="Times New Roman"/>
        </w:rPr>
        <w:t>, Western Australia</w:t>
      </w:r>
      <w:r w:rsidRPr="00657322" w:rsidDel="00447E2E">
        <w:rPr>
          <w:rFonts w:ascii="Calibri" w:eastAsia="SimSun" w:hAnsi="Calibri" w:cs="Times New Roman"/>
        </w:rPr>
        <w:t xml:space="preserve"> </w:t>
      </w:r>
      <w:r w:rsidRPr="00657322">
        <w:rPr>
          <w:rFonts w:ascii="Calibri" w:eastAsia="SimSun" w:hAnsi="Calibri" w:cs="Times New Roman"/>
        </w:rPr>
        <w:t>is forecast to have the highest population growth rate (</w:t>
      </w:r>
      <w:r>
        <w:rPr>
          <w:rFonts w:ascii="Calibri" w:eastAsia="SimSun" w:hAnsi="Calibri" w:cs="Times New Roman"/>
        </w:rPr>
        <w:t>2.</w:t>
      </w:r>
      <w:r w:rsidR="00A870B8">
        <w:rPr>
          <w:rFonts w:ascii="Calibri" w:eastAsia="SimSun" w:hAnsi="Calibri" w:cs="Times New Roman"/>
        </w:rPr>
        <w:t>2</w:t>
      </w:r>
      <w:r w:rsidR="00FF207F">
        <w:rPr>
          <w:rFonts w:ascii="Calibri" w:eastAsia="SimSun" w:hAnsi="Calibri" w:cs="Times New Roman"/>
        </w:rPr>
        <w:t> per cent</w:t>
      </w:r>
      <w:r w:rsidRPr="00657322">
        <w:rPr>
          <w:rFonts w:ascii="Calibri" w:eastAsia="SimSun" w:hAnsi="Calibri" w:cs="Times New Roman"/>
        </w:rPr>
        <w:t xml:space="preserve">), with </w:t>
      </w:r>
      <w:r>
        <w:rPr>
          <w:rFonts w:ascii="Calibri" w:eastAsia="SimSun" w:hAnsi="Calibri" w:cs="Times New Roman"/>
        </w:rPr>
        <w:t xml:space="preserve">particularly </w:t>
      </w:r>
      <w:r w:rsidRPr="00657322">
        <w:rPr>
          <w:rFonts w:ascii="Calibri" w:eastAsia="SimSun" w:hAnsi="Calibri" w:cs="Times New Roman"/>
        </w:rPr>
        <w:t xml:space="preserve">elevated </w:t>
      </w:r>
      <w:r w:rsidR="00E84835">
        <w:rPr>
          <w:rFonts w:ascii="Calibri" w:eastAsia="SimSun" w:hAnsi="Calibri" w:cs="Times New Roman"/>
        </w:rPr>
        <w:t>NOM</w:t>
      </w:r>
      <w:r w:rsidRPr="00657322">
        <w:rPr>
          <w:rFonts w:ascii="Calibri" w:eastAsia="SimSun" w:hAnsi="Calibri" w:cs="Times New Roman"/>
        </w:rPr>
        <w:t>. Tasmania is forecast to have the lowest population growth rate, at 0.</w:t>
      </w:r>
      <w:r>
        <w:rPr>
          <w:rFonts w:ascii="Calibri" w:eastAsia="SimSun" w:hAnsi="Calibri" w:cs="Times New Roman"/>
        </w:rPr>
        <w:t>2</w:t>
      </w:r>
      <w:r w:rsidR="00FF207F">
        <w:rPr>
          <w:rFonts w:ascii="Calibri" w:eastAsia="SimSun" w:hAnsi="Calibri" w:cs="Times New Roman"/>
        </w:rPr>
        <w:t> per cent</w:t>
      </w:r>
      <w:r w:rsidRPr="00657322">
        <w:rPr>
          <w:rFonts w:ascii="Calibri" w:eastAsia="SimSun" w:hAnsi="Calibri" w:cs="Times New Roman"/>
        </w:rPr>
        <w:t>, mostly due to its</w:t>
      </w:r>
      <w:r w:rsidRPr="00657322" w:rsidDel="00EA63CC">
        <w:rPr>
          <w:rFonts w:ascii="Calibri" w:eastAsia="SimSun" w:hAnsi="Calibri" w:cs="Times New Roman"/>
        </w:rPr>
        <w:t xml:space="preserve"> low share of </w:t>
      </w:r>
      <w:r w:rsidR="00E84835">
        <w:rPr>
          <w:rFonts w:ascii="Calibri" w:eastAsia="SimSun" w:hAnsi="Calibri" w:cs="Times New Roman"/>
        </w:rPr>
        <w:t>NOM</w:t>
      </w:r>
      <w:r>
        <w:rPr>
          <w:rFonts w:ascii="Calibri" w:eastAsia="SimSun" w:hAnsi="Calibri" w:cs="Times New Roman"/>
        </w:rPr>
        <w:t xml:space="preserve"> and a net outflow of people to other states</w:t>
      </w:r>
      <w:r w:rsidRPr="00657322" w:rsidDel="00EA63CC">
        <w:rPr>
          <w:rFonts w:ascii="Calibri" w:eastAsia="SimSun" w:hAnsi="Calibri" w:cs="Times New Roman"/>
        </w:rPr>
        <w:t>.</w:t>
      </w:r>
    </w:p>
    <w:p w14:paraId="36412872" w14:textId="2B95FAB3" w:rsidR="003D3EC9" w:rsidRPr="00657322" w:rsidRDefault="003D3EC9" w:rsidP="003D3EC9">
      <w:pPr>
        <w:rPr>
          <w:rFonts w:ascii="Calibri" w:eastAsia="SimSun" w:hAnsi="Calibri" w:cs="Times New Roman"/>
        </w:rPr>
      </w:pPr>
      <w:r w:rsidRPr="487B0C12">
        <w:rPr>
          <w:rFonts w:ascii="Calibri" w:eastAsia="SimSun" w:hAnsi="Calibri" w:cs="Times New Roman"/>
        </w:rPr>
        <w:t xml:space="preserve">Population growth in all states and territories is expected to settle from 2025–26, with slight declines in growth rates as the population ages. </w:t>
      </w:r>
      <w:r w:rsidR="00AE1EF7">
        <w:rPr>
          <w:rFonts w:ascii="Calibri" w:eastAsia="SimSun" w:hAnsi="Calibri" w:cs="Times New Roman"/>
        </w:rPr>
        <w:t>Western Australia</w:t>
      </w:r>
      <w:r w:rsidRPr="487B0C12">
        <w:rPr>
          <w:rFonts w:ascii="Calibri" w:eastAsia="SimSun" w:hAnsi="Calibri" w:cs="Times New Roman"/>
        </w:rPr>
        <w:t xml:space="preserve"> </w:t>
      </w:r>
      <w:r w:rsidR="00840025">
        <w:rPr>
          <w:rFonts w:ascii="Calibri" w:eastAsia="SimSun" w:hAnsi="Calibri" w:cs="Times New Roman"/>
        </w:rPr>
        <w:t>and Victora are</w:t>
      </w:r>
      <w:r w:rsidRPr="487B0C12">
        <w:rPr>
          <w:rFonts w:ascii="Calibri" w:eastAsia="SimSun" w:hAnsi="Calibri" w:cs="Times New Roman"/>
        </w:rPr>
        <w:t xml:space="preserve"> projected to be the fastest growing state</w:t>
      </w:r>
      <w:r w:rsidR="00840025">
        <w:rPr>
          <w:rFonts w:ascii="Calibri" w:eastAsia="SimSun" w:hAnsi="Calibri" w:cs="Times New Roman"/>
        </w:rPr>
        <w:t>s</w:t>
      </w:r>
      <w:r w:rsidRPr="487B0C12">
        <w:rPr>
          <w:rFonts w:ascii="Calibri" w:eastAsia="SimSun" w:hAnsi="Calibri" w:cs="Times New Roman"/>
        </w:rPr>
        <w:t xml:space="preserve"> </w:t>
      </w:r>
      <w:r w:rsidR="00244324">
        <w:rPr>
          <w:rFonts w:ascii="Calibri" w:eastAsia="SimSun" w:hAnsi="Calibri" w:cs="Times New Roman"/>
        </w:rPr>
        <w:t>over the projection period</w:t>
      </w:r>
      <w:r w:rsidRPr="487B0C12">
        <w:rPr>
          <w:rFonts w:ascii="Calibri" w:eastAsia="SimSun" w:hAnsi="Calibri" w:cs="Times New Roman"/>
        </w:rPr>
        <w:t xml:space="preserve">, driven by </w:t>
      </w:r>
      <w:r w:rsidR="00244324">
        <w:rPr>
          <w:rFonts w:ascii="Calibri" w:eastAsia="SimSun" w:hAnsi="Calibri" w:cs="Times New Roman"/>
        </w:rPr>
        <w:t>their</w:t>
      </w:r>
      <w:r w:rsidR="00244324" w:rsidRPr="487B0C12">
        <w:rPr>
          <w:rFonts w:ascii="Calibri" w:eastAsia="SimSun" w:hAnsi="Calibri" w:cs="Times New Roman"/>
        </w:rPr>
        <w:t xml:space="preserve"> </w:t>
      </w:r>
      <w:r w:rsidRPr="487B0C12">
        <w:rPr>
          <w:rFonts w:ascii="Calibri" w:eastAsia="SimSun" w:hAnsi="Calibri" w:cs="Times New Roman"/>
        </w:rPr>
        <w:t>high share</w:t>
      </w:r>
      <w:r w:rsidR="00244324">
        <w:rPr>
          <w:rFonts w:ascii="Calibri" w:eastAsia="SimSun" w:hAnsi="Calibri" w:cs="Times New Roman"/>
        </w:rPr>
        <w:t>s</w:t>
      </w:r>
      <w:r w:rsidRPr="487B0C12">
        <w:rPr>
          <w:rFonts w:ascii="Calibri" w:eastAsia="SimSun" w:hAnsi="Calibri" w:cs="Times New Roman"/>
        </w:rPr>
        <w:t xml:space="preserve"> of </w:t>
      </w:r>
      <w:r w:rsidR="00E84835">
        <w:rPr>
          <w:rFonts w:ascii="Calibri" w:eastAsia="SimSun" w:hAnsi="Calibri" w:cs="Times New Roman"/>
        </w:rPr>
        <w:t>NOM</w:t>
      </w:r>
      <w:r w:rsidRPr="487B0C12">
        <w:rPr>
          <w:rFonts w:ascii="Calibri" w:eastAsia="SimSun" w:hAnsi="Calibri" w:cs="Times New Roman"/>
        </w:rPr>
        <w:t xml:space="preserve">. New South Wales is projected to grow more slowly than the other mainland eastern states but </w:t>
      </w:r>
      <w:r>
        <w:rPr>
          <w:rFonts w:ascii="Calibri" w:eastAsia="SimSun" w:hAnsi="Calibri" w:cs="Times New Roman"/>
        </w:rPr>
        <w:t xml:space="preserve">will </w:t>
      </w:r>
      <w:r w:rsidRPr="487B0C12">
        <w:rPr>
          <w:rFonts w:ascii="Calibri" w:eastAsia="SimSun" w:hAnsi="Calibri" w:cs="Times New Roman"/>
        </w:rPr>
        <w:t>remain Australia</w:t>
      </w:r>
      <w:r w:rsidR="00050D25">
        <w:rPr>
          <w:rFonts w:ascii="Calibri" w:eastAsia="SimSun" w:hAnsi="Calibri" w:cs="Times New Roman"/>
        </w:rPr>
        <w:t>’</w:t>
      </w:r>
      <w:r w:rsidRPr="487B0C12">
        <w:rPr>
          <w:rFonts w:ascii="Calibri" w:eastAsia="SimSun" w:hAnsi="Calibri" w:cs="Times New Roman"/>
        </w:rPr>
        <w:t>s largest state with a population of 9.6 million in 2034–35 (30.8</w:t>
      </w:r>
      <w:r w:rsidR="00FF207F">
        <w:rPr>
          <w:rFonts w:ascii="Calibri" w:eastAsia="SimSun" w:hAnsi="Calibri" w:cs="Times New Roman"/>
        </w:rPr>
        <w:t> per cent</w:t>
      </w:r>
      <w:r w:rsidRPr="487B0C12">
        <w:rPr>
          <w:rFonts w:ascii="Calibri" w:eastAsia="SimSun" w:hAnsi="Calibri" w:cs="Times New Roman"/>
        </w:rPr>
        <w:t xml:space="preserve"> of the national population). Tasmania and South Australia are expected to be the lowest grow</w:t>
      </w:r>
      <w:r w:rsidR="00101F8C">
        <w:rPr>
          <w:rFonts w:ascii="Calibri" w:eastAsia="SimSun" w:hAnsi="Calibri" w:cs="Times New Roman"/>
        </w:rPr>
        <w:t>th</w:t>
      </w:r>
      <w:r w:rsidRPr="487B0C12">
        <w:rPr>
          <w:rFonts w:ascii="Calibri" w:eastAsia="SimSun" w:hAnsi="Calibri" w:cs="Times New Roman"/>
        </w:rPr>
        <w:t xml:space="preserve"> states </w:t>
      </w:r>
      <w:r w:rsidR="00D26AD4">
        <w:rPr>
          <w:rFonts w:ascii="Calibri" w:eastAsia="SimSun" w:hAnsi="Calibri" w:cs="Times New Roman"/>
        </w:rPr>
        <w:t>from 2026</w:t>
      </w:r>
      <w:r w:rsidR="005B7226">
        <w:t>–</w:t>
      </w:r>
      <w:r w:rsidR="00D26AD4">
        <w:rPr>
          <w:rFonts w:ascii="Calibri" w:eastAsia="SimSun" w:hAnsi="Calibri" w:cs="Times New Roman"/>
        </w:rPr>
        <w:t>27</w:t>
      </w:r>
      <w:r>
        <w:rPr>
          <w:rFonts w:ascii="Calibri" w:eastAsia="SimSun" w:hAnsi="Calibri" w:cs="Times New Roman"/>
        </w:rPr>
        <w:t>.</w:t>
      </w:r>
      <w:r w:rsidRPr="487B0C12">
        <w:rPr>
          <w:rFonts w:ascii="Calibri" w:eastAsia="SimSun" w:hAnsi="Calibri" w:cs="Times New Roman"/>
        </w:rPr>
        <w:t xml:space="preserve"> </w:t>
      </w:r>
      <w:r>
        <w:rPr>
          <w:rFonts w:ascii="Calibri" w:eastAsia="SimSun" w:hAnsi="Calibri" w:cs="Times New Roman"/>
        </w:rPr>
        <w:t xml:space="preserve">Both states have a relatively small share of </w:t>
      </w:r>
      <w:r w:rsidR="00E84835">
        <w:rPr>
          <w:rFonts w:ascii="Calibri" w:eastAsia="SimSun" w:hAnsi="Calibri" w:cs="Times New Roman"/>
        </w:rPr>
        <w:t>NOM</w:t>
      </w:r>
      <w:r>
        <w:rPr>
          <w:rFonts w:ascii="Calibri" w:eastAsia="SimSun" w:hAnsi="Calibri" w:cs="Times New Roman"/>
        </w:rPr>
        <w:t xml:space="preserve">, </w:t>
      </w:r>
      <w:r w:rsidRPr="487B0C12">
        <w:rPr>
          <w:rFonts w:ascii="Calibri" w:eastAsia="SimSun" w:hAnsi="Calibri" w:cs="Times New Roman"/>
        </w:rPr>
        <w:t>little or negative</w:t>
      </w:r>
      <w:r>
        <w:rPr>
          <w:rFonts w:ascii="Calibri" w:eastAsia="SimSun" w:hAnsi="Calibri" w:cs="Times New Roman"/>
        </w:rPr>
        <w:t xml:space="preserve"> net</w:t>
      </w:r>
      <w:r w:rsidRPr="487B0C12">
        <w:rPr>
          <w:rFonts w:ascii="Calibri" w:eastAsia="SimSun" w:hAnsi="Calibri" w:cs="Times New Roman"/>
        </w:rPr>
        <w:t xml:space="preserve"> interstate migration</w:t>
      </w:r>
      <w:r>
        <w:rPr>
          <w:rFonts w:ascii="Calibri" w:eastAsia="SimSun" w:hAnsi="Calibri" w:cs="Times New Roman"/>
        </w:rPr>
        <w:t>, and low</w:t>
      </w:r>
      <w:r w:rsidRPr="487B0C12">
        <w:rPr>
          <w:rFonts w:ascii="Calibri" w:eastAsia="SimSun" w:hAnsi="Calibri" w:cs="Times New Roman"/>
        </w:rPr>
        <w:t xml:space="preserve"> natural increase</w:t>
      </w:r>
      <w:r>
        <w:rPr>
          <w:rFonts w:ascii="Calibri" w:eastAsia="SimSun" w:hAnsi="Calibri" w:cs="Times New Roman"/>
        </w:rPr>
        <w:t xml:space="preserve"> arising from</w:t>
      </w:r>
      <w:r w:rsidRPr="487B0C12">
        <w:rPr>
          <w:rFonts w:ascii="Calibri" w:eastAsia="SimSun" w:hAnsi="Calibri" w:cs="Times New Roman"/>
        </w:rPr>
        <w:t xml:space="preserve"> their older population age structures.</w:t>
      </w:r>
    </w:p>
    <w:p w14:paraId="7CB96737" w14:textId="3AA7EEEC" w:rsidR="003D3EC9" w:rsidRPr="0080495D" w:rsidRDefault="003D3EC9" w:rsidP="00654915">
      <w:pPr>
        <w:pStyle w:val="ChartMainHeading"/>
      </w:pPr>
      <w:bookmarkStart w:id="152" w:name="_Ref116297400"/>
      <w:bookmarkStart w:id="153" w:name="_Ref181188144"/>
      <w:r w:rsidRPr="0080495D">
        <w:t xml:space="preserve">Population </w:t>
      </w:r>
      <w:r w:rsidRPr="00207D66">
        <w:t>growth</w:t>
      </w:r>
      <w:r w:rsidRPr="0080495D">
        <w:t>, state</w:t>
      </w:r>
      <w:bookmarkEnd w:id="152"/>
      <w:r>
        <w:t>s and territories</w:t>
      </w:r>
      <w:bookmarkEnd w:id="153"/>
    </w:p>
    <w:tbl>
      <w:tblPr>
        <w:tblStyle w:val="PlainTable4"/>
        <w:tblW w:w="0" w:type="auto"/>
        <w:tblLook w:val="04A0" w:firstRow="1" w:lastRow="0" w:firstColumn="1" w:lastColumn="0" w:noHBand="0" w:noVBand="1"/>
      </w:tblPr>
      <w:tblGrid>
        <w:gridCol w:w="4536"/>
        <w:gridCol w:w="4536"/>
      </w:tblGrid>
      <w:tr w:rsidR="00512023" w14:paraId="4D889077" w14:textId="77777777" w:rsidTr="00371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56628E" w14:textId="2FA52B18" w:rsidR="00512023" w:rsidRDefault="00B72095" w:rsidP="00997375">
            <w:pPr>
              <w:pStyle w:val="ChartGraphic"/>
            </w:pPr>
            <w:r w:rsidRPr="00B72095">
              <w:rPr>
                <w:noProof/>
              </w:rPr>
              <w:drawing>
                <wp:inline distT="0" distB="0" distL="0" distR="0" wp14:anchorId="7E1521AA" wp14:editId="23B02A7D">
                  <wp:extent cx="2819400" cy="2867025"/>
                  <wp:effectExtent l="0" t="0" r="0" b="0"/>
                  <wp:docPr id="1043843372" name="Picture 12" descr="These charts show the population growth rates of each state from 2018–19 to 2034–35. For Victoria, Queensland, New South Wales, Western Australia, Australian Capital Territory and South Australia growth rates peak in 2022–23 and declines until 2026–27. For the Northern Territory, the population growth falls in 2023–24 before increasing to around 1 per cent from 2026–27. Tasmania’s already low growth rate remains below other states throughout the forecas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3372" name="Picture 12" descr="These charts show the population growth rates of each state from 2018–19 to 2034–35. For Victoria, Queensland, New South Wales, Western Australia, Australian Capital Territory and South Australia growth rates peak in 2022–23 and declines until 2026–27. For the Northern Territory, the population growth falls in 2023–24 before increasing to around 1 per cent from 2026–27. Tasmania’s already low growth rate remains below other states throughout the forecast perio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2867025"/>
                          </a:xfrm>
                          <a:prstGeom prst="rect">
                            <a:avLst/>
                          </a:prstGeom>
                          <a:noFill/>
                          <a:ln>
                            <a:noFill/>
                          </a:ln>
                        </pic:spPr>
                      </pic:pic>
                    </a:graphicData>
                  </a:graphic>
                </wp:inline>
              </w:drawing>
            </w:r>
          </w:p>
        </w:tc>
        <w:tc>
          <w:tcPr>
            <w:tcW w:w="0" w:type="dxa"/>
          </w:tcPr>
          <w:p w14:paraId="0C0F99B6" w14:textId="2CCA0DE0" w:rsidR="00512023" w:rsidRPr="00997375" w:rsidRDefault="00B72095" w:rsidP="00997375">
            <w:pPr>
              <w:pStyle w:val="ChartGraphic"/>
              <w:cnfStyle w:val="100000000000" w:firstRow="1" w:lastRow="0" w:firstColumn="0" w:lastColumn="0" w:oddVBand="0" w:evenVBand="0" w:oddHBand="0" w:evenHBand="0" w:firstRowFirstColumn="0" w:firstRowLastColumn="0" w:lastRowFirstColumn="0" w:lastRowLastColumn="0"/>
            </w:pPr>
            <w:r w:rsidRPr="00997375">
              <w:rPr>
                <w:noProof/>
              </w:rPr>
              <w:drawing>
                <wp:inline distT="0" distB="0" distL="0" distR="0" wp14:anchorId="0668A66B" wp14:editId="0FA3B877">
                  <wp:extent cx="2819400" cy="2867025"/>
                  <wp:effectExtent l="0" t="0" r="0" b="0"/>
                  <wp:docPr id="233318742" name="Picture 14" descr="These charts show the population growth rates of each state from 2018–19 to 2034–35. For Victoria, Queensland, New South Wales, Western Australia, Australian Capital Territory and South Australia growth rates peak in 2022–23 and declines until 2026–27. For the Northern Territory, the population growth falls in 2023–24 before increasing to around 1 per cent from 2026–27. Tasmania’s already low growth rate remains below other states throughout the forecas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18742" name="Picture 14" descr="These charts show the population growth rates of each state from 2018–19 to 2034–35. For Victoria, Queensland, New South Wales, Western Australia, Australian Capital Territory and South Australia growth rates peak in 2022–23 and declines until 2026–27. For the Northern Territory, the population growth falls in 2023–24 before increasing to around 1 per cent from 2026–27. Tasmania’s already low growth rate remains below other states throughout the forecast perio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2867025"/>
                          </a:xfrm>
                          <a:prstGeom prst="rect">
                            <a:avLst/>
                          </a:prstGeom>
                          <a:noFill/>
                          <a:ln>
                            <a:noFill/>
                          </a:ln>
                        </pic:spPr>
                      </pic:pic>
                    </a:graphicData>
                  </a:graphic>
                </wp:inline>
              </w:drawing>
            </w:r>
          </w:p>
        </w:tc>
      </w:tr>
    </w:tbl>
    <w:p w14:paraId="28E8A8AC" w14:textId="77777777" w:rsidR="003D3EC9" w:rsidRPr="003E2236" w:rsidRDefault="003D3EC9" w:rsidP="003D3EC9">
      <w:pPr>
        <w:pStyle w:val="Source"/>
        <w:rPr>
          <w:rStyle w:val="Hyperlink"/>
          <w:color w:val="000000"/>
          <w:sz w:val="20"/>
        </w:rPr>
      </w:pPr>
      <w:r w:rsidRPr="00207D66">
        <w:t xml:space="preserve">Source: </w:t>
      </w:r>
      <w:r w:rsidRPr="00207D66">
        <w:tab/>
        <w:t xml:space="preserve">ABS, </w:t>
      </w:r>
      <w:r w:rsidRPr="00997375">
        <w:rPr>
          <w:rStyle w:val="SubtleEmphasis"/>
        </w:rPr>
        <w:t>National, state and territory population</w:t>
      </w:r>
      <w:r w:rsidRPr="0037128E">
        <w:rPr>
          <w:i/>
          <w:iCs/>
        </w:rPr>
        <w:t>, March 2024</w:t>
      </w:r>
      <w:r>
        <w:t>;</w:t>
      </w:r>
      <w:r w:rsidRPr="00207D66">
        <w:t xml:space="preserve"> and Centre for Population.</w:t>
      </w:r>
    </w:p>
    <w:p w14:paraId="009B9419" w14:textId="4E0EB30E" w:rsidR="003D3EC9" w:rsidRDefault="003D3EC9" w:rsidP="00997375">
      <w:pPr>
        <w:pStyle w:val="SingleParagraph"/>
        <w:rPr>
          <w:highlight w:val="yellow"/>
        </w:rPr>
      </w:pPr>
      <w:r>
        <w:rPr>
          <w:highlight w:val="yellow"/>
        </w:rPr>
        <w:br w:type="page"/>
      </w:r>
    </w:p>
    <w:p w14:paraId="6B8D2CBD" w14:textId="52D07B83" w:rsidR="003D3EC9" w:rsidRDefault="003D3EC9" w:rsidP="003D3EC9">
      <w:pPr>
        <w:pStyle w:val="Heading3Numbered"/>
      </w:pPr>
      <w:r>
        <w:lastRenderedPageBreak/>
        <w:t>Changes since the 2023 Population Statement</w:t>
      </w:r>
    </w:p>
    <w:p w14:paraId="21FA4E91" w14:textId="18AF57B9" w:rsidR="003D3EC9" w:rsidRDefault="003D3EC9" w:rsidP="003D3EC9">
      <w:r>
        <w:t>The Centre</w:t>
      </w:r>
      <w:r w:rsidR="00236FA7">
        <w:t xml:space="preserve"> has changed its</w:t>
      </w:r>
      <w:r>
        <w:t xml:space="preserve"> projections significantly for some states and territories since the 2023 Population Statement (</w:t>
      </w:r>
      <w:r>
        <w:fldChar w:fldCharType="begin"/>
      </w:r>
      <w:r>
        <w:instrText xml:space="preserve"> REF _Ref180496453 \r \h </w:instrText>
      </w:r>
      <w:r>
        <w:fldChar w:fldCharType="separate"/>
      </w:r>
      <w:r w:rsidR="00050D25">
        <w:t>Chart 24</w:t>
      </w:r>
      <w:r>
        <w:fldChar w:fldCharType="end"/>
      </w:r>
      <w:r>
        <w:t>). In the short term, the forecasts for 2023–24 have been revised up by 1.</w:t>
      </w:r>
      <w:r w:rsidR="00B06B83">
        <w:t>3</w:t>
      </w:r>
      <w:r w:rsidR="00FF207F">
        <w:t> per cent</w:t>
      </w:r>
      <w:r>
        <w:t xml:space="preserve"> for Western Australia and 0.5</w:t>
      </w:r>
      <w:r w:rsidR="00FF207F">
        <w:t> per cent</w:t>
      </w:r>
      <w:r>
        <w:t xml:space="preserve"> for Queensland, driven by higher</w:t>
      </w:r>
      <w:r w:rsidR="00050D25">
        <w:noBreakHyphen/>
      </w:r>
      <w:r>
        <w:t>than</w:t>
      </w:r>
      <w:r w:rsidR="00050D25">
        <w:noBreakHyphen/>
      </w:r>
      <w:r>
        <w:t xml:space="preserve">expected </w:t>
      </w:r>
      <w:r w:rsidR="00E84835">
        <w:t>NOM</w:t>
      </w:r>
      <w:r>
        <w:t xml:space="preserve">. </w:t>
      </w:r>
    </w:p>
    <w:p w14:paraId="1AA4D217" w14:textId="2178C937" w:rsidR="003D3EC9" w:rsidRDefault="003D3EC9" w:rsidP="003D3EC9">
      <w:r>
        <w:t>By 2033</w:t>
      </w:r>
      <w:r w:rsidR="00AF38FB">
        <w:t>–</w:t>
      </w:r>
      <w:r>
        <w:t xml:space="preserve">34, </w:t>
      </w:r>
      <w:r w:rsidR="006C1853">
        <w:t xml:space="preserve">projected </w:t>
      </w:r>
      <w:r w:rsidR="008A38AF">
        <w:t xml:space="preserve">state </w:t>
      </w:r>
      <w:r>
        <w:t xml:space="preserve">shares of </w:t>
      </w:r>
      <w:r w:rsidR="00E84835">
        <w:t>NOM</w:t>
      </w:r>
      <w:r>
        <w:t xml:space="preserve"> have</w:t>
      </w:r>
      <w:r w:rsidR="00567A6C">
        <w:t xml:space="preserve"> change</w:t>
      </w:r>
      <w:r w:rsidR="00ED67EC">
        <w:t>d</w:t>
      </w:r>
      <w:r w:rsidR="00567A6C">
        <w:t xml:space="preserve"> substantially</w:t>
      </w:r>
      <w:r w:rsidR="006C1853">
        <w:t>, as the Centre has adopted</w:t>
      </w:r>
      <w:r w:rsidR="00567A6C">
        <w:t xml:space="preserve"> a new methodology </w:t>
      </w:r>
      <w:r w:rsidR="006C1853">
        <w:t xml:space="preserve">to better reflect state </w:t>
      </w:r>
      <w:r w:rsidR="00616953">
        <w:t>level NOM data</w:t>
      </w:r>
      <w:r w:rsidR="00567A6C">
        <w:t xml:space="preserve"> </w:t>
      </w:r>
      <w:r w:rsidR="008A38AF">
        <w:t>(Appendix – Section</w:t>
      </w:r>
      <w:r w:rsidR="00A74CE8">
        <w:t xml:space="preserve"> </w:t>
      </w:r>
      <w:r w:rsidR="00F73FE1">
        <w:fldChar w:fldCharType="begin"/>
      </w:r>
      <w:r w:rsidR="00F73FE1">
        <w:instrText xml:space="preserve"> REF _Ref184646542 \r \h </w:instrText>
      </w:r>
      <w:r w:rsidR="00F73FE1">
        <w:fldChar w:fldCharType="separate"/>
      </w:r>
      <w:r w:rsidR="00050D25">
        <w:t>3.1.1</w:t>
      </w:r>
      <w:r w:rsidR="00F73FE1">
        <w:fldChar w:fldCharType="end"/>
      </w:r>
      <w:r w:rsidR="00ED67EC">
        <w:t>). This has</w:t>
      </w:r>
      <w:r>
        <w:t xml:space="preserve"> led to large downgrades to the projected populations for Tasmania (down 5.6</w:t>
      </w:r>
      <w:r w:rsidR="00FF207F">
        <w:t> per cent</w:t>
      </w:r>
      <w:r>
        <w:t>) and the Australian Capital Territory (down 4.</w:t>
      </w:r>
      <w:r w:rsidR="00E312D4">
        <w:t>4</w:t>
      </w:r>
      <w:r w:rsidR="00FF207F">
        <w:t> per cent</w:t>
      </w:r>
      <w:r>
        <w:t>) and upgrades to the projected populations for Western Australia (up 2.</w:t>
      </w:r>
      <w:r w:rsidR="00E312D4">
        <w:t>9</w:t>
      </w:r>
      <w:r w:rsidR="00FF207F">
        <w:t> per cent</w:t>
      </w:r>
      <w:r>
        <w:t>) and Queensland (up 1.2</w:t>
      </w:r>
      <w:r w:rsidR="00FF207F">
        <w:t> per cent</w:t>
      </w:r>
      <w:r>
        <w:t>). Tasmania</w:t>
      </w:r>
      <w:r w:rsidR="00050D25">
        <w:t>’</w:t>
      </w:r>
      <w:r w:rsidR="003D4119">
        <w:t>s</w:t>
      </w:r>
      <w:r>
        <w:t xml:space="preserve"> population is now expected to increase by 3.</w:t>
      </w:r>
      <w:r w:rsidR="006365E2">
        <w:t>7</w:t>
      </w:r>
      <w:r w:rsidR="00FF207F">
        <w:t> per cent</w:t>
      </w:r>
      <w:r>
        <w:t xml:space="preserve"> over the decade to 2033–34, less than half the 9.4</w:t>
      </w:r>
      <w:r w:rsidR="00FF207F">
        <w:t> per cent</w:t>
      </w:r>
      <w:r>
        <w:t xml:space="preserve"> growth expected in the 2023 Statement. Due to these changes in the </w:t>
      </w:r>
      <w:r w:rsidR="00E84835">
        <w:t>NOM</w:t>
      </w:r>
      <w:r>
        <w:t xml:space="preserve"> projections, Melbourne</w:t>
      </w:r>
      <w:r w:rsidR="00050D25">
        <w:t>’</w:t>
      </w:r>
      <w:r>
        <w:t>s population is no longer expected to overtake Sydney</w:t>
      </w:r>
      <w:r w:rsidR="00050D25">
        <w:t>’</w:t>
      </w:r>
      <w:r>
        <w:t>s by 2034–</w:t>
      </w:r>
      <w:r w:rsidR="001603C8">
        <w:t>‍</w:t>
      </w:r>
      <w:r>
        <w:t xml:space="preserve">35; </w:t>
      </w:r>
      <w:r w:rsidR="009215C3">
        <w:t xml:space="preserve">in the 2023 Statement, </w:t>
      </w:r>
      <w:r>
        <w:t xml:space="preserve">the Centre had expected this to occur in 2031–32. </w:t>
      </w:r>
    </w:p>
    <w:p w14:paraId="401C85C9" w14:textId="22A597D2" w:rsidR="003D3EC9" w:rsidRDefault="003D3EC9" w:rsidP="003D3EC9">
      <w:r>
        <w:t>Net interstate migration is projected to be lower than previously expected for the Northern Territory. Downgrades to net interstate migration over 2023–24 to 2025–26 are the main reason for the Northern</w:t>
      </w:r>
      <w:r w:rsidR="001339E1">
        <w:t> </w:t>
      </w:r>
      <w:r>
        <w:t>Territory</w:t>
      </w:r>
      <w:r w:rsidR="00050D25">
        <w:t>’</w:t>
      </w:r>
      <w:r>
        <w:t xml:space="preserve">s population being revised down by </w:t>
      </w:r>
      <w:r w:rsidR="0014128C">
        <w:t>2</w:t>
      </w:r>
      <w:r>
        <w:t>.</w:t>
      </w:r>
      <w:r w:rsidR="0014128C">
        <w:t>4</w:t>
      </w:r>
      <w:r w:rsidR="00FF207F">
        <w:t> per cent</w:t>
      </w:r>
      <w:r>
        <w:t xml:space="preserve"> by 2033–34.</w:t>
      </w:r>
    </w:p>
    <w:p w14:paraId="21454A29" w14:textId="7059F44E" w:rsidR="003D3EC9" w:rsidRPr="003649F1" w:rsidRDefault="003D3EC9" w:rsidP="003D3EC9">
      <w:r>
        <w:t>Due to lower fertility rates in the near term, total births have been revised down for all states and territories. However, the states with upward revisions to population will have more births from around the 2030s compared to the 2023 Statement. Tasmania is now projected to have natural decrease (more deaths than births) from 2029–30, compared to 2033–34 in the 2023 Statement.</w:t>
      </w:r>
    </w:p>
    <w:p w14:paraId="7A3ACE13" w14:textId="295A03BF" w:rsidR="003D3EC9" w:rsidRDefault="003D3EC9" w:rsidP="00654915">
      <w:pPr>
        <w:pStyle w:val="ChartMainHeading"/>
      </w:pPr>
      <w:bookmarkStart w:id="154" w:name="_Ref180496453"/>
      <w:r>
        <w:t>Change in state and territory population since the 2023 Population Statement</w:t>
      </w:r>
      <w:bookmarkEnd w:id="154"/>
    </w:p>
    <w:tbl>
      <w:tblPr>
        <w:tblStyle w:val="TableGrid"/>
        <w:tblW w:w="0" w:type="auto"/>
        <w:tblLayout w:type="fixed"/>
        <w:tblCellMar>
          <w:left w:w="0" w:type="dxa"/>
          <w:right w:w="0" w:type="dxa"/>
        </w:tblCellMar>
        <w:tblLook w:val="04A0" w:firstRow="1" w:lastRow="0" w:firstColumn="1" w:lastColumn="0" w:noHBand="0" w:noVBand="1"/>
      </w:tblPr>
      <w:tblGrid>
        <w:gridCol w:w="4365"/>
        <w:gridCol w:w="4365"/>
      </w:tblGrid>
      <w:tr w:rsidR="003D3EC9" w14:paraId="56854F8D" w14:textId="77777777" w:rsidTr="003914B2">
        <w:trPr>
          <w:trHeight w:val="4365"/>
        </w:trPr>
        <w:tc>
          <w:tcPr>
            <w:tcW w:w="4365" w:type="dxa"/>
            <w:shd w:val="clear" w:color="auto" w:fill="auto"/>
          </w:tcPr>
          <w:p w14:paraId="3D009E2C" w14:textId="77777777" w:rsidR="003D3EC9" w:rsidRDefault="003D3EC9" w:rsidP="00916EF2">
            <w:pPr>
              <w:pStyle w:val="ChartSecondHeading"/>
            </w:pPr>
            <w:r>
              <w:t>2023–24</w:t>
            </w:r>
          </w:p>
          <w:p w14:paraId="5BC0CDC8" w14:textId="3B6BC741" w:rsidR="003D3EC9" w:rsidRPr="00997375" w:rsidRDefault="00C03127" w:rsidP="00997375">
            <w:pPr>
              <w:pStyle w:val="ChartGraphic"/>
            </w:pPr>
            <w:r w:rsidRPr="00997375">
              <w:rPr>
                <w:noProof/>
              </w:rPr>
              <w:drawing>
                <wp:inline distT="0" distB="0" distL="0" distR="0" wp14:anchorId="1171B072" wp14:editId="28375D54">
                  <wp:extent cx="2771775" cy="2823210"/>
                  <wp:effectExtent l="0" t="0" r="9525" b="0"/>
                  <wp:docPr id="209042066" name="Picture 209042066" descr="This chart shows the per cent difference in state population between the 2023 and 2024 Population Statements, broken down by component, for 2023–24. All states have an absolute change in forecast population of less than 1 per cent except for Western Australia, where the difference is due to higher net overseas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2066" name="Picture 209042066" descr="This chart shows the per cent difference in state population between the 2023 and 2024 Population Statements, broken down by component, for 2023–24. All states have an absolute change in forecast population of less than 1 per cent except for Western Australia, where the difference is due to higher net overseas migr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2823210"/>
                          </a:xfrm>
                          <a:prstGeom prst="rect">
                            <a:avLst/>
                          </a:prstGeom>
                          <a:noFill/>
                          <a:ln>
                            <a:noFill/>
                          </a:ln>
                        </pic:spPr>
                      </pic:pic>
                    </a:graphicData>
                  </a:graphic>
                </wp:inline>
              </w:drawing>
            </w:r>
          </w:p>
        </w:tc>
        <w:tc>
          <w:tcPr>
            <w:tcW w:w="4365" w:type="dxa"/>
            <w:shd w:val="clear" w:color="auto" w:fill="auto"/>
          </w:tcPr>
          <w:p w14:paraId="0EA35CA8" w14:textId="77777777" w:rsidR="003D3EC9" w:rsidRPr="00997375" w:rsidRDefault="003D3EC9" w:rsidP="00997375">
            <w:pPr>
              <w:pStyle w:val="ChartSecondHeading"/>
            </w:pPr>
            <w:r w:rsidRPr="00997375">
              <w:t>2033–34</w:t>
            </w:r>
          </w:p>
          <w:p w14:paraId="2C265B32" w14:textId="4F261866" w:rsidR="003D3EC9" w:rsidRPr="00997375" w:rsidRDefault="00C03127" w:rsidP="00997375">
            <w:pPr>
              <w:pStyle w:val="ChartGraphic"/>
            </w:pPr>
            <w:r w:rsidRPr="00997375">
              <w:rPr>
                <w:noProof/>
              </w:rPr>
              <w:drawing>
                <wp:inline distT="0" distB="0" distL="0" distR="0" wp14:anchorId="52D3F237" wp14:editId="4BED7527">
                  <wp:extent cx="2771775" cy="2823210"/>
                  <wp:effectExtent l="0" t="0" r="9525" b="0"/>
                  <wp:docPr id="363681903" name="Picture 363681903" descr="This chart shows the per cent difference in forecast state population between the 2023 and 2024 Population Statements, broken down by component, for 2033–34. Western Australia’s population is around 3 per cent higher, Tasmania’s population is around 5½ per cent lower and the ACT’s population is around 4½ per cent lower, with changes to net overseas migration the biggest driver for all thre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81903" name="Picture 363681903" descr="This chart shows the per cent difference in forecast state population between the 2023 and 2024 Population Statements, broken down by component, for 2033–34. Western Australia’s population is around 3 per cent higher, Tasmania’s population is around 5½ per cent lower and the ACT’s population is around 4½ per cent lower, with changes to net overseas migration the biggest driver for all three stat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1775" cy="2823210"/>
                          </a:xfrm>
                          <a:prstGeom prst="rect">
                            <a:avLst/>
                          </a:prstGeom>
                          <a:noFill/>
                          <a:ln>
                            <a:noFill/>
                          </a:ln>
                        </pic:spPr>
                      </pic:pic>
                    </a:graphicData>
                  </a:graphic>
                </wp:inline>
              </w:drawing>
            </w:r>
          </w:p>
        </w:tc>
      </w:tr>
    </w:tbl>
    <w:p w14:paraId="5349AB83" w14:textId="77777777" w:rsidR="003D3EC9" w:rsidRPr="00FA64D7" w:rsidRDefault="003D3EC9" w:rsidP="00997375">
      <w:pPr>
        <w:pStyle w:val="Source"/>
      </w:pPr>
      <w:r w:rsidRPr="00FA64D7">
        <w:t>Source:</w:t>
      </w:r>
      <w:r w:rsidRPr="00FA64D7">
        <w:tab/>
        <w:t>Centre for Population</w:t>
      </w:r>
      <w:r w:rsidRPr="00FA64D7" w:rsidDel="00B52FFC">
        <w:t>.</w:t>
      </w:r>
    </w:p>
    <w:p w14:paraId="2197D979" w14:textId="204C58F1" w:rsidR="00F828E7" w:rsidRDefault="00F828E7" w:rsidP="00997375">
      <w:pPr>
        <w:pStyle w:val="SingleParagraph"/>
      </w:pPr>
      <w:bookmarkStart w:id="155" w:name="_Toc149846507"/>
      <w:bookmarkStart w:id="156" w:name="_Toc149846548"/>
      <w:bookmarkStart w:id="157" w:name="_Toc149846646"/>
      <w:bookmarkStart w:id="158" w:name="_Toc149847589"/>
      <w:r>
        <w:br w:type="page"/>
      </w:r>
    </w:p>
    <w:p w14:paraId="4C45B1E2" w14:textId="36B67715" w:rsidR="003D3EC9" w:rsidRDefault="003D3EC9" w:rsidP="003D3EC9">
      <w:pPr>
        <w:pStyle w:val="Heading3Numbered"/>
      </w:pPr>
      <w:r>
        <w:lastRenderedPageBreak/>
        <w:t>Capital cities and rest</w:t>
      </w:r>
      <w:r w:rsidR="00050D25">
        <w:noBreakHyphen/>
      </w:r>
      <w:r>
        <w:t>of</w:t>
      </w:r>
      <w:r w:rsidR="00050D25">
        <w:noBreakHyphen/>
      </w:r>
      <w:r>
        <w:t>state areas</w:t>
      </w:r>
      <w:bookmarkEnd w:id="155"/>
      <w:bookmarkEnd w:id="156"/>
      <w:bookmarkEnd w:id="157"/>
      <w:bookmarkEnd w:id="158"/>
    </w:p>
    <w:p w14:paraId="4B9634BA" w14:textId="30EDEA44" w:rsidR="006076A5" w:rsidRDefault="003D3EC9" w:rsidP="003D3EC9">
      <w:r>
        <w:t>Consistent with historical trends, the combined population of capital cities is projected to continue to grow nearly twice as fast as rest</w:t>
      </w:r>
      <w:r w:rsidR="00050D25">
        <w:noBreakHyphen/>
      </w:r>
      <w:r>
        <w:t>of</w:t>
      </w:r>
      <w:r w:rsidR="00050D25">
        <w:noBreakHyphen/>
      </w:r>
      <w:r>
        <w:t>state areas over the projection period (</w:t>
      </w:r>
      <w:r w:rsidR="00624976">
        <w:fldChar w:fldCharType="begin"/>
      </w:r>
      <w:r w:rsidR="00624976">
        <w:instrText xml:space="preserve"> REF _Ref184650095 \r \h </w:instrText>
      </w:r>
      <w:r w:rsidR="00624976">
        <w:fldChar w:fldCharType="separate"/>
      </w:r>
      <w:r w:rsidR="00050D25">
        <w:t>Chart 25</w:t>
      </w:r>
      <w:r w:rsidR="00624976">
        <w:fldChar w:fldCharType="end"/>
      </w:r>
      <w:r w:rsidR="00624976">
        <w:t xml:space="preserve"> </w:t>
      </w:r>
      <w:r w:rsidR="0070081C">
        <w:t>and</w:t>
      </w:r>
      <w:r w:rsidR="00624976">
        <w:t xml:space="preserve"> </w:t>
      </w:r>
      <w:r w:rsidR="00624976">
        <w:fldChar w:fldCharType="begin"/>
      </w:r>
      <w:r w:rsidR="00624976">
        <w:instrText xml:space="preserve"> REF _Ref184650102 \r \h </w:instrText>
      </w:r>
      <w:r w:rsidR="00624976">
        <w:fldChar w:fldCharType="separate"/>
      </w:r>
      <w:r w:rsidR="00050D25">
        <w:t>Chart 26</w:t>
      </w:r>
      <w:r w:rsidR="00624976">
        <w:fldChar w:fldCharType="end"/>
      </w:r>
      <w:r w:rsidR="00624976">
        <w:t>)</w:t>
      </w:r>
      <w:r>
        <w:t>. The combined capital city population is projected to grow from 18.0</w:t>
      </w:r>
      <w:r w:rsidR="00FF207F">
        <w:t> million</w:t>
      </w:r>
      <w:r>
        <w:t xml:space="preserve"> in 2022–23 to 21.</w:t>
      </w:r>
      <w:r w:rsidR="00470C98">
        <w:t>7</w:t>
      </w:r>
      <w:r w:rsidR="00FF207F">
        <w:t> million</w:t>
      </w:r>
      <w:r>
        <w:t xml:space="preserve"> in 2034–35, which represents an increase of 20</w:t>
      </w:r>
      <w:r w:rsidR="00FF207F">
        <w:t> per cent</w:t>
      </w:r>
      <w:r>
        <w:t>. Over the same period, the population of the combined rest</w:t>
      </w:r>
      <w:r w:rsidR="00050D25">
        <w:noBreakHyphen/>
      </w:r>
      <w:r>
        <w:t>of</w:t>
      </w:r>
      <w:r w:rsidR="00050D25">
        <w:noBreakHyphen/>
      </w:r>
      <w:r>
        <w:t>state areas is projected to grow from 8.7</w:t>
      </w:r>
      <w:r w:rsidR="00FF207F">
        <w:t> million</w:t>
      </w:r>
      <w:r>
        <w:t xml:space="preserve"> to 9.6</w:t>
      </w:r>
      <w:r w:rsidR="00FF207F">
        <w:t> million</w:t>
      </w:r>
      <w:r>
        <w:t>, an increase of 11</w:t>
      </w:r>
      <w:r w:rsidR="00FF207F">
        <w:t> per cent</w:t>
      </w:r>
      <w:r>
        <w:t xml:space="preserve">. </w:t>
      </w:r>
    </w:p>
    <w:p w14:paraId="07F70740" w14:textId="1CC00E84" w:rsidR="00CA0BF5" w:rsidRPr="00207D66" w:rsidRDefault="00CA0BF5" w:rsidP="00654915">
      <w:pPr>
        <w:pStyle w:val="ChartMainHeading"/>
      </w:pPr>
      <w:bookmarkStart w:id="159" w:name="_Ref184650095"/>
      <w:r w:rsidRPr="00207D66">
        <w:t xml:space="preserve">Population growth and components, capital cities </w:t>
      </w:r>
      <w:bookmarkEnd w:id="159"/>
    </w:p>
    <w:p w14:paraId="2ADDDC9F" w14:textId="5060479D" w:rsidR="00CA0BF5" w:rsidRPr="004C79D2" w:rsidRDefault="0016101D" w:rsidP="00997375">
      <w:pPr>
        <w:pStyle w:val="ChartGraphic"/>
      </w:pPr>
      <w:r w:rsidRPr="0016101D">
        <w:t xml:space="preserve"> </w:t>
      </w:r>
      <w:r w:rsidR="00483BFE" w:rsidRPr="00997375">
        <w:rPr>
          <w:noProof/>
        </w:rPr>
        <w:drawing>
          <wp:inline distT="0" distB="0" distL="0" distR="0" wp14:anchorId="78F66384" wp14:editId="133E792D">
            <wp:extent cx="5581015" cy="2889885"/>
            <wp:effectExtent l="0" t="0" r="0" b="0"/>
            <wp:docPr id="1293252923" name="Picture 1293252923" descr="This chart shows population growth estimates and forecasts by components for capital cities between 2018–19 and 2034–35. Growth in the capital cities is mainly driven by net overseas migration. Growth peaked in 2022–23 and is forecast to decline and stabilise at around 1.4 per cent from 2025–26. Capital cities get more growth from natural increase than rest-of-sta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52923" name="Picture 1293252923" descr="This chart shows population growth estimates and forecasts by components for capital cities between 2018–19 and 2034–35. Growth in the capital cities is mainly driven by net overseas migration. Growth peaked in 2022–23 and is forecast to decline and stabilise at around 1.4 per cent from 2025–26. Capital cities get more growth from natural increase than rest-of-state are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015" cy="2889885"/>
                    </a:xfrm>
                    <a:prstGeom prst="rect">
                      <a:avLst/>
                    </a:prstGeom>
                    <a:noFill/>
                    <a:ln>
                      <a:noFill/>
                    </a:ln>
                  </pic:spPr>
                </pic:pic>
              </a:graphicData>
            </a:graphic>
          </wp:inline>
        </w:drawing>
      </w:r>
    </w:p>
    <w:p w14:paraId="1C658659" w14:textId="49FD99E6" w:rsidR="00CA0BF5" w:rsidRDefault="00CA0BF5" w:rsidP="00CA0BF5">
      <w:pPr>
        <w:pStyle w:val="Source"/>
      </w:pPr>
      <w:r w:rsidRPr="00365883">
        <w:t xml:space="preserve">Source: </w:t>
      </w:r>
      <w:r>
        <w:tab/>
        <w:t>ABS</w:t>
      </w:r>
      <w:r w:rsidRPr="00CC35B1">
        <w:t xml:space="preserve">, </w:t>
      </w:r>
      <w:r w:rsidRPr="0037128E">
        <w:rPr>
          <w:i/>
          <w:iCs/>
        </w:rPr>
        <w:t>Regional population</w:t>
      </w:r>
      <w:r w:rsidR="0035214B">
        <w:rPr>
          <w:i/>
          <w:iCs/>
        </w:rPr>
        <w:t>,</w:t>
      </w:r>
      <w:r w:rsidRPr="0037128E">
        <w:rPr>
          <w:i/>
          <w:iCs/>
        </w:rPr>
        <w:t xml:space="preserve"> 2020–21</w:t>
      </w:r>
      <w:r>
        <w:t xml:space="preserve">, </w:t>
      </w:r>
      <w:r w:rsidRPr="0037128E">
        <w:rPr>
          <w:i/>
          <w:iCs/>
        </w:rPr>
        <w:t>2022–23</w:t>
      </w:r>
      <w:r>
        <w:t>;</w:t>
      </w:r>
      <w:r w:rsidRPr="00365883" w:rsidDel="00EA63CC">
        <w:t xml:space="preserve"> </w:t>
      </w:r>
      <w:r>
        <w:t>and</w:t>
      </w:r>
      <w:r w:rsidRPr="00365883" w:rsidDel="00EA63CC">
        <w:t xml:space="preserve"> </w:t>
      </w:r>
      <w:r w:rsidRPr="00365883">
        <w:t>Centre for Population</w:t>
      </w:r>
      <w:r w:rsidDel="00B52FFC">
        <w:t>.</w:t>
      </w:r>
    </w:p>
    <w:p w14:paraId="546FF611" w14:textId="77777777" w:rsidR="00997375" w:rsidRPr="00664FED" w:rsidRDefault="00997375" w:rsidP="00997375">
      <w:pPr>
        <w:pStyle w:val="SingleParagraph"/>
      </w:pPr>
    </w:p>
    <w:p w14:paraId="01E79D64" w14:textId="2FC42353" w:rsidR="00CA0BF5" w:rsidRPr="00207D66" w:rsidRDefault="00CA0BF5" w:rsidP="00654915">
      <w:pPr>
        <w:pStyle w:val="ChartMainHeading"/>
      </w:pPr>
      <w:bookmarkStart w:id="160" w:name="_Ref184650102"/>
      <w:r w:rsidRPr="00207D66">
        <w:t>Population growth and components, rest</w:t>
      </w:r>
      <w:r w:rsidR="00050D25">
        <w:noBreakHyphen/>
      </w:r>
      <w:r w:rsidRPr="00207D66">
        <w:t>of</w:t>
      </w:r>
      <w:r w:rsidR="00050D25">
        <w:noBreakHyphen/>
      </w:r>
      <w:r w:rsidRPr="00207D66">
        <w:t>state areas</w:t>
      </w:r>
      <w:bookmarkEnd w:id="160"/>
    </w:p>
    <w:p w14:paraId="2D8DC565" w14:textId="39901DE0" w:rsidR="00CA0BF5" w:rsidRDefault="00B87BEB" w:rsidP="00CA0BF5">
      <w:pPr>
        <w:pStyle w:val="ChartGraphic"/>
      </w:pPr>
      <w:r w:rsidRPr="00B87BEB">
        <w:t xml:space="preserve"> </w:t>
      </w:r>
      <w:r w:rsidR="00810057" w:rsidRPr="00810057">
        <w:rPr>
          <w:noProof/>
        </w:rPr>
        <w:drawing>
          <wp:inline distT="0" distB="0" distL="0" distR="0" wp14:anchorId="15E0EF10" wp14:editId="68B5463D">
            <wp:extent cx="5562600" cy="2886075"/>
            <wp:effectExtent l="0" t="0" r="0" b="0"/>
            <wp:docPr id="401693503" name="Picture 10" descr="This chart shows population growth estimates and forecasts by components for rest-of-state areas between 2018–19 and 2034–35. Growth in the rest of state areas is mainly driven by net overseas migration, but also a larger share of net interstate migration compared to capital cities. Population growth in the rest of state areas peaked in 2022–23 and is forecast to decline and stabilise at around 0.8 per cent from 2026–27 as net overseas migration 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93503" name="Picture 10" descr="This chart shows population growth estimates and forecasts by components for rest-of-state areas between 2018–19 and 2034–35. Growth in the rest of state areas is mainly driven by net overseas migration, but also a larger share of net interstate migration compared to capital cities. Population growth in the rest of state areas peaked in 2022–23 and is forecast to decline and stabilise at around 0.8 per cent from 2026–27 as net overseas migration ease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2886075"/>
                    </a:xfrm>
                    <a:prstGeom prst="rect">
                      <a:avLst/>
                    </a:prstGeom>
                    <a:noFill/>
                    <a:ln>
                      <a:noFill/>
                    </a:ln>
                  </pic:spPr>
                </pic:pic>
              </a:graphicData>
            </a:graphic>
          </wp:inline>
        </w:drawing>
      </w:r>
    </w:p>
    <w:p w14:paraId="32DA72C9" w14:textId="68652C36" w:rsidR="00CA0BF5" w:rsidRDefault="00CA0BF5" w:rsidP="00CA0BF5">
      <w:pPr>
        <w:pStyle w:val="Source"/>
      </w:pPr>
      <w:r w:rsidRPr="00365883">
        <w:t xml:space="preserve">Source: </w:t>
      </w:r>
      <w:r>
        <w:tab/>
        <w:t>ABS</w:t>
      </w:r>
      <w:r w:rsidRPr="00CC35B1">
        <w:t xml:space="preserve">, </w:t>
      </w:r>
      <w:r w:rsidRPr="0037128E">
        <w:rPr>
          <w:i/>
          <w:iCs/>
        </w:rPr>
        <w:t>Regional population</w:t>
      </w:r>
      <w:r w:rsidR="0035214B">
        <w:rPr>
          <w:i/>
          <w:iCs/>
        </w:rPr>
        <w:t>,</w:t>
      </w:r>
      <w:r w:rsidRPr="0037128E">
        <w:rPr>
          <w:i/>
          <w:iCs/>
        </w:rPr>
        <w:t xml:space="preserve"> 2020–21</w:t>
      </w:r>
      <w:r>
        <w:t xml:space="preserve">, </w:t>
      </w:r>
      <w:r w:rsidRPr="0037128E">
        <w:rPr>
          <w:i/>
          <w:iCs/>
        </w:rPr>
        <w:t>2022–23</w:t>
      </w:r>
      <w:r>
        <w:t>;</w:t>
      </w:r>
      <w:r w:rsidRPr="00CC35B1">
        <w:t xml:space="preserve"> and </w:t>
      </w:r>
      <w:r w:rsidRPr="00365883">
        <w:t>Centre for Population</w:t>
      </w:r>
      <w:r w:rsidDel="00B52FFC">
        <w:t>.</w:t>
      </w:r>
    </w:p>
    <w:p w14:paraId="16ECC418" w14:textId="77777777" w:rsidR="00CA0BF5" w:rsidRDefault="00CA0BF5" w:rsidP="00997375">
      <w:pPr>
        <w:pStyle w:val="SingleParagraph"/>
      </w:pPr>
    </w:p>
    <w:p w14:paraId="1150092E" w14:textId="77777777" w:rsidR="00997375" w:rsidRDefault="00997375">
      <w:pPr>
        <w:spacing w:before="0" w:after="160" w:line="259" w:lineRule="auto"/>
      </w:pPr>
      <w:r>
        <w:br w:type="page"/>
      </w:r>
    </w:p>
    <w:p w14:paraId="28C5F728" w14:textId="302B89BE" w:rsidR="003D3EC9" w:rsidRDefault="003D3EC9" w:rsidP="003D3EC9">
      <w:r>
        <w:lastRenderedPageBreak/>
        <w:t>For each state, the growth of its capital city is the main driver of its overall population growth. Among all states, Western Australia has the most concentrated population in its capital city (80</w:t>
      </w:r>
      <w:r w:rsidR="00FF207F">
        <w:t> per cent</w:t>
      </w:r>
      <w:r>
        <w:t xml:space="preserve"> of the population resides in Perth) while Tasmania is the least concentrated (4</w:t>
      </w:r>
      <w:r w:rsidR="00072476">
        <w:t>4</w:t>
      </w:r>
      <w:r w:rsidR="00FF207F">
        <w:t> per cent</w:t>
      </w:r>
      <w:r>
        <w:t xml:space="preserve"> of the population resides in Hobart). This</w:t>
      </w:r>
      <w:r w:rsidR="002914CF">
        <w:t xml:space="preserve"> pattern</w:t>
      </w:r>
      <w:r>
        <w:t xml:space="preserve"> is expected to remain unchanged through to 2034–35.</w:t>
      </w:r>
    </w:p>
    <w:p w14:paraId="6BF0B5D3" w14:textId="29316FE4" w:rsidR="003D3EC9" w:rsidRDefault="003D3EC9" w:rsidP="003D3EC9">
      <w:r>
        <w:t>Capital city population growth is higher than rest</w:t>
      </w:r>
      <w:r w:rsidR="00050D25">
        <w:noBreakHyphen/>
      </w:r>
      <w:r>
        <w:t>of</w:t>
      </w:r>
      <w:r w:rsidR="00050D25">
        <w:noBreakHyphen/>
      </w:r>
      <w:r>
        <w:t>state areas because overseas migrants tend to settle in cities and the younger age structure of cities results in more natural increase. Partially offsetting this is the net flow of internal migration from capital cities to rest</w:t>
      </w:r>
      <w:r w:rsidR="00050D25">
        <w:noBreakHyphen/>
      </w:r>
      <w:r>
        <w:t>of</w:t>
      </w:r>
      <w:r w:rsidR="00050D25">
        <w:noBreakHyphen/>
      </w:r>
      <w:r>
        <w:t xml:space="preserve">state areas. </w:t>
      </w:r>
    </w:p>
    <w:p w14:paraId="6841BE26" w14:textId="5BA8EECB" w:rsidR="00327D98" w:rsidRDefault="00DB31C1" w:rsidP="003D3EC9">
      <w:r>
        <w:t xml:space="preserve">The areas outside of capital cities are sometimes referred to </w:t>
      </w:r>
      <w:r w:rsidR="00C463E6">
        <w:t xml:space="preserve">as </w:t>
      </w:r>
      <w:r>
        <w:t xml:space="preserve">regional areas, but they include large cities such as the Gold Coast, Newcastle, </w:t>
      </w:r>
      <w:proofErr w:type="gramStart"/>
      <w:r>
        <w:t>Wollongong</w:t>
      </w:r>
      <w:proofErr w:type="gramEnd"/>
      <w:r>
        <w:t xml:space="preserve"> and Geelong. </w:t>
      </w:r>
      <w:r w:rsidR="003D3EC9">
        <w:t xml:space="preserve">Despite being lower than in capital cities, </w:t>
      </w:r>
      <w:r w:rsidR="00E84835">
        <w:t>NOM</w:t>
      </w:r>
      <w:r w:rsidR="003D3EC9">
        <w:t xml:space="preserve"> is projected to be the largest contributor to population growth outside of capital cities over the projection period. Net internal migration from capital cities is also a significant contributor to </w:t>
      </w:r>
      <w:r w:rsidR="00EE57E0">
        <w:t xml:space="preserve">population </w:t>
      </w:r>
      <w:r w:rsidR="003D3EC9">
        <w:t>growth</w:t>
      </w:r>
      <w:r w:rsidR="00D61C88">
        <w:t xml:space="preserve">, adding </w:t>
      </w:r>
      <w:r w:rsidR="00EE57E0">
        <w:t>0</w:t>
      </w:r>
      <w:r w:rsidR="00D61C88">
        <w:t>.</w:t>
      </w:r>
      <w:r w:rsidR="00EE57E0">
        <w:t>4</w:t>
      </w:r>
      <w:r w:rsidR="00D61C88">
        <w:t xml:space="preserve"> percentage points to </w:t>
      </w:r>
      <w:r w:rsidR="007D3388">
        <w:t>rest</w:t>
      </w:r>
      <w:r w:rsidR="00050D25">
        <w:noBreakHyphen/>
      </w:r>
      <w:r w:rsidR="007D3388">
        <w:t>of</w:t>
      </w:r>
      <w:r w:rsidR="00050D25">
        <w:noBreakHyphen/>
      </w:r>
      <w:r w:rsidR="007D3388">
        <w:t>state</w:t>
      </w:r>
      <w:r w:rsidR="00D61C88">
        <w:t xml:space="preserve"> growth in 2023–24</w:t>
      </w:r>
      <w:r w:rsidR="0090321B">
        <w:t>,</w:t>
      </w:r>
      <w:r w:rsidR="00D61C88">
        <w:t xml:space="preserve"> </w:t>
      </w:r>
      <w:r w:rsidR="000F6D33">
        <w:t xml:space="preserve">although this is </w:t>
      </w:r>
      <w:r w:rsidR="0090321B">
        <w:t>projected to decline to 0.2 percentage points in 2026–27</w:t>
      </w:r>
      <w:r w:rsidR="003D3EC9">
        <w:t xml:space="preserve">. Natural increase is projected to decline in all states as the population ages. There is already natural decrease in </w:t>
      </w:r>
      <w:r w:rsidR="000163F6">
        <w:t>rest</w:t>
      </w:r>
      <w:r w:rsidR="00050D25">
        <w:noBreakHyphen/>
      </w:r>
      <w:r w:rsidR="000163F6">
        <w:t>of</w:t>
      </w:r>
      <w:r w:rsidR="00050D25">
        <w:noBreakHyphen/>
      </w:r>
      <w:r w:rsidR="003D3EC9">
        <w:t xml:space="preserve">South Australia and </w:t>
      </w:r>
      <w:r w:rsidR="000163F6">
        <w:t>rest</w:t>
      </w:r>
      <w:r w:rsidR="00050D25">
        <w:noBreakHyphen/>
      </w:r>
      <w:r w:rsidR="000163F6">
        <w:t>of</w:t>
      </w:r>
      <w:r w:rsidR="00050D25">
        <w:noBreakHyphen/>
      </w:r>
      <w:r w:rsidR="003D3EC9">
        <w:t>Tasmania. By 203</w:t>
      </w:r>
      <w:r w:rsidR="0090321B">
        <w:t>2</w:t>
      </w:r>
      <w:r w:rsidR="003D3EC9">
        <w:t>–‍3</w:t>
      </w:r>
      <w:r w:rsidR="0090321B">
        <w:t>3</w:t>
      </w:r>
      <w:r w:rsidR="003D3EC9">
        <w:t>, natural decrease in</w:t>
      </w:r>
      <w:r w:rsidR="00D027A4">
        <w:t xml:space="preserve"> the</w:t>
      </w:r>
      <w:r w:rsidR="003D3EC9">
        <w:t xml:space="preserve"> population </w:t>
      </w:r>
      <w:r w:rsidR="00107897">
        <w:t xml:space="preserve">is also </w:t>
      </w:r>
      <w:r w:rsidR="003D3EC9">
        <w:t xml:space="preserve">expected in </w:t>
      </w:r>
      <w:r w:rsidR="000163F6">
        <w:t>rest</w:t>
      </w:r>
      <w:r w:rsidR="00050D25">
        <w:noBreakHyphen/>
      </w:r>
      <w:r w:rsidR="000163F6">
        <w:t>of</w:t>
      </w:r>
      <w:r w:rsidR="00050D25">
        <w:noBreakHyphen/>
      </w:r>
      <w:r w:rsidR="003D3EC9">
        <w:t>Victoria.</w:t>
      </w:r>
    </w:p>
    <w:p w14:paraId="17165D35" w14:textId="746F29CC" w:rsidR="003D3EC9" w:rsidRDefault="003D3EC9" w:rsidP="003D3EC9">
      <w:pPr>
        <w:pStyle w:val="Heading3Numbered"/>
      </w:pPr>
      <w:r>
        <w:t xml:space="preserve">Ageing in </w:t>
      </w:r>
      <w:r w:rsidR="003218C4">
        <w:t>sub</w:t>
      </w:r>
      <w:r w:rsidR="00050D25">
        <w:noBreakHyphen/>
      </w:r>
      <w:r w:rsidR="003218C4">
        <w:t>national population</w:t>
      </w:r>
      <w:r w:rsidR="00441AEF">
        <w:t>s</w:t>
      </w:r>
    </w:p>
    <w:p w14:paraId="3039D0A9" w14:textId="02EA34ED" w:rsidR="00BE430C" w:rsidRDefault="00E65161" w:rsidP="00BE430C">
      <w:r>
        <w:t>T</w:t>
      </w:r>
      <w:r w:rsidR="00C0551E">
        <w:t xml:space="preserve">he median age has increased in </w:t>
      </w:r>
      <w:r w:rsidR="0052681C">
        <w:t xml:space="preserve">each </w:t>
      </w:r>
      <w:r w:rsidR="00BE430C">
        <w:t xml:space="preserve">state </w:t>
      </w:r>
      <w:r w:rsidR="007D020F">
        <w:t xml:space="preserve">since the 1960s. At the same time, the gap between the </w:t>
      </w:r>
      <w:r w:rsidR="00BE430C">
        <w:t xml:space="preserve">youngest and oldest </w:t>
      </w:r>
      <w:r w:rsidR="00FA0588">
        <w:t xml:space="preserve">median </w:t>
      </w:r>
      <w:r w:rsidR="00E81524">
        <w:t xml:space="preserve">ages </w:t>
      </w:r>
      <w:r w:rsidR="006219D5">
        <w:t>by</w:t>
      </w:r>
      <w:r w:rsidR="00E81524">
        <w:t xml:space="preserve"> </w:t>
      </w:r>
      <w:r w:rsidR="00BE430C">
        <w:t xml:space="preserve">state </w:t>
      </w:r>
      <w:r w:rsidR="007D020F">
        <w:t xml:space="preserve">has been widening </w:t>
      </w:r>
      <w:r>
        <w:t>(</w:t>
      </w:r>
      <w:r w:rsidR="00B376CA">
        <w:fldChar w:fldCharType="begin"/>
      </w:r>
      <w:r w:rsidR="00B376CA">
        <w:instrText xml:space="preserve"> REF _Ref184286671 \r \h </w:instrText>
      </w:r>
      <w:r w:rsidR="00B376CA">
        <w:fldChar w:fldCharType="separate"/>
      </w:r>
      <w:r w:rsidR="00050D25">
        <w:t>Chart 27</w:t>
      </w:r>
      <w:r w:rsidR="00B376CA">
        <w:fldChar w:fldCharType="end"/>
      </w:r>
      <w:r>
        <w:t>)</w:t>
      </w:r>
      <w:r w:rsidR="00BE430C">
        <w:t xml:space="preserve">. </w:t>
      </w:r>
      <w:r w:rsidR="00976269">
        <w:t>In 20</w:t>
      </w:r>
      <w:r w:rsidR="00C818AE">
        <w:t>22</w:t>
      </w:r>
      <w:r w:rsidR="00845F63">
        <w:t>–</w:t>
      </w:r>
      <w:r w:rsidR="00976269">
        <w:t>2</w:t>
      </w:r>
      <w:r w:rsidR="003E1278">
        <w:t>3</w:t>
      </w:r>
      <w:r w:rsidR="00976269">
        <w:t xml:space="preserve">, the gap between the youngest </w:t>
      </w:r>
      <w:r w:rsidR="00FA0588">
        <w:t xml:space="preserve">median </w:t>
      </w:r>
      <w:r w:rsidR="00E81524">
        <w:t>age</w:t>
      </w:r>
      <w:r w:rsidR="00976269">
        <w:t xml:space="preserve"> (Northern Territory, 33.</w:t>
      </w:r>
      <w:r w:rsidR="003E1278">
        <w:t>7</w:t>
      </w:r>
      <w:r w:rsidR="00976269">
        <w:t xml:space="preserve"> years old) and oldest </w:t>
      </w:r>
      <w:r w:rsidR="00FA0588">
        <w:t>median age</w:t>
      </w:r>
      <w:r w:rsidR="00FF01D1">
        <w:t xml:space="preserve"> </w:t>
      </w:r>
      <w:r w:rsidR="00976269">
        <w:t>(Tasmania, 41.</w:t>
      </w:r>
      <w:r w:rsidR="003E1278">
        <w:t>9</w:t>
      </w:r>
      <w:r w:rsidR="005E2C39">
        <w:t xml:space="preserve"> years old</w:t>
      </w:r>
      <w:r w:rsidR="00976269">
        <w:t xml:space="preserve">) </w:t>
      </w:r>
      <w:r w:rsidR="004332BA">
        <w:t xml:space="preserve">states </w:t>
      </w:r>
      <w:r w:rsidR="00976269">
        <w:t xml:space="preserve">was </w:t>
      </w:r>
      <w:r w:rsidR="00C152CD">
        <w:t>8.2 years. By contrast,</w:t>
      </w:r>
      <w:r w:rsidR="00BE430C">
        <w:t xml:space="preserve"> </w:t>
      </w:r>
      <w:r w:rsidR="00C152CD">
        <w:t>i</w:t>
      </w:r>
      <w:r w:rsidR="00BE430C">
        <w:t>n 19</w:t>
      </w:r>
      <w:r w:rsidR="00C818AE">
        <w:t>7</w:t>
      </w:r>
      <w:r w:rsidR="00DC541C">
        <w:t>3</w:t>
      </w:r>
      <w:r w:rsidR="00627241">
        <w:t>–</w:t>
      </w:r>
      <w:r w:rsidR="0025338E">
        <w:t>7</w:t>
      </w:r>
      <w:r w:rsidR="00DC541C">
        <w:t>4</w:t>
      </w:r>
      <w:r w:rsidR="0009077A">
        <w:t xml:space="preserve"> </w:t>
      </w:r>
      <w:r w:rsidR="00BE430C">
        <w:t xml:space="preserve">the gap between the youngest </w:t>
      </w:r>
      <w:r w:rsidR="00FA0588">
        <w:t xml:space="preserve">median age </w:t>
      </w:r>
      <w:r w:rsidR="00CD64A6">
        <w:t xml:space="preserve">state </w:t>
      </w:r>
      <w:r w:rsidR="00CE0C8D">
        <w:t>(</w:t>
      </w:r>
      <w:r w:rsidR="00117E37">
        <w:t>NT</w:t>
      </w:r>
      <w:r w:rsidR="00A30179">
        <w:t xml:space="preserve">, </w:t>
      </w:r>
      <w:r w:rsidR="00CE0C8D">
        <w:t>2</w:t>
      </w:r>
      <w:r w:rsidR="00117E37">
        <w:t>3</w:t>
      </w:r>
      <w:r w:rsidR="00CE0C8D">
        <w:t>.</w:t>
      </w:r>
      <w:r w:rsidR="00AE67DC">
        <w:t>9</w:t>
      </w:r>
      <w:r w:rsidR="00CE0C8D">
        <w:t xml:space="preserve"> years old) </w:t>
      </w:r>
      <w:r w:rsidR="00CE1A55">
        <w:t xml:space="preserve">and oldest </w:t>
      </w:r>
      <w:r w:rsidR="00FA0588">
        <w:t xml:space="preserve">median age </w:t>
      </w:r>
      <w:r w:rsidR="00666920">
        <w:t xml:space="preserve">state </w:t>
      </w:r>
      <w:r w:rsidR="00CE1A55">
        <w:t xml:space="preserve">(NSW, </w:t>
      </w:r>
      <w:r w:rsidR="00117E37">
        <w:t>28.</w:t>
      </w:r>
      <w:r w:rsidR="00447B97">
        <w:t>7</w:t>
      </w:r>
      <w:r w:rsidR="00CE0C8D">
        <w:t xml:space="preserve"> years old) </w:t>
      </w:r>
      <w:r w:rsidR="00BE430C">
        <w:t xml:space="preserve">was </w:t>
      </w:r>
      <w:r w:rsidR="00A30179">
        <w:t xml:space="preserve">only </w:t>
      </w:r>
      <w:r w:rsidR="003C448D">
        <w:rPr>
          <w:color w:val="000000" w:themeColor="text1"/>
        </w:rPr>
        <w:t>4.</w:t>
      </w:r>
      <w:r w:rsidR="00DC541C">
        <w:rPr>
          <w:color w:val="000000" w:themeColor="text1"/>
        </w:rPr>
        <w:t>8</w:t>
      </w:r>
      <w:r w:rsidR="00BE430C" w:rsidRPr="003914B2">
        <w:rPr>
          <w:color w:val="000000" w:themeColor="text1"/>
        </w:rPr>
        <w:t xml:space="preserve"> years.</w:t>
      </w:r>
      <w:r w:rsidR="00096F02">
        <w:rPr>
          <w:color w:val="000000" w:themeColor="text1"/>
        </w:rPr>
        <w:t xml:space="preserve"> </w:t>
      </w:r>
      <w:r>
        <w:rPr>
          <w:color w:val="000000" w:themeColor="text1"/>
        </w:rPr>
        <w:t>T</w:t>
      </w:r>
      <w:r w:rsidR="008F5C99">
        <w:rPr>
          <w:color w:val="000000" w:themeColor="text1"/>
        </w:rPr>
        <w:t xml:space="preserve">he gap between the youngest </w:t>
      </w:r>
      <w:r w:rsidR="00CE1A55">
        <w:rPr>
          <w:color w:val="000000" w:themeColor="text1"/>
        </w:rPr>
        <w:t>and oldest</w:t>
      </w:r>
      <w:r w:rsidR="008F5C99">
        <w:rPr>
          <w:color w:val="000000" w:themeColor="text1"/>
        </w:rPr>
        <w:t xml:space="preserve"> </w:t>
      </w:r>
      <w:r w:rsidR="00C33662">
        <w:rPr>
          <w:color w:val="000000" w:themeColor="text1"/>
        </w:rPr>
        <w:t xml:space="preserve">median age </w:t>
      </w:r>
      <w:r w:rsidR="008F5C99">
        <w:rPr>
          <w:color w:val="000000" w:themeColor="text1"/>
        </w:rPr>
        <w:t xml:space="preserve">is </w:t>
      </w:r>
      <w:r w:rsidR="00157F66">
        <w:rPr>
          <w:color w:val="000000" w:themeColor="text1"/>
        </w:rPr>
        <w:t>projected</w:t>
      </w:r>
      <w:r w:rsidR="008F5C99">
        <w:rPr>
          <w:color w:val="000000" w:themeColor="text1"/>
        </w:rPr>
        <w:t xml:space="preserve"> to grow</w:t>
      </w:r>
      <w:r w:rsidR="00C152CD">
        <w:rPr>
          <w:color w:val="000000" w:themeColor="text1"/>
        </w:rPr>
        <w:t xml:space="preserve"> to 10.3 years by 203</w:t>
      </w:r>
      <w:r w:rsidR="00663A7F">
        <w:rPr>
          <w:color w:val="000000" w:themeColor="text1"/>
        </w:rPr>
        <w:t>4</w:t>
      </w:r>
      <w:r w:rsidR="00627241">
        <w:t>–</w:t>
      </w:r>
      <w:r w:rsidR="00C152CD">
        <w:rPr>
          <w:color w:val="000000" w:themeColor="text1"/>
        </w:rPr>
        <w:t>3</w:t>
      </w:r>
      <w:r w:rsidR="00663A7F">
        <w:rPr>
          <w:color w:val="000000" w:themeColor="text1"/>
        </w:rPr>
        <w:t>5</w:t>
      </w:r>
      <w:r w:rsidR="00BE430C">
        <w:rPr>
          <w:color w:val="000000" w:themeColor="text1"/>
        </w:rPr>
        <w:t xml:space="preserve">. </w:t>
      </w:r>
    </w:p>
    <w:p w14:paraId="7AA13D60" w14:textId="745E4C92" w:rsidR="00B816D7" w:rsidRPr="00B816D7" w:rsidRDefault="00287B5D" w:rsidP="00997375">
      <w:pPr>
        <w:pStyle w:val="ChartMainHeading"/>
      </w:pPr>
      <w:bookmarkStart w:id="161" w:name="_Ref184286671"/>
      <w:r>
        <w:t>M</w:t>
      </w:r>
      <w:r w:rsidR="00AC20AF">
        <w:t xml:space="preserve">edian age </w:t>
      </w:r>
      <w:r>
        <w:t xml:space="preserve">across </w:t>
      </w:r>
      <w:r w:rsidRPr="0064345F">
        <w:t>states</w:t>
      </w:r>
      <w:bookmarkStart w:id="162" w:name="_Ref185267998"/>
      <w:bookmarkEnd w:id="161"/>
    </w:p>
    <w:bookmarkEnd w:id="162"/>
    <w:p w14:paraId="06FEB454" w14:textId="78E40CCF" w:rsidR="003C448D" w:rsidRDefault="000A3D3E" w:rsidP="00997375">
      <w:pPr>
        <w:pStyle w:val="ChartGraphic"/>
      </w:pPr>
      <w:r w:rsidRPr="000A3D3E">
        <w:rPr>
          <w:noProof/>
        </w:rPr>
        <w:drawing>
          <wp:inline distT="0" distB="0" distL="0" distR="0" wp14:anchorId="7A7FBA7E" wp14:editId="6795C227">
            <wp:extent cx="5581650" cy="2886075"/>
            <wp:effectExtent l="0" t="0" r="0" b="0"/>
            <wp:docPr id="889218226" name="Picture 7" descr="This chart shows the median age range for all states and territories combined as a blue band. From 1970–71 to 2033–34, this band increases in thickness and demonstrates how on average, states and territories are getting older. A line shows the median age for Australia which remains within the band. This line starts near the top of the band in 1973–74, showing the median age in Australia was closer to the oldest state, and then moves to the middle of the band by 2033–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18226" name="Picture 7" descr="This chart shows the median age range for all states and territories combined as a blue band. From 1970–71 to 2033–34, this band increases in thickness and demonstrates how on average, states and territories are getting older. A line shows the median age for Australia which remains within the band. This line starts near the top of the band in 1973–74, showing the median age in Australia was closer to the oldest state, and then moves to the middle of the band by 2033–34.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76FDABC2" w14:textId="77777777" w:rsidR="00AC20AF" w:rsidRPr="00FF207F" w:rsidRDefault="00AC20AF" w:rsidP="00AC20AF">
      <w:pPr>
        <w:pStyle w:val="Source"/>
      </w:pPr>
      <w:r w:rsidRPr="00FF207F">
        <w:t xml:space="preserve">Source: </w:t>
      </w:r>
      <w:r w:rsidRPr="00FF207F">
        <w:tab/>
        <w:t xml:space="preserve">ABS, </w:t>
      </w:r>
      <w:r w:rsidRPr="00997375">
        <w:rPr>
          <w:rStyle w:val="SubtleEmphasis"/>
        </w:rPr>
        <w:t>National, state and territory population</w:t>
      </w:r>
      <w:r w:rsidRPr="0037128E">
        <w:rPr>
          <w:i/>
          <w:iCs/>
        </w:rPr>
        <w:t>, March 2024</w:t>
      </w:r>
      <w:r w:rsidRPr="00FF207F">
        <w:t>; and</w:t>
      </w:r>
      <w:r w:rsidRPr="00FF207F" w:rsidDel="00EA63CC">
        <w:t xml:space="preserve"> </w:t>
      </w:r>
      <w:r w:rsidRPr="00FF207F">
        <w:t>Centre for Population.</w:t>
      </w:r>
    </w:p>
    <w:p w14:paraId="7141B154" w14:textId="77777777" w:rsidR="00997375" w:rsidRDefault="00997375" w:rsidP="00997375">
      <w:pPr>
        <w:pStyle w:val="SingleParagraph"/>
      </w:pPr>
    </w:p>
    <w:p w14:paraId="4A7D308F" w14:textId="77777777" w:rsidR="00997375" w:rsidRDefault="00997375">
      <w:pPr>
        <w:spacing w:before="0" w:after="160" w:line="259" w:lineRule="auto"/>
      </w:pPr>
      <w:r>
        <w:br w:type="page"/>
      </w:r>
    </w:p>
    <w:p w14:paraId="4775FE71" w14:textId="1F96A4EB" w:rsidR="00B91DF6" w:rsidRDefault="00F35A4B" w:rsidP="008825D0">
      <w:r>
        <w:lastRenderedPageBreak/>
        <w:t>At the sub</w:t>
      </w:r>
      <w:r w:rsidR="00050D25">
        <w:noBreakHyphen/>
      </w:r>
      <w:r>
        <w:t xml:space="preserve">state level, </w:t>
      </w:r>
      <w:r w:rsidR="003370FB">
        <w:t xml:space="preserve">populations </w:t>
      </w:r>
      <w:r w:rsidR="00CB6D1F">
        <w:t>outside of capital cities</w:t>
      </w:r>
      <w:r w:rsidR="003370FB">
        <w:t xml:space="preserve"> are older than the populations in capital cities</w:t>
      </w:r>
      <w:r w:rsidR="00C23C78">
        <w:t xml:space="preserve">, </w:t>
      </w:r>
      <w:r w:rsidR="00E240DF">
        <w:t xml:space="preserve">except for in the Northern Territory. In aggregate, </w:t>
      </w:r>
      <w:r w:rsidR="00C23C78">
        <w:t xml:space="preserve">around </w:t>
      </w:r>
      <w:r w:rsidR="00C42E01">
        <w:t>21 </w:t>
      </w:r>
      <w:r w:rsidR="00F1206C">
        <w:t xml:space="preserve">per cent of the population </w:t>
      </w:r>
      <w:r w:rsidR="00C410D6">
        <w:t>outside of capital cities</w:t>
      </w:r>
      <w:r w:rsidR="00F1206C">
        <w:t xml:space="preserve"> </w:t>
      </w:r>
      <w:r w:rsidR="009624D4">
        <w:t>was</w:t>
      </w:r>
      <w:r w:rsidR="00F1206C">
        <w:t xml:space="preserve"> aged </w:t>
      </w:r>
      <w:r w:rsidR="00C42E01">
        <w:t xml:space="preserve">65 and </w:t>
      </w:r>
      <w:r w:rsidR="00F1206C">
        <w:t>over in 2022–23</w:t>
      </w:r>
      <w:r w:rsidR="00D53ECA">
        <w:t>,</w:t>
      </w:r>
      <w:r w:rsidR="00F1206C">
        <w:t xml:space="preserve"> compared to </w:t>
      </w:r>
      <w:r w:rsidR="00165B29">
        <w:t>15</w:t>
      </w:r>
      <w:r w:rsidR="00C410D6">
        <w:t> </w:t>
      </w:r>
      <w:r w:rsidR="00F1206C">
        <w:t>per</w:t>
      </w:r>
      <w:r w:rsidR="00C410D6">
        <w:t> </w:t>
      </w:r>
      <w:r w:rsidR="00F1206C">
        <w:t xml:space="preserve">cent </w:t>
      </w:r>
      <w:r w:rsidR="00C410D6">
        <w:t>of those</w:t>
      </w:r>
      <w:r w:rsidR="00F1206C">
        <w:t xml:space="preserve"> in capital cities (</w:t>
      </w:r>
      <w:r w:rsidR="00F1206C">
        <w:fldChar w:fldCharType="begin"/>
      </w:r>
      <w:r w:rsidR="00F1206C">
        <w:instrText xml:space="preserve"> REF _Ref183700278 \r \h </w:instrText>
      </w:r>
      <w:r w:rsidR="00F1206C">
        <w:fldChar w:fldCharType="separate"/>
      </w:r>
      <w:r w:rsidR="00050D25">
        <w:t>Chart 28</w:t>
      </w:r>
      <w:r w:rsidR="00F1206C">
        <w:fldChar w:fldCharType="end"/>
      </w:r>
      <w:r w:rsidR="00F1206C">
        <w:t>). By 20</w:t>
      </w:r>
      <w:r w:rsidR="00A80329">
        <w:t xml:space="preserve">34–35, </w:t>
      </w:r>
      <w:r w:rsidR="00165B29">
        <w:t xml:space="preserve">around 25 per cent of the population </w:t>
      </w:r>
      <w:r w:rsidR="008821EB">
        <w:t>living outside of capital cities</w:t>
      </w:r>
      <w:r w:rsidR="00165B29">
        <w:t xml:space="preserve"> is projected to be aged 65 and over, compared to 17 per cent in capital cities.</w:t>
      </w:r>
    </w:p>
    <w:p w14:paraId="770C1D2E" w14:textId="5F21B00E" w:rsidR="00FA7A34" w:rsidRPr="00207D66" w:rsidRDefault="00FA7A34" w:rsidP="00997375">
      <w:pPr>
        <w:pStyle w:val="ChartMainHeading"/>
      </w:pPr>
      <w:bookmarkStart w:id="163" w:name="_Ref183700278"/>
      <w:r>
        <w:t xml:space="preserve">Age distribution </w:t>
      </w:r>
      <w:bookmarkEnd w:id="163"/>
      <w:r w:rsidR="00A80329">
        <w:t>in capital cities and rest</w:t>
      </w:r>
      <w:r w:rsidR="00050D25">
        <w:noBreakHyphen/>
      </w:r>
      <w:r>
        <w:t>of</w:t>
      </w:r>
      <w:r w:rsidR="00050D25">
        <w:noBreakHyphen/>
      </w:r>
      <w:r w:rsidR="00A80329">
        <w:t>state areas</w:t>
      </w:r>
    </w:p>
    <w:tbl>
      <w:tblPr>
        <w:tblStyle w:val="TableGrid"/>
        <w:tblW w:w="0" w:type="auto"/>
        <w:jc w:val="center"/>
        <w:tblCellMar>
          <w:left w:w="0" w:type="dxa"/>
          <w:right w:w="0" w:type="dxa"/>
        </w:tblCellMar>
        <w:tblLook w:val="04A0" w:firstRow="1" w:lastRow="0" w:firstColumn="1" w:lastColumn="0" w:noHBand="0" w:noVBand="1"/>
      </w:tblPr>
      <w:tblGrid>
        <w:gridCol w:w="4536"/>
        <w:gridCol w:w="4536"/>
      </w:tblGrid>
      <w:tr w:rsidR="006D1A8E" w14:paraId="3E5675AC" w14:textId="77777777" w:rsidTr="003914B2">
        <w:trPr>
          <w:jc w:val="center"/>
        </w:trPr>
        <w:tc>
          <w:tcPr>
            <w:tcW w:w="4536" w:type="dxa"/>
            <w:shd w:val="clear" w:color="auto" w:fill="auto"/>
          </w:tcPr>
          <w:p w14:paraId="6A917C7A" w14:textId="0A366E9B" w:rsidR="006D1A8E" w:rsidRDefault="00871FB6" w:rsidP="00997375">
            <w:pPr>
              <w:pStyle w:val="ChartSecondHeading"/>
            </w:pPr>
            <w:r>
              <w:t xml:space="preserve">Capital </w:t>
            </w:r>
            <w:r w:rsidR="00C77922">
              <w:t>c</w:t>
            </w:r>
            <w:r>
              <w:t>ities</w:t>
            </w:r>
          </w:p>
          <w:p w14:paraId="0F72EFEA" w14:textId="54AB4B2C" w:rsidR="006D1A8E" w:rsidRDefault="006B65F0" w:rsidP="00997375">
            <w:pPr>
              <w:pStyle w:val="ChartGraphic"/>
            </w:pPr>
            <w:r w:rsidRPr="006B65F0">
              <w:rPr>
                <w:noProof/>
              </w:rPr>
              <w:drawing>
                <wp:inline distT="0" distB="0" distL="0" distR="0" wp14:anchorId="365D21F4" wp14:editId="39FD5B50">
                  <wp:extent cx="2781300" cy="2876550"/>
                  <wp:effectExtent l="0" t="0" r="0" b="0"/>
                  <wp:docPr id="334842439" name="Picture 334842439" descr="This chart shows total capital cities population shares by 5-year age range and sex for 2022–23 and 2034–35. There is a peak in the distribution around ages 20 to 40 and the shares decline at higher ages. The 2034–35 distribution is similar to the 2022–23 distribution but there is a greater proportion aged over 70, and the share aged 85 and over is noticeab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42439" name="Picture 334842439" descr="This chart shows total capital cities population shares by 5-year age range and sex for 2022–23 and 2034–35. There is a peak in the distribution around ages 20 to 40 and the shares decline at higher ages. The 2034–35 distribution is similar to the 2022–23 distribution but there is a greater proportion aged over 70, and the share aged 85 and over is noticeably high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1300" cy="2876550"/>
                          </a:xfrm>
                          <a:prstGeom prst="rect">
                            <a:avLst/>
                          </a:prstGeom>
                          <a:noFill/>
                          <a:ln>
                            <a:noFill/>
                          </a:ln>
                        </pic:spPr>
                      </pic:pic>
                    </a:graphicData>
                  </a:graphic>
                </wp:inline>
              </w:drawing>
            </w:r>
          </w:p>
        </w:tc>
        <w:tc>
          <w:tcPr>
            <w:tcW w:w="4536" w:type="dxa"/>
            <w:shd w:val="clear" w:color="auto" w:fill="auto"/>
          </w:tcPr>
          <w:p w14:paraId="1C18B3A5" w14:textId="70899F39" w:rsidR="006D1A8E" w:rsidRDefault="00871FB6" w:rsidP="00997375">
            <w:pPr>
              <w:pStyle w:val="ChartSecondHeading"/>
            </w:pPr>
            <w:r>
              <w:t>Rest</w:t>
            </w:r>
            <w:r w:rsidR="00050D25">
              <w:noBreakHyphen/>
            </w:r>
            <w:r>
              <w:t>of</w:t>
            </w:r>
            <w:r w:rsidR="00050D25">
              <w:noBreakHyphen/>
            </w:r>
            <w:r w:rsidR="00C77922">
              <w:t>s</w:t>
            </w:r>
            <w:r>
              <w:t>tate</w:t>
            </w:r>
            <w:r w:rsidR="00C95BD8">
              <w:t xml:space="preserve"> </w:t>
            </w:r>
            <w:r w:rsidR="000A710F">
              <w:t>a</w:t>
            </w:r>
            <w:r w:rsidR="00C95BD8">
              <w:t>reas</w:t>
            </w:r>
          </w:p>
          <w:p w14:paraId="476AA379" w14:textId="53BD6D3E" w:rsidR="006D1A8E" w:rsidRDefault="00373559" w:rsidP="00997375">
            <w:pPr>
              <w:pStyle w:val="ChartGraphic"/>
            </w:pPr>
            <w:r w:rsidRPr="00373559">
              <w:rPr>
                <w:noProof/>
              </w:rPr>
              <w:drawing>
                <wp:inline distT="0" distB="0" distL="0" distR="0" wp14:anchorId="1FB32A5F" wp14:editId="11672C54">
                  <wp:extent cx="2781300" cy="2886075"/>
                  <wp:effectExtent l="0" t="0" r="0" b="0"/>
                  <wp:docPr id="889984347" name="Picture 889984347" descr="This chart shows total rest-of-state population shares by 5-year age range and sex for 2023–23 and 2034–35. The distribution is more evenly spread out among age groups compared to capital cities. The 2034–35 distribution is similar to the 2022–23 distribution but there is a greater proportion aged over 70, and the increased share aged 85 is even more pronounced than for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84347" name="Picture 889984347" descr="This chart shows total rest-of-state population shares by 5-year age range and sex for 2023–23 and 2034–35. The distribution is more evenly spread out among age groups compared to capital cities. The 2034–35 distribution is similar to the 2022–23 distribution but there is a greater proportion aged over 70, and the increased share aged 85 is even more pronounced than for capital citi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1300" cy="2886075"/>
                          </a:xfrm>
                          <a:prstGeom prst="rect">
                            <a:avLst/>
                          </a:prstGeom>
                          <a:noFill/>
                          <a:ln>
                            <a:noFill/>
                          </a:ln>
                        </pic:spPr>
                      </pic:pic>
                    </a:graphicData>
                  </a:graphic>
                </wp:inline>
              </w:drawing>
            </w:r>
          </w:p>
        </w:tc>
      </w:tr>
    </w:tbl>
    <w:p w14:paraId="6B7302A6" w14:textId="3FEC5604" w:rsidR="00EB7D19" w:rsidRPr="00FF207F" w:rsidRDefault="00EB7D19" w:rsidP="00EB7D19">
      <w:pPr>
        <w:pStyle w:val="Source"/>
      </w:pPr>
      <w:r w:rsidRPr="00FF207F">
        <w:t xml:space="preserve">Source: </w:t>
      </w:r>
      <w:r w:rsidRPr="00FF207F">
        <w:tab/>
      </w:r>
      <w:r w:rsidRPr="00812101">
        <w:t xml:space="preserve">ABS, </w:t>
      </w:r>
      <w:r w:rsidR="00812101" w:rsidRPr="00997375">
        <w:rPr>
          <w:rStyle w:val="SubtleEmphasis"/>
        </w:rPr>
        <w:t>Regional Population by age and sex</w:t>
      </w:r>
      <w:r w:rsidRPr="00997375">
        <w:rPr>
          <w:rStyle w:val="SubtleEmphasis"/>
        </w:rPr>
        <w:t xml:space="preserve">, </w:t>
      </w:r>
      <w:r w:rsidR="00812101" w:rsidRPr="00997375">
        <w:rPr>
          <w:rStyle w:val="SubtleEmphasis"/>
        </w:rPr>
        <w:t>2022–23</w:t>
      </w:r>
      <w:r w:rsidRPr="00FF207F">
        <w:t>; and Centre for Population.</w:t>
      </w:r>
    </w:p>
    <w:p w14:paraId="5002827C" w14:textId="559F59A2" w:rsidR="003D3EC9" w:rsidRDefault="00D74C08" w:rsidP="003914B2">
      <w:pPr>
        <w:keepNext/>
      </w:pPr>
      <w:r>
        <w:t>The r</w:t>
      </w:r>
      <w:r w:rsidR="00453DCE">
        <w:t>est</w:t>
      </w:r>
      <w:r w:rsidR="00050D25">
        <w:noBreakHyphen/>
      </w:r>
      <w:r w:rsidR="00453DCE">
        <w:t>of</w:t>
      </w:r>
      <w:r w:rsidR="00050D25">
        <w:noBreakHyphen/>
      </w:r>
      <w:r w:rsidR="00453DCE">
        <w:t>state median age is project</w:t>
      </w:r>
      <w:r>
        <w:t>ed</w:t>
      </w:r>
      <w:r w:rsidR="00453DCE">
        <w:t xml:space="preserve"> to increase</w:t>
      </w:r>
      <w:r w:rsidR="003D3EC9">
        <w:t xml:space="preserve"> from 41.9 in 2022–23 to 44.6 in 2034–35, </w:t>
      </w:r>
      <w:r w:rsidR="00C171D7">
        <w:t>almost twice as fast as the inc</w:t>
      </w:r>
      <w:r w:rsidR="00F20AA0">
        <w:t xml:space="preserve">rease </w:t>
      </w:r>
      <w:r w:rsidR="00DE7D88">
        <w:t>for capital</w:t>
      </w:r>
      <w:r w:rsidR="00F64FB9">
        <w:t xml:space="preserve"> citie</w:t>
      </w:r>
      <w:r w:rsidR="00DE7D88">
        <w:t>s (</w:t>
      </w:r>
      <w:r w:rsidR="003D3EC9">
        <w:t>37.0 in 2022–23 to 38.</w:t>
      </w:r>
      <w:r w:rsidR="00EC04D2">
        <w:t xml:space="preserve">3 </w:t>
      </w:r>
      <w:r w:rsidR="003D3EC9">
        <w:t>by 2034–35</w:t>
      </w:r>
      <w:r w:rsidR="00DE7D88">
        <w:t>)</w:t>
      </w:r>
      <w:r w:rsidR="00DA3479">
        <w:t>,</w:t>
      </w:r>
      <w:r w:rsidR="003D3EC9" w:rsidDel="00DA3479">
        <w:t xml:space="preserve"> </w:t>
      </w:r>
      <w:r w:rsidR="003D3EC9">
        <w:t>because:</w:t>
      </w:r>
    </w:p>
    <w:p w14:paraId="0B54ACC9" w14:textId="5C6791B1" w:rsidR="003D3EC9" w:rsidRDefault="003D3EC9" w:rsidP="00756BE9">
      <w:pPr>
        <w:pStyle w:val="Bullet"/>
      </w:pPr>
      <w:r>
        <w:t>net internal migration to rest</w:t>
      </w:r>
      <w:r w:rsidR="00050D25">
        <w:noBreakHyphen/>
      </w:r>
      <w:r>
        <w:t>of</w:t>
      </w:r>
      <w:r w:rsidR="00050D25">
        <w:noBreakHyphen/>
      </w:r>
      <w:r>
        <w:t>state areas is concentrated in older age cohorts – there is a pronounced outflow of the population aged around 18 from rest</w:t>
      </w:r>
      <w:r w:rsidR="00050D25">
        <w:noBreakHyphen/>
      </w:r>
      <w:r>
        <w:t>of</w:t>
      </w:r>
      <w:r w:rsidR="00050D25">
        <w:noBreakHyphen/>
      </w:r>
      <w:r>
        <w:t xml:space="preserve">state areas and </w:t>
      </w:r>
      <w:r w:rsidR="00236DFD">
        <w:t>net movers to rest</w:t>
      </w:r>
      <w:r w:rsidR="00050D25">
        <w:noBreakHyphen/>
      </w:r>
      <w:r w:rsidR="00236DFD">
        <w:t>of</w:t>
      </w:r>
      <w:r w:rsidR="00050D25">
        <w:noBreakHyphen/>
      </w:r>
      <w:r w:rsidR="00236DFD">
        <w:t xml:space="preserve">state areas tend to be </w:t>
      </w:r>
      <w:proofErr w:type="gramStart"/>
      <w:r w:rsidR="00236DFD">
        <w:t>older</w:t>
      </w:r>
      <w:proofErr w:type="gramEnd"/>
    </w:p>
    <w:p w14:paraId="4A755769" w14:textId="6DDF83C1" w:rsidR="003D3EC9" w:rsidRPr="00923E2D" w:rsidRDefault="003D3EC9" w:rsidP="00756BE9">
      <w:pPr>
        <w:pStyle w:val="Bullet"/>
        <w:rPr>
          <w:rStyle w:val="CommentReference"/>
          <w:sz w:val="20"/>
          <w:szCs w:val="20"/>
        </w:rPr>
      </w:pPr>
      <w:r>
        <w:t>fewer international migrants go to rest</w:t>
      </w:r>
      <w:r w:rsidR="00050D25">
        <w:noBreakHyphen/>
      </w:r>
      <w:r>
        <w:t>of</w:t>
      </w:r>
      <w:r w:rsidR="00050D25">
        <w:noBreakHyphen/>
      </w:r>
      <w:r>
        <w:t>state areas – around 1</w:t>
      </w:r>
      <w:r w:rsidR="006D15BC">
        <w:t>6</w:t>
      </w:r>
      <w:r w:rsidR="00FF207F">
        <w:t> per cent</w:t>
      </w:r>
      <w:r>
        <w:t xml:space="preserve"> of </w:t>
      </w:r>
      <w:r w:rsidR="00E84835">
        <w:t>NOM</w:t>
      </w:r>
      <w:r>
        <w:t xml:space="preserve"> goes to rest</w:t>
      </w:r>
      <w:r w:rsidR="00050D25">
        <w:noBreakHyphen/>
      </w:r>
      <w:r>
        <w:t>of</w:t>
      </w:r>
      <w:r w:rsidR="00050D25">
        <w:noBreakHyphen/>
      </w:r>
      <w:r>
        <w:t xml:space="preserve">state areas, compared to </w:t>
      </w:r>
      <w:r w:rsidR="00417EC3">
        <w:t>the rest-of-state</w:t>
      </w:r>
      <w:r>
        <w:t xml:space="preserve"> population share of around 30</w:t>
      </w:r>
      <w:r w:rsidR="00FF207F">
        <w:t> per cent</w:t>
      </w:r>
      <w:r>
        <w:t>, and</w:t>
      </w:r>
    </w:p>
    <w:p w14:paraId="12A7406C" w14:textId="7BCB388C" w:rsidR="003D3EC9" w:rsidRDefault="003D3EC9" w:rsidP="00756BE9">
      <w:pPr>
        <w:pStyle w:val="Bullet"/>
      </w:pPr>
      <w:r>
        <w:t>international migrants to rest</w:t>
      </w:r>
      <w:r w:rsidR="00050D25">
        <w:noBreakHyphen/>
      </w:r>
      <w:r>
        <w:t>of</w:t>
      </w:r>
      <w:r w:rsidR="00050D25">
        <w:noBreakHyphen/>
      </w:r>
      <w:r>
        <w:t>state areas are older, with proportionally fewer people aged 16 to 23, and proportionally more aged 24 to 30</w:t>
      </w:r>
      <w:r w:rsidR="000E119A">
        <w:t xml:space="preserve"> </w:t>
      </w:r>
      <w:r w:rsidR="00C30779">
        <w:t>(</w:t>
      </w:r>
      <w:r w:rsidR="00C30779">
        <w:fldChar w:fldCharType="begin"/>
      </w:r>
      <w:r w:rsidR="00C30779">
        <w:instrText xml:space="preserve"> REF _Ref180412691 \r \h </w:instrText>
      </w:r>
      <w:r w:rsidR="00C30779">
        <w:fldChar w:fldCharType="separate"/>
      </w:r>
      <w:r w:rsidR="00050D25">
        <w:t>Chart 29</w:t>
      </w:r>
      <w:r w:rsidR="00C30779">
        <w:fldChar w:fldCharType="end"/>
      </w:r>
      <w:r w:rsidR="00C30779">
        <w:t>)</w:t>
      </w:r>
      <w:r>
        <w:t>.</w:t>
      </w:r>
    </w:p>
    <w:p w14:paraId="355F2A94" w14:textId="77777777" w:rsidR="003D3EC9" w:rsidRPr="00207D66" w:rsidRDefault="003D3EC9" w:rsidP="00654915">
      <w:pPr>
        <w:pStyle w:val="ChartMainHeading"/>
      </w:pPr>
      <w:bookmarkStart w:id="164" w:name="_Ref180412691"/>
      <w:r>
        <w:lastRenderedPageBreak/>
        <w:t>Age distribution of migration, total over the projection period</w:t>
      </w:r>
      <w:bookmarkEnd w:id="164"/>
    </w:p>
    <w:tbl>
      <w:tblPr>
        <w:tblStyle w:val="TableGrid"/>
        <w:tblW w:w="9016" w:type="dxa"/>
        <w:tblLook w:val="04A0" w:firstRow="1" w:lastRow="0" w:firstColumn="1" w:lastColumn="0" w:noHBand="0" w:noVBand="1"/>
      </w:tblPr>
      <w:tblGrid>
        <w:gridCol w:w="4536"/>
        <w:gridCol w:w="4536"/>
      </w:tblGrid>
      <w:tr w:rsidR="003D3EC9" w14:paraId="239230AD" w14:textId="77777777" w:rsidTr="003914B2">
        <w:trPr>
          <w:trHeight w:val="300"/>
        </w:trPr>
        <w:tc>
          <w:tcPr>
            <w:tcW w:w="4636" w:type="dxa"/>
            <w:shd w:val="clear" w:color="auto" w:fill="auto"/>
          </w:tcPr>
          <w:p w14:paraId="1EF14436" w14:textId="193DD43E" w:rsidR="003D3EC9" w:rsidRDefault="003D3EC9" w:rsidP="00916EF2">
            <w:pPr>
              <w:pStyle w:val="ChartSecondHeading"/>
            </w:pPr>
            <w:r>
              <w:t>Internal migration to rest</w:t>
            </w:r>
            <w:r w:rsidR="00050D25">
              <w:noBreakHyphen/>
            </w:r>
            <w:r>
              <w:t>of</w:t>
            </w:r>
            <w:r w:rsidR="00050D25">
              <w:noBreakHyphen/>
            </w:r>
            <w:r>
              <w:t>state areas</w:t>
            </w:r>
          </w:p>
          <w:p w14:paraId="28D29A4B" w14:textId="0C191489" w:rsidR="003D3EC9" w:rsidRDefault="00DB11C2" w:rsidP="00A633E1">
            <w:pPr>
              <w:pStyle w:val="ChartGraphic"/>
            </w:pPr>
            <w:r w:rsidRPr="00DB11C2">
              <w:rPr>
                <w:noProof/>
              </w:rPr>
              <w:drawing>
                <wp:inline distT="0" distB="0" distL="0" distR="0" wp14:anchorId="2C5EE168" wp14:editId="547A5F91">
                  <wp:extent cx="2790825" cy="2876550"/>
                  <wp:effectExtent l="0" t="0" r="0" b="0"/>
                  <wp:docPr id="1508354198" name="Picture 1508354198" descr="This chart shows internal migration arrivals, departures and net internal migration for rest-of-state areas, by single year of age, totalled over the projection period. Arrivals and departures both have peaks at ages around the mid-20s, but departures are significantly higher than arrivals for 17 to 19-year-olds, resulting in net internal migration being negative around those ages. Net internal migration is positive for ages 0 to 11 and 24 to 75, and around zero for ages ove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54198" name="Picture 1508354198" descr="This chart shows internal migration arrivals, departures and net internal migration for rest-of-state areas, by single year of age, totalled over the projection period. Arrivals and departures both have peaks at ages around the mid-20s, but departures are significantly higher than arrivals for 17 to 19-year-olds, resulting in net internal migration being negative around those ages. Net internal migration is positive for ages 0 to 11 and 24 to 75, and around zero for ages over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0825" cy="2876550"/>
                          </a:xfrm>
                          <a:prstGeom prst="rect">
                            <a:avLst/>
                          </a:prstGeom>
                          <a:noFill/>
                          <a:ln>
                            <a:noFill/>
                          </a:ln>
                        </pic:spPr>
                      </pic:pic>
                    </a:graphicData>
                  </a:graphic>
                </wp:inline>
              </w:drawing>
            </w:r>
          </w:p>
        </w:tc>
        <w:tc>
          <w:tcPr>
            <w:tcW w:w="4380" w:type="dxa"/>
            <w:shd w:val="clear" w:color="auto" w:fill="auto"/>
          </w:tcPr>
          <w:p w14:paraId="3275FE72" w14:textId="77777777" w:rsidR="003D3EC9" w:rsidRDefault="003D3EC9" w:rsidP="00916EF2">
            <w:pPr>
              <w:pStyle w:val="ChartSecondHeading"/>
            </w:pPr>
            <w:r>
              <w:t>Net overseas migration</w:t>
            </w:r>
          </w:p>
          <w:p w14:paraId="73AF3507" w14:textId="72B5BF0A" w:rsidR="003D3EC9" w:rsidRDefault="00703086" w:rsidP="00A633E1">
            <w:pPr>
              <w:pStyle w:val="ChartGraphic"/>
            </w:pPr>
            <w:r w:rsidRPr="00703086">
              <w:rPr>
                <w:noProof/>
              </w:rPr>
              <w:drawing>
                <wp:inline distT="0" distB="0" distL="0" distR="0" wp14:anchorId="72F0C6AF" wp14:editId="65BF32B9">
                  <wp:extent cx="2790825" cy="2876550"/>
                  <wp:effectExtent l="0" t="0" r="0" b="0"/>
                  <wp:docPr id="1749067939" name="Picture 1749067939" descr="This chart shows net overseas migration to capital cities and rest-of-state areas, by single year of age, totalled over the projection period. Both distributions have similar shapes, with migration concentrated around ages 17 to 30, but capital cities have a greater share of net overseas migration for ages 17 to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67939" name="Picture 1749067939" descr="This chart shows net overseas migration to capital cities and rest-of-state areas, by single year of age, totalled over the projection period. Both distributions have similar shapes, with migration concentrated around ages 17 to 30, but capital cities have a greater share of net overseas migration for ages 17 to 23.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0825" cy="2876550"/>
                          </a:xfrm>
                          <a:prstGeom prst="rect">
                            <a:avLst/>
                          </a:prstGeom>
                          <a:noFill/>
                          <a:ln>
                            <a:noFill/>
                          </a:ln>
                        </pic:spPr>
                      </pic:pic>
                    </a:graphicData>
                  </a:graphic>
                </wp:inline>
              </w:drawing>
            </w:r>
          </w:p>
        </w:tc>
      </w:tr>
    </w:tbl>
    <w:p w14:paraId="3A621C50" w14:textId="72F24252" w:rsidR="003D3EC9" w:rsidRDefault="003D3EC9" w:rsidP="003D3EC9">
      <w:pPr>
        <w:pStyle w:val="Source"/>
      </w:pPr>
      <w:r w:rsidRPr="00FA64D7">
        <w:t>Source:</w:t>
      </w:r>
      <w:r w:rsidRPr="00FA64D7">
        <w:tab/>
        <w:t>Centre for Population.</w:t>
      </w:r>
    </w:p>
    <w:p w14:paraId="3696BFBD" w14:textId="77777777" w:rsidR="00997375" w:rsidRPr="00FA64D7" w:rsidRDefault="00997375" w:rsidP="00997375">
      <w:pPr>
        <w:pStyle w:val="SingleParagraph"/>
      </w:pPr>
    </w:p>
    <w:p w14:paraId="60E4FD21" w14:textId="7F706A2F" w:rsidR="003D3EC9" w:rsidRDefault="003D3EC9" w:rsidP="003D3EC9">
      <w:r>
        <w:t>Darwin has the lowest median age among capital cities, and this is expected to continue over the projection period. Hobart is projected to have the largest increase in median age, from 3</w:t>
      </w:r>
      <w:r w:rsidR="005C1F5F">
        <w:t>8.9</w:t>
      </w:r>
      <w:r>
        <w:t xml:space="preserve"> in 2022–23 to 44.2 in 2034–‍35, driven by the older age profile of its net internal migration and relatively low share of </w:t>
      </w:r>
      <w:r w:rsidR="00E84835">
        <w:t>NOM</w:t>
      </w:r>
      <w:r>
        <w:t xml:space="preserve">. As a result, Hobart is projected to overtake Adelaide as the oldest capital city in 2023–24. Sydney, </w:t>
      </w:r>
      <w:proofErr w:type="gramStart"/>
      <w:r w:rsidR="002C7986">
        <w:t>Perth</w:t>
      </w:r>
      <w:proofErr w:type="gramEnd"/>
      <w:r w:rsidR="002C7986">
        <w:t xml:space="preserve"> </w:t>
      </w:r>
      <w:r w:rsidR="00CB3573">
        <w:t>and</w:t>
      </w:r>
      <w:r>
        <w:t xml:space="preserve"> Melbourne are expected to have the smallest increase in their median age over the next decade, all increasing by less than 1.5 years, reflecting their high share of </w:t>
      </w:r>
      <w:r w:rsidR="00E84835">
        <w:t>NOM</w:t>
      </w:r>
      <w:r>
        <w:t xml:space="preserve">. </w:t>
      </w:r>
    </w:p>
    <w:p w14:paraId="4BCFD38C" w14:textId="3447FA8A" w:rsidR="003D3EC9" w:rsidRDefault="003D3EC9" w:rsidP="003D3EC9">
      <w:r>
        <w:t>Except for in the Northern Territory, all rest</w:t>
      </w:r>
      <w:r w:rsidR="00050D25">
        <w:noBreakHyphen/>
      </w:r>
      <w:r>
        <w:t>of</w:t>
      </w:r>
      <w:r w:rsidR="00050D25">
        <w:noBreakHyphen/>
      </w:r>
      <w:r>
        <w:t>state areas have higher median ages than their respective capital city and are projected to age faster. Rest of Queensland and rest of Northern Territory are expected have the smallest increase in their median age over the next decade and rest of Tasmania is projected to have the largest increase.</w:t>
      </w:r>
    </w:p>
    <w:p w14:paraId="7EF385A9" w14:textId="08D57936" w:rsidR="003D3EC9" w:rsidRPr="00DB4A76" w:rsidRDefault="003D3EC9" w:rsidP="002953A8">
      <w:pPr>
        <w:pStyle w:val="Heading3Numbered"/>
      </w:pPr>
      <w:r w:rsidRPr="00DB4A76">
        <w:t>Inter</w:t>
      </w:r>
      <w:r>
        <w:t>nal</w:t>
      </w:r>
      <w:r w:rsidRPr="00DB4A76">
        <w:t xml:space="preserve"> migration</w:t>
      </w:r>
    </w:p>
    <w:p w14:paraId="5F5BA27F" w14:textId="27D2A7DF" w:rsidR="003D3EC9" w:rsidRPr="00B31B6A" w:rsidRDefault="003D3EC9" w:rsidP="003D3EC9">
      <w:pPr>
        <w:rPr>
          <w:rFonts w:ascii="Calibri" w:eastAsia="SimSun" w:hAnsi="Calibri" w:cs="Times New Roman"/>
        </w:rPr>
      </w:pPr>
      <w:r>
        <w:rPr>
          <w:rFonts w:ascii="Calibri" w:eastAsia="SimSun" w:hAnsi="Calibri" w:cs="Times New Roman"/>
        </w:rPr>
        <w:t xml:space="preserve">People move for </w:t>
      </w:r>
      <w:r w:rsidRPr="00B31B6A">
        <w:rPr>
          <w:rFonts w:ascii="Calibri" w:eastAsia="SimSun" w:hAnsi="Calibri" w:cs="Times New Roman"/>
        </w:rPr>
        <w:t>diverse</w:t>
      </w:r>
      <w:r>
        <w:rPr>
          <w:rFonts w:ascii="Calibri" w:eastAsia="SimSun" w:hAnsi="Calibri" w:cs="Times New Roman"/>
        </w:rPr>
        <w:t xml:space="preserve"> reasons, </w:t>
      </w:r>
      <w:r w:rsidRPr="00B31B6A">
        <w:rPr>
          <w:rFonts w:ascii="Calibri" w:eastAsia="SimSun" w:hAnsi="Calibri" w:cs="Times New Roman"/>
        </w:rPr>
        <w:t>influenced by factors unique to the individual as well as broader macro</w:t>
      </w:r>
      <w:r w:rsidR="00050D25">
        <w:rPr>
          <w:rFonts w:ascii="Calibri" w:eastAsia="SimSun" w:hAnsi="Calibri" w:cs="Times New Roman"/>
        </w:rPr>
        <w:noBreakHyphen/>
      </w:r>
      <w:r w:rsidRPr="00B31B6A">
        <w:rPr>
          <w:rFonts w:ascii="Calibri" w:eastAsia="SimSun" w:hAnsi="Calibri" w:cs="Times New Roman"/>
        </w:rPr>
        <w:t xml:space="preserve">level factors. As part of research commissioned by the Centre for Population, the Centre for International Economics found the most common reasons for people moving are to take up a job, to be near friends and family, and for housing availability and affordability. </w:t>
      </w:r>
    </w:p>
    <w:p w14:paraId="5975D6F3" w14:textId="2DF6D1C8" w:rsidR="003D3EC9" w:rsidRDefault="003D3EC9" w:rsidP="003D3EC9">
      <w:pPr>
        <w:rPr>
          <w:rFonts w:ascii="Calibri" w:eastAsia="SimSun" w:hAnsi="Calibri" w:cs="Times New Roman"/>
        </w:rPr>
      </w:pPr>
      <w:r w:rsidRPr="00657322">
        <w:rPr>
          <w:rFonts w:ascii="Calibri" w:eastAsia="SimSun" w:hAnsi="Calibri" w:cs="Times New Roman"/>
        </w:rPr>
        <w:t xml:space="preserve">Interstate moves </w:t>
      </w:r>
      <w:r w:rsidRPr="00657322" w:rsidDel="00EA63CC">
        <w:rPr>
          <w:rFonts w:ascii="Calibri" w:eastAsia="SimSun" w:hAnsi="Calibri" w:cs="Times New Roman"/>
        </w:rPr>
        <w:t>ha</w:t>
      </w:r>
      <w:r>
        <w:rPr>
          <w:rFonts w:ascii="Calibri" w:eastAsia="SimSun" w:hAnsi="Calibri" w:cs="Times New Roman"/>
        </w:rPr>
        <w:t>ve</w:t>
      </w:r>
      <w:r w:rsidRPr="00657322" w:rsidDel="00EA63CC">
        <w:rPr>
          <w:rFonts w:ascii="Calibri" w:eastAsia="SimSun" w:hAnsi="Calibri" w:cs="Times New Roman"/>
        </w:rPr>
        <w:t xml:space="preserve"> declin</w:t>
      </w:r>
      <w:r>
        <w:rPr>
          <w:rFonts w:ascii="Calibri" w:eastAsia="SimSun" w:hAnsi="Calibri" w:cs="Times New Roman"/>
        </w:rPr>
        <w:t xml:space="preserve">ed </w:t>
      </w:r>
      <w:r w:rsidRPr="00657322" w:rsidDel="00EA63CC">
        <w:rPr>
          <w:rFonts w:ascii="Calibri" w:eastAsia="SimSun" w:hAnsi="Calibri" w:cs="Times New Roman"/>
        </w:rPr>
        <w:t xml:space="preserve">as a share of population </w:t>
      </w:r>
      <w:r>
        <w:rPr>
          <w:rFonts w:ascii="Calibri" w:eastAsia="SimSun" w:hAnsi="Calibri" w:cs="Times New Roman"/>
        </w:rPr>
        <w:t>since the 1990s</w:t>
      </w:r>
      <w:r w:rsidRPr="00657322" w:rsidDel="00EA63CC">
        <w:rPr>
          <w:rFonts w:ascii="Calibri" w:eastAsia="SimSun" w:hAnsi="Calibri" w:cs="Times New Roman"/>
        </w:rPr>
        <w:t xml:space="preserve"> (</w:t>
      </w:r>
      <w:r>
        <w:rPr>
          <w:rFonts w:ascii="Calibri" w:eastAsia="SimSun" w:hAnsi="Calibri" w:cs="Times New Roman"/>
        </w:rPr>
        <w:fldChar w:fldCharType="begin"/>
      </w:r>
      <w:r>
        <w:rPr>
          <w:rFonts w:ascii="Calibri" w:eastAsia="SimSun" w:hAnsi="Calibri" w:cs="Times New Roman"/>
        </w:rPr>
        <w:instrText xml:space="preserve"> REF _Ref179990009 \r \h </w:instrText>
      </w:r>
      <w:r>
        <w:rPr>
          <w:rFonts w:ascii="Calibri" w:eastAsia="SimSun" w:hAnsi="Calibri" w:cs="Times New Roman"/>
        </w:rPr>
      </w:r>
      <w:r>
        <w:rPr>
          <w:rFonts w:ascii="Calibri" w:eastAsia="SimSun" w:hAnsi="Calibri" w:cs="Times New Roman"/>
        </w:rPr>
        <w:fldChar w:fldCharType="separate"/>
      </w:r>
      <w:r w:rsidR="00050D25">
        <w:rPr>
          <w:rFonts w:ascii="Calibri" w:eastAsia="SimSun" w:hAnsi="Calibri" w:cs="Times New Roman"/>
        </w:rPr>
        <w:t>Chart 30</w:t>
      </w:r>
      <w:r>
        <w:rPr>
          <w:rFonts w:ascii="Calibri" w:eastAsia="SimSun" w:hAnsi="Calibri" w:cs="Times New Roman"/>
        </w:rPr>
        <w:fldChar w:fldCharType="end"/>
      </w:r>
      <w:r w:rsidRPr="00657322" w:rsidDel="00EA63CC">
        <w:rPr>
          <w:rFonts w:ascii="Calibri" w:eastAsia="SimSun" w:hAnsi="Calibri" w:cs="Times New Roman"/>
        </w:rPr>
        <w:t>)</w:t>
      </w:r>
      <w:r w:rsidRPr="00657322">
        <w:rPr>
          <w:rFonts w:ascii="Calibri" w:eastAsia="SimSun" w:hAnsi="Calibri" w:cs="Times New Roman"/>
        </w:rPr>
        <w:t xml:space="preserve">. </w:t>
      </w:r>
      <w:r>
        <w:rPr>
          <w:rFonts w:ascii="Calibri" w:eastAsia="SimSun" w:hAnsi="Calibri" w:cs="Times New Roman"/>
        </w:rPr>
        <w:t xml:space="preserve">The reasons for this decline include </w:t>
      </w:r>
      <w:r w:rsidRPr="009E7643">
        <w:rPr>
          <w:rFonts w:ascii="Calibri" w:eastAsia="SimSun" w:hAnsi="Calibri" w:cs="Times New Roman"/>
        </w:rPr>
        <w:t>an older population that is less likely to relocate, a higher share of dual income households, the increase in working from home, costs associated with moving and adult children moving out of their parents</w:t>
      </w:r>
      <w:r w:rsidR="00050D25">
        <w:rPr>
          <w:rFonts w:ascii="Calibri" w:eastAsia="SimSun" w:hAnsi="Calibri" w:cs="Times New Roman"/>
        </w:rPr>
        <w:t>’</w:t>
      </w:r>
      <w:r w:rsidRPr="009E7643">
        <w:rPr>
          <w:rFonts w:ascii="Calibri" w:eastAsia="SimSun" w:hAnsi="Calibri" w:cs="Times New Roman"/>
        </w:rPr>
        <w:t xml:space="preserve"> home later in life.</w:t>
      </w:r>
      <w:r w:rsidR="00DD69FB">
        <w:rPr>
          <w:rStyle w:val="FootnoteReference"/>
          <w:rFonts w:eastAsia="SimSun" w:cs="Times New Roman"/>
        </w:rPr>
        <w:footnoteReference w:id="55"/>
      </w:r>
      <w:r>
        <w:rPr>
          <w:rFonts w:ascii="Calibri" w:eastAsia="SimSun" w:hAnsi="Calibri" w:cs="Times New Roman"/>
        </w:rPr>
        <w:t xml:space="preserve"> </w:t>
      </w:r>
      <w:r w:rsidRPr="006534F1">
        <w:rPr>
          <w:rFonts w:ascii="Calibri" w:eastAsia="SimSun" w:hAnsi="Calibri" w:cs="Times New Roman"/>
        </w:rPr>
        <w:t xml:space="preserve">Internal migration patterns vary </w:t>
      </w:r>
      <w:r>
        <w:rPr>
          <w:rFonts w:ascii="Calibri" w:eastAsia="SimSun" w:hAnsi="Calibri" w:cs="Times New Roman"/>
        </w:rPr>
        <w:t>over time, both in terms of total net moves to each region and the demographics of the people moving (</w:t>
      </w:r>
      <w:r>
        <w:rPr>
          <w:rFonts w:ascii="Calibri" w:eastAsia="SimSun" w:hAnsi="Calibri" w:cs="Times New Roman"/>
        </w:rPr>
        <w:fldChar w:fldCharType="begin"/>
      </w:r>
      <w:r>
        <w:rPr>
          <w:rFonts w:ascii="Calibri" w:eastAsia="SimSun" w:hAnsi="Calibri" w:cs="Times New Roman"/>
        </w:rPr>
        <w:instrText xml:space="preserve"> REF _Ref180154180 \r \h </w:instrText>
      </w:r>
      <w:r>
        <w:rPr>
          <w:rFonts w:ascii="Calibri" w:eastAsia="SimSun" w:hAnsi="Calibri" w:cs="Times New Roman"/>
        </w:rPr>
      </w:r>
      <w:r>
        <w:rPr>
          <w:rFonts w:ascii="Calibri" w:eastAsia="SimSun" w:hAnsi="Calibri" w:cs="Times New Roman"/>
        </w:rPr>
        <w:fldChar w:fldCharType="separate"/>
      </w:r>
      <w:r w:rsidR="00050D25">
        <w:rPr>
          <w:rFonts w:ascii="Calibri" w:eastAsia="SimSun" w:hAnsi="Calibri" w:cs="Times New Roman"/>
        </w:rPr>
        <w:t>Box 8</w:t>
      </w:r>
      <w:r>
        <w:rPr>
          <w:rFonts w:ascii="Calibri" w:eastAsia="SimSun" w:hAnsi="Calibri" w:cs="Times New Roman"/>
        </w:rPr>
        <w:fldChar w:fldCharType="end"/>
      </w:r>
      <w:r>
        <w:rPr>
          <w:rFonts w:ascii="Calibri" w:eastAsia="SimSun" w:hAnsi="Calibri" w:cs="Times New Roman"/>
        </w:rPr>
        <w:t>)</w:t>
      </w:r>
      <w:r w:rsidRPr="006534F1">
        <w:rPr>
          <w:rFonts w:ascii="Calibri" w:eastAsia="SimSun" w:hAnsi="Calibri" w:cs="Times New Roman"/>
        </w:rPr>
        <w:t>.</w:t>
      </w:r>
    </w:p>
    <w:p w14:paraId="18C408F0" w14:textId="3F09AF57" w:rsidR="003D3EC9" w:rsidRPr="00657322" w:rsidRDefault="003D3EC9" w:rsidP="003D3EC9">
      <w:pPr>
        <w:rPr>
          <w:rFonts w:ascii="Calibri" w:eastAsia="SimSun" w:hAnsi="Calibri" w:cs="Times New Roman"/>
        </w:rPr>
      </w:pPr>
      <w:r w:rsidRPr="00657322">
        <w:rPr>
          <w:rFonts w:ascii="Calibri" w:eastAsia="SimSun" w:hAnsi="Calibri" w:cs="Times New Roman"/>
        </w:rPr>
        <w:lastRenderedPageBreak/>
        <w:t>National interstate moves are forecast to be 38</w:t>
      </w:r>
      <w:r w:rsidR="00FB38D3">
        <w:rPr>
          <w:rFonts w:ascii="Calibri" w:eastAsia="SimSun" w:hAnsi="Calibri" w:cs="Times New Roman"/>
        </w:rPr>
        <w:t>4</w:t>
      </w:r>
      <w:r w:rsidRPr="00657322">
        <w:rPr>
          <w:rFonts w:ascii="Calibri" w:eastAsia="SimSun" w:hAnsi="Calibri" w:cs="Times New Roman"/>
        </w:rPr>
        <w:t>,000 in 202</w:t>
      </w:r>
      <w:r>
        <w:rPr>
          <w:rFonts w:ascii="Calibri" w:eastAsia="SimSun" w:hAnsi="Calibri" w:cs="Times New Roman"/>
        </w:rPr>
        <w:t>4</w:t>
      </w:r>
      <w:r w:rsidRPr="00657322">
        <w:rPr>
          <w:rFonts w:ascii="Calibri" w:eastAsia="SimSun" w:hAnsi="Calibri" w:cs="Times New Roman"/>
        </w:rPr>
        <w:t>–2</w:t>
      </w:r>
      <w:r>
        <w:rPr>
          <w:rFonts w:ascii="Calibri" w:eastAsia="SimSun" w:hAnsi="Calibri" w:cs="Times New Roman"/>
        </w:rPr>
        <w:t>5</w:t>
      </w:r>
      <w:r w:rsidRPr="00657322">
        <w:rPr>
          <w:rFonts w:ascii="Calibri" w:eastAsia="SimSun" w:hAnsi="Calibri" w:cs="Times New Roman"/>
        </w:rPr>
        <w:t xml:space="preserve">, equivalent to </w:t>
      </w:r>
      <w:r w:rsidRPr="00657322" w:rsidDel="00EA63CC">
        <w:rPr>
          <w:rFonts w:ascii="Calibri" w:eastAsia="SimSun" w:hAnsi="Calibri" w:cs="Times New Roman"/>
        </w:rPr>
        <w:t>1.4</w:t>
      </w:r>
      <w:r w:rsidR="00FF207F">
        <w:rPr>
          <w:rFonts w:ascii="Calibri" w:eastAsia="SimSun" w:hAnsi="Calibri" w:cs="Times New Roman"/>
        </w:rPr>
        <w:t> per cent</w:t>
      </w:r>
      <w:r w:rsidRPr="00657322">
        <w:rPr>
          <w:rFonts w:ascii="Calibri" w:eastAsia="SimSun" w:hAnsi="Calibri" w:cs="Times New Roman"/>
        </w:rPr>
        <w:t xml:space="preserve"> of the population</w:t>
      </w:r>
      <w:r>
        <w:rPr>
          <w:rFonts w:ascii="Calibri" w:eastAsia="SimSun" w:hAnsi="Calibri" w:cs="Times New Roman"/>
        </w:rPr>
        <w:t xml:space="preserve">, and </w:t>
      </w:r>
      <w:r w:rsidR="002357EB">
        <w:rPr>
          <w:rFonts w:ascii="Calibri" w:eastAsia="SimSun" w:hAnsi="Calibri" w:cs="Times New Roman"/>
        </w:rPr>
        <w:t xml:space="preserve">are </w:t>
      </w:r>
      <w:r>
        <w:rPr>
          <w:rFonts w:ascii="Calibri" w:eastAsia="SimSun" w:hAnsi="Calibri" w:cs="Times New Roman"/>
        </w:rPr>
        <w:t>expected to be</w:t>
      </w:r>
      <w:r w:rsidRPr="00657322">
        <w:rPr>
          <w:rFonts w:ascii="Calibri" w:eastAsia="SimSun" w:hAnsi="Calibri" w:cs="Times New Roman"/>
        </w:rPr>
        <w:t xml:space="preserve"> 19</w:t>
      </w:r>
      <w:r w:rsidR="00FF207F">
        <w:rPr>
          <w:rFonts w:ascii="Calibri" w:eastAsia="SimSun" w:hAnsi="Calibri" w:cs="Times New Roman"/>
        </w:rPr>
        <w:t> per cent</w:t>
      </w:r>
      <w:r w:rsidRPr="00657322">
        <w:rPr>
          <w:rFonts w:ascii="Calibri" w:eastAsia="SimSun" w:hAnsi="Calibri" w:cs="Times New Roman"/>
        </w:rPr>
        <w:t xml:space="preserve"> below the 2018</w:t>
      </w:r>
      <w:r w:rsidRPr="00657322" w:rsidDel="00EA63CC">
        <w:rPr>
          <w:rFonts w:ascii="Calibri" w:eastAsia="SimSun" w:hAnsi="Calibri" w:cs="Times New Roman"/>
        </w:rPr>
        <w:t>–</w:t>
      </w:r>
      <w:r w:rsidRPr="00657322">
        <w:rPr>
          <w:rFonts w:ascii="Calibri" w:eastAsia="SimSun" w:hAnsi="Calibri" w:cs="Times New Roman"/>
        </w:rPr>
        <w:t>19 level (476,000). National moves are projected to recover to around 4</w:t>
      </w:r>
      <w:r w:rsidR="005B3C0B">
        <w:rPr>
          <w:rFonts w:ascii="Calibri" w:eastAsia="SimSun" w:hAnsi="Calibri" w:cs="Times New Roman"/>
        </w:rPr>
        <w:t>46</w:t>
      </w:r>
      <w:r w:rsidRPr="00657322">
        <w:rPr>
          <w:rFonts w:ascii="Calibri" w:eastAsia="SimSun" w:hAnsi="Calibri" w:cs="Times New Roman"/>
        </w:rPr>
        <w:t>,000 in 202</w:t>
      </w:r>
      <w:r w:rsidR="006A66D1">
        <w:rPr>
          <w:rFonts w:ascii="Calibri" w:eastAsia="SimSun" w:hAnsi="Calibri" w:cs="Times New Roman"/>
        </w:rPr>
        <w:t>6</w:t>
      </w:r>
      <w:r w:rsidRPr="00657322">
        <w:rPr>
          <w:rFonts w:ascii="Calibri" w:eastAsia="SimSun" w:hAnsi="Calibri" w:cs="Times New Roman"/>
        </w:rPr>
        <w:t>–2</w:t>
      </w:r>
      <w:r w:rsidR="006A66D1">
        <w:rPr>
          <w:rFonts w:ascii="Calibri" w:eastAsia="SimSun" w:hAnsi="Calibri" w:cs="Times New Roman"/>
        </w:rPr>
        <w:t>7</w:t>
      </w:r>
      <w:r w:rsidRPr="00657322">
        <w:rPr>
          <w:rFonts w:ascii="Calibri" w:eastAsia="SimSun" w:hAnsi="Calibri" w:cs="Times New Roman"/>
        </w:rPr>
        <w:t xml:space="preserve"> (1.6</w:t>
      </w:r>
      <w:r w:rsidR="00FF207F">
        <w:rPr>
          <w:rFonts w:ascii="Calibri" w:eastAsia="SimSun" w:hAnsi="Calibri" w:cs="Times New Roman"/>
        </w:rPr>
        <w:t> per cent</w:t>
      </w:r>
      <w:r w:rsidRPr="00657322">
        <w:rPr>
          <w:rFonts w:ascii="Calibri" w:eastAsia="SimSun" w:hAnsi="Calibri" w:cs="Times New Roman"/>
        </w:rPr>
        <w:t xml:space="preserve"> of the population) </w:t>
      </w:r>
      <w:r w:rsidR="00105A14">
        <w:rPr>
          <w:rFonts w:ascii="Calibri" w:eastAsia="SimSun" w:hAnsi="Calibri" w:cs="Times New Roman"/>
        </w:rPr>
        <w:t>and then increase at</w:t>
      </w:r>
      <w:r w:rsidR="001E6142">
        <w:rPr>
          <w:rFonts w:ascii="Calibri" w:eastAsia="SimSun" w:hAnsi="Calibri" w:cs="Times New Roman"/>
        </w:rPr>
        <w:t xml:space="preserve"> a </w:t>
      </w:r>
      <w:r>
        <w:rPr>
          <w:rFonts w:ascii="Calibri" w:eastAsia="SimSun" w:hAnsi="Calibri" w:cs="Times New Roman"/>
        </w:rPr>
        <w:t xml:space="preserve">slightly </w:t>
      </w:r>
      <w:r w:rsidRPr="257E1984">
        <w:rPr>
          <w:rFonts w:ascii="Calibri" w:eastAsia="SimSun" w:hAnsi="Calibri" w:cs="Times New Roman"/>
        </w:rPr>
        <w:t>slower</w:t>
      </w:r>
      <w:r>
        <w:rPr>
          <w:rFonts w:ascii="Calibri" w:eastAsia="SimSun" w:hAnsi="Calibri" w:cs="Times New Roman"/>
        </w:rPr>
        <w:t xml:space="preserve"> </w:t>
      </w:r>
      <w:r w:rsidR="001E6142">
        <w:rPr>
          <w:rFonts w:ascii="Calibri" w:eastAsia="SimSun" w:hAnsi="Calibri" w:cs="Times New Roman"/>
        </w:rPr>
        <w:t xml:space="preserve">rate </w:t>
      </w:r>
      <w:r>
        <w:rPr>
          <w:rFonts w:ascii="Calibri" w:eastAsia="SimSun" w:hAnsi="Calibri" w:cs="Times New Roman"/>
        </w:rPr>
        <w:t>than growth of</w:t>
      </w:r>
      <w:r w:rsidRPr="00657322">
        <w:rPr>
          <w:rFonts w:ascii="Calibri" w:eastAsia="SimSun" w:hAnsi="Calibri" w:cs="Times New Roman"/>
        </w:rPr>
        <w:t xml:space="preserve"> the population.</w:t>
      </w:r>
      <w:r>
        <w:rPr>
          <w:rFonts w:ascii="Calibri" w:eastAsia="SimSun" w:hAnsi="Calibri" w:cs="Times New Roman"/>
        </w:rPr>
        <w:t xml:space="preserve"> </w:t>
      </w:r>
    </w:p>
    <w:p w14:paraId="33979ECD" w14:textId="7CCD233B" w:rsidR="003D3EC9" w:rsidRPr="00ED019A" w:rsidRDefault="003D3EC9" w:rsidP="00654915">
      <w:pPr>
        <w:pStyle w:val="ChartMainHeading"/>
      </w:pPr>
      <w:bookmarkStart w:id="165" w:name="_Ref179990009"/>
      <w:r w:rsidRPr="00ED019A">
        <w:t xml:space="preserve">Interstate </w:t>
      </w:r>
      <w:r>
        <w:t>m</w:t>
      </w:r>
      <w:r w:rsidRPr="00207D66">
        <w:t>oves</w:t>
      </w:r>
      <w:r>
        <w:t xml:space="preserve"> by share of population</w:t>
      </w:r>
      <w:bookmarkEnd w:id="165"/>
    </w:p>
    <w:p w14:paraId="50A941EC" w14:textId="566D9CDB" w:rsidR="00B16F54" w:rsidRDefault="00690952" w:rsidP="00997375">
      <w:pPr>
        <w:pStyle w:val="ChartGraphic"/>
      </w:pPr>
      <w:r w:rsidRPr="00690952">
        <w:t xml:space="preserve"> </w:t>
      </w:r>
      <w:r w:rsidRPr="00690952">
        <w:rPr>
          <w:noProof/>
        </w:rPr>
        <w:drawing>
          <wp:inline distT="0" distB="0" distL="0" distR="0" wp14:anchorId="467C53A9" wp14:editId="7AB3C509">
            <wp:extent cx="5581650" cy="2590800"/>
            <wp:effectExtent l="0" t="0" r="0" b="0"/>
            <wp:docPr id="1869848856" name="Picture 1" descr="This chart shows actual and projected interstate moves by share of population between 1984–85 and 2034–35. The share declined from the early 2000s to around 2015 before increasing sharply. There was volatility during the pandemic, and the outcome for 2022–23 was the lowest since the beginning of the period. The share is forecast to fall slightly in 2023–24 before increasing back to around 2011–12 levels from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48856" name="Picture 1" descr="This chart shows actual and projected interstate moves by share of population between 1984–85 and 2034–35. The share declined from the early 2000s to around 2015 before increasing sharply. There was volatility during the pandemic, and the outcome for 2022–23 was the lowest since the beginning of the period. The share is forecast to fall slightly in 2023–24 before increasing back to around 2011–12 levels from 202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590800"/>
                    </a:xfrm>
                    <a:prstGeom prst="rect">
                      <a:avLst/>
                    </a:prstGeom>
                    <a:noFill/>
                    <a:ln>
                      <a:noFill/>
                    </a:ln>
                  </pic:spPr>
                </pic:pic>
              </a:graphicData>
            </a:graphic>
          </wp:inline>
        </w:drawing>
      </w:r>
    </w:p>
    <w:p w14:paraId="468338A3" w14:textId="37D07D64" w:rsidR="003D3EC9" w:rsidRPr="00FF207F" w:rsidRDefault="003D3EC9" w:rsidP="00FF207F">
      <w:pPr>
        <w:pStyle w:val="ChartorTableNote"/>
      </w:pPr>
      <w:r w:rsidRPr="00FF207F">
        <w:t xml:space="preserve">Note: </w:t>
      </w:r>
      <w:r w:rsidRPr="00FF207F">
        <w:tab/>
        <w:t xml:space="preserve">The high level of interstate migration in 2021–22 is the artificial result of </w:t>
      </w:r>
      <w:r w:rsidR="002357EB">
        <w:t xml:space="preserve">people changing their </w:t>
      </w:r>
      <w:r w:rsidRPr="00FF207F">
        <w:t>Medicare address during the COVID</w:t>
      </w:r>
      <w:r w:rsidR="00050D25">
        <w:noBreakHyphen/>
      </w:r>
      <w:r w:rsidRPr="00FF207F">
        <w:t>19 vaccination rollout (pages 23</w:t>
      </w:r>
      <w:r w:rsidR="00315B09">
        <w:rPr>
          <w:rFonts w:eastAsia="SimSun"/>
        </w:rPr>
        <w:t>–</w:t>
      </w:r>
      <w:r w:rsidRPr="00FF207F">
        <w:t xml:space="preserve">24 of the 2022 Population Statement </w:t>
      </w:r>
      <w:proofErr w:type="gramStart"/>
      <w:r w:rsidRPr="00FF207F" w:rsidDel="00EA63CC">
        <w:t>provide</w:t>
      </w:r>
      <w:proofErr w:type="gramEnd"/>
      <w:r w:rsidRPr="00FF207F">
        <w:t xml:space="preserve"> further details).</w:t>
      </w:r>
    </w:p>
    <w:p w14:paraId="3320A9C5" w14:textId="77777777" w:rsidR="003D3EC9" w:rsidRPr="00FF207F" w:rsidRDefault="003D3EC9" w:rsidP="00FF207F">
      <w:pPr>
        <w:pStyle w:val="Source"/>
      </w:pPr>
      <w:r w:rsidRPr="00FF207F">
        <w:t xml:space="preserve">Source: </w:t>
      </w:r>
      <w:r w:rsidRPr="00FF207F">
        <w:tab/>
        <w:t xml:space="preserve">ABS, </w:t>
      </w:r>
      <w:r w:rsidRPr="00997375">
        <w:rPr>
          <w:rStyle w:val="SubtleEmphasis"/>
        </w:rPr>
        <w:t>National, state and territory population</w:t>
      </w:r>
      <w:r w:rsidRPr="0037128E">
        <w:rPr>
          <w:i/>
          <w:iCs/>
        </w:rPr>
        <w:t>, March 2024</w:t>
      </w:r>
      <w:r w:rsidRPr="00FF207F">
        <w:t>; and</w:t>
      </w:r>
      <w:r w:rsidRPr="00FF207F" w:rsidDel="00EA63CC">
        <w:t xml:space="preserve"> </w:t>
      </w:r>
      <w:r w:rsidRPr="00FF207F">
        <w:t>Centre for Population.</w:t>
      </w:r>
    </w:p>
    <w:p w14:paraId="09D3E26C" w14:textId="77777777" w:rsidR="00997375" w:rsidRDefault="00997375" w:rsidP="00997375">
      <w:pPr>
        <w:pStyle w:val="SingleParagraph"/>
      </w:pPr>
    </w:p>
    <w:p w14:paraId="496938EA" w14:textId="119B2C34" w:rsidR="00272BE5" w:rsidRDefault="003D3EC9" w:rsidP="0037128E">
      <w:pPr>
        <w:rPr>
          <w:rFonts w:ascii="Calibri" w:eastAsia="SimSun" w:hAnsi="Calibri" w:cs="Times New Roman"/>
        </w:rPr>
      </w:pPr>
      <w:r>
        <w:rPr>
          <w:rFonts w:ascii="Calibri" w:eastAsia="SimSun" w:hAnsi="Calibri" w:cs="Times New Roman"/>
        </w:rPr>
        <w:t>In aggregate, internal migration flows from capital cities to rest</w:t>
      </w:r>
      <w:r w:rsidR="00050D25">
        <w:rPr>
          <w:rFonts w:ascii="Calibri" w:eastAsia="SimSun" w:hAnsi="Calibri" w:cs="Times New Roman"/>
        </w:rPr>
        <w:noBreakHyphen/>
      </w:r>
      <w:r>
        <w:rPr>
          <w:rFonts w:ascii="Calibri" w:eastAsia="SimSun" w:hAnsi="Calibri" w:cs="Times New Roman"/>
        </w:rPr>
        <w:t>of</w:t>
      </w:r>
      <w:r w:rsidR="00050D25">
        <w:rPr>
          <w:rFonts w:ascii="Calibri" w:eastAsia="SimSun" w:hAnsi="Calibri" w:cs="Times New Roman"/>
        </w:rPr>
        <w:noBreakHyphen/>
      </w:r>
      <w:r>
        <w:rPr>
          <w:rFonts w:ascii="Calibri" w:eastAsia="SimSun" w:hAnsi="Calibri" w:cs="Times New Roman"/>
        </w:rPr>
        <w:t>state areas</w:t>
      </w:r>
      <w:r w:rsidDel="003E6D7A">
        <w:rPr>
          <w:rFonts w:ascii="Calibri" w:eastAsia="SimSun" w:hAnsi="Calibri" w:cs="Times New Roman"/>
        </w:rPr>
        <w:t xml:space="preserve">. </w:t>
      </w:r>
      <w:r>
        <w:rPr>
          <w:rFonts w:ascii="Calibri" w:eastAsia="SimSun" w:hAnsi="Calibri" w:cs="Times New Roman"/>
        </w:rPr>
        <w:t>Net moves were elevated during the pandemic, with fewer departures from rest</w:t>
      </w:r>
      <w:r w:rsidR="00050D25">
        <w:rPr>
          <w:rFonts w:ascii="Calibri" w:eastAsia="SimSun" w:hAnsi="Calibri" w:cs="Times New Roman"/>
        </w:rPr>
        <w:noBreakHyphen/>
      </w:r>
      <w:r>
        <w:rPr>
          <w:rFonts w:ascii="Calibri" w:eastAsia="SimSun" w:hAnsi="Calibri" w:cs="Times New Roman"/>
        </w:rPr>
        <w:t>of</w:t>
      </w:r>
      <w:r w:rsidR="00050D25">
        <w:rPr>
          <w:rFonts w:ascii="Calibri" w:eastAsia="SimSun" w:hAnsi="Calibri" w:cs="Times New Roman"/>
        </w:rPr>
        <w:noBreakHyphen/>
      </w:r>
      <w:r>
        <w:rPr>
          <w:rFonts w:ascii="Calibri" w:eastAsia="SimSun" w:hAnsi="Calibri" w:cs="Times New Roman"/>
        </w:rPr>
        <w:t>state areas to capital cities</w:t>
      </w:r>
      <w:r w:rsidDel="00503D90">
        <w:rPr>
          <w:rFonts w:ascii="Calibri" w:eastAsia="SimSun" w:hAnsi="Calibri" w:cs="Times New Roman"/>
        </w:rPr>
        <w:t xml:space="preserve"> but</w:t>
      </w:r>
      <w:r>
        <w:rPr>
          <w:rFonts w:ascii="Calibri" w:eastAsia="SimSun" w:hAnsi="Calibri" w:cs="Times New Roman"/>
        </w:rPr>
        <w:t xml:space="preserve"> fell below 2017–18 levels in 2022–23 (</w:t>
      </w:r>
      <w:r>
        <w:rPr>
          <w:rFonts w:ascii="Calibri" w:eastAsia="SimSun" w:hAnsi="Calibri" w:cs="Times New Roman"/>
        </w:rPr>
        <w:fldChar w:fldCharType="begin"/>
      </w:r>
      <w:r>
        <w:rPr>
          <w:rFonts w:ascii="Calibri" w:eastAsia="SimSun" w:hAnsi="Calibri" w:cs="Times New Roman"/>
        </w:rPr>
        <w:instrText xml:space="preserve"> REF _Ref179990003 \r \h </w:instrText>
      </w:r>
      <w:r>
        <w:rPr>
          <w:rFonts w:ascii="Calibri" w:eastAsia="SimSun" w:hAnsi="Calibri" w:cs="Times New Roman"/>
        </w:rPr>
      </w:r>
      <w:r>
        <w:rPr>
          <w:rFonts w:ascii="Calibri" w:eastAsia="SimSun" w:hAnsi="Calibri" w:cs="Times New Roman"/>
        </w:rPr>
        <w:fldChar w:fldCharType="separate"/>
      </w:r>
      <w:r w:rsidR="00050D25">
        <w:rPr>
          <w:rFonts w:ascii="Calibri" w:eastAsia="SimSun" w:hAnsi="Calibri" w:cs="Times New Roman"/>
        </w:rPr>
        <w:t>Chart 31</w:t>
      </w:r>
      <w:r>
        <w:rPr>
          <w:rFonts w:ascii="Calibri" w:eastAsia="SimSun" w:hAnsi="Calibri" w:cs="Times New Roman"/>
        </w:rPr>
        <w:fldChar w:fldCharType="end"/>
      </w:r>
      <w:r>
        <w:rPr>
          <w:rFonts w:ascii="Calibri" w:eastAsia="SimSun" w:hAnsi="Calibri" w:cs="Times New Roman"/>
        </w:rPr>
        <w:t>). Net moves increased to 31,000 in the year to March 2024, 0.9</w:t>
      </w:r>
      <w:r w:rsidR="00FF207F">
        <w:rPr>
          <w:rFonts w:ascii="Calibri" w:eastAsia="SimSun" w:hAnsi="Calibri" w:cs="Times New Roman"/>
        </w:rPr>
        <w:t> per cent</w:t>
      </w:r>
      <w:r w:rsidRPr="00B15ECA">
        <w:rPr>
          <w:rFonts w:ascii="Calibri" w:eastAsia="SimSun" w:hAnsi="Calibri" w:cs="Times New Roman"/>
        </w:rPr>
        <w:t xml:space="preserve"> above 20</w:t>
      </w:r>
      <w:r w:rsidRPr="003649F1">
        <w:rPr>
          <w:rFonts w:ascii="Calibri" w:eastAsia="SimSun" w:hAnsi="Calibri" w:cs="Times New Roman"/>
        </w:rPr>
        <w:t>1</w:t>
      </w:r>
      <w:r>
        <w:rPr>
          <w:rFonts w:ascii="Calibri" w:eastAsia="SimSun" w:hAnsi="Calibri" w:cs="Times New Roman"/>
        </w:rPr>
        <w:t>7–1</w:t>
      </w:r>
      <w:r w:rsidRPr="003649F1">
        <w:rPr>
          <w:rFonts w:ascii="Calibri" w:eastAsia="SimSun" w:hAnsi="Calibri" w:cs="Times New Roman"/>
        </w:rPr>
        <w:t>8</w:t>
      </w:r>
      <w:r w:rsidRPr="00B15ECA">
        <w:rPr>
          <w:rFonts w:ascii="Calibri" w:eastAsia="SimSun" w:hAnsi="Calibri" w:cs="Times New Roman"/>
        </w:rPr>
        <w:t xml:space="preserve"> levels.</w:t>
      </w:r>
      <w:r>
        <w:rPr>
          <w:rFonts w:ascii="Calibri" w:eastAsia="SimSun" w:hAnsi="Calibri" w:cs="Times New Roman"/>
        </w:rPr>
        <w:t xml:space="preserve"> Net internal migration to rest</w:t>
      </w:r>
      <w:r w:rsidR="00050D25">
        <w:rPr>
          <w:rFonts w:ascii="Calibri" w:eastAsia="SimSun" w:hAnsi="Calibri" w:cs="Times New Roman"/>
        </w:rPr>
        <w:noBreakHyphen/>
      </w:r>
      <w:r>
        <w:rPr>
          <w:rFonts w:ascii="Calibri" w:eastAsia="SimSun" w:hAnsi="Calibri" w:cs="Times New Roman"/>
        </w:rPr>
        <w:t>of</w:t>
      </w:r>
      <w:r w:rsidR="00050D25">
        <w:rPr>
          <w:rFonts w:ascii="Calibri" w:eastAsia="SimSun" w:hAnsi="Calibri" w:cs="Times New Roman"/>
        </w:rPr>
        <w:noBreakHyphen/>
      </w:r>
      <w:r>
        <w:rPr>
          <w:rFonts w:ascii="Calibri" w:eastAsia="SimSun" w:hAnsi="Calibri" w:cs="Times New Roman"/>
        </w:rPr>
        <w:t>state areas is projected to fall to 2</w:t>
      </w:r>
      <w:r w:rsidR="00697DFE">
        <w:rPr>
          <w:rFonts w:ascii="Calibri" w:eastAsia="SimSun" w:hAnsi="Calibri" w:cs="Times New Roman"/>
        </w:rPr>
        <w:t>0</w:t>
      </w:r>
      <w:r>
        <w:rPr>
          <w:rFonts w:ascii="Calibri" w:eastAsia="SimSun" w:hAnsi="Calibri" w:cs="Times New Roman"/>
        </w:rPr>
        <w:t xml:space="preserve">,000 by 2026–27 and </w:t>
      </w:r>
      <w:r w:rsidR="0070785E">
        <w:rPr>
          <w:rFonts w:ascii="Calibri" w:eastAsia="SimSun" w:hAnsi="Calibri" w:cs="Times New Roman"/>
        </w:rPr>
        <w:t xml:space="preserve">then </w:t>
      </w:r>
      <w:r>
        <w:rPr>
          <w:rFonts w:ascii="Calibri" w:eastAsia="SimSun" w:hAnsi="Calibri" w:cs="Times New Roman"/>
        </w:rPr>
        <w:t>increase to around 30,000 by 2034–35. This is driven by faster population growth in capital cities, which means departures from capital cities to rest</w:t>
      </w:r>
      <w:r w:rsidR="00050D25">
        <w:rPr>
          <w:rFonts w:ascii="Calibri" w:eastAsia="SimSun" w:hAnsi="Calibri" w:cs="Times New Roman"/>
        </w:rPr>
        <w:noBreakHyphen/>
      </w:r>
      <w:r>
        <w:rPr>
          <w:rFonts w:ascii="Calibri" w:eastAsia="SimSun" w:hAnsi="Calibri" w:cs="Times New Roman"/>
        </w:rPr>
        <w:t>of</w:t>
      </w:r>
      <w:r w:rsidR="00050D25">
        <w:rPr>
          <w:rFonts w:ascii="Calibri" w:eastAsia="SimSun" w:hAnsi="Calibri" w:cs="Times New Roman"/>
        </w:rPr>
        <w:noBreakHyphen/>
      </w:r>
      <w:r>
        <w:rPr>
          <w:rFonts w:ascii="Calibri" w:eastAsia="SimSun" w:hAnsi="Calibri" w:cs="Times New Roman"/>
        </w:rPr>
        <w:t xml:space="preserve">state areas are growing faster than flows in the opposite direction. </w:t>
      </w:r>
    </w:p>
    <w:p w14:paraId="6A3E13DE" w14:textId="52D16C60" w:rsidR="003D3EC9" w:rsidRPr="00ED019A" w:rsidRDefault="003D3EC9" w:rsidP="00654915">
      <w:pPr>
        <w:pStyle w:val="ChartMainHeading"/>
      </w:pPr>
      <w:bookmarkStart w:id="166" w:name="_Ref179990003"/>
      <w:r>
        <w:lastRenderedPageBreak/>
        <w:t>Net internal migration to rest</w:t>
      </w:r>
      <w:r w:rsidR="00050D25">
        <w:noBreakHyphen/>
      </w:r>
      <w:r>
        <w:t>of</w:t>
      </w:r>
      <w:r w:rsidR="00050D25">
        <w:noBreakHyphen/>
      </w:r>
      <w:r>
        <w:t>state areas, quarterly</w:t>
      </w:r>
      <w:bookmarkEnd w:id="166"/>
    </w:p>
    <w:p w14:paraId="6A8D18E4" w14:textId="1268E981" w:rsidR="003D3EC9" w:rsidRDefault="003D3EC9" w:rsidP="00997375">
      <w:pPr>
        <w:pStyle w:val="ChartGraphic"/>
      </w:pPr>
      <w:r w:rsidRPr="00A42958">
        <w:t xml:space="preserve"> </w:t>
      </w:r>
      <w:r w:rsidRPr="002E6B6B">
        <w:t xml:space="preserve"> </w:t>
      </w:r>
      <w:r w:rsidR="00690952" w:rsidRPr="00690952">
        <w:t xml:space="preserve"> </w:t>
      </w:r>
      <w:r w:rsidR="00690952" w:rsidRPr="00997375">
        <w:rPr>
          <w:noProof/>
        </w:rPr>
        <w:drawing>
          <wp:inline distT="0" distB="0" distL="0" distR="0" wp14:anchorId="5DBCA423" wp14:editId="1F4B9820">
            <wp:extent cx="5581650" cy="2590800"/>
            <wp:effectExtent l="0" t="0" r="0" b="0"/>
            <wp:docPr id="347902297" name="Picture 2" descr="This chart shows the net internal migration to rest-of-state areas between March 2002 and March 2024. There were two small peaks of 8,000 around 2004 and 2018, with relative stability below 6,000 between these peaks. Following a decline to around 4,000 in 2019, there is a sharp increase to a large peak of 12,000 in 2021 before declining to around 6,000 in 2023, then up to around 8,00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02297" name="Picture 2" descr="This chart shows the net internal migration to rest-of-state areas between March 2002 and March 2024. There were two small peaks of 8,000 around 2004 and 2018, with relative stability below 6,000 between these peaks. Following a decline to around 4,000 in 2019, there is a sharp increase to a large peak of 12,000 in 2021 before declining to around 6,000 in 2023, then up to around 8,000 in 20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590800"/>
                    </a:xfrm>
                    <a:prstGeom prst="rect">
                      <a:avLst/>
                    </a:prstGeom>
                    <a:noFill/>
                    <a:ln>
                      <a:noFill/>
                    </a:ln>
                  </pic:spPr>
                </pic:pic>
              </a:graphicData>
            </a:graphic>
          </wp:inline>
        </w:drawing>
      </w:r>
      <w:r w:rsidRPr="002E6B6B">
        <w:t xml:space="preserve"> </w:t>
      </w:r>
    </w:p>
    <w:p w14:paraId="4200DC96" w14:textId="30B70421" w:rsidR="003D3EC9" w:rsidRDefault="003D3EC9" w:rsidP="00997375">
      <w:pPr>
        <w:pStyle w:val="ChartorTableNote"/>
      </w:pPr>
      <w:r w:rsidRPr="00997375">
        <w:t>Note</w:t>
      </w:r>
      <w:r w:rsidRPr="00207D66">
        <w:t xml:space="preserve">: </w:t>
      </w:r>
      <w:r>
        <w:tab/>
      </w:r>
      <w:r w:rsidRPr="009845C9">
        <w:t xml:space="preserve">No data </w:t>
      </w:r>
      <w:r>
        <w:t xml:space="preserve">is </w:t>
      </w:r>
      <w:r w:rsidRPr="009845C9">
        <w:t>available for June 2021 to December 2021</w:t>
      </w:r>
      <w:r w:rsidR="00A770D9">
        <w:t>, for more information see ABS</w:t>
      </w:r>
      <w:r w:rsidR="00C26FB5">
        <w:t xml:space="preserve">, </w:t>
      </w:r>
      <w:r w:rsidR="00C26FB5" w:rsidRPr="00997375">
        <w:rPr>
          <w:rStyle w:val="SubtleEmphasis"/>
        </w:rPr>
        <w:t>Regional internal migration estimates, provisional</w:t>
      </w:r>
      <w:r w:rsidR="00C26FB5" w:rsidRPr="0037128E">
        <w:rPr>
          <w:i/>
          <w:iCs/>
        </w:rPr>
        <w:t>, March 2021</w:t>
      </w:r>
      <w:r w:rsidRPr="009845C9" w:rsidDel="00C26FB5">
        <w:t>.</w:t>
      </w:r>
    </w:p>
    <w:p w14:paraId="0AE3B03F" w14:textId="3824F2C4" w:rsidR="008E3493" w:rsidRDefault="003D3EC9" w:rsidP="008E3493">
      <w:pPr>
        <w:pStyle w:val="Source"/>
        <w:rPr>
          <w:rStyle w:val="SubtleEmphasis"/>
        </w:rPr>
      </w:pPr>
      <w:r w:rsidRPr="00075B32">
        <w:t xml:space="preserve">Source: </w:t>
      </w:r>
      <w:r w:rsidRPr="00075B32">
        <w:tab/>
        <w:t xml:space="preserve">ABS, </w:t>
      </w:r>
      <w:r w:rsidRPr="00997375">
        <w:rPr>
          <w:rStyle w:val="SubtleEmphasis"/>
        </w:rPr>
        <w:t>National, state and territory population, March 2024</w:t>
      </w:r>
      <w:r w:rsidR="00C66EA8" w:rsidRPr="00997375">
        <w:rPr>
          <w:rStyle w:val="SubtleEmphasis"/>
        </w:rPr>
        <w:t>, March 2023</w:t>
      </w:r>
      <w:r w:rsidR="004115AD" w:rsidRPr="00997375">
        <w:rPr>
          <w:rStyle w:val="SubtleEmphasis"/>
        </w:rPr>
        <w:t>,</w:t>
      </w:r>
      <w:r w:rsidR="00155F38" w:rsidRPr="00997375">
        <w:rPr>
          <w:rStyle w:val="SubtleEmphasis"/>
        </w:rPr>
        <w:t xml:space="preserve"> Dec</w:t>
      </w:r>
      <w:r w:rsidR="00980E46" w:rsidRPr="00997375">
        <w:rPr>
          <w:rStyle w:val="SubtleEmphasis"/>
        </w:rPr>
        <w:t>ember 2022</w:t>
      </w:r>
      <w:r w:rsidRPr="00997375">
        <w:rPr>
          <w:rStyle w:val="SubtleEmphasis"/>
        </w:rPr>
        <w:t>;</w:t>
      </w:r>
      <w:r>
        <w:t xml:space="preserve"> and ABS</w:t>
      </w:r>
      <w:r w:rsidRPr="00997375">
        <w:rPr>
          <w:rStyle w:val="SubtleEmphasis"/>
        </w:rPr>
        <w:t>, Regional internal migration estimates, provisional, March 2021.</w:t>
      </w:r>
    </w:p>
    <w:tbl>
      <w:tblPr>
        <w:tblStyle w:val="TableGrid"/>
        <w:tblW w:w="4997" w:type="pct"/>
        <w:tblInd w:w="5" w:type="dxa"/>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57"/>
      </w:tblGrid>
      <w:tr w:rsidR="004B15A8" w14:paraId="58F1A152" w14:textId="77777777" w:rsidTr="00D7629E">
        <w:tc>
          <w:tcPr>
            <w:tcW w:w="5000" w:type="pct"/>
            <w:shd w:val="clear" w:color="auto" w:fill="auto"/>
          </w:tcPr>
          <w:p w14:paraId="78C2F7E0" w14:textId="77777777" w:rsidR="00F61A0C" w:rsidRDefault="00F61A0C" w:rsidP="00F61A0C">
            <w:pPr>
              <w:pStyle w:val="BoxHeading"/>
            </w:pPr>
            <w:bookmarkStart w:id="167" w:name="_Ref180154180"/>
            <w:r>
              <w:lastRenderedPageBreak/>
              <w:t>I</w:t>
            </w:r>
            <w:r w:rsidRPr="6E550733">
              <w:t>nternal migration</w:t>
            </w:r>
            <w:bookmarkEnd w:id="167"/>
            <w:r>
              <w:t xml:space="preserve"> patterns and how they have changed over time</w:t>
            </w:r>
          </w:p>
          <w:p w14:paraId="6AAC5604" w14:textId="77777777" w:rsidR="00F61A0C" w:rsidRPr="00B344C9" w:rsidRDefault="00F61A0C" w:rsidP="00F61A0C">
            <w:pPr>
              <w:pStyle w:val="BoxText"/>
              <w:rPr>
                <w:rFonts w:ascii="Calibri" w:eastAsia="Calibri" w:hAnsi="Calibri" w:cs="Calibri"/>
                <w:color w:val="000000" w:themeColor="text1"/>
              </w:rPr>
            </w:pPr>
            <w:r>
              <w:rPr>
                <w:rFonts w:ascii="Calibri" w:eastAsia="Calibri" w:hAnsi="Calibri" w:cs="Calibri"/>
                <w:color w:val="000000" w:themeColor="text1"/>
              </w:rPr>
              <w:t>Internal migration</w:t>
            </w:r>
            <w:r w:rsidRPr="5C1B2282">
              <w:rPr>
                <w:rFonts w:ascii="Calibri" w:eastAsia="Calibri" w:hAnsi="Calibri" w:cs="Calibri"/>
                <w:color w:val="000000" w:themeColor="text1"/>
              </w:rPr>
              <w:t xml:space="preserve"> </w:t>
            </w:r>
            <w:r w:rsidRPr="4F05E4F9">
              <w:rPr>
                <w:rFonts w:ascii="Calibri" w:eastAsia="Calibri" w:hAnsi="Calibri" w:cs="Calibri"/>
                <w:color w:val="000000" w:themeColor="text1"/>
              </w:rPr>
              <w:t>generally follows long</w:t>
            </w:r>
            <w:r>
              <w:rPr>
                <w:rFonts w:ascii="Calibri" w:eastAsia="Calibri" w:hAnsi="Calibri" w:cs="Calibri"/>
                <w:color w:val="000000" w:themeColor="text1"/>
              </w:rPr>
              <w:noBreakHyphen/>
            </w:r>
            <w:r w:rsidRPr="4F05E4F9">
              <w:rPr>
                <w:rFonts w:ascii="Calibri" w:eastAsia="Calibri" w:hAnsi="Calibri" w:cs="Calibri"/>
                <w:color w:val="000000" w:themeColor="text1"/>
              </w:rPr>
              <w:t xml:space="preserve">standing trends and patterns across </w:t>
            </w:r>
            <w:r>
              <w:rPr>
                <w:rFonts w:ascii="Calibri" w:eastAsia="Calibri" w:hAnsi="Calibri" w:cs="Calibri"/>
                <w:color w:val="000000" w:themeColor="text1"/>
              </w:rPr>
              <w:t xml:space="preserve">the </w:t>
            </w:r>
            <w:r w:rsidRPr="4F05E4F9">
              <w:rPr>
                <w:rFonts w:ascii="Calibri" w:eastAsia="Calibri" w:hAnsi="Calibri" w:cs="Calibri"/>
                <w:color w:val="000000" w:themeColor="text1"/>
              </w:rPr>
              <w:t>states</w:t>
            </w:r>
            <w:r>
              <w:rPr>
                <w:rFonts w:ascii="Calibri" w:eastAsia="Calibri" w:hAnsi="Calibri" w:cs="Calibri"/>
                <w:color w:val="000000" w:themeColor="text1"/>
              </w:rPr>
              <w:t>. Some</w:t>
            </w:r>
            <w:r w:rsidRPr="4F05E4F9">
              <w:rPr>
                <w:rFonts w:ascii="Calibri" w:eastAsia="Calibri" w:hAnsi="Calibri" w:cs="Calibri"/>
                <w:color w:val="000000" w:themeColor="text1"/>
              </w:rPr>
              <w:t xml:space="preserve"> </w:t>
            </w:r>
            <w:r>
              <w:rPr>
                <w:rFonts w:ascii="Calibri" w:eastAsia="Calibri" w:hAnsi="Calibri" w:cs="Calibri"/>
                <w:color w:val="000000" w:themeColor="text1"/>
              </w:rPr>
              <w:t>states</w:t>
            </w:r>
            <w:r w:rsidRPr="4F05E4F9">
              <w:rPr>
                <w:rFonts w:ascii="Calibri" w:eastAsia="Calibri" w:hAnsi="Calibri" w:cs="Calibri"/>
                <w:color w:val="000000" w:themeColor="text1"/>
              </w:rPr>
              <w:t xml:space="preserve"> </w:t>
            </w:r>
            <w:r>
              <w:rPr>
                <w:rFonts w:ascii="Calibri" w:eastAsia="Calibri" w:hAnsi="Calibri" w:cs="Calibri"/>
                <w:color w:val="000000" w:themeColor="text1"/>
              </w:rPr>
              <w:t>have</w:t>
            </w:r>
            <w:r w:rsidRPr="4F05E4F9">
              <w:rPr>
                <w:rFonts w:ascii="Calibri" w:eastAsia="Calibri" w:hAnsi="Calibri" w:cs="Calibri"/>
                <w:color w:val="000000" w:themeColor="text1"/>
              </w:rPr>
              <w:t xml:space="preserve"> cycles </w:t>
            </w:r>
            <w:r>
              <w:rPr>
                <w:rFonts w:ascii="Calibri" w:eastAsia="Calibri" w:hAnsi="Calibri" w:cs="Calibri"/>
                <w:color w:val="000000" w:themeColor="text1"/>
              </w:rPr>
              <w:t>of growth and decline,</w:t>
            </w:r>
            <w:r w:rsidRPr="6A4FF4C1">
              <w:rPr>
                <w:rFonts w:ascii="Calibri" w:eastAsia="Calibri" w:hAnsi="Calibri" w:cs="Calibri"/>
                <w:color w:val="000000" w:themeColor="text1"/>
              </w:rPr>
              <w:t xml:space="preserve"> </w:t>
            </w:r>
            <w:r w:rsidRPr="4F05E4F9">
              <w:rPr>
                <w:rFonts w:ascii="Calibri" w:eastAsia="Calibri" w:hAnsi="Calibri" w:cs="Calibri"/>
                <w:color w:val="000000" w:themeColor="text1"/>
              </w:rPr>
              <w:t xml:space="preserve">while others </w:t>
            </w:r>
            <w:r>
              <w:rPr>
                <w:rFonts w:ascii="Calibri" w:eastAsia="Calibri" w:hAnsi="Calibri" w:cs="Calibri"/>
                <w:color w:val="000000" w:themeColor="text1"/>
              </w:rPr>
              <w:t>experience</w:t>
            </w:r>
            <w:r w:rsidRPr="4F05E4F9">
              <w:rPr>
                <w:rFonts w:ascii="Calibri" w:eastAsia="Calibri" w:hAnsi="Calibri" w:cs="Calibri"/>
                <w:color w:val="000000" w:themeColor="text1"/>
              </w:rPr>
              <w:t xml:space="preserve"> </w:t>
            </w:r>
            <w:r>
              <w:rPr>
                <w:rFonts w:ascii="Calibri" w:eastAsia="Calibri" w:hAnsi="Calibri" w:cs="Calibri"/>
                <w:color w:val="000000" w:themeColor="text1"/>
              </w:rPr>
              <w:t xml:space="preserve">ongoing </w:t>
            </w:r>
            <w:r w:rsidRPr="4F05E4F9">
              <w:rPr>
                <w:rFonts w:ascii="Calibri" w:eastAsia="Calibri" w:hAnsi="Calibri" w:cs="Calibri"/>
                <w:color w:val="000000" w:themeColor="text1"/>
              </w:rPr>
              <w:t>net increases or decreases over time</w:t>
            </w:r>
            <w:r w:rsidRPr="6A4FF4C1">
              <w:rPr>
                <w:rFonts w:ascii="Calibri" w:eastAsia="Calibri" w:hAnsi="Calibri" w:cs="Calibri"/>
                <w:color w:val="000000" w:themeColor="text1"/>
              </w:rPr>
              <w:t>.</w:t>
            </w:r>
            <w:r w:rsidRPr="4F05E4F9">
              <w:rPr>
                <w:rFonts w:ascii="Calibri" w:eastAsia="Calibri" w:hAnsi="Calibri" w:cs="Calibri"/>
                <w:color w:val="000000" w:themeColor="text1"/>
              </w:rPr>
              <w:t xml:space="preserve"> </w:t>
            </w:r>
          </w:p>
          <w:p w14:paraId="706CCB37" w14:textId="77777777" w:rsidR="00F61A0C" w:rsidRPr="00997375" w:rsidRDefault="00F61A0C" w:rsidP="00F61A0C">
            <w:pPr>
              <w:pStyle w:val="BoxHeading2"/>
              <w:rPr>
                <w:rStyle w:val="Strong"/>
                <w:b/>
                <w:bCs w:val="0"/>
              </w:rPr>
            </w:pPr>
            <w:r w:rsidRPr="00997375">
              <w:rPr>
                <w:rStyle w:val="Strong"/>
                <w:b/>
                <w:bCs w:val="0"/>
              </w:rPr>
              <w:t>Internal migration patterns</w:t>
            </w:r>
          </w:p>
          <w:p w14:paraId="18BCEF2D" w14:textId="77777777" w:rsidR="00F61A0C" w:rsidRPr="00B344C9" w:rsidRDefault="00F61A0C" w:rsidP="00F61A0C">
            <w:pPr>
              <w:pStyle w:val="BoxText"/>
              <w:rPr>
                <w:rFonts w:ascii="Calibri" w:eastAsia="Calibri" w:hAnsi="Calibri" w:cs="Calibri"/>
                <w:color w:val="000000" w:themeColor="text1"/>
              </w:rPr>
            </w:pPr>
            <w:r>
              <w:rPr>
                <w:rFonts w:ascii="Calibri" w:eastAsia="Calibri" w:hAnsi="Calibri" w:cs="Calibri"/>
                <w:color w:val="000000" w:themeColor="text1"/>
              </w:rPr>
              <w:t>Most</w:t>
            </w:r>
            <w:r w:rsidRPr="4F05E4F9">
              <w:rPr>
                <w:rFonts w:ascii="Calibri" w:eastAsia="Calibri" w:hAnsi="Calibri" w:cs="Calibri"/>
                <w:color w:val="000000" w:themeColor="text1"/>
              </w:rPr>
              <w:t xml:space="preserve"> </w:t>
            </w:r>
            <w:r>
              <w:rPr>
                <w:rFonts w:ascii="Calibri" w:eastAsia="Calibri" w:hAnsi="Calibri" w:cs="Calibri"/>
                <w:color w:val="000000" w:themeColor="text1"/>
              </w:rPr>
              <w:t>interstate moves</w:t>
            </w:r>
            <w:r w:rsidRPr="4F05E4F9">
              <w:rPr>
                <w:rFonts w:ascii="Calibri" w:eastAsia="Calibri" w:hAnsi="Calibri" w:cs="Calibri"/>
                <w:color w:val="000000" w:themeColor="text1"/>
              </w:rPr>
              <w:t xml:space="preserve"> occur </w:t>
            </w:r>
            <w:r w:rsidRPr="5956B6C7">
              <w:rPr>
                <w:rFonts w:ascii="Calibri" w:eastAsia="Calibri" w:hAnsi="Calibri" w:cs="Calibri"/>
                <w:color w:val="000000" w:themeColor="text1"/>
              </w:rPr>
              <w:t>between</w:t>
            </w:r>
            <w:r w:rsidRPr="4F05E4F9">
              <w:rPr>
                <w:rFonts w:ascii="Calibri" w:eastAsia="Calibri" w:hAnsi="Calibri" w:cs="Calibri"/>
                <w:color w:val="000000" w:themeColor="text1"/>
              </w:rPr>
              <w:t xml:space="preserve"> </w:t>
            </w:r>
            <w:r>
              <w:rPr>
                <w:rFonts w:ascii="Calibri" w:eastAsia="Calibri" w:hAnsi="Calibri" w:cs="Calibri"/>
                <w:color w:val="000000" w:themeColor="text1"/>
              </w:rPr>
              <w:t>Australia’s</w:t>
            </w:r>
            <w:r w:rsidRPr="4F05E4F9">
              <w:rPr>
                <w:rFonts w:ascii="Calibri" w:eastAsia="Calibri" w:hAnsi="Calibri" w:cs="Calibri"/>
                <w:color w:val="000000" w:themeColor="text1"/>
              </w:rPr>
              <w:t xml:space="preserve"> </w:t>
            </w:r>
            <w:r>
              <w:rPr>
                <w:rFonts w:ascii="Calibri" w:eastAsia="Calibri" w:hAnsi="Calibri" w:cs="Calibri"/>
                <w:color w:val="000000" w:themeColor="text1"/>
              </w:rPr>
              <w:t>most populous states:</w:t>
            </w:r>
            <w:r w:rsidRPr="4F05E4F9">
              <w:rPr>
                <w:rFonts w:ascii="Calibri" w:eastAsia="Calibri" w:hAnsi="Calibri" w:cs="Calibri"/>
                <w:color w:val="000000" w:themeColor="text1"/>
              </w:rPr>
              <w:t xml:space="preserve"> New South Wales, </w:t>
            </w:r>
            <w:proofErr w:type="gramStart"/>
            <w:r w:rsidRPr="4F05E4F9">
              <w:rPr>
                <w:rFonts w:ascii="Calibri" w:eastAsia="Calibri" w:hAnsi="Calibri" w:cs="Calibri"/>
                <w:color w:val="000000" w:themeColor="text1"/>
              </w:rPr>
              <w:t>Queensland</w:t>
            </w:r>
            <w:proofErr w:type="gramEnd"/>
            <w:r w:rsidRPr="4F05E4F9">
              <w:rPr>
                <w:rFonts w:ascii="Calibri" w:eastAsia="Calibri" w:hAnsi="Calibri" w:cs="Calibri"/>
                <w:color w:val="000000" w:themeColor="text1"/>
              </w:rPr>
              <w:t xml:space="preserve"> and Victoria. South Australia, Tasmania, the Northern </w:t>
            </w:r>
            <w:proofErr w:type="gramStart"/>
            <w:r w:rsidRPr="4F05E4F9">
              <w:rPr>
                <w:rFonts w:ascii="Calibri" w:eastAsia="Calibri" w:hAnsi="Calibri" w:cs="Calibri"/>
                <w:color w:val="000000" w:themeColor="text1"/>
              </w:rPr>
              <w:t>Territory</w:t>
            </w:r>
            <w:proofErr w:type="gramEnd"/>
            <w:r w:rsidRPr="4F05E4F9">
              <w:rPr>
                <w:rFonts w:ascii="Calibri" w:eastAsia="Calibri" w:hAnsi="Calibri" w:cs="Calibri"/>
                <w:color w:val="000000" w:themeColor="text1"/>
              </w:rPr>
              <w:t xml:space="preserve"> and </w:t>
            </w:r>
            <w:r>
              <w:rPr>
                <w:rFonts w:ascii="Calibri" w:eastAsia="Calibri" w:hAnsi="Calibri" w:cs="Calibri"/>
                <w:color w:val="000000" w:themeColor="text1"/>
              </w:rPr>
              <w:t>the</w:t>
            </w:r>
            <w:r w:rsidRPr="4F05E4F9">
              <w:rPr>
                <w:rFonts w:ascii="Calibri" w:eastAsia="Calibri" w:hAnsi="Calibri" w:cs="Calibri"/>
                <w:color w:val="000000" w:themeColor="text1"/>
              </w:rPr>
              <w:t xml:space="preserve"> Australian Capital Territory </w:t>
            </w:r>
            <w:r>
              <w:rPr>
                <w:rFonts w:ascii="Calibri" w:eastAsia="Calibri" w:hAnsi="Calibri" w:cs="Calibri"/>
                <w:color w:val="000000" w:themeColor="text1"/>
              </w:rPr>
              <w:t>have smaller populations and</w:t>
            </w:r>
            <w:r w:rsidRPr="4F05E4F9">
              <w:rPr>
                <w:rFonts w:ascii="Calibri" w:eastAsia="Calibri" w:hAnsi="Calibri" w:cs="Calibri"/>
                <w:color w:val="000000" w:themeColor="text1"/>
              </w:rPr>
              <w:t xml:space="preserve"> </w:t>
            </w:r>
            <w:r>
              <w:rPr>
                <w:rFonts w:ascii="Calibri" w:eastAsia="Calibri" w:hAnsi="Calibri" w:cs="Calibri"/>
                <w:color w:val="000000" w:themeColor="text1"/>
              </w:rPr>
              <w:t>experience</w:t>
            </w:r>
            <w:r w:rsidRPr="4F05E4F9">
              <w:rPr>
                <w:rFonts w:ascii="Calibri" w:eastAsia="Calibri" w:hAnsi="Calibri" w:cs="Calibri"/>
                <w:color w:val="000000" w:themeColor="text1"/>
              </w:rPr>
              <w:t xml:space="preserve"> much lower levels of </w:t>
            </w:r>
            <w:r w:rsidRPr="7CA2CCCA">
              <w:rPr>
                <w:rFonts w:ascii="Calibri" w:eastAsia="Calibri" w:hAnsi="Calibri" w:cs="Calibri"/>
                <w:color w:val="000000" w:themeColor="text1"/>
              </w:rPr>
              <w:t>interstate movement</w:t>
            </w:r>
            <w:r w:rsidRPr="4F05E4F9">
              <w:rPr>
                <w:rFonts w:ascii="Calibri" w:eastAsia="Calibri" w:hAnsi="Calibri" w:cs="Calibri"/>
                <w:color w:val="000000" w:themeColor="text1"/>
              </w:rPr>
              <w:t xml:space="preserve">. Historically, interstate movement in Western Australia tends to fluctuate with labour demand cycles </w:t>
            </w:r>
            <w:r>
              <w:rPr>
                <w:rFonts w:ascii="Calibri" w:eastAsia="Calibri" w:hAnsi="Calibri" w:cs="Calibri"/>
                <w:color w:val="000000" w:themeColor="text1"/>
              </w:rPr>
              <w:t>in</w:t>
            </w:r>
            <w:r w:rsidRPr="4F05E4F9">
              <w:rPr>
                <w:rFonts w:ascii="Calibri" w:eastAsia="Calibri" w:hAnsi="Calibri" w:cs="Calibri"/>
                <w:color w:val="000000" w:themeColor="text1"/>
              </w:rPr>
              <w:t xml:space="preserve"> the mining industry. </w:t>
            </w:r>
          </w:p>
          <w:p w14:paraId="23303DEF" w14:textId="77777777" w:rsidR="00F61A0C" w:rsidRPr="00B344C9" w:rsidRDefault="00F61A0C" w:rsidP="00F61A0C">
            <w:pPr>
              <w:pStyle w:val="BoxText"/>
              <w:rPr>
                <w:rFonts w:ascii="Calibri" w:eastAsia="Calibri" w:hAnsi="Calibri" w:cs="Calibri"/>
                <w:color w:val="000000" w:themeColor="text1"/>
              </w:rPr>
            </w:pPr>
            <w:r w:rsidRPr="4F05E4F9">
              <w:rPr>
                <w:rFonts w:ascii="Calibri" w:eastAsia="Calibri" w:hAnsi="Calibri" w:cs="Calibri"/>
                <w:color w:val="000000" w:themeColor="text1"/>
              </w:rPr>
              <w:t>Since 198</w:t>
            </w:r>
            <w:r>
              <w:rPr>
                <w:rFonts w:ascii="Calibri" w:eastAsia="Calibri" w:hAnsi="Calibri" w:cs="Calibri"/>
                <w:color w:val="000000" w:themeColor="text1"/>
              </w:rPr>
              <w:t>7</w:t>
            </w:r>
            <w:r w:rsidRPr="4F05E4F9">
              <w:rPr>
                <w:rFonts w:ascii="Calibri" w:eastAsia="Calibri" w:hAnsi="Calibri" w:cs="Calibri"/>
                <w:color w:val="000000" w:themeColor="text1"/>
              </w:rPr>
              <w:t xml:space="preserve">, Queensland has </w:t>
            </w:r>
            <w:r>
              <w:rPr>
                <w:rFonts w:ascii="Calibri" w:eastAsia="Calibri" w:hAnsi="Calibri" w:cs="Calibri"/>
                <w:color w:val="000000" w:themeColor="text1"/>
              </w:rPr>
              <w:t>typically had</w:t>
            </w:r>
            <w:r w:rsidRPr="4F05E4F9">
              <w:rPr>
                <w:rFonts w:ascii="Calibri" w:eastAsia="Calibri" w:hAnsi="Calibri" w:cs="Calibri"/>
                <w:color w:val="000000" w:themeColor="text1"/>
              </w:rPr>
              <w:t xml:space="preserve"> a net intake of internal migrants</w:t>
            </w:r>
            <w:r>
              <w:rPr>
                <w:rFonts w:ascii="Calibri" w:eastAsia="Calibri" w:hAnsi="Calibri" w:cs="Calibri"/>
                <w:color w:val="000000" w:themeColor="text1"/>
              </w:rPr>
              <w:t xml:space="preserve"> across all age groups, with the age groups with the highest NIM being those aged between 35 to 49 and children aged under 14 (assumed to have the same movement patterns as their parent or guardian)</w:t>
            </w:r>
            <w:r w:rsidRPr="4F05E4F9">
              <w:rPr>
                <w:rFonts w:ascii="Calibri" w:eastAsia="Calibri" w:hAnsi="Calibri" w:cs="Calibri"/>
                <w:color w:val="000000" w:themeColor="text1"/>
              </w:rPr>
              <w:t>. Conversely</w:t>
            </w:r>
            <w:r>
              <w:rPr>
                <w:rFonts w:ascii="Calibri" w:eastAsia="Calibri" w:hAnsi="Calibri" w:cs="Calibri"/>
                <w:color w:val="000000" w:themeColor="text1"/>
              </w:rPr>
              <w:t>,</w:t>
            </w:r>
            <w:r w:rsidRPr="4F05E4F9">
              <w:rPr>
                <w:rFonts w:ascii="Calibri" w:eastAsia="Calibri" w:hAnsi="Calibri" w:cs="Calibri"/>
                <w:color w:val="000000" w:themeColor="text1"/>
              </w:rPr>
              <w:t xml:space="preserve"> New South Wales, the Northern Territory and South Australia have tended to </w:t>
            </w:r>
            <w:r w:rsidRPr="3078FE33">
              <w:rPr>
                <w:rFonts w:ascii="Calibri" w:eastAsia="Calibri" w:hAnsi="Calibri" w:cs="Calibri"/>
                <w:color w:val="000000" w:themeColor="text1"/>
              </w:rPr>
              <w:t xml:space="preserve">have </w:t>
            </w:r>
            <w:r>
              <w:rPr>
                <w:rFonts w:ascii="Calibri" w:eastAsia="Calibri" w:hAnsi="Calibri" w:cs="Calibri"/>
                <w:color w:val="000000" w:themeColor="text1"/>
              </w:rPr>
              <w:t>net outflows of interstate migrants</w:t>
            </w:r>
            <w:r w:rsidRPr="3078FE33">
              <w:rPr>
                <w:rFonts w:ascii="Calibri" w:eastAsia="Calibri" w:hAnsi="Calibri" w:cs="Calibri"/>
                <w:color w:val="000000" w:themeColor="text1"/>
              </w:rPr>
              <w:t>.</w:t>
            </w:r>
            <w:r w:rsidRPr="4F05E4F9">
              <w:rPr>
                <w:rFonts w:ascii="Calibri" w:eastAsia="Calibri" w:hAnsi="Calibri" w:cs="Calibri"/>
                <w:color w:val="000000" w:themeColor="text1"/>
              </w:rPr>
              <w:t xml:space="preserve"> Other </w:t>
            </w:r>
            <w:r>
              <w:rPr>
                <w:rFonts w:ascii="Calibri" w:eastAsia="Calibri" w:hAnsi="Calibri" w:cs="Calibri"/>
                <w:color w:val="000000" w:themeColor="text1"/>
              </w:rPr>
              <w:t>states</w:t>
            </w:r>
            <w:r w:rsidRPr="4F05E4F9">
              <w:rPr>
                <w:rFonts w:ascii="Calibri" w:eastAsia="Calibri" w:hAnsi="Calibri" w:cs="Calibri"/>
                <w:color w:val="000000" w:themeColor="text1"/>
              </w:rPr>
              <w:t xml:space="preserve">, such as Victoria, Western Australia, </w:t>
            </w:r>
            <w:proofErr w:type="gramStart"/>
            <w:r w:rsidRPr="4F05E4F9">
              <w:rPr>
                <w:rFonts w:ascii="Calibri" w:eastAsia="Calibri" w:hAnsi="Calibri" w:cs="Calibri"/>
                <w:color w:val="000000" w:themeColor="text1"/>
              </w:rPr>
              <w:t>Tasmania</w:t>
            </w:r>
            <w:proofErr w:type="gramEnd"/>
            <w:r w:rsidRPr="4F05E4F9">
              <w:rPr>
                <w:rFonts w:ascii="Calibri" w:eastAsia="Calibri" w:hAnsi="Calibri" w:cs="Calibri"/>
                <w:color w:val="000000" w:themeColor="text1"/>
              </w:rPr>
              <w:t xml:space="preserve"> and the Australian Capital Territory, are less consistent with periods </w:t>
            </w:r>
            <w:r>
              <w:rPr>
                <w:rFonts w:ascii="Calibri" w:eastAsia="Calibri" w:hAnsi="Calibri" w:cs="Calibri"/>
                <w:color w:val="000000" w:themeColor="text1"/>
              </w:rPr>
              <w:t xml:space="preserve">of either receiving or losing </w:t>
            </w:r>
            <w:r w:rsidRPr="4F05E4F9">
              <w:rPr>
                <w:rFonts w:ascii="Calibri" w:eastAsia="Calibri" w:hAnsi="Calibri" w:cs="Calibri"/>
                <w:color w:val="000000" w:themeColor="text1"/>
              </w:rPr>
              <w:t xml:space="preserve">internal migrants. </w:t>
            </w:r>
          </w:p>
          <w:p w14:paraId="0CC4B03A" w14:textId="77777777" w:rsidR="00F61A0C" w:rsidRDefault="00F61A0C" w:rsidP="00F61A0C">
            <w:pPr>
              <w:pStyle w:val="ChartMainHeading"/>
            </w:pPr>
            <w:bookmarkStart w:id="168" w:name="_Ref182389997"/>
            <w:r w:rsidRPr="4B227ED5">
              <w:t xml:space="preserve">Net </w:t>
            </w:r>
            <w:r w:rsidRPr="4F05E4F9">
              <w:t>interstate migration distribution for Australia</w:t>
            </w:r>
            <w:bookmarkEnd w:id="168"/>
          </w:p>
          <w:tbl>
            <w:tblPr>
              <w:tblStyle w:val="TableGrid"/>
              <w:tblW w:w="0" w:type="auto"/>
              <w:tblLook w:val="04A0" w:firstRow="1" w:lastRow="0" w:firstColumn="1" w:lastColumn="0" w:noHBand="0" w:noVBand="1"/>
            </w:tblPr>
            <w:tblGrid>
              <w:gridCol w:w="4426"/>
              <w:gridCol w:w="4415"/>
            </w:tblGrid>
            <w:tr w:rsidR="00F61A0C" w14:paraId="307FFE03" w14:textId="77777777">
              <w:tc>
                <w:tcPr>
                  <w:tcW w:w="4710" w:type="dxa"/>
                  <w:shd w:val="clear" w:color="auto" w:fill="auto"/>
                </w:tcPr>
                <w:p w14:paraId="70A94F99" w14:textId="77777777" w:rsidR="00F61A0C" w:rsidRDefault="00F61A0C" w:rsidP="00F61A0C">
                  <w:pPr>
                    <w:pStyle w:val="ChartGraphic"/>
                  </w:pPr>
                  <w:r w:rsidRPr="00781CAE">
                    <w:rPr>
                      <w:noProof/>
                    </w:rPr>
                    <w:drawing>
                      <wp:inline distT="0" distB="0" distL="0" distR="0" wp14:anchorId="3897D1D1" wp14:editId="59131E5B">
                        <wp:extent cx="2770505" cy="2770505"/>
                        <wp:effectExtent l="0" t="0" r="0" b="0"/>
                        <wp:docPr id="1282992538" name="Picture 4" descr="The stacked bar chart on the left shows net interstate migration for New South Wales, Victoria, Queensland and Western Australia from 1986–87 to 2022–23.&#10;The Y axis has the net internal migration  for each state and the X axis has the year. This chart shows that Queensland tends to be a net receiver of internal migrants while New South Wales tends to lose internal migrants. Victoria and Western Australia tend to have periods where they receive internal migrants and periods when they lose internal migr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92538" name="Picture 4" descr="The stacked bar chart on the left shows net interstate migration for New South Wales, Victoria, Queensland and Western Australia from 1986–87 to 2022–23.&#10;The Y axis has the net internal migration  for each state and the X axis has the year. This chart shows that Queensland tends to be a net receiver of internal migrants while New South Wales tends to lose internal migrants. Victoria and Western Australia tend to have periods where they receive internal migrants and periods when they lose internal migrants.&#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tc>
              <w:tc>
                <w:tcPr>
                  <w:tcW w:w="4710" w:type="dxa"/>
                  <w:shd w:val="clear" w:color="auto" w:fill="auto"/>
                </w:tcPr>
                <w:p w14:paraId="2A5F9912" w14:textId="77777777" w:rsidR="00F61A0C" w:rsidRDefault="00F61A0C" w:rsidP="00F61A0C">
                  <w:pPr>
                    <w:pStyle w:val="ChartGraphic"/>
                  </w:pPr>
                  <w:r w:rsidRPr="00FA0660">
                    <w:rPr>
                      <w:noProof/>
                    </w:rPr>
                    <w:drawing>
                      <wp:inline distT="0" distB="0" distL="0" distR="0" wp14:anchorId="7CAD6226" wp14:editId="17A91A92">
                        <wp:extent cx="2763520" cy="2770505"/>
                        <wp:effectExtent l="0" t="0" r="0" b="0"/>
                        <wp:docPr id="129395945" name="Picture 3" descr="The stacked bar chart on the right has the same Y and X axis as the graph on the left, but shows net interstate migration for South Australia, Tasmania, the Northern Territory and the Australian Capital Territory from 1986–87 to 2022–23. This chart shows that South Australia and the Northern Territory tend to lose migrants over time while Tasmania and the Australian Capital Territory tend to have periods where they receive and lose internal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5945" name="Picture 3" descr="The stacked bar chart on the right has the same Y and X axis as the graph on the left, but shows net interstate migration for South Australia, Tasmania, the Northern Territory and the Australian Capital Territory from 1986–87 to 2022–23. This chart shows that South Australia and the Northern Territory tend to lose migrants over time while Tasmania and the Australian Capital Territory tend to have periods where they receive and lose internal migrant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3520" cy="2770505"/>
                                </a:xfrm>
                                <a:prstGeom prst="rect">
                                  <a:avLst/>
                                </a:prstGeom>
                                <a:noFill/>
                                <a:ln>
                                  <a:noFill/>
                                </a:ln>
                              </pic:spPr>
                            </pic:pic>
                          </a:graphicData>
                        </a:graphic>
                      </wp:inline>
                    </w:drawing>
                  </w:r>
                </w:p>
              </w:tc>
            </w:tr>
          </w:tbl>
          <w:p w14:paraId="394094F4" w14:textId="77777777" w:rsidR="00F61A0C" w:rsidRDefault="00F61A0C" w:rsidP="00F61A0C">
            <w:pPr>
              <w:pStyle w:val="Source"/>
              <w:ind w:left="0" w:firstLine="0"/>
            </w:pPr>
            <w:r w:rsidRPr="4F05E4F9">
              <w:t xml:space="preserve">Source: </w:t>
            </w:r>
            <w:r>
              <w:tab/>
            </w:r>
            <w:r w:rsidRPr="4F05E4F9">
              <w:t xml:space="preserve">ABS, </w:t>
            </w:r>
            <w:r w:rsidRPr="009155F8">
              <w:rPr>
                <w:i/>
              </w:rPr>
              <w:t>National, state and territory population, March 2024</w:t>
            </w:r>
            <w:r>
              <w:t>; and Centre for Population</w:t>
            </w:r>
          </w:p>
          <w:p w14:paraId="7D9F22A3" w14:textId="77777777" w:rsidR="00F61A0C" w:rsidRDefault="00F61A0C" w:rsidP="00F61A0C">
            <w:pPr>
              <w:pStyle w:val="SingleParagraph"/>
            </w:pPr>
          </w:p>
          <w:p w14:paraId="5D00CACA" w14:textId="77777777" w:rsidR="00F61A0C" w:rsidRPr="00997375" w:rsidRDefault="00F61A0C" w:rsidP="00F61A0C">
            <w:pPr>
              <w:pStyle w:val="BoxHeading2"/>
              <w:rPr>
                <w:rStyle w:val="Strong"/>
                <w:b/>
                <w:bCs w:val="0"/>
              </w:rPr>
            </w:pPr>
            <w:r w:rsidRPr="00997375">
              <w:rPr>
                <w:rStyle w:val="Strong"/>
                <w:b/>
                <w:bCs w:val="0"/>
              </w:rPr>
              <w:t>Changes in interstate migration by age group from 1996</w:t>
            </w:r>
            <w:r w:rsidRPr="00997375">
              <w:t>–</w:t>
            </w:r>
            <w:r w:rsidRPr="00997375">
              <w:rPr>
                <w:rStyle w:val="Strong"/>
                <w:b/>
                <w:bCs w:val="0"/>
              </w:rPr>
              <w:t>97 to 2022</w:t>
            </w:r>
            <w:r w:rsidRPr="00997375">
              <w:t>–</w:t>
            </w:r>
            <w:r w:rsidRPr="00997375">
              <w:rPr>
                <w:rStyle w:val="Strong"/>
                <w:b/>
                <w:bCs w:val="0"/>
              </w:rPr>
              <w:t>23</w:t>
            </w:r>
          </w:p>
          <w:p w14:paraId="02707FBA" w14:textId="61B46CBF" w:rsidR="00F61A0C" w:rsidRDefault="00F61A0C" w:rsidP="00F61A0C">
            <w:pPr>
              <w:pStyle w:val="BoxText"/>
            </w:pPr>
            <w:r w:rsidRPr="2A074F4B">
              <w:t xml:space="preserve">In </w:t>
            </w:r>
            <w:r>
              <w:t>1996–97</w:t>
            </w:r>
            <w:r w:rsidRPr="2A074F4B">
              <w:t xml:space="preserve"> and 20</w:t>
            </w:r>
            <w:r>
              <w:t>22–</w:t>
            </w:r>
            <w:r w:rsidRPr="2A074F4B">
              <w:t>23, 20</w:t>
            </w:r>
            <w:r>
              <w:t xml:space="preserve"> to </w:t>
            </w:r>
            <w:r w:rsidRPr="2A074F4B">
              <w:t>34</w:t>
            </w:r>
            <w:r>
              <w:noBreakHyphen/>
              <w:t>year</w:t>
            </w:r>
            <w:r>
              <w:noBreakHyphen/>
              <w:t>olds</w:t>
            </w:r>
            <w:r w:rsidRPr="2A074F4B">
              <w:t xml:space="preserve"> were most likely to move interstate, while those aged </w:t>
            </w:r>
            <w:r>
              <w:t xml:space="preserve">over </w:t>
            </w:r>
            <w:r w:rsidRPr="2A074F4B">
              <w:t>4</w:t>
            </w:r>
            <w:r>
              <w:t>0</w:t>
            </w:r>
            <w:r w:rsidRPr="2A074F4B">
              <w:t xml:space="preserve"> </w:t>
            </w:r>
            <w:r>
              <w:t xml:space="preserve">and children under 14 (assumed to have the same </w:t>
            </w:r>
            <w:r w:rsidRPr="04E819AA">
              <w:t>movement</w:t>
            </w:r>
            <w:r>
              <w:t xml:space="preserve"> patterns as their parent or guardian)</w:t>
            </w:r>
            <w:r w:rsidRPr="2A074F4B">
              <w:t xml:space="preserve"> were least likely to </w:t>
            </w:r>
            <w:r>
              <w:t>relocate (</w:t>
            </w:r>
            <w:r>
              <w:fldChar w:fldCharType="begin"/>
            </w:r>
            <w:r>
              <w:instrText xml:space="preserve"> REF _Ref181184123 \r \h  \* MERGEFORMAT </w:instrText>
            </w:r>
            <w:r>
              <w:fldChar w:fldCharType="separate"/>
            </w:r>
            <w:r>
              <w:t>Chart 33</w:t>
            </w:r>
            <w:r>
              <w:fldChar w:fldCharType="end"/>
            </w:r>
            <w:r>
              <w:t>).</w:t>
            </w:r>
            <w:r w:rsidRPr="2A074F4B">
              <w:t xml:space="preserve"> These trends are consistent with</w:t>
            </w:r>
            <w:r w:rsidR="003F7715">
              <w:t xml:space="preserve"> the</w:t>
            </w:r>
            <w:r w:rsidRPr="2A074F4B">
              <w:t xml:space="preserve"> </w:t>
            </w:r>
            <w:r w:rsidRPr="00B31B6A">
              <w:rPr>
                <w:rFonts w:ascii="Calibri" w:eastAsia="SimSun" w:hAnsi="Calibri" w:cs="Times New Roman"/>
              </w:rPr>
              <w:t xml:space="preserve">Centre for International Economics </w:t>
            </w:r>
            <w:r>
              <w:t>research which found</w:t>
            </w:r>
            <w:r w:rsidRPr="2A074F4B">
              <w:t xml:space="preserve"> that younger adults are most likely to move interstate </w:t>
            </w:r>
            <w:r>
              <w:t>for reasons including</w:t>
            </w:r>
            <w:r w:rsidRPr="2A074F4B">
              <w:t xml:space="preserve"> higher education and career</w:t>
            </w:r>
            <w:r>
              <w:t xml:space="preserve"> opportunities</w:t>
            </w:r>
            <w:r w:rsidRPr="2A074F4B">
              <w:t xml:space="preserve">. </w:t>
            </w:r>
            <w:r w:rsidRPr="04E819AA">
              <w:t>Families</w:t>
            </w:r>
            <w:r>
              <w:t xml:space="preserve"> are more likely to move before their children have started school – as children age, and settle into school, families become less likely to move</w:t>
            </w:r>
            <w:r w:rsidRPr="39F38E57">
              <w:t>.</w:t>
            </w:r>
            <w:r w:rsidRPr="2A074F4B">
              <w:t xml:space="preserve"> </w:t>
            </w:r>
          </w:p>
          <w:p w14:paraId="57F123A7" w14:textId="3575EE9E" w:rsidR="004B15A8" w:rsidRPr="00F61A0C" w:rsidRDefault="00F61A0C" w:rsidP="00F61A0C">
            <w:pPr>
              <w:pStyle w:val="Bullet"/>
              <w:numPr>
                <w:ilvl w:val="0"/>
                <w:numId w:val="0"/>
              </w:numPr>
              <w:jc w:val="right"/>
              <w:rPr>
                <w:rFonts w:eastAsiaTheme="majorEastAsia"/>
                <w:i/>
                <w:iCs/>
              </w:rPr>
            </w:pPr>
            <w:r w:rsidRPr="00997375">
              <w:rPr>
                <w:rStyle w:val="Box-Continuedoverpage"/>
              </w:rPr>
              <w:t>continued over next page</w:t>
            </w:r>
          </w:p>
        </w:tc>
      </w:tr>
    </w:tbl>
    <w:p w14:paraId="51386C8A" w14:textId="77777777" w:rsidR="00AD6815" w:rsidRDefault="00AD6815"/>
    <w:tbl>
      <w:tblPr>
        <w:tblStyle w:val="TableGrid"/>
        <w:tblW w:w="5000" w:type="pct"/>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C6609C" w14:paraId="0244AF62" w14:textId="77777777" w:rsidTr="004B235B">
        <w:tc>
          <w:tcPr>
            <w:tcW w:w="5000" w:type="pct"/>
            <w:shd w:val="clear" w:color="auto" w:fill="auto"/>
          </w:tcPr>
          <w:p w14:paraId="4B1A4D72" w14:textId="7CCA0F12" w:rsidR="00C6609C" w:rsidRDefault="00C6609C" w:rsidP="00C6609C">
            <w:pPr>
              <w:pStyle w:val="BoxText"/>
            </w:pPr>
            <w:r>
              <w:lastRenderedPageBreak/>
              <w:t>All age groups except for women aged between 60 to 69 were less likely to move in 20</w:t>
            </w:r>
            <w:r w:rsidR="00BC50C0">
              <w:t>2</w:t>
            </w:r>
            <w:r>
              <w:t xml:space="preserve">2–23 than they were in 1996–‍97. The greatest proportional falls in interstate movement were to people aged </w:t>
            </w:r>
            <w:r w:rsidRPr="005B04CD">
              <w:t>under</w:t>
            </w:r>
            <w:r>
              <w:t xml:space="preserve"> 29, with those aged between 20 and 29 experiencing the highest proportional drop in interstate movement</w:t>
            </w:r>
            <w:r w:rsidRPr="4F05E4F9">
              <w:t xml:space="preserve">. </w:t>
            </w:r>
            <w:r>
              <w:t>Despite the large drop from 1996–97, i</w:t>
            </w:r>
            <w:r w:rsidRPr="1A22E238">
              <w:t>nterstate movement</w:t>
            </w:r>
            <w:r w:rsidRPr="5F851538">
              <w:t xml:space="preserve"> </w:t>
            </w:r>
            <w:r>
              <w:t>was highest</w:t>
            </w:r>
            <w:r w:rsidRPr="5F851538">
              <w:t xml:space="preserve"> </w:t>
            </w:r>
            <w:r>
              <w:t>in the</w:t>
            </w:r>
            <w:r w:rsidRPr="5F851538">
              <w:t xml:space="preserve"> 2</w:t>
            </w:r>
            <w:r>
              <w:t xml:space="preserve">0 to </w:t>
            </w:r>
            <w:r w:rsidRPr="5F851538">
              <w:t>29</w:t>
            </w:r>
            <w:r>
              <w:noBreakHyphen/>
              <w:t>year</w:t>
            </w:r>
            <w:r>
              <w:noBreakHyphen/>
              <w:t>old cohorts.</w:t>
            </w:r>
            <w:r w:rsidRPr="5F851538">
              <w:t xml:space="preserve"> </w:t>
            </w:r>
          </w:p>
          <w:p w14:paraId="4B19E28F" w14:textId="77777777" w:rsidR="00C6609C" w:rsidRDefault="00C6609C" w:rsidP="00C6609C">
            <w:pPr>
              <w:pStyle w:val="BoxText"/>
            </w:pPr>
            <w:r>
              <w:t>There were fewer interstate moves by people aged over 40 and for children under 14. One reason</w:t>
            </w:r>
            <w:r w:rsidRPr="5F851538">
              <w:t xml:space="preserve"> </w:t>
            </w:r>
            <w:r>
              <w:t>for this decline could be due to the rise in the proportion of dual income families over the past 20 years.</w:t>
            </w:r>
            <w:r>
              <w:rPr>
                <w:rStyle w:val="FootnoteReference"/>
                <w:rFonts w:eastAsia="Calibri" w:cs="Calibri"/>
              </w:rPr>
              <w:footnoteReference w:id="56"/>
            </w:r>
            <w:r>
              <w:t xml:space="preserve"> Dual income families require greater benefits from an interstate move to make it worth leaving 2 established careers and networks, resulting in </w:t>
            </w:r>
            <w:r w:rsidRPr="6B8BCCF0">
              <w:t>these types of</w:t>
            </w:r>
            <w:r>
              <w:t xml:space="preserve"> families being less likely to move compared to single income families</w:t>
            </w:r>
            <w:r w:rsidRPr="5F851538">
              <w:t xml:space="preserve"> </w:t>
            </w:r>
            <w:r w:rsidRPr="6B8BCCF0">
              <w:t>with two parents</w:t>
            </w:r>
            <w:r>
              <w:t>.</w:t>
            </w:r>
            <w:r>
              <w:rPr>
                <w:rStyle w:val="FootnoteReference"/>
                <w:rFonts w:eastAsia="Calibri" w:cs="Calibri"/>
              </w:rPr>
              <w:footnoteReference w:id="57"/>
            </w:r>
            <w:r>
              <w:t xml:space="preserve"> This, by extension, lowers </w:t>
            </w:r>
            <w:r w:rsidRPr="76192895">
              <w:t>interstate movement</w:t>
            </w:r>
            <w:r>
              <w:t xml:space="preserve"> in children as more families have both parents earning incomes.</w:t>
            </w:r>
          </w:p>
          <w:p w14:paraId="3B15611D" w14:textId="77777777" w:rsidR="00C6609C" w:rsidRDefault="00C6609C" w:rsidP="00C6609C">
            <w:pPr>
              <w:pStyle w:val="ChartMainHeading"/>
            </w:pPr>
            <w:bookmarkStart w:id="169" w:name="_Ref181184123"/>
            <w:r w:rsidRPr="008771A7">
              <w:t>Interstate</w:t>
            </w:r>
            <w:r w:rsidRPr="00B17718">
              <w:t xml:space="preserve"> moves in </w:t>
            </w:r>
            <w:r>
              <w:t xml:space="preserve">1996–97 and </w:t>
            </w:r>
            <w:r w:rsidRPr="00B17718">
              <w:t>20</w:t>
            </w:r>
            <w:r>
              <w:t>22–2</w:t>
            </w:r>
            <w:r w:rsidRPr="00B17718">
              <w:t>3</w:t>
            </w:r>
            <w:r>
              <w:t>, proportion of age group</w:t>
            </w:r>
            <w:bookmarkEnd w:id="169"/>
          </w:p>
          <w:p w14:paraId="3E3B7538" w14:textId="77777777" w:rsidR="00C6609C" w:rsidRDefault="00C6609C" w:rsidP="00C6609C">
            <w:pPr>
              <w:pStyle w:val="ChartGraphic"/>
            </w:pPr>
            <w:r w:rsidRPr="001A3BA1">
              <w:rPr>
                <w:noProof/>
              </w:rPr>
              <w:drawing>
                <wp:inline distT="0" distB="0" distL="0" distR="0" wp14:anchorId="25CD22B9" wp14:editId="0D51A9FE">
                  <wp:extent cx="5638800" cy="2527300"/>
                  <wp:effectExtent l="0" t="0" r="0" b="0"/>
                  <wp:docPr id="2096583441" name="Picture 6" descr="A pyramid chart showing the proportion of people in each age group that have moved interstate in 1996–97 and in 2022–23. The ages where interstate moves peak are between 20 to 29 for both males and females in 1996–97 and 2022–23. &#10;As people age, they become less likely to make interstate moves. Children aged 0 to 9 years old, who are assumed to have the same movement patterns as their parent or guardian, are more likely to move interstate than older children.&#10;All age groups experienced proportionally lower net interstate migration in 2022–23 than in 1996–97, except for females aged between 60 and 6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3441" name="Picture 6" descr="A pyramid chart showing the proportion of people in each age group that have moved interstate in 1996–97 and in 2022–23. The ages where interstate moves peak are between 20 to 29 for both males and females in 1996–97 and 2022–23. &#10;As people age, they become less likely to make interstate moves. Children aged 0 to 9 years old, who are assumed to have the same movement patterns as their parent or guardian, are more likely to move interstate than older children.&#10;All age groups experienced proportionally lower net interstate migration in 2022–23 than in 1996–97, except for females aged between 60 and 69.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8800" cy="2527300"/>
                          </a:xfrm>
                          <a:prstGeom prst="rect">
                            <a:avLst/>
                          </a:prstGeom>
                          <a:noFill/>
                          <a:ln>
                            <a:noFill/>
                          </a:ln>
                        </pic:spPr>
                      </pic:pic>
                    </a:graphicData>
                  </a:graphic>
                </wp:inline>
              </w:drawing>
            </w:r>
          </w:p>
          <w:p w14:paraId="0A0CBD77" w14:textId="77777777" w:rsidR="00C6609C" w:rsidRDefault="00C6609C" w:rsidP="00C6609C">
            <w:pPr>
              <w:pStyle w:val="Source"/>
              <w:ind w:left="0" w:firstLine="0"/>
              <w:rPr>
                <w:szCs w:val="18"/>
                <w:bdr w:val="none" w:sz="0" w:space="0" w:color="auto"/>
              </w:rPr>
            </w:pPr>
            <w:r w:rsidRPr="00790940">
              <w:rPr>
                <w:szCs w:val="18"/>
                <w:bdr w:val="none" w:sz="0" w:space="0" w:color="auto"/>
              </w:rPr>
              <w:t xml:space="preserve">Source: </w:t>
            </w:r>
            <w:r w:rsidRPr="00790940">
              <w:rPr>
                <w:szCs w:val="18"/>
                <w:bdr w:val="none" w:sz="0" w:space="0" w:color="auto"/>
              </w:rPr>
              <w:tab/>
              <w:t xml:space="preserve">ABS, </w:t>
            </w:r>
            <w:r w:rsidRPr="00997375">
              <w:rPr>
                <w:rStyle w:val="SubtleEmphasis"/>
              </w:rPr>
              <w:t>National, state and territory population, March 2024</w:t>
            </w:r>
            <w:r w:rsidRPr="00790940">
              <w:rPr>
                <w:szCs w:val="18"/>
                <w:bdr w:val="none" w:sz="0" w:space="0" w:color="auto"/>
              </w:rPr>
              <w:t>; and Centre for Population.</w:t>
            </w:r>
          </w:p>
          <w:p w14:paraId="2CC4502E" w14:textId="7E4F8124" w:rsidR="00C6609C" w:rsidRDefault="00C6609C">
            <w:pPr>
              <w:pStyle w:val="BoxText"/>
            </w:pPr>
          </w:p>
        </w:tc>
      </w:tr>
    </w:tbl>
    <w:p w14:paraId="25DA9D37" w14:textId="772D79ED" w:rsidR="004B235B" w:rsidRDefault="004B235B" w:rsidP="004B235B">
      <w:pPr>
        <w:pStyle w:val="SingleParagraph"/>
      </w:pPr>
      <w:r>
        <w:br w:type="page"/>
      </w:r>
    </w:p>
    <w:tbl>
      <w:tblPr>
        <w:tblStyle w:val="TableGrid"/>
        <w:tblW w:w="5000" w:type="pct"/>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0A449D" w14:paraId="5CB7E0B8" w14:textId="77777777" w:rsidTr="000A449D">
        <w:tc>
          <w:tcPr>
            <w:tcW w:w="5000" w:type="pct"/>
            <w:shd w:val="clear" w:color="auto" w:fill="auto"/>
          </w:tcPr>
          <w:p w14:paraId="6E64FB66" w14:textId="77777777" w:rsidR="000A449D" w:rsidRDefault="000A449D" w:rsidP="000A449D">
            <w:pPr>
              <w:pStyle w:val="BoxHeading"/>
            </w:pPr>
            <w:bookmarkStart w:id="170" w:name="_Ref184299348"/>
            <w:r>
              <w:lastRenderedPageBreak/>
              <w:t>The challenge of redistributing growth to rest</w:t>
            </w:r>
            <w:r>
              <w:noBreakHyphen/>
              <w:t>of</w:t>
            </w:r>
            <w:r>
              <w:noBreakHyphen/>
              <w:t xml:space="preserve">state </w:t>
            </w:r>
            <w:bookmarkEnd w:id="170"/>
            <w:r>
              <w:t>areas</w:t>
            </w:r>
            <w:r w:rsidDel="003878EE">
              <w:t xml:space="preserve"> </w:t>
            </w:r>
          </w:p>
          <w:p w14:paraId="330D6633" w14:textId="77777777" w:rsidR="000A449D" w:rsidRDefault="000A449D" w:rsidP="000A449D">
            <w:pPr>
              <w:pStyle w:val="BoxText"/>
              <w:pBdr>
                <w:top w:val="single" w:sz="6" w:space="1" w:color="002C47" w:themeColor="accent1"/>
              </w:pBdr>
            </w:pPr>
            <w:r>
              <w:t>As demonstrated by the following scenarios, even substantial changes to internal and overseas migration patterns would result in only modest redistribution of population growth between capital cities and aggregated rest</w:t>
            </w:r>
            <w:r>
              <w:noBreakHyphen/>
              <w:t>of</w:t>
            </w:r>
            <w:r>
              <w:noBreakHyphen/>
              <w:t>state areas. In each scenario, total national NOM is the same as in the baseline projections. The scenarios explored are:</w:t>
            </w:r>
          </w:p>
          <w:p w14:paraId="24168CF8" w14:textId="77777777" w:rsidR="000A449D" w:rsidRPr="007260CD" w:rsidRDefault="000A449D" w:rsidP="000A449D">
            <w:pPr>
              <w:pStyle w:val="BoxBullet"/>
              <w:rPr>
                <w:b/>
                <w:bCs/>
              </w:rPr>
            </w:pPr>
            <w:r>
              <w:t xml:space="preserve">A </w:t>
            </w:r>
            <w:r w:rsidRPr="001A7946">
              <w:rPr>
                <w:b/>
                <w:bCs/>
              </w:rPr>
              <w:t xml:space="preserve">high </w:t>
            </w:r>
            <w:r>
              <w:rPr>
                <w:b/>
                <w:bCs/>
              </w:rPr>
              <w:t>NIM</w:t>
            </w:r>
            <w:r w:rsidRPr="001A7946">
              <w:rPr>
                <w:b/>
                <w:bCs/>
              </w:rPr>
              <w:t xml:space="preserve"> </w:t>
            </w:r>
            <w:r>
              <w:rPr>
                <w:b/>
                <w:bCs/>
              </w:rPr>
              <w:t xml:space="preserve">rate </w:t>
            </w:r>
            <w:r w:rsidRPr="001A7946">
              <w:rPr>
                <w:b/>
                <w:bCs/>
              </w:rPr>
              <w:t>scenario</w:t>
            </w:r>
            <w:r w:rsidRPr="007260CD">
              <w:t>, which</w:t>
            </w:r>
            <w:r>
              <w:t xml:space="preserve"> fixes the interstate and internal migration rates to the highest net rate of migration to rest</w:t>
            </w:r>
            <w:r>
              <w:noBreakHyphen/>
              <w:t>of</w:t>
            </w:r>
            <w:r>
              <w:noBreakHyphen/>
              <w:t>state areas observed outside of COVID</w:t>
            </w:r>
            <w:r>
              <w:noBreakHyphen/>
              <w:t xml:space="preserve">19 (in 2023–24). </w:t>
            </w:r>
          </w:p>
          <w:p w14:paraId="102AC2CA" w14:textId="77777777" w:rsidR="000A449D" w:rsidRPr="007260CD" w:rsidRDefault="000A449D" w:rsidP="000A449D">
            <w:pPr>
              <w:pStyle w:val="BoxBullet"/>
              <w:rPr>
                <w:b/>
                <w:bCs/>
              </w:rPr>
            </w:pPr>
            <w:r>
              <w:t xml:space="preserve">A </w:t>
            </w:r>
            <w:r w:rsidRPr="007260CD">
              <w:rPr>
                <w:rFonts w:cstheme="minorBidi"/>
                <w:b/>
                <w:lang w:eastAsia="en-US"/>
              </w:rPr>
              <w:t xml:space="preserve">high </w:t>
            </w:r>
            <w:r>
              <w:rPr>
                <w:b/>
                <w:bCs/>
              </w:rPr>
              <w:t>NOM</w:t>
            </w:r>
            <w:r w:rsidRPr="00AB1661">
              <w:rPr>
                <w:b/>
                <w:bCs/>
              </w:rPr>
              <w:t xml:space="preserve"> </w:t>
            </w:r>
            <w:r>
              <w:rPr>
                <w:b/>
                <w:bCs/>
              </w:rPr>
              <w:t>share</w:t>
            </w:r>
            <w:r w:rsidRPr="00AB1661">
              <w:rPr>
                <w:b/>
                <w:bCs/>
              </w:rPr>
              <w:t xml:space="preserve"> scenario</w:t>
            </w:r>
            <w:r w:rsidRPr="007260CD">
              <w:rPr>
                <w:rFonts w:cstheme="minorBidi"/>
                <w:lang w:eastAsia="en-US"/>
              </w:rPr>
              <w:t>, where</w:t>
            </w:r>
            <w:r>
              <w:t xml:space="preserve"> rest</w:t>
            </w:r>
            <w:r>
              <w:noBreakHyphen/>
              <w:t>of</w:t>
            </w:r>
            <w:r>
              <w:noBreakHyphen/>
              <w:t>state areas receive 25 per cent of national NOM, around 8 percentage points higher than the highest share on record. There is a lack of historical sub</w:t>
            </w:r>
            <w:r>
              <w:noBreakHyphen/>
              <w:t xml:space="preserve">state data for net overseas migration, with the series beginning in 2016–17. </w:t>
            </w:r>
          </w:p>
          <w:p w14:paraId="537F77CE" w14:textId="77777777" w:rsidR="000A449D" w:rsidRDefault="000A449D" w:rsidP="000A449D">
            <w:pPr>
              <w:pStyle w:val="BoxBullet"/>
              <w:rPr>
                <w:b/>
                <w:bCs/>
              </w:rPr>
            </w:pPr>
            <w:r>
              <w:t xml:space="preserve">A </w:t>
            </w:r>
            <w:r w:rsidRPr="00C07FDA">
              <w:rPr>
                <w:b/>
                <w:bCs/>
              </w:rPr>
              <w:t>combined scenario</w:t>
            </w:r>
            <w:r w:rsidRPr="007260CD">
              <w:t>, which</w:t>
            </w:r>
            <w:r>
              <w:rPr>
                <w:b/>
                <w:bCs/>
              </w:rPr>
              <w:t xml:space="preserve"> </w:t>
            </w:r>
            <w:r w:rsidRPr="00C07FDA">
              <w:t>combines</w:t>
            </w:r>
            <w:r>
              <w:t xml:space="preserve"> both the high NIM and high NOM assumptions</w:t>
            </w:r>
            <w:r>
              <w:rPr>
                <w:b/>
                <w:bCs/>
              </w:rPr>
              <w:t xml:space="preserve">. </w:t>
            </w:r>
          </w:p>
          <w:p w14:paraId="5C23EB0F" w14:textId="685E5A37" w:rsidR="000A449D" w:rsidRDefault="000A449D" w:rsidP="000A449D">
            <w:pPr>
              <w:pStyle w:val="BoxText"/>
            </w:pPr>
            <w:r>
              <w:t>In the baseline projections</w:t>
            </w:r>
            <w:r w:rsidRPr="007260CD">
              <w:t>,</w:t>
            </w:r>
            <w:r>
              <w:rPr>
                <w:b/>
                <w:bCs/>
              </w:rPr>
              <w:t xml:space="preserve"> </w:t>
            </w:r>
            <w:r w:rsidRPr="00B03946">
              <w:t xml:space="preserve">the population for </w:t>
            </w:r>
            <w:r w:rsidRPr="000D0B0E">
              <w:t>rest</w:t>
            </w:r>
            <w:r>
              <w:noBreakHyphen/>
            </w:r>
            <w:r w:rsidRPr="000D0B0E">
              <w:t>of</w:t>
            </w:r>
            <w:r>
              <w:noBreakHyphen/>
            </w:r>
            <w:r w:rsidRPr="000D0B0E">
              <w:t>state areas</w:t>
            </w:r>
            <w:r>
              <w:rPr>
                <w:b/>
                <w:bCs/>
              </w:rPr>
              <w:t xml:space="preserve"> </w:t>
            </w:r>
            <w:r>
              <w:t xml:space="preserve">grows </w:t>
            </w:r>
            <w:r w:rsidRPr="009D2282">
              <w:t>from</w:t>
            </w:r>
            <w:r>
              <w:t xml:space="preserve"> 8.7 million in 2022–23 to 9.6 million in 2034–35 (</w:t>
            </w:r>
            <w:r>
              <w:fldChar w:fldCharType="begin"/>
            </w:r>
            <w:r>
              <w:instrText xml:space="preserve"> REF _Ref184384407 \r \h  \* MERGEFORMAT </w:instrText>
            </w:r>
            <w:r>
              <w:fldChar w:fldCharType="separate"/>
            </w:r>
            <w:r>
              <w:t>Chart 34</w:t>
            </w:r>
            <w:r>
              <w:fldChar w:fldCharType="end"/>
            </w:r>
            <w:r>
              <w:t xml:space="preserve">). </w:t>
            </w:r>
            <w:r w:rsidRPr="00FC6557">
              <w:t xml:space="preserve">The </w:t>
            </w:r>
            <w:r w:rsidRPr="007260CD">
              <w:t xml:space="preserve">high </w:t>
            </w:r>
            <w:r>
              <w:t>NIM</w:t>
            </w:r>
            <w:r w:rsidRPr="007260CD">
              <w:t xml:space="preserve"> scenario</w:t>
            </w:r>
            <w:r w:rsidRPr="00FC6557">
              <w:t xml:space="preserve"> </w:t>
            </w:r>
            <w:r>
              <w:t>adds around 202,000 people to rest</w:t>
            </w:r>
            <w:r>
              <w:noBreakHyphen/>
              <w:t>of</w:t>
            </w:r>
            <w:r>
              <w:noBreakHyphen/>
              <w:t>state areas compared to the baseline by 2034–35, reaching a population of 9.8 million. Under the high NOM scenario, there are around 361,000 more people by 2034–35, reaching a population of 10.0 million.</w:t>
            </w:r>
            <w:r w:rsidDel="00067D8B">
              <w:t xml:space="preserve"> </w:t>
            </w:r>
            <w:r w:rsidRPr="00216CEF">
              <w:t xml:space="preserve">The </w:t>
            </w:r>
            <w:r w:rsidRPr="007260CD">
              <w:t>combined scenario</w:t>
            </w:r>
            <w:r w:rsidRPr="00216CEF">
              <w:t xml:space="preserve"> results</w:t>
            </w:r>
            <w:r>
              <w:t xml:space="preserve"> in </w:t>
            </w:r>
            <w:r w:rsidR="00680E42">
              <w:t xml:space="preserve">a </w:t>
            </w:r>
            <w:r>
              <w:t>population of 10.1 million in 2034–35, around 461,000 (4.8 per cent) higher than in the baseline projections. The reason that the combined impact is smaller than the sum of the separate NIM and NOM scenarios is because higher population growth in rest</w:t>
            </w:r>
            <w:r>
              <w:noBreakHyphen/>
              <w:t>of</w:t>
            </w:r>
            <w:r>
              <w:noBreakHyphen/>
              <w:t xml:space="preserve">state areas leads to more NIM departures to capital cities. </w:t>
            </w:r>
          </w:p>
          <w:p w14:paraId="68FD7464" w14:textId="77777777" w:rsidR="000A449D" w:rsidRDefault="000A449D" w:rsidP="000A449D">
            <w:pPr>
              <w:pStyle w:val="BoxText"/>
            </w:pPr>
            <w:r>
              <w:t>Even if net interstate migration remained at historically high rates and NOM to rest</w:t>
            </w:r>
            <w:r>
              <w:noBreakHyphen/>
              <w:t>of</w:t>
            </w:r>
            <w:r>
              <w:noBreakHyphen/>
              <w:t>state areas is greatly increased, the population in aggregated rest</w:t>
            </w:r>
            <w:r>
              <w:noBreakHyphen/>
              <w:t>of</w:t>
            </w:r>
            <w:r>
              <w:noBreakHyphen/>
              <w:t xml:space="preserve">state areas would not grow faster than aggregated capital cities. In the </w:t>
            </w:r>
            <w:r w:rsidRPr="003914B2">
              <w:t>combined scenario</w:t>
            </w:r>
            <w:r w:rsidRPr="007260CD">
              <w:t xml:space="preserve">, </w:t>
            </w:r>
            <w:r>
              <w:t>the</w:t>
            </w:r>
            <w:r w:rsidRPr="007260CD">
              <w:t xml:space="preserve"> population growth </w:t>
            </w:r>
            <w:r>
              <w:t>rate of aggregated rest</w:t>
            </w:r>
            <w:r>
              <w:noBreakHyphen/>
              <w:t>of</w:t>
            </w:r>
            <w:r>
              <w:noBreakHyphen/>
              <w:t>state areas</w:t>
            </w:r>
            <w:r w:rsidRPr="007260CD">
              <w:t xml:space="preserve"> </w:t>
            </w:r>
            <w:r>
              <w:t>is still</w:t>
            </w:r>
            <w:r w:rsidRPr="007260CD">
              <w:t xml:space="preserve"> </w:t>
            </w:r>
            <w:r>
              <w:t>slightly below aggregated capital cities, with both growing at</w:t>
            </w:r>
            <w:r w:rsidRPr="007260CD">
              <w:t xml:space="preserve"> around 1.2 per cent per year fro</w:t>
            </w:r>
            <w:r>
              <w:t>m</w:t>
            </w:r>
            <w:r w:rsidRPr="007260CD">
              <w:t xml:space="preserve"> 2025</w:t>
            </w:r>
            <w:r>
              <w:t>–</w:t>
            </w:r>
            <w:r w:rsidRPr="007260CD">
              <w:t>26</w:t>
            </w:r>
            <w:r>
              <w:t xml:space="preserve">. </w:t>
            </w:r>
          </w:p>
          <w:p w14:paraId="5E670747" w14:textId="77777777" w:rsidR="000A449D" w:rsidRDefault="000A449D" w:rsidP="000A449D">
            <w:pPr>
              <w:pStyle w:val="ChartMainHeading"/>
            </w:pPr>
            <w:r>
              <w:t>Rest</w:t>
            </w:r>
            <w:r>
              <w:noBreakHyphen/>
              <w:t>of</w:t>
            </w:r>
            <w:bookmarkStart w:id="171" w:name="_Ref184384407"/>
            <w:r>
              <w:noBreakHyphen/>
              <w:t>state population migration scenarios</w:t>
            </w:r>
            <w:bookmarkEnd w:id="171"/>
            <w:r>
              <w:t xml:space="preserve"> </w:t>
            </w:r>
          </w:p>
          <w:tbl>
            <w:tblPr>
              <w:tblStyle w:val="TableGrid"/>
              <w:tblW w:w="0" w:type="auto"/>
              <w:tblLook w:val="04A0" w:firstRow="1" w:lastRow="0" w:firstColumn="1" w:lastColumn="0" w:noHBand="0" w:noVBand="1"/>
            </w:tblPr>
            <w:tblGrid>
              <w:gridCol w:w="4425"/>
              <w:gridCol w:w="4421"/>
            </w:tblGrid>
            <w:tr w:rsidR="000A449D" w14:paraId="548ADF70" w14:textId="77777777">
              <w:trPr>
                <w:trHeight w:val="4649"/>
              </w:trPr>
              <w:tc>
                <w:tcPr>
                  <w:tcW w:w="4422" w:type="dxa"/>
                  <w:shd w:val="clear" w:color="auto" w:fill="auto"/>
                </w:tcPr>
                <w:p w14:paraId="318F1EAA" w14:textId="77777777" w:rsidR="000A449D" w:rsidRDefault="000A449D" w:rsidP="000A449D">
                  <w:pPr>
                    <w:pStyle w:val="ChartSecondHeading"/>
                  </w:pPr>
                  <w:r>
                    <w:t>Population levels</w:t>
                  </w:r>
                </w:p>
                <w:p w14:paraId="5A981A80" w14:textId="77777777" w:rsidR="000A449D" w:rsidRDefault="000A449D" w:rsidP="000A449D">
                  <w:pPr>
                    <w:pStyle w:val="ChartGraphic"/>
                  </w:pPr>
                  <w:r w:rsidRPr="00521F8E">
                    <w:rPr>
                      <w:noProof/>
                    </w:rPr>
                    <w:drawing>
                      <wp:inline distT="0" distB="0" distL="0" distR="0" wp14:anchorId="27CD2D7A" wp14:editId="0556782B">
                        <wp:extent cx="2802890" cy="2885440"/>
                        <wp:effectExtent l="0" t="0" r="0" b="0"/>
                        <wp:docPr id="1939238592" name="Picture 1939238592" descr="This chart looks at population levels the four rest-of-state migration scenarios: the baseline population statement scenario, the high net interstate migration scenario, the net overseas migration scenario, and the combined scenario (which incorporates both net overseas and net interstate migration scenarios). The chart shows population level is lowest for the population statement followed by the net interstate migration, the net overseas migration and then the combined scenario at the highes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8592" name="Picture 1939238592" descr="This chart looks at population levels the four rest-of-state migration scenarios: the baseline population statement scenario, the high net interstate migration scenario, the net overseas migration scenario, and the combined scenario (which incorporates both net overseas and net interstate migration scenarios). The chart shows population level is lowest for the population statement followed by the net interstate migration, the net overseas migration and then the combined scenario at the highest lev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2890" cy="2885440"/>
                                </a:xfrm>
                                <a:prstGeom prst="rect">
                                  <a:avLst/>
                                </a:prstGeom>
                                <a:noFill/>
                                <a:ln>
                                  <a:noFill/>
                                </a:ln>
                              </pic:spPr>
                            </pic:pic>
                          </a:graphicData>
                        </a:graphic>
                      </wp:inline>
                    </w:drawing>
                  </w:r>
                </w:p>
              </w:tc>
              <w:tc>
                <w:tcPr>
                  <w:tcW w:w="4422" w:type="dxa"/>
                  <w:shd w:val="clear" w:color="auto" w:fill="auto"/>
                </w:tcPr>
                <w:p w14:paraId="183D89ED" w14:textId="77777777" w:rsidR="000A449D" w:rsidRDefault="000A449D" w:rsidP="000A449D">
                  <w:pPr>
                    <w:pStyle w:val="ChartSecondHeading"/>
                  </w:pPr>
                  <w:r>
                    <w:t>Population growth rates</w:t>
                  </w:r>
                </w:p>
                <w:p w14:paraId="0BE11262" w14:textId="77777777" w:rsidR="000A449D" w:rsidRDefault="000A449D" w:rsidP="000A449D">
                  <w:pPr>
                    <w:pStyle w:val="ChartGraphic"/>
                  </w:pPr>
                  <w:r w:rsidRPr="000535AD">
                    <w:rPr>
                      <w:noProof/>
                    </w:rPr>
                    <w:drawing>
                      <wp:inline distT="0" distB="0" distL="0" distR="0" wp14:anchorId="614CAABD" wp14:editId="553EF970">
                        <wp:extent cx="2800350" cy="2886075"/>
                        <wp:effectExtent l="0" t="0" r="0" b="0"/>
                        <wp:docPr id="580929035" name="Picture 7" descr="This chart looks at population growth the four rest-of-state migration scenarios: the baseline population statement scenario, the high net interstate migration scenario, the net overseas migration scenario, and the combined scenario (which incorporates both net overseas and net interstate migration scenarios). The chart shows population growth is lowest for the population statement followed by the net interstate migration, the net overseas migration and then the combined scenario at the highest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9035" name="Picture 7" descr="This chart looks at population growth the four rest-of-state migration scenarios: the baseline population statement scenario, the high net interstate migration scenario, the net overseas migration scenario, and the combined scenario (which incorporates both net overseas and net interstate migration scenarios). The chart shows population growth is lowest for the population statement followed by the net interstate migration, the net overseas migration and then the combined scenario at the highest growth r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0350" cy="2886075"/>
                                </a:xfrm>
                                <a:prstGeom prst="rect">
                                  <a:avLst/>
                                </a:prstGeom>
                                <a:noFill/>
                                <a:ln>
                                  <a:noFill/>
                                </a:ln>
                              </pic:spPr>
                            </pic:pic>
                          </a:graphicData>
                        </a:graphic>
                      </wp:inline>
                    </w:drawing>
                  </w:r>
                  <w:r w:rsidRPr="00EB1DBF">
                    <w:t xml:space="preserve"> </w:t>
                  </w:r>
                </w:p>
              </w:tc>
            </w:tr>
          </w:tbl>
          <w:p w14:paraId="43C7A2A8" w14:textId="21A7DF46" w:rsidR="000A449D" w:rsidRDefault="000A449D" w:rsidP="00C5479C">
            <w:pPr>
              <w:pStyle w:val="Source"/>
            </w:pPr>
            <w:r>
              <w:t xml:space="preserve">Source: ABS, </w:t>
            </w:r>
            <w:r w:rsidRPr="00997375">
              <w:rPr>
                <w:rStyle w:val="SubtleEmphasis"/>
              </w:rPr>
              <w:t>Regional population, 2022–23;</w:t>
            </w:r>
            <w:r>
              <w:t xml:space="preserve"> and Centre for Population.</w:t>
            </w:r>
          </w:p>
        </w:tc>
      </w:tr>
    </w:tbl>
    <w:p w14:paraId="540CB76C" w14:textId="77777777" w:rsidR="00C5479C" w:rsidRDefault="00C5479C">
      <w:pPr>
        <w:spacing w:before="0" w:after="160" w:line="259" w:lineRule="auto"/>
      </w:pPr>
      <w:r>
        <w:br w:type="page"/>
      </w:r>
    </w:p>
    <w:tbl>
      <w:tblPr>
        <w:tblStyle w:val="TableGrid"/>
        <w:tblW w:w="5000" w:type="pct"/>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574590" w14:paraId="7CEBAF4F" w14:textId="77777777" w:rsidTr="00AD737D">
        <w:tc>
          <w:tcPr>
            <w:tcW w:w="5000" w:type="pct"/>
            <w:shd w:val="clear" w:color="auto" w:fill="auto"/>
          </w:tcPr>
          <w:p w14:paraId="1024DD18" w14:textId="77777777" w:rsidR="00574590" w:rsidRPr="00645008" w:rsidRDefault="00574590" w:rsidP="00574590">
            <w:pPr>
              <w:pStyle w:val="BoxHeading"/>
            </w:pPr>
            <w:bookmarkStart w:id="172" w:name="_Hlk115335024"/>
            <w:r w:rsidRPr="00310DD0">
              <w:lastRenderedPageBreak/>
              <w:t>Insights from regional population data</w:t>
            </w:r>
          </w:p>
          <w:bookmarkEnd w:id="172"/>
          <w:p w14:paraId="71429A5D" w14:textId="77777777" w:rsidR="00574590" w:rsidRPr="00902AB5" w:rsidRDefault="00574590" w:rsidP="00574590">
            <w:pPr>
              <w:pStyle w:val="BoxText"/>
              <w:spacing w:after="0"/>
            </w:pPr>
            <w:r>
              <w:t>The Bureau of Communications, Arts and Regional Research (BCARR) produces a geographic classification, grouping areas based on their location and population</w:t>
            </w:r>
            <w:r w:rsidRPr="00D84624">
              <w:t xml:space="preserve">. </w:t>
            </w:r>
            <w:r w:rsidRPr="00902AB5">
              <w:t>The</w:t>
            </w:r>
            <w:r w:rsidRPr="00902AB5" w:rsidDel="00136052">
              <w:t xml:space="preserve"> </w:t>
            </w:r>
            <w:r>
              <w:t>6</w:t>
            </w:r>
            <w:r w:rsidRPr="00902AB5">
              <w:t xml:space="preserve"> geographi</w:t>
            </w:r>
            <w:r>
              <w:t xml:space="preserve">c </w:t>
            </w:r>
            <w:r w:rsidRPr="00902AB5">
              <w:t>classification</w:t>
            </w:r>
            <w:r>
              <w:t>s</w:t>
            </w:r>
            <w:r w:rsidRPr="00902AB5">
              <w:t xml:space="preserve"> are:</w:t>
            </w:r>
          </w:p>
          <w:tbl>
            <w:tblPr>
              <w:tblStyle w:val="TableGrid"/>
              <w:tblW w:w="0" w:type="auto"/>
              <w:tblLook w:val="04A0" w:firstRow="1" w:lastRow="0" w:firstColumn="1" w:lastColumn="0" w:noHBand="0" w:noVBand="1"/>
            </w:tblPr>
            <w:tblGrid>
              <w:gridCol w:w="2694"/>
              <w:gridCol w:w="2843"/>
              <w:gridCol w:w="2843"/>
            </w:tblGrid>
            <w:tr w:rsidR="00574590" w:rsidRPr="00355185" w14:paraId="55A95783" w14:textId="77777777">
              <w:trPr>
                <w:trHeight w:val="255"/>
              </w:trPr>
              <w:tc>
                <w:tcPr>
                  <w:tcW w:w="2694" w:type="dxa"/>
                  <w:shd w:val="clear" w:color="auto" w:fill="auto"/>
                </w:tcPr>
                <w:p w14:paraId="2328C7EA" w14:textId="77777777" w:rsidR="00574590" w:rsidRPr="00997375" w:rsidRDefault="00574590" w:rsidP="00574590">
                  <w:pPr>
                    <w:pStyle w:val="BoxBullet"/>
                  </w:pPr>
                  <w:r w:rsidRPr="00997375">
                    <w:t>Greater capital cities</w:t>
                  </w:r>
                </w:p>
                <w:p w14:paraId="6E8A25A9" w14:textId="77777777" w:rsidR="00574590" w:rsidRPr="00997375" w:rsidRDefault="00574590" w:rsidP="00574590">
                  <w:pPr>
                    <w:pStyle w:val="BoxBullet"/>
                  </w:pPr>
                  <w:r w:rsidRPr="00997375">
                    <w:t>Remote areas</w:t>
                  </w:r>
                </w:p>
              </w:tc>
              <w:tc>
                <w:tcPr>
                  <w:tcW w:w="2843" w:type="dxa"/>
                  <w:shd w:val="clear" w:color="auto" w:fill="auto"/>
                </w:tcPr>
                <w:p w14:paraId="44D3B370" w14:textId="77777777" w:rsidR="00574590" w:rsidRPr="00997375" w:rsidRDefault="00574590" w:rsidP="00574590">
                  <w:pPr>
                    <w:pStyle w:val="BoxBullet"/>
                  </w:pPr>
                  <w:r w:rsidRPr="00997375">
                    <w:t>Coastal cities</w:t>
                  </w:r>
                </w:p>
                <w:p w14:paraId="0897B106" w14:textId="77777777" w:rsidR="00574590" w:rsidRPr="00997375" w:rsidRDefault="00574590" w:rsidP="00574590">
                  <w:pPr>
                    <w:pStyle w:val="BoxBullet"/>
                  </w:pPr>
                  <w:r w:rsidRPr="00997375">
                    <w:t>Coastal country</w:t>
                  </w:r>
                </w:p>
              </w:tc>
              <w:tc>
                <w:tcPr>
                  <w:tcW w:w="2843" w:type="dxa"/>
                  <w:shd w:val="clear" w:color="auto" w:fill="auto"/>
                </w:tcPr>
                <w:p w14:paraId="3E6EE4C8" w14:textId="77777777" w:rsidR="00574590" w:rsidRPr="00997375" w:rsidRDefault="00574590" w:rsidP="00574590">
                  <w:pPr>
                    <w:pStyle w:val="BoxBullet"/>
                  </w:pPr>
                  <w:r w:rsidRPr="00997375">
                    <w:t>Inland cities</w:t>
                  </w:r>
                </w:p>
                <w:p w14:paraId="3F4BAFF0" w14:textId="77777777" w:rsidR="00574590" w:rsidRPr="00997375" w:rsidRDefault="00574590" w:rsidP="00574590">
                  <w:pPr>
                    <w:pStyle w:val="BoxBullet"/>
                  </w:pPr>
                  <w:r w:rsidRPr="00997375">
                    <w:t>Inland country</w:t>
                  </w:r>
                </w:p>
              </w:tc>
            </w:tr>
          </w:tbl>
          <w:p w14:paraId="5C8F27D0" w14:textId="77777777" w:rsidR="00574590" w:rsidRPr="00997375" w:rsidRDefault="00574590" w:rsidP="00574590">
            <w:pPr>
              <w:pStyle w:val="BoxHeading2"/>
            </w:pPr>
            <w:r w:rsidRPr="00997375">
              <w:t>Population</w:t>
            </w:r>
          </w:p>
          <w:p w14:paraId="7AF72DA0" w14:textId="77777777" w:rsidR="00574590" w:rsidRPr="00902AB5" w:rsidRDefault="00574590" w:rsidP="00574590">
            <w:pPr>
              <w:pStyle w:val="BoxText"/>
            </w:pPr>
            <w:r>
              <w:t>Around 18.0 million people (68 per cent of the population) live in capital cities, with a further 4.3 million (16 per cent) in coastal cities. Inland cities, coastal country areas and inland country areas are each home to around 1.3 to 1.4 million people (around 5 per cent of the population). About 338,000 people reside in remote areas (1 per cent of the population).</w:t>
            </w:r>
          </w:p>
          <w:p w14:paraId="779E55DF" w14:textId="77777777" w:rsidR="00574590" w:rsidRDefault="00574590" w:rsidP="00574590">
            <w:pPr>
              <w:pStyle w:val="BoxText"/>
            </w:pPr>
            <w:r>
              <w:t>Cities tend to have a younger age profile than the rest of Australia. However</w:t>
            </w:r>
            <w:r w:rsidDel="00283121">
              <w:t xml:space="preserve">, </w:t>
            </w:r>
            <w:r>
              <w:t xml:space="preserve">cities in South Australia and Tasmania tend to have older populations than the </w:t>
            </w:r>
            <w:proofErr w:type="gramStart"/>
            <w:r>
              <w:t>nation as a whole</w:t>
            </w:r>
            <w:proofErr w:type="gramEnd"/>
            <w:r w:rsidRPr="00CB460B">
              <w:t xml:space="preserve">. </w:t>
            </w:r>
            <w:r>
              <w:t>C</w:t>
            </w:r>
            <w:r w:rsidRPr="004C3CA3">
              <w:t xml:space="preserve">oastal country and inland country areas have a relatively high share of population </w:t>
            </w:r>
            <w:r>
              <w:t>aged 65 and over.</w:t>
            </w:r>
            <w:r w:rsidRPr="004C3CA3">
              <w:t xml:space="preserve"> Remote Australia has</w:t>
            </w:r>
            <w:r w:rsidRPr="004C3CA3" w:rsidDel="00136052">
              <w:t xml:space="preserve"> </w:t>
            </w:r>
            <w:r w:rsidRPr="004C3CA3">
              <w:t>the highest share of population aged under 20 and the lowest share of population aged 65 and over.</w:t>
            </w:r>
          </w:p>
          <w:p w14:paraId="10514ADE" w14:textId="77777777" w:rsidR="00574590" w:rsidRDefault="00574590" w:rsidP="00574590">
            <w:pPr>
              <w:pStyle w:val="BoxHeading2"/>
              <w:rPr>
                <w:iCs/>
              </w:rPr>
            </w:pPr>
            <w:r w:rsidRPr="00685C49">
              <w:t>Growth and its c</w:t>
            </w:r>
            <w:r w:rsidRPr="00AD1B67">
              <w:t>omponents</w:t>
            </w:r>
          </w:p>
          <w:p w14:paraId="19B1EE0F" w14:textId="77777777" w:rsidR="00574590" w:rsidRDefault="00574590" w:rsidP="00574590">
            <w:pPr>
              <w:pStyle w:val="BoxText"/>
            </w:pPr>
            <w:r>
              <w:t xml:space="preserve">Growth patterns vary considerably across the geographic groupings. </w:t>
            </w:r>
            <w:r w:rsidRPr="00685C49">
              <w:t xml:space="preserve">Capital cities </w:t>
            </w:r>
            <w:r>
              <w:t xml:space="preserve">have </w:t>
            </w:r>
            <w:r w:rsidRPr="00685C49">
              <w:t>tend</w:t>
            </w:r>
            <w:r>
              <w:t>ed</w:t>
            </w:r>
            <w:r w:rsidRPr="00685C49">
              <w:t xml:space="preserve"> to </w:t>
            </w:r>
            <w:r>
              <w:t>have</w:t>
            </w:r>
            <w:r w:rsidRPr="00685C49">
              <w:t xml:space="preserve"> the </w:t>
            </w:r>
            <w:r>
              <w:t>highest population growth over the last several years</w:t>
            </w:r>
            <w:r w:rsidRPr="00685C49">
              <w:t>, closely followed by coastal cities</w:t>
            </w:r>
            <w:r>
              <w:t xml:space="preserve"> (</w:t>
            </w:r>
            <w:r>
              <w:fldChar w:fldCharType="begin"/>
            </w:r>
            <w:r>
              <w:instrText xml:space="preserve"> REF _Ref177993468 \r \h  \* MERGEFORMAT </w:instrText>
            </w:r>
            <w:r>
              <w:fldChar w:fldCharType="separate"/>
            </w:r>
            <w:r>
              <w:t>Chart 35</w:t>
            </w:r>
            <w:r>
              <w:fldChar w:fldCharType="end"/>
            </w:r>
            <w:r>
              <w:t>)</w:t>
            </w:r>
            <w:r w:rsidRPr="00685C49">
              <w:t>. Lifestyle factors make coastal country areas the fastest growing non</w:t>
            </w:r>
            <w:r>
              <w:noBreakHyphen/>
            </w:r>
            <w:r w:rsidRPr="00685C49">
              <w:t>urban region, with similar growth patterns to coastal cities</w:t>
            </w:r>
            <w:r>
              <w:t xml:space="preserve">. </w:t>
            </w:r>
            <w:r w:rsidRPr="00685C49">
              <w:t xml:space="preserve">Population growth in remote areas </w:t>
            </w:r>
            <w:r>
              <w:t>has large fluctuations, reflecting patterns in mining activity</w:t>
            </w:r>
            <w:r w:rsidRPr="00685C49">
              <w:t xml:space="preserve">. </w:t>
            </w:r>
          </w:p>
          <w:p w14:paraId="5A066CE5" w14:textId="77777777" w:rsidR="00574590" w:rsidRPr="001159B7" w:rsidRDefault="00574590" w:rsidP="00574590">
            <w:pPr>
              <w:pStyle w:val="ChartMainHeading"/>
            </w:pPr>
            <w:bookmarkStart w:id="173" w:name="_Ref176786596"/>
            <w:bookmarkStart w:id="174" w:name="_Ref177993468"/>
            <w:r w:rsidRPr="00997375">
              <w:t>Contribution</w:t>
            </w:r>
            <w:r>
              <w:t xml:space="preserve"> to growth by aggregated </w:t>
            </w:r>
            <w:r>
              <w:rPr>
                <w:rStyle w:val="cf01"/>
              </w:rPr>
              <w:t>regional category</w:t>
            </w:r>
            <w:bookmarkEnd w:id="173"/>
            <w:bookmarkEnd w:id="174"/>
          </w:p>
          <w:p w14:paraId="438C76EA" w14:textId="77777777" w:rsidR="00574590" w:rsidRPr="00997375" w:rsidRDefault="00574590" w:rsidP="00574590">
            <w:pPr>
              <w:pStyle w:val="ChartGraphic"/>
            </w:pPr>
            <w:r w:rsidRPr="00997375">
              <w:rPr>
                <w:noProof/>
              </w:rPr>
              <w:drawing>
                <wp:inline distT="0" distB="0" distL="0" distR="0" wp14:anchorId="659DDE53" wp14:editId="74670977">
                  <wp:extent cx="5598000" cy="2880000"/>
                  <wp:effectExtent l="0" t="0" r="3175" b="0"/>
                  <wp:docPr id="185199734" name="Picture 185199734" descr="This chart shows the components of population growth between 2016–17 and 2022–23 for different geographical categories. Capital cities’ growth is driven by net overseas migration. Coastal cities and coastal country areas growth is largely driven by net internal migration. Inland cities and inland country areas have had slower growth than the other categories, with relatively small contributions from all components. Remote areas have the highest contribution from natural increase, and growth has moved from negative to positive over the period as net interstate migration has become les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9734" name="Picture 185199734" descr="This chart shows the components of population growth between 2016–17 and 2022–23 for different geographical categories. Capital cities’ growth is driven by net overseas migration. Coastal cities and coastal country areas growth is largely driven by net internal migration. Inland cities and inland country areas have had slower growth than the other categories, with relatively small contributions from all components. Remote areas have the highest contribution from natural increase, and growth has moved from negative to positive over the period as net interstate migration has become less negativ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8000" cy="2880000"/>
                          </a:xfrm>
                          <a:prstGeom prst="rect">
                            <a:avLst/>
                          </a:prstGeom>
                          <a:noFill/>
                          <a:ln>
                            <a:noFill/>
                          </a:ln>
                        </pic:spPr>
                      </pic:pic>
                    </a:graphicData>
                  </a:graphic>
                </wp:inline>
              </w:drawing>
            </w:r>
          </w:p>
          <w:p w14:paraId="7EBAD428" w14:textId="7A9CA45F" w:rsidR="00574590" w:rsidRPr="00997375" w:rsidRDefault="00574590" w:rsidP="00574590">
            <w:pPr>
              <w:pStyle w:val="ChartorTableNote"/>
            </w:pPr>
            <w:r w:rsidRPr="00997375">
              <w:t xml:space="preserve">Note: </w:t>
            </w:r>
            <w:r w:rsidRPr="00997375">
              <w:tab/>
              <w:t>Intercensal difference (the growth that the ABS is not able to apportion to any components) was negative for capital cities and remote areas, indicating NIM and/or NOM to these regions was likely overcounted over 2016–</w:t>
            </w:r>
            <w:r w:rsidR="00C45338">
              <w:t>‍</w:t>
            </w:r>
            <w:r w:rsidRPr="00997375">
              <w:t>17 to 2020–‍21. Some geographical boundaries were redefined from 2021, resulting in a time</w:t>
            </w:r>
            <w:r>
              <w:noBreakHyphen/>
            </w:r>
            <w:r w:rsidRPr="00997375">
              <w:t>series break between the component contribution before and after 2020–21.</w:t>
            </w:r>
          </w:p>
          <w:p w14:paraId="606A0AF9" w14:textId="77777777" w:rsidR="00574590" w:rsidRDefault="00574590" w:rsidP="00574590">
            <w:pPr>
              <w:pStyle w:val="Source"/>
            </w:pPr>
            <w:r>
              <w:t xml:space="preserve">Source: </w:t>
            </w:r>
            <w:r>
              <w:tab/>
              <w:t xml:space="preserve">ABS, </w:t>
            </w:r>
            <w:r w:rsidRPr="00997375">
              <w:rPr>
                <w:rStyle w:val="SubtleEmphasis"/>
              </w:rPr>
              <w:t>Regional population, 2020–21</w:t>
            </w:r>
            <w:r>
              <w:t xml:space="preserve">; ABS, </w:t>
            </w:r>
            <w:r w:rsidRPr="00997375">
              <w:rPr>
                <w:rStyle w:val="SubtleEmphasis"/>
              </w:rPr>
              <w:t>Regional population, 2022–23</w:t>
            </w:r>
            <w:r>
              <w:t xml:space="preserve">; and Centre for Population. </w:t>
            </w:r>
          </w:p>
          <w:p w14:paraId="4C1C8373" w14:textId="7B3A1EC0" w:rsidR="00574590" w:rsidRDefault="00574590" w:rsidP="00AD737D">
            <w:pPr>
              <w:pStyle w:val="BoxText"/>
              <w:spacing w:after="0"/>
              <w:jc w:val="right"/>
            </w:pPr>
            <w:r w:rsidRPr="00997375">
              <w:rPr>
                <w:rStyle w:val="Box-Continuedoverpage"/>
              </w:rPr>
              <w:t xml:space="preserve">continued over next </w:t>
            </w:r>
            <w:r w:rsidRPr="00574590">
              <w:rPr>
                <w:rStyle w:val="Box-Continuedoverpage"/>
              </w:rPr>
              <w:t>page</w:t>
            </w:r>
          </w:p>
        </w:tc>
      </w:tr>
    </w:tbl>
    <w:p w14:paraId="1C2B8A67" w14:textId="77777777" w:rsidR="00AD737D" w:rsidRDefault="00AD737D">
      <w:pPr>
        <w:spacing w:before="0" w:after="160" w:line="259" w:lineRule="auto"/>
        <w:rPr>
          <w:lang w:eastAsia="en-AU"/>
        </w:rPr>
      </w:pPr>
      <w:r>
        <w:rPr>
          <w:lang w:eastAsia="en-AU"/>
        </w:rPr>
        <w:br w:type="page"/>
      </w:r>
    </w:p>
    <w:tbl>
      <w:tblPr>
        <w:tblStyle w:val="TableGrid"/>
        <w:tblW w:w="5000" w:type="pct"/>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9C6F20" w14:paraId="388EEC31" w14:textId="77777777" w:rsidTr="00AD737D">
        <w:tc>
          <w:tcPr>
            <w:tcW w:w="5000" w:type="pct"/>
            <w:shd w:val="clear" w:color="auto" w:fill="auto"/>
          </w:tcPr>
          <w:p w14:paraId="4FA39314" w14:textId="77777777" w:rsidR="009C6F20" w:rsidRDefault="009C6F20" w:rsidP="009C6F20">
            <w:pPr>
              <w:pStyle w:val="BoxText"/>
            </w:pPr>
            <w:r>
              <w:lastRenderedPageBreak/>
              <w:t>Cities and remote areas tend to experience more population growth from</w:t>
            </w:r>
            <w:r w:rsidRPr="00902AB5">
              <w:rPr>
                <w:b/>
                <w:bCs/>
              </w:rPr>
              <w:t xml:space="preserve"> </w:t>
            </w:r>
            <w:r w:rsidRPr="00536761">
              <w:t>natural increase</w:t>
            </w:r>
            <w:r>
              <w:t xml:space="preserve"> due to their younger populations. Coastal country areas – the geography with the oldest population – had negligible natural increase to the population in 2022–23 (0.02 percentage points or 12,600 births less 12,200 deaths).</w:t>
            </w:r>
          </w:p>
          <w:p w14:paraId="514E474C" w14:textId="77777777" w:rsidR="009C6F20" w:rsidRDefault="009C6F20" w:rsidP="009C6F20">
            <w:pPr>
              <w:pStyle w:val="BoxText"/>
            </w:pPr>
            <w:r w:rsidRPr="004A3DD2">
              <w:rPr>
                <w:bCs/>
              </w:rPr>
              <w:t>NOM was</w:t>
            </w:r>
            <w:r>
              <w:t xml:space="preserve"> negative across the 6 geographic categories in 2020–21 but has recovered to be above pre</w:t>
            </w:r>
            <w:r>
              <w:noBreakHyphen/>
              <w:t>pandemic levels in 2022–23. Cities tend to have more NOM, with around 85 per cent of NOM going to capital cities (around 60 per cent of the national total goes to Melbourne and Sydney) and around 10 per cent to coastal cities.</w:t>
            </w:r>
          </w:p>
          <w:p w14:paraId="43121111" w14:textId="77777777" w:rsidR="009C6F20" w:rsidRDefault="009C6F20" w:rsidP="009C6F20">
            <w:pPr>
              <w:pStyle w:val="BoxText"/>
            </w:pPr>
            <w:r w:rsidRPr="004A3DD2">
              <w:t>NIM has tended</w:t>
            </w:r>
            <w:r>
              <w:t xml:space="preserve"> to flow to coastal areas, both city and country, over the past several years. These flows originate primarily from capital cities, along with smaller components from inland and remote locations. NIM</w:t>
            </w:r>
            <w:r w:rsidDel="005468EC">
              <w:t xml:space="preserve"> </w:t>
            </w:r>
            <w:r>
              <w:t xml:space="preserve">for remote areas has become less negative over the last several years, driven by smaller net outflows from Western Australia and Queensland. </w:t>
            </w:r>
          </w:p>
          <w:p w14:paraId="27258694" w14:textId="77777777" w:rsidR="009C6F20" w:rsidRPr="00902AB5" w:rsidRDefault="009C6F20" w:rsidP="009C6F20">
            <w:pPr>
              <w:pStyle w:val="Heading4"/>
              <w:rPr>
                <w:iCs/>
              </w:rPr>
            </w:pPr>
            <w:r>
              <w:t>Which parts of</w:t>
            </w:r>
            <w:r w:rsidRPr="00AD1B67">
              <w:t xml:space="preserve"> capital cities </w:t>
            </w:r>
            <w:r>
              <w:t>are</w:t>
            </w:r>
            <w:r w:rsidRPr="00AD1B67">
              <w:t xml:space="preserve"> growing fastest?</w:t>
            </w:r>
          </w:p>
          <w:p w14:paraId="65A8A797" w14:textId="06612A00" w:rsidR="009C6F20" w:rsidRDefault="009C6F20" w:rsidP="009C6F20">
            <w:pPr>
              <w:pStyle w:val="BoxText"/>
            </w:pPr>
            <w:r>
              <w:t xml:space="preserve">Within capital cities, population growth varies with distance from the city centre </w:t>
            </w:r>
            <w:bookmarkStart w:id="175" w:name="_Hlk185422025"/>
            <w:r w:rsidR="006C06A3">
              <w:t>(</w:t>
            </w:r>
            <w:r w:rsidR="006C06A3">
              <w:fldChar w:fldCharType="begin"/>
            </w:r>
            <w:r w:rsidR="006C06A3">
              <w:instrText xml:space="preserve"> REF _Ref185511710 \r \h </w:instrText>
            </w:r>
            <w:r w:rsidR="006C06A3">
              <w:fldChar w:fldCharType="separate"/>
            </w:r>
            <w:r w:rsidR="006C06A3">
              <w:t>Chart 36</w:t>
            </w:r>
            <w:r w:rsidR="006C06A3">
              <w:fldChar w:fldCharType="end"/>
            </w:r>
            <w:r w:rsidR="006C06A3">
              <w:t>)</w:t>
            </w:r>
            <w:r>
              <w:t xml:space="preserve">. </w:t>
            </w:r>
            <w:bookmarkEnd w:id="175"/>
            <w:r>
              <w:t>Growth in inner city areas and middle</w:t>
            </w:r>
            <w:r>
              <w:noBreakHyphen/>
              <w:t xml:space="preserve">ring suburbs, particularly areas within 5 kilometres of the city centre, has been driven by overseas migration. In these areas, natural increase modestly contributes to growth, while there is a net outflow of internal migrants, which drags on overall growth. </w:t>
            </w:r>
          </w:p>
          <w:p w14:paraId="1232452B" w14:textId="77777777" w:rsidR="009C6F20" w:rsidRDefault="009C6F20" w:rsidP="009C6F20">
            <w:pPr>
              <w:pStyle w:val="BoxText"/>
            </w:pPr>
            <w:r>
              <w:t>Further away from</w:t>
            </w:r>
            <w:r w:rsidDel="004D09B3">
              <w:t xml:space="preserve"> </w:t>
            </w:r>
            <w:r>
              <w:t>city centres (30 to 50 kilometres), strong population growth has been driven by large net internal migration inflows and stronger natural increase than in inner city areas, reflecting the desire of young families for affordable detached housing. Distances beyond 50 kilometres account for a small share of capital city population and had low growth in 2021–22 and 2022–23.</w:t>
            </w:r>
          </w:p>
          <w:p w14:paraId="2D943905" w14:textId="77777777" w:rsidR="009C6F20" w:rsidRDefault="009C6F20" w:rsidP="009C6F20">
            <w:pPr>
              <w:pStyle w:val="ChartMainHeading"/>
            </w:pPr>
            <w:bookmarkStart w:id="176" w:name="_Ref185511710"/>
            <w:r>
              <w:t>Contribution to growth by distance from city centre</w:t>
            </w:r>
            <w:bookmarkEnd w:id="176"/>
          </w:p>
          <w:tbl>
            <w:tblPr>
              <w:tblW w:w="5000" w:type="pct"/>
              <w:tblLook w:val="0000" w:firstRow="0" w:lastRow="0" w:firstColumn="0" w:lastColumn="0" w:noHBand="0" w:noVBand="0"/>
            </w:tblPr>
            <w:tblGrid>
              <w:gridCol w:w="4423"/>
              <w:gridCol w:w="4423"/>
            </w:tblGrid>
            <w:tr w:rsidR="009C6F20" w14:paraId="479109FF" w14:textId="77777777">
              <w:trPr>
                <w:cantSplit/>
              </w:trPr>
              <w:tc>
                <w:tcPr>
                  <w:tcW w:w="4428" w:type="dxa"/>
                </w:tcPr>
                <w:p w14:paraId="2A5C49B6" w14:textId="77777777" w:rsidR="009C6F20" w:rsidRPr="00997375" w:rsidRDefault="009C6F20" w:rsidP="009C6F20">
                  <w:pPr>
                    <w:pStyle w:val="ChartSecondHeading"/>
                  </w:pPr>
                  <w:r w:rsidRPr="00997375">
                    <w:t>2021–22</w:t>
                  </w:r>
                </w:p>
              </w:tc>
              <w:tc>
                <w:tcPr>
                  <w:tcW w:w="4428" w:type="dxa"/>
                </w:tcPr>
                <w:p w14:paraId="31849D3D" w14:textId="77777777" w:rsidR="009C6F20" w:rsidRPr="00997375" w:rsidRDefault="009C6F20" w:rsidP="009C6F20">
                  <w:pPr>
                    <w:pStyle w:val="ChartSecondHeading"/>
                  </w:pPr>
                  <w:r w:rsidRPr="00997375">
                    <w:t>2022–23</w:t>
                  </w:r>
                </w:p>
              </w:tc>
            </w:tr>
            <w:tr w:rsidR="009C6F20" w14:paraId="5266E6B6" w14:textId="77777777">
              <w:trPr>
                <w:cantSplit/>
                <w:trHeight w:val="3839"/>
              </w:trPr>
              <w:tc>
                <w:tcPr>
                  <w:tcW w:w="4428" w:type="dxa"/>
                </w:tcPr>
                <w:p w14:paraId="22395780" w14:textId="77777777" w:rsidR="009C6F20" w:rsidRPr="00997375" w:rsidRDefault="009C6F20" w:rsidP="009C6F20">
                  <w:pPr>
                    <w:pStyle w:val="ChartGraphic"/>
                  </w:pPr>
                  <w:r w:rsidRPr="00997375">
                    <w:rPr>
                      <w:noProof/>
                    </w:rPr>
                    <w:drawing>
                      <wp:inline distT="0" distB="0" distL="0" distR="0" wp14:anchorId="5CEABD6C" wp14:editId="3471C555">
                        <wp:extent cx="2772000" cy="2772000"/>
                        <wp:effectExtent l="0" t="0" r="9525" b="9525"/>
                        <wp:docPr id="2125721753" name="Picture 2125721753" descr="This chart shows the components of population growth of capital cities by distance from the city centre for 2021–22. Growth is highest for distances more than 30km from the city centre, where net interstate migration is the main driver of growth. Net interstate migration detracts from growth for distances less than 30km. At larger distances from the city centre, the contribution from net overseas migration tends to get lower and the contribution from natural increase tends to get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21753" name="Picture 2125721753" descr="This chart shows the components of population growth of capital cities by distance from the city centre for 2021–22. Growth is highest for distances more than 30km from the city centre, where net interstate migration is the main driver of growth. Net interstate migration detracts from growth for distances less than 30km. At larger distances from the city centre, the contribution from net overseas migration tends to get lower and the contribution from natural increase tends to get high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tc>
              <w:tc>
                <w:tcPr>
                  <w:tcW w:w="4428" w:type="dxa"/>
                </w:tcPr>
                <w:p w14:paraId="0CDE9781" w14:textId="77777777" w:rsidR="009C6F20" w:rsidRPr="00997375" w:rsidRDefault="009C6F20" w:rsidP="009C6F20">
                  <w:pPr>
                    <w:pStyle w:val="ChartGraphic"/>
                  </w:pPr>
                  <w:r w:rsidRPr="00997375">
                    <w:rPr>
                      <w:noProof/>
                    </w:rPr>
                    <w:drawing>
                      <wp:inline distT="0" distB="0" distL="0" distR="0" wp14:anchorId="0BAC1357" wp14:editId="636EB2B1">
                        <wp:extent cx="2772000" cy="2772000"/>
                        <wp:effectExtent l="0" t="0" r="9525" b="9525"/>
                        <wp:docPr id="128141159" name="Picture 128141159" descr="This chart shows the components of population growth of capital cities by distance from the city centre for 2022–23. The contribution from net overseas migration is higher than in 2021–22, particularly for areas less than 30km from the city centre, leading to the highest growth being in areas within 5km of the city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1159" name="Picture 128141159" descr="This chart shows the components of population growth of capital cities by distance from the city centre for 2022–23. The contribution from net overseas migration is higher than in 2021–22, particularly for areas less than 30km from the city centre, leading to the highest growth being in areas within 5km of the city centre.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tc>
            </w:tr>
          </w:tbl>
          <w:p w14:paraId="50ADAC75" w14:textId="77777777" w:rsidR="009C6F20" w:rsidRDefault="009C6F20" w:rsidP="009C6F20">
            <w:pPr>
              <w:pStyle w:val="ChartorTableNote"/>
            </w:pPr>
            <w:r>
              <w:t xml:space="preserve">Note: </w:t>
            </w:r>
            <w:r>
              <w:tab/>
              <w:t>Distance from city centre is measured using the SA1 population</w:t>
            </w:r>
            <w:r>
              <w:noBreakHyphen/>
              <w:t>weighted centre of each SA2.</w:t>
            </w:r>
          </w:p>
          <w:p w14:paraId="31BDE443" w14:textId="77777777" w:rsidR="009C6F20" w:rsidRDefault="009C6F20" w:rsidP="009C6F20">
            <w:pPr>
              <w:pStyle w:val="Source"/>
            </w:pPr>
            <w:r w:rsidRPr="00187E58">
              <w:t xml:space="preserve">Source: </w:t>
            </w:r>
            <w:r>
              <w:tab/>
            </w:r>
            <w:r w:rsidRPr="00187E58">
              <w:t xml:space="preserve">ABS, </w:t>
            </w:r>
            <w:r w:rsidRPr="00997375">
              <w:rPr>
                <w:rStyle w:val="SubtleEmphasis"/>
              </w:rPr>
              <w:t>Regional population, 2022–23;</w:t>
            </w:r>
            <w:r>
              <w:t xml:space="preserve"> and Centre for Population. </w:t>
            </w:r>
          </w:p>
          <w:p w14:paraId="3A506066" w14:textId="305BDFC0" w:rsidR="009C6F20" w:rsidRDefault="009C6F20">
            <w:pPr>
              <w:pStyle w:val="BoxText"/>
            </w:pPr>
          </w:p>
        </w:tc>
      </w:tr>
    </w:tbl>
    <w:p w14:paraId="6CD72A34" w14:textId="4B573511" w:rsidR="003D3EC9" w:rsidRPr="000E24B2" w:rsidRDefault="003D3EC9" w:rsidP="003D3EC9">
      <w:pPr>
        <w:spacing w:before="0" w:after="160" w:line="259" w:lineRule="auto"/>
        <w:rPr>
          <w:lang w:eastAsia="en-AU"/>
        </w:rPr>
      </w:pPr>
      <w:bookmarkStart w:id="177" w:name="_Toc151994723"/>
      <w:r>
        <w:rPr>
          <w:lang w:eastAsia="en-AU"/>
        </w:rPr>
        <w:br w:type="page"/>
      </w:r>
    </w:p>
    <w:p w14:paraId="157AFEB6" w14:textId="139D509F" w:rsidR="003D3EC9" w:rsidRDefault="003D3EC9" w:rsidP="00997375">
      <w:pPr>
        <w:pStyle w:val="Heading2Numbered"/>
      </w:pPr>
      <w:bookmarkStart w:id="178" w:name="_Toc149846508"/>
      <w:bookmarkStart w:id="179" w:name="_Toc149846549"/>
      <w:bookmarkStart w:id="180" w:name="_Toc149846647"/>
      <w:bookmarkStart w:id="181" w:name="_Toc149847590"/>
      <w:bookmarkStart w:id="182" w:name="_Toc180584521"/>
      <w:bookmarkStart w:id="183" w:name="_Toc185333112"/>
      <w:bookmarkStart w:id="184" w:name="_Toc185346729"/>
      <w:r w:rsidRPr="00342678">
        <w:lastRenderedPageBreak/>
        <w:t>New</w:t>
      </w:r>
      <w:r>
        <w:t xml:space="preserve"> South Wales</w:t>
      </w:r>
      <w:bookmarkEnd w:id="177"/>
      <w:bookmarkEnd w:id="178"/>
      <w:bookmarkEnd w:id="179"/>
      <w:bookmarkEnd w:id="180"/>
      <w:bookmarkEnd w:id="181"/>
      <w:bookmarkEnd w:id="182"/>
      <w:bookmarkEnd w:id="183"/>
      <w:bookmarkEnd w:id="184"/>
    </w:p>
    <w:p w14:paraId="2A8A3C4C" w14:textId="4BC48A40" w:rsidR="003D3EC9" w:rsidRDefault="003D3EC9" w:rsidP="003D3EC9">
      <w:r>
        <w:t>New South Wales is Australia</w:t>
      </w:r>
      <w:r w:rsidR="00050D25">
        <w:t>’</w:t>
      </w:r>
      <w:r>
        <w:t>s most populous state and is projected to remain so over the coming decade. Its population is expected to increase from 8.</w:t>
      </w:r>
      <w:r w:rsidR="00FF4FF4">
        <w:t>5</w:t>
      </w:r>
      <w:r w:rsidR="00FF207F">
        <w:t> million</w:t>
      </w:r>
      <w:r>
        <w:t xml:space="preserve"> in 2023–24 to 9.</w:t>
      </w:r>
      <w:r w:rsidR="00FF4FF4">
        <w:t>6</w:t>
      </w:r>
      <w:r w:rsidR="00FF207F">
        <w:t> million</w:t>
      </w:r>
      <w:r>
        <w:t xml:space="preserve"> in 2034–35. Population growth is expected to decline to 1.9</w:t>
      </w:r>
      <w:r w:rsidR="00FF207F">
        <w:t> per cent</w:t>
      </w:r>
      <w:r>
        <w:t xml:space="preserve"> in 2023–24 and 1.4</w:t>
      </w:r>
      <w:r w:rsidR="00FF207F">
        <w:t> per cent</w:t>
      </w:r>
      <w:r>
        <w:t xml:space="preserve"> in 2024–25 and stabilise around 1.</w:t>
      </w:r>
      <w:r w:rsidR="00A32418">
        <w:t>1</w:t>
      </w:r>
      <w:r w:rsidR="00FF207F">
        <w:t> per cent</w:t>
      </w:r>
      <w:r>
        <w:t xml:space="preserve"> from 202</w:t>
      </w:r>
      <w:r w:rsidR="00A32418">
        <w:t>6</w:t>
      </w:r>
      <w:r>
        <w:t>–‍2</w:t>
      </w:r>
      <w:r w:rsidR="00A32418">
        <w:t>7</w:t>
      </w:r>
      <w:r>
        <w:t xml:space="preserve">. </w:t>
      </w:r>
    </w:p>
    <w:p w14:paraId="14380195" w14:textId="75F2D09F" w:rsidR="003D3EC9" w:rsidRDefault="00E84835" w:rsidP="003D3EC9">
      <w:r>
        <w:t>NOM</w:t>
      </w:r>
      <w:r w:rsidR="003D3EC9">
        <w:t xml:space="preserve"> is projected to remain</w:t>
      </w:r>
      <w:r w:rsidR="003D3EC9" w:rsidDel="004D09B3">
        <w:t xml:space="preserve"> </w:t>
      </w:r>
      <w:r w:rsidR="003D3EC9">
        <w:t>the largest contributor to population growth in New South Wales, but it is expected to subside and contribute around 0.9 percentage points to growth per year from 2025–26. New</w:t>
      </w:r>
      <w:r w:rsidR="001339E1">
        <w:t> </w:t>
      </w:r>
      <w:r w:rsidR="003D3EC9">
        <w:t>South Wales has historically had a high level of net interstate departures. Net interstate migration</w:t>
      </w:r>
      <w:r w:rsidR="003D3EC9" w:rsidDel="00B12737">
        <w:t xml:space="preserve"> is </w:t>
      </w:r>
      <w:r w:rsidR="003D3EC9">
        <w:t xml:space="preserve">projected to </w:t>
      </w:r>
      <w:r w:rsidR="00D13999">
        <w:t xml:space="preserve">ease </w:t>
      </w:r>
      <w:r w:rsidR="003D3EC9">
        <w:t xml:space="preserve">to an outflow of 30,000 in 2023–24 </w:t>
      </w:r>
      <w:r w:rsidR="00477A9D">
        <w:t>and</w:t>
      </w:r>
      <w:r w:rsidR="003D3EC9">
        <w:t xml:space="preserve"> 20,000 (0.2</w:t>
      </w:r>
      <w:r w:rsidR="00FF207F">
        <w:t> per cent</w:t>
      </w:r>
      <w:r w:rsidR="003D3EC9">
        <w:t xml:space="preserve"> of population) from 2026–27 onwards. </w:t>
      </w:r>
    </w:p>
    <w:p w14:paraId="43A18007" w14:textId="6A2881BE" w:rsidR="003D3EC9" w:rsidRDefault="003D3EC9" w:rsidP="00654915">
      <w:pPr>
        <w:pStyle w:val="ChartMainHeading"/>
      </w:pPr>
      <w:r w:rsidRPr="0080495D">
        <w:t xml:space="preserve">Population growth </w:t>
      </w:r>
      <w:r w:rsidR="007B4327">
        <w:t xml:space="preserve">in </w:t>
      </w:r>
      <w:r w:rsidRPr="0080495D">
        <w:t>New South Wales</w:t>
      </w:r>
    </w:p>
    <w:p w14:paraId="25B970A6" w14:textId="2F065853" w:rsidR="003D3EC9" w:rsidRDefault="00396312" w:rsidP="00997375">
      <w:pPr>
        <w:pStyle w:val="ChartGraphic"/>
      </w:pPr>
      <w:r w:rsidRPr="00396312">
        <w:t xml:space="preserve"> </w:t>
      </w:r>
      <w:r w:rsidR="004511D6" w:rsidRPr="00997375">
        <w:rPr>
          <w:noProof/>
        </w:rPr>
        <w:drawing>
          <wp:inline distT="0" distB="0" distL="0" distR="0" wp14:anchorId="153F50D8" wp14:editId="68E7ED90">
            <wp:extent cx="5580852" cy="2880000"/>
            <wp:effectExtent l="0" t="0" r="0" b="0"/>
            <wp:docPr id="1181362121" name="Picture 1181362121" descr="This chart shows the population growth rate and contribution to growth by components in New South Wales. Growth in New South Wales fell below zero in 2020–21 following the significant drop in overseas arrivals but rose sharply and peaking in 2022–23 as border restrictions lifted. Driven by net overseas migration, growth in New South Wales is forecast to decline and stabilise by 2026–27. It is also expected to have stable natural increase and net interstate migration out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2121" name="Picture 1181362121" descr="This chart shows the population growth rate and contribution to growth by components in New South Wales. Growth in New South Wales fell below zero in 2020–21 following the significant drop in overseas arrivals but rose sharply and peaking in 2022–23 as border restrictions lifted. Driven by net overseas migration, growth in New South Wales is forecast to decline and stabilise by 2026–27. It is also expected to have stable natural increase and net interstate migration outflow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0852" cy="2880000"/>
                    </a:xfrm>
                    <a:prstGeom prst="rect">
                      <a:avLst/>
                    </a:prstGeom>
                    <a:noFill/>
                    <a:ln>
                      <a:noFill/>
                    </a:ln>
                  </pic:spPr>
                </pic:pic>
              </a:graphicData>
            </a:graphic>
          </wp:inline>
        </w:drawing>
      </w:r>
      <w:r w:rsidR="003D3EC9" w:rsidRPr="00D57E5D">
        <w:t xml:space="preserve"> </w:t>
      </w:r>
    </w:p>
    <w:p w14:paraId="56235D8E" w14:textId="48FDDB78" w:rsidR="003D3EC9" w:rsidRPr="008A444E" w:rsidRDefault="003D3EC9" w:rsidP="003D3EC9">
      <w:pPr>
        <w:pStyle w:val="Source"/>
      </w:pPr>
      <w:r w:rsidRPr="004218BD">
        <w:t xml:space="preserve">Source: </w:t>
      </w:r>
      <w:r>
        <w:tab/>
      </w:r>
      <w:r w:rsidRPr="004218BD">
        <w:t xml:space="preserve">ABS, </w:t>
      </w:r>
      <w:r w:rsidR="009155F8" w:rsidRPr="00997375">
        <w:rPr>
          <w:rStyle w:val="SubtleEmphasis"/>
        </w:rPr>
        <w:t>National, state and territory population, March 2024</w:t>
      </w:r>
      <w:r>
        <w:t>;</w:t>
      </w:r>
      <w:r w:rsidRPr="004218BD">
        <w:t xml:space="preserve"> and Centre for Population.</w:t>
      </w:r>
    </w:p>
    <w:p w14:paraId="11211FB4" w14:textId="77777777" w:rsidR="00997375" w:rsidRDefault="00997375" w:rsidP="00997375">
      <w:pPr>
        <w:pStyle w:val="SingleParagraph"/>
      </w:pPr>
    </w:p>
    <w:p w14:paraId="25C8F4D8" w14:textId="0AF93EAD" w:rsidR="003D3EC9" w:rsidRDefault="003D3EC9" w:rsidP="003D3EC9">
      <w:r w:rsidRPr="63FDE203">
        <w:rPr>
          <w:b/>
          <w:bCs/>
        </w:rPr>
        <w:t>Greater Sydney</w:t>
      </w:r>
      <w:r w:rsidR="00050D25">
        <w:t>’</w:t>
      </w:r>
      <w:r>
        <w:t>s population is expected to be 5.</w:t>
      </w:r>
      <w:r w:rsidR="00A72BDA">
        <w:t>6</w:t>
      </w:r>
      <w:r w:rsidR="00FF207F">
        <w:t> million</w:t>
      </w:r>
      <w:r>
        <w:t xml:space="preserve"> in 2023–24, making it Australia</w:t>
      </w:r>
      <w:r w:rsidR="00050D25">
        <w:t>’</w:t>
      </w:r>
      <w:r>
        <w:t>s largest city with 6</w:t>
      </w:r>
      <w:r w:rsidR="00A72BDA">
        <w:t>6</w:t>
      </w:r>
      <w:r w:rsidR="00FF207F">
        <w:t> per cent</w:t>
      </w:r>
      <w:r>
        <w:t xml:space="preserve"> of the New South Wales population and 20.5</w:t>
      </w:r>
      <w:r w:rsidR="00FF207F">
        <w:t> per cent</w:t>
      </w:r>
      <w:r>
        <w:t xml:space="preserve"> of the national population. Greater Sydney</w:t>
      </w:r>
      <w:r w:rsidR="00050D25">
        <w:t>’</w:t>
      </w:r>
      <w:r>
        <w:t xml:space="preserve">s population growth rate is expected to fall to </w:t>
      </w:r>
      <w:r w:rsidDel="00FB75EA">
        <w:t>2.</w:t>
      </w:r>
      <w:r w:rsidR="00952A03">
        <w:t>3 </w:t>
      </w:r>
      <w:r w:rsidR="00FF207F">
        <w:t>per cent</w:t>
      </w:r>
      <w:r w:rsidDel="00FB75EA">
        <w:t xml:space="preserve"> in 2023–24 and </w:t>
      </w:r>
      <w:r>
        <w:t>1.7</w:t>
      </w:r>
      <w:r w:rsidR="00FF207F">
        <w:t> per cent</w:t>
      </w:r>
      <w:r>
        <w:t xml:space="preserve"> in 2024–25. This decline in the growth rate is mainly driven by the fall in </w:t>
      </w:r>
      <w:r w:rsidR="00E84835">
        <w:t>NOM</w:t>
      </w:r>
      <w:r>
        <w:t xml:space="preserve">, </w:t>
      </w:r>
      <w:r w:rsidR="002664C3">
        <w:t>although it will</w:t>
      </w:r>
      <w:r>
        <w:t xml:space="preserve"> continue to be the largest contributor to Greater Sydney</w:t>
      </w:r>
      <w:r w:rsidR="00050D25">
        <w:t>’</w:t>
      </w:r>
      <w:r>
        <w:t xml:space="preserve">s growth. Greater Sydney has by far the largest net internal migration outflow of any capital city, which is projected to subtract around 0.5 percentage points from growth each year. For </w:t>
      </w:r>
      <w:r w:rsidR="004778B8">
        <w:t>2026</w:t>
      </w:r>
      <w:r>
        <w:t>–</w:t>
      </w:r>
      <w:r w:rsidR="004778B8">
        <w:t>‍27</w:t>
      </w:r>
      <w:r>
        <w:t xml:space="preserve"> onwards, population growth is expected to be around 1.3</w:t>
      </w:r>
      <w:r w:rsidR="00FF207F">
        <w:t> per cent</w:t>
      </w:r>
      <w:r>
        <w:t>, with the population reaching 6.</w:t>
      </w:r>
      <w:r w:rsidR="00381CC8">
        <w:t>5</w:t>
      </w:r>
      <w:r w:rsidR="00FF207F">
        <w:t> million</w:t>
      </w:r>
      <w:r>
        <w:t xml:space="preserve"> in 2034–35.</w:t>
      </w:r>
    </w:p>
    <w:p w14:paraId="2965B74B" w14:textId="4DD96661" w:rsidR="003D3EC9" w:rsidRDefault="003D3EC9" w:rsidP="003D3EC9">
      <w:r>
        <w:t xml:space="preserve">The </w:t>
      </w:r>
      <w:r w:rsidRPr="00A633E1">
        <w:rPr>
          <w:rStyle w:val="Strong"/>
        </w:rPr>
        <w:t>rest of New South Wales</w:t>
      </w:r>
      <w:r>
        <w:t xml:space="preserve"> is projected to grow from 2.9</w:t>
      </w:r>
      <w:r w:rsidR="00FF207F">
        <w:t> million</w:t>
      </w:r>
      <w:r>
        <w:t xml:space="preserve"> people in 2023–24 to 3.1</w:t>
      </w:r>
      <w:r w:rsidR="00FF207F">
        <w:t> million</w:t>
      </w:r>
      <w:r>
        <w:t xml:space="preserve"> people in 2034–35. Over this same period, the growth rate is expected to fall from 0.9</w:t>
      </w:r>
      <w:r w:rsidR="00FF207F">
        <w:t> per cent</w:t>
      </w:r>
      <w:r>
        <w:t xml:space="preserve"> to 0.</w:t>
      </w:r>
      <w:r w:rsidR="00BB70D0">
        <w:t>7</w:t>
      </w:r>
      <w:r w:rsidR="00FF207F">
        <w:t> per cent</w:t>
      </w:r>
      <w:r>
        <w:t xml:space="preserve">. This decline is mainly driven by lower </w:t>
      </w:r>
      <w:r w:rsidR="00E84835">
        <w:t>NOM</w:t>
      </w:r>
      <w:r w:rsidDel="003043D9">
        <w:t xml:space="preserve">. </w:t>
      </w:r>
      <w:r>
        <w:t>Natural increase contributed 0.1</w:t>
      </w:r>
      <w:r w:rsidR="00FF207F">
        <w:t> per cent</w:t>
      </w:r>
      <w:r>
        <w:t xml:space="preserve"> to growth in 2022–23 and is </w:t>
      </w:r>
      <w:r w:rsidR="00BB45C8">
        <w:t xml:space="preserve">projected to be only slightly positive </w:t>
      </w:r>
      <w:r w:rsidR="00932FB3">
        <w:t>by 2034–35</w:t>
      </w:r>
      <w:r>
        <w:t xml:space="preserve">. </w:t>
      </w:r>
    </w:p>
    <w:p w14:paraId="3E359442" w14:textId="0E31DECD" w:rsidR="003D3EC9" w:rsidRPr="00D47BF1" w:rsidRDefault="003D3EC9" w:rsidP="00654915">
      <w:pPr>
        <w:pStyle w:val="ChartMainHeading"/>
      </w:pPr>
      <w:r w:rsidRPr="00D47BF1">
        <w:lastRenderedPageBreak/>
        <w:t xml:space="preserve">Population growth in New South Wales, </w:t>
      </w:r>
      <w:proofErr w:type="gramStart"/>
      <w:r w:rsidRPr="00D47BF1">
        <w:t>Sydney</w:t>
      </w:r>
      <w:proofErr w:type="gramEnd"/>
      <w:r w:rsidRPr="00D47BF1">
        <w:t xml:space="preserve"> and the </w:t>
      </w:r>
      <w:r>
        <w:t>r</w:t>
      </w:r>
      <w:r w:rsidRPr="00D47BF1">
        <w:t>est of New South Wales</w:t>
      </w:r>
    </w:p>
    <w:p w14:paraId="288583EA" w14:textId="283984A3" w:rsidR="003D3EC9" w:rsidRDefault="00FE2AF0" w:rsidP="003914B2">
      <w:pPr>
        <w:pStyle w:val="ChartGraphic"/>
      </w:pPr>
      <w:r w:rsidRPr="00FE2AF0">
        <w:t xml:space="preserve"> </w:t>
      </w:r>
      <w:r w:rsidR="005843A0" w:rsidRPr="005843A0">
        <w:t xml:space="preserve"> </w:t>
      </w:r>
      <w:r w:rsidR="005843A0" w:rsidRPr="005843A0">
        <w:rPr>
          <w:noProof/>
        </w:rPr>
        <w:drawing>
          <wp:inline distT="0" distB="0" distL="0" distR="0" wp14:anchorId="4811025D" wp14:editId="5EF5A550">
            <wp:extent cx="5610225" cy="2886075"/>
            <wp:effectExtent l="0" t="0" r="0" b="0"/>
            <wp:docPr id="1333222895" name="Picture 1" descr="This chart shows population growth in New South Wales, Sydney, and the rest of New South Wales. Population growth declined significantly in Sydney in 2019-20 and 2020-21, and this drove growth lower in New South Wales. After the COVID-19 pandemic, population growth in Sydney recovered and peaked in 2022-23, which drove the recovery of the population in New South Wales. Growth in Sydney is expected to stabilise over the projection period. Population growth in the rest of New South Wales is compar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2895" name="Picture 1" descr="This chart shows population growth in New South Wales, Sydney, and the rest of New South Wales. Population growth declined significantly in Sydney in 2019-20 and 2020-21, and this drove growth lower in New South Wales. After the COVID-19 pandemic, population growth in Sydney recovered and peaked in 2022-23, which drove the recovery of the population in New South Wales. Growth in Sydney is expected to stabilise over the projection period. Population growth in the rest of New South Wales is comparatively stab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25227CFA" w14:textId="55A207A0" w:rsidR="003D3EC9" w:rsidRDefault="003D3EC9" w:rsidP="003D3EC9">
      <w:pPr>
        <w:pStyle w:val="Source"/>
      </w:pPr>
      <w:r w:rsidRPr="00F67DB6">
        <w:t>Source:</w:t>
      </w:r>
      <w:r w:rsidRPr="001F0DE5">
        <w:tab/>
      </w:r>
      <w:r w:rsidRPr="00F67DB6">
        <w:t xml:space="preserve">ABS, </w:t>
      </w:r>
      <w:r w:rsidR="0035214B" w:rsidRPr="00997375">
        <w:rPr>
          <w:rStyle w:val="SubtleEmphasis"/>
        </w:rPr>
        <w:t>Regional population, 2022–23</w:t>
      </w:r>
      <w:r>
        <w:t>,</w:t>
      </w:r>
      <w:r w:rsidRPr="00F67DB6">
        <w:t xml:space="preserve"> ABS, </w:t>
      </w:r>
      <w:r w:rsidR="009155F8" w:rsidRPr="00997375">
        <w:rPr>
          <w:rStyle w:val="SubtleEmphasis"/>
        </w:rPr>
        <w:t>National, state and territory population, March 2024</w:t>
      </w:r>
      <w:r>
        <w:t>;</w:t>
      </w:r>
      <w:r w:rsidRPr="00F67DB6">
        <w:t xml:space="preserve"> and Centre for Population.</w:t>
      </w:r>
    </w:p>
    <w:p w14:paraId="16797CF0" w14:textId="5A891B41" w:rsidR="00756BE9" w:rsidRDefault="00756BE9" w:rsidP="00997375">
      <w:pPr>
        <w:pStyle w:val="SingleParagraph"/>
        <w:rPr>
          <w:color w:val="002C47" w:themeColor="accent1"/>
          <w:spacing w:val="15"/>
        </w:rPr>
      </w:pPr>
      <w:r>
        <w:br w:type="page"/>
      </w:r>
    </w:p>
    <w:p w14:paraId="37215BE9" w14:textId="297C0932" w:rsidR="003D3EC9" w:rsidRPr="0080495D" w:rsidRDefault="003D3EC9" w:rsidP="00A633E1">
      <w:pPr>
        <w:pStyle w:val="TableMainHeading"/>
      </w:pPr>
      <w:r>
        <w:lastRenderedPageBreak/>
        <w:t>Population projections, New South Wales</w:t>
      </w:r>
    </w:p>
    <w:tbl>
      <w:tblPr>
        <w:tblW w:w="9072" w:type="dxa"/>
        <w:tblCellMar>
          <w:left w:w="0" w:type="dxa"/>
          <w:right w:w="28" w:type="dxa"/>
        </w:tblCellMar>
        <w:tblLook w:val="04A0" w:firstRow="1" w:lastRow="0" w:firstColumn="1" w:lastColumn="0" w:noHBand="0" w:noVBand="1"/>
      </w:tblPr>
      <w:tblGrid>
        <w:gridCol w:w="2730"/>
        <w:gridCol w:w="1057"/>
        <w:gridCol w:w="1057"/>
        <w:gridCol w:w="1057"/>
        <w:gridCol w:w="1057"/>
        <w:gridCol w:w="1057"/>
        <w:gridCol w:w="1057"/>
      </w:tblGrid>
      <w:tr w:rsidR="003D3EC9" w:rsidRPr="004C2ED6" w14:paraId="7A578899" w14:textId="77777777" w:rsidTr="00997375">
        <w:trPr>
          <w:trHeight w:val="227"/>
        </w:trPr>
        <w:tc>
          <w:tcPr>
            <w:tcW w:w="2778" w:type="dxa"/>
            <w:tcBorders>
              <w:top w:val="single" w:sz="4" w:space="0" w:color="auto"/>
              <w:bottom w:val="single" w:sz="4" w:space="0" w:color="auto"/>
            </w:tcBorders>
            <w:shd w:val="clear" w:color="auto" w:fill="auto"/>
            <w:vAlign w:val="center"/>
            <w:hideMark/>
          </w:tcPr>
          <w:p w14:paraId="15CFD25D" w14:textId="6AB4D4BE" w:rsidR="003D3EC9" w:rsidRPr="004C2ED6" w:rsidRDefault="003D3EC9" w:rsidP="00916EF2">
            <w:pPr>
              <w:spacing w:before="0" w:after="0" w:line="240" w:lineRule="auto"/>
              <w:rPr>
                <w:rFonts w:ascii="Calibri" w:eastAsia="Times New Roman" w:hAnsi="Calibri" w:cs="Calibri"/>
                <w:color w:val="000000"/>
                <w:lang w:eastAsia="en-AU"/>
              </w:rPr>
            </w:pPr>
            <w:r w:rsidRPr="37DB5A1E">
              <w:rPr>
                <w:rFonts w:ascii="Calibri" w:eastAsia="Times New Roman" w:hAnsi="Calibri" w:cs="Calibri"/>
                <w:color w:val="000000" w:themeColor="text1"/>
                <w:lang w:eastAsia="en-AU"/>
              </w:rPr>
              <w:t> </w:t>
            </w:r>
          </w:p>
        </w:tc>
        <w:tc>
          <w:tcPr>
            <w:tcW w:w="1049" w:type="dxa"/>
            <w:tcBorders>
              <w:top w:val="single" w:sz="4" w:space="0" w:color="auto"/>
              <w:bottom w:val="single" w:sz="4" w:space="0" w:color="auto"/>
            </w:tcBorders>
            <w:shd w:val="clear" w:color="auto" w:fill="auto"/>
            <w:noWrap/>
            <w:vAlign w:val="center"/>
            <w:hideMark/>
          </w:tcPr>
          <w:p w14:paraId="60C5EFA8" w14:textId="77777777" w:rsidR="003D3EC9" w:rsidRPr="004C2ED6" w:rsidRDefault="003D3EC9" w:rsidP="00756BE9">
            <w:pPr>
              <w:pStyle w:val="TableColumnHeadingRight"/>
            </w:pPr>
            <w:r w:rsidRPr="004C2ED6">
              <w:t>2022</w:t>
            </w:r>
            <w:r>
              <w:t>–</w:t>
            </w:r>
            <w:r w:rsidRPr="004C2ED6">
              <w:t>23</w:t>
            </w:r>
          </w:p>
        </w:tc>
        <w:tc>
          <w:tcPr>
            <w:tcW w:w="1049" w:type="dxa"/>
            <w:tcBorders>
              <w:top w:val="single" w:sz="4" w:space="0" w:color="auto"/>
              <w:bottom w:val="single" w:sz="4" w:space="0" w:color="auto"/>
            </w:tcBorders>
            <w:shd w:val="clear" w:color="auto" w:fill="D2EDFF" w:themeFill="accent1" w:themeFillTint="1A"/>
            <w:noWrap/>
            <w:vAlign w:val="center"/>
            <w:hideMark/>
          </w:tcPr>
          <w:p w14:paraId="2487F0E0" w14:textId="6ACE516F" w:rsidR="003D3EC9" w:rsidRPr="004C2ED6" w:rsidRDefault="003D3EC9" w:rsidP="00756BE9">
            <w:pPr>
              <w:pStyle w:val="TableColumnHeadingRight"/>
            </w:pPr>
            <w:r w:rsidRPr="004C2ED6">
              <w:t>2023</w:t>
            </w:r>
            <w:r>
              <w:t>–</w:t>
            </w:r>
            <w:r w:rsidRPr="004C2ED6">
              <w:t>24</w:t>
            </w:r>
          </w:p>
        </w:tc>
        <w:tc>
          <w:tcPr>
            <w:tcW w:w="1049" w:type="dxa"/>
            <w:tcBorders>
              <w:top w:val="single" w:sz="4" w:space="0" w:color="auto"/>
              <w:bottom w:val="single" w:sz="4" w:space="0" w:color="auto"/>
            </w:tcBorders>
            <w:shd w:val="clear" w:color="auto" w:fill="auto"/>
            <w:noWrap/>
            <w:vAlign w:val="center"/>
            <w:hideMark/>
          </w:tcPr>
          <w:p w14:paraId="0E3089FC" w14:textId="77777777" w:rsidR="003D3EC9" w:rsidRPr="004C2ED6" w:rsidRDefault="003D3EC9" w:rsidP="00756BE9">
            <w:pPr>
              <w:pStyle w:val="TableColumnHeadingRight"/>
            </w:pPr>
            <w:r w:rsidRPr="004C2ED6">
              <w:t>2024</w:t>
            </w:r>
            <w:r>
              <w:t>–</w:t>
            </w:r>
            <w:r w:rsidRPr="004C2ED6">
              <w:t>25</w:t>
            </w:r>
          </w:p>
        </w:tc>
        <w:tc>
          <w:tcPr>
            <w:tcW w:w="1049" w:type="dxa"/>
            <w:tcBorders>
              <w:top w:val="single" w:sz="4" w:space="0" w:color="auto"/>
              <w:bottom w:val="single" w:sz="4" w:space="0" w:color="auto"/>
            </w:tcBorders>
            <w:shd w:val="clear" w:color="auto" w:fill="auto"/>
            <w:noWrap/>
            <w:vAlign w:val="center"/>
            <w:hideMark/>
          </w:tcPr>
          <w:p w14:paraId="772A3C65" w14:textId="77777777" w:rsidR="003D3EC9" w:rsidRPr="004C2ED6" w:rsidRDefault="003D3EC9" w:rsidP="00756BE9">
            <w:pPr>
              <w:pStyle w:val="TableColumnHeadingRight"/>
            </w:pPr>
            <w:r w:rsidRPr="004C2ED6">
              <w:t>2025</w:t>
            </w:r>
            <w:r>
              <w:t>–</w:t>
            </w:r>
            <w:r w:rsidRPr="004C2ED6">
              <w:t>26</w:t>
            </w:r>
          </w:p>
        </w:tc>
        <w:tc>
          <w:tcPr>
            <w:tcW w:w="1049" w:type="dxa"/>
            <w:tcBorders>
              <w:top w:val="single" w:sz="4" w:space="0" w:color="auto"/>
              <w:bottom w:val="single" w:sz="4" w:space="0" w:color="auto"/>
            </w:tcBorders>
            <w:shd w:val="clear" w:color="auto" w:fill="auto"/>
            <w:noWrap/>
            <w:vAlign w:val="center"/>
            <w:hideMark/>
          </w:tcPr>
          <w:p w14:paraId="2A5BE335" w14:textId="77777777" w:rsidR="003D3EC9" w:rsidRPr="004C2ED6" w:rsidRDefault="003D3EC9" w:rsidP="00756BE9">
            <w:pPr>
              <w:pStyle w:val="TableColumnHeadingRight"/>
            </w:pPr>
            <w:r w:rsidRPr="004C2ED6">
              <w:t>2026</w:t>
            </w:r>
            <w:r>
              <w:t>–</w:t>
            </w:r>
            <w:r w:rsidRPr="004C2ED6">
              <w:t>27</w:t>
            </w:r>
          </w:p>
        </w:tc>
        <w:tc>
          <w:tcPr>
            <w:tcW w:w="1049" w:type="dxa"/>
            <w:tcBorders>
              <w:top w:val="single" w:sz="4" w:space="0" w:color="auto"/>
              <w:bottom w:val="single" w:sz="4" w:space="0" w:color="auto"/>
            </w:tcBorders>
            <w:shd w:val="clear" w:color="auto" w:fill="auto"/>
            <w:noWrap/>
            <w:vAlign w:val="center"/>
            <w:hideMark/>
          </w:tcPr>
          <w:p w14:paraId="22282D1D" w14:textId="77777777" w:rsidR="003D3EC9" w:rsidRPr="004C2ED6" w:rsidRDefault="003D3EC9" w:rsidP="00756BE9">
            <w:pPr>
              <w:pStyle w:val="TableColumnHeadingRight"/>
            </w:pPr>
            <w:r w:rsidRPr="004C2ED6">
              <w:t>2034</w:t>
            </w:r>
            <w:r>
              <w:t>–</w:t>
            </w:r>
            <w:r w:rsidRPr="004C2ED6">
              <w:t>35</w:t>
            </w:r>
          </w:p>
        </w:tc>
      </w:tr>
      <w:tr w:rsidR="003D3EC9" w:rsidRPr="004C2ED6" w14:paraId="46B9F56F" w14:textId="77777777" w:rsidTr="00997375">
        <w:trPr>
          <w:trHeight w:val="227"/>
        </w:trPr>
        <w:tc>
          <w:tcPr>
            <w:tcW w:w="2778" w:type="dxa"/>
            <w:tcBorders>
              <w:top w:val="single" w:sz="4" w:space="0" w:color="auto"/>
            </w:tcBorders>
            <w:shd w:val="clear" w:color="auto" w:fill="auto"/>
            <w:vAlign w:val="center"/>
            <w:hideMark/>
          </w:tcPr>
          <w:p w14:paraId="0B205856" w14:textId="16590FD4" w:rsidR="003D3EC9" w:rsidRPr="004C2ED6" w:rsidRDefault="003D3EC9" w:rsidP="00636638">
            <w:pPr>
              <w:pStyle w:val="TableColumnHeadingLeft"/>
            </w:pPr>
            <w:r w:rsidRPr="004C2ED6">
              <w:t>Population (</w:t>
            </w:r>
            <w:r w:rsidR="00050D25">
              <w:t>‘</w:t>
            </w:r>
            <w:r w:rsidRPr="004C2ED6">
              <w:t>000)</w:t>
            </w:r>
          </w:p>
        </w:tc>
        <w:tc>
          <w:tcPr>
            <w:tcW w:w="1049" w:type="dxa"/>
            <w:tcBorders>
              <w:top w:val="single" w:sz="4" w:space="0" w:color="auto"/>
            </w:tcBorders>
            <w:shd w:val="clear" w:color="auto" w:fill="auto"/>
            <w:vAlign w:val="center"/>
            <w:hideMark/>
          </w:tcPr>
          <w:p w14:paraId="72E98D5E" w14:textId="77777777" w:rsidR="003D3EC9" w:rsidRPr="004C2ED6" w:rsidRDefault="003D3EC9" w:rsidP="009D08D4">
            <w:pPr>
              <w:spacing w:before="0" w:after="0" w:line="240" w:lineRule="auto"/>
              <w:jc w:val="right"/>
              <w:rPr>
                <w:rFonts w:ascii="Calibri" w:eastAsia="Times New Roman" w:hAnsi="Calibri" w:cs="Calibri"/>
                <w:b/>
                <w:bCs/>
                <w:color w:val="002C47"/>
                <w:lang w:eastAsia="en-AU"/>
              </w:rPr>
            </w:pPr>
          </w:p>
        </w:tc>
        <w:tc>
          <w:tcPr>
            <w:tcW w:w="1049" w:type="dxa"/>
            <w:tcBorders>
              <w:top w:val="single" w:sz="4" w:space="0" w:color="auto"/>
            </w:tcBorders>
            <w:shd w:val="clear" w:color="auto" w:fill="D2EDFF" w:themeFill="accent1" w:themeFillTint="1A"/>
            <w:vAlign w:val="center"/>
            <w:hideMark/>
          </w:tcPr>
          <w:p w14:paraId="04E13CD9" w14:textId="5E58E272" w:rsidR="003D3EC9" w:rsidRPr="004C2ED6" w:rsidRDefault="003D3EC9" w:rsidP="009D08D4">
            <w:pPr>
              <w:spacing w:before="0" w:after="0" w:line="240" w:lineRule="auto"/>
              <w:jc w:val="right"/>
              <w:rPr>
                <w:rFonts w:ascii="Calibri" w:eastAsia="Times New Roman" w:hAnsi="Calibri" w:cs="Calibri"/>
                <w:color w:val="000000"/>
                <w:lang w:eastAsia="en-AU"/>
              </w:rPr>
            </w:pPr>
            <w:r>
              <w:rPr>
                <w:rFonts w:ascii="Calibri" w:hAnsi="Calibri" w:cs="Calibri"/>
                <w:color w:val="000000"/>
              </w:rPr>
              <w:t> </w:t>
            </w:r>
          </w:p>
        </w:tc>
        <w:tc>
          <w:tcPr>
            <w:tcW w:w="1049" w:type="dxa"/>
            <w:tcBorders>
              <w:top w:val="single" w:sz="4" w:space="0" w:color="auto"/>
            </w:tcBorders>
            <w:shd w:val="clear" w:color="auto" w:fill="auto"/>
            <w:vAlign w:val="center"/>
            <w:hideMark/>
          </w:tcPr>
          <w:p w14:paraId="4FE8014F" w14:textId="77777777" w:rsidR="003D3EC9" w:rsidRPr="004C2ED6" w:rsidRDefault="003D3EC9" w:rsidP="009D08D4">
            <w:pPr>
              <w:spacing w:before="0" w:after="0" w:line="240" w:lineRule="auto"/>
              <w:jc w:val="right"/>
              <w:rPr>
                <w:rFonts w:ascii="Calibri" w:eastAsia="Times New Roman" w:hAnsi="Calibri" w:cs="Calibri"/>
                <w:color w:val="000000"/>
                <w:lang w:eastAsia="en-AU"/>
              </w:rPr>
            </w:pPr>
          </w:p>
        </w:tc>
        <w:tc>
          <w:tcPr>
            <w:tcW w:w="1049" w:type="dxa"/>
            <w:tcBorders>
              <w:top w:val="single" w:sz="4" w:space="0" w:color="auto"/>
            </w:tcBorders>
            <w:shd w:val="clear" w:color="auto" w:fill="auto"/>
            <w:vAlign w:val="center"/>
            <w:hideMark/>
          </w:tcPr>
          <w:p w14:paraId="1287218C" w14:textId="77777777" w:rsidR="003D3EC9" w:rsidRPr="004C2ED6" w:rsidRDefault="003D3EC9" w:rsidP="009D08D4">
            <w:pPr>
              <w:spacing w:before="0" w:after="0" w:line="240" w:lineRule="auto"/>
              <w:jc w:val="right"/>
              <w:rPr>
                <w:rFonts w:ascii="Times New Roman" w:eastAsia="Times New Roman" w:hAnsi="Times New Roman" w:cs="Times New Roman"/>
                <w:lang w:eastAsia="en-AU"/>
              </w:rPr>
            </w:pPr>
          </w:p>
        </w:tc>
        <w:tc>
          <w:tcPr>
            <w:tcW w:w="1049" w:type="dxa"/>
            <w:tcBorders>
              <w:top w:val="single" w:sz="4" w:space="0" w:color="auto"/>
              <w:right w:val="single" w:sz="4" w:space="0" w:color="auto"/>
            </w:tcBorders>
            <w:shd w:val="clear" w:color="auto" w:fill="auto"/>
            <w:vAlign w:val="center"/>
            <w:hideMark/>
          </w:tcPr>
          <w:p w14:paraId="651EB646" w14:textId="37A38DD2" w:rsidR="003D3EC9" w:rsidRPr="004C2ED6" w:rsidRDefault="003D3EC9" w:rsidP="009D08D4">
            <w:pPr>
              <w:spacing w:before="0" w:after="0" w:line="240" w:lineRule="auto"/>
              <w:jc w:val="right"/>
              <w:rPr>
                <w:rFonts w:ascii="Calibri" w:eastAsia="Times New Roman" w:hAnsi="Calibri" w:cs="Calibri"/>
                <w:color w:val="000000"/>
                <w:lang w:eastAsia="en-AU"/>
              </w:rPr>
            </w:pPr>
            <w:r>
              <w:rPr>
                <w:rFonts w:ascii="Calibri" w:hAnsi="Calibri" w:cs="Calibri"/>
                <w:color w:val="000000"/>
              </w:rPr>
              <w:t> </w:t>
            </w:r>
          </w:p>
        </w:tc>
        <w:tc>
          <w:tcPr>
            <w:tcW w:w="1049" w:type="dxa"/>
            <w:tcBorders>
              <w:top w:val="single" w:sz="4" w:space="0" w:color="auto"/>
              <w:left w:val="single" w:sz="4" w:space="0" w:color="auto"/>
            </w:tcBorders>
            <w:shd w:val="clear" w:color="auto" w:fill="auto"/>
            <w:vAlign w:val="center"/>
            <w:hideMark/>
          </w:tcPr>
          <w:p w14:paraId="66438108" w14:textId="77777777" w:rsidR="003D3EC9" w:rsidRPr="004C2ED6" w:rsidRDefault="003D3EC9" w:rsidP="009D08D4">
            <w:pPr>
              <w:spacing w:before="0" w:after="0" w:line="240" w:lineRule="auto"/>
              <w:jc w:val="right"/>
              <w:rPr>
                <w:rFonts w:ascii="Calibri" w:eastAsia="Times New Roman" w:hAnsi="Calibri" w:cs="Calibri"/>
                <w:color w:val="000000"/>
                <w:lang w:eastAsia="en-AU"/>
              </w:rPr>
            </w:pPr>
          </w:p>
        </w:tc>
      </w:tr>
      <w:tr w:rsidR="003D3EC9" w:rsidRPr="004C2ED6" w14:paraId="0332F603" w14:textId="77777777" w:rsidTr="00997375">
        <w:trPr>
          <w:trHeight w:val="227"/>
        </w:trPr>
        <w:tc>
          <w:tcPr>
            <w:tcW w:w="2778" w:type="dxa"/>
            <w:shd w:val="clear" w:color="auto" w:fill="auto"/>
            <w:vAlign w:val="center"/>
            <w:hideMark/>
          </w:tcPr>
          <w:p w14:paraId="670981E2"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72C89DC8" w14:textId="2DA6DC02" w:rsidR="003D3EC9" w:rsidRPr="004C2ED6" w:rsidRDefault="003D3EC9" w:rsidP="00756BE9">
            <w:pPr>
              <w:pStyle w:val="TableTextRight"/>
              <w:rPr>
                <w:lang w:eastAsia="en-AU"/>
              </w:rPr>
            </w:pPr>
            <w:r>
              <w:rPr>
                <w:rFonts w:ascii="Calibri" w:hAnsi="Calibri" w:cs="Calibri"/>
              </w:rPr>
              <w:t>8,342</w:t>
            </w:r>
          </w:p>
        </w:tc>
        <w:tc>
          <w:tcPr>
            <w:tcW w:w="1049" w:type="dxa"/>
            <w:shd w:val="clear" w:color="auto" w:fill="D2EDFF" w:themeFill="accent1" w:themeFillTint="1A"/>
            <w:vAlign w:val="center"/>
            <w:hideMark/>
          </w:tcPr>
          <w:p w14:paraId="1559E3F7" w14:textId="0F3B5381" w:rsidR="003D3EC9" w:rsidRPr="004C2ED6" w:rsidRDefault="003D3EC9" w:rsidP="00756BE9">
            <w:pPr>
              <w:pStyle w:val="TableTextRight"/>
              <w:rPr>
                <w:lang w:eastAsia="en-AU"/>
              </w:rPr>
            </w:pPr>
            <w:r>
              <w:rPr>
                <w:rFonts w:ascii="Calibri" w:hAnsi="Calibri" w:cs="Calibri"/>
              </w:rPr>
              <w:t>8,</w:t>
            </w:r>
            <w:r w:rsidR="000E1108">
              <w:rPr>
                <w:rFonts w:ascii="Calibri" w:hAnsi="Calibri" w:cs="Calibri"/>
              </w:rPr>
              <w:t>496</w:t>
            </w:r>
          </w:p>
        </w:tc>
        <w:tc>
          <w:tcPr>
            <w:tcW w:w="1049" w:type="dxa"/>
            <w:shd w:val="clear" w:color="auto" w:fill="auto"/>
            <w:vAlign w:val="center"/>
            <w:hideMark/>
          </w:tcPr>
          <w:p w14:paraId="348B3A32" w14:textId="695FC4E4" w:rsidR="003D3EC9" w:rsidRPr="004C2ED6" w:rsidRDefault="003D3EC9" w:rsidP="00756BE9">
            <w:pPr>
              <w:pStyle w:val="TableTextRight"/>
              <w:rPr>
                <w:lang w:eastAsia="en-AU"/>
              </w:rPr>
            </w:pPr>
            <w:r>
              <w:rPr>
                <w:rFonts w:ascii="Calibri" w:hAnsi="Calibri" w:cs="Calibri"/>
              </w:rPr>
              <w:t>8,</w:t>
            </w:r>
            <w:r w:rsidR="00E920D0">
              <w:rPr>
                <w:rFonts w:ascii="Calibri" w:hAnsi="Calibri" w:cs="Calibri"/>
              </w:rPr>
              <w:t>616</w:t>
            </w:r>
          </w:p>
        </w:tc>
        <w:tc>
          <w:tcPr>
            <w:tcW w:w="1049" w:type="dxa"/>
            <w:shd w:val="clear" w:color="auto" w:fill="auto"/>
            <w:vAlign w:val="center"/>
            <w:hideMark/>
          </w:tcPr>
          <w:p w14:paraId="5C44643B" w14:textId="254420EE" w:rsidR="003D3EC9" w:rsidRPr="004C2ED6" w:rsidRDefault="003D3EC9" w:rsidP="00756BE9">
            <w:pPr>
              <w:pStyle w:val="TableTextRight"/>
              <w:rPr>
                <w:lang w:eastAsia="en-AU"/>
              </w:rPr>
            </w:pPr>
            <w:r>
              <w:rPr>
                <w:rFonts w:ascii="Calibri" w:hAnsi="Calibri" w:cs="Calibri"/>
              </w:rPr>
              <w:t>8,</w:t>
            </w:r>
            <w:r w:rsidR="00E920D0">
              <w:rPr>
                <w:rFonts w:ascii="Calibri" w:hAnsi="Calibri" w:cs="Calibri"/>
              </w:rPr>
              <w:t>716</w:t>
            </w:r>
          </w:p>
        </w:tc>
        <w:tc>
          <w:tcPr>
            <w:tcW w:w="1049" w:type="dxa"/>
            <w:tcBorders>
              <w:right w:val="single" w:sz="4" w:space="0" w:color="auto"/>
            </w:tcBorders>
            <w:shd w:val="clear" w:color="auto" w:fill="auto"/>
            <w:vAlign w:val="center"/>
            <w:hideMark/>
          </w:tcPr>
          <w:p w14:paraId="46C623FE" w14:textId="17ECEF04" w:rsidR="003D3EC9" w:rsidRPr="004C2ED6" w:rsidRDefault="003D3EC9" w:rsidP="00756BE9">
            <w:pPr>
              <w:pStyle w:val="TableTextRight"/>
              <w:rPr>
                <w:lang w:eastAsia="en-AU"/>
              </w:rPr>
            </w:pPr>
            <w:r>
              <w:rPr>
                <w:rFonts w:ascii="Calibri" w:hAnsi="Calibri" w:cs="Calibri"/>
              </w:rPr>
              <w:t>8,</w:t>
            </w:r>
            <w:r w:rsidR="00E920D0">
              <w:rPr>
                <w:rFonts w:ascii="Calibri" w:hAnsi="Calibri" w:cs="Calibri"/>
              </w:rPr>
              <w:t>811</w:t>
            </w:r>
          </w:p>
        </w:tc>
        <w:tc>
          <w:tcPr>
            <w:tcW w:w="1049" w:type="dxa"/>
            <w:tcBorders>
              <w:left w:val="single" w:sz="4" w:space="0" w:color="auto"/>
            </w:tcBorders>
            <w:shd w:val="clear" w:color="auto" w:fill="auto"/>
            <w:vAlign w:val="center"/>
            <w:hideMark/>
          </w:tcPr>
          <w:p w14:paraId="3A5FAB14" w14:textId="725F95BF" w:rsidR="003D3EC9" w:rsidRPr="004C2ED6" w:rsidRDefault="003D3EC9" w:rsidP="00756BE9">
            <w:pPr>
              <w:pStyle w:val="TableTextRight"/>
              <w:rPr>
                <w:lang w:eastAsia="en-AU"/>
              </w:rPr>
            </w:pPr>
            <w:r>
              <w:rPr>
                <w:rFonts w:ascii="Calibri" w:hAnsi="Calibri" w:cs="Calibri"/>
              </w:rPr>
              <w:t>9,</w:t>
            </w:r>
            <w:r w:rsidR="00E920D0">
              <w:rPr>
                <w:rFonts w:ascii="Calibri" w:hAnsi="Calibri" w:cs="Calibri"/>
              </w:rPr>
              <w:t>614</w:t>
            </w:r>
          </w:p>
        </w:tc>
      </w:tr>
      <w:tr w:rsidR="003D3EC9" w:rsidRPr="004C2ED6" w14:paraId="214BAF58" w14:textId="77777777" w:rsidTr="00997375">
        <w:trPr>
          <w:trHeight w:val="227"/>
        </w:trPr>
        <w:tc>
          <w:tcPr>
            <w:tcW w:w="2778" w:type="dxa"/>
            <w:shd w:val="clear" w:color="auto" w:fill="auto"/>
            <w:vAlign w:val="center"/>
            <w:hideMark/>
          </w:tcPr>
          <w:p w14:paraId="5514791A"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0D76B424" w14:textId="2DB5CBF4" w:rsidR="003D3EC9" w:rsidRPr="004C2ED6" w:rsidRDefault="003D3EC9" w:rsidP="00756BE9">
            <w:pPr>
              <w:pStyle w:val="TableTextRight"/>
              <w:rPr>
                <w:lang w:eastAsia="en-AU"/>
              </w:rPr>
            </w:pPr>
            <w:r>
              <w:rPr>
                <w:rFonts w:ascii="Calibri" w:hAnsi="Calibri" w:cs="Calibri"/>
              </w:rPr>
              <w:t>5,450</w:t>
            </w:r>
          </w:p>
        </w:tc>
        <w:tc>
          <w:tcPr>
            <w:tcW w:w="1049" w:type="dxa"/>
            <w:shd w:val="clear" w:color="auto" w:fill="D2EDFF" w:themeFill="accent1" w:themeFillTint="1A"/>
            <w:vAlign w:val="center"/>
            <w:hideMark/>
          </w:tcPr>
          <w:p w14:paraId="1DE97D75" w14:textId="5CF4F8B2" w:rsidR="003D3EC9" w:rsidRPr="004C2ED6" w:rsidRDefault="003D3EC9" w:rsidP="00756BE9">
            <w:pPr>
              <w:pStyle w:val="TableTextRight"/>
              <w:rPr>
                <w:lang w:eastAsia="en-AU"/>
              </w:rPr>
            </w:pPr>
            <w:r>
              <w:rPr>
                <w:rFonts w:ascii="Calibri" w:hAnsi="Calibri" w:cs="Calibri"/>
              </w:rPr>
              <w:t>5,</w:t>
            </w:r>
            <w:r w:rsidR="000E1108">
              <w:rPr>
                <w:rFonts w:ascii="Calibri" w:hAnsi="Calibri" w:cs="Calibri"/>
              </w:rPr>
              <w:t>578</w:t>
            </w:r>
          </w:p>
        </w:tc>
        <w:tc>
          <w:tcPr>
            <w:tcW w:w="1049" w:type="dxa"/>
            <w:shd w:val="clear" w:color="auto" w:fill="auto"/>
            <w:vAlign w:val="center"/>
            <w:hideMark/>
          </w:tcPr>
          <w:p w14:paraId="217EA3B5" w14:textId="3974C281" w:rsidR="003D3EC9" w:rsidRPr="004C2ED6" w:rsidRDefault="003D3EC9" w:rsidP="00756BE9">
            <w:pPr>
              <w:pStyle w:val="TableTextRight"/>
              <w:rPr>
                <w:lang w:eastAsia="en-AU"/>
              </w:rPr>
            </w:pPr>
            <w:r>
              <w:rPr>
                <w:rFonts w:ascii="Calibri" w:hAnsi="Calibri" w:cs="Calibri"/>
              </w:rPr>
              <w:t>5,</w:t>
            </w:r>
            <w:r w:rsidR="000E1108">
              <w:rPr>
                <w:rFonts w:ascii="Calibri" w:hAnsi="Calibri" w:cs="Calibri"/>
              </w:rPr>
              <w:t>674</w:t>
            </w:r>
          </w:p>
        </w:tc>
        <w:tc>
          <w:tcPr>
            <w:tcW w:w="1049" w:type="dxa"/>
            <w:shd w:val="clear" w:color="auto" w:fill="auto"/>
            <w:vAlign w:val="center"/>
            <w:hideMark/>
          </w:tcPr>
          <w:p w14:paraId="125B250F" w14:textId="4B02EE05" w:rsidR="003D3EC9" w:rsidRPr="004C2ED6" w:rsidRDefault="003D3EC9" w:rsidP="00756BE9">
            <w:pPr>
              <w:pStyle w:val="TableTextRight"/>
              <w:rPr>
                <w:lang w:eastAsia="en-AU"/>
              </w:rPr>
            </w:pPr>
            <w:r>
              <w:rPr>
                <w:rFonts w:ascii="Calibri" w:hAnsi="Calibri" w:cs="Calibri"/>
              </w:rPr>
              <w:t>5,</w:t>
            </w:r>
            <w:r w:rsidR="00E920D0">
              <w:rPr>
                <w:rFonts w:ascii="Calibri" w:hAnsi="Calibri" w:cs="Calibri"/>
              </w:rPr>
              <w:t>753</w:t>
            </w:r>
          </w:p>
        </w:tc>
        <w:tc>
          <w:tcPr>
            <w:tcW w:w="1049" w:type="dxa"/>
            <w:tcBorders>
              <w:right w:val="single" w:sz="4" w:space="0" w:color="auto"/>
            </w:tcBorders>
            <w:shd w:val="clear" w:color="auto" w:fill="auto"/>
            <w:vAlign w:val="center"/>
            <w:hideMark/>
          </w:tcPr>
          <w:p w14:paraId="4DA95CCE" w14:textId="13A75F07" w:rsidR="003D3EC9" w:rsidRPr="004C2ED6" w:rsidRDefault="003D3EC9" w:rsidP="00756BE9">
            <w:pPr>
              <w:pStyle w:val="TableTextRight"/>
              <w:rPr>
                <w:lang w:eastAsia="en-AU"/>
              </w:rPr>
            </w:pPr>
            <w:r>
              <w:rPr>
                <w:rFonts w:ascii="Calibri" w:hAnsi="Calibri" w:cs="Calibri"/>
              </w:rPr>
              <w:t>5,</w:t>
            </w:r>
            <w:r w:rsidR="00E920D0">
              <w:rPr>
                <w:rFonts w:ascii="Calibri" w:hAnsi="Calibri" w:cs="Calibri"/>
              </w:rPr>
              <w:t>828</w:t>
            </w:r>
          </w:p>
        </w:tc>
        <w:tc>
          <w:tcPr>
            <w:tcW w:w="1049" w:type="dxa"/>
            <w:tcBorders>
              <w:left w:val="single" w:sz="4" w:space="0" w:color="auto"/>
            </w:tcBorders>
            <w:shd w:val="clear" w:color="auto" w:fill="auto"/>
            <w:vAlign w:val="center"/>
            <w:hideMark/>
          </w:tcPr>
          <w:p w14:paraId="755A390D" w14:textId="5A6684FF" w:rsidR="003D3EC9" w:rsidRPr="004C2ED6" w:rsidRDefault="003D3EC9" w:rsidP="00756BE9">
            <w:pPr>
              <w:pStyle w:val="TableTextRight"/>
              <w:rPr>
                <w:lang w:eastAsia="en-AU"/>
              </w:rPr>
            </w:pPr>
            <w:r>
              <w:rPr>
                <w:rFonts w:ascii="Calibri" w:hAnsi="Calibri" w:cs="Calibri"/>
              </w:rPr>
              <w:t>6,</w:t>
            </w:r>
            <w:r w:rsidR="00E920D0">
              <w:rPr>
                <w:rFonts w:ascii="Calibri" w:hAnsi="Calibri" w:cs="Calibri"/>
              </w:rPr>
              <w:t>465</w:t>
            </w:r>
          </w:p>
        </w:tc>
      </w:tr>
      <w:tr w:rsidR="003D3EC9" w:rsidRPr="004C2ED6" w14:paraId="5F026E49" w14:textId="77777777" w:rsidTr="00997375">
        <w:trPr>
          <w:trHeight w:val="227"/>
        </w:trPr>
        <w:tc>
          <w:tcPr>
            <w:tcW w:w="2778" w:type="dxa"/>
            <w:shd w:val="clear" w:color="auto" w:fill="auto"/>
            <w:vAlign w:val="center"/>
            <w:hideMark/>
          </w:tcPr>
          <w:p w14:paraId="6F92941D" w14:textId="77777777" w:rsidR="003D3EC9" w:rsidRPr="004C2ED6" w:rsidRDefault="003D3EC9" w:rsidP="00636638">
            <w:pPr>
              <w:pStyle w:val="Tabletextleftindent"/>
            </w:pPr>
            <w:r w:rsidRPr="004C2ED6">
              <w:t>Rest of New South Wales</w:t>
            </w:r>
          </w:p>
        </w:tc>
        <w:tc>
          <w:tcPr>
            <w:tcW w:w="1049" w:type="dxa"/>
            <w:shd w:val="clear" w:color="auto" w:fill="auto"/>
            <w:vAlign w:val="center"/>
            <w:hideMark/>
          </w:tcPr>
          <w:p w14:paraId="654911DF" w14:textId="377EE82C" w:rsidR="003D3EC9" w:rsidRPr="004C2ED6" w:rsidRDefault="003D3EC9" w:rsidP="00756BE9">
            <w:pPr>
              <w:pStyle w:val="TableTextRight"/>
              <w:rPr>
                <w:lang w:eastAsia="en-AU"/>
              </w:rPr>
            </w:pPr>
            <w:r>
              <w:rPr>
                <w:rFonts w:ascii="Calibri" w:hAnsi="Calibri" w:cs="Calibri"/>
              </w:rPr>
              <w:t>2,892</w:t>
            </w:r>
          </w:p>
        </w:tc>
        <w:tc>
          <w:tcPr>
            <w:tcW w:w="1049" w:type="dxa"/>
            <w:shd w:val="clear" w:color="auto" w:fill="D2EDFF" w:themeFill="accent1" w:themeFillTint="1A"/>
            <w:vAlign w:val="center"/>
            <w:hideMark/>
          </w:tcPr>
          <w:p w14:paraId="3F3F833C" w14:textId="30D1BB1C" w:rsidR="003D3EC9" w:rsidRPr="004C2ED6" w:rsidRDefault="003D3EC9" w:rsidP="00756BE9">
            <w:pPr>
              <w:pStyle w:val="TableTextRight"/>
              <w:rPr>
                <w:lang w:eastAsia="en-AU"/>
              </w:rPr>
            </w:pPr>
            <w:r>
              <w:rPr>
                <w:rFonts w:ascii="Calibri" w:hAnsi="Calibri" w:cs="Calibri"/>
              </w:rPr>
              <w:t>2,</w:t>
            </w:r>
            <w:r w:rsidR="000E1108">
              <w:rPr>
                <w:rFonts w:ascii="Calibri" w:hAnsi="Calibri" w:cs="Calibri"/>
              </w:rPr>
              <w:t>919</w:t>
            </w:r>
          </w:p>
        </w:tc>
        <w:tc>
          <w:tcPr>
            <w:tcW w:w="1049" w:type="dxa"/>
            <w:shd w:val="clear" w:color="auto" w:fill="auto"/>
            <w:vAlign w:val="center"/>
            <w:hideMark/>
          </w:tcPr>
          <w:p w14:paraId="029A6BDE" w14:textId="25E474BE" w:rsidR="003D3EC9" w:rsidRPr="004C2ED6" w:rsidRDefault="003D3EC9" w:rsidP="00756BE9">
            <w:pPr>
              <w:pStyle w:val="TableTextRight"/>
              <w:rPr>
                <w:lang w:eastAsia="en-AU"/>
              </w:rPr>
            </w:pPr>
            <w:r>
              <w:rPr>
                <w:rFonts w:ascii="Calibri" w:hAnsi="Calibri" w:cs="Calibri"/>
              </w:rPr>
              <w:t>2,942</w:t>
            </w:r>
          </w:p>
        </w:tc>
        <w:tc>
          <w:tcPr>
            <w:tcW w:w="1049" w:type="dxa"/>
            <w:shd w:val="clear" w:color="auto" w:fill="auto"/>
            <w:vAlign w:val="center"/>
            <w:hideMark/>
          </w:tcPr>
          <w:p w14:paraId="7928D9AB" w14:textId="0DD376D4" w:rsidR="003D3EC9" w:rsidRPr="004C2ED6" w:rsidRDefault="003D3EC9" w:rsidP="00756BE9">
            <w:pPr>
              <w:pStyle w:val="TableTextRight"/>
              <w:rPr>
                <w:lang w:eastAsia="en-AU"/>
              </w:rPr>
            </w:pPr>
            <w:r>
              <w:rPr>
                <w:rFonts w:ascii="Calibri" w:hAnsi="Calibri" w:cs="Calibri"/>
              </w:rPr>
              <w:t>2,</w:t>
            </w:r>
            <w:r w:rsidR="000E1108">
              <w:rPr>
                <w:rFonts w:ascii="Calibri" w:hAnsi="Calibri" w:cs="Calibri"/>
              </w:rPr>
              <w:t>963</w:t>
            </w:r>
          </w:p>
        </w:tc>
        <w:tc>
          <w:tcPr>
            <w:tcW w:w="1049" w:type="dxa"/>
            <w:tcBorders>
              <w:right w:val="single" w:sz="4" w:space="0" w:color="auto"/>
            </w:tcBorders>
            <w:shd w:val="clear" w:color="auto" w:fill="auto"/>
            <w:vAlign w:val="center"/>
            <w:hideMark/>
          </w:tcPr>
          <w:p w14:paraId="2F3373E7" w14:textId="16DB35D8" w:rsidR="003D3EC9" w:rsidRPr="004C2ED6" w:rsidRDefault="003D3EC9" w:rsidP="00756BE9">
            <w:pPr>
              <w:pStyle w:val="TableTextRight"/>
              <w:rPr>
                <w:lang w:eastAsia="en-AU"/>
              </w:rPr>
            </w:pPr>
            <w:r>
              <w:rPr>
                <w:rFonts w:ascii="Calibri" w:hAnsi="Calibri" w:cs="Calibri"/>
              </w:rPr>
              <w:t>2,</w:t>
            </w:r>
            <w:r w:rsidR="000E1108">
              <w:rPr>
                <w:rFonts w:ascii="Calibri" w:hAnsi="Calibri" w:cs="Calibri"/>
              </w:rPr>
              <w:t>982</w:t>
            </w:r>
          </w:p>
        </w:tc>
        <w:tc>
          <w:tcPr>
            <w:tcW w:w="1049" w:type="dxa"/>
            <w:tcBorders>
              <w:left w:val="single" w:sz="4" w:space="0" w:color="auto"/>
            </w:tcBorders>
            <w:shd w:val="clear" w:color="auto" w:fill="auto"/>
            <w:vAlign w:val="center"/>
            <w:hideMark/>
          </w:tcPr>
          <w:p w14:paraId="63F23C5B" w14:textId="0202B52C" w:rsidR="003D3EC9" w:rsidRPr="004C2ED6" w:rsidRDefault="003D3EC9" w:rsidP="00756BE9">
            <w:pPr>
              <w:pStyle w:val="TableTextRight"/>
              <w:rPr>
                <w:lang w:eastAsia="en-AU"/>
              </w:rPr>
            </w:pPr>
            <w:r>
              <w:rPr>
                <w:rFonts w:ascii="Calibri" w:hAnsi="Calibri" w:cs="Calibri"/>
              </w:rPr>
              <w:t>3,</w:t>
            </w:r>
            <w:r w:rsidR="000E1108">
              <w:rPr>
                <w:rFonts w:ascii="Calibri" w:hAnsi="Calibri" w:cs="Calibri"/>
              </w:rPr>
              <w:t>149</w:t>
            </w:r>
          </w:p>
        </w:tc>
      </w:tr>
      <w:tr w:rsidR="003D3EC9" w:rsidRPr="004C2ED6" w14:paraId="51A7718F" w14:textId="77777777" w:rsidTr="00997375">
        <w:trPr>
          <w:trHeight w:val="227"/>
        </w:trPr>
        <w:tc>
          <w:tcPr>
            <w:tcW w:w="2778" w:type="dxa"/>
            <w:shd w:val="clear" w:color="auto" w:fill="auto"/>
            <w:vAlign w:val="center"/>
            <w:hideMark/>
          </w:tcPr>
          <w:p w14:paraId="7B4DD0B1" w14:textId="77777777" w:rsidR="003D3EC9" w:rsidRPr="004C2ED6" w:rsidRDefault="003D3EC9" w:rsidP="00636638">
            <w:pPr>
              <w:pStyle w:val="TableColumnHeadingLeft"/>
            </w:pPr>
            <w:r w:rsidRPr="004C2ED6">
              <w:t>Population growth (per cent)</w:t>
            </w:r>
          </w:p>
        </w:tc>
        <w:tc>
          <w:tcPr>
            <w:tcW w:w="1049" w:type="dxa"/>
            <w:shd w:val="clear" w:color="auto" w:fill="auto"/>
            <w:vAlign w:val="center"/>
            <w:hideMark/>
          </w:tcPr>
          <w:p w14:paraId="734BFEE6" w14:textId="77777777" w:rsidR="003D3EC9" w:rsidRPr="004C2ED6" w:rsidRDefault="003D3EC9" w:rsidP="00756BE9">
            <w:pPr>
              <w:pStyle w:val="TableTextRight"/>
              <w:rPr>
                <w:b/>
                <w:bCs/>
                <w:color w:val="002C47"/>
                <w:lang w:eastAsia="en-AU"/>
              </w:rPr>
            </w:pPr>
          </w:p>
        </w:tc>
        <w:tc>
          <w:tcPr>
            <w:tcW w:w="1049" w:type="dxa"/>
            <w:shd w:val="clear" w:color="auto" w:fill="D2EDFF" w:themeFill="accent1" w:themeFillTint="1A"/>
            <w:vAlign w:val="center"/>
            <w:hideMark/>
          </w:tcPr>
          <w:p w14:paraId="457EAD46" w14:textId="6B9F6C93" w:rsidR="003D3EC9" w:rsidRPr="004C2ED6" w:rsidRDefault="003D3EC9" w:rsidP="00756BE9">
            <w:pPr>
              <w:pStyle w:val="TableTextRight"/>
              <w:rPr>
                <w:lang w:eastAsia="en-AU"/>
              </w:rPr>
            </w:pPr>
            <w:r>
              <w:rPr>
                <w:rFonts w:ascii="Calibri" w:hAnsi="Calibri" w:cs="Calibri"/>
              </w:rPr>
              <w:t> </w:t>
            </w:r>
          </w:p>
        </w:tc>
        <w:tc>
          <w:tcPr>
            <w:tcW w:w="1049" w:type="dxa"/>
            <w:shd w:val="clear" w:color="auto" w:fill="auto"/>
            <w:vAlign w:val="center"/>
            <w:hideMark/>
          </w:tcPr>
          <w:p w14:paraId="27CA29AD" w14:textId="77777777" w:rsidR="003D3EC9" w:rsidRPr="004C2ED6" w:rsidRDefault="003D3EC9" w:rsidP="00756BE9">
            <w:pPr>
              <w:pStyle w:val="TableTextRight"/>
              <w:rPr>
                <w:lang w:eastAsia="en-AU"/>
              </w:rPr>
            </w:pPr>
          </w:p>
        </w:tc>
        <w:tc>
          <w:tcPr>
            <w:tcW w:w="1049" w:type="dxa"/>
            <w:shd w:val="clear" w:color="auto" w:fill="auto"/>
            <w:vAlign w:val="center"/>
            <w:hideMark/>
          </w:tcPr>
          <w:p w14:paraId="11ADA41F" w14:textId="77777777" w:rsidR="003D3EC9" w:rsidRPr="004C2ED6" w:rsidRDefault="003D3EC9" w:rsidP="00756BE9">
            <w:pPr>
              <w:pStyle w:val="TableTextRight"/>
              <w:rPr>
                <w:rFonts w:ascii="Times New Roman" w:hAnsi="Times New Roman" w:cs="Times New Roman"/>
                <w:lang w:eastAsia="en-AU"/>
              </w:rPr>
            </w:pPr>
          </w:p>
        </w:tc>
        <w:tc>
          <w:tcPr>
            <w:tcW w:w="1049" w:type="dxa"/>
            <w:tcBorders>
              <w:right w:val="single" w:sz="4" w:space="0" w:color="auto"/>
            </w:tcBorders>
            <w:shd w:val="clear" w:color="auto" w:fill="auto"/>
            <w:vAlign w:val="center"/>
            <w:hideMark/>
          </w:tcPr>
          <w:p w14:paraId="4D7DFDAC" w14:textId="7048490E" w:rsidR="003D3EC9" w:rsidRPr="004C2ED6" w:rsidRDefault="003D3EC9" w:rsidP="00756BE9">
            <w:pPr>
              <w:pStyle w:val="TableTextRight"/>
              <w:rPr>
                <w:lang w:eastAsia="en-AU"/>
              </w:rPr>
            </w:pPr>
            <w:r>
              <w:rPr>
                <w:rFonts w:ascii="Calibri" w:hAnsi="Calibri" w:cs="Calibri"/>
              </w:rPr>
              <w:t> </w:t>
            </w:r>
          </w:p>
        </w:tc>
        <w:tc>
          <w:tcPr>
            <w:tcW w:w="1049" w:type="dxa"/>
            <w:tcBorders>
              <w:left w:val="single" w:sz="4" w:space="0" w:color="auto"/>
            </w:tcBorders>
            <w:shd w:val="clear" w:color="auto" w:fill="auto"/>
            <w:vAlign w:val="center"/>
            <w:hideMark/>
          </w:tcPr>
          <w:p w14:paraId="7579831A" w14:textId="77777777" w:rsidR="003D3EC9" w:rsidRPr="004C2ED6" w:rsidRDefault="003D3EC9" w:rsidP="00756BE9">
            <w:pPr>
              <w:pStyle w:val="TableTextRight"/>
              <w:rPr>
                <w:lang w:eastAsia="en-AU"/>
              </w:rPr>
            </w:pPr>
          </w:p>
        </w:tc>
      </w:tr>
      <w:tr w:rsidR="003D3EC9" w:rsidRPr="004C2ED6" w14:paraId="3EA2CB69" w14:textId="77777777" w:rsidTr="00997375">
        <w:trPr>
          <w:trHeight w:val="227"/>
        </w:trPr>
        <w:tc>
          <w:tcPr>
            <w:tcW w:w="2778" w:type="dxa"/>
            <w:shd w:val="clear" w:color="auto" w:fill="auto"/>
            <w:vAlign w:val="center"/>
            <w:hideMark/>
          </w:tcPr>
          <w:p w14:paraId="1FBC5132"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1683A144" w14:textId="2B26EC40" w:rsidR="003D3EC9" w:rsidRPr="004C2ED6" w:rsidRDefault="003D3EC9" w:rsidP="00756BE9">
            <w:pPr>
              <w:pStyle w:val="TableTextRight"/>
              <w:rPr>
                <w:lang w:eastAsia="en-AU"/>
              </w:rPr>
            </w:pPr>
            <w:r>
              <w:rPr>
                <w:rFonts w:ascii="Calibri" w:hAnsi="Calibri" w:cs="Calibri"/>
              </w:rPr>
              <w:t>2.1</w:t>
            </w:r>
          </w:p>
        </w:tc>
        <w:tc>
          <w:tcPr>
            <w:tcW w:w="1049" w:type="dxa"/>
            <w:shd w:val="clear" w:color="auto" w:fill="D2EDFF" w:themeFill="accent1" w:themeFillTint="1A"/>
            <w:vAlign w:val="center"/>
            <w:hideMark/>
          </w:tcPr>
          <w:p w14:paraId="52CE66B9" w14:textId="74D1EAAD"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8</w:t>
            </w:r>
          </w:p>
        </w:tc>
        <w:tc>
          <w:tcPr>
            <w:tcW w:w="1049" w:type="dxa"/>
            <w:shd w:val="clear" w:color="auto" w:fill="auto"/>
            <w:vAlign w:val="center"/>
            <w:hideMark/>
          </w:tcPr>
          <w:p w14:paraId="5347A9D0" w14:textId="076C7D7A" w:rsidR="003D3EC9" w:rsidRPr="004C2ED6" w:rsidRDefault="003D3EC9" w:rsidP="00756BE9">
            <w:pPr>
              <w:pStyle w:val="TableTextRight"/>
              <w:rPr>
                <w:lang w:eastAsia="en-AU"/>
              </w:rPr>
            </w:pPr>
            <w:r>
              <w:rPr>
                <w:rFonts w:ascii="Calibri" w:hAnsi="Calibri" w:cs="Calibri"/>
              </w:rPr>
              <w:t>1.4</w:t>
            </w:r>
          </w:p>
        </w:tc>
        <w:tc>
          <w:tcPr>
            <w:tcW w:w="1049" w:type="dxa"/>
            <w:shd w:val="clear" w:color="auto" w:fill="auto"/>
            <w:vAlign w:val="center"/>
            <w:hideMark/>
          </w:tcPr>
          <w:p w14:paraId="7F4A6BE6" w14:textId="3E5C5553"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2</w:t>
            </w:r>
          </w:p>
        </w:tc>
        <w:tc>
          <w:tcPr>
            <w:tcW w:w="1049" w:type="dxa"/>
            <w:tcBorders>
              <w:right w:val="single" w:sz="4" w:space="0" w:color="auto"/>
            </w:tcBorders>
            <w:shd w:val="clear" w:color="auto" w:fill="auto"/>
            <w:vAlign w:val="center"/>
            <w:hideMark/>
          </w:tcPr>
          <w:p w14:paraId="651A4080" w14:textId="402A8770" w:rsidR="003D3EC9" w:rsidRPr="004C2ED6" w:rsidRDefault="003D3EC9" w:rsidP="00756BE9">
            <w:pPr>
              <w:pStyle w:val="TableTextRight"/>
              <w:rPr>
                <w:lang w:eastAsia="en-AU"/>
              </w:rPr>
            </w:pPr>
            <w:r>
              <w:rPr>
                <w:rFonts w:ascii="Calibri" w:hAnsi="Calibri" w:cs="Calibri"/>
              </w:rPr>
              <w:t>1.1</w:t>
            </w:r>
          </w:p>
        </w:tc>
        <w:tc>
          <w:tcPr>
            <w:tcW w:w="1049" w:type="dxa"/>
            <w:tcBorders>
              <w:left w:val="single" w:sz="4" w:space="0" w:color="auto"/>
            </w:tcBorders>
            <w:shd w:val="clear" w:color="auto" w:fill="auto"/>
            <w:vAlign w:val="center"/>
            <w:hideMark/>
          </w:tcPr>
          <w:p w14:paraId="3B2968B5" w14:textId="5A5EECF5" w:rsidR="003D3EC9" w:rsidRPr="004C2ED6" w:rsidRDefault="003D3EC9" w:rsidP="00756BE9">
            <w:pPr>
              <w:pStyle w:val="TableTextRight"/>
              <w:rPr>
                <w:lang w:eastAsia="en-AU"/>
              </w:rPr>
            </w:pPr>
            <w:r>
              <w:rPr>
                <w:rFonts w:ascii="Calibri" w:hAnsi="Calibri" w:cs="Calibri"/>
              </w:rPr>
              <w:t>1.1</w:t>
            </w:r>
          </w:p>
        </w:tc>
      </w:tr>
      <w:tr w:rsidR="003D3EC9" w:rsidRPr="004C2ED6" w14:paraId="47A48AC8" w14:textId="77777777" w:rsidTr="00997375">
        <w:trPr>
          <w:trHeight w:val="227"/>
        </w:trPr>
        <w:tc>
          <w:tcPr>
            <w:tcW w:w="2778" w:type="dxa"/>
            <w:shd w:val="clear" w:color="auto" w:fill="auto"/>
            <w:vAlign w:val="center"/>
            <w:hideMark/>
          </w:tcPr>
          <w:p w14:paraId="066244F4"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02FBF4E6" w14:textId="74578BE1" w:rsidR="003D3EC9" w:rsidRPr="004C2ED6" w:rsidRDefault="003D3EC9" w:rsidP="00756BE9">
            <w:pPr>
              <w:pStyle w:val="TableTextRight"/>
              <w:rPr>
                <w:lang w:eastAsia="en-AU"/>
              </w:rPr>
            </w:pPr>
            <w:r>
              <w:rPr>
                <w:rFonts w:ascii="Calibri" w:hAnsi="Calibri" w:cs="Calibri"/>
              </w:rPr>
              <w:t>2.8</w:t>
            </w:r>
          </w:p>
        </w:tc>
        <w:tc>
          <w:tcPr>
            <w:tcW w:w="1049" w:type="dxa"/>
            <w:shd w:val="clear" w:color="auto" w:fill="D2EDFF" w:themeFill="accent1" w:themeFillTint="1A"/>
            <w:vAlign w:val="center"/>
            <w:hideMark/>
          </w:tcPr>
          <w:p w14:paraId="16EECE22" w14:textId="18611C4D" w:rsidR="003D3EC9" w:rsidRPr="004C2ED6" w:rsidRDefault="003D3EC9" w:rsidP="00756BE9">
            <w:pPr>
              <w:pStyle w:val="TableTextRight"/>
              <w:rPr>
                <w:lang w:eastAsia="en-AU"/>
              </w:rPr>
            </w:pPr>
            <w:r>
              <w:rPr>
                <w:rFonts w:ascii="Calibri" w:hAnsi="Calibri" w:cs="Calibri"/>
              </w:rPr>
              <w:t>2.</w:t>
            </w:r>
            <w:r w:rsidR="000E1108">
              <w:rPr>
                <w:rFonts w:ascii="Calibri" w:hAnsi="Calibri" w:cs="Calibri"/>
              </w:rPr>
              <w:t>3</w:t>
            </w:r>
          </w:p>
        </w:tc>
        <w:tc>
          <w:tcPr>
            <w:tcW w:w="1049" w:type="dxa"/>
            <w:shd w:val="clear" w:color="auto" w:fill="auto"/>
            <w:vAlign w:val="center"/>
            <w:hideMark/>
          </w:tcPr>
          <w:p w14:paraId="6266B921" w14:textId="4985A8AD"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7</w:t>
            </w:r>
          </w:p>
        </w:tc>
        <w:tc>
          <w:tcPr>
            <w:tcW w:w="1049" w:type="dxa"/>
            <w:shd w:val="clear" w:color="auto" w:fill="auto"/>
            <w:vAlign w:val="center"/>
            <w:hideMark/>
          </w:tcPr>
          <w:p w14:paraId="19D92279" w14:textId="7A465456"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4</w:t>
            </w:r>
          </w:p>
        </w:tc>
        <w:tc>
          <w:tcPr>
            <w:tcW w:w="1049" w:type="dxa"/>
            <w:tcBorders>
              <w:right w:val="single" w:sz="4" w:space="0" w:color="auto"/>
            </w:tcBorders>
            <w:shd w:val="clear" w:color="auto" w:fill="auto"/>
            <w:vAlign w:val="center"/>
            <w:hideMark/>
          </w:tcPr>
          <w:p w14:paraId="3A0C3C9F" w14:textId="64597366" w:rsidR="003D3EC9" w:rsidRPr="004C2ED6" w:rsidRDefault="003D3EC9" w:rsidP="00756BE9">
            <w:pPr>
              <w:pStyle w:val="TableTextRight"/>
              <w:rPr>
                <w:lang w:eastAsia="en-AU"/>
              </w:rPr>
            </w:pPr>
            <w:r>
              <w:rPr>
                <w:rFonts w:ascii="Calibri" w:hAnsi="Calibri" w:cs="Calibri"/>
              </w:rPr>
              <w:t>1.3</w:t>
            </w:r>
          </w:p>
        </w:tc>
        <w:tc>
          <w:tcPr>
            <w:tcW w:w="1049" w:type="dxa"/>
            <w:tcBorders>
              <w:left w:val="single" w:sz="4" w:space="0" w:color="auto"/>
            </w:tcBorders>
            <w:shd w:val="clear" w:color="auto" w:fill="auto"/>
            <w:vAlign w:val="center"/>
            <w:hideMark/>
          </w:tcPr>
          <w:p w14:paraId="027E703D" w14:textId="446D32A7" w:rsidR="003D3EC9" w:rsidRPr="004C2ED6" w:rsidRDefault="003D3EC9" w:rsidP="00756BE9">
            <w:pPr>
              <w:pStyle w:val="TableTextRight"/>
              <w:rPr>
                <w:lang w:eastAsia="en-AU"/>
              </w:rPr>
            </w:pPr>
            <w:r>
              <w:rPr>
                <w:rFonts w:ascii="Calibri" w:hAnsi="Calibri" w:cs="Calibri"/>
              </w:rPr>
              <w:t>1.3</w:t>
            </w:r>
          </w:p>
        </w:tc>
      </w:tr>
      <w:tr w:rsidR="003D3EC9" w:rsidRPr="004C2ED6" w14:paraId="4CC67C9B" w14:textId="77777777" w:rsidTr="00997375">
        <w:trPr>
          <w:trHeight w:val="227"/>
        </w:trPr>
        <w:tc>
          <w:tcPr>
            <w:tcW w:w="2778" w:type="dxa"/>
            <w:shd w:val="clear" w:color="auto" w:fill="auto"/>
            <w:vAlign w:val="center"/>
            <w:hideMark/>
          </w:tcPr>
          <w:p w14:paraId="0E6D0476" w14:textId="77777777" w:rsidR="003D3EC9" w:rsidRPr="004C2ED6" w:rsidRDefault="003D3EC9" w:rsidP="00636638">
            <w:pPr>
              <w:pStyle w:val="Tabletextleftindent"/>
            </w:pPr>
            <w:r w:rsidRPr="004C2ED6">
              <w:t>Rest of New South Wales</w:t>
            </w:r>
          </w:p>
        </w:tc>
        <w:tc>
          <w:tcPr>
            <w:tcW w:w="1049" w:type="dxa"/>
            <w:shd w:val="clear" w:color="auto" w:fill="auto"/>
            <w:vAlign w:val="center"/>
            <w:hideMark/>
          </w:tcPr>
          <w:p w14:paraId="0750D945" w14:textId="3EEB1654" w:rsidR="003D3EC9" w:rsidRPr="004C2ED6" w:rsidRDefault="003D3EC9" w:rsidP="00756BE9">
            <w:pPr>
              <w:pStyle w:val="TableTextRight"/>
              <w:rPr>
                <w:lang w:eastAsia="en-AU"/>
              </w:rPr>
            </w:pPr>
            <w:r>
              <w:rPr>
                <w:rFonts w:ascii="Calibri" w:hAnsi="Calibri" w:cs="Calibri"/>
              </w:rPr>
              <w:t>1.0</w:t>
            </w:r>
          </w:p>
        </w:tc>
        <w:tc>
          <w:tcPr>
            <w:tcW w:w="1049" w:type="dxa"/>
            <w:shd w:val="clear" w:color="auto" w:fill="D2EDFF" w:themeFill="accent1" w:themeFillTint="1A"/>
            <w:vAlign w:val="center"/>
            <w:hideMark/>
          </w:tcPr>
          <w:p w14:paraId="43ABDA99" w14:textId="175D86AB" w:rsidR="003D3EC9" w:rsidRPr="004C2ED6" w:rsidRDefault="003D3EC9" w:rsidP="00756BE9">
            <w:pPr>
              <w:pStyle w:val="TableTextRight"/>
              <w:rPr>
                <w:lang w:eastAsia="en-AU"/>
              </w:rPr>
            </w:pPr>
            <w:r>
              <w:rPr>
                <w:rFonts w:ascii="Calibri" w:hAnsi="Calibri" w:cs="Calibri"/>
              </w:rPr>
              <w:t>0.9</w:t>
            </w:r>
          </w:p>
        </w:tc>
        <w:tc>
          <w:tcPr>
            <w:tcW w:w="1049" w:type="dxa"/>
            <w:shd w:val="clear" w:color="auto" w:fill="auto"/>
            <w:vAlign w:val="center"/>
            <w:hideMark/>
          </w:tcPr>
          <w:p w14:paraId="32EDF1B4" w14:textId="07D7CF95" w:rsidR="003D3EC9" w:rsidRPr="004C2ED6" w:rsidRDefault="003D3EC9" w:rsidP="00756BE9">
            <w:pPr>
              <w:pStyle w:val="TableTextRight"/>
              <w:rPr>
                <w:lang w:eastAsia="en-AU"/>
              </w:rPr>
            </w:pPr>
            <w:r>
              <w:rPr>
                <w:rFonts w:ascii="Calibri" w:hAnsi="Calibri" w:cs="Calibri"/>
              </w:rPr>
              <w:t>0.8</w:t>
            </w:r>
          </w:p>
        </w:tc>
        <w:tc>
          <w:tcPr>
            <w:tcW w:w="1049" w:type="dxa"/>
            <w:shd w:val="clear" w:color="auto" w:fill="auto"/>
            <w:vAlign w:val="center"/>
            <w:hideMark/>
          </w:tcPr>
          <w:p w14:paraId="6D5E6339" w14:textId="19D27F76" w:rsidR="003D3EC9" w:rsidRPr="004C2ED6" w:rsidRDefault="003D3EC9" w:rsidP="00756BE9">
            <w:pPr>
              <w:pStyle w:val="TableTextRight"/>
              <w:rPr>
                <w:lang w:eastAsia="en-AU"/>
              </w:rPr>
            </w:pPr>
            <w:r>
              <w:rPr>
                <w:rFonts w:ascii="Calibri" w:hAnsi="Calibri" w:cs="Calibri"/>
              </w:rPr>
              <w:t>0.7</w:t>
            </w:r>
          </w:p>
        </w:tc>
        <w:tc>
          <w:tcPr>
            <w:tcW w:w="1049" w:type="dxa"/>
            <w:tcBorders>
              <w:right w:val="single" w:sz="4" w:space="0" w:color="auto"/>
            </w:tcBorders>
            <w:shd w:val="clear" w:color="auto" w:fill="auto"/>
            <w:vAlign w:val="center"/>
            <w:hideMark/>
          </w:tcPr>
          <w:p w14:paraId="591183EE" w14:textId="6A672838" w:rsidR="003D3EC9" w:rsidRPr="004C2ED6" w:rsidRDefault="003D3EC9" w:rsidP="00756BE9">
            <w:pPr>
              <w:pStyle w:val="TableTextRight"/>
              <w:rPr>
                <w:lang w:eastAsia="en-AU"/>
              </w:rPr>
            </w:pPr>
            <w:r>
              <w:rPr>
                <w:rFonts w:ascii="Calibri" w:hAnsi="Calibri" w:cs="Calibri"/>
              </w:rPr>
              <w:t>0.</w:t>
            </w:r>
            <w:r w:rsidR="00E920D0">
              <w:rPr>
                <w:rFonts w:ascii="Calibri" w:hAnsi="Calibri" w:cs="Calibri"/>
              </w:rPr>
              <w:t>7</w:t>
            </w:r>
          </w:p>
        </w:tc>
        <w:tc>
          <w:tcPr>
            <w:tcW w:w="1049" w:type="dxa"/>
            <w:tcBorders>
              <w:left w:val="single" w:sz="4" w:space="0" w:color="auto"/>
            </w:tcBorders>
            <w:shd w:val="clear" w:color="auto" w:fill="auto"/>
            <w:vAlign w:val="center"/>
            <w:hideMark/>
          </w:tcPr>
          <w:p w14:paraId="0FFF35FA" w14:textId="28DB58D4" w:rsidR="003D3EC9" w:rsidRPr="004C2ED6" w:rsidRDefault="003D3EC9" w:rsidP="00756BE9">
            <w:pPr>
              <w:pStyle w:val="TableTextRight"/>
              <w:rPr>
                <w:lang w:eastAsia="en-AU"/>
              </w:rPr>
            </w:pPr>
            <w:r>
              <w:rPr>
                <w:rFonts w:ascii="Calibri" w:hAnsi="Calibri" w:cs="Calibri"/>
              </w:rPr>
              <w:t>0.</w:t>
            </w:r>
            <w:r w:rsidR="000E1108">
              <w:rPr>
                <w:rFonts w:ascii="Calibri" w:hAnsi="Calibri" w:cs="Calibri"/>
              </w:rPr>
              <w:t>7</w:t>
            </w:r>
          </w:p>
        </w:tc>
      </w:tr>
      <w:tr w:rsidR="003D3EC9" w:rsidRPr="004C2ED6" w14:paraId="1E9BBA86" w14:textId="77777777" w:rsidTr="00997375">
        <w:trPr>
          <w:trHeight w:val="227"/>
        </w:trPr>
        <w:tc>
          <w:tcPr>
            <w:tcW w:w="2778" w:type="dxa"/>
            <w:shd w:val="clear" w:color="auto" w:fill="auto"/>
            <w:vAlign w:val="center"/>
            <w:hideMark/>
          </w:tcPr>
          <w:p w14:paraId="75A71667" w14:textId="1105D339" w:rsidR="003D3EC9" w:rsidRPr="004C2ED6" w:rsidRDefault="003D3EC9" w:rsidP="00636638">
            <w:pPr>
              <w:pStyle w:val="TableColumnHeadingLeft"/>
            </w:pPr>
            <w:r w:rsidRPr="004C2ED6">
              <w:t>Population growth (</w:t>
            </w:r>
            <w:r w:rsidR="00050D25">
              <w:t>‘</w:t>
            </w:r>
            <w:r w:rsidRPr="004C2ED6">
              <w:t>000)</w:t>
            </w:r>
          </w:p>
        </w:tc>
        <w:tc>
          <w:tcPr>
            <w:tcW w:w="1049" w:type="dxa"/>
            <w:shd w:val="clear" w:color="auto" w:fill="auto"/>
            <w:vAlign w:val="center"/>
            <w:hideMark/>
          </w:tcPr>
          <w:p w14:paraId="2613744A" w14:textId="77777777" w:rsidR="003D3EC9" w:rsidRPr="004C2ED6" w:rsidRDefault="003D3EC9" w:rsidP="00756BE9">
            <w:pPr>
              <w:pStyle w:val="TableTextRight"/>
              <w:rPr>
                <w:b/>
                <w:bCs/>
                <w:color w:val="002C47"/>
                <w:lang w:eastAsia="en-AU"/>
              </w:rPr>
            </w:pPr>
          </w:p>
        </w:tc>
        <w:tc>
          <w:tcPr>
            <w:tcW w:w="1049" w:type="dxa"/>
            <w:shd w:val="clear" w:color="auto" w:fill="D2EDFF" w:themeFill="accent1" w:themeFillTint="1A"/>
            <w:vAlign w:val="center"/>
            <w:hideMark/>
          </w:tcPr>
          <w:p w14:paraId="536112EC" w14:textId="4349C0C9" w:rsidR="003D3EC9" w:rsidRPr="004C2ED6" w:rsidRDefault="003D3EC9" w:rsidP="00756BE9">
            <w:pPr>
              <w:pStyle w:val="TableTextRight"/>
              <w:rPr>
                <w:lang w:eastAsia="en-AU"/>
              </w:rPr>
            </w:pPr>
            <w:r>
              <w:rPr>
                <w:rFonts w:ascii="Calibri" w:hAnsi="Calibri" w:cs="Calibri"/>
              </w:rPr>
              <w:t> </w:t>
            </w:r>
          </w:p>
        </w:tc>
        <w:tc>
          <w:tcPr>
            <w:tcW w:w="1049" w:type="dxa"/>
            <w:shd w:val="clear" w:color="auto" w:fill="auto"/>
            <w:vAlign w:val="center"/>
            <w:hideMark/>
          </w:tcPr>
          <w:p w14:paraId="4E1FD1FB" w14:textId="77777777" w:rsidR="003D3EC9" w:rsidRPr="004C2ED6" w:rsidRDefault="003D3EC9" w:rsidP="00756BE9">
            <w:pPr>
              <w:pStyle w:val="TableTextRight"/>
              <w:rPr>
                <w:lang w:eastAsia="en-AU"/>
              </w:rPr>
            </w:pPr>
          </w:p>
        </w:tc>
        <w:tc>
          <w:tcPr>
            <w:tcW w:w="1049" w:type="dxa"/>
            <w:shd w:val="clear" w:color="auto" w:fill="auto"/>
            <w:vAlign w:val="center"/>
            <w:hideMark/>
          </w:tcPr>
          <w:p w14:paraId="35C779C1" w14:textId="77777777" w:rsidR="003D3EC9" w:rsidRPr="004C2ED6" w:rsidRDefault="003D3EC9" w:rsidP="00756BE9">
            <w:pPr>
              <w:pStyle w:val="TableTextRight"/>
              <w:rPr>
                <w:rFonts w:ascii="Times New Roman" w:hAnsi="Times New Roman" w:cs="Times New Roman"/>
                <w:lang w:eastAsia="en-AU"/>
              </w:rPr>
            </w:pPr>
          </w:p>
        </w:tc>
        <w:tc>
          <w:tcPr>
            <w:tcW w:w="1049" w:type="dxa"/>
            <w:tcBorders>
              <w:right w:val="single" w:sz="4" w:space="0" w:color="auto"/>
            </w:tcBorders>
            <w:shd w:val="clear" w:color="auto" w:fill="auto"/>
            <w:vAlign w:val="center"/>
            <w:hideMark/>
          </w:tcPr>
          <w:p w14:paraId="4096A659" w14:textId="6366EB67" w:rsidR="003D3EC9" w:rsidRPr="004C2ED6" w:rsidRDefault="003D3EC9" w:rsidP="00756BE9">
            <w:pPr>
              <w:pStyle w:val="TableTextRight"/>
              <w:rPr>
                <w:lang w:eastAsia="en-AU"/>
              </w:rPr>
            </w:pPr>
            <w:r>
              <w:rPr>
                <w:rFonts w:ascii="Calibri" w:hAnsi="Calibri" w:cs="Calibri"/>
              </w:rPr>
              <w:t> </w:t>
            </w:r>
          </w:p>
        </w:tc>
        <w:tc>
          <w:tcPr>
            <w:tcW w:w="1049" w:type="dxa"/>
            <w:tcBorders>
              <w:left w:val="single" w:sz="4" w:space="0" w:color="auto"/>
            </w:tcBorders>
            <w:shd w:val="clear" w:color="auto" w:fill="auto"/>
            <w:vAlign w:val="center"/>
            <w:hideMark/>
          </w:tcPr>
          <w:p w14:paraId="6E7877E0" w14:textId="77777777" w:rsidR="003D3EC9" w:rsidRPr="004C2ED6" w:rsidRDefault="003D3EC9" w:rsidP="00756BE9">
            <w:pPr>
              <w:pStyle w:val="TableTextRight"/>
              <w:rPr>
                <w:lang w:eastAsia="en-AU"/>
              </w:rPr>
            </w:pPr>
          </w:p>
        </w:tc>
      </w:tr>
      <w:tr w:rsidR="003D3EC9" w:rsidRPr="004C2ED6" w14:paraId="54C25212" w14:textId="77777777" w:rsidTr="00997375">
        <w:trPr>
          <w:trHeight w:val="227"/>
        </w:trPr>
        <w:tc>
          <w:tcPr>
            <w:tcW w:w="2778" w:type="dxa"/>
            <w:shd w:val="clear" w:color="auto" w:fill="auto"/>
            <w:vAlign w:val="center"/>
            <w:hideMark/>
          </w:tcPr>
          <w:p w14:paraId="574F5AC1"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1A59812C" w14:textId="081588E3" w:rsidR="003D3EC9" w:rsidRPr="004C2ED6" w:rsidRDefault="003D3EC9" w:rsidP="00756BE9">
            <w:pPr>
              <w:pStyle w:val="TableTextRight"/>
              <w:rPr>
                <w:lang w:eastAsia="en-AU"/>
              </w:rPr>
            </w:pPr>
            <w:r>
              <w:rPr>
                <w:rFonts w:ascii="Calibri" w:hAnsi="Calibri" w:cs="Calibri"/>
              </w:rPr>
              <w:t>175.4</w:t>
            </w:r>
          </w:p>
        </w:tc>
        <w:tc>
          <w:tcPr>
            <w:tcW w:w="1049" w:type="dxa"/>
            <w:shd w:val="clear" w:color="auto" w:fill="D2EDFF" w:themeFill="accent1" w:themeFillTint="1A"/>
            <w:vAlign w:val="center"/>
            <w:hideMark/>
          </w:tcPr>
          <w:p w14:paraId="76BD2D67" w14:textId="2194A75D" w:rsidR="003D3EC9" w:rsidRPr="004C2ED6" w:rsidRDefault="003D3EC9" w:rsidP="00756BE9">
            <w:pPr>
              <w:pStyle w:val="TableTextRight"/>
              <w:rPr>
                <w:lang w:eastAsia="en-AU"/>
              </w:rPr>
            </w:pPr>
            <w:r>
              <w:rPr>
                <w:rFonts w:ascii="Calibri" w:hAnsi="Calibri" w:cs="Calibri"/>
              </w:rPr>
              <w:t>154.</w:t>
            </w:r>
            <w:r w:rsidR="000E1108">
              <w:rPr>
                <w:rFonts w:ascii="Calibri" w:hAnsi="Calibri" w:cs="Calibri"/>
              </w:rPr>
              <w:t>3</w:t>
            </w:r>
          </w:p>
        </w:tc>
        <w:tc>
          <w:tcPr>
            <w:tcW w:w="1049" w:type="dxa"/>
            <w:shd w:val="clear" w:color="auto" w:fill="auto"/>
            <w:vAlign w:val="center"/>
            <w:hideMark/>
          </w:tcPr>
          <w:p w14:paraId="5283C001" w14:textId="1DC47458" w:rsidR="003D3EC9" w:rsidRPr="004C2ED6" w:rsidRDefault="000E1108" w:rsidP="00756BE9">
            <w:pPr>
              <w:pStyle w:val="TableTextRight"/>
              <w:rPr>
                <w:lang w:eastAsia="en-AU"/>
              </w:rPr>
            </w:pPr>
            <w:r>
              <w:rPr>
                <w:rFonts w:ascii="Calibri" w:hAnsi="Calibri" w:cs="Calibri"/>
              </w:rPr>
              <w:t>120.</w:t>
            </w:r>
            <w:r w:rsidR="00E920D0">
              <w:rPr>
                <w:rFonts w:ascii="Calibri" w:hAnsi="Calibri" w:cs="Calibri"/>
              </w:rPr>
              <w:t>0</w:t>
            </w:r>
          </w:p>
        </w:tc>
        <w:tc>
          <w:tcPr>
            <w:tcW w:w="1049" w:type="dxa"/>
            <w:shd w:val="clear" w:color="auto" w:fill="auto"/>
            <w:vAlign w:val="center"/>
            <w:hideMark/>
          </w:tcPr>
          <w:p w14:paraId="2369BC4F" w14:textId="3FA77742" w:rsidR="003D3EC9" w:rsidRPr="004C2ED6" w:rsidRDefault="00E920D0" w:rsidP="00756BE9">
            <w:pPr>
              <w:pStyle w:val="TableTextRight"/>
              <w:rPr>
                <w:lang w:eastAsia="en-AU"/>
              </w:rPr>
            </w:pPr>
            <w:r>
              <w:rPr>
                <w:rFonts w:ascii="Calibri" w:hAnsi="Calibri" w:cs="Calibri"/>
              </w:rPr>
              <w:t>99.9</w:t>
            </w:r>
          </w:p>
        </w:tc>
        <w:tc>
          <w:tcPr>
            <w:tcW w:w="1049" w:type="dxa"/>
            <w:tcBorders>
              <w:right w:val="single" w:sz="4" w:space="0" w:color="auto"/>
            </w:tcBorders>
            <w:shd w:val="clear" w:color="auto" w:fill="auto"/>
            <w:vAlign w:val="center"/>
            <w:hideMark/>
          </w:tcPr>
          <w:p w14:paraId="2A69E34A" w14:textId="3A77E8B7" w:rsidR="003D3EC9" w:rsidRPr="004C2ED6" w:rsidRDefault="003D3EC9" w:rsidP="00756BE9">
            <w:pPr>
              <w:pStyle w:val="TableTextRight"/>
              <w:rPr>
                <w:lang w:eastAsia="en-AU"/>
              </w:rPr>
            </w:pPr>
            <w:r>
              <w:rPr>
                <w:rFonts w:ascii="Calibri" w:hAnsi="Calibri" w:cs="Calibri"/>
              </w:rPr>
              <w:t>94.</w:t>
            </w:r>
            <w:r w:rsidR="000E1108">
              <w:rPr>
                <w:rFonts w:ascii="Calibri" w:hAnsi="Calibri" w:cs="Calibri"/>
              </w:rPr>
              <w:t>4</w:t>
            </w:r>
          </w:p>
        </w:tc>
        <w:tc>
          <w:tcPr>
            <w:tcW w:w="1049" w:type="dxa"/>
            <w:tcBorders>
              <w:left w:val="single" w:sz="4" w:space="0" w:color="auto"/>
            </w:tcBorders>
            <w:shd w:val="clear" w:color="auto" w:fill="auto"/>
            <w:vAlign w:val="center"/>
            <w:hideMark/>
          </w:tcPr>
          <w:p w14:paraId="3B415763" w14:textId="7B4C1D48" w:rsidR="003D3EC9" w:rsidRPr="004C2ED6" w:rsidRDefault="000E1108" w:rsidP="00756BE9">
            <w:pPr>
              <w:pStyle w:val="TableTextRight"/>
              <w:rPr>
                <w:lang w:eastAsia="en-AU"/>
              </w:rPr>
            </w:pPr>
            <w:r>
              <w:rPr>
                <w:rFonts w:ascii="Calibri" w:hAnsi="Calibri" w:cs="Calibri"/>
              </w:rPr>
              <w:t>102.1</w:t>
            </w:r>
          </w:p>
        </w:tc>
      </w:tr>
      <w:tr w:rsidR="003D3EC9" w:rsidRPr="004C2ED6" w14:paraId="60CB89BC" w14:textId="77777777" w:rsidTr="00997375">
        <w:trPr>
          <w:trHeight w:val="227"/>
        </w:trPr>
        <w:tc>
          <w:tcPr>
            <w:tcW w:w="2778" w:type="dxa"/>
            <w:shd w:val="clear" w:color="auto" w:fill="auto"/>
            <w:vAlign w:val="center"/>
            <w:hideMark/>
          </w:tcPr>
          <w:p w14:paraId="3DD365F7"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71FB7E02" w14:textId="1F39F2E9" w:rsidR="003D3EC9" w:rsidRPr="004C2ED6" w:rsidRDefault="003D3EC9" w:rsidP="00756BE9">
            <w:pPr>
              <w:pStyle w:val="TableTextRight"/>
              <w:rPr>
                <w:lang w:eastAsia="en-AU"/>
              </w:rPr>
            </w:pPr>
            <w:r>
              <w:rPr>
                <w:rFonts w:ascii="Calibri" w:hAnsi="Calibri" w:cs="Calibri"/>
              </w:rPr>
              <w:t>146.7</w:t>
            </w:r>
          </w:p>
        </w:tc>
        <w:tc>
          <w:tcPr>
            <w:tcW w:w="1049" w:type="dxa"/>
            <w:shd w:val="clear" w:color="auto" w:fill="D2EDFF" w:themeFill="accent1" w:themeFillTint="1A"/>
            <w:vAlign w:val="center"/>
            <w:hideMark/>
          </w:tcPr>
          <w:p w14:paraId="581E054A" w14:textId="69D21E36" w:rsidR="003D3EC9" w:rsidRPr="004C2ED6" w:rsidRDefault="000E1108" w:rsidP="00756BE9">
            <w:pPr>
              <w:pStyle w:val="TableTextRight"/>
              <w:rPr>
                <w:lang w:eastAsia="en-AU"/>
              </w:rPr>
            </w:pPr>
            <w:r>
              <w:rPr>
                <w:rFonts w:ascii="Calibri" w:hAnsi="Calibri" w:cs="Calibri"/>
              </w:rPr>
              <w:t>127.5</w:t>
            </w:r>
          </w:p>
        </w:tc>
        <w:tc>
          <w:tcPr>
            <w:tcW w:w="1049" w:type="dxa"/>
            <w:shd w:val="clear" w:color="auto" w:fill="auto"/>
            <w:vAlign w:val="center"/>
            <w:hideMark/>
          </w:tcPr>
          <w:p w14:paraId="12BDDDC0" w14:textId="2A485F82" w:rsidR="003D3EC9" w:rsidRPr="004C2ED6" w:rsidRDefault="000E1108" w:rsidP="00756BE9">
            <w:pPr>
              <w:pStyle w:val="TableTextRight"/>
              <w:rPr>
                <w:lang w:eastAsia="en-AU"/>
              </w:rPr>
            </w:pPr>
            <w:r>
              <w:rPr>
                <w:rFonts w:ascii="Calibri" w:hAnsi="Calibri" w:cs="Calibri"/>
              </w:rPr>
              <w:t>96.</w:t>
            </w:r>
            <w:r w:rsidR="00E920D0">
              <w:rPr>
                <w:rFonts w:ascii="Calibri" w:hAnsi="Calibri" w:cs="Calibri"/>
              </w:rPr>
              <w:t>2</w:t>
            </w:r>
          </w:p>
        </w:tc>
        <w:tc>
          <w:tcPr>
            <w:tcW w:w="1049" w:type="dxa"/>
            <w:shd w:val="clear" w:color="auto" w:fill="auto"/>
            <w:vAlign w:val="center"/>
            <w:hideMark/>
          </w:tcPr>
          <w:p w14:paraId="18F0B784" w14:textId="40FADD09" w:rsidR="003D3EC9" w:rsidRPr="004C2ED6" w:rsidRDefault="00E920D0" w:rsidP="00756BE9">
            <w:pPr>
              <w:pStyle w:val="TableTextRight"/>
              <w:rPr>
                <w:lang w:eastAsia="en-AU"/>
              </w:rPr>
            </w:pPr>
            <w:r>
              <w:rPr>
                <w:rFonts w:ascii="Calibri" w:hAnsi="Calibri" w:cs="Calibri"/>
              </w:rPr>
              <w:t>79.3</w:t>
            </w:r>
          </w:p>
        </w:tc>
        <w:tc>
          <w:tcPr>
            <w:tcW w:w="1049" w:type="dxa"/>
            <w:tcBorders>
              <w:right w:val="single" w:sz="4" w:space="0" w:color="auto"/>
            </w:tcBorders>
            <w:shd w:val="clear" w:color="auto" w:fill="auto"/>
            <w:vAlign w:val="center"/>
            <w:hideMark/>
          </w:tcPr>
          <w:p w14:paraId="65BCEF3C" w14:textId="2542CE7F" w:rsidR="003D3EC9" w:rsidRPr="004C2ED6" w:rsidRDefault="003D3EC9" w:rsidP="00756BE9">
            <w:pPr>
              <w:pStyle w:val="TableTextRight"/>
              <w:rPr>
                <w:lang w:eastAsia="en-AU"/>
              </w:rPr>
            </w:pPr>
            <w:r>
              <w:rPr>
                <w:rFonts w:ascii="Calibri" w:hAnsi="Calibri" w:cs="Calibri"/>
              </w:rPr>
              <w:t>75.</w:t>
            </w:r>
            <w:r w:rsidR="00E920D0">
              <w:rPr>
                <w:rFonts w:ascii="Calibri" w:hAnsi="Calibri" w:cs="Calibri"/>
              </w:rPr>
              <w:t>1</w:t>
            </w:r>
          </w:p>
        </w:tc>
        <w:tc>
          <w:tcPr>
            <w:tcW w:w="1049" w:type="dxa"/>
            <w:tcBorders>
              <w:left w:val="single" w:sz="4" w:space="0" w:color="auto"/>
            </w:tcBorders>
            <w:shd w:val="clear" w:color="auto" w:fill="auto"/>
            <w:vAlign w:val="center"/>
            <w:hideMark/>
          </w:tcPr>
          <w:p w14:paraId="1C32B80D" w14:textId="738C27F6" w:rsidR="003D3EC9" w:rsidRPr="004C2ED6" w:rsidRDefault="003D3EC9" w:rsidP="00756BE9">
            <w:pPr>
              <w:pStyle w:val="TableTextRight"/>
              <w:rPr>
                <w:lang w:eastAsia="en-AU"/>
              </w:rPr>
            </w:pPr>
            <w:r>
              <w:rPr>
                <w:rFonts w:ascii="Calibri" w:hAnsi="Calibri" w:cs="Calibri"/>
              </w:rPr>
              <w:t>81.</w:t>
            </w:r>
            <w:r w:rsidR="000E1108">
              <w:rPr>
                <w:rFonts w:ascii="Calibri" w:hAnsi="Calibri" w:cs="Calibri"/>
              </w:rPr>
              <w:t>2</w:t>
            </w:r>
          </w:p>
        </w:tc>
      </w:tr>
      <w:tr w:rsidR="003D3EC9" w:rsidRPr="004C2ED6" w14:paraId="7D83AA44" w14:textId="77777777" w:rsidTr="00997375">
        <w:trPr>
          <w:trHeight w:val="227"/>
        </w:trPr>
        <w:tc>
          <w:tcPr>
            <w:tcW w:w="2778" w:type="dxa"/>
            <w:tcBorders>
              <w:bottom w:val="single" w:sz="4" w:space="0" w:color="auto"/>
            </w:tcBorders>
            <w:shd w:val="clear" w:color="auto" w:fill="auto"/>
            <w:vAlign w:val="center"/>
            <w:hideMark/>
          </w:tcPr>
          <w:p w14:paraId="7B6FE848" w14:textId="77777777" w:rsidR="003D3EC9" w:rsidRPr="004C2ED6" w:rsidRDefault="003D3EC9" w:rsidP="00636638">
            <w:pPr>
              <w:pStyle w:val="Tabletextleftindent"/>
            </w:pPr>
            <w:r w:rsidRPr="004C2ED6">
              <w:t>Rest of New South Wales</w:t>
            </w:r>
          </w:p>
        </w:tc>
        <w:tc>
          <w:tcPr>
            <w:tcW w:w="1049" w:type="dxa"/>
            <w:tcBorders>
              <w:bottom w:val="single" w:sz="4" w:space="0" w:color="auto"/>
            </w:tcBorders>
            <w:shd w:val="clear" w:color="auto" w:fill="auto"/>
            <w:vAlign w:val="center"/>
            <w:hideMark/>
          </w:tcPr>
          <w:p w14:paraId="0F2EFD15" w14:textId="29C1CA61" w:rsidR="003D3EC9" w:rsidRPr="004C2ED6" w:rsidRDefault="003D3EC9" w:rsidP="00756BE9">
            <w:pPr>
              <w:pStyle w:val="TableTextRight"/>
              <w:rPr>
                <w:lang w:eastAsia="en-AU"/>
              </w:rPr>
            </w:pPr>
            <w:r>
              <w:rPr>
                <w:rFonts w:ascii="Calibri" w:hAnsi="Calibri" w:cs="Calibri"/>
              </w:rPr>
              <w:t>28.9</w:t>
            </w:r>
          </w:p>
        </w:tc>
        <w:tc>
          <w:tcPr>
            <w:tcW w:w="1049" w:type="dxa"/>
            <w:tcBorders>
              <w:bottom w:val="single" w:sz="4" w:space="0" w:color="auto"/>
            </w:tcBorders>
            <w:shd w:val="clear" w:color="auto" w:fill="D2EDFF" w:themeFill="accent1" w:themeFillTint="1A"/>
            <w:vAlign w:val="center"/>
            <w:hideMark/>
          </w:tcPr>
          <w:p w14:paraId="18AFC9E6" w14:textId="144695BA" w:rsidR="003D3EC9" w:rsidRPr="004C2ED6" w:rsidRDefault="003D3EC9" w:rsidP="00756BE9">
            <w:pPr>
              <w:pStyle w:val="TableTextRight"/>
              <w:rPr>
                <w:lang w:eastAsia="en-AU"/>
              </w:rPr>
            </w:pPr>
            <w:r>
              <w:rPr>
                <w:rFonts w:ascii="Calibri" w:hAnsi="Calibri" w:cs="Calibri"/>
              </w:rPr>
              <w:t>26.</w:t>
            </w:r>
            <w:r w:rsidR="000E1108">
              <w:rPr>
                <w:rFonts w:ascii="Calibri" w:hAnsi="Calibri" w:cs="Calibri"/>
              </w:rPr>
              <w:t>8</w:t>
            </w:r>
          </w:p>
        </w:tc>
        <w:tc>
          <w:tcPr>
            <w:tcW w:w="1049" w:type="dxa"/>
            <w:tcBorders>
              <w:bottom w:val="single" w:sz="4" w:space="0" w:color="auto"/>
            </w:tcBorders>
            <w:shd w:val="clear" w:color="auto" w:fill="auto"/>
            <w:vAlign w:val="center"/>
            <w:hideMark/>
          </w:tcPr>
          <w:p w14:paraId="2AE14A08" w14:textId="3379C5F8" w:rsidR="003D3EC9" w:rsidRPr="004C2ED6" w:rsidRDefault="003D3EC9" w:rsidP="00756BE9">
            <w:pPr>
              <w:pStyle w:val="TableTextRight"/>
              <w:rPr>
                <w:lang w:eastAsia="en-AU"/>
              </w:rPr>
            </w:pPr>
            <w:r>
              <w:rPr>
                <w:rFonts w:ascii="Calibri" w:hAnsi="Calibri" w:cs="Calibri"/>
              </w:rPr>
              <w:t>23.</w:t>
            </w:r>
            <w:r w:rsidR="000E1108">
              <w:rPr>
                <w:rFonts w:ascii="Calibri" w:hAnsi="Calibri" w:cs="Calibri"/>
              </w:rPr>
              <w:t>9</w:t>
            </w:r>
          </w:p>
        </w:tc>
        <w:tc>
          <w:tcPr>
            <w:tcW w:w="1049" w:type="dxa"/>
            <w:tcBorders>
              <w:bottom w:val="single" w:sz="4" w:space="0" w:color="auto"/>
            </w:tcBorders>
            <w:shd w:val="clear" w:color="auto" w:fill="auto"/>
            <w:vAlign w:val="center"/>
            <w:hideMark/>
          </w:tcPr>
          <w:p w14:paraId="1FE1E7B4" w14:textId="3302FBB5" w:rsidR="003D3EC9" w:rsidRPr="004C2ED6" w:rsidRDefault="003D3EC9" w:rsidP="00756BE9">
            <w:pPr>
              <w:pStyle w:val="TableTextRight"/>
              <w:rPr>
                <w:lang w:eastAsia="en-AU"/>
              </w:rPr>
            </w:pPr>
            <w:r>
              <w:rPr>
                <w:rFonts w:ascii="Calibri" w:hAnsi="Calibri" w:cs="Calibri"/>
              </w:rPr>
              <w:t>20.</w:t>
            </w:r>
            <w:r w:rsidR="000E1108">
              <w:rPr>
                <w:rFonts w:ascii="Calibri" w:hAnsi="Calibri" w:cs="Calibri"/>
              </w:rPr>
              <w:t>7</w:t>
            </w:r>
          </w:p>
        </w:tc>
        <w:tc>
          <w:tcPr>
            <w:tcW w:w="1049" w:type="dxa"/>
            <w:tcBorders>
              <w:bottom w:val="single" w:sz="4" w:space="0" w:color="auto"/>
              <w:right w:val="single" w:sz="4" w:space="0" w:color="auto"/>
            </w:tcBorders>
            <w:shd w:val="clear" w:color="auto" w:fill="auto"/>
            <w:vAlign w:val="center"/>
            <w:hideMark/>
          </w:tcPr>
          <w:p w14:paraId="3882B337" w14:textId="6B007B03" w:rsidR="003D3EC9" w:rsidRPr="004C2ED6" w:rsidRDefault="003D3EC9" w:rsidP="00756BE9">
            <w:pPr>
              <w:pStyle w:val="TableTextRight"/>
              <w:rPr>
                <w:lang w:eastAsia="en-AU"/>
              </w:rPr>
            </w:pPr>
            <w:r>
              <w:rPr>
                <w:rFonts w:ascii="Calibri" w:hAnsi="Calibri" w:cs="Calibri"/>
              </w:rPr>
              <w:t>19.</w:t>
            </w:r>
            <w:r w:rsidR="000E1108">
              <w:rPr>
                <w:rFonts w:ascii="Calibri" w:hAnsi="Calibri" w:cs="Calibri"/>
              </w:rPr>
              <w:t>3</w:t>
            </w:r>
          </w:p>
        </w:tc>
        <w:tc>
          <w:tcPr>
            <w:tcW w:w="1049" w:type="dxa"/>
            <w:tcBorders>
              <w:left w:val="single" w:sz="4" w:space="0" w:color="auto"/>
              <w:bottom w:val="single" w:sz="4" w:space="0" w:color="auto"/>
            </w:tcBorders>
            <w:shd w:val="clear" w:color="auto" w:fill="auto"/>
            <w:vAlign w:val="center"/>
            <w:hideMark/>
          </w:tcPr>
          <w:p w14:paraId="0922221F" w14:textId="0F707DB0" w:rsidR="003D3EC9" w:rsidRPr="004C2ED6" w:rsidRDefault="003D3EC9" w:rsidP="00756BE9">
            <w:pPr>
              <w:pStyle w:val="TableTextRight"/>
              <w:rPr>
                <w:lang w:eastAsia="en-AU"/>
              </w:rPr>
            </w:pPr>
            <w:r>
              <w:rPr>
                <w:rFonts w:ascii="Calibri" w:hAnsi="Calibri" w:cs="Calibri"/>
              </w:rPr>
              <w:t>20.</w:t>
            </w:r>
            <w:r w:rsidR="000E1108">
              <w:rPr>
                <w:rFonts w:ascii="Calibri" w:hAnsi="Calibri" w:cs="Calibri"/>
              </w:rPr>
              <w:t>9</w:t>
            </w:r>
          </w:p>
        </w:tc>
      </w:tr>
      <w:tr w:rsidR="003D3EC9" w:rsidRPr="004C2ED6" w14:paraId="3D75F64A" w14:textId="77777777" w:rsidTr="00997375">
        <w:trPr>
          <w:trHeight w:val="227"/>
        </w:trPr>
        <w:tc>
          <w:tcPr>
            <w:tcW w:w="2778" w:type="dxa"/>
            <w:tcBorders>
              <w:top w:val="single" w:sz="4" w:space="0" w:color="auto"/>
            </w:tcBorders>
            <w:shd w:val="clear" w:color="auto" w:fill="auto"/>
            <w:vAlign w:val="center"/>
            <w:hideMark/>
          </w:tcPr>
          <w:p w14:paraId="3F27FCF2" w14:textId="33FC63D8" w:rsidR="003D3EC9" w:rsidRPr="004C2ED6" w:rsidRDefault="003D3EC9" w:rsidP="00636638">
            <w:pPr>
              <w:pStyle w:val="TableColumnHeadingLeft"/>
            </w:pPr>
            <w:r w:rsidRPr="004C2ED6">
              <w:t>Natural increase (</w:t>
            </w:r>
            <w:r w:rsidR="00050D25">
              <w:t>‘</w:t>
            </w:r>
            <w:r w:rsidRPr="004C2ED6">
              <w:t>000)</w:t>
            </w:r>
          </w:p>
        </w:tc>
        <w:tc>
          <w:tcPr>
            <w:tcW w:w="1049" w:type="dxa"/>
            <w:tcBorders>
              <w:top w:val="single" w:sz="4" w:space="0" w:color="auto"/>
            </w:tcBorders>
            <w:shd w:val="clear" w:color="auto" w:fill="auto"/>
            <w:vAlign w:val="center"/>
            <w:hideMark/>
          </w:tcPr>
          <w:p w14:paraId="7C1FAEB2" w14:textId="77777777" w:rsidR="003D3EC9" w:rsidRPr="004C2ED6" w:rsidRDefault="003D3EC9" w:rsidP="00756BE9">
            <w:pPr>
              <w:pStyle w:val="TableTextRight"/>
              <w:rPr>
                <w:b/>
                <w:bCs/>
                <w:color w:val="002C47"/>
                <w:lang w:eastAsia="en-AU"/>
              </w:rPr>
            </w:pPr>
          </w:p>
        </w:tc>
        <w:tc>
          <w:tcPr>
            <w:tcW w:w="1049" w:type="dxa"/>
            <w:tcBorders>
              <w:top w:val="single" w:sz="4" w:space="0" w:color="auto"/>
            </w:tcBorders>
            <w:shd w:val="clear" w:color="auto" w:fill="D2EDFF" w:themeFill="accent1" w:themeFillTint="1A"/>
            <w:vAlign w:val="center"/>
            <w:hideMark/>
          </w:tcPr>
          <w:p w14:paraId="667DDA3F" w14:textId="35C9C884" w:rsidR="003D3EC9" w:rsidRPr="004C2ED6" w:rsidRDefault="003D3EC9" w:rsidP="00756BE9">
            <w:pPr>
              <w:pStyle w:val="TableTextRight"/>
              <w:rPr>
                <w:lang w:eastAsia="en-AU"/>
              </w:rPr>
            </w:pPr>
            <w:r>
              <w:rPr>
                <w:rFonts w:ascii="Calibri" w:hAnsi="Calibri" w:cs="Calibri"/>
              </w:rPr>
              <w:t> </w:t>
            </w:r>
          </w:p>
        </w:tc>
        <w:tc>
          <w:tcPr>
            <w:tcW w:w="1049" w:type="dxa"/>
            <w:tcBorders>
              <w:top w:val="single" w:sz="4" w:space="0" w:color="auto"/>
            </w:tcBorders>
            <w:shd w:val="clear" w:color="auto" w:fill="auto"/>
            <w:vAlign w:val="center"/>
            <w:hideMark/>
          </w:tcPr>
          <w:p w14:paraId="052A9F32" w14:textId="77777777" w:rsidR="003D3EC9" w:rsidRPr="004C2ED6" w:rsidRDefault="003D3EC9" w:rsidP="00756BE9">
            <w:pPr>
              <w:pStyle w:val="TableTextRight"/>
              <w:rPr>
                <w:lang w:eastAsia="en-AU"/>
              </w:rPr>
            </w:pPr>
          </w:p>
        </w:tc>
        <w:tc>
          <w:tcPr>
            <w:tcW w:w="1049" w:type="dxa"/>
            <w:tcBorders>
              <w:top w:val="single" w:sz="4" w:space="0" w:color="auto"/>
            </w:tcBorders>
            <w:shd w:val="clear" w:color="auto" w:fill="auto"/>
            <w:vAlign w:val="center"/>
            <w:hideMark/>
          </w:tcPr>
          <w:p w14:paraId="4F2A01C0" w14:textId="77777777" w:rsidR="003D3EC9" w:rsidRPr="004C2ED6" w:rsidRDefault="003D3EC9" w:rsidP="00756BE9">
            <w:pPr>
              <w:pStyle w:val="TableTextRight"/>
              <w:rPr>
                <w:rFonts w:ascii="Times New Roman" w:hAnsi="Times New Roman" w:cs="Times New Roman"/>
                <w:lang w:eastAsia="en-AU"/>
              </w:rPr>
            </w:pPr>
          </w:p>
        </w:tc>
        <w:tc>
          <w:tcPr>
            <w:tcW w:w="1049" w:type="dxa"/>
            <w:tcBorders>
              <w:top w:val="single" w:sz="4" w:space="0" w:color="auto"/>
              <w:right w:val="single" w:sz="4" w:space="0" w:color="auto"/>
            </w:tcBorders>
            <w:shd w:val="clear" w:color="auto" w:fill="auto"/>
            <w:vAlign w:val="center"/>
            <w:hideMark/>
          </w:tcPr>
          <w:p w14:paraId="1992129F" w14:textId="3627CEC7" w:rsidR="003D3EC9" w:rsidRPr="004C2ED6" w:rsidRDefault="003D3EC9" w:rsidP="00756BE9">
            <w:pPr>
              <w:pStyle w:val="TableTextRight"/>
              <w:rPr>
                <w:lang w:eastAsia="en-AU"/>
              </w:rPr>
            </w:pPr>
            <w:r>
              <w:rPr>
                <w:rFonts w:ascii="Calibri" w:hAnsi="Calibri" w:cs="Calibri"/>
              </w:rPr>
              <w:t> </w:t>
            </w:r>
          </w:p>
        </w:tc>
        <w:tc>
          <w:tcPr>
            <w:tcW w:w="1049" w:type="dxa"/>
            <w:tcBorders>
              <w:top w:val="single" w:sz="4" w:space="0" w:color="auto"/>
              <w:left w:val="single" w:sz="4" w:space="0" w:color="auto"/>
            </w:tcBorders>
            <w:shd w:val="clear" w:color="auto" w:fill="auto"/>
            <w:vAlign w:val="center"/>
            <w:hideMark/>
          </w:tcPr>
          <w:p w14:paraId="13E11882" w14:textId="77777777" w:rsidR="003D3EC9" w:rsidRPr="004C2ED6" w:rsidRDefault="003D3EC9" w:rsidP="00756BE9">
            <w:pPr>
              <w:pStyle w:val="TableTextRight"/>
              <w:rPr>
                <w:lang w:eastAsia="en-AU"/>
              </w:rPr>
            </w:pPr>
          </w:p>
        </w:tc>
      </w:tr>
      <w:tr w:rsidR="003D3EC9" w:rsidRPr="004C2ED6" w14:paraId="244DB47C" w14:textId="77777777" w:rsidTr="00997375">
        <w:trPr>
          <w:trHeight w:val="227"/>
        </w:trPr>
        <w:tc>
          <w:tcPr>
            <w:tcW w:w="2778" w:type="dxa"/>
            <w:shd w:val="clear" w:color="auto" w:fill="auto"/>
            <w:vAlign w:val="center"/>
            <w:hideMark/>
          </w:tcPr>
          <w:p w14:paraId="71763E29"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603B9D75" w14:textId="687CCF04" w:rsidR="003D3EC9" w:rsidRPr="004C2ED6" w:rsidRDefault="003D3EC9" w:rsidP="00756BE9">
            <w:pPr>
              <w:pStyle w:val="TableTextRight"/>
              <w:rPr>
                <w:lang w:eastAsia="en-AU"/>
              </w:rPr>
            </w:pPr>
            <w:r>
              <w:rPr>
                <w:rFonts w:ascii="Calibri" w:hAnsi="Calibri" w:cs="Calibri"/>
              </w:rPr>
              <w:t>31.6</w:t>
            </w:r>
          </w:p>
        </w:tc>
        <w:tc>
          <w:tcPr>
            <w:tcW w:w="1049" w:type="dxa"/>
            <w:shd w:val="clear" w:color="auto" w:fill="D2EDFF" w:themeFill="accent1" w:themeFillTint="1A"/>
            <w:vAlign w:val="center"/>
            <w:hideMark/>
          </w:tcPr>
          <w:p w14:paraId="6A14875D" w14:textId="0E8DB508" w:rsidR="003D3EC9" w:rsidRPr="004C2ED6" w:rsidRDefault="003D3EC9" w:rsidP="00756BE9">
            <w:pPr>
              <w:pStyle w:val="TableTextRight"/>
              <w:rPr>
                <w:lang w:eastAsia="en-AU"/>
              </w:rPr>
            </w:pPr>
            <w:r>
              <w:rPr>
                <w:rFonts w:ascii="Calibri" w:hAnsi="Calibri" w:cs="Calibri"/>
              </w:rPr>
              <w:t>33.</w:t>
            </w:r>
            <w:r w:rsidR="000E1108">
              <w:rPr>
                <w:rFonts w:ascii="Calibri" w:hAnsi="Calibri" w:cs="Calibri"/>
              </w:rPr>
              <w:t>5</w:t>
            </w:r>
          </w:p>
        </w:tc>
        <w:tc>
          <w:tcPr>
            <w:tcW w:w="1049" w:type="dxa"/>
            <w:shd w:val="clear" w:color="auto" w:fill="auto"/>
            <w:vAlign w:val="center"/>
            <w:hideMark/>
          </w:tcPr>
          <w:p w14:paraId="3099F046" w14:textId="18B12F70" w:rsidR="003D3EC9" w:rsidRPr="004C2ED6" w:rsidRDefault="003D3EC9" w:rsidP="00756BE9">
            <w:pPr>
              <w:pStyle w:val="TableTextRight"/>
              <w:rPr>
                <w:lang w:eastAsia="en-AU"/>
              </w:rPr>
            </w:pPr>
            <w:r>
              <w:rPr>
                <w:rFonts w:ascii="Calibri" w:hAnsi="Calibri" w:cs="Calibri"/>
              </w:rPr>
              <w:t>33.</w:t>
            </w:r>
            <w:r w:rsidR="000E1108">
              <w:rPr>
                <w:rFonts w:ascii="Calibri" w:hAnsi="Calibri" w:cs="Calibri"/>
              </w:rPr>
              <w:t>8</w:t>
            </w:r>
          </w:p>
        </w:tc>
        <w:tc>
          <w:tcPr>
            <w:tcW w:w="1049" w:type="dxa"/>
            <w:shd w:val="clear" w:color="auto" w:fill="auto"/>
            <w:vAlign w:val="center"/>
            <w:hideMark/>
          </w:tcPr>
          <w:p w14:paraId="1CA38014" w14:textId="1935CD9B" w:rsidR="003D3EC9" w:rsidRPr="004C2ED6" w:rsidRDefault="003D3EC9" w:rsidP="00756BE9">
            <w:pPr>
              <w:pStyle w:val="TableTextRight"/>
              <w:rPr>
                <w:lang w:eastAsia="en-AU"/>
              </w:rPr>
            </w:pPr>
            <w:r>
              <w:rPr>
                <w:rFonts w:ascii="Calibri" w:hAnsi="Calibri" w:cs="Calibri"/>
              </w:rPr>
              <w:t>36.</w:t>
            </w:r>
            <w:r w:rsidR="000E1108">
              <w:rPr>
                <w:rFonts w:ascii="Calibri" w:hAnsi="Calibri" w:cs="Calibri"/>
              </w:rPr>
              <w:t>0</w:t>
            </w:r>
          </w:p>
        </w:tc>
        <w:tc>
          <w:tcPr>
            <w:tcW w:w="1049" w:type="dxa"/>
            <w:tcBorders>
              <w:right w:val="single" w:sz="4" w:space="0" w:color="auto"/>
            </w:tcBorders>
            <w:shd w:val="clear" w:color="auto" w:fill="auto"/>
            <w:vAlign w:val="center"/>
            <w:hideMark/>
          </w:tcPr>
          <w:p w14:paraId="47754027" w14:textId="434D7B12" w:rsidR="003D3EC9" w:rsidRPr="004C2ED6" w:rsidRDefault="003D3EC9" w:rsidP="00756BE9">
            <w:pPr>
              <w:pStyle w:val="TableTextRight"/>
              <w:rPr>
                <w:lang w:eastAsia="en-AU"/>
              </w:rPr>
            </w:pPr>
            <w:r>
              <w:rPr>
                <w:rFonts w:ascii="Calibri" w:hAnsi="Calibri" w:cs="Calibri"/>
              </w:rPr>
              <w:t>37.</w:t>
            </w:r>
            <w:r w:rsidR="000E1108">
              <w:rPr>
                <w:rFonts w:ascii="Calibri" w:hAnsi="Calibri" w:cs="Calibri"/>
              </w:rPr>
              <w:t>6</w:t>
            </w:r>
          </w:p>
        </w:tc>
        <w:tc>
          <w:tcPr>
            <w:tcW w:w="1049" w:type="dxa"/>
            <w:tcBorders>
              <w:left w:val="single" w:sz="4" w:space="0" w:color="auto"/>
            </w:tcBorders>
            <w:shd w:val="clear" w:color="auto" w:fill="auto"/>
            <w:vAlign w:val="center"/>
            <w:hideMark/>
          </w:tcPr>
          <w:p w14:paraId="782AFD8B" w14:textId="0F110B35" w:rsidR="003D3EC9" w:rsidRPr="004C2ED6" w:rsidRDefault="000E1108" w:rsidP="00756BE9">
            <w:pPr>
              <w:pStyle w:val="TableTextRight"/>
              <w:rPr>
                <w:lang w:eastAsia="en-AU"/>
              </w:rPr>
            </w:pPr>
            <w:r>
              <w:rPr>
                <w:rFonts w:ascii="Calibri" w:hAnsi="Calibri" w:cs="Calibri"/>
              </w:rPr>
              <w:t>42.2</w:t>
            </w:r>
          </w:p>
        </w:tc>
      </w:tr>
      <w:tr w:rsidR="003D3EC9" w:rsidRPr="004C2ED6" w14:paraId="4696B0F1" w14:textId="77777777" w:rsidTr="00997375">
        <w:trPr>
          <w:trHeight w:val="227"/>
        </w:trPr>
        <w:tc>
          <w:tcPr>
            <w:tcW w:w="2778" w:type="dxa"/>
            <w:shd w:val="clear" w:color="auto" w:fill="auto"/>
            <w:vAlign w:val="center"/>
            <w:hideMark/>
          </w:tcPr>
          <w:p w14:paraId="5411BD9B"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47A3C4DD" w14:textId="20DD0A78" w:rsidR="003D3EC9" w:rsidRPr="004C2ED6" w:rsidRDefault="003D3EC9" w:rsidP="00756BE9">
            <w:pPr>
              <w:pStyle w:val="TableTextRight"/>
              <w:rPr>
                <w:lang w:eastAsia="en-AU"/>
              </w:rPr>
            </w:pPr>
            <w:r>
              <w:rPr>
                <w:rFonts w:ascii="Calibri" w:hAnsi="Calibri" w:cs="Calibri"/>
              </w:rPr>
              <w:t>28.5</w:t>
            </w:r>
          </w:p>
        </w:tc>
        <w:tc>
          <w:tcPr>
            <w:tcW w:w="1049" w:type="dxa"/>
            <w:shd w:val="clear" w:color="auto" w:fill="D2EDFF" w:themeFill="accent1" w:themeFillTint="1A"/>
            <w:vAlign w:val="center"/>
            <w:hideMark/>
          </w:tcPr>
          <w:p w14:paraId="70C43F27" w14:textId="7A488CBD" w:rsidR="003D3EC9" w:rsidRPr="004C2ED6" w:rsidRDefault="003D3EC9" w:rsidP="00756BE9">
            <w:pPr>
              <w:pStyle w:val="TableTextRight"/>
              <w:rPr>
                <w:lang w:eastAsia="en-AU"/>
              </w:rPr>
            </w:pPr>
            <w:r>
              <w:rPr>
                <w:rFonts w:ascii="Calibri" w:hAnsi="Calibri" w:cs="Calibri"/>
              </w:rPr>
              <w:t>32.</w:t>
            </w:r>
            <w:r w:rsidR="000E1108">
              <w:rPr>
                <w:rFonts w:ascii="Calibri" w:hAnsi="Calibri" w:cs="Calibri"/>
              </w:rPr>
              <w:t>2</w:t>
            </w:r>
          </w:p>
        </w:tc>
        <w:tc>
          <w:tcPr>
            <w:tcW w:w="1049" w:type="dxa"/>
            <w:shd w:val="clear" w:color="auto" w:fill="auto"/>
            <w:vAlign w:val="center"/>
            <w:hideMark/>
          </w:tcPr>
          <w:p w14:paraId="33B7B873" w14:textId="1FEE3A36" w:rsidR="003D3EC9" w:rsidRPr="004C2ED6" w:rsidRDefault="003D3EC9" w:rsidP="00756BE9">
            <w:pPr>
              <w:pStyle w:val="TableTextRight"/>
              <w:rPr>
                <w:lang w:eastAsia="en-AU"/>
              </w:rPr>
            </w:pPr>
            <w:r>
              <w:rPr>
                <w:rFonts w:ascii="Calibri" w:hAnsi="Calibri" w:cs="Calibri"/>
              </w:rPr>
              <w:t>32.</w:t>
            </w:r>
            <w:r w:rsidR="000E1108">
              <w:rPr>
                <w:rFonts w:ascii="Calibri" w:hAnsi="Calibri" w:cs="Calibri"/>
              </w:rPr>
              <w:t>7</w:t>
            </w:r>
          </w:p>
        </w:tc>
        <w:tc>
          <w:tcPr>
            <w:tcW w:w="1049" w:type="dxa"/>
            <w:shd w:val="clear" w:color="auto" w:fill="auto"/>
            <w:vAlign w:val="center"/>
            <w:hideMark/>
          </w:tcPr>
          <w:p w14:paraId="2A2BE23B" w14:textId="4033582D" w:rsidR="003D3EC9" w:rsidRPr="004C2ED6" w:rsidRDefault="003D3EC9" w:rsidP="00756BE9">
            <w:pPr>
              <w:pStyle w:val="TableTextRight"/>
              <w:rPr>
                <w:lang w:eastAsia="en-AU"/>
              </w:rPr>
            </w:pPr>
            <w:r>
              <w:rPr>
                <w:rFonts w:ascii="Calibri" w:hAnsi="Calibri" w:cs="Calibri"/>
              </w:rPr>
              <w:t>34.</w:t>
            </w:r>
            <w:r w:rsidR="000E1108">
              <w:rPr>
                <w:rFonts w:ascii="Calibri" w:hAnsi="Calibri" w:cs="Calibri"/>
              </w:rPr>
              <w:t>4</w:t>
            </w:r>
          </w:p>
        </w:tc>
        <w:tc>
          <w:tcPr>
            <w:tcW w:w="1049" w:type="dxa"/>
            <w:tcBorders>
              <w:right w:val="single" w:sz="4" w:space="0" w:color="auto"/>
            </w:tcBorders>
            <w:shd w:val="clear" w:color="auto" w:fill="auto"/>
            <w:vAlign w:val="center"/>
            <w:hideMark/>
          </w:tcPr>
          <w:p w14:paraId="7092ABBA" w14:textId="51D3B591" w:rsidR="003D3EC9" w:rsidRPr="004C2ED6" w:rsidRDefault="003D3EC9" w:rsidP="00756BE9">
            <w:pPr>
              <w:pStyle w:val="TableTextRight"/>
              <w:rPr>
                <w:lang w:eastAsia="en-AU"/>
              </w:rPr>
            </w:pPr>
            <w:r>
              <w:rPr>
                <w:rFonts w:ascii="Calibri" w:hAnsi="Calibri" w:cs="Calibri"/>
              </w:rPr>
              <w:t>35.8</w:t>
            </w:r>
          </w:p>
        </w:tc>
        <w:tc>
          <w:tcPr>
            <w:tcW w:w="1049" w:type="dxa"/>
            <w:tcBorders>
              <w:left w:val="single" w:sz="4" w:space="0" w:color="auto"/>
            </w:tcBorders>
            <w:shd w:val="clear" w:color="auto" w:fill="auto"/>
            <w:vAlign w:val="center"/>
            <w:hideMark/>
          </w:tcPr>
          <w:p w14:paraId="45D2E48C" w14:textId="2FAD98B0" w:rsidR="003D3EC9" w:rsidRPr="004C2ED6" w:rsidRDefault="003D3EC9" w:rsidP="00756BE9">
            <w:pPr>
              <w:pStyle w:val="TableTextRight"/>
              <w:rPr>
                <w:lang w:eastAsia="en-AU"/>
              </w:rPr>
            </w:pPr>
            <w:r>
              <w:rPr>
                <w:rFonts w:ascii="Calibri" w:hAnsi="Calibri" w:cs="Calibri"/>
              </w:rPr>
              <w:t>42.</w:t>
            </w:r>
            <w:r w:rsidR="000E1108">
              <w:rPr>
                <w:rFonts w:ascii="Calibri" w:hAnsi="Calibri" w:cs="Calibri"/>
              </w:rPr>
              <w:t>2</w:t>
            </w:r>
          </w:p>
        </w:tc>
      </w:tr>
      <w:tr w:rsidR="003D3EC9" w:rsidRPr="004C2ED6" w14:paraId="3C47A2C3" w14:textId="77777777" w:rsidTr="00997375">
        <w:trPr>
          <w:trHeight w:val="227"/>
        </w:trPr>
        <w:tc>
          <w:tcPr>
            <w:tcW w:w="2778" w:type="dxa"/>
            <w:shd w:val="clear" w:color="auto" w:fill="auto"/>
            <w:vAlign w:val="center"/>
            <w:hideMark/>
          </w:tcPr>
          <w:p w14:paraId="1E0EDE7A" w14:textId="77777777" w:rsidR="003D3EC9" w:rsidRPr="004C2ED6" w:rsidRDefault="003D3EC9" w:rsidP="00636638">
            <w:pPr>
              <w:pStyle w:val="Tabletextleftindent"/>
            </w:pPr>
            <w:r w:rsidRPr="004C2ED6">
              <w:t>Rest of New South Wales</w:t>
            </w:r>
          </w:p>
        </w:tc>
        <w:tc>
          <w:tcPr>
            <w:tcW w:w="1049" w:type="dxa"/>
            <w:shd w:val="clear" w:color="auto" w:fill="auto"/>
            <w:vAlign w:val="center"/>
            <w:hideMark/>
          </w:tcPr>
          <w:p w14:paraId="3B79A864" w14:textId="47CFBA38" w:rsidR="003D3EC9" w:rsidRPr="004C2ED6" w:rsidRDefault="003D3EC9" w:rsidP="00756BE9">
            <w:pPr>
              <w:pStyle w:val="TableTextRight"/>
              <w:rPr>
                <w:lang w:eastAsia="en-AU"/>
              </w:rPr>
            </w:pPr>
            <w:r>
              <w:rPr>
                <w:rFonts w:ascii="Calibri" w:hAnsi="Calibri" w:cs="Calibri"/>
              </w:rPr>
              <w:t>4.1</w:t>
            </w:r>
          </w:p>
        </w:tc>
        <w:tc>
          <w:tcPr>
            <w:tcW w:w="1049" w:type="dxa"/>
            <w:shd w:val="clear" w:color="auto" w:fill="D2EDFF" w:themeFill="accent1" w:themeFillTint="1A"/>
            <w:vAlign w:val="center"/>
            <w:hideMark/>
          </w:tcPr>
          <w:p w14:paraId="453DD567" w14:textId="1EE2FBCF"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3</w:t>
            </w:r>
          </w:p>
        </w:tc>
        <w:tc>
          <w:tcPr>
            <w:tcW w:w="1049" w:type="dxa"/>
            <w:shd w:val="clear" w:color="auto" w:fill="auto"/>
            <w:vAlign w:val="center"/>
            <w:hideMark/>
          </w:tcPr>
          <w:p w14:paraId="7030986C" w14:textId="0F630F15"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1</w:t>
            </w:r>
          </w:p>
        </w:tc>
        <w:tc>
          <w:tcPr>
            <w:tcW w:w="1049" w:type="dxa"/>
            <w:shd w:val="clear" w:color="auto" w:fill="auto"/>
            <w:vAlign w:val="center"/>
            <w:hideMark/>
          </w:tcPr>
          <w:p w14:paraId="1354566E" w14:textId="35607143" w:rsidR="003D3EC9" w:rsidRPr="004C2ED6" w:rsidRDefault="003D3EC9" w:rsidP="00756BE9">
            <w:pPr>
              <w:pStyle w:val="TableTextRight"/>
              <w:rPr>
                <w:lang w:eastAsia="en-AU"/>
              </w:rPr>
            </w:pPr>
            <w:r>
              <w:rPr>
                <w:rFonts w:ascii="Calibri" w:hAnsi="Calibri" w:cs="Calibri"/>
              </w:rPr>
              <w:t>1.5</w:t>
            </w:r>
          </w:p>
        </w:tc>
        <w:tc>
          <w:tcPr>
            <w:tcW w:w="1049" w:type="dxa"/>
            <w:tcBorders>
              <w:right w:val="single" w:sz="4" w:space="0" w:color="auto"/>
            </w:tcBorders>
            <w:shd w:val="clear" w:color="auto" w:fill="auto"/>
            <w:vAlign w:val="center"/>
            <w:hideMark/>
          </w:tcPr>
          <w:p w14:paraId="258482B8" w14:textId="40F83F30" w:rsidR="003D3EC9" w:rsidRPr="004C2ED6" w:rsidRDefault="003D3EC9" w:rsidP="00756BE9">
            <w:pPr>
              <w:pStyle w:val="TableTextRight"/>
              <w:rPr>
                <w:lang w:eastAsia="en-AU"/>
              </w:rPr>
            </w:pPr>
            <w:r>
              <w:rPr>
                <w:rFonts w:ascii="Calibri" w:hAnsi="Calibri" w:cs="Calibri"/>
              </w:rPr>
              <w:t>1.</w:t>
            </w:r>
            <w:r w:rsidR="000E1108">
              <w:rPr>
                <w:rFonts w:ascii="Calibri" w:hAnsi="Calibri" w:cs="Calibri"/>
              </w:rPr>
              <w:t>8</w:t>
            </w:r>
          </w:p>
        </w:tc>
        <w:tc>
          <w:tcPr>
            <w:tcW w:w="1049" w:type="dxa"/>
            <w:tcBorders>
              <w:left w:val="single" w:sz="4" w:space="0" w:color="auto"/>
            </w:tcBorders>
            <w:shd w:val="clear" w:color="auto" w:fill="auto"/>
            <w:vAlign w:val="center"/>
            <w:hideMark/>
          </w:tcPr>
          <w:p w14:paraId="67978EA1" w14:textId="35E985E8" w:rsidR="003D3EC9" w:rsidRPr="004C2ED6" w:rsidRDefault="003D3EC9" w:rsidP="00756BE9">
            <w:pPr>
              <w:pStyle w:val="TableTextRight"/>
              <w:rPr>
                <w:lang w:eastAsia="en-AU"/>
              </w:rPr>
            </w:pPr>
            <w:r>
              <w:rPr>
                <w:rFonts w:ascii="Calibri" w:hAnsi="Calibri" w:cs="Calibri"/>
              </w:rPr>
              <w:t>0.</w:t>
            </w:r>
            <w:r w:rsidR="000E1108">
              <w:rPr>
                <w:rFonts w:ascii="Calibri" w:hAnsi="Calibri" w:cs="Calibri"/>
              </w:rPr>
              <w:t>0</w:t>
            </w:r>
          </w:p>
        </w:tc>
      </w:tr>
      <w:tr w:rsidR="003D3EC9" w:rsidRPr="004C2ED6" w14:paraId="7E988BB8" w14:textId="77777777" w:rsidTr="00997375">
        <w:trPr>
          <w:trHeight w:val="227"/>
        </w:trPr>
        <w:tc>
          <w:tcPr>
            <w:tcW w:w="2778" w:type="dxa"/>
            <w:shd w:val="clear" w:color="auto" w:fill="auto"/>
            <w:vAlign w:val="center"/>
            <w:hideMark/>
          </w:tcPr>
          <w:p w14:paraId="233BD860" w14:textId="3524EF37" w:rsidR="003D3EC9" w:rsidRPr="004C2ED6" w:rsidRDefault="003D3EC9" w:rsidP="00636638">
            <w:pPr>
              <w:pStyle w:val="TableColumnHeadingLeft"/>
            </w:pPr>
            <w:r w:rsidRPr="004C2ED6">
              <w:t>Net overseas migration (</w:t>
            </w:r>
            <w:r w:rsidR="00050D25">
              <w:t>‘</w:t>
            </w:r>
            <w:r w:rsidRPr="004C2ED6">
              <w:t>000)</w:t>
            </w:r>
          </w:p>
        </w:tc>
        <w:tc>
          <w:tcPr>
            <w:tcW w:w="1049" w:type="dxa"/>
            <w:shd w:val="clear" w:color="auto" w:fill="auto"/>
            <w:vAlign w:val="center"/>
            <w:hideMark/>
          </w:tcPr>
          <w:p w14:paraId="49E8A3EE" w14:textId="77777777" w:rsidR="003D3EC9" w:rsidRPr="004C2ED6" w:rsidRDefault="003D3EC9" w:rsidP="00756BE9">
            <w:pPr>
              <w:pStyle w:val="TableTextRight"/>
              <w:rPr>
                <w:b/>
                <w:bCs/>
                <w:color w:val="002C47"/>
                <w:lang w:eastAsia="en-AU"/>
              </w:rPr>
            </w:pPr>
          </w:p>
        </w:tc>
        <w:tc>
          <w:tcPr>
            <w:tcW w:w="1049" w:type="dxa"/>
            <w:shd w:val="clear" w:color="auto" w:fill="D2EDFF" w:themeFill="accent1" w:themeFillTint="1A"/>
            <w:vAlign w:val="center"/>
            <w:hideMark/>
          </w:tcPr>
          <w:p w14:paraId="7CE5BF1E" w14:textId="7FBBD3B4" w:rsidR="003D3EC9" w:rsidRPr="004C2ED6" w:rsidRDefault="003D3EC9" w:rsidP="00756BE9">
            <w:pPr>
              <w:pStyle w:val="TableTextRight"/>
              <w:rPr>
                <w:lang w:eastAsia="en-AU"/>
              </w:rPr>
            </w:pPr>
            <w:r>
              <w:rPr>
                <w:rFonts w:ascii="Calibri" w:hAnsi="Calibri" w:cs="Calibri"/>
              </w:rPr>
              <w:t> </w:t>
            </w:r>
          </w:p>
        </w:tc>
        <w:tc>
          <w:tcPr>
            <w:tcW w:w="1049" w:type="dxa"/>
            <w:shd w:val="clear" w:color="auto" w:fill="auto"/>
            <w:vAlign w:val="center"/>
            <w:hideMark/>
          </w:tcPr>
          <w:p w14:paraId="14E1E40D" w14:textId="77777777" w:rsidR="003D3EC9" w:rsidRPr="004C2ED6" w:rsidRDefault="003D3EC9" w:rsidP="00756BE9">
            <w:pPr>
              <w:pStyle w:val="TableTextRight"/>
              <w:rPr>
                <w:lang w:eastAsia="en-AU"/>
              </w:rPr>
            </w:pPr>
          </w:p>
        </w:tc>
        <w:tc>
          <w:tcPr>
            <w:tcW w:w="1049" w:type="dxa"/>
            <w:shd w:val="clear" w:color="auto" w:fill="auto"/>
            <w:vAlign w:val="center"/>
            <w:hideMark/>
          </w:tcPr>
          <w:p w14:paraId="38F68DD5" w14:textId="77777777" w:rsidR="003D3EC9" w:rsidRPr="004C2ED6" w:rsidRDefault="003D3EC9" w:rsidP="00756BE9">
            <w:pPr>
              <w:pStyle w:val="TableTextRight"/>
              <w:rPr>
                <w:rFonts w:ascii="Times New Roman" w:hAnsi="Times New Roman" w:cs="Times New Roman"/>
                <w:lang w:eastAsia="en-AU"/>
              </w:rPr>
            </w:pPr>
          </w:p>
        </w:tc>
        <w:tc>
          <w:tcPr>
            <w:tcW w:w="1049" w:type="dxa"/>
            <w:tcBorders>
              <w:right w:val="single" w:sz="4" w:space="0" w:color="auto"/>
            </w:tcBorders>
            <w:shd w:val="clear" w:color="auto" w:fill="auto"/>
            <w:vAlign w:val="center"/>
            <w:hideMark/>
          </w:tcPr>
          <w:p w14:paraId="65ABE650" w14:textId="480FEDDD" w:rsidR="003D3EC9" w:rsidRPr="004C2ED6" w:rsidRDefault="003D3EC9" w:rsidP="00756BE9">
            <w:pPr>
              <w:pStyle w:val="TableTextRight"/>
              <w:rPr>
                <w:lang w:eastAsia="en-AU"/>
              </w:rPr>
            </w:pPr>
            <w:r>
              <w:rPr>
                <w:rFonts w:ascii="Calibri" w:hAnsi="Calibri" w:cs="Calibri"/>
              </w:rPr>
              <w:t> </w:t>
            </w:r>
          </w:p>
        </w:tc>
        <w:tc>
          <w:tcPr>
            <w:tcW w:w="1049" w:type="dxa"/>
            <w:tcBorders>
              <w:left w:val="single" w:sz="4" w:space="0" w:color="auto"/>
            </w:tcBorders>
            <w:shd w:val="clear" w:color="auto" w:fill="auto"/>
            <w:vAlign w:val="center"/>
            <w:hideMark/>
          </w:tcPr>
          <w:p w14:paraId="0EAF8546" w14:textId="77777777" w:rsidR="003D3EC9" w:rsidRPr="004C2ED6" w:rsidRDefault="003D3EC9" w:rsidP="00756BE9">
            <w:pPr>
              <w:pStyle w:val="TableTextRight"/>
              <w:rPr>
                <w:lang w:eastAsia="en-AU"/>
              </w:rPr>
            </w:pPr>
          </w:p>
        </w:tc>
      </w:tr>
      <w:tr w:rsidR="003D3EC9" w:rsidRPr="004C2ED6" w14:paraId="6DD68F00" w14:textId="77777777" w:rsidTr="00997375">
        <w:trPr>
          <w:trHeight w:val="227"/>
        </w:trPr>
        <w:tc>
          <w:tcPr>
            <w:tcW w:w="2778" w:type="dxa"/>
            <w:shd w:val="clear" w:color="auto" w:fill="auto"/>
            <w:vAlign w:val="center"/>
            <w:hideMark/>
          </w:tcPr>
          <w:p w14:paraId="3D350203"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359B03C8" w14:textId="750681B4" w:rsidR="003D3EC9" w:rsidRPr="004C2ED6" w:rsidRDefault="003D3EC9" w:rsidP="00756BE9">
            <w:pPr>
              <w:pStyle w:val="TableTextRight"/>
              <w:rPr>
                <w:lang w:eastAsia="en-AU"/>
              </w:rPr>
            </w:pPr>
            <w:r>
              <w:rPr>
                <w:rFonts w:ascii="Calibri" w:hAnsi="Calibri" w:cs="Calibri"/>
              </w:rPr>
              <w:t>178.0</w:t>
            </w:r>
          </w:p>
        </w:tc>
        <w:tc>
          <w:tcPr>
            <w:tcW w:w="1049" w:type="dxa"/>
            <w:shd w:val="clear" w:color="auto" w:fill="D2EDFF" w:themeFill="accent1" w:themeFillTint="1A"/>
            <w:vAlign w:val="center"/>
            <w:hideMark/>
          </w:tcPr>
          <w:p w14:paraId="16ECEF91" w14:textId="52B2DC86" w:rsidR="003D3EC9" w:rsidRPr="004C2ED6" w:rsidRDefault="000E1108" w:rsidP="00756BE9">
            <w:pPr>
              <w:pStyle w:val="TableTextRight"/>
              <w:rPr>
                <w:lang w:eastAsia="en-AU"/>
              </w:rPr>
            </w:pPr>
            <w:r>
              <w:rPr>
                <w:rFonts w:ascii="Calibri" w:hAnsi="Calibri" w:cs="Calibri"/>
              </w:rPr>
              <w:t>150.9</w:t>
            </w:r>
          </w:p>
        </w:tc>
        <w:tc>
          <w:tcPr>
            <w:tcW w:w="1049" w:type="dxa"/>
            <w:shd w:val="clear" w:color="auto" w:fill="auto"/>
            <w:vAlign w:val="center"/>
            <w:hideMark/>
          </w:tcPr>
          <w:p w14:paraId="1AAF5456" w14:textId="79B30190" w:rsidR="003D3EC9" w:rsidRPr="004C2ED6" w:rsidRDefault="00E920D0" w:rsidP="00756BE9">
            <w:pPr>
              <w:pStyle w:val="TableTextRight"/>
              <w:rPr>
                <w:lang w:eastAsia="en-AU"/>
              </w:rPr>
            </w:pPr>
            <w:r>
              <w:rPr>
                <w:rFonts w:ascii="Calibri" w:hAnsi="Calibri" w:cs="Calibri"/>
              </w:rPr>
              <w:t>111.8</w:t>
            </w:r>
          </w:p>
        </w:tc>
        <w:tc>
          <w:tcPr>
            <w:tcW w:w="1049" w:type="dxa"/>
            <w:shd w:val="clear" w:color="auto" w:fill="auto"/>
            <w:vAlign w:val="center"/>
            <w:hideMark/>
          </w:tcPr>
          <w:p w14:paraId="534325BB" w14:textId="092E31F4" w:rsidR="003D3EC9" w:rsidRPr="004C2ED6" w:rsidRDefault="00E920D0" w:rsidP="00756BE9">
            <w:pPr>
              <w:pStyle w:val="TableTextRight"/>
              <w:rPr>
                <w:lang w:eastAsia="en-AU"/>
              </w:rPr>
            </w:pPr>
            <w:r>
              <w:rPr>
                <w:rFonts w:ascii="Calibri" w:hAnsi="Calibri" w:cs="Calibri"/>
              </w:rPr>
              <w:t>86.1</w:t>
            </w:r>
          </w:p>
        </w:tc>
        <w:tc>
          <w:tcPr>
            <w:tcW w:w="1049" w:type="dxa"/>
            <w:tcBorders>
              <w:right w:val="single" w:sz="4" w:space="0" w:color="auto"/>
            </w:tcBorders>
            <w:shd w:val="clear" w:color="auto" w:fill="auto"/>
            <w:vAlign w:val="center"/>
            <w:hideMark/>
          </w:tcPr>
          <w:p w14:paraId="520B6381" w14:textId="2A5B1F41" w:rsidR="003D3EC9" w:rsidRPr="004C2ED6" w:rsidRDefault="000E1108" w:rsidP="00756BE9">
            <w:pPr>
              <w:pStyle w:val="TableTextRight"/>
              <w:rPr>
                <w:lang w:eastAsia="en-AU"/>
              </w:rPr>
            </w:pPr>
            <w:r>
              <w:rPr>
                <w:rFonts w:ascii="Calibri" w:hAnsi="Calibri" w:cs="Calibri"/>
              </w:rPr>
              <w:t>76.8</w:t>
            </w:r>
          </w:p>
        </w:tc>
        <w:tc>
          <w:tcPr>
            <w:tcW w:w="1049" w:type="dxa"/>
            <w:tcBorders>
              <w:left w:val="single" w:sz="4" w:space="0" w:color="auto"/>
            </w:tcBorders>
            <w:shd w:val="clear" w:color="auto" w:fill="auto"/>
            <w:vAlign w:val="center"/>
            <w:hideMark/>
          </w:tcPr>
          <w:p w14:paraId="19F52D46" w14:textId="71A1EE8C" w:rsidR="003D3EC9" w:rsidRPr="004C2ED6" w:rsidRDefault="003D3EC9" w:rsidP="00756BE9">
            <w:pPr>
              <w:pStyle w:val="TableTextRight"/>
              <w:rPr>
                <w:lang w:eastAsia="en-AU"/>
              </w:rPr>
            </w:pPr>
            <w:r>
              <w:rPr>
                <w:rFonts w:ascii="Calibri" w:hAnsi="Calibri" w:cs="Calibri"/>
              </w:rPr>
              <w:t>80.</w:t>
            </w:r>
            <w:r w:rsidR="000E1108">
              <w:rPr>
                <w:rFonts w:ascii="Calibri" w:hAnsi="Calibri" w:cs="Calibri"/>
              </w:rPr>
              <w:t>3</w:t>
            </w:r>
          </w:p>
        </w:tc>
      </w:tr>
      <w:tr w:rsidR="003D3EC9" w:rsidRPr="004C2ED6" w14:paraId="1E0E97FE" w14:textId="77777777" w:rsidTr="00997375">
        <w:trPr>
          <w:trHeight w:val="227"/>
        </w:trPr>
        <w:tc>
          <w:tcPr>
            <w:tcW w:w="2778" w:type="dxa"/>
            <w:shd w:val="clear" w:color="auto" w:fill="auto"/>
            <w:vAlign w:val="center"/>
            <w:hideMark/>
          </w:tcPr>
          <w:p w14:paraId="5B38D228"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2DE33CBF" w14:textId="57837025" w:rsidR="003D3EC9" w:rsidRPr="004C2ED6" w:rsidRDefault="003D3EC9" w:rsidP="00756BE9">
            <w:pPr>
              <w:pStyle w:val="TableTextRight"/>
              <w:rPr>
                <w:lang w:eastAsia="en-AU"/>
              </w:rPr>
            </w:pPr>
            <w:r>
              <w:rPr>
                <w:rFonts w:ascii="Calibri" w:hAnsi="Calibri" w:cs="Calibri"/>
              </w:rPr>
              <w:t>156.6</w:t>
            </w:r>
          </w:p>
        </w:tc>
        <w:tc>
          <w:tcPr>
            <w:tcW w:w="1049" w:type="dxa"/>
            <w:shd w:val="clear" w:color="auto" w:fill="D2EDFF" w:themeFill="accent1" w:themeFillTint="1A"/>
            <w:vAlign w:val="center"/>
            <w:hideMark/>
          </w:tcPr>
          <w:p w14:paraId="019E3AAA" w14:textId="7B28C284" w:rsidR="003D3EC9" w:rsidRPr="004C2ED6" w:rsidRDefault="000E1108" w:rsidP="00756BE9">
            <w:pPr>
              <w:pStyle w:val="TableTextRight"/>
              <w:rPr>
                <w:lang w:eastAsia="en-AU"/>
              </w:rPr>
            </w:pPr>
            <w:r>
              <w:rPr>
                <w:rFonts w:ascii="Calibri" w:hAnsi="Calibri" w:cs="Calibri"/>
              </w:rPr>
              <w:t>131.8</w:t>
            </w:r>
          </w:p>
        </w:tc>
        <w:tc>
          <w:tcPr>
            <w:tcW w:w="1049" w:type="dxa"/>
            <w:shd w:val="clear" w:color="auto" w:fill="auto"/>
            <w:vAlign w:val="center"/>
            <w:hideMark/>
          </w:tcPr>
          <w:p w14:paraId="2E3D45FA" w14:textId="5A421D29" w:rsidR="003D3EC9" w:rsidRPr="004C2ED6" w:rsidRDefault="00E920D0" w:rsidP="00756BE9">
            <w:pPr>
              <w:pStyle w:val="TableTextRight"/>
              <w:rPr>
                <w:lang w:eastAsia="en-AU"/>
              </w:rPr>
            </w:pPr>
            <w:r>
              <w:rPr>
                <w:rFonts w:ascii="Calibri" w:hAnsi="Calibri" w:cs="Calibri"/>
              </w:rPr>
              <w:t>96.7</w:t>
            </w:r>
          </w:p>
        </w:tc>
        <w:tc>
          <w:tcPr>
            <w:tcW w:w="1049" w:type="dxa"/>
            <w:shd w:val="clear" w:color="auto" w:fill="auto"/>
            <w:vAlign w:val="center"/>
            <w:hideMark/>
          </w:tcPr>
          <w:p w14:paraId="7FB266D4" w14:textId="123D72AC" w:rsidR="003D3EC9" w:rsidRPr="004C2ED6" w:rsidRDefault="00E920D0" w:rsidP="00756BE9">
            <w:pPr>
              <w:pStyle w:val="TableTextRight"/>
              <w:rPr>
                <w:lang w:eastAsia="en-AU"/>
              </w:rPr>
            </w:pPr>
            <w:r>
              <w:rPr>
                <w:rFonts w:ascii="Calibri" w:hAnsi="Calibri" w:cs="Calibri"/>
              </w:rPr>
              <w:t>73.4</w:t>
            </w:r>
          </w:p>
        </w:tc>
        <w:tc>
          <w:tcPr>
            <w:tcW w:w="1049" w:type="dxa"/>
            <w:tcBorders>
              <w:right w:val="single" w:sz="4" w:space="0" w:color="auto"/>
            </w:tcBorders>
            <w:shd w:val="clear" w:color="auto" w:fill="auto"/>
            <w:vAlign w:val="center"/>
            <w:hideMark/>
          </w:tcPr>
          <w:p w14:paraId="7A1FC4A4" w14:textId="6BCC4310" w:rsidR="003D3EC9" w:rsidRPr="004C2ED6" w:rsidRDefault="000E1108" w:rsidP="00756BE9">
            <w:pPr>
              <w:pStyle w:val="TableTextRight"/>
              <w:rPr>
                <w:lang w:eastAsia="en-AU"/>
              </w:rPr>
            </w:pPr>
            <w:r>
              <w:rPr>
                <w:rFonts w:ascii="Calibri" w:hAnsi="Calibri" w:cs="Calibri"/>
              </w:rPr>
              <w:t>64.9</w:t>
            </w:r>
          </w:p>
        </w:tc>
        <w:tc>
          <w:tcPr>
            <w:tcW w:w="1049" w:type="dxa"/>
            <w:tcBorders>
              <w:left w:val="single" w:sz="4" w:space="0" w:color="auto"/>
            </w:tcBorders>
            <w:shd w:val="clear" w:color="auto" w:fill="auto"/>
            <w:vAlign w:val="center"/>
            <w:hideMark/>
          </w:tcPr>
          <w:p w14:paraId="2FC7C648" w14:textId="23DB1412" w:rsidR="003D3EC9" w:rsidRPr="004C2ED6" w:rsidRDefault="003D3EC9" w:rsidP="00756BE9">
            <w:pPr>
              <w:pStyle w:val="TableTextRight"/>
              <w:rPr>
                <w:lang w:eastAsia="en-AU"/>
              </w:rPr>
            </w:pPr>
            <w:r>
              <w:rPr>
                <w:rFonts w:ascii="Calibri" w:hAnsi="Calibri" w:cs="Calibri"/>
              </w:rPr>
              <w:t>68.</w:t>
            </w:r>
            <w:r w:rsidR="000E1108">
              <w:rPr>
                <w:rFonts w:ascii="Calibri" w:hAnsi="Calibri" w:cs="Calibri"/>
              </w:rPr>
              <w:t>1</w:t>
            </w:r>
          </w:p>
        </w:tc>
      </w:tr>
      <w:tr w:rsidR="003D3EC9" w:rsidRPr="004C2ED6" w14:paraId="60156D91" w14:textId="77777777" w:rsidTr="00997375">
        <w:trPr>
          <w:trHeight w:val="227"/>
        </w:trPr>
        <w:tc>
          <w:tcPr>
            <w:tcW w:w="2778" w:type="dxa"/>
            <w:shd w:val="clear" w:color="auto" w:fill="auto"/>
            <w:vAlign w:val="center"/>
            <w:hideMark/>
          </w:tcPr>
          <w:p w14:paraId="30E9AAF7" w14:textId="77777777" w:rsidR="003D3EC9" w:rsidRPr="004C2ED6" w:rsidRDefault="003D3EC9" w:rsidP="00636638">
            <w:pPr>
              <w:pStyle w:val="Tabletextleftindent"/>
            </w:pPr>
            <w:r w:rsidRPr="004C2ED6">
              <w:t>Rest of New South Wales</w:t>
            </w:r>
          </w:p>
        </w:tc>
        <w:tc>
          <w:tcPr>
            <w:tcW w:w="1049" w:type="dxa"/>
            <w:shd w:val="clear" w:color="auto" w:fill="auto"/>
            <w:vAlign w:val="center"/>
            <w:hideMark/>
          </w:tcPr>
          <w:p w14:paraId="0F508858" w14:textId="0C8FAA99" w:rsidR="003D3EC9" w:rsidRPr="004C2ED6" w:rsidRDefault="003D3EC9" w:rsidP="00756BE9">
            <w:pPr>
              <w:pStyle w:val="TableTextRight"/>
              <w:rPr>
                <w:lang w:eastAsia="en-AU"/>
              </w:rPr>
            </w:pPr>
            <w:r>
              <w:rPr>
                <w:rFonts w:ascii="Calibri" w:hAnsi="Calibri" w:cs="Calibri"/>
              </w:rPr>
              <w:t>20.5</w:t>
            </w:r>
          </w:p>
        </w:tc>
        <w:tc>
          <w:tcPr>
            <w:tcW w:w="1049" w:type="dxa"/>
            <w:shd w:val="clear" w:color="auto" w:fill="D2EDFF" w:themeFill="accent1" w:themeFillTint="1A"/>
            <w:vAlign w:val="center"/>
            <w:hideMark/>
          </w:tcPr>
          <w:p w14:paraId="1F8B5DCE" w14:textId="05F853D2" w:rsidR="003D3EC9" w:rsidRPr="004C2ED6" w:rsidRDefault="003D3EC9" w:rsidP="00756BE9">
            <w:pPr>
              <w:pStyle w:val="TableTextRight"/>
              <w:rPr>
                <w:lang w:eastAsia="en-AU"/>
              </w:rPr>
            </w:pPr>
            <w:r>
              <w:rPr>
                <w:rFonts w:ascii="Calibri" w:hAnsi="Calibri" w:cs="Calibri"/>
              </w:rPr>
              <w:t>19.1</w:t>
            </w:r>
          </w:p>
        </w:tc>
        <w:tc>
          <w:tcPr>
            <w:tcW w:w="1049" w:type="dxa"/>
            <w:shd w:val="clear" w:color="auto" w:fill="auto"/>
            <w:vAlign w:val="center"/>
            <w:hideMark/>
          </w:tcPr>
          <w:p w14:paraId="409A6667" w14:textId="7B8FF298" w:rsidR="003D3EC9" w:rsidRPr="004C2ED6" w:rsidRDefault="000E1108" w:rsidP="00756BE9">
            <w:pPr>
              <w:pStyle w:val="TableTextRight"/>
              <w:rPr>
                <w:lang w:eastAsia="en-AU"/>
              </w:rPr>
            </w:pPr>
            <w:r>
              <w:rPr>
                <w:rFonts w:ascii="Calibri" w:hAnsi="Calibri" w:cs="Calibri"/>
              </w:rPr>
              <w:t>15.1</w:t>
            </w:r>
          </w:p>
        </w:tc>
        <w:tc>
          <w:tcPr>
            <w:tcW w:w="1049" w:type="dxa"/>
            <w:shd w:val="clear" w:color="auto" w:fill="auto"/>
            <w:vAlign w:val="center"/>
            <w:hideMark/>
          </w:tcPr>
          <w:p w14:paraId="7E574A97" w14:textId="1EFC067C" w:rsidR="003D3EC9" w:rsidRPr="004C2ED6" w:rsidRDefault="003D3EC9" w:rsidP="00756BE9">
            <w:pPr>
              <w:pStyle w:val="TableTextRight"/>
              <w:rPr>
                <w:lang w:eastAsia="en-AU"/>
              </w:rPr>
            </w:pPr>
            <w:r>
              <w:rPr>
                <w:rFonts w:ascii="Calibri" w:hAnsi="Calibri" w:cs="Calibri"/>
              </w:rPr>
              <w:t>12.</w:t>
            </w:r>
            <w:r w:rsidR="00E920D0">
              <w:rPr>
                <w:rFonts w:ascii="Calibri" w:hAnsi="Calibri" w:cs="Calibri"/>
              </w:rPr>
              <w:t>7</w:t>
            </w:r>
          </w:p>
        </w:tc>
        <w:tc>
          <w:tcPr>
            <w:tcW w:w="1049" w:type="dxa"/>
            <w:tcBorders>
              <w:right w:val="single" w:sz="4" w:space="0" w:color="auto"/>
            </w:tcBorders>
            <w:shd w:val="clear" w:color="auto" w:fill="auto"/>
            <w:vAlign w:val="center"/>
            <w:hideMark/>
          </w:tcPr>
          <w:p w14:paraId="75D58680" w14:textId="7823A85C" w:rsidR="003D3EC9" w:rsidRPr="004C2ED6" w:rsidRDefault="003D3EC9" w:rsidP="00756BE9">
            <w:pPr>
              <w:pStyle w:val="TableTextRight"/>
              <w:rPr>
                <w:lang w:eastAsia="en-AU"/>
              </w:rPr>
            </w:pPr>
            <w:r>
              <w:rPr>
                <w:rFonts w:ascii="Calibri" w:hAnsi="Calibri" w:cs="Calibri"/>
              </w:rPr>
              <w:t>11.</w:t>
            </w:r>
            <w:r w:rsidR="000E1108">
              <w:rPr>
                <w:rFonts w:ascii="Calibri" w:hAnsi="Calibri" w:cs="Calibri"/>
              </w:rPr>
              <w:t>9</w:t>
            </w:r>
          </w:p>
        </w:tc>
        <w:tc>
          <w:tcPr>
            <w:tcW w:w="1049" w:type="dxa"/>
            <w:tcBorders>
              <w:left w:val="single" w:sz="4" w:space="0" w:color="auto"/>
            </w:tcBorders>
            <w:shd w:val="clear" w:color="auto" w:fill="auto"/>
            <w:vAlign w:val="center"/>
            <w:hideMark/>
          </w:tcPr>
          <w:p w14:paraId="1B95E240" w14:textId="68D18614" w:rsidR="003D3EC9" w:rsidRPr="004C2ED6" w:rsidRDefault="003D3EC9" w:rsidP="00756BE9">
            <w:pPr>
              <w:pStyle w:val="TableTextRight"/>
              <w:rPr>
                <w:lang w:eastAsia="en-AU"/>
              </w:rPr>
            </w:pPr>
            <w:r>
              <w:rPr>
                <w:rFonts w:ascii="Calibri" w:hAnsi="Calibri" w:cs="Calibri"/>
              </w:rPr>
              <w:t>12.</w:t>
            </w:r>
            <w:r w:rsidR="000E1108">
              <w:rPr>
                <w:rFonts w:ascii="Calibri" w:hAnsi="Calibri" w:cs="Calibri"/>
              </w:rPr>
              <w:t>1</w:t>
            </w:r>
          </w:p>
        </w:tc>
      </w:tr>
      <w:tr w:rsidR="003D3EC9" w:rsidRPr="004C2ED6" w14:paraId="2DF7F98C" w14:textId="77777777" w:rsidTr="00997375">
        <w:trPr>
          <w:trHeight w:val="227"/>
        </w:trPr>
        <w:tc>
          <w:tcPr>
            <w:tcW w:w="2778" w:type="dxa"/>
            <w:shd w:val="clear" w:color="auto" w:fill="auto"/>
            <w:vAlign w:val="center"/>
            <w:hideMark/>
          </w:tcPr>
          <w:p w14:paraId="311935FC" w14:textId="62115334" w:rsidR="003D3EC9" w:rsidRPr="004C2ED6" w:rsidRDefault="003D3EC9" w:rsidP="00636638">
            <w:pPr>
              <w:pStyle w:val="TableColumnHeadingLeft"/>
            </w:pPr>
            <w:r w:rsidRPr="004C2ED6">
              <w:t>Net internal migration (</w:t>
            </w:r>
            <w:r w:rsidR="00050D25">
              <w:t>‘</w:t>
            </w:r>
            <w:r w:rsidRPr="004C2ED6">
              <w:t>000)</w:t>
            </w:r>
          </w:p>
        </w:tc>
        <w:tc>
          <w:tcPr>
            <w:tcW w:w="1049" w:type="dxa"/>
            <w:shd w:val="clear" w:color="auto" w:fill="auto"/>
            <w:vAlign w:val="center"/>
            <w:hideMark/>
          </w:tcPr>
          <w:p w14:paraId="2F38C403" w14:textId="77777777" w:rsidR="003D3EC9" w:rsidRPr="004C2ED6" w:rsidRDefault="003D3EC9" w:rsidP="00756BE9">
            <w:pPr>
              <w:pStyle w:val="TableTextRight"/>
              <w:rPr>
                <w:b/>
                <w:bCs/>
                <w:color w:val="002C47"/>
                <w:lang w:eastAsia="en-AU"/>
              </w:rPr>
            </w:pPr>
          </w:p>
        </w:tc>
        <w:tc>
          <w:tcPr>
            <w:tcW w:w="1049" w:type="dxa"/>
            <w:shd w:val="clear" w:color="auto" w:fill="D2EDFF" w:themeFill="accent1" w:themeFillTint="1A"/>
            <w:vAlign w:val="center"/>
            <w:hideMark/>
          </w:tcPr>
          <w:p w14:paraId="2FC47B29" w14:textId="454FD0BE" w:rsidR="003D3EC9" w:rsidRPr="004C2ED6" w:rsidRDefault="003D3EC9" w:rsidP="00756BE9">
            <w:pPr>
              <w:pStyle w:val="TableTextRight"/>
              <w:rPr>
                <w:lang w:eastAsia="en-AU"/>
              </w:rPr>
            </w:pPr>
            <w:r>
              <w:rPr>
                <w:rFonts w:ascii="Calibri" w:hAnsi="Calibri" w:cs="Calibri"/>
              </w:rPr>
              <w:t> </w:t>
            </w:r>
          </w:p>
        </w:tc>
        <w:tc>
          <w:tcPr>
            <w:tcW w:w="1049" w:type="dxa"/>
            <w:shd w:val="clear" w:color="auto" w:fill="auto"/>
            <w:vAlign w:val="center"/>
            <w:hideMark/>
          </w:tcPr>
          <w:p w14:paraId="1FB5A618" w14:textId="77777777" w:rsidR="003D3EC9" w:rsidRPr="004C2ED6" w:rsidRDefault="003D3EC9" w:rsidP="00756BE9">
            <w:pPr>
              <w:pStyle w:val="TableTextRight"/>
              <w:rPr>
                <w:lang w:eastAsia="en-AU"/>
              </w:rPr>
            </w:pPr>
          </w:p>
        </w:tc>
        <w:tc>
          <w:tcPr>
            <w:tcW w:w="1049" w:type="dxa"/>
            <w:shd w:val="clear" w:color="auto" w:fill="auto"/>
            <w:vAlign w:val="center"/>
            <w:hideMark/>
          </w:tcPr>
          <w:p w14:paraId="16B1A42A" w14:textId="77777777" w:rsidR="003D3EC9" w:rsidRPr="004C2ED6" w:rsidRDefault="003D3EC9" w:rsidP="00756BE9">
            <w:pPr>
              <w:pStyle w:val="TableTextRight"/>
              <w:rPr>
                <w:rFonts w:ascii="Times New Roman" w:hAnsi="Times New Roman" w:cs="Times New Roman"/>
                <w:lang w:eastAsia="en-AU"/>
              </w:rPr>
            </w:pPr>
          </w:p>
        </w:tc>
        <w:tc>
          <w:tcPr>
            <w:tcW w:w="1049" w:type="dxa"/>
            <w:tcBorders>
              <w:right w:val="single" w:sz="4" w:space="0" w:color="auto"/>
            </w:tcBorders>
            <w:shd w:val="clear" w:color="auto" w:fill="auto"/>
            <w:vAlign w:val="center"/>
            <w:hideMark/>
          </w:tcPr>
          <w:p w14:paraId="37F390A3" w14:textId="21CDFE86" w:rsidR="003D3EC9" w:rsidRPr="004C2ED6" w:rsidRDefault="003D3EC9" w:rsidP="00756BE9">
            <w:pPr>
              <w:pStyle w:val="TableTextRight"/>
              <w:rPr>
                <w:lang w:eastAsia="en-AU"/>
              </w:rPr>
            </w:pPr>
            <w:r>
              <w:rPr>
                <w:rFonts w:ascii="Calibri" w:hAnsi="Calibri" w:cs="Calibri"/>
              </w:rPr>
              <w:t> </w:t>
            </w:r>
          </w:p>
        </w:tc>
        <w:tc>
          <w:tcPr>
            <w:tcW w:w="1049" w:type="dxa"/>
            <w:tcBorders>
              <w:left w:val="single" w:sz="4" w:space="0" w:color="auto"/>
            </w:tcBorders>
            <w:shd w:val="clear" w:color="auto" w:fill="auto"/>
            <w:vAlign w:val="center"/>
            <w:hideMark/>
          </w:tcPr>
          <w:p w14:paraId="16008B98" w14:textId="77777777" w:rsidR="003D3EC9" w:rsidRPr="004C2ED6" w:rsidRDefault="003D3EC9" w:rsidP="00756BE9">
            <w:pPr>
              <w:pStyle w:val="TableTextRight"/>
              <w:rPr>
                <w:lang w:eastAsia="en-AU"/>
              </w:rPr>
            </w:pPr>
          </w:p>
        </w:tc>
      </w:tr>
      <w:tr w:rsidR="003D3EC9" w:rsidRPr="004C2ED6" w14:paraId="3DD531C6" w14:textId="77777777" w:rsidTr="00997375">
        <w:trPr>
          <w:trHeight w:val="227"/>
        </w:trPr>
        <w:tc>
          <w:tcPr>
            <w:tcW w:w="2778" w:type="dxa"/>
            <w:shd w:val="clear" w:color="auto" w:fill="auto"/>
            <w:vAlign w:val="center"/>
            <w:hideMark/>
          </w:tcPr>
          <w:p w14:paraId="1D2D3399" w14:textId="77777777" w:rsidR="003D3EC9" w:rsidRPr="004C2ED6" w:rsidRDefault="003D3EC9" w:rsidP="00916EF2">
            <w:pPr>
              <w:spacing w:before="0" w:after="0" w:line="240" w:lineRule="auto"/>
              <w:rPr>
                <w:rFonts w:ascii="Calibri" w:eastAsia="Times New Roman" w:hAnsi="Calibri" w:cs="Calibri"/>
                <w:color w:val="002C47"/>
                <w:lang w:eastAsia="en-AU"/>
              </w:rPr>
            </w:pPr>
            <w:r w:rsidRPr="004C2ED6">
              <w:rPr>
                <w:rFonts w:ascii="Calibri" w:eastAsia="Times New Roman" w:hAnsi="Calibri" w:cs="Calibri"/>
                <w:color w:val="002C47"/>
                <w:lang w:eastAsia="en-AU"/>
              </w:rPr>
              <w:t>New South Wales</w:t>
            </w:r>
          </w:p>
        </w:tc>
        <w:tc>
          <w:tcPr>
            <w:tcW w:w="1049" w:type="dxa"/>
            <w:shd w:val="clear" w:color="auto" w:fill="auto"/>
            <w:vAlign w:val="center"/>
            <w:hideMark/>
          </w:tcPr>
          <w:p w14:paraId="6A212FD9" w14:textId="66119F8F"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34.2</w:t>
            </w:r>
          </w:p>
        </w:tc>
        <w:tc>
          <w:tcPr>
            <w:tcW w:w="1049" w:type="dxa"/>
            <w:shd w:val="clear" w:color="auto" w:fill="D2EDFF" w:themeFill="accent1" w:themeFillTint="1A"/>
            <w:vAlign w:val="center"/>
            <w:hideMark/>
          </w:tcPr>
          <w:p w14:paraId="16358BAD" w14:textId="55674D49"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30.1</w:t>
            </w:r>
          </w:p>
        </w:tc>
        <w:tc>
          <w:tcPr>
            <w:tcW w:w="1049" w:type="dxa"/>
            <w:shd w:val="clear" w:color="auto" w:fill="auto"/>
            <w:vAlign w:val="center"/>
            <w:hideMark/>
          </w:tcPr>
          <w:p w14:paraId="1F3C1848" w14:textId="40E8C3FF"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25.6</w:t>
            </w:r>
          </w:p>
        </w:tc>
        <w:tc>
          <w:tcPr>
            <w:tcW w:w="1049" w:type="dxa"/>
            <w:shd w:val="clear" w:color="auto" w:fill="auto"/>
            <w:vAlign w:val="center"/>
            <w:hideMark/>
          </w:tcPr>
          <w:p w14:paraId="5F7C50FB" w14:textId="5E61F25E"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22.</w:t>
            </w:r>
            <w:r w:rsidR="000E1108">
              <w:rPr>
                <w:rFonts w:ascii="Calibri" w:hAnsi="Calibri" w:cs="Calibri"/>
              </w:rPr>
              <w:t>1</w:t>
            </w:r>
          </w:p>
        </w:tc>
        <w:tc>
          <w:tcPr>
            <w:tcW w:w="1049" w:type="dxa"/>
            <w:tcBorders>
              <w:right w:val="single" w:sz="4" w:space="0" w:color="auto"/>
            </w:tcBorders>
            <w:shd w:val="clear" w:color="auto" w:fill="auto"/>
            <w:vAlign w:val="center"/>
            <w:hideMark/>
          </w:tcPr>
          <w:p w14:paraId="3F3B8A52" w14:textId="6F032E2E"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20.0</w:t>
            </w:r>
          </w:p>
        </w:tc>
        <w:tc>
          <w:tcPr>
            <w:tcW w:w="1049" w:type="dxa"/>
            <w:tcBorders>
              <w:left w:val="single" w:sz="4" w:space="0" w:color="auto"/>
            </w:tcBorders>
            <w:shd w:val="clear" w:color="auto" w:fill="auto"/>
            <w:vAlign w:val="center"/>
            <w:hideMark/>
          </w:tcPr>
          <w:p w14:paraId="6A363D29" w14:textId="36587B8E"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20.</w:t>
            </w:r>
            <w:r w:rsidR="00E920D0">
              <w:rPr>
                <w:rFonts w:ascii="Calibri" w:hAnsi="Calibri" w:cs="Calibri"/>
              </w:rPr>
              <w:t>3</w:t>
            </w:r>
          </w:p>
        </w:tc>
      </w:tr>
      <w:tr w:rsidR="003D3EC9" w:rsidRPr="004C2ED6" w14:paraId="7F9BAA90" w14:textId="77777777" w:rsidTr="00997375">
        <w:trPr>
          <w:trHeight w:val="227"/>
        </w:trPr>
        <w:tc>
          <w:tcPr>
            <w:tcW w:w="2778" w:type="dxa"/>
            <w:shd w:val="clear" w:color="auto" w:fill="auto"/>
            <w:vAlign w:val="center"/>
            <w:hideMark/>
          </w:tcPr>
          <w:p w14:paraId="36E357A4"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4AA5F8D5" w14:textId="47387F3B"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38.4</w:t>
            </w:r>
          </w:p>
        </w:tc>
        <w:tc>
          <w:tcPr>
            <w:tcW w:w="1049" w:type="dxa"/>
            <w:shd w:val="clear" w:color="auto" w:fill="D2EDFF" w:themeFill="accent1" w:themeFillTint="1A"/>
            <w:vAlign w:val="center"/>
            <w:hideMark/>
          </w:tcPr>
          <w:p w14:paraId="5C47DD71" w14:textId="0D6B86F3"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36.5</w:t>
            </w:r>
          </w:p>
        </w:tc>
        <w:tc>
          <w:tcPr>
            <w:tcW w:w="1049" w:type="dxa"/>
            <w:shd w:val="clear" w:color="auto" w:fill="auto"/>
            <w:vAlign w:val="center"/>
            <w:hideMark/>
          </w:tcPr>
          <w:p w14:paraId="4C071EA1" w14:textId="2B088407"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33.2</w:t>
            </w:r>
          </w:p>
        </w:tc>
        <w:tc>
          <w:tcPr>
            <w:tcW w:w="1049" w:type="dxa"/>
            <w:shd w:val="clear" w:color="auto" w:fill="auto"/>
            <w:vAlign w:val="center"/>
            <w:hideMark/>
          </w:tcPr>
          <w:p w14:paraId="482ED384" w14:textId="0E7B32C2"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28.5</w:t>
            </w:r>
          </w:p>
        </w:tc>
        <w:tc>
          <w:tcPr>
            <w:tcW w:w="1049" w:type="dxa"/>
            <w:tcBorders>
              <w:right w:val="single" w:sz="4" w:space="0" w:color="auto"/>
            </w:tcBorders>
            <w:shd w:val="clear" w:color="auto" w:fill="auto"/>
            <w:vAlign w:val="center"/>
            <w:hideMark/>
          </w:tcPr>
          <w:p w14:paraId="47753E4D" w14:textId="50765BD3"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25.6</w:t>
            </w:r>
          </w:p>
        </w:tc>
        <w:tc>
          <w:tcPr>
            <w:tcW w:w="1049" w:type="dxa"/>
            <w:tcBorders>
              <w:left w:val="single" w:sz="4" w:space="0" w:color="auto"/>
            </w:tcBorders>
            <w:shd w:val="clear" w:color="auto" w:fill="auto"/>
            <w:vAlign w:val="center"/>
            <w:hideMark/>
          </w:tcPr>
          <w:p w14:paraId="77E3F785" w14:textId="0AECA39D" w:rsidR="003D3EC9" w:rsidRPr="004C2ED6" w:rsidRDefault="00050D25" w:rsidP="00756BE9">
            <w:pPr>
              <w:pStyle w:val="TableTextRight"/>
              <w:rPr>
                <w:lang w:eastAsia="en-AU"/>
              </w:rPr>
            </w:pPr>
            <w:r>
              <w:rPr>
                <w:rFonts w:ascii="Calibri" w:hAnsi="Calibri" w:cs="Calibri"/>
              </w:rPr>
              <w:noBreakHyphen/>
            </w:r>
            <w:r w:rsidR="003D3EC9">
              <w:rPr>
                <w:rFonts w:ascii="Calibri" w:hAnsi="Calibri" w:cs="Calibri"/>
              </w:rPr>
              <w:t>29.</w:t>
            </w:r>
            <w:r w:rsidR="000E1108">
              <w:rPr>
                <w:rFonts w:ascii="Calibri" w:hAnsi="Calibri" w:cs="Calibri"/>
              </w:rPr>
              <w:t>1</w:t>
            </w:r>
          </w:p>
        </w:tc>
      </w:tr>
      <w:tr w:rsidR="003D3EC9" w:rsidRPr="004C2ED6" w14:paraId="69DF93BF" w14:textId="77777777" w:rsidTr="00997375">
        <w:trPr>
          <w:trHeight w:val="227"/>
        </w:trPr>
        <w:tc>
          <w:tcPr>
            <w:tcW w:w="2778" w:type="dxa"/>
            <w:tcBorders>
              <w:bottom w:val="single" w:sz="4" w:space="0" w:color="auto"/>
            </w:tcBorders>
            <w:shd w:val="clear" w:color="auto" w:fill="auto"/>
            <w:vAlign w:val="center"/>
            <w:hideMark/>
          </w:tcPr>
          <w:p w14:paraId="11EB6341" w14:textId="77777777" w:rsidR="003D3EC9" w:rsidRPr="004C2ED6" w:rsidRDefault="003D3EC9" w:rsidP="00636638">
            <w:pPr>
              <w:pStyle w:val="Tabletextleftindent"/>
            </w:pPr>
            <w:r w:rsidRPr="004C2ED6">
              <w:t>Rest of New South Wales</w:t>
            </w:r>
          </w:p>
        </w:tc>
        <w:tc>
          <w:tcPr>
            <w:tcW w:w="1049" w:type="dxa"/>
            <w:tcBorders>
              <w:bottom w:val="single" w:sz="4" w:space="0" w:color="auto"/>
            </w:tcBorders>
            <w:shd w:val="clear" w:color="auto" w:fill="auto"/>
            <w:vAlign w:val="center"/>
            <w:hideMark/>
          </w:tcPr>
          <w:p w14:paraId="0E4B81B8" w14:textId="26AB9F59" w:rsidR="003D3EC9" w:rsidRPr="004C2ED6" w:rsidRDefault="003D3EC9" w:rsidP="00756BE9">
            <w:pPr>
              <w:pStyle w:val="TableTextRight"/>
              <w:rPr>
                <w:lang w:eastAsia="en-AU"/>
              </w:rPr>
            </w:pPr>
            <w:r>
              <w:rPr>
                <w:rFonts w:ascii="Calibri" w:hAnsi="Calibri" w:cs="Calibri"/>
              </w:rPr>
              <w:t>4.3</w:t>
            </w:r>
          </w:p>
        </w:tc>
        <w:tc>
          <w:tcPr>
            <w:tcW w:w="1049" w:type="dxa"/>
            <w:tcBorders>
              <w:bottom w:val="single" w:sz="4" w:space="0" w:color="auto"/>
            </w:tcBorders>
            <w:shd w:val="clear" w:color="auto" w:fill="D2EDFF" w:themeFill="accent1" w:themeFillTint="1A"/>
            <w:vAlign w:val="center"/>
            <w:hideMark/>
          </w:tcPr>
          <w:p w14:paraId="01BC1FCD" w14:textId="05E5B2AC" w:rsidR="003D3EC9" w:rsidRPr="004C2ED6" w:rsidRDefault="003D3EC9" w:rsidP="00756BE9">
            <w:pPr>
              <w:pStyle w:val="TableTextRight"/>
              <w:rPr>
                <w:lang w:eastAsia="en-AU"/>
              </w:rPr>
            </w:pPr>
            <w:r>
              <w:rPr>
                <w:rFonts w:ascii="Calibri" w:hAnsi="Calibri" w:cs="Calibri"/>
              </w:rPr>
              <w:t>6.4</w:t>
            </w:r>
          </w:p>
        </w:tc>
        <w:tc>
          <w:tcPr>
            <w:tcW w:w="1049" w:type="dxa"/>
            <w:tcBorders>
              <w:bottom w:val="single" w:sz="4" w:space="0" w:color="auto"/>
            </w:tcBorders>
            <w:shd w:val="clear" w:color="auto" w:fill="auto"/>
            <w:vAlign w:val="center"/>
            <w:hideMark/>
          </w:tcPr>
          <w:p w14:paraId="291CB88A" w14:textId="3345F622" w:rsidR="003D3EC9" w:rsidRPr="004C2ED6" w:rsidRDefault="003D3EC9" w:rsidP="00756BE9">
            <w:pPr>
              <w:pStyle w:val="TableTextRight"/>
              <w:rPr>
                <w:lang w:eastAsia="en-AU"/>
              </w:rPr>
            </w:pPr>
            <w:r>
              <w:rPr>
                <w:rFonts w:ascii="Calibri" w:hAnsi="Calibri" w:cs="Calibri"/>
              </w:rPr>
              <w:t>7.</w:t>
            </w:r>
            <w:r w:rsidR="00E920D0">
              <w:rPr>
                <w:rFonts w:ascii="Calibri" w:hAnsi="Calibri" w:cs="Calibri"/>
              </w:rPr>
              <w:t>7</w:t>
            </w:r>
          </w:p>
        </w:tc>
        <w:tc>
          <w:tcPr>
            <w:tcW w:w="1049" w:type="dxa"/>
            <w:tcBorders>
              <w:bottom w:val="single" w:sz="4" w:space="0" w:color="auto"/>
            </w:tcBorders>
            <w:shd w:val="clear" w:color="auto" w:fill="auto"/>
            <w:vAlign w:val="center"/>
            <w:hideMark/>
          </w:tcPr>
          <w:p w14:paraId="4DE06166" w14:textId="0BC6A859" w:rsidR="003D3EC9" w:rsidRPr="004C2ED6" w:rsidRDefault="003D3EC9" w:rsidP="00756BE9">
            <w:pPr>
              <w:pStyle w:val="TableTextRight"/>
              <w:rPr>
                <w:lang w:eastAsia="en-AU"/>
              </w:rPr>
            </w:pPr>
            <w:r>
              <w:rPr>
                <w:rFonts w:ascii="Calibri" w:hAnsi="Calibri" w:cs="Calibri"/>
              </w:rPr>
              <w:t>6.4</w:t>
            </w:r>
          </w:p>
        </w:tc>
        <w:tc>
          <w:tcPr>
            <w:tcW w:w="1049" w:type="dxa"/>
            <w:tcBorders>
              <w:bottom w:val="single" w:sz="4" w:space="0" w:color="auto"/>
              <w:right w:val="single" w:sz="4" w:space="0" w:color="auto"/>
            </w:tcBorders>
            <w:shd w:val="clear" w:color="auto" w:fill="auto"/>
            <w:vAlign w:val="center"/>
            <w:hideMark/>
          </w:tcPr>
          <w:p w14:paraId="340559AD" w14:textId="13F00D3E" w:rsidR="003D3EC9" w:rsidRPr="004C2ED6" w:rsidRDefault="003D3EC9" w:rsidP="00756BE9">
            <w:pPr>
              <w:pStyle w:val="TableTextRight"/>
              <w:rPr>
                <w:lang w:eastAsia="en-AU"/>
              </w:rPr>
            </w:pPr>
            <w:r>
              <w:rPr>
                <w:rFonts w:ascii="Calibri" w:hAnsi="Calibri" w:cs="Calibri"/>
              </w:rPr>
              <w:t>5.6</w:t>
            </w:r>
          </w:p>
        </w:tc>
        <w:tc>
          <w:tcPr>
            <w:tcW w:w="1049" w:type="dxa"/>
            <w:tcBorders>
              <w:left w:val="single" w:sz="4" w:space="0" w:color="auto"/>
              <w:bottom w:val="single" w:sz="4" w:space="0" w:color="auto"/>
            </w:tcBorders>
            <w:shd w:val="clear" w:color="auto" w:fill="auto"/>
            <w:vAlign w:val="center"/>
            <w:hideMark/>
          </w:tcPr>
          <w:p w14:paraId="4C4E1099" w14:textId="4AE82020" w:rsidR="003D3EC9" w:rsidRPr="004C2ED6" w:rsidRDefault="003D3EC9" w:rsidP="00756BE9">
            <w:pPr>
              <w:pStyle w:val="TableTextRight"/>
              <w:rPr>
                <w:lang w:eastAsia="en-AU"/>
              </w:rPr>
            </w:pPr>
            <w:r>
              <w:rPr>
                <w:rFonts w:ascii="Calibri" w:hAnsi="Calibri" w:cs="Calibri"/>
              </w:rPr>
              <w:t>8.</w:t>
            </w:r>
            <w:r w:rsidR="000E1108">
              <w:rPr>
                <w:rFonts w:ascii="Calibri" w:hAnsi="Calibri" w:cs="Calibri"/>
              </w:rPr>
              <w:t>7</w:t>
            </w:r>
          </w:p>
        </w:tc>
      </w:tr>
      <w:tr w:rsidR="003D3EC9" w:rsidRPr="004C2ED6" w14:paraId="2EB45181" w14:textId="77777777" w:rsidTr="00997375">
        <w:trPr>
          <w:trHeight w:val="227"/>
        </w:trPr>
        <w:tc>
          <w:tcPr>
            <w:tcW w:w="2778" w:type="dxa"/>
            <w:tcBorders>
              <w:top w:val="single" w:sz="4" w:space="0" w:color="auto"/>
            </w:tcBorders>
            <w:shd w:val="clear" w:color="auto" w:fill="auto"/>
            <w:vAlign w:val="center"/>
            <w:hideMark/>
          </w:tcPr>
          <w:p w14:paraId="4134023E" w14:textId="77777777" w:rsidR="003D3EC9" w:rsidRPr="004C2ED6" w:rsidRDefault="003D3EC9" w:rsidP="00636638">
            <w:pPr>
              <w:pStyle w:val="TableColumnHeadingLeft"/>
            </w:pPr>
            <w:r w:rsidRPr="004C2ED6">
              <w:t>Median age (years)</w:t>
            </w:r>
          </w:p>
        </w:tc>
        <w:tc>
          <w:tcPr>
            <w:tcW w:w="1049" w:type="dxa"/>
            <w:tcBorders>
              <w:top w:val="single" w:sz="4" w:space="0" w:color="auto"/>
            </w:tcBorders>
            <w:shd w:val="clear" w:color="auto" w:fill="auto"/>
            <w:vAlign w:val="center"/>
            <w:hideMark/>
          </w:tcPr>
          <w:p w14:paraId="0346E808" w14:textId="77777777" w:rsidR="003D3EC9" w:rsidRPr="004C2ED6" w:rsidRDefault="003D3EC9" w:rsidP="00756BE9">
            <w:pPr>
              <w:pStyle w:val="TableTextRight"/>
              <w:rPr>
                <w:b/>
                <w:bCs/>
                <w:color w:val="002C47"/>
                <w:lang w:eastAsia="en-AU"/>
              </w:rPr>
            </w:pPr>
          </w:p>
        </w:tc>
        <w:tc>
          <w:tcPr>
            <w:tcW w:w="1049" w:type="dxa"/>
            <w:tcBorders>
              <w:top w:val="single" w:sz="4" w:space="0" w:color="auto"/>
            </w:tcBorders>
            <w:shd w:val="clear" w:color="auto" w:fill="D2EDFF" w:themeFill="accent1" w:themeFillTint="1A"/>
            <w:vAlign w:val="center"/>
            <w:hideMark/>
          </w:tcPr>
          <w:p w14:paraId="524036C6" w14:textId="222E1224" w:rsidR="003D3EC9" w:rsidRPr="004C2ED6" w:rsidRDefault="003D3EC9" w:rsidP="00756BE9">
            <w:pPr>
              <w:pStyle w:val="TableTextRight"/>
              <w:rPr>
                <w:lang w:eastAsia="en-AU"/>
              </w:rPr>
            </w:pPr>
            <w:r>
              <w:rPr>
                <w:rFonts w:ascii="Calibri" w:hAnsi="Calibri" w:cs="Calibri"/>
              </w:rPr>
              <w:t> </w:t>
            </w:r>
          </w:p>
        </w:tc>
        <w:tc>
          <w:tcPr>
            <w:tcW w:w="1049" w:type="dxa"/>
            <w:tcBorders>
              <w:top w:val="single" w:sz="4" w:space="0" w:color="auto"/>
            </w:tcBorders>
            <w:shd w:val="clear" w:color="auto" w:fill="auto"/>
            <w:vAlign w:val="center"/>
            <w:hideMark/>
          </w:tcPr>
          <w:p w14:paraId="048228CC" w14:textId="77777777" w:rsidR="003D3EC9" w:rsidRPr="004C2ED6" w:rsidRDefault="003D3EC9" w:rsidP="00756BE9">
            <w:pPr>
              <w:pStyle w:val="TableTextRight"/>
              <w:rPr>
                <w:lang w:eastAsia="en-AU"/>
              </w:rPr>
            </w:pPr>
          </w:p>
        </w:tc>
        <w:tc>
          <w:tcPr>
            <w:tcW w:w="1049" w:type="dxa"/>
            <w:tcBorders>
              <w:top w:val="single" w:sz="4" w:space="0" w:color="auto"/>
            </w:tcBorders>
            <w:shd w:val="clear" w:color="auto" w:fill="auto"/>
            <w:vAlign w:val="center"/>
            <w:hideMark/>
          </w:tcPr>
          <w:p w14:paraId="1063BC94" w14:textId="77777777" w:rsidR="003D3EC9" w:rsidRPr="004C2ED6" w:rsidRDefault="003D3EC9" w:rsidP="00756BE9">
            <w:pPr>
              <w:pStyle w:val="TableTextRight"/>
              <w:rPr>
                <w:rFonts w:ascii="Times New Roman" w:hAnsi="Times New Roman" w:cs="Times New Roman"/>
                <w:lang w:eastAsia="en-AU"/>
              </w:rPr>
            </w:pPr>
          </w:p>
        </w:tc>
        <w:tc>
          <w:tcPr>
            <w:tcW w:w="1049" w:type="dxa"/>
            <w:tcBorders>
              <w:top w:val="single" w:sz="4" w:space="0" w:color="auto"/>
              <w:right w:val="single" w:sz="4" w:space="0" w:color="auto"/>
            </w:tcBorders>
            <w:shd w:val="clear" w:color="auto" w:fill="auto"/>
            <w:vAlign w:val="center"/>
            <w:hideMark/>
          </w:tcPr>
          <w:p w14:paraId="5D464285" w14:textId="6B4D0A21" w:rsidR="003D3EC9" w:rsidRPr="004C2ED6" w:rsidRDefault="003D3EC9" w:rsidP="00756BE9">
            <w:pPr>
              <w:pStyle w:val="TableTextRight"/>
              <w:rPr>
                <w:lang w:eastAsia="en-AU"/>
              </w:rPr>
            </w:pPr>
            <w:r>
              <w:rPr>
                <w:rFonts w:ascii="Calibri" w:hAnsi="Calibri" w:cs="Calibri"/>
              </w:rPr>
              <w:t> </w:t>
            </w:r>
          </w:p>
        </w:tc>
        <w:tc>
          <w:tcPr>
            <w:tcW w:w="1049" w:type="dxa"/>
            <w:tcBorders>
              <w:top w:val="single" w:sz="4" w:space="0" w:color="auto"/>
              <w:left w:val="single" w:sz="4" w:space="0" w:color="auto"/>
            </w:tcBorders>
            <w:shd w:val="clear" w:color="auto" w:fill="auto"/>
            <w:vAlign w:val="center"/>
            <w:hideMark/>
          </w:tcPr>
          <w:p w14:paraId="6B72D077" w14:textId="77777777" w:rsidR="003D3EC9" w:rsidRPr="004C2ED6" w:rsidRDefault="003D3EC9" w:rsidP="00756BE9">
            <w:pPr>
              <w:pStyle w:val="TableTextRight"/>
              <w:rPr>
                <w:lang w:eastAsia="en-AU"/>
              </w:rPr>
            </w:pPr>
          </w:p>
        </w:tc>
      </w:tr>
      <w:tr w:rsidR="003D3EC9" w:rsidRPr="004C2ED6" w14:paraId="3C215C82" w14:textId="77777777" w:rsidTr="00997375">
        <w:trPr>
          <w:trHeight w:val="227"/>
        </w:trPr>
        <w:tc>
          <w:tcPr>
            <w:tcW w:w="2778" w:type="dxa"/>
            <w:shd w:val="clear" w:color="auto" w:fill="auto"/>
            <w:vAlign w:val="center"/>
            <w:hideMark/>
          </w:tcPr>
          <w:p w14:paraId="56A78778" w14:textId="77777777" w:rsidR="003D3EC9" w:rsidRPr="004C2ED6" w:rsidRDefault="003D3EC9" w:rsidP="00636638">
            <w:pPr>
              <w:pStyle w:val="TableTextLeftBlue"/>
            </w:pPr>
            <w:r w:rsidRPr="004C2ED6">
              <w:t>New South Wales</w:t>
            </w:r>
          </w:p>
        </w:tc>
        <w:tc>
          <w:tcPr>
            <w:tcW w:w="1049" w:type="dxa"/>
            <w:shd w:val="clear" w:color="auto" w:fill="auto"/>
            <w:vAlign w:val="center"/>
            <w:hideMark/>
          </w:tcPr>
          <w:p w14:paraId="7404FCFA" w14:textId="2F66F8EE" w:rsidR="003D3EC9" w:rsidRPr="004C2ED6" w:rsidRDefault="000E1108" w:rsidP="00756BE9">
            <w:pPr>
              <w:pStyle w:val="TableTextRight"/>
              <w:rPr>
                <w:lang w:eastAsia="en-AU"/>
              </w:rPr>
            </w:pPr>
            <w:r>
              <w:rPr>
                <w:rFonts w:ascii="Calibri" w:hAnsi="Calibri" w:cs="Calibri"/>
              </w:rPr>
              <w:t>38</w:t>
            </w:r>
            <w:r w:rsidR="003D3EC9">
              <w:rPr>
                <w:rFonts w:ascii="Calibri" w:hAnsi="Calibri" w:cs="Calibri"/>
              </w:rPr>
              <w:t>.4</w:t>
            </w:r>
          </w:p>
        </w:tc>
        <w:tc>
          <w:tcPr>
            <w:tcW w:w="1049" w:type="dxa"/>
            <w:shd w:val="clear" w:color="auto" w:fill="D2EDFF" w:themeFill="accent1" w:themeFillTint="1A"/>
            <w:vAlign w:val="center"/>
            <w:hideMark/>
          </w:tcPr>
          <w:p w14:paraId="7E6A02B8" w14:textId="7216409A" w:rsidR="003D3EC9" w:rsidRPr="004C2ED6" w:rsidRDefault="000E1108" w:rsidP="00756BE9">
            <w:pPr>
              <w:pStyle w:val="TableTextRight"/>
              <w:rPr>
                <w:lang w:eastAsia="en-AU"/>
              </w:rPr>
            </w:pPr>
            <w:r>
              <w:rPr>
                <w:rFonts w:ascii="Calibri" w:hAnsi="Calibri" w:cs="Calibri"/>
              </w:rPr>
              <w:t>38</w:t>
            </w:r>
            <w:r w:rsidR="003D3EC9">
              <w:rPr>
                <w:rFonts w:ascii="Calibri" w:hAnsi="Calibri" w:cs="Calibri"/>
              </w:rPr>
              <w:t>.4</w:t>
            </w:r>
          </w:p>
        </w:tc>
        <w:tc>
          <w:tcPr>
            <w:tcW w:w="1049" w:type="dxa"/>
            <w:shd w:val="clear" w:color="auto" w:fill="auto"/>
            <w:vAlign w:val="center"/>
            <w:hideMark/>
          </w:tcPr>
          <w:p w14:paraId="43F74F72" w14:textId="1142F9F9" w:rsidR="003D3EC9" w:rsidRPr="004C2ED6" w:rsidRDefault="000E1108" w:rsidP="00756BE9">
            <w:pPr>
              <w:pStyle w:val="TableTextRight"/>
              <w:rPr>
                <w:lang w:eastAsia="en-AU"/>
              </w:rPr>
            </w:pPr>
            <w:r>
              <w:rPr>
                <w:rFonts w:ascii="Calibri" w:hAnsi="Calibri" w:cs="Calibri"/>
              </w:rPr>
              <w:t>38</w:t>
            </w:r>
            <w:r w:rsidR="003D3EC9">
              <w:rPr>
                <w:rFonts w:ascii="Calibri" w:hAnsi="Calibri" w:cs="Calibri"/>
              </w:rPr>
              <w:t>.4</w:t>
            </w:r>
          </w:p>
        </w:tc>
        <w:tc>
          <w:tcPr>
            <w:tcW w:w="1049" w:type="dxa"/>
            <w:shd w:val="clear" w:color="auto" w:fill="auto"/>
            <w:vAlign w:val="center"/>
            <w:hideMark/>
          </w:tcPr>
          <w:p w14:paraId="01AF92F9" w14:textId="313AC359" w:rsidR="003D3EC9" w:rsidRPr="004C2ED6" w:rsidRDefault="000E1108" w:rsidP="00756BE9">
            <w:pPr>
              <w:pStyle w:val="TableTextRight"/>
              <w:rPr>
                <w:lang w:eastAsia="en-AU"/>
              </w:rPr>
            </w:pPr>
            <w:r>
              <w:rPr>
                <w:rFonts w:ascii="Calibri" w:hAnsi="Calibri" w:cs="Calibri"/>
              </w:rPr>
              <w:t>38</w:t>
            </w:r>
            <w:r w:rsidR="003D3EC9">
              <w:rPr>
                <w:rFonts w:ascii="Calibri" w:hAnsi="Calibri" w:cs="Calibri"/>
              </w:rPr>
              <w:t>.5</w:t>
            </w:r>
          </w:p>
        </w:tc>
        <w:tc>
          <w:tcPr>
            <w:tcW w:w="1049" w:type="dxa"/>
            <w:tcBorders>
              <w:right w:val="single" w:sz="4" w:space="0" w:color="auto"/>
            </w:tcBorders>
            <w:shd w:val="clear" w:color="auto" w:fill="auto"/>
            <w:vAlign w:val="center"/>
            <w:hideMark/>
          </w:tcPr>
          <w:p w14:paraId="47A603AB" w14:textId="5B6F6490" w:rsidR="003D3EC9" w:rsidRPr="004C2ED6" w:rsidRDefault="000E1108" w:rsidP="00756BE9">
            <w:pPr>
              <w:pStyle w:val="TableTextRight"/>
              <w:rPr>
                <w:lang w:eastAsia="en-AU"/>
              </w:rPr>
            </w:pPr>
            <w:r>
              <w:rPr>
                <w:rFonts w:ascii="Calibri" w:hAnsi="Calibri" w:cs="Calibri"/>
              </w:rPr>
              <w:t>38.6</w:t>
            </w:r>
          </w:p>
        </w:tc>
        <w:tc>
          <w:tcPr>
            <w:tcW w:w="1049" w:type="dxa"/>
            <w:tcBorders>
              <w:left w:val="single" w:sz="4" w:space="0" w:color="auto"/>
            </w:tcBorders>
            <w:shd w:val="clear" w:color="auto" w:fill="auto"/>
            <w:vAlign w:val="center"/>
            <w:hideMark/>
          </w:tcPr>
          <w:p w14:paraId="46E78D37" w14:textId="375A3685" w:rsidR="003D3EC9" w:rsidRPr="004C2ED6" w:rsidRDefault="000E1108" w:rsidP="00756BE9">
            <w:pPr>
              <w:pStyle w:val="TableTextRight"/>
              <w:rPr>
                <w:lang w:eastAsia="en-AU"/>
              </w:rPr>
            </w:pPr>
            <w:r>
              <w:rPr>
                <w:rFonts w:ascii="Calibri" w:hAnsi="Calibri" w:cs="Calibri"/>
              </w:rPr>
              <w:t>39.7</w:t>
            </w:r>
          </w:p>
        </w:tc>
      </w:tr>
      <w:tr w:rsidR="003D3EC9" w:rsidRPr="004C2ED6" w14:paraId="22E31A4E" w14:textId="77777777" w:rsidTr="00997375">
        <w:trPr>
          <w:trHeight w:val="227"/>
        </w:trPr>
        <w:tc>
          <w:tcPr>
            <w:tcW w:w="2778" w:type="dxa"/>
            <w:shd w:val="clear" w:color="auto" w:fill="auto"/>
            <w:vAlign w:val="center"/>
            <w:hideMark/>
          </w:tcPr>
          <w:p w14:paraId="66E6C5C9" w14:textId="77777777" w:rsidR="003D3EC9" w:rsidRPr="004C2ED6" w:rsidRDefault="003D3EC9" w:rsidP="00636638">
            <w:pPr>
              <w:pStyle w:val="Tabletextleftindent"/>
            </w:pPr>
            <w:r w:rsidRPr="004C2ED6">
              <w:t xml:space="preserve">Greater Sydney </w:t>
            </w:r>
          </w:p>
        </w:tc>
        <w:tc>
          <w:tcPr>
            <w:tcW w:w="1049" w:type="dxa"/>
            <w:shd w:val="clear" w:color="auto" w:fill="auto"/>
            <w:vAlign w:val="center"/>
            <w:hideMark/>
          </w:tcPr>
          <w:p w14:paraId="3E3E92B3" w14:textId="2CEDC340" w:rsidR="003D3EC9" w:rsidRPr="004C2ED6" w:rsidRDefault="000E1108" w:rsidP="00756BE9">
            <w:pPr>
              <w:pStyle w:val="TableTextRight"/>
              <w:rPr>
                <w:lang w:eastAsia="en-AU"/>
              </w:rPr>
            </w:pPr>
            <w:r>
              <w:rPr>
                <w:rFonts w:ascii="Calibri" w:hAnsi="Calibri" w:cs="Calibri"/>
              </w:rPr>
              <w:t>36</w:t>
            </w:r>
            <w:r w:rsidR="003D3EC9">
              <w:rPr>
                <w:rFonts w:ascii="Calibri" w:hAnsi="Calibri" w:cs="Calibri"/>
              </w:rPr>
              <w:t>.8</w:t>
            </w:r>
          </w:p>
        </w:tc>
        <w:tc>
          <w:tcPr>
            <w:tcW w:w="1049" w:type="dxa"/>
            <w:shd w:val="clear" w:color="auto" w:fill="D2EDFF" w:themeFill="accent1" w:themeFillTint="1A"/>
            <w:vAlign w:val="center"/>
            <w:hideMark/>
          </w:tcPr>
          <w:p w14:paraId="018EBF56" w14:textId="0EE8427A" w:rsidR="003D3EC9" w:rsidRPr="004C2ED6" w:rsidRDefault="000E1108" w:rsidP="00756BE9">
            <w:pPr>
              <w:pStyle w:val="TableTextRight"/>
              <w:rPr>
                <w:lang w:eastAsia="en-AU"/>
              </w:rPr>
            </w:pPr>
            <w:r>
              <w:rPr>
                <w:rFonts w:ascii="Calibri" w:hAnsi="Calibri" w:cs="Calibri"/>
              </w:rPr>
              <w:t>36</w:t>
            </w:r>
            <w:r w:rsidR="003D3EC9">
              <w:rPr>
                <w:rFonts w:ascii="Calibri" w:hAnsi="Calibri" w:cs="Calibri"/>
              </w:rPr>
              <w:t>.7</w:t>
            </w:r>
          </w:p>
        </w:tc>
        <w:tc>
          <w:tcPr>
            <w:tcW w:w="1049" w:type="dxa"/>
            <w:shd w:val="clear" w:color="auto" w:fill="auto"/>
            <w:vAlign w:val="center"/>
            <w:hideMark/>
          </w:tcPr>
          <w:p w14:paraId="5C4F05B4" w14:textId="7AFDB6AE" w:rsidR="003D3EC9" w:rsidRPr="004C2ED6" w:rsidRDefault="000E1108" w:rsidP="00756BE9">
            <w:pPr>
              <w:pStyle w:val="TableTextRight"/>
              <w:rPr>
                <w:lang w:eastAsia="en-AU"/>
              </w:rPr>
            </w:pPr>
            <w:r>
              <w:rPr>
                <w:rFonts w:ascii="Calibri" w:hAnsi="Calibri" w:cs="Calibri"/>
              </w:rPr>
              <w:t>36</w:t>
            </w:r>
            <w:r w:rsidR="003D3EC9">
              <w:rPr>
                <w:rFonts w:ascii="Calibri" w:hAnsi="Calibri" w:cs="Calibri"/>
              </w:rPr>
              <w:t>.7</w:t>
            </w:r>
          </w:p>
        </w:tc>
        <w:tc>
          <w:tcPr>
            <w:tcW w:w="1049" w:type="dxa"/>
            <w:shd w:val="clear" w:color="auto" w:fill="auto"/>
            <w:vAlign w:val="center"/>
            <w:hideMark/>
          </w:tcPr>
          <w:p w14:paraId="5E9AC4D3" w14:textId="71506EA1" w:rsidR="003D3EC9" w:rsidRPr="004C2ED6" w:rsidRDefault="000E1108" w:rsidP="00756BE9">
            <w:pPr>
              <w:pStyle w:val="TableTextRight"/>
              <w:rPr>
                <w:lang w:eastAsia="en-AU"/>
              </w:rPr>
            </w:pPr>
            <w:r>
              <w:rPr>
                <w:rFonts w:ascii="Calibri" w:hAnsi="Calibri" w:cs="Calibri"/>
              </w:rPr>
              <w:t>36.7</w:t>
            </w:r>
          </w:p>
        </w:tc>
        <w:tc>
          <w:tcPr>
            <w:tcW w:w="1049" w:type="dxa"/>
            <w:tcBorders>
              <w:right w:val="single" w:sz="4" w:space="0" w:color="auto"/>
            </w:tcBorders>
            <w:shd w:val="clear" w:color="auto" w:fill="auto"/>
            <w:vAlign w:val="center"/>
            <w:hideMark/>
          </w:tcPr>
          <w:p w14:paraId="727DB04F" w14:textId="640B69B4" w:rsidR="003D3EC9" w:rsidRPr="004C2ED6" w:rsidRDefault="000E1108" w:rsidP="00756BE9">
            <w:pPr>
              <w:pStyle w:val="TableTextRight"/>
              <w:rPr>
                <w:lang w:eastAsia="en-AU"/>
              </w:rPr>
            </w:pPr>
            <w:r>
              <w:rPr>
                <w:rFonts w:ascii="Calibri" w:hAnsi="Calibri" w:cs="Calibri"/>
              </w:rPr>
              <w:t>36.8</w:t>
            </w:r>
          </w:p>
        </w:tc>
        <w:tc>
          <w:tcPr>
            <w:tcW w:w="1049" w:type="dxa"/>
            <w:tcBorders>
              <w:left w:val="single" w:sz="4" w:space="0" w:color="auto"/>
            </w:tcBorders>
            <w:shd w:val="clear" w:color="auto" w:fill="auto"/>
            <w:vAlign w:val="center"/>
            <w:hideMark/>
          </w:tcPr>
          <w:p w14:paraId="5AE1C8D9" w14:textId="3536C021" w:rsidR="003D3EC9" w:rsidRPr="004C2ED6" w:rsidRDefault="000E1108" w:rsidP="00756BE9">
            <w:pPr>
              <w:pStyle w:val="TableTextRight"/>
              <w:rPr>
                <w:lang w:eastAsia="en-AU"/>
              </w:rPr>
            </w:pPr>
            <w:r>
              <w:rPr>
                <w:rFonts w:ascii="Calibri" w:hAnsi="Calibri" w:cs="Calibri"/>
              </w:rPr>
              <w:t>37</w:t>
            </w:r>
            <w:r w:rsidR="003D3EC9">
              <w:rPr>
                <w:rFonts w:ascii="Calibri" w:hAnsi="Calibri" w:cs="Calibri"/>
              </w:rPr>
              <w:t>.6</w:t>
            </w:r>
          </w:p>
        </w:tc>
      </w:tr>
      <w:tr w:rsidR="003D3EC9" w:rsidRPr="004C2ED6" w14:paraId="49B88889" w14:textId="77777777" w:rsidTr="00997375">
        <w:trPr>
          <w:trHeight w:val="227"/>
        </w:trPr>
        <w:tc>
          <w:tcPr>
            <w:tcW w:w="2778" w:type="dxa"/>
            <w:tcBorders>
              <w:bottom w:val="single" w:sz="4" w:space="0" w:color="auto"/>
            </w:tcBorders>
            <w:shd w:val="clear" w:color="auto" w:fill="auto"/>
            <w:vAlign w:val="center"/>
            <w:hideMark/>
          </w:tcPr>
          <w:p w14:paraId="7D74E445" w14:textId="77777777" w:rsidR="003D3EC9" w:rsidRPr="004C2ED6" w:rsidRDefault="003D3EC9" w:rsidP="00636638">
            <w:pPr>
              <w:pStyle w:val="Tabletextleftindent"/>
            </w:pPr>
            <w:r w:rsidRPr="004C2ED6">
              <w:t>Rest of New South Wales</w:t>
            </w:r>
          </w:p>
        </w:tc>
        <w:tc>
          <w:tcPr>
            <w:tcW w:w="1049" w:type="dxa"/>
            <w:tcBorders>
              <w:bottom w:val="single" w:sz="4" w:space="0" w:color="auto"/>
            </w:tcBorders>
            <w:shd w:val="clear" w:color="auto" w:fill="auto"/>
            <w:vAlign w:val="center"/>
            <w:hideMark/>
          </w:tcPr>
          <w:p w14:paraId="08662547" w14:textId="062F1076" w:rsidR="003D3EC9" w:rsidRPr="004C2ED6" w:rsidRDefault="000E1108" w:rsidP="00756BE9">
            <w:pPr>
              <w:pStyle w:val="TableTextRight"/>
              <w:rPr>
                <w:lang w:eastAsia="en-AU"/>
              </w:rPr>
            </w:pPr>
            <w:r>
              <w:rPr>
                <w:rFonts w:ascii="Calibri" w:hAnsi="Calibri" w:cs="Calibri"/>
              </w:rPr>
              <w:t>42</w:t>
            </w:r>
            <w:r w:rsidR="003D3EC9">
              <w:rPr>
                <w:rFonts w:ascii="Calibri" w:hAnsi="Calibri" w:cs="Calibri"/>
              </w:rPr>
              <w:t>.4</w:t>
            </w:r>
          </w:p>
        </w:tc>
        <w:tc>
          <w:tcPr>
            <w:tcW w:w="1049" w:type="dxa"/>
            <w:tcBorders>
              <w:bottom w:val="single" w:sz="4" w:space="0" w:color="auto"/>
            </w:tcBorders>
            <w:shd w:val="clear" w:color="auto" w:fill="D2EDFF" w:themeFill="accent1" w:themeFillTint="1A"/>
            <w:vAlign w:val="center"/>
            <w:hideMark/>
          </w:tcPr>
          <w:p w14:paraId="51B0D229" w14:textId="02BDBCC6" w:rsidR="003D3EC9" w:rsidRPr="004C2ED6" w:rsidRDefault="000E1108" w:rsidP="00756BE9">
            <w:pPr>
              <w:pStyle w:val="TableTextRight"/>
              <w:rPr>
                <w:lang w:eastAsia="en-AU"/>
              </w:rPr>
            </w:pPr>
            <w:r>
              <w:rPr>
                <w:rFonts w:ascii="Calibri" w:hAnsi="Calibri" w:cs="Calibri"/>
              </w:rPr>
              <w:t>42</w:t>
            </w:r>
            <w:r w:rsidR="003D3EC9">
              <w:rPr>
                <w:rFonts w:ascii="Calibri" w:hAnsi="Calibri" w:cs="Calibri"/>
              </w:rPr>
              <w:t>.5</w:t>
            </w:r>
          </w:p>
        </w:tc>
        <w:tc>
          <w:tcPr>
            <w:tcW w:w="1049" w:type="dxa"/>
            <w:tcBorders>
              <w:bottom w:val="single" w:sz="4" w:space="0" w:color="auto"/>
            </w:tcBorders>
            <w:shd w:val="clear" w:color="auto" w:fill="auto"/>
            <w:vAlign w:val="center"/>
            <w:hideMark/>
          </w:tcPr>
          <w:p w14:paraId="077B3FAC" w14:textId="4045FEA4" w:rsidR="003D3EC9" w:rsidRPr="004C2ED6" w:rsidRDefault="000E1108" w:rsidP="00756BE9">
            <w:pPr>
              <w:pStyle w:val="TableTextRight"/>
              <w:rPr>
                <w:lang w:eastAsia="en-AU"/>
              </w:rPr>
            </w:pPr>
            <w:r>
              <w:rPr>
                <w:rFonts w:ascii="Calibri" w:hAnsi="Calibri" w:cs="Calibri"/>
              </w:rPr>
              <w:t>42.6</w:t>
            </w:r>
          </w:p>
        </w:tc>
        <w:tc>
          <w:tcPr>
            <w:tcW w:w="1049" w:type="dxa"/>
            <w:tcBorders>
              <w:bottom w:val="single" w:sz="4" w:space="0" w:color="auto"/>
            </w:tcBorders>
            <w:shd w:val="clear" w:color="auto" w:fill="auto"/>
            <w:vAlign w:val="center"/>
            <w:hideMark/>
          </w:tcPr>
          <w:p w14:paraId="1E46559F" w14:textId="2980B703" w:rsidR="003D3EC9" w:rsidRPr="004C2ED6" w:rsidRDefault="000E1108" w:rsidP="00756BE9">
            <w:pPr>
              <w:pStyle w:val="TableTextRight"/>
              <w:rPr>
                <w:lang w:eastAsia="en-AU"/>
              </w:rPr>
            </w:pPr>
            <w:r>
              <w:rPr>
                <w:rFonts w:ascii="Calibri" w:hAnsi="Calibri" w:cs="Calibri"/>
              </w:rPr>
              <w:t>42.</w:t>
            </w:r>
            <w:r w:rsidR="00E920D0">
              <w:rPr>
                <w:rFonts w:ascii="Calibri" w:hAnsi="Calibri" w:cs="Calibri"/>
              </w:rPr>
              <w:t>9</w:t>
            </w:r>
          </w:p>
        </w:tc>
        <w:tc>
          <w:tcPr>
            <w:tcW w:w="1049" w:type="dxa"/>
            <w:tcBorders>
              <w:bottom w:val="single" w:sz="4" w:space="0" w:color="auto"/>
              <w:right w:val="single" w:sz="4" w:space="0" w:color="auto"/>
            </w:tcBorders>
            <w:shd w:val="clear" w:color="auto" w:fill="auto"/>
            <w:vAlign w:val="center"/>
            <w:hideMark/>
          </w:tcPr>
          <w:p w14:paraId="0B4F67B7" w14:textId="0D6F5309" w:rsidR="003D3EC9" w:rsidRPr="004C2ED6" w:rsidRDefault="000E1108" w:rsidP="00756BE9">
            <w:pPr>
              <w:pStyle w:val="TableTextRight"/>
              <w:rPr>
                <w:lang w:eastAsia="en-AU"/>
              </w:rPr>
            </w:pPr>
            <w:r>
              <w:rPr>
                <w:rFonts w:ascii="Calibri" w:hAnsi="Calibri" w:cs="Calibri"/>
              </w:rPr>
              <w:t>43.1</w:t>
            </w:r>
          </w:p>
        </w:tc>
        <w:tc>
          <w:tcPr>
            <w:tcW w:w="1049" w:type="dxa"/>
            <w:tcBorders>
              <w:left w:val="single" w:sz="4" w:space="0" w:color="auto"/>
              <w:bottom w:val="single" w:sz="4" w:space="0" w:color="auto"/>
            </w:tcBorders>
            <w:shd w:val="clear" w:color="auto" w:fill="auto"/>
            <w:vAlign w:val="center"/>
            <w:hideMark/>
          </w:tcPr>
          <w:p w14:paraId="004A9EBE" w14:textId="2DFD4098" w:rsidR="003D3EC9" w:rsidRPr="004C2ED6" w:rsidRDefault="000E1108" w:rsidP="00756BE9">
            <w:pPr>
              <w:pStyle w:val="TableTextRight"/>
              <w:rPr>
                <w:lang w:eastAsia="en-AU"/>
              </w:rPr>
            </w:pPr>
            <w:r>
              <w:rPr>
                <w:rFonts w:ascii="Calibri" w:hAnsi="Calibri" w:cs="Calibri"/>
              </w:rPr>
              <w:t>45.0</w:t>
            </w:r>
          </w:p>
        </w:tc>
      </w:tr>
    </w:tbl>
    <w:p w14:paraId="475ABB60" w14:textId="490370C8" w:rsidR="003D3EC9" w:rsidRDefault="003D3EC9" w:rsidP="003D3EC9">
      <w:pPr>
        <w:pStyle w:val="Source"/>
      </w:pPr>
      <w:r w:rsidRPr="00D47BF1">
        <w:t xml:space="preserve">Source: </w:t>
      </w:r>
      <w:r>
        <w:tab/>
      </w:r>
      <w:r w:rsidRPr="00D47BF1">
        <w:t xml:space="preserve">ABS, </w:t>
      </w:r>
      <w:r w:rsidR="009155F8" w:rsidRPr="009155F8">
        <w:rPr>
          <w:i/>
        </w:rPr>
        <w:t>National, state and territory population, March 2024</w:t>
      </w:r>
      <w:r>
        <w:t>;</w:t>
      </w:r>
      <w:r w:rsidRPr="00D47BF1">
        <w:t xml:space="preserve"> ABS, </w:t>
      </w:r>
      <w:r w:rsidR="0035214B">
        <w:rPr>
          <w:i/>
          <w:iCs/>
        </w:rPr>
        <w:t>Regional population, 2022–23</w:t>
      </w:r>
      <w:r>
        <w:t>;</w:t>
      </w:r>
      <w:r w:rsidRPr="00D47BF1">
        <w:t xml:space="preserve"> and Centre for Population.</w:t>
      </w:r>
      <w:bookmarkStart w:id="185" w:name="_Toc151994724"/>
    </w:p>
    <w:p w14:paraId="07447F37" w14:textId="77777777" w:rsidR="00756BE9" w:rsidRDefault="00756BE9" w:rsidP="00997375">
      <w:pPr>
        <w:pStyle w:val="SingleParagraph"/>
        <w:rPr>
          <w:color w:val="FFFFFF" w:themeColor="background1"/>
          <w:spacing w:val="15"/>
        </w:rPr>
      </w:pPr>
      <w:bookmarkStart w:id="186" w:name="_Toc149846509"/>
      <w:bookmarkStart w:id="187" w:name="_Toc149846550"/>
      <w:bookmarkStart w:id="188" w:name="_Toc149846648"/>
      <w:bookmarkStart w:id="189" w:name="_Toc149847591"/>
      <w:bookmarkStart w:id="190" w:name="_Toc180584522"/>
      <w:r>
        <w:br w:type="page"/>
      </w:r>
    </w:p>
    <w:p w14:paraId="7ED31E4C" w14:textId="24205408" w:rsidR="003D3EC9" w:rsidRPr="00EE5854" w:rsidRDefault="003D3EC9" w:rsidP="003D3EC9">
      <w:pPr>
        <w:pStyle w:val="Heading2Numbered"/>
      </w:pPr>
      <w:bookmarkStart w:id="191" w:name="_Toc185333113"/>
      <w:bookmarkStart w:id="192" w:name="_Toc185346730"/>
      <w:r>
        <w:lastRenderedPageBreak/>
        <w:t>Victoria</w:t>
      </w:r>
      <w:bookmarkEnd w:id="185"/>
      <w:bookmarkEnd w:id="186"/>
      <w:bookmarkEnd w:id="187"/>
      <w:bookmarkEnd w:id="188"/>
      <w:bookmarkEnd w:id="189"/>
      <w:bookmarkEnd w:id="190"/>
      <w:bookmarkEnd w:id="191"/>
      <w:bookmarkEnd w:id="192"/>
    </w:p>
    <w:p w14:paraId="043E544E" w14:textId="1A52E18E" w:rsidR="003D3EC9" w:rsidRDefault="003D3EC9" w:rsidP="00997375">
      <w:r>
        <w:t xml:space="preserve">Victoria is projected to grow from a population of </w:t>
      </w:r>
      <w:r w:rsidR="003F6F07">
        <w:t>7.0</w:t>
      </w:r>
      <w:r w:rsidR="00FE7670">
        <w:t> </w:t>
      </w:r>
      <w:r w:rsidR="00FF207F">
        <w:t>million</w:t>
      </w:r>
      <w:r>
        <w:t xml:space="preserve"> in 2023–24 to 8.</w:t>
      </w:r>
      <w:r w:rsidR="00B2680B">
        <w:t>2</w:t>
      </w:r>
      <w:r w:rsidR="00FF207F">
        <w:t> million</w:t>
      </w:r>
      <w:r>
        <w:t xml:space="preserve"> in 2034–35. Growth is forecast to fall to 2.5</w:t>
      </w:r>
      <w:r w:rsidR="00FF207F">
        <w:t> per cent</w:t>
      </w:r>
      <w:r>
        <w:t xml:space="preserve"> in 2023–24 and 1.</w:t>
      </w:r>
      <w:r w:rsidR="00F02B80">
        <w:t>9 </w:t>
      </w:r>
      <w:r w:rsidR="00FF207F">
        <w:t>per cent</w:t>
      </w:r>
      <w:r>
        <w:t xml:space="preserve"> in 2024–25, declining to 1.</w:t>
      </w:r>
      <w:r w:rsidR="00F02B80">
        <w:t>4 </w:t>
      </w:r>
      <w:r w:rsidR="00FF207F">
        <w:t>per cent</w:t>
      </w:r>
      <w:r>
        <w:t xml:space="preserve"> in 2034–35.</w:t>
      </w:r>
      <w:r w:rsidR="00B047AA">
        <w:t xml:space="preserve"> Victoria is projected to be the second fastest growing state over the projection period, slightly behind Western</w:t>
      </w:r>
      <w:r w:rsidR="001339E1">
        <w:t> </w:t>
      </w:r>
      <w:r w:rsidR="00B047AA">
        <w:t>Australia.</w:t>
      </w:r>
    </w:p>
    <w:p w14:paraId="6634F034" w14:textId="544C9DD0" w:rsidR="003D3EC9" w:rsidRDefault="003D3EC9" w:rsidP="00997375">
      <w:r>
        <w:t xml:space="preserve">Outside </w:t>
      </w:r>
      <w:r w:rsidR="000D66D9">
        <w:t xml:space="preserve">of </w:t>
      </w:r>
      <w:r>
        <w:t>the COVID</w:t>
      </w:r>
      <w:r w:rsidR="00050D25">
        <w:noBreakHyphen/>
      </w:r>
      <w:r>
        <w:t xml:space="preserve">19 disruptions </w:t>
      </w:r>
      <w:r w:rsidR="000D66D9">
        <w:t>in</w:t>
      </w:r>
      <w:r>
        <w:t xml:space="preserve"> 2020–21, </w:t>
      </w:r>
      <w:r w:rsidR="00E84835">
        <w:t>NOM</w:t>
      </w:r>
      <w:r>
        <w:t xml:space="preserve"> has consistently been the largest contributor to Victoria</w:t>
      </w:r>
      <w:r w:rsidR="00050D25">
        <w:t>’</w:t>
      </w:r>
      <w:r>
        <w:t xml:space="preserve">s population growth. </w:t>
      </w:r>
      <w:r w:rsidR="00E84835">
        <w:t>NOM</w:t>
      </w:r>
      <w:r>
        <w:t xml:space="preserve"> is expected to subside, contributing around 0.9 percentage points to growth per year from 2025–26, the largest of any state</w:t>
      </w:r>
      <w:r w:rsidR="001B75B4">
        <w:t>,</w:t>
      </w:r>
      <w:r w:rsidR="00023330">
        <w:t xml:space="preserve"> and most of the state</w:t>
      </w:r>
      <w:r w:rsidR="00050D25">
        <w:t>’</w:t>
      </w:r>
      <w:r w:rsidR="00023330">
        <w:t>s growth</w:t>
      </w:r>
      <w:r>
        <w:t xml:space="preserve">. Net interstate migration to Victoria was positive in the March quarter of 2024, for the first time since the pandemic. </w:t>
      </w:r>
      <w:r w:rsidR="004D09B3">
        <w:t>N</w:t>
      </w:r>
      <w:r>
        <w:t>et interstate migration is projected to add slightly to Victoria</w:t>
      </w:r>
      <w:r w:rsidR="00050D25">
        <w:t>’</w:t>
      </w:r>
      <w:r>
        <w:t xml:space="preserve">s population growth as it returns to trend levels. </w:t>
      </w:r>
    </w:p>
    <w:p w14:paraId="17EFD9C1" w14:textId="412C0E89" w:rsidR="003D3EC9" w:rsidRPr="0080495D" w:rsidRDefault="003D3EC9" w:rsidP="00654915">
      <w:pPr>
        <w:pStyle w:val="ChartMainHeading"/>
      </w:pPr>
      <w:r w:rsidRPr="0080495D">
        <w:t xml:space="preserve">Population growth </w:t>
      </w:r>
      <w:r w:rsidR="007B4327">
        <w:t xml:space="preserve">in </w:t>
      </w:r>
      <w:r>
        <w:t>Victoria</w:t>
      </w:r>
    </w:p>
    <w:p w14:paraId="678172F0" w14:textId="6085993E" w:rsidR="003D3EC9" w:rsidRDefault="003D3EC9" w:rsidP="00636638">
      <w:pPr>
        <w:pStyle w:val="ChartGraphic"/>
      </w:pPr>
      <w:r w:rsidRPr="00C1787B">
        <w:t xml:space="preserve"> </w:t>
      </w:r>
      <w:r w:rsidR="006B6230" w:rsidRPr="006B6230">
        <w:t xml:space="preserve"> </w:t>
      </w:r>
      <w:r w:rsidR="006B6230" w:rsidRPr="006B6230">
        <w:rPr>
          <w:noProof/>
        </w:rPr>
        <w:drawing>
          <wp:inline distT="0" distB="0" distL="0" distR="0" wp14:anchorId="24096ED7" wp14:editId="5A432FAE">
            <wp:extent cx="5587200" cy="2880000"/>
            <wp:effectExtent l="0" t="0" r="0" b="0"/>
            <wp:docPr id="1060361087" name="Picture 1060361087" descr="This chart shows the population growth rate and contribution to growth by components in Victoria. Growth in Victoria fell below zero in 2022–21 following the drop in overseas arrivals, then rose sharply and peaking in 2022–23 as border restrictions lifted. Driven by net overseas migration, growth in Victoria is forecast to decline and stabilise by 2026–27. It is also expected to have stable natural increase over the projection period and small annual inflows of interstate arri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61087" name="Picture 1060361087" descr="This chart shows the population growth rate and contribution to growth by components in Victoria. Growth in Victoria fell below zero in 2022–21 following the drop in overseas arrivals, then rose sharply and peaking in 2022–23 as border restrictions lifted. Driven by net overseas migration, growth in Victoria is forecast to decline and stabilise by 2026–27. It is also expected to have stable natural increase over the projection period and small annual inflows of interstate arrival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7200" cy="2880000"/>
                    </a:xfrm>
                    <a:prstGeom prst="rect">
                      <a:avLst/>
                    </a:prstGeom>
                    <a:noFill/>
                    <a:ln>
                      <a:noFill/>
                    </a:ln>
                  </pic:spPr>
                </pic:pic>
              </a:graphicData>
            </a:graphic>
          </wp:inline>
        </w:drawing>
      </w:r>
    </w:p>
    <w:p w14:paraId="6C23595F" w14:textId="3AF80CF2" w:rsidR="003D3EC9" w:rsidRDefault="003D3EC9" w:rsidP="003D3EC9">
      <w:pPr>
        <w:pStyle w:val="Source"/>
      </w:pPr>
      <w:r w:rsidRPr="004218BD">
        <w:t xml:space="preserve">Source: </w:t>
      </w:r>
      <w:r>
        <w:tab/>
      </w:r>
      <w:r w:rsidRPr="004218BD">
        <w:t xml:space="preserve">ABS, </w:t>
      </w:r>
      <w:r w:rsidR="009155F8" w:rsidRPr="009155F8">
        <w:rPr>
          <w:i/>
        </w:rPr>
        <w:t>National, state and territory population, March 2024</w:t>
      </w:r>
      <w:r>
        <w:t>; and Centre for Population</w:t>
      </w:r>
      <w:r w:rsidRPr="004218BD">
        <w:t>.</w:t>
      </w:r>
    </w:p>
    <w:p w14:paraId="18B53CFD" w14:textId="77777777" w:rsidR="00997375" w:rsidRDefault="00997375" w:rsidP="00997375">
      <w:pPr>
        <w:pStyle w:val="SingleParagraph"/>
      </w:pPr>
    </w:p>
    <w:p w14:paraId="232878D7" w14:textId="4B404FE8" w:rsidR="003D3EC9" w:rsidRDefault="003D3EC9" w:rsidP="003D3EC9">
      <w:r>
        <w:t xml:space="preserve">In 2023–24, </w:t>
      </w:r>
      <w:r w:rsidRPr="003649F1">
        <w:rPr>
          <w:b/>
        </w:rPr>
        <w:t>Greater Melbourne</w:t>
      </w:r>
      <w:r w:rsidR="00050D25">
        <w:t>’</w:t>
      </w:r>
      <w:r w:rsidRPr="000820C5">
        <w:t>s</w:t>
      </w:r>
      <w:r>
        <w:t xml:space="preserve"> population is expected to be 5.</w:t>
      </w:r>
      <w:r w:rsidR="00F57E5B">
        <w:t>4</w:t>
      </w:r>
      <w:r w:rsidR="00FF207F">
        <w:t> million</w:t>
      </w:r>
      <w:r>
        <w:t>, accounting for 7</w:t>
      </w:r>
      <w:r w:rsidR="00737CED">
        <w:t>7</w:t>
      </w:r>
      <w:r w:rsidR="00FF207F">
        <w:t> per cent</w:t>
      </w:r>
      <w:r>
        <w:t xml:space="preserve"> of Victoria</w:t>
      </w:r>
      <w:r w:rsidR="00050D25">
        <w:t>’</w:t>
      </w:r>
      <w:r>
        <w:t>s population and 19.7</w:t>
      </w:r>
      <w:r w:rsidR="00FF207F">
        <w:t> per cent</w:t>
      </w:r>
      <w:r>
        <w:t xml:space="preserve"> of the national population. Greater Melbourne</w:t>
      </w:r>
      <w:r w:rsidR="00050D25">
        <w:t>’</w:t>
      </w:r>
      <w:r>
        <w:t>s population growth is expected to fall to 2.9</w:t>
      </w:r>
      <w:r w:rsidR="00FF207F">
        <w:t> per cent</w:t>
      </w:r>
      <w:r>
        <w:t xml:space="preserve"> in 2023–24 and 2.</w:t>
      </w:r>
      <w:r w:rsidR="00B26440">
        <w:t>2 </w:t>
      </w:r>
      <w:r w:rsidR="00FF207F">
        <w:t>per cent</w:t>
      </w:r>
      <w:r>
        <w:t xml:space="preserve"> in 2024–25 as </w:t>
      </w:r>
      <w:r w:rsidR="00E84835">
        <w:t>NOM</w:t>
      </w:r>
      <w:r>
        <w:t xml:space="preserve"> declines. Melbourne is projected to be </w:t>
      </w:r>
      <w:r w:rsidR="00976C54">
        <w:t xml:space="preserve">one of </w:t>
      </w:r>
      <w:r>
        <w:t xml:space="preserve">the top </w:t>
      </w:r>
      <w:r w:rsidR="004D09B3">
        <w:t xml:space="preserve">2 </w:t>
      </w:r>
      <w:r>
        <w:t xml:space="preserve">fastest growing capital cities, with growth </w:t>
      </w:r>
      <w:proofErr w:type="gramStart"/>
      <w:r>
        <w:t>similar to</w:t>
      </w:r>
      <w:proofErr w:type="gramEnd"/>
      <w:r>
        <w:t xml:space="preserve"> Perth. With this projected growth, Greater Melbourne is expected to reach 6.</w:t>
      </w:r>
      <w:r w:rsidR="0071155D">
        <w:t>4</w:t>
      </w:r>
      <w:r w:rsidR="00FF207F">
        <w:t> million</w:t>
      </w:r>
      <w:r>
        <w:t xml:space="preserve"> </w:t>
      </w:r>
      <w:r w:rsidR="00B16C9B">
        <w:t xml:space="preserve">people </w:t>
      </w:r>
      <w:r>
        <w:t xml:space="preserve">in 2034–35, bringing </w:t>
      </w:r>
      <w:r w:rsidDel="00376DC9">
        <w:t xml:space="preserve">it </w:t>
      </w:r>
      <w:r>
        <w:t>to within 0.5</w:t>
      </w:r>
      <w:r w:rsidR="00FF207F">
        <w:t> per cent</w:t>
      </w:r>
      <w:r>
        <w:t xml:space="preserve"> of Greater Sydney</w:t>
      </w:r>
      <w:r w:rsidR="00050D25">
        <w:t>’</w:t>
      </w:r>
      <w:r>
        <w:t>s population.</w:t>
      </w:r>
    </w:p>
    <w:p w14:paraId="62B09629" w14:textId="010E95BA" w:rsidR="003D3EC9" w:rsidRDefault="003D3EC9" w:rsidP="003D3EC9">
      <w:r>
        <w:t xml:space="preserve">In 2023–24, the </w:t>
      </w:r>
      <w:r w:rsidRPr="003649F1">
        <w:rPr>
          <w:b/>
        </w:rPr>
        <w:t>rest of Victoria</w:t>
      </w:r>
      <w:r w:rsidRPr="003649F1">
        <w:t xml:space="preserve"> </w:t>
      </w:r>
      <w:r>
        <w:t>is expected to have a population of 1.6</w:t>
      </w:r>
      <w:r w:rsidR="00FF207F">
        <w:t> million</w:t>
      </w:r>
      <w:r>
        <w:t xml:space="preserve">. Population growth is expected to decline to </w:t>
      </w:r>
      <w:r w:rsidR="0092677F">
        <w:t>1</w:t>
      </w:r>
      <w:r w:rsidR="00FF207F">
        <w:t> per cent</w:t>
      </w:r>
      <w:r>
        <w:t xml:space="preserve"> in 2023–24 and </w:t>
      </w:r>
      <w:r w:rsidR="0092677F">
        <w:t xml:space="preserve">0.9 per cent in </w:t>
      </w:r>
      <w:r>
        <w:t>2024–25. By 2034–35, population growth is expected to fall to 0.</w:t>
      </w:r>
      <w:r w:rsidR="00F60417">
        <w:t>8 </w:t>
      </w:r>
      <w:r w:rsidR="00FF207F">
        <w:t>per cent</w:t>
      </w:r>
      <w:r>
        <w:t xml:space="preserve">, with roughly equal contributions from declining net overseas and internal migration. Natural increase for the rest of Victoria is expected to be slightly negative </w:t>
      </w:r>
      <w:r w:rsidR="005A0703">
        <w:t>(that is, more deaths than births)</w:t>
      </w:r>
      <w:r>
        <w:t xml:space="preserve"> in </w:t>
      </w:r>
      <w:r w:rsidR="00E7087E">
        <w:t>2024</w:t>
      </w:r>
      <w:r>
        <w:t>–2</w:t>
      </w:r>
      <w:r w:rsidR="00E7087E">
        <w:t>5</w:t>
      </w:r>
      <w:r w:rsidR="00490157">
        <w:t>, return to being</w:t>
      </w:r>
      <w:r>
        <w:t xml:space="preserve"> </w:t>
      </w:r>
      <w:r w:rsidR="00CE7DFD" w:rsidRPr="00CE7DFD">
        <w:t xml:space="preserve">slightly positive from 2025–26 </w:t>
      </w:r>
      <w:r w:rsidR="0036655E">
        <w:t>before becoming</w:t>
      </w:r>
      <w:r w:rsidR="005B35E9">
        <w:t xml:space="preserve"> </w:t>
      </w:r>
      <w:r w:rsidR="00CE7DFD" w:rsidRPr="00CE7DFD">
        <w:t>negative again from 2032–33.</w:t>
      </w:r>
    </w:p>
    <w:p w14:paraId="2B7D9CBB" w14:textId="2A3D08E2" w:rsidR="003D3EC9" w:rsidRDefault="003D3EC9" w:rsidP="00654915">
      <w:pPr>
        <w:pStyle w:val="ChartMainHeading"/>
      </w:pPr>
      <w:r w:rsidRPr="00D47BF1">
        <w:lastRenderedPageBreak/>
        <w:t xml:space="preserve">Population growth in </w:t>
      </w:r>
      <w:r w:rsidRPr="00BC0E7F">
        <w:t>Victoria</w:t>
      </w:r>
      <w:r>
        <w:t xml:space="preserve">, </w:t>
      </w:r>
      <w:proofErr w:type="gramStart"/>
      <w:r>
        <w:t>Melbourne</w:t>
      </w:r>
      <w:proofErr w:type="gramEnd"/>
      <w:r>
        <w:t xml:space="preserve"> and the rest of Victoria</w:t>
      </w:r>
    </w:p>
    <w:p w14:paraId="0CF272C0" w14:textId="28279106" w:rsidR="003D3EC9" w:rsidRDefault="00FE2AF0" w:rsidP="00997375">
      <w:pPr>
        <w:pStyle w:val="ChartGraphic"/>
      </w:pPr>
      <w:r w:rsidRPr="00FE2AF0">
        <w:t xml:space="preserve"> </w:t>
      </w:r>
      <w:r w:rsidR="00D829B2" w:rsidRPr="00D829B2">
        <w:t xml:space="preserve"> </w:t>
      </w:r>
      <w:r w:rsidR="00D829B2" w:rsidRPr="00997375">
        <w:rPr>
          <w:noProof/>
        </w:rPr>
        <w:drawing>
          <wp:inline distT="0" distB="0" distL="0" distR="0" wp14:anchorId="1BFC3F03" wp14:editId="255DF43A">
            <wp:extent cx="5581650" cy="2886075"/>
            <wp:effectExtent l="0" t="0" r="0" b="0"/>
            <wp:docPr id="183838135" name="Picture 2" descr="This chart shows population growth in Victoria, Melbourne, and the rest of Victoria. Population growth declined significantly in Melbourne in 2019–20 and 2020–21, and this drove growth lower in Victoria. After the COVID-19 pandemic, population growth in Melbourne peaked in 2022–23 and is expected to decline and stabilise until 2034–35. In contrast to Melbourne, growth in the rest of Victoria was minimally impacted by the COVID-19 pandemic and did not experience a spike in net overseas migration. Population growth in the rest of Victoria is expected to continue a slight decline over the rest of the project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8135" name="Picture 2" descr="This chart shows population growth in Victoria, Melbourne, and the rest of Victoria. Population growth declined significantly in Melbourne in 2019–20 and 2020–21, and this drove growth lower in Victoria. After the COVID-19 pandemic, population growth in Melbourne peaked in 2022–23 and is expected to decline and stabilise until 2034–35. In contrast to Melbourne, growth in the rest of Victoria was minimally impacted by the COVID-19 pandemic and did not experience a spike in net overseas migration. Population growth in the rest of Victoria is expected to continue a slight decline over the rest of the projection period.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4C28E7CC" w14:textId="627F0207" w:rsidR="003D3EC9" w:rsidRDefault="003D3EC9" w:rsidP="003D3EC9">
      <w:pPr>
        <w:pStyle w:val="Source"/>
        <w:rPr>
          <w:rStyle w:val="Hyperlink"/>
          <w:szCs w:val="18"/>
        </w:rPr>
      </w:pPr>
      <w:r w:rsidRPr="00F67DB6">
        <w:t>Source:</w:t>
      </w:r>
      <w:r w:rsidRPr="001F0DE5">
        <w:tab/>
      </w:r>
      <w:r w:rsidRPr="00F67DB6">
        <w:t xml:space="preserve">ABS, </w:t>
      </w:r>
      <w:r w:rsidR="0035214B" w:rsidRPr="00997375">
        <w:rPr>
          <w:rStyle w:val="SubtleEmphasis"/>
        </w:rPr>
        <w:t>Regional population, 2022–23</w:t>
      </w:r>
      <w:r>
        <w:t>;</w:t>
      </w:r>
      <w:r w:rsidRPr="00F67DB6">
        <w:t xml:space="preserve"> ABS, </w:t>
      </w:r>
      <w:r w:rsidR="009155F8" w:rsidRPr="00997375">
        <w:rPr>
          <w:rStyle w:val="SubtleEmphasis"/>
        </w:rPr>
        <w:t>National, state and territory population, March 2024</w:t>
      </w:r>
      <w:r>
        <w:t>;</w:t>
      </w:r>
      <w:r w:rsidRPr="00F67DB6">
        <w:t xml:space="preserve"> and Centre for Population.</w:t>
      </w:r>
    </w:p>
    <w:p w14:paraId="7238F01A" w14:textId="740D72A8" w:rsidR="00756BE9" w:rsidRDefault="00756BE9" w:rsidP="00997375">
      <w:pPr>
        <w:pStyle w:val="SingleParagraph"/>
      </w:pPr>
      <w:r>
        <w:br w:type="page"/>
      </w:r>
    </w:p>
    <w:p w14:paraId="585151DA" w14:textId="67603E0A" w:rsidR="003D3EC9" w:rsidRPr="0080495D" w:rsidRDefault="003D3EC9" w:rsidP="00A633E1">
      <w:pPr>
        <w:pStyle w:val="TableMainHeading"/>
      </w:pPr>
      <w:r w:rsidRPr="0080495D">
        <w:lastRenderedPageBreak/>
        <w:t xml:space="preserve">Population projections, </w:t>
      </w:r>
      <w:r w:rsidRPr="00BC0E7F">
        <w:t>Victoria</w:t>
      </w:r>
    </w:p>
    <w:tbl>
      <w:tblPr>
        <w:tblW w:w="5000" w:type="pct"/>
        <w:tblLook w:val="04A0" w:firstRow="1" w:lastRow="0" w:firstColumn="1" w:lastColumn="0" w:noHBand="0" w:noVBand="1"/>
      </w:tblPr>
      <w:tblGrid>
        <w:gridCol w:w="2641"/>
        <w:gridCol w:w="1073"/>
        <w:gridCol w:w="1072"/>
        <w:gridCol w:w="1072"/>
        <w:gridCol w:w="1072"/>
        <w:gridCol w:w="1072"/>
        <w:gridCol w:w="1070"/>
      </w:tblGrid>
      <w:tr w:rsidR="003D3EC9" w:rsidRPr="00274467" w14:paraId="496050DE" w14:textId="77777777" w:rsidTr="00997375">
        <w:trPr>
          <w:trHeight w:val="227"/>
        </w:trPr>
        <w:tc>
          <w:tcPr>
            <w:tcW w:w="1455" w:type="pct"/>
            <w:tcBorders>
              <w:top w:val="single" w:sz="4" w:space="0" w:color="auto"/>
              <w:left w:val="nil"/>
              <w:bottom w:val="single" w:sz="4" w:space="0" w:color="auto"/>
              <w:right w:val="nil"/>
            </w:tcBorders>
            <w:shd w:val="clear" w:color="auto" w:fill="auto"/>
            <w:vAlign w:val="center"/>
            <w:hideMark/>
          </w:tcPr>
          <w:p w14:paraId="42BE02BE" w14:textId="50C8C895" w:rsidR="003D3EC9" w:rsidRPr="00274467" w:rsidRDefault="003D3EC9" w:rsidP="00916EF2">
            <w:pPr>
              <w:spacing w:before="0" w:after="0" w:line="240" w:lineRule="auto"/>
              <w:rPr>
                <w:rFonts w:ascii="Calibri" w:eastAsia="Times New Roman" w:hAnsi="Calibri" w:cs="Calibri"/>
                <w:color w:val="000000"/>
                <w:lang w:eastAsia="en-AU"/>
              </w:rPr>
            </w:pPr>
          </w:p>
        </w:tc>
        <w:tc>
          <w:tcPr>
            <w:tcW w:w="591" w:type="pct"/>
            <w:tcBorders>
              <w:top w:val="single" w:sz="4" w:space="0" w:color="auto"/>
              <w:left w:val="nil"/>
              <w:bottom w:val="single" w:sz="4" w:space="0" w:color="auto"/>
              <w:right w:val="nil"/>
            </w:tcBorders>
            <w:shd w:val="clear" w:color="auto" w:fill="auto"/>
            <w:noWrap/>
            <w:vAlign w:val="center"/>
            <w:hideMark/>
          </w:tcPr>
          <w:p w14:paraId="0E7C181B" w14:textId="77777777" w:rsidR="003D3EC9" w:rsidRPr="00274467" w:rsidRDefault="003D3EC9" w:rsidP="00756BE9">
            <w:pPr>
              <w:pStyle w:val="TableColumnHeadingRight"/>
            </w:pPr>
            <w:r w:rsidRPr="00274467">
              <w:t>2022</w:t>
            </w:r>
            <w:r>
              <w:t>–</w:t>
            </w:r>
            <w:r w:rsidRPr="00274467">
              <w:t>23</w:t>
            </w:r>
          </w:p>
        </w:tc>
        <w:tc>
          <w:tcPr>
            <w:tcW w:w="591" w:type="pct"/>
            <w:tcBorders>
              <w:top w:val="single" w:sz="4" w:space="0" w:color="auto"/>
              <w:left w:val="nil"/>
              <w:bottom w:val="single" w:sz="4" w:space="0" w:color="auto"/>
              <w:right w:val="nil"/>
            </w:tcBorders>
            <w:shd w:val="clear" w:color="auto" w:fill="D2EDFF"/>
            <w:noWrap/>
            <w:vAlign w:val="center"/>
            <w:hideMark/>
          </w:tcPr>
          <w:p w14:paraId="49B5788F" w14:textId="77777777" w:rsidR="003D3EC9" w:rsidRPr="00274467" w:rsidRDefault="003D3EC9" w:rsidP="00756BE9">
            <w:pPr>
              <w:pStyle w:val="TableColumnHeadingRight"/>
            </w:pPr>
            <w:r w:rsidRPr="00274467">
              <w:t>2023</w:t>
            </w:r>
            <w:r>
              <w:t>–</w:t>
            </w:r>
            <w:r w:rsidRPr="00274467">
              <w:t>24</w:t>
            </w:r>
          </w:p>
        </w:tc>
        <w:tc>
          <w:tcPr>
            <w:tcW w:w="591" w:type="pct"/>
            <w:tcBorders>
              <w:top w:val="single" w:sz="4" w:space="0" w:color="auto"/>
              <w:left w:val="nil"/>
              <w:bottom w:val="single" w:sz="4" w:space="0" w:color="auto"/>
              <w:right w:val="nil"/>
            </w:tcBorders>
            <w:shd w:val="clear" w:color="auto" w:fill="auto"/>
            <w:noWrap/>
            <w:vAlign w:val="center"/>
            <w:hideMark/>
          </w:tcPr>
          <w:p w14:paraId="51DEDAFE" w14:textId="77777777" w:rsidR="003D3EC9" w:rsidRPr="00274467" w:rsidRDefault="003D3EC9" w:rsidP="00756BE9">
            <w:pPr>
              <w:pStyle w:val="TableColumnHeadingRight"/>
            </w:pPr>
            <w:r w:rsidRPr="00274467">
              <w:t>2024</w:t>
            </w:r>
            <w:r>
              <w:t>–</w:t>
            </w:r>
            <w:r w:rsidRPr="00274467">
              <w:t>25</w:t>
            </w:r>
          </w:p>
        </w:tc>
        <w:tc>
          <w:tcPr>
            <w:tcW w:w="591" w:type="pct"/>
            <w:tcBorders>
              <w:top w:val="single" w:sz="4" w:space="0" w:color="auto"/>
              <w:left w:val="nil"/>
              <w:bottom w:val="single" w:sz="4" w:space="0" w:color="auto"/>
              <w:right w:val="nil"/>
            </w:tcBorders>
            <w:shd w:val="clear" w:color="auto" w:fill="auto"/>
            <w:noWrap/>
            <w:vAlign w:val="center"/>
            <w:hideMark/>
          </w:tcPr>
          <w:p w14:paraId="6D842254" w14:textId="77777777" w:rsidR="003D3EC9" w:rsidRPr="00274467" w:rsidRDefault="003D3EC9" w:rsidP="00756BE9">
            <w:pPr>
              <w:pStyle w:val="TableColumnHeadingRight"/>
            </w:pPr>
            <w:r w:rsidRPr="00274467">
              <w:t>2025</w:t>
            </w:r>
            <w:r>
              <w:t>–</w:t>
            </w:r>
            <w:r w:rsidRPr="00274467">
              <w:t>26</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14:paraId="0125EB7A" w14:textId="77777777" w:rsidR="003D3EC9" w:rsidRPr="00274467" w:rsidRDefault="003D3EC9" w:rsidP="00756BE9">
            <w:pPr>
              <w:pStyle w:val="TableColumnHeadingRight"/>
            </w:pPr>
            <w:r w:rsidRPr="00274467">
              <w:t>2026</w:t>
            </w:r>
            <w:r>
              <w:t>–</w:t>
            </w:r>
            <w:r w:rsidRPr="00274467">
              <w:t>27</w:t>
            </w:r>
          </w:p>
        </w:tc>
        <w:tc>
          <w:tcPr>
            <w:tcW w:w="591" w:type="pct"/>
            <w:tcBorders>
              <w:top w:val="single" w:sz="4" w:space="0" w:color="auto"/>
              <w:left w:val="nil"/>
              <w:bottom w:val="single" w:sz="4" w:space="0" w:color="auto"/>
              <w:right w:val="nil"/>
            </w:tcBorders>
            <w:shd w:val="clear" w:color="auto" w:fill="auto"/>
            <w:noWrap/>
            <w:vAlign w:val="center"/>
            <w:hideMark/>
          </w:tcPr>
          <w:p w14:paraId="26C75DA5" w14:textId="77777777" w:rsidR="003D3EC9" w:rsidRPr="00274467" w:rsidRDefault="003D3EC9" w:rsidP="00756BE9">
            <w:pPr>
              <w:pStyle w:val="TableColumnHeadingRight"/>
            </w:pPr>
            <w:r w:rsidRPr="00274467">
              <w:t>2034</w:t>
            </w:r>
            <w:r>
              <w:t>–</w:t>
            </w:r>
            <w:r w:rsidRPr="00274467">
              <w:t>35</w:t>
            </w:r>
          </w:p>
        </w:tc>
      </w:tr>
      <w:tr w:rsidR="003D3EC9" w:rsidRPr="00274467" w14:paraId="3933B420" w14:textId="77777777" w:rsidTr="00997375">
        <w:trPr>
          <w:trHeight w:val="227"/>
        </w:trPr>
        <w:tc>
          <w:tcPr>
            <w:tcW w:w="1455" w:type="pct"/>
            <w:tcBorders>
              <w:top w:val="nil"/>
              <w:left w:val="nil"/>
              <w:bottom w:val="nil"/>
              <w:right w:val="nil"/>
            </w:tcBorders>
            <w:shd w:val="clear" w:color="auto" w:fill="auto"/>
            <w:vAlign w:val="center"/>
            <w:hideMark/>
          </w:tcPr>
          <w:p w14:paraId="0F0B3665" w14:textId="10DEBEB1" w:rsidR="003D3EC9" w:rsidRPr="00274467" w:rsidRDefault="003D3EC9" w:rsidP="00636638">
            <w:pPr>
              <w:pStyle w:val="TableColumnHeadingLeft"/>
            </w:pPr>
            <w:r w:rsidRPr="00274467">
              <w:t>Population (</w:t>
            </w:r>
            <w:r w:rsidR="00050D25">
              <w:t>‘</w:t>
            </w:r>
            <w:r w:rsidRPr="00274467">
              <w:t>000)</w:t>
            </w:r>
          </w:p>
        </w:tc>
        <w:tc>
          <w:tcPr>
            <w:tcW w:w="591" w:type="pct"/>
            <w:tcBorders>
              <w:top w:val="nil"/>
              <w:left w:val="nil"/>
              <w:bottom w:val="nil"/>
              <w:right w:val="nil"/>
            </w:tcBorders>
            <w:shd w:val="clear" w:color="auto" w:fill="auto"/>
            <w:vAlign w:val="center"/>
            <w:hideMark/>
          </w:tcPr>
          <w:p w14:paraId="3C32857A"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7937696A" w14:textId="45B1AE66"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5DD40E61"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2B387748"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3044C90B" w14:textId="59CFB656"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59E17433" w14:textId="77777777" w:rsidR="003D3EC9" w:rsidRPr="00274467" w:rsidRDefault="003D3EC9" w:rsidP="00756BE9">
            <w:pPr>
              <w:pStyle w:val="TableTextRight"/>
              <w:rPr>
                <w:lang w:eastAsia="en-AU"/>
              </w:rPr>
            </w:pPr>
          </w:p>
        </w:tc>
      </w:tr>
      <w:tr w:rsidR="003D3EC9" w:rsidRPr="00274467" w14:paraId="61D5A6DD" w14:textId="77777777" w:rsidTr="00997375">
        <w:trPr>
          <w:trHeight w:val="227"/>
        </w:trPr>
        <w:tc>
          <w:tcPr>
            <w:tcW w:w="1455" w:type="pct"/>
            <w:tcBorders>
              <w:top w:val="nil"/>
              <w:left w:val="nil"/>
              <w:bottom w:val="nil"/>
              <w:right w:val="nil"/>
            </w:tcBorders>
            <w:shd w:val="clear" w:color="auto" w:fill="auto"/>
            <w:vAlign w:val="center"/>
            <w:hideMark/>
          </w:tcPr>
          <w:p w14:paraId="0F92032C"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6F9076C3" w14:textId="6E3BD72B" w:rsidR="003D3EC9" w:rsidRPr="00274467" w:rsidRDefault="003D3EC9" w:rsidP="00756BE9">
            <w:pPr>
              <w:pStyle w:val="TableTextRight"/>
              <w:rPr>
                <w:lang w:eastAsia="en-AU"/>
              </w:rPr>
            </w:pPr>
            <w:r>
              <w:rPr>
                <w:rFonts w:ascii="Calibri" w:hAnsi="Calibri" w:cs="Calibri"/>
              </w:rPr>
              <w:t>6,817</w:t>
            </w:r>
          </w:p>
        </w:tc>
        <w:tc>
          <w:tcPr>
            <w:tcW w:w="591" w:type="pct"/>
            <w:tcBorders>
              <w:top w:val="nil"/>
              <w:left w:val="nil"/>
              <w:bottom w:val="nil"/>
              <w:right w:val="nil"/>
            </w:tcBorders>
            <w:shd w:val="clear" w:color="auto" w:fill="D2EDFF"/>
            <w:vAlign w:val="center"/>
            <w:hideMark/>
          </w:tcPr>
          <w:p w14:paraId="1429177F" w14:textId="746392E2" w:rsidR="003D3EC9" w:rsidRPr="00274467" w:rsidRDefault="00840616" w:rsidP="00756BE9">
            <w:pPr>
              <w:pStyle w:val="TableTextRight"/>
              <w:rPr>
                <w:lang w:eastAsia="en-AU"/>
              </w:rPr>
            </w:pPr>
            <w:r>
              <w:rPr>
                <w:rFonts w:ascii="Calibri" w:hAnsi="Calibri" w:cs="Calibri"/>
              </w:rPr>
              <w:t>6,983</w:t>
            </w:r>
          </w:p>
        </w:tc>
        <w:tc>
          <w:tcPr>
            <w:tcW w:w="591" w:type="pct"/>
            <w:tcBorders>
              <w:top w:val="nil"/>
              <w:left w:val="nil"/>
              <w:bottom w:val="nil"/>
              <w:right w:val="nil"/>
            </w:tcBorders>
            <w:shd w:val="clear" w:color="auto" w:fill="auto"/>
            <w:vAlign w:val="center"/>
            <w:hideMark/>
          </w:tcPr>
          <w:p w14:paraId="077711F8" w14:textId="3EC39B6E" w:rsidR="003D3EC9" w:rsidRPr="00274467" w:rsidRDefault="00840616" w:rsidP="00756BE9">
            <w:pPr>
              <w:pStyle w:val="TableTextRight"/>
              <w:rPr>
                <w:lang w:eastAsia="en-AU"/>
              </w:rPr>
            </w:pPr>
            <w:r>
              <w:rPr>
                <w:rFonts w:ascii="Calibri" w:hAnsi="Calibri" w:cs="Calibri"/>
              </w:rPr>
              <w:t>7,113</w:t>
            </w:r>
          </w:p>
        </w:tc>
        <w:tc>
          <w:tcPr>
            <w:tcW w:w="591" w:type="pct"/>
            <w:tcBorders>
              <w:top w:val="nil"/>
              <w:left w:val="nil"/>
              <w:bottom w:val="nil"/>
              <w:right w:val="nil"/>
            </w:tcBorders>
            <w:shd w:val="clear" w:color="auto" w:fill="auto"/>
            <w:vAlign w:val="center"/>
            <w:hideMark/>
          </w:tcPr>
          <w:p w14:paraId="7DF91EB9" w14:textId="27102BA7" w:rsidR="003D3EC9" w:rsidRPr="00274467" w:rsidRDefault="00840616" w:rsidP="00756BE9">
            <w:pPr>
              <w:pStyle w:val="TableTextRight"/>
              <w:rPr>
                <w:lang w:eastAsia="en-AU"/>
              </w:rPr>
            </w:pPr>
            <w:r>
              <w:rPr>
                <w:rFonts w:ascii="Calibri" w:hAnsi="Calibri" w:cs="Calibri"/>
              </w:rPr>
              <w:t>7,224</w:t>
            </w:r>
          </w:p>
        </w:tc>
        <w:tc>
          <w:tcPr>
            <w:tcW w:w="591" w:type="pct"/>
            <w:tcBorders>
              <w:top w:val="nil"/>
              <w:left w:val="nil"/>
              <w:bottom w:val="nil"/>
              <w:right w:val="single" w:sz="4" w:space="0" w:color="auto"/>
            </w:tcBorders>
            <w:shd w:val="clear" w:color="auto" w:fill="auto"/>
            <w:vAlign w:val="center"/>
            <w:hideMark/>
          </w:tcPr>
          <w:p w14:paraId="591C91EC" w14:textId="45714878" w:rsidR="003D3EC9" w:rsidRPr="00274467" w:rsidRDefault="00840616" w:rsidP="00756BE9">
            <w:pPr>
              <w:pStyle w:val="TableTextRight"/>
              <w:rPr>
                <w:lang w:eastAsia="en-AU"/>
              </w:rPr>
            </w:pPr>
            <w:r>
              <w:rPr>
                <w:rFonts w:ascii="Calibri" w:hAnsi="Calibri" w:cs="Calibri"/>
              </w:rPr>
              <w:t>7,328</w:t>
            </w:r>
          </w:p>
        </w:tc>
        <w:tc>
          <w:tcPr>
            <w:tcW w:w="591" w:type="pct"/>
            <w:tcBorders>
              <w:top w:val="nil"/>
              <w:left w:val="nil"/>
              <w:bottom w:val="nil"/>
              <w:right w:val="nil"/>
            </w:tcBorders>
            <w:shd w:val="clear" w:color="auto" w:fill="auto"/>
            <w:vAlign w:val="center"/>
            <w:hideMark/>
          </w:tcPr>
          <w:p w14:paraId="3816E82C" w14:textId="6B52C29C" w:rsidR="003D3EC9" w:rsidRPr="00274467" w:rsidRDefault="00840616" w:rsidP="00756BE9">
            <w:pPr>
              <w:pStyle w:val="TableTextRight"/>
              <w:rPr>
                <w:lang w:eastAsia="en-AU"/>
              </w:rPr>
            </w:pPr>
            <w:r>
              <w:rPr>
                <w:rFonts w:ascii="Calibri" w:hAnsi="Calibri" w:cs="Calibri"/>
              </w:rPr>
              <w:t>8,199</w:t>
            </w:r>
          </w:p>
        </w:tc>
      </w:tr>
      <w:tr w:rsidR="003D3EC9" w:rsidRPr="00274467" w14:paraId="1C3B8BDC" w14:textId="77777777" w:rsidTr="00997375">
        <w:trPr>
          <w:trHeight w:val="227"/>
        </w:trPr>
        <w:tc>
          <w:tcPr>
            <w:tcW w:w="1455" w:type="pct"/>
            <w:tcBorders>
              <w:top w:val="nil"/>
              <w:left w:val="nil"/>
              <w:bottom w:val="nil"/>
              <w:right w:val="nil"/>
            </w:tcBorders>
            <w:shd w:val="clear" w:color="auto" w:fill="auto"/>
            <w:vAlign w:val="center"/>
            <w:hideMark/>
          </w:tcPr>
          <w:p w14:paraId="5C6F660B" w14:textId="77777777" w:rsidR="003D3EC9" w:rsidRPr="00274467" w:rsidRDefault="003D3EC9" w:rsidP="00636638">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38AA9434" w14:textId="7946D034" w:rsidR="003D3EC9" w:rsidRPr="00274467" w:rsidRDefault="003D3EC9" w:rsidP="00756BE9">
            <w:pPr>
              <w:pStyle w:val="TableTextRight"/>
              <w:rPr>
                <w:lang w:eastAsia="en-AU"/>
              </w:rPr>
            </w:pPr>
            <w:r>
              <w:rPr>
                <w:rFonts w:ascii="Calibri" w:hAnsi="Calibri" w:cs="Calibri"/>
              </w:rPr>
              <w:t>5,207</w:t>
            </w:r>
          </w:p>
        </w:tc>
        <w:tc>
          <w:tcPr>
            <w:tcW w:w="591" w:type="pct"/>
            <w:tcBorders>
              <w:top w:val="nil"/>
              <w:left w:val="nil"/>
              <w:bottom w:val="nil"/>
              <w:right w:val="nil"/>
            </w:tcBorders>
            <w:shd w:val="clear" w:color="auto" w:fill="D2EDFF"/>
            <w:vAlign w:val="center"/>
            <w:hideMark/>
          </w:tcPr>
          <w:p w14:paraId="0304716D" w14:textId="386AD392" w:rsidR="003D3EC9" w:rsidRPr="00274467" w:rsidRDefault="00840616" w:rsidP="00756BE9">
            <w:pPr>
              <w:pStyle w:val="TableTextRight"/>
              <w:rPr>
                <w:lang w:eastAsia="en-AU"/>
              </w:rPr>
            </w:pPr>
            <w:r>
              <w:rPr>
                <w:rFonts w:ascii="Calibri" w:hAnsi="Calibri" w:cs="Calibri"/>
              </w:rPr>
              <w:t>5,358</w:t>
            </w:r>
          </w:p>
        </w:tc>
        <w:tc>
          <w:tcPr>
            <w:tcW w:w="591" w:type="pct"/>
            <w:tcBorders>
              <w:top w:val="nil"/>
              <w:left w:val="nil"/>
              <w:bottom w:val="nil"/>
              <w:right w:val="nil"/>
            </w:tcBorders>
            <w:shd w:val="clear" w:color="auto" w:fill="auto"/>
            <w:vAlign w:val="center"/>
            <w:hideMark/>
          </w:tcPr>
          <w:p w14:paraId="5C80109A" w14:textId="35F1DC32" w:rsidR="003D3EC9" w:rsidRPr="00274467" w:rsidRDefault="00840616" w:rsidP="00756BE9">
            <w:pPr>
              <w:pStyle w:val="TableTextRight"/>
              <w:rPr>
                <w:lang w:eastAsia="en-AU"/>
              </w:rPr>
            </w:pPr>
            <w:r>
              <w:rPr>
                <w:rFonts w:ascii="Calibri" w:hAnsi="Calibri" w:cs="Calibri"/>
              </w:rPr>
              <w:t>5,474</w:t>
            </w:r>
          </w:p>
        </w:tc>
        <w:tc>
          <w:tcPr>
            <w:tcW w:w="591" w:type="pct"/>
            <w:tcBorders>
              <w:top w:val="nil"/>
              <w:left w:val="nil"/>
              <w:bottom w:val="nil"/>
              <w:right w:val="nil"/>
            </w:tcBorders>
            <w:shd w:val="clear" w:color="auto" w:fill="auto"/>
            <w:vAlign w:val="center"/>
            <w:hideMark/>
          </w:tcPr>
          <w:p w14:paraId="3809D205" w14:textId="01F88CE3" w:rsidR="003D3EC9" w:rsidRPr="00274467" w:rsidRDefault="00840616" w:rsidP="00756BE9">
            <w:pPr>
              <w:pStyle w:val="TableTextRight"/>
              <w:rPr>
                <w:lang w:eastAsia="en-AU"/>
              </w:rPr>
            </w:pPr>
            <w:r>
              <w:rPr>
                <w:rFonts w:ascii="Calibri" w:hAnsi="Calibri" w:cs="Calibri"/>
              </w:rPr>
              <w:t>5,572</w:t>
            </w:r>
          </w:p>
        </w:tc>
        <w:tc>
          <w:tcPr>
            <w:tcW w:w="591" w:type="pct"/>
            <w:tcBorders>
              <w:top w:val="nil"/>
              <w:left w:val="nil"/>
              <w:bottom w:val="nil"/>
              <w:right w:val="single" w:sz="4" w:space="0" w:color="auto"/>
            </w:tcBorders>
            <w:shd w:val="clear" w:color="auto" w:fill="auto"/>
            <w:vAlign w:val="center"/>
            <w:hideMark/>
          </w:tcPr>
          <w:p w14:paraId="6BCACDC6" w14:textId="6B67C41E" w:rsidR="003D3EC9" w:rsidRPr="00274467" w:rsidRDefault="00840616" w:rsidP="00756BE9">
            <w:pPr>
              <w:pStyle w:val="TableTextRight"/>
              <w:rPr>
                <w:lang w:eastAsia="en-AU"/>
              </w:rPr>
            </w:pPr>
            <w:r>
              <w:rPr>
                <w:rFonts w:ascii="Calibri" w:hAnsi="Calibri" w:cs="Calibri"/>
              </w:rPr>
              <w:t>5,664</w:t>
            </w:r>
          </w:p>
        </w:tc>
        <w:tc>
          <w:tcPr>
            <w:tcW w:w="591" w:type="pct"/>
            <w:tcBorders>
              <w:top w:val="nil"/>
              <w:left w:val="nil"/>
              <w:bottom w:val="nil"/>
              <w:right w:val="nil"/>
            </w:tcBorders>
            <w:shd w:val="clear" w:color="auto" w:fill="auto"/>
            <w:vAlign w:val="center"/>
            <w:hideMark/>
          </w:tcPr>
          <w:p w14:paraId="5E451B77" w14:textId="32DABBFE" w:rsidR="003D3EC9" w:rsidRPr="00274467" w:rsidRDefault="00840616" w:rsidP="00756BE9">
            <w:pPr>
              <w:pStyle w:val="TableTextRight"/>
              <w:rPr>
                <w:lang w:eastAsia="en-AU"/>
              </w:rPr>
            </w:pPr>
            <w:r>
              <w:rPr>
                <w:rFonts w:ascii="Calibri" w:hAnsi="Calibri" w:cs="Calibri"/>
              </w:rPr>
              <w:t>6,429</w:t>
            </w:r>
          </w:p>
        </w:tc>
      </w:tr>
      <w:tr w:rsidR="003D3EC9" w:rsidRPr="00274467" w14:paraId="6A2D787D" w14:textId="77777777" w:rsidTr="00997375">
        <w:trPr>
          <w:trHeight w:val="227"/>
        </w:trPr>
        <w:tc>
          <w:tcPr>
            <w:tcW w:w="1455" w:type="pct"/>
            <w:tcBorders>
              <w:top w:val="nil"/>
              <w:left w:val="nil"/>
              <w:bottom w:val="nil"/>
              <w:right w:val="nil"/>
            </w:tcBorders>
            <w:shd w:val="clear" w:color="auto" w:fill="auto"/>
            <w:vAlign w:val="center"/>
            <w:hideMark/>
          </w:tcPr>
          <w:p w14:paraId="3371326B" w14:textId="77777777" w:rsidR="003D3EC9" w:rsidRPr="00274467" w:rsidRDefault="003D3EC9" w:rsidP="00636638">
            <w:pPr>
              <w:pStyle w:val="Tabletextleftindent"/>
            </w:pPr>
            <w:r w:rsidRPr="00274467">
              <w:t>Rest of Victoria</w:t>
            </w:r>
          </w:p>
        </w:tc>
        <w:tc>
          <w:tcPr>
            <w:tcW w:w="591" w:type="pct"/>
            <w:tcBorders>
              <w:top w:val="nil"/>
              <w:left w:val="nil"/>
              <w:bottom w:val="nil"/>
              <w:right w:val="nil"/>
            </w:tcBorders>
            <w:shd w:val="clear" w:color="auto" w:fill="auto"/>
            <w:vAlign w:val="center"/>
            <w:hideMark/>
          </w:tcPr>
          <w:p w14:paraId="18A7EEE4" w14:textId="78F5AC44" w:rsidR="003D3EC9" w:rsidRPr="00274467" w:rsidRDefault="003D3EC9" w:rsidP="00756BE9">
            <w:pPr>
              <w:pStyle w:val="TableTextRight"/>
              <w:rPr>
                <w:lang w:eastAsia="en-AU"/>
              </w:rPr>
            </w:pPr>
            <w:r>
              <w:rPr>
                <w:rFonts w:ascii="Calibri" w:hAnsi="Calibri" w:cs="Calibri"/>
              </w:rPr>
              <w:t>1,608</w:t>
            </w:r>
          </w:p>
        </w:tc>
        <w:tc>
          <w:tcPr>
            <w:tcW w:w="591" w:type="pct"/>
            <w:tcBorders>
              <w:top w:val="nil"/>
              <w:left w:val="nil"/>
              <w:bottom w:val="nil"/>
              <w:right w:val="nil"/>
            </w:tcBorders>
            <w:shd w:val="clear" w:color="auto" w:fill="D2EDFF"/>
            <w:vAlign w:val="center"/>
            <w:hideMark/>
          </w:tcPr>
          <w:p w14:paraId="7D846742" w14:textId="0FAD7CB1" w:rsidR="003D3EC9" w:rsidRPr="00274467" w:rsidRDefault="003D3EC9" w:rsidP="00756BE9">
            <w:pPr>
              <w:pStyle w:val="TableTextRight"/>
              <w:rPr>
                <w:lang w:eastAsia="en-AU"/>
              </w:rPr>
            </w:pPr>
            <w:r>
              <w:rPr>
                <w:rFonts w:ascii="Calibri" w:hAnsi="Calibri" w:cs="Calibri"/>
              </w:rPr>
              <w:t>1,625</w:t>
            </w:r>
          </w:p>
        </w:tc>
        <w:tc>
          <w:tcPr>
            <w:tcW w:w="591" w:type="pct"/>
            <w:tcBorders>
              <w:top w:val="nil"/>
              <w:left w:val="nil"/>
              <w:bottom w:val="nil"/>
              <w:right w:val="nil"/>
            </w:tcBorders>
            <w:shd w:val="clear" w:color="auto" w:fill="auto"/>
            <w:vAlign w:val="center"/>
            <w:hideMark/>
          </w:tcPr>
          <w:p w14:paraId="5B7A4549" w14:textId="3215DB4E" w:rsidR="003D3EC9" w:rsidRPr="00274467" w:rsidRDefault="003D3EC9" w:rsidP="00756BE9">
            <w:pPr>
              <w:pStyle w:val="TableTextRight"/>
              <w:rPr>
                <w:lang w:eastAsia="en-AU"/>
              </w:rPr>
            </w:pPr>
            <w:r>
              <w:rPr>
                <w:rFonts w:ascii="Calibri" w:hAnsi="Calibri" w:cs="Calibri"/>
              </w:rPr>
              <w:t>1,639</w:t>
            </w:r>
          </w:p>
        </w:tc>
        <w:tc>
          <w:tcPr>
            <w:tcW w:w="591" w:type="pct"/>
            <w:tcBorders>
              <w:top w:val="nil"/>
              <w:left w:val="nil"/>
              <w:bottom w:val="nil"/>
              <w:right w:val="nil"/>
            </w:tcBorders>
            <w:shd w:val="clear" w:color="auto" w:fill="auto"/>
            <w:vAlign w:val="center"/>
            <w:hideMark/>
          </w:tcPr>
          <w:p w14:paraId="7CC0FA86" w14:textId="6E04B68C" w:rsidR="003D3EC9" w:rsidRPr="00274467" w:rsidRDefault="00840616" w:rsidP="00756BE9">
            <w:pPr>
              <w:pStyle w:val="TableTextRight"/>
              <w:rPr>
                <w:lang w:eastAsia="en-AU"/>
              </w:rPr>
            </w:pPr>
            <w:r>
              <w:rPr>
                <w:rFonts w:ascii="Calibri" w:hAnsi="Calibri" w:cs="Calibri"/>
              </w:rPr>
              <w:t>1,652</w:t>
            </w:r>
          </w:p>
        </w:tc>
        <w:tc>
          <w:tcPr>
            <w:tcW w:w="591" w:type="pct"/>
            <w:tcBorders>
              <w:top w:val="nil"/>
              <w:left w:val="nil"/>
              <w:bottom w:val="nil"/>
              <w:right w:val="single" w:sz="4" w:space="0" w:color="auto"/>
            </w:tcBorders>
            <w:shd w:val="clear" w:color="auto" w:fill="auto"/>
            <w:vAlign w:val="center"/>
            <w:hideMark/>
          </w:tcPr>
          <w:p w14:paraId="1257F44C" w14:textId="287AE3F9" w:rsidR="003D3EC9" w:rsidRPr="00274467" w:rsidRDefault="00840616" w:rsidP="00756BE9">
            <w:pPr>
              <w:pStyle w:val="TableTextRight"/>
              <w:rPr>
                <w:lang w:eastAsia="en-AU"/>
              </w:rPr>
            </w:pPr>
            <w:r>
              <w:rPr>
                <w:rFonts w:ascii="Calibri" w:hAnsi="Calibri" w:cs="Calibri"/>
              </w:rPr>
              <w:t>1,664</w:t>
            </w:r>
          </w:p>
        </w:tc>
        <w:tc>
          <w:tcPr>
            <w:tcW w:w="591" w:type="pct"/>
            <w:tcBorders>
              <w:top w:val="nil"/>
              <w:left w:val="nil"/>
              <w:bottom w:val="nil"/>
              <w:right w:val="nil"/>
            </w:tcBorders>
            <w:shd w:val="clear" w:color="auto" w:fill="auto"/>
            <w:vAlign w:val="center"/>
            <w:hideMark/>
          </w:tcPr>
          <w:p w14:paraId="5343C6C6" w14:textId="48C40A47" w:rsidR="003D3EC9" w:rsidRPr="00274467" w:rsidRDefault="00840616" w:rsidP="00756BE9">
            <w:pPr>
              <w:pStyle w:val="TableTextRight"/>
              <w:rPr>
                <w:lang w:eastAsia="en-AU"/>
              </w:rPr>
            </w:pPr>
            <w:r>
              <w:rPr>
                <w:rFonts w:ascii="Calibri" w:hAnsi="Calibri" w:cs="Calibri"/>
              </w:rPr>
              <w:t>1,770</w:t>
            </w:r>
          </w:p>
        </w:tc>
      </w:tr>
      <w:tr w:rsidR="003D3EC9" w:rsidRPr="00274467" w14:paraId="27A85895" w14:textId="77777777" w:rsidTr="00997375">
        <w:trPr>
          <w:trHeight w:val="227"/>
        </w:trPr>
        <w:tc>
          <w:tcPr>
            <w:tcW w:w="1455" w:type="pct"/>
            <w:tcBorders>
              <w:top w:val="nil"/>
              <w:left w:val="nil"/>
              <w:bottom w:val="nil"/>
              <w:right w:val="nil"/>
            </w:tcBorders>
            <w:shd w:val="clear" w:color="auto" w:fill="auto"/>
            <w:vAlign w:val="center"/>
            <w:hideMark/>
          </w:tcPr>
          <w:p w14:paraId="6D743617" w14:textId="77777777" w:rsidR="003D3EC9" w:rsidRPr="00274467" w:rsidRDefault="003D3EC9" w:rsidP="00636638">
            <w:pPr>
              <w:pStyle w:val="TableColumnHeadingLeft"/>
            </w:pPr>
            <w:r w:rsidRPr="00274467">
              <w:t>Population growth (per cent)</w:t>
            </w:r>
          </w:p>
        </w:tc>
        <w:tc>
          <w:tcPr>
            <w:tcW w:w="591" w:type="pct"/>
            <w:tcBorders>
              <w:top w:val="nil"/>
              <w:left w:val="nil"/>
              <w:bottom w:val="nil"/>
              <w:right w:val="nil"/>
            </w:tcBorders>
            <w:shd w:val="clear" w:color="auto" w:fill="auto"/>
            <w:vAlign w:val="center"/>
            <w:hideMark/>
          </w:tcPr>
          <w:p w14:paraId="1E4BF2AA"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62A92338" w14:textId="456C1A49"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0DB915C8"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1085457E"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63C7B036" w14:textId="33FDEDE0"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7EC005B8" w14:textId="77777777" w:rsidR="003D3EC9" w:rsidRPr="00274467" w:rsidRDefault="003D3EC9" w:rsidP="00756BE9">
            <w:pPr>
              <w:pStyle w:val="TableTextRight"/>
              <w:rPr>
                <w:lang w:eastAsia="en-AU"/>
              </w:rPr>
            </w:pPr>
          </w:p>
        </w:tc>
      </w:tr>
      <w:tr w:rsidR="003D3EC9" w:rsidRPr="00274467" w14:paraId="1D09C37D" w14:textId="77777777" w:rsidTr="00997375">
        <w:trPr>
          <w:trHeight w:val="227"/>
        </w:trPr>
        <w:tc>
          <w:tcPr>
            <w:tcW w:w="1455" w:type="pct"/>
            <w:tcBorders>
              <w:top w:val="nil"/>
              <w:left w:val="nil"/>
              <w:bottom w:val="nil"/>
              <w:right w:val="nil"/>
            </w:tcBorders>
            <w:shd w:val="clear" w:color="auto" w:fill="auto"/>
            <w:vAlign w:val="center"/>
            <w:hideMark/>
          </w:tcPr>
          <w:p w14:paraId="005B25F9"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43CC6CC4" w14:textId="7C6860EF" w:rsidR="003D3EC9" w:rsidRPr="00274467" w:rsidRDefault="003D3EC9" w:rsidP="00756BE9">
            <w:pPr>
              <w:pStyle w:val="TableTextRight"/>
              <w:rPr>
                <w:lang w:eastAsia="en-AU"/>
              </w:rPr>
            </w:pPr>
            <w:r>
              <w:rPr>
                <w:rFonts w:ascii="Calibri" w:hAnsi="Calibri" w:cs="Calibri"/>
              </w:rPr>
              <w:t>2.8</w:t>
            </w:r>
          </w:p>
        </w:tc>
        <w:tc>
          <w:tcPr>
            <w:tcW w:w="591" w:type="pct"/>
            <w:tcBorders>
              <w:top w:val="nil"/>
              <w:left w:val="nil"/>
              <w:bottom w:val="nil"/>
              <w:right w:val="nil"/>
            </w:tcBorders>
            <w:shd w:val="clear" w:color="auto" w:fill="D2EDFF"/>
            <w:vAlign w:val="center"/>
            <w:hideMark/>
          </w:tcPr>
          <w:p w14:paraId="14757499" w14:textId="16195D16" w:rsidR="003D3EC9" w:rsidRPr="00274467" w:rsidRDefault="00CF3C44" w:rsidP="00756BE9">
            <w:pPr>
              <w:pStyle w:val="TableTextRight"/>
              <w:rPr>
                <w:lang w:eastAsia="en-AU"/>
              </w:rPr>
            </w:pPr>
            <w:r>
              <w:rPr>
                <w:rFonts w:ascii="Calibri" w:hAnsi="Calibri" w:cs="Calibri"/>
              </w:rPr>
              <w:t>2.</w:t>
            </w:r>
            <w:r w:rsidR="00840616">
              <w:rPr>
                <w:rFonts w:ascii="Calibri" w:hAnsi="Calibri" w:cs="Calibri"/>
              </w:rPr>
              <w:t>4</w:t>
            </w:r>
          </w:p>
        </w:tc>
        <w:tc>
          <w:tcPr>
            <w:tcW w:w="591" w:type="pct"/>
            <w:tcBorders>
              <w:top w:val="nil"/>
              <w:left w:val="nil"/>
              <w:bottom w:val="nil"/>
              <w:right w:val="nil"/>
            </w:tcBorders>
            <w:shd w:val="clear" w:color="auto" w:fill="auto"/>
            <w:vAlign w:val="center"/>
            <w:hideMark/>
          </w:tcPr>
          <w:p w14:paraId="7906C7D4" w14:textId="46C010BD" w:rsidR="003D3EC9" w:rsidRPr="00274467" w:rsidRDefault="00CF3C44" w:rsidP="00756BE9">
            <w:pPr>
              <w:pStyle w:val="TableTextRight"/>
              <w:rPr>
                <w:lang w:eastAsia="en-AU"/>
              </w:rPr>
            </w:pPr>
            <w:r>
              <w:rPr>
                <w:rFonts w:ascii="Calibri" w:hAnsi="Calibri" w:cs="Calibri"/>
              </w:rPr>
              <w:t>1.</w:t>
            </w:r>
            <w:r w:rsidR="00840616">
              <w:rPr>
                <w:rFonts w:ascii="Calibri" w:hAnsi="Calibri" w:cs="Calibri"/>
              </w:rPr>
              <w:t>9</w:t>
            </w:r>
          </w:p>
        </w:tc>
        <w:tc>
          <w:tcPr>
            <w:tcW w:w="591" w:type="pct"/>
            <w:tcBorders>
              <w:top w:val="nil"/>
              <w:left w:val="nil"/>
              <w:bottom w:val="nil"/>
              <w:right w:val="nil"/>
            </w:tcBorders>
            <w:shd w:val="clear" w:color="auto" w:fill="auto"/>
            <w:vAlign w:val="center"/>
            <w:hideMark/>
          </w:tcPr>
          <w:p w14:paraId="142CFD57" w14:textId="5F89DD0A" w:rsidR="003D3EC9" w:rsidRPr="00274467" w:rsidRDefault="00CF3C44" w:rsidP="00756BE9">
            <w:pPr>
              <w:pStyle w:val="TableTextRight"/>
              <w:rPr>
                <w:lang w:eastAsia="en-AU"/>
              </w:rPr>
            </w:pPr>
            <w:r>
              <w:rPr>
                <w:rFonts w:ascii="Calibri" w:hAnsi="Calibri" w:cs="Calibri"/>
              </w:rPr>
              <w:t>1.</w:t>
            </w:r>
            <w:r w:rsidR="00840616">
              <w:rPr>
                <w:rFonts w:ascii="Calibri" w:hAnsi="Calibri" w:cs="Calibri"/>
              </w:rPr>
              <w:t>6</w:t>
            </w:r>
          </w:p>
        </w:tc>
        <w:tc>
          <w:tcPr>
            <w:tcW w:w="591" w:type="pct"/>
            <w:tcBorders>
              <w:top w:val="nil"/>
              <w:left w:val="nil"/>
              <w:bottom w:val="nil"/>
              <w:right w:val="single" w:sz="4" w:space="0" w:color="auto"/>
            </w:tcBorders>
            <w:shd w:val="clear" w:color="auto" w:fill="auto"/>
            <w:vAlign w:val="center"/>
            <w:hideMark/>
          </w:tcPr>
          <w:p w14:paraId="1CFFA6AF" w14:textId="415CD1D3" w:rsidR="003D3EC9" w:rsidRPr="00274467" w:rsidRDefault="003D3EC9" w:rsidP="00756BE9">
            <w:pPr>
              <w:pStyle w:val="TableTextRight"/>
              <w:rPr>
                <w:lang w:eastAsia="en-AU"/>
              </w:rPr>
            </w:pPr>
            <w:r>
              <w:rPr>
                <w:rFonts w:ascii="Calibri" w:hAnsi="Calibri" w:cs="Calibri"/>
              </w:rPr>
              <w:t>1.4</w:t>
            </w:r>
          </w:p>
        </w:tc>
        <w:tc>
          <w:tcPr>
            <w:tcW w:w="591" w:type="pct"/>
            <w:tcBorders>
              <w:top w:val="nil"/>
              <w:left w:val="nil"/>
              <w:bottom w:val="nil"/>
              <w:right w:val="nil"/>
            </w:tcBorders>
            <w:shd w:val="clear" w:color="auto" w:fill="auto"/>
            <w:vAlign w:val="center"/>
            <w:hideMark/>
          </w:tcPr>
          <w:p w14:paraId="16AA4445" w14:textId="5AA64B8F" w:rsidR="003D3EC9" w:rsidRPr="00274467" w:rsidRDefault="003D3EC9" w:rsidP="00756BE9">
            <w:pPr>
              <w:pStyle w:val="TableTextRight"/>
              <w:rPr>
                <w:lang w:eastAsia="en-AU"/>
              </w:rPr>
            </w:pPr>
            <w:r>
              <w:rPr>
                <w:rFonts w:ascii="Calibri" w:hAnsi="Calibri" w:cs="Calibri"/>
              </w:rPr>
              <w:t>1.4</w:t>
            </w:r>
          </w:p>
        </w:tc>
      </w:tr>
      <w:tr w:rsidR="003D3EC9" w:rsidRPr="00274467" w14:paraId="488370B4" w14:textId="77777777" w:rsidTr="00997375">
        <w:trPr>
          <w:trHeight w:val="227"/>
        </w:trPr>
        <w:tc>
          <w:tcPr>
            <w:tcW w:w="1455" w:type="pct"/>
            <w:tcBorders>
              <w:top w:val="nil"/>
              <w:left w:val="nil"/>
              <w:bottom w:val="nil"/>
              <w:right w:val="nil"/>
            </w:tcBorders>
            <w:shd w:val="clear" w:color="auto" w:fill="auto"/>
            <w:vAlign w:val="center"/>
            <w:hideMark/>
          </w:tcPr>
          <w:p w14:paraId="1A9D63A3" w14:textId="77777777" w:rsidR="003D3EC9" w:rsidRPr="00274467" w:rsidRDefault="003D3EC9" w:rsidP="00F828E7">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230413CC" w14:textId="73806BE8" w:rsidR="003D3EC9" w:rsidRPr="00274467" w:rsidRDefault="003D3EC9" w:rsidP="00756BE9">
            <w:pPr>
              <w:pStyle w:val="TableTextRight"/>
              <w:rPr>
                <w:lang w:eastAsia="en-AU"/>
              </w:rPr>
            </w:pPr>
            <w:r>
              <w:rPr>
                <w:rFonts w:ascii="Calibri" w:hAnsi="Calibri" w:cs="Calibri"/>
              </w:rPr>
              <w:t>3.3</w:t>
            </w:r>
          </w:p>
        </w:tc>
        <w:tc>
          <w:tcPr>
            <w:tcW w:w="591" w:type="pct"/>
            <w:tcBorders>
              <w:top w:val="nil"/>
              <w:left w:val="nil"/>
              <w:bottom w:val="nil"/>
              <w:right w:val="nil"/>
            </w:tcBorders>
            <w:shd w:val="clear" w:color="auto" w:fill="D2EDFF"/>
            <w:vAlign w:val="center"/>
            <w:hideMark/>
          </w:tcPr>
          <w:p w14:paraId="6E7839B2" w14:textId="649012CC" w:rsidR="003D3EC9" w:rsidRPr="00274467" w:rsidRDefault="003D3EC9" w:rsidP="00756BE9">
            <w:pPr>
              <w:pStyle w:val="TableTextRight"/>
              <w:rPr>
                <w:lang w:eastAsia="en-AU"/>
              </w:rPr>
            </w:pPr>
            <w:r>
              <w:rPr>
                <w:rFonts w:ascii="Calibri" w:hAnsi="Calibri" w:cs="Calibri"/>
              </w:rPr>
              <w:t>2.9</w:t>
            </w:r>
          </w:p>
        </w:tc>
        <w:tc>
          <w:tcPr>
            <w:tcW w:w="591" w:type="pct"/>
            <w:tcBorders>
              <w:top w:val="nil"/>
              <w:left w:val="nil"/>
              <w:bottom w:val="nil"/>
              <w:right w:val="nil"/>
            </w:tcBorders>
            <w:shd w:val="clear" w:color="auto" w:fill="auto"/>
            <w:vAlign w:val="center"/>
            <w:hideMark/>
          </w:tcPr>
          <w:p w14:paraId="154A5189" w14:textId="2F1E3BF9" w:rsidR="003D3EC9" w:rsidRPr="00274467" w:rsidRDefault="00CF3C44" w:rsidP="00756BE9">
            <w:pPr>
              <w:pStyle w:val="TableTextRight"/>
              <w:rPr>
                <w:lang w:eastAsia="en-AU"/>
              </w:rPr>
            </w:pPr>
            <w:r>
              <w:rPr>
                <w:rFonts w:ascii="Calibri" w:hAnsi="Calibri" w:cs="Calibri"/>
              </w:rPr>
              <w:t>2.</w:t>
            </w:r>
            <w:r w:rsidR="00840616">
              <w:rPr>
                <w:rFonts w:ascii="Calibri" w:hAnsi="Calibri" w:cs="Calibri"/>
              </w:rPr>
              <w:t>2</w:t>
            </w:r>
          </w:p>
        </w:tc>
        <w:tc>
          <w:tcPr>
            <w:tcW w:w="591" w:type="pct"/>
            <w:tcBorders>
              <w:top w:val="nil"/>
              <w:left w:val="nil"/>
              <w:bottom w:val="nil"/>
              <w:right w:val="nil"/>
            </w:tcBorders>
            <w:shd w:val="clear" w:color="auto" w:fill="auto"/>
            <w:vAlign w:val="center"/>
            <w:hideMark/>
          </w:tcPr>
          <w:p w14:paraId="5F26AF96" w14:textId="4185C50D" w:rsidR="003D3EC9" w:rsidRPr="00274467" w:rsidRDefault="00CF3C44" w:rsidP="00756BE9">
            <w:pPr>
              <w:pStyle w:val="TableTextRight"/>
              <w:rPr>
                <w:lang w:eastAsia="en-AU"/>
              </w:rPr>
            </w:pPr>
            <w:r>
              <w:rPr>
                <w:rFonts w:ascii="Calibri" w:hAnsi="Calibri" w:cs="Calibri"/>
              </w:rPr>
              <w:t>1.</w:t>
            </w:r>
            <w:r w:rsidR="00840616">
              <w:rPr>
                <w:rFonts w:ascii="Calibri" w:hAnsi="Calibri" w:cs="Calibri"/>
              </w:rPr>
              <w:t>8</w:t>
            </w:r>
          </w:p>
        </w:tc>
        <w:tc>
          <w:tcPr>
            <w:tcW w:w="591" w:type="pct"/>
            <w:tcBorders>
              <w:top w:val="nil"/>
              <w:left w:val="nil"/>
              <w:bottom w:val="nil"/>
              <w:right w:val="single" w:sz="4" w:space="0" w:color="auto"/>
            </w:tcBorders>
            <w:shd w:val="clear" w:color="auto" w:fill="auto"/>
            <w:vAlign w:val="center"/>
            <w:hideMark/>
          </w:tcPr>
          <w:p w14:paraId="6A2AFDE2" w14:textId="528DC01C" w:rsidR="003D3EC9" w:rsidRPr="00274467" w:rsidRDefault="00CF3C44" w:rsidP="00756BE9">
            <w:pPr>
              <w:pStyle w:val="TableTextRight"/>
              <w:rPr>
                <w:lang w:eastAsia="en-AU"/>
              </w:rPr>
            </w:pPr>
            <w:r>
              <w:rPr>
                <w:rFonts w:ascii="Calibri" w:hAnsi="Calibri" w:cs="Calibri"/>
              </w:rPr>
              <w:t>1.</w:t>
            </w:r>
            <w:r w:rsidR="00840616">
              <w:rPr>
                <w:rFonts w:ascii="Calibri" w:hAnsi="Calibri" w:cs="Calibri"/>
              </w:rPr>
              <w:t>6</w:t>
            </w:r>
          </w:p>
        </w:tc>
        <w:tc>
          <w:tcPr>
            <w:tcW w:w="591" w:type="pct"/>
            <w:tcBorders>
              <w:top w:val="nil"/>
              <w:left w:val="nil"/>
              <w:bottom w:val="nil"/>
              <w:right w:val="nil"/>
            </w:tcBorders>
            <w:shd w:val="clear" w:color="auto" w:fill="auto"/>
            <w:vAlign w:val="center"/>
            <w:hideMark/>
          </w:tcPr>
          <w:p w14:paraId="0E5AB2A1" w14:textId="33B896BB" w:rsidR="003D3EC9" w:rsidRPr="00274467" w:rsidRDefault="003D3EC9" w:rsidP="00756BE9">
            <w:pPr>
              <w:pStyle w:val="TableTextRight"/>
              <w:rPr>
                <w:lang w:eastAsia="en-AU"/>
              </w:rPr>
            </w:pPr>
            <w:r>
              <w:rPr>
                <w:rFonts w:ascii="Calibri" w:hAnsi="Calibri" w:cs="Calibri"/>
              </w:rPr>
              <w:t>1.5</w:t>
            </w:r>
          </w:p>
        </w:tc>
      </w:tr>
      <w:tr w:rsidR="003D3EC9" w:rsidRPr="00274467" w14:paraId="56A9828C" w14:textId="77777777" w:rsidTr="00997375">
        <w:trPr>
          <w:trHeight w:val="227"/>
        </w:trPr>
        <w:tc>
          <w:tcPr>
            <w:tcW w:w="1455" w:type="pct"/>
            <w:tcBorders>
              <w:top w:val="nil"/>
              <w:left w:val="nil"/>
              <w:bottom w:val="nil"/>
              <w:right w:val="nil"/>
            </w:tcBorders>
            <w:shd w:val="clear" w:color="auto" w:fill="auto"/>
            <w:vAlign w:val="center"/>
            <w:hideMark/>
          </w:tcPr>
          <w:p w14:paraId="7587754A" w14:textId="77777777" w:rsidR="003D3EC9" w:rsidRPr="00274467" w:rsidRDefault="003D3EC9" w:rsidP="00F828E7">
            <w:pPr>
              <w:pStyle w:val="Tabletextleftindent"/>
            </w:pPr>
            <w:r w:rsidRPr="00274467">
              <w:t>Rest of Victoria</w:t>
            </w:r>
          </w:p>
        </w:tc>
        <w:tc>
          <w:tcPr>
            <w:tcW w:w="591" w:type="pct"/>
            <w:tcBorders>
              <w:top w:val="nil"/>
              <w:left w:val="nil"/>
              <w:bottom w:val="nil"/>
              <w:right w:val="nil"/>
            </w:tcBorders>
            <w:shd w:val="clear" w:color="auto" w:fill="auto"/>
            <w:vAlign w:val="center"/>
            <w:hideMark/>
          </w:tcPr>
          <w:p w14:paraId="68AB9828" w14:textId="5739618F" w:rsidR="003D3EC9" w:rsidRPr="00274467" w:rsidRDefault="003D3EC9" w:rsidP="00756BE9">
            <w:pPr>
              <w:pStyle w:val="TableTextRight"/>
              <w:rPr>
                <w:lang w:eastAsia="en-AU"/>
              </w:rPr>
            </w:pPr>
            <w:r>
              <w:rPr>
                <w:rFonts w:ascii="Calibri" w:hAnsi="Calibri" w:cs="Calibri"/>
              </w:rPr>
              <w:t>1.1</w:t>
            </w:r>
          </w:p>
        </w:tc>
        <w:tc>
          <w:tcPr>
            <w:tcW w:w="591" w:type="pct"/>
            <w:tcBorders>
              <w:top w:val="nil"/>
              <w:left w:val="nil"/>
              <w:bottom w:val="nil"/>
              <w:right w:val="nil"/>
            </w:tcBorders>
            <w:shd w:val="clear" w:color="auto" w:fill="D2EDFF"/>
            <w:vAlign w:val="center"/>
            <w:hideMark/>
          </w:tcPr>
          <w:p w14:paraId="19F9358A" w14:textId="43AAF860" w:rsidR="003D3EC9" w:rsidRPr="00274467" w:rsidRDefault="003D3EC9" w:rsidP="00756BE9">
            <w:pPr>
              <w:pStyle w:val="TableTextRight"/>
              <w:rPr>
                <w:lang w:eastAsia="en-AU"/>
              </w:rPr>
            </w:pPr>
            <w:r>
              <w:rPr>
                <w:rFonts w:ascii="Calibri" w:hAnsi="Calibri" w:cs="Calibri"/>
              </w:rPr>
              <w:t>1.0</w:t>
            </w:r>
          </w:p>
        </w:tc>
        <w:tc>
          <w:tcPr>
            <w:tcW w:w="591" w:type="pct"/>
            <w:tcBorders>
              <w:top w:val="nil"/>
              <w:left w:val="nil"/>
              <w:bottom w:val="nil"/>
              <w:right w:val="nil"/>
            </w:tcBorders>
            <w:shd w:val="clear" w:color="auto" w:fill="auto"/>
            <w:vAlign w:val="center"/>
            <w:hideMark/>
          </w:tcPr>
          <w:p w14:paraId="08879E0B" w14:textId="61975EA9" w:rsidR="003D3EC9" w:rsidRPr="00274467" w:rsidRDefault="003D3EC9" w:rsidP="00756BE9">
            <w:pPr>
              <w:pStyle w:val="TableTextRight"/>
              <w:rPr>
                <w:lang w:eastAsia="en-AU"/>
              </w:rPr>
            </w:pPr>
            <w:r>
              <w:rPr>
                <w:rFonts w:ascii="Calibri" w:hAnsi="Calibri" w:cs="Calibri"/>
              </w:rPr>
              <w:t>0.9</w:t>
            </w:r>
          </w:p>
        </w:tc>
        <w:tc>
          <w:tcPr>
            <w:tcW w:w="591" w:type="pct"/>
            <w:tcBorders>
              <w:top w:val="nil"/>
              <w:left w:val="nil"/>
              <w:bottom w:val="nil"/>
              <w:right w:val="nil"/>
            </w:tcBorders>
            <w:shd w:val="clear" w:color="auto" w:fill="auto"/>
            <w:vAlign w:val="center"/>
            <w:hideMark/>
          </w:tcPr>
          <w:p w14:paraId="55C6B43B" w14:textId="256250A7" w:rsidR="003D3EC9" w:rsidRPr="00274467" w:rsidRDefault="00CF3C44" w:rsidP="00756BE9">
            <w:pPr>
              <w:pStyle w:val="TableTextRight"/>
              <w:rPr>
                <w:lang w:eastAsia="en-AU"/>
              </w:rPr>
            </w:pPr>
            <w:r>
              <w:rPr>
                <w:rFonts w:ascii="Calibri" w:hAnsi="Calibri" w:cs="Calibri"/>
              </w:rPr>
              <w:t>0.</w:t>
            </w:r>
            <w:r w:rsidR="00840616">
              <w:rPr>
                <w:rFonts w:ascii="Calibri" w:hAnsi="Calibri" w:cs="Calibri"/>
              </w:rPr>
              <w:t>8</w:t>
            </w:r>
          </w:p>
        </w:tc>
        <w:tc>
          <w:tcPr>
            <w:tcW w:w="591" w:type="pct"/>
            <w:tcBorders>
              <w:top w:val="nil"/>
              <w:left w:val="nil"/>
              <w:bottom w:val="nil"/>
              <w:right w:val="single" w:sz="4" w:space="0" w:color="auto"/>
            </w:tcBorders>
            <w:shd w:val="clear" w:color="auto" w:fill="auto"/>
            <w:vAlign w:val="center"/>
            <w:hideMark/>
          </w:tcPr>
          <w:p w14:paraId="42FD2A07" w14:textId="3186D4E6" w:rsidR="003D3EC9" w:rsidRPr="00274467" w:rsidRDefault="003D3EC9" w:rsidP="00756BE9">
            <w:pPr>
              <w:pStyle w:val="TableTextRight"/>
              <w:rPr>
                <w:lang w:eastAsia="en-AU"/>
              </w:rPr>
            </w:pPr>
            <w:r>
              <w:rPr>
                <w:rFonts w:ascii="Calibri" w:hAnsi="Calibri" w:cs="Calibri"/>
              </w:rPr>
              <w:t>0.7</w:t>
            </w:r>
          </w:p>
        </w:tc>
        <w:tc>
          <w:tcPr>
            <w:tcW w:w="591" w:type="pct"/>
            <w:tcBorders>
              <w:top w:val="nil"/>
              <w:left w:val="nil"/>
              <w:bottom w:val="nil"/>
              <w:right w:val="nil"/>
            </w:tcBorders>
            <w:shd w:val="clear" w:color="auto" w:fill="auto"/>
            <w:vAlign w:val="center"/>
            <w:hideMark/>
          </w:tcPr>
          <w:p w14:paraId="05422C48" w14:textId="17D5D658" w:rsidR="003D3EC9" w:rsidRPr="00274467" w:rsidRDefault="00CF3C44" w:rsidP="00756BE9">
            <w:pPr>
              <w:pStyle w:val="TableTextRight"/>
              <w:rPr>
                <w:lang w:eastAsia="en-AU"/>
              </w:rPr>
            </w:pPr>
            <w:r>
              <w:rPr>
                <w:rFonts w:ascii="Calibri" w:hAnsi="Calibri" w:cs="Calibri"/>
              </w:rPr>
              <w:t>0.</w:t>
            </w:r>
            <w:r w:rsidR="00840616">
              <w:rPr>
                <w:rFonts w:ascii="Calibri" w:hAnsi="Calibri" w:cs="Calibri"/>
              </w:rPr>
              <w:t>8</w:t>
            </w:r>
          </w:p>
        </w:tc>
      </w:tr>
      <w:tr w:rsidR="003D3EC9" w:rsidRPr="00274467" w14:paraId="27C1DC41" w14:textId="77777777" w:rsidTr="00997375">
        <w:trPr>
          <w:trHeight w:val="227"/>
        </w:trPr>
        <w:tc>
          <w:tcPr>
            <w:tcW w:w="1455" w:type="pct"/>
            <w:tcBorders>
              <w:top w:val="nil"/>
              <w:left w:val="nil"/>
              <w:bottom w:val="nil"/>
              <w:right w:val="nil"/>
            </w:tcBorders>
            <w:shd w:val="clear" w:color="auto" w:fill="auto"/>
            <w:vAlign w:val="center"/>
            <w:hideMark/>
          </w:tcPr>
          <w:p w14:paraId="40021E22" w14:textId="3E5A0358" w:rsidR="003D3EC9" w:rsidRPr="00274467" w:rsidRDefault="003D3EC9" w:rsidP="00636638">
            <w:pPr>
              <w:pStyle w:val="TableColumnHeadingLeft"/>
            </w:pPr>
            <w:r w:rsidRPr="00274467">
              <w:t>Population growth (</w:t>
            </w:r>
            <w:r w:rsidR="00050D25">
              <w:t>‘</w:t>
            </w:r>
            <w:r w:rsidRPr="00274467">
              <w:t>000)</w:t>
            </w:r>
          </w:p>
        </w:tc>
        <w:tc>
          <w:tcPr>
            <w:tcW w:w="591" w:type="pct"/>
            <w:tcBorders>
              <w:top w:val="nil"/>
              <w:left w:val="nil"/>
              <w:bottom w:val="nil"/>
              <w:right w:val="nil"/>
            </w:tcBorders>
            <w:shd w:val="clear" w:color="auto" w:fill="auto"/>
            <w:vAlign w:val="center"/>
            <w:hideMark/>
          </w:tcPr>
          <w:p w14:paraId="2C4AE00F"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4F8273E5" w14:textId="0D4AEADF"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5AA4E6DD"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0339A1DA"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5502DB72" w14:textId="282495DF"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69A9878B" w14:textId="77777777" w:rsidR="003D3EC9" w:rsidRPr="00274467" w:rsidRDefault="003D3EC9" w:rsidP="00756BE9">
            <w:pPr>
              <w:pStyle w:val="TableTextRight"/>
              <w:rPr>
                <w:lang w:eastAsia="en-AU"/>
              </w:rPr>
            </w:pPr>
          </w:p>
        </w:tc>
      </w:tr>
      <w:tr w:rsidR="003D3EC9" w:rsidRPr="00274467" w14:paraId="1541314D" w14:textId="77777777" w:rsidTr="00997375">
        <w:trPr>
          <w:trHeight w:val="227"/>
        </w:trPr>
        <w:tc>
          <w:tcPr>
            <w:tcW w:w="1455" w:type="pct"/>
            <w:tcBorders>
              <w:top w:val="nil"/>
              <w:left w:val="nil"/>
              <w:bottom w:val="nil"/>
              <w:right w:val="nil"/>
            </w:tcBorders>
            <w:shd w:val="clear" w:color="auto" w:fill="auto"/>
            <w:vAlign w:val="center"/>
            <w:hideMark/>
          </w:tcPr>
          <w:p w14:paraId="532B6DA6"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441A5072" w14:textId="05B69885" w:rsidR="003D3EC9" w:rsidRPr="00274467" w:rsidRDefault="003D3EC9" w:rsidP="00756BE9">
            <w:pPr>
              <w:pStyle w:val="TableTextRight"/>
              <w:rPr>
                <w:lang w:eastAsia="en-AU"/>
              </w:rPr>
            </w:pPr>
            <w:r>
              <w:rPr>
                <w:rFonts w:ascii="Calibri" w:hAnsi="Calibri" w:cs="Calibri"/>
              </w:rPr>
              <w:t>186.0</w:t>
            </w:r>
          </w:p>
        </w:tc>
        <w:tc>
          <w:tcPr>
            <w:tcW w:w="591" w:type="pct"/>
            <w:tcBorders>
              <w:top w:val="nil"/>
              <w:left w:val="nil"/>
              <w:bottom w:val="nil"/>
              <w:right w:val="nil"/>
            </w:tcBorders>
            <w:shd w:val="clear" w:color="auto" w:fill="D2EDFF"/>
            <w:vAlign w:val="center"/>
            <w:hideMark/>
          </w:tcPr>
          <w:p w14:paraId="408D08C5" w14:textId="01AD74E8" w:rsidR="003D3EC9" w:rsidRPr="00274467" w:rsidRDefault="00CF3C44" w:rsidP="00756BE9">
            <w:pPr>
              <w:pStyle w:val="TableTextRight"/>
              <w:rPr>
                <w:lang w:eastAsia="en-AU"/>
              </w:rPr>
            </w:pPr>
            <w:r>
              <w:rPr>
                <w:rFonts w:ascii="Calibri" w:hAnsi="Calibri" w:cs="Calibri"/>
              </w:rPr>
              <w:t>166.</w:t>
            </w:r>
            <w:r w:rsidR="00840616">
              <w:rPr>
                <w:rFonts w:ascii="Calibri" w:hAnsi="Calibri" w:cs="Calibri"/>
              </w:rPr>
              <w:t>7</w:t>
            </w:r>
          </w:p>
        </w:tc>
        <w:tc>
          <w:tcPr>
            <w:tcW w:w="591" w:type="pct"/>
            <w:tcBorders>
              <w:top w:val="nil"/>
              <w:left w:val="nil"/>
              <w:bottom w:val="nil"/>
              <w:right w:val="nil"/>
            </w:tcBorders>
            <w:shd w:val="clear" w:color="auto" w:fill="auto"/>
            <w:vAlign w:val="center"/>
            <w:hideMark/>
          </w:tcPr>
          <w:p w14:paraId="7D9641DB" w14:textId="746A41B0" w:rsidR="003D3EC9" w:rsidRPr="00274467" w:rsidRDefault="00CF3C44" w:rsidP="00756BE9">
            <w:pPr>
              <w:pStyle w:val="TableTextRight"/>
              <w:rPr>
                <w:lang w:eastAsia="en-AU"/>
              </w:rPr>
            </w:pPr>
            <w:r>
              <w:rPr>
                <w:rFonts w:ascii="Calibri" w:hAnsi="Calibri" w:cs="Calibri"/>
              </w:rPr>
              <w:t>130.</w:t>
            </w:r>
            <w:r w:rsidR="003D3EC9">
              <w:rPr>
                <w:rFonts w:ascii="Calibri" w:hAnsi="Calibri" w:cs="Calibri"/>
              </w:rPr>
              <w:t>1</w:t>
            </w:r>
          </w:p>
        </w:tc>
        <w:tc>
          <w:tcPr>
            <w:tcW w:w="591" w:type="pct"/>
            <w:tcBorders>
              <w:top w:val="nil"/>
              <w:left w:val="nil"/>
              <w:bottom w:val="nil"/>
              <w:right w:val="nil"/>
            </w:tcBorders>
            <w:shd w:val="clear" w:color="auto" w:fill="auto"/>
            <w:vAlign w:val="center"/>
            <w:hideMark/>
          </w:tcPr>
          <w:p w14:paraId="08697C07" w14:textId="29889A23" w:rsidR="003D3EC9" w:rsidRPr="00274467" w:rsidRDefault="00840616" w:rsidP="00756BE9">
            <w:pPr>
              <w:pStyle w:val="TableTextRight"/>
              <w:rPr>
                <w:lang w:eastAsia="en-AU"/>
              </w:rPr>
            </w:pPr>
            <w:r>
              <w:rPr>
                <w:rFonts w:ascii="Calibri" w:hAnsi="Calibri" w:cs="Calibri"/>
              </w:rPr>
              <w:t>110.9</w:t>
            </w:r>
          </w:p>
        </w:tc>
        <w:tc>
          <w:tcPr>
            <w:tcW w:w="591" w:type="pct"/>
            <w:tcBorders>
              <w:top w:val="nil"/>
              <w:left w:val="nil"/>
              <w:bottom w:val="nil"/>
              <w:right w:val="single" w:sz="4" w:space="0" w:color="auto"/>
            </w:tcBorders>
            <w:shd w:val="clear" w:color="auto" w:fill="auto"/>
            <w:vAlign w:val="center"/>
            <w:hideMark/>
          </w:tcPr>
          <w:p w14:paraId="51C7C99F" w14:textId="7904801D" w:rsidR="003D3EC9" w:rsidRPr="00274467" w:rsidRDefault="00CF3C44" w:rsidP="00756BE9">
            <w:pPr>
              <w:pStyle w:val="TableTextRight"/>
              <w:rPr>
                <w:lang w:eastAsia="en-AU"/>
              </w:rPr>
            </w:pPr>
            <w:r>
              <w:rPr>
                <w:rFonts w:ascii="Calibri" w:hAnsi="Calibri" w:cs="Calibri"/>
              </w:rPr>
              <w:t>103.</w:t>
            </w:r>
            <w:r w:rsidR="00840616">
              <w:rPr>
                <w:rFonts w:ascii="Calibri" w:hAnsi="Calibri" w:cs="Calibri"/>
              </w:rPr>
              <w:t>7</w:t>
            </w:r>
          </w:p>
        </w:tc>
        <w:tc>
          <w:tcPr>
            <w:tcW w:w="591" w:type="pct"/>
            <w:tcBorders>
              <w:top w:val="nil"/>
              <w:left w:val="nil"/>
              <w:bottom w:val="nil"/>
              <w:right w:val="nil"/>
            </w:tcBorders>
            <w:shd w:val="clear" w:color="auto" w:fill="auto"/>
            <w:vAlign w:val="center"/>
            <w:hideMark/>
          </w:tcPr>
          <w:p w14:paraId="788EB1A0" w14:textId="5849F688" w:rsidR="003D3EC9" w:rsidRPr="00274467" w:rsidRDefault="00CF3C44" w:rsidP="00756BE9">
            <w:pPr>
              <w:pStyle w:val="TableTextRight"/>
              <w:rPr>
                <w:lang w:eastAsia="en-AU"/>
              </w:rPr>
            </w:pPr>
            <w:r>
              <w:rPr>
                <w:rFonts w:ascii="Calibri" w:hAnsi="Calibri" w:cs="Calibri"/>
              </w:rPr>
              <w:t>109.</w:t>
            </w:r>
            <w:r w:rsidR="00840616">
              <w:rPr>
                <w:rFonts w:ascii="Calibri" w:hAnsi="Calibri" w:cs="Calibri"/>
              </w:rPr>
              <w:t>9</w:t>
            </w:r>
          </w:p>
        </w:tc>
      </w:tr>
      <w:tr w:rsidR="003D3EC9" w:rsidRPr="00274467" w14:paraId="2C3DAAF6" w14:textId="77777777" w:rsidTr="00997375">
        <w:trPr>
          <w:trHeight w:val="227"/>
        </w:trPr>
        <w:tc>
          <w:tcPr>
            <w:tcW w:w="1455" w:type="pct"/>
            <w:tcBorders>
              <w:top w:val="nil"/>
              <w:left w:val="nil"/>
              <w:bottom w:val="nil"/>
              <w:right w:val="nil"/>
            </w:tcBorders>
            <w:shd w:val="clear" w:color="auto" w:fill="auto"/>
            <w:vAlign w:val="center"/>
            <w:hideMark/>
          </w:tcPr>
          <w:p w14:paraId="010D194A" w14:textId="77777777" w:rsidR="003D3EC9" w:rsidRPr="00274467" w:rsidRDefault="003D3EC9" w:rsidP="00636638">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6E8FD5D7" w14:textId="5ADA4039" w:rsidR="003D3EC9" w:rsidRPr="00274467" w:rsidRDefault="003D3EC9" w:rsidP="00756BE9">
            <w:pPr>
              <w:pStyle w:val="TableTextRight"/>
              <w:rPr>
                <w:lang w:eastAsia="en-AU"/>
              </w:rPr>
            </w:pPr>
            <w:r>
              <w:rPr>
                <w:rFonts w:ascii="Calibri" w:hAnsi="Calibri" w:cs="Calibri"/>
              </w:rPr>
              <w:t>167.5</w:t>
            </w:r>
          </w:p>
        </w:tc>
        <w:tc>
          <w:tcPr>
            <w:tcW w:w="591" w:type="pct"/>
            <w:tcBorders>
              <w:top w:val="nil"/>
              <w:left w:val="nil"/>
              <w:bottom w:val="nil"/>
              <w:right w:val="nil"/>
            </w:tcBorders>
            <w:shd w:val="clear" w:color="auto" w:fill="D2EDFF"/>
            <w:vAlign w:val="center"/>
            <w:hideMark/>
          </w:tcPr>
          <w:p w14:paraId="1F0B8E86" w14:textId="566C743F" w:rsidR="003D3EC9" w:rsidRPr="00274467" w:rsidRDefault="00CF3C44" w:rsidP="00756BE9">
            <w:pPr>
              <w:pStyle w:val="TableTextRight"/>
              <w:rPr>
                <w:lang w:eastAsia="en-AU"/>
              </w:rPr>
            </w:pPr>
            <w:r>
              <w:rPr>
                <w:rFonts w:ascii="Calibri" w:hAnsi="Calibri" w:cs="Calibri"/>
              </w:rPr>
              <w:t>150.</w:t>
            </w:r>
            <w:r w:rsidR="00840616">
              <w:rPr>
                <w:rFonts w:ascii="Calibri" w:hAnsi="Calibri" w:cs="Calibri"/>
              </w:rPr>
              <w:t>0</w:t>
            </w:r>
          </w:p>
        </w:tc>
        <w:tc>
          <w:tcPr>
            <w:tcW w:w="591" w:type="pct"/>
            <w:tcBorders>
              <w:top w:val="nil"/>
              <w:left w:val="nil"/>
              <w:bottom w:val="nil"/>
              <w:right w:val="nil"/>
            </w:tcBorders>
            <w:shd w:val="clear" w:color="auto" w:fill="auto"/>
            <w:vAlign w:val="center"/>
            <w:hideMark/>
          </w:tcPr>
          <w:p w14:paraId="19675B9C" w14:textId="38C9AC9A" w:rsidR="003D3EC9" w:rsidRPr="00274467" w:rsidRDefault="00CF3C44" w:rsidP="00756BE9">
            <w:pPr>
              <w:pStyle w:val="TableTextRight"/>
              <w:rPr>
                <w:lang w:eastAsia="en-AU"/>
              </w:rPr>
            </w:pPr>
            <w:r>
              <w:rPr>
                <w:rFonts w:ascii="Calibri" w:hAnsi="Calibri" w:cs="Calibri"/>
              </w:rPr>
              <w:t>116.</w:t>
            </w:r>
            <w:r w:rsidR="00840616">
              <w:rPr>
                <w:rFonts w:ascii="Calibri" w:hAnsi="Calibri" w:cs="Calibri"/>
              </w:rPr>
              <w:t>0</w:t>
            </w:r>
          </w:p>
        </w:tc>
        <w:tc>
          <w:tcPr>
            <w:tcW w:w="591" w:type="pct"/>
            <w:tcBorders>
              <w:top w:val="nil"/>
              <w:left w:val="nil"/>
              <w:bottom w:val="nil"/>
              <w:right w:val="nil"/>
            </w:tcBorders>
            <w:shd w:val="clear" w:color="auto" w:fill="auto"/>
            <w:vAlign w:val="center"/>
            <w:hideMark/>
          </w:tcPr>
          <w:p w14:paraId="2D323A9A" w14:textId="18DCEB2A" w:rsidR="003D3EC9" w:rsidRPr="00274467" w:rsidRDefault="00840616" w:rsidP="00756BE9">
            <w:pPr>
              <w:pStyle w:val="TableTextRight"/>
              <w:rPr>
                <w:lang w:eastAsia="en-AU"/>
              </w:rPr>
            </w:pPr>
            <w:r>
              <w:rPr>
                <w:rFonts w:ascii="Calibri" w:hAnsi="Calibri" w:cs="Calibri"/>
              </w:rPr>
              <w:t>98.3</w:t>
            </w:r>
          </w:p>
        </w:tc>
        <w:tc>
          <w:tcPr>
            <w:tcW w:w="591" w:type="pct"/>
            <w:tcBorders>
              <w:top w:val="nil"/>
              <w:left w:val="nil"/>
              <w:bottom w:val="nil"/>
              <w:right w:val="single" w:sz="4" w:space="0" w:color="auto"/>
            </w:tcBorders>
            <w:shd w:val="clear" w:color="auto" w:fill="auto"/>
            <w:vAlign w:val="center"/>
            <w:hideMark/>
          </w:tcPr>
          <w:p w14:paraId="7AFEF1FF" w14:textId="35AE52DE" w:rsidR="003D3EC9" w:rsidRPr="00274467" w:rsidRDefault="00CF3C44" w:rsidP="00756BE9">
            <w:pPr>
              <w:pStyle w:val="TableTextRight"/>
              <w:rPr>
                <w:lang w:eastAsia="en-AU"/>
              </w:rPr>
            </w:pPr>
            <w:r>
              <w:rPr>
                <w:rFonts w:ascii="Calibri" w:hAnsi="Calibri" w:cs="Calibri"/>
              </w:rPr>
              <w:t>91.</w:t>
            </w:r>
            <w:r w:rsidR="00840616">
              <w:rPr>
                <w:rFonts w:ascii="Calibri" w:hAnsi="Calibri" w:cs="Calibri"/>
              </w:rPr>
              <w:t>8</w:t>
            </w:r>
          </w:p>
        </w:tc>
        <w:tc>
          <w:tcPr>
            <w:tcW w:w="591" w:type="pct"/>
            <w:tcBorders>
              <w:top w:val="nil"/>
              <w:left w:val="nil"/>
              <w:bottom w:val="nil"/>
              <w:right w:val="nil"/>
            </w:tcBorders>
            <w:shd w:val="clear" w:color="auto" w:fill="auto"/>
            <w:vAlign w:val="center"/>
            <w:hideMark/>
          </w:tcPr>
          <w:p w14:paraId="2196AB7D" w14:textId="5904DD5C" w:rsidR="003D3EC9" w:rsidRPr="00274467" w:rsidRDefault="00CF3C44" w:rsidP="00756BE9">
            <w:pPr>
              <w:pStyle w:val="TableTextRight"/>
              <w:rPr>
                <w:lang w:eastAsia="en-AU"/>
              </w:rPr>
            </w:pPr>
            <w:r>
              <w:rPr>
                <w:rFonts w:ascii="Calibri" w:hAnsi="Calibri" w:cs="Calibri"/>
              </w:rPr>
              <w:t>96.</w:t>
            </w:r>
            <w:r w:rsidR="00840616">
              <w:rPr>
                <w:rFonts w:ascii="Calibri" w:hAnsi="Calibri" w:cs="Calibri"/>
              </w:rPr>
              <w:t>5</w:t>
            </w:r>
          </w:p>
        </w:tc>
      </w:tr>
      <w:tr w:rsidR="003D3EC9" w:rsidRPr="00274467" w14:paraId="6E2FD1BE" w14:textId="77777777" w:rsidTr="00997375">
        <w:trPr>
          <w:trHeight w:val="227"/>
        </w:trPr>
        <w:tc>
          <w:tcPr>
            <w:tcW w:w="1455" w:type="pct"/>
            <w:tcBorders>
              <w:top w:val="nil"/>
              <w:left w:val="nil"/>
              <w:bottom w:val="single" w:sz="4" w:space="0" w:color="auto"/>
              <w:right w:val="nil"/>
            </w:tcBorders>
            <w:shd w:val="clear" w:color="auto" w:fill="auto"/>
            <w:vAlign w:val="center"/>
            <w:hideMark/>
          </w:tcPr>
          <w:p w14:paraId="54D45CF5" w14:textId="77777777" w:rsidR="003D3EC9" w:rsidRPr="00274467" w:rsidRDefault="003D3EC9" w:rsidP="00636638">
            <w:pPr>
              <w:pStyle w:val="Tabletextleftindent"/>
            </w:pPr>
            <w:r w:rsidRPr="00274467">
              <w:t>Rest of Victoria</w:t>
            </w:r>
          </w:p>
        </w:tc>
        <w:tc>
          <w:tcPr>
            <w:tcW w:w="591" w:type="pct"/>
            <w:tcBorders>
              <w:top w:val="nil"/>
              <w:left w:val="nil"/>
              <w:bottom w:val="single" w:sz="4" w:space="0" w:color="auto"/>
              <w:right w:val="nil"/>
            </w:tcBorders>
            <w:shd w:val="clear" w:color="auto" w:fill="auto"/>
            <w:vAlign w:val="center"/>
            <w:hideMark/>
          </w:tcPr>
          <w:p w14:paraId="71FF08AE" w14:textId="462D20CE" w:rsidR="003D3EC9" w:rsidRPr="00274467" w:rsidRDefault="003D3EC9" w:rsidP="00756BE9">
            <w:pPr>
              <w:pStyle w:val="TableTextRight"/>
              <w:rPr>
                <w:lang w:eastAsia="en-AU"/>
              </w:rPr>
            </w:pPr>
            <w:r>
              <w:rPr>
                <w:rFonts w:ascii="Calibri" w:hAnsi="Calibri" w:cs="Calibri"/>
              </w:rPr>
              <w:t>17.3</w:t>
            </w:r>
          </w:p>
        </w:tc>
        <w:tc>
          <w:tcPr>
            <w:tcW w:w="591" w:type="pct"/>
            <w:tcBorders>
              <w:top w:val="nil"/>
              <w:left w:val="nil"/>
              <w:bottom w:val="single" w:sz="4" w:space="0" w:color="auto"/>
              <w:right w:val="nil"/>
            </w:tcBorders>
            <w:shd w:val="clear" w:color="auto" w:fill="D2EDFF"/>
            <w:vAlign w:val="center"/>
            <w:hideMark/>
          </w:tcPr>
          <w:p w14:paraId="5FFCE7B5" w14:textId="4315E31F" w:rsidR="003D3EC9" w:rsidRPr="00274467" w:rsidRDefault="00CF3C44" w:rsidP="00756BE9">
            <w:pPr>
              <w:pStyle w:val="TableTextRight"/>
              <w:rPr>
                <w:lang w:eastAsia="en-AU"/>
              </w:rPr>
            </w:pPr>
            <w:r>
              <w:rPr>
                <w:rFonts w:ascii="Calibri" w:hAnsi="Calibri" w:cs="Calibri"/>
              </w:rPr>
              <w:t>16.</w:t>
            </w:r>
            <w:r w:rsidR="00840616">
              <w:rPr>
                <w:rFonts w:ascii="Calibri" w:hAnsi="Calibri" w:cs="Calibri"/>
              </w:rPr>
              <w:t>7</w:t>
            </w:r>
          </w:p>
        </w:tc>
        <w:tc>
          <w:tcPr>
            <w:tcW w:w="591" w:type="pct"/>
            <w:tcBorders>
              <w:top w:val="nil"/>
              <w:left w:val="nil"/>
              <w:bottom w:val="single" w:sz="4" w:space="0" w:color="auto"/>
              <w:right w:val="nil"/>
            </w:tcBorders>
            <w:shd w:val="clear" w:color="auto" w:fill="auto"/>
            <w:vAlign w:val="center"/>
            <w:hideMark/>
          </w:tcPr>
          <w:p w14:paraId="0451E532" w14:textId="3A541D65" w:rsidR="003D3EC9" w:rsidRPr="00274467" w:rsidRDefault="00CF3C44" w:rsidP="00756BE9">
            <w:pPr>
              <w:pStyle w:val="TableTextRight"/>
              <w:rPr>
                <w:lang w:eastAsia="en-AU"/>
              </w:rPr>
            </w:pPr>
            <w:r>
              <w:rPr>
                <w:rFonts w:ascii="Calibri" w:hAnsi="Calibri" w:cs="Calibri"/>
              </w:rPr>
              <w:t>14.</w:t>
            </w:r>
            <w:r w:rsidR="00840616">
              <w:rPr>
                <w:rFonts w:ascii="Calibri" w:hAnsi="Calibri" w:cs="Calibri"/>
              </w:rPr>
              <w:t>1</w:t>
            </w:r>
          </w:p>
        </w:tc>
        <w:tc>
          <w:tcPr>
            <w:tcW w:w="591" w:type="pct"/>
            <w:tcBorders>
              <w:top w:val="nil"/>
              <w:left w:val="nil"/>
              <w:bottom w:val="single" w:sz="4" w:space="0" w:color="auto"/>
              <w:right w:val="nil"/>
            </w:tcBorders>
            <w:shd w:val="clear" w:color="auto" w:fill="auto"/>
            <w:vAlign w:val="center"/>
            <w:hideMark/>
          </w:tcPr>
          <w:p w14:paraId="54D26BDB" w14:textId="235E4D22" w:rsidR="003D3EC9" w:rsidRPr="00274467" w:rsidRDefault="00CF3C44" w:rsidP="00756BE9">
            <w:pPr>
              <w:pStyle w:val="TableTextRight"/>
              <w:rPr>
                <w:lang w:eastAsia="en-AU"/>
              </w:rPr>
            </w:pPr>
            <w:r>
              <w:rPr>
                <w:rFonts w:ascii="Calibri" w:hAnsi="Calibri" w:cs="Calibri"/>
              </w:rPr>
              <w:t>12.</w:t>
            </w:r>
            <w:r w:rsidR="00840616">
              <w:rPr>
                <w:rFonts w:ascii="Calibri" w:hAnsi="Calibri" w:cs="Calibri"/>
              </w:rPr>
              <w:t>6</w:t>
            </w:r>
          </w:p>
        </w:tc>
        <w:tc>
          <w:tcPr>
            <w:tcW w:w="591" w:type="pct"/>
            <w:tcBorders>
              <w:top w:val="nil"/>
              <w:left w:val="nil"/>
              <w:bottom w:val="single" w:sz="4" w:space="0" w:color="auto"/>
              <w:right w:val="single" w:sz="4" w:space="0" w:color="auto"/>
            </w:tcBorders>
            <w:shd w:val="clear" w:color="auto" w:fill="auto"/>
            <w:vAlign w:val="center"/>
            <w:hideMark/>
          </w:tcPr>
          <w:p w14:paraId="27808F58" w14:textId="6E94290F" w:rsidR="003D3EC9" w:rsidRPr="00274467" w:rsidRDefault="00CF3C44" w:rsidP="00756BE9">
            <w:pPr>
              <w:pStyle w:val="TableTextRight"/>
              <w:rPr>
                <w:lang w:eastAsia="en-AU"/>
              </w:rPr>
            </w:pPr>
            <w:r>
              <w:rPr>
                <w:rFonts w:ascii="Calibri" w:hAnsi="Calibri" w:cs="Calibri"/>
              </w:rPr>
              <w:t>11.</w:t>
            </w:r>
            <w:r w:rsidR="00840616">
              <w:rPr>
                <w:rFonts w:ascii="Calibri" w:hAnsi="Calibri" w:cs="Calibri"/>
              </w:rPr>
              <w:t>9</w:t>
            </w:r>
          </w:p>
        </w:tc>
        <w:tc>
          <w:tcPr>
            <w:tcW w:w="591" w:type="pct"/>
            <w:tcBorders>
              <w:top w:val="nil"/>
              <w:left w:val="nil"/>
              <w:bottom w:val="single" w:sz="4" w:space="0" w:color="auto"/>
              <w:right w:val="nil"/>
            </w:tcBorders>
            <w:shd w:val="clear" w:color="auto" w:fill="auto"/>
            <w:vAlign w:val="center"/>
            <w:hideMark/>
          </w:tcPr>
          <w:p w14:paraId="0A07F432" w14:textId="7EFEE846" w:rsidR="003D3EC9" w:rsidRPr="00274467" w:rsidRDefault="00CF3C44" w:rsidP="00756BE9">
            <w:pPr>
              <w:pStyle w:val="TableTextRight"/>
              <w:rPr>
                <w:lang w:eastAsia="en-AU"/>
              </w:rPr>
            </w:pPr>
            <w:r>
              <w:rPr>
                <w:rFonts w:ascii="Calibri" w:hAnsi="Calibri" w:cs="Calibri"/>
              </w:rPr>
              <w:t>13.</w:t>
            </w:r>
            <w:r w:rsidR="00840616">
              <w:rPr>
                <w:rFonts w:ascii="Calibri" w:hAnsi="Calibri" w:cs="Calibri"/>
              </w:rPr>
              <w:t>4</w:t>
            </w:r>
          </w:p>
        </w:tc>
      </w:tr>
      <w:tr w:rsidR="003D3EC9" w:rsidRPr="00274467" w14:paraId="3EFDA397" w14:textId="77777777" w:rsidTr="00997375">
        <w:trPr>
          <w:trHeight w:val="227"/>
        </w:trPr>
        <w:tc>
          <w:tcPr>
            <w:tcW w:w="1455" w:type="pct"/>
            <w:tcBorders>
              <w:top w:val="nil"/>
              <w:left w:val="nil"/>
              <w:bottom w:val="nil"/>
              <w:right w:val="nil"/>
            </w:tcBorders>
            <w:shd w:val="clear" w:color="auto" w:fill="auto"/>
            <w:vAlign w:val="center"/>
            <w:hideMark/>
          </w:tcPr>
          <w:p w14:paraId="3B8E4CFA" w14:textId="76BDB829" w:rsidR="003D3EC9" w:rsidRPr="00274467" w:rsidRDefault="003D3EC9" w:rsidP="00636638">
            <w:pPr>
              <w:pStyle w:val="TableColumnHeadingLeft"/>
            </w:pPr>
            <w:r w:rsidRPr="00274467">
              <w:t>Natural increase (</w:t>
            </w:r>
            <w:r w:rsidR="00050D25">
              <w:t>‘</w:t>
            </w:r>
            <w:r w:rsidRPr="00274467">
              <w:t>000)</w:t>
            </w:r>
          </w:p>
        </w:tc>
        <w:tc>
          <w:tcPr>
            <w:tcW w:w="591" w:type="pct"/>
            <w:tcBorders>
              <w:top w:val="nil"/>
              <w:left w:val="nil"/>
              <w:bottom w:val="nil"/>
              <w:right w:val="nil"/>
            </w:tcBorders>
            <w:shd w:val="clear" w:color="auto" w:fill="auto"/>
            <w:vAlign w:val="center"/>
            <w:hideMark/>
          </w:tcPr>
          <w:p w14:paraId="5D2BDC79"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76B5FCFF" w14:textId="6D1DDB63"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3EB7CA2F"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2BD4372E"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0755ABD8" w14:textId="32788FEB"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7CAE1F8F" w14:textId="77777777" w:rsidR="003D3EC9" w:rsidRPr="00274467" w:rsidRDefault="003D3EC9" w:rsidP="00756BE9">
            <w:pPr>
              <w:pStyle w:val="TableTextRight"/>
              <w:rPr>
                <w:lang w:eastAsia="en-AU"/>
              </w:rPr>
            </w:pPr>
          </w:p>
        </w:tc>
      </w:tr>
      <w:tr w:rsidR="003D3EC9" w:rsidRPr="00274467" w14:paraId="450FF664" w14:textId="77777777" w:rsidTr="00997375">
        <w:trPr>
          <w:trHeight w:val="227"/>
        </w:trPr>
        <w:tc>
          <w:tcPr>
            <w:tcW w:w="1455" w:type="pct"/>
            <w:tcBorders>
              <w:top w:val="nil"/>
              <w:left w:val="nil"/>
              <w:bottom w:val="nil"/>
              <w:right w:val="nil"/>
            </w:tcBorders>
            <w:shd w:val="clear" w:color="auto" w:fill="auto"/>
            <w:vAlign w:val="center"/>
            <w:hideMark/>
          </w:tcPr>
          <w:p w14:paraId="2379AE66"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0E245108" w14:textId="6EF39851" w:rsidR="003D3EC9" w:rsidRPr="00274467" w:rsidRDefault="003D3EC9" w:rsidP="00756BE9">
            <w:pPr>
              <w:pStyle w:val="TableTextRight"/>
              <w:rPr>
                <w:lang w:eastAsia="en-AU"/>
              </w:rPr>
            </w:pPr>
            <w:r>
              <w:rPr>
                <w:rFonts w:ascii="Calibri" w:hAnsi="Calibri" w:cs="Calibri"/>
              </w:rPr>
              <w:t>28.1</w:t>
            </w:r>
          </w:p>
        </w:tc>
        <w:tc>
          <w:tcPr>
            <w:tcW w:w="591" w:type="pct"/>
            <w:tcBorders>
              <w:top w:val="nil"/>
              <w:left w:val="nil"/>
              <w:bottom w:val="nil"/>
              <w:right w:val="nil"/>
            </w:tcBorders>
            <w:shd w:val="clear" w:color="auto" w:fill="D2EDFF"/>
            <w:vAlign w:val="center"/>
            <w:hideMark/>
          </w:tcPr>
          <w:p w14:paraId="22454872" w14:textId="07BA0648" w:rsidR="003D3EC9" w:rsidRPr="00274467" w:rsidRDefault="00CF3C44" w:rsidP="00756BE9">
            <w:pPr>
              <w:pStyle w:val="TableTextRight"/>
              <w:rPr>
                <w:lang w:eastAsia="en-AU"/>
              </w:rPr>
            </w:pPr>
            <w:r>
              <w:rPr>
                <w:rFonts w:ascii="Calibri" w:hAnsi="Calibri" w:cs="Calibri"/>
              </w:rPr>
              <w:t>27.</w:t>
            </w:r>
            <w:r w:rsidR="00840616">
              <w:rPr>
                <w:rFonts w:ascii="Calibri" w:hAnsi="Calibri" w:cs="Calibri"/>
              </w:rPr>
              <w:t>3</w:t>
            </w:r>
          </w:p>
        </w:tc>
        <w:tc>
          <w:tcPr>
            <w:tcW w:w="591" w:type="pct"/>
            <w:tcBorders>
              <w:top w:val="nil"/>
              <w:left w:val="nil"/>
              <w:bottom w:val="nil"/>
              <w:right w:val="nil"/>
            </w:tcBorders>
            <w:shd w:val="clear" w:color="auto" w:fill="auto"/>
            <w:vAlign w:val="center"/>
            <w:hideMark/>
          </w:tcPr>
          <w:p w14:paraId="56F8FB27" w14:textId="4FACE38D" w:rsidR="003D3EC9" w:rsidRPr="00274467" w:rsidRDefault="00CF3C44" w:rsidP="00756BE9">
            <w:pPr>
              <w:pStyle w:val="TableTextRight"/>
              <w:rPr>
                <w:lang w:eastAsia="en-AU"/>
              </w:rPr>
            </w:pPr>
            <w:r>
              <w:rPr>
                <w:rFonts w:ascii="Calibri" w:hAnsi="Calibri" w:cs="Calibri"/>
              </w:rPr>
              <w:t>27.</w:t>
            </w:r>
            <w:r w:rsidR="00840616">
              <w:rPr>
                <w:rFonts w:ascii="Calibri" w:hAnsi="Calibri" w:cs="Calibri"/>
              </w:rPr>
              <w:t>6</w:t>
            </w:r>
          </w:p>
        </w:tc>
        <w:tc>
          <w:tcPr>
            <w:tcW w:w="591" w:type="pct"/>
            <w:tcBorders>
              <w:top w:val="nil"/>
              <w:left w:val="nil"/>
              <w:bottom w:val="nil"/>
              <w:right w:val="nil"/>
            </w:tcBorders>
            <w:shd w:val="clear" w:color="auto" w:fill="auto"/>
            <w:vAlign w:val="center"/>
            <w:hideMark/>
          </w:tcPr>
          <w:p w14:paraId="28C7FAC9" w14:textId="10DF02E9" w:rsidR="003D3EC9" w:rsidRPr="00274467" w:rsidRDefault="00CF3C44" w:rsidP="00756BE9">
            <w:pPr>
              <w:pStyle w:val="TableTextRight"/>
              <w:rPr>
                <w:lang w:eastAsia="en-AU"/>
              </w:rPr>
            </w:pPr>
            <w:r>
              <w:rPr>
                <w:rFonts w:ascii="Calibri" w:hAnsi="Calibri" w:cs="Calibri"/>
              </w:rPr>
              <w:t>29.</w:t>
            </w:r>
            <w:r w:rsidR="00840616">
              <w:rPr>
                <w:rFonts w:ascii="Calibri" w:hAnsi="Calibri" w:cs="Calibri"/>
              </w:rPr>
              <w:t>7</w:t>
            </w:r>
          </w:p>
        </w:tc>
        <w:tc>
          <w:tcPr>
            <w:tcW w:w="591" w:type="pct"/>
            <w:tcBorders>
              <w:top w:val="nil"/>
              <w:left w:val="nil"/>
              <w:bottom w:val="nil"/>
              <w:right w:val="single" w:sz="4" w:space="0" w:color="auto"/>
            </w:tcBorders>
            <w:shd w:val="clear" w:color="auto" w:fill="auto"/>
            <w:vAlign w:val="center"/>
            <w:hideMark/>
          </w:tcPr>
          <w:p w14:paraId="1AECAEEA" w14:textId="6F5E83AE" w:rsidR="003D3EC9" w:rsidRPr="00274467" w:rsidRDefault="003D3EC9" w:rsidP="00756BE9">
            <w:pPr>
              <w:pStyle w:val="TableTextRight"/>
              <w:rPr>
                <w:lang w:eastAsia="en-AU"/>
              </w:rPr>
            </w:pPr>
            <w:r>
              <w:rPr>
                <w:rFonts w:ascii="Calibri" w:hAnsi="Calibri" w:cs="Calibri"/>
              </w:rPr>
              <w:t>31.3</w:t>
            </w:r>
          </w:p>
        </w:tc>
        <w:tc>
          <w:tcPr>
            <w:tcW w:w="591" w:type="pct"/>
            <w:tcBorders>
              <w:top w:val="nil"/>
              <w:left w:val="nil"/>
              <w:bottom w:val="nil"/>
              <w:right w:val="nil"/>
            </w:tcBorders>
            <w:shd w:val="clear" w:color="auto" w:fill="auto"/>
            <w:vAlign w:val="center"/>
            <w:hideMark/>
          </w:tcPr>
          <w:p w14:paraId="04FEFBD6" w14:textId="37FE6DD9" w:rsidR="003D3EC9" w:rsidRPr="00274467" w:rsidRDefault="00CF3C44" w:rsidP="00756BE9">
            <w:pPr>
              <w:pStyle w:val="TableTextRight"/>
              <w:rPr>
                <w:lang w:eastAsia="en-AU"/>
              </w:rPr>
            </w:pPr>
            <w:r>
              <w:rPr>
                <w:rFonts w:ascii="Calibri" w:hAnsi="Calibri" w:cs="Calibri"/>
              </w:rPr>
              <w:t>35.</w:t>
            </w:r>
            <w:r w:rsidR="00840616">
              <w:rPr>
                <w:rFonts w:ascii="Calibri" w:hAnsi="Calibri" w:cs="Calibri"/>
              </w:rPr>
              <w:t>6</w:t>
            </w:r>
          </w:p>
        </w:tc>
      </w:tr>
      <w:tr w:rsidR="003D3EC9" w:rsidRPr="00274467" w14:paraId="45266385" w14:textId="77777777" w:rsidTr="00997375">
        <w:trPr>
          <w:trHeight w:val="227"/>
        </w:trPr>
        <w:tc>
          <w:tcPr>
            <w:tcW w:w="1455" w:type="pct"/>
            <w:tcBorders>
              <w:top w:val="nil"/>
              <w:left w:val="nil"/>
              <w:bottom w:val="nil"/>
              <w:right w:val="nil"/>
            </w:tcBorders>
            <w:shd w:val="clear" w:color="auto" w:fill="auto"/>
            <w:vAlign w:val="center"/>
            <w:hideMark/>
          </w:tcPr>
          <w:p w14:paraId="106C3645" w14:textId="77777777" w:rsidR="003D3EC9" w:rsidRPr="00636638" w:rsidRDefault="003D3EC9" w:rsidP="00636638">
            <w:pPr>
              <w:pStyle w:val="Tabletextleftindent"/>
            </w:pPr>
            <w:r w:rsidRPr="00636638">
              <w:t xml:space="preserve">Greater Melbourne </w:t>
            </w:r>
          </w:p>
        </w:tc>
        <w:tc>
          <w:tcPr>
            <w:tcW w:w="591" w:type="pct"/>
            <w:tcBorders>
              <w:top w:val="nil"/>
              <w:left w:val="nil"/>
              <w:bottom w:val="nil"/>
              <w:right w:val="nil"/>
            </w:tcBorders>
            <w:shd w:val="clear" w:color="auto" w:fill="auto"/>
            <w:vAlign w:val="center"/>
            <w:hideMark/>
          </w:tcPr>
          <w:p w14:paraId="226AA3AD" w14:textId="54CA0A90" w:rsidR="003D3EC9" w:rsidRPr="00274467" w:rsidRDefault="003D3EC9" w:rsidP="00756BE9">
            <w:pPr>
              <w:pStyle w:val="TableTextRight"/>
              <w:rPr>
                <w:lang w:eastAsia="en-AU"/>
              </w:rPr>
            </w:pPr>
            <w:r>
              <w:rPr>
                <w:rFonts w:ascii="Calibri" w:hAnsi="Calibri" w:cs="Calibri"/>
              </w:rPr>
              <w:t>27.4</w:t>
            </w:r>
          </w:p>
        </w:tc>
        <w:tc>
          <w:tcPr>
            <w:tcW w:w="591" w:type="pct"/>
            <w:tcBorders>
              <w:top w:val="nil"/>
              <w:left w:val="nil"/>
              <w:bottom w:val="nil"/>
              <w:right w:val="nil"/>
            </w:tcBorders>
            <w:shd w:val="clear" w:color="auto" w:fill="D2EDFF"/>
            <w:vAlign w:val="center"/>
            <w:hideMark/>
          </w:tcPr>
          <w:p w14:paraId="7015D692" w14:textId="4767BD42" w:rsidR="003D3EC9" w:rsidRPr="00274467" w:rsidRDefault="00CF3C44" w:rsidP="00756BE9">
            <w:pPr>
              <w:pStyle w:val="TableTextRight"/>
              <w:rPr>
                <w:lang w:eastAsia="en-AU"/>
              </w:rPr>
            </w:pPr>
            <w:r>
              <w:rPr>
                <w:rFonts w:ascii="Calibri" w:hAnsi="Calibri" w:cs="Calibri"/>
              </w:rPr>
              <w:t>27.</w:t>
            </w:r>
            <w:r w:rsidR="00840616">
              <w:rPr>
                <w:rFonts w:ascii="Calibri" w:hAnsi="Calibri" w:cs="Calibri"/>
              </w:rPr>
              <w:t>3</w:t>
            </w:r>
          </w:p>
        </w:tc>
        <w:tc>
          <w:tcPr>
            <w:tcW w:w="591" w:type="pct"/>
            <w:tcBorders>
              <w:top w:val="nil"/>
              <w:left w:val="nil"/>
              <w:bottom w:val="nil"/>
              <w:right w:val="nil"/>
            </w:tcBorders>
            <w:shd w:val="clear" w:color="auto" w:fill="auto"/>
            <w:vAlign w:val="center"/>
            <w:hideMark/>
          </w:tcPr>
          <w:p w14:paraId="10D59E1F" w14:textId="7DE6412B" w:rsidR="003D3EC9" w:rsidRPr="00274467" w:rsidRDefault="00CF3C44" w:rsidP="00756BE9">
            <w:pPr>
              <w:pStyle w:val="TableTextRight"/>
              <w:rPr>
                <w:lang w:eastAsia="en-AU"/>
              </w:rPr>
            </w:pPr>
            <w:r>
              <w:rPr>
                <w:rFonts w:ascii="Calibri" w:hAnsi="Calibri" w:cs="Calibri"/>
              </w:rPr>
              <w:t>27.</w:t>
            </w:r>
            <w:r w:rsidR="00840616">
              <w:rPr>
                <w:rFonts w:ascii="Calibri" w:hAnsi="Calibri" w:cs="Calibri"/>
              </w:rPr>
              <w:t>8</w:t>
            </w:r>
          </w:p>
        </w:tc>
        <w:tc>
          <w:tcPr>
            <w:tcW w:w="591" w:type="pct"/>
            <w:tcBorders>
              <w:top w:val="nil"/>
              <w:left w:val="nil"/>
              <w:bottom w:val="nil"/>
              <w:right w:val="nil"/>
            </w:tcBorders>
            <w:shd w:val="clear" w:color="auto" w:fill="auto"/>
            <w:vAlign w:val="center"/>
            <w:hideMark/>
          </w:tcPr>
          <w:p w14:paraId="6E1FC122" w14:textId="2CC82F61" w:rsidR="003D3EC9" w:rsidRPr="00274467" w:rsidRDefault="00CF3C44" w:rsidP="00756BE9">
            <w:pPr>
              <w:pStyle w:val="TableTextRight"/>
              <w:rPr>
                <w:lang w:eastAsia="en-AU"/>
              </w:rPr>
            </w:pPr>
            <w:r>
              <w:rPr>
                <w:rFonts w:ascii="Calibri" w:hAnsi="Calibri" w:cs="Calibri"/>
              </w:rPr>
              <w:t>29.</w:t>
            </w:r>
            <w:r w:rsidR="00840616">
              <w:rPr>
                <w:rFonts w:ascii="Calibri" w:hAnsi="Calibri" w:cs="Calibri"/>
              </w:rPr>
              <w:t>6</w:t>
            </w:r>
          </w:p>
        </w:tc>
        <w:tc>
          <w:tcPr>
            <w:tcW w:w="591" w:type="pct"/>
            <w:tcBorders>
              <w:top w:val="nil"/>
              <w:left w:val="nil"/>
              <w:bottom w:val="nil"/>
              <w:right w:val="single" w:sz="4" w:space="0" w:color="auto"/>
            </w:tcBorders>
            <w:shd w:val="clear" w:color="auto" w:fill="auto"/>
            <w:vAlign w:val="center"/>
            <w:hideMark/>
          </w:tcPr>
          <w:p w14:paraId="53412631" w14:textId="09DC8BB5" w:rsidR="003D3EC9" w:rsidRPr="00274467" w:rsidRDefault="00CF3C44" w:rsidP="00756BE9">
            <w:pPr>
              <w:pStyle w:val="TableTextRight"/>
              <w:rPr>
                <w:lang w:eastAsia="en-AU"/>
              </w:rPr>
            </w:pPr>
            <w:r>
              <w:rPr>
                <w:rFonts w:ascii="Calibri" w:hAnsi="Calibri" w:cs="Calibri"/>
              </w:rPr>
              <w:t>31.</w:t>
            </w:r>
            <w:r w:rsidR="00840616">
              <w:rPr>
                <w:rFonts w:ascii="Calibri" w:hAnsi="Calibri" w:cs="Calibri"/>
              </w:rPr>
              <w:t>1</w:t>
            </w:r>
          </w:p>
        </w:tc>
        <w:tc>
          <w:tcPr>
            <w:tcW w:w="591" w:type="pct"/>
            <w:tcBorders>
              <w:top w:val="nil"/>
              <w:left w:val="nil"/>
              <w:bottom w:val="nil"/>
              <w:right w:val="nil"/>
            </w:tcBorders>
            <w:shd w:val="clear" w:color="auto" w:fill="auto"/>
            <w:vAlign w:val="center"/>
            <w:hideMark/>
          </w:tcPr>
          <w:p w14:paraId="056314EC" w14:textId="2964FF10" w:rsidR="003D3EC9" w:rsidRPr="00274467" w:rsidRDefault="00CF3C44" w:rsidP="00756BE9">
            <w:pPr>
              <w:pStyle w:val="TableTextRight"/>
              <w:rPr>
                <w:lang w:eastAsia="en-AU"/>
              </w:rPr>
            </w:pPr>
            <w:r>
              <w:rPr>
                <w:rFonts w:ascii="Calibri" w:hAnsi="Calibri" w:cs="Calibri"/>
              </w:rPr>
              <w:t>36.</w:t>
            </w:r>
            <w:r w:rsidR="00840616">
              <w:rPr>
                <w:rFonts w:ascii="Calibri" w:hAnsi="Calibri" w:cs="Calibri"/>
              </w:rPr>
              <w:t>6</w:t>
            </w:r>
          </w:p>
        </w:tc>
      </w:tr>
      <w:tr w:rsidR="003D3EC9" w:rsidRPr="00274467" w14:paraId="1A215EC6" w14:textId="77777777" w:rsidTr="00997375">
        <w:trPr>
          <w:trHeight w:val="227"/>
        </w:trPr>
        <w:tc>
          <w:tcPr>
            <w:tcW w:w="1455" w:type="pct"/>
            <w:tcBorders>
              <w:top w:val="nil"/>
              <w:left w:val="nil"/>
              <w:bottom w:val="nil"/>
              <w:right w:val="nil"/>
            </w:tcBorders>
            <w:shd w:val="clear" w:color="auto" w:fill="auto"/>
            <w:vAlign w:val="center"/>
            <w:hideMark/>
          </w:tcPr>
          <w:p w14:paraId="6CC4D196" w14:textId="77777777" w:rsidR="003D3EC9" w:rsidRPr="00636638" w:rsidRDefault="003D3EC9" w:rsidP="00636638">
            <w:pPr>
              <w:pStyle w:val="Tabletextleftindent"/>
            </w:pPr>
            <w:r w:rsidRPr="00636638">
              <w:t>Rest of Victoria</w:t>
            </w:r>
          </w:p>
        </w:tc>
        <w:tc>
          <w:tcPr>
            <w:tcW w:w="591" w:type="pct"/>
            <w:tcBorders>
              <w:top w:val="nil"/>
              <w:left w:val="nil"/>
              <w:bottom w:val="nil"/>
              <w:right w:val="nil"/>
            </w:tcBorders>
            <w:shd w:val="clear" w:color="auto" w:fill="auto"/>
            <w:vAlign w:val="center"/>
            <w:hideMark/>
          </w:tcPr>
          <w:p w14:paraId="55A95363" w14:textId="00CD5E0E" w:rsidR="003D3EC9" w:rsidRPr="00274467" w:rsidRDefault="003D3EC9" w:rsidP="00756BE9">
            <w:pPr>
              <w:pStyle w:val="TableTextRight"/>
              <w:rPr>
                <w:lang w:eastAsia="en-AU"/>
              </w:rPr>
            </w:pPr>
            <w:r>
              <w:rPr>
                <w:rFonts w:ascii="Calibri" w:hAnsi="Calibri" w:cs="Calibri"/>
              </w:rPr>
              <w:t>2.1</w:t>
            </w:r>
          </w:p>
        </w:tc>
        <w:tc>
          <w:tcPr>
            <w:tcW w:w="591" w:type="pct"/>
            <w:tcBorders>
              <w:top w:val="nil"/>
              <w:left w:val="nil"/>
              <w:bottom w:val="nil"/>
              <w:right w:val="nil"/>
            </w:tcBorders>
            <w:shd w:val="clear" w:color="auto" w:fill="D2EDFF"/>
            <w:vAlign w:val="center"/>
            <w:hideMark/>
          </w:tcPr>
          <w:p w14:paraId="5BF0EC62" w14:textId="05243C55" w:rsidR="003D3EC9" w:rsidRPr="00274467" w:rsidRDefault="003D3EC9" w:rsidP="00756BE9">
            <w:pPr>
              <w:pStyle w:val="TableTextRight"/>
              <w:rPr>
                <w:lang w:eastAsia="en-AU"/>
              </w:rPr>
            </w:pPr>
            <w:r>
              <w:rPr>
                <w:rFonts w:ascii="Calibri" w:hAnsi="Calibri" w:cs="Calibri"/>
              </w:rPr>
              <w:t>0.1</w:t>
            </w:r>
          </w:p>
        </w:tc>
        <w:tc>
          <w:tcPr>
            <w:tcW w:w="591" w:type="pct"/>
            <w:tcBorders>
              <w:top w:val="nil"/>
              <w:left w:val="nil"/>
              <w:bottom w:val="nil"/>
              <w:right w:val="nil"/>
            </w:tcBorders>
            <w:shd w:val="clear" w:color="auto" w:fill="auto"/>
            <w:vAlign w:val="center"/>
            <w:hideMark/>
          </w:tcPr>
          <w:p w14:paraId="44A94943" w14:textId="21E2FBD3" w:rsidR="003D3EC9" w:rsidRPr="00274467" w:rsidRDefault="00050D25" w:rsidP="00756BE9">
            <w:pPr>
              <w:pStyle w:val="TableTextRight"/>
              <w:rPr>
                <w:lang w:eastAsia="en-AU"/>
              </w:rPr>
            </w:pPr>
            <w:r>
              <w:rPr>
                <w:rFonts w:ascii="Calibri" w:hAnsi="Calibri" w:cs="Calibri"/>
              </w:rPr>
              <w:noBreakHyphen/>
            </w:r>
            <w:r w:rsidR="00CF3C44">
              <w:rPr>
                <w:rFonts w:ascii="Calibri" w:hAnsi="Calibri" w:cs="Calibri"/>
              </w:rPr>
              <w:t>0.1</w:t>
            </w:r>
          </w:p>
        </w:tc>
        <w:tc>
          <w:tcPr>
            <w:tcW w:w="591" w:type="pct"/>
            <w:tcBorders>
              <w:top w:val="nil"/>
              <w:left w:val="nil"/>
              <w:bottom w:val="nil"/>
              <w:right w:val="nil"/>
            </w:tcBorders>
            <w:shd w:val="clear" w:color="auto" w:fill="auto"/>
            <w:vAlign w:val="center"/>
            <w:hideMark/>
          </w:tcPr>
          <w:p w14:paraId="2D6C6B21" w14:textId="1DEAED1F" w:rsidR="003D3EC9" w:rsidRPr="00274467" w:rsidRDefault="003D3EC9" w:rsidP="00756BE9">
            <w:pPr>
              <w:pStyle w:val="TableTextRight"/>
              <w:rPr>
                <w:lang w:eastAsia="en-AU"/>
              </w:rPr>
            </w:pPr>
            <w:r>
              <w:rPr>
                <w:rFonts w:ascii="Calibri" w:hAnsi="Calibri" w:cs="Calibri"/>
              </w:rPr>
              <w:t>0.1</w:t>
            </w:r>
          </w:p>
        </w:tc>
        <w:tc>
          <w:tcPr>
            <w:tcW w:w="591" w:type="pct"/>
            <w:tcBorders>
              <w:top w:val="nil"/>
              <w:left w:val="nil"/>
              <w:bottom w:val="nil"/>
              <w:right w:val="single" w:sz="4" w:space="0" w:color="auto"/>
            </w:tcBorders>
            <w:shd w:val="clear" w:color="auto" w:fill="auto"/>
            <w:vAlign w:val="center"/>
            <w:hideMark/>
          </w:tcPr>
          <w:p w14:paraId="33569805" w14:textId="482C2C37" w:rsidR="003D3EC9" w:rsidRPr="00274467" w:rsidRDefault="00CF3C44" w:rsidP="00756BE9">
            <w:pPr>
              <w:pStyle w:val="TableTextRight"/>
              <w:rPr>
                <w:lang w:eastAsia="en-AU"/>
              </w:rPr>
            </w:pPr>
            <w:r>
              <w:rPr>
                <w:rFonts w:ascii="Calibri" w:hAnsi="Calibri" w:cs="Calibri"/>
              </w:rPr>
              <w:t>0.</w:t>
            </w:r>
            <w:r w:rsidR="00840616">
              <w:rPr>
                <w:rFonts w:ascii="Calibri" w:hAnsi="Calibri" w:cs="Calibri"/>
              </w:rPr>
              <w:t>2</w:t>
            </w:r>
          </w:p>
        </w:tc>
        <w:tc>
          <w:tcPr>
            <w:tcW w:w="591" w:type="pct"/>
            <w:tcBorders>
              <w:top w:val="nil"/>
              <w:left w:val="nil"/>
              <w:bottom w:val="nil"/>
              <w:right w:val="nil"/>
            </w:tcBorders>
            <w:shd w:val="clear" w:color="auto" w:fill="auto"/>
            <w:vAlign w:val="center"/>
            <w:hideMark/>
          </w:tcPr>
          <w:p w14:paraId="1C12D927" w14:textId="0552F8D5" w:rsidR="003D3EC9" w:rsidRPr="00274467" w:rsidRDefault="00050D25" w:rsidP="00756BE9">
            <w:pPr>
              <w:pStyle w:val="TableTextRight"/>
              <w:rPr>
                <w:lang w:eastAsia="en-AU"/>
              </w:rPr>
            </w:pPr>
            <w:r>
              <w:rPr>
                <w:rFonts w:ascii="Calibri" w:hAnsi="Calibri" w:cs="Calibri"/>
              </w:rPr>
              <w:noBreakHyphen/>
            </w:r>
            <w:r w:rsidR="00CF3C44">
              <w:rPr>
                <w:rFonts w:ascii="Calibri" w:hAnsi="Calibri" w:cs="Calibri"/>
              </w:rPr>
              <w:t>1.0</w:t>
            </w:r>
          </w:p>
        </w:tc>
      </w:tr>
      <w:tr w:rsidR="003D3EC9" w:rsidRPr="00274467" w14:paraId="4076F3A7" w14:textId="77777777" w:rsidTr="00997375">
        <w:trPr>
          <w:trHeight w:val="227"/>
        </w:trPr>
        <w:tc>
          <w:tcPr>
            <w:tcW w:w="1455" w:type="pct"/>
            <w:tcBorders>
              <w:top w:val="nil"/>
              <w:left w:val="nil"/>
              <w:bottom w:val="nil"/>
              <w:right w:val="nil"/>
            </w:tcBorders>
            <w:shd w:val="clear" w:color="auto" w:fill="auto"/>
            <w:vAlign w:val="center"/>
            <w:hideMark/>
          </w:tcPr>
          <w:p w14:paraId="0D3D8EDA" w14:textId="5CAC75B0" w:rsidR="003D3EC9" w:rsidRPr="00274467" w:rsidRDefault="003D3EC9" w:rsidP="00636638">
            <w:pPr>
              <w:pStyle w:val="TableColumnHeadingLeft"/>
            </w:pPr>
            <w:r w:rsidRPr="00274467">
              <w:t>Net overseas migration (</w:t>
            </w:r>
            <w:r w:rsidR="00050D25">
              <w:t>‘</w:t>
            </w:r>
            <w:r w:rsidRPr="00274467">
              <w:t>000)</w:t>
            </w:r>
          </w:p>
        </w:tc>
        <w:tc>
          <w:tcPr>
            <w:tcW w:w="591" w:type="pct"/>
            <w:tcBorders>
              <w:top w:val="nil"/>
              <w:left w:val="nil"/>
              <w:bottom w:val="nil"/>
              <w:right w:val="nil"/>
            </w:tcBorders>
            <w:shd w:val="clear" w:color="auto" w:fill="auto"/>
            <w:vAlign w:val="center"/>
            <w:hideMark/>
          </w:tcPr>
          <w:p w14:paraId="0D9DE829"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7DE031C0" w14:textId="0F320F21"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1CE1902F"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14651140"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0453843E" w14:textId="2488B1D8"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1304F6A6" w14:textId="77777777" w:rsidR="003D3EC9" w:rsidRPr="00274467" w:rsidRDefault="003D3EC9" w:rsidP="00756BE9">
            <w:pPr>
              <w:pStyle w:val="TableTextRight"/>
              <w:rPr>
                <w:lang w:eastAsia="en-AU"/>
              </w:rPr>
            </w:pPr>
          </w:p>
        </w:tc>
      </w:tr>
      <w:tr w:rsidR="003D3EC9" w:rsidRPr="00274467" w14:paraId="7C740426" w14:textId="77777777" w:rsidTr="00997375">
        <w:trPr>
          <w:trHeight w:val="227"/>
        </w:trPr>
        <w:tc>
          <w:tcPr>
            <w:tcW w:w="1455" w:type="pct"/>
            <w:tcBorders>
              <w:top w:val="nil"/>
              <w:left w:val="nil"/>
              <w:bottom w:val="nil"/>
              <w:right w:val="nil"/>
            </w:tcBorders>
            <w:shd w:val="clear" w:color="auto" w:fill="auto"/>
            <w:vAlign w:val="center"/>
            <w:hideMark/>
          </w:tcPr>
          <w:p w14:paraId="2E6E3419"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54D1622C" w14:textId="54E25267" w:rsidR="003D3EC9" w:rsidRPr="00274467" w:rsidRDefault="003D3EC9" w:rsidP="00756BE9">
            <w:pPr>
              <w:pStyle w:val="TableTextRight"/>
              <w:rPr>
                <w:lang w:eastAsia="en-AU"/>
              </w:rPr>
            </w:pPr>
            <w:r>
              <w:rPr>
                <w:rFonts w:ascii="Calibri" w:hAnsi="Calibri" w:cs="Calibri"/>
              </w:rPr>
              <w:t>159.8</w:t>
            </w:r>
          </w:p>
        </w:tc>
        <w:tc>
          <w:tcPr>
            <w:tcW w:w="591" w:type="pct"/>
            <w:tcBorders>
              <w:top w:val="nil"/>
              <w:left w:val="nil"/>
              <w:bottom w:val="nil"/>
              <w:right w:val="nil"/>
            </w:tcBorders>
            <w:shd w:val="clear" w:color="auto" w:fill="D2EDFF"/>
            <w:vAlign w:val="center"/>
            <w:hideMark/>
          </w:tcPr>
          <w:p w14:paraId="7FB00992" w14:textId="138364BA" w:rsidR="003D3EC9" w:rsidRPr="00274467" w:rsidRDefault="00CF3C44" w:rsidP="00756BE9">
            <w:pPr>
              <w:pStyle w:val="TableTextRight"/>
              <w:rPr>
                <w:lang w:eastAsia="en-AU"/>
              </w:rPr>
            </w:pPr>
            <w:r>
              <w:rPr>
                <w:rFonts w:ascii="Calibri" w:hAnsi="Calibri" w:cs="Calibri"/>
              </w:rPr>
              <w:t>138.</w:t>
            </w:r>
            <w:r w:rsidR="00840616">
              <w:rPr>
                <w:rFonts w:ascii="Calibri" w:hAnsi="Calibri" w:cs="Calibri"/>
              </w:rPr>
              <w:t>6</w:t>
            </w:r>
          </w:p>
        </w:tc>
        <w:tc>
          <w:tcPr>
            <w:tcW w:w="591" w:type="pct"/>
            <w:tcBorders>
              <w:top w:val="nil"/>
              <w:left w:val="nil"/>
              <w:bottom w:val="nil"/>
              <w:right w:val="nil"/>
            </w:tcBorders>
            <w:shd w:val="clear" w:color="auto" w:fill="auto"/>
            <w:vAlign w:val="center"/>
            <w:hideMark/>
          </w:tcPr>
          <w:p w14:paraId="1F6C3335" w14:textId="6E452166" w:rsidR="003D3EC9" w:rsidRPr="00274467" w:rsidRDefault="00CF3C44" w:rsidP="00756BE9">
            <w:pPr>
              <w:pStyle w:val="TableTextRight"/>
              <w:rPr>
                <w:lang w:eastAsia="en-AU"/>
              </w:rPr>
            </w:pPr>
            <w:r>
              <w:rPr>
                <w:rFonts w:ascii="Calibri" w:hAnsi="Calibri" w:cs="Calibri"/>
              </w:rPr>
              <w:t>101.</w:t>
            </w:r>
            <w:r w:rsidR="00840616">
              <w:rPr>
                <w:rFonts w:ascii="Calibri" w:hAnsi="Calibri" w:cs="Calibri"/>
              </w:rPr>
              <w:t>0</w:t>
            </w:r>
          </w:p>
        </w:tc>
        <w:tc>
          <w:tcPr>
            <w:tcW w:w="591" w:type="pct"/>
            <w:tcBorders>
              <w:top w:val="nil"/>
              <w:left w:val="nil"/>
              <w:bottom w:val="nil"/>
              <w:right w:val="nil"/>
            </w:tcBorders>
            <w:shd w:val="clear" w:color="auto" w:fill="auto"/>
            <w:vAlign w:val="center"/>
            <w:hideMark/>
          </w:tcPr>
          <w:p w14:paraId="14F533D3" w14:textId="61D49ACC" w:rsidR="003D3EC9" w:rsidRPr="00274467" w:rsidRDefault="00CF3C44" w:rsidP="00756BE9">
            <w:pPr>
              <w:pStyle w:val="TableTextRight"/>
              <w:rPr>
                <w:lang w:eastAsia="en-AU"/>
              </w:rPr>
            </w:pPr>
            <w:r>
              <w:rPr>
                <w:rFonts w:ascii="Calibri" w:hAnsi="Calibri" w:cs="Calibri"/>
              </w:rPr>
              <w:t>78.</w:t>
            </w:r>
            <w:r w:rsidR="00840616">
              <w:rPr>
                <w:rFonts w:ascii="Calibri" w:hAnsi="Calibri" w:cs="Calibri"/>
              </w:rPr>
              <w:t>2</w:t>
            </w:r>
          </w:p>
        </w:tc>
        <w:tc>
          <w:tcPr>
            <w:tcW w:w="591" w:type="pct"/>
            <w:tcBorders>
              <w:top w:val="nil"/>
              <w:left w:val="nil"/>
              <w:bottom w:val="nil"/>
              <w:right w:val="single" w:sz="4" w:space="0" w:color="auto"/>
            </w:tcBorders>
            <w:shd w:val="clear" w:color="auto" w:fill="auto"/>
            <w:vAlign w:val="center"/>
            <w:hideMark/>
          </w:tcPr>
          <w:p w14:paraId="1DD1E8A4" w14:textId="18B9F678" w:rsidR="003D3EC9" w:rsidRPr="00274467" w:rsidRDefault="00CF3C44" w:rsidP="00756BE9">
            <w:pPr>
              <w:pStyle w:val="TableTextRight"/>
              <w:rPr>
                <w:lang w:eastAsia="en-AU"/>
              </w:rPr>
            </w:pPr>
            <w:r>
              <w:rPr>
                <w:rFonts w:ascii="Calibri" w:hAnsi="Calibri" w:cs="Calibri"/>
              </w:rPr>
              <w:t>68.</w:t>
            </w:r>
            <w:r w:rsidR="00840616">
              <w:rPr>
                <w:rFonts w:ascii="Calibri" w:hAnsi="Calibri" w:cs="Calibri"/>
              </w:rPr>
              <w:t>5</w:t>
            </w:r>
          </w:p>
        </w:tc>
        <w:tc>
          <w:tcPr>
            <w:tcW w:w="591" w:type="pct"/>
            <w:tcBorders>
              <w:top w:val="nil"/>
              <w:left w:val="nil"/>
              <w:bottom w:val="nil"/>
              <w:right w:val="nil"/>
            </w:tcBorders>
            <w:shd w:val="clear" w:color="auto" w:fill="auto"/>
            <w:vAlign w:val="center"/>
            <w:hideMark/>
          </w:tcPr>
          <w:p w14:paraId="18D69DE4" w14:textId="4190000E" w:rsidR="003D3EC9" w:rsidRPr="00274467" w:rsidRDefault="00CF3C44" w:rsidP="00756BE9">
            <w:pPr>
              <w:pStyle w:val="TableTextRight"/>
              <w:rPr>
                <w:lang w:eastAsia="en-AU"/>
              </w:rPr>
            </w:pPr>
            <w:r>
              <w:rPr>
                <w:rFonts w:ascii="Calibri" w:hAnsi="Calibri" w:cs="Calibri"/>
              </w:rPr>
              <w:t>71.</w:t>
            </w:r>
            <w:r w:rsidR="00840616">
              <w:rPr>
                <w:rFonts w:ascii="Calibri" w:hAnsi="Calibri" w:cs="Calibri"/>
              </w:rPr>
              <w:t>3</w:t>
            </w:r>
          </w:p>
        </w:tc>
      </w:tr>
      <w:tr w:rsidR="003D3EC9" w:rsidRPr="00274467" w14:paraId="790164F2" w14:textId="77777777" w:rsidTr="00997375">
        <w:trPr>
          <w:trHeight w:val="227"/>
        </w:trPr>
        <w:tc>
          <w:tcPr>
            <w:tcW w:w="1455" w:type="pct"/>
            <w:tcBorders>
              <w:top w:val="nil"/>
              <w:left w:val="nil"/>
              <w:bottom w:val="nil"/>
              <w:right w:val="nil"/>
            </w:tcBorders>
            <w:shd w:val="clear" w:color="auto" w:fill="auto"/>
            <w:vAlign w:val="center"/>
            <w:hideMark/>
          </w:tcPr>
          <w:p w14:paraId="09D01B39" w14:textId="77777777" w:rsidR="003D3EC9" w:rsidRPr="00274467" w:rsidRDefault="003D3EC9" w:rsidP="00636638">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0FB0FF19" w14:textId="739FA87D" w:rsidR="003D3EC9" w:rsidRPr="00274467" w:rsidRDefault="003D3EC9" w:rsidP="00756BE9">
            <w:pPr>
              <w:pStyle w:val="TableTextRight"/>
              <w:rPr>
                <w:lang w:eastAsia="en-AU"/>
              </w:rPr>
            </w:pPr>
            <w:r>
              <w:rPr>
                <w:rFonts w:ascii="Calibri" w:hAnsi="Calibri" w:cs="Calibri"/>
              </w:rPr>
              <w:t>146.8</w:t>
            </w:r>
          </w:p>
        </w:tc>
        <w:tc>
          <w:tcPr>
            <w:tcW w:w="591" w:type="pct"/>
            <w:tcBorders>
              <w:top w:val="nil"/>
              <w:left w:val="nil"/>
              <w:bottom w:val="nil"/>
              <w:right w:val="nil"/>
            </w:tcBorders>
            <w:shd w:val="clear" w:color="auto" w:fill="D2EDFF"/>
            <w:vAlign w:val="center"/>
            <w:hideMark/>
          </w:tcPr>
          <w:p w14:paraId="14372E10" w14:textId="28D086CE" w:rsidR="003D3EC9" w:rsidRPr="00274467" w:rsidRDefault="00CF3C44" w:rsidP="00756BE9">
            <w:pPr>
              <w:pStyle w:val="TableTextRight"/>
              <w:rPr>
                <w:lang w:eastAsia="en-AU"/>
              </w:rPr>
            </w:pPr>
            <w:r>
              <w:rPr>
                <w:rFonts w:ascii="Calibri" w:hAnsi="Calibri" w:cs="Calibri"/>
              </w:rPr>
              <w:t>128.</w:t>
            </w:r>
            <w:r w:rsidR="00840616">
              <w:rPr>
                <w:rFonts w:ascii="Calibri" w:hAnsi="Calibri" w:cs="Calibri"/>
              </w:rPr>
              <w:t>2</w:t>
            </w:r>
          </w:p>
        </w:tc>
        <w:tc>
          <w:tcPr>
            <w:tcW w:w="591" w:type="pct"/>
            <w:tcBorders>
              <w:top w:val="nil"/>
              <w:left w:val="nil"/>
              <w:bottom w:val="nil"/>
              <w:right w:val="nil"/>
            </w:tcBorders>
            <w:shd w:val="clear" w:color="auto" w:fill="auto"/>
            <w:vAlign w:val="center"/>
            <w:hideMark/>
          </w:tcPr>
          <w:p w14:paraId="23EED655" w14:textId="6BEC5B76" w:rsidR="003D3EC9" w:rsidRPr="00274467" w:rsidRDefault="00CF3C44" w:rsidP="00756BE9">
            <w:pPr>
              <w:pStyle w:val="TableTextRight"/>
              <w:rPr>
                <w:lang w:eastAsia="en-AU"/>
              </w:rPr>
            </w:pPr>
            <w:r>
              <w:rPr>
                <w:rFonts w:ascii="Calibri" w:hAnsi="Calibri" w:cs="Calibri"/>
              </w:rPr>
              <w:t>93.</w:t>
            </w:r>
            <w:r w:rsidR="003D3EC9">
              <w:rPr>
                <w:rFonts w:ascii="Calibri" w:hAnsi="Calibri" w:cs="Calibri"/>
              </w:rPr>
              <w:t>0</w:t>
            </w:r>
          </w:p>
        </w:tc>
        <w:tc>
          <w:tcPr>
            <w:tcW w:w="591" w:type="pct"/>
            <w:tcBorders>
              <w:top w:val="nil"/>
              <w:left w:val="nil"/>
              <w:bottom w:val="nil"/>
              <w:right w:val="nil"/>
            </w:tcBorders>
            <w:shd w:val="clear" w:color="auto" w:fill="auto"/>
            <w:vAlign w:val="center"/>
            <w:hideMark/>
          </w:tcPr>
          <w:p w14:paraId="1CA14F67" w14:textId="23D7AB87" w:rsidR="003D3EC9" w:rsidRPr="00274467" w:rsidRDefault="00840616" w:rsidP="00756BE9">
            <w:pPr>
              <w:pStyle w:val="TableTextRight"/>
              <w:rPr>
                <w:lang w:eastAsia="en-AU"/>
              </w:rPr>
            </w:pPr>
            <w:r>
              <w:rPr>
                <w:rFonts w:ascii="Calibri" w:hAnsi="Calibri" w:cs="Calibri"/>
              </w:rPr>
              <w:t>71.6</w:t>
            </w:r>
          </w:p>
        </w:tc>
        <w:tc>
          <w:tcPr>
            <w:tcW w:w="591" w:type="pct"/>
            <w:tcBorders>
              <w:top w:val="nil"/>
              <w:left w:val="nil"/>
              <w:bottom w:val="nil"/>
              <w:right w:val="single" w:sz="4" w:space="0" w:color="auto"/>
            </w:tcBorders>
            <w:shd w:val="clear" w:color="auto" w:fill="auto"/>
            <w:vAlign w:val="center"/>
            <w:hideMark/>
          </w:tcPr>
          <w:p w14:paraId="736FD1B2" w14:textId="4DD403E8" w:rsidR="003D3EC9" w:rsidRPr="00274467" w:rsidRDefault="00CF3C44" w:rsidP="00756BE9">
            <w:pPr>
              <w:pStyle w:val="TableTextRight"/>
              <w:rPr>
                <w:lang w:eastAsia="en-AU"/>
              </w:rPr>
            </w:pPr>
            <w:r>
              <w:rPr>
                <w:rFonts w:ascii="Calibri" w:hAnsi="Calibri" w:cs="Calibri"/>
              </w:rPr>
              <w:t>62.</w:t>
            </w:r>
            <w:r w:rsidR="00840616">
              <w:rPr>
                <w:rFonts w:ascii="Calibri" w:hAnsi="Calibri" w:cs="Calibri"/>
              </w:rPr>
              <w:t>4</w:t>
            </w:r>
          </w:p>
        </w:tc>
        <w:tc>
          <w:tcPr>
            <w:tcW w:w="591" w:type="pct"/>
            <w:tcBorders>
              <w:top w:val="nil"/>
              <w:left w:val="nil"/>
              <w:bottom w:val="nil"/>
              <w:right w:val="nil"/>
            </w:tcBorders>
            <w:shd w:val="clear" w:color="auto" w:fill="auto"/>
            <w:vAlign w:val="center"/>
            <w:hideMark/>
          </w:tcPr>
          <w:p w14:paraId="23CC8B1C" w14:textId="6E3F783F" w:rsidR="003D3EC9" w:rsidRPr="00274467" w:rsidRDefault="00CF3C44" w:rsidP="00756BE9">
            <w:pPr>
              <w:pStyle w:val="TableTextRight"/>
              <w:rPr>
                <w:lang w:eastAsia="en-AU"/>
              </w:rPr>
            </w:pPr>
            <w:r>
              <w:rPr>
                <w:rFonts w:ascii="Calibri" w:hAnsi="Calibri" w:cs="Calibri"/>
              </w:rPr>
              <w:t>65.</w:t>
            </w:r>
            <w:r w:rsidR="00840616">
              <w:rPr>
                <w:rFonts w:ascii="Calibri" w:hAnsi="Calibri" w:cs="Calibri"/>
              </w:rPr>
              <w:t>1</w:t>
            </w:r>
          </w:p>
        </w:tc>
      </w:tr>
      <w:tr w:rsidR="003D3EC9" w:rsidRPr="00274467" w14:paraId="316BE710" w14:textId="77777777" w:rsidTr="00997375">
        <w:trPr>
          <w:trHeight w:val="227"/>
        </w:trPr>
        <w:tc>
          <w:tcPr>
            <w:tcW w:w="1455" w:type="pct"/>
            <w:tcBorders>
              <w:top w:val="nil"/>
              <w:left w:val="nil"/>
              <w:bottom w:val="nil"/>
              <w:right w:val="nil"/>
            </w:tcBorders>
            <w:shd w:val="clear" w:color="auto" w:fill="auto"/>
            <w:vAlign w:val="center"/>
            <w:hideMark/>
          </w:tcPr>
          <w:p w14:paraId="458A8576" w14:textId="77777777" w:rsidR="003D3EC9" w:rsidRPr="00274467" w:rsidRDefault="003D3EC9" w:rsidP="00636638">
            <w:pPr>
              <w:pStyle w:val="Tabletextleftindent"/>
            </w:pPr>
            <w:r w:rsidRPr="00274467">
              <w:t>Rest of Victoria</w:t>
            </w:r>
          </w:p>
        </w:tc>
        <w:tc>
          <w:tcPr>
            <w:tcW w:w="591" w:type="pct"/>
            <w:tcBorders>
              <w:top w:val="nil"/>
              <w:left w:val="nil"/>
              <w:bottom w:val="nil"/>
              <w:right w:val="nil"/>
            </w:tcBorders>
            <w:shd w:val="clear" w:color="auto" w:fill="auto"/>
            <w:vAlign w:val="center"/>
            <w:hideMark/>
          </w:tcPr>
          <w:p w14:paraId="6E2EC8EB" w14:textId="3884BF09" w:rsidR="003D3EC9" w:rsidRPr="00274467" w:rsidRDefault="003D3EC9" w:rsidP="00756BE9">
            <w:pPr>
              <w:pStyle w:val="TableTextRight"/>
              <w:rPr>
                <w:lang w:eastAsia="en-AU"/>
              </w:rPr>
            </w:pPr>
            <w:r>
              <w:rPr>
                <w:rFonts w:ascii="Calibri" w:hAnsi="Calibri" w:cs="Calibri"/>
              </w:rPr>
              <w:t>10.4</w:t>
            </w:r>
          </w:p>
        </w:tc>
        <w:tc>
          <w:tcPr>
            <w:tcW w:w="591" w:type="pct"/>
            <w:tcBorders>
              <w:top w:val="nil"/>
              <w:left w:val="nil"/>
              <w:bottom w:val="nil"/>
              <w:right w:val="nil"/>
            </w:tcBorders>
            <w:shd w:val="clear" w:color="auto" w:fill="D2EDFF"/>
            <w:vAlign w:val="center"/>
            <w:hideMark/>
          </w:tcPr>
          <w:p w14:paraId="13DEE366" w14:textId="6A314290" w:rsidR="003D3EC9" w:rsidRPr="00274467" w:rsidRDefault="00CF3C44" w:rsidP="00756BE9">
            <w:pPr>
              <w:pStyle w:val="TableTextRight"/>
              <w:rPr>
                <w:lang w:eastAsia="en-AU"/>
              </w:rPr>
            </w:pPr>
            <w:r>
              <w:rPr>
                <w:rFonts w:ascii="Calibri" w:hAnsi="Calibri" w:cs="Calibri"/>
              </w:rPr>
              <w:t>10.</w:t>
            </w:r>
            <w:r w:rsidR="00840616">
              <w:rPr>
                <w:rFonts w:ascii="Calibri" w:hAnsi="Calibri" w:cs="Calibri"/>
              </w:rPr>
              <w:t>3</w:t>
            </w:r>
          </w:p>
        </w:tc>
        <w:tc>
          <w:tcPr>
            <w:tcW w:w="591" w:type="pct"/>
            <w:tcBorders>
              <w:top w:val="nil"/>
              <w:left w:val="nil"/>
              <w:bottom w:val="nil"/>
              <w:right w:val="nil"/>
            </w:tcBorders>
            <w:shd w:val="clear" w:color="auto" w:fill="auto"/>
            <w:vAlign w:val="center"/>
            <w:hideMark/>
          </w:tcPr>
          <w:p w14:paraId="68C675A0" w14:textId="1043C6DA" w:rsidR="003D3EC9" w:rsidRPr="00274467" w:rsidRDefault="00CF3C44" w:rsidP="00756BE9">
            <w:pPr>
              <w:pStyle w:val="TableTextRight"/>
              <w:rPr>
                <w:lang w:eastAsia="en-AU"/>
              </w:rPr>
            </w:pPr>
            <w:r>
              <w:rPr>
                <w:rFonts w:ascii="Calibri" w:hAnsi="Calibri" w:cs="Calibri"/>
              </w:rPr>
              <w:t>8.</w:t>
            </w:r>
            <w:r w:rsidR="00840616">
              <w:rPr>
                <w:rFonts w:ascii="Calibri" w:hAnsi="Calibri" w:cs="Calibri"/>
              </w:rPr>
              <w:t>0</w:t>
            </w:r>
          </w:p>
        </w:tc>
        <w:tc>
          <w:tcPr>
            <w:tcW w:w="591" w:type="pct"/>
            <w:tcBorders>
              <w:top w:val="nil"/>
              <w:left w:val="nil"/>
              <w:bottom w:val="nil"/>
              <w:right w:val="nil"/>
            </w:tcBorders>
            <w:shd w:val="clear" w:color="auto" w:fill="auto"/>
            <w:vAlign w:val="center"/>
            <w:hideMark/>
          </w:tcPr>
          <w:p w14:paraId="209B7676" w14:textId="3E2B3D78" w:rsidR="003D3EC9" w:rsidRPr="00274467" w:rsidRDefault="00CF3C44" w:rsidP="00756BE9">
            <w:pPr>
              <w:pStyle w:val="TableTextRight"/>
              <w:rPr>
                <w:lang w:eastAsia="en-AU"/>
              </w:rPr>
            </w:pPr>
            <w:r>
              <w:rPr>
                <w:rFonts w:ascii="Calibri" w:hAnsi="Calibri" w:cs="Calibri"/>
              </w:rPr>
              <w:t>6.</w:t>
            </w:r>
            <w:r w:rsidR="00840616">
              <w:rPr>
                <w:rFonts w:ascii="Calibri" w:hAnsi="Calibri" w:cs="Calibri"/>
              </w:rPr>
              <w:t>6</w:t>
            </w:r>
          </w:p>
        </w:tc>
        <w:tc>
          <w:tcPr>
            <w:tcW w:w="591" w:type="pct"/>
            <w:tcBorders>
              <w:top w:val="nil"/>
              <w:left w:val="nil"/>
              <w:bottom w:val="nil"/>
              <w:right w:val="single" w:sz="4" w:space="0" w:color="auto"/>
            </w:tcBorders>
            <w:shd w:val="clear" w:color="auto" w:fill="auto"/>
            <w:vAlign w:val="center"/>
            <w:hideMark/>
          </w:tcPr>
          <w:p w14:paraId="071C3F99" w14:textId="46528C5C" w:rsidR="003D3EC9" w:rsidRPr="00274467" w:rsidRDefault="00CF3C44" w:rsidP="00756BE9">
            <w:pPr>
              <w:pStyle w:val="TableTextRight"/>
              <w:rPr>
                <w:lang w:eastAsia="en-AU"/>
              </w:rPr>
            </w:pPr>
            <w:r>
              <w:rPr>
                <w:rFonts w:ascii="Calibri" w:hAnsi="Calibri" w:cs="Calibri"/>
              </w:rPr>
              <w:t>6.</w:t>
            </w:r>
            <w:r w:rsidR="00840616">
              <w:rPr>
                <w:rFonts w:ascii="Calibri" w:hAnsi="Calibri" w:cs="Calibri"/>
              </w:rPr>
              <w:t>1</w:t>
            </w:r>
          </w:p>
        </w:tc>
        <w:tc>
          <w:tcPr>
            <w:tcW w:w="591" w:type="pct"/>
            <w:tcBorders>
              <w:top w:val="nil"/>
              <w:left w:val="nil"/>
              <w:bottom w:val="nil"/>
              <w:right w:val="nil"/>
            </w:tcBorders>
            <w:shd w:val="clear" w:color="auto" w:fill="auto"/>
            <w:vAlign w:val="center"/>
            <w:hideMark/>
          </w:tcPr>
          <w:p w14:paraId="61C082EF" w14:textId="05866EFB" w:rsidR="003D3EC9" w:rsidRPr="00274467" w:rsidRDefault="003D3EC9" w:rsidP="00756BE9">
            <w:pPr>
              <w:pStyle w:val="TableTextRight"/>
              <w:rPr>
                <w:lang w:eastAsia="en-AU"/>
              </w:rPr>
            </w:pPr>
            <w:r>
              <w:rPr>
                <w:rFonts w:ascii="Calibri" w:hAnsi="Calibri" w:cs="Calibri"/>
              </w:rPr>
              <w:t>6.2</w:t>
            </w:r>
          </w:p>
        </w:tc>
      </w:tr>
      <w:tr w:rsidR="003D3EC9" w:rsidRPr="00274467" w14:paraId="2BC04C4D" w14:textId="77777777" w:rsidTr="00997375">
        <w:trPr>
          <w:trHeight w:val="227"/>
        </w:trPr>
        <w:tc>
          <w:tcPr>
            <w:tcW w:w="1455" w:type="pct"/>
            <w:tcBorders>
              <w:top w:val="nil"/>
              <w:left w:val="nil"/>
              <w:bottom w:val="nil"/>
              <w:right w:val="nil"/>
            </w:tcBorders>
            <w:shd w:val="clear" w:color="auto" w:fill="auto"/>
            <w:vAlign w:val="center"/>
            <w:hideMark/>
          </w:tcPr>
          <w:p w14:paraId="138C1B4B" w14:textId="2FDF2578" w:rsidR="003D3EC9" w:rsidRPr="00274467" w:rsidRDefault="003D3EC9" w:rsidP="00636638">
            <w:pPr>
              <w:pStyle w:val="TableColumnHeadingLeft"/>
            </w:pPr>
            <w:r w:rsidRPr="00274467">
              <w:t>Net internal migration (</w:t>
            </w:r>
            <w:r w:rsidR="00050D25">
              <w:t>‘</w:t>
            </w:r>
            <w:r w:rsidRPr="00274467">
              <w:t>000)</w:t>
            </w:r>
          </w:p>
        </w:tc>
        <w:tc>
          <w:tcPr>
            <w:tcW w:w="591" w:type="pct"/>
            <w:tcBorders>
              <w:top w:val="nil"/>
              <w:left w:val="nil"/>
              <w:bottom w:val="nil"/>
              <w:right w:val="nil"/>
            </w:tcBorders>
            <w:shd w:val="clear" w:color="auto" w:fill="auto"/>
            <w:vAlign w:val="center"/>
            <w:hideMark/>
          </w:tcPr>
          <w:p w14:paraId="00FFD4DB"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71958968" w14:textId="1A26E90E"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10C54F4D"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7C7FE701"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51CE0DBE" w14:textId="3CCC626E"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68F21FF1" w14:textId="77777777" w:rsidR="003D3EC9" w:rsidRPr="00274467" w:rsidRDefault="003D3EC9" w:rsidP="00756BE9">
            <w:pPr>
              <w:pStyle w:val="TableTextRight"/>
              <w:rPr>
                <w:lang w:eastAsia="en-AU"/>
              </w:rPr>
            </w:pPr>
          </w:p>
        </w:tc>
      </w:tr>
      <w:tr w:rsidR="003D3EC9" w:rsidRPr="00274467" w14:paraId="4AB266FF" w14:textId="77777777" w:rsidTr="00997375">
        <w:trPr>
          <w:trHeight w:val="227"/>
        </w:trPr>
        <w:tc>
          <w:tcPr>
            <w:tcW w:w="1455" w:type="pct"/>
            <w:tcBorders>
              <w:top w:val="nil"/>
              <w:left w:val="nil"/>
              <w:bottom w:val="nil"/>
              <w:right w:val="nil"/>
            </w:tcBorders>
            <w:shd w:val="clear" w:color="auto" w:fill="auto"/>
            <w:vAlign w:val="center"/>
            <w:hideMark/>
          </w:tcPr>
          <w:p w14:paraId="0B3BE118"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13371543" w14:textId="108407B3"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1.9</w:t>
            </w:r>
          </w:p>
        </w:tc>
        <w:tc>
          <w:tcPr>
            <w:tcW w:w="591" w:type="pct"/>
            <w:tcBorders>
              <w:top w:val="nil"/>
              <w:left w:val="nil"/>
              <w:bottom w:val="nil"/>
              <w:right w:val="nil"/>
            </w:tcBorders>
            <w:shd w:val="clear" w:color="auto" w:fill="D2EDFF"/>
            <w:vAlign w:val="center"/>
            <w:hideMark/>
          </w:tcPr>
          <w:p w14:paraId="43376004" w14:textId="4D674B57" w:rsidR="003D3EC9" w:rsidRPr="00274467" w:rsidRDefault="003D3EC9" w:rsidP="00756BE9">
            <w:pPr>
              <w:pStyle w:val="TableTextRight"/>
              <w:rPr>
                <w:lang w:eastAsia="en-AU"/>
              </w:rPr>
            </w:pPr>
            <w:r>
              <w:rPr>
                <w:rFonts w:ascii="Calibri" w:hAnsi="Calibri" w:cs="Calibri"/>
              </w:rPr>
              <w:t>0.8</w:t>
            </w:r>
          </w:p>
        </w:tc>
        <w:tc>
          <w:tcPr>
            <w:tcW w:w="591" w:type="pct"/>
            <w:tcBorders>
              <w:top w:val="nil"/>
              <w:left w:val="nil"/>
              <w:bottom w:val="nil"/>
              <w:right w:val="nil"/>
            </w:tcBorders>
            <w:shd w:val="clear" w:color="auto" w:fill="auto"/>
            <w:vAlign w:val="center"/>
            <w:hideMark/>
          </w:tcPr>
          <w:p w14:paraId="3E6B4787" w14:textId="4B34241E" w:rsidR="003D3EC9" w:rsidRPr="00274467" w:rsidRDefault="003D3EC9" w:rsidP="00756BE9">
            <w:pPr>
              <w:pStyle w:val="TableTextRight"/>
              <w:rPr>
                <w:lang w:eastAsia="en-AU"/>
              </w:rPr>
            </w:pPr>
            <w:r>
              <w:rPr>
                <w:rFonts w:ascii="Calibri" w:hAnsi="Calibri" w:cs="Calibri"/>
              </w:rPr>
              <w:t>1.5</w:t>
            </w:r>
          </w:p>
        </w:tc>
        <w:tc>
          <w:tcPr>
            <w:tcW w:w="591" w:type="pct"/>
            <w:tcBorders>
              <w:top w:val="nil"/>
              <w:left w:val="nil"/>
              <w:bottom w:val="nil"/>
              <w:right w:val="nil"/>
            </w:tcBorders>
            <w:shd w:val="clear" w:color="auto" w:fill="auto"/>
            <w:vAlign w:val="center"/>
            <w:hideMark/>
          </w:tcPr>
          <w:p w14:paraId="34A3EA39" w14:textId="699D253F" w:rsidR="003D3EC9" w:rsidRPr="00274467" w:rsidRDefault="003D3EC9" w:rsidP="00756BE9">
            <w:pPr>
              <w:pStyle w:val="TableTextRight"/>
              <w:rPr>
                <w:lang w:eastAsia="en-AU"/>
              </w:rPr>
            </w:pPr>
            <w:r>
              <w:rPr>
                <w:rFonts w:ascii="Calibri" w:hAnsi="Calibri" w:cs="Calibri"/>
              </w:rPr>
              <w:t>3.0</w:t>
            </w:r>
          </w:p>
        </w:tc>
        <w:tc>
          <w:tcPr>
            <w:tcW w:w="591" w:type="pct"/>
            <w:tcBorders>
              <w:top w:val="nil"/>
              <w:left w:val="nil"/>
              <w:bottom w:val="nil"/>
              <w:right w:val="single" w:sz="4" w:space="0" w:color="auto"/>
            </w:tcBorders>
            <w:shd w:val="clear" w:color="auto" w:fill="auto"/>
            <w:vAlign w:val="center"/>
            <w:hideMark/>
          </w:tcPr>
          <w:p w14:paraId="0F5D60EE" w14:textId="4D581B96" w:rsidR="003D3EC9" w:rsidRPr="00274467" w:rsidRDefault="003D3EC9" w:rsidP="00756BE9">
            <w:pPr>
              <w:pStyle w:val="TableTextRight"/>
              <w:rPr>
                <w:lang w:eastAsia="en-AU"/>
              </w:rPr>
            </w:pPr>
            <w:r>
              <w:rPr>
                <w:rFonts w:ascii="Calibri" w:hAnsi="Calibri" w:cs="Calibri"/>
              </w:rPr>
              <w:t>4.0</w:t>
            </w:r>
          </w:p>
        </w:tc>
        <w:tc>
          <w:tcPr>
            <w:tcW w:w="591" w:type="pct"/>
            <w:tcBorders>
              <w:top w:val="nil"/>
              <w:left w:val="nil"/>
              <w:bottom w:val="nil"/>
              <w:right w:val="nil"/>
            </w:tcBorders>
            <w:shd w:val="clear" w:color="auto" w:fill="auto"/>
            <w:vAlign w:val="center"/>
            <w:hideMark/>
          </w:tcPr>
          <w:p w14:paraId="0C5C443C" w14:textId="21357D89" w:rsidR="003D3EC9" w:rsidRPr="00274467" w:rsidRDefault="003D3EC9" w:rsidP="00756BE9">
            <w:pPr>
              <w:pStyle w:val="TableTextRight"/>
              <w:rPr>
                <w:lang w:eastAsia="en-AU"/>
              </w:rPr>
            </w:pPr>
            <w:r>
              <w:rPr>
                <w:rFonts w:ascii="Calibri" w:hAnsi="Calibri" w:cs="Calibri"/>
              </w:rPr>
              <w:t>3.0</w:t>
            </w:r>
          </w:p>
        </w:tc>
      </w:tr>
      <w:tr w:rsidR="003D3EC9" w:rsidRPr="00274467" w14:paraId="4D5E2ACC" w14:textId="77777777" w:rsidTr="00997375">
        <w:trPr>
          <w:trHeight w:val="227"/>
        </w:trPr>
        <w:tc>
          <w:tcPr>
            <w:tcW w:w="1455" w:type="pct"/>
            <w:tcBorders>
              <w:top w:val="nil"/>
              <w:left w:val="nil"/>
              <w:bottom w:val="nil"/>
              <w:right w:val="nil"/>
            </w:tcBorders>
            <w:shd w:val="clear" w:color="auto" w:fill="auto"/>
            <w:vAlign w:val="center"/>
            <w:hideMark/>
          </w:tcPr>
          <w:p w14:paraId="39261D21" w14:textId="77777777" w:rsidR="003D3EC9" w:rsidRPr="00274467" w:rsidRDefault="003D3EC9" w:rsidP="00636638">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06384253" w14:textId="02453BBE"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6.7</w:t>
            </w:r>
          </w:p>
        </w:tc>
        <w:tc>
          <w:tcPr>
            <w:tcW w:w="591" w:type="pct"/>
            <w:tcBorders>
              <w:top w:val="nil"/>
              <w:left w:val="nil"/>
              <w:bottom w:val="nil"/>
              <w:right w:val="nil"/>
            </w:tcBorders>
            <w:shd w:val="clear" w:color="auto" w:fill="D2EDFF"/>
            <w:vAlign w:val="center"/>
            <w:hideMark/>
          </w:tcPr>
          <w:p w14:paraId="37551AA2" w14:textId="00CF006F"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5.5</w:t>
            </w:r>
          </w:p>
        </w:tc>
        <w:tc>
          <w:tcPr>
            <w:tcW w:w="591" w:type="pct"/>
            <w:tcBorders>
              <w:top w:val="nil"/>
              <w:left w:val="nil"/>
              <w:bottom w:val="nil"/>
              <w:right w:val="nil"/>
            </w:tcBorders>
            <w:shd w:val="clear" w:color="auto" w:fill="auto"/>
            <w:vAlign w:val="center"/>
            <w:hideMark/>
          </w:tcPr>
          <w:p w14:paraId="56EB8055" w14:textId="46EF7483"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4.8</w:t>
            </w:r>
          </w:p>
        </w:tc>
        <w:tc>
          <w:tcPr>
            <w:tcW w:w="591" w:type="pct"/>
            <w:tcBorders>
              <w:top w:val="nil"/>
              <w:left w:val="nil"/>
              <w:bottom w:val="nil"/>
              <w:right w:val="nil"/>
            </w:tcBorders>
            <w:shd w:val="clear" w:color="auto" w:fill="auto"/>
            <w:vAlign w:val="center"/>
            <w:hideMark/>
          </w:tcPr>
          <w:p w14:paraId="23A721A9" w14:textId="51A22033" w:rsidR="003D3EC9" w:rsidRPr="00274467" w:rsidRDefault="00050D25" w:rsidP="00756BE9">
            <w:pPr>
              <w:pStyle w:val="TableTextRight"/>
              <w:rPr>
                <w:lang w:eastAsia="en-AU"/>
              </w:rPr>
            </w:pPr>
            <w:r>
              <w:rPr>
                <w:rFonts w:ascii="Calibri" w:hAnsi="Calibri" w:cs="Calibri"/>
              </w:rPr>
              <w:noBreakHyphen/>
            </w:r>
            <w:r w:rsidR="00CF3C44">
              <w:rPr>
                <w:rFonts w:ascii="Calibri" w:hAnsi="Calibri" w:cs="Calibri"/>
              </w:rPr>
              <w:t>2.</w:t>
            </w:r>
            <w:r w:rsidR="00840616">
              <w:rPr>
                <w:rFonts w:ascii="Calibri" w:hAnsi="Calibri" w:cs="Calibri"/>
              </w:rPr>
              <w:t>9</w:t>
            </w:r>
          </w:p>
        </w:tc>
        <w:tc>
          <w:tcPr>
            <w:tcW w:w="591" w:type="pct"/>
            <w:tcBorders>
              <w:top w:val="nil"/>
              <w:left w:val="nil"/>
              <w:bottom w:val="nil"/>
              <w:right w:val="single" w:sz="4" w:space="0" w:color="auto"/>
            </w:tcBorders>
            <w:shd w:val="clear" w:color="auto" w:fill="auto"/>
            <w:vAlign w:val="center"/>
            <w:hideMark/>
          </w:tcPr>
          <w:p w14:paraId="5DC30FA2" w14:textId="26204E57"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1.6</w:t>
            </w:r>
          </w:p>
        </w:tc>
        <w:tc>
          <w:tcPr>
            <w:tcW w:w="591" w:type="pct"/>
            <w:tcBorders>
              <w:top w:val="nil"/>
              <w:left w:val="nil"/>
              <w:bottom w:val="nil"/>
              <w:right w:val="nil"/>
            </w:tcBorders>
            <w:shd w:val="clear" w:color="auto" w:fill="auto"/>
            <w:vAlign w:val="center"/>
            <w:hideMark/>
          </w:tcPr>
          <w:p w14:paraId="1F3B9F62" w14:textId="42D202A0" w:rsidR="003D3EC9" w:rsidRPr="00274467" w:rsidRDefault="00050D25" w:rsidP="00756BE9">
            <w:pPr>
              <w:pStyle w:val="TableTextRight"/>
              <w:rPr>
                <w:lang w:eastAsia="en-AU"/>
              </w:rPr>
            </w:pPr>
            <w:r>
              <w:rPr>
                <w:rFonts w:ascii="Calibri" w:hAnsi="Calibri" w:cs="Calibri"/>
              </w:rPr>
              <w:noBreakHyphen/>
            </w:r>
            <w:r w:rsidR="003D3EC9">
              <w:rPr>
                <w:rFonts w:ascii="Calibri" w:hAnsi="Calibri" w:cs="Calibri"/>
              </w:rPr>
              <w:t>5.2</w:t>
            </w:r>
          </w:p>
        </w:tc>
      </w:tr>
      <w:tr w:rsidR="003D3EC9" w:rsidRPr="00274467" w14:paraId="1C788E29" w14:textId="77777777" w:rsidTr="00997375">
        <w:trPr>
          <w:trHeight w:val="227"/>
        </w:trPr>
        <w:tc>
          <w:tcPr>
            <w:tcW w:w="1455" w:type="pct"/>
            <w:tcBorders>
              <w:top w:val="nil"/>
              <w:left w:val="nil"/>
              <w:bottom w:val="single" w:sz="4" w:space="0" w:color="auto"/>
              <w:right w:val="nil"/>
            </w:tcBorders>
            <w:shd w:val="clear" w:color="auto" w:fill="auto"/>
            <w:vAlign w:val="center"/>
            <w:hideMark/>
          </w:tcPr>
          <w:p w14:paraId="309CB6CB" w14:textId="77777777" w:rsidR="003D3EC9" w:rsidRPr="00274467" w:rsidRDefault="003D3EC9" w:rsidP="00636638">
            <w:pPr>
              <w:pStyle w:val="Tabletextleftindent"/>
            </w:pPr>
            <w:r w:rsidRPr="00274467">
              <w:t>Rest of Victoria</w:t>
            </w:r>
          </w:p>
        </w:tc>
        <w:tc>
          <w:tcPr>
            <w:tcW w:w="591" w:type="pct"/>
            <w:tcBorders>
              <w:top w:val="nil"/>
              <w:left w:val="nil"/>
              <w:bottom w:val="single" w:sz="4" w:space="0" w:color="auto"/>
              <w:right w:val="nil"/>
            </w:tcBorders>
            <w:shd w:val="clear" w:color="auto" w:fill="auto"/>
            <w:vAlign w:val="center"/>
            <w:hideMark/>
          </w:tcPr>
          <w:p w14:paraId="071D45B1" w14:textId="6955B4ED" w:rsidR="003D3EC9" w:rsidRPr="00274467" w:rsidRDefault="003D3EC9" w:rsidP="00756BE9">
            <w:pPr>
              <w:pStyle w:val="TableTextRight"/>
              <w:rPr>
                <w:lang w:eastAsia="en-AU"/>
              </w:rPr>
            </w:pPr>
            <w:r>
              <w:rPr>
                <w:rFonts w:ascii="Calibri" w:hAnsi="Calibri" w:cs="Calibri"/>
              </w:rPr>
              <w:t>4.8</w:t>
            </w:r>
          </w:p>
        </w:tc>
        <w:tc>
          <w:tcPr>
            <w:tcW w:w="591" w:type="pct"/>
            <w:tcBorders>
              <w:top w:val="nil"/>
              <w:left w:val="nil"/>
              <w:bottom w:val="single" w:sz="4" w:space="0" w:color="auto"/>
              <w:right w:val="nil"/>
            </w:tcBorders>
            <w:shd w:val="clear" w:color="auto" w:fill="D2EDFF"/>
            <w:vAlign w:val="center"/>
            <w:hideMark/>
          </w:tcPr>
          <w:p w14:paraId="090756C5" w14:textId="709F1BC5" w:rsidR="003D3EC9" w:rsidRPr="00274467" w:rsidRDefault="003D3EC9" w:rsidP="00756BE9">
            <w:pPr>
              <w:pStyle w:val="TableTextRight"/>
              <w:rPr>
                <w:lang w:eastAsia="en-AU"/>
              </w:rPr>
            </w:pPr>
            <w:r>
              <w:rPr>
                <w:rFonts w:ascii="Calibri" w:hAnsi="Calibri" w:cs="Calibri"/>
              </w:rPr>
              <w:t>6.3</w:t>
            </w:r>
          </w:p>
        </w:tc>
        <w:tc>
          <w:tcPr>
            <w:tcW w:w="591" w:type="pct"/>
            <w:tcBorders>
              <w:top w:val="nil"/>
              <w:left w:val="nil"/>
              <w:bottom w:val="single" w:sz="4" w:space="0" w:color="auto"/>
              <w:right w:val="nil"/>
            </w:tcBorders>
            <w:shd w:val="clear" w:color="auto" w:fill="auto"/>
            <w:vAlign w:val="center"/>
            <w:hideMark/>
          </w:tcPr>
          <w:p w14:paraId="79987145" w14:textId="4FF6F52D" w:rsidR="003D3EC9" w:rsidRPr="00274467" w:rsidRDefault="003D3EC9" w:rsidP="00756BE9">
            <w:pPr>
              <w:pStyle w:val="TableTextRight"/>
              <w:rPr>
                <w:lang w:eastAsia="en-AU"/>
              </w:rPr>
            </w:pPr>
            <w:r>
              <w:rPr>
                <w:rFonts w:ascii="Calibri" w:hAnsi="Calibri" w:cs="Calibri"/>
              </w:rPr>
              <w:t>6.3</w:t>
            </w:r>
          </w:p>
        </w:tc>
        <w:tc>
          <w:tcPr>
            <w:tcW w:w="591" w:type="pct"/>
            <w:tcBorders>
              <w:top w:val="nil"/>
              <w:left w:val="nil"/>
              <w:bottom w:val="single" w:sz="4" w:space="0" w:color="auto"/>
              <w:right w:val="nil"/>
            </w:tcBorders>
            <w:shd w:val="clear" w:color="auto" w:fill="auto"/>
            <w:vAlign w:val="center"/>
            <w:hideMark/>
          </w:tcPr>
          <w:p w14:paraId="683E5CA0" w14:textId="444C8CC9" w:rsidR="003D3EC9" w:rsidRPr="00274467" w:rsidRDefault="003D3EC9" w:rsidP="00756BE9">
            <w:pPr>
              <w:pStyle w:val="TableTextRight"/>
              <w:rPr>
                <w:lang w:eastAsia="en-AU"/>
              </w:rPr>
            </w:pPr>
            <w:r>
              <w:rPr>
                <w:rFonts w:ascii="Calibri" w:hAnsi="Calibri" w:cs="Calibri"/>
              </w:rPr>
              <w:t>5.9</w:t>
            </w:r>
          </w:p>
        </w:tc>
        <w:tc>
          <w:tcPr>
            <w:tcW w:w="591" w:type="pct"/>
            <w:tcBorders>
              <w:top w:val="nil"/>
              <w:left w:val="nil"/>
              <w:bottom w:val="single" w:sz="4" w:space="0" w:color="auto"/>
              <w:right w:val="single" w:sz="4" w:space="0" w:color="auto"/>
            </w:tcBorders>
            <w:shd w:val="clear" w:color="auto" w:fill="auto"/>
            <w:vAlign w:val="center"/>
            <w:hideMark/>
          </w:tcPr>
          <w:p w14:paraId="3B744A01" w14:textId="7212AD76" w:rsidR="003D3EC9" w:rsidRPr="00274467" w:rsidRDefault="003D3EC9" w:rsidP="00756BE9">
            <w:pPr>
              <w:pStyle w:val="TableTextRight"/>
              <w:rPr>
                <w:lang w:eastAsia="en-AU"/>
              </w:rPr>
            </w:pPr>
            <w:r>
              <w:rPr>
                <w:rFonts w:ascii="Calibri" w:hAnsi="Calibri" w:cs="Calibri"/>
              </w:rPr>
              <w:t>5.6</w:t>
            </w:r>
          </w:p>
        </w:tc>
        <w:tc>
          <w:tcPr>
            <w:tcW w:w="591" w:type="pct"/>
            <w:tcBorders>
              <w:top w:val="nil"/>
              <w:left w:val="nil"/>
              <w:bottom w:val="single" w:sz="4" w:space="0" w:color="auto"/>
              <w:right w:val="nil"/>
            </w:tcBorders>
            <w:shd w:val="clear" w:color="auto" w:fill="auto"/>
            <w:vAlign w:val="center"/>
            <w:hideMark/>
          </w:tcPr>
          <w:p w14:paraId="7747E712" w14:textId="6FE2943F" w:rsidR="003D3EC9" w:rsidRPr="00274467" w:rsidRDefault="003D3EC9" w:rsidP="00756BE9">
            <w:pPr>
              <w:pStyle w:val="TableTextRight"/>
              <w:rPr>
                <w:lang w:eastAsia="en-AU"/>
              </w:rPr>
            </w:pPr>
            <w:r>
              <w:rPr>
                <w:rFonts w:ascii="Calibri" w:hAnsi="Calibri" w:cs="Calibri"/>
              </w:rPr>
              <w:t>8.2</w:t>
            </w:r>
          </w:p>
        </w:tc>
      </w:tr>
      <w:tr w:rsidR="003D3EC9" w:rsidRPr="00274467" w14:paraId="61EA89A7" w14:textId="77777777" w:rsidTr="00997375">
        <w:trPr>
          <w:trHeight w:val="227"/>
        </w:trPr>
        <w:tc>
          <w:tcPr>
            <w:tcW w:w="1455" w:type="pct"/>
            <w:tcBorders>
              <w:top w:val="nil"/>
              <w:left w:val="nil"/>
              <w:bottom w:val="nil"/>
              <w:right w:val="nil"/>
            </w:tcBorders>
            <w:shd w:val="clear" w:color="auto" w:fill="auto"/>
            <w:vAlign w:val="center"/>
            <w:hideMark/>
          </w:tcPr>
          <w:p w14:paraId="57F26EAB" w14:textId="77777777" w:rsidR="003D3EC9" w:rsidRPr="00274467" w:rsidRDefault="003D3EC9" w:rsidP="00636638">
            <w:pPr>
              <w:pStyle w:val="TableColumnHeadingLeft"/>
            </w:pPr>
            <w:r w:rsidRPr="00274467">
              <w:t>Median age (years)</w:t>
            </w:r>
          </w:p>
        </w:tc>
        <w:tc>
          <w:tcPr>
            <w:tcW w:w="591" w:type="pct"/>
            <w:tcBorders>
              <w:top w:val="nil"/>
              <w:left w:val="nil"/>
              <w:bottom w:val="nil"/>
              <w:right w:val="nil"/>
            </w:tcBorders>
            <w:shd w:val="clear" w:color="auto" w:fill="auto"/>
            <w:vAlign w:val="center"/>
            <w:hideMark/>
          </w:tcPr>
          <w:p w14:paraId="0A8C83AB"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D2EDFF"/>
            <w:vAlign w:val="center"/>
            <w:hideMark/>
          </w:tcPr>
          <w:p w14:paraId="4BA40007" w14:textId="529AAB83"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6DA1DC44" w14:textId="77777777" w:rsidR="003D3EC9" w:rsidRPr="00274467" w:rsidRDefault="003D3EC9" w:rsidP="00756BE9">
            <w:pPr>
              <w:pStyle w:val="TableTextRight"/>
              <w:rPr>
                <w:lang w:eastAsia="en-AU"/>
              </w:rPr>
            </w:pPr>
          </w:p>
        </w:tc>
        <w:tc>
          <w:tcPr>
            <w:tcW w:w="591" w:type="pct"/>
            <w:tcBorders>
              <w:top w:val="nil"/>
              <w:left w:val="nil"/>
              <w:bottom w:val="nil"/>
              <w:right w:val="nil"/>
            </w:tcBorders>
            <w:shd w:val="clear" w:color="auto" w:fill="auto"/>
            <w:vAlign w:val="center"/>
            <w:hideMark/>
          </w:tcPr>
          <w:p w14:paraId="758C00BB" w14:textId="77777777" w:rsidR="003D3EC9" w:rsidRPr="00274467" w:rsidRDefault="003D3EC9" w:rsidP="00756BE9">
            <w:pPr>
              <w:pStyle w:val="TableTextRight"/>
              <w:rPr>
                <w:rFonts w:ascii="Times New Roman" w:hAnsi="Times New Roman" w:cs="Times New Roman"/>
                <w:lang w:eastAsia="en-AU"/>
              </w:rPr>
            </w:pPr>
          </w:p>
        </w:tc>
        <w:tc>
          <w:tcPr>
            <w:tcW w:w="591" w:type="pct"/>
            <w:tcBorders>
              <w:top w:val="nil"/>
              <w:left w:val="nil"/>
              <w:bottom w:val="nil"/>
              <w:right w:val="single" w:sz="4" w:space="0" w:color="auto"/>
            </w:tcBorders>
            <w:shd w:val="clear" w:color="auto" w:fill="auto"/>
            <w:vAlign w:val="center"/>
            <w:hideMark/>
          </w:tcPr>
          <w:p w14:paraId="1704F2A8" w14:textId="6C64B6E5" w:rsidR="003D3EC9" w:rsidRPr="00274467" w:rsidRDefault="003D3EC9" w:rsidP="00756BE9">
            <w:pPr>
              <w:pStyle w:val="TableTextRight"/>
              <w:rPr>
                <w:lang w:eastAsia="en-AU"/>
              </w:rPr>
            </w:pPr>
            <w:r>
              <w:rPr>
                <w:rFonts w:ascii="Calibri" w:hAnsi="Calibri" w:cs="Calibri"/>
              </w:rPr>
              <w:t> </w:t>
            </w:r>
          </w:p>
        </w:tc>
        <w:tc>
          <w:tcPr>
            <w:tcW w:w="591" w:type="pct"/>
            <w:tcBorders>
              <w:top w:val="nil"/>
              <w:left w:val="nil"/>
              <w:bottom w:val="nil"/>
              <w:right w:val="nil"/>
            </w:tcBorders>
            <w:shd w:val="clear" w:color="auto" w:fill="auto"/>
            <w:vAlign w:val="center"/>
            <w:hideMark/>
          </w:tcPr>
          <w:p w14:paraId="33DDE016" w14:textId="77777777" w:rsidR="003D3EC9" w:rsidRPr="00274467" w:rsidRDefault="003D3EC9" w:rsidP="00756BE9">
            <w:pPr>
              <w:pStyle w:val="TableTextRight"/>
              <w:rPr>
                <w:lang w:eastAsia="en-AU"/>
              </w:rPr>
            </w:pPr>
          </w:p>
        </w:tc>
      </w:tr>
      <w:tr w:rsidR="003D3EC9" w:rsidRPr="00274467" w14:paraId="169C0F7B" w14:textId="77777777" w:rsidTr="00997375">
        <w:trPr>
          <w:trHeight w:val="227"/>
        </w:trPr>
        <w:tc>
          <w:tcPr>
            <w:tcW w:w="1455" w:type="pct"/>
            <w:tcBorders>
              <w:top w:val="nil"/>
              <w:left w:val="nil"/>
              <w:bottom w:val="nil"/>
              <w:right w:val="nil"/>
            </w:tcBorders>
            <w:shd w:val="clear" w:color="auto" w:fill="auto"/>
            <w:vAlign w:val="center"/>
            <w:hideMark/>
          </w:tcPr>
          <w:p w14:paraId="7DAFA774" w14:textId="77777777" w:rsidR="003D3EC9" w:rsidRPr="00274467" w:rsidRDefault="003D3EC9" w:rsidP="00636638">
            <w:pPr>
              <w:pStyle w:val="TableTextLeftBlue"/>
            </w:pPr>
            <w:r w:rsidRPr="00274467">
              <w:t>Victoria</w:t>
            </w:r>
          </w:p>
        </w:tc>
        <w:tc>
          <w:tcPr>
            <w:tcW w:w="591" w:type="pct"/>
            <w:tcBorders>
              <w:top w:val="nil"/>
              <w:left w:val="nil"/>
              <w:bottom w:val="nil"/>
              <w:right w:val="nil"/>
            </w:tcBorders>
            <w:shd w:val="clear" w:color="auto" w:fill="auto"/>
            <w:vAlign w:val="center"/>
            <w:hideMark/>
          </w:tcPr>
          <w:p w14:paraId="56B7FA89" w14:textId="3BE0DF9F" w:rsidR="003D3EC9" w:rsidRPr="00274467" w:rsidRDefault="00CF3C44" w:rsidP="00756BE9">
            <w:pPr>
              <w:pStyle w:val="TableTextRight"/>
              <w:rPr>
                <w:lang w:eastAsia="en-AU"/>
              </w:rPr>
            </w:pPr>
            <w:r>
              <w:rPr>
                <w:rFonts w:ascii="Calibri" w:hAnsi="Calibri" w:cs="Calibri"/>
              </w:rPr>
              <w:t>37.</w:t>
            </w:r>
            <w:r w:rsidR="003D3EC9">
              <w:rPr>
                <w:rFonts w:ascii="Calibri" w:hAnsi="Calibri" w:cs="Calibri"/>
              </w:rPr>
              <w:t>8</w:t>
            </w:r>
          </w:p>
        </w:tc>
        <w:tc>
          <w:tcPr>
            <w:tcW w:w="591" w:type="pct"/>
            <w:tcBorders>
              <w:top w:val="nil"/>
              <w:left w:val="nil"/>
              <w:bottom w:val="nil"/>
              <w:right w:val="nil"/>
            </w:tcBorders>
            <w:shd w:val="clear" w:color="auto" w:fill="D2EDFF"/>
            <w:vAlign w:val="center"/>
            <w:hideMark/>
          </w:tcPr>
          <w:p w14:paraId="6B133B19" w14:textId="50B8E83D" w:rsidR="003D3EC9" w:rsidRPr="00274467" w:rsidRDefault="00CF3C44" w:rsidP="00756BE9">
            <w:pPr>
              <w:pStyle w:val="TableTextRight"/>
              <w:rPr>
                <w:lang w:eastAsia="en-AU"/>
              </w:rPr>
            </w:pPr>
            <w:r>
              <w:rPr>
                <w:rFonts w:ascii="Calibri" w:hAnsi="Calibri" w:cs="Calibri"/>
              </w:rPr>
              <w:t>37.</w:t>
            </w:r>
            <w:r w:rsidR="003D3EC9">
              <w:rPr>
                <w:rFonts w:ascii="Calibri" w:hAnsi="Calibri" w:cs="Calibri"/>
              </w:rPr>
              <w:t>8</w:t>
            </w:r>
          </w:p>
        </w:tc>
        <w:tc>
          <w:tcPr>
            <w:tcW w:w="591" w:type="pct"/>
            <w:tcBorders>
              <w:top w:val="nil"/>
              <w:left w:val="nil"/>
              <w:bottom w:val="nil"/>
              <w:right w:val="nil"/>
            </w:tcBorders>
            <w:shd w:val="clear" w:color="auto" w:fill="auto"/>
            <w:vAlign w:val="center"/>
            <w:hideMark/>
          </w:tcPr>
          <w:p w14:paraId="5BCF2C69" w14:textId="34D4E169" w:rsidR="003D3EC9" w:rsidRPr="00274467" w:rsidRDefault="00CF3C44" w:rsidP="00756BE9">
            <w:pPr>
              <w:pStyle w:val="TableTextRight"/>
              <w:rPr>
                <w:lang w:eastAsia="en-AU"/>
              </w:rPr>
            </w:pPr>
            <w:r>
              <w:rPr>
                <w:rFonts w:ascii="Calibri" w:hAnsi="Calibri" w:cs="Calibri"/>
              </w:rPr>
              <w:t>37.</w:t>
            </w:r>
            <w:r w:rsidR="00840616">
              <w:rPr>
                <w:rFonts w:ascii="Calibri" w:hAnsi="Calibri" w:cs="Calibri"/>
              </w:rPr>
              <w:t>8</w:t>
            </w:r>
          </w:p>
        </w:tc>
        <w:tc>
          <w:tcPr>
            <w:tcW w:w="591" w:type="pct"/>
            <w:tcBorders>
              <w:top w:val="nil"/>
              <w:left w:val="nil"/>
              <w:bottom w:val="nil"/>
              <w:right w:val="nil"/>
            </w:tcBorders>
            <w:shd w:val="clear" w:color="auto" w:fill="auto"/>
            <w:vAlign w:val="center"/>
            <w:hideMark/>
          </w:tcPr>
          <w:p w14:paraId="35E79B93" w14:textId="3619E90C" w:rsidR="003D3EC9" w:rsidRPr="00274467" w:rsidRDefault="00CF3C44" w:rsidP="00756BE9">
            <w:pPr>
              <w:pStyle w:val="TableTextRight"/>
              <w:rPr>
                <w:lang w:eastAsia="en-AU"/>
              </w:rPr>
            </w:pPr>
            <w:r>
              <w:rPr>
                <w:rFonts w:ascii="Calibri" w:hAnsi="Calibri" w:cs="Calibri"/>
              </w:rPr>
              <w:t>38.</w:t>
            </w:r>
            <w:r w:rsidR="00840616">
              <w:rPr>
                <w:rFonts w:ascii="Calibri" w:hAnsi="Calibri" w:cs="Calibri"/>
              </w:rPr>
              <w:t>0</w:t>
            </w:r>
          </w:p>
        </w:tc>
        <w:tc>
          <w:tcPr>
            <w:tcW w:w="591" w:type="pct"/>
            <w:tcBorders>
              <w:top w:val="nil"/>
              <w:left w:val="nil"/>
              <w:bottom w:val="nil"/>
              <w:right w:val="single" w:sz="4" w:space="0" w:color="auto"/>
            </w:tcBorders>
            <w:shd w:val="clear" w:color="auto" w:fill="auto"/>
            <w:vAlign w:val="center"/>
            <w:hideMark/>
          </w:tcPr>
          <w:p w14:paraId="114831AB" w14:textId="0F47EB1D" w:rsidR="003D3EC9" w:rsidRPr="00274467" w:rsidRDefault="00CF3C44" w:rsidP="00756BE9">
            <w:pPr>
              <w:pStyle w:val="TableTextRight"/>
              <w:rPr>
                <w:lang w:eastAsia="en-AU"/>
              </w:rPr>
            </w:pPr>
            <w:r>
              <w:rPr>
                <w:rFonts w:ascii="Calibri" w:hAnsi="Calibri" w:cs="Calibri"/>
              </w:rPr>
              <w:t>38.</w:t>
            </w:r>
            <w:r w:rsidR="003D3EC9">
              <w:rPr>
                <w:rFonts w:ascii="Calibri" w:hAnsi="Calibri" w:cs="Calibri"/>
              </w:rPr>
              <w:t>2</w:t>
            </w:r>
          </w:p>
        </w:tc>
        <w:tc>
          <w:tcPr>
            <w:tcW w:w="591" w:type="pct"/>
            <w:tcBorders>
              <w:top w:val="nil"/>
              <w:left w:val="nil"/>
              <w:bottom w:val="nil"/>
              <w:right w:val="nil"/>
            </w:tcBorders>
            <w:shd w:val="clear" w:color="auto" w:fill="auto"/>
            <w:vAlign w:val="center"/>
            <w:hideMark/>
          </w:tcPr>
          <w:p w14:paraId="19A629BE" w14:textId="687DFB69" w:rsidR="003D3EC9" w:rsidRPr="00274467" w:rsidRDefault="00CF3C44" w:rsidP="00756BE9">
            <w:pPr>
              <w:pStyle w:val="TableTextRight"/>
              <w:rPr>
                <w:lang w:eastAsia="en-AU"/>
              </w:rPr>
            </w:pPr>
            <w:r>
              <w:rPr>
                <w:rFonts w:ascii="Calibri" w:hAnsi="Calibri" w:cs="Calibri"/>
              </w:rPr>
              <w:t>39.</w:t>
            </w:r>
            <w:r w:rsidR="00840616">
              <w:rPr>
                <w:rFonts w:ascii="Calibri" w:hAnsi="Calibri" w:cs="Calibri"/>
              </w:rPr>
              <w:t>5</w:t>
            </w:r>
          </w:p>
        </w:tc>
      </w:tr>
      <w:tr w:rsidR="003D3EC9" w:rsidRPr="00274467" w14:paraId="69760F32" w14:textId="77777777" w:rsidTr="00997375">
        <w:trPr>
          <w:trHeight w:val="227"/>
        </w:trPr>
        <w:tc>
          <w:tcPr>
            <w:tcW w:w="1455" w:type="pct"/>
            <w:tcBorders>
              <w:top w:val="nil"/>
              <w:left w:val="nil"/>
              <w:bottom w:val="nil"/>
              <w:right w:val="nil"/>
            </w:tcBorders>
            <w:shd w:val="clear" w:color="auto" w:fill="auto"/>
            <w:vAlign w:val="center"/>
            <w:hideMark/>
          </w:tcPr>
          <w:p w14:paraId="7C0A90A9" w14:textId="77777777" w:rsidR="003D3EC9" w:rsidRPr="00274467" w:rsidRDefault="003D3EC9" w:rsidP="00636638">
            <w:pPr>
              <w:pStyle w:val="Tabletextleftindent"/>
            </w:pPr>
            <w:r w:rsidRPr="00274467">
              <w:t xml:space="preserve">Greater Melbourne </w:t>
            </w:r>
          </w:p>
        </w:tc>
        <w:tc>
          <w:tcPr>
            <w:tcW w:w="591" w:type="pct"/>
            <w:tcBorders>
              <w:top w:val="nil"/>
              <w:left w:val="nil"/>
              <w:bottom w:val="nil"/>
              <w:right w:val="nil"/>
            </w:tcBorders>
            <w:shd w:val="clear" w:color="auto" w:fill="auto"/>
            <w:vAlign w:val="center"/>
            <w:hideMark/>
          </w:tcPr>
          <w:p w14:paraId="3C5C9F54" w14:textId="07A369ED" w:rsidR="003D3EC9" w:rsidRPr="00274467" w:rsidRDefault="00CF3C44" w:rsidP="00756BE9">
            <w:pPr>
              <w:pStyle w:val="TableTextRight"/>
              <w:rPr>
                <w:lang w:eastAsia="en-AU"/>
              </w:rPr>
            </w:pPr>
            <w:r>
              <w:rPr>
                <w:rFonts w:ascii="Calibri" w:hAnsi="Calibri" w:cs="Calibri"/>
              </w:rPr>
              <w:t>36.</w:t>
            </w:r>
            <w:r w:rsidR="003D3EC9">
              <w:rPr>
                <w:rFonts w:ascii="Calibri" w:hAnsi="Calibri" w:cs="Calibri"/>
              </w:rPr>
              <w:t>6</w:t>
            </w:r>
          </w:p>
        </w:tc>
        <w:tc>
          <w:tcPr>
            <w:tcW w:w="591" w:type="pct"/>
            <w:tcBorders>
              <w:top w:val="nil"/>
              <w:left w:val="nil"/>
              <w:bottom w:val="nil"/>
              <w:right w:val="nil"/>
            </w:tcBorders>
            <w:shd w:val="clear" w:color="auto" w:fill="D2EDFF"/>
            <w:vAlign w:val="center"/>
            <w:hideMark/>
          </w:tcPr>
          <w:p w14:paraId="48591DC6" w14:textId="1E97C598" w:rsidR="003D3EC9" w:rsidRPr="00274467" w:rsidRDefault="00CF3C44" w:rsidP="00756BE9">
            <w:pPr>
              <w:pStyle w:val="TableTextRight"/>
              <w:rPr>
                <w:lang w:eastAsia="en-AU"/>
              </w:rPr>
            </w:pPr>
            <w:r>
              <w:rPr>
                <w:rFonts w:ascii="Calibri" w:hAnsi="Calibri" w:cs="Calibri"/>
              </w:rPr>
              <w:t>36.</w:t>
            </w:r>
            <w:r w:rsidR="003D3EC9">
              <w:rPr>
                <w:rFonts w:ascii="Calibri" w:hAnsi="Calibri" w:cs="Calibri"/>
              </w:rPr>
              <w:t>5</w:t>
            </w:r>
          </w:p>
        </w:tc>
        <w:tc>
          <w:tcPr>
            <w:tcW w:w="591" w:type="pct"/>
            <w:tcBorders>
              <w:top w:val="nil"/>
              <w:left w:val="nil"/>
              <w:bottom w:val="nil"/>
              <w:right w:val="nil"/>
            </w:tcBorders>
            <w:shd w:val="clear" w:color="auto" w:fill="auto"/>
            <w:vAlign w:val="center"/>
            <w:hideMark/>
          </w:tcPr>
          <w:p w14:paraId="1DD820FB" w14:textId="4A28A1A9" w:rsidR="003D3EC9" w:rsidRPr="00274467" w:rsidRDefault="00CF3C44" w:rsidP="00756BE9">
            <w:pPr>
              <w:pStyle w:val="TableTextRight"/>
              <w:rPr>
                <w:lang w:eastAsia="en-AU"/>
              </w:rPr>
            </w:pPr>
            <w:r>
              <w:rPr>
                <w:rFonts w:ascii="Calibri" w:hAnsi="Calibri" w:cs="Calibri"/>
              </w:rPr>
              <w:t>36.</w:t>
            </w:r>
            <w:r w:rsidR="003D3EC9">
              <w:rPr>
                <w:rFonts w:ascii="Calibri" w:hAnsi="Calibri" w:cs="Calibri"/>
              </w:rPr>
              <w:t>6</w:t>
            </w:r>
          </w:p>
        </w:tc>
        <w:tc>
          <w:tcPr>
            <w:tcW w:w="591" w:type="pct"/>
            <w:tcBorders>
              <w:top w:val="nil"/>
              <w:left w:val="nil"/>
              <w:bottom w:val="nil"/>
              <w:right w:val="nil"/>
            </w:tcBorders>
            <w:shd w:val="clear" w:color="auto" w:fill="auto"/>
            <w:vAlign w:val="center"/>
            <w:hideMark/>
          </w:tcPr>
          <w:p w14:paraId="0775EDD1" w14:textId="7A659177" w:rsidR="003D3EC9" w:rsidRPr="00274467" w:rsidRDefault="00CF3C44" w:rsidP="00756BE9">
            <w:pPr>
              <w:pStyle w:val="TableTextRight"/>
              <w:rPr>
                <w:lang w:eastAsia="en-AU"/>
              </w:rPr>
            </w:pPr>
            <w:r>
              <w:rPr>
                <w:rFonts w:ascii="Calibri" w:hAnsi="Calibri" w:cs="Calibri"/>
              </w:rPr>
              <w:t>36.</w:t>
            </w:r>
            <w:r w:rsidR="003D3EC9">
              <w:rPr>
                <w:rFonts w:ascii="Calibri" w:hAnsi="Calibri" w:cs="Calibri"/>
              </w:rPr>
              <w:t>7</w:t>
            </w:r>
          </w:p>
        </w:tc>
        <w:tc>
          <w:tcPr>
            <w:tcW w:w="591" w:type="pct"/>
            <w:tcBorders>
              <w:top w:val="nil"/>
              <w:left w:val="nil"/>
              <w:bottom w:val="nil"/>
              <w:right w:val="single" w:sz="4" w:space="0" w:color="auto"/>
            </w:tcBorders>
            <w:shd w:val="clear" w:color="auto" w:fill="auto"/>
            <w:vAlign w:val="center"/>
            <w:hideMark/>
          </w:tcPr>
          <w:p w14:paraId="523119FB" w14:textId="4DA96ED9" w:rsidR="003D3EC9" w:rsidRPr="00274467" w:rsidRDefault="00CF3C44" w:rsidP="00756BE9">
            <w:pPr>
              <w:pStyle w:val="TableTextRight"/>
              <w:rPr>
                <w:lang w:eastAsia="en-AU"/>
              </w:rPr>
            </w:pPr>
            <w:r>
              <w:rPr>
                <w:rFonts w:ascii="Calibri" w:hAnsi="Calibri" w:cs="Calibri"/>
              </w:rPr>
              <w:t>36.</w:t>
            </w:r>
            <w:r w:rsidR="003D3EC9">
              <w:rPr>
                <w:rFonts w:ascii="Calibri" w:hAnsi="Calibri" w:cs="Calibri"/>
              </w:rPr>
              <w:t>9</w:t>
            </w:r>
          </w:p>
        </w:tc>
        <w:tc>
          <w:tcPr>
            <w:tcW w:w="591" w:type="pct"/>
            <w:tcBorders>
              <w:top w:val="nil"/>
              <w:left w:val="nil"/>
              <w:bottom w:val="nil"/>
              <w:right w:val="nil"/>
            </w:tcBorders>
            <w:shd w:val="clear" w:color="auto" w:fill="auto"/>
            <w:vAlign w:val="center"/>
            <w:hideMark/>
          </w:tcPr>
          <w:p w14:paraId="40BE8EB8" w14:textId="57C20871" w:rsidR="003D3EC9" w:rsidRPr="00274467" w:rsidRDefault="00CF3C44" w:rsidP="00756BE9">
            <w:pPr>
              <w:pStyle w:val="TableTextRight"/>
              <w:rPr>
                <w:lang w:eastAsia="en-AU"/>
              </w:rPr>
            </w:pPr>
            <w:r>
              <w:rPr>
                <w:rFonts w:ascii="Calibri" w:hAnsi="Calibri" w:cs="Calibri"/>
              </w:rPr>
              <w:t>38.</w:t>
            </w:r>
            <w:r w:rsidR="003D3EC9">
              <w:rPr>
                <w:rFonts w:ascii="Calibri" w:hAnsi="Calibri" w:cs="Calibri"/>
              </w:rPr>
              <w:t>0</w:t>
            </w:r>
          </w:p>
        </w:tc>
      </w:tr>
      <w:tr w:rsidR="003D3EC9" w:rsidRPr="00274467" w14:paraId="57F704CB" w14:textId="77777777" w:rsidTr="00997375">
        <w:trPr>
          <w:trHeight w:val="227"/>
        </w:trPr>
        <w:tc>
          <w:tcPr>
            <w:tcW w:w="1455" w:type="pct"/>
            <w:tcBorders>
              <w:top w:val="nil"/>
              <w:left w:val="nil"/>
              <w:bottom w:val="single" w:sz="4" w:space="0" w:color="auto"/>
              <w:right w:val="nil"/>
            </w:tcBorders>
            <w:shd w:val="clear" w:color="auto" w:fill="auto"/>
            <w:vAlign w:val="center"/>
            <w:hideMark/>
          </w:tcPr>
          <w:p w14:paraId="7131CFA5" w14:textId="77777777" w:rsidR="003D3EC9" w:rsidRPr="00274467" w:rsidRDefault="003D3EC9" w:rsidP="00636638">
            <w:pPr>
              <w:pStyle w:val="Tabletextleftindent"/>
            </w:pPr>
            <w:r w:rsidRPr="00274467">
              <w:t>Rest of Victoria</w:t>
            </w:r>
          </w:p>
        </w:tc>
        <w:tc>
          <w:tcPr>
            <w:tcW w:w="591" w:type="pct"/>
            <w:tcBorders>
              <w:top w:val="nil"/>
              <w:left w:val="nil"/>
              <w:bottom w:val="single" w:sz="4" w:space="0" w:color="auto"/>
              <w:right w:val="nil"/>
            </w:tcBorders>
            <w:shd w:val="clear" w:color="auto" w:fill="auto"/>
            <w:vAlign w:val="center"/>
            <w:hideMark/>
          </w:tcPr>
          <w:p w14:paraId="1EF7EF05" w14:textId="01105F92" w:rsidR="003D3EC9" w:rsidRPr="00274467" w:rsidRDefault="00CF3C44" w:rsidP="00756BE9">
            <w:pPr>
              <w:pStyle w:val="TableTextRight"/>
              <w:rPr>
                <w:lang w:eastAsia="en-AU"/>
              </w:rPr>
            </w:pPr>
            <w:r>
              <w:rPr>
                <w:rFonts w:ascii="Calibri" w:hAnsi="Calibri" w:cs="Calibri"/>
              </w:rPr>
              <w:t>43.</w:t>
            </w:r>
            <w:r w:rsidR="003D3EC9">
              <w:rPr>
                <w:rFonts w:ascii="Calibri" w:hAnsi="Calibri" w:cs="Calibri"/>
              </w:rPr>
              <w:t>2</w:t>
            </w:r>
          </w:p>
        </w:tc>
        <w:tc>
          <w:tcPr>
            <w:tcW w:w="591" w:type="pct"/>
            <w:tcBorders>
              <w:top w:val="nil"/>
              <w:left w:val="nil"/>
              <w:bottom w:val="single" w:sz="4" w:space="0" w:color="auto"/>
              <w:right w:val="nil"/>
            </w:tcBorders>
            <w:shd w:val="clear" w:color="auto" w:fill="D2EDFF"/>
            <w:vAlign w:val="center"/>
            <w:hideMark/>
          </w:tcPr>
          <w:p w14:paraId="289952E2" w14:textId="67102454" w:rsidR="003D3EC9" w:rsidRPr="00274467" w:rsidRDefault="00CF3C44" w:rsidP="00756BE9">
            <w:pPr>
              <w:pStyle w:val="TableTextRight"/>
              <w:rPr>
                <w:lang w:eastAsia="en-AU"/>
              </w:rPr>
            </w:pPr>
            <w:r>
              <w:rPr>
                <w:rFonts w:ascii="Calibri" w:hAnsi="Calibri" w:cs="Calibri"/>
              </w:rPr>
              <w:t>43.</w:t>
            </w:r>
            <w:r w:rsidR="003D3EC9">
              <w:rPr>
                <w:rFonts w:ascii="Calibri" w:hAnsi="Calibri" w:cs="Calibri"/>
              </w:rPr>
              <w:t>3</w:t>
            </w:r>
          </w:p>
        </w:tc>
        <w:tc>
          <w:tcPr>
            <w:tcW w:w="591" w:type="pct"/>
            <w:tcBorders>
              <w:top w:val="nil"/>
              <w:left w:val="nil"/>
              <w:bottom w:val="single" w:sz="4" w:space="0" w:color="auto"/>
              <w:right w:val="nil"/>
            </w:tcBorders>
            <w:shd w:val="clear" w:color="auto" w:fill="auto"/>
            <w:vAlign w:val="center"/>
            <w:hideMark/>
          </w:tcPr>
          <w:p w14:paraId="1D0D6732" w14:textId="708DF6CF" w:rsidR="003D3EC9" w:rsidRPr="00274467" w:rsidRDefault="00CF3C44" w:rsidP="00756BE9">
            <w:pPr>
              <w:pStyle w:val="TableTextRight"/>
              <w:rPr>
                <w:lang w:eastAsia="en-AU"/>
              </w:rPr>
            </w:pPr>
            <w:r>
              <w:rPr>
                <w:rFonts w:ascii="Calibri" w:hAnsi="Calibri" w:cs="Calibri"/>
              </w:rPr>
              <w:t>43.</w:t>
            </w:r>
            <w:r w:rsidR="003D3EC9">
              <w:rPr>
                <w:rFonts w:ascii="Calibri" w:hAnsi="Calibri" w:cs="Calibri"/>
              </w:rPr>
              <w:t>5</w:t>
            </w:r>
          </w:p>
        </w:tc>
        <w:tc>
          <w:tcPr>
            <w:tcW w:w="591" w:type="pct"/>
            <w:tcBorders>
              <w:top w:val="nil"/>
              <w:left w:val="nil"/>
              <w:bottom w:val="single" w:sz="4" w:space="0" w:color="auto"/>
              <w:right w:val="nil"/>
            </w:tcBorders>
            <w:shd w:val="clear" w:color="auto" w:fill="auto"/>
            <w:vAlign w:val="center"/>
            <w:hideMark/>
          </w:tcPr>
          <w:p w14:paraId="263C9A65" w14:textId="382ED7B9" w:rsidR="003D3EC9" w:rsidRPr="00274467" w:rsidRDefault="00CF3C44" w:rsidP="00756BE9">
            <w:pPr>
              <w:pStyle w:val="TableTextRight"/>
              <w:rPr>
                <w:lang w:eastAsia="en-AU"/>
              </w:rPr>
            </w:pPr>
            <w:r>
              <w:rPr>
                <w:rFonts w:ascii="Calibri" w:hAnsi="Calibri" w:cs="Calibri"/>
              </w:rPr>
              <w:t>43.</w:t>
            </w:r>
            <w:r w:rsidR="003D3EC9">
              <w:rPr>
                <w:rFonts w:ascii="Calibri" w:hAnsi="Calibri" w:cs="Calibri"/>
              </w:rPr>
              <w:t>8</w:t>
            </w:r>
          </w:p>
        </w:tc>
        <w:tc>
          <w:tcPr>
            <w:tcW w:w="591" w:type="pct"/>
            <w:tcBorders>
              <w:top w:val="nil"/>
              <w:left w:val="nil"/>
              <w:bottom w:val="single" w:sz="4" w:space="0" w:color="auto"/>
              <w:right w:val="single" w:sz="4" w:space="0" w:color="auto"/>
            </w:tcBorders>
            <w:shd w:val="clear" w:color="auto" w:fill="auto"/>
            <w:vAlign w:val="center"/>
            <w:hideMark/>
          </w:tcPr>
          <w:p w14:paraId="7DFBD520" w14:textId="15909D08" w:rsidR="003D3EC9" w:rsidRPr="00274467" w:rsidRDefault="00CF3C44" w:rsidP="00756BE9">
            <w:pPr>
              <w:pStyle w:val="TableTextRight"/>
              <w:rPr>
                <w:lang w:eastAsia="en-AU"/>
              </w:rPr>
            </w:pPr>
            <w:r>
              <w:rPr>
                <w:rFonts w:ascii="Calibri" w:hAnsi="Calibri" w:cs="Calibri"/>
              </w:rPr>
              <w:t>44.</w:t>
            </w:r>
            <w:r w:rsidR="00840616">
              <w:rPr>
                <w:rFonts w:ascii="Calibri" w:hAnsi="Calibri" w:cs="Calibri"/>
              </w:rPr>
              <w:t>1</w:t>
            </w:r>
          </w:p>
        </w:tc>
        <w:tc>
          <w:tcPr>
            <w:tcW w:w="591" w:type="pct"/>
            <w:tcBorders>
              <w:top w:val="nil"/>
              <w:left w:val="nil"/>
              <w:bottom w:val="single" w:sz="4" w:space="0" w:color="auto"/>
              <w:right w:val="nil"/>
            </w:tcBorders>
            <w:shd w:val="clear" w:color="auto" w:fill="auto"/>
            <w:vAlign w:val="center"/>
            <w:hideMark/>
          </w:tcPr>
          <w:p w14:paraId="412C34EB" w14:textId="54FF916D" w:rsidR="003D3EC9" w:rsidRPr="00274467" w:rsidRDefault="00CF3C44" w:rsidP="00756BE9">
            <w:pPr>
              <w:pStyle w:val="TableTextRight"/>
              <w:rPr>
                <w:lang w:eastAsia="en-AU"/>
              </w:rPr>
            </w:pPr>
            <w:r>
              <w:rPr>
                <w:rFonts w:ascii="Calibri" w:hAnsi="Calibri" w:cs="Calibri"/>
              </w:rPr>
              <w:t>46.</w:t>
            </w:r>
            <w:r w:rsidR="00840616">
              <w:rPr>
                <w:rFonts w:ascii="Calibri" w:hAnsi="Calibri" w:cs="Calibri"/>
              </w:rPr>
              <w:t>3</w:t>
            </w:r>
          </w:p>
        </w:tc>
      </w:tr>
    </w:tbl>
    <w:p w14:paraId="3A7FCF64" w14:textId="2C227F6F" w:rsidR="003D3EC9" w:rsidRDefault="003D3EC9" w:rsidP="003D3EC9">
      <w:pPr>
        <w:pStyle w:val="Source"/>
      </w:pPr>
      <w:r w:rsidRPr="00D47BF1">
        <w:t xml:space="preserve">Source: </w:t>
      </w:r>
      <w:r>
        <w:tab/>
      </w:r>
      <w:r w:rsidRPr="00D47BF1">
        <w:t xml:space="preserve">ABS, </w:t>
      </w:r>
      <w:r w:rsidR="009155F8" w:rsidRPr="00997375">
        <w:rPr>
          <w:rStyle w:val="SubtleEmphasis"/>
        </w:rPr>
        <w:t>National, state and territory population, March 2024</w:t>
      </w:r>
      <w:r>
        <w:t xml:space="preserve">; ABS, </w:t>
      </w:r>
      <w:r w:rsidR="0035214B" w:rsidRPr="00997375">
        <w:rPr>
          <w:rStyle w:val="SubtleEmphasis"/>
        </w:rPr>
        <w:t>Regional population, 2022–23</w:t>
      </w:r>
      <w:r>
        <w:t>; and Centre for Population.</w:t>
      </w:r>
      <w:r>
        <w:br w:type="page"/>
      </w:r>
    </w:p>
    <w:p w14:paraId="5443FB87" w14:textId="77777777" w:rsidR="003D3EC9" w:rsidRDefault="003D3EC9" w:rsidP="003D3EC9">
      <w:pPr>
        <w:pStyle w:val="Heading2Numbered"/>
      </w:pPr>
      <w:bookmarkStart w:id="193" w:name="_Toc149846510"/>
      <w:bookmarkStart w:id="194" w:name="_Toc149846551"/>
      <w:bookmarkStart w:id="195" w:name="_Toc149846649"/>
      <w:bookmarkStart w:id="196" w:name="_Toc149847592"/>
      <w:bookmarkStart w:id="197" w:name="_Toc151994725"/>
      <w:bookmarkStart w:id="198" w:name="_Toc180584523"/>
      <w:bookmarkStart w:id="199" w:name="_Toc185333114"/>
      <w:bookmarkStart w:id="200" w:name="_Toc185346731"/>
      <w:r>
        <w:lastRenderedPageBreak/>
        <w:t>Queensland</w:t>
      </w:r>
      <w:bookmarkEnd w:id="193"/>
      <w:bookmarkEnd w:id="194"/>
      <w:bookmarkEnd w:id="195"/>
      <w:bookmarkEnd w:id="196"/>
      <w:bookmarkEnd w:id="197"/>
      <w:bookmarkEnd w:id="198"/>
      <w:bookmarkEnd w:id="199"/>
      <w:bookmarkEnd w:id="200"/>
    </w:p>
    <w:p w14:paraId="4F155FD4" w14:textId="76C1D585" w:rsidR="003D3EC9" w:rsidRPr="00943396" w:rsidRDefault="003D3EC9" w:rsidP="003D3EC9">
      <w:pPr>
        <w:rPr>
          <w:rFonts w:ascii="Calibri" w:eastAsia="SimSun" w:hAnsi="Calibri" w:cs="Times New Roman"/>
        </w:rPr>
      </w:pPr>
      <w:bookmarkStart w:id="201" w:name="_Hlk116580987"/>
      <w:bookmarkStart w:id="202" w:name="_Toc151994726"/>
      <w:r w:rsidRPr="00943396">
        <w:rPr>
          <w:rFonts w:ascii="Calibri" w:eastAsia="SimSun" w:hAnsi="Calibri" w:cs="Times New Roman"/>
        </w:rPr>
        <w:t>Queensland</w:t>
      </w:r>
      <w:r w:rsidR="00050D25">
        <w:rPr>
          <w:rFonts w:ascii="Calibri" w:eastAsia="SimSun" w:hAnsi="Calibri" w:cs="Times New Roman"/>
        </w:rPr>
        <w:t>’</w:t>
      </w:r>
      <w:r w:rsidRPr="00943396">
        <w:rPr>
          <w:rFonts w:ascii="Calibri" w:eastAsia="SimSun" w:hAnsi="Calibri" w:cs="Times New Roman"/>
        </w:rPr>
        <w:t xml:space="preserve">s population is projected to </w:t>
      </w:r>
      <w:r>
        <w:rPr>
          <w:rFonts w:ascii="Calibri" w:eastAsia="SimSun" w:hAnsi="Calibri" w:cs="Times New Roman"/>
        </w:rPr>
        <w:t>increase from 5.6</w:t>
      </w:r>
      <w:r w:rsidR="00FF207F">
        <w:rPr>
          <w:rFonts w:ascii="Calibri" w:eastAsia="SimSun" w:hAnsi="Calibri" w:cs="Times New Roman"/>
        </w:rPr>
        <w:t> million</w:t>
      </w:r>
      <w:r>
        <w:rPr>
          <w:rFonts w:ascii="Calibri" w:eastAsia="SimSun" w:hAnsi="Calibri" w:cs="Times New Roman"/>
        </w:rPr>
        <w:t xml:space="preserve"> in 2023–24 to </w:t>
      </w:r>
      <w:r w:rsidRPr="00943396">
        <w:rPr>
          <w:rFonts w:ascii="Calibri" w:eastAsia="SimSun" w:hAnsi="Calibri" w:cs="Times New Roman"/>
        </w:rPr>
        <w:t>6.</w:t>
      </w:r>
      <w:r w:rsidR="00702EFB">
        <w:rPr>
          <w:rFonts w:ascii="Calibri" w:eastAsia="SimSun" w:hAnsi="Calibri" w:cs="Times New Roman"/>
        </w:rPr>
        <w:t>5</w:t>
      </w:r>
      <w:r w:rsidR="00FF207F">
        <w:rPr>
          <w:rFonts w:ascii="Calibri" w:eastAsia="SimSun" w:hAnsi="Calibri" w:cs="Times New Roman"/>
        </w:rPr>
        <w:t> million</w:t>
      </w:r>
      <w:r w:rsidRPr="00943396">
        <w:rPr>
          <w:rFonts w:ascii="Calibri" w:eastAsia="SimSun" w:hAnsi="Calibri" w:cs="Times New Roman"/>
        </w:rPr>
        <w:t xml:space="preserve"> </w:t>
      </w:r>
      <w:r>
        <w:rPr>
          <w:rFonts w:ascii="Calibri" w:eastAsia="SimSun" w:hAnsi="Calibri" w:cs="Times New Roman"/>
        </w:rPr>
        <w:t>in</w:t>
      </w:r>
      <w:r w:rsidRPr="00943396">
        <w:rPr>
          <w:rFonts w:ascii="Calibri" w:eastAsia="SimSun" w:hAnsi="Calibri" w:cs="Times New Roman"/>
        </w:rPr>
        <w:t xml:space="preserve"> 2034–35. Growth is forecast to </w:t>
      </w:r>
      <w:r>
        <w:rPr>
          <w:rFonts w:ascii="Calibri" w:eastAsia="SimSun" w:hAnsi="Calibri" w:cs="Times New Roman"/>
        </w:rPr>
        <w:t>fall to 2.3</w:t>
      </w:r>
      <w:r w:rsidR="00FF207F">
        <w:rPr>
          <w:rFonts w:ascii="Calibri" w:eastAsia="SimSun" w:hAnsi="Calibri" w:cs="Times New Roman"/>
        </w:rPr>
        <w:t> per cent</w:t>
      </w:r>
      <w:r>
        <w:rPr>
          <w:rFonts w:ascii="Calibri" w:eastAsia="SimSun" w:hAnsi="Calibri" w:cs="Times New Roman"/>
        </w:rPr>
        <w:t xml:space="preserve"> in 2023–24 and</w:t>
      </w:r>
      <w:r w:rsidRPr="00943396">
        <w:rPr>
          <w:rFonts w:ascii="Calibri" w:eastAsia="SimSun" w:hAnsi="Calibri" w:cs="Times New Roman"/>
        </w:rPr>
        <w:t xml:space="preserve"> 1.8</w:t>
      </w:r>
      <w:r w:rsidR="00FF207F">
        <w:rPr>
          <w:rFonts w:ascii="Calibri" w:eastAsia="SimSun" w:hAnsi="Calibri" w:cs="Times New Roman"/>
        </w:rPr>
        <w:t> per cent</w:t>
      </w:r>
      <w:r w:rsidRPr="00943396">
        <w:rPr>
          <w:rFonts w:ascii="Calibri" w:eastAsia="SimSun" w:hAnsi="Calibri" w:cs="Times New Roman"/>
        </w:rPr>
        <w:t xml:space="preserve"> in 2024</w:t>
      </w:r>
      <w:r>
        <w:rPr>
          <w:rFonts w:ascii="Calibri" w:eastAsia="SimSun" w:hAnsi="Calibri" w:cs="Times New Roman"/>
        </w:rPr>
        <w:t>–</w:t>
      </w:r>
      <w:r w:rsidRPr="00943396">
        <w:rPr>
          <w:rFonts w:ascii="Calibri" w:eastAsia="SimSun" w:hAnsi="Calibri" w:cs="Times New Roman"/>
        </w:rPr>
        <w:t>25, before declining to 1.3</w:t>
      </w:r>
      <w:r w:rsidR="00FF207F">
        <w:rPr>
          <w:rFonts w:ascii="Calibri" w:eastAsia="SimSun" w:hAnsi="Calibri" w:cs="Times New Roman"/>
        </w:rPr>
        <w:t> per cent</w:t>
      </w:r>
      <w:r w:rsidRPr="00943396">
        <w:rPr>
          <w:rFonts w:ascii="Calibri" w:eastAsia="SimSun" w:hAnsi="Calibri" w:cs="Times New Roman"/>
        </w:rPr>
        <w:t xml:space="preserve"> in 2034–35.</w:t>
      </w:r>
    </w:p>
    <w:p w14:paraId="020A368A" w14:textId="1E10054D" w:rsidR="003D3EC9" w:rsidRPr="00943396" w:rsidRDefault="00E84835" w:rsidP="003D3EC9">
      <w:pPr>
        <w:rPr>
          <w:rFonts w:ascii="Calibri" w:eastAsia="SimSun" w:hAnsi="Calibri" w:cs="Times New Roman"/>
        </w:rPr>
      </w:pPr>
      <w:r>
        <w:rPr>
          <w:rFonts w:ascii="Calibri" w:eastAsia="SimSun" w:hAnsi="Calibri" w:cs="Times New Roman"/>
        </w:rPr>
        <w:t>NOM</w:t>
      </w:r>
      <w:r w:rsidR="003D3EC9" w:rsidRPr="00503E10">
        <w:rPr>
          <w:rFonts w:ascii="Calibri" w:eastAsia="SimSun" w:hAnsi="Calibri" w:cs="Times New Roman"/>
        </w:rPr>
        <w:t xml:space="preserve"> is forecast to be the primary driver of population growth in </w:t>
      </w:r>
      <w:r w:rsidR="003D3EC9">
        <w:rPr>
          <w:rFonts w:ascii="Calibri" w:eastAsia="SimSun" w:hAnsi="Calibri" w:cs="Times New Roman"/>
        </w:rPr>
        <w:t>Queensland</w:t>
      </w:r>
      <w:r w:rsidR="00DE116A">
        <w:rPr>
          <w:rFonts w:ascii="Calibri" w:eastAsia="SimSun" w:hAnsi="Calibri" w:cs="Times New Roman"/>
        </w:rPr>
        <w:t xml:space="preserve"> for the first few forecast years</w:t>
      </w:r>
      <w:r w:rsidR="003D3EC9" w:rsidRPr="00503E10">
        <w:rPr>
          <w:rFonts w:ascii="Calibri" w:eastAsia="SimSun" w:hAnsi="Calibri" w:cs="Times New Roman"/>
        </w:rPr>
        <w:t>,</w:t>
      </w:r>
      <w:r w:rsidR="003D3EC9">
        <w:rPr>
          <w:rFonts w:ascii="Calibri" w:eastAsia="SimSun" w:hAnsi="Calibri" w:cs="Times New Roman"/>
        </w:rPr>
        <w:t xml:space="preserve"> with roughly equal contributions from net interstate migration and natural increase</w:t>
      </w:r>
      <w:r w:rsidR="00DE116A">
        <w:rPr>
          <w:rFonts w:ascii="Calibri" w:eastAsia="SimSun" w:hAnsi="Calibri" w:cs="Times New Roman"/>
        </w:rPr>
        <w:t xml:space="preserve"> over the projection period</w:t>
      </w:r>
      <w:r w:rsidR="003D3EC9">
        <w:rPr>
          <w:rFonts w:ascii="Calibri" w:eastAsia="SimSun" w:hAnsi="Calibri" w:cs="Times New Roman"/>
        </w:rPr>
        <w:t>.</w:t>
      </w:r>
      <w:r w:rsidR="003D3EC9" w:rsidRPr="00503E10">
        <w:rPr>
          <w:rFonts w:ascii="Calibri" w:eastAsia="SimSun" w:hAnsi="Calibri" w:cs="Times New Roman"/>
        </w:rPr>
        <w:t xml:space="preserve"> </w:t>
      </w:r>
      <w:r w:rsidR="003D3EC9">
        <w:rPr>
          <w:rFonts w:ascii="Calibri" w:eastAsia="SimSun" w:hAnsi="Calibri" w:cs="Times New Roman"/>
        </w:rPr>
        <w:t xml:space="preserve">Queensland receives </w:t>
      </w:r>
      <w:r w:rsidR="003D3EC9" w:rsidRPr="00943396">
        <w:rPr>
          <w:rFonts w:ascii="Calibri" w:eastAsia="SimSun" w:hAnsi="Calibri" w:cs="Times New Roman"/>
        </w:rPr>
        <w:t>the highest interstate migration of any state</w:t>
      </w:r>
      <w:r w:rsidR="003D3EC9">
        <w:rPr>
          <w:rFonts w:ascii="Calibri" w:eastAsia="SimSun" w:hAnsi="Calibri" w:cs="Times New Roman"/>
        </w:rPr>
        <w:t>. Despite this, Queensland is projected to be the third fastest growing state, behind Western Australia and Victoria</w:t>
      </w:r>
      <w:bookmarkEnd w:id="201"/>
      <w:r w:rsidR="003D3EC9">
        <w:rPr>
          <w:rFonts w:ascii="Calibri" w:eastAsia="SimSun" w:hAnsi="Calibri" w:cs="Times New Roman"/>
        </w:rPr>
        <w:t xml:space="preserve"> because of Queensland</w:t>
      </w:r>
      <w:r w:rsidR="00050D25">
        <w:rPr>
          <w:rFonts w:ascii="Calibri" w:eastAsia="SimSun" w:hAnsi="Calibri" w:cs="Times New Roman"/>
        </w:rPr>
        <w:t>’</w:t>
      </w:r>
      <w:r w:rsidR="003D3EC9">
        <w:rPr>
          <w:rFonts w:ascii="Calibri" w:eastAsia="SimSun" w:hAnsi="Calibri" w:cs="Times New Roman"/>
        </w:rPr>
        <w:t xml:space="preserve">s relatively low share of </w:t>
      </w:r>
      <w:r>
        <w:rPr>
          <w:rFonts w:ascii="Calibri" w:eastAsia="SimSun" w:hAnsi="Calibri" w:cs="Times New Roman"/>
        </w:rPr>
        <w:t>NOM</w:t>
      </w:r>
      <w:r w:rsidR="003D3EC9">
        <w:rPr>
          <w:rFonts w:ascii="Calibri" w:eastAsia="SimSun" w:hAnsi="Calibri" w:cs="Times New Roman"/>
        </w:rPr>
        <w:t>.</w:t>
      </w:r>
    </w:p>
    <w:p w14:paraId="5CDAFC89" w14:textId="0E09B7AC" w:rsidR="003D3EC9" w:rsidRPr="0080495D" w:rsidRDefault="003D3EC9" w:rsidP="00654915">
      <w:pPr>
        <w:pStyle w:val="ChartMainHeading"/>
      </w:pPr>
      <w:bookmarkStart w:id="203" w:name="_Ref118134288"/>
      <w:r w:rsidRPr="0080495D">
        <w:t xml:space="preserve">Population growth </w:t>
      </w:r>
      <w:r w:rsidR="007B4327">
        <w:t xml:space="preserve">in </w:t>
      </w:r>
      <w:r>
        <w:t>Queensland</w:t>
      </w:r>
    </w:p>
    <w:p w14:paraId="5816FAA6" w14:textId="7E7EAFC5" w:rsidR="003D3EC9" w:rsidRDefault="0044050C" w:rsidP="00997375">
      <w:pPr>
        <w:pStyle w:val="ChartGraphic"/>
      </w:pPr>
      <w:r w:rsidRPr="0044050C">
        <w:t xml:space="preserve"> </w:t>
      </w:r>
      <w:r w:rsidR="00EE18BB" w:rsidRPr="00997375">
        <w:rPr>
          <w:noProof/>
        </w:rPr>
        <w:drawing>
          <wp:inline distT="0" distB="0" distL="0" distR="0" wp14:anchorId="437EC2DC" wp14:editId="629E8BA6">
            <wp:extent cx="5580852" cy="2880000"/>
            <wp:effectExtent l="0" t="0" r="0" b="0"/>
            <wp:docPr id="1640665236" name="Picture 1640665236" descr="This chart shows the population growth rate and contribution to growth by components in Queensland. Growth in Queensland fell in 2020–21 following international border restrictions but recovered and peaked in 2022–23 due to a spike in net overseas migration. Growth in Queensland is forecast to decline and stabilise by 2026–27 as net overseas migration eases. Queensland had interstate migration inflows since 2018–19 and this is expected to remain the same over the project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65236" name="Picture 1640665236" descr="This chart shows the population growth rate and contribution to growth by components in Queensland. Growth in Queensland fell in 2020–21 following international border restrictions but recovered and peaked in 2022–23 due to a spike in net overseas migration. Growth in Queensland is forecast to decline and stabilise by 2026–27 as net overseas migration eases. Queensland had interstate migration inflows since 2018–19 and this is expected to remain the same over the projection period.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0852" cy="2880000"/>
                    </a:xfrm>
                    <a:prstGeom prst="rect">
                      <a:avLst/>
                    </a:prstGeom>
                    <a:noFill/>
                    <a:ln>
                      <a:noFill/>
                    </a:ln>
                  </pic:spPr>
                </pic:pic>
              </a:graphicData>
            </a:graphic>
          </wp:inline>
        </w:drawing>
      </w:r>
    </w:p>
    <w:p w14:paraId="049A8BD9" w14:textId="326EFDEF" w:rsidR="003D3EC9" w:rsidRPr="008A444E" w:rsidRDefault="003D3EC9" w:rsidP="003D3EC9">
      <w:pPr>
        <w:pStyle w:val="Source"/>
      </w:pPr>
      <w:r w:rsidRPr="004218BD">
        <w:t xml:space="preserve">Source: </w:t>
      </w:r>
      <w:r>
        <w:tab/>
      </w:r>
      <w:r w:rsidRPr="004218BD">
        <w:t xml:space="preserve">ABS, </w:t>
      </w:r>
      <w:r w:rsidR="009155F8" w:rsidRPr="00997375">
        <w:rPr>
          <w:rStyle w:val="SubtleEmphasis"/>
        </w:rPr>
        <w:t>National, state and territory population, March 2024</w:t>
      </w:r>
      <w:r w:rsidRPr="00997375">
        <w:rPr>
          <w:rStyle w:val="SubtleEmphasis"/>
        </w:rPr>
        <w:t>;</w:t>
      </w:r>
      <w:r w:rsidRPr="004218BD">
        <w:t xml:space="preserve"> and Centre for Population.</w:t>
      </w:r>
    </w:p>
    <w:bookmarkEnd w:id="203"/>
    <w:p w14:paraId="69674CF2" w14:textId="77777777" w:rsidR="00997375" w:rsidRDefault="00997375" w:rsidP="00997375">
      <w:pPr>
        <w:pStyle w:val="SingleParagraph"/>
      </w:pPr>
    </w:p>
    <w:p w14:paraId="37F3B9A2" w14:textId="16DCB35D" w:rsidR="003D3EC9" w:rsidRPr="00943396" w:rsidRDefault="003D3EC9" w:rsidP="003D3EC9">
      <w:pPr>
        <w:rPr>
          <w:rFonts w:ascii="Calibri" w:eastAsia="SimSun" w:hAnsi="Calibri" w:cs="Times New Roman"/>
        </w:rPr>
      </w:pPr>
      <w:r w:rsidRPr="00943396" w:rsidDel="00EA63CC">
        <w:rPr>
          <w:rFonts w:ascii="Calibri" w:eastAsia="SimSun" w:hAnsi="Calibri" w:cs="Times New Roman"/>
        </w:rPr>
        <w:t xml:space="preserve">The </w:t>
      </w:r>
      <w:r w:rsidRPr="00943396">
        <w:rPr>
          <w:rFonts w:ascii="Calibri" w:eastAsia="SimSun" w:hAnsi="Calibri" w:cs="Times New Roman"/>
        </w:rPr>
        <w:t>population</w:t>
      </w:r>
      <w:r w:rsidRPr="00943396" w:rsidDel="00EA63CC">
        <w:rPr>
          <w:rFonts w:ascii="Calibri" w:eastAsia="SimSun" w:hAnsi="Calibri" w:cs="Times New Roman"/>
        </w:rPr>
        <w:t xml:space="preserve"> of </w:t>
      </w:r>
      <w:r w:rsidRPr="003649F1" w:rsidDel="00EA63CC">
        <w:rPr>
          <w:rFonts w:ascii="Calibri" w:eastAsia="SimSun" w:hAnsi="Calibri" w:cs="Times New Roman"/>
          <w:b/>
        </w:rPr>
        <w:t xml:space="preserve">Greater </w:t>
      </w:r>
      <w:r w:rsidRPr="003649F1">
        <w:rPr>
          <w:rFonts w:ascii="Calibri" w:eastAsia="SimSun" w:hAnsi="Calibri" w:cs="Times New Roman"/>
          <w:b/>
        </w:rPr>
        <w:t>Brisbane</w:t>
      </w:r>
      <w:r w:rsidRPr="00943396">
        <w:rPr>
          <w:rFonts w:ascii="Calibri" w:eastAsia="SimSun" w:hAnsi="Calibri" w:cs="Times New Roman"/>
        </w:rPr>
        <w:t xml:space="preserve"> </w:t>
      </w:r>
      <w:r>
        <w:rPr>
          <w:rFonts w:ascii="Calibri" w:eastAsia="SimSun" w:hAnsi="Calibri" w:cs="Times New Roman"/>
        </w:rPr>
        <w:t>is expected to be</w:t>
      </w:r>
      <w:r w:rsidRPr="00943396">
        <w:rPr>
          <w:rFonts w:ascii="Calibri" w:eastAsia="SimSun" w:hAnsi="Calibri" w:cs="Times New Roman"/>
        </w:rPr>
        <w:t xml:space="preserve"> 2.</w:t>
      </w:r>
      <w:r>
        <w:rPr>
          <w:rFonts w:ascii="Calibri" w:eastAsia="SimSun" w:hAnsi="Calibri" w:cs="Times New Roman"/>
        </w:rPr>
        <w:t>8</w:t>
      </w:r>
      <w:r w:rsidR="00FF207F">
        <w:rPr>
          <w:rFonts w:ascii="Calibri" w:eastAsia="SimSun" w:hAnsi="Calibri" w:cs="Times New Roman"/>
        </w:rPr>
        <w:t> million</w:t>
      </w:r>
      <w:r w:rsidRPr="00943396" w:rsidDel="00EA63CC">
        <w:rPr>
          <w:rFonts w:ascii="Calibri" w:eastAsia="SimSun" w:hAnsi="Calibri" w:cs="Times New Roman"/>
        </w:rPr>
        <w:t xml:space="preserve"> </w:t>
      </w:r>
      <w:r>
        <w:rPr>
          <w:rFonts w:ascii="Calibri" w:eastAsia="SimSun" w:hAnsi="Calibri" w:cs="Times New Roman"/>
        </w:rPr>
        <w:t>in 2023–24</w:t>
      </w:r>
      <w:r w:rsidRPr="00943396">
        <w:rPr>
          <w:rFonts w:ascii="Calibri" w:eastAsia="SimSun" w:hAnsi="Calibri" w:cs="Times New Roman"/>
        </w:rPr>
        <w:t xml:space="preserve">, representing </w:t>
      </w:r>
      <w:r w:rsidR="00667AA4">
        <w:rPr>
          <w:rFonts w:ascii="Calibri" w:eastAsia="SimSun" w:hAnsi="Calibri" w:cs="Times New Roman"/>
        </w:rPr>
        <w:t>50</w:t>
      </w:r>
      <w:r w:rsidR="00FF207F">
        <w:rPr>
          <w:rFonts w:ascii="Calibri" w:eastAsia="SimSun" w:hAnsi="Calibri" w:cs="Times New Roman"/>
        </w:rPr>
        <w:t> per cent</w:t>
      </w:r>
      <w:r w:rsidRPr="00943396">
        <w:rPr>
          <w:rFonts w:ascii="Calibri" w:eastAsia="SimSun" w:hAnsi="Calibri" w:cs="Times New Roman"/>
        </w:rPr>
        <w:t xml:space="preserve"> of Queensland</w:t>
      </w:r>
      <w:r w:rsidR="00050D25">
        <w:rPr>
          <w:rFonts w:ascii="Calibri" w:eastAsia="SimSun" w:hAnsi="Calibri" w:cs="Times New Roman"/>
        </w:rPr>
        <w:t>’</w:t>
      </w:r>
      <w:r w:rsidRPr="00943396">
        <w:rPr>
          <w:rFonts w:ascii="Calibri" w:eastAsia="SimSun" w:hAnsi="Calibri" w:cs="Times New Roman"/>
        </w:rPr>
        <w:t>s population. Population growth in Brisbane is forecast to decrease to</w:t>
      </w:r>
      <w:r>
        <w:rPr>
          <w:rFonts w:ascii="Calibri" w:eastAsia="SimSun" w:hAnsi="Calibri" w:cs="Times New Roman"/>
        </w:rPr>
        <w:t xml:space="preserve"> </w:t>
      </w:r>
      <w:r w:rsidRPr="00943396">
        <w:rPr>
          <w:rFonts w:ascii="Calibri" w:eastAsia="SimSun" w:hAnsi="Calibri" w:cs="Times New Roman"/>
        </w:rPr>
        <w:t>2.7</w:t>
      </w:r>
      <w:r w:rsidR="00FF207F">
        <w:rPr>
          <w:rFonts w:ascii="Calibri" w:eastAsia="SimSun" w:hAnsi="Calibri" w:cs="Times New Roman"/>
        </w:rPr>
        <w:t> per cent</w:t>
      </w:r>
      <w:r w:rsidRPr="00943396">
        <w:rPr>
          <w:rFonts w:ascii="Calibri" w:eastAsia="SimSun" w:hAnsi="Calibri" w:cs="Times New Roman"/>
        </w:rPr>
        <w:t xml:space="preserve"> </w:t>
      </w:r>
      <w:r w:rsidRPr="00943396" w:rsidDel="00FE6F48">
        <w:rPr>
          <w:rFonts w:ascii="Calibri" w:eastAsia="SimSun" w:hAnsi="Calibri" w:cs="Times New Roman"/>
        </w:rPr>
        <w:t>in 2023</w:t>
      </w:r>
      <w:r w:rsidDel="00FE6F48">
        <w:t>–</w:t>
      </w:r>
      <w:r w:rsidRPr="00943396" w:rsidDel="00FE6F48">
        <w:rPr>
          <w:rFonts w:ascii="Calibri" w:eastAsia="SimSun" w:hAnsi="Calibri" w:cs="Times New Roman"/>
        </w:rPr>
        <w:t xml:space="preserve">24 </w:t>
      </w:r>
      <w:r w:rsidDel="00FE6F48">
        <w:rPr>
          <w:rFonts w:ascii="Calibri" w:eastAsia="SimSun" w:hAnsi="Calibri" w:cs="Times New Roman"/>
        </w:rPr>
        <w:t>and</w:t>
      </w:r>
      <w:r w:rsidRPr="00943396" w:rsidDel="00FE6F48">
        <w:rPr>
          <w:rFonts w:ascii="Calibri" w:eastAsia="SimSun" w:hAnsi="Calibri" w:cs="Times New Roman"/>
        </w:rPr>
        <w:t xml:space="preserve"> </w:t>
      </w:r>
      <w:r w:rsidRPr="00943396">
        <w:rPr>
          <w:rFonts w:ascii="Calibri" w:eastAsia="SimSun" w:hAnsi="Calibri" w:cs="Times New Roman"/>
        </w:rPr>
        <w:t>2.</w:t>
      </w:r>
      <w:r w:rsidR="002B6C70">
        <w:rPr>
          <w:rFonts w:ascii="Calibri" w:eastAsia="SimSun" w:hAnsi="Calibri" w:cs="Times New Roman"/>
        </w:rPr>
        <w:t>2</w:t>
      </w:r>
      <w:r w:rsidR="00FF207F">
        <w:rPr>
          <w:rFonts w:ascii="Calibri" w:eastAsia="SimSun" w:hAnsi="Calibri" w:cs="Times New Roman"/>
        </w:rPr>
        <w:t> per cent</w:t>
      </w:r>
      <w:r w:rsidRPr="00943396">
        <w:rPr>
          <w:rFonts w:ascii="Calibri" w:eastAsia="SimSun" w:hAnsi="Calibri" w:cs="Times New Roman"/>
        </w:rPr>
        <w:t xml:space="preserve"> </w:t>
      </w:r>
      <w:r>
        <w:rPr>
          <w:rFonts w:ascii="Calibri" w:eastAsia="SimSun" w:hAnsi="Calibri" w:cs="Times New Roman"/>
        </w:rPr>
        <w:t>in</w:t>
      </w:r>
      <w:r w:rsidRPr="00943396">
        <w:rPr>
          <w:rFonts w:ascii="Calibri" w:eastAsia="SimSun" w:hAnsi="Calibri" w:cs="Times New Roman"/>
        </w:rPr>
        <w:t xml:space="preserve"> 2024–25, slowing to 1.4</w:t>
      </w:r>
      <w:r w:rsidR="00FF207F">
        <w:rPr>
          <w:rFonts w:ascii="Calibri" w:eastAsia="SimSun" w:hAnsi="Calibri" w:cs="Times New Roman"/>
        </w:rPr>
        <w:t> per cent</w:t>
      </w:r>
      <w:r w:rsidRPr="00943396">
        <w:rPr>
          <w:rFonts w:ascii="Calibri" w:eastAsia="SimSun" w:hAnsi="Calibri" w:cs="Times New Roman"/>
        </w:rPr>
        <w:t xml:space="preserve"> by 2034–35. Brisbane is projected to continue attracting the highest level of internal migrants of any capital city,</w:t>
      </w:r>
      <w:r w:rsidRPr="00943396" w:rsidDel="00EA63CC">
        <w:rPr>
          <w:rFonts w:ascii="Calibri" w:eastAsia="SimSun" w:hAnsi="Calibri" w:cs="Times New Roman"/>
        </w:rPr>
        <w:t xml:space="preserve"> but </w:t>
      </w:r>
      <w:r w:rsidR="00E84835">
        <w:rPr>
          <w:rFonts w:ascii="Calibri" w:eastAsia="SimSun" w:hAnsi="Calibri" w:cs="Times New Roman"/>
        </w:rPr>
        <w:t>NOM</w:t>
      </w:r>
      <w:r w:rsidRPr="00943396" w:rsidDel="00EA63CC">
        <w:rPr>
          <w:rFonts w:ascii="Calibri" w:eastAsia="SimSun" w:hAnsi="Calibri" w:cs="Times New Roman"/>
        </w:rPr>
        <w:t xml:space="preserve"> </w:t>
      </w:r>
      <w:r w:rsidRPr="00943396">
        <w:rPr>
          <w:rFonts w:ascii="Calibri" w:eastAsia="SimSun" w:hAnsi="Calibri" w:cs="Times New Roman"/>
        </w:rPr>
        <w:t xml:space="preserve">is expected to be </w:t>
      </w:r>
      <w:r w:rsidRPr="00943396" w:rsidDel="00EA63CC">
        <w:rPr>
          <w:rFonts w:ascii="Calibri" w:eastAsia="SimSun" w:hAnsi="Calibri" w:cs="Times New Roman"/>
        </w:rPr>
        <w:t xml:space="preserve">the </w:t>
      </w:r>
      <w:r w:rsidRPr="00943396">
        <w:rPr>
          <w:rFonts w:ascii="Calibri" w:eastAsia="SimSun" w:hAnsi="Calibri" w:cs="Times New Roman"/>
        </w:rPr>
        <w:t xml:space="preserve">largest source of its population </w:t>
      </w:r>
      <w:r w:rsidRPr="00943396" w:rsidDel="00EA63CC">
        <w:rPr>
          <w:rFonts w:ascii="Calibri" w:eastAsia="SimSun" w:hAnsi="Calibri" w:cs="Times New Roman"/>
        </w:rPr>
        <w:t>growth.</w:t>
      </w:r>
      <w:r w:rsidRPr="00943396">
        <w:rPr>
          <w:rFonts w:ascii="Calibri" w:eastAsia="SimSun" w:hAnsi="Calibri" w:cs="Times New Roman"/>
        </w:rPr>
        <w:t xml:space="preserve"> Brisbane</w:t>
      </w:r>
      <w:r w:rsidR="00050D25">
        <w:rPr>
          <w:rFonts w:ascii="Calibri" w:eastAsia="SimSun" w:hAnsi="Calibri" w:cs="Times New Roman"/>
        </w:rPr>
        <w:t>’</w:t>
      </w:r>
      <w:r>
        <w:rPr>
          <w:rFonts w:ascii="Calibri" w:eastAsia="SimSun" w:hAnsi="Calibri" w:cs="Times New Roman"/>
        </w:rPr>
        <w:t>s population</w:t>
      </w:r>
      <w:r w:rsidRPr="00943396">
        <w:rPr>
          <w:rFonts w:ascii="Calibri" w:eastAsia="SimSun" w:hAnsi="Calibri" w:cs="Times New Roman"/>
        </w:rPr>
        <w:t xml:space="preserve"> is projected </w:t>
      </w:r>
      <w:r>
        <w:rPr>
          <w:rFonts w:ascii="Calibri" w:eastAsia="SimSun" w:hAnsi="Calibri" w:cs="Times New Roman"/>
        </w:rPr>
        <w:t>to</w:t>
      </w:r>
      <w:r w:rsidRPr="00943396">
        <w:rPr>
          <w:rFonts w:ascii="Calibri" w:eastAsia="SimSun" w:hAnsi="Calibri" w:cs="Times New Roman"/>
        </w:rPr>
        <w:t xml:space="preserve"> </w:t>
      </w:r>
      <w:r>
        <w:rPr>
          <w:rFonts w:ascii="Calibri" w:eastAsia="SimSun" w:hAnsi="Calibri" w:cs="Times New Roman"/>
        </w:rPr>
        <w:t>account for over half the state</w:t>
      </w:r>
      <w:r w:rsidR="00050D25">
        <w:rPr>
          <w:rFonts w:ascii="Calibri" w:eastAsia="SimSun" w:hAnsi="Calibri" w:cs="Times New Roman"/>
        </w:rPr>
        <w:t>’</w:t>
      </w:r>
      <w:r>
        <w:rPr>
          <w:rFonts w:ascii="Calibri" w:eastAsia="SimSun" w:hAnsi="Calibri" w:cs="Times New Roman"/>
        </w:rPr>
        <w:t xml:space="preserve">s population from </w:t>
      </w:r>
      <w:r w:rsidRPr="00943396">
        <w:rPr>
          <w:rFonts w:ascii="Calibri" w:eastAsia="SimSun" w:hAnsi="Calibri" w:cs="Times New Roman"/>
        </w:rPr>
        <w:t>2025–26</w:t>
      </w:r>
      <w:r>
        <w:rPr>
          <w:rFonts w:ascii="Calibri" w:eastAsia="SimSun" w:hAnsi="Calibri" w:cs="Times New Roman"/>
        </w:rPr>
        <w:t xml:space="preserve"> (</w:t>
      </w:r>
      <w:r w:rsidR="004D09B3">
        <w:rPr>
          <w:rFonts w:ascii="Calibri" w:eastAsia="SimSun" w:hAnsi="Calibri" w:cs="Times New Roman"/>
        </w:rPr>
        <w:t xml:space="preserve">2 </w:t>
      </w:r>
      <w:r>
        <w:rPr>
          <w:rFonts w:ascii="Calibri" w:eastAsia="SimSun" w:hAnsi="Calibri" w:cs="Times New Roman"/>
        </w:rPr>
        <w:t>years sooner than previously forecast)</w:t>
      </w:r>
      <w:r w:rsidRPr="00943396">
        <w:rPr>
          <w:rFonts w:ascii="Calibri" w:eastAsia="SimSun" w:hAnsi="Calibri" w:cs="Times New Roman"/>
        </w:rPr>
        <w:t>, which would be the first time since 1978 that Greater Brisbane has had a larger population than the rest of Queensland.</w:t>
      </w:r>
      <w:r>
        <w:rPr>
          <w:rFonts w:ascii="Calibri" w:eastAsia="SimSun" w:hAnsi="Calibri" w:cs="Times New Roman"/>
        </w:rPr>
        <w:t xml:space="preserve"> </w:t>
      </w:r>
      <w:r w:rsidRPr="00943396">
        <w:rPr>
          <w:rFonts w:ascii="Calibri" w:eastAsia="SimSun" w:hAnsi="Calibri" w:cs="Times New Roman"/>
        </w:rPr>
        <w:t>Brisbane</w:t>
      </w:r>
      <w:r w:rsidR="00050D25">
        <w:rPr>
          <w:rFonts w:ascii="Calibri" w:eastAsia="SimSun" w:hAnsi="Calibri" w:cs="Times New Roman"/>
        </w:rPr>
        <w:t>’</w:t>
      </w:r>
      <w:r w:rsidRPr="00943396">
        <w:rPr>
          <w:rFonts w:ascii="Calibri" w:eastAsia="SimSun" w:hAnsi="Calibri" w:cs="Times New Roman"/>
        </w:rPr>
        <w:t>s population is projected to be 3.3</w:t>
      </w:r>
      <w:r w:rsidR="00FF207F">
        <w:rPr>
          <w:rFonts w:ascii="Calibri" w:eastAsia="SimSun" w:hAnsi="Calibri" w:cs="Times New Roman"/>
        </w:rPr>
        <w:t> million</w:t>
      </w:r>
      <w:r w:rsidRPr="00943396">
        <w:rPr>
          <w:rFonts w:ascii="Calibri" w:eastAsia="SimSun" w:hAnsi="Calibri" w:cs="Times New Roman"/>
        </w:rPr>
        <w:t xml:space="preserve"> in 2034–35.</w:t>
      </w:r>
    </w:p>
    <w:p w14:paraId="1C253F5D" w14:textId="776F2166" w:rsidR="003D3EC9" w:rsidRPr="00943396" w:rsidRDefault="003D3EC9" w:rsidP="003D3EC9">
      <w:pPr>
        <w:rPr>
          <w:rFonts w:ascii="Calibri" w:eastAsia="SimSun" w:hAnsi="Calibri" w:cs="Times New Roman"/>
        </w:rPr>
      </w:pPr>
      <w:r w:rsidRPr="76D23185">
        <w:rPr>
          <w:rFonts w:ascii="Calibri" w:eastAsia="SimSun" w:hAnsi="Calibri" w:cs="Times New Roman"/>
        </w:rPr>
        <w:t xml:space="preserve">The population of the </w:t>
      </w:r>
      <w:r w:rsidRPr="76D23185">
        <w:rPr>
          <w:rFonts w:ascii="Calibri" w:eastAsia="SimSun" w:hAnsi="Calibri" w:cs="Times New Roman"/>
          <w:b/>
          <w:bCs/>
        </w:rPr>
        <w:t>rest of Queensland</w:t>
      </w:r>
      <w:r w:rsidRPr="76D23185">
        <w:rPr>
          <w:rFonts w:ascii="Calibri" w:eastAsia="SimSun" w:hAnsi="Calibri" w:cs="Times New Roman"/>
        </w:rPr>
        <w:t xml:space="preserve"> is expected to be 2.8</w:t>
      </w:r>
      <w:r w:rsidR="00FF207F">
        <w:rPr>
          <w:rFonts w:ascii="Calibri" w:eastAsia="SimSun" w:hAnsi="Calibri" w:cs="Times New Roman"/>
        </w:rPr>
        <w:t> million</w:t>
      </w:r>
      <w:r w:rsidRPr="76D23185">
        <w:rPr>
          <w:rFonts w:ascii="Calibri" w:eastAsia="SimSun" w:hAnsi="Calibri" w:cs="Times New Roman"/>
        </w:rPr>
        <w:t xml:space="preserve"> in 2023–24</w:t>
      </w:r>
      <w:r w:rsidR="0099217D">
        <w:rPr>
          <w:rFonts w:ascii="Calibri" w:eastAsia="SimSun" w:hAnsi="Calibri" w:cs="Times New Roman"/>
        </w:rPr>
        <w:t xml:space="preserve"> (2</w:t>
      </w:r>
      <w:r w:rsidR="00FA20A7">
        <w:rPr>
          <w:rFonts w:ascii="Calibri" w:eastAsia="SimSun" w:hAnsi="Calibri" w:cs="Times New Roman"/>
        </w:rPr>
        <w:t>6</w:t>
      </w:r>
      <w:r w:rsidR="0099217D">
        <w:rPr>
          <w:rFonts w:ascii="Calibri" w:eastAsia="SimSun" w:hAnsi="Calibri" w:cs="Times New Roman"/>
        </w:rPr>
        <w:t>,000 higher than Greater Brisbane)</w:t>
      </w:r>
      <w:r w:rsidRPr="76D23185">
        <w:rPr>
          <w:rFonts w:ascii="Calibri" w:eastAsia="SimSun" w:hAnsi="Calibri" w:cs="Times New Roman"/>
        </w:rPr>
        <w:t xml:space="preserve">, one of only </w:t>
      </w:r>
      <w:r w:rsidR="004D09B3">
        <w:rPr>
          <w:rFonts w:ascii="Calibri" w:eastAsia="SimSun" w:hAnsi="Calibri" w:cs="Times New Roman"/>
        </w:rPr>
        <w:t>2</w:t>
      </w:r>
      <w:r w:rsidR="004D09B3" w:rsidRPr="76D23185">
        <w:rPr>
          <w:rFonts w:ascii="Calibri" w:eastAsia="SimSun" w:hAnsi="Calibri" w:cs="Times New Roman"/>
        </w:rPr>
        <w:t xml:space="preserve"> </w:t>
      </w:r>
      <w:r w:rsidRPr="76D23185">
        <w:rPr>
          <w:rFonts w:ascii="Calibri" w:eastAsia="SimSun" w:hAnsi="Calibri" w:cs="Times New Roman"/>
        </w:rPr>
        <w:t>states where the rest</w:t>
      </w:r>
      <w:r w:rsidR="00050D25">
        <w:rPr>
          <w:rFonts w:ascii="Calibri" w:eastAsia="SimSun" w:hAnsi="Calibri" w:cs="Times New Roman"/>
        </w:rPr>
        <w:noBreakHyphen/>
      </w:r>
      <w:r w:rsidRPr="76D23185">
        <w:rPr>
          <w:rFonts w:ascii="Calibri" w:eastAsia="SimSun" w:hAnsi="Calibri" w:cs="Times New Roman"/>
        </w:rPr>
        <w:t>of</w:t>
      </w:r>
      <w:r w:rsidR="00050D25">
        <w:rPr>
          <w:rFonts w:ascii="Calibri" w:eastAsia="SimSun" w:hAnsi="Calibri" w:cs="Times New Roman"/>
        </w:rPr>
        <w:noBreakHyphen/>
      </w:r>
      <w:r w:rsidRPr="76D23185">
        <w:rPr>
          <w:rFonts w:ascii="Calibri" w:eastAsia="SimSun" w:hAnsi="Calibri" w:cs="Times New Roman"/>
        </w:rPr>
        <w:t xml:space="preserve">state </w:t>
      </w:r>
      <w:r w:rsidR="00F6036D">
        <w:rPr>
          <w:rFonts w:ascii="Calibri" w:eastAsia="SimSun" w:hAnsi="Calibri" w:cs="Times New Roman"/>
        </w:rPr>
        <w:t>population</w:t>
      </w:r>
      <w:r w:rsidR="00F6036D" w:rsidRPr="76D23185">
        <w:rPr>
          <w:rFonts w:ascii="Calibri" w:eastAsia="SimSun" w:hAnsi="Calibri" w:cs="Times New Roman"/>
        </w:rPr>
        <w:t xml:space="preserve"> </w:t>
      </w:r>
      <w:r w:rsidRPr="76D23185">
        <w:rPr>
          <w:rFonts w:ascii="Calibri" w:eastAsia="SimSun" w:hAnsi="Calibri" w:cs="Times New Roman"/>
        </w:rPr>
        <w:t xml:space="preserve">is larger than the capital city. Strong flows of overseas and internal migration contributed to relatively strong population growth in 2022–23, and growth is forecast to decline to </w:t>
      </w:r>
      <w:r w:rsidR="00DC2DAF">
        <w:rPr>
          <w:rFonts w:ascii="Calibri" w:eastAsia="SimSun" w:hAnsi="Calibri" w:cs="Times New Roman"/>
        </w:rPr>
        <w:t>1.9</w:t>
      </w:r>
      <w:r w:rsidR="00FF207F">
        <w:rPr>
          <w:rFonts w:ascii="Calibri" w:eastAsia="SimSun" w:hAnsi="Calibri" w:cs="Times New Roman"/>
        </w:rPr>
        <w:t> per cent</w:t>
      </w:r>
      <w:r w:rsidRPr="76D23185">
        <w:rPr>
          <w:rFonts w:ascii="Calibri" w:eastAsia="SimSun" w:hAnsi="Calibri" w:cs="Times New Roman"/>
        </w:rPr>
        <w:t xml:space="preserve"> in 2023–24 and 1.5</w:t>
      </w:r>
      <w:r w:rsidR="00FF207F">
        <w:rPr>
          <w:rFonts w:ascii="Calibri" w:eastAsia="SimSun" w:hAnsi="Calibri" w:cs="Times New Roman"/>
        </w:rPr>
        <w:t> per cent</w:t>
      </w:r>
      <w:r w:rsidRPr="76D23185">
        <w:rPr>
          <w:rFonts w:ascii="Calibri" w:eastAsia="SimSun" w:hAnsi="Calibri" w:cs="Times New Roman"/>
        </w:rPr>
        <w:t xml:space="preserve"> in 2024–25 as</w:t>
      </w:r>
      <w:r>
        <w:rPr>
          <w:rFonts w:ascii="Calibri" w:eastAsia="SimSun" w:hAnsi="Calibri" w:cs="Times New Roman"/>
        </w:rPr>
        <w:t xml:space="preserve"> overseas</w:t>
      </w:r>
      <w:r w:rsidRPr="76D23185">
        <w:rPr>
          <w:rFonts w:ascii="Calibri" w:eastAsia="SimSun" w:hAnsi="Calibri" w:cs="Times New Roman"/>
        </w:rPr>
        <w:t xml:space="preserve"> </w:t>
      </w:r>
      <w:r>
        <w:rPr>
          <w:rFonts w:ascii="Calibri" w:eastAsia="SimSun" w:hAnsi="Calibri" w:cs="Times New Roman"/>
        </w:rPr>
        <w:t>and internal</w:t>
      </w:r>
      <w:r w:rsidRPr="76D23185">
        <w:rPr>
          <w:rFonts w:ascii="Calibri" w:eastAsia="SimSun" w:hAnsi="Calibri" w:cs="Times New Roman"/>
        </w:rPr>
        <w:t xml:space="preserve"> migrat</w:t>
      </w:r>
      <w:r w:rsidRPr="76D23185" w:rsidDel="00B57B33">
        <w:rPr>
          <w:rFonts w:ascii="Calibri" w:eastAsia="SimSun" w:hAnsi="Calibri" w:cs="Times New Roman"/>
        </w:rPr>
        <w:t>ion</w:t>
      </w:r>
      <w:r w:rsidRPr="76D23185">
        <w:rPr>
          <w:rFonts w:ascii="Calibri" w:eastAsia="SimSun" w:hAnsi="Calibri" w:cs="Times New Roman"/>
        </w:rPr>
        <w:t xml:space="preserve"> moderate</w:t>
      </w:r>
      <w:r>
        <w:rPr>
          <w:rFonts w:ascii="Calibri" w:eastAsia="SimSun" w:hAnsi="Calibri" w:cs="Times New Roman"/>
        </w:rPr>
        <w:t>s</w:t>
      </w:r>
      <w:r w:rsidRPr="76D23185">
        <w:rPr>
          <w:rFonts w:ascii="Calibri" w:eastAsia="SimSun" w:hAnsi="Calibri" w:cs="Times New Roman"/>
        </w:rPr>
        <w:t>. The rest of Queensland will be the strongest growing rest</w:t>
      </w:r>
      <w:r w:rsidR="00050D25">
        <w:rPr>
          <w:rFonts w:ascii="Calibri" w:eastAsia="SimSun" w:hAnsi="Calibri" w:cs="Times New Roman"/>
        </w:rPr>
        <w:noBreakHyphen/>
      </w:r>
      <w:r w:rsidRPr="76D23185">
        <w:rPr>
          <w:rFonts w:ascii="Calibri" w:eastAsia="SimSun" w:hAnsi="Calibri" w:cs="Times New Roman"/>
        </w:rPr>
        <w:t>of</w:t>
      </w:r>
      <w:r w:rsidR="00050D25">
        <w:rPr>
          <w:rFonts w:ascii="Calibri" w:eastAsia="SimSun" w:hAnsi="Calibri" w:cs="Times New Roman"/>
        </w:rPr>
        <w:noBreakHyphen/>
      </w:r>
      <w:r w:rsidRPr="76D23185">
        <w:rPr>
          <w:rFonts w:ascii="Calibri" w:eastAsia="SimSun" w:hAnsi="Calibri" w:cs="Times New Roman"/>
        </w:rPr>
        <w:t>state area over the projection period, most</w:t>
      </w:r>
      <w:r w:rsidR="003B00BC">
        <w:rPr>
          <w:rFonts w:ascii="Calibri" w:eastAsia="SimSun" w:hAnsi="Calibri" w:cs="Times New Roman"/>
        </w:rPr>
        <w:t>ly</w:t>
      </w:r>
      <w:r w:rsidRPr="76D23185">
        <w:rPr>
          <w:rFonts w:ascii="Calibri" w:eastAsia="SimSun" w:hAnsi="Calibri" w:cs="Times New Roman"/>
        </w:rPr>
        <w:t xml:space="preserve"> driven by </w:t>
      </w:r>
      <w:r w:rsidR="00E84835">
        <w:rPr>
          <w:rFonts w:ascii="Calibri" w:eastAsia="SimSun" w:hAnsi="Calibri" w:cs="Times New Roman"/>
        </w:rPr>
        <w:t>NOM</w:t>
      </w:r>
      <w:r w:rsidRPr="76D23185">
        <w:rPr>
          <w:rFonts w:ascii="Calibri" w:eastAsia="SimSun" w:hAnsi="Calibri" w:cs="Times New Roman"/>
        </w:rPr>
        <w:t>. The contribution to growth from natural increase and internal migration is strong relative to other rest</w:t>
      </w:r>
      <w:r w:rsidR="00050D25">
        <w:rPr>
          <w:rFonts w:ascii="Calibri" w:eastAsia="SimSun" w:hAnsi="Calibri" w:cs="Times New Roman"/>
        </w:rPr>
        <w:noBreakHyphen/>
      </w:r>
      <w:r w:rsidRPr="76D23185">
        <w:rPr>
          <w:rFonts w:ascii="Calibri" w:eastAsia="SimSun" w:hAnsi="Calibri" w:cs="Times New Roman"/>
        </w:rPr>
        <w:t>of</w:t>
      </w:r>
      <w:r w:rsidR="00050D25">
        <w:rPr>
          <w:rFonts w:ascii="Calibri" w:eastAsia="SimSun" w:hAnsi="Calibri" w:cs="Times New Roman"/>
        </w:rPr>
        <w:noBreakHyphen/>
      </w:r>
      <w:r w:rsidRPr="76D23185">
        <w:rPr>
          <w:rFonts w:ascii="Calibri" w:eastAsia="SimSun" w:hAnsi="Calibri" w:cs="Times New Roman"/>
        </w:rPr>
        <w:t>state areas. The population of the rest of Queensland is projected to be 3.</w:t>
      </w:r>
      <w:r w:rsidR="006A4F1E">
        <w:rPr>
          <w:rFonts w:ascii="Calibri" w:eastAsia="SimSun" w:hAnsi="Calibri" w:cs="Times New Roman"/>
        </w:rPr>
        <w:t>2</w:t>
      </w:r>
      <w:r w:rsidR="00FF207F">
        <w:rPr>
          <w:rFonts w:ascii="Calibri" w:eastAsia="SimSun" w:hAnsi="Calibri" w:cs="Times New Roman"/>
        </w:rPr>
        <w:t> million</w:t>
      </w:r>
      <w:r w:rsidRPr="76D23185">
        <w:rPr>
          <w:rFonts w:ascii="Calibri" w:eastAsia="SimSun" w:hAnsi="Calibri" w:cs="Times New Roman"/>
        </w:rPr>
        <w:t xml:space="preserve"> in 2034–35, overtaking rest of NSW as the most populous rest</w:t>
      </w:r>
      <w:r w:rsidR="00050D25">
        <w:rPr>
          <w:rFonts w:ascii="Calibri" w:eastAsia="SimSun" w:hAnsi="Calibri" w:cs="Times New Roman"/>
        </w:rPr>
        <w:noBreakHyphen/>
      </w:r>
      <w:r w:rsidRPr="76D23185">
        <w:rPr>
          <w:rFonts w:ascii="Calibri" w:eastAsia="SimSun" w:hAnsi="Calibri" w:cs="Times New Roman"/>
        </w:rPr>
        <w:t>of</w:t>
      </w:r>
      <w:r w:rsidR="00050D25">
        <w:rPr>
          <w:rFonts w:ascii="Calibri" w:eastAsia="SimSun" w:hAnsi="Calibri" w:cs="Times New Roman"/>
        </w:rPr>
        <w:noBreakHyphen/>
      </w:r>
      <w:r w:rsidRPr="76D23185">
        <w:rPr>
          <w:rFonts w:ascii="Calibri" w:eastAsia="SimSun" w:hAnsi="Calibri" w:cs="Times New Roman"/>
        </w:rPr>
        <w:t>state area in 2031–32.</w:t>
      </w:r>
    </w:p>
    <w:p w14:paraId="5BFC9F83" w14:textId="028A989A" w:rsidR="003D3EC9" w:rsidRDefault="003D3EC9" w:rsidP="00654915">
      <w:pPr>
        <w:pStyle w:val="ChartMainHeading"/>
      </w:pPr>
      <w:r w:rsidRPr="00D47BF1">
        <w:lastRenderedPageBreak/>
        <w:t xml:space="preserve">Population growth in </w:t>
      </w:r>
      <w:r w:rsidRPr="0080495D">
        <w:t xml:space="preserve">Queensland, Greater </w:t>
      </w:r>
      <w:proofErr w:type="gramStart"/>
      <w:r w:rsidRPr="0080495D">
        <w:t>Brisbane</w:t>
      </w:r>
      <w:proofErr w:type="gramEnd"/>
      <w:r w:rsidRPr="0080495D">
        <w:t xml:space="preserve"> and the </w:t>
      </w:r>
      <w:r>
        <w:t>r</w:t>
      </w:r>
      <w:r w:rsidRPr="0080495D">
        <w:t>est of Queensl</w:t>
      </w:r>
      <w:r>
        <w:t>and</w:t>
      </w:r>
    </w:p>
    <w:p w14:paraId="05803E6F" w14:textId="7B0AB7E0" w:rsidR="003D3EC9" w:rsidRDefault="001F0C68" w:rsidP="00997375">
      <w:pPr>
        <w:pStyle w:val="ChartGraphic"/>
      </w:pPr>
      <w:r w:rsidRPr="001F0C68">
        <w:t xml:space="preserve"> </w:t>
      </w:r>
      <w:r w:rsidR="00C71D0A" w:rsidRPr="00C71D0A">
        <w:t xml:space="preserve"> </w:t>
      </w:r>
      <w:r w:rsidR="00C71D0A" w:rsidRPr="00997375">
        <w:rPr>
          <w:noProof/>
        </w:rPr>
        <w:drawing>
          <wp:inline distT="0" distB="0" distL="0" distR="0" wp14:anchorId="2ADD85F3" wp14:editId="237D3F9B">
            <wp:extent cx="5610225" cy="2886075"/>
            <wp:effectExtent l="0" t="0" r="0" b="0"/>
            <wp:docPr id="68358734" name="Picture 3" descr="This chart shows population growth for Brisbane, Queensland, and the rest of Queensland. Population in both Brisbane and the rest of Queensland declined in 2019–20 and 2020–21. Both areas recovered and peaked in 2022–23 driven by net overseas migration. Population growth is expected to decline and stabilise over the projection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734" name="Picture 3" descr="This chart shows population growth for Brisbane, Queensland, and the rest of Queensland. Population in both Brisbane and the rest of Queensland declined in 2019–20 and 2020–21. Both areas recovered and peaked in 2022–23 driven by net overseas migration. Population growth is expected to decline and stabilise over the projection period.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23E7D3A3" w14:textId="0291F2C1" w:rsidR="003D3EC9" w:rsidRDefault="003D3EC9" w:rsidP="003D3EC9">
      <w:pPr>
        <w:pStyle w:val="Source"/>
        <w:rPr>
          <w:rStyle w:val="Hyperlink"/>
          <w:szCs w:val="18"/>
        </w:rPr>
      </w:pPr>
      <w:r w:rsidRPr="00F67DB6">
        <w:t>Source:</w:t>
      </w:r>
      <w:r w:rsidRPr="001F0DE5">
        <w:tab/>
      </w:r>
      <w:r w:rsidRPr="00F67DB6">
        <w:t xml:space="preserve">ABS, </w:t>
      </w:r>
      <w:r w:rsidR="0035214B" w:rsidRPr="00997375">
        <w:rPr>
          <w:rStyle w:val="SubtleEmphasis"/>
        </w:rPr>
        <w:t>Regional population, 2022–23</w:t>
      </w:r>
      <w:r>
        <w:t xml:space="preserve">; ABS, </w:t>
      </w:r>
      <w:r w:rsidR="009155F8" w:rsidRPr="00997375">
        <w:rPr>
          <w:rStyle w:val="SubtleEmphasis"/>
        </w:rPr>
        <w:t>National, state and territory population, March 2024</w:t>
      </w:r>
      <w:r>
        <w:t>; and Centre for Population</w:t>
      </w:r>
      <w:r w:rsidRPr="00F67DB6">
        <w:t>.</w:t>
      </w:r>
    </w:p>
    <w:p w14:paraId="0C6178BF" w14:textId="7A11BC8E" w:rsidR="00756BE9" w:rsidRDefault="00756BE9" w:rsidP="00997375">
      <w:pPr>
        <w:pStyle w:val="SingleParagraph"/>
      </w:pPr>
      <w:r>
        <w:br w:type="page"/>
      </w:r>
    </w:p>
    <w:p w14:paraId="0FAEC73F" w14:textId="359E1391" w:rsidR="003D3EC9" w:rsidRPr="0080495D" w:rsidRDefault="003D3EC9" w:rsidP="00A633E1">
      <w:pPr>
        <w:pStyle w:val="TableMainHeading"/>
      </w:pPr>
      <w:r w:rsidRPr="0080495D">
        <w:lastRenderedPageBreak/>
        <w:t xml:space="preserve">Population projections, </w:t>
      </w:r>
      <w:r w:rsidRPr="00926A5E">
        <w:t>Queensland</w:t>
      </w:r>
    </w:p>
    <w:tbl>
      <w:tblPr>
        <w:tblW w:w="5000" w:type="pct"/>
        <w:tblLook w:val="04A0" w:firstRow="1" w:lastRow="0" w:firstColumn="1" w:lastColumn="0" w:noHBand="0" w:noVBand="1"/>
      </w:tblPr>
      <w:tblGrid>
        <w:gridCol w:w="2648"/>
        <w:gridCol w:w="1073"/>
        <w:gridCol w:w="1072"/>
        <w:gridCol w:w="1070"/>
        <w:gridCol w:w="1070"/>
        <w:gridCol w:w="1070"/>
        <w:gridCol w:w="1069"/>
      </w:tblGrid>
      <w:tr w:rsidR="003D3EC9" w:rsidRPr="0055506E" w14:paraId="7E620A0B" w14:textId="77777777" w:rsidTr="00997375">
        <w:trPr>
          <w:trHeight w:val="227"/>
        </w:trPr>
        <w:tc>
          <w:tcPr>
            <w:tcW w:w="1459" w:type="pct"/>
            <w:tcBorders>
              <w:top w:val="single" w:sz="4" w:space="0" w:color="auto"/>
              <w:left w:val="nil"/>
              <w:bottom w:val="single" w:sz="4" w:space="0" w:color="auto"/>
              <w:right w:val="nil"/>
            </w:tcBorders>
            <w:shd w:val="clear" w:color="auto" w:fill="auto"/>
            <w:vAlign w:val="center"/>
          </w:tcPr>
          <w:p w14:paraId="3F1E63C0" w14:textId="77777777" w:rsidR="003D3EC9" w:rsidRPr="0055506E" w:rsidRDefault="003D3EC9" w:rsidP="00916EF2">
            <w:pPr>
              <w:spacing w:before="0" w:after="0" w:line="240" w:lineRule="auto"/>
              <w:rPr>
                <w:rFonts w:ascii="Calibri" w:eastAsia="Times New Roman" w:hAnsi="Calibri" w:cs="Calibri"/>
                <w:color w:val="000000"/>
                <w:lang w:eastAsia="en-AU"/>
              </w:rPr>
            </w:pPr>
            <w:r>
              <w:rPr>
                <w:rFonts w:ascii="Calibri" w:hAnsi="Calibri" w:cs="Calibri"/>
                <w:color w:val="000000"/>
              </w:rPr>
              <w:t> </w:t>
            </w:r>
          </w:p>
        </w:tc>
        <w:tc>
          <w:tcPr>
            <w:tcW w:w="591" w:type="pct"/>
            <w:tcBorders>
              <w:top w:val="single" w:sz="4" w:space="0" w:color="auto"/>
              <w:left w:val="nil"/>
              <w:bottom w:val="single" w:sz="4" w:space="0" w:color="auto"/>
              <w:right w:val="nil"/>
            </w:tcBorders>
            <w:shd w:val="clear" w:color="auto" w:fill="auto"/>
            <w:noWrap/>
            <w:vAlign w:val="center"/>
          </w:tcPr>
          <w:p w14:paraId="0BE58882" w14:textId="77777777" w:rsidR="003D3EC9" w:rsidRPr="00F828E7" w:rsidRDefault="003D3EC9" w:rsidP="00F828E7">
            <w:pPr>
              <w:pStyle w:val="TableColumnHeadingRight"/>
            </w:pPr>
            <w:r w:rsidRPr="00F828E7">
              <w:t>2022–23</w:t>
            </w:r>
          </w:p>
        </w:tc>
        <w:tc>
          <w:tcPr>
            <w:tcW w:w="591" w:type="pct"/>
            <w:tcBorders>
              <w:top w:val="single" w:sz="4" w:space="0" w:color="auto"/>
              <w:left w:val="nil"/>
              <w:bottom w:val="single" w:sz="4" w:space="0" w:color="auto"/>
              <w:right w:val="nil"/>
            </w:tcBorders>
            <w:shd w:val="clear" w:color="auto" w:fill="D2EDFF"/>
            <w:noWrap/>
            <w:vAlign w:val="center"/>
          </w:tcPr>
          <w:p w14:paraId="7FB288D6" w14:textId="77777777" w:rsidR="003D3EC9" w:rsidRPr="00F828E7" w:rsidRDefault="003D3EC9" w:rsidP="00F828E7">
            <w:pPr>
              <w:pStyle w:val="TableColumnHeadingRight"/>
            </w:pPr>
            <w:r w:rsidRPr="00F828E7">
              <w:t>2023–24</w:t>
            </w:r>
          </w:p>
        </w:tc>
        <w:tc>
          <w:tcPr>
            <w:tcW w:w="590" w:type="pct"/>
            <w:tcBorders>
              <w:top w:val="single" w:sz="4" w:space="0" w:color="auto"/>
              <w:left w:val="nil"/>
              <w:bottom w:val="single" w:sz="4" w:space="0" w:color="auto"/>
              <w:right w:val="nil"/>
            </w:tcBorders>
            <w:shd w:val="clear" w:color="auto" w:fill="auto"/>
            <w:noWrap/>
            <w:vAlign w:val="center"/>
          </w:tcPr>
          <w:p w14:paraId="7F3880FC" w14:textId="77777777" w:rsidR="003D3EC9" w:rsidRPr="00F828E7" w:rsidRDefault="003D3EC9" w:rsidP="00F828E7">
            <w:pPr>
              <w:pStyle w:val="TableColumnHeadingRight"/>
            </w:pPr>
            <w:r w:rsidRPr="00F828E7">
              <w:t>2024–25</w:t>
            </w:r>
          </w:p>
        </w:tc>
        <w:tc>
          <w:tcPr>
            <w:tcW w:w="590" w:type="pct"/>
            <w:tcBorders>
              <w:top w:val="single" w:sz="4" w:space="0" w:color="auto"/>
              <w:left w:val="nil"/>
              <w:bottom w:val="single" w:sz="4" w:space="0" w:color="auto"/>
              <w:right w:val="nil"/>
            </w:tcBorders>
            <w:shd w:val="clear" w:color="auto" w:fill="auto"/>
            <w:noWrap/>
            <w:vAlign w:val="center"/>
          </w:tcPr>
          <w:p w14:paraId="35B93E81" w14:textId="77777777" w:rsidR="003D3EC9" w:rsidRPr="00F828E7" w:rsidRDefault="003D3EC9" w:rsidP="00F828E7">
            <w:pPr>
              <w:pStyle w:val="TableColumnHeadingRight"/>
            </w:pPr>
            <w:r w:rsidRPr="00F828E7">
              <w:t>2025–26</w:t>
            </w:r>
          </w:p>
        </w:tc>
        <w:tc>
          <w:tcPr>
            <w:tcW w:w="590" w:type="pct"/>
            <w:tcBorders>
              <w:top w:val="single" w:sz="4" w:space="0" w:color="auto"/>
              <w:left w:val="nil"/>
              <w:bottom w:val="single" w:sz="4" w:space="0" w:color="auto"/>
              <w:right w:val="single" w:sz="4" w:space="0" w:color="auto"/>
            </w:tcBorders>
            <w:shd w:val="clear" w:color="auto" w:fill="auto"/>
            <w:noWrap/>
            <w:vAlign w:val="center"/>
          </w:tcPr>
          <w:p w14:paraId="1E9FB78D" w14:textId="77777777" w:rsidR="003D3EC9" w:rsidRPr="00F828E7" w:rsidRDefault="003D3EC9" w:rsidP="00F828E7">
            <w:pPr>
              <w:pStyle w:val="TableColumnHeadingRight"/>
            </w:pPr>
            <w:r w:rsidRPr="00F828E7">
              <w:t>2026–27</w:t>
            </w:r>
          </w:p>
        </w:tc>
        <w:tc>
          <w:tcPr>
            <w:tcW w:w="589" w:type="pct"/>
            <w:tcBorders>
              <w:top w:val="single" w:sz="4" w:space="0" w:color="auto"/>
              <w:left w:val="nil"/>
              <w:bottom w:val="single" w:sz="4" w:space="0" w:color="auto"/>
              <w:right w:val="nil"/>
            </w:tcBorders>
            <w:shd w:val="clear" w:color="auto" w:fill="auto"/>
            <w:noWrap/>
            <w:vAlign w:val="center"/>
          </w:tcPr>
          <w:p w14:paraId="70516A25" w14:textId="77777777" w:rsidR="003D3EC9" w:rsidRPr="00F828E7" w:rsidRDefault="003D3EC9" w:rsidP="00F828E7">
            <w:pPr>
              <w:pStyle w:val="TableColumnHeadingRight"/>
            </w:pPr>
            <w:r w:rsidRPr="00F828E7">
              <w:t>2034–35</w:t>
            </w:r>
          </w:p>
        </w:tc>
      </w:tr>
      <w:tr w:rsidR="003D3EC9" w:rsidRPr="0055506E" w14:paraId="134EFF0E" w14:textId="77777777" w:rsidTr="00997375">
        <w:trPr>
          <w:trHeight w:val="227"/>
        </w:trPr>
        <w:tc>
          <w:tcPr>
            <w:tcW w:w="1459" w:type="pct"/>
            <w:tcBorders>
              <w:top w:val="nil"/>
              <w:left w:val="nil"/>
              <w:bottom w:val="nil"/>
              <w:right w:val="nil"/>
            </w:tcBorders>
            <w:shd w:val="clear" w:color="auto" w:fill="auto"/>
            <w:vAlign w:val="center"/>
          </w:tcPr>
          <w:p w14:paraId="12284AE6" w14:textId="588DDC33" w:rsidR="003D3EC9" w:rsidRPr="0055506E" w:rsidRDefault="003D3EC9" w:rsidP="00636638">
            <w:pPr>
              <w:pStyle w:val="TableColumnHeadingLeft"/>
              <w:rPr>
                <w:rFonts w:eastAsia="Times New Roman"/>
              </w:rPr>
            </w:pPr>
            <w:r>
              <w:t>Population (</w:t>
            </w:r>
            <w:r w:rsidR="00050D25">
              <w:t>‘</w:t>
            </w:r>
            <w:r>
              <w:t>000)</w:t>
            </w:r>
          </w:p>
        </w:tc>
        <w:tc>
          <w:tcPr>
            <w:tcW w:w="591" w:type="pct"/>
            <w:tcBorders>
              <w:top w:val="nil"/>
              <w:left w:val="nil"/>
              <w:bottom w:val="nil"/>
              <w:right w:val="nil"/>
            </w:tcBorders>
            <w:shd w:val="clear" w:color="auto" w:fill="auto"/>
            <w:vAlign w:val="center"/>
          </w:tcPr>
          <w:p w14:paraId="2ECE199F"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33B9A7DA" w14:textId="069B6B1C"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74692DC9"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020E5ED3"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7C588038" w14:textId="35894343"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6A3BCDB1" w14:textId="77777777" w:rsidR="003D3EC9" w:rsidRPr="00636638" w:rsidRDefault="003D3EC9" w:rsidP="00636638">
            <w:pPr>
              <w:pStyle w:val="TableTextRight"/>
            </w:pPr>
          </w:p>
        </w:tc>
      </w:tr>
      <w:tr w:rsidR="003D3EC9" w:rsidRPr="0055506E" w14:paraId="1E4639F9" w14:textId="77777777" w:rsidTr="00997375">
        <w:trPr>
          <w:trHeight w:val="227"/>
        </w:trPr>
        <w:tc>
          <w:tcPr>
            <w:tcW w:w="1459" w:type="pct"/>
            <w:tcBorders>
              <w:top w:val="nil"/>
              <w:left w:val="nil"/>
              <w:bottom w:val="nil"/>
              <w:right w:val="nil"/>
            </w:tcBorders>
            <w:shd w:val="clear" w:color="auto" w:fill="auto"/>
            <w:vAlign w:val="center"/>
          </w:tcPr>
          <w:p w14:paraId="589B8A4F"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6215EAD0" w14:textId="32EF571A" w:rsidR="003D3EC9" w:rsidRPr="00636638" w:rsidRDefault="003D3EC9" w:rsidP="00636638">
            <w:pPr>
              <w:pStyle w:val="TableTextRight"/>
            </w:pPr>
            <w:r>
              <w:rPr>
                <w:rFonts w:ascii="Calibri" w:hAnsi="Calibri" w:cs="Calibri"/>
              </w:rPr>
              <w:t>5,460</w:t>
            </w:r>
          </w:p>
        </w:tc>
        <w:tc>
          <w:tcPr>
            <w:tcW w:w="591" w:type="pct"/>
            <w:tcBorders>
              <w:top w:val="nil"/>
              <w:left w:val="nil"/>
              <w:bottom w:val="nil"/>
              <w:right w:val="nil"/>
            </w:tcBorders>
            <w:shd w:val="clear" w:color="auto" w:fill="D2EDFF"/>
            <w:vAlign w:val="center"/>
          </w:tcPr>
          <w:p w14:paraId="7DDE1FE6" w14:textId="04FE4798" w:rsidR="003D3EC9" w:rsidRPr="00636638" w:rsidRDefault="003D3EC9" w:rsidP="00636638">
            <w:pPr>
              <w:pStyle w:val="TableTextRight"/>
            </w:pPr>
            <w:r>
              <w:rPr>
                <w:rFonts w:ascii="Calibri" w:hAnsi="Calibri" w:cs="Calibri"/>
              </w:rPr>
              <w:t>5,586</w:t>
            </w:r>
          </w:p>
        </w:tc>
        <w:tc>
          <w:tcPr>
            <w:tcW w:w="590" w:type="pct"/>
            <w:tcBorders>
              <w:top w:val="nil"/>
              <w:left w:val="nil"/>
              <w:bottom w:val="nil"/>
              <w:right w:val="nil"/>
            </w:tcBorders>
            <w:shd w:val="clear" w:color="auto" w:fill="auto"/>
            <w:vAlign w:val="center"/>
          </w:tcPr>
          <w:p w14:paraId="4D7AC1CD" w14:textId="5ACD089C" w:rsidR="003D3EC9" w:rsidRPr="00636638" w:rsidRDefault="003D3EC9" w:rsidP="00636638">
            <w:pPr>
              <w:pStyle w:val="TableTextRight"/>
            </w:pPr>
            <w:r>
              <w:rPr>
                <w:rFonts w:ascii="Calibri" w:hAnsi="Calibri" w:cs="Calibri"/>
              </w:rPr>
              <w:t>5,</w:t>
            </w:r>
            <w:r w:rsidR="00544FBB">
              <w:rPr>
                <w:rFonts w:ascii="Calibri" w:hAnsi="Calibri" w:cs="Calibri"/>
              </w:rPr>
              <w:t>688</w:t>
            </w:r>
          </w:p>
        </w:tc>
        <w:tc>
          <w:tcPr>
            <w:tcW w:w="590" w:type="pct"/>
            <w:tcBorders>
              <w:top w:val="nil"/>
              <w:left w:val="nil"/>
              <w:bottom w:val="nil"/>
              <w:right w:val="nil"/>
            </w:tcBorders>
            <w:shd w:val="clear" w:color="auto" w:fill="auto"/>
            <w:vAlign w:val="center"/>
          </w:tcPr>
          <w:p w14:paraId="7969AA10" w14:textId="7C18F29E" w:rsidR="003D3EC9" w:rsidRPr="00636638" w:rsidRDefault="003D3EC9" w:rsidP="00636638">
            <w:pPr>
              <w:pStyle w:val="TableTextRight"/>
            </w:pPr>
            <w:r>
              <w:rPr>
                <w:rFonts w:ascii="Calibri" w:hAnsi="Calibri" w:cs="Calibri"/>
              </w:rPr>
              <w:t>5,</w:t>
            </w:r>
            <w:r w:rsidR="00777D3A">
              <w:rPr>
                <w:rFonts w:ascii="Calibri" w:hAnsi="Calibri" w:cs="Calibri"/>
              </w:rPr>
              <w:t>772</w:t>
            </w:r>
          </w:p>
        </w:tc>
        <w:tc>
          <w:tcPr>
            <w:tcW w:w="590" w:type="pct"/>
            <w:tcBorders>
              <w:top w:val="nil"/>
              <w:left w:val="nil"/>
              <w:bottom w:val="nil"/>
              <w:right w:val="single" w:sz="4" w:space="0" w:color="auto"/>
            </w:tcBorders>
            <w:shd w:val="clear" w:color="auto" w:fill="auto"/>
            <w:vAlign w:val="center"/>
          </w:tcPr>
          <w:p w14:paraId="65AE2AC9" w14:textId="5095CA01" w:rsidR="003D3EC9" w:rsidRPr="00636638" w:rsidRDefault="003D3EC9" w:rsidP="00636638">
            <w:pPr>
              <w:pStyle w:val="TableTextRight"/>
            </w:pPr>
            <w:r>
              <w:rPr>
                <w:rFonts w:ascii="Calibri" w:hAnsi="Calibri" w:cs="Calibri"/>
              </w:rPr>
              <w:t>5,</w:t>
            </w:r>
            <w:r w:rsidR="00544FBB">
              <w:rPr>
                <w:rFonts w:ascii="Calibri" w:hAnsi="Calibri" w:cs="Calibri"/>
              </w:rPr>
              <w:t>847</w:t>
            </w:r>
          </w:p>
        </w:tc>
        <w:tc>
          <w:tcPr>
            <w:tcW w:w="589" w:type="pct"/>
            <w:tcBorders>
              <w:top w:val="nil"/>
              <w:left w:val="nil"/>
              <w:bottom w:val="nil"/>
              <w:right w:val="nil"/>
            </w:tcBorders>
            <w:shd w:val="clear" w:color="auto" w:fill="auto"/>
            <w:vAlign w:val="center"/>
          </w:tcPr>
          <w:p w14:paraId="65AC4E57" w14:textId="6DFE5CE6" w:rsidR="003D3EC9" w:rsidRPr="00636638" w:rsidRDefault="003D3EC9" w:rsidP="00636638">
            <w:pPr>
              <w:pStyle w:val="TableTextRight"/>
            </w:pPr>
            <w:r>
              <w:rPr>
                <w:rFonts w:ascii="Calibri" w:hAnsi="Calibri" w:cs="Calibri"/>
              </w:rPr>
              <w:t>6,</w:t>
            </w:r>
            <w:r w:rsidR="00544FBB">
              <w:rPr>
                <w:rFonts w:ascii="Calibri" w:hAnsi="Calibri" w:cs="Calibri"/>
              </w:rPr>
              <w:t>487</w:t>
            </w:r>
          </w:p>
        </w:tc>
      </w:tr>
      <w:tr w:rsidR="003D3EC9" w:rsidRPr="0055506E" w14:paraId="29D95DB5" w14:textId="77777777" w:rsidTr="00997375">
        <w:trPr>
          <w:trHeight w:val="227"/>
        </w:trPr>
        <w:tc>
          <w:tcPr>
            <w:tcW w:w="1459" w:type="pct"/>
            <w:tcBorders>
              <w:top w:val="nil"/>
              <w:left w:val="nil"/>
              <w:bottom w:val="nil"/>
              <w:right w:val="nil"/>
            </w:tcBorders>
            <w:shd w:val="clear" w:color="auto" w:fill="auto"/>
            <w:vAlign w:val="center"/>
          </w:tcPr>
          <w:p w14:paraId="072ABB2F"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0D5BB69F" w14:textId="4D676CAE" w:rsidR="003D3EC9" w:rsidRPr="00636638" w:rsidRDefault="003D3EC9" w:rsidP="00636638">
            <w:pPr>
              <w:pStyle w:val="TableTextRight"/>
            </w:pPr>
            <w:r>
              <w:rPr>
                <w:rFonts w:ascii="Calibri" w:hAnsi="Calibri" w:cs="Calibri"/>
              </w:rPr>
              <w:t>2,707</w:t>
            </w:r>
          </w:p>
        </w:tc>
        <w:tc>
          <w:tcPr>
            <w:tcW w:w="591" w:type="pct"/>
            <w:tcBorders>
              <w:top w:val="nil"/>
              <w:left w:val="nil"/>
              <w:bottom w:val="nil"/>
              <w:right w:val="nil"/>
            </w:tcBorders>
            <w:shd w:val="clear" w:color="auto" w:fill="D2EDFF"/>
            <w:vAlign w:val="center"/>
          </w:tcPr>
          <w:p w14:paraId="12799C40" w14:textId="751140BA" w:rsidR="003D3EC9" w:rsidRPr="00636638" w:rsidRDefault="003D3EC9" w:rsidP="00636638">
            <w:pPr>
              <w:pStyle w:val="TableTextRight"/>
            </w:pPr>
            <w:r>
              <w:rPr>
                <w:rFonts w:ascii="Calibri" w:hAnsi="Calibri" w:cs="Calibri"/>
              </w:rPr>
              <w:t>2,780</w:t>
            </w:r>
          </w:p>
        </w:tc>
        <w:tc>
          <w:tcPr>
            <w:tcW w:w="590" w:type="pct"/>
            <w:tcBorders>
              <w:top w:val="nil"/>
              <w:left w:val="nil"/>
              <w:bottom w:val="nil"/>
              <w:right w:val="nil"/>
            </w:tcBorders>
            <w:shd w:val="clear" w:color="auto" w:fill="auto"/>
            <w:vAlign w:val="center"/>
          </w:tcPr>
          <w:p w14:paraId="5E6BF659" w14:textId="6FB52E70" w:rsidR="003D3EC9" w:rsidRPr="00636638" w:rsidRDefault="003D3EC9" w:rsidP="00636638">
            <w:pPr>
              <w:pStyle w:val="TableTextRight"/>
            </w:pPr>
            <w:r>
              <w:rPr>
                <w:rFonts w:ascii="Calibri" w:hAnsi="Calibri" w:cs="Calibri"/>
              </w:rPr>
              <w:t>2,</w:t>
            </w:r>
            <w:r w:rsidR="00777D3A">
              <w:rPr>
                <w:rFonts w:ascii="Calibri" w:hAnsi="Calibri" w:cs="Calibri"/>
              </w:rPr>
              <w:t>840</w:t>
            </w:r>
          </w:p>
        </w:tc>
        <w:tc>
          <w:tcPr>
            <w:tcW w:w="590" w:type="pct"/>
            <w:tcBorders>
              <w:top w:val="nil"/>
              <w:left w:val="nil"/>
              <w:bottom w:val="nil"/>
              <w:right w:val="nil"/>
            </w:tcBorders>
            <w:shd w:val="clear" w:color="auto" w:fill="auto"/>
            <w:vAlign w:val="center"/>
          </w:tcPr>
          <w:p w14:paraId="6ED6AFE3" w14:textId="27EE04EC" w:rsidR="003D3EC9" w:rsidRPr="00636638" w:rsidRDefault="003D3EC9" w:rsidP="00636638">
            <w:pPr>
              <w:pStyle w:val="TableTextRight"/>
            </w:pPr>
            <w:r>
              <w:rPr>
                <w:rFonts w:ascii="Calibri" w:hAnsi="Calibri" w:cs="Calibri"/>
              </w:rPr>
              <w:t>2,</w:t>
            </w:r>
            <w:r w:rsidR="00777D3A">
              <w:rPr>
                <w:rFonts w:ascii="Calibri" w:hAnsi="Calibri" w:cs="Calibri"/>
              </w:rPr>
              <w:t>887</w:t>
            </w:r>
          </w:p>
        </w:tc>
        <w:tc>
          <w:tcPr>
            <w:tcW w:w="590" w:type="pct"/>
            <w:tcBorders>
              <w:top w:val="nil"/>
              <w:left w:val="nil"/>
              <w:bottom w:val="nil"/>
              <w:right w:val="single" w:sz="4" w:space="0" w:color="auto"/>
            </w:tcBorders>
            <w:shd w:val="clear" w:color="auto" w:fill="auto"/>
            <w:vAlign w:val="center"/>
          </w:tcPr>
          <w:p w14:paraId="3D268576" w14:textId="319AA41A" w:rsidR="003D3EC9" w:rsidRPr="00636638" w:rsidRDefault="003D3EC9" w:rsidP="00636638">
            <w:pPr>
              <w:pStyle w:val="TableTextRight"/>
            </w:pPr>
            <w:r>
              <w:rPr>
                <w:rFonts w:ascii="Calibri" w:hAnsi="Calibri" w:cs="Calibri"/>
              </w:rPr>
              <w:t>2,</w:t>
            </w:r>
            <w:r w:rsidR="00777D3A">
              <w:rPr>
                <w:rFonts w:ascii="Calibri" w:hAnsi="Calibri" w:cs="Calibri"/>
              </w:rPr>
              <w:t>930</w:t>
            </w:r>
          </w:p>
        </w:tc>
        <w:tc>
          <w:tcPr>
            <w:tcW w:w="589" w:type="pct"/>
            <w:tcBorders>
              <w:top w:val="nil"/>
              <w:left w:val="nil"/>
              <w:bottom w:val="nil"/>
              <w:right w:val="nil"/>
            </w:tcBorders>
            <w:shd w:val="clear" w:color="auto" w:fill="auto"/>
            <w:vAlign w:val="center"/>
          </w:tcPr>
          <w:p w14:paraId="09DACC39" w14:textId="65E92A7C" w:rsidR="003D3EC9" w:rsidRPr="00636638" w:rsidRDefault="003D3EC9" w:rsidP="00636638">
            <w:pPr>
              <w:pStyle w:val="TableTextRight"/>
            </w:pPr>
            <w:r>
              <w:rPr>
                <w:rFonts w:ascii="Calibri" w:hAnsi="Calibri" w:cs="Calibri"/>
              </w:rPr>
              <w:t>3,</w:t>
            </w:r>
            <w:r w:rsidR="00777D3A">
              <w:rPr>
                <w:rFonts w:ascii="Calibri" w:hAnsi="Calibri" w:cs="Calibri"/>
              </w:rPr>
              <w:t>288</w:t>
            </w:r>
          </w:p>
        </w:tc>
      </w:tr>
      <w:tr w:rsidR="003D3EC9" w:rsidRPr="0055506E" w14:paraId="2839547C" w14:textId="77777777" w:rsidTr="00997375">
        <w:trPr>
          <w:trHeight w:val="227"/>
        </w:trPr>
        <w:tc>
          <w:tcPr>
            <w:tcW w:w="1459" w:type="pct"/>
            <w:tcBorders>
              <w:top w:val="nil"/>
              <w:left w:val="nil"/>
              <w:bottom w:val="nil"/>
              <w:right w:val="nil"/>
            </w:tcBorders>
            <w:shd w:val="clear" w:color="auto" w:fill="auto"/>
            <w:vAlign w:val="center"/>
          </w:tcPr>
          <w:p w14:paraId="12ECA8AC"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nil"/>
              <w:right w:val="nil"/>
            </w:tcBorders>
            <w:shd w:val="clear" w:color="auto" w:fill="auto"/>
            <w:vAlign w:val="center"/>
          </w:tcPr>
          <w:p w14:paraId="1C0F7FA4" w14:textId="1E5DC200" w:rsidR="003D3EC9" w:rsidRPr="00636638" w:rsidRDefault="003D3EC9" w:rsidP="00636638">
            <w:pPr>
              <w:pStyle w:val="TableTextRight"/>
            </w:pPr>
            <w:r>
              <w:rPr>
                <w:rFonts w:ascii="Calibri" w:hAnsi="Calibri" w:cs="Calibri"/>
              </w:rPr>
              <w:t>2,753</w:t>
            </w:r>
          </w:p>
        </w:tc>
        <w:tc>
          <w:tcPr>
            <w:tcW w:w="591" w:type="pct"/>
            <w:tcBorders>
              <w:top w:val="nil"/>
              <w:left w:val="nil"/>
              <w:bottom w:val="nil"/>
              <w:right w:val="nil"/>
            </w:tcBorders>
            <w:shd w:val="clear" w:color="auto" w:fill="D2EDFF"/>
            <w:vAlign w:val="center"/>
          </w:tcPr>
          <w:p w14:paraId="19A0700D" w14:textId="22500E86" w:rsidR="003D3EC9" w:rsidRPr="00636638" w:rsidRDefault="003D3EC9" w:rsidP="00636638">
            <w:pPr>
              <w:pStyle w:val="TableTextRight"/>
            </w:pPr>
            <w:r>
              <w:rPr>
                <w:rFonts w:ascii="Calibri" w:hAnsi="Calibri" w:cs="Calibri"/>
              </w:rPr>
              <w:t>2,806</w:t>
            </w:r>
          </w:p>
        </w:tc>
        <w:tc>
          <w:tcPr>
            <w:tcW w:w="590" w:type="pct"/>
            <w:tcBorders>
              <w:top w:val="nil"/>
              <w:left w:val="nil"/>
              <w:bottom w:val="nil"/>
              <w:right w:val="nil"/>
            </w:tcBorders>
            <w:shd w:val="clear" w:color="auto" w:fill="auto"/>
            <w:vAlign w:val="center"/>
          </w:tcPr>
          <w:p w14:paraId="3AF7626A" w14:textId="54DBC82A" w:rsidR="003D3EC9" w:rsidRPr="00636638" w:rsidRDefault="003D3EC9" w:rsidP="00636638">
            <w:pPr>
              <w:pStyle w:val="TableTextRight"/>
            </w:pPr>
            <w:r>
              <w:rPr>
                <w:rFonts w:ascii="Calibri" w:hAnsi="Calibri" w:cs="Calibri"/>
              </w:rPr>
              <w:t>2,</w:t>
            </w:r>
            <w:r w:rsidR="00777D3A">
              <w:rPr>
                <w:rFonts w:ascii="Calibri" w:hAnsi="Calibri" w:cs="Calibri"/>
              </w:rPr>
              <w:t>849</w:t>
            </w:r>
          </w:p>
        </w:tc>
        <w:tc>
          <w:tcPr>
            <w:tcW w:w="590" w:type="pct"/>
            <w:tcBorders>
              <w:top w:val="nil"/>
              <w:left w:val="nil"/>
              <w:bottom w:val="nil"/>
              <w:right w:val="nil"/>
            </w:tcBorders>
            <w:shd w:val="clear" w:color="auto" w:fill="auto"/>
            <w:vAlign w:val="center"/>
          </w:tcPr>
          <w:p w14:paraId="3F873F1F" w14:textId="624B1A4E" w:rsidR="003D3EC9" w:rsidRPr="00636638" w:rsidRDefault="003D3EC9" w:rsidP="00636638">
            <w:pPr>
              <w:pStyle w:val="TableTextRight"/>
            </w:pPr>
            <w:r>
              <w:rPr>
                <w:rFonts w:ascii="Calibri" w:hAnsi="Calibri" w:cs="Calibri"/>
              </w:rPr>
              <w:t>2,</w:t>
            </w:r>
            <w:r w:rsidR="00544FBB">
              <w:rPr>
                <w:rFonts w:ascii="Calibri" w:hAnsi="Calibri" w:cs="Calibri"/>
              </w:rPr>
              <w:t>884</w:t>
            </w:r>
          </w:p>
        </w:tc>
        <w:tc>
          <w:tcPr>
            <w:tcW w:w="590" w:type="pct"/>
            <w:tcBorders>
              <w:top w:val="nil"/>
              <w:left w:val="nil"/>
              <w:bottom w:val="nil"/>
              <w:right w:val="single" w:sz="4" w:space="0" w:color="auto"/>
            </w:tcBorders>
            <w:shd w:val="clear" w:color="auto" w:fill="auto"/>
            <w:vAlign w:val="center"/>
          </w:tcPr>
          <w:p w14:paraId="428D4E18" w14:textId="20E1AB23" w:rsidR="003D3EC9" w:rsidRPr="00636638" w:rsidRDefault="003D3EC9" w:rsidP="00636638">
            <w:pPr>
              <w:pStyle w:val="TableTextRight"/>
            </w:pPr>
            <w:r>
              <w:rPr>
                <w:rFonts w:ascii="Calibri" w:hAnsi="Calibri" w:cs="Calibri"/>
              </w:rPr>
              <w:t>2,</w:t>
            </w:r>
            <w:r w:rsidR="00777D3A">
              <w:rPr>
                <w:rFonts w:ascii="Calibri" w:hAnsi="Calibri" w:cs="Calibri"/>
              </w:rPr>
              <w:t>918</w:t>
            </w:r>
          </w:p>
        </w:tc>
        <w:tc>
          <w:tcPr>
            <w:tcW w:w="589" w:type="pct"/>
            <w:tcBorders>
              <w:top w:val="nil"/>
              <w:left w:val="nil"/>
              <w:bottom w:val="nil"/>
              <w:right w:val="nil"/>
            </w:tcBorders>
            <w:shd w:val="clear" w:color="auto" w:fill="auto"/>
            <w:vAlign w:val="center"/>
          </w:tcPr>
          <w:p w14:paraId="41F9D3A6" w14:textId="1E26BD21" w:rsidR="003D3EC9" w:rsidRPr="00636638" w:rsidRDefault="003D3EC9" w:rsidP="00636638">
            <w:pPr>
              <w:pStyle w:val="TableTextRight"/>
            </w:pPr>
            <w:r>
              <w:rPr>
                <w:rFonts w:ascii="Calibri" w:hAnsi="Calibri" w:cs="Calibri"/>
              </w:rPr>
              <w:t>3,</w:t>
            </w:r>
            <w:r w:rsidR="00544FBB">
              <w:rPr>
                <w:rFonts w:ascii="Calibri" w:hAnsi="Calibri" w:cs="Calibri"/>
              </w:rPr>
              <w:t>199</w:t>
            </w:r>
          </w:p>
        </w:tc>
      </w:tr>
      <w:tr w:rsidR="003D3EC9" w:rsidRPr="0055506E" w14:paraId="4FA160EF" w14:textId="77777777" w:rsidTr="00997375">
        <w:trPr>
          <w:trHeight w:val="227"/>
        </w:trPr>
        <w:tc>
          <w:tcPr>
            <w:tcW w:w="1459" w:type="pct"/>
            <w:tcBorders>
              <w:top w:val="nil"/>
              <w:left w:val="nil"/>
              <w:bottom w:val="nil"/>
              <w:right w:val="nil"/>
            </w:tcBorders>
            <w:shd w:val="clear" w:color="auto" w:fill="auto"/>
            <w:vAlign w:val="center"/>
          </w:tcPr>
          <w:p w14:paraId="3A6ACFF8" w14:textId="77777777" w:rsidR="003D3EC9" w:rsidRPr="0055506E" w:rsidRDefault="003D3EC9" w:rsidP="00636638">
            <w:pPr>
              <w:pStyle w:val="TableColumnHeadingLeft"/>
              <w:rPr>
                <w:rFonts w:eastAsia="Times New Roman"/>
              </w:rPr>
            </w:pPr>
            <w:r>
              <w:t>Population growth (per cent)</w:t>
            </w:r>
          </w:p>
        </w:tc>
        <w:tc>
          <w:tcPr>
            <w:tcW w:w="591" w:type="pct"/>
            <w:tcBorders>
              <w:top w:val="nil"/>
              <w:left w:val="nil"/>
              <w:bottom w:val="nil"/>
              <w:right w:val="nil"/>
            </w:tcBorders>
            <w:shd w:val="clear" w:color="auto" w:fill="auto"/>
            <w:vAlign w:val="center"/>
          </w:tcPr>
          <w:p w14:paraId="2EB93C67"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134F170F" w14:textId="5797414C"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5C34538B"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5E75E512"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6BE1BAC1" w14:textId="7F681507"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4DC66870" w14:textId="77777777" w:rsidR="003D3EC9" w:rsidRPr="00636638" w:rsidRDefault="003D3EC9" w:rsidP="00636638">
            <w:pPr>
              <w:pStyle w:val="TableTextRight"/>
            </w:pPr>
          </w:p>
        </w:tc>
      </w:tr>
      <w:tr w:rsidR="003D3EC9" w:rsidRPr="0055506E" w14:paraId="29DCC2B7" w14:textId="77777777" w:rsidTr="00997375">
        <w:trPr>
          <w:trHeight w:val="227"/>
        </w:trPr>
        <w:tc>
          <w:tcPr>
            <w:tcW w:w="1459" w:type="pct"/>
            <w:tcBorders>
              <w:top w:val="nil"/>
              <w:left w:val="nil"/>
              <w:bottom w:val="nil"/>
              <w:right w:val="nil"/>
            </w:tcBorders>
            <w:shd w:val="clear" w:color="auto" w:fill="auto"/>
            <w:vAlign w:val="center"/>
          </w:tcPr>
          <w:p w14:paraId="7D109F44"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01BAE9DF" w14:textId="0EDB1A6F" w:rsidR="003D3EC9" w:rsidRPr="00636638" w:rsidRDefault="003D3EC9" w:rsidP="00636638">
            <w:pPr>
              <w:pStyle w:val="TableTextRight"/>
            </w:pPr>
            <w:r>
              <w:rPr>
                <w:rFonts w:ascii="Calibri" w:hAnsi="Calibri" w:cs="Calibri"/>
              </w:rPr>
              <w:t>2.6</w:t>
            </w:r>
          </w:p>
        </w:tc>
        <w:tc>
          <w:tcPr>
            <w:tcW w:w="591" w:type="pct"/>
            <w:tcBorders>
              <w:top w:val="nil"/>
              <w:left w:val="nil"/>
              <w:bottom w:val="nil"/>
              <w:right w:val="nil"/>
            </w:tcBorders>
            <w:shd w:val="clear" w:color="auto" w:fill="D2EDFF"/>
            <w:vAlign w:val="center"/>
          </w:tcPr>
          <w:p w14:paraId="7AAAAE5B" w14:textId="1FF8C8AD" w:rsidR="003D3EC9" w:rsidRPr="00636638" w:rsidRDefault="003D3EC9" w:rsidP="00636638">
            <w:pPr>
              <w:pStyle w:val="TableTextRight"/>
            </w:pPr>
            <w:r>
              <w:rPr>
                <w:rFonts w:ascii="Calibri" w:hAnsi="Calibri" w:cs="Calibri"/>
              </w:rPr>
              <w:t>2.3</w:t>
            </w:r>
          </w:p>
        </w:tc>
        <w:tc>
          <w:tcPr>
            <w:tcW w:w="590" w:type="pct"/>
            <w:tcBorders>
              <w:top w:val="nil"/>
              <w:left w:val="nil"/>
              <w:bottom w:val="nil"/>
              <w:right w:val="nil"/>
            </w:tcBorders>
            <w:shd w:val="clear" w:color="auto" w:fill="auto"/>
            <w:vAlign w:val="center"/>
          </w:tcPr>
          <w:p w14:paraId="00EFC88F" w14:textId="3311FBFD" w:rsidR="003D3EC9" w:rsidRPr="00636638" w:rsidRDefault="003D3EC9" w:rsidP="00636638">
            <w:pPr>
              <w:pStyle w:val="TableTextRight"/>
            </w:pPr>
            <w:r>
              <w:rPr>
                <w:rFonts w:ascii="Calibri" w:hAnsi="Calibri" w:cs="Calibri"/>
              </w:rPr>
              <w:t>1.8</w:t>
            </w:r>
          </w:p>
        </w:tc>
        <w:tc>
          <w:tcPr>
            <w:tcW w:w="590" w:type="pct"/>
            <w:tcBorders>
              <w:top w:val="nil"/>
              <w:left w:val="nil"/>
              <w:bottom w:val="nil"/>
              <w:right w:val="nil"/>
            </w:tcBorders>
            <w:shd w:val="clear" w:color="auto" w:fill="auto"/>
            <w:vAlign w:val="center"/>
          </w:tcPr>
          <w:p w14:paraId="09EDC4EF" w14:textId="271102EB" w:rsidR="003D3EC9" w:rsidRPr="00636638" w:rsidRDefault="003D3EC9" w:rsidP="00636638">
            <w:pPr>
              <w:pStyle w:val="TableTextRight"/>
            </w:pPr>
            <w:r>
              <w:rPr>
                <w:rFonts w:ascii="Calibri" w:hAnsi="Calibri" w:cs="Calibri"/>
              </w:rPr>
              <w:t>1.</w:t>
            </w:r>
            <w:r w:rsidR="00777D3A">
              <w:rPr>
                <w:rFonts w:ascii="Calibri" w:hAnsi="Calibri" w:cs="Calibri"/>
              </w:rPr>
              <w:t>5</w:t>
            </w:r>
          </w:p>
        </w:tc>
        <w:tc>
          <w:tcPr>
            <w:tcW w:w="590" w:type="pct"/>
            <w:tcBorders>
              <w:top w:val="nil"/>
              <w:left w:val="nil"/>
              <w:bottom w:val="nil"/>
              <w:right w:val="single" w:sz="4" w:space="0" w:color="auto"/>
            </w:tcBorders>
            <w:shd w:val="clear" w:color="auto" w:fill="auto"/>
            <w:vAlign w:val="center"/>
          </w:tcPr>
          <w:p w14:paraId="01A8B409" w14:textId="55CED4D5" w:rsidR="003D3EC9" w:rsidRPr="00636638" w:rsidRDefault="003D3EC9" w:rsidP="00636638">
            <w:pPr>
              <w:pStyle w:val="TableTextRight"/>
            </w:pPr>
            <w:r>
              <w:rPr>
                <w:rFonts w:ascii="Calibri" w:hAnsi="Calibri" w:cs="Calibri"/>
              </w:rPr>
              <w:t>1.3</w:t>
            </w:r>
          </w:p>
        </w:tc>
        <w:tc>
          <w:tcPr>
            <w:tcW w:w="589" w:type="pct"/>
            <w:tcBorders>
              <w:top w:val="nil"/>
              <w:left w:val="nil"/>
              <w:bottom w:val="nil"/>
              <w:right w:val="nil"/>
            </w:tcBorders>
            <w:shd w:val="clear" w:color="auto" w:fill="auto"/>
            <w:vAlign w:val="center"/>
          </w:tcPr>
          <w:p w14:paraId="400F6685" w14:textId="5FD7FFFC" w:rsidR="003D3EC9" w:rsidRPr="00636638" w:rsidRDefault="003D3EC9" w:rsidP="00636638">
            <w:pPr>
              <w:pStyle w:val="TableTextRight"/>
            </w:pPr>
            <w:r>
              <w:rPr>
                <w:rFonts w:ascii="Calibri" w:hAnsi="Calibri" w:cs="Calibri"/>
              </w:rPr>
              <w:t>1.</w:t>
            </w:r>
            <w:r w:rsidR="00777D3A">
              <w:rPr>
                <w:rFonts w:ascii="Calibri" w:hAnsi="Calibri" w:cs="Calibri"/>
              </w:rPr>
              <w:t>3</w:t>
            </w:r>
          </w:p>
        </w:tc>
      </w:tr>
      <w:tr w:rsidR="003D3EC9" w:rsidRPr="0055506E" w14:paraId="724272BD" w14:textId="77777777" w:rsidTr="00997375">
        <w:trPr>
          <w:trHeight w:val="227"/>
        </w:trPr>
        <w:tc>
          <w:tcPr>
            <w:tcW w:w="1459" w:type="pct"/>
            <w:tcBorders>
              <w:top w:val="nil"/>
              <w:left w:val="nil"/>
              <w:bottom w:val="nil"/>
              <w:right w:val="nil"/>
            </w:tcBorders>
            <w:shd w:val="clear" w:color="auto" w:fill="auto"/>
            <w:vAlign w:val="center"/>
          </w:tcPr>
          <w:p w14:paraId="1526AB45"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07851FCE" w14:textId="7BC043F0" w:rsidR="003D3EC9" w:rsidRPr="00636638" w:rsidRDefault="003D3EC9" w:rsidP="00636638">
            <w:pPr>
              <w:pStyle w:val="TableTextRight"/>
            </w:pPr>
            <w:r>
              <w:rPr>
                <w:rFonts w:ascii="Calibri" w:hAnsi="Calibri" w:cs="Calibri"/>
              </w:rPr>
              <w:t>3.1</w:t>
            </w:r>
          </w:p>
        </w:tc>
        <w:tc>
          <w:tcPr>
            <w:tcW w:w="591" w:type="pct"/>
            <w:tcBorders>
              <w:top w:val="nil"/>
              <w:left w:val="nil"/>
              <w:bottom w:val="nil"/>
              <w:right w:val="nil"/>
            </w:tcBorders>
            <w:shd w:val="clear" w:color="auto" w:fill="D2EDFF"/>
            <w:vAlign w:val="center"/>
          </w:tcPr>
          <w:p w14:paraId="1921DBFC" w14:textId="5AF50D50" w:rsidR="003D3EC9" w:rsidRPr="00636638" w:rsidRDefault="003D3EC9" w:rsidP="00636638">
            <w:pPr>
              <w:pStyle w:val="TableTextRight"/>
            </w:pPr>
            <w:r>
              <w:rPr>
                <w:rFonts w:ascii="Calibri" w:hAnsi="Calibri" w:cs="Calibri"/>
              </w:rPr>
              <w:t>2.7</w:t>
            </w:r>
          </w:p>
        </w:tc>
        <w:tc>
          <w:tcPr>
            <w:tcW w:w="590" w:type="pct"/>
            <w:tcBorders>
              <w:top w:val="nil"/>
              <w:left w:val="nil"/>
              <w:bottom w:val="nil"/>
              <w:right w:val="nil"/>
            </w:tcBorders>
            <w:shd w:val="clear" w:color="auto" w:fill="auto"/>
            <w:vAlign w:val="center"/>
          </w:tcPr>
          <w:p w14:paraId="43010439" w14:textId="2C7D7122" w:rsidR="003D3EC9" w:rsidRPr="00636638" w:rsidRDefault="003D3EC9" w:rsidP="00636638">
            <w:pPr>
              <w:pStyle w:val="TableTextRight"/>
            </w:pPr>
            <w:r>
              <w:rPr>
                <w:rFonts w:ascii="Calibri" w:hAnsi="Calibri" w:cs="Calibri"/>
              </w:rPr>
              <w:t>2.</w:t>
            </w:r>
            <w:r w:rsidR="00777D3A">
              <w:rPr>
                <w:rFonts w:ascii="Calibri" w:hAnsi="Calibri" w:cs="Calibri"/>
              </w:rPr>
              <w:t>2</w:t>
            </w:r>
          </w:p>
        </w:tc>
        <w:tc>
          <w:tcPr>
            <w:tcW w:w="590" w:type="pct"/>
            <w:tcBorders>
              <w:top w:val="nil"/>
              <w:left w:val="nil"/>
              <w:bottom w:val="nil"/>
              <w:right w:val="nil"/>
            </w:tcBorders>
            <w:shd w:val="clear" w:color="auto" w:fill="auto"/>
            <w:vAlign w:val="center"/>
          </w:tcPr>
          <w:p w14:paraId="190BE8F5" w14:textId="717BCE7C" w:rsidR="003D3EC9" w:rsidRPr="00636638" w:rsidRDefault="003D3EC9" w:rsidP="00636638">
            <w:pPr>
              <w:pStyle w:val="TableTextRight"/>
            </w:pPr>
            <w:r>
              <w:rPr>
                <w:rFonts w:ascii="Calibri" w:hAnsi="Calibri" w:cs="Calibri"/>
              </w:rPr>
              <w:t>1.</w:t>
            </w:r>
            <w:r w:rsidR="00777D3A">
              <w:rPr>
                <w:rFonts w:ascii="Calibri" w:hAnsi="Calibri" w:cs="Calibri"/>
              </w:rPr>
              <w:t>7</w:t>
            </w:r>
          </w:p>
        </w:tc>
        <w:tc>
          <w:tcPr>
            <w:tcW w:w="590" w:type="pct"/>
            <w:tcBorders>
              <w:top w:val="nil"/>
              <w:left w:val="nil"/>
              <w:bottom w:val="nil"/>
              <w:right w:val="single" w:sz="4" w:space="0" w:color="auto"/>
            </w:tcBorders>
            <w:shd w:val="clear" w:color="auto" w:fill="auto"/>
            <w:vAlign w:val="center"/>
          </w:tcPr>
          <w:p w14:paraId="78F4C835" w14:textId="549A1A61" w:rsidR="003D3EC9" w:rsidRPr="00636638" w:rsidRDefault="003D3EC9" w:rsidP="00636638">
            <w:pPr>
              <w:pStyle w:val="TableTextRight"/>
            </w:pPr>
            <w:r>
              <w:rPr>
                <w:rFonts w:ascii="Calibri" w:hAnsi="Calibri" w:cs="Calibri"/>
              </w:rPr>
              <w:t>1.5</w:t>
            </w:r>
          </w:p>
        </w:tc>
        <w:tc>
          <w:tcPr>
            <w:tcW w:w="589" w:type="pct"/>
            <w:tcBorders>
              <w:top w:val="nil"/>
              <w:left w:val="nil"/>
              <w:bottom w:val="nil"/>
              <w:right w:val="nil"/>
            </w:tcBorders>
            <w:shd w:val="clear" w:color="auto" w:fill="auto"/>
            <w:vAlign w:val="center"/>
          </w:tcPr>
          <w:p w14:paraId="61B184D9" w14:textId="1DB148C2" w:rsidR="003D3EC9" w:rsidRPr="00636638" w:rsidRDefault="003D3EC9" w:rsidP="00636638">
            <w:pPr>
              <w:pStyle w:val="TableTextRight"/>
            </w:pPr>
            <w:r>
              <w:rPr>
                <w:rFonts w:ascii="Calibri" w:hAnsi="Calibri" w:cs="Calibri"/>
              </w:rPr>
              <w:t>1.4</w:t>
            </w:r>
          </w:p>
        </w:tc>
      </w:tr>
      <w:tr w:rsidR="003D3EC9" w:rsidRPr="0055506E" w14:paraId="51CEAEA7" w14:textId="77777777" w:rsidTr="00997375">
        <w:trPr>
          <w:trHeight w:val="227"/>
        </w:trPr>
        <w:tc>
          <w:tcPr>
            <w:tcW w:w="1459" w:type="pct"/>
            <w:tcBorders>
              <w:top w:val="nil"/>
              <w:left w:val="nil"/>
              <w:bottom w:val="nil"/>
              <w:right w:val="nil"/>
            </w:tcBorders>
            <w:shd w:val="clear" w:color="auto" w:fill="auto"/>
            <w:vAlign w:val="center"/>
          </w:tcPr>
          <w:p w14:paraId="7A38AACD"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nil"/>
              <w:right w:val="nil"/>
            </w:tcBorders>
            <w:shd w:val="clear" w:color="auto" w:fill="auto"/>
            <w:vAlign w:val="center"/>
          </w:tcPr>
          <w:p w14:paraId="6AFD7B46" w14:textId="19094364" w:rsidR="003D3EC9" w:rsidRPr="00636638" w:rsidRDefault="003D3EC9" w:rsidP="00636638">
            <w:pPr>
              <w:pStyle w:val="TableTextRight"/>
            </w:pPr>
            <w:r>
              <w:rPr>
                <w:rFonts w:ascii="Calibri" w:hAnsi="Calibri" w:cs="Calibri"/>
              </w:rPr>
              <w:t>2.2</w:t>
            </w:r>
          </w:p>
        </w:tc>
        <w:tc>
          <w:tcPr>
            <w:tcW w:w="591" w:type="pct"/>
            <w:tcBorders>
              <w:top w:val="nil"/>
              <w:left w:val="nil"/>
              <w:bottom w:val="nil"/>
              <w:right w:val="nil"/>
            </w:tcBorders>
            <w:shd w:val="clear" w:color="auto" w:fill="D2EDFF"/>
            <w:vAlign w:val="center"/>
          </w:tcPr>
          <w:p w14:paraId="196F0F90" w14:textId="0C9A76E2" w:rsidR="003D3EC9" w:rsidRPr="00636638" w:rsidRDefault="003D3EC9" w:rsidP="00636638">
            <w:pPr>
              <w:pStyle w:val="TableTextRight"/>
            </w:pPr>
            <w:r>
              <w:rPr>
                <w:rFonts w:ascii="Calibri" w:hAnsi="Calibri" w:cs="Calibri"/>
              </w:rPr>
              <w:t>1.9</w:t>
            </w:r>
          </w:p>
        </w:tc>
        <w:tc>
          <w:tcPr>
            <w:tcW w:w="590" w:type="pct"/>
            <w:tcBorders>
              <w:top w:val="nil"/>
              <w:left w:val="nil"/>
              <w:bottom w:val="nil"/>
              <w:right w:val="nil"/>
            </w:tcBorders>
            <w:shd w:val="clear" w:color="auto" w:fill="auto"/>
            <w:vAlign w:val="center"/>
          </w:tcPr>
          <w:p w14:paraId="54B4C6C7" w14:textId="5AF5C996" w:rsidR="003D3EC9" w:rsidRPr="00636638" w:rsidRDefault="003D3EC9" w:rsidP="00636638">
            <w:pPr>
              <w:pStyle w:val="TableTextRight"/>
            </w:pPr>
            <w:r>
              <w:rPr>
                <w:rFonts w:ascii="Calibri" w:hAnsi="Calibri" w:cs="Calibri"/>
              </w:rPr>
              <w:t>1.5</w:t>
            </w:r>
          </w:p>
        </w:tc>
        <w:tc>
          <w:tcPr>
            <w:tcW w:w="590" w:type="pct"/>
            <w:tcBorders>
              <w:top w:val="nil"/>
              <w:left w:val="nil"/>
              <w:bottom w:val="nil"/>
              <w:right w:val="nil"/>
            </w:tcBorders>
            <w:shd w:val="clear" w:color="auto" w:fill="auto"/>
            <w:vAlign w:val="center"/>
          </w:tcPr>
          <w:p w14:paraId="363A945D" w14:textId="0E05F533" w:rsidR="003D3EC9" w:rsidRPr="00636638" w:rsidRDefault="003D3EC9" w:rsidP="00636638">
            <w:pPr>
              <w:pStyle w:val="TableTextRight"/>
            </w:pPr>
            <w:r>
              <w:rPr>
                <w:rFonts w:ascii="Calibri" w:hAnsi="Calibri" w:cs="Calibri"/>
              </w:rPr>
              <w:t>1.</w:t>
            </w:r>
            <w:r w:rsidR="00777D3A">
              <w:rPr>
                <w:rFonts w:ascii="Calibri" w:hAnsi="Calibri" w:cs="Calibri"/>
              </w:rPr>
              <w:t>3</w:t>
            </w:r>
          </w:p>
        </w:tc>
        <w:tc>
          <w:tcPr>
            <w:tcW w:w="590" w:type="pct"/>
            <w:tcBorders>
              <w:top w:val="nil"/>
              <w:left w:val="nil"/>
              <w:bottom w:val="nil"/>
              <w:right w:val="single" w:sz="4" w:space="0" w:color="auto"/>
            </w:tcBorders>
            <w:shd w:val="clear" w:color="auto" w:fill="auto"/>
            <w:vAlign w:val="center"/>
          </w:tcPr>
          <w:p w14:paraId="005A85FC" w14:textId="2A6E28C5" w:rsidR="003D3EC9" w:rsidRPr="00636638" w:rsidRDefault="003D3EC9" w:rsidP="00636638">
            <w:pPr>
              <w:pStyle w:val="TableTextRight"/>
            </w:pPr>
            <w:r>
              <w:rPr>
                <w:rFonts w:ascii="Calibri" w:hAnsi="Calibri" w:cs="Calibri"/>
              </w:rPr>
              <w:t>1.2</w:t>
            </w:r>
          </w:p>
        </w:tc>
        <w:tc>
          <w:tcPr>
            <w:tcW w:w="589" w:type="pct"/>
            <w:tcBorders>
              <w:top w:val="nil"/>
              <w:left w:val="nil"/>
              <w:bottom w:val="nil"/>
              <w:right w:val="nil"/>
            </w:tcBorders>
            <w:shd w:val="clear" w:color="auto" w:fill="auto"/>
            <w:vAlign w:val="center"/>
          </w:tcPr>
          <w:p w14:paraId="2BD2D1FD" w14:textId="3C6D1750" w:rsidR="003D3EC9" w:rsidRPr="00636638" w:rsidRDefault="003D3EC9" w:rsidP="00636638">
            <w:pPr>
              <w:pStyle w:val="TableTextRight"/>
            </w:pPr>
            <w:r>
              <w:rPr>
                <w:rFonts w:ascii="Calibri" w:hAnsi="Calibri" w:cs="Calibri"/>
              </w:rPr>
              <w:t>1.1</w:t>
            </w:r>
          </w:p>
        </w:tc>
      </w:tr>
      <w:tr w:rsidR="003D3EC9" w:rsidRPr="0055506E" w14:paraId="10A33388" w14:textId="77777777" w:rsidTr="00997375">
        <w:trPr>
          <w:trHeight w:val="227"/>
        </w:trPr>
        <w:tc>
          <w:tcPr>
            <w:tcW w:w="1459" w:type="pct"/>
            <w:tcBorders>
              <w:top w:val="nil"/>
              <w:left w:val="nil"/>
              <w:bottom w:val="nil"/>
              <w:right w:val="nil"/>
            </w:tcBorders>
            <w:shd w:val="clear" w:color="auto" w:fill="auto"/>
            <w:vAlign w:val="center"/>
          </w:tcPr>
          <w:p w14:paraId="010F196F" w14:textId="65D749BF" w:rsidR="003D3EC9" w:rsidRPr="0055506E" w:rsidRDefault="003D3EC9" w:rsidP="00636638">
            <w:pPr>
              <w:pStyle w:val="TableColumnHeadingLeft"/>
              <w:rPr>
                <w:rFonts w:eastAsia="Times New Roman"/>
              </w:rPr>
            </w:pPr>
            <w:r>
              <w:t>Population growth (</w:t>
            </w:r>
            <w:r w:rsidR="00050D25">
              <w:t>‘</w:t>
            </w:r>
            <w:r>
              <w:t>000)</w:t>
            </w:r>
          </w:p>
        </w:tc>
        <w:tc>
          <w:tcPr>
            <w:tcW w:w="591" w:type="pct"/>
            <w:tcBorders>
              <w:top w:val="nil"/>
              <w:left w:val="nil"/>
              <w:bottom w:val="nil"/>
              <w:right w:val="nil"/>
            </w:tcBorders>
            <w:shd w:val="clear" w:color="auto" w:fill="auto"/>
            <w:vAlign w:val="center"/>
          </w:tcPr>
          <w:p w14:paraId="3B4F65DB"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700354AE" w14:textId="4553B6D8"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4AD47F83"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552C986F"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2AE0BDFB" w14:textId="35C013F4"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0AE50FFE" w14:textId="77777777" w:rsidR="003D3EC9" w:rsidRPr="00636638" w:rsidRDefault="003D3EC9" w:rsidP="00636638">
            <w:pPr>
              <w:pStyle w:val="TableTextRight"/>
            </w:pPr>
          </w:p>
        </w:tc>
      </w:tr>
      <w:tr w:rsidR="003D3EC9" w:rsidRPr="0055506E" w14:paraId="52AB511B" w14:textId="77777777" w:rsidTr="00997375">
        <w:trPr>
          <w:trHeight w:val="227"/>
        </w:trPr>
        <w:tc>
          <w:tcPr>
            <w:tcW w:w="1459" w:type="pct"/>
            <w:tcBorders>
              <w:top w:val="nil"/>
              <w:left w:val="nil"/>
              <w:bottom w:val="nil"/>
              <w:right w:val="nil"/>
            </w:tcBorders>
            <w:shd w:val="clear" w:color="auto" w:fill="auto"/>
            <w:vAlign w:val="center"/>
          </w:tcPr>
          <w:p w14:paraId="5FFC9AFB"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78D28052" w14:textId="7C6EBDD9" w:rsidR="003D3EC9" w:rsidRPr="00636638" w:rsidRDefault="003D3EC9" w:rsidP="00636638">
            <w:pPr>
              <w:pStyle w:val="TableTextRight"/>
            </w:pPr>
            <w:r>
              <w:rPr>
                <w:rFonts w:ascii="Calibri" w:hAnsi="Calibri" w:cs="Calibri"/>
              </w:rPr>
              <w:t>139.4</w:t>
            </w:r>
          </w:p>
        </w:tc>
        <w:tc>
          <w:tcPr>
            <w:tcW w:w="591" w:type="pct"/>
            <w:tcBorders>
              <w:top w:val="nil"/>
              <w:left w:val="nil"/>
              <w:bottom w:val="nil"/>
              <w:right w:val="nil"/>
            </w:tcBorders>
            <w:shd w:val="clear" w:color="auto" w:fill="D2EDFF"/>
            <w:vAlign w:val="center"/>
          </w:tcPr>
          <w:p w14:paraId="3E91D4A2" w14:textId="35606F1E" w:rsidR="003D3EC9" w:rsidRPr="00636638" w:rsidRDefault="003D3EC9" w:rsidP="00636638">
            <w:pPr>
              <w:pStyle w:val="TableTextRight"/>
            </w:pPr>
            <w:r>
              <w:rPr>
                <w:rFonts w:ascii="Calibri" w:hAnsi="Calibri" w:cs="Calibri"/>
              </w:rPr>
              <w:t>125.</w:t>
            </w:r>
            <w:r w:rsidR="00777D3A">
              <w:rPr>
                <w:rFonts w:ascii="Calibri" w:hAnsi="Calibri" w:cs="Calibri"/>
              </w:rPr>
              <w:t>3</w:t>
            </w:r>
          </w:p>
        </w:tc>
        <w:tc>
          <w:tcPr>
            <w:tcW w:w="590" w:type="pct"/>
            <w:tcBorders>
              <w:top w:val="nil"/>
              <w:left w:val="nil"/>
              <w:bottom w:val="nil"/>
              <w:right w:val="nil"/>
            </w:tcBorders>
            <w:shd w:val="clear" w:color="auto" w:fill="auto"/>
            <w:vAlign w:val="center"/>
          </w:tcPr>
          <w:p w14:paraId="7B9714A7" w14:textId="6BDA89BD" w:rsidR="003D3EC9" w:rsidRPr="00636638" w:rsidRDefault="00777D3A" w:rsidP="00636638">
            <w:pPr>
              <w:pStyle w:val="TableTextRight"/>
            </w:pPr>
            <w:r>
              <w:rPr>
                <w:rFonts w:ascii="Calibri" w:hAnsi="Calibri" w:cs="Calibri"/>
              </w:rPr>
              <w:t>102</w:t>
            </w:r>
            <w:r w:rsidR="003D3EC9">
              <w:rPr>
                <w:rFonts w:ascii="Calibri" w:hAnsi="Calibri" w:cs="Calibri"/>
              </w:rPr>
              <w:t>.</w:t>
            </w:r>
            <w:r w:rsidR="00544FBB">
              <w:rPr>
                <w:rFonts w:ascii="Calibri" w:hAnsi="Calibri" w:cs="Calibri"/>
              </w:rPr>
              <w:t>8</w:t>
            </w:r>
          </w:p>
        </w:tc>
        <w:tc>
          <w:tcPr>
            <w:tcW w:w="590" w:type="pct"/>
            <w:tcBorders>
              <w:top w:val="nil"/>
              <w:left w:val="nil"/>
              <w:bottom w:val="nil"/>
              <w:right w:val="nil"/>
            </w:tcBorders>
            <w:shd w:val="clear" w:color="auto" w:fill="auto"/>
            <w:vAlign w:val="center"/>
          </w:tcPr>
          <w:p w14:paraId="6E0047A5" w14:textId="57793212" w:rsidR="003D3EC9" w:rsidRPr="00636638" w:rsidRDefault="00777D3A" w:rsidP="00636638">
            <w:pPr>
              <w:pStyle w:val="TableTextRight"/>
            </w:pPr>
            <w:r>
              <w:rPr>
                <w:rFonts w:ascii="Calibri" w:hAnsi="Calibri" w:cs="Calibri"/>
              </w:rPr>
              <w:t>83.</w:t>
            </w:r>
            <w:r w:rsidR="00544FBB">
              <w:rPr>
                <w:rFonts w:ascii="Calibri" w:hAnsi="Calibri" w:cs="Calibri"/>
              </w:rPr>
              <w:t>1</w:t>
            </w:r>
          </w:p>
        </w:tc>
        <w:tc>
          <w:tcPr>
            <w:tcW w:w="590" w:type="pct"/>
            <w:tcBorders>
              <w:top w:val="nil"/>
              <w:left w:val="nil"/>
              <w:bottom w:val="nil"/>
              <w:right w:val="single" w:sz="4" w:space="0" w:color="auto"/>
            </w:tcBorders>
            <w:shd w:val="clear" w:color="auto" w:fill="auto"/>
            <w:vAlign w:val="center"/>
          </w:tcPr>
          <w:p w14:paraId="1BC9843F" w14:textId="34031FC4" w:rsidR="003D3EC9" w:rsidRPr="00636638" w:rsidRDefault="00777D3A" w:rsidP="00636638">
            <w:pPr>
              <w:pStyle w:val="TableTextRight"/>
            </w:pPr>
            <w:r>
              <w:rPr>
                <w:rFonts w:ascii="Calibri" w:hAnsi="Calibri" w:cs="Calibri"/>
              </w:rPr>
              <w:t>75.8</w:t>
            </w:r>
          </w:p>
        </w:tc>
        <w:tc>
          <w:tcPr>
            <w:tcW w:w="589" w:type="pct"/>
            <w:tcBorders>
              <w:top w:val="nil"/>
              <w:left w:val="nil"/>
              <w:bottom w:val="nil"/>
              <w:right w:val="nil"/>
            </w:tcBorders>
            <w:shd w:val="clear" w:color="auto" w:fill="auto"/>
            <w:vAlign w:val="center"/>
          </w:tcPr>
          <w:p w14:paraId="1CE32FBE" w14:textId="015CF8C1" w:rsidR="003D3EC9" w:rsidRPr="00636638" w:rsidRDefault="003D3EC9" w:rsidP="00636638">
            <w:pPr>
              <w:pStyle w:val="TableTextRight"/>
            </w:pPr>
            <w:r>
              <w:rPr>
                <w:rFonts w:ascii="Calibri" w:hAnsi="Calibri" w:cs="Calibri"/>
              </w:rPr>
              <w:t>80.</w:t>
            </w:r>
            <w:r w:rsidR="00777D3A">
              <w:rPr>
                <w:rFonts w:ascii="Calibri" w:hAnsi="Calibri" w:cs="Calibri"/>
              </w:rPr>
              <w:t>2</w:t>
            </w:r>
          </w:p>
        </w:tc>
      </w:tr>
      <w:tr w:rsidR="003D3EC9" w:rsidRPr="0055506E" w14:paraId="5A18A66A" w14:textId="77777777" w:rsidTr="00997375">
        <w:trPr>
          <w:trHeight w:val="227"/>
        </w:trPr>
        <w:tc>
          <w:tcPr>
            <w:tcW w:w="1459" w:type="pct"/>
            <w:tcBorders>
              <w:top w:val="nil"/>
              <w:left w:val="nil"/>
              <w:bottom w:val="nil"/>
              <w:right w:val="nil"/>
            </w:tcBorders>
            <w:shd w:val="clear" w:color="auto" w:fill="auto"/>
            <w:vAlign w:val="center"/>
          </w:tcPr>
          <w:p w14:paraId="115364C9"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474E1CAE" w14:textId="61130EA2" w:rsidR="003D3EC9" w:rsidRPr="00636638" w:rsidRDefault="003D3EC9" w:rsidP="00636638">
            <w:pPr>
              <w:pStyle w:val="TableTextRight"/>
            </w:pPr>
            <w:r>
              <w:rPr>
                <w:rFonts w:ascii="Calibri" w:hAnsi="Calibri" w:cs="Calibri"/>
              </w:rPr>
              <w:t>81.2</w:t>
            </w:r>
          </w:p>
        </w:tc>
        <w:tc>
          <w:tcPr>
            <w:tcW w:w="591" w:type="pct"/>
            <w:tcBorders>
              <w:top w:val="nil"/>
              <w:left w:val="nil"/>
              <w:bottom w:val="nil"/>
              <w:right w:val="nil"/>
            </w:tcBorders>
            <w:shd w:val="clear" w:color="auto" w:fill="D2EDFF"/>
            <w:vAlign w:val="center"/>
          </w:tcPr>
          <w:p w14:paraId="1AAF18C1" w14:textId="3A3661DB" w:rsidR="003D3EC9" w:rsidRPr="00636638" w:rsidRDefault="003D3EC9" w:rsidP="00636638">
            <w:pPr>
              <w:pStyle w:val="TableTextRight"/>
            </w:pPr>
            <w:r>
              <w:rPr>
                <w:rFonts w:ascii="Calibri" w:hAnsi="Calibri" w:cs="Calibri"/>
              </w:rPr>
              <w:t>73.</w:t>
            </w:r>
            <w:r w:rsidR="00777D3A">
              <w:rPr>
                <w:rFonts w:ascii="Calibri" w:hAnsi="Calibri" w:cs="Calibri"/>
              </w:rPr>
              <w:t>1</w:t>
            </w:r>
          </w:p>
        </w:tc>
        <w:tc>
          <w:tcPr>
            <w:tcW w:w="590" w:type="pct"/>
            <w:tcBorders>
              <w:top w:val="nil"/>
              <w:left w:val="nil"/>
              <w:bottom w:val="nil"/>
              <w:right w:val="nil"/>
            </w:tcBorders>
            <w:shd w:val="clear" w:color="auto" w:fill="auto"/>
            <w:vAlign w:val="center"/>
          </w:tcPr>
          <w:p w14:paraId="4A5559E9" w14:textId="79A6D6C5" w:rsidR="003D3EC9" w:rsidRPr="00636638" w:rsidRDefault="00777D3A" w:rsidP="00636638">
            <w:pPr>
              <w:pStyle w:val="TableTextRight"/>
            </w:pPr>
            <w:r>
              <w:rPr>
                <w:rFonts w:ascii="Calibri" w:hAnsi="Calibri" w:cs="Calibri"/>
              </w:rPr>
              <w:t>59.</w:t>
            </w:r>
            <w:r w:rsidR="00544FBB">
              <w:rPr>
                <w:rFonts w:ascii="Calibri" w:hAnsi="Calibri" w:cs="Calibri"/>
              </w:rPr>
              <w:t>8</w:t>
            </w:r>
          </w:p>
        </w:tc>
        <w:tc>
          <w:tcPr>
            <w:tcW w:w="590" w:type="pct"/>
            <w:tcBorders>
              <w:top w:val="nil"/>
              <w:left w:val="nil"/>
              <w:bottom w:val="nil"/>
              <w:right w:val="nil"/>
            </w:tcBorders>
            <w:shd w:val="clear" w:color="auto" w:fill="auto"/>
            <w:vAlign w:val="center"/>
          </w:tcPr>
          <w:p w14:paraId="47672985" w14:textId="2142E651" w:rsidR="003D3EC9" w:rsidRPr="00636638" w:rsidRDefault="00777D3A" w:rsidP="00636638">
            <w:pPr>
              <w:pStyle w:val="TableTextRight"/>
            </w:pPr>
            <w:r>
              <w:rPr>
                <w:rFonts w:ascii="Calibri" w:hAnsi="Calibri" w:cs="Calibri"/>
              </w:rPr>
              <w:t>47.</w:t>
            </w:r>
            <w:r w:rsidR="00544FBB">
              <w:rPr>
                <w:rFonts w:ascii="Calibri" w:hAnsi="Calibri" w:cs="Calibri"/>
              </w:rPr>
              <w:t>2</w:t>
            </w:r>
          </w:p>
        </w:tc>
        <w:tc>
          <w:tcPr>
            <w:tcW w:w="590" w:type="pct"/>
            <w:tcBorders>
              <w:top w:val="nil"/>
              <w:left w:val="nil"/>
              <w:bottom w:val="nil"/>
              <w:right w:val="single" w:sz="4" w:space="0" w:color="auto"/>
            </w:tcBorders>
            <w:shd w:val="clear" w:color="auto" w:fill="auto"/>
            <w:vAlign w:val="center"/>
          </w:tcPr>
          <w:p w14:paraId="5BB0A00B" w14:textId="3F9854B8" w:rsidR="003D3EC9" w:rsidRPr="00636638" w:rsidRDefault="00777D3A" w:rsidP="00636638">
            <w:pPr>
              <w:pStyle w:val="TableTextRight"/>
            </w:pPr>
            <w:r>
              <w:rPr>
                <w:rFonts w:ascii="Calibri" w:hAnsi="Calibri" w:cs="Calibri"/>
              </w:rPr>
              <w:t>42.5</w:t>
            </w:r>
          </w:p>
        </w:tc>
        <w:tc>
          <w:tcPr>
            <w:tcW w:w="589" w:type="pct"/>
            <w:tcBorders>
              <w:top w:val="nil"/>
              <w:left w:val="nil"/>
              <w:bottom w:val="nil"/>
              <w:right w:val="nil"/>
            </w:tcBorders>
            <w:shd w:val="clear" w:color="auto" w:fill="auto"/>
            <w:vAlign w:val="center"/>
          </w:tcPr>
          <w:p w14:paraId="21F89FD6" w14:textId="0762B36F" w:rsidR="003D3EC9" w:rsidRPr="00636638" w:rsidRDefault="003D3EC9" w:rsidP="00636638">
            <w:pPr>
              <w:pStyle w:val="TableTextRight"/>
            </w:pPr>
            <w:r>
              <w:rPr>
                <w:rFonts w:ascii="Calibri" w:hAnsi="Calibri" w:cs="Calibri"/>
              </w:rPr>
              <w:t>44.</w:t>
            </w:r>
            <w:r w:rsidR="00777D3A">
              <w:rPr>
                <w:rFonts w:ascii="Calibri" w:hAnsi="Calibri" w:cs="Calibri"/>
              </w:rPr>
              <w:t>8</w:t>
            </w:r>
          </w:p>
        </w:tc>
      </w:tr>
      <w:tr w:rsidR="003D3EC9" w:rsidRPr="0055506E" w14:paraId="3CA19E6B" w14:textId="77777777" w:rsidTr="00997375">
        <w:trPr>
          <w:trHeight w:val="227"/>
        </w:trPr>
        <w:tc>
          <w:tcPr>
            <w:tcW w:w="1459" w:type="pct"/>
            <w:tcBorders>
              <w:top w:val="nil"/>
              <w:left w:val="nil"/>
              <w:bottom w:val="single" w:sz="4" w:space="0" w:color="auto"/>
              <w:right w:val="nil"/>
            </w:tcBorders>
            <w:shd w:val="clear" w:color="auto" w:fill="auto"/>
            <w:vAlign w:val="center"/>
          </w:tcPr>
          <w:p w14:paraId="7EB509E5"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single" w:sz="4" w:space="0" w:color="auto"/>
              <w:right w:val="nil"/>
            </w:tcBorders>
            <w:shd w:val="clear" w:color="auto" w:fill="auto"/>
            <w:vAlign w:val="center"/>
          </w:tcPr>
          <w:p w14:paraId="02498AC9" w14:textId="0787111B" w:rsidR="003D3EC9" w:rsidRPr="00636638" w:rsidRDefault="003D3EC9" w:rsidP="00636638">
            <w:pPr>
              <w:pStyle w:val="TableTextRight"/>
            </w:pPr>
            <w:r>
              <w:rPr>
                <w:rFonts w:ascii="Calibri" w:hAnsi="Calibri" w:cs="Calibri"/>
              </w:rPr>
              <w:t>58.3</w:t>
            </w:r>
          </w:p>
        </w:tc>
        <w:tc>
          <w:tcPr>
            <w:tcW w:w="591" w:type="pct"/>
            <w:tcBorders>
              <w:top w:val="nil"/>
              <w:left w:val="nil"/>
              <w:bottom w:val="single" w:sz="4" w:space="0" w:color="auto"/>
              <w:right w:val="nil"/>
            </w:tcBorders>
            <w:shd w:val="clear" w:color="auto" w:fill="D2EDFF"/>
            <w:vAlign w:val="center"/>
          </w:tcPr>
          <w:p w14:paraId="5A5DE668" w14:textId="3AFB4B62" w:rsidR="003D3EC9" w:rsidRPr="00636638" w:rsidRDefault="003D3EC9" w:rsidP="00636638">
            <w:pPr>
              <w:pStyle w:val="TableTextRight"/>
            </w:pPr>
            <w:r>
              <w:rPr>
                <w:rFonts w:ascii="Calibri" w:hAnsi="Calibri" w:cs="Calibri"/>
              </w:rPr>
              <w:t>52.</w:t>
            </w:r>
            <w:r w:rsidR="00777D3A">
              <w:rPr>
                <w:rFonts w:ascii="Calibri" w:hAnsi="Calibri" w:cs="Calibri"/>
              </w:rPr>
              <w:t>3</w:t>
            </w:r>
          </w:p>
        </w:tc>
        <w:tc>
          <w:tcPr>
            <w:tcW w:w="590" w:type="pct"/>
            <w:tcBorders>
              <w:top w:val="nil"/>
              <w:left w:val="nil"/>
              <w:bottom w:val="single" w:sz="4" w:space="0" w:color="auto"/>
              <w:right w:val="nil"/>
            </w:tcBorders>
            <w:shd w:val="clear" w:color="auto" w:fill="auto"/>
            <w:vAlign w:val="center"/>
          </w:tcPr>
          <w:p w14:paraId="5F5D161F" w14:textId="54D0EC58" w:rsidR="003D3EC9" w:rsidRPr="00636638" w:rsidRDefault="00544FBB" w:rsidP="00636638">
            <w:pPr>
              <w:pStyle w:val="TableTextRight"/>
            </w:pPr>
            <w:r>
              <w:rPr>
                <w:rFonts w:ascii="Calibri" w:hAnsi="Calibri" w:cs="Calibri"/>
              </w:rPr>
              <w:t>42.9</w:t>
            </w:r>
          </w:p>
        </w:tc>
        <w:tc>
          <w:tcPr>
            <w:tcW w:w="590" w:type="pct"/>
            <w:tcBorders>
              <w:top w:val="nil"/>
              <w:left w:val="nil"/>
              <w:bottom w:val="single" w:sz="4" w:space="0" w:color="auto"/>
              <w:right w:val="nil"/>
            </w:tcBorders>
            <w:shd w:val="clear" w:color="auto" w:fill="auto"/>
            <w:vAlign w:val="center"/>
          </w:tcPr>
          <w:p w14:paraId="11269B26" w14:textId="3B36A821" w:rsidR="003D3EC9" w:rsidRPr="00636638" w:rsidRDefault="00544FBB" w:rsidP="00636638">
            <w:pPr>
              <w:pStyle w:val="TableTextRight"/>
            </w:pPr>
            <w:r>
              <w:rPr>
                <w:rFonts w:ascii="Calibri" w:hAnsi="Calibri" w:cs="Calibri"/>
              </w:rPr>
              <w:t>35.9</w:t>
            </w:r>
          </w:p>
        </w:tc>
        <w:tc>
          <w:tcPr>
            <w:tcW w:w="590" w:type="pct"/>
            <w:tcBorders>
              <w:top w:val="nil"/>
              <w:left w:val="nil"/>
              <w:bottom w:val="single" w:sz="4" w:space="0" w:color="auto"/>
              <w:right w:val="single" w:sz="4" w:space="0" w:color="auto"/>
            </w:tcBorders>
            <w:shd w:val="clear" w:color="auto" w:fill="auto"/>
            <w:vAlign w:val="center"/>
          </w:tcPr>
          <w:p w14:paraId="111ACC43" w14:textId="45E2303D" w:rsidR="003D3EC9" w:rsidRPr="00636638" w:rsidRDefault="003D3EC9" w:rsidP="00636638">
            <w:pPr>
              <w:pStyle w:val="TableTextRight"/>
            </w:pPr>
            <w:r>
              <w:rPr>
                <w:rFonts w:ascii="Calibri" w:hAnsi="Calibri" w:cs="Calibri"/>
              </w:rPr>
              <w:t>33.</w:t>
            </w:r>
            <w:r w:rsidR="00777D3A">
              <w:rPr>
                <w:rFonts w:ascii="Calibri" w:hAnsi="Calibri" w:cs="Calibri"/>
              </w:rPr>
              <w:t>3</w:t>
            </w:r>
          </w:p>
        </w:tc>
        <w:tc>
          <w:tcPr>
            <w:tcW w:w="589" w:type="pct"/>
            <w:tcBorders>
              <w:top w:val="nil"/>
              <w:left w:val="nil"/>
              <w:bottom w:val="single" w:sz="4" w:space="0" w:color="auto"/>
              <w:right w:val="nil"/>
            </w:tcBorders>
            <w:shd w:val="clear" w:color="auto" w:fill="auto"/>
            <w:vAlign w:val="center"/>
          </w:tcPr>
          <w:p w14:paraId="4C1AD672" w14:textId="60B793D4" w:rsidR="003D3EC9" w:rsidRPr="00636638" w:rsidRDefault="003D3EC9" w:rsidP="00636638">
            <w:pPr>
              <w:pStyle w:val="TableTextRight"/>
            </w:pPr>
            <w:r>
              <w:rPr>
                <w:rFonts w:ascii="Calibri" w:hAnsi="Calibri" w:cs="Calibri"/>
              </w:rPr>
              <w:t>35.</w:t>
            </w:r>
            <w:r w:rsidR="00544FBB">
              <w:rPr>
                <w:rFonts w:ascii="Calibri" w:hAnsi="Calibri" w:cs="Calibri"/>
              </w:rPr>
              <w:t>3</w:t>
            </w:r>
          </w:p>
        </w:tc>
      </w:tr>
      <w:tr w:rsidR="003D3EC9" w:rsidRPr="0055506E" w14:paraId="3CA9B634" w14:textId="77777777" w:rsidTr="00997375">
        <w:trPr>
          <w:trHeight w:val="227"/>
        </w:trPr>
        <w:tc>
          <w:tcPr>
            <w:tcW w:w="1459" w:type="pct"/>
            <w:tcBorders>
              <w:top w:val="nil"/>
              <w:left w:val="nil"/>
              <w:bottom w:val="nil"/>
              <w:right w:val="nil"/>
            </w:tcBorders>
            <w:shd w:val="clear" w:color="auto" w:fill="auto"/>
            <w:vAlign w:val="center"/>
          </w:tcPr>
          <w:p w14:paraId="1F4741E5" w14:textId="010971BA" w:rsidR="003D3EC9" w:rsidRPr="0055506E" w:rsidRDefault="003D3EC9" w:rsidP="00636638">
            <w:pPr>
              <w:pStyle w:val="TableColumnHeadingLeft"/>
              <w:rPr>
                <w:rFonts w:eastAsia="Times New Roman"/>
              </w:rPr>
            </w:pPr>
            <w:r>
              <w:t>Natural increase (</w:t>
            </w:r>
            <w:r w:rsidR="00050D25">
              <w:t>‘</w:t>
            </w:r>
            <w:r>
              <w:t>000)</w:t>
            </w:r>
          </w:p>
        </w:tc>
        <w:tc>
          <w:tcPr>
            <w:tcW w:w="591" w:type="pct"/>
            <w:tcBorders>
              <w:top w:val="nil"/>
              <w:left w:val="nil"/>
              <w:bottom w:val="nil"/>
              <w:right w:val="nil"/>
            </w:tcBorders>
            <w:shd w:val="clear" w:color="auto" w:fill="auto"/>
            <w:vAlign w:val="center"/>
          </w:tcPr>
          <w:p w14:paraId="0BB7AB90"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203D5DB9" w14:textId="3EFEEE8A"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6D4154B3"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7E5B56B4"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111A2504" w14:textId="2FCFF98B"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330AB40A" w14:textId="77777777" w:rsidR="003D3EC9" w:rsidRPr="00636638" w:rsidRDefault="003D3EC9" w:rsidP="00636638">
            <w:pPr>
              <w:pStyle w:val="TableTextRight"/>
            </w:pPr>
          </w:p>
        </w:tc>
      </w:tr>
      <w:tr w:rsidR="003D3EC9" w:rsidRPr="0055506E" w14:paraId="1786F323" w14:textId="77777777" w:rsidTr="00997375">
        <w:trPr>
          <w:trHeight w:val="227"/>
        </w:trPr>
        <w:tc>
          <w:tcPr>
            <w:tcW w:w="1459" w:type="pct"/>
            <w:tcBorders>
              <w:top w:val="nil"/>
              <w:left w:val="nil"/>
              <w:bottom w:val="nil"/>
              <w:right w:val="nil"/>
            </w:tcBorders>
            <w:shd w:val="clear" w:color="auto" w:fill="auto"/>
            <w:vAlign w:val="center"/>
          </w:tcPr>
          <w:p w14:paraId="55BFC92C"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3995867C" w14:textId="4EB7550A" w:rsidR="003D3EC9" w:rsidRPr="00636638" w:rsidRDefault="003D3EC9" w:rsidP="00636638">
            <w:pPr>
              <w:pStyle w:val="TableTextRight"/>
            </w:pPr>
            <w:r>
              <w:rPr>
                <w:rFonts w:ascii="Calibri" w:hAnsi="Calibri" w:cs="Calibri"/>
              </w:rPr>
              <w:t>21.3</w:t>
            </w:r>
          </w:p>
        </w:tc>
        <w:tc>
          <w:tcPr>
            <w:tcW w:w="591" w:type="pct"/>
            <w:tcBorders>
              <w:top w:val="nil"/>
              <w:left w:val="nil"/>
              <w:bottom w:val="nil"/>
              <w:right w:val="nil"/>
            </w:tcBorders>
            <w:shd w:val="clear" w:color="auto" w:fill="D2EDFF"/>
            <w:vAlign w:val="center"/>
          </w:tcPr>
          <w:p w14:paraId="3855134C" w14:textId="24187BCD" w:rsidR="003D3EC9" w:rsidRPr="00636638" w:rsidRDefault="003D3EC9" w:rsidP="00636638">
            <w:pPr>
              <w:pStyle w:val="TableTextRight"/>
            </w:pPr>
            <w:r>
              <w:rPr>
                <w:rFonts w:ascii="Calibri" w:hAnsi="Calibri" w:cs="Calibri"/>
              </w:rPr>
              <w:t>21.</w:t>
            </w:r>
            <w:r w:rsidR="00777D3A">
              <w:rPr>
                <w:rFonts w:ascii="Calibri" w:hAnsi="Calibri" w:cs="Calibri"/>
              </w:rPr>
              <w:t>7</w:t>
            </w:r>
          </w:p>
        </w:tc>
        <w:tc>
          <w:tcPr>
            <w:tcW w:w="590" w:type="pct"/>
            <w:tcBorders>
              <w:top w:val="nil"/>
              <w:left w:val="nil"/>
              <w:bottom w:val="nil"/>
              <w:right w:val="nil"/>
            </w:tcBorders>
            <w:shd w:val="clear" w:color="auto" w:fill="auto"/>
            <w:vAlign w:val="center"/>
          </w:tcPr>
          <w:p w14:paraId="32D212B1" w14:textId="1F9DB760" w:rsidR="003D3EC9" w:rsidRPr="00636638" w:rsidRDefault="00777D3A" w:rsidP="00636638">
            <w:pPr>
              <w:pStyle w:val="TableTextRight"/>
            </w:pPr>
            <w:r>
              <w:rPr>
                <w:rFonts w:ascii="Calibri" w:hAnsi="Calibri" w:cs="Calibri"/>
              </w:rPr>
              <w:t>20.3</w:t>
            </w:r>
          </w:p>
        </w:tc>
        <w:tc>
          <w:tcPr>
            <w:tcW w:w="590" w:type="pct"/>
            <w:tcBorders>
              <w:top w:val="nil"/>
              <w:left w:val="nil"/>
              <w:bottom w:val="nil"/>
              <w:right w:val="nil"/>
            </w:tcBorders>
            <w:shd w:val="clear" w:color="auto" w:fill="auto"/>
            <w:vAlign w:val="center"/>
          </w:tcPr>
          <w:p w14:paraId="4023E01A" w14:textId="48EACFEA" w:rsidR="003D3EC9" w:rsidRPr="00636638" w:rsidRDefault="00777D3A" w:rsidP="00636638">
            <w:pPr>
              <w:pStyle w:val="TableTextRight"/>
            </w:pPr>
            <w:r>
              <w:rPr>
                <w:rFonts w:ascii="Calibri" w:hAnsi="Calibri" w:cs="Calibri"/>
              </w:rPr>
              <w:t>21.9</w:t>
            </w:r>
          </w:p>
        </w:tc>
        <w:tc>
          <w:tcPr>
            <w:tcW w:w="590" w:type="pct"/>
            <w:tcBorders>
              <w:top w:val="nil"/>
              <w:left w:val="nil"/>
              <w:bottom w:val="nil"/>
              <w:right w:val="single" w:sz="4" w:space="0" w:color="auto"/>
            </w:tcBorders>
            <w:shd w:val="clear" w:color="auto" w:fill="auto"/>
            <w:vAlign w:val="center"/>
          </w:tcPr>
          <w:p w14:paraId="3B590A15" w14:textId="23E5B1F4" w:rsidR="003D3EC9" w:rsidRPr="00636638" w:rsidRDefault="003D3EC9" w:rsidP="00636638">
            <w:pPr>
              <w:pStyle w:val="TableTextRight"/>
            </w:pPr>
            <w:r>
              <w:rPr>
                <w:rFonts w:ascii="Calibri" w:hAnsi="Calibri" w:cs="Calibri"/>
              </w:rPr>
              <w:t>23.</w:t>
            </w:r>
            <w:r w:rsidR="00777D3A">
              <w:rPr>
                <w:rFonts w:ascii="Calibri" w:hAnsi="Calibri" w:cs="Calibri"/>
              </w:rPr>
              <w:t>1</w:t>
            </w:r>
          </w:p>
        </w:tc>
        <w:tc>
          <w:tcPr>
            <w:tcW w:w="589" w:type="pct"/>
            <w:tcBorders>
              <w:top w:val="nil"/>
              <w:left w:val="nil"/>
              <w:bottom w:val="nil"/>
              <w:right w:val="nil"/>
            </w:tcBorders>
            <w:shd w:val="clear" w:color="auto" w:fill="auto"/>
            <w:vAlign w:val="center"/>
          </w:tcPr>
          <w:p w14:paraId="61E489CA" w14:textId="216C9709" w:rsidR="003D3EC9" w:rsidRPr="00636638" w:rsidRDefault="003D3EC9" w:rsidP="00636638">
            <w:pPr>
              <w:pStyle w:val="TableTextRight"/>
            </w:pPr>
            <w:r>
              <w:rPr>
                <w:rFonts w:ascii="Calibri" w:hAnsi="Calibri" w:cs="Calibri"/>
              </w:rPr>
              <w:t>25.</w:t>
            </w:r>
            <w:r w:rsidR="00544FBB">
              <w:rPr>
                <w:rFonts w:ascii="Calibri" w:hAnsi="Calibri" w:cs="Calibri"/>
              </w:rPr>
              <w:t>2</w:t>
            </w:r>
          </w:p>
        </w:tc>
      </w:tr>
      <w:tr w:rsidR="003D3EC9" w:rsidRPr="0055506E" w14:paraId="2DFB593E" w14:textId="77777777" w:rsidTr="00997375">
        <w:trPr>
          <w:trHeight w:val="227"/>
        </w:trPr>
        <w:tc>
          <w:tcPr>
            <w:tcW w:w="1459" w:type="pct"/>
            <w:tcBorders>
              <w:top w:val="nil"/>
              <w:left w:val="nil"/>
              <w:bottom w:val="nil"/>
              <w:right w:val="nil"/>
            </w:tcBorders>
            <w:shd w:val="clear" w:color="auto" w:fill="auto"/>
            <w:vAlign w:val="center"/>
          </w:tcPr>
          <w:p w14:paraId="2F2A36A5"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017F22E0" w14:textId="17A6DD9D" w:rsidR="003D3EC9" w:rsidRPr="00636638" w:rsidRDefault="003D3EC9" w:rsidP="00636638">
            <w:pPr>
              <w:pStyle w:val="TableTextRight"/>
            </w:pPr>
            <w:r>
              <w:rPr>
                <w:rFonts w:ascii="Calibri" w:hAnsi="Calibri" w:cs="Calibri"/>
              </w:rPr>
              <w:t>14.1</w:t>
            </w:r>
          </w:p>
        </w:tc>
        <w:tc>
          <w:tcPr>
            <w:tcW w:w="591" w:type="pct"/>
            <w:tcBorders>
              <w:top w:val="nil"/>
              <w:left w:val="nil"/>
              <w:bottom w:val="nil"/>
              <w:right w:val="nil"/>
            </w:tcBorders>
            <w:shd w:val="clear" w:color="auto" w:fill="D2EDFF"/>
            <w:vAlign w:val="center"/>
          </w:tcPr>
          <w:p w14:paraId="05699111" w14:textId="7FAA37E5" w:rsidR="003D3EC9" w:rsidRPr="00636638" w:rsidRDefault="003D3EC9" w:rsidP="00636638">
            <w:pPr>
              <w:pStyle w:val="TableTextRight"/>
            </w:pPr>
            <w:r>
              <w:rPr>
                <w:rFonts w:ascii="Calibri" w:hAnsi="Calibri" w:cs="Calibri"/>
              </w:rPr>
              <w:t>14.</w:t>
            </w:r>
            <w:r w:rsidR="00777D3A">
              <w:rPr>
                <w:rFonts w:ascii="Calibri" w:hAnsi="Calibri" w:cs="Calibri"/>
              </w:rPr>
              <w:t>8</w:t>
            </w:r>
          </w:p>
        </w:tc>
        <w:tc>
          <w:tcPr>
            <w:tcW w:w="590" w:type="pct"/>
            <w:tcBorders>
              <w:top w:val="nil"/>
              <w:left w:val="nil"/>
              <w:bottom w:val="nil"/>
              <w:right w:val="nil"/>
            </w:tcBorders>
            <w:shd w:val="clear" w:color="auto" w:fill="auto"/>
            <w:vAlign w:val="center"/>
          </w:tcPr>
          <w:p w14:paraId="3DEEFAAA" w14:textId="700BA206" w:rsidR="003D3EC9" w:rsidRPr="00636638" w:rsidRDefault="003D3EC9" w:rsidP="00636638">
            <w:pPr>
              <w:pStyle w:val="TableTextRight"/>
            </w:pPr>
            <w:r>
              <w:rPr>
                <w:rFonts w:ascii="Calibri" w:hAnsi="Calibri" w:cs="Calibri"/>
              </w:rPr>
              <w:t>14.</w:t>
            </w:r>
            <w:r w:rsidR="00777D3A">
              <w:rPr>
                <w:rFonts w:ascii="Calibri" w:hAnsi="Calibri" w:cs="Calibri"/>
              </w:rPr>
              <w:t>2</w:t>
            </w:r>
          </w:p>
        </w:tc>
        <w:tc>
          <w:tcPr>
            <w:tcW w:w="590" w:type="pct"/>
            <w:tcBorders>
              <w:top w:val="nil"/>
              <w:left w:val="nil"/>
              <w:bottom w:val="nil"/>
              <w:right w:val="nil"/>
            </w:tcBorders>
            <w:shd w:val="clear" w:color="auto" w:fill="auto"/>
            <w:vAlign w:val="center"/>
          </w:tcPr>
          <w:p w14:paraId="141327A8" w14:textId="6BC37009" w:rsidR="003D3EC9" w:rsidRPr="00636638" w:rsidRDefault="003D3EC9" w:rsidP="00636638">
            <w:pPr>
              <w:pStyle w:val="TableTextRight"/>
            </w:pPr>
            <w:r>
              <w:rPr>
                <w:rFonts w:ascii="Calibri" w:hAnsi="Calibri" w:cs="Calibri"/>
              </w:rPr>
              <w:t>15.</w:t>
            </w:r>
            <w:r w:rsidR="00777D3A">
              <w:rPr>
                <w:rFonts w:ascii="Calibri" w:hAnsi="Calibri" w:cs="Calibri"/>
              </w:rPr>
              <w:t>1</w:t>
            </w:r>
          </w:p>
        </w:tc>
        <w:tc>
          <w:tcPr>
            <w:tcW w:w="590" w:type="pct"/>
            <w:tcBorders>
              <w:top w:val="nil"/>
              <w:left w:val="nil"/>
              <w:bottom w:val="nil"/>
              <w:right w:val="single" w:sz="4" w:space="0" w:color="auto"/>
            </w:tcBorders>
            <w:shd w:val="clear" w:color="auto" w:fill="auto"/>
            <w:vAlign w:val="center"/>
          </w:tcPr>
          <w:p w14:paraId="3DE50EBB" w14:textId="03BFFA89" w:rsidR="003D3EC9" w:rsidRPr="00636638" w:rsidRDefault="00777D3A" w:rsidP="00636638">
            <w:pPr>
              <w:pStyle w:val="TableTextRight"/>
            </w:pPr>
            <w:r>
              <w:rPr>
                <w:rFonts w:ascii="Calibri" w:hAnsi="Calibri" w:cs="Calibri"/>
              </w:rPr>
              <w:t>15.8</w:t>
            </w:r>
          </w:p>
        </w:tc>
        <w:tc>
          <w:tcPr>
            <w:tcW w:w="589" w:type="pct"/>
            <w:tcBorders>
              <w:top w:val="nil"/>
              <w:left w:val="nil"/>
              <w:bottom w:val="nil"/>
              <w:right w:val="nil"/>
            </w:tcBorders>
            <w:shd w:val="clear" w:color="auto" w:fill="auto"/>
            <w:vAlign w:val="center"/>
          </w:tcPr>
          <w:p w14:paraId="1772E657" w14:textId="1A7401D3" w:rsidR="003D3EC9" w:rsidRPr="00636638" w:rsidRDefault="003D3EC9" w:rsidP="00636638">
            <w:pPr>
              <w:pStyle w:val="TableTextRight"/>
            </w:pPr>
            <w:r>
              <w:rPr>
                <w:rFonts w:ascii="Calibri" w:hAnsi="Calibri" w:cs="Calibri"/>
              </w:rPr>
              <w:t>17.6</w:t>
            </w:r>
          </w:p>
        </w:tc>
      </w:tr>
      <w:tr w:rsidR="003D3EC9" w:rsidRPr="0055506E" w14:paraId="02515C80" w14:textId="77777777" w:rsidTr="00997375">
        <w:trPr>
          <w:trHeight w:val="227"/>
        </w:trPr>
        <w:tc>
          <w:tcPr>
            <w:tcW w:w="1459" w:type="pct"/>
            <w:tcBorders>
              <w:top w:val="nil"/>
              <w:left w:val="nil"/>
              <w:bottom w:val="nil"/>
              <w:right w:val="nil"/>
            </w:tcBorders>
            <w:shd w:val="clear" w:color="auto" w:fill="auto"/>
            <w:vAlign w:val="center"/>
          </w:tcPr>
          <w:p w14:paraId="1E9B7DDC"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nil"/>
              <w:right w:val="nil"/>
            </w:tcBorders>
            <w:shd w:val="clear" w:color="auto" w:fill="auto"/>
            <w:vAlign w:val="center"/>
          </w:tcPr>
          <w:p w14:paraId="4E382EB2" w14:textId="3AAFEE0D" w:rsidR="003D3EC9" w:rsidRPr="00636638" w:rsidRDefault="003D3EC9" w:rsidP="00636638">
            <w:pPr>
              <w:pStyle w:val="TableTextRight"/>
            </w:pPr>
            <w:r>
              <w:rPr>
                <w:rFonts w:ascii="Calibri" w:hAnsi="Calibri" w:cs="Calibri"/>
              </w:rPr>
              <w:t>8.1</w:t>
            </w:r>
          </w:p>
        </w:tc>
        <w:tc>
          <w:tcPr>
            <w:tcW w:w="591" w:type="pct"/>
            <w:tcBorders>
              <w:top w:val="nil"/>
              <w:left w:val="nil"/>
              <w:bottom w:val="nil"/>
              <w:right w:val="nil"/>
            </w:tcBorders>
            <w:shd w:val="clear" w:color="auto" w:fill="D2EDFF"/>
            <w:vAlign w:val="center"/>
          </w:tcPr>
          <w:p w14:paraId="5C645155" w14:textId="2C1DCEEA" w:rsidR="003D3EC9" w:rsidRPr="00636638" w:rsidRDefault="00777D3A" w:rsidP="00636638">
            <w:pPr>
              <w:pStyle w:val="TableTextRight"/>
            </w:pPr>
            <w:r>
              <w:rPr>
                <w:rFonts w:ascii="Calibri" w:hAnsi="Calibri" w:cs="Calibri"/>
              </w:rPr>
              <w:t>6.9</w:t>
            </w:r>
          </w:p>
        </w:tc>
        <w:tc>
          <w:tcPr>
            <w:tcW w:w="590" w:type="pct"/>
            <w:tcBorders>
              <w:top w:val="nil"/>
              <w:left w:val="nil"/>
              <w:bottom w:val="nil"/>
              <w:right w:val="nil"/>
            </w:tcBorders>
            <w:shd w:val="clear" w:color="auto" w:fill="auto"/>
            <w:vAlign w:val="center"/>
          </w:tcPr>
          <w:p w14:paraId="0F910E96" w14:textId="6DB4632D" w:rsidR="003D3EC9" w:rsidRPr="00636638" w:rsidRDefault="003D3EC9" w:rsidP="00636638">
            <w:pPr>
              <w:pStyle w:val="TableTextRight"/>
            </w:pPr>
            <w:r>
              <w:rPr>
                <w:rFonts w:ascii="Calibri" w:hAnsi="Calibri" w:cs="Calibri"/>
              </w:rPr>
              <w:t>6.</w:t>
            </w:r>
            <w:r w:rsidR="00777D3A">
              <w:rPr>
                <w:rFonts w:ascii="Calibri" w:hAnsi="Calibri" w:cs="Calibri"/>
              </w:rPr>
              <w:t>2</w:t>
            </w:r>
          </w:p>
        </w:tc>
        <w:tc>
          <w:tcPr>
            <w:tcW w:w="590" w:type="pct"/>
            <w:tcBorders>
              <w:top w:val="nil"/>
              <w:left w:val="nil"/>
              <w:bottom w:val="nil"/>
              <w:right w:val="nil"/>
            </w:tcBorders>
            <w:shd w:val="clear" w:color="auto" w:fill="auto"/>
            <w:vAlign w:val="center"/>
          </w:tcPr>
          <w:p w14:paraId="4AE948C3" w14:textId="0971D40C" w:rsidR="003D3EC9" w:rsidRPr="00636638" w:rsidRDefault="00777D3A" w:rsidP="00636638">
            <w:pPr>
              <w:pStyle w:val="TableTextRight"/>
            </w:pPr>
            <w:r>
              <w:rPr>
                <w:rFonts w:ascii="Calibri" w:hAnsi="Calibri" w:cs="Calibri"/>
              </w:rPr>
              <w:t>6.8</w:t>
            </w:r>
          </w:p>
        </w:tc>
        <w:tc>
          <w:tcPr>
            <w:tcW w:w="590" w:type="pct"/>
            <w:tcBorders>
              <w:top w:val="nil"/>
              <w:left w:val="nil"/>
              <w:bottom w:val="nil"/>
              <w:right w:val="single" w:sz="4" w:space="0" w:color="auto"/>
            </w:tcBorders>
            <w:shd w:val="clear" w:color="auto" w:fill="auto"/>
            <w:vAlign w:val="center"/>
          </w:tcPr>
          <w:p w14:paraId="72994A7C" w14:textId="3517A6F6" w:rsidR="003D3EC9" w:rsidRPr="00636638" w:rsidRDefault="003D3EC9" w:rsidP="00636638">
            <w:pPr>
              <w:pStyle w:val="TableTextRight"/>
            </w:pPr>
            <w:r>
              <w:rPr>
                <w:rFonts w:ascii="Calibri" w:hAnsi="Calibri" w:cs="Calibri"/>
              </w:rPr>
              <w:t>7.</w:t>
            </w:r>
            <w:r w:rsidR="00777D3A">
              <w:rPr>
                <w:rFonts w:ascii="Calibri" w:hAnsi="Calibri" w:cs="Calibri"/>
              </w:rPr>
              <w:t>3</w:t>
            </w:r>
          </w:p>
        </w:tc>
        <w:tc>
          <w:tcPr>
            <w:tcW w:w="589" w:type="pct"/>
            <w:tcBorders>
              <w:top w:val="nil"/>
              <w:left w:val="nil"/>
              <w:bottom w:val="nil"/>
              <w:right w:val="nil"/>
            </w:tcBorders>
            <w:shd w:val="clear" w:color="auto" w:fill="auto"/>
            <w:vAlign w:val="center"/>
          </w:tcPr>
          <w:p w14:paraId="7DCB7B97" w14:textId="59097AFB" w:rsidR="003D3EC9" w:rsidRPr="00636638" w:rsidRDefault="003D3EC9" w:rsidP="00636638">
            <w:pPr>
              <w:pStyle w:val="TableTextRight"/>
            </w:pPr>
            <w:r>
              <w:rPr>
                <w:rFonts w:ascii="Calibri" w:hAnsi="Calibri" w:cs="Calibri"/>
              </w:rPr>
              <w:t>7.</w:t>
            </w:r>
            <w:r w:rsidR="00777D3A">
              <w:rPr>
                <w:rFonts w:ascii="Calibri" w:hAnsi="Calibri" w:cs="Calibri"/>
              </w:rPr>
              <w:t>6</w:t>
            </w:r>
          </w:p>
        </w:tc>
      </w:tr>
      <w:tr w:rsidR="003D3EC9" w:rsidRPr="0055506E" w14:paraId="457F7F8A" w14:textId="77777777" w:rsidTr="00997375">
        <w:trPr>
          <w:trHeight w:val="227"/>
        </w:trPr>
        <w:tc>
          <w:tcPr>
            <w:tcW w:w="1459" w:type="pct"/>
            <w:tcBorders>
              <w:top w:val="nil"/>
              <w:left w:val="nil"/>
              <w:bottom w:val="nil"/>
              <w:right w:val="nil"/>
            </w:tcBorders>
            <w:shd w:val="clear" w:color="auto" w:fill="auto"/>
            <w:vAlign w:val="center"/>
          </w:tcPr>
          <w:p w14:paraId="06564BBB" w14:textId="15B146D4" w:rsidR="003D3EC9" w:rsidRPr="0055506E" w:rsidRDefault="003D3EC9" w:rsidP="00636638">
            <w:pPr>
              <w:pStyle w:val="TableColumnHeadingLeft"/>
              <w:rPr>
                <w:rFonts w:eastAsia="Times New Roman"/>
              </w:rPr>
            </w:pPr>
            <w:r>
              <w:t>Net overseas migration (</w:t>
            </w:r>
            <w:r w:rsidR="00050D25">
              <w:t>‘</w:t>
            </w:r>
            <w:r>
              <w:t>000)</w:t>
            </w:r>
          </w:p>
        </w:tc>
        <w:tc>
          <w:tcPr>
            <w:tcW w:w="591" w:type="pct"/>
            <w:tcBorders>
              <w:top w:val="nil"/>
              <w:left w:val="nil"/>
              <w:bottom w:val="nil"/>
              <w:right w:val="nil"/>
            </w:tcBorders>
            <w:shd w:val="clear" w:color="auto" w:fill="auto"/>
            <w:vAlign w:val="center"/>
          </w:tcPr>
          <w:p w14:paraId="37A40560"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2A6F0670" w14:textId="6A082066"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0056C7B0"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1C376BFA"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153622C7" w14:textId="437FC553"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58E0DCB2" w14:textId="77777777" w:rsidR="003D3EC9" w:rsidRPr="00636638" w:rsidRDefault="003D3EC9" w:rsidP="00636638">
            <w:pPr>
              <w:pStyle w:val="TableTextRight"/>
            </w:pPr>
          </w:p>
        </w:tc>
      </w:tr>
      <w:tr w:rsidR="003D3EC9" w:rsidRPr="0055506E" w14:paraId="2C1820A8" w14:textId="77777777" w:rsidTr="00997375">
        <w:trPr>
          <w:trHeight w:val="227"/>
        </w:trPr>
        <w:tc>
          <w:tcPr>
            <w:tcW w:w="1459" w:type="pct"/>
            <w:tcBorders>
              <w:top w:val="nil"/>
              <w:left w:val="nil"/>
              <w:bottom w:val="nil"/>
              <w:right w:val="nil"/>
            </w:tcBorders>
            <w:shd w:val="clear" w:color="auto" w:fill="auto"/>
            <w:vAlign w:val="center"/>
          </w:tcPr>
          <w:p w14:paraId="474CBA08"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6589AA22" w14:textId="057EF6FB" w:rsidR="003D3EC9" w:rsidRPr="00636638" w:rsidRDefault="003D3EC9" w:rsidP="00636638">
            <w:pPr>
              <w:pStyle w:val="TableTextRight"/>
            </w:pPr>
            <w:r>
              <w:rPr>
                <w:rFonts w:ascii="Calibri" w:hAnsi="Calibri" w:cs="Calibri"/>
              </w:rPr>
              <w:t>85.9</w:t>
            </w:r>
          </w:p>
        </w:tc>
        <w:tc>
          <w:tcPr>
            <w:tcW w:w="591" w:type="pct"/>
            <w:tcBorders>
              <w:top w:val="nil"/>
              <w:left w:val="nil"/>
              <w:bottom w:val="nil"/>
              <w:right w:val="nil"/>
            </w:tcBorders>
            <w:shd w:val="clear" w:color="auto" w:fill="D2EDFF"/>
            <w:vAlign w:val="center"/>
          </w:tcPr>
          <w:p w14:paraId="6D50C366" w14:textId="0A2D1FFC" w:rsidR="003D3EC9" w:rsidRPr="00636638" w:rsidRDefault="00777D3A" w:rsidP="00636638">
            <w:pPr>
              <w:pStyle w:val="TableTextRight"/>
            </w:pPr>
            <w:r>
              <w:rPr>
                <w:rFonts w:ascii="Calibri" w:hAnsi="Calibri" w:cs="Calibri"/>
              </w:rPr>
              <w:t>73.6</w:t>
            </w:r>
          </w:p>
        </w:tc>
        <w:tc>
          <w:tcPr>
            <w:tcW w:w="590" w:type="pct"/>
            <w:tcBorders>
              <w:top w:val="nil"/>
              <w:left w:val="nil"/>
              <w:bottom w:val="nil"/>
              <w:right w:val="nil"/>
            </w:tcBorders>
            <w:shd w:val="clear" w:color="auto" w:fill="auto"/>
            <w:vAlign w:val="center"/>
          </w:tcPr>
          <w:p w14:paraId="4E651338" w14:textId="68C4C532" w:rsidR="003D3EC9" w:rsidRPr="00636638" w:rsidRDefault="00544FBB" w:rsidP="00636638">
            <w:pPr>
              <w:pStyle w:val="TableTextRight"/>
            </w:pPr>
            <w:r>
              <w:rPr>
                <w:rFonts w:ascii="Calibri" w:hAnsi="Calibri" w:cs="Calibri"/>
              </w:rPr>
              <w:t>56.9</w:t>
            </w:r>
          </w:p>
        </w:tc>
        <w:tc>
          <w:tcPr>
            <w:tcW w:w="590" w:type="pct"/>
            <w:tcBorders>
              <w:top w:val="nil"/>
              <w:left w:val="nil"/>
              <w:bottom w:val="nil"/>
              <w:right w:val="nil"/>
            </w:tcBorders>
            <w:shd w:val="clear" w:color="auto" w:fill="auto"/>
            <w:vAlign w:val="center"/>
          </w:tcPr>
          <w:p w14:paraId="169F2C3B" w14:textId="7A22E366" w:rsidR="003D3EC9" w:rsidRPr="00636638" w:rsidRDefault="00777D3A" w:rsidP="00636638">
            <w:pPr>
              <w:pStyle w:val="TableTextRight"/>
            </w:pPr>
            <w:r>
              <w:rPr>
                <w:rFonts w:ascii="Calibri" w:hAnsi="Calibri" w:cs="Calibri"/>
              </w:rPr>
              <w:t>39.</w:t>
            </w:r>
            <w:r w:rsidR="00544FBB">
              <w:rPr>
                <w:rFonts w:ascii="Calibri" w:hAnsi="Calibri" w:cs="Calibri"/>
              </w:rPr>
              <w:t>2</w:t>
            </w:r>
          </w:p>
        </w:tc>
        <w:tc>
          <w:tcPr>
            <w:tcW w:w="590" w:type="pct"/>
            <w:tcBorders>
              <w:top w:val="nil"/>
              <w:left w:val="nil"/>
              <w:bottom w:val="nil"/>
              <w:right w:val="single" w:sz="4" w:space="0" w:color="auto"/>
            </w:tcBorders>
            <w:shd w:val="clear" w:color="auto" w:fill="auto"/>
            <w:vAlign w:val="center"/>
          </w:tcPr>
          <w:p w14:paraId="73708196" w14:textId="2C596846" w:rsidR="003D3EC9" w:rsidRPr="00636638" w:rsidRDefault="003D3EC9" w:rsidP="00636638">
            <w:pPr>
              <w:pStyle w:val="TableTextRight"/>
            </w:pPr>
            <w:r>
              <w:rPr>
                <w:rFonts w:ascii="Calibri" w:hAnsi="Calibri" w:cs="Calibri"/>
              </w:rPr>
              <w:t>33.</w:t>
            </w:r>
            <w:r w:rsidR="00777D3A">
              <w:rPr>
                <w:rFonts w:ascii="Calibri" w:hAnsi="Calibri" w:cs="Calibri"/>
              </w:rPr>
              <w:t>0</w:t>
            </w:r>
          </w:p>
        </w:tc>
        <w:tc>
          <w:tcPr>
            <w:tcW w:w="589" w:type="pct"/>
            <w:tcBorders>
              <w:top w:val="nil"/>
              <w:left w:val="nil"/>
              <w:bottom w:val="nil"/>
              <w:right w:val="nil"/>
            </w:tcBorders>
            <w:shd w:val="clear" w:color="auto" w:fill="auto"/>
            <w:vAlign w:val="center"/>
          </w:tcPr>
          <w:p w14:paraId="3E285380" w14:textId="55738BDE" w:rsidR="003D3EC9" w:rsidRPr="00636638" w:rsidRDefault="003D3EC9" w:rsidP="00636638">
            <w:pPr>
              <w:pStyle w:val="TableTextRight"/>
            </w:pPr>
            <w:r>
              <w:rPr>
                <w:rFonts w:ascii="Calibri" w:hAnsi="Calibri" w:cs="Calibri"/>
              </w:rPr>
              <w:t>35.</w:t>
            </w:r>
            <w:r w:rsidR="00777D3A">
              <w:rPr>
                <w:rFonts w:ascii="Calibri" w:hAnsi="Calibri" w:cs="Calibri"/>
              </w:rPr>
              <w:t>0</w:t>
            </w:r>
          </w:p>
        </w:tc>
      </w:tr>
      <w:tr w:rsidR="003D3EC9" w:rsidRPr="0055506E" w14:paraId="685101C3" w14:textId="77777777" w:rsidTr="00997375">
        <w:trPr>
          <w:trHeight w:val="227"/>
        </w:trPr>
        <w:tc>
          <w:tcPr>
            <w:tcW w:w="1459" w:type="pct"/>
            <w:tcBorders>
              <w:top w:val="nil"/>
              <w:left w:val="nil"/>
              <w:bottom w:val="nil"/>
              <w:right w:val="nil"/>
            </w:tcBorders>
            <w:shd w:val="clear" w:color="auto" w:fill="auto"/>
            <w:vAlign w:val="center"/>
          </w:tcPr>
          <w:p w14:paraId="34A987A0"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66C4E09C" w14:textId="6E3B4F9D" w:rsidR="003D3EC9" w:rsidRPr="00636638" w:rsidRDefault="003D3EC9" w:rsidP="00636638">
            <w:pPr>
              <w:pStyle w:val="TableTextRight"/>
            </w:pPr>
            <w:r>
              <w:rPr>
                <w:rFonts w:ascii="Calibri" w:hAnsi="Calibri" w:cs="Calibri"/>
              </w:rPr>
              <w:t>51.8</w:t>
            </w:r>
          </w:p>
        </w:tc>
        <w:tc>
          <w:tcPr>
            <w:tcW w:w="591" w:type="pct"/>
            <w:tcBorders>
              <w:top w:val="nil"/>
              <w:left w:val="nil"/>
              <w:bottom w:val="nil"/>
              <w:right w:val="nil"/>
            </w:tcBorders>
            <w:shd w:val="clear" w:color="auto" w:fill="D2EDFF"/>
            <w:vAlign w:val="center"/>
          </w:tcPr>
          <w:p w14:paraId="29E9B88F" w14:textId="2815A142" w:rsidR="003D3EC9" w:rsidRPr="00636638" w:rsidRDefault="003D3EC9" w:rsidP="00636638">
            <w:pPr>
              <w:pStyle w:val="TableTextRight"/>
            </w:pPr>
            <w:r>
              <w:rPr>
                <w:rFonts w:ascii="Calibri" w:hAnsi="Calibri" w:cs="Calibri"/>
              </w:rPr>
              <w:t>45.</w:t>
            </w:r>
            <w:r w:rsidR="00777D3A">
              <w:rPr>
                <w:rFonts w:ascii="Calibri" w:hAnsi="Calibri" w:cs="Calibri"/>
              </w:rPr>
              <w:t>0</w:t>
            </w:r>
          </w:p>
        </w:tc>
        <w:tc>
          <w:tcPr>
            <w:tcW w:w="590" w:type="pct"/>
            <w:tcBorders>
              <w:top w:val="nil"/>
              <w:left w:val="nil"/>
              <w:bottom w:val="nil"/>
              <w:right w:val="nil"/>
            </w:tcBorders>
            <w:shd w:val="clear" w:color="auto" w:fill="auto"/>
            <w:vAlign w:val="center"/>
          </w:tcPr>
          <w:p w14:paraId="065A1168" w14:textId="5DE2E8CF" w:rsidR="003D3EC9" w:rsidRPr="00636638" w:rsidRDefault="00777D3A" w:rsidP="00636638">
            <w:pPr>
              <w:pStyle w:val="TableTextRight"/>
            </w:pPr>
            <w:r>
              <w:rPr>
                <w:rFonts w:ascii="Calibri" w:hAnsi="Calibri" w:cs="Calibri"/>
              </w:rPr>
              <w:t>34.</w:t>
            </w:r>
            <w:r w:rsidR="00544FBB">
              <w:rPr>
                <w:rFonts w:ascii="Calibri" w:hAnsi="Calibri" w:cs="Calibri"/>
              </w:rPr>
              <w:t>2</w:t>
            </w:r>
          </w:p>
        </w:tc>
        <w:tc>
          <w:tcPr>
            <w:tcW w:w="590" w:type="pct"/>
            <w:tcBorders>
              <w:top w:val="nil"/>
              <w:left w:val="nil"/>
              <w:bottom w:val="nil"/>
              <w:right w:val="nil"/>
            </w:tcBorders>
            <w:shd w:val="clear" w:color="auto" w:fill="auto"/>
            <w:vAlign w:val="center"/>
          </w:tcPr>
          <w:p w14:paraId="485A72E3" w14:textId="54909963" w:rsidR="003D3EC9" w:rsidRPr="00636638" w:rsidRDefault="00544FBB" w:rsidP="00636638">
            <w:pPr>
              <w:pStyle w:val="TableTextRight"/>
            </w:pPr>
            <w:r>
              <w:rPr>
                <w:rFonts w:ascii="Calibri" w:hAnsi="Calibri" w:cs="Calibri"/>
              </w:rPr>
              <w:t>22.8</w:t>
            </w:r>
          </w:p>
        </w:tc>
        <w:tc>
          <w:tcPr>
            <w:tcW w:w="590" w:type="pct"/>
            <w:tcBorders>
              <w:top w:val="nil"/>
              <w:left w:val="nil"/>
              <w:bottom w:val="nil"/>
              <w:right w:val="single" w:sz="4" w:space="0" w:color="auto"/>
            </w:tcBorders>
            <w:shd w:val="clear" w:color="auto" w:fill="auto"/>
            <w:vAlign w:val="center"/>
          </w:tcPr>
          <w:p w14:paraId="50F63978" w14:textId="5D9A658A" w:rsidR="003D3EC9" w:rsidRPr="00636638" w:rsidRDefault="00777D3A" w:rsidP="00636638">
            <w:pPr>
              <w:pStyle w:val="TableTextRight"/>
            </w:pPr>
            <w:r>
              <w:rPr>
                <w:rFonts w:ascii="Calibri" w:hAnsi="Calibri" w:cs="Calibri"/>
              </w:rPr>
              <w:t>18.8</w:t>
            </w:r>
          </w:p>
        </w:tc>
        <w:tc>
          <w:tcPr>
            <w:tcW w:w="589" w:type="pct"/>
            <w:tcBorders>
              <w:top w:val="nil"/>
              <w:left w:val="nil"/>
              <w:bottom w:val="nil"/>
              <w:right w:val="nil"/>
            </w:tcBorders>
            <w:shd w:val="clear" w:color="auto" w:fill="auto"/>
            <w:vAlign w:val="center"/>
          </w:tcPr>
          <w:p w14:paraId="1107839E" w14:textId="4B140200" w:rsidR="003D3EC9" w:rsidRPr="00636638" w:rsidRDefault="003D3EC9" w:rsidP="00636638">
            <w:pPr>
              <w:pStyle w:val="TableTextRight"/>
            </w:pPr>
            <w:r>
              <w:rPr>
                <w:rFonts w:ascii="Calibri" w:hAnsi="Calibri" w:cs="Calibri"/>
              </w:rPr>
              <w:t>20.</w:t>
            </w:r>
            <w:r w:rsidR="00777D3A">
              <w:rPr>
                <w:rFonts w:ascii="Calibri" w:hAnsi="Calibri" w:cs="Calibri"/>
              </w:rPr>
              <w:t>3</w:t>
            </w:r>
          </w:p>
        </w:tc>
      </w:tr>
      <w:tr w:rsidR="003D3EC9" w:rsidRPr="0055506E" w14:paraId="36E2259D" w14:textId="77777777" w:rsidTr="00997375">
        <w:trPr>
          <w:trHeight w:val="227"/>
        </w:trPr>
        <w:tc>
          <w:tcPr>
            <w:tcW w:w="1459" w:type="pct"/>
            <w:tcBorders>
              <w:top w:val="nil"/>
              <w:left w:val="nil"/>
              <w:bottom w:val="nil"/>
              <w:right w:val="nil"/>
            </w:tcBorders>
            <w:shd w:val="clear" w:color="auto" w:fill="auto"/>
            <w:vAlign w:val="center"/>
          </w:tcPr>
          <w:p w14:paraId="06BD8CFB"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nil"/>
              <w:right w:val="nil"/>
            </w:tcBorders>
            <w:shd w:val="clear" w:color="auto" w:fill="auto"/>
            <w:vAlign w:val="center"/>
          </w:tcPr>
          <w:p w14:paraId="30D62551" w14:textId="0F59D878" w:rsidR="003D3EC9" w:rsidRPr="00636638" w:rsidRDefault="003D3EC9" w:rsidP="00636638">
            <w:pPr>
              <w:pStyle w:val="TableTextRight"/>
            </w:pPr>
            <w:r>
              <w:rPr>
                <w:rFonts w:ascii="Calibri" w:hAnsi="Calibri" w:cs="Calibri"/>
              </w:rPr>
              <w:t>33.2</w:t>
            </w:r>
          </w:p>
        </w:tc>
        <w:tc>
          <w:tcPr>
            <w:tcW w:w="591" w:type="pct"/>
            <w:tcBorders>
              <w:top w:val="nil"/>
              <w:left w:val="nil"/>
              <w:bottom w:val="nil"/>
              <w:right w:val="nil"/>
            </w:tcBorders>
            <w:shd w:val="clear" w:color="auto" w:fill="D2EDFF"/>
            <w:vAlign w:val="center"/>
          </w:tcPr>
          <w:p w14:paraId="22626DBE" w14:textId="0C00FCEC" w:rsidR="003D3EC9" w:rsidRPr="00636638" w:rsidRDefault="003D3EC9" w:rsidP="00636638">
            <w:pPr>
              <w:pStyle w:val="TableTextRight"/>
            </w:pPr>
            <w:r>
              <w:rPr>
                <w:rFonts w:ascii="Calibri" w:hAnsi="Calibri" w:cs="Calibri"/>
              </w:rPr>
              <w:t>28.</w:t>
            </w:r>
            <w:r w:rsidR="00777D3A">
              <w:rPr>
                <w:rFonts w:ascii="Calibri" w:hAnsi="Calibri" w:cs="Calibri"/>
              </w:rPr>
              <w:t>6</w:t>
            </w:r>
          </w:p>
        </w:tc>
        <w:tc>
          <w:tcPr>
            <w:tcW w:w="590" w:type="pct"/>
            <w:tcBorders>
              <w:top w:val="nil"/>
              <w:left w:val="nil"/>
              <w:bottom w:val="nil"/>
              <w:right w:val="nil"/>
            </w:tcBorders>
            <w:shd w:val="clear" w:color="auto" w:fill="auto"/>
            <w:vAlign w:val="center"/>
          </w:tcPr>
          <w:p w14:paraId="3518D948" w14:textId="4B0AD975" w:rsidR="003D3EC9" w:rsidRPr="00636638" w:rsidRDefault="00777D3A" w:rsidP="00636638">
            <w:pPr>
              <w:pStyle w:val="TableTextRight"/>
            </w:pPr>
            <w:r>
              <w:rPr>
                <w:rFonts w:ascii="Calibri" w:hAnsi="Calibri" w:cs="Calibri"/>
              </w:rPr>
              <w:t>22.</w:t>
            </w:r>
            <w:r w:rsidR="00544FBB">
              <w:rPr>
                <w:rFonts w:ascii="Calibri" w:hAnsi="Calibri" w:cs="Calibri"/>
              </w:rPr>
              <w:t>6</w:t>
            </w:r>
          </w:p>
        </w:tc>
        <w:tc>
          <w:tcPr>
            <w:tcW w:w="590" w:type="pct"/>
            <w:tcBorders>
              <w:top w:val="nil"/>
              <w:left w:val="nil"/>
              <w:bottom w:val="nil"/>
              <w:right w:val="nil"/>
            </w:tcBorders>
            <w:shd w:val="clear" w:color="auto" w:fill="auto"/>
            <w:vAlign w:val="center"/>
          </w:tcPr>
          <w:p w14:paraId="15546F08" w14:textId="4E7FA496" w:rsidR="003D3EC9" w:rsidRPr="00636638" w:rsidRDefault="00777D3A" w:rsidP="00636638">
            <w:pPr>
              <w:pStyle w:val="TableTextRight"/>
            </w:pPr>
            <w:r>
              <w:rPr>
                <w:rFonts w:ascii="Calibri" w:hAnsi="Calibri" w:cs="Calibri"/>
              </w:rPr>
              <w:t>16.</w:t>
            </w:r>
            <w:r w:rsidR="00544FBB">
              <w:rPr>
                <w:rFonts w:ascii="Calibri" w:hAnsi="Calibri" w:cs="Calibri"/>
              </w:rPr>
              <w:t>4</w:t>
            </w:r>
          </w:p>
        </w:tc>
        <w:tc>
          <w:tcPr>
            <w:tcW w:w="590" w:type="pct"/>
            <w:tcBorders>
              <w:top w:val="nil"/>
              <w:left w:val="nil"/>
              <w:bottom w:val="nil"/>
              <w:right w:val="single" w:sz="4" w:space="0" w:color="auto"/>
            </w:tcBorders>
            <w:shd w:val="clear" w:color="auto" w:fill="auto"/>
            <w:vAlign w:val="center"/>
          </w:tcPr>
          <w:p w14:paraId="63345182" w14:textId="6FBE5608" w:rsidR="003D3EC9" w:rsidRPr="00636638" w:rsidRDefault="003D3EC9" w:rsidP="00636638">
            <w:pPr>
              <w:pStyle w:val="TableTextRight"/>
            </w:pPr>
            <w:r>
              <w:rPr>
                <w:rFonts w:ascii="Calibri" w:hAnsi="Calibri" w:cs="Calibri"/>
              </w:rPr>
              <w:t>14.</w:t>
            </w:r>
            <w:r w:rsidR="00777D3A">
              <w:rPr>
                <w:rFonts w:ascii="Calibri" w:hAnsi="Calibri" w:cs="Calibri"/>
              </w:rPr>
              <w:t>2</w:t>
            </w:r>
          </w:p>
        </w:tc>
        <w:tc>
          <w:tcPr>
            <w:tcW w:w="589" w:type="pct"/>
            <w:tcBorders>
              <w:top w:val="nil"/>
              <w:left w:val="nil"/>
              <w:bottom w:val="nil"/>
              <w:right w:val="nil"/>
            </w:tcBorders>
            <w:shd w:val="clear" w:color="auto" w:fill="auto"/>
            <w:vAlign w:val="center"/>
          </w:tcPr>
          <w:p w14:paraId="6927CCA1" w14:textId="74316E25" w:rsidR="003D3EC9" w:rsidRPr="00636638" w:rsidRDefault="003D3EC9" w:rsidP="00636638">
            <w:pPr>
              <w:pStyle w:val="TableTextRight"/>
            </w:pPr>
            <w:r>
              <w:rPr>
                <w:rFonts w:ascii="Calibri" w:hAnsi="Calibri" w:cs="Calibri"/>
              </w:rPr>
              <w:t>14.7</w:t>
            </w:r>
          </w:p>
        </w:tc>
      </w:tr>
      <w:tr w:rsidR="003D3EC9" w:rsidRPr="0055506E" w14:paraId="45D8D9D9" w14:textId="77777777" w:rsidTr="00997375">
        <w:trPr>
          <w:trHeight w:val="227"/>
        </w:trPr>
        <w:tc>
          <w:tcPr>
            <w:tcW w:w="1459" w:type="pct"/>
            <w:tcBorders>
              <w:top w:val="nil"/>
              <w:left w:val="nil"/>
              <w:bottom w:val="nil"/>
              <w:right w:val="nil"/>
            </w:tcBorders>
            <w:shd w:val="clear" w:color="auto" w:fill="auto"/>
            <w:vAlign w:val="center"/>
          </w:tcPr>
          <w:p w14:paraId="1CC9CBCF" w14:textId="3A5C3A43" w:rsidR="003D3EC9" w:rsidRPr="0055506E" w:rsidRDefault="003D3EC9" w:rsidP="00636638">
            <w:pPr>
              <w:pStyle w:val="TableColumnHeadingLeft"/>
              <w:rPr>
                <w:rFonts w:eastAsia="Times New Roman"/>
              </w:rPr>
            </w:pPr>
            <w:r>
              <w:t>Net internal migration (</w:t>
            </w:r>
            <w:r w:rsidR="00050D25">
              <w:t>‘</w:t>
            </w:r>
            <w:r>
              <w:t>000)</w:t>
            </w:r>
          </w:p>
        </w:tc>
        <w:tc>
          <w:tcPr>
            <w:tcW w:w="591" w:type="pct"/>
            <w:tcBorders>
              <w:top w:val="nil"/>
              <w:left w:val="nil"/>
              <w:bottom w:val="nil"/>
              <w:right w:val="nil"/>
            </w:tcBorders>
            <w:shd w:val="clear" w:color="auto" w:fill="auto"/>
            <w:vAlign w:val="center"/>
          </w:tcPr>
          <w:p w14:paraId="049C7A87"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0215349C" w14:textId="795ECD28"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028FF48E"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67A5A1AF"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5838ACF5" w14:textId="7B74BC88"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115004E7" w14:textId="77777777" w:rsidR="003D3EC9" w:rsidRPr="00636638" w:rsidRDefault="003D3EC9" w:rsidP="00636638">
            <w:pPr>
              <w:pStyle w:val="TableTextRight"/>
            </w:pPr>
          </w:p>
        </w:tc>
      </w:tr>
      <w:tr w:rsidR="003D3EC9" w:rsidRPr="0055506E" w14:paraId="4CE99AC2" w14:textId="77777777" w:rsidTr="00997375">
        <w:trPr>
          <w:trHeight w:val="227"/>
        </w:trPr>
        <w:tc>
          <w:tcPr>
            <w:tcW w:w="1459" w:type="pct"/>
            <w:tcBorders>
              <w:top w:val="nil"/>
              <w:left w:val="nil"/>
              <w:bottom w:val="nil"/>
              <w:right w:val="nil"/>
            </w:tcBorders>
            <w:shd w:val="clear" w:color="auto" w:fill="auto"/>
            <w:vAlign w:val="center"/>
          </w:tcPr>
          <w:p w14:paraId="2B2A420F"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0F350654" w14:textId="49694AA9" w:rsidR="003D3EC9" w:rsidRPr="00636638" w:rsidRDefault="003D3EC9" w:rsidP="00636638">
            <w:pPr>
              <w:pStyle w:val="TableTextRight"/>
            </w:pPr>
            <w:r>
              <w:rPr>
                <w:rFonts w:ascii="Calibri" w:hAnsi="Calibri" w:cs="Calibri"/>
              </w:rPr>
              <w:t>32.3</w:t>
            </w:r>
          </w:p>
        </w:tc>
        <w:tc>
          <w:tcPr>
            <w:tcW w:w="591" w:type="pct"/>
            <w:tcBorders>
              <w:top w:val="nil"/>
              <w:left w:val="nil"/>
              <w:bottom w:val="nil"/>
              <w:right w:val="nil"/>
            </w:tcBorders>
            <w:shd w:val="clear" w:color="auto" w:fill="D2EDFF"/>
            <w:vAlign w:val="center"/>
          </w:tcPr>
          <w:p w14:paraId="004085EF" w14:textId="3950D290" w:rsidR="003D3EC9" w:rsidRPr="00636638" w:rsidRDefault="003D3EC9" w:rsidP="00636638">
            <w:pPr>
              <w:pStyle w:val="TableTextRight"/>
            </w:pPr>
            <w:r>
              <w:rPr>
                <w:rFonts w:ascii="Calibri" w:hAnsi="Calibri" w:cs="Calibri"/>
              </w:rPr>
              <w:t>30.0</w:t>
            </w:r>
          </w:p>
        </w:tc>
        <w:tc>
          <w:tcPr>
            <w:tcW w:w="590" w:type="pct"/>
            <w:tcBorders>
              <w:top w:val="nil"/>
              <w:left w:val="nil"/>
              <w:bottom w:val="nil"/>
              <w:right w:val="nil"/>
            </w:tcBorders>
            <w:shd w:val="clear" w:color="auto" w:fill="auto"/>
            <w:vAlign w:val="center"/>
          </w:tcPr>
          <w:p w14:paraId="465EC4E4" w14:textId="6B1CF0B6" w:rsidR="003D3EC9" w:rsidRPr="00636638" w:rsidRDefault="003D3EC9" w:rsidP="00636638">
            <w:pPr>
              <w:pStyle w:val="TableTextRight"/>
            </w:pPr>
            <w:r>
              <w:rPr>
                <w:rFonts w:ascii="Calibri" w:hAnsi="Calibri" w:cs="Calibri"/>
              </w:rPr>
              <w:t>25.</w:t>
            </w:r>
            <w:r w:rsidR="00544FBB">
              <w:rPr>
                <w:rFonts w:ascii="Calibri" w:hAnsi="Calibri" w:cs="Calibri"/>
              </w:rPr>
              <w:t>5</w:t>
            </w:r>
          </w:p>
        </w:tc>
        <w:tc>
          <w:tcPr>
            <w:tcW w:w="590" w:type="pct"/>
            <w:tcBorders>
              <w:top w:val="nil"/>
              <w:left w:val="nil"/>
              <w:bottom w:val="nil"/>
              <w:right w:val="nil"/>
            </w:tcBorders>
            <w:shd w:val="clear" w:color="auto" w:fill="auto"/>
            <w:vAlign w:val="center"/>
          </w:tcPr>
          <w:p w14:paraId="3CB438F8" w14:textId="764124FD" w:rsidR="003D3EC9" w:rsidRPr="00636638" w:rsidRDefault="00544FBB" w:rsidP="00636638">
            <w:pPr>
              <w:pStyle w:val="TableTextRight"/>
            </w:pPr>
            <w:r>
              <w:rPr>
                <w:rFonts w:ascii="Calibri" w:hAnsi="Calibri" w:cs="Calibri"/>
              </w:rPr>
              <w:t>21.9</w:t>
            </w:r>
          </w:p>
        </w:tc>
        <w:tc>
          <w:tcPr>
            <w:tcW w:w="590" w:type="pct"/>
            <w:tcBorders>
              <w:top w:val="nil"/>
              <w:left w:val="nil"/>
              <w:bottom w:val="nil"/>
              <w:right w:val="single" w:sz="4" w:space="0" w:color="auto"/>
            </w:tcBorders>
            <w:shd w:val="clear" w:color="auto" w:fill="auto"/>
            <w:vAlign w:val="center"/>
          </w:tcPr>
          <w:p w14:paraId="68FA57A9" w14:textId="53C9C11D" w:rsidR="003D3EC9" w:rsidRPr="00636638" w:rsidRDefault="003D3EC9" w:rsidP="00636638">
            <w:pPr>
              <w:pStyle w:val="TableTextRight"/>
            </w:pPr>
            <w:r>
              <w:rPr>
                <w:rFonts w:ascii="Calibri" w:hAnsi="Calibri" w:cs="Calibri"/>
              </w:rPr>
              <w:t>19.</w:t>
            </w:r>
            <w:r w:rsidR="00777D3A">
              <w:rPr>
                <w:rFonts w:ascii="Calibri" w:hAnsi="Calibri" w:cs="Calibri"/>
              </w:rPr>
              <w:t>7</w:t>
            </w:r>
          </w:p>
        </w:tc>
        <w:tc>
          <w:tcPr>
            <w:tcW w:w="589" w:type="pct"/>
            <w:tcBorders>
              <w:top w:val="nil"/>
              <w:left w:val="nil"/>
              <w:bottom w:val="nil"/>
              <w:right w:val="nil"/>
            </w:tcBorders>
            <w:shd w:val="clear" w:color="auto" w:fill="auto"/>
            <w:vAlign w:val="center"/>
          </w:tcPr>
          <w:p w14:paraId="6701D8DE" w14:textId="38CE9181" w:rsidR="003D3EC9" w:rsidRPr="00636638" w:rsidRDefault="003D3EC9" w:rsidP="00636638">
            <w:pPr>
              <w:pStyle w:val="TableTextRight"/>
            </w:pPr>
            <w:r>
              <w:rPr>
                <w:rFonts w:ascii="Calibri" w:hAnsi="Calibri" w:cs="Calibri"/>
              </w:rPr>
              <w:t>19.9</w:t>
            </w:r>
          </w:p>
        </w:tc>
      </w:tr>
      <w:tr w:rsidR="003D3EC9" w:rsidRPr="0055506E" w14:paraId="4EFD3316" w14:textId="77777777" w:rsidTr="00997375">
        <w:trPr>
          <w:trHeight w:val="227"/>
        </w:trPr>
        <w:tc>
          <w:tcPr>
            <w:tcW w:w="1459" w:type="pct"/>
            <w:tcBorders>
              <w:top w:val="nil"/>
              <w:left w:val="nil"/>
              <w:bottom w:val="nil"/>
              <w:right w:val="nil"/>
            </w:tcBorders>
            <w:shd w:val="clear" w:color="auto" w:fill="auto"/>
            <w:vAlign w:val="center"/>
          </w:tcPr>
          <w:p w14:paraId="38E2E3B6"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734691C9" w14:textId="086A88BD" w:rsidR="003D3EC9" w:rsidRPr="00636638" w:rsidRDefault="003D3EC9" w:rsidP="00636638">
            <w:pPr>
              <w:pStyle w:val="TableTextRight"/>
            </w:pPr>
            <w:r>
              <w:rPr>
                <w:rFonts w:ascii="Calibri" w:hAnsi="Calibri" w:cs="Calibri"/>
              </w:rPr>
              <w:t>15.3</w:t>
            </w:r>
          </w:p>
        </w:tc>
        <w:tc>
          <w:tcPr>
            <w:tcW w:w="591" w:type="pct"/>
            <w:tcBorders>
              <w:top w:val="nil"/>
              <w:left w:val="nil"/>
              <w:bottom w:val="nil"/>
              <w:right w:val="nil"/>
            </w:tcBorders>
            <w:shd w:val="clear" w:color="auto" w:fill="D2EDFF"/>
            <w:vAlign w:val="center"/>
          </w:tcPr>
          <w:p w14:paraId="7553AF99" w14:textId="47942149" w:rsidR="003D3EC9" w:rsidRPr="00636638" w:rsidRDefault="003D3EC9" w:rsidP="00636638">
            <w:pPr>
              <w:pStyle w:val="TableTextRight"/>
            </w:pPr>
            <w:r>
              <w:rPr>
                <w:rFonts w:ascii="Calibri" w:hAnsi="Calibri" w:cs="Calibri"/>
              </w:rPr>
              <w:t>13.</w:t>
            </w:r>
            <w:r w:rsidR="00544FBB">
              <w:rPr>
                <w:rFonts w:ascii="Calibri" w:hAnsi="Calibri" w:cs="Calibri"/>
              </w:rPr>
              <w:t>4</w:t>
            </w:r>
          </w:p>
        </w:tc>
        <w:tc>
          <w:tcPr>
            <w:tcW w:w="590" w:type="pct"/>
            <w:tcBorders>
              <w:top w:val="nil"/>
              <w:left w:val="nil"/>
              <w:bottom w:val="nil"/>
              <w:right w:val="nil"/>
            </w:tcBorders>
            <w:shd w:val="clear" w:color="auto" w:fill="auto"/>
            <w:vAlign w:val="center"/>
          </w:tcPr>
          <w:p w14:paraId="268469DC" w14:textId="2B544FDA" w:rsidR="003D3EC9" w:rsidRPr="00636638" w:rsidRDefault="003D3EC9" w:rsidP="00636638">
            <w:pPr>
              <w:pStyle w:val="TableTextRight"/>
            </w:pPr>
            <w:r>
              <w:rPr>
                <w:rFonts w:ascii="Calibri" w:hAnsi="Calibri" w:cs="Calibri"/>
              </w:rPr>
              <w:t>11.4</w:t>
            </w:r>
          </w:p>
        </w:tc>
        <w:tc>
          <w:tcPr>
            <w:tcW w:w="590" w:type="pct"/>
            <w:tcBorders>
              <w:top w:val="nil"/>
              <w:left w:val="nil"/>
              <w:bottom w:val="nil"/>
              <w:right w:val="nil"/>
            </w:tcBorders>
            <w:shd w:val="clear" w:color="auto" w:fill="auto"/>
            <w:vAlign w:val="center"/>
          </w:tcPr>
          <w:p w14:paraId="40DDD857" w14:textId="6E0BE345" w:rsidR="003D3EC9" w:rsidRPr="00636638" w:rsidRDefault="003D3EC9" w:rsidP="00636638">
            <w:pPr>
              <w:pStyle w:val="TableTextRight"/>
            </w:pPr>
            <w:r>
              <w:rPr>
                <w:rFonts w:ascii="Calibri" w:hAnsi="Calibri" w:cs="Calibri"/>
              </w:rPr>
              <w:t>9.3</w:t>
            </w:r>
          </w:p>
        </w:tc>
        <w:tc>
          <w:tcPr>
            <w:tcW w:w="590" w:type="pct"/>
            <w:tcBorders>
              <w:top w:val="nil"/>
              <w:left w:val="nil"/>
              <w:bottom w:val="nil"/>
              <w:right w:val="single" w:sz="4" w:space="0" w:color="auto"/>
            </w:tcBorders>
            <w:shd w:val="clear" w:color="auto" w:fill="auto"/>
            <w:vAlign w:val="center"/>
          </w:tcPr>
          <w:p w14:paraId="19C15D05" w14:textId="73820928" w:rsidR="003D3EC9" w:rsidRPr="00636638" w:rsidRDefault="003D3EC9" w:rsidP="00636638">
            <w:pPr>
              <w:pStyle w:val="TableTextRight"/>
            </w:pPr>
            <w:r>
              <w:rPr>
                <w:rFonts w:ascii="Calibri" w:hAnsi="Calibri" w:cs="Calibri"/>
              </w:rPr>
              <w:t>8.0</w:t>
            </w:r>
          </w:p>
        </w:tc>
        <w:tc>
          <w:tcPr>
            <w:tcW w:w="589" w:type="pct"/>
            <w:tcBorders>
              <w:top w:val="nil"/>
              <w:left w:val="nil"/>
              <w:bottom w:val="nil"/>
              <w:right w:val="nil"/>
            </w:tcBorders>
            <w:shd w:val="clear" w:color="auto" w:fill="auto"/>
            <w:vAlign w:val="center"/>
          </w:tcPr>
          <w:p w14:paraId="2A1A535F" w14:textId="2A2584C5" w:rsidR="003D3EC9" w:rsidRPr="00636638" w:rsidRDefault="003D3EC9" w:rsidP="00636638">
            <w:pPr>
              <w:pStyle w:val="TableTextRight"/>
            </w:pPr>
            <w:r>
              <w:rPr>
                <w:rFonts w:ascii="Calibri" w:hAnsi="Calibri" w:cs="Calibri"/>
              </w:rPr>
              <w:t>6.9</w:t>
            </w:r>
          </w:p>
        </w:tc>
      </w:tr>
      <w:tr w:rsidR="003D3EC9" w:rsidRPr="0055506E" w14:paraId="77A54FB8" w14:textId="77777777" w:rsidTr="00997375">
        <w:trPr>
          <w:trHeight w:val="227"/>
        </w:trPr>
        <w:tc>
          <w:tcPr>
            <w:tcW w:w="1459" w:type="pct"/>
            <w:tcBorders>
              <w:top w:val="nil"/>
              <w:left w:val="nil"/>
              <w:bottom w:val="single" w:sz="4" w:space="0" w:color="auto"/>
              <w:right w:val="nil"/>
            </w:tcBorders>
            <w:shd w:val="clear" w:color="auto" w:fill="auto"/>
            <w:vAlign w:val="center"/>
          </w:tcPr>
          <w:p w14:paraId="629DA915"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single" w:sz="4" w:space="0" w:color="auto"/>
              <w:right w:val="nil"/>
            </w:tcBorders>
            <w:shd w:val="clear" w:color="auto" w:fill="auto"/>
            <w:vAlign w:val="center"/>
          </w:tcPr>
          <w:p w14:paraId="556C7F84" w14:textId="05C65986" w:rsidR="003D3EC9" w:rsidRPr="00636638" w:rsidRDefault="003D3EC9" w:rsidP="00636638">
            <w:pPr>
              <w:pStyle w:val="TableTextRight"/>
            </w:pPr>
            <w:r>
              <w:rPr>
                <w:rFonts w:ascii="Calibri" w:hAnsi="Calibri" w:cs="Calibri"/>
              </w:rPr>
              <w:t>16.9</w:t>
            </w:r>
          </w:p>
        </w:tc>
        <w:tc>
          <w:tcPr>
            <w:tcW w:w="591" w:type="pct"/>
            <w:tcBorders>
              <w:top w:val="nil"/>
              <w:left w:val="nil"/>
              <w:bottom w:val="single" w:sz="4" w:space="0" w:color="auto"/>
              <w:right w:val="nil"/>
            </w:tcBorders>
            <w:shd w:val="clear" w:color="auto" w:fill="D2EDFF"/>
            <w:vAlign w:val="center"/>
          </w:tcPr>
          <w:p w14:paraId="3E64D294" w14:textId="31BDA8FB" w:rsidR="003D3EC9" w:rsidRPr="00636638" w:rsidRDefault="003D3EC9" w:rsidP="00636638">
            <w:pPr>
              <w:pStyle w:val="TableTextRight"/>
            </w:pPr>
            <w:r>
              <w:rPr>
                <w:rFonts w:ascii="Calibri" w:hAnsi="Calibri" w:cs="Calibri"/>
              </w:rPr>
              <w:t>16.7</w:t>
            </w:r>
          </w:p>
        </w:tc>
        <w:tc>
          <w:tcPr>
            <w:tcW w:w="590" w:type="pct"/>
            <w:tcBorders>
              <w:top w:val="nil"/>
              <w:left w:val="nil"/>
              <w:bottom w:val="single" w:sz="4" w:space="0" w:color="auto"/>
              <w:right w:val="nil"/>
            </w:tcBorders>
            <w:shd w:val="clear" w:color="auto" w:fill="auto"/>
            <w:vAlign w:val="center"/>
          </w:tcPr>
          <w:p w14:paraId="3CEF599F" w14:textId="6587D4A4" w:rsidR="003D3EC9" w:rsidRPr="00636638" w:rsidRDefault="003D3EC9" w:rsidP="00636638">
            <w:pPr>
              <w:pStyle w:val="TableTextRight"/>
            </w:pPr>
            <w:r>
              <w:rPr>
                <w:rFonts w:ascii="Calibri" w:hAnsi="Calibri" w:cs="Calibri"/>
              </w:rPr>
              <w:t>14.1</w:t>
            </w:r>
          </w:p>
        </w:tc>
        <w:tc>
          <w:tcPr>
            <w:tcW w:w="590" w:type="pct"/>
            <w:tcBorders>
              <w:top w:val="nil"/>
              <w:left w:val="nil"/>
              <w:bottom w:val="single" w:sz="4" w:space="0" w:color="auto"/>
              <w:right w:val="nil"/>
            </w:tcBorders>
            <w:shd w:val="clear" w:color="auto" w:fill="auto"/>
            <w:vAlign w:val="center"/>
          </w:tcPr>
          <w:p w14:paraId="454E0B24" w14:textId="35D57073" w:rsidR="003D3EC9" w:rsidRPr="00636638" w:rsidRDefault="003D3EC9" w:rsidP="00636638">
            <w:pPr>
              <w:pStyle w:val="TableTextRight"/>
            </w:pPr>
            <w:r>
              <w:rPr>
                <w:rFonts w:ascii="Calibri" w:hAnsi="Calibri" w:cs="Calibri"/>
              </w:rPr>
              <w:t>12.7</w:t>
            </w:r>
          </w:p>
        </w:tc>
        <w:tc>
          <w:tcPr>
            <w:tcW w:w="590" w:type="pct"/>
            <w:tcBorders>
              <w:top w:val="nil"/>
              <w:left w:val="nil"/>
              <w:bottom w:val="single" w:sz="4" w:space="0" w:color="auto"/>
              <w:right w:val="single" w:sz="4" w:space="0" w:color="auto"/>
            </w:tcBorders>
            <w:shd w:val="clear" w:color="auto" w:fill="auto"/>
            <w:vAlign w:val="center"/>
          </w:tcPr>
          <w:p w14:paraId="5E0E50DF" w14:textId="55C28111" w:rsidR="003D3EC9" w:rsidRPr="00636638" w:rsidRDefault="003D3EC9" w:rsidP="00636638">
            <w:pPr>
              <w:pStyle w:val="TableTextRight"/>
            </w:pPr>
            <w:r>
              <w:rPr>
                <w:rFonts w:ascii="Calibri" w:hAnsi="Calibri" w:cs="Calibri"/>
              </w:rPr>
              <w:t>11.</w:t>
            </w:r>
            <w:r w:rsidR="00544FBB">
              <w:rPr>
                <w:rFonts w:ascii="Calibri" w:hAnsi="Calibri" w:cs="Calibri"/>
              </w:rPr>
              <w:t>7</w:t>
            </w:r>
          </w:p>
        </w:tc>
        <w:tc>
          <w:tcPr>
            <w:tcW w:w="589" w:type="pct"/>
            <w:tcBorders>
              <w:top w:val="nil"/>
              <w:left w:val="nil"/>
              <w:bottom w:val="single" w:sz="4" w:space="0" w:color="auto"/>
              <w:right w:val="nil"/>
            </w:tcBorders>
            <w:shd w:val="clear" w:color="auto" w:fill="auto"/>
            <w:vAlign w:val="center"/>
          </w:tcPr>
          <w:p w14:paraId="66417152" w14:textId="69C5DF34" w:rsidR="003D3EC9" w:rsidRPr="00636638" w:rsidRDefault="003D3EC9" w:rsidP="00636638">
            <w:pPr>
              <w:pStyle w:val="TableTextRight"/>
            </w:pPr>
            <w:r>
              <w:rPr>
                <w:rFonts w:ascii="Calibri" w:hAnsi="Calibri" w:cs="Calibri"/>
              </w:rPr>
              <w:t>13.0</w:t>
            </w:r>
          </w:p>
        </w:tc>
      </w:tr>
      <w:tr w:rsidR="003D3EC9" w:rsidRPr="0055506E" w14:paraId="4B294BB6" w14:textId="77777777" w:rsidTr="00997375">
        <w:trPr>
          <w:trHeight w:val="227"/>
        </w:trPr>
        <w:tc>
          <w:tcPr>
            <w:tcW w:w="1459" w:type="pct"/>
            <w:tcBorders>
              <w:top w:val="nil"/>
              <w:left w:val="nil"/>
              <w:bottom w:val="nil"/>
              <w:right w:val="nil"/>
            </w:tcBorders>
            <w:shd w:val="clear" w:color="auto" w:fill="auto"/>
            <w:vAlign w:val="center"/>
          </w:tcPr>
          <w:p w14:paraId="1BF04C7E" w14:textId="77777777" w:rsidR="003D3EC9" w:rsidRPr="0055506E" w:rsidRDefault="003D3EC9" w:rsidP="00636638">
            <w:pPr>
              <w:pStyle w:val="TableColumnHeadingLeft"/>
              <w:rPr>
                <w:rFonts w:eastAsia="Times New Roman"/>
              </w:rPr>
            </w:pPr>
            <w:r>
              <w:t>Median age (years)</w:t>
            </w:r>
          </w:p>
        </w:tc>
        <w:tc>
          <w:tcPr>
            <w:tcW w:w="591" w:type="pct"/>
            <w:tcBorders>
              <w:top w:val="nil"/>
              <w:left w:val="nil"/>
              <w:bottom w:val="nil"/>
              <w:right w:val="nil"/>
            </w:tcBorders>
            <w:shd w:val="clear" w:color="auto" w:fill="auto"/>
            <w:vAlign w:val="center"/>
          </w:tcPr>
          <w:p w14:paraId="6CB340FB" w14:textId="77777777" w:rsidR="003D3EC9" w:rsidRPr="00636638" w:rsidRDefault="003D3EC9" w:rsidP="00636638">
            <w:pPr>
              <w:pStyle w:val="TableTextRight"/>
            </w:pPr>
          </w:p>
        </w:tc>
        <w:tc>
          <w:tcPr>
            <w:tcW w:w="591" w:type="pct"/>
            <w:tcBorders>
              <w:top w:val="nil"/>
              <w:left w:val="nil"/>
              <w:bottom w:val="nil"/>
              <w:right w:val="nil"/>
            </w:tcBorders>
            <w:shd w:val="clear" w:color="auto" w:fill="D2EDFF"/>
            <w:vAlign w:val="center"/>
          </w:tcPr>
          <w:p w14:paraId="33D0DAC4" w14:textId="0AA8416E" w:rsidR="003D3EC9" w:rsidRPr="00636638" w:rsidRDefault="003D3EC9" w:rsidP="00636638">
            <w:pPr>
              <w:pStyle w:val="TableTextRight"/>
            </w:pPr>
            <w:r>
              <w:rPr>
                <w:rFonts w:ascii="Calibri" w:hAnsi="Calibri" w:cs="Calibri"/>
              </w:rPr>
              <w:t> </w:t>
            </w:r>
          </w:p>
        </w:tc>
        <w:tc>
          <w:tcPr>
            <w:tcW w:w="590" w:type="pct"/>
            <w:tcBorders>
              <w:top w:val="nil"/>
              <w:left w:val="nil"/>
              <w:bottom w:val="nil"/>
              <w:right w:val="nil"/>
            </w:tcBorders>
            <w:shd w:val="clear" w:color="auto" w:fill="auto"/>
            <w:vAlign w:val="center"/>
          </w:tcPr>
          <w:p w14:paraId="6E655529" w14:textId="77777777" w:rsidR="003D3EC9" w:rsidRPr="00636638" w:rsidRDefault="003D3EC9" w:rsidP="00636638">
            <w:pPr>
              <w:pStyle w:val="TableTextRight"/>
            </w:pPr>
          </w:p>
        </w:tc>
        <w:tc>
          <w:tcPr>
            <w:tcW w:w="590" w:type="pct"/>
            <w:tcBorders>
              <w:top w:val="nil"/>
              <w:left w:val="nil"/>
              <w:bottom w:val="nil"/>
              <w:right w:val="nil"/>
            </w:tcBorders>
            <w:shd w:val="clear" w:color="auto" w:fill="auto"/>
            <w:vAlign w:val="center"/>
          </w:tcPr>
          <w:p w14:paraId="4080FC6E" w14:textId="77777777" w:rsidR="003D3EC9" w:rsidRPr="00636638" w:rsidRDefault="003D3EC9" w:rsidP="00636638">
            <w:pPr>
              <w:pStyle w:val="TableTextRight"/>
            </w:pPr>
          </w:p>
        </w:tc>
        <w:tc>
          <w:tcPr>
            <w:tcW w:w="590" w:type="pct"/>
            <w:tcBorders>
              <w:top w:val="nil"/>
              <w:left w:val="nil"/>
              <w:bottom w:val="nil"/>
              <w:right w:val="single" w:sz="4" w:space="0" w:color="auto"/>
            </w:tcBorders>
            <w:shd w:val="clear" w:color="auto" w:fill="auto"/>
            <w:vAlign w:val="center"/>
          </w:tcPr>
          <w:p w14:paraId="2F60EF97" w14:textId="5DE98072" w:rsidR="003D3EC9" w:rsidRPr="00636638" w:rsidRDefault="003D3EC9" w:rsidP="00636638">
            <w:pPr>
              <w:pStyle w:val="TableTextRight"/>
            </w:pPr>
            <w:r>
              <w:rPr>
                <w:rFonts w:ascii="Calibri" w:hAnsi="Calibri" w:cs="Calibri"/>
              </w:rPr>
              <w:t> </w:t>
            </w:r>
          </w:p>
        </w:tc>
        <w:tc>
          <w:tcPr>
            <w:tcW w:w="589" w:type="pct"/>
            <w:tcBorders>
              <w:top w:val="nil"/>
              <w:left w:val="nil"/>
              <w:bottom w:val="nil"/>
              <w:right w:val="nil"/>
            </w:tcBorders>
            <w:shd w:val="clear" w:color="auto" w:fill="auto"/>
            <w:vAlign w:val="center"/>
          </w:tcPr>
          <w:p w14:paraId="34D42F59" w14:textId="77777777" w:rsidR="003D3EC9" w:rsidRPr="00636638" w:rsidRDefault="003D3EC9" w:rsidP="00636638">
            <w:pPr>
              <w:pStyle w:val="TableTextRight"/>
            </w:pPr>
          </w:p>
        </w:tc>
      </w:tr>
      <w:tr w:rsidR="003D3EC9" w:rsidRPr="0055506E" w14:paraId="0EA1C841" w14:textId="77777777" w:rsidTr="00997375">
        <w:trPr>
          <w:trHeight w:val="227"/>
        </w:trPr>
        <w:tc>
          <w:tcPr>
            <w:tcW w:w="1459" w:type="pct"/>
            <w:tcBorders>
              <w:top w:val="nil"/>
              <w:left w:val="nil"/>
              <w:bottom w:val="nil"/>
              <w:right w:val="nil"/>
            </w:tcBorders>
            <w:shd w:val="clear" w:color="auto" w:fill="auto"/>
            <w:vAlign w:val="center"/>
          </w:tcPr>
          <w:p w14:paraId="0A4A71EB" w14:textId="77777777" w:rsidR="003D3EC9" w:rsidRPr="0055506E" w:rsidRDefault="003D3EC9" w:rsidP="00F828E7">
            <w:pPr>
              <w:pStyle w:val="TableTextLeftBlue"/>
              <w:rPr>
                <w:rFonts w:eastAsia="Times New Roman"/>
              </w:rPr>
            </w:pPr>
            <w:r>
              <w:t>Queensland</w:t>
            </w:r>
          </w:p>
        </w:tc>
        <w:tc>
          <w:tcPr>
            <w:tcW w:w="591" w:type="pct"/>
            <w:tcBorders>
              <w:top w:val="nil"/>
              <w:left w:val="nil"/>
              <w:bottom w:val="nil"/>
              <w:right w:val="nil"/>
            </w:tcBorders>
            <w:shd w:val="clear" w:color="auto" w:fill="auto"/>
            <w:vAlign w:val="center"/>
          </w:tcPr>
          <w:p w14:paraId="6500EDF4" w14:textId="086249FA" w:rsidR="003D3EC9" w:rsidRPr="00636638" w:rsidRDefault="00777D3A" w:rsidP="00636638">
            <w:pPr>
              <w:pStyle w:val="TableTextRight"/>
            </w:pPr>
            <w:r>
              <w:rPr>
                <w:rFonts w:ascii="Calibri" w:hAnsi="Calibri" w:cs="Calibri"/>
              </w:rPr>
              <w:t>38</w:t>
            </w:r>
            <w:r w:rsidR="003D3EC9">
              <w:rPr>
                <w:rFonts w:ascii="Calibri" w:hAnsi="Calibri" w:cs="Calibri"/>
              </w:rPr>
              <w:t>.5</w:t>
            </w:r>
          </w:p>
        </w:tc>
        <w:tc>
          <w:tcPr>
            <w:tcW w:w="591" w:type="pct"/>
            <w:tcBorders>
              <w:top w:val="nil"/>
              <w:left w:val="nil"/>
              <w:bottom w:val="nil"/>
              <w:right w:val="nil"/>
            </w:tcBorders>
            <w:shd w:val="clear" w:color="auto" w:fill="D2EDFF"/>
            <w:vAlign w:val="center"/>
          </w:tcPr>
          <w:p w14:paraId="6FB5A293" w14:textId="096D15FE" w:rsidR="003D3EC9" w:rsidRPr="00636638" w:rsidRDefault="00777D3A" w:rsidP="00636638">
            <w:pPr>
              <w:pStyle w:val="TableTextRight"/>
            </w:pPr>
            <w:r>
              <w:rPr>
                <w:rFonts w:ascii="Calibri" w:hAnsi="Calibri" w:cs="Calibri"/>
              </w:rPr>
              <w:t>38</w:t>
            </w:r>
            <w:r w:rsidR="003D3EC9">
              <w:rPr>
                <w:rFonts w:ascii="Calibri" w:hAnsi="Calibri" w:cs="Calibri"/>
              </w:rPr>
              <w:t>.5</w:t>
            </w:r>
          </w:p>
        </w:tc>
        <w:tc>
          <w:tcPr>
            <w:tcW w:w="590" w:type="pct"/>
            <w:tcBorders>
              <w:top w:val="nil"/>
              <w:left w:val="nil"/>
              <w:bottom w:val="nil"/>
              <w:right w:val="nil"/>
            </w:tcBorders>
            <w:shd w:val="clear" w:color="auto" w:fill="auto"/>
            <w:vAlign w:val="center"/>
          </w:tcPr>
          <w:p w14:paraId="262AC1B0" w14:textId="21DAD298" w:rsidR="003D3EC9" w:rsidRPr="00636638" w:rsidRDefault="00777D3A" w:rsidP="00636638">
            <w:pPr>
              <w:pStyle w:val="TableTextRight"/>
            </w:pPr>
            <w:r>
              <w:rPr>
                <w:rFonts w:ascii="Calibri" w:hAnsi="Calibri" w:cs="Calibri"/>
              </w:rPr>
              <w:t>38</w:t>
            </w:r>
            <w:r w:rsidR="003D3EC9">
              <w:rPr>
                <w:rFonts w:ascii="Calibri" w:hAnsi="Calibri" w:cs="Calibri"/>
              </w:rPr>
              <w:t>.6</w:t>
            </w:r>
          </w:p>
        </w:tc>
        <w:tc>
          <w:tcPr>
            <w:tcW w:w="590" w:type="pct"/>
            <w:tcBorders>
              <w:top w:val="nil"/>
              <w:left w:val="nil"/>
              <w:bottom w:val="nil"/>
              <w:right w:val="nil"/>
            </w:tcBorders>
            <w:shd w:val="clear" w:color="auto" w:fill="auto"/>
            <w:vAlign w:val="center"/>
          </w:tcPr>
          <w:p w14:paraId="51554026" w14:textId="0D165A49" w:rsidR="003D3EC9" w:rsidRPr="00636638" w:rsidRDefault="00777D3A" w:rsidP="00636638">
            <w:pPr>
              <w:pStyle w:val="TableTextRight"/>
            </w:pPr>
            <w:r>
              <w:rPr>
                <w:rFonts w:ascii="Calibri" w:hAnsi="Calibri" w:cs="Calibri"/>
              </w:rPr>
              <w:t>38</w:t>
            </w:r>
            <w:r w:rsidR="003D3EC9">
              <w:rPr>
                <w:rFonts w:ascii="Calibri" w:hAnsi="Calibri" w:cs="Calibri"/>
              </w:rPr>
              <w:t>.8</w:t>
            </w:r>
          </w:p>
        </w:tc>
        <w:tc>
          <w:tcPr>
            <w:tcW w:w="590" w:type="pct"/>
            <w:tcBorders>
              <w:top w:val="nil"/>
              <w:left w:val="nil"/>
              <w:bottom w:val="nil"/>
              <w:right w:val="single" w:sz="4" w:space="0" w:color="auto"/>
            </w:tcBorders>
            <w:shd w:val="clear" w:color="auto" w:fill="auto"/>
            <w:vAlign w:val="center"/>
          </w:tcPr>
          <w:p w14:paraId="4E8AC905" w14:textId="620568CA" w:rsidR="003D3EC9" w:rsidRPr="00636638" w:rsidRDefault="00777D3A" w:rsidP="00636638">
            <w:pPr>
              <w:pStyle w:val="TableTextRight"/>
            </w:pPr>
            <w:r>
              <w:rPr>
                <w:rFonts w:ascii="Calibri" w:hAnsi="Calibri" w:cs="Calibri"/>
              </w:rPr>
              <w:t>39</w:t>
            </w:r>
            <w:r w:rsidR="003D3EC9">
              <w:rPr>
                <w:rFonts w:ascii="Calibri" w:hAnsi="Calibri" w:cs="Calibri"/>
              </w:rPr>
              <w:t>.0</w:t>
            </w:r>
          </w:p>
        </w:tc>
        <w:tc>
          <w:tcPr>
            <w:tcW w:w="589" w:type="pct"/>
            <w:tcBorders>
              <w:top w:val="nil"/>
              <w:left w:val="nil"/>
              <w:bottom w:val="nil"/>
              <w:right w:val="nil"/>
            </w:tcBorders>
            <w:shd w:val="clear" w:color="auto" w:fill="auto"/>
            <w:vAlign w:val="center"/>
          </w:tcPr>
          <w:p w14:paraId="3D4EAF24" w14:textId="6F966264" w:rsidR="003D3EC9" w:rsidRPr="00636638" w:rsidRDefault="00777D3A" w:rsidP="00636638">
            <w:pPr>
              <w:pStyle w:val="TableTextRight"/>
            </w:pPr>
            <w:r>
              <w:rPr>
                <w:rFonts w:ascii="Calibri" w:hAnsi="Calibri" w:cs="Calibri"/>
              </w:rPr>
              <w:t>40.5</w:t>
            </w:r>
          </w:p>
        </w:tc>
      </w:tr>
      <w:tr w:rsidR="003D3EC9" w:rsidRPr="0055506E" w14:paraId="5A721CAA" w14:textId="77777777" w:rsidTr="00997375">
        <w:trPr>
          <w:trHeight w:val="227"/>
        </w:trPr>
        <w:tc>
          <w:tcPr>
            <w:tcW w:w="1459" w:type="pct"/>
            <w:tcBorders>
              <w:top w:val="nil"/>
              <w:left w:val="nil"/>
              <w:bottom w:val="nil"/>
              <w:right w:val="nil"/>
            </w:tcBorders>
            <w:shd w:val="clear" w:color="auto" w:fill="auto"/>
            <w:vAlign w:val="center"/>
          </w:tcPr>
          <w:p w14:paraId="6F8C26B9" w14:textId="77777777" w:rsidR="003D3EC9" w:rsidRPr="0055506E" w:rsidRDefault="003D3EC9" w:rsidP="00F828E7">
            <w:pPr>
              <w:pStyle w:val="Tabletextleftindent"/>
              <w:rPr>
                <w:rFonts w:eastAsia="Times New Roman"/>
              </w:rPr>
            </w:pPr>
            <w:r>
              <w:t>Greater Brisbane</w:t>
            </w:r>
          </w:p>
        </w:tc>
        <w:tc>
          <w:tcPr>
            <w:tcW w:w="591" w:type="pct"/>
            <w:tcBorders>
              <w:top w:val="nil"/>
              <w:left w:val="nil"/>
              <w:bottom w:val="nil"/>
              <w:right w:val="nil"/>
            </w:tcBorders>
            <w:shd w:val="clear" w:color="auto" w:fill="auto"/>
            <w:vAlign w:val="center"/>
          </w:tcPr>
          <w:p w14:paraId="6EB6817D" w14:textId="58E7E1C7" w:rsidR="003D3EC9" w:rsidRPr="00636638" w:rsidRDefault="00777D3A" w:rsidP="00636638">
            <w:pPr>
              <w:pStyle w:val="TableTextRight"/>
            </w:pPr>
            <w:r>
              <w:rPr>
                <w:rFonts w:ascii="Calibri" w:hAnsi="Calibri" w:cs="Calibri"/>
              </w:rPr>
              <w:t>36</w:t>
            </w:r>
            <w:r w:rsidR="003D3EC9">
              <w:rPr>
                <w:rFonts w:ascii="Calibri" w:hAnsi="Calibri" w:cs="Calibri"/>
              </w:rPr>
              <w:t>.5</w:t>
            </w:r>
          </w:p>
        </w:tc>
        <w:tc>
          <w:tcPr>
            <w:tcW w:w="591" w:type="pct"/>
            <w:tcBorders>
              <w:top w:val="nil"/>
              <w:left w:val="nil"/>
              <w:bottom w:val="nil"/>
              <w:right w:val="nil"/>
            </w:tcBorders>
            <w:shd w:val="clear" w:color="auto" w:fill="D2EDFF"/>
            <w:vAlign w:val="center"/>
          </w:tcPr>
          <w:p w14:paraId="6A928308" w14:textId="3082E9C7" w:rsidR="003D3EC9" w:rsidRPr="00636638" w:rsidRDefault="00777D3A" w:rsidP="00636638">
            <w:pPr>
              <w:pStyle w:val="TableTextRight"/>
            </w:pPr>
            <w:r>
              <w:rPr>
                <w:rFonts w:ascii="Calibri" w:hAnsi="Calibri" w:cs="Calibri"/>
              </w:rPr>
              <w:t>36.5</w:t>
            </w:r>
          </w:p>
        </w:tc>
        <w:tc>
          <w:tcPr>
            <w:tcW w:w="590" w:type="pct"/>
            <w:tcBorders>
              <w:top w:val="nil"/>
              <w:left w:val="nil"/>
              <w:bottom w:val="nil"/>
              <w:right w:val="nil"/>
            </w:tcBorders>
            <w:shd w:val="clear" w:color="auto" w:fill="auto"/>
            <w:vAlign w:val="center"/>
          </w:tcPr>
          <w:p w14:paraId="11B9B608" w14:textId="633313A9" w:rsidR="003D3EC9" w:rsidRPr="00636638" w:rsidRDefault="00777D3A" w:rsidP="00636638">
            <w:pPr>
              <w:pStyle w:val="TableTextRight"/>
            </w:pPr>
            <w:r>
              <w:rPr>
                <w:rFonts w:ascii="Calibri" w:hAnsi="Calibri" w:cs="Calibri"/>
              </w:rPr>
              <w:t>36</w:t>
            </w:r>
            <w:r w:rsidR="003D3EC9">
              <w:rPr>
                <w:rFonts w:ascii="Calibri" w:hAnsi="Calibri" w:cs="Calibri"/>
              </w:rPr>
              <w:t>.6</w:t>
            </w:r>
          </w:p>
        </w:tc>
        <w:tc>
          <w:tcPr>
            <w:tcW w:w="590" w:type="pct"/>
            <w:tcBorders>
              <w:top w:val="nil"/>
              <w:left w:val="nil"/>
              <w:bottom w:val="nil"/>
              <w:right w:val="nil"/>
            </w:tcBorders>
            <w:shd w:val="clear" w:color="auto" w:fill="auto"/>
            <w:vAlign w:val="center"/>
          </w:tcPr>
          <w:p w14:paraId="1C890881" w14:textId="68E28689" w:rsidR="003D3EC9" w:rsidRPr="00636638" w:rsidRDefault="00777D3A" w:rsidP="00636638">
            <w:pPr>
              <w:pStyle w:val="TableTextRight"/>
            </w:pPr>
            <w:r>
              <w:rPr>
                <w:rFonts w:ascii="Calibri" w:hAnsi="Calibri" w:cs="Calibri"/>
              </w:rPr>
              <w:t>36</w:t>
            </w:r>
            <w:r w:rsidR="003D3EC9">
              <w:rPr>
                <w:rFonts w:ascii="Calibri" w:hAnsi="Calibri" w:cs="Calibri"/>
              </w:rPr>
              <w:t>.8</w:t>
            </w:r>
          </w:p>
        </w:tc>
        <w:tc>
          <w:tcPr>
            <w:tcW w:w="590" w:type="pct"/>
            <w:tcBorders>
              <w:top w:val="nil"/>
              <w:left w:val="nil"/>
              <w:bottom w:val="nil"/>
              <w:right w:val="single" w:sz="4" w:space="0" w:color="auto"/>
            </w:tcBorders>
            <w:shd w:val="clear" w:color="auto" w:fill="auto"/>
            <w:vAlign w:val="center"/>
          </w:tcPr>
          <w:p w14:paraId="50180E29" w14:textId="7CDDD50C" w:rsidR="003D3EC9" w:rsidRPr="00636638" w:rsidRDefault="00777D3A" w:rsidP="00636638">
            <w:pPr>
              <w:pStyle w:val="TableTextRight"/>
            </w:pPr>
            <w:r>
              <w:rPr>
                <w:rFonts w:ascii="Calibri" w:hAnsi="Calibri" w:cs="Calibri"/>
              </w:rPr>
              <w:t>37.0</w:t>
            </w:r>
          </w:p>
        </w:tc>
        <w:tc>
          <w:tcPr>
            <w:tcW w:w="589" w:type="pct"/>
            <w:tcBorders>
              <w:top w:val="nil"/>
              <w:left w:val="nil"/>
              <w:bottom w:val="nil"/>
              <w:right w:val="nil"/>
            </w:tcBorders>
            <w:shd w:val="clear" w:color="auto" w:fill="auto"/>
            <w:vAlign w:val="center"/>
          </w:tcPr>
          <w:p w14:paraId="45E417CE" w14:textId="5A12E345" w:rsidR="003D3EC9" w:rsidRPr="00636638" w:rsidRDefault="00777D3A" w:rsidP="00636638">
            <w:pPr>
              <w:pStyle w:val="TableTextRight"/>
            </w:pPr>
            <w:r>
              <w:rPr>
                <w:rFonts w:ascii="Calibri" w:hAnsi="Calibri" w:cs="Calibri"/>
              </w:rPr>
              <w:t>38.5</w:t>
            </w:r>
          </w:p>
        </w:tc>
      </w:tr>
      <w:tr w:rsidR="003D3EC9" w:rsidRPr="0055506E" w14:paraId="22A0A7E6" w14:textId="77777777" w:rsidTr="00997375">
        <w:trPr>
          <w:trHeight w:val="227"/>
        </w:trPr>
        <w:tc>
          <w:tcPr>
            <w:tcW w:w="1459" w:type="pct"/>
            <w:tcBorders>
              <w:top w:val="nil"/>
              <w:left w:val="nil"/>
              <w:bottom w:val="single" w:sz="4" w:space="0" w:color="auto"/>
              <w:right w:val="nil"/>
            </w:tcBorders>
            <w:shd w:val="clear" w:color="auto" w:fill="auto"/>
            <w:vAlign w:val="center"/>
          </w:tcPr>
          <w:p w14:paraId="66C29600" w14:textId="77777777" w:rsidR="003D3EC9" w:rsidRPr="0055506E" w:rsidRDefault="003D3EC9" w:rsidP="00F828E7">
            <w:pPr>
              <w:pStyle w:val="Tabletextleftindent"/>
              <w:rPr>
                <w:rFonts w:eastAsia="Times New Roman"/>
              </w:rPr>
            </w:pPr>
            <w:r>
              <w:t>Rest of Queensland</w:t>
            </w:r>
          </w:p>
        </w:tc>
        <w:tc>
          <w:tcPr>
            <w:tcW w:w="591" w:type="pct"/>
            <w:tcBorders>
              <w:top w:val="nil"/>
              <w:left w:val="nil"/>
              <w:bottom w:val="single" w:sz="4" w:space="0" w:color="auto"/>
              <w:right w:val="nil"/>
            </w:tcBorders>
            <w:shd w:val="clear" w:color="auto" w:fill="auto"/>
            <w:vAlign w:val="center"/>
          </w:tcPr>
          <w:p w14:paraId="52015B96" w14:textId="6C945087" w:rsidR="003D3EC9" w:rsidRPr="00636638" w:rsidRDefault="00777D3A" w:rsidP="00636638">
            <w:pPr>
              <w:pStyle w:val="TableTextRight"/>
            </w:pPr>
            <w:r>
              <w:rPr>
                <w:rFonts w:ascii="Calibri" w:hAnsi="Calibri" w:cs="Calibri"/>
              </w:rPr>
              <w:t>40</w:t>
            </w:r>
            <w:r w:rsidR="003D3EC9">
              <w:rPr>
                <w:rFonts w:ascii="Calibri" w:hAnsi="Calibri" w:cs="Calibri"/>
              </w:rPr>
              <w:t>.7</w:t>
            </w:r>
          </w:p>
        </w:tc>
        <w:tc>
          <w:tcPr>
            <w:tcW w:w="591" w:type="pct"/>
            <w:tcBorders>
              <w:top w:val="nil"/>
              <w:left w:val="nil"/>
              <w:bottom w:val="single" w:sz="4" w:space="0" w:color="auto"/>
              <w:right w:val="nil"/>
            </w:tcBorders>
            <w:shd w:val="clear" w:color="auto" w:fill="D2EDFF"/>
            <w:vAlign w:val="center"/>
          </w:tcPr>
          <w:p w14:paraId="19235E50" w14:textId="50AA8CE2" w:rsidR="003D3EC9" w:rsidRPr="00636638" w:rsidRDefault="00777D3A" w:rsidP="00636638">
            <w:pPr>
              <w:pStyle w:val="TableTextRight"/>
            </w:pPr>
            <w:r>
              <w:rPr>
                <w:rFonts w:ascii="Calibri" w:hAnsi="Calibri" w:cs="Calibri"/>
              </w:rPr>
              <w:t>40</w:t>
            </w:r>
            <w:r w:rsidR="003D3EC9">
              <w:rPr>
                <w:rFonts w:ascii="Calibri" w:hAnsi="Calibri" w:cs="Calibri"/>
              </w:rPr>
              <w:t>.8</w:t>
            </w:r>
          </w:p>
        </w:tc>
        <w:tc>
          <w:tcPr>
            <w:tcW w:w="590" w:type="pct"/>
            <w:tcBorders>
              <w:top w:val="nil"/>
              <w:left w:val="nil"/>
              <w:bottom w:val="single" w:sz="4" w:space="0" w:color="auto"/>
              <w:right w:val="nil"/>
            </w:tcBorders>
            <w:shd w:val="clear" w:color="auto" w:fill="auto"/>
            <w:vAlign w:val="center"/>
          </w:tcPr>
          <w:p w14:paraId="7CE5EE36" w14:textId="1D71F7E8" w:rsidR="003D3EC9" w:rsidRPr="00636638" w:rsidRDefault="00777D3A" w:rsidP="00636638">
            <w:pPr>
              <w:pStyle w:val="TableTextRight"/>
            </w:pPr>
            <w:r>
              <w:rPr>
                <w:rFonts w:ascii="Calibri" w:hAnsi="Calibri" w:cs="Calibri"/>
              </w:rPr>
              <w:t>40</w:t>
            </w:r>
            <w:r w:rsidR="003D3EC9">
              <w:rPr>
                <w:rFonts w:ascii="Calibri" w:hAnsi="Calibri" w:cs="Calibri"/>
              </w:rPr>
              <w:t>.9</w:t>
            </w:r>
          </w:p>
        </w:tc>
        <w:tc>
          <w:tcPr>
            <w:tcW w:w="590" w:type="pct"/>
            <w:tcBorders>
              <w:top w:val="nil"/>
              <w:left w:val="nil"/>
              <w:bottom w:val="single" w:sz="4" w:space="0" w:color="auto"/>
              <w:right w:val="nil"/>
            </w:tcBorders>
            <w:shd w:val="clear" w:color="auto" w:fill="auto"/>
            <w:vAlign w:val="center"/>
          </w:tcPr>
          <w:p w14:paraId="1BF094F1" w14:textId="141E54AD" w:rsidR="003D3EC9" w:rsidRPr="00636638" w:rsidRDefault="00777D3A" w:rsidP="00636638">
            <w:pPr>
              <w:pStyle w:val="TableTextRight"/>
            </w:pPr>
            <w:r>
              <w:rPr>
                <w:rFonts w:ascii="Calibri" w:hAnsi="Calibri" w:cs="Calibri"/>
              </w:rPr>
              <w:t>41</w:t>
            </w:r>
            <w:r w:rsidR="003D3EC9">
              <w:rPr>
                <w:rFonts w:ascii="Calibri" w:hAnsi="Calibri" w:cs="Calibri"/>
              </w:rPr>
              <w:t>.1</w:t>
            </w:r>
          </w:p>
        </w:tc>
        <w:tc>
          <w:tcPr>
            <w:tcW w:w="590" w:type="pct"/>
            <w:tcBorders>
              <w:top w:val="nil"/>
              <w:left w:val="nil"/>
              <w:bottom w:val="single" w:sz="4" w:space="0" w:color="auto"/>
              <w:right w:val="single" w:sz="4" w:space="0" w:color="auto"/>
            </w:tcBorders>
            <w:shd w:val="clear" w:color="auto" w:fill="auto"/>
            <w:vAlign w:val="center"/>
          </w:tcPr>
          <w:p w14:paraId="778E96D2" w14:textId="0EB58156" w:rsidR="003D3EC9" w:rsidRPr="00636638" w:rsidRDefault="00777D3A" w:rsidP="00636638">
            <w:pPr>
              <w:pStyle w:val="TableTextRight"/>
            </w:pPr>
            <w:r>
              <w:rPr>
                <w:rFonts w:ascii="Calibri" w:hAnsi="Calibri" w:cs="Calibri"/>
              </w:rPr>
              <w:t>41.3</w:t>
            </w:r>
          </w:p>
        </w:tc>
        <w:tc>
          <w:tcPr>
            <w:tcW w:w="589" w:type="pct"/>
            <w:tcBorders>
              <w:top w:val="nil"/>
              <w:left w:val="nil"/>
              <w:bottom w:val="single" w:sz="4" w:space="0" w:color="auto"/>
              <w:right w:val="nil"/>
            </w:tcBorders>
            <w:shd w:val="clear" w:color="auto" w:fill="auto"/>
            <w:vAlign w:val="center"/>
          </w:tcPr>
          <w:p w14:paraId="343CFC1D" w14:textId="0E9EE72E" w:rsidR="003D3EC9" w:rsidRPr="00636638" w:rsidRDefault="00777D3A" w:rsidP="00636638">
            <w:pPr>
              <w:pStyle w:val="TableTextRight"/>
            </w:pPr>
            <w:r>
              <w:rPr>
                <w:rFonts w:ascii="Calibri" w:hAnsi="Calibri" w:cs="Calibri"/>
              </w:rPr>
              <w:t>42</w:t>
            </w:r>
            <w:r w:rsidR="003D3EC9">
              <w:rPr>
                <w:rFonts w:ascii="Calibri" w:hAnsi="Calibri" w:cs="Calibri"/>
              </w:rPr>
              <w:t>.8</w:t>
            </w:r>
          </w:p>
        </w:tc>
      </w:tr>
    </w:tbl>
    <w:p w14:paraId="0855E159" w14:textId="319D5E41" w:rsidR="00756BE9" w:rsidRDefault="003D3EC9" w:rsidP="003D3EC9">
      <w:pPr>
        <w:pStyle w:val="Source"/>
        <w:rPr>
          <w:rFonts w:ascii="Calibri" w:eastAsia="SimSun" w:hAnsi="Calibri" w:cs="Times New Roman"/>
        </w:rPr>
      </w:pPr>
      <w:r w:rsidRPr="00E90FB6">
        <w:t xml:space="preserve">Source: </w:t>
      </w:r>
      <w:r w:rsidRPr="00E90FB6">
        <w:tab/>
      </w:r>
      <w:r w:rsidRPr="00917535">
        <w:rPr>
          <w:rFonts w:ascii="Calibri" w:eastAsia="SimSun" w:hAnsi="Calibri" w:cs="Times New Roman"/>
        </w:rPr>
        <w:t xml:space="preserve">ABS, </w:t>
      </w:r>
      <w:r w:rsidR="009155F8" w:rsidRPr="00997375">
        <w:rPr>
          <w:rStyle w:val="SubtleEmphasis"/>
        </w:rPr>
        <w:t>National, state and territory population, March 2024</w:t>
      </w:r>
      <w:r>
        <w:rPr>
          <w:rFonts w:ascii="Calibri" w:eastAsia="SimSun" w:hAnsi="Calibri" w:cs="Times New Roman"/>
        </w:rPr>
        <w:t xml:space="preserve">; ABS, </w:t>
      </w:r>
      <w:r w:rsidR="0035214B" w:rsidRPr="00997375">
        <w:rPr>
          <w:rStyle w:val="SubtleEmphasis"/>
        </w:rPr>
        <w:t>Regional population, 2022–23</w:t>
      </w:r>
      <w:r>
        <w:rPr>
          <w:rFonts w:ascii="Calibri" w:eastAsia="SimSun" w:hAnsi="Calibri" w:cs="Times New Roman"/>
        </w:rPr>
        <w:t>; and Centre for Population.</w:t>
      </w:r>
    </w:p>
    <w:p w14:paraId="2FBF8762" w14:textId="77777777" w:rsidR="00756BE9" w:rsidRDefault="00756BE9">
      <w:pPr>
        <w:spacing w:before="0" w:after="160" w:line="259" w:lineRule="auto"/>
        <w:rPr>
          <w:rFonts w:ascii="Calibri" w:eastAsia="SimSun" w:hAnsi="Calibri" w:cs="Times New Roman"/>
          <w:sz w:val="18"/>
          <w:bdr w:val="none" w:sz="0" w:space="0" w:color="auto" w:frame="1"/>
        </w:rPr>
      </w:pPr>
      <w:r>
        <w:rPr>
          <w:rFonts w:ascii="Calibri" w:eastAsia="SimSun" w:hAnsi="Calibri" w:cs="Times New Roman"/>
        </w:rPr>
        <w:br w:type="page"/>
      </w:r>
    </w:p>
    <w:p w14:paraId="61B2CF0C" w14:textId="77777777" w:rsidR="003D3EC9" w:rsidRDefault="003D3EC9" w:rsidP="003D3EC9">
      <w:pPr>
        <w:pStyle w:val="Heading2Numbered"/>
      </w:pPr>
      <w:bookmarkStart w:id="204" w:name="_Toc149846511"/>
      <w:bookmarkStart w:id="205" w:name="_Toc149846552"/>
      <w:bookmarkStart w:id="206" w:name="_Toc149846650"/>
      <w:bookmarkStart w:id="207" w:name="_Toc149847593"/>
      <w:r>
        <w:lastRenderedPageBreak/>
        <w:t xml:space="preserve"> </w:t>
      </w:r>
      <w:bookmarkStart w:id="208" w:name="_Toc180584524"/>
      <w:bookmarkStart w:id="209" w:name="_Toc185333115"/>
      <w:bookmarkStart w:id="210" w:name="_Toc185346732"/>
      <w:r>
        <w:t>South Australia</w:t>
      </w:r>
      <w:bookmarkEnd w:id="202"/>
      <w:bookmarkEnd w:id="204"/>
      <w:bookmarkEnd w:id="205"/>
      <w:bookmarkEnd w:id="206"/>
      <w:bookmarkEnd w:id="207"/>
      <w:bookmarkEnd w:id="208"/>
      <w:bookmarkEnd w:id="209"/>
      <w:bookmarkEnd w:id="210"/>
    </w:p>
    <w:p w14:paraId="23BDF6A6" w14:textId="68C02DD0" w:rsidR="003D3EC9" w:rsidRPr="00E67296" w:rsidRDefault="003D3EC9" w:rsidP="003D3EC9">
      <w:pPr>
        <w:rPr>
          <w:rFonts w:ascii="Calibri" w:eastAsia="SimSun" w:hAnsi="Calibri" w:cs="Times New Roman"/>
        </w:rPr>
      </w:pPr>
      <w:r w:rsidRPr="00E67296">
        <w:rPr>
          <w:rFonts w:ascii="Calibri" w:eastAsia="SimSun" w:hAnsi="Calibri" w:cs="Times New Roman"/>
        </w:rPr>
        <w:t>South Australia</w:t>
      </w:r>
      <w:r w:rsidR="00050D25">
        <w:rPr>
          <w:rFonts w:ascii="Calibri" w:eastAsia="SimSun" w:hAnsi="Calibri" w:cs="Times New Roman"/>
        </w:rPr>
        <w:t>’</w:t>
      </w:r>
      <w:r w:rsidRPr="00E67296">
        <w:rPr>
          <w:rFonts w:ascii="Calibri" w:eastAsia="SimSun" w:hAnsi="Calibri" w:cs="Times New Roman"/>
        </w:rPr>
        <w:t xml:space="preserve">s population is projected to </w:t>
      </w:r>
      <w:r>
        <w:rPr>
          <w:rFonts w:ascii="Calibri" w:eastAsia="SimSun" w:hAnsi="Calibri" w:cs="Times New Roman"/>
        </w:rPr>
        <w:t>increase from 1.9</w:t>
      </w:r>
      <w:r w:rsidR="00FF207F">
        <w:rPr>
          <w:rFonts w:ascii="Calibri" w:eastAsia="SimSun" w:hAnsi="Calibri" w:cs="Times New Roman"/>
        </w:rPr>
        <w:t> million</w:t>
      </w:r>
      <w:r>
        <w:rPr>
          <w:rFonts w:ascii="Calibri" w:eastAsia="SimSun" w:hAnsi="Calibri" w:cs="Times New Roman"/>
        </w:rPr>
        <w:t xml:space="preserve"> in 2023–24 to </w:t>
      </w:r>
      <w:r w:rsidRPr="00E67296">
        <w:rPr>
          <w:rFonts w:ascii="Calibri" w:eastAsia="SimSun" w:hAnsi="Calibri" w:cs="Times New Roman"/>
        </w:rPr>
        <w:t>2.0</w:t>
      </w:r>
      <w:r w:rsidR="00FF207F">
        <w:rPr>
          <w:rFonts w:ascii="Calibri" w:eastAsia="SimSun" w:hAnsi="Calibri" w:cs="Times New Roman"/>
        </w:rPr>
        <w:t> million</w:t>
      </w:r>
      <w:r w:rsidRPr="00E67296">
        <w:rPr>
          <w:rFonts w:ascii="Calibri" w:eastAsia="SimSun" w:hAnsi="Calibri" w:cs="Times New Roman"/>
        </w:rPr>
        <w:t xml:space="preserve"> </w:t>
      </w:r>
      <w:r>
        <w:rPr>
          <w:rFonts w:ascii="Calibri" w:eastAsia="SimSun" w:hAnsi="Calibri" w:cs="Times New Roman"/>
        </w:rPr>
        <w:t>in</w:t>
      </w:r>
      <w:r w:rsidRPr="00E67296">
        <w:rPr>
          <w:rFonts w:ascii="Calibri" w:eastAsia="SimSun" w:hAnsi="Calibri" w:cs="Times New Roman"/>
        </w:rPr>
        <w:t xml:space="preserve"> 2034–35. </w:t>
      </w:r>
      <w:r w:rsidRPr="00997375">
        <w:t>Population growth is forecast to decline to 1.3</w:t>
      </w:r>
      <w:r w:rsidR="00FF207F" w:rsidRPr="00997375">
        <w:t> per cent</w:t>
      </w:r>
      <w:r w:rsidRPr="00997375">
        <w:t xml:space="preserve"> in 2023–24 and 1.0</w:t>
      </w:r>
      <w:r w:rsidR="00FF207F" w:rsidRPr="00997375">
        <w:t> per cent</w:t>
      </w:r>
      <w:r w:rsidRPr="00997375">
        <w:t xml:space="preserve"> in 2024–25, before gradually declining to 0.7</w:t>
      </w:r>
      <w:r w:rsidR="00FF207F" w:rsidRPr="00997375">
        <w:t> per cent</w:t>
      </w:r>
      <w:r w:rsidRPr="00997375">
        <w:t xml:space="preserve"> by 2034–35. South Australia is projected to have the second lowest</w:t>
      </w:r>
      <w:r w:rsidRPr="00997375" w:rsidDel="00C01F3F">
        <w:t xml:space="preserve"> </w:t>
      </w:r>
      <w:r w:rsidRPr="00997375">
        <w:t>population growth</w:t>
      </w:r>
      <w:r w:rsidRPr="00E67296">
        <w:rPr>
          <w:rFonts w:ascii="Calibri" w:eastAsia="SimSun" w:hAnsi="Calibri" w:cs="Times New Roman"/>
        </w:rPr>
        <w:t xml:space="preserve"> from 202</w:t>
      </w:r>
      <w:r w:rsidR="002F5713">
        <w:rPr>
          <w:rFonts w:ascii="Calibri" w:eastAsia="SimSun" w:hAnsi="Calibri" w:cs="Times New Roman"/>
        </w:rPr>
        <w:t>6</w:t>
      </w:r>
      <w:r>
        <w:rPr>
          <w:rFonts w:ascii="Calibri" w:eastAsia="SimSun" w:hAnsi="Calibri" w:cs="Times New Roman"/>
        </w:rPr>
        <w:t>–</w:t>
      </w:r>
      <w:r w:rsidRPr="00E67296">
        <w:rPr>
          <w:rFonts w:ascii="Calibri" w:eastAsia="SimSun" w:hAnsi="Calibri" w:cs="Times New Roman"/>
        </w:rPr>
        <w:t>2</w:t>
      </w:r>
      <w:r w:rsidR="002F5713">
        <w:rPr>
          <w:rFonts w:ascii="Calibri" w:eastAsia="SimSun" w:hAnsi="Calibri" w:cs="Times New Roman"/>
        </w:rPr>
        <w:t>7</w:t>
      </w:r>
      <w:r>
        <w:rPr>
          <w:rFonts w:ascii="Calibri" w:eastAsia="SimSun" w:hAnsi="Calibri" w:cs="Times New Roman"/>
        </w:rPr>
        <w:t xml:space="preserve">, </w:t>
      </w:r>
      <w:proofErr w:type="gramStart"/>
      <w:r>
        <w:rPr>
          <w:rFonts w:ascii="Calibri" w:eastAsia="SimSun" w:hAnsi="Calibri" w:cs="Times New Roman"/>
        </w:rPr>
        <w:t>exceeding</w:t>
      </w:r>
      <w:proofErr w:type="gramEnd"/>
      <w:r>
        <w:rPr>
          <w:rFonts w:ascii="Calibri" w:eastAsia="SimSun" w:hAnsi="Calibri" w:cs="Times New Roman"/>
        </w:rPr>
        <w:t xml:space="preserve"> only Tasmania</w:t>
      </w:r>
      <w:r w:rsidRPr="00E67296">
        <w:rPr>
          <w:rFonts w:ascii="Calibri" w:eastAsia="SimSun" w:hAnsi="Calibri" w:cs="Times New Roman"/>
        </w:rPr>
        <w:t>.</w:t>
      </w:r>
    </w:p>
    <w:p w14:paraId="49ABF860" w14:textId="37953457" w:rsidR="003D3EC9" w:rsidRPr="00E67296" w:rsidRDefault="00E84835" w:rsidP="003D3EC9">
      <w:pPr>
        <w:rPr>
          <w:rFonts w:ascii="Calibri" w:eastAsia="SimSun" w:hAnsi="Calibri" w:cs="Times New Roman"/>
        </w:rPr>
      </w:pPr>
      <w:r>
        <w:rPr>
          <w:rFonts w:ascii="Calibri" w:eastAsia="SimSun" w:hAnsi="Calibri" w:cs="Times New Roman"/>
        </w:rPr>
        <w:t>NOM</w:t>
      </w:r>
      <w:r w:rsidR="003D3EC9" w:rsidRPr="00E67296">
        <w:rPr>
          <w:rFonts w:ascii="Calibri" w:eastAsia="SimSun" w:hAnsi="Calibri" w:cs="Times New Roman"/>
        </w:rPr>
        <w:t xml:space="preserve"> is forecast to </w:t>
      </w:r>
      <w:r w:rsidR="003B00BC">
        <w:rPr>
          <w:rFonts w:ascii="Calibri" w:eastAsia="SimSun" w:hAnsi="Calibri" w:cs="Times New Roman"/>
        </w:rPr>
        <w:t xml:space="preserve">drive almost </w:t>
      </w:r>
      <w:proofErr w:type="gramStart"/>
      <w:r w:rsidR="003B00BC">
        <w:rPr>
          <w:rFonts w:ascii="Calibri" w:eastAsia="SimSun" w:hAnsi="Calibri" w:cs="Times New Roman"/>
        </w:rPr>
        <w:t xml:space="preserve">all </w:t>
      </w:r>
      <w:r w:rsidR="003D3EC9" w:rsidRPr="00E67296">
        <w:rPr>
          <w:rFonts w:ascii="Calibri" w:eastAsia="SimSun" w:hAnsi="Calibri" w:cs="Times New Roman"/>
        </w:rPr>
        <w:t>of</w:t>
      </w:r>
      <w:proofErr w:type="gramEnd"/>
      <w:r w:rsidR="009C1030">
        <w:rPr>
          <w:rFonts w:ascii="Calibri" w:eastAsia="SimSun" w:hAnsi="Calibri" w:cs="Times New Roman"/>
        </w:rPr>
        <w:t xml:space="preserve"> the</w:t>
      </w:r>
      <w:r w:rsidR="003D3EC9" w:rsidRPr="00E67296">
        <w:rPr>
          <w:rFonts w:ascii="Calibri" w:eastAsia="SimSun" w:hAnsi="Calibri" w:cs="Times New Roman"/>
        </w:rPr>
        <w:t xml:space="preserve"> population growth in South Australia, contributing </w:t>
      </w:r>
      <w:r w:rsidR="00EE6764">
        <w:rPr>
          <w:rFonts w:ascii="Calibri" w:eastAsia="SimSun" w:hAnsi="Calibri" w:cs="Times New Roman"/>
        </w:rPr>
        <w:t>97</w:t>
      </w:r>
      <w:r w:rsidR="00FF207F">
        <w:rPr>
          <w:rFonts w:ascii="Calibri" w:eastAsia="SimSun" w:hAnsi="Calibri" w:cs="Times New Roman"/>
        </w:rPr>
        <w:t> per cent</w:t>
      </w:r>
      <w:r w:rsidR="003D3EC9" w:rsidRPr="00E67296">
        <w:rPr>
          <w:rFonts w:ascii="Calibri" w:eastAsia="SimSun" w:hAnsi="Calibri" w:cs="Times New Roman"/>
        </w:rPr>
        <w:t xml:space="preserve"> between 2024–25 and 2034–35. </w:t>
      </w:r>
      <w:r w:rsidR="003D3EC9">
        <w:rPr>
          <w:rFonts w:ascii="Calibri" w:eastAsia="SimSun" w:hAnsi="Calibri" w:cs="Times New Roman"/>
        </w:rPr>
        <w:t>The contribution from natural increase to South Australia</w:t>
      </w:r>
      <w:r w:rsidR="00050D25">
        <w:rPr>
          <w:rFonts w:ascii="Calibri" w:eastAsia="SimSun" w:hAnsi="Calibri" w:cs="Times New Roman"/>
        </w:rPr>
        <w:t>’</w:t>
      </w:r>
      <w:r w:rsidR="003D3EC9">
        <w:rPr>
          <w:rFonts w:ascii="Calibri" w:eastAsia="SimSun" w:hAnsi="Calibri" w:cs="Times New Roman"/>
        </w:rPr>
        <w:t xml:space="preserve">s population growth is expected to be </w:t>
      </w:r>
      <w:r w:rsidR="003D3EC9" w:rsidDel="00297629">
        <w:rPr>
          <w:rFonts w:ascii="Calibri" w:eastAsia="SimSun" w:hAnsi="Calibri" w:cs="Times New Roman"/>
        </w:rPr>
        <w:t xml:space="preserve">the second </w:t>
      </w:r>
      <w:r w:rsidR="003D3EC9" w:rsidRPr="00E67296">
        <w:rPr>
          <w:rFonts w:ascii="Calibri" w:eastAsia="SimSun" w:hAnsi="Calibri" w:cs="Times New Roman"/>
        </w:rPr>
        <w:t xml:space="preserve">weakest of any state after Tasmania. Net interstate migration is expected to </w:t>
      </w:r>
      <w:r w:rsidR="003D3EC9">
        <w:rPr>
          <w:rFonts w:ascii="Calibri" w:eastAsia="SimSun" w:hAnsi="Calibri" w:cs="Times New Roman"/>
        </w:rPr>
        <w:t>sub</w:t>
      </w:r>
      <w:r w:rsidR="003D3EC9" w:rsidRPr="00E67296">
        <w:rPr>
          <w:rFonts w:ascii="Calibri" w:eastAsia="SimSun" w:hAnsi="Calibri" w:cs="Times New Roman"/>
        </w:rPr>
        <w:t>tract around 0.2 percentage points from growth in each of the projection years.</w:t>
      </w:r>
    </w:p>
    <w:p w14:paraId="65644BF2" w14:textId="709E3890" w:rsidR="003D3EC9" w:rsidRDefault="003D3EC9" w:rsidP="00654915">
      <w:pPr>
        <w:pStyle w:val="ChartMainHeading"/>
      </w:pPr>
      <w:r w:rsidRPr="0080495D">
        <w:t xml:space="preserve">Population growth </w:t>
      </w:r>
      <w:r w:rsidR="007B4327">
        <w:t xml:space="preserve">in </w:t>
      </w:r>
      <w:r>
        <w:t>South Australia</w:t>
      </w:r>
    </w:p>
    <w:p w14:paraId="53C27148" w14:textId="00ECCFAC" w:rsidR="003D3EC9" w:rsidRPr="002E0E1C" w:rsidRDefault="00EE18BB" w:rsidP="003914B2">
      <w:pPr>
        <w:pStyle w:val="ChartGraphic"/>
      </w:pPr>
      <w:r w:rsidRPr="00EE18BB">
        <w:rPr>
          <w:noProof/>
        </w:rPr>
        <w:drawing>
          <wp:inline distT="0" distB="0" distL="0" distR="0" wp14:anchorId="3FE22422" wp14:editId="7F8D386A">
            <wp:extent cx="5580852" cy="2880000"/>
            <wp:effectExtent l="0" t="0" r="0" b="0"/>
            <wp:docPr id="2078311913" name="Picture 2078311913" descr="This chart shows the population growth rate and contribution to growth by components in South Australia. Growth in South Australia declined significantly in 2020–21 but recovered and peaked in 2022–23 driven by net overseas migration, which was the main driver of growth and is forecast to continue. Net overseas migration is expected to decline and stabilise by 2026–27, while interstate migration outflows are expected to increase and stabilise in the sam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11913" name="Picture 2078311913" descr="This chart shows the population growth rate and contribution to growth by components in South Australia. Growth in South Australia declined significantly in 2020–21 but recovered and peaked in 2022–23 driven by net overseas migration, which was the main driver of growth and is forecast to continue. Net overseas migration is expected to decline and stabilise by 2026–27, while interstate migration outflows are expected to increase and stabilise in the same yea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0852" cy="2880000"/>
                    </a:xfrm>
                    <a:prstGeom prst="rect">
                      <a:avLst/>
                    </a:prstGeom>
                    <a:noFill/>
                    <a:ln>
                      <a:noFill/>
                    </a:ln>
                  </pic:spPr>
                </pic:pic>
              </a:graphicData>
            </a:graphic>
          </wp:inline>
        </w:drawing>
      </w:r>
    </w:p>
    <w:p w14:paraId="6580C659" w14:textId="42E7A25C" w:rsidR="003D3EC9" w:rsidRPr="008A444E" w:rsidRDefault="003D3EC9" w:rsidP="003D3EC9">
      <w:pPr>
        <w:pStyle w:val="Source"/>
      </w:pPr>
      <w:r w:rsidRPr="004218BD">
        <w:t xml:space="preserve">Source: </w:t>
      </w:r>
      <w:r>
        <w:tab/>
      </w:r>
      <w:r w:rsidRPr="004218BD">
        <w:t xml:space="preserve">ABS, </w:t>
      </w:r>
      <w:r w:rsidR="009155F8" w:rsidRPr="00997375">
        <w:rPr>
          <w:rStyle w:val="SubtleEmphasis"/>
        </w:rPr>
        <w:t>National, state and territory population, March 2024</w:t>
      </w:r>
      <w:r w:rsidRPr="00997375">
        <w:rPr>
          <w:rStyle w:val="SubtleEmphasis"/>
        </w:rPr>
        <w:t>;</w:t>
      </w:r>
      <w:r>
        <w:t xml:space="preserve"> and Centre for Population</w:t>
      </w:r>
      <w:r w:rsidRPr="004218BD">
        <w:t>.</w:t>
      </w:r>
    </w:p>
    <w:p w14:paraId="5373A825" w14:textId="77777777" w:rsidR="00997375" w:rsidRDefault="00997375" w:rsidP="00997375">
      <w:pPr>
        <w:pStyle w:val="SingleParagraph"/>
      </w:pPr>
    </w:p>
    <w:p w14:paraId="18463374" w14:textId="0FB8F6FC" w:rsidR="003D3EC9" w:rsidRPr="0071392E" w:rsidRDefault="003D3EC9" w:rsidP="003D3EC9">
      <w:pPr>
        <w:rPr>
          <w:rFonts w:ascii="Calibri" w:eastAsia="SimSun" w:hAnsi="Calibri" w:cs="Times New Roman"/>
        </w:rPr>
      </w:pPr>
      <w:r w:rsidRPr="6D45E0D0">
        <w:rPr>
          <w:rFonts w:ascii="Calibri" w:eastAsia="SimSun" w:hAnsi="Calibri" w:cs="Times New Roman"/>
          <w:b/>
          <w:bCs/>
        </w:rPr>
        <w:t>Greater Adelaide</w:t>
      </w:r>
      <w:r w:rsidR="00050D25" w:rsidRPr="00AC57E1">
        <w:rPr>
          <w:rFonts w:ascii="Calibri" w:eastAsia="SimSun" w:hAnsi="Calibri" w:cs="Times New Roman"/>
        </w:rPr>
        <w:t>’</w:t>
      </w:r>
      <w:r w:rsidRPr="00AC57E1">
        <w:rPr>
          <w:rFonts w:ascii="Calibri" w:eastAsia="SimSun" w:hAnsi="Calibri" w:cs="Times New Roman"/>
        </w:rPr>
        <w:t>s</w:t>
      </w:r>
      <w:r w:rsidRPr="6D45E0D0">
        <w:rPr>
          <w:rFonts w:ascii="Calibri" w:eastAsia="SimSun" w:hAnsi="Calibri" w:cs="Times New Roman"/>
          <w:b/>
          <w:bCs/>
        </w:rPr>
        <w:t xml:space="preserve"> </w:t>
      </w:r>
      <w:r w:rsidRPr="6D45E0D0">
        <w:rPr>
          <w:rFonts w:ascii="Calibri" w:eastAsia="SimSun" w:hAnsi="Calibri" w:cs="Times New Roman"/>
        </w:rPr>
        <w:t>population is expected to be 1.5</w:t>
      </w:r>
      <w:r w:rsidR="00FF207F">
        <w:rPr>
          <w:rFonts w:ascii="Calibri" w:eastAsia="SimSun" w:hAnsi="Calibri" w:cs="Times New Roman"/>
        </w:rPr>
        <w:t> million</w:t>
      </w:r>
      <w:r w:rsidRPr="6D45E0D0">
        <w:rPr>
          <w:rFonts w:ascii="Calibri" w:eastAsia="SimSun" w:hAnsi="Calibri" w:cs="Times New Roman"/>
        </w:rPr>
        <w:t xml:space="preserve"> in 2023–24, representing 78</w:t>
      </w:r>
      <w:r w:rsidR="00FF207F">
        <w:rPr>
          <w:rFonts w:ascii="Calibri" w:eastAsia="SimSun" w:hAnsi="Calibri" w:cs="Times New Roman"/>
        </w:rPr>
        <w:t> per cent</w:t>
      </w:r>
      <w:r w:rsidRPr="6D45E0D0">
        <w:rPr>
          <w:rFonts w:ascii="Calibri" w:eastAsia="SimSun" w:hAnsi="Calibri" w:cs="Times New Roman"/>
        </w:rPr>
        <w:t xml:space="preserve"> of South Australia</w:t>
      </w:r>
      <w:r w:rsidR="00050D25">
        <w:rPr>
          <w:rFonts w:ascii="Calibri" w:eastAsia="SimSun" w:hAnsi="Calibri" w:cs="Times New Roman"/>
        </w:rPr>
        <w:t>’</w:t>
      </w:r>
      <w:r w:rsidRPr="6D45E0D0">
        <w:rPr>
          <w:rFonts w:ascii="Calibri" w:eastAsia="SimSun" w:hAnsi="Calibri" w:cs="Times New Roman"/>
        </w:rPr>
        <w:t>s population. Population growth in Adelaide is forecast to decrease to 1.5</w:t>
      </w:r>
      <w:r w:rsidR="00FF207F">
        <w:rPr>
          <w:rFonts w:ascii="Calibri" w:eastAsia="SimSun" w:hAnsi="Calibri" w:cs="Times New Roman"/>
        </w:rPr>
        <w:t> per cent</w:t>
      </w:r>
      <w:r w:rsidRPr="6D45E0D0">
        <w:rPr>
          <w:rFonts w:ascii="Calibri" w:eastAsia="SimSun" w:hAnsi="Calibri" w:cs="Times New Roman"/>
        </w:rPr>
        <w:t xml:space="preserve"> in 2023–24 and 1.1</w:t>
      </w:r>
      <w:r w:rsidR="00FF207F">
        <w:rPr>
          <w:rFonts w:ascii="Calibri" w:eastAsia="SimSun" w:hAnsi="Calibri" w:cs="Times New Roman"/>
        </w:rPr>
        <w:t> per cent</w:t>
      </w:r>
      <w:r w:rsidRPr="6D45E0D0">
        <w:rPr>
          <w:rFonts w:ascii="Calibri" w:eastAsia="SimSun" w:hAnsi="Calibri" w:cs="Times New Roman"/>
        </w:rPr>
        <w:t xml:space="preserve"> in 2024–25, slowing to 0.8</w:t>
      </w:r>
      <w:r w:rsidR="00FF207F">
        <w:rPr>
          <w:rFonts w:ascii="Calibri" w:eastAsia="SimSun" w:hAnsi="Calibri" w:cs="Times New Roman"/>
        </w:rPr>
        <w:t> per cent</w:t>
      </w:r>
      <w:r w:rsidRPr="6D45E0D0">
        <w:rPr>
          <w:rFonts w:ascii="Calibri" w:eastAsia="SimSun" w:hAnsi="Calibri" w:cs="Times New Roman"/>
        </w:rPr>
        <w:t xml:space="preserve"> by 2034–35. </w:t>
      </w:r>
      <w:proofErr w:type="gramStart"/>
      <w:r w:rsidRPr="6D45E0D0">
        <w:rPr>
          <w:rFonts w:ascii="Calibri" w:eastAsia="SimSun" w:hAnsi="Calibri" w:cs="Times New Roman"/>
        </w:rPr>
        <w:t>Similar to</w:t>
      </w:r>
      <w:proofErr w:type="gramEnd"/>
      <w:r w:rsidRPr="6D45E0D0">
        <w:rPr>
          <w:rFonts w:ascii="Calibri" w:eastAsia="SimSun" w:hAnsi="Calibri" w:cs="Times New Roman"/>
        </w:rPr>
        <w:t xml:space="preserve"> the state</w:t>
      </w:r>
      <w:r w:rsidR="00050D25">
        <w:rPr>
          <w:rFonts w:ascii="Calibri" w:eastAsia="SimSun" w:hAnsi="Calibri" w:cs="Times New Roman"/>
        </w:rPr>
        <w:noBreakHyphen/>
      </w:r>
      <w:r w:rsidRPr="6D45E0D0">
        <w:rPr>
          <w:rFonts w:ascii="Calibri" w:eastAsia="SimSun" w:hAnsi="Calibri" w:cs="Times New Roman"/>
        </w:rPr>
        <w:t xml:space="preserve">level projections, the majority of growth is expected to come from </w:t>
      </w:r>
      <w:r w:rsidR="00E84835">
        <w:rPr>
          <w:rFonts w:ascii="Calibri" w:eastAsia="SimSun" w:hAnsi="Calibri" w:cs="Times New Roman"/>
        </w:rPr>
        <w:t>NOM</w:t>
      </w:r>
      <w:r w:rsidRPr="6D45E0D0">
        <w:rPr>
          <w:rFonts w:ascii="Calibri" w:eastAsia="SimSun" w:hAnsi="Calibri" w:cs="Times New Roman"/>
        </w:rPr>
        <w:t>, with positive natural increase largely offset by internal migration outflows. Adelaide</w:t>
      </w:r>
      <w:r w:rsidR="00050D25">
        <w:rPr>
          <w:rFonts w:ascii="Calibri" w:eastAsia="SimSun" w:hAnsi="Calibri" w:cs="Times New Roman"/>
        </w:rPr>
        <w:t>’</w:t>
      </w:r>
      <w:r w:rsidRPr="6D45E0D0">
        <w:rPr>
          <w:rFonts w:ascii="Calibri" w:eastAsia="SimSun" w:hAnsi="Calibri" w:cs="Times New Roman"/>
        </w:rPr>
        <w:t>s population is projected to be 1.6</w:t>
      </w:r>
      <w:r w:rsidR="00FF207F">
        <w:rPr>
          <w:rFonts w:ascii="Calibri" w:eastAsia="SimSun" w:hAnsi="Calibri" w:cs="Times New Roman"/>
        </w:rPr>
        <w:t> million</w:t>
      </w:r>
      <w:r w:rsidRPr="6D45E0D0">
        <w:rPr>
          <w:rFonts w:ascii="Calibri" w:eastAsia="SimSun" w:hAnsi="Calibri" w:cs="Times New Roman"/>
        </w:rPr>
        <w:t xml:space="preserve"> in 2034–35. </w:t>
      </w:r>
    </w:p>
    <w:p w14:paraId="5E1A325E" w14:textId="729982A2" w:rsidR="003D3EC9" w:rsidRPr="00997375" w:rsidRDefault="003D3EC9" w:rsidP="003D3EC9">
      <w:pPr>
        <w:rPr>
          <w:rFonts w:ascii="Calibri" w:eastAsia="SimSun" w:hAnsi="Calibri" w:cs="Times New Roman"/>
        </w:rPr>
      </w:pPr>
      <w:r w:rsidRPr="3C362E4C">
        <w:rPr>
          <w:rFonts w:ascii="Calibri" w:eastAsia="SimSun" w:hAnsi="Calibri" w:cs="Times New Roman"/>
        </w:rPr>
        <w:t xml:space="preserve">The population of the </w:t>
      </w:r>
      <w:r w:rsidRPr="3C362E4C">
        <w:rPr>
          <w:rFonts w:ascii="Calibri" w:eastAsia="SimSun" w:hAnsi="Calibri" w:cs="Times New Roman"/>
          <w:b/>
          <w:bCs/>
        </w:rPr>
        <w:t>rest of South Australia</w:t>
      </w:r>
      <w:r w:rsidRPr="3C362E4C">
        <w:rPr>
          <w:rFonts w:ascii="Calibri" w:eastAsia="SimSun" w:hAnsi="Calibri" w:cs="Times New Roman"/>
        </w:rPr>
        <w:t xml:space="preserve"> is expected to be 409,000 in 2023–24. Population growth is forecast to increase to 0.8</w:t>
      </w:r>
      <w:r w:rsidR="00FF207F">
        <w:rPr>
          <w:rFonts w:ascii="Calibri" w:eastAsia="SimSun" w:hAnsi="Calibri" w:cs="Times New Roman"/>
        </w:rPr>
        <w:t> per cent</w:t>
      </w:r>
      <w:r w:rsidRPr="3C362E4C">
        <w:rPr>
          <w:rFonts w:ascii="Calibri" w:eastAsia="SimSun" w:hAnsi="Calibri" w:cs="Times New Roman"/>
        </w:rPr>
        <w:t xml:space="preserve"> in 2023–24 </w:t>
      </w:r>
      <w:r w:rsidR="00887896">
        <w:rPr>
          <w:rFonts w:ascii="Calibri" w:eastAsia="SimSun" w:hAnsi="Calibri" w:cs="Times New Roman"/>
        </w:rPr>
        <w:t>before falling</w:t>
      </w:r>
      <w:r w:rsidRPr="3C362E4C">
        <w:rPr>
          <w:rFonts w:ascii="Calibri" w:eastAsia="SimSun" w:hAnsi="Calibri" w:cs="Times New Roman"/>
        </w:rPr>
        <w:t xml:space="preserve"> to 0.6</w:t>
      </w:r>
      <w:r w:rsidR="00FF207F">
        <w:rPr>
          <w:rFonts w:ascii="Calibri" w:eastAsia="SimSun" w:hAnsi="Calibri" w:cs="Times New Roman"/>
        </w:rPr>
        <w:t> per cent</w:t>
      </w:r>
      <w:r w:rsidRPr="3C362E4C">
        <w:rPr>
          <w:rFonts w:ascii="Calibri" w:eastAsia="SimSun" w:hAnsi="Calibri" w:cs="Times New Roman"/>
        </w:rPr>
        <w:t xml:space="preserve"> in 2024–25. </w:t>
      </w:r>
      <w:r>
        <w:rPr>
          <w:rFonts w:ascii="Calibri" w:eastAsia="SimSun" w:hAnsi="Calibri" w:cs="Times New Roman"/>
        </w:rPr>
        <w:t>N</w:t>
      </w:r>
      <w:r w:rsidRPr="3C362E4C">
        <w:rPr>
          <w:rFonts w:ascii="Calibri" w:eastAsia="SimSun" w:hAnsi="Calibri" w:cs="Times New Roman"/>
        </w:rPr>
        <w:t>atural decrease</w:t>
      </w:r>
      <w:r>
        <w:rPr>
          <w:rFonts w:ascii="Calibri" w:eastAsia="SimSun" w:hAnsi="Calibri" w:cs="Times New Roman"/>
        </w:rPr>
        <w:t xml:space="preserve"> is projected to detract more from growth than</w:t>
      </w:r>
      <w:r w:rsidRPr="3C362E4C">
        <w:rPr>
          <w:rFonts w:ascii="Calibri" w:eastAsia="SimSun" w:hAnsi="Calibri" w:cs="Times New Roman"/>
        </w:rPr>
        <w:t xml:space="preserve"> </w:t>
      </w:r>
      <w:r>
        <w:rPr>
          <w:rFonts w:ascii="Calibri" w:eastAsia="SimSun" w:hAnsi="Calibri" w:cs="Times New Roman"/>
        </w:rPr>
        <w:t>in</w:t>
      </w:r>
      <w:r w:rsidRPr="3C362E4C">
        <w:rPr>
          <w:rFonts w:ascii="Calibri" w:eastAsia="SimSun" w:hAnsi="Calibri" w:cs="Times New Roman"/>
        </w:rPr>
        <w:t xml:space="preserve"> any </w:t>
      </w:r>
      <w:r>
        <w:rPr>
          <w:rFonts w:ascii="Calibri" w:eastAsia="SimSun" w:hAnsi="Calibri" w:cs="Times New Roman"/>
        </w:rPr>
        <w:t xml:space="preserve">other </w:t>
      </w:r>
      <w:r w:rsidRPr="3C362E4C">
        <w:rPr>
          <w:rFonts w:ascii="Calibri" w:eastAsia="SimSun" w:hAnsi="Calibri" w:cs="Times New Roman"/>
        </w:rPr>
        <w:t>rest</w:t>
      </w:r>
      <w:r w:rsidR="00050D25">
        <w:rPr>
          <w:rFonts w:ascii="Calibri" w:eastAsia="SimSun" w:hAnsi="Calibri" w:cs="Times New Roman"/>
        </w:rPr>
        <w:noBreakHyphen/>
      </w:r>
      <w:r w:rsidRPr="3C362E4C">
        <w:rPr>
          <w:rFonts w:ascii="Calibri" w:eastAsia="SimSun" w:hAnsi="Calibri" w:cs="Times New Roman"/>
        </w:rPr>
        <w:t>of</w:t>
      </w:r>
      <w:r w:rsidR="00050D25">
        <w:rPr>
          <w:rFonts w:ascii="Calibri" w:eastAsia="SimSun" w:hAnsi="Calibri" w:cs="Times New Roman"/>
        </w:rPr>
        <w:noBreakHyphen/>
      </w:r>
      <w:r w:rsidRPr="3C362E4C">
        <w:rPr>
          <w:rFonts w:ascii="Calibri" w:eastAsia="SimSun" w:hAnsi="Calibri" w:cs="Times New Roman"/>
        </w:rPr>
        <w:t xml:space="preserve">state area, reflecting </w:t>
      </w:r>
      <w:r w:rsidR="007A7B31">
        <w:rPr>
          <w:rFonts w:ascii="Calibri" w:eastAsia="SimSun" w:hAnsi="Calibri" w:cs="Times New Roman"/>
        </w:rPr>
        <w:t xml:space="preserve">the </w:t>
      </w:r>
      <w:r>
        <w:rPr>
          <w:rFonts w:ascii="Calibri" w:eastAsia="SimSun" w:hAnsi="Calibri" w:cs="Times New Roman"/>
        </w:rPr>
        <w:t>rest of South Australia</w:t>
      </w:r>
      <w:r w:rsidR="00050D25">
        <w:rPr>
          <w:rFonts w:ascii="Calibri" w:eastAsia="SimSun" w:hAnsi="Calibri" w:cs="Times New Roman"/>
        </w:rPr>
        <w:t>’</w:t>
      </w:r>
      <w:r>
        <w:rPr>
          <w:rFonts w:ascii="Calibri" w:eastAsia="SimSun" w:hAnsi="Calibri" w:cs="Times New Roman"/>
        </w:rPr>
        <w:t>s</w:t>
      </w:r>
      <w:r w:rsidRPr="3C362E4C">
        <w:rPr>
          <w:rFonts w:ascii="Calibri" w:eastAsia="SimSun" w:hAnsi="Calibri" w:cs="Times New Roman"/>
        </w:rPr>
        <w:t xml:space="preserve"> ageing population. Population growth is projected to be the slowest of any rest</w:t>
      </w:r>
      <w:r w:rsidR="00050D25">
        <w:rPr>
          <w:rFonts w:ascii="Calibri" w:eastAsia="SimSun" w:hAnsi="Calibri" w:cs="Times New Roman"/>
        </w:rPr>
        <w:noBreakHyphen/>
      </w:r>
      <w:r w:rsidRPr="3C362E4C">
        <w:rPr>
          <w:rFonts w:ascii="Calibri" w:eastAsia="SimSun" w:hAnsi="Calibri" w:cs="Times New Roman"/>
        </w:rPr>
        <w:t>of</w:t>
      </w:r>
      <w:r w:rsidR="00050D25">
        <w:rPr>
          <w:rFonts w:ascii="Calibri" w:eastAsia="SimSun" w:hAnsi="Calibri" w:cs="Times New Roman"/>
        </w:rPr>
        <w:noBreakHyphen/>
      </w:r>
      <w:r w:rsidRPr="3C362E4C">
        <w:rPr>
          <w:rFonts w:ascii="Calibri" w:eastAsia="SimSun" w:hAnsi="Calibri" w:cs="Times New Roman"/>
        </w:rPr>
        <w:t>state area from 2026–27 to 202</w:t>
      </w:r>
      <w:r w:rsidR="008D5880">
        <w:rPr>
          <w:rFonts w:ascii="Calibri" w:eastAsia="SimSun" w:hAnsi="Calibri" w:cs="Times New Roman"/>
        </w:rPr>
        <w:t>9</w:t>
      </w:r>
      <w:r w:rsidRPr="3C362E4C">
        <w:rPr>
          <w:rFonts w:ascii="Calibri" w:eastAsia="SimSun" w:hAnsi="Calibri" w:cs="Times New Roman"/>
        </w:rPr>
        <w:t>–</w:t>
      </w:r>
      <w:r w:rsidR="008D5880">
        <w:rPr>
          <w:rFonts w:ascii="Calibri" w:eastAsia="SimSun" w:hAnsi="Calibri" w:cs="Times New Roman"/>
        </w:rPr>
        <w:t>30</w:t>
      </w:r>
      <w:r w:rsidRPr="3C362E4C">
        <w:rPr>
          <w:rFonts w:ascii="Calibri" w:eastAsia="SimSun" w:hAnsi="Calibri" w:cs="Times New Roman"/>
        </w:rPr>
        <w:t>. Low growth is projected to lead to internal migration departures growing more slowly than arrivals, which leads to population growth recovering slightly to 0.3</w:t>
      </w:r>
      <w:r w:rsidR="00FF207F">
        <w:rPr>
          <w:rFonts w:ascii="Calibri" w:eastAsia="SimSun" w:hAnsi="Calibri" w:cs="Times New Roman"/>
        </w:rPr>
        <w:t> per cent</w:t>
      </w:r>
      <w:r w:rsidRPr="3C362E4C">
        <w:rPr>
          <w:rFonts w:ascii="Calibri" w:eastAsia="SimSun" w:hAnsi="Calibri" w:cs="Times New Roman"/>
        </w:rPr>
        <w:t xml:space="preserve"> in 2034–35. The rest of South Australia</w:t>
      </w:r>
      <w:r w:rsidR="00050D25">
        <w:rPr>
          <w:rFonts w:ascii="Calibri" w:eastAsia="SimSun" w:hAnsi="Calibri" w:cs="Times New Roman"/>
        </w:rPr>
        <w:t>’</w:t>
      </w:r>
      <w:r w:rsidRPr="3C362E4C">
        <w:rPr>
          <w:rFonts w:ascii="Calibri" w:eastAsia="SimSun" w:hAnsi="Calibri" w:cs="Times New Roman"/>
        </w:rPr>
        <w:t xml:space="preserve">s population is projected to be 421,000 in 2034–35. </w:t>
      </w:r>
    </w:p>
    <w:p w14:paraId="2E0B2C0C" w14:textId="0A0FCFEC" w:rsidR="003D3EC9" w:rsidRPr="00D47BF1" w:rsidRDefault="003D3EC9" w:rsidP="00654915">
      <w:pPr>
        <w:pStyle w:val="ChartMainHeading"/>
      </w:pPr>
      <w:r w:rsidRPr="00D47BF1">
        <w:lastRenderedPageBreak/>
        <w:t xml:space="preserve">Population growth in </w:t>
      </w:r>
      <w:r w:rsidRPr="00926A5E">
        <w:t xml:space="preserve">South Australia, Greater </w:t>
      </w:r>
      <w:proofErr w:type="gramStart"/>
      <w:r w:rsidRPr="00926A5E">
        <w:t>Adelaide</w:t>
      </w:r>
      <w:proofErr w:type="gramEnd"/>
      <w:r w:rsidRPr="00926A5E">
        <w:t xml:space="preserve"> and the rest of </w:t>
      </w:r>
      <w:r w:rsidR="00DC72A2" w:rsidRPr="00997375">
        <w:t>South</w:t>
      </w:r>
      <w:r w:rsidR="00997375">
        <w:t> </w:t>
      </w:r>
      <w:r w:rsidR="00DC72A2" w:rsidRPr="00997375">
        <w:t>Australia</w:t>
      </w:r>
    </w:p>
    <w:p w14:paraId="7DA59169" w14:textId="2D6D783F" w:rsidR="003D3EC9" w:rsidRDefault="00714A30" w:rsidP="00997375">
      <w:pPr>
        <w:pStyle w:val="ChartGraphic"/>
      </w:pPr>
      <w:r w:rsidRPr="00714A30">
        <w:t xml:space="preserve"> </w:t>
      </w:r>
      <w:r w:rsidR="00BE69FE" w:rsidRPr="00997375">
        <w:rPr>
          <w:noProof/>
        </w:rPr>
        <w:drawing>
          <wp:inline distT="0" distB="0" distL="0" distR="0" wp14:anchorId="7272CBCF" wp14:editId="68913608">
            <wp:extent cx="5610225" cy="2886075"/>
            <wp:effectExtent l="0" t="0" r="0" b="0"/>
            <wp:docPr id="1199539971" name="Picture 17" descr="This chart shows population growth for Adelaide, South Australia, and the rest of South Australia. Population growth in South Australia is driven by growth in Adelaide, which declined significantly in 2022–21. Growth in Adelaide recovered quickly and peaked in 2022–23 and is forecast to decline and stabilise over the projection period. Population growth in the rest of South Australia is expected to continue declining before begin increasing from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39971" name="Picture 17" descr="This chart shows population growth for Adelaide, South Australia, and the rest of South Australia. Population growth in South Australia is driven by growth in Adelaide, which declined significantly in 2022–21. Growth in Adelaide recovered quickly and peaked in 2022–23 and is forecast to decline and stabilise over the projection period. Population growth in the rest of South Australia is expected to continue declining before begin increasing from 2026–27.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53C86D2B" w14:textId="14BB7535" w:rsidR="003D3EC9" w:rsidRDefault="003D3EC9" w:rsidP="003D3EC9">
      <w:pPr>
        <w:pStyle w:val="Source"/>
        <w:rPr>
          <w:rStyle w:val="Hyperlink"/>
          <w:szCs w:val="18"/>
        </w:rPr>
      </w:pPr>
      <w:r w:rsidRPr="00F67DB6">
        <w:t>Source:</w:t>
      </w:r>
      <w:r w:rsidRPr="001F0DE5">
        <w:tab/>
      </w:r>
      <w:r w:rsidRPr="00F67DB6">
        <w:t xml:space="preserve">ABS, </w:t>
      </w:r>
      <w:r w:rsidR="0035214B" w:rsidRPr="00997375">
        <w:rPr>
          <w:rStyle w:val="SubtleEmphasis"/>
        </w:rPr>
        <w:t>Regional population, 2022–23</w:t>
      </w:r>
      <w:r>
        <w:t xml:space="preserve">; ABS, </w:t>
      </w:r>
      <w:r w:rsidR="009155F8" w:rsidRPr="00997375">
        <w:rPr>
          <w:rStyle w:val="SubtleEmphasis"/>
        </w:rPr>
        <w:t>National, state and territory population, March 2024</w:t>
      </w:r>
      <w:r>
        <w:t>; and Centre for Population</w:t>
      </w:r>
      <w:r w:rsidRPr="00F67DB6">
        <w:t>.</w:t>
      </w:r>
    </w:p>
    <w:p w14:paraId="2EE51779" w14:textId="77777777" w:rsidR="00756BE9" w:rsidRDefault="00756BE9" w:rsidP="00997375">
      <w:pPr>
        <w:pStyle w:val="SingleParagraph"/>
        <w:rPr>
          <w:color w:val="002C47" w:themeColor="accent1"/>
          <w:spacing w:val="15"/>
        </w:rPr>
      </w:pPr>
      <w:r>
        <w:br w:type="page"/>
      </w:r>
    </w:p>
    <w:p w14:paraId="4B10E68F" w14:textId="1EE41422" w:rsidR="003D3EC9" w:rsidRPr="0080495D" w:rsidRDefault="003D3EC9" w:rsidP="00A633E1">
      <w:pPr>
        <w:pStyle w:val="TableMainHeading"/>
      </w:pPr>
      <w:r w:rsidRPr="0080495D">
        <w:lastRenderedPageBreak/>
        <w:t xml:space="preserve">Population projections, </w:t>
      </w:r>
      <w:r>
        <w:t>South Australia</w:t>
      </w:r>
    </w:p>
    <w:tbl>
      <w:tblPr>
        <w:tblW w:w="5000" w:type="pct"/>
        <w:tblCellMar>
          <w:left w:w="0" w:type="dxa"/>
        </w:tblCellMar>
        <w:tblLook w:val="04A0" w:firstRow="1" w:lastRow="0" w:firstColumn="1" w:lastColumn="0" w:noHBand="0" w:noVBand="1"/>
      </w:tblPr>
      <w:tblGrid>
        <w:gridCol w:w="2778"/>
        <w:gridCol w:w="1049"/>
        <w:gridCol w:w="1049"/>
        <w:gridCol w:w="1049"/>
        <w:gridCol w:w="1049"/>
        <w:gridCol w:w="1049"/>
        <w:gridCol w:w="1049"/>
      </w:tblGrid>
      <w:tr w:rsidR="003D3EC9" w:rsidRPr="00A95458" w14:paraId="45A004D8" w14:textId="77777777" w:rsidTr="00756BE9">
        <w:trPr>
          <w:trHeight w:val="227"/>
        </w:trPr>
        <w:tc>
          <w:tcPr>
            <w:tcW w:w="1531" w:type="pct"/>
            <w:tcBorders>
              <w:top w:val="single" w:sz="4" w:space="0" w:color="auto"/>
              <w:left w:val="nil"/>
              <w:bottom w:val="single" w:sz="4" w:space="0" w:color="auto"/>
              <w:right w:val="nil"/>
            </w:tcBorders>
            <w:shd w:val="clear" w:color="auto" w:fill="auto"/>
            <w:vAlign w:val="center"/>
            <w:hideMark/>
          </w:tcPr>
          <w:p w14:paraId="6269D0EB" w14:textId="77777777" w:rsidR="003D3EC9" w:rsidRPr="00A95458" w:rsidRDefault="003D3EC9" w:rsidP="00916EF2">
            <w:pPr>
              <w:spacing w:before="0" w:after="0" w:line="240" w:lineRule="auto"/>
              <w:rPr>
                <w:rFonts w:ascii="Calibri" w:eastAsia="Times New Roman" w:hAnsi="Calibri" w:cs="Calibri"/>
                <w:color w:val="000000"/>
                <w:lang w:eastAsia="en-AU"/>
              </w:rPr>
            </w:pPr>
            <w:r w:rsidRPr="00A95458">
              <w:rPr>
                <w:rFonts w:ascii="Calibri" w:eastAsia="Times New Roman" w:hAnsi="Calibri" w:cs="Calibri"/>
                <w:color w:val="000000"/>
                <w:lang w:eastAsia="en-AU"/>
              </w:rPr>
              <w:t> </w:t>
            </w:r>
          </w:p>
        </w:tc>
        <w:tc>
          <w:tcPr>
            <w:tcW w:w="578" w:type="pct"/>
            <w:tcBorders>
              <w:top w:val="single" w:sz="4" w:space="0" w:color="auto"/>
              <w:left w:val="nil"/>
              <w:bottom w:val="single" w:sz="4" w:space="0" w:color="auto"/>
              <w:right w:val="nil"/>
            </w:tcBorders>
            <w:shd w:val="clear" w:color="auto" w:fill="auto"/>
            <w:noWrap/>
            <w:vAlign w:val="center"/>
            <w:hideMark/>
          </w:tcPr>
          <w:p w14:paraId="1080A077" w14:textId="77777777" w:rsidR="003D3EC9" w:rsidRPr="00A95458" w:rsidRDefault="003D3EC9" w:rsidP="00756BE9">
            <w:pPr>
              <w:pStyle w:val="TableColumnHeadingRight"/>
            </w:pPr>
            <w:r w:rsidRPr="00A95458">
              <w:t>2022</w:t>
            </w:r>
            <w:r>
              <w:t>–</w:t>
            </w:r>
            <w:r w:rsidRPr="00A95458">
              <w:t>23</w:t>
            </w:r>
          </w:p>
        </w:tc>
        <w:tc>
          <w:tcPr>
            <w:tcW w:w="578" w:type="pct"/>
            <w:tcBorders>
              <w:top w:val="single" w:sz="4" w:space="0" w:color="auto"/>
              <w:left w:val="nil"/>
              <w:bottom w:val="single" w:sz="4" w:space="0" w:color="auto"/>
              <w:right w:val="nil"/>
            </w:tcBorders>
            <w:shd w:val="clear" w:color="auto" w:fill="D2EDFF"/>
            <w:noWrap/>
            <w:vAlign w:val="center"/>
            <w:hideMark/>
          </w:tcPr>
          <w:p w14:paraId="3198A795" w14:textId="77777777" w:rsidR="003D3EC9" w:rsidRPr="00A95458" w:rsidRDefault="003D3EC9" w:rsidP="00756BE9">
            <w:pPr>
              <w:pStyle w:val="TableColumnHeadingRight"/>
            </w:pPr>
            <w:r w:rsidRPr="00A95458">
              <w:t>2023</w:t>
            </w:r>
            <w:r>
              <w:t>–</w:t>
            </w:r>
            <w:r w:rsidRPr="00A95458">
              <w:t>24</w:t>
            </w:r>
          </w:p>
        </w:tc>
        <w:tc>
          <w:tcPr>
            <w:tcW w:w="578" w:type="pct"/>
            <w:tcBorders>
              <w:top w:val="single" w:sz="4" w:space="0" w:color="auto"/>
              <w:left w:val="nil"/>
              <w:bottom w:val="single" w:sz="4" w:space="0" w:color="auto"/>
              <w:right w:val="nil"/>
            </w:tcBorders>
            <w:shd w:val="clear" w:color="auto" w:fill="auto"/>
            <w:noWrap/>
            <w:vAlign w:val="center"/>
            <w:hideMark/>
          </w:tcPr>
          <w:p w14:paraId="4861DB5E" w14:textId="77777777" w:rsidR="003D3EC9" w:rsidRPr="00A95458" w:rsidRDefault="003D3EC9" w:rsidP="00756BE9">
            <w:pPr>
              <w:pStyle w:val="TableColumnHeadingRight"/>
            </w:pPr>
            <w:r w:rsidRPr="00A95458">
              <w:t>2024</w:t>
            </w:r>
            <w:r>
              <w:t>–</w:t>
            </w:r>
            <w:r w:rsidRPr="00A95458">
              <w:t>25</w:t>
            </w:r>
          </w:p>
        </w:tc>
        <w:tc>
          <w:tcPr>
            <w:tcW w:w="578" w:type="pct"/>
            <w:tcBorders>
              <w:top w:val="single" w:sz="4" w:space="0" w:color="auto"/>
              <w:left w:val="nil"/>
              <w:bottom w:val="single" w:sz="4" w:space="0" w:color="auto"/>
              <w:right w:val="nil"/>
            </w:tcBorders>
            <w:shd w:val="clear" w:color="auto" w:fill="auto"/>
            <w:noWrap/>
            <w:vAlign w:val="center"/>
            <w:hideMark/>
          </w:tcPr>
          <w:p w14:paraId="6D296FA0" w14:textId="77777777" w:rsidR="003D3EC9" w:rsidRPr="00A95458" w:rsidRDefault="003D3EC9" w:rsidP="00756BE9">
            <w:pPr>
              <w:pStyle w:val="TableColumnHeadingRight"/>
            </w:pPr>
            <w:r w:rsidRPr="00A95458">
              <w:t>2025</w:t>
            </w:r>
            <w:r>
              <w:t>–</w:t>
            </w:r>
            <w:r w:rsidRPr="00A95458">
              <w:t>26</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69AC3C17" w14:textId="77777777" w:rsidR="003D3EC9" w:rsidRPr="00A95458" w:rsidRDefault="003D3EC9" w:rsidP="00756BE9">
            <w:pPr>
              <w:pStyle w:val="TableColumnHeadingRight"/>
            </w:pPr>
            <w:r w:rsidRPr="00A95458">
              <w:t>2026</w:t>
            </w:r>
            <w:r>
              <w:t>–</w:t>
            </w:r>
            <w:r w:rsidRPr="00A95458">
              <w:t>27</w:t>
            </w:r>
          </w:p>
        </w:tc>
        <w:tc>
          <w:tcPr>
            <w:tcW w:w="578" w:type="pct"/>
            <w:tcBorders>
              <w:top w:val="single" w:sz="4" w:space="0" w:color="auto"/>
              <w:left w:val="nil"/>
              <w:bottom w:val="single" w:sz="4" w:space="0" w:color="auto"/>
              <w:right w:val="nil"/>
            </w:tcBorders>
            <w:shd w:val="clear" w:color="auto" w:fill="auto"/>
            <w:noWrap/>
            <w:vAlign w:val="center"/>
            <w:hideMark/>
          </w:tcPr>
          <w:p w14:paraId="0F8A3F03" w14:textId="77777777" w:rsidR="003D3EC9" w:rsidRPr="00A95458" w:rsidRDefault="003D3EC9" w:rsidP="00756BE9">
            <w:pPr>
              <w:pStyle w:val="TableColumnHeadingRight"/>
            </w:pPr>
            <w:r w:rsidRPr="00A95458">
              <w:t>2034</w:t>
            </w:r>
            <w:r>
              <w:t>–</w:t>
            </w:r>
            <w:r w:rsidRPr="00A95458">
              <w:t>35</w:t>
            </w:r>
          </w:p>
        </w:tc>
      </w:tr>
      <w:tr w:rsidR="003D3EC9" w:rsidRPr="00A95458" w14:paraId="29F06AB9" w14:textId="77777777" w:rsidTr="00756BE9">
        <w:trPr>
          <w:trHeight w:val="227"/>
        </w:trPr>
        <w:tc>
          <w:tcPr>
            <w:tcW w:w="1531" w:type="pct"/>
            <w:tcBorders>
              <w:top w:val="nil"/>
              <w:left w:val="nil"/>
              <w:bottom w:val="nil"/>
              <w:right w:val="nil"/>
            </w:tcBorders>
            <w:shd w:val="clear" w:color="auto" w:fill="auto"/>
            <w:vAlign w:val="center"/>
            <w:hideMark/>
          </w:tcPr>
          <w:p w14:paraId="26E6B97F" w14:textId="1357C40A" w:rsidR="003D3EC9" w:rsidRPr="00A95458" w:rsidRDefault="003D3EC9" w:rsidP="00F828E7">
            <w:pPr>
              <w:pStyle w:val="TableColumnHeadingLeft"/>
            </w:pPr>
            <w:r w:rsidRPr="00A95458">
              <w:t>Population (</w:t>
            </w:r>
            <w:r w:rsidR="00050D25">
              <w:t>‘</w:t>
            </w:r>
            <w:r w:rsidRPr="00A95458">
              <w:t>000)</w:t>
            </w:r>
          </w:p>
        </w:tc>
        <w:tc>
          <w:tcPr>
            <w:tcW w:w="578" w:type="pct"/>
            <w:tcBorders>
              <w:top w:val="nil"/>
              <w:left w:val="nil"/>
              <w:bottom w:val="nil"/>
              <w:right w:val="nil"/>
            </w:tcBorders>
            <w:shd w:val="clear" w:color="auto" w:fill="auto"/>
            <w:vAlign w:val="center"/>
            <w:hideMark/>
          </w:tcPr>
          <w:p w14:paraId="7C670D9B"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1881F6A9" w14:textId="03A68996"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4CE074E8"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59F1B502"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28B9E791" w14:textId="37180B12"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7EF57758" w14:textId="77777777" w:rsidR="003D3EC9" w:rsidRPr="00A95458" w:rsidRDefault="003D3EC9" w:rsidP="00756BE9">
            <w:pPr>
              <w:pStyle w:val="TableTextRight"/>
              <w:rPr>
                <w:lang w:eastAsia="en-AU"/>
              </w:rPr>
            </w:pPr>
          </w:p>
        </w:tc>
      </w:tr>
      <w:tr w:rsidR="003D3EC9" w:rsidRPr="00A95458" w14:paraId="7E7A6C99" w14:textId="77777777" w:rsidTr="00756BE9">
        <w:trPr>
          <w:trHeight w:val="227"/>
        </w:trPr>
        <w:tc>
          <w:tcPr>
            <w:tcW w:w="1531" w:type="pct"/>
            <w:tcBorders>
              <w:top w:val="nil"/>
              <w:left w:val="nil"/>
              <w:bottom w:val="nil"/>
              <w:right w:val="nil"/>
            </w:tcBorders>
            <w:shd w:val="clear" w:color="auto" w:fill="auto"/>
            <w:vAlign w:val="center"/>
            <w:hideMark/>
          </w:tcPr>
          <w:p w14:paraId="073B0983"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7EE892F2" w14:textId="720AE221" w:rsidR="003D3EC9" w:rsidRPr="00A95458" w:rsidRDefault="003D3EC9" w:rsidP="00756BE9">
            <w:pPr>
              <w:pStyle w:val="TableTextRight"/>
              <w:rPr>
                <w:lang w:eastAsia="en-AU"/>
              </w:rPr>
            </w:pPr>
            <w:r>
              <w:rPr>
                <w:rFonts w:ascii="Calibri" w:hAnsi="Calibri" w:cs="Calibri"/>
              </w:rPr>
              <w:t>1,853</w:t>
            </w:r>
          </w:p>
        </w:tc>
        <w:tc>
          <w:tcPr>
            <w:tcW w:w="578" w:type="pct"/>
            <w:tcBorders>
              <w:top w:val="nil"/>
              <w:left w:val="nil"/>
              <w:bottom w:val="nil"/>
              <w:right w:val="nil"/>
            </w:tcBorders>
            <w:shd w:val="clear" w:color="auto" w:fill="D2EDFF"/>
            <w:vAlign w:val="center"/>
            <w:hideMark/>
          </w:tcPr>
          <w:p w14:paraId="3B5A3C22" w14:textId="48724D95" w:rsidR="003D3EC9" w:rsidRPr="00A95458" w:rsidRDefault="00544FBB" w:rsidP="00756BE9">
            <w:pPr>
              <w:pStyle w:val="TableTextRight"/>
              <w:rPr>
                <w:lang w:eastAsia="en-AU"/>
              </w:rPr>
            </w:pPr>
            <w:r>
              <w:rPr>
                <w:rFonts w:ascii="Calibri" w:hAnsi="Calibri" w:cs="Calibri"/>
              </w:rPr>
              <w:t>1,877</w:t>
            </w:r>
          </w:p>
        </w:tc>
        <w:tc>
          <w:tcPr>
            <w:tcW w:w="578" w:type="pct"/>
            <w:tcBorders>
              <w:top w:val="nil"/>
              <w:left w:val="nil"/>
              <w:bottom w:val="nil"/>
              <w:right w:val="nil"/>
            </w:tcBorders>
            <w:shd w:val="clear" w:color="auto" w:fill="auto"/>
            <w:vAlign w:val="center"/>
            <w:hideMark/>
          </w:tcPr>
          <w:p w14:paraId="0FC1C5B0" w14:textId="6A60C5AE" w:rsidR="003D3EC9" w:rsidRPr="00A95458" w:rsidRDefault="003D3EC9" w:rsidP="00756BE9">
            <w:pPr>
              <w:pStyle w:val="TableTextRight"/>
              <w:rPr>
                <w:lang w:eastAsia="en-AU"/>
              </w:rPr>
            </w:pPr>
            <w:r>
              <w:rPr>
                <w:rFonts w:ascii="Calibri" w:hAnsi="Calibri" w:cs="Calibri"/>
              </w:rPr>
              <w:t>1,896</w:t>
            </w:r>
          </w:p>
        </w:tc>
        <w:tc>
          <w:tcPr>
            <w:tcW w:w="578" w:type="pct"/>
            <w:tcBorders>
              <w:top w:val="nil"/>
              <w:left w:val="nil"/>
              <w:bottom w:val="nil"/>
              <w:right w:val="nil"/>
            </w:tcBorders>
            <w:shd w:val="clear" w:color="auto" w:fill="auto"/>
            <w:vAlign w:val="center"/>
            <w:hideMark/>
          </w:tcPr>
          <w:p w14:paraId="17C9A28B" w14:textId="37A62704" w:rsidR="003D3EC9" w:rsidRPr="00A95458" w:rsidRDefault="00544FBB" w:rsidP="00756BE9">
            <w:pPr>
              <w:pStyle w:val="TableTextRight"/>
              <w:rPr>
                <w:lang w:eastAsia="en-AU"/>
              </w:rPr>
            </w:pPr>
            <w:r>
              <w:rPr>
                <w:rFonts w:ascii="Calibri" w:hAnsi="Calibri" w:cs="Calibri"/>
              </w:rPr>
              <w:t>1,910</w:t>
            </w:r>
          </w:p>
        </w:tc>
        <w:tc>
          <w:tcPr>
            <w:tcW w:w="578" w:type="pct"/>
            <w:tcBorders>
              <w:top w:val="nil"/>
              <w:left w:val="nil"/>
              <w:bottom w:val="nil"/>
              <w:right w:val="single" w:sz="4" w:space="0" w:color="auto"/>
            </w:tcBorders>
            <w:shd w:val="clear" w:color="auto" w:fill="auto"/>
            <w:vAlign w:val="center"/>
            <w:hideMark/>
          </w:tcPr>
          <w:p w14:paraId="2D6D6B6A" w14:textId="636C137E" w:rsidR="003D3EC9" w:rsidRPr="00A95458" w:rsidRDefault="00544FBB" w:rsidP="00756BE9">
            <w:pPr>
              <w:pStyle w:val="TableTextRight"/>
              <w:rPr>
                <w:lang w:eastAsia="en-AU"/>
              </w:rPr>
            </w:pPr>
            <w:r>
              <w:rPr>
                <w:rFonts w:ascii="Calibri" w:hAnsi="Calibri" w:cs="Calibri"/>
              </w:rPr>
              <w:t>1,923</w:t>
            </w:r>
          </w:p>
        </w:tc>
        <w:tc>
          <w:tcPr>
            <w:tcW w:w="578" w:type="pct"/>
            <w:tcBorders>
              <w:top w:val="nil"/>
              <w:left w:val="nil"/>
              <w:bottom w:val="nil"/>
              <w:right w:val="nil"/>
            </w:tcBorders>
            <w:shd w:val="clear" w:color="auto" w:fill="auto"/>
            <w:vAlign w:val="center"/>
            <w:hideMark/>
          </w:tcPr>
          <w:p w14:paraId="59BE8ED5" w14:textId="36F53D2B" w:rsidR="003D3EC9" w:rsidRPr="00A95458" w:rsidRDefault="00544FBB" w:rsidP="00756BE9">
            <w:pPr>
              <w:pStyle w:val="TableTextRight"/>
              <w:rPr>
                <w:lang w:eastAsia="en-AU"/>
              </w:rPr>
            </w:pPr>
            <w:r>
              <w:rPr>
                <w:rFonts w:ascii="Calibri" w:hAnsi="Calibri" w:cs="Calibri"/>
              </w:rPr>
              <w:t>2,032</w:t>
            </w:r>
          </w:p>
        </w:tc>
      </w:tr>
      <w:tr w:rsidR="003D3EC9" w:rsidRPr="00A95458" w14:paraId="3EC7240C" w14:textId="77777777" w:rsidTr="00756BE9">
        <w:trPr>
          <w:trHeight w:val="227"/>
        </w:trPr>
        <w:tc>
          <w:tcPr>
            <w:tcW w:w="1531" w:type="pct"/>
            <w:tcBorders>
              <w:top w:val="nil"/>
              <w:left w:val="nil"/>
              <w:bottom w:val="nil"/>
              <w:right w:val="nil"/>
            </w:tcBorders>
            <w:shd w:val="clear" w:color="auto" w:fill="auto"/>
            <w:vAlign w:val="center"/>
            <w:hideMark/>
          </w:tcPr>
          <w:p w14:paraId="39A52703"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0FD67AA1" w14:textId="030FC49E" w:rsidR="003D3EC9" w:rsidRPr="00A95458" w:rsidRDefault="003D3EC9" w:rsidP="00756BE9">
            <w:pPr>
              <w:pStyle w:val="TableTextRight"/>
              <w:rPr>
                <w:lang w:eastAsia="en-AU"/>
              </w:rPr>
            </w:pPr>
            <w:r>
              <w:rPr>
                <w:rFonts w:ascii="Calibri" w:hAnsi="Calibri" w:cs="Calibri"/>
              </w:rPr>
              <w:t>1,446</w:t>
            </w:r>
          </w:p>
        </w:tc>
        <w:tc>
          <w:tcPr>
            <w:tcW w:w="578" w:type="pct"/>
            <w:tcBorders>
              <w:top w:val="nil"/>
              <w:left w:val="nil"/>
              <w:bottom w:val="nil"/>
              <w:right w:val="nil"/>
            </w:tcBorders>
            <w:shd w:val="clear" w:color="auto" w:fill="D2EDFF"/>
            <w:vAlign w:val="center"/>
            <w:hideMark/>
          </w:tcPr>
          <w:p w14:paraId="322B327A" w14:textId="229DBF5D" w:rsidR="003D3EC9" w:rsidRPr="00A95458" w:rsidRDefault="003D3EC9" w:rsidP="00756BE9">
            <w:pPr>
              <w:pStyle w:val="TableTextRight"/>
              <w:rPr>
                <w:lang w:eastAsia="en-AU"/>
              </w:rPr>
            </w:pPr>
            <w:r>
              <w:rPr>
                <w:rFonts w:ascii="Calibri" w:hAnsi="Calibri" w:cs="Calibri"/>
              </w:rPr>
              <w:t>1,468</w:t>
            </w:r>
          </w:p>
        </w:tc>
        <w:tc>
          <w:tcPr>
            <w:tcW w:w="578" w:type="pct"/>
            <w:tcBorders>
              <w:top w:val="nil"/>
              <w:left w:val="nil"/>
              <w:bottom w:val="nil"/>
              <w:right w:val="nil"/>
            </w:tcBorders>
            <w:shd w:val="clear" w:color="auto" w:fill="auto"/>
            <w:vAlign w:val="center"/>
            <w:hideMark/>
          </w:tcPr>
          <w:p w14:paraId="3E3C50CE" w14:textId="1154B628" w:rsidR="003D3EC9" w:rsidRPr="00A95458" w:rsidRDefault="003D3EC9" w:rsidP="00756BE9">
            <w:pPr>
              <w:pStyle w:val="TableTextRight"/>
              <w:rPr>
                <w:lang w:eastAsia="en-AU"/>
              </w:rPr>
            </w:pPr>
            <w:r>
              <w:rPr>
                <w:rFonts w:ascii="Calibri" w:hAnsi="Calibri" w:cs="Calibri"/>
              </w:rPr>
              <w:t>1,484</w:t>
            </w:r>
          </w:p>
        </w:tc>
        <w:tc>
          <w:tcPr>
            <w:tcW w:w="578" w:type="pct"/>
            <w:tcBorders>
              <w:top w:val="nil"/>
              <w:left w:val="nil"/>
              <w:bottom w:val="nil"/>
              <w:right w:val="nil"/>
            </w:tcBorders>
            <w:shd w:val="clear" w:color="auto" w:fill="auto"/>
            <w:vAlign w:val="center"/>
            <w:hideMark/>
          </w:tcPr>
          <w:p w14:paraId="2AF4CA8D" w14:textId="26A35438" w:rsidR="003D3EC9" w:rsidRPr="00A95458" w:rsidRDefault="00544FBB" w:rsidP="00756BE9">
            <w:pPr>
              <w:pStyle w:val="TableTextRight"/>
              <w:rPr>
                <w:lang w:eastAsia="en-AU"/>
              </w:rPr>
            </w:pPr>
            <w:r>
              <w:rPr>
                <w:rFonts w:ascii="Calibri" w:hAnsi="Calibri" w:cs="Calibri"/>
              </w:rPr>
              <w:t>1,498</w:t>
            </w:r>
          </w:p>
        </w:tc>
        <w:tc>
          <w:tcPr>
            <w:tcW w:w="578" w:type="pct"/>
            <w:tcBorders>
              <w:top w:val="nil"/>
              <w:left w:val="nil"/>
              <w:bottom w:val="nil"/>
              <w:right w:val="single" w:sz="4" w:space="0" w:color="auto"/>
            </w:tcBorders>
            <w:shd w:val="clear" w:color="auto" w:fill="auto"/>
            <w:vAlign w:val="center"/>
            <w:hideMark/>
          </w:tcPr>
          <w:p w14:paraId="0C0B434A" w14:textId="2F3DA263" w:rsidR="003D3EC9" w:rsidRPr="00A95458" w:rsidRDefault="00544FBB" w:rsidP="00756BE9">
            <w:pPr>
              <w:pStyle w:val="TableTextRight"/>
              <w:rPr>
                <w:lang w:eastAsia="en-AU"/>
              </w:rPr>
            </w:pPr>
            <w:r>
              <w:rPr>
                <w:rFonts w:ascii="Calibri" w:hAnsi="Calibri" w:cs="Calibri"/>
              </w:rPr>
              <w:t>1,510</w:t>
            </w:r>
          </w:p>
        </w:tc>
        <w:tc>
          <w:tcPr>
            <w:tcW w:w="578" w:type="pct"/>
            <w:tcBorders>
              <w:top w:val="nil"/>
              <w:left w:val="nil"/>
              <w:bottom w:val="nil"/>
              <w:right w:val="nil"/>
            </w:tcBorders>
            <w:shd w:val="clear" w:color="auto" w:fill="auto"/>
            <w:vAlign w:val="center"/>
            <w:hideMark/>
          </w:tcPr>
          <w:p w14:paraId="27212CF9" w14:textId="04388C46" w:rsidR="003D3EC9" w:rsidRPr="00A95458" w:rsidRDefault="003D3EC9" w:rsidP="00756BE9">
            <w:pPr>
              <w:pStyle w:val="TableTextRight"/>
              <w:rPr>
                <w:lang w:eastAsia="en-AU"/>
              </w:rPr>
            </w:pPr>
            <w:r>
              <w:rPr>
                <w:rFonts w:ascii="Calibri" w:hAnsi="Calibri" w:cs="Calibri"/>
              </w:rPr>
              <w:t>1,610</w:t>
            </w:r>
          </w:p>
        </w:tc>
      </w:tr>
      <w:tr w:rsidR="003D3EC9" w:rsidRPr="00A95458" w14:paraId="63896632" w14:textId="77777777" w:rsidTr="00756BE9">
        <w:trPr>
          <w:trHeight w:val="227"/>
        </w:trPr>
        <w:tc>
          <w:tcPr>
            <w:tcW w:w="1531" w:type="pct"/>
            <w:tcBorders>
              <w:top w:val="nil"/>
              <w:left w:val="nil"/>
              <w:bottom w:val="nil"/>
              <w:right w:val="nil"/>
            </w:tcBorders>
            <w:shd w:val="clear" w:color="auto" w:fill="auto"/>
            <w:vAlign w:val="center"/>
            <w:hideMark/>
          </w:tcPr>
          <w:p w14:paraId="78BEC728" w14:textId="77777777" w:rsidR="003D3EC9" w:rsidRPr="00A95458" w:rsidRDefault="003D3EC9" w:rsidP="00C75089">
            <w:pPr>
              <w:pStyle w:val="Tabletextleftindent"/>
            </w:pPr>
            <w:r w:rsidRPr="00A95458">
              <w:t>Rest of South Australia</w:t>
            </w:r>
          </w:p>
        </w:tc>
        <w:tc>
          <w:tcPr>
            <w:tcW w:w="578" w:type="pct"/>
            <w:tcBorders>
              <w:top w:val="nil"/>
              <w:left w:val="nil"/>
              <w:bottom w:val="nil"/>
              <w:right w:val="nil"/>
            </w:tcBorders>
            <w:shd w:val="clear" w:color="auto" w:fill="auto"/>
            <w:vAlign w:val="center"/>
            <w:hideMark/>
          </w:tcPr>
          <w:p w14:paraId="49EB51D3" w14:textId="66E2B8EF" w:rsidR="003D3EC9" w:rsidRPr="00A95458" w:rsidRDefault="003D3EC9" w:rsidP="00756BE9">
            <w:pPr>
              <w:pStyle w:val="TableTextRight"/>
              <w:rPr>
                <w:lang w:eastAsia="en-AU"/>
              </w:rPr>
            </w:pPr>
            <w:r>
              <w:rPr>
                <w:rFonts w:ascii="Calibri" w:hAnsi="Calibri" w:cs="Calibri"/>
              </w:rPr>
              <w:t>406</w:t>
            </w:r>
          </w:p>
        </w:tc>
        <w:tc>
          <w:tcPr>
            <w:tcW w:w="578" w:type="pct"/>
            <w:tcBorders>
              <w:top w:val="nil"/>
              <w:left w:val="nil"/>
              <w:bottom w:val="nil"/>
              <w:right w:val="nil"/>
            </w:tcBorders>
            <w:shd w:val="clear" w:color="auto" w:fill="D2EDFF"/>
            <w:vAlign w:val="center"/>
            <w:hideMark/>
          </w:tcPr>
          <w:p w14:paraId="63AEF513" w14:textId="2B73D12F" w:rsidR="003D3EC9" w:rsidRPr="00A95458" w:rsidRDefault="003D3EC9" w:rsidP="00756BE9">
            <w:pPr>
              <w:pStyle w:val="TableTextRight"/>
              <w:rPr>
                <w:lang w:eastAsia="en-AU"/>
              </w:rPr>
            </w:pPr>
            <w:r>
              <w:rPr>
                <w:rFonts w:ascii="Calibri" w:hAnsi="Calibri" w:cs="Calibri"/>
              </w:rPr>
              <w:t>409</w:t>
            </w:r>
          </w:p>
        </w:tc>
        <w:tc>
          <w:tcPr>
            <w:tcW w:w="578" w:type="pct"/>
            <w:tcBorders>
              <w:top w:val="nil"/>
              <w:left w:val="nil"/>
              <w:bottom w:val="nil"/>
              <w:right w:val="nil"/>
            </w:tcBorders>
            <w:shd w:val="clear" w:color="auto" w:fill="auto"/>
            <w:vAlign w:val="center"/>
            <w:hideMark/>
          </w:tcPr>
          <w:p w14:paraId="49FCC98C" w14:textId="71222AD6" w:rsidR="003D3EC9" w:rsidRPr="00A95458" w:rsidRDefault="003D3EC9" w:rsidP="00756BE9">
            <w:pPr>
              <w:pStyle w:val="TableTextRight"/>
              <w:rPr>
                <w:lang w:eastAsia="en-AU"/>
              </w:rPr>
            </w:pPr>
            <w:r>
              <w:rPr>
                <w:rFonts w:ascii="Calibri" w:hAnsi="Calibri" w:cs="Calibri"/>
              </w:rPr>
              <w:t>412</w:t>
            </w:r>
          </w:p>
        </w:tc>
        <w:tc>
          <w:tcPr>
            <w:tcW w:w="578" w:type="pct"/>
            <w:tcBorders>
              <w:top w:val="nil"/>
              <w:left w:val="nil"/>
              <w:bottom w:val="nil"/>
              <w:right w:val="nil"/>
            </w:tcBorders>
            <w:shd w:val="clear" w:color="auto" w:fill="auto"/>
            <w:vAlign w:val="center"/>
            <w:hideMark/>
          </w:tcPr>
          <w:p w14:paraId="01CCCC11" w14:textId="0B505AAB" w:rsidR="003D3EC9" w:rsidRPr="00A95458" w:rsidRDefault="003D3EC9" w:rsidP="00756BE9">
            <w:pPr>
              <w:pStyle w:val="TableTextRight"/>
              <w:rPr>
                <w:lang w:eastAsia="en-AU"/>
              </w:rPr>
            </w:pPr>
            <w:r>
              <w:rPr>
                <w:rFonts w:ascii="Calibri" w:hAnsi="Calibri" w:cs="Calibri"/>
              </w:rPr>
              <w:t>413</w:t>
            </w:r>
          </w:p>
        </w:tc>
        <w:tc>
          <w:tcPr>
            <w:tcW w:w="578" w:type="pct"/>
            <w:tcBorders>
              <w:top w:val="nil"/>
              <w:left w:val="nil"/>
              <w:bottom w:val="nil"/>
              <w:right w:val="single" w:sz="4" w:space="0" w:color="auto"/>
            </w:tcBorders>
            <w:shd w:val="clear" w:color="auto" w:fill="auto"/>
            <w:vAlign w:val="center"/>
            <w:hideMark/>
          </w:tcPr>
          <w:p w14:paraId="28BD513D" w14:textId="0371AA2E" w:rsidR="003D3EC9" w:rsidRPr="00A95458" w:rsidRDefault="003D3EC9" w:rsidP="00756BE9">
            <w:pPr>
              <w:pStyle w:val="TableTextRight"/>
              <w:rPr>
                <w:lang w:eastAsia="en-AU"/>
              </w:rPr>
            </w:pPr>
            <w:r>
              <w:rPr>
                <w:rFonts w:ascii="Calibri" w:hAnsi="Calibri" w:cs="Calibri"/>
              </w:rPr>
              <w:t>413</w:t>
            </w:r>
          </w:p>
        </w:tc>
        <w:tc>
          <w:tcPr>
            <w:tcW w:w="578" w:type="pct"/>
            <w:tcBorders>
              <w:top w:val="nil"/>
              <w:left w:val="nil"/>
              <w:bottom w:val="nil"/>
              <w:right w:val="nil"/>
            </w:tcBorders>
            <w:shd w:val="clear" w:color="auto" w:fill="auto"/>
            <w:vAlign w:val="center"/>
            <w:hideMark/>
          </w:tcPr>
          <w:p w14:paraId="01E25953" w14:textId="4E29991E" w:rsidR="003D3EC9" w:rsidRPr="00A95458" w:rsidRDefault="003D3EC9" w:rsidP="00756BE9">
            <w:pPr>
              <w:pStyle w:val="TableTextRight"/>
              <w:rPr>
                <w:lang w:eastAsia="en-AU"/>
              </w:rPr>
            </w:pPr>
            <w:r>
              <w:rPr>
                <w:rFonts w:ascii="Calibri" w:hAnsi="Calibri" w:cs="Calibri"/>
              </w:rPr>
              <w:t>421</w:t>
            </w:r>
          </w:p>
        </w:tc>
      </w:tr>
      <w:tr w:rsidR="003D3EC9" w:rsidRPr="00A95458" w14:paraId="24DE16D5" w14:textId="77777777" w:rsidTr="00756BE9">
        <w:trPr>
          <w:trHeight w:val="227"/>
        </w:trPr>
        <w:tc>
          <w:tcPr>
            <w:tcW w:w="1531" w:type="pct"/>
            <w:tcBorders>
              <w:top w:val="nil"/>
              <w:left w:val="nil"/>
              <w:bottom w:val="nil"/>
              <w:right w:val="nil"/>
            </w:tcBorders>
            <w:shd w:val="clear" w:color="auto" w:fill="auto"/>
            <w:vAlign w:val="center"/>
            <w:hideMark/>
          </w:tcPr>
          <w:p w14:paraId="292269FA" w14:textId="77777777" w:rsidR="003D3EC9" w:rsidRPr="00A95458" w:rsidRDefault="003D3EC9" w:rsidP="00F828E7">
            <w:pPr>
              <w:pStyle w:val="TableColumnHeadingLeft"/>
            </w:pPr>
            <w:r w:rsidRPr="00A95458">
              <w:t>Population growth (per cent)</w:t>
            </w:r>
          </w:p>
        </w:tc>
        <w:tc>
          <w:tcPr>
            <w:tcW w:w="578" w:type="pct"/>
            <w:tcBorders>
              <w:top w:val="nil"/>
              <w:left w:val="nil"/>
              <w:bottom w:val="nil"/>
              <w:right w:val="nil"/>
            </w:tcBorders>
            <w:shd w:val="clear" w:color="auto" w:fill="auto"/>
            <w:vAlign w:val="center"/>
            <w:hideMark/>
          </w:tcPr>
          <w:p w14:paraId="28487630"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7EEAC528" w14:textId="40F8C841"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0F9A98CE"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38E4C152"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3AD94041" w14:textId="30BA9958"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B82D2CF" w14:textId="77777777" w:rsidR="003D3EC9" w:rsidRPr="00A95458" w:rsidRDefault="003D3EC9" w:rsidP="00756BE9">
            <w:pPr>
              <w:pStyle w:val="TableTextRight"/>
              <w:rPr>
                <w:lang w:eastAsia="en-AU"/>
              </w:rPr>
            </w:pPr>
          </w:p>
        </w:tc>
      </w:tr>
      <w:tr w:rsidR="003D3EC9" w:rsidRPr="00A95458" w14:paraId="021C4007" w14:textId="77777777" w:rsidTr="00756BE9">
        <w:trPr>
          <w:trHeight w:val="227"/>
        </w:trPr>
        <w:tc>
          <w:tcPr>
            <w:tcW w:w="1531" w:type="pct"/>
            <w:tcBorders>
              <w:top w:val="nil"/>
              <w:left w:val="nil"/>
              <w:bottom w:val="nil"/>
              <w:right w:val="nil"/>
            </w:tcBorders>
            <w:shd w:val="clear" w:color="auto" w:fill="auto"/>
            <w:vAlign w:val="center"/>
            <w:hideMark/>
          </w:tcPr>
          <w:p w14:paraId="771EB5BA"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702EA44B" w14:textId="7B8872B9" w:rsidR="003D3EC9" w:rsidRPr="00A95458" w:rsidRDefault="003D3EC9" w:rsidP="00756BE9">
            <w:pPr>
              <w:pStyle w:val="TableTextRight"/>
              <w:rPr>
                <w:lang w:eastAsia="en-AU"/>
              </w:rPr>
            </w:pPr>
            <w:r>
              <w:rPr>
                <w:rFonts w:ascii="Calibri" w:hAnsi="Calibri" w:cs="Calibri"/>
              </w:rPr>
              <w:t>1.7</w:t>
            </w:r>
          </w:p>
        </w:tc>
        <w:tc>
          <w:tcPr>
            <w:tcW w:w="578" w:type="pct"/>
            <w:tcBorders>
              <w:top w:val="nil"/>
              <w:left w:val="nil"/>
              <w:bottom w:val="nil"/>
              <w:right w:val="nil"/>
            </w:tcBorders>
            <w:shd w:val="clear" w:color="auto" w:fill="D2EDFF"/>
            <w:vAlign w:val="center"/>
            <w:hideMark/>
          </w:tcPr>
          <w:p w14:paraId="4861B7AC" w14:textId="4D7B26EA" w:rsidR="003D3EC9" w:rsidRPr="00A95458" w:rsidRDefault="003D3EC9" w:rsidP="00756BE9">
            <w:pPr>
              <w:pStyle w:val="TableTextRight"/>
              <w:rPr>
                <w:lang w:eastAsia="en-AU"/>
              </w:rPr>
            </w:pPr>
            <w:r>
              <w:rPr>
                <w:rFonts w:ascii="Calibri" w:hAnsi="Calibri" w:cs="Calibri"/>
              </w:rPr>
              <w:t>1.3</w:t>
            </w:r>
          </w:p>
        </w:tc>
        <w:tc>
          <w:tcPr>
            <w:tcW w:w="578" w:type="pct"/>
            <w:tcBorders>
              <w:top w:val="nil"/>
              <w:left w:val="nil"/>
              <w:bottom w:val="nil"/>
              <w:right w:val="nil"/>
            </w:tcBorders>
            <w:shd w:val="clear" w:color="auto" w:fill="auto"/>
            <w:vAlign w:val="center"/>
            <w:hideMark/>
          </w:tcPr>
          <w:p w14:paraId="67D02703" w14:textId="33BF869E" w:rsidR="003D3EC9" w:rsidRPr="00A95458" w:rsidRDefault="003D3EC9" w:rsidP="00756BE9">
            <w:pPr>
              <w:pStyle w:val="TableTextRight"/>
              <w:rPr>
                <w:lang w:eastAsia="en-AU"/>
              </w:rPr>
            </w:pPr>
            <w:r>
              <w:rPr>
                <w:rFonts w:ascii="Calibri" w:hAnsi="Calibri" w:cs="Calibri"/>
              </w:rPr>
              <w:t>1.0</w:t>
            </w:r>
          </w:p>
        </w:tc>
        <w:tc>
          <w:tcPr>
            <w:tcW w:w="578" w:type="pct"/>
            <w:tcBorders>
              <w:top w:val="nil"/>
              <w:left w:val="nil"/>
              <w:bottom w:val="nil"/>
              <w:right w:val="nil"/>
            </w:tcBorders>
            <w:shd w:val="clear" w:color="auto" w:fill="auto"/>
            <w:vAlign w:val="center"/>
            <w:hideMark/>
          </w:tcPr>
          <w:p w14:paraId="37757CA6" w14:textId="61747C35" w:rsidR="003D3EC9" w:rsidRPr="00A95458" w:rsidRDefault="004368C9" w:rsidP="00756BE9">
            <w:pPr>
              <w:pStyle w:val="TableTextRight"/>
              <w:rPr>
                <w:lang w:eastAsia="en-AU"/>
              </w:rPr>
            </w:pPr>
            <w:r>
              <w:rPr>
                <w:rFonts w:ascii="Calibri" w:hAnsi="Calibri" w:cs="Calibri"/>
              </w:rPr>
              <w:t>0.</w:t>
            </w:r>
            <w:r w:rsidR="00544FBB">
              <w:rPr>
                <w:rFonts w:ascii="Calibri" w:hAnsi="Calibri" w:cs="Calibri"/>
              </w:rPr>
              <w:t>8</w:t>
            </w:r>
          </w:p>
        </w:tc>
        <w:tc>
          <w:tcPr>
            <w:tcW w:w="578" w:type="pct"/>
            <w:tcBorders>
              <w:top w:val="nil"/>
              <w:left w:val="nil"/>
              <w:bottom w:val="nil"/>
              <w:right w:val="single" w:sz="4" w:space="0" w:color="auto"/>
            </w:tcBorders>
            <w:shd w:val="clear" w:color="auto" w:fill="auto"/>
            <w:vAlign w:val="center"/>
            <w:hideMark/>
          </w:tcPr>
          <w:p w14:paraId="313BCEFD" w14:textId="0FF26332" w:rsidR="003D3EC9" w:rsidRPr="00A95458" w:rsidRDefault="003D3EC9" w:rsidP="00756BE9">
            <w:pPr>
              <w:pStyle w:val="TableTextRight"/>
              <w:rPr>
                <w:lang w:eastAsia="en-AU"/>
              </w:rPr>
            </w:pPr>
            <w:r>
              <w:rPr>
                <w:rFonts w:ascii="Calibri" w:hAnsi="Calibri" w:cs="Calibri"/>
              </w:rPr>
              <w:t>0.7</w:t>
            </w:r>
          </w:p>
        </w:tc>
        <w:tc>
          <w:tcPr>
            <w:tcW w:w="578" w:type="pct"/>
            <w:tcBorders>
              <w:top w:val="nil"/>
              <w:left w:val="nil"/>
              <w:bottom w:val="nil"/>
              <w:right w:val="nil"/>
            </w:tcBorders>
            <w:shd w:val="clear" w:color="auto" w:fill="auto"/>
            <w:vAlign w:val="center"/>
            <w:hideMark/>
          </w:tcPr>
          <w:p w14:paraId="5E807BDA" w14:textId="47168284" w:rsidR="003D3EC9" w:rsidRPr="00A95458" w:rsidRDefault="003D3EC9" w:rsidP="00756BE9">
            <w:pPr>
              <w:pStyle w:val="TableTextRight"/>
              <w:rPr>
                <w:lang w:eastAsia="en-AU"/>
              </w:rPr>
            </w:pPr>
            <w:r>
              <w:rPr>
                <w:rFonts w:ascii="Calibri" w:hAnsi="Calibri" w:cs="Calibri"/>
              </w:rPr>
              <w:t>0.7</w:t>
            </w:r>
          </w:p>
        </w:tc>
      </w:tr>
      <w:tr w:rsidR="003D3EC9" w:rsidRPr="00A95458" w14:paraId="4881F204" w14:textId="77777777" w:rsidTr="00756BE9">
        <w:trPr>
          <w:trHeight w:val="227"/>
        </w:trPr>
        <w:tc>
          <w:tcPr>
            <w:tcW w:w="1531" w:type="pct"/>
            <w:tcBorders>
              <w:top w:val="nil"/>
              <w:left w:val="nil"/>
              <w:bottom w:val="nil"/>
              <w:right w:val="nil"/>
            </w:tcBorders>
            <w:shd w:val="clear" w:color="auto" w:fill="auto"/>
            <w:vAlign w:val="center"/>
            <w:hideMark/>
          </w:tcPr>
          <w:p w14:paraId="10D0FA41"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3C1D3B73" w14:textId="3AFC27A2" w:rsidR="003D3EC9" w:rsidRPr="00A95458" w:rsidRDefault="003D3EC9" w:rsidP="00756BE9">
            <w:pPr>
              <w:pStyle w:val="TableTextRight"/>
              <w:rPr>
                <w:lang w:eastAsia="en-AU"/>
              </w:rPr>
            </w:pPr>
            <w:r>
              <w:rPr>
                <w:rFonts w:ascii="Calibri" w:hAnsi="Calibri" w:cs="Calibri"/>
              </w:rPr>
              <w:t>2.0</w:t>
            </w:r>
          </w:p>
        </w:tc>
        <w:tc>
          <w:tcPr>
            <w:tcW w:w="578" w:type="pct"/>
            <w:tcBorders>
              <w:top w:val="nil"/>
              <w:left w:val="nil"/>
              <w:bottom w:val="nil"/>
              <w:right w:val="nil"/>
            </w:tcBorders>
            <w:shd w:val="clear" w:color="auto" w:fill="D2EDFF"/>
            <w:vAlign w:val="center"/>
            <w:hideMark/>
          </w:tcPr>
          <w:p w14:paraId="487E7F39" w14:textId="0C3DB612" w:rsidR="003D3EC9" w:rsidRPr="00A95458" w:rsidRDefault="003D3EC9" w:rsidP="00756BE9">
            <w:pPr>
              <w:pStyle w:val="TableTextRight"/>
              <w:rPr>
                <w:lang w:eastAsia="en-AU"/>
              </w:rPr>
            </w:pPr>
            <w:r>
              <w:rPr>
                <w:rFonts w:ascii="Calibri" w:hAnsi="Calibri" w:cs="Calibri"/>
              </w:rPr>
              <w:t>1.5</w:t>
            </w:r>
          </w:p>
        </w:tc>
        <w:tc>
          <w:tcPr>
            <w:tcW w:w="578" w:type="pct"/>
            <w:tcBorders>
              <w:top w:val="nil"/>
              <w:left w:val="nil"/>
              <w:bottom w:val="nil"/>
              <w:right w:val="nil"/>
            </w:tcBorders>
            <w:shd w:val="clear" w:color="auto" w:fill="auto"/>
            <w:vAlign w:val="center"/>
            <w:hideMark/>
          </w:tcPr>
          <w:p w14:paraId="37E37C62" w14:textId="2FFA0F59" w:rsidR="003D3EC9" w:rsidRPr="00A95458" w:rsidRDefault="003D3EC9" w:rsidP="00756BE9">
            <w:pPr>
              <w:pStyle w:val="TableTextRight"/>
              <w:rPr>
                <w:lang w:eastAsia="en-AU"/>
              </w:rPr>
            </w:pPr>
            <w:r>
              <w:rPr>
                <w:rFonts w:ascii="Calibri" w:hAnsi="Calibri" w:cs="Calibri"/>
              </w:rPr>
              <w:t>1.1</w:t>
            </w:r>
          </w:p>
        </w:tc>
        <w:tc>
          <w:tcPr>
            <w:tcW w:w="578" w:type="pct"/>
            <w:tcBorders>
              <w:top w:val="nil"/>
              <w:left w:val="nil"/>
              <w:bottom w:val="nil"/>
              <w:right w:val="nil"/>
            </w:tcBorders>
            <w:shd w:val="clear" w:color="auto" w:fill="auto"/>
            <w:vAlign w:val="center"/>
            <w:hideMark/>
          </w:tcPr>
          <w:p w14:paraId="2D278ACD" w14:textId="4F73286A" w:rsidR="003D3EC9" w:rsidRPr="00A95458" w:rsidRDefault="003D3EC9" w:rsidP="00756BE9">
            <w:pPr>
              <w:pStyle w:val="TableTextRight"/>
              <w:rPr>
                <w:lang w:eastAsia="en-AU"/>
              </w:rPr>
            </w:pPr>
            <w:r>
              <w:rPr>
                <w:rFonts w:ascii="Calibri" w:hAnsi="Calibri" w:cs="Calibri"/>
              </w:rPr>
              <w:t>0.9</w:t>
            </w:r>
          </w:p>
        </w:tc>
        <w:tc>
          <w:tcPr>
            <w:tcW w:w="578" w:type="pct"/>
            <w:tcBorders>
              <w:top w:val="nil"/>
              <w:left w:val="nil"/>
              <w:bottom w:val="nil"/>
              <w:right w:val="single" w:sz="4" w:space="0" w:color="auto"/>
            </w:tcBorders>
            <w:shd w:val="clear" w:color="auto" w:fill="auto"/>
            <w:vAlign w:val="center"/>
            <w:hideMark/>
          </w:tcPr>
          <w:p w14:paraId="6104B416" w14:textId="78E2FF4A" w:rsidR="003D3EC9" w:rsidRPr="00A95458" w:rsidRDefault="003D3EC9" w:rsidP="00756BE9">
            <w:pPr>
              <w:pStyle w:val="TableTextRight"/>
              <w:rPr>
                <w:lang w:eastAsia="en-AU"/>
              </w:rPr>
            </w:pPr>
            <w:r>
              <w:rPr>
                <w:rFonts w:ascii="Calibri" w:hAnsi="Calibri" w:cs="Calibri"/>
              </w:rPr>
              <w:t>0.8</w:t>
            </w:r>
          </w:p>
        </w:tc>
        <w:tc>
          <w:tcPr>
            <w:tcW w:w="578" w:type="pct"/>
            <w:tcBorders>
              <w:top w:val="nil"/>
              <w:left w:val="nil"/>
              <w:bottom w:val="nil"/>
              <w:right w:val="nil"/>
            </w:tcBorders>
            <w:shd w:val="clear" w:color="auto" w:fill="auto"/>
            <w:vAlign w:val="center"/>
            <w:hideMark/>
          </w:tcPr>
          <w:p w14:paraId="0C7D9320" w14:textId="4886A66D" w:rsidR="003D3EC9" w:rsidRPr="00A95458" w:rsidRDefault="003D3EC9" w:rsidP="00756BE9">
            <w:pPr>
              <w:pStyle w:val="TableTextRight"/>
              <w:rPr>
                <w:lang w:eastAsia="en-AU"/>
              </w:rPr>
            </w:pPr>
            <w:r>
              <w:rPr>
                <w:rFonts w:ascii="Calibri" w:hAnsi="Calibri" w:cs="Calibri"/>
              </w:rPr>
              <w:t>0.8</w:t>
            </w:r>
          </w:p>
        </w:tc>
      </w:tr>
      <w:tr w:rsidR="003D3EC9" w:rsidRPr="00A95458" w14:paraId="56E58E85" w14:textId="77777777" w:rsidTr="00756BE9">
        <w:trPr>
          <w:trHeight w:val="227"/>
        </w:trPr>
        <w:tc>
          <w:tcPr>
            <w:tcW w:w="1531" w:type="pct"/>
            <w:tcBorders>
              <w:top w:val="nil"/>
              <w:left w:val="nil"/>
              <w:bottom w:val="nil"/>
              <w:right w:val="nil"/>
            </w:tcBorders>
            <w:shd w:val="clear" w:color="auto" w:fill="auto"/>
            <w:vAlign w:val="center"/>
            <w:hideMark/>
          </w:tcPr>
          <w:p w14:paraId="3C2E508E" w14:textId="77777777" w:rsidR="003D3EC9" w:rsidRPr="00A95458" w:rsidRDefault="003D3EC9" w:rsidP="00C75089">
            <w:pPr>
              <w:pStyle w:val="Tabletextleftindent"/>
            </w:pPr>
            <w:r w:rsidRPr="00A95458">
              <w:t>Rest of South Australia</w:t>
            </w:r>
          </w:p>
        </w:tc>
        <w:tc>
          <w:tcPr>
            <w:tcW w:w="578" w:type="pct"/>
            <w:tcBorders>
              <w:top w:val="nil"/>
              <w:left w:val="nil"/>
              <w:bottom w:val="nil"/>
              <w:right w:val="nil"/>
            </w:tcBorders>
            <w:shd w:val="clear" w:color="auto" w:fill="auto"/>
            <w:vAlign w:val="center"/>
            <w:hideMark/>
          </w:tcPr>
          <w:p w14:paraId="57D52DE7" w14:textId="00790686" w:rsidR="003D3EC9" w:rsidRPr="00A95458" w:rsidRDefault="003D3EC9" w:rsidP="00756BE9">
            <w:pPr>
              <w:pStyle w:val="TableTextRight"/>
              <w:rPr>
                <w:lang w:eastAsia="en-AU"/>
              </w:rPr>
            </w:pPr>
            <w:r>
              <w:rPr>
                <w:rFonts w:ascii="Calibri" w:hAnsi="Calibri" w:cs="Calibri"/>
              </w:rPr>
              <w:t>0.7</w:t>
            </w:r>
          </w:p>
        </w:tc>
        <w:tc>
          <w:tcPr>
            <w:tcW w:w="578" w:type="pct"/>
            <w:tcBorders>
              <w:top w:val="nil"/>
              <w:left w:val="nil"/>
              <w:bottom w:val="nil"/>
              <w:right w:val="nil"/>
            </w:tcBorders>
            <w:shd w:val="clear" w:color="auto" w:fill="D2EDFF"/>
            <w:vAlign w:val="center"/>
            <w:hideMark/>
          </w:tcPr>
          <w:p w14:paraId="284EDA59" w14:textId="0652EBE1" w:rsidR="003D3EC9" w:rsidRPr="00A95458" w:rsidRDefault="003D3EC9" w:rsidP="00756BE9">
            <w:pPr>
              <w:pStyle w:val="TableTextRight"/>
              <w:rPr>
                <w:lang w:eastAsia="en-AU"/>
              </w:rPr>
            </w:pPr>
            <w:r>
              <w:rPr>
                <w:rFonts w:ascii="Calibri" w:hAnsi="Calibri" w:cs="Calibri"/>
              </w:rPr>
              <w:t>0.8</w:t>
            </w:r>
          </w:p>
        </w:tc>
        <w:tc>
          <w:tcPr>
            <w:tcW w:w="578" w:type="pct"/>
            <w:tcBorders>
              <w:top w:val="nil"/>
              <w:left w:val="nil"/>
              <w:bottom w:val="nil"/>
              <w:right w:val="nil"/>
            </w:tcBorders>
            <w:shd w:val="clear" w:color="auto" w:fill="auto"/>
            <w:vAlign w:val="center"/>
            <w:hideMark/>
          </w:tcPr>
          <w:p w14:paraId="741B6398" w14:textId="6475BA3E" w:rsidR="003D3EC9" w:rsidRPr="00A95458" w:rsidRDefault="003D3EC9" w:rsidP="00756BE9">
            <w:pPr>
              <w:pStyle w:val="TableTextRight"/>
              <w:rPr>
                <w:lang w:eastAsia="en-AU"/>
              </w:rPr>
            </w:pPr>
            <w:r>
              <w:rPr>
                <w:rFonts w:ascii="Calibri" w:hAnsi="Calibri" w:cs="Calibri"/>
              </w:rPr>
              <w:t>0.6</w:t>
            </w:r>
          </w:p>
        </w:tc>
        <w:tc>
          <w:tcPr>
            <w:tcW w:w="578" w:type="pct"/>
            <w:tcBorders>
              <w:top w:val="nil"/>
              <w:left w:val="nil"/>
              <w:bottom w:val="nil"/>
              <w:right w:val="nil"/>
            </w:tcBorders>
            <w:shd w:val="clear" w:color="auto" w:fill="auto"/>
            <w:vAlign w:val="center"/>
            <w:hideMark/>
          </w:tcPr>
          <w:p w14:paraId="59C8A133" w14:textId="4F60DB60" w:rsidR="003D3EC9" w:rsidRPr="00A95458" w:rsidRDefault="003D3EC9" w:rsidP="00756BE9">
            <w:pPr>
              <w:pStyle w:val="TableTextRight"/>
              <w:rPr>
                <w:lang w:eastAsia="en-AU"/>
              </w:rPr>
            </w:pPr>
            <w:r>
              <w:rPr>
                <w:rFonts w:ascii="Calibri" w:hAnsi="Calibri" w:cs="Calibri"/>
              </w:rPr>
              <w:t>0.3</w:t>
            </w:r>
          </w:p>
        </w:tc>
        <w:tc>
          <w:tcPr>
            <w:tcW w:w="578" w:type="pct"/>
            <w:tcBorders>
              <w:top w:val="nil"/>
              <w:left w:val="nil"/>
              <w:bottom w:val="nil"/>
              <w:right w:val="single" w:sz="4" w:space="0" w:color="auto"/>
            </w:tcBorders>
            <w:shd w:val="clear" w:color="auto" w:fill="auto"/>
            <w:vAlign w:val="center"/>
            <w:hideMark/>
          </w:tcPr>
          <w:p w14:paraId="00DCF96C" w14:textId="38C9DBFD" w:rsidR="003D3EC9" w:rsidRPr="00A95458" w:rsidRDefault="003D3EC9" w:rsidP="00756BE9">
            <w:pPr>
              <w:pStyle w:val="TableTextRight"/>
              <w:rPr>
                <w:lang w:eastAsia="en-AU"/>
              </w:rPr>
            </w:pPr>
            <w:r>
              <w:rPr>
                <w:rFonts w:ascii="Calibri" w:hAnsi="Calibri" w:cs="Calibri"/>
              </w:rPr>
              <w:t>0.1</w:t>
            </w:r>
          </w:p>
        </w:tc>
        <w:tc>
          <w:tcPr>
            <w:tcW w:w="578" w:type="pct"/>
            <w:tcBorders>
              <w:top w:val="nil"/>
              <w:left w:val="nil"/>
              <w:bottom w:val="nil"/>
              <w:right w:val="nil"/>
            </w:tcBorders>
            <w:shd w:val="clear" w:color="auto" w:fill="auto"/>
            <w:vAlign w:val="center"/>
            <w:hideMark/>
          </w:tcPr>
          <w:p w14:paraId="38595A2F" w14:textId="07D80001" w:rsidR="003D3EC9" w:rsidRPr="00A95458" w:rsidRDefault="003D3EC9" w:rsidP="00756BE9">
            <w:pPr>
              <w:pStyle w:val="TableTextRight"/>
              <w:rPr>
                <w:lang w:eastAsia="en-AU"/>
              </w:rPr>
            </w:pPr>
            <w:r>
              <w:rPr>
                <w:rFonts w:ascii="Calibri" w:hAnsi="Calibri" w:cs="Calibri"/>
              </w:rPr>
              <w:t>0.3</w:t>
            </w:r>
          </w:p>
        </w:tc>
      </w:tr>
      <w:tr w:rsidR="003D3EC9" w:rsidRPr="00A95458" w14:paraId="5378C4FC" w14:textId="77777777" w:rsidTr="00756BE9">
        <w:trPr>
          <w:trHeight w:val="227"/>
        </w:trPr>
        <w:tc>
          <w:tcPr>
            <w:tcW w:w="1531" w:type="pct"/>
            <w:tcBorders>
              <w:top w:val="nil"/>
              <w:left w:val="nil"/>
              <w:bottom w:val="nil"/>
              <w:right w:val="nil"/>
            </w:tcBorders>
            <w:shd w:val="clear" w:color="auto" w:fill="auto"/>
            <w:vAlign w:val="center"/>
            <w:hideMark/>
          </w:tcPr>
          <w:p w14:paraId="3F997AA1" w14:textId="45792B8A" w:rsidR="003D3EC9" w:rsidRPr="00A95458" w:rsidRDefault="003D3EC9" w:rsidP="00F828E7">
            <w:pPr>
              <w:pStyle w:val="TableColumnHeadingLeft"/>
            </w:pPr>
            <w:r w:rsidRPr="00A95458">
              <w:t>Population growth (</w:t>
            </w:r>
            <w:r w:rsidR="00050D25">
              <w:t>‘</w:t>
            </w:r>
            <w:r w:rsidRPr="00A95458">
              <w:t>000)</w:t>
            </w:r>
          </w:p>
        </w:tc>
        <w:tc>
          <w:tcPr>
            <w:tcW w:w="578" w:type="pct"/>
            <w:tcBorders>
              <w:top w:val="nil"/>
              <w:left w:val="nil"/>
              <w:bottom w:val="nil"/>
              <w:right w:val="nil"/>
            </w:tcBorders>
            <w:shd w:val="clear" w:color="auto" w:fill="auto"/>
            <w:vAlign w:val="center"/>
            <w:hideMark/>
          </w:tcPr>
          <w:p w14:paraId="7E02450E"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382030BC" w14:textId="76894B94"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45FA5F82"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312ED572"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6CBF3A5F" w14:textId="10A770E1"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7F2F450B" w14:textId="77777777" w:rsidR="003D3EC9" w:rsidRPr="00A95458" w:rsidRDefault="003D3EC9" w:rsidP="00756BE9">
            <w:pPr>
              <w:pStyle w:val="TableTextRight"/>
              <w:rPr>
                <w:lang w:eastAsia="en-AU"/>
              </w:rPr>
            </w:pPr>
          </w:p>
        </w:tc>
      </w:tr>
      <w:tr w:rsidR="003D3EC9" w:rsidRPr="00A95458" w14:paraId="7D0602CA" w14:textId="77777777" w:rsidTr="00756BE9">
        <w:trPr>
          <w:trHeight w:val="227"/>
        </w:trPr>
        <w:tc>
          <w:tcPr>
            <w:tcW w:w="1531" w:type="pct"/>
            <w:tcBorders>
              <w:top w:val="nil"/>
              <w:left w:val="nil"/>
              <w:bottom w:val="nil"/>
              <w:right w:val="nil"/>
            </w:tcBorders>
            <w:shd w:val="clear" w:color="auto" w:fill="auto"/>
            <w:vAlign w:val="center"/>
            <w:hideMark/>
          </w:tcPr>
          <w:p w14:paraId="5B29D97A"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6F8906AB" w14:textId="20767918" w:rsidR="003D3EC9" w:rsidRPr="00A95458" w:rsidRDefault="003D3EC9" w:rsidP="00756BE9">
            <w:pPr>
              <w:pStyle w:val="TableTextRight"/>
              <w:rPr>
                <w:lang w:eastAsia="en-AU"/>
              </w:rPr>
            </w:pPr>
            <w:r>
              <w:rPr>
                <w:rFonts w:ascii="Calibri" w:hAnsi="Calibri" w:cs="Calibri"/>
              </w:rPr>
              <w:t>31.7</w:t>
            </w:r>
          </w:p>
        </w:tc>
        <w:tc>
          <w:tcPr>
            <w:tcW w:w="578" w:type="pct"/>
            <w:tcBorders>
              <w:top w:val="nil"/>
              <w:left w:val="nil"/>
              <w:bottom w:val="nil"/>
              <w:right w:val="nil"/>
            </w:tcBorders>
            <w:shd w:val="clear" w:color="auto" w:fill="D2EDFF"/>
            <w:vAlign w:val="center"/>
            <w:hideMark/>
          </w:tcPr>
          <w:p w14:paraId="76D1B6CB" w14:textId="18C14B66" w:rsidR="003D3EC9" w:rsidRPr="00A95458" w:rsidRDefault="003D3EC9" w:rsidP="00756BE9">
            <w:pPr>
              <w:pStyle w:val="TableTextRight"/>
              <w:rPr>
                <w:lang w:eastAsia="en-AU"/>
              </w:rPr>
            </w:pPr>
            <w:r>
              <w:rPr>
                <w:rFonts w:ascii="Calibri" w:hAnsi="Calibri" w:cs="Calibri"/>
              </w:rPr>
              <w:t>24.5</w:t>
            </w:r>
          </w:p>
        </w:tc>
        <w:tc>
          <w:tcPr>
            <w:tcW w:w="578" w:type="pct"/>
            <w:tcBorders>
              <w:top w:val="nil"/>
              <w:left w:val="nil"/>
              <w:bottom w:val="nil"/>
              <w:right w:val="nil"/>
            </w:tcBorders>
            <w:shd w:val="clear" w:color="auto" w:fill="auto"/>
            <w:vAlign w:val="center"/>
            <w:hideMark/>
          </w:tcPr>
          <w:p w14:paraId="665E8081" w14:textId="37718413" w:rsidR="003D3EC9" w:rsidRPr="00A95458" w:rsidRDefault="004368C9" w:rsidP="00756BE9">
            <w:pPr>
              <w:pStyle w:val="TableTextRight"/>
              <w:rPr>
                <w:lang w:eastAsia="en-AU"/>
              </w:rPr>
            </w:pPr>
            <w:r>
              <w:rPr>
                <w:rFonts w:ascii="Calibri" w:hAnsi="Calibri" w:cs="Calibri"/>
              </w:rPr>
              <w:t>18.</w:t>
            </w:r>
            <w:r w:rsidR="00544FBB">
              <w:rPr>
                <w:rFonts w:ascii="Calibri" w:hAnsi="Calibri" w:cs="Calibri"/>
              </w:rPr>
              <w:t>2</w:t>
            </w:r>
          </w:p>
        </w:tc>
        <w:tc>
          <w:tcPr>
            <w:tcW w:w="578" w:type="pct"/>
            <w:tcBorders>
              <w:top w:val="nil"/>
              <w:left w:val="nil"/>
              <w:bottom w:val="nil"/>
              <w:right w:val="nil"/>
            </w:tcBorders>
            <w:shd w:val="clear" w:color="auto" w:fill="auto"/>
            <w:vAlign w:val="center"/>
            <w:hideMark/>
          </w:tcPr>
          <w:p w14:paraId="5274D152" w14:textId="173F544D" w:rsidR="003D3EC9" w:rsidRPr="00A95458" w:rsidRDefault="004368C9" w:rsidP="00756BE9">
            <w:pPr>
              <w:pStyle w:val="TableTextRight"/>
              <w:rPr>
                <w:lang w:eastAsia="en-AU"/>
              </w:rPr>
            </w:pPr>
            <w:r>
              <w:rPr>
                <w:rFonts w:ascii="Calibri" w:hAnsi="Calibri" w:cs="Calibri"/>
              </w:rPr>
              <w:t>14.</w:t>
            </w:r>
            <w:r w:rsidR="00544FBB">
              <w:rPr>
                <w:rFonts w:ascii="Calibri" w:hAnsi="Calibri" w:cs="Calibri"/>
              </w:rPr>
              <w:t>7</w:t>
            </w:r>
          </w:p>
        </w:tc>
        <w:tc>
          <w:tcPr>
            <w:tcW w:w="578" w:type="pct"/>
            <w:tcBorders>
              <w:top w:val="nil"/>
              <w:left w:val="nil"/>
              <w:bottom w:val="nil"/>
              <w:right w:val="single" w:sz="4" w:space="0" w:color="auto"/>
            </w:tcBorders>
            <w:shd w:val="clear" w:color="auto" w:fill="auto"/>
            <w:vAlign w:val="center"/>
            <w:hideMark/>
          </w:tcPr>
          <w:p w14:paraId="668F0550" w14:textId="3BA59435" w:rsidR="003D3EC9" w:rsidRPr="00A95458" w:rsidRDefault="004368C9" w:rsidP="00756BE9">
            <w:pPr>
              <w:pStyle w:val="TableTextRight"/>
              <w:rPr>
                <w:lang w:eastAsia="en-AU"/>
              </w:rPr>
            </w:pPr>
            <w:r>
              <w:rPr>
                <w:rFonts w:ascii="Calibri" w:hAnsi="Calibri" w:cs="Calibri"/>
              </w:rPr>
              <w:t>12.</w:t>
            </w:r>
            <w:r w:rsidR="00544FBB">
              <w:rPr>
                <w:rFonts w:ascii="Calibri" w:hAnsi="Calibri" w:cs="Calibri"/>
              </w:rPr>
              <w:t>7</w:t>
            </w:r>
          </w:p>
        </w:tc>
        <w:tc>
          <w:tcPr>
            <w:tcW w:w="578" w:type="pct"/>
            <w:tcBorders>
              <w:top w:val="nil"/>
              <w:left w:val="nil"/>
              <w:bottom w:val="nil"/>
              <w:right w:val="nil"/>
            </w:tcBorders>
            <w:shd w:val="clear" w:color="auto" w:fill="auto"/>
            <w:vAlign w:val="center"/>
            <w:hideMark/>
          </w:tcPr>
          <w:p w14:paraId="17CBB5B1" w14:textId="043C7D78" w:rsidR="003D3EC9" w:rsidRPr="00A95458" w:rsidRDefault="004368C9" w:rsidP="00756BE9">
            <w:pPr>
              <w:pStyle w:val="TableTextRight"/>
              <w:rPr>
                <w:lang w:eastAsia="en-AU"/>
              </w:rPr>
            </w:pPr>
            <w:r>
              <w:rPr>
                <w:rFonts w:ascii="Calibri" w:hAnsi="Calibri" w:cs="Calibri"/>
              </w:rPr>
              <w:t>13.</w:t>
            </w:r>
            <w:r w:rsidR="00544FBB">
              <w:rPr>
                <w:rFonts w:ascii="Calibri" w:hAnsi="Calibri" w:cs="Calibri"/>
              </w:rPr>
              <w:t>6</w:t>
            </w:r>
          </w:p>
        </w:tc>
      </w:tr>
      <w:tr w:rsidR="003D3EC9" w:rsidRPr="00A95458" w14:paraId="0C7D301A" w14:textId="77777777" w:rsidTr="00756BE9">
        <w:trPr>
          <w:trHeight w:val="227"/>
        </w:trPr>
        <w:tc>
          <w:tcPr>
            <w:tcW w:w="1531" w:type="pct"/>
            <w:tcBorders>
              <w:top w:val="nil"/>
              <w:left w:val="nil"/>
              <w:bottom w:val="nil"/>
              <w:right w:val="nil"/>
            </w:tcBorders>
            <w:shd w:val="clear" w:color="auto" w:fill="auto"/>
            <w:vAlign w:val="center"/>
            <w:hideMark/>
          </w:tcPr>
          <w:p w14:paraId="6AA60820"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7E92A07E" w14:textId="3FD414C8" w:rsidR="003D3EC9" w:rsidRPr="00A95458" w:rsidRDefault="003D3EC9" w:rsidP="00756BE9">
            <w:pPr>
              <w:pStyle w:val="TableTextRight"/>
              <w:rPr>
                <w:lang w:eastAsia="en-AU"/>
              </w:rPr>
            </w:pPr>
            <w:r>
              <w:rPr>
                <w:rFonts w:ascii="Calibri" w:hAnsi="Calibri" w:cs="Calibri"/>
              </w:rPr>
              <w:t>28.1</w:t>
            </w:r>
          </w:p>
        </w:tc>
        <w:tc>
          <w:tcPr>
            <w:tcW w:w="578" w:type="pct"/>
            <w:tcBorders>
              <w:top w:val="nil"/>
              <w:left w:val="nil"/>
              <w:bottom w:val="nil"/>
              <w:right w:val="nil"/>
            </w:tcBorders>
            <w:shd w:val="clear" w:color="auto" w:fill="D2EDFF"/>
            <w:vAlign w:val="center"/>
            <w:hideMark/>
          </w:tcPr>
          <w:p w14:paraId="5A23FF0D" w14:textId="736C3D6C" w:rsidR="003D3EC9" w:rsidRPr="00A95458" w:rsidRDefault="003D3EC9" w:rsidP="00756BE9">
            <w:pPr>
              <w:pStyle w:val="TableTextRight"/>
              <w:rPr>
                <w:lang w:eastAsia="en-AU"/>
              </w:rPr>
            </w:pPr>
            <w:r>
              <w:rPr>
                <w:rFonts w:ascii="Calibri" w:hAnsi="Calibri" w:cs="Calibri"/>
              </w:rPr>
              <w:t>21.3</w:t>
            </w:r>
          </w:p>
        </w:tc>
        <w:tc>
          <w:tcPr>
            <w:tcW w:w="578" w:type="pct"/>
            <w:tcBorders>
              <w:top w:val="nil"/>
              <w:left w:val="nil"/>
              <w:bottom w:val="nil"/>
              <w:right w:val="nil"/>
            </w:tcBorders>
            <w:shd w:val="clear" w:color="auto" w:fill="auto"/>
            <w:vAlign w:val="center"/>
            <w:hideMark/>
          </w:tcPr>
          <w:p w14:paraId="31FC8A89" w14:textId="5623CD85" w:rsidR="003D3EC9" w:rsidRPr="00A95458" w:rsidRDefault="004368C9" w:rsidP="00756BE9">
            <w:pPr>
              <w:pStyle w:val="TableTextRight"/>
              <w:rPr>
                <w:lang w:eastAsia="en-AU"/>
              </w:rPr>
            </w:pPr>
            <w:r>
              <w:rPr>
                <w:rFonts w:ascii="Calibri" w:hAnsi="Calibri" w:cs="Calibri"/>
              </w:rPr>
              <w:t>15.</w:t>
            </w:r>
            <w:r w:rsidR="00544FBB">
              <w:rPr>
                <w:rFonts w:ascii="Calibri" w:hAnsi="Calibri" w:cs="Calibri"/>
              </w:rPr>
              <w:t>9</w:t>
            </w:r>
          </w:p>
        </w:tc>
        <w:tc>
          <w:tcPr>
            <w:tcW w:w="578" w:type="pct"/>
            <w:tcBorders>
              <w:top w:val="nil"/>
              <w:left w:val="nil"/>
              <w:bottom w:val="nil"/>
              <w:right w:val="nil"/>
            </w:tcBorders>
            <w:shd w:val="clear" w:color="auto" w:fill="auto"/>
            <w:vAlign w:val="center"/>
            <w:hideMark/>
          </w:tcPr>
          <w:p w14:paraId="405B8A6D" w14:textId="57A1C762" w:rsidR="003D3EC9" w:rsidRPr="00A95458" w:rsidRDefault="004368C9" w:rsidP="00756BE9">
            <w:pPr>
              <w:pStyle w:val="TableTextRight"/>
              <w:rPr>
                <w:lang w:eastAsia="en-AU"/>
              </w:rPr>
            </w:pPr>
            <w:r>
              <w:rPr>
                <w:rFonts w:ascii="Calibri" w:hAnsi="Calibri" w:cs="Calibri"/>
              </w:rPr>
              <w:t>13.</w:t>
            </w:r>
            <w:r w:rsidR="00544FBB">
              <w:rPr>
                <w:rFonts w:ascii="Calibri" w:hAnsi="Calibri" w:cs="Calibri"/>
              </w:rPr>
              <w:t>6</w:t>
            </w:r>
          </w:p>
        </w:tc>
        <w:tc>
          <w:tcPr>
            <w:tcW w:w="578" w:type="pct"/>
            <w:tcBorders>
              <w:top w:val="nil"/>
              <w:left w:val="nil"/>
              <w:bottom w:val="nil"/>
              <w:right w:val="single" w:sz="4" w:space="0" w:color="auto"/>
            </w:tcBorders>
            <w:shd w:val="clear" w:color="auto" w:fill="auto"/>
            <w:vAlign w:val="center"/>
            <w:hideMark/>
          </w:tcPr>
          <w:p w14:paraId="12DA5D94" w14:textId="4247DA82" w:rsidR="003D3EC9" w:rsidRPr="00A95458" w:rsidRDefault="004368C9" w:rsidP="00756BE9">
            <w:pPr>
              <w:pStyle w:val="TableTextRight"/>
              <w:rPr>
                <w:lang w:eastAsia="en-AU"/>
              </w:rPr>
            </w:pPr>
            <w:r>
              <w:rPr>
                <w:rFonts w:ascii="Calibri" w:hAnsi="Calibri" w:cs="Calibri"/>
              </w:rPr>
              <w:t>12.</w:t>
            </w:r>
            <w:r w:rsidR="00544FBB">
              <w:rPr>
                <w:rFonts w:ascii="Calibri" w:hAnsi="Calibri" w:cs="Calibri"/>
              </w:rPr>
              <w:t>3</w:t>
            </w:r>
          </w:p>
        </w:tc>
        <w:tc>
          <w:tcPr>
            <w:tcW w:w="578" w:type="pct"/>
            <w:tcBorders>
              <w:top w:val="nil"/>
              <w:left w:val="nil"/>
              <w:bottom w:val="nil"/>
              <w:right w:val="nil"/>
            </w:tcBorders>
            <w:shd w:val="clear" w:color="auto" w:fill="auto"/>
            <w:vAlign w:val="center"/>
            <w:hideMark/>
          </w:tcPr>
          <w:p w14:paraId="5E44B268" w14:textId="7BEE49B1" w:rsidR="003D3EC9" w:rsidRPr="00A95458" w:rsidRDefault="004368C9" w:rsidP="00756BE9">
            <w:pPr>
              <w:pStyle w:val="TableTextRight"/>
              <w:rPr>
                <w:lang w:eastAsia="en-AU"/>
              </w:rPr>
            </w:pPr>
            <w:r>
              <w:rPr>
                <w:rFonts w:ascii="Calibri" w:hAnsi="Calibri" w:cs="Calibri"/>
              </w:rPr>
              <w:t>12.</w:t>
            </w:r>
            <w:r w:rsidR="00544FBB">
              <w:rPr>
                <w:rFonts w:ascii="Calibri" w:hAnsi="Calibri" w:cs="Calibri"/>
              </w:rPr>
              <w:t>3</w:t>
            </w:r>
          </w:p>
        </w:tc>
      </w:tr>
      <w:tr w:rsidR="003D3EC9" w:rsidRPr="00A95458" w14:paraId="0C7D34A5" w14:textId="77777777" w:rsidTr="00756BE9">
        <w:trPr>
          <w:trHeight w:val="227"/>
        </w:trPr>
        <w:tc>
          <w:tcPr>
            <w:tcW w:w="1531" w:type="pct"/>
            <w:tcBorders>
              <w:top w:val="nil"/>
              <w:left w:val="nil"/>
              <w:bottom w:val="single" w:sz="4" w:space="0" w:color="auto"/>
              <w:right w:val="nil"/>
            </w:tcBorders>
            <w:shd w:val="clear" w:color="auto" w:fill="auto"/>
            <w:vAlign w:val="center"/>
            <w:hideMark/>
          </w:tcPr>
          <w:p w14:paraId="39AB13A3" w14:textId="77777777" w:rsidR="003D3EC9" w:rsidRPr="00A95458" w:rsidRDefault="003D3EC9" w:rsidP="00C75089">
            <w:pPr>
              <w:pStyle w:val="Tabletextleftindent"/>
            </w:pPr>
            <w:r w:rsidRPr="00A95458">
              <w:t>Rest of South Australia</w:t>
            </w:r>
          </w:p>
        </w:tc>
        <w:tc>
          <w:tcPr>
            <w:tcW w:w="578" w:type="pct"/>
            <w:tcBorders>
              <w:top w:val="nil"/>
              <w:left w:val="nil"/>
              <w:bottom w:val="single" w:sz="4" w:space="0" w:color="auto"/>
              <w:right w:val="nil"/>
            </w:tcBorders>
            <w:shd w:val="clear" w:color="auto" w:fill="auto"/>
            <w:vAlign w:val="center"/>
            <w:hideMark/>
          </w:tcPr>
          <w:p w14:paraId="731D24E9" w14:textId="08EE9382" w:rsidR="003D3EC9" w:rsidRPr="00A95458" w:rsidRDefault="003D3EC9" w:rsidP="00756BE9">
            <w:pPr>
              <w:pStyle w:val="TableTextRight"/>
              <w:rPr>
                <w:lang w:eastAsia="en-AU"/>
              </w:rPr>
            </w:pPr>
            <w:r>
              <w:rPr>
                <w:rFonts w:ascii="Calibri" w:hAnsi="Calibri" w:cs="Calibri"/>
              </w:rPr>
              <w:t>3.0</w:t>
            </w:r>
          </w:p>
        </w:tc>
        <w:tc>
          <w:tcPr>
            <w:tcW w:w="578" w:type="pct"/>
            <w:tcBorders>
              <w:top w:val="nil"/>
              <w:left w:val="nil"/>
              <w:bottom w:val="single" w:sz="4" w:space="0" w:color="auto"/>
              <w:right w:val="nil"/>
            </w:tcBorders>
            <w:shd w:val="clear" w:color="auto" w:fill="D2EDFF"/>
            <w:vAlign w:val="center"/>
            <w:hideMark/>
          </w:tcPr>
          <w:p w14:paraId="401DF089" w14:textId="10486346" w:rsidR="003D3EC9" w:rsidRPr="00A95458" w:rsidRDefault="003D3EC9" w:rsidP="00756BE9">
            <w:pPr>
              <w:pStyle w:val="TableTextRight"/>
              <w:rPr>
                <w:lang w:eastAsia="en-AU"/>
              </w:rPr>
            </w:pPr>
            <w:r>
              <w:rPr>
                <w:rFonts w:ascii="Calibri" w:hAnsi="Calibri" w:cs="Calibri"/>
              </w:rPr>
              <w:t>3.2</w:t>
            </w:r>
          </w:p>
        </w:tc>
        <w:tc>
          <w:tcPr>
            <w:tcW w:w="578" w:type="pct"/>
            <w:tcBorders>
              <w:top w:val="nil"/>
              <w:left w:val="nil"/>
              <w:bottom w:val="single" w:sz="4" w:space="0" w:color="auto"/>
              <w:right w:val="nil"/>
            </w:tcBorders>
            <w:shd w:val="clear" w:color="auto" w:fill="auto"/>
            <w:vAlign w:val="center"/>
            <w:hideMark/>
          </w:tcPr>
          <w:p w14:paraId="57A19534" w14:textId="78D715E7" w:rsidR="003D3EC9" w:rsidRPr="00A95458" w:rsidRDefault="003D3EC9" w:rsidP="00756BE9">
            <w:pPr>
              <w:pStyle w:val="TableTextRight"/>
              <w:rPr>
                <w:lang w:eastAsia="en-AU"/>
              </w:rPr>
            </w:pPr>
            <w:r>
              <w:rPr>
                <w:rFonts w:ascii="Calibri" w:hAnsi="Calibri" w:cs="Calibri"/>
              </w:rPr>
              <w:t>2.3</w:t>
            </w:r>
          </w:p>
        </w:tc>
        <w:tc>
          <w:tcPr>
            <w:tcW w:w="578" w:type="pct"/>
            <w:tcBorders>
              <w:top w:val="nil"/>
              <w:left w:val="nil"/>
              <w:bottom w:val="single" w:sz="4" w:space="0" w:color="auto"/>
              <w:right w:val="nil"/>
            </w:tcBorders>
            <w:shd w:val="clear" w:color="auto" w:fill="auto"/>
            <w:vAlign w:val="center"/>
            <w:hideMark/>
          </w:tcPr>
          <w:p w14:paraId="6CE5D922" w14:textId="5FB1825B" w:rsidR="003D3EC9" w:rsidRPr="00A95458" w:rsidRDefault="003D3EC9" w:rsidP="00756BE9">
            <w:pPr>
              <w:pStyle w:val="TableTextRight"/>
              <w:rPr>
                <w:lang w:eastAsia="en-AU"/>
              </w:rPr>
            </w:pPr>
            <w:r>
              <w:rPr>
                <w:rFonts w:ascii="Calibri" w:hAnsi="Calibri" w:cs="Calibri"/>
              </w:rPr>
              <w:t>1.1</w:t>
            </w:r>
          </w:p>
        </w:tc>
        <w:tc>
          <w:tcPr>
            <w:tcW w:w="578" w:type="pct"/>
            <w:tcBorders>
              <w:top w:val="nil"/>
              <w:left w:val="nil"/>
              <w:bottom w:val="single" w:sz="4" w:space="0" w:color="auto"/>
              <w:right w:val="single" w:sz="4" w:space="0" w:color="auto"/>
            </w:tcBorders>
            <w:shd w:val="clear" w:color="auto" w:fill="auto"/>
            <w:vAlign w:val="center"/>
            <w:hideMark/>
          </w:tcPr>
          <w:p w14:paraId="48C7E71C" w14:textId="138339B5" w:rsidR="003D3EC9" w:rsidRPr="00A95458" w:rsidRDefault="003D3EC9" w:rsidP="00756BE9">
            <w:pPr>
              <w:pStyle w:val="TableTextRight"/>
              <w:rPr>
                <w:lang w:eastAsia="en-AU"/>
              </w:rPr>
            </w:pPr>
            <w:r>
              <w:rPr>
                <w:rFonts w:ascii="Calibri" w:hAnsi="Calibri" w:cs="Calibri"/>
              </w:rPr>
              <w:t>0.4</w:t>
            </w:r>
          </w:p>
        </w:tc>
        <w:tc>
          <w:tcPr>
            <w:tcW w:w="578" w:type="pct"/>
            <w:tcBorders>
              <w:top w:val="nil"/>
              <w:left w:val="nil"/>
              <w:bottom w:val="single" w:sz="4" w:space="0" w:color="auto"/>
              <w:right w:val="nil"/>
            </w:tcBorders>
            <w:shd w:val="clear" w:color="auto" w:fill="auto"/>
            <w:vAlign w:val="center"/>
            <w:hideMark/>
          </w:tcPr>
          <w:p w14:paraId="37F9FD75" w14:textId="1CFEC578" w:rsidR="003D3EC9" w:rsidRPr="00A95458" w:rsidRDefault="003D3EC9" w:rsidP="00756BE9">
            <w:pPr>
              <w:pStyle w:val="TableTextRight"/>
              <w:rPr>
                <w:lang w:eastAsia="en-AU"/>
              </w:rPr>
            </w:pPr>
            <w:r>
              <w:rPr>
                <w:rFonts w:ascii="Calibri" w:hAnsi="Calibri" w:cs="Calibri"/>
              </w:rPr>
              <w:t>1.2</w:t>
            </w:r>
          </w:p>
        </w:tc>
      </w:tr>
      <w:tr w:rsidR="003D3EC9" w:rsidRPr="00A95458" w14:paraId="040D6A08" w14:textId="77777777" w:rsidTr="00756BE9">
        <w:trPr>
          <w:trHeight w:val="227"/>
        </w:trPr>
        <w:tc>
          <w:tcPr>
            <w:tcW w:w="1531" w:type="pct"/>
            <w:tcBorders>
              <w:top w:val="nil"/>
              <w:left w:val="nil"/>
              <w:bottom w:val="nil"/>
              <w:right w:val="nil"/>
            </w:tcBorders>
            <w:shd w:val="clear" w:color="auto" w:fill="auto"/>
            <w:vAlign w:val="center"/>
            <w:hideMark/>
          </w:tcPr>
          <w:p w14:paraId="3A5947D4" w14:textId="045AA682" w:rsidR="003D3EC9" w:rsidRPr="00A95458" w:rsidRDefault="003D3EC9" w:rsidP="00F828E7">
            <w:pPr>
              <w:pStyle w:val="TableColumnHeadingLeft"/>
            </w:pPr>
            <w:r w:rsidRPr="00A95458">
              <w:t>Natural increase (</w:t>
            </w:r>
            <w:r w:rsidR="00050D25">
              <w:t>‘</w:t>
            </w:r>
            <w:r w:rsidRPr="00A95458">
              <w:t>000)</w:t>
            </w:r>
          </w:p>
        </w:tc>
        <w:tc>
          <w:tcPr>
            <w:tcW w:w="578" w:type="pct"/>
            <w:tcBorders>
              <w:top w:val="nil"/>
              <w:left w:val="nil"/>
              <w:bottom w:val="nil"/>
              <w:right w:val="nil"/>
            </w:tcBorders>
            <w:shd w:val="clear" w:color="auto" w:fill="auto"/>
            <w:vAlign w:val="center"/>
            <w:hideMark/>
          </w:tcPr>
          <w:p w14:paraId="0E25581A"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49B186E1" w14:textId="5B802F00"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A9050BD"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4D7624D2"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486F750A" w14:textId="648DACF2"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76E9D7EC" w14:textId="77777777" w:rsidR="003D3EC9" w:rsidRPr="00A95458" w:rsidRDefault="003D3EC9" w:rsidP="00756BE9">
            <w:pPr>
              <w:pStyle w:val="TableTextRight"/>
              <w:rPr>
                <w:lang w:eastAsia="en-AU"/>
              </w:rPr>
            </w:pPr>
          </w:p>
        </w:tc>
      </w:tr>
      <w:tr w:rsidR="003D3EC9" w:rsidRPr="00A95458" w14:paraId="03C7B1AC" w14:textId="77777777" w:rsidTr="00756BE9">
        <w:trPr>
          <w:trHeight w:val="227"/>
        </w:trPr>
        <w:tc>
          <w:tcPr>
            <w:tcW w:w="1531" w:type="pct"/>
            <w:tcBorders>
              <w:top w:val="nil"/>
              <w:left w:val="nil"/>
              <w:bottom w:val="nil"/>
              <w:right w:val="nil"/>
            </w:tcBorders>
            <w:shd w:val="clear" w:color="auto" w:fill="auto"/>
            <w:vAlign w:val="center"/>
            <w:hideMark/>
          </w:tcPr>
          <w:p w14:paraId="11A95A99"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29056112" w14:textId="279DFABB" w:rsidR="003D3EC9" w:rsidRPr="00A95458" w:rsidRDefault="003D3EC9" w:rsidP="00756BE9">
            <w:pPr>
              <w:pStyle w:val="TableTextRight"/>
              <w:rPr>
                <w:lang w:eastAsia="en-AU"/>
              </w:rPr>
            </w:pPr>
            <w:r>
              <w:rPr>
                <w:rFonts w:ascii="Calibri" w:hAnsi="Calibri" w:cs="Calibri"/>
              </w:rPr>
              <w:t>2.9</w:t>
            </w:r>
          </w:p>
        </w:tc>
        <w:tc>
          <w:tcPr>
            <w:tcW w:w="578" w:type="pct"/>
            <w:tcBorders>
              <w:top w:val="nil"/>
              <w:left w:val="nil"/>
              <w:bottom w:val="nil"/>
              <w:right w:val="nil"/>
            </w:tcBorders>
            <w:shd w:val="clear" w:color="auto" w:fill="D2EDFF"/>
            <w:vAlign w:val="center"/>
            <w:hideMark/>
          </w:tcPr>
          <w:p w14:paraId="4E69BFF0" w14:textId="4CC44A15" w:rsidR="003D3EC9" w:rsidRPr="00A95458" w:rsidRDefault="003D3EC9" w:rsidP="00756BE9">
            <w:pPr>
              <w:pStyle w:val="TableTextRight"/>
              <w:rPr>
                <w:lang w:eastAsia="en-AU"/>
              </w:rPr>
            </w:pPr>
            <w:r>
              <w:rPr>
                <w:rFonts w:ascii="Calibri" w:hAnsi="Calibri" w:cs="Calibri"/>
              </w:rPr>
              <w:t>2.8</w:t>
            </w:r>
          </w:p>
        </w:tc>
        <w:tc>
          <w:tcPr>
            <w:tcW w:w="578" w:type="pct"/>
            <w:tcBorders>
              <w:top w:val="nil"/>
              <w:left w:val="nil"/>
              <w:bottom w:val="nil"/>
              <w:right w:val="nil"/>
            </w:tcBorders>
            <w:shd w:val="clear" w:color="auto" w:fill="auto"/>
            <w:vAlign w:val="center"/>
            <w:hideMark/>
          </w:tcPr>
          <w:p w14:paraId="49F53034" w14:textId="39C46505" w:rsidR="003D3EC9" w:rsidRPr="00A95458" w:rsidRDefault="004368C9" w:rsidP="00756BE9">
            <w:pPr>
              <w:pStyle w:val="TableTextRight"/>
              <w:rPr>
                <w:lang w:eastAsia="en-AU"/>
              </w:rPr>
            </w:pPr>
            <w:r>
              <w:rPr>
                <w:rFonts w:ascii="Calibri" w:hAnsi="Calibri" w:cs="Calibri"/>
              </w:rPr>
              <w:t>2.</w:t>
            </w:r>
            <w:r w:rsidR="00544FBB">
              <w:rPr>
                <w:rFonts w:ascii="Calibri" w:hAnsi="Calibri" w:cs="Calibri"/>
              </w:rPr>
              <w:t>7</w:t>
            </w:r>
          </w:p>
        </w:tc>
        <w:tc>
          <w:tcPr>
            <w:tcW w:w="578" w:type="pct"/>
            <w:tcBorders>
              <w:top w:val="nil"/>
              <w:left w:val="nil"/>
              <w:bottom w:val="nil"/>
              <w:right w:val="nil"/>
            </w:tcBorders>
            <w:shd w:val="clear" w:color="auto" w:fill="auto"/>
            <w:vAlign w:val="center"/>
            <w:hideMark/>
          </w:tcPr>
          <w:p w14:paraId="5E4728CF" w14:textId="28DB9D58" w:rsidR="003D3EC9" w:rsidRPr="00A95458" w:rsidRDefault="004368C9" w:rsidP="00756BE9">
            <w:pPr>
              <w:pStyle w:val="TableTextRight"/>
              <w:rPr>
                <w:lang w:eastAsia="en-AU"/>
              </w:rPr>
            </w:pPr>
            <w:r>
              <w:rPr>
                <w:rFonts w:ascii="Calibri" w:hAnsi="Calibri" w:cs="Calibri"/>
              </w:rPr>
              <w:t>3.</w:t>
            </w:r>
            <w:r w:rsidR="00544FBB">
              <w:rPr>
                <w:rFonts w:ascii="Calibri" w:hAnsi="Calibri" w:cs="Calibri"/>
              </w:rPr>
              <w:t>1</w:t>
            </w:r>
          </w:p>
        </w:tc>
        <w:tc>
          <w:tcPr>
            <w:tcW w:w="578" w:type="pct"/>
            <w:tcBorders>
              <w:top w:val="nil"/>
              <w:left w:val="nil"/>
              <w:bottom w:val="nil"/>
              <w:right w:val="single" w:sz="4" w:space="0" w:color="auto"/>
            </w:tcBorders>
            <w:shd w:val="clear" w:color="auto" w:fill="auto"/>
            <w:vAlign w:val="center"/>
            <w:hideMark/>
          </w:tcPr>
          <w:p w14:paraId="6AF578F2" w14:textId="26AE1628" w:rsidR="003D3EC9" w:rsidRPr="00A95458" w:rsidRDefault="003D3EC9" w:rsidP="00756BE9">
            <w:pPr>
              <w:pStyle w:val="TableTextRight"/>
              <w:rPr>
                <w:lang w:eastAsia="en-AU"/>
              </w:rPr>
            </w:pPr>
            <w:r>
              <w:rPr>
                <w:rFonts w:ascii="Calibri" w:hAnsi="Calibri" w:cs="Calibri"/>
              </w:rPr>
              <w:t>3.4</w:t>
            </w:r>
          </w:p>
        </w:tc>
        <w:tc>
          <w:tcPr>
            <w:tcW w:w="578" w:type="pct"/>
            <w:tcBorders>
              <w:top w:val="nil"/>
              <w:left w:val="nil"/>
              <w:bottom w:val="nil"/>
              <w:right w:val="nil"/>
            </w:tcBorders>
            <w:shd w:val="clear" w:color="auto" w:fill="auto"/>
            <w:vAlign w:val="center"/>
            <w:hideMark/>
          </w:tcPr>
          <w:p w14:paraId="662DBD65" w14:textId="079B3E1B" w:rsidR="003D3EC9" w:rsidRPr="00A95458" w:rsidRDefault="004368C9" w:rsidP="00756BE9">
            <w:pPr>
              <w:pStyle w:val="TableTextRight"/>
              <w:rPr>
                <w:lang w:eastAsia="en-AU"/>
              </w:rPr>
            </w:pPr>
            <w:r>
              <w:rPr>
                <w:rFonts w:ascii="Calibri" w:hAnsi="Calibri" w:cs="Calibri"/>
              </w:rPr>
              <w:t>3.</w:t>
            </w:r>
            <w:r w:rsidR="00544FBB">
              <w:rPr>
                <w:rFonts w:ascii="Calibri" w:hAnsi="Calibri" w:cs="Calibri"/>
              </w:rPr>
              <w:t>2</w:t>
            </w:r>
          </w:p>
        </w:tc>
      </w:tr>
      <w:tr w:rsidR="003D3EC9" w:rsidRPr="00A95458" w14:paraId="31560A34" w14:textId="77777777" w:rsidTr="00756BE9">
        <w:trPr>
          <w:trHeight w:val="227"/>
        </w:trPr>
        <w:tc>
          <w:tcPr>
            <w:tcW w:w="1531" w:type="pct"/>
            <w:tcBorders>
              <w:top w:val="nil"/>
              <w:left w:val="nil"/>
              <w:bottom w:val="nil"/>
              <w:right w:val="nil"/>
            </w:tcBorders>
            <w:shd w:val="clear" w:color="auto" w:fill="auto"/>
            <w:vAlign w:val="center"/>
            <w:hideMark/>
          </w:tcPr>
          <w:p w14:paraId="1EF7CF21"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23D1EEF2" w14:textId="46CBB530" w:rsidR="003D3EC9" w:rsidRPr="00A95458" w:rsidRDefault="003D3EC9" w:rsidP="00756BE9">
            <w:pPr>
              <w:pStyle w:val="TableTextRight"/>
              <w:rPr>
                <w:lang w:eastAsia="en-AU"/>
              </w:rPr>
            </w:pPr>
            <w:r>
              <w:rPr>
                <w:rFonts w:ascii="Calibri" w:hAnsi="Calibri" w:cs="Calibri"/>
              </w:rPr>
              <w:t>3.4</w:t>
            </w:r>
          </w:p>
        </w:tc>
        <w:tc>
          <w:tcPr>
            <w:tcW w:w="578" w:type="pct"/>
            <w:tcBorders>
              <w:top w:val="nil"/>
              <w:left w:val="nil"/>
              <w:bottom w:val="nil"/>
              <w:right w:val="nil"/>
            </w:tcBorders>
            <w:shd w:val="clear" w:color="auto" w:fill="D2EDFF"/>
            <w:vAlign w:val="center"/>
            <w:hideMark/>
          </w:tcPr>
          <w:p w14:paraId="47C8781B" w14:textId="70F54D11" w:rsidR="003D3EC9" w:rsidRPr="00A95458" w:rsidRDefault="004368C9" w:rsidP="00756BE9">
            <w:pPr>
              <w:pStyle w:val="TableTextRight"/>
              <w:rPr>
                <w:lang w:eastAsia="en-AU"/>
              </w:rPr>
            </w:pPr>
            <w:r>
              <w:rPr>
                <w:rFonts w:ascii="Calibri" w:hAnsi="Calibri" w:cs="Calibri"/>
              </w:rPr>
              <w:t>3.</w:t>
            </w:r>
            <w:r w:rsidR="00544FBB">
              <w:rPr>
                <w:rFonts w:ascii="Calibri" w:hAnsi="Calibri" w:cs="Calibri"/>
              </w:rPr>
              <w:t>5</w:t>
            </w:r>
          </w:p>
        </w:tc>
        <w:tc>
          <w:tcPr>
            <w:tcW w:w="578" w:type="pct"/>
            <w:tcBorders>
              <w:top w:val="nil"/>
              <w:left w:val="nil"/>
              <w:bottom w:val="nil"/>
              <w:right w:val="nil"/>
            </w:tcBorders>
            <w:shd w:val="clear" w:color="auto" w:fill="auto"/>
            <w:vAlign w:val="center"/>
            <w:hideMark/>
          </w:tcPr>
          <w:p w14:paraId="70B47481" w14:textId="782A57F4" w:rsidR="003D3EC9" w:rsidRPr="00A95458" w:rsidRDefault="004368C9" w:rsidP="00756BE9">
            <w:pPr>
              <w:pStyle w:val="TableTextRight"/>
              <w:rPr>
                <w:lang w:eastAsia="en-AU"/>
              </w:rPr>
            </w:pPr>
            <w:r>
              <w:rPr>
                <w:rFonts w:ascii="Calibri" w:hAnsi="Calibri" w:cs="Calibri"/>
              </w:rPr>
              <w:t>3.</w:t>
            </w:r>
            <w:r w:rsidR="00544FBB">
              <w:rPr>
                <w:rFonts w:ascii="Calibri" w:hAnsi="Calibri" w:cs="Calibri"/>
              </w:rPr>
              <w:t>5</w:t>
            </w:r>
          </w:p>
        </w:tc>
        <w:tc>
          <w:tcPr>
            <w:tcW w:w="578" w:type="pct"/>
            <w:tcBorders>
              <w:top w:val="nil"/>
              <w:left w:val="nil"/>
              <w:bottom w:val="nil"/>
              <w:right w:val="nil"/>
            </w:tcBorders>
            <w:shd w:val="clear" w:color="auto" w:fill="auto"/>
            <w:vAlign w:val="center"/>
            <w:hideMark/>
          </w:tcPr>
          <w:p w14:paraId="55E66AC1" w14:textId="5A448398" w:rsidR="003D3EC9" w:rsidRPr="00A95458" w:rsidRDefault="004368C9" w:rsidP="00756BE9">
            <w:pPr>
              <w:pStyle w:val="TableTextRight"/>
              <w:rPr>
                <w:lang w:eastAsia="en-AU"/>
              </w:rPr>
            </w:pPr>
            <w:r>
              <w:rPr>
                <w:rFonts w:ascii="Calibri" w:hAnsi="Calibri" w:cs="Calibri"/>
              </w:rPr>
              <w:t>3.</w:t>
            </w:r>
            <w:r w:rsidR="00544FBB">
              <w:rPr>
                <w:rFonts w:ascii="Calibri" w:hAnsi="Calibri" w:cs="Calibri"/>
              </w:rPr>
              <w:t>8</w:t>
            </w:r>
          </w:p>
        </w:tc>
        <w:tc>
          <w:tcPr>
            <w:tcW w:w="578" w:type="pct"/>
            <w:tcBorders>
              <w:top w:val="nil"/>
              <w:left w:val="nil"/>
              <w:bottom w:val="nil"/>
              <w:right w:val="single" w:sz="4" w:space="0" w:color="auto"/>
            </w:tcBorders>
            <w:shd w:val="clear" w:color="auto" w:fill="auto"/>
            <w:vAlign w:val="center"/>
            <w:hideMark/>
          </w:tcPr>
          <w:p w14:paraId="039A4B8E" w14:textId="73A77AC3" w:rsidR="003D3EC9" w:rsidRPr="00A95458" w:rsidRDefault="004368C9" w:rsidP="00756BE9">
            <w:pPr>
              <w:pStyle w:val="TableTextRight"/>
              <w:rPr>
                <w:lang w:eastAsia="en-AU"/>
              </w:rPr>
            </w:pPr>
            <w:r>
              <w:rPr>
                <w:rFonts w:ascii="Calibri" w:hAnsi="Calibri" w:cs="Calibri"/>
              </w:rPr>
              <w:t>4.</w:t>
            </w:r>
            <w:r w:rsidR="00544FBB">
              <w:rPr>
                <w:rFonts w:ascii="Calibri" w:hAnsi="Calibri" w:cs="Calibri"/>
              </w:rPr>
              <w:t>0</w:t>
            </w:r>
          </w:p>
        </w:tc>
        <w:tc>
          <w:tcPr>
            <w:tcW w:w="578" w:type="pct"/>
            <w:tcBorders>
              <w:top w:val="nil"/>
              <w:left w:val="nil"/>
              <w:bottom w:val="nil"/>
              <w:right w:val="nil"/>
            </w:tcBorders>
            <w:shd w:val="clear" w:color="auto" w:fill="auto"/>
            <w:vAlign w:val="center"/>
            <w:hideMark/>
          </w:tcPr>
          <w:p w14:paraId="5151271B" w14:textId="37CAD267" w:rsidR="003D3EC9" w:rsidRPr="00A95458" w:rsidRDefault="003D3EC9" w:rsidP="00756BE9">
            <w:pPr>
              <w:pStyle w:val="TableTextRight"/>
              <w:rPr>
                <w:lang w:eastAsia="en-AU"/>
              </w:rPr>
            </w:pPr>
            <w:r>
              <w:rPr>
                <w:rFonts w:ascii="Calibri" w:hAnsi="Calibri" w:cs="Calibri"/>
              </w:rPr>
              <w:t>4.2</w:t>
            </w:r>
          </w:p>
        </w:tc>
      </w:tr>
      <w:tr w:rsidR="003D3EC9" w:rsidRPr="00A95458" w14:paraId="4B046A6A" w14:textId="77777777" w:rsidTr="00756BE9">
        <w:trPr>
          <w:trHeight w:val="227"/>
        </w:trPr>
        <w:tc>
          <w:tcPr>
            <w:tcW w:w="1531" w:type="pct"/>
            <w:tcBorders>
              <w:top w:val="nil"/>
              <w:left w:val="nil"/>
              <w:bottom w:val="nil"/>
              <w:right w:val="nil"/>
            </w:tcBorders>
            <w:shd w:val="clear" w:color="auto" w:fill="auto"/>
            <w:vAlign w:val="center"/>
            <w:hideMark/>
          </w:tcPr>
          <w:p w14:paraId="4CD24D19" w14:textId="77777777" w:rsidR="003D3EC9" w:rsidRPr="00A95458" w:rsidRDefault="003D3EC9" w:rsidP="00C75089">
            <w:pPr>
              <w:pStyle w:val="Tabletextleftindent"/>
            </w:pPr>
            <w:r w:rsidRPr="00A95458">
              <w:t>Rest of South Australia</w:t>
            </w:r>
          </w:p>
        </w:tc>
        <w:tc>
          <w:tcPr>
            <w:tcW w:w="578" w:type="pct"/>
            <w:tcBorders>
              <w:top w:val="nil"/>
              <w:left w:val="nil"/>
              <w:bottom w:val="nil"/>
              <w:right w:val="nil"/>
            </w:tcBorders>
            <w:shd w:val="clear" w:color="auto" w:fill="auto"/>
            <w:vAlign w:val="center"/>
            <w:hideMark/>
          </w:tcPr>
          <w:p w14:paraId="3AE49A9D" w14:textId="10AE3049"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0.4</w:t>
            </w:r>
          </w:p>
        </w:tc>
        <w:tc>
          <w:tcPr>
            <w:tcW w:w="578" w:type="pct"/>
            <w:tcBorders>
              <w:top w:val="nil"/>
              <w:left w:val="nil"/>
              <w:bottom w:val="nil"/>
              <w:right w:val="nil"/>
            </w:tcBorders>
            <w:shd w:val="clear" w:color="auto" w:fill="D2EDFF"/>
            <w:vAlign w:val="center"/>
            <w:hideMark/>
          </w:tcPr>
          <w:p w14:paraId="6F0C4D67" w14:textId="7AA44779" w:rsidR="003D3EC9" w:rsidRPr="00A95458" w:rsidRDefault="00050D25" w:rsidP="00756BE9">
            <w:pPr>
              <w:pStyle w:val="TableTextRight"/>
              <w:rPr>
                <w:lang w:eastAsia="en-AU"/>
              </w:rPr>
            </w:pPr>
            <w:r>
              <w:rPr>
                <w:rFonts w:ascii="Calibri" w:hAnsi="Calibri" w:cs="Calibri"/>
              </w:rPr>
              <w:noBreakHyphen/>
            </w:r>
            <w:r w:rsidR="004368C9">
              <w:rPr>
                <w:rFonts w:ascii="Calibri" w:hAnsi="Calibri" w:cs="Calibri"/>
              </w:rPr>
              <w:t>0.7</w:t>
            </w:r>
          </w:p>
        </w:tc>
        <w:tc>
          <w:tcPr>
            <w:tcW w:w="578" w:type="pct"/>
            <w:tcBorders>
              <w:top w:val="nil"/>
              <w:left w:val="nil"/>
              <w:bottom w:val="nil"/>
              <w:right w:val="nil"/>
            </w:tcBorders>
            <w:shd w:val="clear" w:color="auto" w:fill="auto"/>
            <w:vAlign w:val="center"/>
            <w:hideMark/>
          </w:tcPr>
          <w:p w14:paraId="4602567D" w14:textId="2045561C"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0.8</w:t>
            </w:r>
          </w:p>
        </w:tc>
        <w:tc>
          <w:tcPr>
            <w:tcW w:w="578" w:type="pct"/>
            <w:tcBorders>
              <w:top w:val="nil"/>
              <w:left w:val="nil"/>
              <w:bottom w:val="nil"/>
              <w:right w:val="nil"/>
            </w:tcBorders>
            <w:shd w:val="clear" w:color="auto" w:fill="auto"/>
            <w:vAlign w:val="center"/>
            <w:hideMark/>
          </w:tcPr>
          <w:p w14:paraId="62BCCCCE" w14:textId="2651A528"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0.7</w:t>
            </w:r>
          </w:p>
        </w:tc>
        <w:tc>
          <w:tcPr>
            <w:tcW w:w="578" w:type="pct"/>
            <w:tcBorders>
              <w:top w:val="nil"/>
              <w:left w:val="nil"/>
              <w:bottom w:val="nil"/>
              <w:right w:val="single" w:sz="4" w:space="0" w:color="auto"/>
            </w:tcBorders>
            <w:shd w:val="clear" w:color="auto" w:fill="auto"/>
            <w:vAlign w:val="center"/>
            <w:hideMark/>
          </w:tcPr>
          <w:p w14:paraId="0009DB0C" w14:textId="30856603"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0.7</w:t>
            </w:r>
          </w:p>
        </w:tc>
        <w:tc>
          <w:tcPr>
            <w:tcW w:w="578" w:type="pct"/>
            <w:tcBorders>
              <w:top w:val="nil"/>
              <w:left w:val="nil"/>
              <w:bottom w:val="nil"/>
              <w:right w:val="nil"/>
            </w:tcBorders>
            <w:shd w:val="clear" w:color="auto" w:fill="auto"/>
            <w:vAlign w:val="center"/>
            <w:hideMark/>
          </w:tcPr>
          <w:p w14:paraId="15251788" w14:textId="12C642C6" w:rsidR="003D3EC9" w:rsidRPr="00A95458" w:rsidRDefault="00050D25" w:rsidP="00756BE9">
            <w:pPr>
              <w:pStyle w:val="TableTextRight"/>
              <w:rPr>
                <w:lang w:eastAsia="en-AU"/>
              </w:rPr>
            </w:pPr>
            <w:r>
              <w:rPr>
                <w:rFonts w:ascii="Calibri" w:hAnsi="Calibri" w:cs="Calibri"/>
              </w:rPr>
              <w:noBreakHyphen/>
            </w:r>
            <w:r w:rsidR="004368C9">
              <w:rPr>
                <w:rFonts w:ascii="Calibri" w:hAnsi="Calibri" w:cs="Calibri"/>
              </w:rPr>
              <w:t>1.0</w:t>
            </w:r>
          </w:p>
        </w:tc>
      </w:tr>
      <w:tr w:rsidR="003D3EC9" w:rsidRPr="00A95458" w14:paraId="5C73F583" w14:textId="77777777" w:rsidTr="00756BE9">
        <w:trPr>
          <w:trHeight w:val="227"/>
        </w:trPr>
        <w:tc>
          <w:tcPr>
            <w:tcW w:w="1531" w:type="pct"/>
            <w:tcBorders>
              <w:top w:val="nil"/>
              <w:left w:val="nil"/>
              <w:bottom w:val="nil"/>
              <w:right w:val="nil"/>
            </w:tcBorders>
            <w:shd w:val="clear" w:color="auto" w:fill="auto"/>
            <w:vAlign w:val="center"/>
            <w:hideMark/>
          </w:tcPr>
          <w:p w14:paraId="037339E0" w14:textId="6BF15362" w:rsidR="003D3EC9" w:rsidRPr="00A95458" w:rsidRDefault="003D3EC9" w:rsidP="00F828E7">
            <w:pPr>
              <w:pStyle w:val="TableColumnHeadingLeft"/>
            </w:pPr>
            <w:r w:rsidRPr="00A95458">
              <w:t>Net overseas migration (</w:t>
            </w:r>
            <w:r w:rsidR="00050D25">
              <w:t>‘</w:t>
            </w:r>
            <w:r w:rsidRPr="00A95458">
              <w:t>000)</w:t>
            </w:r>
          </w:p>
        </w:tc>
        <w:tc>
          <w:tcPr>
            <w:tcW w:w="578" w:type="pct"/>
            <w:tcBorders>
              <w:top w:val="nil"/>
              <w:left w:val="nil"/>
              <w:bottom w:val="nil"/>
              <w:right w:val="nil"/>
            </w:tcBorders>
            <w:shd w:val="clear" w:color="auto" w:fill="auto"/>
            <w:vAlign w:val="center"/>
            <w:hideMark/>
          </w:tcPr>
          <w:p w14:paraId="767FEDB6"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24CF46D2" w14:textId="7B824104"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EDCA8C0"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3242AC03"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42CDB5E6" w14:textId="17A10AAD"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68C804FB" w14:textId="77777777" w:rsidR="003D3EC9" w:rsidRPr="00A95458" w:rsidRDefault="003D3EC9" w:rsidP="00756BE9">
            <w:pPr>
              <w:pStyle w:val="TableTextRight"/>
              <w:rPr>
                <w:lang w:eastAsia="en-AU"/>
              </w:rPr>
            </w:pPr>
          </w:p>
        </w:tc>
      </w:tr>
      <w:tr w:rsidR="003D3EC9" w:rsidRPr="00A95458" w14:paraId="26745ED7" w14:textId="77777777" w:rsidTr="00756BE9">
        <w:trPr>
          <w:trHeight w:val="227"/>
        </w:trPr>
        <w:tc>
          <w:tcPr>
            <w:tcW w:w="1531" w:type="pct"/>
            <w:tcBorders>
              <w:top w:val="nil"/>
              <w:left w:val="nil"/>
              <w:bottom w:val="nil"/>
              <w:right w:val="nil"/>
            </w:tcBorders>
            <w:shd w:val="clear" w:color="auto" w:fill="auto"/>
            <w:vAlign w:val="center"/>
            <w:hideMark/>
          </w:tcPr>
          <w:p w14:paraId="679E84BE"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47576B47" w14:textId="1C74D329" w:rsidR="003D3EC9" w:rsidRPr="00A95458" w:rsidRDefault="003D3EC9" w:rsidP="00756BE9">
            <w:pPr>
              <w:pStyle w:val="TableTextRight"/>
              <w:rPr>
                <w:lang w:eastAsia="en-AU"/>
              </w:rPr>
            </w:pPr>
            <w:r>
              <w:rPr>
                <w:rFonts w:ascii="Calibri" w:hAnsi="Calibri" w:cs="Calibri"/>
              </w:rPr>
              <w:t>29.3</w:t>
            </w:r>
          </w:p>
        </w:tc>
        <w:tc>
          <w:tcPr>
            <w:tcW w:w="578" w:type="pct"/>
            <w:tcBorders>
              <w:top w:val="nil"/>
              <w:left w:val="nil"/>
              <w:bottom w:val="nil"/>
              <w:right w:val="nil"/>
            </w:tcBorders>
            <w:shd w:val="clear" w:color="auto" w:fill="D2EDFF"/>
            <w:vAlign w:val="center"/>
            <w:hideMark/>
          </w:tcPr>
          <w:p w14:paraId="7FBB5F1A" w14:textId="46105CCE" w:rsidR="003D3EC9" w:rsidRPr="00A95458" w:rsidRDefault="003D3EC9" w:rsidP="00756BE9">
            <w:pPr>
              <w:pStyle w:val="TableTextRight"/>
              <w:rPr>
                <w:lang w:eastAsia="en-AU"/>
              </w:rPr>
            </w:pPr>
            <w:r>
              <w:rPr>
                <w:rFonts w:ascii="Calibri" w:hAnsi="Calibri" w:cs="Calibri"/>
              </w:rPr>
              <w:t>23.5</w:t>
            </w:r>
          </w:p>
        </w:tc>
        <w:tc>
          <w:tcPr>
            <w:tcW w:w="578" w:type="pct"/>
            <w:tcBorders>
              <w:top w:val="nil"/>
              <w:left w:val="nil"/>
              <w:bottom w:val="nil"/>
              <w:right w:val="nil"/>
            </w:tcBorders>
            <w:shd w:val="clear" w:color="auto" w:fill="auto"/>
            <w:vAlign w:val="center"/>
            <w:hideMark/>
          </w:tcPr>
          <w:p w14:paraId="523C6041" w14:textId="34E2D294" w:rsidR="003D3EC9" w:rsidRPr="00A95458" w:rsidRDefault="004368C9" w:rsidP="00756BE9">
            <w:pPr>
              <w:pStyle w:val="TableTextRight"/>
              <w:rPr>
                <w:lang w:eastAsia="en-AU"/>
              </w:rPr>
            </w:pPr>
            <w:r>
              <w:rPr>
                <w:rFonts w:ascii="Calibri" w:hAnsi="Calibri" w:cs="Calibri"/>
              </w:rPr>
              <w:t>17.</w:t>
            </w:r>
            <w:r w:rsidR="00544FBB">
              <w:rPr>
                <w:rFonts w:ascii="Calibri" w:hAnsi="Calibri" w:cs="Calibri"/>
              </w:rPr>
              <w:t>8</w:t>
            </w:r>
          </w:p>
        </w:tc>
        <w:tc>
          <w:tcPr>
            <w:tcW w:w="578" w:type="pct"/>
            <w:tcBorders>
              <w:top w:val="nil"/>
              <w:left w:val="nil"/>
              <w:bottom w:val="nil"/>
              <w:right w:val="nil"/>
            </w:tcBorders>
            <w:shd w:val="clear" w:color="auto" w:fill="auto"/>
            <w:vAlign w:val="center"/>
            <w:hideMark/>
          </w:tcPr>
          <w:p w14:paraId="71458889" w14:textId="4FE95CEF" w:rsidR="003D3EC9" w:rsidRPr="00A95458" w:rsidRDefault="004368C9" w:rsidP="00756BE9">
            <w:pPr>
              <w:pStyle w:val="TableTextRight"/>
              <w:rPr>
                <w:lang w:eastAsia="en-AU"/>
              </w:rPr>
            </w:pPr>
            <w:r>
              <w:rPr>
                <w:rFonts w:ascii="Calibri" w:hAnsi="Calibri" w:cs="Calibri"/>
              </w:rPr>
              <w:t>14.</w:t>
            </w:r>
            <w:r w:rsidR="00544FBB">
              <w:rPr>
                <w:rFonts w:ascii="Calibri" w:hAnsi="Calibri" w:cs="Calibri"/>
              </w:rPr>
              <w:t>6</w:t>
            </w:r>
          </w:p>
        </w:tc>
        <w:tc>
          <w:tcPr>
            <w:tcW w:w="578" w:type="pct"/>
            <w:tcBorders>
              <w:top w:val="nil"/>
              <w:left w:val="nil"/>
              <w:bottom w:val="nil"/>
              <w:right w:val="single" w:sz="4" w:space="0" w:color="auto"/>
            </w:tcBorders>
            <w:shd w:val="clear" w:color="auto" w:fill="auto"/>
            <w:vAlign w:val="center"/>
            <w:hideMark/>
          </w:tcPr>
          <w:p w14:paraId="1393D154" w14:textId="5F5AD342" w:rsidR="003D3EC9" w:rsidRPr="00A95458" w:rsidRDefault="003D3EC9" w:rsidP="00756BE9">
            <w:pPr>
              <w:pStyle w:val="TableTextRight"/>
              <w:rPr>
                <w:lang w:eastAsia="en-AU"/>
              </w:rPr>
            </w:pPr>
            <w:r>
              <w:rPr>
                <w:rFonts w:ascii="Calibri" w:hAnsi="Calibri" w:cs="Calibri"/>
              </w:rPr>
              <w:t>12.8</w:t>
            </w:r>
          </w:p>
        </w:tc>
        <w:tc>
          <w:tcPr>
            <w:tcW w:w="578" w:type="pct"/>
            <w:tcBorders>
              <w:top w:val="nil"/>
              <w:left w:val="nil"/>
              <w:bottom w:val="nil"/>
              <w:right w:val="nil"/>
            </w:tcBorders>
            <w:shd w:val="clear" w:color="auto" w:fill="auto"/>
            <w:vAlign w:val="center"/>
            <w:hideMark/>
          </w:tcPr>
          <w:p w14:paraId="28D24A2D" w14:textId="2C73AD83" w:rsidR="003D3EC9" w:rsidRPr="00A95458" w:rsidRDefault="003D3EC9" w:rsidP="00756BE9">
            <w:pPr>
              <w:pStyle w:val="TableTextRight"/>
              <w:rPr>
                <w:lang w:eastAsia="en-AU"/>
              </w:rPr>
            </w:pPr>
            <w:r>
              <w:rPr>
                <w:rFonts w:ascii="Calibri" w:hAnsi="Calibri" w:cs="Calibri"/>
              </w:rPr>
              <w:t>13.3</w:t>
            </w:r>
          </w:p>
        </w:tc>
      </w:tr>
      <w:tr w:rsidR="003D3EC9" w:rsidRPr="00A95458" w14:paraId="72A07867" w14:textId="77777777" w:rsidTr="00756BE9">
        <w:trPr>
          <w:trHeight w:val="227"/>
        </w:trPr>
        <w:tc>
          <w:tcPr>
            <w:tcW w:w="1531" w:type="pct"/>
            <w:tcBorders>
              <w:top w:val="nil"/>
              <w:left w:val="nil"/>
              <w:bottom w:val="nil"/>
              <w:right w:val="nil"/>
            </w:tcBorders>
            <w:shd w:val="clear" w:color="auto" w:fill="auto"/>
            <w:vAlign w:val="center"/>
            <w:hideMark/>
          </w:tcPr>
          <w:p w14:paraId="59672450"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64E8F278" w14:textId="2678EB80" w:rsidR="003D3EC9" w:rsidRPr="00A95458" w:rsidRDefault="003D3EC9" w:rsidP="00756BE9">
            <w:pPr>
              <w:pStyle w:val="TableTextRight"/>
              <w:rPr>
                <w:lang w:eastAsia="en-AU"/>
              </w:rPr>
            </w:pPr>
            <w:r>
              <w:rPr>
                <w:rFonts w:ascii="Calibri" w:hAnsi="Calibri" w:cs="Calibri"/>
              </w:rPr>
              <w:t>26.5</w:t>
            </w:r>
          </w:p>
        </w:tc>
        <w:tc>
          <w:tcPr>
            <w:tcW w:w="578" w:type="pct"/>
            <w:tcBorders>
              <w:top w:val="nil"/>
              <w:left w:val="nil"/>
              <w:bottom w:val="nil"/>
              <w:right w:val="nil"/>
            </w:tcBorders>
            <w:shd w:val="clear" w:color="auto" w:fill="D2EDFF"/>
            <w:vAlign w:val="center"/>
            <w:hideMark/>
          </w:tcPr>
          <w:p w14:paraId="57AAC487" w14:textId="0359E8F1" w:rsidR="003D3EC9" w:rsidRPr="00A95458" w:rsidRDefault="003D3EC9" w:rsidP="00756BE9">
            <w:pPr>
              <w:pStyle w:val="TableTextRight"/>
              <w:rPr>
                <w:lang w:eastAsia="en-AU"/>
              </w:rPr>
            </w:pPr>
            <w:r>
              <w:rPr>
                <w:rFonts w:ascii="Calibri" w:hAnsi="Calibri" w:cs="Calibri"/>
              </w:rPr>
              <w:t>21.6</w:t>
            </w:r>
          </w:p>
        </w:tc>
        <w:tc>
          <w:tcPr>
            <w:tcW w:w="578" w:type="pct"/>
            <w:tcBorders>
              <w:top w:val="nil"/>
              <w:left w:val="nil"/>
              <w:bottom w:val="nil"/>
              <w:right w:val="nil"/>
            </w:tcBorders>
            <w:shd w:val="clear" w:color="auto" w:fill="auto"/>
            <w:vAlign w:val="center"/>
            <w:hideMark/>
          </w:tcPr>
          <w:p w14:paraId="4D424E34" w14:textId="536741F5" w:rsidR="003D3EC9" w:rsidRPr="00A95458" w:rsidRDefault="004368C9" w:rsidP="00756BE9">
            <w:pPr>
              <w:pStyle w:val="TableTextRight"/>
              <w:rPr>
                <w:lang w:eastAsia="en-AU"/>
              </w:rPr>
            </w:pPr>
            <w:r>
              <w:rPr>
                <w:rFonts w:ascii="Calibri" w:hAnsi="Calibri" w:cs="Calibri"/>
              </w:rPr>
              <w:t>16.</w:t>
            </w:r>
            <w:r w:rsidR="00544FBB">
              <w:rPr>
                <w:rFonts w:ascii="Calibri" w:hAnsi="Calibri" w:cs="Calibri"/>
              </w:rPr>
              <w:t>4</w:t>
            </w:r>
          </w:p>
        </w:tc>
        <w:tc>
          <w:tcPr>
            <w:tcW w:w="578" w:type="pct"/>
            <w:tcBorders>
              <w:top w:val="nil"/>
              <w:left w:val="nil"/>
              <w:bottom w:val="nil"/>
              <w:right w:val="nil"/>
            </w:tcBorders>
            <w:shd w:val="clear" w:color="auto" w:fill="auto"/>
            <w:vAlign w:val="center"/>
            <w:hideMark/>
          </w:tcPr>
          <w:p w14:paraId="03BEEE98" w14:textId="0EF679A0" w:rsidR="003D3EC9" w:rsidRPr="00A95458" w:rsidRDefault="004368C9" w:rsidP="00756BE9">
            <w:pPr>
              <w:pStyle w:val="TableTextRight"/>
              <w:rPr>
                <w:lang w:eastAsia="en-AU"/>
              </w:rPr>
            </w:pPr>
            <w:r>
              <w:rPr>
                <w:rFonts w:ascii="Calibri" w:hAnsi="Calibri" w:cs="Calibri"/>
              </w:rPr>
              <w:t>13.</w:t>
            </w:r>
            <w:r w:rsidR="003D3EC9">
              <w:rPr>
                <w:rFonts w:ascii="Calibri" w:hAnsi="Calibri" w:cs="Calibri"/>
              </w:rPr>
              <w:t>5</w:t>
            </w:r>
          </w:p>
        </w:tc>
        <w:tc>
          <w:tcPr>
            <w:tcW w:w="578" w:type="pct"/>
            <w:tcBorders>
              <w:top w:val="nil"/>
              <w:left w:val="nil"/>
              <w:bottom w:val="nil"/>
              <w:right w:val="single" w:sz="4" w:space="0" w:color="auto"/>
            </w:tcBorders>
            <w:shd w:val="clear" w:color="auto" w:fill="auto"/>
            <w:vAlign w:val="center"/>
            <w:hideMark/>
          </w:tcPr>
          <w:p w14:paraId="4ED3FE8E" w14:textId="678E7926" w:rsidR="003D3EC9" w:rsidRPr="00A95458" w:rsidRDefault="004368C9" w:rsidP="00756BE9">
            <w:pPr>
              <w:pStyle w:val="TableTextRight"/>
              <w:rPr>
                <w:lang w:eastAsia="en-AU"/>
              </w:rPr>
            </w:pPr>
            <w:r>
              <w:rPr>
                <w:rFonts w:ascii="Calibri" w:hAnsi="Calibri" w:cs="Calibri"/>
              </w:rPr>
              <w:t>11.</w:t>
            </w:r>
            <w:r w:rsidR="00544FBB">
              <w:rPr>
                <w:rFonts w:ascii="Calibri" w:hAnsi="Calibri" w:cs="Calibri"/>
              </w:rPr>
              <w:t>7</w:t>
            </w:r>
          </w:p>
        </w:tc>
        <w:tc>
          <w:tcPr>
            <w:tcW w:w="578" w:type="pct"/>
            <w:tcBorders>
              <w:top w:val="nil"/>
              <w:left w:val="nil"/>
              <w:bottom w:val="nil"/>
              <w:right w:val="nil"/>
            </w:tcBorders>
            <w:shd w:val="clear" w:color="auto" w:fill="auto"/>
            <w:vAlign w:val="center"/>
            <w:hideMark/>
          </w:tcPr>
          <w:p w14:paraId="35D97669" w14:textId="7A4262BE" w:rsidR="003D3EC9" w:rsidRPr="00A95458" w:rsidRDefault="003D3EC9" w:rsidP="00756BE9">
            <w:pPr>
              <w:pStyle w:val="TableTextRight"/>
              <w:rPr>
                <w:lang w:eastAsia="en-AU"/>
              </w:rPr>
            </w:pPr>
            <w:r>
              <w:rPr>
                <w:rFonts w:ascii="Calibri" w:hAnsi="Calibri" w:cs="Calibri"/>
              </w:rPr>
              <w:t>12.1</w:t>
            </w:r>
          </w:p>
        </w:tc>
      </w:tr>
      <w:tr w:rsidR="003D3EC9" w:rsidRPr="00A95458" w14:paraId="55EA0C22" w14:textId="77777777" w:rsidTr="00756BE9">
        <w:trPr>
          <w:trHeight w:val="227"/>
        </w:trPr>
        <w:tc>
          <w:tcPr>
            <w:tcW w:w="1531" w:type="pct"/>
            <w:tcBorders>
              <w:top w:val="nil"/>
              <w:left w:val="nil"/>
              <w:bottom w:val="nil"/>
              <w:right w:val="nil"/>
            </w:tcBorders>
            <w:shd w:val="clear" w:color="auto" w:fill="auto"/>
            <w:vAlign w:val="center"/>
            <w:hideMark/>
          </w:tcPr>
          <w:p w14:paraId="1137F497" w14:textId="77777777" w:rsidR="003D3EC9" w:rsidRPr="00A95458" w:rsidRDefault="003D3EC9" w:rsidP="00C75089">
            <w:pPr>
              <w:pStyle w:val="Tabletextleftindent"/>
            </w:pPr>
            <w:r w:rsidRPr="00A95458">
              <w:t>Rest of South Australia</w:t>
            </w:r>
          </w:p>
        </w:tc>
        <w:tc>
          <w:tcPr>
            <w:tcW w:w="578" w:type="pct"/>
            <w:tcBorders>
              <w:top w:val="nil"/>
              <w:left w:val="nil"/>
              <w:bottom w:val="nil"/>
              <w:right w:val="nil"/>
            </w:tcBorders>
            <w:shd w:val="clear" w:color="auto" w:fill="auto"/>
            <w:vAlign w:val="center"/>
            <w:hideMark/>
          </w:tcPr>
          <w:p w14:paraId="2AAF115C" w14:textId="3FD4A6F9" w:rsidR="003D3EC9" w:rsidRPr="00A95458" w:rsidRDefault="003D3EC9" w:rsidP="00756BE9">
            <w:pPr>
              <w:pStyle w:val="TableTextRight"/>
              <w:rPr>
                <w:lang w:eastAsia="en-AU"/>
              </w:rPr>
            </w:pPr>
            <w:r>
              <w:rPr>
                <w:rFonts w:ascii="Calibri" w:hAnsi="Calibri" w:cs="Calibri"/>
              </w:rPr>
              <w:t>2.0</w:t>
            </w:r>
          </w:p>
        </w:tc>
        <w:tc>
          <w:tcPr>
            <w:tcW w:w="578" w:type="pct"/>
            <w:tcBorders>
              <w:top w:val="nil"/>
              <w:left w:val="nil"/>
              <w:bottom w:val="nil"/>
              <w:right w:val="nil"/>
            </w:tcBorders>
            <w:shd w:val="clear" w:color="auto" w:fill="D2EDFF"/>
            <w:vAlign w:val="center"/>
            <w:hideMark/>
          </w:tcPr>
          <w:p w14:paraId="1939BB5C" w14:textId="63F53A15" w:rsidR="003D3EC9" w:rsidRPr="00A95458" w:rsidRDefault="003D3EC9" w:rsidP="00756BE9">
            <w:pPr>
              <w:pStyle w:val="TableTextRight"/>
              <w:rPr>
                <w:lang w:eastAsia="en-AU"/>
              </w:rPr>
            </w:pPr>
            <w:r>
              <w:rPr>
                <w:rFonts w:ascii="Calibri" w:hAnsi="Calibri" w:cs="Calibri"/>
              </w:rPr>
              <w:t>1.9</w:t>
            </w:r>
          </w:p>
        </w:tc>
        <w:tc>
          <w:tcPr>
            <w:tcW w:w="578" w:type="pct"/>
            <w:tcBorders>
              <w:top w:val="nil"/>
              <w:left w:val="nil"/>
              <w:bottom w:val="nil"/>
              <w:right w:val="nil"/>
            </w:tcBorders>
            <w:shd w:val="clear" w:color="auto" w:fill="auto"/>
            <w:vAlign w:val="center"/>
            <w:hideMark/>
          </w:tcPr>
          <w:p w14:paraId="56D57018" w14:textId="20B9F103" w:rsidR="003D3EC9" w:rsidRPr="00A95458" w:rsidRDefault="003D3EC9" w:rsidP="00756BE9">
            <w:pPr>
              <w:pStyle w:val="TableTextRight"/>
              <w:rPr>
                <w:lang w:eastAsia="en-AU"/>
              </w:rPr>
            </w:pPr>
            <w:r>
              <w:rPr>
                <w:rFonts w:ascii="Calibri" w:hAnsi="Calibri" w:cs="Calibri"/>
              </w:rPr>
              <w:t>1.4</w:t>
            </w:r>
          </w:p>
        </w:tc>
        <w:tc>
          <w:tcPr>
            <w:tcW w:w="578" w:type="pct"/>
            <w:tcBorders>
              <w:top w:val="nil"/>
              <w:left w:val="nil"/>
              <w:bottom w:val="nil"/>
              <w:right w:val="nil"/>
            </w:tcBorders>
            <w:shd w:val="clear" w:color="auto" w:fill="auto"/>
            <w:vAlign w:val="center"/>
            <w:hideMark/>
          </w:tcPr>
          <w:p w14:paraId="553A20FC" w14:textId="2E9D43A1" w:rsidR="003D3EC9" w:rsidRPr="00A95458" w:rsidRDefault="004368C9" w:rsidP="00756BE9">
            <w:pPr>
              <w:pStyle w:val="TableTextRight"/>
              <w:rPr>
                <w:lang w:eastAsia="en-AU"/>
              </w:rPr>
            </w:pPr>
            <w:r>
              <w:rPr>
                <w:rFonts w:ascii="Calibri" w:hAnsi="Calibri" w:cs="Calibri"/>
              </w:rPr>
              <w:t>1.</w:t>
            </w:r>
            <w:r w:rsidR="00544FBB">
              <w:rPr>
                <w:rFonts w:ascii="Calibri" w:hAnsi="Calibri" w:cs="Calibri"/>
              </w:rPr>
              <w:t>2</w:t>
            </w:r>
          </w:p>
        </w:tc>
        <w:tc>
          <w:tcPr>
            <w:tcW w:w="578" w:type="pct"/>
            <w:tcBorders>
              <w:top w:val="nil"/>
              <w:left w:val="nil"/>
              <w:bottom w:val="nil"/>
              <w:right w:val="single" w:sz="4" w:space="0" w:color="auto"/>
            </w:tcBorders>
            <w:shd w:val="clear" w:color="auto" w:fill="auto"/>
            <w:vAlign w:val="center"/>
            <w:hideMark/>
          </w:tcPr>
          <w:p w14:paraId="32103C57" w14:textId="21D7A041" w:rsidR="003D3EC9" w:rsidRPr="00A95458" w:rsidRDefault="003D3EC9" w:rsidP="00756BE9">
            <w:pPr>
              <w:pStyle w:val="TableTextRight"/>
              <w:rPr>
                <w:lang w:eastAsia="en-AU"/>
              </w:rPr>
            </w:pPr>
            <w:r>
              <w:rPr>
                <w:rFonts w:ascii="Calibri" w:hAnsi="Calibri" w:cs="Calibri"/>
              </w:rPr>
              <w:t>1.1</w:t>
            </w:r>
          </w:p>
        </w:tc>
        <w:tc>
          <w:tcPr>
            <w:tcW w:w="578" w:type="pct"/>
            <w:tcBorders>
              <w:top w:val="nil"/>
              <w:left w:val="nil"/>
              <w:bottom w:val="nil"/>
              <w:right w:val="nil"/>
            </w:tcBorders>
            <w:shd w:val="clear" w:color="auto" w:fill="auto"/>
            <w:vAlign w:val="center"/>
            <w:hideMark/>
          </w:tcPr>
          <w:p w14:paraId="33E79273" w14:textId="6EC81EB8" w:rsidR="003D3EC9" w:rsidRPr="00A95458" w:rsidRDefault="003D3EC9" w:rsidP="00756BE9">
            <w:pPr>
              <w:pStyle w:val="TableTextRight"/>
              <w:rPr>
                <w:lang w:eastAsia="en-AU"/>
              </w:rPr>
            </w:pPr>
            <w:r>
              <w:rPr>
                <w:rFonts w:ascii="Calibri" w:hAnsi="Calibri" w:cs="Calibri"/>
              </w:rPr>
              <w:t>1.2</w:t>
            </w:r>
          </w:p>
        </w:tc>
      </w:tr>
      <w:tr w:rsidR="003D3EC9" w:rsidRPr="00A95458" w14:paraId="628A935B" w14:textId="77777777" w:rsidTr="00756BE9">
        <w:trPr>
          <w:trHeight w:val="227"/>
        </w:trPr>
        <w:tc>
          <w:tcPr>
            <w:tcW w:w="1531" w:type="pct"/>
            <w:tcBorders>
              <w:top w:val="nil"/>
              <w:left w:val="nil"/>
              <w:bottom w:val="nil"/>
              <w:right w:val="nil"/>
            </w:tcBorders>
            <w:shd w:val="clear" w:color="auto" w:fill="auto"/>
            <w:vAlign w:val="center"/>
            <w:hideMark/>
          </w:tcPr>
          <w:p w14:paraId="0EE063B3" w14:textId="6529AEDC" w:rsidR="003D3EC9" w:rsidRPr="00A95458" w:rsidRDefault="003D3EC9" w:rsidP="00F828E7">
            <w:pPr>
              <w:pStyle w:val="TableColumnHeadingLeft"/>
            </w:pPr>
            <w:r w:rsidRPr="00A95458">
              <w:t>Net internal migration (</w:t>
            </w:r>
            <w:r w:rsidR="00050D25">
              <w:t>‘</w:t>
            </w:r>
            <w:r w:rsidRPr="00A95458">
              <w:t>000)</w:t>
            </w:r>
          </w:p>
        </w:tc>
        <w:tc>
          <w:tcPr>
            <w:tcW w:w="578" w:type="pct"/>
            <w:tcBorders>
              <w:top w:val="nil"/>
              <w:left w:val="nil"/>
              <w:bottom w:val="nil"/>
              <w:right w:val="nil"/>
            </w:tcBorders>
            <w:shd w:val="clear" w:color="auto" w:fill="auto"/>
            <w:vAlign w:val="center"/>
            <w:hideMark/>
          </w:tcPr>
          <w:p w14:paraId="515D7A5B"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0A2BD4F8" w14:textId="154BE814"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4E95F4C0"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69DB4E9A"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1D635685" w14:textId="20D0A9B0"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06FAE75D" w14:textId="77777777" w:rsidR="003D3EC9" w:rsidRPr="00A95458" w:rsidRDefault="003D3EC9" w:rsidP="00756BE9">
            <w:pPr>
              <w:pStyle w:val="TableTextRight"/>
              <w:rPr>
                <w:lang w:eastAsia="en-AU"/>
              </w:rPr>
            </w:pPr>
          </w:p>
        </w:tc>
      </w:tr>
      <w:tr w:rsidR="003D3EC9" w:rsidRPr="00A95458" w14:paraId="229511B9" w14:textId="77777777" w:rsidTr="00756BE9">
        <w:trPr>
          <w:trHeight w:val="227"/>
        </w:trPr>
        <w:tc>
          <w:tcPr>
            <w:tcW w:w="1531" w:type="pct"/>
            <w:tcBorders>
              <w:top w:val="nil"/>
              <w:left w:val="nil"/>
              <w:bottom w:val="nil"/>
              <w:right w:val="nil"/>
            </w:tcBorders>
            <w:shd w:val="clear" w:color="auto" w:fill="auto"/>
            <w:vAlign w:val="center"/>
            <w:hideMark/>
          </w:tcPr>
          <w:p w14:paraId="7943E937"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3D56D70B" w14:textId="1C526FBA"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0.4</w:t>
            </w:r>
          </w:p>
        </w:tc>
        <w:tc>
          <w:tcPr>
            <w:tcW w:w="578" w:type="pct"/>
            <w:tcBorders>
              <w:top w:val="nil"/>
              <w:left w:val="nil"/>
              <w:bottom w:val="nil"/>
              <w:right w:val="nil"/>
            </w:tcBorders>
            <w:shd w:val="clear" w:color="auto" w:fill="D2EDFF"/>
            <w:vAlign w:val="center"/>
            <w:hideMark/>
          </w:tcPr>
          <w:p w14:paraId="4784A8C6" w14:textId="68418C6B"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1.7</w:t>
            </w:r>
          </w:p>
        </w:tc>
        <w:tc>
          <w:tcPr>
            <w:tcW w:w="578" w:type="pct"/>
            <w:tcBorders>
              <w:top w:val="nil"/>
              <w:left w:val="nil"/>
              <w:bottom w:val="nil"/>
              <w:right w:val="nil"/>
            </w:tcBorders>
            <w:shd w:val="clear" w:color="auto" w:fill="auto"/>
            <w:vAlign w:val="center"/>
            <w:hideMark/>
          </w:tcPr>
          <w:p w14:paraId="474B7D5C" w14:textId="73CE2939"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2.3</w:t>
            </w:r>
          </w:p>
        </w:tc>
        <w:tc>
          <w:tcPr>
            <w:tcW w:w="578" w:type="pct"/>
            <w:tcBorders>
              <w:top w:val="nil"/>
              <w:left w:val="nil"/>
              <w:bottom w:val="nil"/>
              <w:right w:val="nil"/>
            </w:tcBorders>
            <w:shd w:val="clear" w:color="auto" w:fill="auto"/>
            <w:vAlign w:val="center"/>
            <w:hideMark/>
          </w:tcPr>
          <w:p w14:paraId="36150C90" w14:textId="5C1AF565"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3.0</w:t>
            </w:r>
          </w:p>
        </w:tc>
        <w:tc>
          <w:tcPr>
            <w:tcW w:w="578" w:type="pct"/>
            <w:tcBorders>
              <w:top w:val="nil"/>
              <w:left w:val="nil"/>
              <w:bottom w:val="nil"/>
              <w:right w:val="single" w:sz="4" w:space="0" w:color="auto"/>
            </w:tcBorders>
            <w:shd w:val="clear" w:color="auto" w:fill="auto"/>
            <w:vAlign w:val="center"/>
            <w:hideMark/>
          </w:tcPr>
          <w:p w14:paraId="608FB77E" w14:textId="1EF5B9A0"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3.5</w:t>
            </w:r>
          </w:p>
        </w:tc>
        <w:tc>
          <w:tcPr>
            <w:tcW w:w="578" w:type="pct"/>
            <w:tcBorders>
              <w:top w:val="nil"/>
              <w:left w:val="nil"/>
              <w:bottom w:val="nil"/>
              <w:right w:val="nil"/>
            </w:tcBorders>
            <w:shd w:val="clear" w:color="auto" w:fill="auto"/>
            <w:vAlign w:val="center"/>
            <w:hideMark/>
          </w:tcPr>
          <w:p w14:paraId="047F4C0C" w14:textId="285A631C"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2.9</w:t>
            </w:r>
          </w:p>
        </w:tc>
      </w:tr>
      <w:tr w:rsidR="003D3EC9" w:rsidRPr="00A95458" w14:paraId="3BBC670C" w14:textId="77777777" w:rsidTr="00756BE9">
        <w:trPr>
          <w:trHeight w:val="227"/>
        </w:trPr>
        <w:tc>
          <w:tcPr>
            <w:tcW w:w="1531" w:type="pct"/>
            <w:tcBorders>
              <w:top w:val="nil"/>
              <w:left w:val="nil"/>
              <w:bottom w:val="nil"/>
              <w:right w:val="nil"/>
            </w:tcBorders>
            <w:shd w:val="clear" w:color="auto" w:fill="auto"/>
            <w:vAlign w:val="center"/>
            <w:hideMark/>
          </w:tcPr>
          <w:p w14:paraId="4BD5A3DF"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5DFC8EA8" w14:textId="3E718322"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1.8</w:t>
            </w:r>
          </w:p>
        </w:tc>
        <w:tc>
          <w:tcPr>
            <w:tcW w:w="578" w:type="pct"/>
            <w:tcBorders>
              <w:top w:val="nil"/>
              <w:left w:val="nil"/>
              <w:bottom w:val="nil"/>
              <w:right w:val="nil"/>
            </w:tcBorders>
            <w:shd w:val="clear" w:color="auto" w:fill="D2EDFF"/>
            <w:vAlign w:val="center"/>
            <w:hideMark/>
          </w:tcPr>
          <w:p w14:paraId="3CF9AB68" w14:textId="2CFFC71A"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3.9</w:t>
            </w:r>
          </w:p>
        </w:tc>
        <w:tc>
          <w:tcPr>
            <w:tcW w:w="578" w:type="pct"/>
            <w:tcBorders>
              <w:top w:val="nil"/>
              <w:left w:val="nil"/>
              <w:bottom w:val="nil"/>
              <w:right w:val="nil"/>
            </w:tcBorders>
            <w:shd w:val="clear" w:color="auto" w:fill="auto"/>
            <w:vAlign w:val="center"/>
            <w:hideMark/>
          </w:tcPr>
          <w:p w14:paraId="51318F98" w14:textId="0F7F0D1E"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3.9</w:t>
            </w:r>
          </w:p>
        </w:tc>
        <w:tc>
          <w:tcPr>
            <w:tcW w:w="578" w:type="pct"/>
            <w:tcBorders>
              <w:top w:val="nil"/>
              <w:left w:val="nil"/>
              <w:bottom w:val="nil"/>
              <w:right w:val="nil"/>
            </w:tcBorders>
            <w:shd w:val="clear" w:color="auto" w:fill="auto"/>
            <w:vAlign w:val="center"/>
            <w:hideMark/>
          </w:tcPr>
          <w:p w14:paraId="755E99C0" w14:textId="2A70B8E8"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3.7</w:t>
            </w:r>
          </w:p>
        </w:tc>
        <w:tc>
          <w:tcPr>
            <w:tcW w:w="578" w:type="pct"/>
            <w:tcBorders>
              <w:top w:val="nil"/>
              <w:left w:val="nil"/>
              <w:bottom w:val="nil"/>
              <w:right w:val="single" w:sz="4" w:space="0" w:color="auto"/>
            </w:tcBorders>
            <w:shd w:val="clear" w:color="auto" w:fill="auto"/>
            <w:vAlign w:val="center"/>
            <w:hideMark/>
          </w:tcPr>
          <w:p w14:paraId="493D4B4B" w14:textId="5E5B5E3E" w:rsidR="003D3EC9" w:rsidRPr="00A95458" w:rsidRDefault="00050D25" w:rsidP="00756BE9">
            <w:pPr>
              <w:pStyle w:val="TableTextRight"/>
              <w:rPr>
                <w:lang w:eastAsia="en-AU"/>
              </w:rPr>
            </w:pPr>
            <w:r>
              <w:rPr>
                <w:rFonts w:ascii="Calibri" w:hAnsi="Calibri" w:cs="Calibri"/>
              </w:rPr>
              <w:noBreakHyphen/>
            </w:r>
            <w:r w:rsidR="003D3EC9">
              <w:rPr>
                <w:rFonts w:ascii="Calibri" w:hAnsi="Calibri" w:cs="Calibri"/>
              </w:rPr>
              <w:t>3.5</w:t>
            </w:r>
          </w:p>
        </w:tc>
        <w:tc>
          <w:tcPr>
            <w:tcW w:w="578" w:type="pct"/>
            <w:tcBorders>
              <w:top w:val="nil"/>
              <w:left w:val="nil"/>
              <w:bottom w:val="nil"/>
              <w:right w:val="nil"/>
            </w:tcBorders>
            <w:shd w:val="clear" w:color="auto" w:fill="auto"/>
            <w:vAlign w:val="center"/>
            <w:hideMark/>
          </w:tcPr>
          <w:p w14:paraId="4F7E4F7E" w14:textId="6BC8339B" w:rsidR="003D3EC9" w:rsidRPr="00A95458" w:rsidRDefault="00050D25" w:rsidP="00756BE9">
            <w:pPr>
              <w:pStyle w:val="TableTextRight"/>
              <w:rPr>
                <w:lang w:eastAsia="en-AU"/>
              </w:rPr>
            </w:pPr>
            <w:r>
              <w:rPr>
                <w:rFonts w:ascii="Calibri" w:hAnsi="Calibri" w:cs="Calibri"/>
              </w:rPr>
              <w:noBreakHyphen/>
            </w:r>
            <w:r w:rsidR="00544FBB">
              <w:rPr>
                <w:rFonts w:ascii="Calibri" w:hAnsi="Calibri" w:cs="Calibri"/>
              </w:rPr>
              <w:t>3.9</w:t>
            </w:r>
          </w:p>
        </w:tc>
      </w:tr>
      <w:tr w:rsidR="003D3EC9" w:rsidRPr="00A95458" w14:paraId="5002B50B" w14:textId="77777777" w:rsidTr="00756BE9">
        <w:trPr>
          <w:trHeight w:val="227"/>
        </w:trPr>
        <w:tc>
          <w:tcPr>
            <w:tcW w:w="1531" w:type="pct"/>
            <w:tcBorders>
              <w:top w:val="nil"/>
              <w:left w:val="nil"/>
              <w:bottom w:val="single" w:sz="4" w:space="0" w:color="auto"/>
              <w:right w:val="nil"/>
            </w:tcBorders>
            <w:shd w:val="clear" w:color="auto" w:fill="auto"/>
            <w:vAlign w:val="center"/>
            <w:hideMark/>
          </w:tcPr>
          <w:p w14:paraId="45C9FBC5" w14:textId="77777777" w:rsidR="003D3EC9" w:rsidRPr="00A95458" w:rsidRDefault="003D3EC9" w:rsidP="00C75089">
            <w:pPr>
              <w:pStyle w:val="Tabletextleftindent"/>
            </w:pPr>
            <w:r w:rsidRPr="00A95458">
              <w:t>Rest of South Australia</w:t>
            </w:r>
          </w:p>
        </w:tc>
        <w:tc>
          <w:tcPr>
            <w:tcW w:w="578" w:type="pct"/>
            <w:tcBorders>
              <w:top w:val="nil"/>
              <w:left w:val="nil"/>
              <w:bottom w:val="single" w:sz="4" w:space="0" w:color="auto"/>
              <w:right w:val="nil"/>
            </w:tcBorders>
            <w:shd w:val="clear" w:color="auto" w:fill="auto"/>
            <w:vAlign w:val="center"/>
            <w:hideMark/>
          </w:tcPr>
          <w:p w14:paraId="70CC882F" w14:textId="470EB6AC" w:rsidR="003D3EC9" w:rsidRPr="00A95458" w:rsidRDefault="003D3EC9" w:rsidP="00756BE9">
            <w:pPr>
              <w:pStyle w:val="TableTextRight"/>
              <w:rPr>
                <w:lang w:eastAsia="en-AU"/>
              </w:rPr>
            </w:pPr>
            <w:r>
              <w:rPr>
                <w:rFonts w:ascii="Calibri" w:hAnsi="Calibri" w:cs="Calibri"/>
              </w:rPr>
              <w:t>1.4</w:t>
            </w:r>
          </w:p>
        </w:tc>
        <w:tc>
          <w:tcPr>
            <w:tcW w:w="578" w:type="pct"/>
            <w:tcBorders>
              <w:top w:val="nil"/>
              <w:left w:val="nil"/>
              <w:bottom w:val="single" w:sz="4" w:space="0" w:color="auto"/>
              <w:right w:val="nil"/>
            </w:tcBorders>
            <w:shd w:val="clear" w:color="auto" w:fill="D2EDFF"/>
            <w:vAlign w:val="center"/>
            <w:hideMark/>
          </w:tcPr>
          <w:p w14:paraId="7191682F" w14:textId="24424E09" w:rsidR="003D3EC9" w:rsidRPr="00A95458" w:rsidRDefault="003D3EC9" w:rsidP="00756BE9">
            <w:pPr>
              <w:pStyle w:val="TableTextRight"/>
              <w:rPr>
                <w:lang w:eastAsia="en-AU"/>
              </w:rPr>
            </w:pPr>
            <w:r>
              <w:rPr>
                <w:rFonts w:ascii="Calibri" w:hAnsi="Calibri" w:cs="Calibri"/>
              </w:rPr>
              <w:t>2.1</w:t>
            </w:r>
          </w:p>
        </w:tc>
        <w:tc>
          <w:tcPr>
            <w:tcW w:w="578" w:type="pct"/>
            <w:tcBorders>
              <w:top w:val="nil"/>
              <w:left w:val="nil"/>
              <w:bottom w:val="single" w:sz="4" w:space="0" w:color="auto"/>
              <w:right w:val="nil"/>
            </w:tcBorders>
            <w:shd w:val="clear" w:color="auto" w:fill="auto"/>
            <w:vAlign w:val="center"/>
            <w:hideMark/>
          </w:tcPr>
          <w:p w14:paraId="7256CFAD" w14:textId="2385C17E" w:rsidR="003D3EC9" w:rsidRPr="00A95458" w:rsidRDefault="003D3EC9" w:rsidP="00756BE9">
            <w:pPr>
              <w:pStyle w:val="TableTextRight"/>
              <w:rPr>
                <w:lang w:eastAsia="en-AU"/>
              </w:rPr>
            </w:pPr>
            <w:r>
              <w:rPr>
                <w:rFonts w:ascii="Calibri" w:hAnsi="Calibri" w:cs="Calibri"/>
              </w:rPr>
              <w:t>1.6</w:t>
            </w:r>
          </w:p>
        </w:tc>
        <w:tc>
          <w:tcPr>
            <w:tcW w:w="578" w:type="pct"/>
            <w:tcBorders>
              <w:top w:val="nil"/>
              <w:left w:val="nil"/>
              <w:bottom w:val="single" w:sz="4" w:space="0" w:color="auto"/>
              <w:right w:val="nil"/>
            </w:tcBorders>
            <w:shd w:val="clear" w:color="auto" w:fill="auto"/>
            <w:vAlign w:val="center"/>
            <w:hideMark/>
          </w:tcPr>
          <w:p w14:paraId="076A22C0" w14:textId="48689056" w:rsidR="003D3EC9" w:rsidRPr="00A95458" w:rsidRDefault="003D3EC9" w:rsidP="00756BE9">
            <w:pPr>
              <w:pStyle w:val="TableTextRight"/>
              <w:rPr>
                <w:lang w:eastAsia="en-AU"/>
              </w:rPr>
            </w:pPr>
            <w:r>
              <w:rPr>
                <w:rFonts w:ascii="Calibri" w:hAnsi="Calibri" w:cs="Calibri"/>
              </w:rPr>
              <w:t>0.6</w:t>
            </w:r>
          </w:p>
        </w:tc>
        <w:tc>
          <w:tcPr>
            <w:tcW w:w="578" w:type="pct"/>
            <w:tcBorders>
              <w:top w:val="nil"/>
              <w:left w:val="nil"/>
              <w:bottom w:val="single" w:sz="4" w:space="0" w:color="auto"/>
              <w:right w:val="single" w:sz="4" w:space="0" w:color="auto"/>
            </w:tcBorders>
            <w:shd w:val="clear" w:color="auto" w:fill="auto"/>
            <w:vAlign w:val="center"/>
            <w:hideMark/>
          </w:tcPr>
          <w:p w14:paraId="0DC3DFD1" w14:textId="40F4FAE8" w:rsidR="003D3EC9" w:rsidRPr="00A95458" w:rsidRDefault="003D3EC9" w:rsidP="00756BE9">
            <w:pPr>
              <w:pStyle w:val="TableTextRight"/>
              <w:rPr>
                <w:lang w:eastAsia="en-AU"/>
              </w:rPr>
            </w:pPr>
            <w:r>
              <w:rPr>
                <w:rFonts w:ascii="Calibri" w:hAnsi="Calibri" w:cs="Calibri"/>
              </w:rPr>
              <w:t>0.0</w:t>
            </w:r>
          </w:p>
        </w:tc>
        <w:tc>
          <w:tcPr>
            <w:tcW w:w="578" w:type="pct"/>
            <w:tcBorders>
              <w:top w:val="nil"/>
              <w:left w:val="nil"/>
              <w:bottom w:val="single" w:sz="4" w:space="0" w:color="auto"/>
              <w:right w:val="nil"/>
            </w:tcBorders>
            <w:shd w:val="clear" w:color="auto" w:fill="auto"/>
            <w:vAlign w:val="center"/>
            <w:hideMark/>
          </w:tcPr>
          <w:p w14:paraId="2E6E1404" w14:textId="6E913462" w:rsidR="003D3EC9" w:rsidRPr="00A95458" w:rsidRDefault="004368C9" w:rsidP="00756BE9">
            <w:pPr>
              <w:pStyle w:val="TableTextRight"/>
              <w:rPr>
                <w:lang w:eastAsia="en-AU"/>
              </w:rPr>
            </w:pPr>
            <w:r>
              <w:rPr>
                <w:rFonts w:ascii="Calibri" w:hAnsi="Calibri" w:cs="Calibri"/>
              </w:rPr>
              <w:t>1.</w:t>
            </w:r>
            <w:r w:rsidR="00544FBB">
              <w:rPr>
                <w:rFonts w:ascii="Calibri" w:hAnsi="Calibri" w:cs="Calibri"/>
              </w:rPr>
              <w:t>0</w:t>
            </w:r>
          </w:p>
        </w:tc>
      </w:tr>
      <w:tr w:rsidR="003D3EC9" w:rsidRPr="00A95458" w14:paraId="0AD91366" w14:textId="77777777" w:rsidTr="00756BE9">
        <w:trPr>
          <w:trHeight w:val="227"/>
        </w:trPr>
        <w:tc>
          <w:tcPr>
            <w:tcW w:w="1531" w:type="pct"/>
            <w:tcBorders>
              <w:top w:val="nil"/>
              <w:left w:val="nil"/>
              <w:bottom w:val="nil"/>
              <w:right w:val="nil"/>
            </w:tcBorders>
            <w:shd w:val="clear" w:color="auto" w:fill="auto"/>
            <w:vAlign w:val="center"/>
            <w:hideMark/>
          </w:tcPr>
          <w:p w14:paraId="12E84DCD" w14:textId="77777777" w:rsidR="003D3EC9" w:rsidRPr="00A95458" w:rsidRDefault="003D3EC9" w:rsidP="00F828E7">
            <w:pPr>
              <w:pStyle w:val="TableColumnHeadingLeft"/>
            </w:pPr>
            <w:r w:rsidRPr="00A95458">
              <w:t>Median age (years)</w:t>
            </w:r>
          </w:p>
        </w:tc>
        <w:tc>
          <w:tcPr>
            <w:tcW w:w="578" w:type="pct"/>
            <w:tcBorders>
              <w:top w:val="nil"/>
              <w:left w:val="nil"/>
              <w:bottom w:val="nil"/>
              <w:right w:val="nil"/>
            </w:tcBorders>
            <w:shd w:val="clear" w:color="auto" w:fill="auto"/>
            <w:vAlign w:val="center"/>
            <w:hideMark/>
          </w:tcPr>
          <w:p w14:paraId="74FD6D0A"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D2EDFF"/>
            <w:vAlign w:val="center"/>
            <w:hideMark/>
          </w:tcPr>
          <w:p w14:paraId="394D01FC" w14:textId="5AC60F31"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5A51E302" w14:textId="77777777" w:rsidR="003D3EC9" w:rsidRPr="00A95458" w:rsidRDefault="003D3EC9" w:rsidP="00756BE9">
            <w:pPr>
              <w:pStyle w:val="TableTextRight"/>
              <w:rPr>
                <w:lang w:eastAsia="en-AU"/>
              </w:rPr>
            </w:pPr>
          </w:p>
        </w:tc>
        <w:tc>
          <w:tcPr>
            <w:tcW w:w="578" w:type="pct"/>
            <w:tcBorders>
              <w:top w:val="nil"/>
              <w:left w:val="nil"/>
              <w:bottom w:val="nil"/>
              <w:right w:val="nil"/>
            </w:tcBorders>
            <w:shd w:val="clear" w:color="auto" w:fill="auto"/>
            <w:vAlign w:val="center"/>
            <w:hideMark/>
          </w:tcPr>
          <w:p w14:paraId="127EA1FD" w14:textId="77777777" w:rsidR="003D3EC9" w:rsidRPr="00A95458" w:rsidRDefault="003D3EC9" w:rsidP="00756BE9">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1F192DB8" w14:textId="2269C154" w:rsidR="003D3EC9" w:rsidRPr="00A95458" w:rsidRDefault="003D3EC9" w:rsidP="00756BE9">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23FBB846" w14:textId="77777777" w:rsidR="003D3EC9" w:rsidRPr="00A95458" w:rsidRDefault="003D3EC9" w:rsidP="00756BE9">
            <w:pPr>
              <w:pStyle w:val="TableTextRight"/>
              <w:rPr>
                <w:lang w:eastAsia="en-AU"/>
              </w:rPr>
            </w:pPr>
          </w:p>
        </w:tc>
      </w:tr>
      <w:tr w:rsidR="003D3EC9" w:rsidRPr="00A95458" w14:paraId="6382CA06" w14:textId="77777777" w:rsidTr="00756BE9">
        <w:trPr>
          <w:trHeight w:val="227"/>
        </w:trPr>
        <w:tc>
          <w:tcPr>
            <w:tcW w:w="1531" w:type="pct"/>
            <w:tcBorders>
              <w:top w:val="nil"/>
              <w:left w:val="nil"/>
              <w:bottom w:val="nil"/>
              <w:right w:val="nil"/>
            </w:tcBorders>
            <w:shd w:val="clear" w:color="auto" w:fill="auto"/>
            <w:vAlign w:val="center"/>
            <w:hideMark/>
          </w:tcPr>
          <w:p w14:paraId="44C9EBD9" w14:textId="77777777" w:rsidR="003D3EC9" w:rsidRPr="00A95458" w:rsidRDefault="003D3EC9" w:rsidP="00C75089">
            <w:pPr>
              <w:pStyle w:val="TableTextLeftBlue"/>
            </w:pPr>
            <w:r w:rsidRPr="00A95458">
              <w:t>South Australia</w:t>
            </w:r>
          </w:p>
        </w:tc>
        <w:tc>
          <w:tcPr>
            <w:tcW w:w="578" w:type="pct"/>
            <w:tcBorders>
              <w:top w:val="nil"/>
              <w:left w:val="nil"/>
              <w:bottom w:val="nil"/>
              <w:right w:val="nil"/>
            </w:tcBorders>
            <w:shd w:val="clear" w:color="auto" w:fill="auto"/>
            <w:vAlign w:val="center"/>
            <w:hideMark/>
          </w:tcPr>
          <w:p w14:paraId="1169BBBA" w14:textId="4C6A682F" w:rsidR="003D3EC9" w:rsidRPr="00A95458" w:rsidRDefault="004368C9" w:rsidP="00756BE9">
            <w:pPr>
              <w:pStyle w:val="TableTextRight"/>
              <w:rPr>
                <w:lang w:eastAsia="en-AU"/>
              </w:rPr>
            </w:pPr>
            <w:r>
              <w:rPr>
                <w:rFonts w:ascii="Calibri" w:hAnsi="Calibri" w:cs="Calibri"/>
              </w:rPr>
              <w:t>40.</w:t>
            </w:r>
            <w:r w:rsidR="003D3EC9">
              <w:rPr>
                <w:rFonts w:ascii="Calibri" w:hAnsi="Calibri" w:cs="Calibri"/>
              </w:rPr>
              <w:t>5</w:t>
            </w:r>
          </w:p>
        </w:tc>
        <w:tc>
          <w:tcPr>
            <w:tcW w:w="578" w:type="pct"/>
            <w:tcBorders>
              <w:top w:val="nil"/>
              <w:left w:val="nil"/>
              <w:bottom w:val="nil"/>
              <w:right w:val="nil"/>
            </w:tcBorders>
            <w:shd w:val="clear" w:color="auto" w:fill="D2EDFF"/>
            <w:vAlign w:val="center"/>
            <w:hideMark/>
          </w:tcPr>
          <w:p w14:paraId="20538485" w14:textId="0EB47ABB" w:rsidR="003D3EC9" w:rsidRPr="00A95458" w:rsidRDefault="004368C9" w:rsidP="00756BE9">
            <w:pPr>
              <w:pStyle w:val="TableTextRight"/>
              <w:rPr>
                <w:lang w:eastAsia="en-AU"/>
              </w:rPr>
            </w:pPr>
            <w:r>
              <w:rPr>
                <w:rFonts w:ascii="Calibri" w:hAnsi="Calibri" w:cs="Calibri"/>
              </w:rPr>
              <w:t>40.</w:t>
            </w:r>
            <w:r w:rsidR="003D3EC9">
              <w:rPr>
                <w:rFonts w:ascii="Calibri" w:hAnsi="Calibri" w:cs="Calibri"/>
              </w:rPr>
              <w:t>5</w:t>
            </w:r>
          </w:p>
        </w:tc>
        <w:tc>
          <w:tcPr>
            <w:tcW w:w="578" w:type="pct"/>
            <w:tcBorders>
              <w:top w:val="nil"/>
              <w:left w:val="nil"/>
              <w:bottom w:val="nil"/>
              <w:right w:val="nil"/>
            </w:tcBorders>
            <w:shd w:val="clear" w:color="auto" w:fill="auto"/>
            <w:vAlign w:val="center"/>
            <w:hideMark/>
          </w:tcPr>
          <w:p w14:paraId="3F0FB3C4" w14:textId="54DB848A" w:rsidR="003D3EC9" w:rsidRPr="00A95458" w:rsidRDefault="004368C9" w:rsidP="00756BE9">
            <w:pPr>
              <w:pStyle w:val="TableTextRight"/>
              <w:rPr>
                <w:lang w:eastAsia="en-AU"/>
              </w:rPr>
            </w:pPr>
            <w:r>
              <w:rPr>
                <w:rFonts w:ascii="Calibri" w:hAnsi="Calibri" w:cs="Calibri"/>
              </w:rPr>
              <w:t>40.</w:t>
            </w:r>
            <w:r w:rsidR="003D3EC9">
              <w:rPr>
                <w:rFonts w:ascii="Calibri" w:hAnsi="Calibri" w:cs="Calibri"/>
              </w:rPr>
              <w:t>7</w:t>
            </w:r>
          </w:p>
        </w:tc>
        <w:tc>
          <w:tcPr>
            <w:tcW w:w="578" w:type="pct"/>
            <w:tcBorders>
              <w:top w:val="nil"/>
              <w:left w:val="nil"/>
              <w:bottom w:val="nil"/>
              <w:right w:val="nil"/>
            </w:tcBorders>
            <w:shd w:val="clear" w:color="auto" w:fill="auto"/>
            <w:vAlign w:val="center"/>
            <w:hideMark/>
          </w:tcPr>
          <w:p w14:paraId="58702AB0" w14:textId="1DDF89A1" w:rsidR="003D3EC9" w:rsidRPr="00A95458" w:rsidRDefault="004368C9" w:rsidP="00756BE9">
            <w:pPr>
              <w:pStyle w:val="TableTextRight"/>
              <w:rPr>
                <w:lang w:eastAsia="en-AU"/>
              </w:rPr>
            </w:pPr>
            <w:r>
              <w:rPr>
                <w:rFonts w:ascii="Calibri" w:hAnsi="Calibri" w:cs="Calibri"/>
              </w:rPr>
              <w:t>40.</w:t>
            </w:r>
            <w:r w:rsidR="003D3EC9">
              <w:rPr>
                <w:rFonts w:ascii="Calibri" w:hAnsi="Calibri" w:cs="Calibri"/>
              </w:rPr>
              <w:t>9</w:t>
            </w:r>
          </w:p>
        </w:tc>
        <w:tc>
          <w:tcPr>
            <w:tcW w:w="578" w:type="pct"/>
            <w:tcBorders>
              <w:top w:val="nil"/>
              <w:left w:val="nil"/>
              <w:bottom w:val="nil"/>
              <w:right w:val="single" w:sz="4" w:space="0" w:color="auto"/>
            </w:tcBorders>
            <w:shd w:val="clear" w:color="auto" w:fill="auto"/>
            <w:vAlign w:val="center"/>
            <w:hideMark/>
          </w:tcPr>
          <w:p w14:paraId="62227C86" w14:textId="26E75B3A" w:rsidR="003D3EC9" w:rsidRPr="00A95458" w:rsidRDefault="004368C9" w:rsidP="00756BE9">
            <w:pPr>
              <w:pStyle w:val="TableTextRight"/>
              <w:rPr>
                <w:lang w:eastAsia="en-AU"/>
              </w:rPr>
            </w:pPr>
            <w:r>
              <w:rPr>
                <w:rFonts w:ascii="Calibri" w:hAnsi="Calibri" w:cs="Calibri"/>
              </w:rPr>
              <w:t>41.</w:t>
            </w:r>
            <w:r w:rsidR="003D3EC9">
              <w:rPr>
                <w:rFonts w:ascii="Calibri" w:hAnsi="Calibri" w:cs="Calibri"/>
              </w:rPr>
              <w:t>1</w:t>
            </w:r>
          </w:p>
        </w:tc>
        <w:tc>
          <w:tcPr>
            <w:tcW w:w="578" w:type="pct"/>
            <w:tcBorders>
              <w:top w:val="nil"/>
              <w:left w:val="nil"/>
              <w:bottom w:val="nil"/>
              <w:right w:val="nil"/>
            </w:tcBorders>
            <w:shd w:val="clear" w:color="auto" w:fill="auto"/>
            <w:vAlign w:val="center"/>
            <w:hideMark/>
          </w:tcPr>
          <w:p w14:paraId="601011AB" w14:textId="5F5ABF19" w:rsidR="003D3EC9" w:rsidRPr="00A95458" w:rsidRDefault="004368C9" w:rsidP="00756BE9">
            <w:pPr>
              <w:pStyle w:val="TableTextRight"/>
              <w:rPr>
                <w:lang w:eastAsia="en-AU"/>
              </w:rPr>
            </w:pPr>
            <w:r>
              <w:rPr>
                <w:rFonts w:ascii="Calibri" w:hAnsi="Calibri" w:cs="Calibri"/>
              </w:rPr>
              <w:t>42.</w:t>
            </w:r>
            <w:r w:rsidR="00544FBB">
              <w:rPr>
                <w:rFonts w:ascii="Calibri" w:hAnsi="Calibri" w:cs="Calibri"/>
              </w:rPr>
              <w:t>5</w:t>
            </w:r>
          </w:p>
        </w:tc>
      </w:tr>
      <w:tr w:rsidR="003D3EC9" w:rsidRPr="00A95458" w14:paraId="7BFC424C" w14:textId="77777777" w:rsidTr="00756BE9">
        <w:trPr>
          <w:trHeight w:val="227"/>
        </w:trPr>
        <w:tc>
          <w:tcPr>
            <w:tcW w:w="1531" w:type="pct"/>
            <w:tcBorders>
              <w:top w:val="nil"/>
              <w:left w:val="nil"/>
              <w:bottom w:val="nil"/>
              <w:right w:val="nil"/>
            </w:tcBorders>
            <w:shd w:val="clear" w:color="auto" w:fill="auto"/>
            <w:vAlign w:val="center"/>
            <w:hideMark/>
          </w:tcPr>
          <w:p w14:paraId="2B8D4084" w14:textId="77777777" w:rsidR="003D3EC9" w:rsidRPr="00A95458" w:rsidRDefault="003D3EC9" w:rsidP="00C75089">
            <w:pPr>
              <w:pStyle w:val="Tabletextleftindent"/>
            </w:pPr>
            <w:r w:rsidRPr="00A95458">
              <w:t>Greater Adelaide</w:t>
            </w:r>
          </w:p>
        </w:tc>
        <w:tc>
          <w:tcPr>
            <w:tcW w:w="578" w:type="pct"/>
            <w:tcBorders>
              <w:top w:val="nil"/>
              <w:left w:val="nil"/>
              <w:bottom w:val="nil"/>
              <w:right w:val="nil"/>
            </w:tcBorders>
            <w:shd w:val="clear" w:color="auto" w:fill="auto"/>
            <w:vAlign w:val="center"/>
            <w:hideMark/>
          </w:tcPr>
          <w:p w14:paraId="64F0D6DA" w14:textId="45215D5F" w:rsidR="003D3EC9" w:rsidRPr="00A95458" w:rsidRDefault="004368C9" w:rsidP="00756BE9">
            <w:pPr>
              <w:pStyle w:val="TableTextRight"/>
              <w:rPr>
                <w:lang w:eastAsia="en-AU"/>
              </w:rPr>
            </w:pPr>
            <w:r>
              <w:rPr>
                <w:rFonts w:ascii="Calibri" w:hAnsi="Calibri" w:cs="Calibri"/>
              </w:rPr>
              <w:t>39.</w:t>
            </w:r>
            <w:r w:rsidR="003D3EC9">
              <w:rPr>
                <w:rFonts w:ascii="Calibri" w:hAnsi="Calibri" w:cs="Calibri"/>
              </w:rPr>
              <w:t>2</w:t>
            </w:r>
          </w:p>
        </w:tc>
        <w:tc>
          <w:tcPr>
            <w:tcW w:w="578" w:type="pct"/>
            <w:tcBorders>
              <w:top w:val="nil"/>
              <w:left w:val="nil"/>
              <w:bottom w:val="nil"/>
              <w:right w:val="nil"/>
            </w:tcBorders>
            <w:shd w:val="clear" w:color="auto" w:fill="D2EDFF"/>
            <w:vAlign w:val="center"/>
            <w:hideMark/>
          </w:tcPr>
          <w:p w14:paraId="066F4D4E" w14:textId="45CE08D5" w:rsidR="003D3EC9" w:rsidRPr="00A95458" w:rsidRDefault="004368C9" w:rsidP="00756BE9">
            <w:pPr>
              <w:pStyle w:val="TableTextRight"/>
              <w:rPr>
                <w:lang w:eastAsia="en-AU"/>
              </w:rPr>
            </w:pPr>
            <w:r>
              <w:rPr>
                <w:rFonts w:ascii="Calibri" w:hAnsi="Calibri" w:cs="Calibri"/>
              </w:rPr>
              <w:t>39.</w:t>
            </w:r>
            <w:r w:rsidR="003D3EC9">
              <w:rPr>
                <w:rFonts w:ascii="Calibri" w:hAnsi="Calibri" w:cs="Calibri"/>
              </w:rPr>
              <w:t>2</w:t>
            </w:r>
          </w:p>
        </w:tc>
        <w:tc>
          <w:tcPr>
            <w:tcW w:w="578" w:type="pct"/>
            <w:tcBorders>
              <w:top w:val="nil"/>
              <w:left w:val="nil"/>
              <w:bottom w:val="nil"/>
              <w:right w:val="nil"/>
            </w:tcBorders>
            <w:shd w:val="clear" w:color="auto" w:fill="auto"/>
            <w:vAlign w:val="center"/>
            <w:hideMark/>
          </w:tcPr>
          <w:p w14:paraId="76F55038" w14:textId="01AD95BF" w:rsidR="003D3EC9" w:rsidRPr="00A95458" w:rsidRDefault="004368C9" w:rsidP="00756BE9">
            <w:pPr>
              <w:pStyle w:val="TableTextRight"/>
              <w:rPr>
                <w:lang w:eastAsia="en-AU"/>
              </w:rPr>
            </w:pPr>
            <w:r>
              <w:rPr>
                <w:rFonts w:ascii="Calibri" w:hAnsi="Calibri" w:cs="Calibri"/>
              </w:rPr>
              <w:t>39.</w:t>
            </w:r>
            <w:r w:rsidR="003D3EC9">
              <w:rPr>
                <w:rFonts w:ascii="Calibri" w:hAnsi="Calibri" w:cs="Calibri"/>
              </w:rPr>
              <w:t>3</w:t>
            </w:r>
          </w:p>
        </w:tc>
        <w:tc>
          <w:tcPr>
            <w:tcW w:w="578" w:type="pct"/>
            <w:tcBorders>
              <w:top w:val="nil"/>
              <w:left w:val="nil"/>
              <w:bottom w:val="nil"/>
              <w:right w:val="nil"/>
            </w:tcBorders>
            <w:shd w:val="clear" w:color="auto" w:fill="auto"/>
            <w:vAlign w:val="center"/>
            <w:hideMark/>
          </w:tcPr>
          <w:p w14:paraId="3C137EF6" w14:textId="3C351327" w:rsidR="003D3EC9" w:rsidRPr="00A95458" w:rsidRDefault="004368C9" w:rsidP="00756BE9">
            <w:pPr>
              <w:pStyle w:val="TableTextRight"/>
              <w:rPr>
                <w:lang w:eastAsia="en-AU"/>
              </w:rPr>
            </w:pPr>
            <w:r>
              <w:rPr>
                <w:rFonts w:ascii="Calibri" w:hAnsi="Calibri" w:cs="Calibri"/>
              </w:rPr>
              <w:t>39.</w:t>
            </w:r>
            <w:r w:rsidR="003D3EC9">
              <w:rPr>
                <w:rFonts w:ascii="Calibri" w:hAnsi="Calibri" w:cs="Calibri"/>
              </w:rPr>
              <w:t>5</w:t>
            </w:r>
          </w:p>
        </w:tc>
        <w:tc>
          <w:tcPr>
            <w:tcW w:w="578" w:type="pct"/>
            <w:tcBorders>
              <w:top w:val="nil"/>
              <w:left w:val="nil"/>
              <w:bottom w:val="nil"/>
              <w:right w:val="single" w:sz="4" w:space="0" w:color="auto"/>
            </w:tcBorders>
            <w:shd w:val="clear" w:color="auto" w:fill="auto"/>
            <w:vAlign w:val="center"/>
            <w:hideMark/>
          </w:tcPr>
          <w:p w14:paraId="52FA7EB4" w14:textId="590232E1" w:rsidR="003D3EC9" w:rsidRPr="00A95458" w:rsidRDefault="004368C9" w:rsidP="00756BE9">
            <w:pPr>
              <w:pStyle w:val="TableTextRight"/>
              <w:rPr>
                <w:lang w:eastAsia="en-AU"/>
              </w:rPr>
            </w:pPr>
            <w:r>
              <w:rPr>
                <w:rFonts w:ascii="Calibri" w:hAnsi="Calibri" w:cs="Calibri"/>
              </w:rPr>
              <w:t>39.</w:t>
            </w:r>
            <w:r w:rsidR="003D3EC9">
              <w:rPr>
                <w:rFonts w:ascii="Calibri" w:hAnsi="Calibri" w:cs="Calibri"/>
              </w:rPr>
              <w:t>7</w:t>
            </w:r>
          </w:p>
        </w:tc>
        <w:tc>
          <w:tcPr>
            <w:tcW w:w="578" w:type="pct"/>
            <w:tcBorders>
              <w:top w:val="nil"/>
              <w:left w:val="nil"/>
              <w:bottom w:val="nil"/>
              <w:right w:val="nil"/>
            </w:tcBorders>
            <w:shd w:val="clear" w:color="auto" w:fill="auto"/>
            <w:vAlign w:val="center"/>
            <w:hideMark/>
          </w:tcPr>
          <w:p w14:paraId="6EDBA956" w14:textId="376D0973" w:rsidR="003D3EC9" w:rsidRPr="00A95458" w:rsidRDefault="004368C9" w:rsidP="00756BE9">
            <w:pPr>
              <w:pStyle w:val="TableTextRight"/>
              <w:rPr>
                <w:lang w:eastAsia="en-AU"/>
              </w:rPr>
            </w:pPr>
            <w:r>
              <w:rPr>
                <w:rFonts w:ascii="Calibri" w:hAnsi="Calibri" w:cs="Calibri"/>
              </w:rPr>
              <w:t>40.</w:t>
            </w:r>
            <w:r w:rsidR="00544FBB">
              <w:rPr>
                <w:rFonts w:ascii="Calibri" w:hAnsi="Calibri" w:cs="Calibri"/>
              </w:rPr>
              <w:t>9</w:t>
            </w:r>
          </w:p>
        </w:tc>
      </w:tr>
      <w:tr w:rsidR="003D3EC9" w:rsidRPr="00A95458" w14:paraId="3ADC35A6" w14:textId="77777777" w:rsidTr="00756BE9">
        <w:trPr>
          <w:trHeight w:val="227"/>
        </w:trPr>
        <w:tc>
          <w:tcPr>
            <w:tcW w:w="1531" w:type="pct"/>
            <w:tcBorders>
              <w:top w:val="nil"/>
              <w:left w:val="nil"/>
              <w:bottom w:val="single" w:sz="4" w:space="0" w:color="auto"/>
              <w:right w:val="nil"/>
            </w:tcBorders>
            <w:shd w:val="clear" w:color="auto" w:fill="auto"/>
            <w:vAlign w:val="center"/>
            <w:hideMark/>
          </w:tcPr>
          <w:p w14:paraId="178859C5" w14:textId="77777777" w:rsidR="003D3EC9" w:rsidRPr="00A95458" w:rsidRDefault="003D3EC9" w:rsidP="00C75089">
            <w:pPr>
              <w:pStyle w:val="Tabletextleftindent"/>
            </w:pPr>
            <w:r w:rsidRPr="00A95458">
              <w:t>Rest of South Australia</w:t>
            </w:r>
          </w:p>
        </w:tc>
        <w:tc>
          <w:tcPr>
            <w:tcW w:w="578" w:type="pct"/>
            <w:tcBorders>
              <w:top w:val="nil"/>
              <w:left w:val="nil"/>
              <w:bottom w:val="single" w:sz="4" w:space="0" w:color="auto"/>
              <w:right w:val="nil"/>
            </w:tcBorders>
            <w:shd w:val="clear" w:color="auto" w:fill="auto"/>
            <w:vAlign w:val="center"/>
            <w:hideMark/>
          </w:tcPr>
          <w:p w14:paraId="64E88D4A" w14:textId="28F81F7C" w:rsidR="003D3EC9" w:rsidRPr="00A95458" w:rsidRDefault="004368C9" w:rsidP="00756BE9">
            <w:pPr>
              <w:pStyle w:val="TableTextRight"/>
              <w:rPr>
                <w:lang w:eastAsia="en-AU"/>
              </w:rPr>
            </w:pPr>
            <w:r>
              <w:rPr>
                <w:rFonts w:ascii="Calibri" w:hAnsi="Calibri" w:cs="Calibri"/>
              </w:rPr>
              <w:t>46.</w:t>
            </w:r>
            <w:r w:rsidR="00544FBB">
              <w:rPr>
                <w:rFonts w:ascii="Calibri" w:hAnsi="Calibri" w:cs="Calibri"/>
              </w:rPr>
              <w:t>8</w:t>
            </w:r>
          </w:p>
        </w:tc>
        <w:tc>
          <w:tcPr>
            <w:tcW w:w="578" w:type="pct"/>
            <w:tcBorders>
              <w:top w:val="nil"/>
              <w:left w:val="nil"/>
              <w:bottom w:val="single" w:sz="4" w:space="0" w:color="auto"/>
              <w:right w:val="nil"/>
            </w:tcBorders>
            <w:shd w:val="clear" w:color="auto" w:fill="D2EDFF"/>
            <w:vAlign w:val="center"/>
            <w:hideMark/>
          </w:tcPr>
          <w:p w14:paraId="48814EF6" w14:textId="1714CC02" w:rsidR="003D3EC9" w:rsidRPr="00A95458" w:rsidRDefault="004368C9" w:rsidP="00756BE9">
            <w:pPr>
              <w:pStyle w:val="TableTextRight"/>
              <w:rPr>
                <w:lang w:eastAsia="en-AU"/>
              </w:rPr>
            </w:pPr>
            <w:r>
              <w:rPr>
                <w:rFonts w:ascii="Calibri" w:hAnsi="Calibri" w:cs="Calibri"/>
              </w:rPr>
              <w:t>46.</w:t>
            </w:r>
            <w:r w:rsidR="003D3EC9">
              <w:rPr>
                <w:rFonts w:ascii="Calibri" w:hAnsi="Calibri" w:cs="Calibri"/>
              </w:rPr>
              <w:t>9</w:t>
            </w:r>
          </w:p>
        </w:tc>
        <w:tc>
          <w:tcPr>
            <w:tcW w:w="578" w:type="pct"/>
            <w:tcBorders>
              <w:top w:val="nil"/>
              <w:left w:val="nil"/>
              <w:bottom w:val="single" w:sz="4" w:space="0" w:color="auto"/>
              <w:right w:val="nil"/>
            </w:tcBorders>
            <w:shd w:val="clear" w:color="auto" w:fill="auto"/>
            <w:vAlign w:val="center"/>
            <w:hideMark/>
          </w:tcPr>
          <w:p w14:paraId="23BF0F9B" w14:textId="0A5C0CF7" w:rsidR="003D3EC9" w:rsidRPr="00A95458" w:rsidRDefault="004368C9" w:rsidP="00756BE9">
            <w:pPr>
              <w:pStyle w:val="TableTextRight"/>
              <w:rPr>
                <w:lang w:eastAsia="en-AU"/>
              </w:rPr>
            </w:pPr>
            <w:r>
              <w:rPr>
                <w:rFonts w:ascii="Calibri" w:hAnsi="Calibri" w:cs="Calibri"/>
              </w:rPr>
              <w:t>47.</w:t>
            </w:r>
            <w:r w:rsidR="003D3EC9">
              <w:rPr>
                <w:rFonts w:ascii="Calibri" w:hAnsi="Calibri" w:cs="Calibri"/>
              </w:rPr>
              <w:t>1</w:t>
            </w:r>
          </w:p>
        </w:tc>
        <w:tc>
          <w:tcPr>
            <w:tcW w:w="578" w:type="pct"/>
            <w:tcBorders>
              <w:top w:val="nil"/>
              <w:left w:val="nil"/>
              <w:bottom w:val="single" w:sz="4" w:space="0" w:color="auto"/>
              <w:right w:val="nil"/>
            </w:tcBorders>
            <w:shd w:val="clear" w:color="auto" w:fill="auto"/>
            <w:vAlign w:val="center"/>
            <w:hideMark/>
          </w:tcPr>
          <w:p w14:paraId="73C677C9" w14:textId="665EC1B8" w:rsidR="003D3EC9" w:rsidRPr="00A95458" w:rsidRDefault="004368C9" w:rsidP="00756BE9">
            <w:pPr>
              <w:pStyle w:val="TableTextRight"/>
              <w:rPr>
                <w:lang w:eastAsia="en-AU"/>
              </w:rPr>
            </w:pPr>
            <w:r>
              <w:rPr>
                <w:rFonts w:ascii="Calibri" w:hAnsi="Calibri" w:cs="Calibri"/>
              </w:rPr>
              <w:t>47.</w:t>
            </w:r>
            <w:r w:rsidR="00544FBB">
              <w:rPr>
                <w:rFonts w:ascii="Calibri" w:hAnsi="Calibri" w:cs="Calibri"/>
              </w:rPr>
              <w:t>3</w:t>
            </w:r>
          </w:p>
        </w:tc>
        <w:tc>
          <w:tcPr>
            <w:tcW w:w="578" w:type="pct"/>
            <w:tcBorders>
              <w:top w:val="nil"/>
              <w:left w:val="nil"/>
              <w:bottom w:val="single" w:sz="4" w:space="0" w:color="auto"/>
              <w:right w:val="single" w:sz="4" w:space="0" w:color="auto"/>
            </w:tcBorders>
            <w:shd w:val="clear" w:color="auto" w:fill="auto"/>
            <w:vAlign w:val="center"/>
            <w:hideMark/>
          </w:tcPr>
          <w:p w14:paraId="1FEE48FE" w14:textId="51165E53" w:rsidR="003D3EC9" w:rsidRPr="00A95458" w:rsidRDefault="004368C9" w:rsidP="00756BE9">
            <w:pPr>
              <w:pStyle w:val="TableTextRight"/>
              <w:rPr>
                <w:lang w:eastAsia="en-AU"/>
              </w:rPr>
            </w:pPr>
            <w:r>
              <w:rPr>
                <w:rFonts w:ascii="Calibri" w:hAnsi="Calibri" w:cs="Calibri"/>
              </w:rPr>
              <w:t>47.</w:t>
            </w:r>
            <w:r w:rsidR="00544FBB">
              <w:rPr>
                <w:rFonts w:ascii="Calibri" w:hAnsi="Calibri" w:cs="Calibri"/>
              </w:rPr>
              <w:t>7</w:t>
            </w:r>
          </w:p>
        </w:tc>
        <w:tc>
          <w:tcPr>
            <w:tcW w:w="578" w:type="pct"/>
            <w:tcBorders>
              <w:top w:val="nil"/>
              <w:left w:val="nil"/>
              <w:bottom w:val="single" w:sz="4" w:space="0" w:color="auto"/>
              <w:right w:val="nil"/>
            </w:tcBorders>
            <w:shd w:val="clear" w:color="auto" w:fill="auto"/>
            <w:vAlign w:val="center"/>
            <w:hideMark/>
          </w:tcPr>
          <w:p w14:paraId="1372EC34" w14:textId="0730924A" w:rsidR="003D3EC9" w:rsidRPr="00A95458" w:rsidRDefault="004368C9" w:rsidP="00756BE9">
            <w:pPr>
              <w:pStyle w:val="TableTextRight"/>
              <w:rPr>
                <w:lang w:eastAsia="en-AU"/>
              </w:rPr>
            </w:pPr>
            <w:r>
              <w:rPr>
                <w:rFonts w:ascii="Calibri" w:hAnsi="Calibri" w:cs="Calibri"/>
              </w:rPr>
              <w:t>49.</w:t>
            </w:r>
            <w:r w:rsidR="00544FBB">
              <w:rPr>
                <w:rFonts w:ascii="Calibri" w:hAnsi="Calibri" w:cs="Calibri"/>
              </w:rPr>
              <w:t>8</w:t>
            </w:r>
          </w:p>
        </w:tc>
      </w:tr>
    </w:tbl>
    <w:p w14:paraId="2D02E1F8" w14:textId="1D466B74" w:rsidR="00756BE9" w:rsidRDefault="003D3EC9" w:rsidP="003D3EC9">
      <w:pPr>
        <w:pStyle w:val="Source"/>
      </w:pPr>
      <w:r w:rsidRPr="00D47BF1">
        <w:t xml:space="preserve">Source: </w:t>
      </w:r>
      <w:r>
        <w:tab/>
      </w:r>
      <w:r w:rsidRPr="00D47BF1">
        <w:t xml:space="preserve">ABS, </w:t>
      </w:r>
      <w:r w:rsidR="009155F8" w:rsidRPr="00997375">
        <w:rPr>
          <w:rStyle w:val="SubtleEmphasis"/>
        </w:rPr>
        <w:t>National, state and territory population, March 2024</w:t>
      </w:r>
      <w:r>
        <w:t xml:space="preserve">; ABS, </w:t>
      </w:r>
      <w:r w:rsidR="0035214B" w:rsidRPr="00997375">
        <w:rPr>
          <w:rStyle w:val="SubtleEmphasis"/>
        </w:rPr>
        <w:t>Regional population, 2022–23</w:t>
      </w:r>
      <w:r w:rsidRPr="00997375">
        <w:rPr>
          <w:rStyle w:val="SubtleEmphasis"/>
        </w:rPr>
        <w:t>;</w:t>
      </w:r>
      <w:r>
        <w:t xml:space="preserve"> and Centre for Population.</w:t>
      </w:r>
    </w:p>
    <w:p w14:paraId="6B36DBD8" w14:textId="77777777" w:rsidR="00756BE9" w:rsidRDefault="00756BE9" w:rsidP="00997375">
      <w:pPr>
        <w:pStyle w:val="SingleParagraph"/>
        <w:rPr>
          <w:bdr w:val="none" w:sz="0" w:space="0" w:color="auto" w:frame="1"/>
        </w:rPr>
      </w:pPr>
      <w:r>
        <w:br w:type="page"/>
      </w:r>
    </w:p>
    <w:p w14:paraId="62A3B791" w14:textId="77777777" w:rsidR="003D3EC9" w:rsidRDefault="003D3EC9" w:rsidP="003D3EC9">
      <w:pPr>
        <w:pStyle w:val="Heading2Numbered"/>
      </w:pPr>
      <w:bookmarkStart w:id="211" w:name="_Toc149846512"/>
      <w:bookmarkStart w:id="212" w:name="_Toc149846553"/>
      <w:bookmarkStart w:id="213" w:name="_Toc149846651"/>
      <w:bookmarkStart w:id="214" w:name="_Toc149847594"/>
      <w:bookmarkStart w:id="215" w:name="_Toc151994727"/>
      <w:bookmarkStart w:id="216" w:name="_Toc180584525"/>
      <w:bookmarkStart w:id="217" w:name="_Toc185333116"/>
      <w:bookmarkStart w:id="218" w:name="_Toc185346733"/>
      <w:r>
        <w:lastRenderedPageBreak/>
        <w:t>Western Australia</w:t>
      </w:r>
      <w:bookmarkEnd w:id="211"/>
      <w:bookmarkEnd w:id="212"/>
      <w:bookmarkEnd w:id="213"/>
      <w:bookmarkEnd w:id="214"/>
      <w:bookmarkEnd w:id="215"/>
      <w:bookmarkEnd w:id="216"/>
      <w:bookmarkEnd w:id="217"/>
      <w:bookmarkEnd w:id="218"/>
    </w:p>
    <w:p w14:paraId="3DC612AA" w14:textId="4D972EEA" w:rsidR="003D3EC9" w:rsidRDefault="003D3EC9" w:rsidP="00997375">
      <w:r>
        <w:t>Western Australia</w:t>
      </w:r>
      <w:r w:rsidR="00050D25">
        <w:t>’</w:t>
      </w:r>
      <w:r>
        <w:t>s population is projected to grow from 3.0</w:t>
      </w:r>
      <w:r w:rsidR="00FF207F">
        <w:t> million</w:t>
      </w:r>
      <w:r>
        <w:t xml:space="preserve"> in 2023–24 to 3.</w:t>
      </w:r>
      <w:r w:rsidR="00AD1168">
        <w:t>5</w:t>
      </w:r>
      <w:r w:rsidR="00FF207F">
        <w:t> million</w:t>
      </w:r>
      <w:r>
        <w:t xml:space="preserve"> by 2034–35. Western Australia is expected to be the fastest growing state over most of the projection period, with growth falling from 2.</w:t>
      </w:r>
      <w:r w:rsidR="00512478">
        <w:t>8</w:t>
      </w:r>
      <w:r w:rsidR="00FF207F">
        <w:t> per cent</w:t>
      </w:r>
      <w:r>
        <w:t xml:space="preserve"> in 2023–24 to 2.</w:t>
      </w:r>
      <w:r w:rsidR="00512478">
        <w:t>2</w:t>
      </w:r>
      <w:r w:rsidR="00FF207F">
        <w:t> per cent</w:t>
      </w:r>
      <w:r>
        <w:t xml:space="preserve"> in 2024–25 and 1.4</w:t>
      </w:r>
      <w:r w:rsidR="00FF207F">
        <w:t> per cent</w:t>
      </w:r>
      <w:r>
        <w:t xml:space="preserve"> in 2034–35.</w:t>
      </w:r>
    </w:p>
    <w:p w14:paraId="72C6C731" w14:textId="652291B0" w:rsidR="003D3EC9" w:rsidRDefault="00E84835" w:rsidP="00997375">
      <w:r>
        <w:t>NOM</w:t>
      </w:r>
      <w:r w:rsidR="003D3EC9">
        <w:t xml:space="preserve"> is forecast to </w:t>
      </w:r>
      <w:r w:rsidR="009347B2">
        <w:t xml:space="preserve">contribute </w:t>
      </w:r>
      <w:proofErr w:type="gramStart"/>
      <w:r w:rsidR="009347B2">
        <w:t>the majority</w:t>
      </w:r>
      <w:r w:rsidR="003D3EC9">
        <w:t xml:space="preserve"> of</w:t>
      </w:r>
      <w:proofErr w:type="gramEnd"/>
      <w:r w:rsidR="003D3EC9">
        <w:t xml:space="preserve"> population growth in Western Australia over the projection period, the second highest contribution to growth from </w:t>
      </w:r>
      <w:r>
        <w:t>NOM</w:t>
      </w:r>
      <w:r w:rsidR="003D3EC9">
        <w:t xml:space="preserve"> of any state or territory. Net interstate migration is expected to decline in 2023–24 and return to be </w:t>
      </w:r>
      <w:r w:rsidR="009C1030">
        <w:t xml:space="preserve">broadly </w:t>
      </w:r>
      <w:r w:rsidR="003D3EC9">
        <w:t>neutral from 2026–27.</w:t>
      </w:r>
    </w:p>
    <w:p w14:paraId="4ED48EEC" w14:textId="32CD9659" w:rsidR="003D3EC9" w:rsidRPr="0080495D" w:rsidRDefault="003D3EC9" w:rsidP="00654915">
      <w:pPr>
        <w:pStyle w:val="ChartMainHeading"/>
      </w:pPr>
      <w:r w:rsidRPr="0080495D">
        <w:t xml:space="preserve">Population growth </w:t>
      </w:r>
      <w:r w:rsidR="007B4327">
        <w:t xml:space="preserve">in </w:t>
      </w:r>
      <w:r>
        <w:t>Western Australia</w:t>
      </w:r>
    </w:p>
    <w:p w14:paraId="4B7BD1C5" w14:textId="3194FAC3" w:rsidR="003D3EC9" w:rsidRDefault="00675229" w:rsidP="00997375">
      <w:pPr>
        <w:pStyle w:val="ChartGraphic"/>
      </w:pPr>
      <w:r w:rsidRPr="00675229">
        <w:t xml:space="preserve"> </w:t>
      </w:r>
      <w:r w:rsidR="00277D93" w:rsidRPr="00277D93">
        <w:t xml:space="preserve"> </w:t>
      </w:r>
      <w:r w:rsidR="00277D93" w:rsidRPr="00997375">
        <w:rPr>
          <w:noProof/>
        </w:rPr>
        <w:drawing>
          <wp:inline distT="0" distB="0" distL="0" distR="0" wp14:anchorId="0BDB65C6" wp14:editId="630914B1">
            <wp:extent cx="5581650" cy="2876550"/>
            <wp:effectExtent l="0" t="0" r="0" b="0"/>
            <wp:docPr id="1640680859" name="Picture 18" descr="This chart shows the population growth rate and contribution to growth by components in Western Australia. Population growth in Western Australia declined in 2020–21 following the reduction of overseas arrivals but rose sharply and peaked in 2022–23. This was the strongest contributor to growth in 2022–23 and is forecast to decline and stabilise by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0859" name="Picture 18" descr="This chart shows the population growth rate and contribution to growth by components in Western Australia. Population growth in Western Australia declined in 2020–21 following the reduction of overseas arrivals but rose sharply and peaked in 2022–23. This was the strongest contributor to growth in 2022–23 and is forecast to decline and stabilise by 2026–27.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682B4AD4" w14:textId="03513830" w:rsidR="003D3EC9" w:rsidRPr="008A444E" w:rsidRDefault="003D3EC9" w:rsidP="003D3EC9">
      <w:pPr>
        <w:pStyle w:val="Source"/>
      </w:pPr>
      <w:r w:rsidRPr="004218BD">
        <w:t xml:space="preserve">Source: </w:t>
      </w:r>
      <w:r>
        <w:tab/>
      </w:r>
      <w:r w:rsidRPr="004218BD">
        <w:t xml:space="preserve">ABS, </w:t>
      </w:r>
      <w:r w:rsidR="009155F8" w:rsidRPr="009155F8">
        <w:rPr>
          <w:i/>
        </w:rPr>
        <w:t>National, state and territory population, March 2024</w:t>
      </w:r>
      <w:r>
        <w:t>; and Centre for Population</w:t>
      </w:r>
      <w:r w:rsidRPr="004218BD">
        <w:t>.</w:t>
      </w:r>
    </w:p>
    <w:p w14:paraId="56019585" w14:textId="77777777" w:rsidR="00997375" w:rsidRDefault="00997375" w:rsidP="00997375">
      <w:pPr>
        <w:pStyle w:val="SingleParagraph"/>
      </w:pPr>
    </w:p>
    <w:p w14:paraId="5FE2A62B" w14:textId="6DA32421" w:rsidR="003D3EC9" w:rsidRDefault="003D3EC9" w:rsidP="003D3EC9">
      <w:r w:rsidRPr="00532E69">
        <w:rPr>
          <w:b/>
          <w:bCs/>
        </w:rPr>
        <w:t>Greater Perth</w:t>
      </w:r>
      <w:r w:rsidR="00050D25">
        <w:t>’</w:t>
      </w:r>
      <w:r>
        <w:t>s population is expected to be 2.4</w:t>
      </w:r>
      <w:r w:rsidR="00FF207F">
        <w:t> million</w:t>
      </w:r>
      <w:r>
        <w:t xml:space="preserve"> in 2023–24, representing 80</w:t>
      </w:r>
      <w:r w:rsidR="00FF207F">
        <w:t> per cent</w:t>
      </w:r>
      <w:r>
        <w:t xml:space="preserve"> of Western Australia</w:t>
      </w:r>
      <w:r w:rsidR="00050D25">
        <w:t>’</w:t>
      </w:r>
      <w:r>
        <w:t>s population. Population growth is forecast to fall to 3.1</w:t>
      </w:r>
      <w:r w:rsidR="00FF207F">
        <w:t> per cent</w:t>
      </w:r>
      <w:r>
        <w:t xml:space="preserve"> in 2023–24 and 2.</w:t>
      </w:r>
      <w:r w:rsidR="006F6F38">
        <w:t>4</w:t>
      </w:r>
      <w:r w:rsidR="00FF207F">
        <w:t> per cent</w:t>
      </w:r>
      <w:r>
        <w:t xml:space="preserve"> in 2024–25, declining to</w:t>
      </w:r>
      <w:r w:rsidDel="00AB4C0C">
        <w:t xml:space="preserve"> </w:t>
      </w:r>
      <w:r>
        <w:t>1.</w:t>
      </w:r>
      <w:r w:rsidR="00C938DF">
        <w:t>6</w:t>
      </w:r>
      <w:r w:rsidR="00FF207F">
        <w:t> per cent</w:t>
      </w:r>
      <w:r>
        <w:t xml:space="preserve"> by 2034–35. Perth is projected to be the fastest growing capital city over most of the projection period, with growth mainly coming from </w:t>
      </w:r>
      <w:r w:rsidR="00E84835">
        <w:t>NOM</w:t>
      </w:r>
      <w:r>
        <w:t>. Perth</w:t>
      </w:r>
      <w:r w:rsidR="00050D25">
        <w:t>’</w:t>
      </w:r>
      <w:r>
        <w:t>s population is projected to be 2.9</w:t>
      </w:r>
      <w:r w:rsidR="00FF207F">
        <w:t> million</w:t>
      </w:r>
      <w:r>
        <w:t xml:space="preserve"> in 2034–‍35. </w:t>
      </w:r>
    </w:p>
    <w:p w14:paraId="150DA2D4" w14:textId="66D0E57B" w:rsidR="003D3EC9" w:rsidRDefault="003D3EC9" w:rsidP="003D3EC9">
      <w:r>
        <w:t xml:space="preserve">The population of the </w:t>
      </w:r>
      <w:r w:rsidRPr="00532E69">
        <w:rPr>
          <w:b/>
          <w:bCs/>
        </w:rPr>
        <w:t>rest of Western Australia</w:t>
      </w:r>
      <w:r>
        <w:t xml:space="preserve"> is expected to be 582,000 in 2023–24. Population growth is forecast to fall from 1.7</w:t>
      </w:r>
      <w:r w:rsidR="00FF207F">
        <w:t> per cent</w:t>
      </w:r>
      <w:r>
        <w:t xml:space="preserve"> in 2023–24 to 1.2</w:t>
      </w:r>
      <w:r w:rsidR="00FF207F">
        <w:t> per cent</w:t>
      </w:r>
      <w:r>
        <w:t xml:space="preserve"> in 2024–25 as overseas and internal migration return to trend levels. As with many regions, </w:t>
      </w:r>
      <w:r w:rsidR="00E84835">
        <w:t>NOM</w:t>
      </w:r>
      <w:r>
        <w:t xml:space="preserve"> is projected to contribute the most to population growth. Unlike most rest</w:t>
      </w:r>
      <w:r w:rsidR="00050D25">
        <w:noBreakHyphen/>
      </w:r>
      <w:r>
        <w:t>of</w:t>
      </w:r>
      <w:r w:rsidR="00050D25">
        <w:noBreakHyphen/>
      </w:r>
      <w:r>
        <w:t>state areas, the rest of Western Australia is projected to experience net outflows of internal migrants from 2025–26. Natural increase is expected to contribute more to growth over the projection period than in most rest</w:t>
      </w:r>
      <w:r w:rsidR="00050D25">
        <w:noBreakHyphen/>
      </w:r>
      <w:r>
        <w:t>of</w:t>
      </w:r>
      <w:r w:rsidR="00050D25">
        <w:noBreakHyphen/>
      </w:r>
      <w:r>
        <w:t>state areas. The rest of Western Australia</w:t>
      </w:r>
      <w:r w:rsidR="00050D25">
        <w:t>’</w:t>
      </w:r>
      <w:r>
        <w:t>s population is projected to be 62</w:t>
      </w:r>
      <w:r w:rsidR="0083578E">
        <w:t>7</w:t>
      </w:r>
      <w:r>
        <w:t>,000 in</w:t>
      </w:r>
      <w:r w:rsidR="001339E1">
        <w:t> </w:t>
      </w:r>
      <w:r>
        <w:t>2034–35.</w:t>
      </w:r>
    </w:p>
    <w:p w14:paraId="472C6560" w14:textId="688AD6C6" w:rsidR="003D3EC9" w:rsidRPr="00D47BF1" w:rsidRDefault="003D3EC9" w:rsidP="00654915">
      <w:pPr>
        <w:pStyle w:val="ChartMainHeading"/>
      </w:pPr>
      <w:r w:rsidRPr="00D47BF1">
        <w:lastRenderedPageBreak/>
        <w:t xml:space="preserve">Population growth in </w:t>
      </w:r>
      <w:r w:rsidRPr="00926A5E">
        <w:t xml:space="preserve">Western Australia, Greater </w:t>
      </w:r>
      <w:proofErr w:type="gramStart"/>
      <w:r w:rsidRPr="00926A5E">
        <w:t>Perth</w:t>
      </w:r>
      <w:proofErr w:type="gramEnd"/>
      <w:r w:rsidRPr="00926A5E">
        <w:t xml:space="preserve"> and the rest of </w:t>
      </w:r>
      <w:r w:rsidR="00DC72A2">
        <w:t>Western</w:t>
      </w:r>
      <w:r w:rsidR="001339E1">
        <w:t> </w:t>
      </w:r>
      <w:r w:rsidR="00DC72A2">
        <w:t>Australi</w:t>
      </w:r>
      <w:r w:rsidR="00622845">
        <w:t>a</w:t>
      </w:r>
    </w:p>
    <w:p w14:paraId="0D39DCDC" w14:textId="5DE53651" w:rsidR="003D3EC9" w:rsidRDefault="00714A30" w:rsidP="00997375">
      <w:pPr>
        <w:pStyle w:val="ChartGraphic"/>
      </w:pPr>
      <w:r w:rsidRPr="00714A30">
        <w:t xml:space="preserve"> </w:t>
      </w:r>
      <w:r w:rsidRPr="00997375">
        <w:rPr>
          <w:noProof/>
        </w:rPr>
        <w:drawing>
          <wp:inline distT="0" distB="0" distL="0" distR="0" wp14:anchorId="07BB77A1" wp14:editId="313D5AB2">
            <wp:extent cx="5610225" cy="2886075"/>
            <wp:effectExtent l="0" t="0" r="0" b="0"/>
            <wp:docPr id="302139446" name="Picture 5" descr="This chart shows population growth for Perth, Western Australia, and the rest of Western Australia. Population growth in Western Australia is mainly driven by Perth, which declined in 2020–21 while it remained constant in the rest of Western Australia. Afterwards, growth in Perth recovered and peaked in 2022–23 and is forecast to decline and stabilise over the projection period. Population growth in the rest of Western Australia is forecast to peak in 2023–24 and decline following the similar trend in Pe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9446" name="Picture 5" descr="This chart shows population growth for Perth, Western Australia, and the rest of Western Australia. Population growth in Western Australia is mainly driven by Perth, which declined in 2020–21 while it remained constant in the rest of Western Australia. Afterwards, growth in Perth recovered and peaked in 2022–23 and is forecast to decline and stabilise over the projection period. Population growth in the rest of Western Australia is forecast to peak in 2023–24 and decline following the similar trend in Perth.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7FDA943F" w14:textId="300F2E1C" w:rsidR="00756BE9" w:rsidRDefault="003D3EC9" w:rsidP="003D3EC9">
      <w:pPr>
        <w:pStyle w:val="Source"/>
      </w:pPr>
      <w:r w:rsidRPr="00F67DB6">
        <w:t>Source:</w:t>
      </w:r>
      <w:r w:rsidRPr="001F0DE5">
        <w:tab/>
      </w:r>
      <w:r w:rsidRPr="00F67DB6">
        <w:t xml:space="preserve">ABS, </w:t>
      </w:r>
      <w:r w:rsidR="0035214B" w:rsidRPr="00997375">
        <w:rPr>
          <w:rStyle w:val="SubtleEmphasis"/>
        </w:rPr>
        <w:t>Regional population, 2022–23</w:t>
      </w:r>
      <w:r w:rsidRPr="00997375">
        <w:rPr>
          <w:rStyle w:val="SubtleEmphasis"/>
        </w:rPr>
        <w:t>;</w:t>
      </w:r>
      <w:r>
        <w:t xml:space="preserve"> ABS, </w:t>
      </w:r>
      <w:r w:rsidR="009155F8" w:rsidRPr="00997375">
        <w:rPr>
          <w:rStyle w:val="SubtleEmphasis"/>
        </w:rPr>
        <w:t>National, state and territory population, March 2024</w:t>
      </w:r>
      <w:r>
        <w:t>; and Centre for Population</w:t>
      </w:r>
      <w:r w:rsidRPr="00F67DB6">
        <w:t>.</w:t>
      </w:r>
    </w:p>
    <w:p w14:paraId="34A48BD6" w14:textId="77777777" w:rsidR="00756BE9" w:rsidRDefault="00756BE9" w:rsidP="00997375">
      <w:pPr>
        <w:pStyle w:val="SingleParagraph"/>
        <w:rPr>
          <w:sz w:val="18"/>
          <w:bdr w:val="none" w:sz="0" w:space="0" w:color="auto" w:frame="1"/>
        </w:rPr>
      </w:pPr>
      <w:r>
        <w:br w:type="page"/>
      </w:r>
    </w:p>
    <w:p w14:paraId="7F763B28" w14:textId="77777777" w:rsidR="003D3EC9" w:rsidRPr="0080495D" w:rsidRDefault="003D3EC9" w:rsidP="00A633E1">
      <w:pPr>
        <w:pStyle w:val="TableMainHeading"/>
      </w:pPr>
      <w:r w:rsidRPr="0080495D">
        <w:lastRenderedPageBreak/>
        <w:t xml:space="preserve">Population projections, </w:t>
      </w:r>
      <w:r w:rsidRPr="00A1737D">
        <w:t>Western Australia</w:t>
      </w:r>
    </w:p>
    <w:tbl>
      <w:tblPr>
        <w:tblW w:w="5000" w:type="pct"/>
        <w:tblLook w:val="04A0" w:firstRow="1" w:lastRow="0" w:firstColumn="1" w:lastColumn="0" w:noHBand="0" w:noVBand="1"/>
      </w:tblPr>
      <w:tblGrid>
        <w:gridCol w:w="2777"/>
        <w:gridCol w:w="1050"/>
        <w:gridCol w:w="1051"/>
        <w:gridCol w:w="1051"/>
        <w:gridCol w:w="1051"/>
        <w:gridCol w:w="1051"/>
        <w:gridCol w:w="1041"/>
      </w:tblGrid>
      <w:tr w:rsidR="003D3EC9" w:rsidRPr="006C452D" w14:paraId="0B0C4894" w14:textId="77777777" w:rsidTr="00916EF2">
        <w:trPr>
          <w:trHeight w:val="227"/>
        </w:trPr>
        <w:tc>
          <w:tcPr>
            <w:tcW w:w="1531" w:type="pct"/>
            <w:tcBorders>
              <w:top w:val="single" w:sz="4" w:space="0" w:color="auto"/>
              <w:left w:val="nil"/>
              <w:bottom w:val="single" w:sz="4" w:space="0" w:color="auto"/>
              <w:right w:val="nil"/>
            </w:tcBorders>
            <w:shd w:val="clear" w:color="auto" w:fill="auto"/>
            <w:vAlign w:val="center"/>
            <w:hideMark/>
          </w:tcPr>
          <w:p w14:paraId="75C85A8D" w14:textId="77777777" w:rsidR="003D3EC9" w:rsidRPr="006C452D" w:rsidRDefault="003D3EC9" w:rsidP="00916EF2">
            <w:pPr>
              <w:spacing w:before="0" w:after="0" w:line="240" w:lineRule="auto"/>
              <w:rPr>
                <w:rFonts w:ascii="Calibri" w:eastAsia="Times New Roman" w:hAnsi="Calibri" w:cs="Calibri"/>
                <w:color w:val="000000"/>
                <w:lang w:eastAsia="en-AU"/>
              </w:rPr>
            </w:pPr>
            <w:r w:rsidRPr="006C452D">
              <w:rPr>
                <w:rFonts w:ascii="Calibri" w:eastAsia="Times New Roman" w:hAnsi="Calibri" w:cs="Calibri"/>
                <w:color w:val="000000"/>
                <w:lang w:eastAsia="en-AU"/>
              </w:rPr>
              <w:t> </w:t>
            </w:r>
          </w:p>
        </w:tc>
        <w:tc>
          <w:tcPr>
            <w:tcW w:w="579" w:type="pct"/>
            <w:tcBorders>
              <w:top w:val="single" w:sz="4" w:space="0" w:color="auto"/>
              <w:left w:val="nil"/>
              <w:bottom w:val="single" w:sz="4" w:space="0" w:color="auto"/>
              <w:right w:val="nil"/>
            </w:tcBorders>
            <w:shd w:val="clear" w:color="auto" w:fill="auto"/>
            <w:noWrap/>
            <w:vAlign w:val="center"/>
            <w:hideMark/>
          </w:tcPr>
          <w:p w14:paraId="2246B827" w14:textId="77777777" w:rsidR="003D3EC9" w:rsidRPr="006C452D" w:rsidRDefault="003D3EC9" w:rsidP="00756BE9">
            <w:pPr>
              <w:pStyle w:val="TableColumnHeadingRight"/>
            </w:pPr>
            <w:r w:rsidRPr="006C452D">
              <w:t>2022</w:t>
            </w:r>
            <w:r>
              <w:t>–</w:t>
            </w:r>
            <w:r w:rsidRPr="006C452D">
              <w:t>23</w:t>
            </w:r>
          </w:p>
        </w:tc>
        <w:tc>
          <w:tcPr>
            <w:tcW w:w="579" w:type="pct"/>
            <w:tcBorders>
              <w:top w:val="single" w:sz="4" w:space="0" w:color="auto"/>
              <w:left w:val="nil"/>
              <w:bottom w:val="single" w:sz="4" w:space="0" w:color="auto"/>
              <w:right w:val="nil"/>
            </w:tcBorders>
            <w:shd w:val="clear" w:color="auto" w:fill="D2EDFF"/>
            <w:noWrap/>
            <w:vAlign w:val="center"/>
            <w:hideMark/>
          </w:tcPr>
          <w:p w14:paraId="0E137D6C" w14:textId="77777777" w:rsidR="003D3EC9" w:rsidRPr="006C452D" w:rsidRDefault="003D3EC9" w:rsidP="00756BE9">
            <w:pPr>
              <w:pStyle w:val="TableColumnHeadingRight"/>
            </w:pPr>
            <w:r w:rsidRPr="006C452D">
              <w:t>2023</w:t>
            </w:r>
            <w:r>
              <w:t>–</w:t>
            </w:r>
            <w:r w:rsidRPr="006C452D">
              <w:t>24</w:t>
            </w:r>
          </w:p>
        </w:tc>
        <w:tc>
          <w:tcPr>
            <w:tcW w:w="579" w:type="pct"/>
            <w:tcBorders>
              <w:top w:val="single" w:sz="4" w:space="0" w:color="auto"/>
              <w:left w:val="nil"/>
              <w:bottom w:val="single" w:sz="4" w:space="0" w:color="auto"/>
              <w:right w:val="nil"/>
            </w:tcBorders>
            <w:shd w:val="clear" w:color="auto" w:fill="auto"/>
            <w:noWrap/>
            <w:vAlign w:val="center"/>
            <w:hideMark/>
          </w:tcPr>
          <w:p w14:paraId="1CBF5621" w14:textId="77777777" w:rsidR="003D3EC9" w:rsidRPr="006C452D" w:rsidRDefault="003D3EC9" w:rsidP="00756BE9">
            <w:pPr>
              <w:pStyle w:val="TableColumnHeadingRight"/>
            </w:pPr>
            <w:r w:rsidRPr="006C452D">
              <w:t>2024</w:t>
            </w:r>
            <w:r>
              <w:t>–</w:t>
            </w:r>
            <w:r w:rsidRPr="006C452D">
              <w:t>25</w:t>
            </w:r>
          </w:p>
        </w:tc>
        <w:tc>
          <w:tcPr>
            <w:tcW w:w="579" w:type="pct"/>
            <w:tcBorders>
              <w:top w:val="single" w:sz="4" w:space="0" w:color="auto"/>
              <w:left w:val="nil"/>
              <w:bottom w:val="single" w:sz="4" w:space="0" w:color="auto"/>
              <w:right w:val="nil"/>
            </w:tcBorders>
            <w:shd w:val="clear" w:color="auto" w:fill="auto"/>
            <w:noWrap/>
            <w:vAlign w:val="center"/>
            <w:hideMark/>
          </w:tcPr>
          <w:p w14:paraId="7357E4CF" w14:textId="77777777" w:rsidR="003D3EC9" w:rsidRPr="006C452D" w:rsidRDefault="003D3EC9" w:rsidP="00756BE9">
            <w:pPr>
              <w:pStyle w:val="TableColumnHeadingRight"/>
            </w:pPr>
            <w:r w:rsidRPr="006C452D">
              <w:t>2025</w:t>
            </w:r>
            <w:r>
              <w:t>–</w:t>
            </w:r>
            <w:r w:rsidRPr="006C452D">
              <w:t>26</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0DF1DB94" w14:textId="77777777" w:rsidR="003D3EC9" w:rsidRPr="006C452D" w:rsidRDefault="003D3EC9" w:rsidP="00756BE9">
            <w:pPr>
              <w:pStyle w:val="TableColumnHeadingRight"/>
            </w:pPr>
            <w:r w:rsidRPr="006C452D">
              <w:t>2026</w:t>
            </w:r>
            <w:r>
              <w:t>–</w:t>
            </w:r>
            <w:r w:rsidRPr="006C452D">
              <w:t>27</w:t>
            </w:r>
          </w:p>
        </w:tc>
        <w:tc>
          <w:tcPr>
            <w:tcW w:w="574" w:type="pct"/>
            <w:tcBorders>
              <w:top w:val="single" w:sz="4" w:space="0" w:color="auto"/>
              <w:left w:val="nil"/>
              <w:bottom w:val="single" w:sz="4" w:space="0" w:color="auto"/>
              <w:right w:val="nil"/>
            </w:tcBorders>
            <w:shd w:val="clear" w:color="auto" w:fill="auto"/>
            <w:noWrap/>
            <w:vAlign w:val="center"/>
            <w:hideMark/>
          </w:tcPr>
          <w:p w14:paraId="12817258" w14:textId="77777777" w:rsidR="003D3EC9" w:rsidRPr="006C452D" w:rsidRDefault="003D3EC9" w:rsidP="00756BE9">
            <w:pPr>
              <w:pStyle w:val="TableColumnHeadingRight"/>
            </w:pPr>
            <w:r w:rsidRPr="006C452D">
              <w:t>2034</w:t>
            </w:r>
            <w:r>
              <w:t>–</w:t>
            </w:r>
            <w:r w:rsidRPr="006C452D">
              <w:t>35</w:t>
            </w:r>
          </w:p>
        </w:tc>
      </w:tr>
      <w:tr w:rsidR="003D3EC9" w:rsidRPr="006C452D" w14:paraId="68F2C61D" w14:textId="77777777" w:rsidTr="00916EF2">
        <w:trPr>
          <w:trHeight w:val="227"/>
        </w:trPr>
        <w:tc>
          <w:tcPr>
            <w:tcW w:w="1531" w:type="pct"/>
            <w:tcBorders>
              <w:top w:val="nil"/>
              <w:left w:val="nil"/>
              <w:bottom w:val="nil"/>
              <w:right w:val="nil"/>
            </w:tcBorders>
            <w:shd w:val="clear" w:color="auto" w:fill="auto"/>
            <w:vAlign w:val="center"/>
            <w:hideMark/>
          </w:tcPr>
          <w:p w14:paraId="7149087D" w14:textId="52A15BD2" w:rsidR="003D3EC9" w:rsidRPr="006C452D" w:rsidRDefault="003D3EC9" w:rsidP="00C75089">
            <w:pPr>
              <w:pStyle w:val="TableColumnHeadingLeft"/>
            </w:pPr>
            <w:r w:rsidRPr="006C452D">
              <w:t>Population (</w:t>
            </w:r>
            <w:r w:rsidR="00050D25">
              <w:t>‘</w:t>
            </w:r>
            <w:r w:rsidRPr="006C452D">
              <w:t>000)</w:t>
            </w:r>
          </w:p>
        </w:tc>
        <w:tc>
          <w:tcPr>
            <w:tcW w:w="579" w:type="pct"/>
            <w:tcBorders>
              <w:top w:val="nil"/>
              <w:left w:val="nil"/>
              <w:bottom w:val="nil"/>
              <w:right w:val="nil"/>
            </w:tcBorders>
            <w:shd w:val="clear" w:color="auto" w:fill="auto"/>
            <w:vAlign w:val="center"/>
            <w:hideMark/>
          </w:tcPr>
          <w:p w14:paraId="19D7A27E"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008171A7" w14:textId="751D6067"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00F1B7CA"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542462A0"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12E879D7" w14:textId="100F1DF7"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7B96F2EF" w14:textId="77777777" w:rsidR="003D3EC9" w:rsidRPr="006C452D" w:rsidRDefault="003D3EC9" w:rsidP="00756BE9">
            <w:pPr>
              <w:pStyle w:val="TableTextRight"/>
              <w:rPr>
                <w:lang w:eastAsia="en-AU"/>
              </w:rPr>
            </w:pPr>
          </w:p>
        </w:tc>
      </w:tr>
      <w:tr w:rsidR="003D3EC9" w:rsidRPr="006C452D" w14:paraId="7BB3D2D3" w14:textId="77777777" w:rsidTr="00916EF2">
        <w:trPr>
          <w:trHeight w:val="227"/>
        </w:trPr>
        <w:tc>
          <w:tcPr>
            <w:tcW w:w="1531" w:type="pct"/>
            <w:tcBorders>
              <w:top w:val="nil"/>
              <w:left w:val="nil"/>
              <w:bottom w:val="nil"/>
              <w:right w:val="nil"/>
            </w:tcBorders>
            <w:shd w:val="clear" w:color="auto" w:fill="auto"/>
            <w:vAlign w:val="center"/>
            <w:hideMark/>
          </w:tcPr>
          <w:p w14:paraId="44A73A26"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5E6EA80F" w14:textId="37855941" w:rsidR="003D3EC9" w:rsidRPr="006C452D" w:rsidRDefault="003D3EC9" w:rsidP="00756BE9">
            <w:pPr>
              <w:pStyle w:val="TableTextRight"/>
              <w:rPr>
                <w:lang w:eastAsia="en-AU"/>
              </w:rPr>
            </w:pPr>
            <w:r>
              <w:rPr>
                <w:rFonts w:ascii="Calibri" w:hAnsi="Calibri" w:cs="Calibri"/>
              </w:rPr>
              <w:t>2,884</w:t>
            </w:r>
          </w:p>
        </w:tc>
        <w:tc>
          <w:tcPr>
            <w:tcW w:w="579" w:type="pct"/>
            <w:tcBorders>
              <w:top w:val="nil"/>
              <w:left w:val="nil"/>
              <w:bottom w:val="nil"/>
              <w:right w:val="nil"/>
            </w:tcBorders>
            <w:shd w:val="clear" w:color="auto" w:fill="D2EDFF"/>
            <w:vAlign w:val="center"/>
            <w:hideMark/>
          </w:tcPr>
          <w:p w14:paraId="563222A3" w14:textId="3CA6905B" w:rsidR="003D3EC9" w:rsidRPr="006C452D" w:rsidRDefault="003D3EC9" w:rsidP="00756BE9">
            <w:pPr>
              <w:pStyle w:val="TableTextRight"/>
              <w:rPr>
                <w:lang w:eastAsia="en-AU"/>
              </w:rPr>
            </w:pPr>
            <w:r>
              <w:rPr>
                <w:rFonts w:ascii="Calibri" w:hAnsi="Calibri" w:cs="Calibri"/>
              </w:rPr>
              <w:t>2,966</w:t>
            </w:r>
          </w:p>
        </w:tc>
        <w:tc>
          <w:tcPr>
            <w:tcW w:w="579" w:type="pct"/>
            <w:tcBorders>
              <w:top w:val="nil"/>
              <w:left w:val="nil"/>
              <w:bottom w:val="nil"/>
              <w:right w:val="nil"/>
            </w:tcBorders>
            <w:shd w:val="clear" w:color="auto" w:fill="auto"/>
            <w:vAlign w:val="center"/>
            <w:hideMark/>
          </w:tcPr>
          <w:p w14:paraId="5C67A33A" w14:textId="5D8C2672" w:rsidR="003D3EC9" w:rsidRPr="006C452D" w:rsidRDefault="003D3EC9" w:rsidP="00756BE9">
            <w:pPr>
              <w:pStyle w:val="TableTextRight"/>
              <w:rPr>
                <w:lang w:eastAsia="en-AU"/>
              </w:rPr>
            </w:pPr>
            <w:r>
              <w:rPr>
                <w:rFonts w:ascii="Calibri" w:hAnsi="Calibri" w:cs="Calibri"/>
              </w:rPr>
              <w:t>3,</w:t>
            </w:r>
            <w:r w:rsidR="004368C9">
              <w:rPr>
                <w:rFonts w:ascii="Calibri" w:hAnsi="Calibri" w:cs="Calibri"/>
              </w:rPr>
              <w:t>030</w:t>
            </w:r>
          </w:p>
        </w:tc>
        <w:tc>
          <w:tcPr>
            <w:tcW w:w="579" w:type="pct"/>
            <w:tcBorders>
              <w:top w:val="nil"/>
              <w:left w:val="nil"/>
              <w:bottom w:val="nil"/>
              <w:right w:val="nil"/>
            </w:tcBorders>
            <w:shd w:val="clear" w:color="auto" w:fill="auto"/>
            <w:vAlign w:val="center"/>
            <w:hideMark/>
          </w:tcPr>
          <w:p w14:paraId="0EEDC403" w14:textId="51D09F36" w:rsidR="003D3EC9" w:rsidRPr="006C452D" w:rsidRDefault="003D3EC9" w:rsidP="00756BE9">
            <w:pPr>
              <w:pStyle w:val="TableTextRight"/>
              <w:rPr>
                <w:lang w:eastAsia="en-AU"/>
              </w:rPr>
            </w:pPr>
            <w:r>
              <w:rPr>
                <w:rFonts w:ascii="Calibri" w:hAnsi="Calibri" w:cs="Calibri"/>
              </w:rPr>
              <w:t>3,</w:t>
            </w:r>
            <w:r w:rsidR="00C85B8F">
              <w:rPr>
                <w:rFonts w:ascii="Calibri" w:hAnsi="Calibri" w:cs="Calibri"/>
              </w:rPr>
              <w:t>079</w:t>
            </w:r>
          </w:p>
        </w:tc>
        <w:tc>
          <w:tcPr>
            <w:tcW w:w="579" w:type="pct"/>
            <w:tcBorders>
              <w:top w:val="nil"/>
              <w:left w:val="nil"/>
              <w:bottom w:val="nil"/>
              <w:right w:val="single" w:sz="4" w:space="0" w:color="auto"/>
            </w:tcBorders>
            <w:shd w:val="clear" w:color="auto" w:fill="auto"/>
            <w:vAlign w:val="center"/>
            <w:hideMark/>
          </w:tcPr>
          <w:p w14:paraId="528555B2" w14:textId="532B4C06" w:rsidR="003D3EC9" w:rsidRPr="006C452D" w:rsidRDefault="003D3EC9" w:rsidP="00756BE9">
            <w:pPr>
              <w:pStyle w:val="TableTextRight"/>
              <w:rPr>
                <w:lang w:eastAsia="en-AU"/>
              </w:rPr>
            </w:pPr>
            <w:r>
              <w:rPr>
                <w:rFonts w:ascii="Calibri" w:hAnsi="Calibri" w:cs="Calibri"/>
              </w:rPr>
              <w:t>3,</w:t>
            </w:r>
            <w:r w:rsidR="004368C9">
              <w:rPr>
                <w:rFonts w:ascii="Calibri" w:hAnsi="Calibri" w:cs="Calibri"/>
              </w:rPr>
              <w:t>123</w:t>
            </w:r>
          </w:p>
        </w:tc>
        <w:tc>
          <w:tcPr>
            <w:tcW w:w="574" w:type="pct"/>
            <w:tcBorders>
              <w:top w:val="nil"/>
              <w:left w:val="nil"/>
              <w:bottom w:val="nil"/>
              <w:right w:val="nil"/>
            </w:tcBorders>
            <w:shd w:val="clear" w:color="auto" w:fill="auto"/>
            <w:vAlign w:val="center"/>
            <w:hideMark/>
          </w:tcPr>
          <w:p w14:paraId="603566C1" w14:textId="43352935" w:rsidR="003D3EC9" w:rsidRPr="006C452D" w:rsidRDefault="003D3EC9" w:rsidP="00756BE9">
            <w:pPr>
              <w:pStyle w:val="TableTextRight"/>
              <w:rPr>
                <w:lang w:eastAsia="en-AU"/>
              </w:rPr>
            </w:pPr>
            <w:r>
              <w:rPr>
                <w:rFonts w:ascii="Calibri" w:hAnsi="Calibri" w:cs="Calibri"/>
              </w:rPr>
              <w:t>3,</w:t>
            </w:r>
            <w:r w:rsidR="00C85B8F">
              <w:rPr>
                <w:rFonts w:ascii="Calibri" w:hAnsi="Calibri" w:cs="Calibri"/>
              </w:rPr>
              <w:t>500</w:t>
            </w:r>
          </w:p>
        </w:tc>
      </w:tr>
      <w:tr w:rsidR="003D3EC9" w:rsidRPr="006C452D" w14:paraId="3E703A11" w14:textId="77777777" w:rsidTr="00916EF2">
        <w:trPr>
          <w:trHeight w:val="227"/>
        </w:trPr>
        <w:tc>
          <w:tcPr>
            <w:tcW w:w="1531" w:type="pct"/>
            <w:tcBorders>
              <w:top w:val="nil"/>
              <w:left w:val="nil"/>
              <w:bottom w:val="nil"/>
              <w:right w:val="nil"/>
            </w:tcBorders>
            <w:shd w:val="clear" w:color="auto" w:fill="auto"/>
            <w:vAlign w:val="center"/>
            <w:hideMark/>
          </w:tcPr>
          <w:p w14:paraId="3CABEB41"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2A6CE72B" w14:textId="6FC722FD" w:rsidR="003D3EC9" w:rsidRPr="006C452D" w:rsidRDefault="003D3EC9" w:rsidP="00756BE9">
            <w:pPr>
              <w:pStyle w:val="TableTextRight"/>
              <w:rPr>
                <w:lang w:eastAsia="en-AU"/>
              </w:rPr>
            </w:pPr>
            <w:r>
              <w:rPr>
                <w:rFonts w:ascii="Calibri" w:hAnsi="Calibri" w:cs="Calibri"/>
              </w:rPr>
              <w:t>2,309</w:t>
            </w:r>
          </w:p>
        </w:tc>
        <w:tc>
          <w:tcPr>
            <w:tcW w:w="579" w:type="pct"/>
            <w:tcBorders>
              <w:top w:val="nil"/>
              <w:left w:val="nil"/>
              <w:bottom w:val="nil"/>
              <w:right w:val="nil"/>
            </w:tcBorders>
            <w:shd w:val="clear" w:color="auto" w:fill="D2EDFF"/>
            <w:vAlign w:val="center"/>
            <w:hideMark/>
          </w:tcPr>
          <w:p w14:paraId="2EED2C32" w14:textId="5E51AD7D" w:rsidR="003D3EC9" w:rsidRPr="006C452D" w:rsidRDefault="003D3EC9" w:rsidP="00756BE9">
            <w:pPr>
              <w:pStyle w:val="TableTextRight"/>
              <w:rPr>
                <w:lang w:eastAsia="en-AU"/>
              </w:rPr>
            </w:pPr>
            <w:r>
              <w:rPr>
                <w:rFonts w:ascii="Calibri" w:hAnsi="Calibri" w:cs="Calibri"/>
              </w:rPr>
              <w:t>2,384</w:t>
            </w:r>
          </w:p>
        </w:tc>
        <w:tc>
          <w:tcPr>
            <w:tcW w:w="579" w:type="pct"/>
            <w:tcBorders>
              <w:top w:val="nil"/>
              <w:left w:val="nil"/>
              <w:bottom w:val="nil"/>
              <w:right w:val="nil"/>
            </w:tcBorders>
            <w:shd w:val="clear" w:color="auto" w:fill="auto"/>
            <w:vAlign w:val="center"/>
            <w:hideMark/>
          </w:tcPr>
          <w:p w14:paraId="5BC55041" w14:textId="3ABB8ED4" w:rsidR="003D3EC9" w:rsidRPr="006C452D" w:rsidRDefault="003D3EC9" w:rsidP="00756BE9">
            <w:pPr>
              <w:pStyle w:val="TableTextRight"/>
              <w:rPr>
                <w:lang w:eastAsia="en-AU"/>
              </w:rPr>
            </w:pPr>
            <w:r>
              <w:rPr>
                <w:rFonts w:ascii="Calibri" w:hAnsi="Calibri" w:cs="Calibri"/>
              </w:rPr>
              <w:t>2,</w:t>
            </w:r>
            <w:r w:rsidR="004368C9">
              <w:rPr>
                <w:rFonts w:ascii="Calibri" w:hAnsi="Calibri" w:cs="Calibri"/>
              </w:rPr>
              <w:t>441</w:t>
            </w:r>
          </w:p>
        </w:tc>
        <w:tc>
          <w:tcPr>
            <w:tcW w:w="579" w:type="pct"/>
            <w:tcBorders>
              <w:top w:val="nil"/>
              <w:left w:val="nil"/>
              <w:bottom w:val="nil"/>
              <w:right w:val="nil"/>
            </w:tcBorders>
            <w:shd w:val="clear" w:color="auto" w:fill="auto"/>
            <w:vAlign w:val="center"/>
            <w:hideMark/>
          </w:tcPr>
          <w:p w14:paraId="3BA4C281" w14:textId="5AD4C94E" w:rsidR="003D3EC9" w:rsidRPr="006C452D" w:rsidRDefault="003D3EC9" w:rsidP="00756BE9">
            <w:pPr>
              <w:pStyle w:val="TableTextRight"/>
              <w:rPr>
                <w:lang w:eastAsia="en-AU"/>
              </w:rPr>
            </w:pPr>
            <w:r>
              <w:rPr>
                <w:rFonts w:ascii="Calibri" w:hAnsi="Calibri" w:cs="Calibri"/>
              </w:rPr>
              <w:t>2,</w:t>
            </w:r>
            <w:r w:rsidR="00C85B8F">
              <w:rPr>
                <w:rFonts w:ascii="Calibri" w:hAnsi="Calibri" w:cs="Calibri"/>
              </w:rPr>
              <w:t>486</w:t>
            </w:r>
          </w:p>
        </w:tc>
        <w:tc>
          <w:tcPr>
            <w:tcW w:w="579" w:type="pct"/>
            <w:tcBorders>
              <w:top w:val="nil"/>
              <w:left w:val="nil"/>
              <w:bottom w:val="nil"/>
              <w:right w:val="single" w:sz="4" w:space="0" w:color="auto"/>
            </w:tcBorders>
            <w:shd w:val="clear" w:color="auto" w:fill="auto"/>
            <w:vAlign w:val="center"/>
            <w:hideMark/>
          </w:tcPr>
          <w:p w14:paraId="3AC69020" w14:textId="77B9E579" w:rsidR="003D3EC9" w:rsidRPr="006C452D" w:rsidRDefault="003D3EC9" w:rsidP="00756BE9">
            <w:pPr>
              <w:pStyle w:val="TableTextRight"/>
              <w:rPr>
                <w:lang w:eastAsia="en-AU"/>
              </w:rPr>
            </w:pPr>
            <w:r>
              <w:rPr>
                <w:rFonts w:ascii="Calibri" w:hAnsi="Calibri" w:cs="Calibri"/>
              </w:rPr>
              <w:t>2,</w:t>
            </w:r>
            <w:r w:rsidR="00C85B8F">
              <w:rPr>
                <w:rFonts w:ascii="Calibri" w:hAnsi="Calibri" w:cs="Calibri"/>
              </w:rPr>
              <w:t>526</w:t>
            </w:r>
          </w:p>
        </w:tc>
        <w:tc>
          <w:tcPr>
            <w:tcW w:w="574" w:type="pct"/>
            <w:tcBorders>
              <w:top w:val="nil"/>
              <w:left w:val="nil"/>
              <w:bottom w:val="nil"/>
              <w:right w:val="nil"/>
            </w:tcBorders>
            <w:shd w:val="clear" w:color="auto" w:fill="auto"/>
            <w:vAlign w:val="center"/>
            <w:hideMark/>
          </w:tcPr>
          <w:p w14:paraId="6E93FD7B" w14:textId="2E9F3BC7" w:rsidR="003D3EC9" w:rsidRPr="006C452D" w:rsidRDefault="003D3EC9" w:rsidP="00756BE9">
            <w:pPr>
              <w:pStyle w:val="TableTextRight"/>
              <w:rPr>
                <w:lang w:eastAsia="en-AU"/>
              </w:rPr>
            </w:pPr>
            <w:r>
              <w:rPr>
                <w:rFonts w:ascii="Calibri" w:hAnsi="Calibri" w:cs="Calibri"/>
              </w:rPr>
              <w:t>2,</w:t>
            </w:r>
            <w:r w:rsidR="00C85B8F">
              <w:rPr>
                <w:rFonts w:ascii="Calibri" w:hAnsi="Calibri" w:cs="Calibri"/>
              </w:rPr>
              <w:t>873</w:t>
            </w:r>
          </w:p>
        </w:tc>
      </w:tr>
      <w:tr w:rsidR="003D3EC9" w:rsidRPr="006C452D" w14:paraId="72671290" w14:textId="77777777" w:rsidTr="00916EF2">
        <w:trPr>
          <w:trHeight w:val="227"/>
        </w:trPr>
        <w:tc>
          <w:tcPr>
            <w:tcW w:w="1531" w:type="pct"/>
            <w:tcBorders>
              <w:top w:val="nil"/>
              <w:left w:val="nil"/>
              <w:bottom w:val="nil"/>
              <w:right w:val="nil"/>
            </w:tcBorders>
            <w:shd w:val="clear" w:color="auto" w:fill="auto"/>
            <w:vAlign w:val="center"/>
            <w:hideMark/>
          </w:tcPr>
          <w:p w14:paraId="727064AE"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nil"/>
              <w:right w:val="nil"/>
            </w:tcBorders>
            <w:shd w:val="clear" w:color="auto" w:fill="auto"/>
            <w:vAlign w:val="center"/>
            <w:hideMark/>
          </w:tcPr>
          <w:p w14:paraId="5CD3647D" w14:textId="350BCBED" w:rsidR="003D3EC9" w:rsidRPr="006C452D" w:rsidRDefault="003D3EC9" w:rsidP="00756BE9">
            <w:pPr>
              <w:pStyle w:val="TableTextRight"/>
              <w:rPr>
                <w:lang w:eastAsia="en-AU"/>
              </w:rPr>
            </w:pPr>
            <w:r>
              <w:rPr>
                <w:rFonts w:ascii="Calibri" w:hAnsi="Calibri" w:cs="Calibri"/>
              </w:rPr>
              <w:t>572</w:t>
            </w:r>
          </w:p>
        </w:tc>
        <w:tc>
          <w:tcPr>
            <w:tcW w:w="579" w:type="pct"/>
            <w:tcBorders>
              <w:top w:val="nil"/>
              <w:left w:val="nil"/>
              <w:bottom w:val="nil"/>
              <w:right w:val="nil"/>
            </w:tcBorders>
            <w:shd w:val="clear" w:color="auto" w:fill="D2EDFF"/>
            <w:vAlign w:val="center"/>
            <w:hideMark/>
          </w:tcPr>
          <w:p w14:paraId="34C30439" w14:textId="118076CE" w:rsidR="003D3EC9" w:rsidRPr="006C452D" w:rsidRDefault="003D3EC9" w:rsidP="00756BE9">
            <w:pPr>
              <w:pStyle w:val="TableTextRight"/>
              <w:rPr>
                <w:lang w:eastAsia="en-AU"/>
              </w:rPr>
            </w:pPr>
            <w:r>
              <w:rPr>
                <w:rFonts w:ascii="Calibri" w:hAnsi="Calibri" w:cs="Calibri"/>
              </w:rPr>
              <w:t>582</w:t>
            </w:r>
          </w:p>
        </w:tc>
        <w:tc>
          <w:tcPr>
            <w:tcW w:w="579" w:type="pct"/>
            <w:tcBorders>
              <w:top w:val="nil"/>
              <w:left w:val="nil"/>
              <w:bottom w:val="nil"/>
              <w:right w:val="nil"/>
            </w:tcBorders>
            <w:shd w:val="clear" w:color="auto" w:fill="auto"/>
            <w:vAlign w:val="center"/>
            <w:hideMark/>
          </w:tcPr>
          <w:p w14:paraId="3885DF5E" w14:textId="68E39DEF" w:rsidR="003D3EC9" w:rsidRPr="006C452D" w:rsidRDefault="003D3EC9" w:rsidP="00756BE9">
            <w:pPr>
              <w:pStyle w:val="TableTextRight"/>
              <w:rPr>
                <w:lang w:eastAsia="en-AU"/>
              </w:rPr>
            </w:pPr>
            <w:r>
              <w:rPr>
                <w:rFonts w:ascii="Calibri" w:hAnsi="Calibri" w:cs="Calibri"/>
              </w:rPr>
              <w:t>589</w:t>
            </w:r>
          </w:p>
        </w:tc>
        <w:tc>
          <w:tcPr>
            <w:tcW w:w="579" w:type="pct"/>
            <w:tcBorders>
              <w:top w:val="nil"/>
              <w:left w:val="nil"/>
              <w:bottom w:val="nil"/>
              <w:right w:val="nil"/>
            </w:tcBorders>
            <w:shd w:val="clear" w:color="auto" w:fill="auto"/>
            <w:vAlign w:val="center"/>
            <w:hideMark/>
          </w:tcPr>
          <w:p w14:paraId="02D6D8C4" w14:textId="287A8791" w:rsidR="003D3EC9" w:rsidRPr="006C452D" w:rsidRDefault="003D3EC9" w:rsidP="00756BE9">
            <w:pPr>
              <w:pStyle w:val="TableTextRight"/>
              <w:rPr>
                <w:lang w:eastAsia="en-AU"/>
              </w:rPr>
            </w:pPr>
            <w:r>
              <w:rPr>
                <w:rFonts w:ascii="Calibri" w:hAnsi="Calibri" w:cs="Calibri"/>
              </w:rPr>
              <w:t>593</w:t>
            </w:r>
          </w:p>
        </w:tc>
        <w:tc>
          <w:tcPr>
            <w:tcW w:w="579" w:type="pct"/>
            <w:tcBorders>
              <w:top w:val="nil"/>
              <w:left w:val="nil"/>
              <w:bottom w:val="nil"/>
              <w:right w:val="single" w:sz="4" w:space="0" w:color="auto"/>
            </w:tcBorders>
            <w:shd w:val="clear" w:color="auto" w:fill="auto"/>
            <w:vAlign w:val="center"/>
            <w:hideMark/>
          </w:tcPr>
          <w:p w14:paraId="074692DA" w14:textId="6D598D84" w:rsidR="003D3EC9" w:rsidRPr="006C452D" w:rsidRDefault="003D3EC9" w:rsidP="00756BE9">
            <w:pPr>
              <w:pStyle w:val="TableTextRight"/>
              <w:rPr>
                <w:lang w:eastAsia="en-AU"/>
              </w:rPr>
            </w:pPr>
            <w:r>
              <w:rPr>
                <w:rFonts w:ascii="Calibri" w:hAnsi="Calibri" w:cs="Calibri"/>
              </w:rPr>
              <w:t>596</w:t>
            </w:r>
          </w:p>
        </w:tc>
        <w:tc>
          <w:tcPr>
            <w:tcW w:w="574" w:type="pct"/>
            <w:tcBorders>
              <w:top w:val="nil"/>
              <w:left w:val="nil"/>
              <w:bottom w:val="nil"/>
              <w:right w:val="nil"/>
            </w:tcBorders>
            <w:shd w:val="clear" w:color="auto" w:fill="auto"/>
            <w:vAlign w:val="center"/>
            <w:hideMark/>
          </w:tcPr>
          <w:p w14:paraId="397C58CA" w14:textId="4057F998" w:rsidR="003D3EC9" w:rsidRPr="006C452D" w:rsidRDefault="004368C9" w:rsidP="00756BE9">
            <w:pPr>
              <w:pStyle w:val="TableTextRight"/>
              <w:rPr>
                <w:lang w:eastAsia="en-AU"/>
              </w:rPr>
            </w:pPr>
            <w:r>
              <w:rPr>
                <w:rFonts w:ascii="Calibri" w:hAnsi="Calibri" w:cs="Calibri"/>
              </w:rPr>
              <w:t>627</w:t>
            </w:r>
          </w:p>
        </w:tc>
      </w:tr>
      <w:tr w:rsidR="003D3EC9" w:rsidRPr="006C452D" w14:paraId="0C2C4072" w14:textId="77777777" w:rsidTr="00916EF2">
        <w:trPr>
          <w:trHeight w:val="227"/>
        </w:trPr>
        <w:tc>
          <w:tcPr>
            <w:tcW w:w="1531" w:type="pct"/>
            <w:tcBorders>
              <w:top w:val="nil"/>
              <w:left w:val="nil"/>
              <w:bottom w:val="nil"/>
              <w:right w:val="nil"/>
            </w:tcBorders>
            <w:shd w:val="clear" w:color="auto" w:fill="auto"/>
            <w:vAlign w:val="center"/>
            <w:hideMark/>
          </w:tcPr>
          <w:p w14:paraId="77402362" w14:textId="77777777" w:rsidR="003D3EC9" w:rsidRPr="006C452D" w:rsidRDefault="003D3EC9" w:rsidP="00C75089">
            <w:pPr>
              <w:pStyle w:val="TableColumnHeadingLeft"/>
            </w:pPr>
            <w:r w:rsidRPr="006C452D">
              <w:t>Population growth (per cent)</w:t>
            </w:r>
          </w:p>
        </w:tc>
        <w:tc>
          <w:tcPr>
            <w:tcW w:w="579" w:type="pct"/>
            <w:tcBorders>
              <w:top w:val="nil"/>
              <w:left w:val="nil"/>
              <w:bottom w:val="nil"/>
              <w:right w:val="nil"/>
            </w:tcBorders>
            <w:shd w:val="clear" w:color="auto" w:fill="auto"/>
            <w:vAlign w:val="center"/>
            <w:hideMark/>
          </w:tcPr>
          <w:p w14:paraId="729A5737"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2610D97C" w14:textId="7940CF26"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6F74314D"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57944D35"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6F62DC5E" w14:textId="0E95D396"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3EACF47D" w14:textId="77777777" w:rsidR="003D3EC9" w:rsidRPr="006C452D" w:rsidRDefault="003D3EC9" w:rsidP="00756BE9">
            <w:pPr>
              <w:pStyle w:val="TableTextRight"/>
              <w:rPr>
                <w:lang w:eastAsia="en-AU"/>
              </w:rPr>
            </w:pPr>
          </w:p>
        </w:tc>
      </w:tr>
      <w:tr w:rsidR="003D3EC9" w:rsidRPr="006C452D" w14:paraId="3041D223" w14:textId="77777777" w:rsidTr="00916EF2">
        <w:trPr>
          <w:trHeight w:val="227"/>
        </w:trPr>
        <w:tc>
          <w:tcPr>
            <w:tcW w:w="1531" w:type="pct"/>
            <w:tcBorders>
              <w:top w:val="nil"/>
              <w:left w:val="nil"/>
              <w:bottom w:val="nil"/>
              <w:right w:val="nil"/>
            </w:tcBorders>
            <w:shd w:val="clear" w:color="auto" w:fill="auto"/>
            <w:vAlign w:val="center"/>
            <w:hideMark/>
          </w:tcPr>
          <w:p w14:paraId="18B11182"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5BF975A0" w14:textId="7BC46AFF" w:rsidR="003D3EC9" w:rsidRPr="006C452D" w:rsidRDefault="003D3EC9" w:rsidP="00756BE9">
            <w:pPr>
              <w:pStyle w:val="TableTextRight"/>
              <w:rPr>
                <w:lang w:eastAsia="en-AU"/>
              </w:rPr>
            </w:pPr>
            <w:r>
              <w:rPr>
                <w:rFonts w:ascii="Calibri" w:hAnsi="Calibri" w:cs="Calibri"/>
              </w:rPr>
              <w:t>3.3</w:t>
            </w:r>
          </w:p>
        </w:tc>
        <w:tc>
          <w:tcPr>
            <w:tcW w:w="579" w:type="pct"/>
            <w:tcBorders>
              <w:top w:val="nil"/>
              <w:left w:val="nil"/>
              <w:bottom w:val="nil"/>
              <w:right w:val="nil"/>
            </w:tcBorders>
            <w:shd w:val="clear" w:color="auto" w:fill="D2EDFF"/>
            <w:vAlign w:val="center"/>
            <w:hideMark/>
          </w:tcPr>
          <w:p w14:paraId="0C226D52" w14:textId="542A3357" w:rsidR="003D3EC9" w:rsidRPr="006C452D" w:rsidRDefault="003D3EC9" w:rsidP="00756BE9">
            <w:pPr>
              <w:pStyle w:val="TableTextRight"/>
              <w:rPr>
                <w:lang w:eastAsia="en-AU"/>
              </w:rPr>
            </w:pPr>
            <w:r>
              <w:rPr>
                <w:rFonts w:ascii="Calibri" w:hAnsi="Calibri" w:cs="Calibri"/>
              </w:rPr>
              <w:t>2.</w:t>
            </w:r>
            <w:r w:rsidR="004368C9">
              <w:rPr>
                <w:rFonts w:ascii="Calibri" w:hAnsi="Calibri" w:cs="Calibri"/>
              </w:rPr>
              <w:t>8</w:t>
            </w:r>
          </w:p>
        </w:tc>
        <w:tc>
          <w:tcPr>
            <w:tcW w:w="579" w:type="pct"/>
            <w:tcBorders>
              <w:top w:val="nil"/>
              <w:left w:val="nil"/>
              <w:bottom w:val="nil"/>
              <w:right w:val="nil"/>
            </w:tcBorders>
            <w:shd w:val="clear" w:color="auto" w:fill="auto"/>
            <w:vAlign w:val="center"/>
            <w:hideMark/>
          </w:tcPr>
          <w:p w14:paraId="1FC88F60" w14:textId="019F67C5" w:rsidR="003D3EC9" w:rsidRPr="006C452D" w:rsidRDefault="003D3EC9" w:rsidP="00756BE9">
            <w:pPr>
              <w:pStyle w:val="TableTextRight"/>
              <w:rPr>
                <w:lang w:eastAsia="en-AU"/>
              </w:rPr>
            </w:pPr>
            <w:r>
              <w:rPr>
                <w:rFonts w:ascii="Calibri" w:hAnsi="Calibri" w:cs="Calibri"/>
              </w:rPr>
              <w:t>2.</w:t>
            </w:r>
            <w:r w:rsidR="004368C9">
              <w:rPr>
                <w:rFonts w:ascii="Calibri" w:hAnsi="Calibri" w:cs="Calibri"/>
              </w:rPr>
              <w:t>2</w:t>
            </w:r>
          </w:p>
        </w:tc>
        <w:tc>
          <w:tcPr>
            <w:tcW w:w="579" w:type="pct"/>
            <w:tcBorders>
              <w:top w:val="nil"/>
              <w:left w:val="nil"/>
              <w:bottom w:val="nil"/>
              <w:right w:val="nil"/>
            </w:tcBorders>
            <w:shd w:val="clear" w:color="auto" w:fill="auto"/>
            <w:vAlign w:val="center"/>
            <w:hideMark/>
          </w:tcPr>
          <w:p w14:paraId="6C310C45" w14:textId="51969716" w:rsidR="003D3EC9" w:rsidRPr="006C452D" w:rsidRDefault="003D3EC9" w:rsidP="00756BE9">
            <w:pPr>
              <w:pStyle w:val="TableTextRight"/>
              <w:rPr>
                <w:lang w:eastAsia="en-AU"/>
              </w:rPr>
            </w:pPr>
            <w:r>
              <w:rPr>
                <w:rFonts w:ascii="Calibri" w:hAnsi="Calibri" w:cs="Calibri"/>
              </w:rPr>
              <w:t>1.6</w:t>
            </w:r>
          </w:p>
        </w:tc>
        <w:tc>
          <w:tcPr>
            <w:tcW w:w="579" w:type="pct"/>
            <w:tcBorders>
              <w:top w:val="nil"/>
              <w:left w:val="nil"/>
              <w:bottom w:val="nil"/>
              <w:right w:val="single" w:sz="4" w:space="0" w:color="auto"/>
            </w:tcBorders>
            <w:shd w:val="clear" w:color="auto" w:fill="auto"/>
            <w:vAlign w:val="center"/>
            <w:hideMark/>
          </w:tcPr>
          <w:p w14:paraId="30B0AE53" w14:textId="41C809DB" w:rsidR="003D3EC9" w:rsidRPr="006C452D" w:rsidRDefault="003D3EC9" w:rsidP="00756BE9">
            <w:pPr>
              <w:pStyle w:val="TableTextRight"/>
              <w:rPr>
                <w:lang w:eastAsia="en-AU"/>
              </w:rPr>
            </w:pPr>
            <w:r>
              <w:rPr>
                <w:rFonts w:ascii="Calibri" w:hAnsi="Calibri" w:cs="Calibri"/>
              </w:rPr>
              <w:t>1.4</w:t>
            </w:r>
          </w:p>
        </w:tc>
        <w:tc>
          <w:tcPr>
            <w:tcW w:w="574" w:type="pct"/>
            <w:tcBorders>
              <w:top w:val="nil"/>
              <w:left w:val="nil"/>
              <w:bottom w:val="nil"/>
              <w:right w:val="nil"/>
            </w:tcBorders>
            <w:shd w:val="clear" w:color="auto" w:fill="auto"/>
            <w:vAlign w:val="center"/>
            <w:hideMark/>
          </w:tcPr>
          <w:p w14:paraId="051C785A" w14:textId="797D9793" w:rsidR="003D3EC9" w:rsidRPr="006C452D" w:rsidRDefault="003D3EC9" w:rsidP="00756BE9">
            <w:pPr>
              <w:pStyle w:val="TableTextRight"/>
              <w:rPr>
                <w:lang w:eastAsia="en-AU"/>
              </w:rPr>
            </w:pPr>
            <w:r>
              <w:rPr>
                <w:rFonts w:ascii="Calibri" w:hAnsi="Calibri" w:cs="Calibri"/>
              </w:rPr>
              <w:t>1.4</w:t>
            </w:r>
          </w:p>
        </w:tc>
      </w:tr>
      <w:tr w:rsidR="003D3EC9" w:rsidRPr="006C452D" w14:paraId="5BDE2B35" w14:textId="77777777" w:rsidTr="00916EF2">
        <w:trPr>
          <w:trHeight w:val="227"/>
        </w:trPr>
        <w:tc>
          <w:tcPr>
            <w:tcW w:w="1531" w:type="pct"/>
            <w:tcBorders>
              <w:top w:val="nil"/>
              <w:left w:val="nil"/>
              <w:bottom w:val="nil"/>
              <w:right w:val="nil"/>
            </w:tcBorders>
            <w:shd w:val="clear" w:color="auto" w:fill="auto"/>
            <w:vAlign w:val="center"/>
            <w:hideMark/>
          </w:tcPr>
          <w:p w14:paraId="68276074"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49AC36E1" w14:textId="0959BA5B" w:rsidR="003D3EC9" w:rsidRPr="006C452D" w:rsidRDefault="003D3EC9" w:rsidP="00756BE9">
            <w:pPr>
              <w:pStyle w:val="TableTextRight"/>
              <w:rPr>
                <w:lang w:eastAsia="en-AU"/>
              </w:rPr>
            </w:pPr>
            <w:r>
              <w:rPr>
                <w:rFonts w:ascii="Calibri" w:hAnsi="Calibri" w:cs="Calibri"/>
              </w:rPr>
              <w:t>3.6</w:t>
            </w:r>
          </w:p>
        </w:tc>
        <w:tc>
          <w:tcPr>
            <w:tcW w:w="579" w:type="pct"/>
            <w:tcBorders>
              <w:top w:val="nil"/>
              <w:left w:val="nil"/>
              <w:bottom w:val="nil"/>
              <w:right w:val="nil"/>
            </w:tcBorders>
            <w:shd w:val="clear" w:color="auto" w:fill="D2EDFF"/>
            <w:vAlign w:val="center"/>
            <w:hideMark/>
          </w:tcPr>
          <w:p w14:paraId="6EC22F6D" w14:textId="38817995" w:rsidR="003D3EC9" w:rsidRPr="006C452D" w:rsidRDefault="003D3EC9" w:rsidP="00756BE9">
            <w:pPr>
              <w:pStyle w:val="TableTextRight"/>
              <w:rPr>
                <w:lang w:eastAsia="en-AU"/>
              </w:rPr>
            </w:pPr>
            <w:r>
              <w:rPr>
                <w:rFonts w:ascii="Calibri" w:hAnsi="Calibri" w:cs="Calibri"/>
              </w:rPr>
              <w:t>3.1</w:t>
            </w:r>
          </w:p>
        </w:tc>
        <w:tc>
          <w:tcPr>
            <w:tcW w:w="579" w:type="pct"/>
            <w:tcBorders>
              <w:top w:val="nil"/>
              <w:left w:val="nil"/>
              <w:bottom w:val="nil"/>
              <w:right w:val="nil"/>
            </w:tcBorders>
            <w:shd w:val="clear" w:color="auto" w:fill="auto"/>
            <w:vAlign w:val="center"/>
            <w:hideMark/>
          </w:tcPr>
          <w:p w14:paraId="2AA252B3" w14:textId="4F388BEE" w:rsidR="003D3EC9" w:rsidRPr="006C452D" w:rsidRDefault="003D3EC9" w:rsidP="00756BE9">
            <w:pPr>
              <w:pStyle w:val="TableTextRight"/>
              <w:rPr>
                <w:lang w:eastAsia="en-AU"/>
              </w:rPr>
            </w:pPr>
            <w:r>
              <w:rPr>
                <w:rFonts w:ascii="Calibri" w:hAnsi="Calibri" w:cs="Calibri"/>
              </w:rPr>
              <w:t>2.</w:t>
            </w:r>
            <w:r w:rsidR="004368C9">
              <w:rPr>
                <w:rFonts w:ascii="Calibri" w:hAnsi="Calibri" w:cs="Calibri"/>
              </w:rPr>
              <w:t>4</w:t>
            </w:r>
          </w:p>
        </w:tc>
        <w:tc>
          <w:tcPr>
            <w:tcW w:w="579" w:type="pct"/>
            <w:tcBorders>
              <w:top w:val="nil"/>
              <w:left w:val="nil"/>
              <w:bottom w:val="nil"/>
              <w:right w:val="nil"/>
            </w:tcBorders>
            <w:shd w:val="clear" w:color="auto" w:fill="auto"/>
            <w:vAlign w:val="center"/>
            <w:hideMark/>
          </w:tcPr>
          <w:p w14:paraId="304B584C" w14:textId="398A90BF" w:rsidR="003D3EC9" w:rsidRPr="006C452D" w:rsidRDefault="003D3EC9" w:rsidP="00756BE9">
            <w:pPr>
              <w:pStyle w:val="TableTextRight"/>
              <w:rPr>
                <w:lang w:eastAsia="en-AU"/>
              </w:rPr>
            </w:pPr>
            <w:r>
              <w:rPr>
                <w:rFonts w:ascii="Calibri" w:hAnsi="Calibri" w:cs="Calibri"/>
              </w:rPr>
              <w:t>1.</w:t>
            </w:r>
            <w:r w:rsidR="00C85B8F">
              <w:rPr>
                <w:rFonts w:ascii="Calibri" w:hAnsi="Calibri" w:cs="Calibri"/>
              </w:rPr>
              <w:t>8</w:t>
            </w:r>
          </w:p>
        </w:tc>
        <w:tc>
          <w:tcPr>
            <w:tcW w:w="579" w:type="pct"/>
            <w:tcBorders>
              <w:top w:val="nil"/>
              <w:left w:val="nil"/>
              <w:bottom w:val="nil"/>
              <w:right w:val="single" w:sz="4" w:space="0" w:color="auto"/>
            </w:tcBorders>
            <w:shd w:val="clear" w:color="auto" w:fill="auto"/>
            <w:vAlign w:val="center"/>
            <w:hideMark/>
          </w:tcPr>
          <w:p w14:paraId="55872916" w14:textId="1D04D6EB" w:rsidR="003D3EC9" w:rsidRPr="006C452D" w:rsidRDefault="003D3EC9" w:rsidP="00756BE9">
            <w:pPr>
              <w:pStyle w:val="TableTextRight"/>
              <w:rPr>
                <w:lang w:eastAsia="en-AU"/>
              </w:rPr>
            </w:pPr>
            <w:r>
              <w:rPr>
                <w:rFonts w:ascii="Calibri" w:hAnsi="Calibri" w:cs="Calibri"/>
              </w:rPr>
              <w:t>1.6</w:t>
            </w:r>
          </w:p>
        </w:tc>
        <w:tc>
          <w:tcPr>
            <w:tcW w:w="574" w:type="pct"/>
            <w:tcBorders>
              <w:top w:val="nil"/>
              <w:left w:val="nil"/>
              <w:bottom w:val="nil"/>
              <w:right w:val="nil"/>
            </w:tcBorders>
            <w:shd w:val="clear" w:color="auto" w:fill="auto"/>
            <w:vAlign w:val="center"/>
            <w:hideMark/>
          </w:tcPr>
          <w:p w14:paraId="3D4003CA" w14:textId="6EA66506" w:rsidR="003D3EC9" w:rsidRPr="006C452D" w:rsidRDefault="003D3EC9" w:rsidP="00756BE9">
            <w:pPr>
              <w:pStyle w:val="TableTextRight"/>
              <w:rPr>
                <w:lang w:eastAsia="en-AU"/>
              </w:rPr>
            </w:pPr>
            <w:r>
              <w:rPr>
                <w:rFonts w:ascii="Calibri" w:hAnsi="Calibri" w:cs="Calibri"/>
              </w:rPr>
              <w:t>1.</w:t>
            </w:r>
            <w:r w:rsidR="004368C9">
              <w:rPr>
                <w:rFonts w:ascii="Calibri" w:hAnsi="Calibri" w:cs="Calibri"/>
              </w:rPr>
              <w:t>6</w:t>
            </w:r>
          </w:p>
        </w:tc>
      </w:tr>
      <w:tr w:rsidR="003D3EC9" w:rsidRPr="006C452D" w14:paraId="7516F1B1" w14:textId="77777777" w:rsidTr="00916EF2">
        <w:trPr>
          <w:trHeight w:val="227"/>
        </w:trPr>
        <w:tc>
          <w:tcPr>
            <w:tcW w:w="1531" w:type="pct"/>
            <w:tcBorders>
              <w:top w:val="nil"/>
              <w:left w:val="nil"/>
              <w:bottom w:val="nil"/>
              <w:right w:val="nil"/>
            </w:tcBorders>
            <w:shd w:val="clear" w:color="auto" w:fill="auto"/>
            <w:vAlign w:val="center"/>
            <w:hideMark/>
          </w:tcPr>
          <w:p w14:paraId="752C6D63"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nil"/>
              <w:right w:val="nil"/>
            </w:tcBorders>
            <w:shd w:val="clear" w:color="auto" w:fill="auto"/>
            <w:vAlign w:val="center"/>
            <w:hideMark/>
          </w:tcPr>
          <w:p w14:paraId="446D66B3" w14:textId="7FCACC56" w:rsidR="003D3EC9" w:rsidRPr="006C452D" w:rsidRDefault="003D3EC9" w:rsidP="00756BE9">
            <w:pPr>
              <w:pStyle w:val="TableTextRight"/>
              <w:rPr>
                <w:lang w:eastAsia="en-AU"/>
              </w:rPr>
            </w:pPr>
            <w:r>
              <w:rPr>
                <w:rFonts w:ascii="Calibri" w:hAnsi="Calibri" w:cs="Calibri"/>
              </w:rPr>
              <w:t>1.4</w:t>
            </w:r>
          </w:p>
        </w:tc>
        <w:tc>
          <w:tcPr>
            <w:tcW w:w="579" w:type="pct"/>
            <w:tcBorders>
              <w:top w:val="nil"/>
              <w:left w:val="nil"/>
              <w:bottom w:val="nil"/>
              <w:right w:val="nil"/>
            </w:tcBorders>
            <w:shd w:val="clear" w:color="auto" w:fill="D2EDFF"/>
            <w:vAlign w:val="center"/>
            <w:hideMark/>
          </w:tcPr>
          <w:p w14:paraId="3409C50F" w14:textId="3B0AC932" w:rsidR="003D3EC9" w:rsidRPr="006C452D" w:rsidRDefault="003D3EC9" w:rsidP="00756BE9">
            <w:pPr>
              <w:pStyle w:val="TableTextRight"/>
              <w:rPr>
                <w:lang w:eastAsia="en-AU"/>
              </w:rPr>
            </w:pPr>
            <w:r>
              <w:rPr>
                <w:rFonts w:ascii="Calibri" w:hAnsi="Calibri" w:cs="Calibri"/>
              </w:rPr>
              <w:t>1.7</w:t>
            </w:r>
          </w:p>
        </w:tc>
        <w:tc>
          <w:tcPr>
            <w:tcW w:w="579" w:type="pct"/>
            <w:tcBorders>
              <w:top w:val="nil"/>
              <w:left w:val="nil"/>
              <w:bottom w:val="nil"/>
              <w:right w:val="nil"/>
            </w:tcBorders>
            <w:shd w:val="clear" w:color="auto" w:fill="auto"/>
            <w:vAlign w:val="center"/>
            <w:hideMark/>
          </w:tcPr>
          <w:p w14:paraId="75D996BB" w14:textId="21999C49" w:rsidR="003D3EC9" w:rsidRPr="006C452D" w:rsidRDefault="003D3EC9" w:rsidP="00756BE9">
            <w:pPr>
              <w:pStyle w:val="TableTextRight"/>
              <w:rPr>
                <w:lang w:eastAsia="en-AU"/>
              </w:rPr>
            </w:pPr>
            <w:r>
              <w:rPr>
                <w:rFonts w:ascii="Calibri" w:hAnsi="Calibri" w:cs="Calibri"/>
              </w:rPr>
              <w:t>1.2</w:t>
            </w:r>
          </w:p>
        </w:tc>
        <w:tc>
          <w:tcPr>
            <w:tcW w:w="579" w:type="pct"/>
            <w:tcBorders>
              <w:top w:val="nil"/>
              <w:left w:val="nil"/>
              <w:bottom w:val="nil"/>
              <w:right w:val="nil"/>
            </w:tcBorders>
            <w:shd w:val="clear" w:color="auto" w:fill="auto"/>
            <w:vAlign w:val="center"/>
            <w:hideMark/>
          </w:tcPr>
          <w:p w14:paraId="37786C4F" w14:textId="676C0233" w:rsidR="003D3EC9" w:rsidRPr="006C452D" w:rsidRDefault="003D3EC9" w:rsidP="00756BE9">
            <w:pPr>
              <w:pStyle w:val="TableTextRight"/>
              <w:rPr>
                <w:lang w:eastAsia="en-AU"/>
              </w:rPr>
            </w:pPr>
            <w:r>
              <w:rPr>
                <w:rFonts w:ascii="Calibri" w:hAnsi="Calibri" w:cs="Calibri"/>
              </w:rPr>
              <w:t>0.7</w:t>
            </w:r>
          </w:p>
        </w:tc>
        <w:tc>
          <w:tcPr>
            <w:tcW w:w="579" w:type="pct"/>
            <w:tcBorders>
              <w:top w:val="nil"/>
              <w:left w:val="nil"/>
              <w:bottom w:val="nil"/>
              <w:right w:val="single" w:sz="4" w:space="0" w:color="auto"/>
            </w:tcBorders>
            <w:shd w:val="clear" w:color="auto" w:fill="auto"/>
            <w:vAlign w:val="center"/>
            <w:hideMark/>
          </w:tcPr>
          <w:p w14:paraId="21DFED97" w14:textId="600A0349" w:rsidR="003D3EC9" w:rsidRPr="006C452D" w:rsidRDefault="003D3EC9" w:rsidP="00756BE9">
            <w:pPr>
              <w:pStyle w:val="TableTextRight"/>
              <w:rPr>
                <w:lang w:eastAsia="en-AU"/>
              </w:rPr>
            </w:pPr>
            <w:r>
              <w:rPr>
                <w:rFonts w:ascii="Calibri" w:hAnsi="Calibri" w:cs="Calibri"/>
              </w:rPr>
              <w:t>0.5</w:t>
            </w:r>
          </w:p>
        </w:tc>
        <w:tc>
          <w:tcPr>
            <w:tcW w:w="574" w:type="pct"/>
            <w:tcBorders>
              <w:top w:val="nil"/>
              <w:left w:val="nil"/>
              <w:bottom w:val="nil"/>
              <w:right w:val="nil"/>
            </w:tcBorders>
            <w:shd w:val="clear" w:color="auto" w:fill="auto"/>
            <w:vAlign w:val="center"/>
            <w:hideMark/>
          </w:tcPr>
          <w:p w14:paraId="26AA79FF" w14:textId="338677ED" w:rsidR="003D3EC9" w:rsidRPr="006C452D" w:rsidRDefault="003D3EC9" w:rsidP="00756BE9">
            <w:pPr>
              <w:pStyle w:val="TableTextRight"/>
              <w:rPr>
                <w:lang w:eastAsia="en-AU"/>
              </w:rPr>
            </w:pPr>
            <w:r>
              <w:rPr>
                <w:rFonts w:ascii="Calibri" w:hAnsi="Calibri" w:cs="Calibri"/>
              </w:rPr>
              <w:t>0.7</w:t>
            </w:r>
          </w:p>
        </w:tc>
      </w:tr>
      <w:tr w:rsidR="003D3EC9" w:rsidRPr="006C452D" w14:paraId="0536FC1D" w14:textId="77777777" w:rsidTr="00916EF2">
        <w:trPr>
          <w:trHeight w:val="227"/>
        </w:trPr>
        <w:tc>
          <w:tcPr>
            <w:tcW w:w="1531" w:type="pct"/>
            <w:tcBorders>
              <w:top w:val="nil"/>
              <w:left w:val="nil"/>
              <w:bottom w:val="nil"/>
              <w:right w:val="nil"/>
            </w:tcBorders>
            <w:shd w:val="clear" w:color="auto" w:fill="auto"/>
            <w:vAlign w:val="center"/>
            <w:hideMark/>
          </w:tcPr>
          <w:p w14:paraId="0C430D23" w14:textId="7533F547" w:rsidR="003D3EC9" w:rsidRPr="006C452D" w:rsidRDefault="003D3EC9" w:rsidP="00C75089">
            <w:pPr>
              <w:pStyle w:val="TableColumnHeadingLeft"/>
            </w:pPr>
            <w:r w:rsidRPr="006C452D">
              <w:t>Population growth (</w:t>
            </w:r>
            <w:r w:rsidR="00050D25">
              <w:t>‘</w:t>
            </w:r>
            <w:r w:rsidRPr="006C452D">
              <w:t>000)</w:t>
            </w:r>
          </w:p>
        </w:tc>
        <w:tc>
          <w:tcPr>
            <w:tcW w:w="579" w:type="pct"/>
            <w:tcBorders>
              <w:top w:val="nil"/>
              <w:left w:val="nil"/>
              <w:bottom w:val="nil"/>
              <w:right w:val="nil"/>
            </w:tcBorders>
            <w:shd w:val="clear" w:color="auto" w:fill="auto"/>
            <w:vAlign w:val="center"/>
            <w:hideMark/>
          </w:tcPr>
          <w:p w14:paraId="035BB8AF"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70C8B131" w14:textId="7AFE138B"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5E4297AA"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3BC14021"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7FC616FD" w14:textId="6FA4FC52"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6D6CE26A" w14:textId="77777777" w:rsidR="003D3EC9" w:rsidRPr="006C452D" w:rsidRDefault="003D3EC9" w:rsidP="00756BE9">
            <w:pPr>
              <w:pStyle w:val="TableTextRight"/>
              <w:rPr>
                <w:lang w:eastAsia="en-AU"/>
              </w:rPr>
            </w:pPr>
          </w:p>
        </w:tc>
      </w:tr>
      <w:tr w:rsidR="003D3EC9" w:rsidRPr="006C452D" w14:paraId="0847C16E" w14:textId="77777777" w:rsidTr="00916EF2">
        <w:trPr>
          <w:trHeight w:val="227"/>
        </w:trPr>
        <w:tc>
          <w:tcPr>
            <w:tcW w:w="1531" w:type="pct"/>
            <w:tcBorders>
              <w:top w:val="nil"/>
              <w:left w:val="nil"/>
              <w:bottom w:val="nil"/>
              <w:right w:val="nil"/>
            </w:tcBorders>
            <w:shd w:val="clear" w:color="auto" w:fill="auto"/>
            <w:vAlign w:val="center"/>
            <w:hideMark/>
          </w:tcPr>
          <w:p w14:paraId="2972A4E6"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2E2CE685" w14:textId="475774DB" w:rsidR="003D3EC9" w:rsidRPr="006C452D" w:rsidRDefault="003D3EC9" w:rsidP="00756BE9">
            <w:pPr>
              <w:pStyle w:val="TableTextRight"/>
              <w:rPr>
                <w:lang w:eastAsia="en-AU"/>
              </w:rPr>
            </w:pPr>
            <w:r>
              <w:rPr>
                <w:rFonts w:ascii="Calibri" w:hAnsi="Calibri" w:cs="Calibri"/>
              </w:rPr>
              <w:t>91.9</w:t>
            </w:r>
          </w:p>
        </w:tc>
        <w:tc>
          <w:tcPr>
            <w:tcW w:w="579" w:type="pct"/>
            <w:tcBorders>
              <w:top w:val="nil"/>
              <w:left w:val="nil"/>
              <w:bottom w:val="nil"/>
              <w:right w:val="nil"/>
            </w:tcBorders>
            <w:shd w:val="clear" w:color="auto" w:fill="D2EDFF"/>
            <w:vAlign w:val="center"/>
            <w:hideMark/>
          </w:tcPr>
          <w:p w14:paraId="0B94436D" w14:textId="68C0CCB4" w:rsidR="003D3EC9" w:rsidRPr="006C452D" w:rsidRDefault="003D3EC9" w:rsidP="00756BE9">
            <w:pPr>
              <w:pStyle w:val="TableTextRight"/>
              <w:rPr>
                <w:lang w:eastAsia="en-AU"/>
              </w:rPr>
            </w:pPr>
            <w:r>
              <w:rPr>
                <w:rFonts w:ascii="Calibri" w:hAnsi="Calibri" w:cs="Calibri"/>
              </w:rPr>
              <w:t>82.</w:t>
            </w:r>
            <w:r w:rsidR="004368C9">
              <w:rPr>
                <w:rFonts w:ascii="Calibri" w:hAnsi="Calibri" w:cs="Calibri"/>
              </w:rPr>
              <w:t>0</w:t>
            </w:r>
          </w:p>
        </w:tc>
        <w:tc>
          <w:tcPr>
            <w:tcW w:w="579" w:type="pct"/>
            <w:tcBorders>
              <w:top w:val="nil"/>
              <w:left w:val="nil"/>
              <w:bottom w:val="nil"/>
              <w:right w:val="nil"/>
            </w:tcBorders>
            <w:shd w:val="clear" w:color="auto" w:fill="auto"/>
            <w:vAlign w:val="center"/>
            <w:hideMark/>
          </w:tcPr>
          <w:p w14:paraId="51EB6E89" w14:textId="5A38C225" w:rsidR="003D3EC9" w:rsidRPr="006C452D" w:rsidRDefault="004368C9" w:rsidP="00756BE9">
            <w:pPr>
              <w:pStyle w:val="TableTextRight"/>
              <w:rPr>
                <w:lang w:eastAsia="en-AU"/>
              </w:rPr>
            </w:pPr>
            <w:r>
              <w:rPr>
                <w:rFonts w:ascii="Calibri" w:hAnsi="Calibri" w:cs="Calibri"/>
              </w:rPr>
              <w:t>64.</w:t>
            </w:r>
            <w:r w:rsidR="00C85B8F">
              <w:rPr>
                <w:rFonts w:ascii="Calibri" w:hAnsi="Calibri" w:cs="Calibri"/>
              </w:rPr>
              <w:t>3</w:t>
            </w:r>
          </w:p>
        </w:tc>
        <w:tc>
          <w:tcPr>
            <w:tcW w:w="579" w:type="pct"/>
            <w:tcBorders>
              <w:top w:val="nil"/>
              <w:left w:val="nil"/>
              <w:bottom w:val="nil"/>
              <w:right w:val="nil"/>
            </w:tcBorders>
            <w:shd w:val="clear" w:color="auto" w:fill="auto"/>
            <w:vAlign w:val="center"/>
            <w:hideMark/>
          </w:tcPr>
          <w:p w14:paraId="4FFC519D" w14:textId="26E22697" w:rsidR="003D3EC9" w:rsidRPr="006C452D" w:rsidRDefault="004368C9" w:rsidP="00756BE9">
            <w:pPr>
              <w:pStyle w:val="TableTextRight"/>
              <w:rPr>
                <w:lang w:eastAsia="en-AU"/>
              </w:rPr>
            </w:pPr>
            <w:r>
              <w:rPr>
                <w:rFonts w:ascii="Calibri" w:hAnsi="Calibri" w:cs="Calibri"/>
              </w:rPr>
              <w:t>49.</w:t>
            </w:r>
            <w:r w:rsidR="00C85B8F">
              <w:rPr>
                <w:rFonts w:ascii="Calibri" w:hAnsi="Calibri" w:cs="Calibri"/>
              </w:rPr>
              <w:t>4</w:t>
            </w:r>
          </w:p>
        </w:tc>
        <w:tc>
          <w:tcPr>
            <w:tcW w:w="579" w:type="pct"/>
            <w:tcBorders>
              <w:top w:val="nil"/>
              <w:left w:val="nil"/>
              <w:bottom w:val="nil"/>
              <w:right w:val="single" w:sz="4" w:space="0" w:color="auto"/>
            </w:tcBorders>
            <w:shd w:val="clear" w:color="auto" w:fill="auto"/>
            <w:vAlign w:val="center"/>
            <w:hideMark/>
          </w:tcPr>
          <w:p w14:paraId="1DD3D7B1" w14:textId="5B9D11F2" w:rsidR="003D3EC9" w:rsidRPr="006C452D" w:rsidRDefault="003D3EC9" w:rsidP="00756BE9">
            <w:pPr>
              <w:pStyle w:val="TableTextRight"/>
              <w:rPr>
                <w:lang w:eastAsia="en-AU"/>
              </w:rPr>
            </w:pPr>
            <w:r>
              <w:rPr>
                <w:rFonts w:ascii="Calibri" w:hAnsi="Calibri" w:cs="Calibri"/>
              </w:rPr>
              <w:t>43.</w:t>
            </w:r>
            <w:r w:rsidR="004368C9">
              <w:rPr>
                <w:rFonts w:ascii="Calibri" w:hAnsi="Calibri" w:cs="Calibri"/>
              </w:rPr>
              <w:t>1</w:t>
            </w:r>
          </w:p>
        </w:tc>
        <w:tc>
          <w:tcPr>
            <w:tcW w:w="574" w:type="pct"/>
            <w:tcBorders>
              <w:top w:val="nil"/>
              <w:left w:val="nil"/>
              <w:bottom w:val="nil"/>
              <w:right w:val="nil"/>
            </w:tcBorders>
            <w:shd w:val="clear" w:color="auto" w:fill="auto"/>
            <w:vAlign w:val="center"/>
            <w:hideMark/>
          </w:tcPr>
          <w:p w14:paraId="63066B1A" w14:textId="4DE7DC46" w:rsidR="003D3EC9" w:rsidRPr="006C452D" w:rsidRDefault="004368C9" w:rsidP="00756BE9">
            <w:pPr>
              <w:pStyle w:val="TableTextRight"/>
              <w:rPr>
                <w:lang w:eastAsia="en-AU"/>
              </w:rPr>
            </w:pPr>
            <w:r>
              <w:rPr>
                <w:rFonts w:ascii="Calibri" w:hAnsi="Calibri" w:cs="Calibri"/>
              </w:rPr>
              <w:t>48.</w:t>
            </w:r>
            <w:r w:rsidR="00C85B8F">
              <w:rPr>
                <w:rFonts w:ascii="Calibri" w:hAnsi="Calibri" w:cs="Calibri"/>
              </w:rPr>
              <w:t>1</w:t>
            </w:r>
          </w:p>
        </w:tc>
      </w:tr>
      <w:tr w:rsidR="003D3EC9" w:rsidRPr="006C452D" w14:paraId="1134E785" w14:textId="77777777" w:rsidTr="00916EF2">
        <w:trPr>
          <w:trHeight w:val="227"/>
        </w:trPr>
        <w:tc>
          <w:tcPr>
            <w:tcW w:w="1531" w:type="pct"/>
            <w:tcBorders>
              <w:top w:val="nil"/>
              <w:left w:val="nil"/>
              <w:bottom w:val="nil"/>
              <w:right w:val="nil"/>
            </w:tcBorders>
            <w:shd w:val="clear" w:color="auto" w:fill="auto"/>
            <w:vAlign w:val="center"/>
            <w:hideMark/>
          </w:tcPr>
          <w:p w14:paraId="43D44B8A"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4262B7E9" w14:textId="158F4603" w:rsidR="003D3EC9" w:rsidRPr="006C452D" w:rsidRDefault="003D3EC9" w:rsidP="00756BE9">
            <w:pPr>
              <w:pStyle w:val="TableTextRight"/>
              <w:rPr>
                <w:lang w:eastAsia="en-AU"/>
              </w:rPr>
            </w:pPr>
            <w:r>
              <w:rPr>
                <w:rFonts w:ascii="Calibri" w:hAnsi="Calibri" w:cs="Calibri"/>
              </w:rPr>
              <w:t>81.3</w:t>
            </w:r>
          </w:p>
        </w:tc>
        <w:tc>
          <w:tcPr>
            <w:tcW w:w="579" w:type="pct"/>
            <w:tcBorders>
              <w:top w:val="nil"/>
              <w:left w:val="nil"/>
              <w:bottom w:val="nil"/>
              <w:right w:val="nil"/>
            </w:tcBorders>
            <w:shd w:val="clear" w:color="auto" w:fill="D2EDFF"/>
            <w:vAlign w:val="center"/>
            <w:hideMark/>
          </w:tcPr>
          <w:p w14:paraId="60364A1F" w14:textId="2D6518ED" w:rsidR="003D3EC9" w:rsidRPr="006C452D" w:rsidRDefault="003D3EC9" w:rsidP="00756BE9">
            <w:pPr>
              <w:pStyle w:val="TableTextRight"/>
              <w:rPr>
                <w:lang w:eastAsia="en-AU"/>
              </w:rPr>
            </w:pPr>
            <w:r>
              <w:rPr>
                <w:rFonts w:ascii="Calibri" w:hAnsi="Calibri" w:cs="Calibri"/>
              </w:rPr>
              <w:t>72.</w:t>
            </w:r>
            <w:r w:rsidR="004368C9">
              <w:rPr>
                <w:rFonts w:ascii="Calibri" w:hAnsi="Calibri" w:cs="Calibri"/>
              </w:rPr>
              <w:t>4</w:t>
            </w:r>
          </w:p>
        </w:tc>
        <w:tc>
          <w:tcPr>
            <w:tcW w:w="579" w:type="pct"/>
            <w:tcBorders>
              <w:top w:val="nil"/>
              <w:left w:val="nil"/>
              <w:bottom w:val="nil"/>
              <w:right w:val="nil"/>
            </w:tcBorders>
            <w:shd w:val="clear" w:color="auto" w:fill="auto"/>
            <w:vAlign w:val="center"/>
            <w:hideMark/>
          </w:tcPr>
          <w:p w14:paraId="1DC6775B" w14:textId="7A46E1B8" w:rsidR="003D3EC9" w:rsidRPr="006C452D" w:rsidRDefault="004368C9" w:rsidP="00756BE9">
            <w:pPr>
              <w:pStyle w:val="TableTextRight"/>
              <w:rPr>
                <w:lang w:eastAsia="en-AU"/>
              </w:rPr>
            </w:pPr>
            <w:r>
              <w:rPr>
                <w:rFonts w:ascii="Calibri" w:hAnsi="Calibri" w:cs="Calibri"/>
              </w:rPr>
              <w:t>57.</w:t>
            </w:r>
            <w:r w:rsidR="00C85B8F">
              <w:rPr>
                <w:rFonts w:ascii="Calibri" w:hAnsi="Calibri" w:cs="Calibri"/>
              </w:rPr>
              <w:t>4</w:t>
            </w:r>
          </w:p>
        </w:tc>
        <w:tc>
          <w:tcPr>
            <w:tcW w:w="579" w:type="pct"/>
            <w:tcBorders>
              <w:top w:val="nil"/>
              <w:left w:val="nil"/>
              <w:bottom w:val="nil"/>
              <w:right w:val="nil"/>
            </w:tcBorders>
            <w:shd w:val="clear" w:color="auto" w:fill="auto"/>
            <w:vAlign w:val="center"/>
            <w:hideMark/>
          </w:tcPr>
          <w:p w14:paraId="61DDADB5" w14:textId="30AFCD25" w:rsidR="003D3EC9" w:rsidRPr="006C452D" w:rsidRDefault="004368C9" w:rsidP="00756BE9">
            <w:pPr>
              <w:pStyle w:val="TableTextRight"/>
              <w:rPr>
                <w:lang w:eastAsia="en-AU"/>
              </w:rPr>
            </w:pPr>
            <w:r>
              <w:rPr>
                <w:rFonts w:ascii="Calibri" w:hAnsi="Calibri" w:cs="Calibri"/>
              </w:rPr>
              <w:t>45.</w:t>
            </w:r>
            <w:r w:rsidR="00C85B8F">
              <w:rPr>
                <w:rFonts w:ascii="Calibri" w:hAnsi="Calibri" w:cs="Calibri"/>
              </w:rPr>
              <w:t>1</w:t>
            </w:r>
          </w:p>
        </w:tc>
        <w:tc>
          <w:tcPr>
            <w:tcW w:w="579" w:type="pct"/>
            <w:tcBorders>
              <w:top w:val="nil"/>
              <w:left w:val="nil"/>
              <w:bottom w:val="nil"/>
              <w:right w:val="single" w:sz="4" w:space="0" w:color="auto"/>
            </w:tcBorders>
            <w:shd w:val="clear" w:color="auto" w:fill="auto"/>
            <w:vAlign w:val="center"/>
            <w:hideMark/>
          </w:tcPr>
          <w:p w14:paraId="105DD5D1" w14:textId="0B449E2E" w:rsidR="003D3EC9" w:rsidRPr="006C452D" w:rsidRDefault="003D3EC9" w:rsidP="00756BE9">
            <w:pPr>
              <w:pStyle w:val="TableTextRight"/>
              <w:rPr>
                <w:lang w:eastAsia="en-AU"/>
              </w:rPr>
            </w:pPr>
            <w:r>
              <w:rPr>
                <w:rFonts w:ascii="Calibri" w:hAnsi="Calibri" w:cs="Calibri"/>
              </w:rPr>
              <w:t>40.</w:t>
            </w:r>
            <w:r w:rsidR="004368C9">
              <w:rPr>
                <w:rFonts w:ascii="Calibri" w:hAnsi="Calibri" w:cs="Calibri"/>
              </w:rPr>
              <w:t>2</w:t>
            </w:r>
          </w:p>
        </w:tc>
        <w:tc>
          <w:tcPr>
            <w:tcW w:w="574" w:type="pct"/>
            <w:tcBorders>
              <w:top w:val="nil"/>
              <w:left w:val="nil"/>
              <w:bottom w:val="nil"/>
              <w:right w:val="nil"/>
            </w:tcBorders>
            <w:shd w:val="clear" w:color="auto" w:fill="auto"/>
            <w:vAlign w:val="center"/>
            <w:hideMark/>
          </w:tcPr>
          <w:p w14:paraId="7AE07D54" w14:textId="71C2727D" w:rsidR="003D3EC9" w:rsidRPr="006C452D" w:rsidRDefault="003D3EC9" w:rsidP="00756BE9">
            <w:pPr>
              <w:pStyle w:val="TableTextRight"/>
              <w:rPr>
                <w:lang w:eastAsia="en-AU"/>
              </w:rPr>
            </w:pPr>
            <w:r>
              <w:rPr>
                <w:rFonts w:ascii="Calibri" w:hAnsi="Calibri" w:cs="Calibri"/>
              </w:rPr>
              <w:t>43.</w:t>
            </w:r>
            <w:r w:rsidR="004368C9">
              <w:rPr>
                <w:rFonts w:ascii="Calibri" w:hAnsi="Calibri" w:cs="Calibri"/>
              </w:rPr>
              <w:t>9</w:t>
            </w:r>
          </w:p>
        </w:tc>
      </w:tr>
      <w:tr w:rsidR="003D3EC9" w:rsidRPr="006C452D" w14:paraId="69E4E671"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35A2914A"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single" w:sz="4" w:space="0" w:color="auto"/>
              <w:right w:val="nil"/>
            </w:tcBorders>
            <w:shd w:val="clear" w:color="auto" w:fill="auto"/>
            <w:vAlign w:val="center"/>
            <w:hideMark/>
          </w:tcPr>
          <w:p w14:paraId="38AC91A9" w14:textId="737676CC" w:rsidR="003D3EC9" w:rsidRPr="006C452D" w:rsidRDefault="003D3EC9" w:rsidP="00756BE9">
            <w:pPr>
              <w:pStyle w:val="TableTextRight"/>
              <w:rPr>
                <w:lang w:eastAsia="en-AU"/>
              </w:rPr>
            </w:pPr>
            <w:r>
              <w:rPr>
                <w:rFonts w:ascii="Calibri" w:hAnsi="Calibri" w:cs="Calibri"/>
              </w:rPr>
              <w:t>8.1</w:t>
            </w:r>
          </w:p>
        </w:tc>
        <w:tc>
          <w:tcPr>
            <w:tcW w:w="579" w:type="pct"/>
            <w:tcBorders>
              <w:top w:val="nil"/>
              <w:left w:val="nil"/>
              <w:bottom w:val="single" w:sz="4" w:space="0" w:color="auto"/>
              <w:right w:val="nil"/>
            </w:tcBorders>
            <w:shd w:val="clear" w:color="auto" w:fill="D2EDFF"/>
            <w:vAlign w:val="center"/>
            <w:hideMark/>
          </w:tcPr>
          <w:p w14:paraId="4F5CC8B3" w14:textId="0E897089" w:rsidR="003D3EC9" w:rsidRPr="006C452D" w:rsidRDefault="003D3EC9" w:rsidP="00756BE9">
            <w:pPr>
              <w:pStyle w:val="TableTextRight"/>
              <w:rPr>
                <w:lang w:eastAsia="en-AU"/>
              </w:rPr>
            </w:pPr>
            <w:r>
              <w:rPr>
                <w:rFonts w:ascii="Calibri" w:hAnsi="Calibri" w:cs="Calibri"/>
              </w:rPr>
              <w:t>9.6</w:t>
            </w:r>
          </w:p>
        </w:tc>
        <w:tc>
          <w:tcPr>
            <w:tcW w:w="579" w:type="pct"/>
            <w:tcBorders>
              <w:top w:val="nil"/>
              <w:left w:val="nil"/>
              <w:bottom w:val="single" w:sz="4" w:space="0" w:color="auto"/>
              <w:right w:val="nil"/>
            </w:tcBorders>
            <w:shd w:val="clear" w:color="auto" w:fill="auto"/>
            <w:vAlign w:val="center"/>
            <w:hideMark/>
          </w:tcPr>
          <w:p w14:paraId="358C5FBB" w14:textId="33627AE2" w:rsidR="003D3EC9" w:rsidRPr="006C452D" w:rsidRDefault="003D3EC9" w:rsidP="00756BE9">
            <w:pPr>
              <w:pStyle w:val="TableTextRight"/>
              <w:rPr>
                <w:lang w:eastAsia="en-AU"/>
              </w:rPr>
            </w:pPr>
            <w:r>
              <w:rPr>
                <w:rFonts w:ascii="Calibri" w:hAnsi="Calibri" w:cs="Calibri"/>
              </w:rPr>
              <w:t>6.</w:t>
            </w:r>
            <w:r w:rsidR="004368C9">
              <w:rPr>
                <w:rFonts w:ascii="Calibri" w:hAnsi="Calibri" w:cs="Calibri"/>
              </w:rPr>
              <w:t>9</w:t>
            </w:r>
          </w:p>
        </w:tc>
        <w:tc>
          <w:tcPr>
            <w:tcW w:w="579" w:type="pct"/>
            <w:tcBorders>
              <w:top w:val="nil"/>
              <w:left w:val="nil"/>
              <w:bottom w:val="single" w:sz="4" w:space="0" w:color="auto"/>
              <w:right w:val="nil"/>
            </w:tcBorders>
            <w:shd w:val="clear" w:color="auto" w:fill="auto"/>
            <w:vAlign w:val="center"/>
            <w:hideMark/>
          </w:tcPr>
          <w:p w14:paraId="65416791" w14:textId="4C47A4A7" w:rsidR="003D3EC9" w:rsidRPr="006C452D" w:rsidRDefault="003D3EC9" w:rsidP="00756BE9">
            <w:pPr>
              <w:pStyle w:val="TableTextRight"/>
              <w:rPr>
                <w:lang w:eastAsia="en-AU"/>
              </w:rPr>
            </w:pPr>
            <w:r>
              <w:rPr>
                <w:rFonts w:ascii="Calibri" w:hAnsi="Calibri" w:cs="Calibri"/>
              </w:rPr>
              <w:t>4.</w:t>
            </w:r>
            <w:r w:rsidR="004368C9">
              <w:rPr>
                <w:rFonts w:ascii="Calibri" w:hAnsi="Calibri" w:cs="Calibri"/>
              </w:rPr>
              <w:t>3</w:t>
            </w:r>
          </w:p>
        </w:tc>
        <w:tc>
          <w:tcPr>
            <w:tcW w:w="579" w:type="pct"/>
            <w:tcBorders>
              <w:top w:val="nil"/>
              <w:left w:val="nil"/>
              <w:bottom w:val="single" w:sz="4" w:space="0" w:color="auto"/>
              <w:right w:val="single" w:sz="4" w:space="0" w:color="auto"/>
            </w:tcBorders>
            <w:shd w:val="clear" w:color="auto" w:fill="auto"/>
            <w:vAlign w:val="center"/>
            <w:hideMark/>
          </w:tcPr>
          <w:p w14:paraId="192F0F54" w14:textId="416E0CE2" w:rsidR="003D3EC9" w:rsidRPr="006C452D" w:rsidRDefault="004368C9" w:rsidP="00756BE9">
            <w:pPr>
              <w:pStyle w:val="TableTextRight"/>
              <w:rPr>
                <w:lang w:eastAsia="en-AU"/>
              </w:rPr>
            </w:pPr>
            <w:r>
              <w:rPr>
                <w:rFonts w:ascii="Calibri" w:hAnsi="Calibri" w:cs="Calibri"/>
              </w:rPr>
              <w:t>2.9</w:t>
            </w:r>
          </w:p>
        </w:tc>
        <w:tc>
          <w:tcPr>
            <w:tcW w:w="574" w:type="pct"/>
            <w:tcBorders>
              <w:top w:val="nil"/>
              <w:left w:val="nil"/>
              <w:bottom w:val="single" w:sz="4" w:space="0" w:color="auto"/>
              <w:right w:val="nil"/>
            </w:tcBorders>
            <w:shd w:val="clear" w:color="auto" w:fill="auto"/>
            <w:vAlign w:val="center"/>
            <w:hideMark/>
          </w:tcPr>
          <w:p w14:paraId="3D6BC156" w14:textId="74E21730" w:rsidR="003D3EC9" w:rsidRPr="006C452D" w:rsidRDefault="003D3EC9" w:rsidP="00756BE9">
            <w:pPr>
              <w:pStyle w:val="TableTextRight"/>
              <w:rPr>
                <w:lang w:eastAsia="en-AU"/>
              </w:rPr>
            </w:pPr>
            <w:r>
              <w:rPr>
                <w:rFonts w:ascii="Calibri" w:hAnsi="Calibri" w:cs="Calibri"/>
              </w:rPr>
              <w:t>4.</w:t>
            </w:r>
            <w:r w:rsidR="004368C9">
              <w:rPr>
                <w:rFonts w:ascii="Calibri" w:hAnsi="Calibri" w:cs="Calibri"/>
              </w:rPr>
              <w:t>3</w:t>
            </w:r>
          </w:p>
        </w:tc>
      </w:tr>
      <w:tr w:rsidR="003D3EC9" w:rsidRPr="006C452D" w14:paraId="2F26C046" w14:textId="77777777" w:rsidTr="00916EF2">
        <w:trPr>
          <w:trHeight w:val="227"/>
        </w:trPr>
        <w:tc>
          <w:tcPr>
            <w:tcW w:w="1531" w:type="pct"/>
            <w:tcBorders>
              <w:top w:val="nil"/>
              <w:left w:val="nil"/>
              <w:bottom w:val="nil"/>
              <w:right w:val="nil"/>
            </w:tcBorders>
            <w:shd w:val="clear" w:color="auto" w:fill="auto"/>
            <w:vAlign w:val="center"/>
            <w:hideMark/>
          </w:tcPr>
          <w:p w14:paraId="0D6973F7" w14:textId="1EFB7B2A" w:rsidR="003D3EC9" w:rsidRPr="006C452D" w:rsidRDefault="003D3EC9" w:rsidP="00C75089">
            <w:pPr>
              <w:pStyle w:val="TableColumnHeadingLeft"/>
            </w:pPr>
            <w:r w:rsidRPr="006C452D">
              <w:t>Natural increase (</w:t>
            </w:r>
            <w:r w:rsidR="00050D25">
              <w:t>‘</w:t>
            </w:r>
            <w:r w:rsidRPr="006C452D">
              <w:t>000)</w:t>
            </w:r>
          </w:p>
        </w:tc>
        <w:tc>
          <w:tcPr>
            <w:tcW w:w="579" w:type="pct"/>
            <w:tcBorders>
              <w:top w:val="nil"/>
              <w:left w:val="nil"/>
              <w:bottom w:val="nil"/>
              <w:right w:val="nil"/>
            </w:tcBorders>
            <w:shd w:val="clear" w:color="auto" w:fill="auto"/>
            <w:vAlign w:val="center"/>
            <w:hideMark/>
          </w:tcPr>
          <w:p w14:paraId="21928853"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0D849778" w14:textId="0627E4C6"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32B39CBA"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2F906603"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51A63DC8" w14:textId="602DA991"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719D0070" w14:textId="77777777" w:rsidR="003D3EC9" w:rsidRPr="006C452D" w:rsidRDefault="003D3EC9" w:rsidP="00756BE9">
            <w:pPr>
              <w:pStyle w:val="TableTextRight"/>
              <w:rPr>
                <w:lang w:eastAsia="en-AU"/>
              </w:rPr>
            </w:pPr>
          </w:p>
        </w:tc>
      </w:tr>
      <w:tr w:rsidR="003D3EC9" w:rsidRPr="006C452D" w14:paraId="6144C6E0" w14:textId="77777777" w:rsidTr="00916EF2">
        <w:trPr>
          <w:trHeight w:val="227"/>
        </w:trPr>
        <w:tc>
          <w:tcPr>
            <w:tcW w:w="1531" w:type="pct"/>
            <w:tcBorders>
              <w:top w:val="nil"/>
              <w:left w:val="nil"/>
              <w:bottom w:val="nil"/>
              <w:right w:val="nil"/>
            </w:tcBorders>
            <w:shd w:val="clear" w:color="auto" w:fill="auto"/>
            <w:vAlign w:val="center"/>
            <w:hideMark/>
          </w:tcPr>
          <w:p w14:paraId="7CAB135E"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4A130A77" w14:textId="285E4EF4" w:rsidR="003D3EC9" w:rsidRPr="006C452D" w:rsidRDefault="003D3EC9" w:rsidP="00756BE9">
            <w:pPr>
              <w:pStyle w:val="TableTextRight"/>
              <w:rPr>
                <w:lang w:eastAsia="en-AU"/>
              </w:rPr>
            </w:pPr>
            <w:r>
              <w:rPr>
                <w:rFonts w:ascii="Calibri" w:hAnsi="Calibri" w:cs="Calibri"/>
              </w:rPr>
              <w:t>13.7</w:t>
            </w:r>
          </w:p>
        </w:tc>
        <w:tc>
          <w:tcPr>
            <w:tcW w:w="579" w:type="pct"/>
            <w:tcBorders>
              <w:top w:val="nil"/>
              <w:left w:val="nil"/>
              <w:bottom w:val="nil"/>
              <w:right w:val="nil"/>
            </w:tcBorders>
            <w:shd w:val="clear" w:color="auto" w:fill="D2EDFF"/>
            <w:vAlign w:val="center"/>
            <w:hideMark/>
          </w:tcPr>
          <w:p w14:paraId="578540E2" w14:textId="24002CD4" w:rsidR="003D3EC9" w:rsidRPr="006C452D" w:rsidRDefault="003D3EC9" w:rsidP="00756BE9">
            <w:pPr>
              <w:pStyle w:val="TableTextRight"/>
              <w:rPr>
                <w:lang w:eastAsia="en-AU"/>
              </w:rPr>
            </w:pPr>
            <w:r>
              <w:rPr>
                <w:rFonts w:ascii="Calibri" w:hAnsi="Calibri" w:cs="Calibri"/>
              </w:rPr>
              <w:t>13.</w:t>
            </w:r>
            <w:r w:rsidR="004368C9">
              <w:rPr>
                <w:rFonts w:ascii="Calibri" w:hAnsi="Calibri" w:cs="Calibri"/>
              </w:rPr>
              <w:t>2</w:t>
            </w:r>
          </w:p>
        </w:tc>
        <w:tc>
          <w:tcPr>
            <w:tcW w:w="579" w:type="pct"/>
            <w:tcBorders>
              <w:top w:val="nil"/>
              <w:left w:val="nil"/>
              <w:bottom w:val="nil"/>
              <w:right w:val="nil"/>
            </w:tcBorders>
            <w:shd w:val="clear" w:color="auto" w:fill="auto"/>
            <w:vAlign w:val="center"/>
            <w:hideMark/>
          </w:tcPr>
          <w:p w14:paraId="2E170D26" w14:textId="1CC71AF0" w:rsidR="003D3EC9" w:rsidRPr="006C452D" w:rsidRDefault="004368C9" w:rsidP="00756BE9">
            <w:pPr>
              <w:pStyle w:val="TableTextRight"/>
              <w:rPr>
                <w:lang w:eastAsia="en-AU"/>
              </w:rPr>
            </w:pPr>
            <w:r>
              <w:rPr>
                <w:rFonts w:ascii="Calibri" w:hAnsi="Calibri" w:cs="Calibri"/>
              </w:rPr>
              <w:t>12.9</w:t>
            </w:r>
          </w:p>
        </w:tc>
        <w:tc>
          <w:tcPr>
            <w:tcW w:w="579" w:type="pct"/>
            <w:tcBorders>
              <w:top w:val="nil"/>
              <w:left w:val="nil"/>
              <w:bottom w:val="nil"/>
              <w:right w:val="nil"/>
            </w:tcBorders>
            <w:shd w:val="clear" w:color="auto" w:fill="auto"/>
            <w:vAlign w:val="center"/>
            <w:hideMark/>
          </w:tcPr>
          <w:p w14:paraId="456025A0" w14:textId="236CDBD3" w:rsidR="003D3EC9" w:rsidRPr="006C452D" w:rsidRDefault="003D3EC9" w:rsidP="00756BE9">
            <w:pPr>
              <w:pStyle w:val="TableTextRight"/>
              <w:rPr>
                <w:lang w:eastAsia="en-AU"/>
              </w:rPr>
            </w:pPr>
            <w:r>
              <w:rPr>
                <w:rFonts w:ascii="Calibri" w:hAnsi="Calibri" w:cs="Calibri"/>
              </w:rPr>
              <w:t>14.</w:t>
            </w:r>
            <w:r w:rsidR="004368C9">
              <w:rPr>
                <w:rFonts w:ascii="Calibri" w:hAnsi="Calibri" w:cs="Calibri"/>
              </w:rPr>
              <w:t>2</w:t>
            </w:r>
          </w:p>
        </w:tc>
        <w:tc>
          <w:tcPr>
            <w:tcW w:w="579" w:type="pct"/>
            <w:tcBorders>
              <w:top w:val="nil"/>
              <w:left w:val="nil"/>
              <w:bottom w:val="nil"/>
              <w:right w:val="single" w:sz="4" w:space="0" w:color="auto"/>
            </w:tcBorders>
            <w:shd w:val="clear" w:color="auto" w:fill="auto"/>
            <w:vAlign w:val="center"/>
            <w:hideMark/>
          </w:tcPr>
          <w:p w14:paraId="14903528" w14:textId="318115C1" w:rsidR="003D3EC9" w:rsidRPr="006C452D" w:rsidRDefault="003D3EC9" w:rsidP="00756BE9">
            <w:pPr>
              <w:pStyle w:val="TableTextRight"/>
              <w:rPr>
                <w:lang w:eastAsia="en-AU"/>
              </w:rPr>
            </w:pPr>
            <w:r>
              <w:rPr>
                <w:rFonts w:ascii="Calibri" w:hAnsi="Calibri" w:cs="Calibri"/>
              </w:rPr>
              <w:t>15.</w:t>
            </w:r>
            <w:r w:rsidR="004368C9">
              <w:rPr>
                <w:rFonts w:ascii="Calibri" w:hAnsi="Calibri" w:cs="Calibri"/>
              </w:rPr>
              <w:t>3</w:t>
            </w:r>
          </w:p>
        </w:tc>
        <w:tc>
          <w:tcPr>
            <w:tcW w:w="574" w:type="pct"/>
            <w:tcBorders>
              <w:top w:val="nil"/>
              <w:left w:val="nil"/>
              <w:bottom w:val="nil"/>
              <w:right w:val="nil"/>
            </w:tcBorders>
            <w:shd w:val="clear" w:color="auto" w:fill="auto"/>
            <w:vAlign w:val="center"/>
            <w:hideMark/>
          </w:tcPr>
          <w:p w14:paraId="7B5404B0" w14:textId="523487D0" w:rsidR="003D3EC9" w:rsidRPr="006C452D" w:rsidRDefault="003D3EC9" w:rsidP="00756BE9">
            <w:pPr>
              <w:pStyle w:val="TableTextRight"/>
              <w:rPr>
                <w:lang w:eastAsia="en-AU"/>
              </w:rPr>
            </w:pPr>
            <w:r>
              <w:rPr>
                <w:rFonts w:ascii="Calibri" w:hAnsi="Calibri" w:cs="Calibri"/>
              </w:rPr>
              <w:t>18.</w:t>
            </w:r>
            <w:r w:rsidR="004368C9">
              <w:rPr>
                <w:rFonts w:ascii="Calibri" w:hAnsi="Calibri" w:cs="Calibri"/>
              </w:rPr>
              <w:t>9</w:t>
            </w:r>
          </w:p>
        </w:tc>
      </w:tr>
      <w:tr w:rsidR="003D3EC9" w:rsidRPr="006C452D" w14:paraId="07BB06C6" w14:textId="77777777" w:rsidTr="00916EF2">
        <w:trPr>
          <w:trHeight w:val="227"/>
        </w:trPr>
        <w:tc>
          <w:tcPr>
            <w:tcW w:w="1531" w:type="pct"/>
            <w:tcBorders>
              <w:top w:val="nil"/>
              <w:left w:val="nil"/>
              <w:bottom w:val="nil"/>
              <w:right w:val="nil"/>
            </w:tcBorders>
            <w:shd w:val="clear" w:color="auto" w:fill="auto"/>
            <w:vAlign w:val="center"/>
            <w:hideMark/>
          </w:tcPr>
          <w:p w14:paraId="268E71CB"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41B03A3C" w14:textId="09E2BBE3" w:rsidR="003D3EC9" w:rsidRPr="006C452D" w:rsidRDefault="003D3EC9" w:rsidP="00756BE9">
            <w:pPr>
              <w:pStyle w:val="TableTextRight"/>
              <w:rPr>
                <w:lang w:eastAsia="en-AU"/>
              </w:rPr>
            </w:pPr>
            <w:r>
              <w:rPr>
                <w:rFonts w:ascii="Calibri" w:hAnsi="Calibri" w:cs="Calibri"/>
              </w:rPr>
              <w:t>11.3</w:t>
            </w:r>
          </w:p>
        </w:tc>
        <w:tc>
          <w:tcPr>
            <w:tcW w:w="579" w:type="pct"/>
            <w:tcBorders>
              <w:top w:val="nil"/>
              <w:left w:val="nil"/>
              <w:bottom w:val="nil"/>
              <w:right w:val="nil"/>
            </w:tcBorders>
            <w:shd w:val="clear" w:color="auto" w:fill="D2EDFF"/>
            <w:vAlign w:val="center"/>
            <w:hideMark/>
          </w:tcPr>
          <w:p w14:paraId="20B6E032" w14:textId="67CD0F4D" w:rsidR="003D3EC9" w:rsidRPr="006C452D" w:rsidRDefault="003D3EC9" w:rsidP="00756BE9">
            <w:pPr>
              <w:pStyle w:val="TableTextRight"/>
              <w:rPr>
                <w:lang w:eastAsia="en-AU"/>
              </w:rPr>
            </w:pPr>
            <w:r>
              <w:rPr>
                <w:rFonts w:ascii="Calibri" w:hAnsi="Calibri" w:cs="Calibri"/>
              </w:rPr>
              <w:t>11.</w:t>
            </w:r>
            <w:r w:rsidR="004368C9">
              <w:rPr>
                <w:rFonts w:ascii="Calibri" w:hAnsi="Calibri" w:cs="Calibri"/>
              </w:rPr>
              <w:t>6</w:t>
            </w:r>
          </w:p>
        </w:tc>
        <w:tc>
          <w:tcPr>
            <w:tcW w:w="579" w:type="pct"/>
            <w:tcBorders>
              <w:top w:val="nil"/>
              <w:left w:val="nil"/>
              <w:bottom w:val="nil"/>
              <w:right w:val="nil"/>
            </w:tcBorders>
            <w:shd w:val="clear" w:color="auto" w:fill="auto"/>
            <w:vAlign w:val="center"/>
            <w:hideMark/>
          </w:tcPr>
          <w:p w14:paraId="22C3B42F" w14:textId="6F945166" w:rsidR="003D3EC9" w:rsidRPr="006C452D" w:rsidRDefault="003D3EC9" w:rsidP="00756BE9">
            <w:pPr>
              <w:pStyle w:val="TableTextRight"/>
              <w:rPr>
                <w:lang w:eastAsia="en-AU"/>
              </w:rPr>
            </w:pPr>
            <w:r>
              <w:rPr>
                <w:rFonts w:ascii="Calibri" w:hAnsi="Calibri" w:cs="Calibri"/>
              </w:rPr>
              <w:t>11.</w:t>
            </w:r>
            <w:r w:rsidR="004368C9">
              <w:rPr>
                <w:rFonts w:ascii="Calibri" w:hAnsi="Calibri" w:cs="Calibri"/>
              </w:rPr>
              <w:t>4</w:t>
            </w:r>
          </w:p>
        </w:tc>
        <w:tc>
          <w:tcPr>
            <w:tcW w:w="579" w:type="pct"/>
            <w:tcBorders>
              <w:top w:val="nil"/>
              <w:left w:val="nil"/>
              <w:bottom w:val="nil"/>
              <w:right w:val="nil"/>
            </w:tcBorders>
            <w:shd w:val="clear" w:color="auto" w:fill="auto"/>
            <w:vAlign w:val="center"/>
            <w:hideMark/>
          </w:tcPr>
          <w:p w14:paraId="48E436A1" w14:textId="66CB5805" w:rsidR="003D3EC9" w:rsidRPr="006C452D" w:rsidRDefault="003D3EC9" w:rsidP="00756BE9">
            <w:pPr>
              <w:pStyle w:val="TableTextRight"/>
              <w:rPr>
                <w:lang w:eastAsia="en-AU"/>
              </w:rPr>
            </w:pPr>
            <w:r>
              <w:rPr>
                <w:rFonts w:ascii="Calibri" w:hAnsi="Calibri" w:cs="Calibri"/>
              </w:rPr>
              <w:t>12.</w:t>
            </w:r>
            <w:r w:rsidR="00C85B8F">
              <w:rPr>
                <w:rFonts w:ascii="Calibri" w:hAnsi="Calibri" w:cs="Calibri"/>
              </w:rPr>
              <w:t>5</w:t>
            </w:r>
          </w:p>
        </w:tc>
        <w:tc>
          <w:tcPr>
            <w:tcW w:w="579" w:type="pct"/>
            <w:tcBorders>
              <w:top w:val="nil"/>
              <w:left w:val="nil"/>
              <w:bottom w:val="nil"/>
              <w:right w:val="single" w:sz="4" w:space="0" w:color="auto"/>
            </w:tcBorders>
            <w:shd w:val="clear" w:color="auto" w:fill="auto"/>
            <w:vAlign w:val="center"/>
            <w:hideMark/>
          </w:tcPr>
          <w:p w14:paraId="7610AA3B" w14:textId="3E3E9A1F" w:rsidR="003D3EC9" w:rsidRPr="006C452D" w:rsidRDefault="003D3EC9" w:rsidP="00756BE9">
            <w:pPr>
              <w:pStyle w:val="TableTextRight"/>
              <w:rPr>
                <w:lang w:eastAsia="en-AU"/>
              </w:rPr>
            </w:pPr>
            <w:r>
              <w:rPr>
                <w:rFonts w:ascii="Calibri" w:hAnsi="Calibri" w:cs="Calibri"/>
              </w:rPr>
              <w:t>13.</w:t>
            </w:r>
            <w:r w:rsidR="004368C9">
              <w:rPr>
                <w:rFonts w:ascii="Calibri" w:hAnsi="Calibri" w:cs="Calibri"/>
              </w:rPr>
              <w:t>5</w:t>
            </w:r>
          </w:p>
        </w:tc>
        <w:tc>
          <w:tcPr>
            <w:tcW w:w="574" w:type="pct"/>
            <w:tcBorders>
              <w:top w:val="nil"/>
              <w:left w:val="nil"/>
              <w:bottom w:val="nil"/>
              <w:right w:val="nil"/>
            </w:tcBorders>
            <w:shd w:val="clear" w:color="auto" w:fill="auto"/>
            <w:vAlign w:val="center"/>
            <w:hideMark/>
          </w:tcPr>
          <w:p w14:paraId="785FA147" w14:textId="511D54B6" w:rsidR="003D3EC9" w:rsidRPr="006C452D" w:rsidRDefault="00C85B8F" w:rsidP="00756BE9">
            <w:pPr>
              <w:pStyle w:val="TableTextRight"/>
              <w:rPr>
                <w:lang w:eastAsia="en-AU"/>
              </w:rPr>
            </w:pPr>
            <w:r>
              <w:rPr>
                <w:rFonts w:ascii="Calibri" w:hAnsi="Calibri" w:cs="Calibri"/>
              </w:rPr>
              <w:t>16.9</w:t>
            </w:r>
          </w:p>
        </w:tc>
      </w:tr>
      <w:tr w:rsidR="003D3EC9" w:rsidRPr="006C452D" w14:paraId="04462C7C" w14:textId="77777777" w:rsidTr="00916EF2">
        <w:trPr>
          <w:trHeight w:val="227"/>
        </w:trPr>
        <w:tc>
          <w:tcPr>
            <w:tcW w:w="1531" w:type="pct"/>
            <w:tcBorders>
              <w:top w:val="nil"/>
              <w:left w:val="nil"/>
              <w:bottom w:val="nil"/>
              <w:right w:val="nil"/>
            </w:tcBorders>
            <w:shd w:val="clear" w:color="auto" w:fill="auto"/>
            <w:vAlign w:val="center"/>
            <w:hideMark/>
          </w:tcPr>
          <w:p w14:paraId="2CFF95A6"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nil"/>
              <w:right w:val="nil"/>
            </w:tcBorders>
            <w:shd w:val="clear" w:color="auto" w:fill="auto"/>
            <w:vAlign w:val="center"/>
            <w:hideMark/>
          </w:tcPr>
          <w:p w14:paraId="641CD23A" w14:textId="29054424" w:rsidR="003D3EC9" w:rsidRPr="006C452D" w:rsidRDefault="003D3EC9" w:rsidP="00756BE9">
            <w:pPr>
              <w:pStyle w:val="TableTextRight"/>
              <w:rPr>
                <w:lang w:eastAsia="en-AU"/>
              </w:rPr>
            </w:pPr>
            <w:r>
              <w:rPr>
                <w:rFonts w:ascii="Calibri" w:hAnsi="Calibri" w:cs="Calibri"/>
              </w:rPr>
              <w:t>2.2</w:t>
            </w:r>
          </w:p>
        </w:tc>
        <w:tc>
          <w:tcPr>
            <w:tcW w:w="579" w:type="pct"/>
            <w:tcBorders>
              <w:top w:val="nil"/>
              <w:left w:val="nil"/>
              <w:bottom w:val="nil"/>
              <w:right w:val="nil"/>
            </w:tcBorders>
            <w:shd w:val="clear" w:color="auto" w:fill="D2EDFF"/>
            <w:vAlign w:val="center"/>
            <w:hideMark/>
          </w:tcPr>
          <w:p w14:paraId="40B9DB81" w14:textId="3F38DD2B" w:rsidR="003D3EC9" w:rsidRPr="006C452D" w:rsidRDefault="003D3EC9" w:rsidP="00756BE9">
            <w:pPr>
              <w:pStyle w:val="TableTextRight"/>
              <w:rPr>
                <w:lang w:eastAsia="en-AU"/>
              </w:rPr>
            </w:pPr>
            <w:r>
              <w:rPr>
                <w:rFonts w:ascii="Calibri" w:hAnsi="Calibri" w:cs="Calibri"/>
              </w:rPr>
              <w:t>1.6</w:t>
            </w:r>
          </w:p>
        </w:tc>
        <w:tc>
          <w:tcPr>
            <w:tcW w:w="579" w:type="pct"/>
            <w:tcBorders>
              <w:top w:val="nil"/>
              <w:left w:val="nil"/>
              <w:bottom w:val="nil"/>
              <w:right w:val="nil"/>
            </w:tcBorders>
            <w:shd w:val="clear" w:color="auto" w:fill="auto"/>
            <w:vAlign w:val="center"/>
            <w:hideMark/>
          </w:tcPr>
          <w:p w14:paraId="3526B4F0" w14:textId="27385319" w:rsidR="003D3EC9" w:rsidRPr="006C452D" w:rsidRDefault="003D3EC9" w:rsidP="00756BE9">
            <w:pPr>
              <w:pStyle w:val="TableTextRight"/>
              <w:rPr>
                <w:lang w:eastAsia="en-AU"/>
              </w:rPr>
            </w:pPr>
            <w:r>
              <w:rPr>
                <w:rFonts w:ascii="Calibri" w:hAnsi="Calibri" w:cs="Calibri"/>
              </w:rPr>
              <w:t>1.5</w:t>
            </w:r>
          </w:p>
        </w:tc>
        <w:tc>
          <w:tcPr>
            <w:tcW w:w="579" w:type="pct"/>
            <w:tcBorders>
              <w:top w:val="nil"/>
              <w:left w:val="nil"/>
              <w:bottom w:val="nil"/>
              <w:right w:val="nil"/>
            </w:tcBorders>
            <w:shd w:val="clear" w:color="auto" w:fill="auto"/>
            <w:vAlign w:val="center"/>
            <w:hideMark/>
          </w:tcPr>
          <w:p w14:paraId="28F82332" w14:textId="55C0E9FE" w:rsidR="003D3EC9" w:rsidRPr="006C452D" w:rsidRDefault="003D3EC9" w:rsidP="00756BE9">
            <w:pPr>
              <w:pStyle w:val="TableTextRight"/>
              <w:rPr>
                <w:lang w:eastAsia="en-AU"/>
              </w:rPr>
            </w:pPr>
            <w:r>
              <w:rPr>
                <w:rFonts w:ascii="Calibri" w:hAnsi="Calibri" w:cs="Calibri"/>
              </w:rPr>
              <w:t>1.7</w:t>
            </w:r>
          </w:p>
        </w:tc>
        <w:tc>
          <w:tcPr>
            <w:tcW w:w="579" w:type="pct"/>
            <w:tcBorders>
              <w:top w:val="nil"/>
              <w:left w:val="nil"/>
              <w:bottom w:val="nil"/>
              <w:right w:val="single" w:sz="4" w:space="0" w:color="auto"/>
            </w:tcBorders>
            <w:shd w:val="clear" w:color="auto" w:fill="auto"/>
            <w:vAlign w:val="center"/>
            <w:hideMark/>
          </w:tcPr>
          <w:p w14:paraId="526AFDFE" w14:textId="71798CE3" w:rsidR="003D3EC9" w:rsidRPr="006C452D" w:rsidRDefault="003D3EC9" w:rsidP="00756BE9">
            <w:pPr>
              <w:pStyle w:val="TableTextRight"/>
              <w:rPr>
                <w:lang w:eastAsia="en-AU"/>
              </w:rPr>
            </w:pPr>
            <w:r>
              <w:rPr>
                <w:rFonts w:ascii="Calibri" w:hAnsi="Calibri" w:cs="Calibri"/>
              </w:rPr>
              <w:t>1.8</w:t>
            </w:r>
          </w:p>
        </w:tc>
        <w:tc>
          <w:tcPr>
            <w:tcW w:w="574" w:type="pct"/>
            <w:tcBorders>
              <w:top w:val="nil"/>
              <w:left w:val="nil"/>
              <w:bottom w:val="nil"/>
              <w:right w:val="nil"/>
            </w:tcBorders>
            <w:shd w:val="clear" w:color="auto" w:fill="auto"/>
            <w:vAlign w:val="center"/>
            <w:hideMark/>
          </w:tcPr>
          <w:p w14:paraId="6D9EE864" w14:textId="08A4DAE3" w:rsidR="003D3EC9" w:rsidRPr="006C452D" w:rsidRDefault="003D3EC9" w:rsidP="00756BE9">
            <w:pPr>
              <w:pStyle w:val="TableTextRight"/>
              <w:rPr>
                <w:lang w:eastAsia="en-AU"/>
              </w:rPr>
            </w:pPr>
            <w:r>
              <w:rPr>
                <w:rFonts w:ascii="Calibri" w:hAnsi="Calibri" w:cs="Calibri"/>
              </w:rPr>
              <w:t>1.</w:t>
            </w:r>
            <w:r w:rsidR="004368C9">
              <w:rPr>
                <w:rFonts w:ascii="Calibri" w:hAnsi="Calibri" w:cs="Calibri"/>
              </w:rPr>
              <w:t>9</w:t>
            </w:r>
          </w:p>
        </w:tc>
      </w:tr>
      <w:tr w:rsidR="003D3EC9" w:rsidRPr="006C452D" w14:paraId="3CF9D2B3" w14:textId="77777777" w:rsidTr="00916EF2">
        <w:trPr>
          <w:trHeight w:val="227"/>
        </w:trPr>
        <w:tc>
          <w:tcPr>
            <w:tcW w:w="1531" w:type="pct"/>
            <w:tcBorders>
              <w:top w:val="nil"/>
              <w:left w:val="nil"/>
              <w:bottom w:val="nil"/>
              <w:right w:val="nil"/>
            </w:tcBorders>
            <w:shd w:val="clear" w:color="auto" w:fill="auto"/>
            <w:vAlign w:val="center"/>
            <w:hideMark/>
          </w:tcPr>
          <w:p w14:paraId="132530BF" w14:textId="09418637" w:rsidR="003D3EC9" w:rsidRPr="006C452D" w:rsidRDefault="003D3EC9" w:rsidP="00C75089">
            <w:pPr>
              <w:pStyle w:val="TableColumnHeadingLeft"/>
            </w:pPr>
            <w:r w:rsidRPr="006C452D">
              <w:t>Net overseas migration (</w:t>
            </w:r>
            <w:r w:rsidR="00050D25">
              <w:t>‘</w:t>
            </w:r>
            <w:r w:rsidRPr="006C452D">
              <w:t>000)</w:t>
            </w:r>
          </w:p>
        </w:tc>
        <w:tc>
          <w:tcPr>
            <w:tcW w:w="579" w:type="pct"/>
            <w:tcBorders>
              <w:top w:val="nil"/>
              <w:left w:val="nil"/>
              <w:bottom w:val="nil"/>
              <w:right w:val="nil"/>
            </w:tcBorders>
            <w:shd w:val="clear" w:color="auto" w:fill="auto"/>
            <w:vAlign w:val="center"/>
            <w:hideMark/>
          </w:tcPr>
          <w:p w14:paraId="14CBBC7F"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670B14F3" w14:textId="21DB5403"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2F2F8CB0"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4E3510AE"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64CDCDC2" w14:textId="49316C20"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465B708E" w14:textId="77777777" w:rsidR="003D3EC9" w:rsidRPr="006C452D" w:rsidRDefault="003D3EC9" w:rsidP="00756BE9">
            <w:pPr>
              <w:pStyle w:val="TableTextRight"/>
              <w:rPr>
                <w:lang w:eastAsia="en-AU"/>
              </w:rPr>
            </w:pPr>
          </w:p>
        </w:tc>
      </w:tr>
      <w:tr w:rsidR="003D3EC9" w:rsidRPr="006C452D" w14:paraId="1E321E95" w14:textId="77777777" w:rsidTr="00916EF2">
        <w:trPr>
          <w:trHeight w:val="227"/>
        </w:trPr>
        <w:tc>
          <w:tcPr>
            <w:tcW w:w="1531" w:type="pct"/>
            <w:tcBorders>
              <w:top w:val="nil"/>
              <w:left w:val="nil"/>
              <w:bottom w:val="nil"/>
              <w:right w:val="nil"/>
            </w:tcBorders>
            <w:shd w:val="clear" w:color="auto" w:fill="auto"/>
            <w:vAlign w:val="center"/>
            <w:hideMark/>
          </w:tcPr>
          <w:p w14:paraId="5714F212"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59977C99" w14:textId="1C96757B" w:rsidR="003D3EC9" w:rsidRPr="006C452D" w:rsidRDefault="003D3EC9" w:rsidP="00756BE9">
            <w:pPr>
              <w:pStyle w:val="TableTextRight"/>
              <w:rPr>
                <w:lang w:eastAsia="en-AU"/>
              </w:rPr>
            </w:pPr>
            <w:r>
              <w:rPr>
                <w:rFonts w:ascii="Calibri" w:hAnsi="Calibri" w:cs="Calibri"/>
              </w:rPr>
              <w:t>66.6</w:t>
            </w:r>
          </w:p>
        </w:tc>
        <w:tc>
          <w:tcPr>
            <w:tcW w:w="579" w:type="pct"/>
            <w:tcBorders>
              <w:top w:val="nil"/>
              <w:left w:val="nil"/>
              <w:bottom w:val="nil"/>
              <w:right w:val="nil"/>
            </w:tcBorders>
            <w:shd w:val="clear" w:color="auto" w:fill="D2EDFF"/>
            <w:vAlign w:val="center"/>
            <w:hideMark/>
          </w:tcPr>
          <w:p w14:paraId="2393CE2E" w14:textId="2B1D730C" w:rsidR="003D3EC9" w:rsidRPr="006C452D" w:rsidRDefault="003D3EC9" w:rsidP="00756BE9">
            <w:pPr>
              <w:pStyle w:val="TableTextRight"/>
              <w:rPr>
                <w:lang w:eastAsia="en-AU"/>
              </w:rPr>
            </w:pPr>
            <w:r>
              <w:rPr>
                <w:rFonts w:ascii="Calibri" w:hAnsi="Calibri" w:cs="Calibri"/>
              </w:rPr>
              <w:t>59.</w:t>
            </w:r>
            <w:r w:rsidR="004368C9">
              <w:rPr>
                <w:rFonts w:ascii="Calibri" w:hAnsi="Calibri" w:cs="Calibri"/>
              </w:rPr>
              <w:t>1</w:t>
            </w:r>
          </w:p>
        </w:tc>
        <w:tc>
          <w:tcPr>
            <w:tcW w:w="579" w:type="pct"/>
            <w:tcBorders>
              <w:top w:val="nil"/>
              <w:left w:val="nil"/>
              <w:bottom w:val="nil"/>
              <w:right w:val="nil"/>
            </w:tcBorders>
            <w:shd w:val="clear" w:color="auto" w:fill="auto"/>
            <w:vAlign w:val="center"/>
            <w:hideMark/>
          </w:tcPr>
          <w:p w14:paraId="785970F5" w14:textId="3CAE225D" w:rsidR="003D3EC9" w:rsidRPr="006C452D" w:rsidRDefault="004368C9" w:rsidP="00756BE9">
            <w:pPr>
              <w:pStyle w:val="TableTextRight"/>
              <w:rPr>
                <w:lang w:eastAsia="en-AU"/>
              </w:rPr>
            </w:pPr>
            <w:r>
              <w:rPr>
                <w:rFonts w:ascii="Calibri" w:hAnsi="Calibri" w:cs="Calibri"/>
              </w:rPr>
              <w:t>44.</w:t>
            </w:r>
            <w:r w:rsidR="00C85B8F">
              <w:rPr>
                <w:rFonts w:ascii="Calibri" w:hAnsi="Calibri" w:cs="Calibri"/>
              </w:rPr>
              <w:t>5</w:t>
            </w:r>
          </w:p>
        </w:tc>
        <w:tc>
          <w:tcPr>
            <w:tcW w:w="579" w:type="pct"/>
            <w:tcBorders>
              <w:top w:val="nil"/>
              <w:left w:val="nil"/>
              <w:bottom w:val="nil"/>
              <w:right w:val="nil"/>
            </w:tcBorders>
            <w:shd w:val="clear" w:color="auto" w:fill="auto"/>
            <w:vAlign w:val="center"/>
            <w:hideMark/>
          </w:tcPr>
          <w:p w14:paraId="1A4F5454" w14:textId="7F632479" w:rsidR="003D3EC9" w:rsidRPr="006C452D" w:rsidRDefault="004368C9" w:rsidP="00756BE9">
            <w:pPr>
              <w:pStyle w:val="TableTextRight"/>
              <w:rPr>
                <w:lang w:eastAsia="en-AU"/>
              </w:rPr>
            </w:pPr>
            <w:r>
              <w:rPr>
                <w:rFonts w:ascii="Calibri" w:hAnsi="Calibri" w:cs="Calibri"/>
              </w:rPr>
              <w:t>32.</w:t>
            </w:r>
            <w:r w:rsidR="00C85B8F">
              <w:rPr>
                <w:rFonts w:ascii="Calibri" w:hAnsi="Calibri" w:cs="Calibri"/>
              </w:rPr>
              <w:t>2</w:t>
            </w:r>
          </w:p>
        </w:tc>
        <w:tc>
          <w:tcPr>
            <w:tcW w:w="579" w:type="pct"/>
            <w:tcBorders>
              <w:top w:val="nil"/>
              <w:left w:val="nil"/>
              <w:bottom w:val="nil"/>
              <w:right w:val="single" w:sz="4" w:space="0" w:color="auto"/>
            </w:tcBorders>
            <w:shd w:val="clear" w:color="auto" w:fill="auto"/>
            <w:vAlign w:val="center"/>
            <w:hideMark/>
          </w:tcPr>
          <w:p w14:paraId="7062CE97" w14:textId="61142915" w:rsidR="003D3EC9" w:rsidRPr="006C452D" w:rsidRDefault="003D3EC9" w:rsidP="00756BE9">
            <w:pPr>
              <w:pStyle w:val="TableTextRight"/>
              <w:rPr>
                <w:lang w:eastAsia="en-AU"/>
              </w:rPr>
            </w:pPr>
            <w:r>
              <w:rPr>
                <w:rFonts w:ascii="Calibri" w:hAnsi="Calibri" w:cs="Calibri"/>
              </w:rPr>
              <w:t>27.3</w:t>
            </w:r>
          </w:p>
        </w:tc>
        <w:tc>
          <w:tcPr>
            <w:tcW w:w="574" w:type="pct"/>
            <w:tcBorders>
              <w:top w:val="nil"/>
              <w:left w:val="nil"/>
              <w:bottom w:val="nil"/>
              <w:right w:val="nil"/>
            </w:tcBorders>
            <w:shd w:val="clear" w:color="auto" w:fill="auto"/>
            <w:vAlign w:val="center"/>
            <w:hideMark/>
          </w:tcPr>
          <w:p w14:paraId="199C59EA" w14:textId="768A2233" w:rsidR="003D3EC9" w:rsidRPr="006C452D" w:rsidRDefault="004368C9" w:rsidP="00756BE9">
            <w:pPr>
              <w:pStyle w:val="TableTextRight"/>
              <w:rPr>
                <w:lang w:eastAsia="en-AU"/>
              </w:rPr>
            </w:pPr>
            <w:r>
              <w:rPr>
                <w:rFonts w:ascii="Calibri" w:hAnsi="Calibri" w:cs="Calibri"/>
              </w:rPr>
              <w:t>29.0</w:t>
            </w:r>
          </w:p>
        </w:tc>
      </w:tr>
      <w:tr w:rsidR="003D3EC9" w:rsidRPr="006C452D" w14:paraId="09D675AA" w14:textId="77777777" w:rsidTr="00916EF2">
        <w:trPr>
          <w:trHeight w:val="227"/>
        </w:trPr>
        <w:tc>
          <w:tcPr>
            <w:tcW w:w="1531" w:type="pct"/>
            <w:tcBorders>
              <w:top w:val="nil"/>
              <w:left w:val="nil"/>
              <w:bottom w:val="nil"/>
              <w:right w:val="nil"/>
            </w:tcBorders>
            <w:shd w:val="clear" w:color="auto" w:fill="auto"/>
            <w:vAlign w:val="center"/>
            <w:hideMark/>
          </w:tcPr>
          <w:p w14:paraId="03CBF2EE"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42333BCC" w14:textId="2D808EFC" w:rsidR="003D3EC9" w:rsidRPr="006C452D" w:rsidRDefault="003D3EC9" w:rsidP="00756BE9">
            <w:pPr>
              <w:pStyle w:val="TableTextRight"/>
              <w:rPr>
                <w:lang w:eastAsia="en-AU"/>
              </w:rPr>
            </w:pPr>
            <w:r>
              <w:rPr>
                <w:rFonts w:ascii="Calibri" w:hAnsi="Calibri" w:cs="Calibri"/>
              </w:rPr>
              <w:t>59.3</w:t>
            </w:r>
          </w:p>
        </w:tc>
        <w:tc>
          <w:tcPr>
            <w:tcW w:w="579" w:type="pct"/>
            <w:tcBorders>
              <w:top w:val="nil"/>
              <w:left w:val="nil"/>
              <w:bottom w:val="nil"/>
              <w:right w:val="nil"/>
            </w:tcBorders>
            <w:shd w:val="clear" w:color="auto" w:fill="D2EDFF"/>
            <w:vAlign w:val="center"/>
            <w:hideMark/>
          </w:tcPr>
          <w:p w14:paraId="4289E8CF" w14:textId="1AD24798" w:rsidR="003D3EC9" w:rsidRPr="006C452D" w:rsidRDefault="003D3EC9" w:rsidP="00756BE9">
            <w:pPr>
              <w:pStyle w:val="TableTextRight"/>
              <w:rPr>
                <w:lang w:eastAsia="en-AU"/>
              </w:rPr>
            </w:pPr>
            <w:r>
              <w:rPr>
                <w:rFonts w:ascii="Calibri" w:hAnsi="Calibri" w:cs="Calibri"/>
              </w:rPr>
              <w:t>53.</w:t>
            </w:r>
            <w:r w:rsidR="004368C9">
              <w:rPr>
                <w:rFonts w:ascii="Calibri" w:hAnsi="Calibri" w:cs="Calibri"/>
              </w:rPr>
              <w:t>1</w:t>
            </w:r>
          </w:p>
        </w:tc>
        <w:tc>
          <w:tcPr>
            <w:tcW w:w="579" w:type="pct"/>
            <w:tcBorders>
              <w:top w:val="nil"/>
              <w:left w:val="nil"/>
              <w:bottom w:val="nil"/>
              <w:right w:val="nil"/>
            </w:tcBorders>
            <w:shd w:val="clear" w:color="auto" w:fill="auto"/>
            <w:vAlign w:val="center"/>
            <w:hideMark/>
          </w:tcPr>
          <w:p w14:paraId="3FB53606" w14:textId="12D02DB5" w:rsidR="003D3EC9" w:rsidRPr="006C452D" w:rsidRDefault="004368C9" w:rsidP="00756BE9">
            <w:pPr>
              <w:pStyle w:val="TableTextRight"/>
              <w:rPr>
                <w:lang w:eastAsia="en-AU"/>
              </w:rPr>
            </w:pPr>
            <w:r>
              <w:rPr>
                <w:rFonts w:ascii="Calibri" w:hAnsi="Calibri" w:cs="Calibri"/>
              </w:rPr>
              <w:t>39.9</w:t>
            </w:r>
          </w:p>
        </w:tc>
        <w:tc>
          <w:tcPr>
            <w:tcW w:w="579" w:type="pct"/>
            <w:tcBorders>
              <w:top w:val="nil"/>
              <w:left w:val="nil"/>
              <w:bottom w:val="nil"/>
              <w:right w:val="nil"/>
            </w:tcBorders>
            <w:shd w:val="clear" w:color="auto" w:fill="auto"/>
            <w:vAlign w:val="center"/>
            <w:hideMark/>
          </w:tcPr>
          <w:p w14:paraId="25E66271" w14:textId="18FFE01B" w:rsidR="003D3EC9" w:rsidRPr="006C452D" w:rsidRDefault="00C85B8F" w:rsidP="00756BE9">
            <w:pPr>
              <w:pStyle w:val="TableTextRight"/>
              <w:rPr>
                <w:lang w:eastAsia="en-AU"/>
              </w:rPr>
            </w:pPr>
            <w:r>
              <w:rPr>
                <w:rFonts w:ascii="Calibri" w:hAnsi="Calibri" w:cs="Calibri"/>
              </w:rPr>
              <w:t>28.8</w:t>
            </w:r>
          </w:p>
        </w:tc>
        <w:tc>
          <w:tcPr>
            <w:tcW w:w="579" w:type="pct"/>
            <w:tcBorders>
              <w:top w:val="nil"/>
              <w:left w:val="nil"/>
              <w:bottom w:val="nil"/>
              <w:right w:val="single" w:sz="4" w:space="0" w:color="auto"/>
            </w:tcBorders>
            <w:shd w:val="clear" w:color="auto" w:fill="auto"/>
            <w:vAlign w:val="center"/>
            <w:hideMark/>
          </w:tcPr>
          <w:p w14:paraId="125B4FDC" w14:textId="638F8A3B" w:rsidR="003D3EC9" w:rsidRPr="006C452D" w:rsidRDefault="003D3EC9" w:rsidP="00756BE9">
            <w:pPr>
              <w:pStyle w:val="TableTextRight"/>
              <w:rPr>
                <w:lang w:eastAsia="en-AU"/>
              </w:rPr>
            </w:pPr>
            <w:r>
              <w:rPr>
                <w:rFonts w:ascii="Calibri" w:hAnsi="Calibri" w:cs="Calibri"/>
              </w:rPr>
              <w:t>24.</w:t>
            </w:r>
            <w:r w:rsidR="004368C9">
              <w:rPr>
                <w:rFonts w:ascii="Calibri" w:hAnsi="Calibri" w:cs="Calibri"/>
              </w:rPr>
              <w:t>5</w:t>
            </w:r>
          </w:p>
        </w:tc>
        <w:tc>
          <w:tcPr>
            <w:tcW w:w="574" w:type="pct"/>
            <w:tcBorders>
              <w:top w:val="nil"/>
              <w:left w:val="nil"/>
              <w:bottom w:val="nil"/>
              <w:right w:val="nil"/>
            </w:tcBorders>
            <w:shd w:val="clear" w:color="auto" w:fill="auto"/>
            <w:vAlign w:val="center"/>
            <w:hideMark/>
          </w:tcPr>
          <w:p w14:paraId="54137759" w14:textId="54590DA5" w:rsidR="003D3EC9" w:rsidRPr="006C452D" w:rsidRDefault="004368C9" w:rsidP="00756BE9">
            <w:pPr>
              <w:pStyle w:val="TableTextRight"/>
              <w:rPr>
                <w:lang w:eastAsia="en-AU"/>
              </w:rPr>
            </w:pPr>
            <w:r>
              <w:rPr>
                <w:rFonts w:ascii="Calibri" w:hAnsi="Calibri" w:cs="Calibri"/>
              </w:rPr>
              <w:t>26.1</w:t>
            </w:r>
          </w:p>
        </w:tc>
      </w:tr>
      <w:tr w:rsidR="003D3EC9" w:rsidRPr="006C452D" w14:paraId="716AF6CA" w14:textId="77777777" w:rsidTr="00916EF2">
        <w:trPr>
          <w:trHeight w:val="227"/>
        </w:trPr>
        <w:tc>
          <w:tcPr>
            <w:tcW w:w="1531" w:type="pct"/>
            <w:tcBorders>
              <w:top w:val="nil"/>
              <w:left w:val="nil"/>
              <w:bottom w:val="nil"/>
              <w:right w:val="nil"/>
            </w:tcBorders>
            <w:shd w:val="clear" w:color="auto" w:fill="auto"/>
            <w:vAlign w:val="center"/>
            <w:hideMark/>
          </w:tcPr>
          <w:p w14:paraId="036CB68E"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nil"/>
              <w:right w:val="nil"/>
            </w:tcBorders>
            <w:shd w:val="clear" w:color="auto" w:fill="auto"/>
            <w:vAlign w:val="center"/>
            <w:hideMark/>
          </w:tcPr>
          <w:p w14:paraId="7CA4171C" w14:textId="45FEAE0C" w:rsidR="003D3EC9" w:rsidRPr="006C452D" w:rsidRDefault="003D3EC9" w:rsidP="00756BE9">
            <w:pPr>
              <w:pStyle w:val="TableTextRight"/>
              <w:rPr>
                <w:lang w:eastAsia="en-AU"/>
              </w:rPr>
            </w:pPr>
            <w:r>
              <w:rPr>
                <w:rFonts w:ascii="Calibri" w:hAnsi="Calibri" w:cs="Calibri"/>
              </w:rPr>
              <w:t>4.9</w:t>
            </w:r>
          </w:p>
        </w:tc>
        <w:tc>
          <w:tcPr>
            <w:tcW w:w="579" w:type="pct"/>
            <w:tcBorders>
              <w:top w:val="nil"/>
              <w:left w:val="nil"/>
              <w:bottom w:val="nil"/>
              <w:right w:val="nil"/>
            </w:tcBorders>
            <w:shd w:val="clear" w:color="auto" w:fill="D2EDFF"/>
            <w:vAlign w:val="center"/>
            <w:hideMark/>
          </w:tcPr>
          <w:p w14:paraId="3E178FD9" w14:textId="1A2D0572" w:rsidR="003D3EC9" w:rsidRPr="006C452D" w:rsidRDefault="003D3EC9" w:rsidP="00756BE9">
            <w:pPr>
              <w:pStyle w:val="TableTextRight"/>
              <w:rPr>
                <w:lang w:eastAsia="en-AU"/>
              </w:rPr>
            </w:pPr>
            <w:r>
              <w:rPr>
                <w:rFonts w:ascii="Calibri" w:hAnsi="Calibri" w:cs="Calibri"/>
              </w:rPr>
              <w:t>6.1</w:t>
            </w:r>
          </w:p>
        </w:tc>
        <w:tc>
          <w:tcPr>
            <w:tcW w:w="579" w:type="pct"/>
            <w:tcBorders>
              <w:top w:val="nil"/>
              <w:left w:val="nil"/>
              <w:bottom w:val="nil"/>
              <w:right w:val="nil"/>
            </w:tcBorders>
            <w:shd w:val="clear" w:color="auto" w:fill="auto"/>
            <w:vAlign w:val="center"/>
            <w:hideMark/>
          </w:tcPr>
          <w:p w14:paraId="28F64948" w14:textId="7142A862" w:rsidR="003D3EC9" w:rsidRPr="006C452D" w:rsidRDefault="003D3EC9" w:rsidP="00756BE9">
            <w:pPr>
              <w:pStyle w:val="TableTextRight"/>
              <w:rPr>
                <w:lang w:eastAsia="en-AU"/>
              </w:rPr>
            </w:pPr>
            <w:r>
              <w:rPr>
                <w:rFonts w:ascii="Calibri" w:hAnsi="Calibri" w:cs="Calibri"/>
              </w:rPr>
              <w:t>4.</w:t>
            </w:r>
            <w:r w:rsidR="004368C9">
              <w:rPr>
                <w:rFonts w:ascii="Calibri" w:hAnsi="Calibri" w:cs="Calibri"/>
              </w:rPr>
              <w:t>6</w:t>
            </w:r>
          </w:p>
        </w:tc>
        <w:tc>
          <w:tcPr>
            <w:tcW w:w="579" w:type="pct"/>
            <w:tcBorders>
              <w:top w:val="nil"/>
              <w:left w:val="nil"/>
              <w:bottom w:val="nil"/>
              <w:right w:val="nil"/>
            </w:tcBorders>
            <w:shd w:val="clear" w:color="auto" w:fill="auto"/>
            <w:vAlign w:val="center"/>
            <w:hideMark/>
          </w:tcPr>
          <w:p w14:paraId="0B6613A5" w14:textId="4FB8430B" w:rsidR="003D3EC9" w:rsidRPr="006C452D" w:rsidRDefault="003D3EC9" w:rsidP="00756BE9">
            <w:pPr>
              <w:pStyle w:val="TableTextRight"/>
              <w:rPr>
                <w:lang w:eastAsia="en-AU"/>
              </w:rPr>
            </w:pPr>
            <w:r>
              <w:rPr>
                <w:rFonts w:ascii="Calibri" w:hAnsi="Calibri" w:cs="Calibri"/>
              </w:rPr>
              <w:t>3.</w:t>
            </w:r>
            <w:r w:rsidR="004368C9">
              <w:rPr>
                <w:rFonts w:ascii="Calibri" w:hAnsi="Calibri" w:cs="Calibri"/>
              </w:rPr>
              <w:t>4</w:t>
            </w:r>
          </w:p>
        </w:tc>
        <w:tc>
          <w:tcPr>
            <w:tcW w:w="579" w:type="pct"/>
            <w:tcBorders>
              <w:top w:val="nil"/>
              <w:left w:val="nil"/>
              <w:bottom w:val="nil"/>
              <w:right w:val="single" w:sz="4" w:space="0" w:color="auto"/>
            </w:tcBorders>
            <w:shd w:val="clear" w:color="auto" w:fill="auto"/>
            <w:vAlign w:val="center"/>
            <w:hideMark/>
          </w:tcPr>
          <w:p w14:paraId="660C552A" w14:textId="2F4099AC" w:rsidR="003D3EC9" w:rsidRPr="006C452D" w:rsidRDefault="003D3EC9" w:rsidP="00756BE9">
            <w:pPr>
              <w:pStyle w:val="TableTextRight"/>
              <w:rPr>
                <w:lang w:eastAsia="en-AU"/>
              </w:rPr>
            </w:pPr>
            <w:r>
              <w:rPr>
                <w:rFonts w:ascii="Calibri" w:hAnsi="Calibri" w:cs="Calibri"/>
              </w:rPr>
              <w:t>2.9</w:t>
            </w:r>
          </w:p>
        </w:tc>
        <w:tc>
          <w:tcPr>
            <w:tcW w:w="574" w:type="pct"/>
            <w:tcBorders>
              <w:top w:val="nil"/>
              <w:left w:val="nil"/>
              <w:bottom w:val="nil"/>
              <w:right w:val="nil"/>
            </w:tcBorders>
            <w:shd w:val="clear" w:color="auto" w:fill="auto"/>
            <w:vAlign w:val="center"/>
            <w:hideMark/>
          </w:tcPr>
          <w:p w14:paraId="022C1D41" w14:textId="0F66AA8A" w:rsidR="003D3EC9" w:rsidRPr="006C452D" w:rsidRDefault="003D3EC9" w:rsidP="00756BE9">
            <w:pPr>
              <w:pStyle w:val="TableTextRight"/>
              <w:rPr>
                <w:lang w:eastAsia="en-AU"/>
              </w:rPr>
            </w:pPr>
            <w:r>
              <w:rPr>
                <w:rFonts w:ascii="Calibri" w:hAnsi="Calibri" w:cs="Calibri"/>
              </w:rPr>
              <w:t>2.9</w:t>
            </w:r>
          </w:p>
        </w:tc>
      </w:tr>
      <w:tr w:rsidR="003D3EC9" w:rsidRPr="006C452D" w14:paraId="2554255C" w14:textId="77777777" w:rsidTr="00916EF2">
        <w:trPr>
          <w:trHeight w:val="227"/>
        </w:trPr>
        <w:tc>
          <w:tcPr>
            <w:tcW w:w="1531" w:type="pct"/>
            <w:tcBorders>
              <w:top w:val="nil"/>
              <w:left w:val="nil"/>
              <w:bottom w:val="nil"/>
              <w:right w:val="nil"/>
            </w:tcBorders>
            <w:shd w:val="clear" w:color="auto" w:fill="auto"/>
            <w:vAlign w:val="center"/>
            <w:hideMark/>
          </w:tcPr>
          <w:p w14:paraId="2F8A9BB9" w14:textId="2EB19CB7" w:rsidR="003D3EC9" w:rsidRPr="006C452D" w:rsidRDefault="003D3EC9" w:rsidP="00C75089">
            <w:pPr>
              <w:pStyle w:val="TableColumnHeadingLeft"/>
            </w:pPr>
            <w:r w:rsidRPr="006C452D">
              <w:t>Net internal migration (</w:t>
            </w:r>
            <w:r w:rsidR="00050D25">
              <w:t>‘</w:t>
            </w:r>
            <w:r w:rsidRPr="006C452D">
              <w:t>000)</w:t>
            </w:r>
          </w:p>
        </w:tc>
        <w:tc>
          <w:tcPr>
            <w:tcW w:w="579" w:type="pct"/>
            <w:tcBorders>
              <w:top w:val="nil"/>
              <w:left w:val="nil"/>
              <w:bottom w:val="nil"/>
              <w:right w:val="nil"/>
            </w:tcBorders>
            <w:shd w:val="clear" w:color="auto" w:fill="auto"/>
            <w:vAlign w:val="center"/>
            <w:hideMark/>
          </w:tcPr>
          <w:p w14:paraId="7384C7D1"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47F2A54C" w14:textId="6E478DA2"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42BC1E90"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45ED5EDE"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3E5D3B59" w14:textId="2DDA10EA"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19BA90DD" w14:textId="77777777" w:rsidR="003D3EC9" w:rsidRPr="006C452D" w:rsidRDefault="003D3EC9" w:rsidP="00756BE9">
            <w:pPr>
              <w:pStyle w:val="TableTextRight"/>
              <w:rPr>
                <w:lang w:eastAsia="en-AU"/>
              </w:rPr>
            </w:pPr>
          </w:p>
        </w:tc>
      </w:tr>
      <w:tr w:rsidR="003D3EC9" w:rsidRPr="006C452D" w14:paraId="4FA69E5B" w14:textId="77777777" w:rsidTr="00916EF2">
        <w:trPr>
          <w:trHeight w:val="227"/>
        </w:trPr>
        <w:tc>
          <w:tcPr>
            <w:tcW w:w="1531" w:type="pct"/>
            <w:tcBorders>
              <w:top w:val="nil"/>
              <w:left w:val="nil"/>
              <w:bottom w:val="nil"/>
              <w:right w:val="nil"/>
            </w:tcBorders>
            <w:shd w:val="clear" w:color="auto" w:fill="auto"/>
            <w:vAlign w:val="center"/>
            <w:hideMark/>
          </w:tcPr>
          <w:p w14:paraId="282A014E"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6E80E0BB" w14:textId="322515CC" w:rsidR="003D3EC9" w:rsidRPr="006C452D" w:rsidRDefault="003D3EC9" w:rsidP="00756BE9">
            <w:pPr>
              <w:pStyle w:val="TableTextRight"/>
              <w:rPr>
                <w:lang w:eastAsia="en-AU"/>
              </w:rPr>
            </w:pPr>
            <w:r>
              <w:rPr>
                <w:rFonts w:ascii="Calibri" w:hAnsi="Calibri" w:cs="Calibri"/>
              </w:rPr>
              <w:t>11.6</w:t>
            </w:r>
          </w:p>
        </w:tc>
        <w:tc>
          <w:tcPr>
            <w:tcW w:w="579" w:type="pct"/>
            <w:tcBorders>
              <w:top w:val="nil"/>
              <w:left w:val="nil"/>
              <w:bottom w:val="nil"/>
              <w:right w:val="nil"/>
            </w:tcBorders>
            <w:shd w:val="clear" w:color="auto" w:fill="D2EDFF"/>
            <w:vAlign w:val="center"/>
            <w:hideMark/>
          </w:tcPr>
          <w:p w14:paraId="613A4624" w14:textId="606EA60B" w:rsidR="003D3EC9" w:rsidRPr="006C452D" w:rsidRDefault="003D3EC9" w:rsidP="00756BE9">
            <w:pPr>
              <w:pStyle w:val="TableTextRight"/>
              <w:rPr>
                <w:lang w:eastAsia="en-AU"/>
              </w:rPr>
            </w:pPr>
            <w:r>
              <w:rPr>
                <w:rFonts w:ascii="Calibri" w:hAnsi="Calibri" w:cs="Calibri"/>
              </w:rPr>
              <w:t>9.7</w:t>
            </w:r>
          </w:p>
        </w:tc>
        <w:tc>
          <w:tcPr>
            <w:tcW w:w="579" w:type="pct"/>
            <w:tcBorders>
              <w:top w:val="nil"/>
              <w:left w:val="nil"/>
              <w:bottom w:val="nil"/>
              <w:right w:val="nil"/>
            </w:tcBorders>
            <w:shd w:val="clear" w:color="auto" w:fill="auto"/>
            <w:vAlign w:val="center"/>
            <w:hideMark/>
          </w:tcPr>
          <w:p w14:paraId="13A1B59D" w14:textId="35B984F2" w:rsidR="003D3EC9" w:rsidRPr="006C452D" w:rsidRDefault="003D3EC9" w:rsidP="00756BE9">
            <w:pPr>
              <w:pStyle w:val="TableTextRight"/>
              <w:rPr>
                <w:lang w:eastAsia="en-AU"/>
              </w:rPr>
            </w:pPr>
            <w:r>
              <w:rPr>
                <w:rFonts w:ascii="Calibri" w:hAnsi="Calibri" w:cs="Calibri"/>
              </w:rPr>
              <w:t>6.9</w:t>
            </w:r>
          </w:p>
        </w:tc>
        <w:tc>
          <w:tcPr>
            <w:tcW w:w="579" w:type="pct"/>
            <w:tcBorders>
              <w:top w:val="nil"/>
              <w:left w:val="nil"/>
              <w:bottom w:val="nil"/>
              <w:right w:val="nil"/>
            </w:tcBorders>
            <w:shd w:val="clear" w:color="auto" w:fill="auto"/>
            <w:vAlign w:val="center"/>
            <w:hideMark/>
          </w:tcPr>
          <w:p w14:paraId="3DC0F60B" w14:textId="38C15633" w:rsidR="003D3EC9" w:rsidRPr="006C452D" w:rsidRDefault="003D3EC9" w:rsidP="00756BE9">
            <w:pPr>
              <w:pStyle w:val="TableTextRight"/>
              <w:rPr>
                <w:lang w:eastAsia="en-AU"/>
              </w:rPr>
            </w:pPr>
            <w:r>
              <w:rPr>
                <w:rFonts w:ascii="Calibri" w:hAnsi="Calibri" w:cs="Calibri"/>
              </w:rPr>
              <w:t>3.0</w:t>
            </w:r>
          </w:p>
        </w:tc>
        <w:tc>
          <w:tcPr>
            <w:tcW w:w="579" w:type="pct"/>
            <w:tcBorders>
              <w:top w:val="nil"/>
              <w:left w:val="nil"/>
              <w:bottom w:val="nil"/>
              <w:right w:val="single" w:sz="4" w:space="0" w:color="auto"/>
            </w:tcBorders>
            <w:shd w:val="clear" w:color="auto" w:fill="auto"/>
            <w:vAlign w:val="center"/>
            <w:hideMark/>
          </w:tcPr>
          <w:p w14:paraId="2EABCBB4" w14:textId="6DDC2FA2" w:rsidR="003D3EC9" w:rsidRPr="006C452D" w:rsidRDefault="003D3EC9" w:rsidP="00756BE9">
            <w:pPr>
              <w:pStyle w:val="TableTextRight"/>
              <w:rPr>
                <w:lang w:eastAsia="en-AU"/>
              </w:rPr>
            </w:pPr>
            <w:r>
              <w:rPr>
                <w:rFonts w:ascii="Calibri" w:hAnsi="Calibri" w:cs="Calibri"/>
              </w:rPr>
              <w:t>0.5</w:t>
            </w:r>
          </w:p>
        </w:tc>
        <w:tc>
          <w:tcPr>
            <w:tcW w:w="574" w:type="pct"/>
            <w:tcBorders>
              <w:top w:val="nil"/>
              <w:left w:val="nil"/>
              <w:bottom w:val="nil"/>
              <w:right w:val="nil"/>
            </w:tcBorders>
            <w:shd w:val="clear" w:color="auto" w:fill="auto"/>
            <w:vAlign w:val="center"/>
            <w:hideMark/>
          </w:tcPr>
          <w:p w14:paraId="0FB28BB7" w14:textId="78DC727C" w:rsidR="003D3EC9" w:rsidRPr="006C452D" w:rsidRDefault="003D3EC9" w:rsidP="00756BE9">
            <w:pPr>
              <w:pStyle w:val="TableTextRight"/>
              <w:rPr>
                <w:lang w:eastAsia="en-AU"/>
              </w:rPr>
            </w:pPr>
            <w:r>
              <w:rPr>
                <w:rFonts w:ascii="Calibri" w:hAnsi="Calibri" w:cs="Calibri"/>
              </w:rPr>
              <w:t>0.</w:t>
            </w:r>
            <w:r w:rsidR="004368C9">
              <w:rPr>
                <w:rFonts w:ascii="Calibri" w:hAnsi="Calibri" w:cs="Calibri"/>
              </w:rPr>
              <w:t>2</w:t>
            </w:r>
          </w:p>
        </w:tc>
      </w:tr>
      <w:tr w:rsidR="003D3EC9" w:rsidRPr="006C452D" w14:paraId="4A8B5611" w14:textId="77777777" w:rsidTr="00916EF2">
        <w:trPr>
          <w:trHeight w:val="227"/>
        </w:trPr>
        <w:tc>
          <w:tcPr>
            <w:tcW w:w="1531" w:type="pct"/>
            <w:tcBorders>
              <w:top w:val="nil"/>
              <w:left w:val="nil"/>
              <w:bottom w:val="nil"/>
              <w:right w:val="nil"/>
            </w:tcBorders>
            <w:shd w:val="clear" w:color="auto" w:fill="auto"/>
            <w:vAlign w:val="center"/>
            <w:hideMark/>
          </w:tcPr>
          <w:p w14:paraId="4615EFB6"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5299ED1C" w14:textId="340EA0DB" w:rsidR="003D3EC9" w:rsidRPr="006C452D" w:rsidRDefault="003D3EC9" w:rsidP="00756BE9">
            <w:pPr>
              <w:pStyle w:val="TableTextRight"/>
              <w:rPr>
                <w:lang w:eastAsia="en-AU"/>
              </w:rPr>
            </w:pPr>
            <w:r>
              <w:rPr>
                <w:rFonts w:ascii="Calibri" w:hAnsi="Calibri" w:cs="Calibri"/>
              </w:rPr>
              <w:t>10.7</w:t>
            </w:r>
          </w:p>
        </w:tc>
        <w:tc>
          <w:tcPr>
            <w:tcW w:w="579" w:type="pct"/>
            <w:tcBorders>
              <w:top w:val="nil"/>
              <w:left w:val="nil"/>
              <w:bottom w:val="nil"/>
              <w:right w:val="nil"/>
            </w:tcBorders>
            <w:shd w:val="clear" w:color="auto" w:fill="D2EDFF"/>
            <w:vAlign w:val="center"/>
            <w:hideMark/>
          </w:tcPr>
          <w:p w14:paraId="762A3CC3" w14:textId="17661B9F" w:rsidR="003D3EC9" w:rsidRPr="006C452D" w:rsidRDefault="003D3EC9" w:rsidP="00756BE9">
            <w:pPr>
              <w:pStyle w:val="TableTextRight"/>
              <w:rPr>
                <w:lang w:eastAsia="en-AU"/>
              </w:rPr>
            </w:pPr>
            <w:r>
              <w:rPr>
                <w:rFonts w:ascii="Calibri" w:hAnsi="Calibri" w:cs="Calibri"/>
              </w:rPr>
              <w:t>7.8</w:t>
            </w:r>
          </w:p>
        </w:tc>
        <w:tc>
          <w:tcPr>
            <w:tcW w:w="579" w:type="pct"/>
            <w:tcBorders>
              <w:top w:val="nil"/>
              <w:left w:val="nil"/>
              <w:bottom w:val="nil"/>
              <w:right w:val="nil"/>
            </w:tcBorders>
            <w:shd w:val="clear" w:color="auto" w:fill="auto"/>
            <w:vAlign w:val="center"/>
            <w:hideMark/>
          </w:tcPr>
          <w:p w14:paraId="4D69ECC4" w14:textId="46A5064D" w:rsidR="003D3EC9" w:rsidRPr="006C452D" w:rsidRDefault="003D3EC9" w:rsidP="00756BE9">
            <w:pPr>
              <w:pStyle w:val="TableTextRight"/>
              <w:rPr>
                <w:lang w:eastAsia="en-AU"/>
              </w:rPr>
            </w:pPr>
            <w:r>
              <w:rPr>
                <w:rFonts w:ascii="Calibri" w:hAnsi="Calibri" w:cs="Calibri"/>
              </w:rPr>
              <w:t>6.1</w:t>
            </w:r>
          </w:p>
        </w:tc>
        <w:tc>
          <w:tcPr>
            <w:tcW w:w="579" w:type="pct"/>
            <w:tcBorders>
              <w:top w:val="nil"/>
              <w:left w:val="nil"/>
              <w:bottom w:val="nil"/>
              <w:right w:val="nil"/>
            </w:tcBorders>
            <w:shd w:val="clear" w:color="auto" w:fill="auto"/>
            <w:vAlign w:val="center"/>
            <w:hideMark/>
          </w:tcPr>
          <w:p w14:paraId="73ACF2A4" w14:textId="4907B70E" w:rsidR="003D3EC9" w:rsidRPr="006C452D" w:rsidRDefault="003D3EC9" w:rsidP="00756BE9">
            <w:pPr>
              <w:pStyle w:val="TableTextRight"/>
              <w:rPr>
                <w:lang w:eastAsia="en-AU"/>
              </w:rPr>
            </w:pPr>
            <w:r>
              <w:rPr>
                <w:rFonts w:ascii="Calibri" w:hAnsi="Calibri" w:cs="Calibri"/>
              </w:rPr>
              <w:t>3.7</w:t>
            </w:r>
          </w:p>
        </w:tc>
        <w:tc>
          <w:tcPr>
            <w:tcW w:w="579" w:type="pct"/>
            <w:tcBorders>
              <w:top w:val="nil"/>
              <w:left w:val="nil"/>
              <w:bottom w:val="nil"/>
              <w:right w:val="single" w:sz="4" w:space="0" w:color="auto"/>
            </w:tcBorders>
            <w:shd w:val="clear" w:color="auto" w:fill="auto"/>
            <w:vAlign w:val="center"/>
            <w:hideMark/>
          </w:tcPr>
          <w:p w14:paraId="4CE57CCE" w14:textId="57C55438" w:rsidR="003D3EC9" w:rsidRPr="006C452D" w:rsidRDefault="003D3EC9" w:rsidP="00756BE9">
            <w:pPr>
              <w:pStyle w:val="TableTextRight"/>
              <w:rPr>
                <w:lang w:eastAsia="en-AU"/>
              </w:rPr>
            </w:pPr>
            <w:r>
              <w:rPr>
                <w:rFonts w:ascii="Calibri" w:hAnsi="Calibri" w:cs="Calibri"/>
              </w:rPr>
              <w:t>2.</w:t>
            </w:r>
            <w:r w:rsidR="004368C9">
              <w:rPr>
                <w:rFonts w:ascii="Calibri" w:hAnsi="Calibri" w:cs="Calibri"/>
              </w:rPr>
              <w:t>2</w:t>
            </w:r>
          </w:p>
        </w:tc>
        <w:tc>
          <w:tcPr>
            <w:tcW w:w="574" w:type="pct"/>
            <w:tcBorders>
              <w:top w:val="nil"/>
              <w:left w:val="nil"/>
              <w:bottom w:val="nil"/>
              <w:right w:val="nil"/>
            </w:tcBorders>
            <w:shd w:val="clear" w:color="auto" w:fill="auto"/>
            <w:vAlign w:val="center"/>
            <w:hideMark/>
          </w:tcPr>
          <w:p w14:paraId="1AF1D529" w14:textId="41327639" w:rsidR="003D3EC9" w:rsidRPr="006C452D" w:rsidRDefault="003D3EC9" w:rsidP="00756BE9">
            <w:pPr>
              <w:pStyle w:val="TableTextRight"/>
              <w:rPr>
                <w:lang w:eastAsia="en-AU"/>
              </w:rPr>
            </w:pPr>
            <w:r>
              <w:rPr>
                <w:rFonts w:ascii="Calibri" w:hAnsi="Calibri" w:cs="Calibri"/>
              </w:rPr>
              <w:t>0.8</w:t>
            </w:r>
          </w:p>
        </w:tc>
      </w:tr>
      <w:tr w:rsidR="003D3EC9" w:rsidRPr="006C452D" w14:paraId="2E04CDBD"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5E71B1A6"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single" w:sz="4" w:space="0" w:color="auto"/>
              <w:right w:val="nil"/>
            </w:tcBorders>
            <w:shd w:val="clear" w:color="auto" w:fill="auto"/>
            <w:vAlign w:val="center"/>
            <w:hideMark/>
          </w:tcPr>
          <w:p w14:paraId="4AB92796" w14:textId="4C1348A3" w:rsidR="003D3EC9" w:rsidRPr="006C452D" w:rsidRDefault="003D3EC9" w:rsidP="00756BE9">
            <w:pPr>
              <w:pStyle w:val="TableTextRight"/>
              <w:rPr>
                <w:lang w:eastAsia="en-AU"/>
              </w:rPr>
            </w:pPr>
            <w:r>
              <w:rPr>
                <w:rFonts w:ascii="Calibri" w:hAnsi="Calibri" w:cs="Calibri"/>
              </w:rPr>
              <w:t>1.0</w:t>
            </w:r>
          </w:p>
        </w:tc>
        <w:tc>
          <w:tcPr>
            <w:tcW w:w="579" w:type="pct"/>
            <w:tcBorders>
              <w:top w:val="nil"/>
              <w:left w:val="nil"/>
              <w:bottom w:val="single" w:sz="4" w:space="0" w:color="auto"/>
              <w:right w:val="nil"/>
            </w:tcBorders>
            <w:shd w:val="clear" w:color="auto" w:fill="D2EDFF"/>
            <w:vAlign w:val="center"/>
            <w:hideMark/>
          </w:tcPr>
          <w:p w14:paraId="3C30901E" w14:textId="47BDB6DC" w:rsidR="003D3EC9" w:rsidRPr="006C452D" w:rsidRDefault="003D3EC9" w:rsidP="00756BE9">
            <w:pPr>
              <w:pStyle w:val="TableTextRight"/>
              <w:rPr>
                <w:lang w:eastAsia="en-AU"/>
              </w:rPr>
            </w:pPr>
            <w:r>
              <w:rPr>
                <w:rFonts w:ascii="Calibri" w:hAnsi="Calibri" w:cs="Calibri"/>
              </w:rPr>
              <w:t>1.9</w:t>
            </w:r>
          </w:p>
        </w:tc>
        <w:tc>
          <w:tcPr>
            <w:tcW w:w="579" w:type="pct"/>
            <w:tcBorders>
              <w:top w:val="nil"/>
              <w:left w:val="nil"/>
              <w:bottom w:val="single" w:sz="4" w:space="0" w:color="auto"/>
              <w:right w:val="nil"/>
            </w:tcBorders>
            <w:shd w:val="clear" w:color="auto" w:fill="auto"/>
            <w:vAlign w:val="center"/>
            <w:hideMark/>
          </w:tcPr>
          <w:p w14:paraId="2E159495" w14:textId="636AB967" w:rsidR="003D3EC9" w:rsidRPr="006C452D" w:rsidRDefault="003D3EC9" w:rsidP="00756BE9">
            <w:pPr>
              <w:pStyle w:val="TableTextRight"/>
              <w:rPr>
                <w:lang w:eastAsia="en-AU"/>
              </w:rPr>
            </w:pPr>
            <w:r>
              <w:rPr>
                <w:rFonts w:ascii="Calibri" w:hAnsi="Calibri" w:cs="Calibri"/>
              </w:rPr>
              <w:t>0.8</w:t>
            </w:r>
          </w:p>
        </w:tc>
        <w:tc>
          <w:tcPr>
            <w:tcW w:w="579" w:type="pct"/>
            <w:tcBorders>
              <w:top w:val="nil"/>
              <w:left w:val="nil"/>
              <w:bottom w:val="single" w:sz="4" w:space="0" w:color="auto"/>
              <w:right w:val="nil"/>
            </w:tcBorders>
            <w:shd w:val="clear" w:color="auto" w:fill="auto"/>
            <w:vAlign w:val="center"/>
            <w:hideMark/>
          </w:tcPr>
          <w:p w14:paraId="0CF1EF20" w14:textId="124403B9" w:rsidR="003D3EC9" w:rsidRPr="006C452D" w:rsidRDefault="00050D25" w:rsidP="00756BE9">
            <w:pPr>
              <w:pStyle w:val="TableTextRight"/>
              <w:rPr>
                <w:lang w:eastAsia="en-AU"/>
              </w:rPr>
            </w:pPr>
            <w:r>
              <w:rPr>
                <w:rFonts w:ascii="Calibri" w:hAnsi="Calibri" w:cs="Calibri"/>
              </w:rPr>
              <w:noBreakHyphen/>
            </w:r>
            <w:r w:rsidR="003D3EC9">
              <w:rPr>
                <w:rFonts w:ascii="Calibri" w:hAnsi="Calibri" w:cs="Calibri"/>
              </w:rPr>
              <w:t>0.8</w:t>
            </w:r>
          </w:p>
        </w:tc>
        <w:tc>
          <w:tcPr>
            <w:tcW w:w="579" w:type="pct"/>
            <w:tcBorders>
              <w:top w:val="nil"/>
              <w:left w:val="nil"/>
              <w:bottom w:val="single" w:sz="4" w:space="0" w:color="auto"/>
              <w:right w:val="single" w:sz="4" w:space="0" w:color="auto"/>
            </w:tcBorders>
            <w:shd w:val="clear" w:color="auto" w:fill="auto"/>
            <w:vAlign w:val="center"/>
            <w:hideMark/>
          </w:tcPr>
          <w:p w14:paraId="386F4DAE" w14:textId="433F44F6" w:rsidR="003D3EC9" w:rsidRPr="006C452D" w:rsidRDefault="00050D25" w:rsidP="00756BE9">
            <w:pPr>
              <w:pStyle w:val="TableTextRight"/>
              <w:rPr>
                <w:lang w:eastAsia="en-AU"/>
              </w:rPr>
            </w:pPr>
            <w:r>
              <w:rPr>
                <w:rFonts w:ascii="Calibri" w:hAnsi="Calibri" w:cs="Calibri"/>
              </w:rPr>
              <w:noBreakHyphen/>
            </w:r>
            <w:r w:rsidR="003D3EC9">
              <w:rPr>
                <w:rFonts w:ascii="Calibri" w:hAnsi="Calibri" w:cs="Calibri"/>
              </w:rPr>
              <w:t>1.7</w:t>
            </w:r>
          </w:p>
        </w:tc>
        <w:tc>
          <w:tcPr>
            <w:tcW w:w="574" w:type="pct"/>
            <w:tcBorders>
              <w:top w:val="nil"/>
              <w:left w:val="nil"/>
              <w:bottom w:val="single" w:sz="4" w:space="0" w:color="auto"/>
              <w:right w:val="nil"/>
            </w:tcBorders>
            <w:shd w:val="clear" w:color="auto" w:fill="auto"/>
            <w:vAlign w:val="center"/>
            <w:hideMark/>
          </w:tcPr>
          <w:p w14:paraId="2103E8C0" w14:textId="1C95F1C3" w:rsidR="003D3EC9" w:rsidRPr="006C452D" w:rsidRDefault="00050D25" w:rsidP="00756BE9">
            <w:pPr>
              <w:pStyle w:val="TableTextRight"/>
              <w:rPr>
                <w:lang w:eastAsia="en-AU"/>
              </w:rPr>
            </w:pPr>
            <w:r>
              <w:rPr>
                <w:rFonts w:ascii="Calibri" w:hAnsi="Calibri" w:cs="Calibri"/>
              </w:rPr>
              <w:noBreakHyphen/>
            </w:r>
            <w:r w:rsidR="003D3EC9">
              <w:rPr>
                <w:rFonts w:ascii="Calibri" w:hAnsi="Calibri" w:cs="Calibri"/>
              </w:rPr>
              <w:t>0.6</w:t>
            </w:r>
          </w:p>
        </w:tc>
      </w:tr>
      <w:tr w:rsidR="003D3EC9" w:rsidRPr="006C452D" w14:paraId="79D52236" w14:textId="77777777" w:rsidTr="00916EF2">
        <w:trPr>
          <w:trHeight w:val="227"/>
        </w:trPr>
        <w:tc>
          <w:tcPr>
            <w:tcW w:w="1531" w:type="pct"/>
            <w:tcBorders>
              <w:top w:val="nil"/>
              <w:left w:val="nil"/>
              <w:bottom w:val="nil"/>
              <w:right w:val="nil"/>
            </w:tcBorders>
            <w:shd w:val="clear" w:color="auto" w:fill="auto"/>
            <w:vAlign w:val="center"/>
            <w:hideMark/>
          </w:tcPr>
          <w:p w14:paraId="0955AA26" w14:textId="77777777" w:rsidR="003D3EC9" w:rsidRPr="006C452D" w:rsidRDefault="003D3EC9" w:rsidP="00C75089">
            <w:pPr>
              <w:pStyle w:val="TableColumnHeadingLeft"/>
            </w:pPr>
            <w:r w:rsidRPr="006C452D">
              <w:t>Median age (years)</w:t>
            </w:r>
          </w:p>
        </w:tc>
        <w:tc>
          <w:tcPr>
            <w:tcW w:w="579" w:type="pct"/>
            <w:tcBorders>
              <w:top w:val="nil"/>
              <w:left w:val="nil"/>
              <w:bottom w:val="nil"/>
              <w:right w:val="nil"/>
            </w:tcBorders>
            <w:shd w:val="clear" w:color="auto" w:fill="auto"/>
            <w:vAlign w:val="center"/>
            <w:hideMark/>
          </w:tcPr>
          <w:p w14:paraId="366D2928"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D2EDFF"/>
            <w:vAlign w:val="center"/>
            <w:hideMark/>
          </w:tcPr>
          <w:p w14:paraId="14D0A399" w14:textId="2F548FC1" w:rsidR="003D3EC9" w:rsidRPr="006C452D"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2320E3AC" w14:textId="77777777" w:rsidR="003D3EC9" w:rsidRPr="006C452D"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3FCB1513" w14:textId="77777777" w:rsidR="003D3EC9" w:rsidRPr="006C452D"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6CF460B4" w14:textId="2A0F0570" w:rsidR="003D3EC9" w:rsidRPr="006C452D"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762EBB52" w14:textId="77777777" w:rsidR="003D3EC9" w:rsidRPr="006C452D" w:rsidRDefault="003D3EC9" w:rsidP="00756BE9">
            <w:pPr>
              <w:pStyle w:val="TableTextRight"/>
              <w:rPr>
                <w:lang w:eastAsia="en-AU"/>
              </w:rPr>
            </w:pPr>
          </w:p>
        </w:tc>
      </w:tr>
      <w:tr w:rsidR="003D3EC9" w:rsidRPr="006C452D" w14:paraId="5C1D0587" w14:textId="77777777" w:rsidTr="00916EF2">
        <w:trPr>
          <w:trHeight w:val="227"/>
        </w:trPr>
        <w:tc>
          <w:tcPr>
            <w:tcW w:w="1531" w:type="pct"/>
            <w:tcBorders>
              <w:top w:val="nil"/>
              <w:left w:val="nil"/>
              <w:bottom w:val="nil"/>
              <w:right w:val="nil"/>
            </w:tcBorders>
            <w:shd w:val="clear" w:color="auto" w:fill="auto"/>
            <w:vAlign w:val="center"/>
            <w:hideMark/>
          </w:tcPr>
          <w:p w14:paraId="008E6157" w14:textId="77777777" w:rsidR="003D3EC9" w:rsidRPr="006C452D" w:rsidRDefault="003D3EC9" w:rsidP="00916EF2">
            <w:pPr>
              <w:spacing w:before="0" w:after="0" w:line="240" w:lineRule="auto"/>
              <w:rPr>
                <w:rFonts w:ascii="Calibri" w:eastAsia="Times New Roman" w:hAnsi="Calibri" w:cs="Calibri"/>
                <w:color w:val="002C47"/>
                <w:lang w:eastAsia="en-AU"/>
              </w:rPr>
            </w:pPr>
            <w:r w:rsidRPr="006C452D">
              <w:rPr>
                <w:rFonts w:ascii="Calibri" w:eastAsia="Times New Roman" w:hAnsi="Calibri" w:cs="Calibri"/>
                <w:color w:val="002C47"/>
                <w:lang w:eastAsia="en-AU"/>
              </w:rPr>
              <w:t>Western Australia</w:t>
            </w:r>
          </w:p>
        </w:tc>
        <w:tc>
          <w:tcPr>
            <w:tcW w:w="579" w:type="pct"/>
            <w:tcBorders>
              <w:top w:val="nil"/>
              <w:left w:val="nil"/>
              <w:bottom w:val="nil"/>
              <w:right w:val="nil"/>
            </w:tcBorders>
            <w:shd w:val="clear" w:color="auto" w:fill="auto"/>
            <w:vAlign w:val="center"/>
            <w:hideMark/>
          </w:tcPr>
          <w:p w14:paraId="7138F37C" w14:textId="365081A9" w:rsidR="003D3EC9" w:rsidRPr="006C452D" w:rsidRDefault="004368C9" w:rsidP="00756BE9">
            <w:pPr>
              <w:pStyle w:val="TableTextRight"/>
              <w:rPr>
                <w:lang w:eastAsia="en-AU"/>
              </w:rPr>
            </w:pPr>
            <w:r>
              <w:rPr>
                <w:rFonts w:ascii="Calibri" w:hAnsi="Calibri" w:cs="Calibri"/>
              </w:rPr>
              <w:t>38</w:t>
            </w:r>
            <w:r w:rsidR="003D3EC9">
              <w:rPr>
                <w:rFonts w:ascii="Calibri" w:hAnsi="Calibri" w:cs="Calibri"/>
              </w:rPr>
              <w:t>.1</w:t>
            </w:r>
          </w:p>
        </w:tc>
        <w:tc>
          <w:tcPr>
            <w:tcW w:w="579" w:type="pct"/>
            <w:tcBorders>
              <w:top w:val="nil"/>
              <w:left w:val="nil"/>
              <w:bottom w:val="nil"/>
              <w:right w:val="nil"/>
            </w:tcBorders>
            <w:shd w:val="clear" w:color="auto" w:fill="D2EDFF"/>
            <w:vAlign w:val="center"/>
            <w:hideMark/>
          </w:tcPr>
          <w:p w14:paraId="30E1D4AF" w14:textId="70D44272" w:rsidR="003D3EC9" w:rsidRPr="006C452D" w:rsidRDefault="004368C9" w:rsidP="00756BE9">
            <w:pPr>
              <w:pStyle w:val="TableTextRight"/>
              <w:rPr>
                <w:lang w:eastAsia="en-AU"/>
              </w:rPr>
            </w:pPr>
            <w:r>
              <w:rPr>
                <w:rFonts w:ascii="Calibri" w:hAnsi="Calibri" w:cs="Calibri"/>
              </w:rPr>
              <w:t>38</w:t>
            </w:r>
            <w:r w:rsidR="003D3EC9">
              <w:rPr>
                <w:rFonts w:ascii="Calibri" w:hAnsi="Calibri" w:cs="Calibri"/>
              </w:rPr>
              <w:t>.0</w:t>
            </w:r>
          </w:p>
        </w:tc>
        <w:tc>
          <w:tcPr>
            <w:tcW w:w="579" w:type="pct"/>
            <w:tcBorders>
              <w:top w:val="nil"/>
              <w:left w:val="nil"/>
              <w:bottom w:val="nil"/>
              <w:right w:val="nil"/>
            </w:tcBorders>
            <w:shd w:val="clear" w:color="auto" w:fill="auto"/>
            <w:vAlign w:val="center"/>
            <w:hideMark/>
          </w:tcPr>
          <w:p w14:paraId="62A90D85" w14:textId="1A9141C1" w:rsidR="003D3EC9" w:rsidRPr="006C452D" w:rsidRDefault="004368C9" w:rsidP="00756BE9">
            <w:pPr>
              <w:pStyle w:val="TableTextRight"/>
              <w:rPr>
                <w:lang w:eastAsia="en-AU"/>
              </w:rPr>
            </w:pPr>
            <w:r>
              <w:rPr>
                <w:rFonts w:ascii="Calibri" w:hAnsi="Calibri" w:cs="Calibri"/>
              </w:rPr>
              <w:t>38</w:t>
            </w:r>
            <w:r w:rsidR="003D3EC9">
              <w:rPr>
                <w:rFonts w:ascii="Calibri" w:hAnsi="Calibri" w:cs="Calibri"/>
              </w:rPr>
              <w:t>.1</w:t>
            </w:r>
          </w:p>
        </w:tc>
        <w:tc>
          <w:tcPr>
            <w:tcW w:w="579" w:type="pct"/>
            <w:tcBorders>
              <w:top w:val="nil"/>
              <w:left w:val="nil"/>
              <w:bottom w:val="nil"/>
              <w:right w:val="nil"/>
            </w:tcBorders>
            <w:shd w:val="clear" w:color="auto" w:fill="auto"/>
            <w:vAlign w:val="center"/>
            <w:hideMark/>
          </w:tcPr>
          <w:p w14:paraId="0A78A041" w14:textId="2501F27F" w:rsidR="003D3EC9" w:rsidRPr="006C452D" w:rsidRDefault="004368C9" w:rsidP="00756BE9">
            <w:pPr>
              <w:pStyle w:val="TableTextRight"/>
              <w:rPr>
                <w:lang w:eastAsia="en-AU"/>
              </w:rPr>
            </w:pPr>
            <w:r>
              <w:rPr>
                <w:rFonts w:ascii="Calibri" w:hAnsi="Calibri" w:cs="Calibri"/>
              </w:rPr>
              <w:t>38.2</w:t>
            </w:r>
          </w:p>
        </w:tc>
        <w:tc>
          <w:tcPr>
            <w:tcW w:w="579" w:type="pct"/>
            <w:tcBorders>
              <w:top w:val="nil"/>
              <w:left w:val="nil"/>
              <w:bottom w:val="nil"/>
              <w:right w:val="single" w:sz="4" w:space="0" w:color="auto"/>
            </w:tcBorders>
            <w:shd w:val="clear" w:color="auto" w:fill="auto"/>
            <w:vAlign w:val="center"/>
            <w:hideMark/>
          </w:tcPr>
          <w:p w14:paraId="50A89788" w14:textId="1559CD89" w:rsidR="003D3EC9" w:rsidRPr="006C452D" w:rsidRDefault="004368C9" w:rsidP="00756BE9">
            <w:pPr>
              <w:pStyle w:val="TableTextRight"/>
              <w:rPr>
                <w:lang w:eastAsia="en-AU"/>
              </w:rPr>
            </w:pPr>
            <w:r>
              <w:rPr>
                <w:rFonts w:ascii="Calibri" w:hAnsi="Calibri" w:cs="Calibri"/>
              </w:rPr>
              <w:t>38</w:t>
            </w:r>
            <w:r w:rsidR="003D3EC9">
              <w:rPr>
                <w:rFonts w:ascii="Calibri" w:hAnsi="Calibri" w:cs="Calibri"/>
              </w:rPr>
              <w:t>.5</w:t>
            </w:r>
          </w:p>
        </w:tc>
        <w:tc>
          <w:tcPr>
            <w:tcW w:w="574" w:type="pct"/>
            <w:tcBorders>
              <w:top w:val="nil"/>
              <w:left w:val="nil"/>
              <w:bottom w:val="nil"/>
              <w:right w:val="nil"/>
            </w:tcBorders>
            <w:shd w:val="clear" w:color="auto" w:fill="auto"/>
            <w:vAlign w:val="center"/>
            <w:hideMark/>
          </w:tcPr>
          <w:p w14:paraId="6ECA25E7" w14:textId="5F8359EA" w:rsidR="003D3EC9" w:rsidRPr="006C452D" w:rsidRDefault="004368C9" w:rsidP="00756BE9">
            <w:pPr>
              <w:pStyle w:val="TableTextRight"/>
              <w:rPr>
                <w:lang w:eastAsia="en-AU"/>
              </w:rPr>
            </w:pPr>
            <w:r>
              <w:rPr>
                <w:rFonts w:ascii="Calibri" w:hAnsi="Calibri" w:cs="Calibri"/>
              </w:rPr>
              <w:t>39</w:t>
            </w:r>
            <w:r w:rsidR="003D3EC9">
              <w:rPr>
                <w:rFonts w:ascii="Calibri" w:hAnsi="Calibri" w:cs="Calibri"/>
              </w:rPr>
              <w:t>.7</w:t>
            </w:r>
          </w:p>
        </w:tc>
      </w:tr>
      <w:tr w:rsidR="003D3EC9" w:rsidRPr="006C452D" w14:paraId="007CF578" w14:textId="77777777" w:rsidTr="00916EF2">
        <w:trPr>
          <w:trHeight w:val="227"/>
        </w:trPr>
        <w:tc>
          <w:tcPr>
            <w:tcW w:w="1531" w:type="pct"/>
            <w:tcBorders>
              <w:top w:val="nil"/>
              <w:left w:val="nil"/>
              <w:bottom w:val="nil"/>
              <w:right w:val="nil"/>
            </w:tcBorders>
            <w:shd w:val="clear" w:color="auto" w:fill="auto"/>
            <w:vAlign w:val="center"/>
            <w:hideMark/>
          </w:tcPr>
          <w:p w14:paraId="6069FA8F"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Greater Perth</w:t>
            </w:r>
          </w:p>
        </w:tc>
        <w:tc>
          <w:tcPr>
            <w:tcW w:w="579" w:type="pct"/>
            <w:tcBorders>
              <w:top w:val="nil"/>
              <w:left w:val="nil"/>
              <w:bottom w:val="nil"/>
              <w:right w:val="nil"/>
            </w:tcBorders>
            <w:shd w:val="clear" w:color="auto" w:fill="auto"/>
            <w:vAlign w:val="center"/>
            <w:hideMark/>
          </w:tcPr>
          <w:p w14:paraId="5CBE3D14" w14:textId="0F2F6FD1" w:rsidR="003D3EC9" w:rsidRPr="006C452D" w:rsidRDefault="004368C9" w:rsidP="00756BE9">
            <w:pPr>
              <w:pStyle w:val="TableTextRight"/>
              <w:rPr>
                <w:lang w:eastAsia="en-AU"/>
              </w:rPr>
            </w:pPr>
            <w:r>
              <w:rPr>
                <w:rFonts w:ascii="Calibri" w:hAnsi="Calibri" w:cs="Calibri"/>
              </w:rPr>
              <w:t>37</w:t>
            </w:r>
            <w:r w:rsidR="003D3EC9">
              <w:rPr>
                <w:rFonts w:ascii="Calibri" w:hAnsi="Calibri" w:cs="Calibri"/>
              </w:rPr>
              <w:t>.6</w:t>
            </w:r>
          </w:p>
        </w:tc>
        <w:tc>
          <w:tcPr>
            <w:tcW w:w="579" w:type="pct"/>
            <w:tcBorders>
              <w:top w:val="nil"/>
              <w:left w:val="nil"/>
              <w:bottom w:val="nil"/>
              <w:right w:val="nil"/>
            </w:tcBorders>
            <w:shd w:val="clear" w:color="auto" w:fill="D2EDFF"/>
            <w:vAlign w:val="center"/>
            <w:hideMark/>
          </w:tcPr>
          <w:p w14:paraId="093A0F25" w14:textId="4502E405" w:rsidR="003D3EC9" w:rsidRPr="006C452D" w:rsidRDefault="004368C9" w:rsidP="00756BE9">
            <w:pPr>
              <w:pStyle w:val="TableTextRight"/>
              <w:rPr>
                <w:lang w:eastAsia="en-AU"/>
              </w:rPr>
            </w:pPr>
            <w:r>
              <w:rPr>
                <w:rFonts w:ascii="Calibri" w:hAnsi="Calibri" w:cs="Calibri"/>
              </w:rPr>
              <w:t>37</w:t>
            </w:r>
            <w:r w:rsidR="003D3EC9">
              <w:rPr>
                <w:rFonts w:ascii="Calibri" w:hAnsi="Calibri" w:cs="Calibri"/>
              </w:rPr>
              <w:t>.4</w:t>
            </w:r>
          </w:p>
        </w:tc>
        <w:tc>
          <w:tcPr>
            <w:tcW w:w="579" w:type="pct"/>
            <w:tcBorders>
              <w:top w:val="nil"/>
              <w:left w:val="nil"/>
              <w:bottom w:val="nil"/>
              <w:right w:val="nil"/>
            </w:tcBorders>
            <w:shd w:val="clear" w:color="auto" w:fill="auto"/>
            <w:vAlign w:val="center"/>
            <w:hideMark/>
          </w:tcPr>
          <w:p w14:paraId="1363C0FB" w14:textId="7E7E2E3C" w:rsidR="003D3EC9" w:rsidRPr="006C452D" w:rsidRDefault="004368C9" w:rsidP="00756BE9">
            <w:pPr>
              <w:pStyle w:val="TableTextRight"/>
              <w:rPr>
                <w:lang w:eastAsia="en-AU"/>
              </w:rPr>
            </w:pPr>
            <w:r>
              <w:rPr>
                <w:rFonts w:ascii="Calibri" w:hAnsi="Calibri" w:cs="Calibri"/>
              </w:rPr>
              <w:t>37</w:t>
            </w:r>
            <w:r w:rsidR="003D3EC9">
              <w:rPr>
                <w:rFonts w:ascii="Calibri" w:hAnsi="Calibri" w:cs="Calibri"/>
              </w:rPr>
              <w:t>.5</w:t>
            </w:r>
          </w:p>
        </w:tc>
        <w:tc>
          <w:tcPr>
            <w:tcW w:w="579" w:type="pct"/>
            <w:tcBorders>
              <w:top w:val="nil"/>
              <w:left w:val="nil"/>
              <w:bottom w:val="nil"/>
              <w:right w:val="nil"/>
            </w:tcBorders>
            <w:shd w:val="clear" w:color="auto" w:fill="auto"/>
            <w:vAlign w:val="center"/>
            <w:hideMark/>
          </w:tcPr>
          <w:p w14:paraId="74EF1C0C" w14:textId="226996CD" w:rsidR="003D3EC9" w:rsidRPr="006C452D" w:rsidRDefault="004368C9" w:rsidP="00756BE9">
            <w:pPr>
              <w:pStyle w:val="TableTextRight"/>
              <w:rPr>
                <w:lang w:eastAsia="en-AU"/>
              </w:rPr>
            </w:pPr>
            <w:r>
              <w:rPr>
                <w:rFonts w:ascii="Calibri" w:hAnsi="Calibri" w:cs="Calibri"/>
              </w:rPr>
              <w:t>37.6</w:t>
            </w:r>
          </w:p>
        </w:tc>
        <w:tc>
          <w:tcPr>
            <w:tcW w:w="579" w:type="pct"/>
            <w:tcBorders>
              <w:top w:val="nil"/>
              <w:left w:val="nil"/>
              <w:bottom w:val="nil"/>
              <w:right w:val="single" w:sz="4" w:space="0" w:color="auto"/>
            </w:tcBorders>
            <w:shd w:val="clear" w:color="auto" w:fill="auto"/>
            <w:vAlign w:val="center"/>
            <w:hideMark/>
          </w:tcPr>
          <w:p w14:paraId="1413E169" w14:textId="5A02E1FA" w:rsidR="003D3EC9" w:rsidRPr="006C452D" w:rsidRDefault="004368C9" w:rsidP="00756BE9">
            <w:pPr>
              <w:pStyle w:val="TableTextRight"/>
              <w:rPr>
                <w:lang w:eastAsia="en-AU"/>
              </w:rPr>
            </w:pPr>
            <w:r>
              <w:rPr>
                <w:rFonts w:ascii="Calibri" w:hAnsi="Calibri" w:cs="Calibri"/>
              </w:rPr>
              <w:t>37.8</w:t>
            </w:r>
          </w:p>
        </w:tc>
        <w:tc>
          <w:tcPr>
            <w:tcW w:w="574" w:type="pct"/>
            <w:tcBorders>
              <w:top w:val="nil"/>
              <w:left w:val="nil"/>
              <w:bottom w:val="nil"/>
              <w:right w:val="nil"/>
            </w:tcBorders>
            <w:shd w:val="clear" w:color="auto" w:fill="auto"/>
            <w:vAlign w:val="center"/>
            <w:hideMark/>
          </w:tcPr>
          <w:p w14:paraId="59BB4618" w14:textId="008D1DEC" w:rsidR="003D3EC9" w:rsidRPr="006C452D" w:rsidRDefault="003D3EC9" w:rsidP="00756BE9">
            <w:pPr>
              <w:pStyle w:val="TableTextRight"/>
              <w:rPr>
                <w:lang w:eastAsia="en-AU"/>
              </w:rPr>
            </w:pPr>
            <w:r>
              <w:rPr>
                <w:rFonts w:ascii="Calibri" w:hAnsi="Calibri" w:cs="Calibri"/>
              </w:rPr>
              <w:t>38.</w:t>
            </w:r>
            <w:r w:rsidR="004368C9">
              <w:rPr>
                <w:rFonts w:ascii="Calibri" w:hAnsi="Calibri" w:cs="Calibri"/>
              </w:rPr>
              <w:t>9</w:t>
            </w:r>
          </w:p>
        </w:tc>
      </w:tr>
      <w:tr w:rsidR="003D3EC9" w:rsidRPr="006C452D" w14:paraId="4F2014A3"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54E19B8A" w14:textId="77777777" w:rsidR="003D3EC9" w:rsidRPr="006C452D" w:rsidRDefault="003D3EC9" w:rsidP="00916EF2">
            <w:pPr>
              <w:spacing w:before="0" w:after="0" w:line="240" w:lineRule="auto"/>
              <w:ind w:firstLineChars="100" w:firstLine="200"/>
              <w:rPr>
                <w:rFonts w:ascii="Calibri" w:eastAsia="Times New Roman" w:hAnsi="Calibri" w:cs="Calibri"/>
                <w:i/>
                <w:iCs/>
                <w:color w:val="002C47"/>
                <w:lang w:eastAsia="en-AU"/>
              </w:rPr>
            </w:pPr>
            <w:r w:rsidRPr="006C452D">
              <w:rPr>
                <w:rFonts w:ascii="Calibri" w:eastAsia="Times New Roman" w:hAnsi="Calibri" w:cs="Calibri"/>
                <w:i/>
                <w:iCs/>
                <w:color w:val="002C47"/>
                <w:lang w:eastAsia="en-AU"/>
              </w:rPr>
              <w:t>Rest of Western Australia</w:t>
            </w:r>
          </w:p>
        </w:tc>
        <w:tc>
          <w:tcPr>
            <w:tcW w:w="579" w:type="pct"/>
            <w:tcBorders>
              <w:top w:val="nil"/>
              <w:left w:val="nil"/>
              <w:bottom w:val="single" w:sz="4" w:space="0" w:color="auto"/>
              <w:right w:val="nil"/>
            </w:tcBorders>
            <w:shd w:val="clear" w:color="auto" w:fill="auto"/>
            <w:vAlign w:val="center"/>
            <w:hideMark/>
          </w:tcPr>
          <w:p w14:paraId="6E18D7A5" w14:textId="41096A04" w:rsidR="003D3EC9" w:rsidRPr="006C452D" w:rsidRDefault="004368C9" w:rsidP="00756BE9">
            <w:pPr>
              <w:pStyle w:val="TableTextRight"/>
              <w:rPr>
                <w:lang w:eastAsia="en-AU"/>
              </w:rPr>
            </w:pPr>
            <w:r>
              <w:rPr>
                <w:rFonts w:ascii="Calibri" w:hAnsi="Calibri" w:cs="Calibri"/>
              </w:rPr>
              <w:t>40</w:t>
            </w:r>
            <w:r w:rsidR="003D3EC9">
              <w:rPr>
                <w:rFonts w:ascii="Calibri" w:hAnsi="Calibri" w:cs="Calibri"/>
              </w:rPr>
              <w:t>.4</w:t>
            </w:r>
          </w:p>
        </w:tc>
        <w:tc>
          <w:tcPr>
            <w:tcW w:w="579" w:type="pct"/>
            <w:tcBorders>
              <w:top w:val="nil"/>
              <w:left w:val="nil"/>
              <w:bottom w:val="single" w:sz="4" w:space="0" w:color="auto"/>
              <w:right w:val="nil"/>
            </w:tcBorders>
            <w:shd w:val="clear" w:color="auto" w:fill="D2EDFF"/>
            <w:vAlign w:val="center"/>
            <w:hideMark/>
          </w:tcPr>
          <w:p w14:paraId="4A15CA6E" w14:textId="4EFD681F" w:rsidR="003D3EC9" w:rsidRPr="006C452D" w:rsidRDefault="004368C9" w:rsidP="00756BE9">
            <w:pPr>
              <w:pStyle w:val="TableTextRight"/>
              <w:rPr>
                <w:lang w:eastAsia="en-AU"/>
              </w:rPr>
            </w:pPr>
            <w:r>
              <w:rPr>
                <w:rFonts w:ascii="Calibri" w:hAnsi="Calibri" w:cs="Calibri"/>
              </w:rPr>
              <w:t>40</w:t>
            </w:r>
            <w:r w:rsidR="003D3EC9">
              <w:rPr>
                <w:rFonts w:ascii="Calibri" w:hAnsi="Calibri" w:cs="Calibri"/>
              </w:rPr>
              <w:t>.5</w:t>
            </w:r>
          </w:p>
        </w:tc>
        <w:tc>
          <w:tcPr>
            <w:tcW w:w="579" w:type="pct"/>
            <w:tcBorders>
              <w:top w:val="nil"/>
              <w:left w:val="nil"/>
              <w:bottom w:val="single" w:sz="4" w:space="0" w:color="auto"/>
              <w:right w:val="nil"/>
            </w:tcBorders>
            <w:shd w:val="clear" w:color="auto" w:fill="auto"/>
            <w:vAlign w:val="center"/>
            <w:hideMark/>
          </w:tcPr>
          <w:p w14:paraId="4103B09B" w14:textId="2346202C" w:rsidR="003D3EC9" w:rsidRPr="006C452D" w:rsidRDefault="004368C9" w:rsidP="00756BE9">
            <w:pPr>
              <w:pStyle w:val="TableTextRight"/>
              <w:rPr>
                <w:lang w:eastAsia="en-AU"/>
              </w:rPr>
            </w:pPr>
            <w:r>
              <w:rPr>
                <w:rFonts w:ascii="Calibri" w:hAnsi="Calibri" w:cs="Calibri"/>
              </w:rPr>
              <w:t>40.7</w:t>
            </w:r>
          </w:p>
        </w:tc>
        <w:tc>
          <w:tcPr>
            <w:tcW w:w="579" w:type="pct"/>
            <w:tcBorders>
              <w:top w:val="nil"/>
              <w:left w:val="nil"/>
              <w:bottom w:val="single" w:sz="4" w:space="0" w:color="auto"/>
              <w:right w:val="nil"/>
            </w:tcBorders>
            <w:shd w:val="clear" w:color="auto" w:fill="auto"/>
            <w:vAlign w:val="center"/>
            <w:hideMark/>
          </w:tcPr>
          <w:p w14:paraId="459B118F" w14:textId="2C9F69F2" w:rsidR="003D3EC9" w:rsidRPr="006C452D" w:rsidRDefault="004368C9" w:rsidP="00756BE9">
            <w:pPr>
              <w:pStyle w:val="TableTextRight"/>
              <w:rPr>
                <w:lang w:eastAsia="en-AU"/>
              </w:rPr>
            </w:pPr>
            <w:r>
              <w:rPr>
                <w:rFonts w:ascii="Calibri" w:hAnsi="Calibri" w:cs="Calibri"/>
              </w:rPr>
              <w:t>41</w:t>
            </w:r>
            <w:r w:rsidR="003D3EC9">
              <w:rPr>
                <w:rFonts w:ascii="Calibri" w:hAnsi="Calibri" w:cs="Calibri"/>
              </w:rPr>
              <w:t>.1</w:t>
            </w:r>
          </w:p>
        </w:tc>
        <w:tc>
          <w:tcPr>
            <w:tcW w:w="579" w:type="pct"/>
            <w:tcBorders>
              <w:top w:val="nil"/>
              <w:left w:val="nil"/>
              <w:bottom w:val="single" w:sz="4" w:space="0" w:color="auto"/>
              <w:right w:val="single" w:sz="4" w:space="0" w:color="auto"/>
            </w:tcBorders>
            <w:shd w:val="clear" w:color="auto" w:fill="auto"/>
            <w:vAlign w:val="center"/>
            <w:hideMark/>
          </w:tcPr>
          <w:p w14:paraId="68FD8053" w14:textId="15758116" w:rsidR="003D3EC9" w:rsidRPr="006C452D" w:rsidRDefault="004368C9" w:rsidP="00756BE9">
            <w:pPr>
              <w:pStyle w:val="TableTextRight"/>
              <w:rPr>
                <w:lang w:eastAsia="en-AU"/>
              </w:rPr>
            </w:pPr>
            <w:r>
              <w:rPr>
                <w:rFonts w:ascii="Calibri" w:hAnsi="Calibri" w:cs="Calibri"/>
              </w:rPr>
              <w:t>41</w:t>
            </w:r>
            <w:r w:rsidR="003D3EC9">
              <w:rPr>
                <w:rFonts w:ascii="Calibri" w:hAnsi="Calibri" w:cs="Calibri"/>
              </w:rPr>
              <w:t>.5</w:t>
            </w:r>
          </w:p>
        </w:tc>
        <w:tc>
          <w:tcPr>
            <w:tcW w:w="574" w:type="pct"/>
            <w:tcBorders>
              <w:top w:val="nil"/>
              <w:left w:val="nil"/>
              <w:bottom w:val="single" w:sz="4" w:space="0" w:color="auto"/>
              <w:right w:val="nil"/>
            </w:tcBorders>
            <w:shd w:val="clear" w:color="auto" w:fill="auto"/>
            <w:vAlign w:val="center"/>
            <w:hideMark/>
          </w:tcPr>
          <w:p w14:paraId="6030E723" w14:textId="267AA6AC" w:rsidR="003D3EC9" w:rsidRPr="006C452D" w:rsidRDefault="004368C9" w:rsidP="00756BE9">
            <w:pPr>
              <w:pStyle w:val="TableTextRight"/>
              <w:rPr>
                <w:lang w:eastAsia="en-AU"/>
              </w:rPr>
            </w:pPr>
            <w:r>
              <w:rPr>
                <w:rFonts w:ascii="Calibri" w:hAnsi="Calibri" w:cs="Calibri"/>
              </w:rPr>
              <w:t>43.6</w:t>
            </w:r>
          </w:p>
        </w:tc>
      </w:tr>
    </w:tbl>
    <w:p w14:paraId="1CC492C6" w14:textId="4C32F0B1" w:rsidR="00756BE9" w:rsidRDefault="003D3EC9" w:rsidP="003D3EC9">
      <w:pPr>
        <w:pStyle w:val="Source"/>
      </w:pPr>
      <w:r w:rsidRPr="00D47BF1">
        <w:t xml:space="preserve">Source: </w:t>
      </w:r>
      <w:r>
        <w:tab/>
      </w:r>
      <w:r w:rsidRPr="00D47BF1">
        <w:t xml:space="preserve">ABS, </w:t>
      </w:r>
      <w:r w:rsidR="009155F8" w:rsidRPr="00997375">
        <w:rPr>
          <w:rStyle w:val="SubtleEmphasis"/>
        </w:rPr>
        <w:t>National, state and territory population, March 2024</w:t>
      </w:r>
      <w:r w:rsidRPr="00997375">
        <w:rPr>
          <w:rStyle w:val="SubtleEmphasis"/>
        </w:rPr>
        <w:t>;</w:t>
      </w:r>
      <w:r>
        <w:t xml:space="preserve"> ABS, </w:t>
      </w:r>
      <w:r w:rsidR="0035214B" w:rsidRPr="00997375">
        <w:rPr>
          <w:rStyle w:val="SubtleEmphasis"/>
        </w:rPr>
        <w:t>Regional population, 2022–23</w:t>
      </w:r>
      <w:r>
        <w:t>; and Centre for Population.</w:t>
      </w:r>
    </w:p>
    <w:p w14:paraId="471CAE69" w14:textId="77777777" w:rsidR="00756BE9" w:rsidRDefault="00756BE9" w:rsidP="00997375">
      <w:pPr>
        <w:pStyle w:val="SingleParagraph"/>
        <w:rPr>
          <w:sz w:val="18"/>
          <w:bdr w:val="none" w:sz="0" w:space="0" w:color="auto" w:frame="1"/>
        </w:rPr>
      </w:pPr>
      <w:r>
        <w:br w:type="page"/>
      </w:r>
    </w:p>
    <w:p w14:paraId="3C3F7C70" w14:textId="77777777" w:rsidR="003D3EC9" w:rsidRPr="00926A5E" w:rsidRDefault="003D3EC9" w:rsidP="003D3EC9">
      <w:pPr>
        <w:pStyle w:val="Heading2Numbered"/>
      </w:pPr>
      <w:bookmarkStart w:id="219" w:name="_Toc149846513"/>
      <w:bookmarkStart w:id="220" w:name="_Toc149846554"/>
      <w:bookmarkStart w:id="221" w:name="_Toc149846652"/>
      <w:bookmarkStart w:id="222" w:name="_Toc149847595"/>
      <w:bookmarkStart w:id="223" w:name="_Toc151994728"/>
      <w:bookmarkStart w:id="224" w:name="_Toc180584526"/>
      <w:bookmarkStart w:id="225" w:name="_Toc185333117"/>
      <w:bookmarkStart w:id="226" w:name="_Toc185346734"/>
      <w:r w:rsidRPr="00926A5E">
        <w:lastRenderedPageBreak/>
        <w:t>Tasmania</w:t>
      </w:r>
      <w:bookmarkEnd w:id="219"/>
      <w:bookmarkEnd w:id="220"/>
      <w:bookmarkEnd w:id="221"/>
      <w:bookmarkEnd w:id="222"/>
      <w:bookmarkEnd w:id="223"/>
      <w:bookmarkEnd w:id="224"/>
      <w:bookmarkEnd w:id="225"/>
      <w:bookmarkEnd w:id="226"/>
    </w:p>
    <w:p w14:paraId="6A95AB9A" w14:textId="20E363C8" w:rsidR="003D3EC9" w:rsidRDefault="003D3EC9" w:rsidP="00997375">
      <w:r>
        <w:t>Tasmania</w:t>
      </w:r>
      <w:r w:rsidR="00050D25">
        <w:t>’</w:t>
      </w:r>
      <w:r>
        <w:t>s population is projected to increase from 576,000 in 2023–24 to 599,000 by 2034–35. Tasmania has been the slowest growing state since 2021–22 and this is expected to continue. Population growth is forecast to decline to 0.</w:t>
      </w:r>
      <w:r w:rsidR="009E0432">
        <w:t>4</w:t>
      </w:r>
      <w:r w:rsidR="00FF207F">
        <w:t> per cent</w:t>
      </w:r>
      <w:r>
        <w:t xml:space="preserve"> in 2023–24 and 0.2</w:t>
      </w:r>
      <w:r w:rsidR="00FF207F">
        <w:t> per cent</w:t>
      </w:r>
      <w:r>
        <w:t xml:space="preserve"> in 2024–25 before recovering to 0.4</w:t>
      </w:r>
      <w:r w:rsidR="00FF207F">
        <w:t> per cent</w:t>
      </w:r>
      <w:r>
        <w:t xml:space="preserve"> growth from 2026–27.</w:t>
      </w:r>
    </w:p>
    <w:p w14:paraId="0AE527C3" w14:textId="4D9B38E8" w:rsidR="003D3EC9" w:rsidRDefault="00AA5357" w:rsidP="00997375">
      <w:r>
        <w:t xml:space="preserve">Over </w:t>
      </w:r>
      <w:r w:rsidR="003D3EC9">
        <w:t xml:space="preserve">the </w:t>
      </w:r>
      <w:r w:rsidR="00D52B5E">
        <w:t xml:space="preserve">next </w:t>
      </w:r>
      <w:r>
        <w:t>forecast period</w:t>
      </w:r>
      <w:r w:rsidR="003D3EC9">
        <w:t>,</w:t>
      </w:r>
      <w:r w:rsidR="00D52B5E">
        <w:t xml:space="preserve"> the decline and recovery in Tasmania</w:t>
      </w:r>
      <w:r w:rsidR="00050D25">
        <w:t>’</w:t>
      </w:r>
      <w:r w:rsidR="00D52B5E">
        <w:t>s population</w:t>
      </w:r>
      <w:r w:rsidR="003D3EC9">
        <w:t xml:space="preserve"> growth is driven by overseas and interstate migration returning to their trend levels. Net interstate migration has been negative but is forecast to return to its trend of </w:t>
      </w:r>
      <w:r w:rsidR="00F72212">
        <w:t xml:space="preserve">low positives </w:t>
      </w:r>
      <w:r w:rsidR="003D3EC9">
        <w:t xml:space="preserve">from 2026–27. Tasmania </w:t>
      </w:r>
      <w:r w:rsidR="00566956">
        <w:t>ha</w:t>
      </w:r>
      <w:r w:rsidR="005F37E8">
        <w:t>s</w:t>
      </w:r>
      <w:r w:rsidR="00566956">
        <w:t xml:space="preserve"> the lowest contribution from natural increase of any state and</w:t>
      </w:r>
      <w:r w:rsidR="003D3EC9">
        <w:t xml:space="preserve"> is projected to experience natural decrease from 2029–30, which would be the first time this ha</w:t>
      </w:r>
      <w:r w:rsidR="00BA1E7F">
        <w:t>s</w:t>
      </w:r>
      <w:r w:rsidR="003D3EC9">
        <w:t xml:space="preserve"> happened for a whole state since the 1930s. Despite having the smallest contribution to growth from </w:t>
      </w:r>
      <w:r w:rsidR="00E84835">
        <w:t>NOM</w:t>
      </w:r>
      <w:r w:rsidR="003D3EC9">
        <w:t xml:space="preserve"> of any state,</w:t>
      </w:r>
      <w:r w:rsidR="003D3EC9" w:rsidDel="00E544FF">
        <w:t xml:space="preserve"> </w:t>
      </w:r>
      <w:r w:rsidR="00E84835">
        <w:t>NOM</w:t>
      </w:r>
      <w:r w:rsidR="003D3EC9">
        <w:t xml:space="preserve"> is still expected to contribute almost all of Tasmania</w:t>
      </w:r>
      <w:r w:rsidR="00050D25">
        <w:t>’</w:t>
      </w:r>
      <w:r w:rsidR="003D3EC9">
        <w:t>s population growth over the projection period.</w:t>
      </w:r>
    </w:p>
    <w:p w14:paraId="14331E23" w14:textId="6754E49E" w:rsidR="003D3EC9" w:rsidRPr="0080495D" w:rsidRDefault="003D3EC9" w:rsidP="00654915">
      <w:pPr>
        <w:pStyle w:val="ChartMainHeading"/>
      </w:pPr>
      <w:r w:rsidRPr="0080495D">
        <w:t xml:space="preserve">Population growth </w:t>
      </w:r>
      <w:r w:rsidR="00631419">
        <w:t xml:space="preserve">in </w:t>
      </w:r>
      <w:r>
        <w:t>Tasmania</w:t>
      </w:r>
    </w:p>
    <w:p w14:paraId="0817E455" w14:textId="5948A68B" w:rsidR="003D3EC9" w:rsidRPr="00DE2131" w:rsidRDefault="00AE0A83" w:rsidP="00997375">
      <w:pPr>
        <w:pStyle w:val="ChartGraphic"/>
      </w:pPr>
      <w:r w:rsidRPr="00AE0A83">
        <w:t xml:space="preserve"> </w:t>
      </w:r>
      <w:r w:rsidRPr="00997375">
        <w:rPr>
          <w:noProof/>
        </w:rPr>
        <w:drawing>
          <wp:inline distT="0" distB="0" distL="0" distR="0" wp14:anchorId="0608D5A5" wp14:editId="7C10338E">
            <wp:extent cx="5581650" cy="2876550"/>
            <wp:effectExtent l="0" t="0" r="0" b="0"/>
            <wp:docPr id="2132631848" name="Picture 19" descr="This chart shows the population growth rate and contribution to growth by components in Tasmania. Growth in Tasmania has fallen since 2018–19 and is forecast to continue falling until 2024–25 before eventually increasing slightly and stabilising over the projection period. Higher levels of growth prior to the pandemic are mostly due to positive net interstate migration and intercensal difference. Net overseas migration was a strong contributor to growth in Tasmania in recent years but was partially offset by interstate migration outflows. The state is expected to have little contribution to growth from natural increase, and experience natural decrease from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1848" name="Picture 19" descr="This chart shows the population growth rate and contribution to growth by components in Tasmania. Growth in Tasmania has fallen since 2018–19 and is forecast to continue falling until 2024–25 before eventually increasing slightly and stabilising over the projection period. Higher levels of growth prior to the pandemic are mostly due to positive net interstate migration and intercensal difference. Net overseas migration was a strong contributor to growth in Tasmania in recent years but was partially offset by interstate migration outflows. The state is expected to have little contribution to growth from natural increase, and experience natural decrease from 2029–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179F4C86" w14:textId="228AD161" w:rsidR="003D3EC9" w:rsidRPr="008A444E" w:rsidRDefault="003D3EC9" w:rsidP="003D3EC9">
      <w:pPr>
        <w:pStyle w:val="Source"/>
      </w:pPr>
      <w:r w:rsidRPr="004218BD">
        <w:t xml:space="preserve">Source: </w:t>
      </w:r>
      <w:r>
        <w:tab/>
      </w:r>
      <w:r w:rsidRPr="004218BD">
        <w:t xml:space="preserve">ABS, </w:t>
      </w:r>
      <w:r w:rsidR="009155F8" w:rsidRPr="00997375">
        <w:rPr>
          <w:rStyle w:val="SubtleEmphasis"/>
        </w:rPr>
        <w:t>National, state and territory population, March 2024</w:t>
      </w:r>
      <w:r>
        <w:t>; and Centre for Population</w:t>
      </w:r>
      <w:r w:rsidRPr="004218BD">
        <w:t>.</w:t>
      </w:r>
    </w:p>
    <w:p w14:paraId="4B4F80CF" w14:textId="77777777" w:rsidR="00997375" w:rsidRDefault="00997375" w:rsidP="00997375">
      <w:pPr>
        <w:pStyle w:val="SingleParagraph"/>
      </w:pPr>
    </w:p>
    <w:p w14:paraId="55477AA2" w14:textId="0A5DFCCE" w:rsidR="003D3EC9" w:rsidRDefault="003D3EC9" w:rsidP="003D3EC9">
      <w:r w:rsidRPr="00F704FC">
        <w:rPr>
          <w:b/>
        </w:rPr>
        <w:t>Greater Hobart</w:t>
      </w:r>
      <w:r w:rsidR="00050D25" w:rsidRPr="00304B43">
        <w:rPr>
          <w:bCs/>
        </w:rPr>
        <w:t>’</w:t>
      </w:r>
      <w:r w:rsidRPr="00304B43">
        <w:rPr>
          <w:bCs/>
        </w:rPr>
        <w:t>s</w:t>
      </w:r>
      <w:r>
        <w:t xml:space="preserve"> population is expected to be 25</w:t>
      </w:r>
      <w:r w:rsidR="006A7CB8">
        <w:t>4</w:t>
      </w:r>
      <w:r>
        <w:t>,000 in 2023–24, representing 44</w:t>
      </w:r>
      <w:r w:rsidR="00FF207F">
        <w:t> per cent</w:t>
      </w:r>
      <w:r>
        <w:t xml:space="preserve"> of </w:t>
      </w:r>
      <w:r w:rsidDel="00EA63CC">
        <w:t>Tasmania</w:t>
      </w:r>
      <w:r w:rsidR="00050D25">
        <w:t>’</w:t>
      </w:r>
      <w:r w:rsidDel="00EA63CC">
        <w:t>s</w:t>
      </w:r>
      <w:r>
        <w:t xml:space="preserve"> population. Population growth in </w:t>
      </w:r>
      <w:r w:rsidR="00A961E4">
        <w:t>Greater</w:t>
      </w:r>
      <w:r>
        <w:t xml:space="preserve"> Hobart is forecast to decrease to 0.2</w:t>
      </w:r>
      <w:r w:rsidR="00FF207F">
        <w:t> per cent</w:t>
      </w:r>
      <w:r>
        <w:t xml:space="preserve"> in 2023–‍24 and 2024–</w:t>
      </w:r>
      <w:r w:rsidR="00B961C7">
        <w:t>‍</w:t>
      </w:r>
      <w:r>
        <w:t>25, the lowest of any capital city. Growth is projected to pick up as net internal migration recovers to its long</w:t>
      </w:r>
      <w:r w:rsidR="00050D25">
        <w:noBreakHyphen/>
      </w:r>
      <w:r>
        <w:t>term trend, reaching 0.6</w:t>
      </w:r>
      <w:r w:rsidR="00FF207F">
        <w:t> per cent</w:t>
      </w:r>
      <w:r>
        <w:t xml:space="preserve"> in 2026</w:t>
      </w:r>
      <w:r w:rsidDel="00EA63CC">
        <w:t>–</w:t>
      </w:r>
      <w:r>
        <w:t xml:space="preserve">27. Growth is then projected to slow to </w:t>
      </w:r>
      <w:r w:rsidR="00743DD5">
        <w:t>0.5</w:t>
      </w:r>
      <w:r w:rsidR="00FF207F">
        <w:t> per cent</w:t>
      </w:r>
      <w:r>
        <w:t xml:space="preserve"> by 203</w:t>
      </w:r>
      <w:r w:rsidR="00CD1B5C">
        <w:t>4</w:t>
      </w:r>
      <w:r>
        <w:t>–</w:t>
      </w:r>
      <w:r w:rsidR="00BF59AC">
        <w:t>‍</w:t>
      </w:r>
      <w:r>
        <w:t>3</w:t>
      </w:r>
      <w:r w:rsidR="00CD1B5C">
        <w:t>5</w:t>
      </w:r>
      <w:r>
        <w:t xml:space="preserve">. Most of the growth is expected to come from </w:t>
      </w:r>
      <w:r w:rsidR="00E84835">
        <w:t>NOM</w:t>
      </w:r>
      <w:r>
        <w:t>, with natural increase and net internal migration expected to be slightly positive. Hobart</w:t>
      </w:r>
      <w:r w:rsidR="00050D25">
        <w:t>’</w:t>
      </w:r>
      <w:r>
        <w:t xml:space="preserve">s population is projected to be 270,000 in 2034–35. </w:t>
      </w:r>
    </w:p>
    <w:p w14:paraId="32387D68" w14:textId="7E751D74" w:rsidR="003D3EC9" w:rsidRDefault="003D3EC9" w:rsidP="003D3EC9">
      <w:r>
        <w:t xml:space="preserve">The population of the </w:t>
      </w:r>
      <w:r w:rsidRPr="3C362E4C">
        <w:rPr>
          <w:b/>
          <w:bCs/>
        </w:rPr>
        <w:t>rest of Tasmania</w:t>
      </w:r>
      <w:r>
        <w:t xml:space="preserve"> is expected to be 321,000 in 2023–24, the largest rest</w:t>
      </w:r>
      <w:r w:rsidR="00050D25">
        <w:noBreakHyphen/>
      </w:r>
      <w:r>
        <w:t>of</w:t>
      </w:r>
      <w:r w:rsidR="00050D25">
        <w:noBreakHyphen/>
      </w:r>
      <w:r>
        <w:t>state population share at 56</w:t>
      </w:r>
      <w:r w:rsidR="00FF207F">
        <w:t> per cent</w:t>
      </w:r>
      <w:r>
        <w:t>. Population growth is forecast to fall from 0.4</w:t>
      </w:r>
      <w:r w:rsidR="00FF207F">
        <w:t> per cent</w:t>
      </w:r>
      <w:r>
        <w:t xml:space="preserve"> in 2023–24 to 0.3</w:t>
      </w:r>
      <w:r w:rsidR="00FF207F">
        <w:t> per cent</w:t>
      </w:r>
      <w:r>
        <w:t xml:space="preserve"> in 2024–25 as </w:t>
      </w:r>
      <w:r w:rsidR="00E84835">
        <w:t>NOM</w:t>
      </w:r>
      <w:r>
        <w:t xml:space="preserve"> subsides. </w:t>
      </w:r>
      <w:r w:rsidR="00E84835">
        <w:t>NOM</w:t>
      </w:r>
      <w:r>
        <w:t xml:space="preserve"> is projected to contribute </w:t>
      </w:r>
      <w:proofErr w:type="gramStart"/>
      <w:r>
        <w:t>the overwhelming majority of</w:t>
      </w:r>
      <w:proofErr w:type="gramEnd"/>
      <w:r>
        <w:t xml:space="preserve"> population growth. Net internal migration is expected to contribute to growth from 2024–25, but this is more than offset by natural decrease which is projected to subtract 0.2 percentage points from growth by 2034–35. The rest of Tasmania</w:t>
      </w:r>
      <w:r w:rsidR="00050D25">
        <w:t>’</w:t>
      </w:r>
      <w:r>
        <w:t>s population is projected to be 3</w:t>
      </w:r>
      <w:r w:rsidR="004D0965">
        <w:t>30</w:t>
      </w:r>
      <w:r>
        <w:t xml:space="preserve">,000 in 2034–35. </w:t>
      </w:r>
    </w:p>
    <w:p w14:paraId="3C2FCF7B" w14:textId="77777777" w:rsidR="003D3EC9" w:rsidRDefault="003D3EC9" w:rsidP="003D3EC9"/>
    <w:p w14:paraId="11376D37" w14:textId="1A0CFEE6" w:rsidR="003D3EC9" w:rsidRDefault="003D3EC9" w:rsidP="00654915">
      <w:pPr>
        <w:pStyle w:val="ChartMainHeading"/>
      </w:pPr>
      <w:r w:rsidRPr="00D47BF1">
        <w:lastRenderedPageBreak/>
        <w:t xml:space="preserve">Population growth in </w:t>
      </w:r>
      <w:r w:rsidRPr="00926A5E">
        <w:t xml:space="preserve">Tasmania, Greater </w:t>
      </w:r>
      <w:proofErr w:type="gramStart"/>
      <w:r w:rsidRPr="00926A5E">
        <w:t>Hobart</w:t>
      </w:r>
      <w:proofErr w:type="gramEnd"/>
      <w:r w:rsidRPr="00926A5E">
        <w:t xml:space="preserve"> and the Rest of Tasmania</w:t>
      </w:r>
    </w:p>
    <w:p w14:paraId="16658E0E" w14:textId="428F3481" w:rsidR="003D3EC9" w:rsidRDefault="00162908" w:rsidP="0075165B">
      <w:pPr>
        <w:pStyle w:val="ChartGraphic"/>
      </w:pPr>
      <w:r w:rsidRPr="00162908">
        <w:t xml:space="preserve"> </w:t>
      </w:r>
      <w:r w:rsidR="00CF1AC7" w:rsidRPr="00CF1AC7">
        <w:t xml:space="preserve"> </w:t>
      </w:r>
      <w:r w:rsidR="00CF1AC7" w:rsidRPr="00CF1AC7">
        <w:rPr>
          <w:noProof/>
        </w:rPr>
        <w:drawing>
          <wp:inline distT="0" distB="0" distL="0" distR="0" wp14:anchorId="56BDE9DA" wp14:editId="5655691E">
            <wp:extent cx="5610225" cy="2886075"/>
            <wp:effectExtent l="0" t="0" r="0" b="0"/>
            <wp:docPr id="1673632484" name="Picture 6" descr="This chart shows population growth for Hobart, Tasmania, and the rest of Tasmania. Tasmania has experienced a significant decline in population growth since the COVID-19 pandemic. Growth is forecast to continue declining until recovering from 2024–25. Population growth in the rest of Tasmania is forecast to remain lower over the projection period. Growth in Hobart is expected to increase from 2025–26 to 2028–29 before gradually decl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2484" name="Picture 6" descr="This chart shows population growth for Hobart, Tasmania, and the rest of Tasmania. Tasmania has experienced a significant decline in population growth since the COVID-19 pandemic. Growth is forecast to continue declining until recovering from 2024–25. Population growth in the rest of Tasmania is forecast to remain lower over the projection period. Growth in Hobart is expected to increase from 2025–26 to 2028–29 before gradually declining.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510775F8" w14:textId="24D57986" w:rsidR="00756BE9" w:rsidRDefault="003D3EC9" w:rsidP="003D3EC9">
      <w:pPr>
        <w:pStyle w:val="Source"/>
      </w:pPr>
      <w:r w:rsidRPr="00F67DB6">
        <w:t>Source:</w:t>
      </w:r>
      <w:r w:rsidRPr="001F0DE5">
        <w:tab/>
      </w:r>
      <w:r w:rsidRPr="00F67DB6">
        <w:t xml:space="preserve">ABS, </w:t>
      </w:r>
      <w:r w:rsidR="0035214B" w:rsidRPr="00997375">
        <w:rPr>
          <w:rStyle w:val="SubtleEmphasis"/>
        </w:rPr>
        <w:t>Regional population, 2022–23</w:t>
      </w:r>
      <w:r w:rsidRPr="00997375">
        <w:rPr>
          <w:rStyle w:val="SubtleEmphasis"/>
        </w:rPr>
        <w:t>;</w:t>
      </w:r>
      <w:r>
        <w:t xml:space="preserve"> ABS, </w:t>
      </w:r>
      <w:r w:rsidR="009155F8" w:rsidRPr="00997375">
        <w:rPr>
          <w:rStyle w:val="SubtleEmphasis"/>
        </w:rPr>
        <w:t>National, state and territory population, March 2024</w:t>
      </w:r>
      <w:r>
        <w:t>; and Centre for Population</w:t>
      </w:r>
      <w:r w:rsidRPr="00F67DB6">
        <w:t>.</w:t>
      </w:r>
    </w:p>
    <w:p w14:paraId="16DF7ABC" w14:textId="77777777" w:rsidR="00756BE9" w:rsidRDefault="00756BE9" w:rsidP="00997375">
      <w:pPr>
        <w:pStyle w:val="SingleParagraph"/>
        <w:rPr>
          <w:sz w:val="18"/>
          <w:bdr w:val="none" w:sz="0" w:space="0" w:color="auto" w:frame="1"/>
        </w:rPr>
      </w:pPr>
      <w:r>
        <w:br w:type="page"/>
      </w:r>
    </w:p>
    <w:p w14:paraId="26457E7E" w14:textId="77777777" w:rsidR="003D3EC9" w:rsidRPr="0080495D" w:rsidRDefault="003D3EC9" w:rsidP="00A633E1">
      <w:pPr>
        <w:pStyle w:val="TableMainHeading"/>
      </w:pPr>
      <w:r w:rsidRPr="0080495D" w:rsidDel="00462F8C">
        <w:lastRenderedPageBreak/>
        <w:t xml:space="preserve">Population projections, </w:t>
      </w:r>
      <w:r w:rsidRPr="00485E58">
        <w:t>Tasmania</w:t>
      </w:r>
    </w:p>
    <w:tbl>
      <w:tblPr>
        <w:tblW w:w="5000" w:type="pct"/>
        <w:tblLook w:val="04A0" w:firstRow="1" w:lastRow="0" w:firstColumn="1" w:lastColumn="0" w:noHBand="0" w:noVBand="1"/>
      </w:tblPr>
      <w:tblGrid>
        <w:gridCol w:w="2777"/>
        <w:gridCol w:w="1050"/>
        <w:gridCol w:w="1051"/>
        <w:gridCol w:w="1051"/>
        <w:gridCol w:w="1051"/>
        <w:gridCol w:w="1051"/>
        <w:gridCol w:w="1041"/>
      </w:tblGrid>
      <w:tr w:rsidR="003D3EC9" w:rsidRPr="00977E64" w14:paraId="1553025F" w14:textId="77777777" w:rsidTr="00916EF2">
        <w:trPr>
          <w:trHeight w:val="227"/>
        </w:trPr>
        <w:tc>
          <w:tcPr>
            <w:tcW w:w="1531" w:type="pct"/>
            <w:tcBorders>
              <w:top w:val="single" w:sz="4" w:space="0" w:color="auto"/>
              <w:left w:val="nil"/>
              <w:bottom w:val="single" w:sz="4" w:space="0" w:color="auto"/>
              <w:right w:val="nil"/>
            </w:tcBorders>
            <w:shd w:val="clear" w:color="auto" w:fill="auto"/>
            <w:vAlign w:val="center"/>
            <w:hideMark/>
          </w:tcPr>
          <w:p w14:paraId="5312619E" w14:textId="77777777" w:rsidR="003D3EC9" w:rsidRPr="00977E64" w:rsidRDefault="003D3EC9" w:rsidP="00916EF2">
            <w:pPr>
              <w:spacing w:before="0" w:after="0" w:line="240" w:lineRule="auto"/>
              <w:rPr>
                <w:rFonts w:ascii="Calibri" w:eastAsia="Times New Roman" w:hAnsi="Calibri" w:cs="Calibri"/>
                <w:color w:val="000000"/>
                <w:lang w:eastAsia="en-AU"/>
              </w:rPr>
            </w:pPr>
            <w:r w:rsidRPr="00977E64">
              <w:rPr>
                <w:rFonts w:ascii="Calibri" w:eastAsia="Times New Roman" w:hAnsi="Calibri" w:cs="Calibri"/>
                <w:color w:val="000000"/>
                <w:lang w:eastAsia="en-AU"/>
              </w:rPr>
              <w:t> </w:t>
            </w:r>
          </w:p>
        </w:tc>
        <w:tc>
          <w:tcPr>
            <w:tcW w:w="579" w:type="pct"/>
            <w:tcBorders>
              <w:top w:val="single" w:sz="4" w:space="0" w:color="auto"/>
              <w:left w:val="nil"/>
              <w:bottom w:val="single" w:sz="4" w:space="0" w:color="auto"/>
              <w:right w:val="nil"/>
            </w:tcBorders>
            <w:shd w:val="clear" w:color="auto" w:fill="auto"/>
            <w:noWrap/>
            <w:vAlign w:val="center"/>
            <w:hideMark/>
          </w:tcPr>
          <w:p w14:paraId="0337CCEF" w14:textId="77777777" w:rsidR="003D3EC9" w:rsidRPr="00977E64" w:rsidRDefault="003D3EC9" w:rsidP="00756BE9">
            <w:pPr>
              <w:pStyle w:val="TableColumnHeadingRight"/>
            </w:pPr>
            <w:r w:rsidRPr="00977E64">
              <w:t>2022</w:t>
            </w:r>
            <w:r>
              <w:t>–</w:t>
            </w:r>
            <w:r w:rsidRPr="00977E64">
              <w:t>23</w:t>
            </w:r>
          </w:p>
        </w:tc>
        <w:tc>
          <w:tcPr>
            <w:tcW w:w="579" w:type="pct"/>
            <w:tcBorders>
              <w:top w:val="single" w:sz="4" w:space="0" w:color="auto"/>
              <w:left w:val="nil"/>
              <w:bottom w:val="single" w:sz="4" w:space="0" w:color="auto"/>
              <w:right w:val="nil"/>
            </w:tcBorders>
            <w:shd w:val="clear" w:color="auto" w:fill="D2EDFF"/>
            <w:noWrap/>
            <w:vAlign w:val="center"/>
            <w:hideMark/>
          </w:tcPr>
          <w:p w14:paraId="0EBD9AD5" w14:textId="77777777" w:rsidR="003D3EC9" w:rsidRPr="00977E64" w:rsidRDefault="003D3EC9" w:rsidP="00756BE9">
            <w:pPr>
              <w:pStyle w:val="TableColumnHeadingRight"/>
            </w:pPr>
            <w:r w:rsidRPr="00977E64">
              <w:t>2023</w:t>
            </w:r>
            <w:r>
              <w:t>–</w:t>
            </w:r>
            <w:r w:rsidRPr="00977E64">
              <w:t>24</w:t>
            </w:r>
          </w:p>
        </w:tc>
        <w:tc>
          <w:tcPr>
            <w:tcW w:w="579" w:type="pct"/>
            <w:tcBorders>
              <w:top w:val="single" w:sz="4" w:space="0" w:color="auto"/>
              <w:left w:val="nil"/>
              <w:bottom w:val="single" w:sz="4" w:space="0" w:color="auto"/>
              <w:right w:val="nil"/>
            </w:tcBorders>
            <w:shd w:val="clear" w:color="auto" w:fill="auto"/>
            <w:noWrap/>
            <w:vAlign w:val="center"/>
            <w:hideMark/>
          </w:tcPr>
          <w:p w14:paraId="1AE9A517" w14:textId="77777777" w:rsidR="003D3EC9" w:rsidRPr="00977E64" w:rsidRDefault="003D3EC9" w:rsidP="00756BE9">
            <w:pPr>
              <w:pStyle w:val="TableColumnHeadingRight"/>
            </w:pPr>
            <w:r w:rsidRPr="00977E64">
              <w:t>2024</w:t>
            </w:r>
            <w:r>
              <w:t>–</w:t>
            </w:r>
            <w:r w:rsidRPr="00977E64">
              <w:t>25</w:t>
            </w:r>
          </w:p>
        </w:tc>
        <w:tc>
          <w:tcPr>
            <w:tcW w:w="579" w:type="pct"/>
            <w:tcBorders>
              <w:top w:val="single" w:sz="4" w:space="0" w:color="auto"/>
              <w:left w:val="nil"/>
              <w:bottom w:val="single" w:sz="4" w:space="0" w:color="auto"/>
              <w:right w:val="nil"/>
            </w:tcBorders>
            <w:shd w:val="clear" w:color="auto" w:fill="auto"/>
            <w:noWrap/>
            <w:vAlign w:val="center"/>
            <w:hideMark/>
          </w:tcPr>
          <w:p w14:paraId="106F2752" w14:textId="77777777" w:rsidR="003D3EC9" w:rsidRPr="00977E64" w:rsidRDefault="003D3EC9" w:rsidP="00756BE9">
            <w:pPr>
              <w:pStyle w:val="TableColumnHeadingRight"/>
            </w:pPr>
            <w:r w:rsidRPr="00977E64">
              <w:t>2025</w:t>
            </w:r>
            <w:r>
              <w:t>–</w:t>
            </w:r>
            <w:r w:rsidRPr="00977E64">
              <w:t>26</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13441E9A" w14:textId="77777777" w:rsidR="003D3EC9" w:rsidRPr="00977E64" w:rsidRDefault="003D3EC9" w:rsidP="00756BE9">
            <w:pPr>
              <w:pStyle w:val="TableColumnHeadingRight"/>
            </w:pPr>
            <w:r w:rsidRPr="00977E64">
              <w:t>2026</w:t>
            </w:r>
            <w:r>
              <w:t>–</w:t>
            </w:r>
            <w:r w:rsidRPr="00977E64">
              <w:t>27</w:t>
            </w:r>
          </w:p>
        </w:tc>
        <w:tc>
          <w:tcPr>
            <w:tcW w:w="574" w:type="pct"/>
            <w:tcBorders>
              <w:top w:val="single" w:sz="4" w:space="0" w:color="auto"/>
              <w:left w:val="nil"/>
              <w:bottom w:val="single" w:sz="4" w:space="0" w:color="auto"/>
              <w:right w:val="nil"/>
            </w:tcBorders>
            <w:shd w:val="clear" w:color="auto" w:fill="auto"/>
            <w:noWrap/>
            <w:vAlign w:val="center"/>
            <w:hideMark/>
          </w:tcPr>
          <w:p w14:paraId="3756BB0F" w14:textId="77777777" w:rsidR="003D3EC9" w:rsidRPr="00977E64" w:rsidRDefault="003D3EC9" w:rsidP="00756BE9">
            <w:pPr>
              <w:pStyle w:val="TableColumnHeadingRight"/>
            </w:pPr>
            <w:r w:rsidRPr="00977E64">
              <w:t>2034</w:t>
            </w:r>
            <w:r>
              <w:t>–</w:t>
            </w:r>
            <w:r w:rsidRPr="00977E64">
              <w:t>35</w:t>
            </w:r>
          </w:p>
        </w:tc>
      </w:tr>
      <w:tr w:rsidR="003D3EC9" w:rsidRPr="00977E64" w14:paraId="3FF15874" w14:textId="77777777" w:rsidTr="00916EF2">
        <w:trPr>
          <w:trHeight w:val="227"/>
        </w:trPr>
        <w:tc>
          <w:tcPr>
            <w:tcW w:w="1531" w:type="pct"/>
            <w:tcBorders>
              <w:top w:val="nil"/>
              <w:left w:val="nil"/>
              <w:bottom w:val="nil"/>
              <w:right w:val="nil"/>
            </w:tcBorders>
            <w:shd w:val="clear" w:color="auto" w:fill="auto"/>
            <w:vAlign w:val="center"/>
            <w:hideMark/>
          </w:tcPr>
          <w:p w14:paraId="2C8EBAC6" w14:textId="590CB7BC" w:rsidR="003D3EC9" w:rsidRPr="00977E64" w:rsidRDefault="003D3EC9" w:rsidP="00C75089">
            <w:pPr>
              <w:pStyle w:val="TableColumnHeadingLeft"/>
            </w:pPr>
            <w:r w:rsidRPr="00977E64">
              <w:t>Population (</w:t>
            </w:r>
            <w:r w:rsidR="00050D25">
              <w:t>‘</w:t>
            </w:r>
            <w:r w:rsidRPr="00977E64">
              <w:t>000)</w:t>
            </w:r>
          </w:p>
        </w:tc>
        <w:tc>
          <w:tcPr>
            <w:tcW w:w="579" w:type="pct"/>
            <w:tcBorders>
              <w:top w:val="nil"/>
              <w:left w:val="nil"/>
              <w:bottom w:val="nil"/>
              <w:right w:val="nil"/>
            </w:tcBorders>
            <w:shd w:val="clear" w:color="auto" w:fill="auto"/>
            <w:vAlign w:val="center"/>
            <w:hideMark/>
          </w:tcPr>
          <w:p w14:paraId="7AA0039C" w14:textId="77777777" w:rsidR="003D3EC9" w:rsidRPr="00977E64" w:rsidRDefault="003D3EC9" w:rsidP="00916EF2">
            <w:pPr>
              <w:spacing w:before="0" w:after="0" w:line="240" w:lineRule="auto"/>
              <w:rPr>
                <w:rFonts w:ascii="Calibri" w:eastAsia="Times New Roman" w:hAnsi="Calibri" w:cs="Calibri"/>
                <w:b/>
                <w:bCs/>
                <w:color w:val="002C47"/>
                <w:lang w:eastAsia="en-AU"/>
              </w:rPr>
            </w:pPr>
          </w:p>
        </w:tc>
        <w:tc>
          <w:tcPr>
            <w:tcW w:w="579" w:type="pct"/>
            <w:tcBorders>
              <w:top w:val="nil"/>
              <w:left w:val="nil"/>
              <w:bottom w:val="nil"/>
              <w:right w:val="nil"/>
            </w:tcBorders>
            <w:shd w:val="clear" w:color="auto" w:fill="D2EDFF"/>
            <w:vAlign w:val="center"/>
            <w:hideMark/>
          </w:tcPr>
          <w:p w14:paraId="67B77506" w14:textId="36530F85" w:rsidR="003D3EC9" w:rsidRPr="00977E64" w:rsidRDefault="003D3EC9" w:rsidP="00756BE9">
            <w:pPr>
              <w:pStyle w:val="TableTextRight"/>
              <w:rPr>
                <w:lang w:eastAsia="en-AU"/>
              </w:rPr>
            </w:pPr>
            <w:r>
              <w:rPr>
                <w:rFonts w:ascii="Calibri" w:hAnsi="Calibri" w:cs="Calibri"/>
              </w:rPr>
              <w:t> </w:t>
            </w:r>
          </w:p>
        </w:tc>
        <w:tc>
          <w:tcPr>
            <w:tcW w:w="579" w:type="pct"/>
            <w:tcBorders>
              <w:top w:val="nil"/>
              <w:left w:val="nil"/>
              <w:bottom w:val="nil"/>
              <w:right w:val="nil"/>
            </w:tcBorders>
            <w:shd w:val="clear" w:color="auto" w:fill="auto"/>
            <w:vAlign w:val="center"/>
            <w:hideMark/>
          </w:tcPr>
          <w:p w14:paraId="0411630A" w14:textId="77777777" w:rsidR="003D3EC9" w:rsidRPr="00977E64" w:rsidRDefault="003D3EC9" w:rsidP="00756BE9">
            <w:pPr>
              <w:pStyle w:val="TableTextRight"/>
              <w:rPr>
                <w:lang w:eastAsia="en-AU"/>
              </w:rPr>
            </w:pPr>
          </w:p>
        </w:tc>
        <w:tc>
          <w:tcPr>
            <w:tcW w:w="579" w:type="pct"/>
            <w:tcBorders>
              <w:top w:val="nil"/>
              <w:left w:val="nil"/>
              <w:bottom w:val="nil"/>
              <w:right w:val="nil"/>
            </w:tcBorders>
            <w:shd w:val="clear" w:color="auto" w:fill="auto"/>
            <w:vAlign w:val="center"/>
            <w:hideMark/>
          </w:tcPr>
          <w:p w14:paraId="2A1133C7" w14:textId="77777777" w:rsidR="003D3EC9" w:rsidRPr="00977E64" w:rsidRDefault="003D3EC9" w:rsidP="00756BE9">
            <w:pPr>
              <w:pStyle w:val="TableTextRight"/>
              <w:rPr>
                <w:rFonts w:ascii="Times New Roman" w:hAnsi="Times New Roman" w:cs="Times New Roman"/>
                <w:lang w:eastAsia="en-AU"/>
              </w:rPr>
            </w:pPr>
          </w:p>
        </w:tc>
        <w:tc>
          <w:tcPr>
            <w:tcW w:w="579" w:type="pct"/>
            <w:tcBorders>
              <w:top w:val="nil"/>
              <w:left w:val="nil"/>
              <w:bottom w:val="nil"/>
              <w:right w:val="single" w:sz="4" w:space="0" w:color="auto"/>
            </w:tcBorders>
            <w:shd w:val="clear" w:color="auto" w:fill="auto"/>
            <w:vAlign w:val="center"/>
            <w:hideMark/>
          </w:tcPr>
          <w:p w14:paraId="70FC1528" w14:textId="7F2BB13B" w:rsidR="003D3EC9" w:rsidRPr="00977E64" w:rsidRDefault="003D3EC9" w:rsidP="00756BE9">
            <w:pPr>
              <w:pStyle w:val="TableTextRight"/>
              <w:rPr>
                <w:lang w:eastAsia="en-AU"/>
              </w:rPr>
            </w:pPr>
            <w:r>
              <w:rPr>
                <w:rFonts w:ascii="Calibri" w:hAnsi="Calibri" w:cs="Calibri"/>
              </w:rPr>
              <w:t> </w:t>
            </w:r>
          </w:p>
        </w:tc>
        <w:tc>
          <w:tcPr>
            <w:tcW w:w="574" w:type="pct"/>
            <w:tcBorders>
              <w:top w:val="nil"/>
              <w:left w:val="nil"/>
              <w:bottom w:val="nil"/>
              <w:right w:val="nil"/>
            </w:tcBorders>
            <w:shd w:val="clear" w:color="auto" w:fill="auto"/>
            <w:vAlign w:val="center"/>
            <w:hideMark/>
          </w:tcPr>
          <w:p w14:paraId="11C4A4C2" w14:textId="77777777" w:rsidR="003D3EC9" w:rsidRPr="00977E64" w:rsidRDefault="003D3EC9" w:rsidP="00756BE9">
            <w:pPr>
              <w:pStyle w:val="TableTextRight"/>
              <w:rPr>
                <w:lang w:eastAsia="en-AU"/>
              </w:rPr>
            </w:pPr>
          </w:p>
        </w:tc>
      </w:tr>
      <w:tr w:rsidR="003D3EC9" w:rsidRPr="00977E64" w14:paraId="36989320" w14:textId="77777777" w:rsidTr="00916EF2">
        <w:trPr>
          <w:trHeight w:val="227"/>
        </w:trPr>
        <w:tc>
          <w:tcPr>
            <w:tcW w:w="1531" w:type="pct"/>
            <w:tcBorders>
              <w:top w:val="nil"/>
              <w:left w:val="nil"/>
              <w:bottom w:val="nil"/>
              <w:right w:val="nil"/>
            </w:tcBorders>
            <w:shd w:val="clear" w:color="auto" w:fill="auto"/>
            <w:vAlign w:val="center"/>
            <w:hideMark/>
          </w:tcPr>
          <w:p w14:paraId="28DB39E7" w14:textId="26D44BDC"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7D490BA3" w14:textId="5C32795B" w:rsidR="003D3EC9" w:rsidRPr="00977E64" w:rsidRDefault="003D3EC9" w:rsidP="00756BE9">
            <w:pPr>
              <w:pStyle w:val="TableTextRight"/>
            </w:pPr>
            <w:r>
              <w:rPr>
                <w:rFonts w:ascii="Calibri" w:hAnsi="Calibri" w:cs="Calibri"/>
              </w:rPr>
              <w:t>574</w:t>
            </w:r>
          </w:p>
        </w:tc>
        <w:tc>
          <w:tcPr>
            <w:tcW w:w="579" w:type="pct"/>
            <w:tcBorders>
              <w:top w:val="nil"/>
              <w:left w:val="nil"/>
              <w:bottom w:val="nil"/>
              <w:right w:val="nil"/>
            </w:tcBorders>
            <w:shd w:val="clear" w:color="auto" w:fill="D2EDFF"/>
            <w:vAlign w:val="center"/>
            <w:hideMark/>
          </w:tcPr>
          <w:p w14:paraId="7650594F" w14:textId="4F99BCD2" w:rsidR="003D3EC9" w:rsidRPr="00977E64" w:rsidRDefault="003D3EC9" w:rsidP="00756BE9">
            <w:pPr>
              <w:pStyle w:val="TableTextRight"/>
            </w:pPr>
            <w:r>
              <w:rPr>
                <w:rFonts w:ascii="Calibri" w:hAnsi="Calibri" w:cs="Calibri"/>
              </w:rPr>
              <w:t>576</w:t>
            </w:r>
          </w:p>
        </w:tc>
        <w:tc>
          <w:tcPr>
            <w:tcW w:w="579" w:type="pct"/>
            <w:tcBorders>
              <w:top w:val="nil"/>
              <w:left w:val="nil"/>
              <w:bottom w:val="nil"/>
              <w:right w:val="nil"/>
            </w:tcBorders>
            <w:shd w:val="clear" w:color="auto" w:fill="auto"/>
            <w:vAlign w:val="center"/>
            <w:hideMark/>
          </w:tcPr>
          <w:p w14:paraId="037F1786" w14:textId="54872AC0" w:rsidR="003D3EC9" w:rsidRPr="00977E64" w:rsidRDefault="003D3EC9" w:rsidP="00756BE9">
            <w:pPr>
              <w:pStyle w:val="TableTextRight"/>
            </w:pPr>
            <w:r>
              <w:rPr>
                <w:rFonts w:ascii="Calibri" w:hAnsi="Calibri" w:cs="Calibri"/>
              </w:rPr>
              <w:t>577</w:t>
            </w:r>
          </w:p>
        </w:tc>
        <w:tc>
          <w:tcPr>
            <w:tcW w:w="579" w:type="pct"/>
            <w:tcBorders>
              <w:top w:val="nil"/>
              <w:left w:val="nil"/>
              <w:bottom w:val="nil"/>
              <w:right w:val="nil"/>
            </w:tcBorders>
            <w:shd w:val="clear" w:color="auto" w:fill="auto"/>
            <w:vAlign w:val="center"/>
            <w:hideMark/>
          </w:tcPr>
          <w:p w14:paraId="3DB631D8" w14:textId="26CCFAB5" w:rsidR="003D3EC9" w:rsidRPr="00977E64" w:rsidRDefault="003D3EC9" w:rsidP="00756BE9">
            <w:pPr>
              <w:pStyle w:val="TableTextRight"/>
            </w:pPr>
            <w:r>
              <w:rPr>
                <w:rFonts w:ascii="Calibri" w:hAnsi="Calibri" w:cs="Calibri"/>
              </w:rPr>
              <w:t>579</w:t>
            </w:r>
          </w:p>
        </w:tc>
        <w:tc>
          <w:tcPr>
            <w:tcW w:w="579" w:type="pct"/>
            <w:tcBorders>
              <w:top w:val="nil"/>
              <w:left w:val="nil"/>
              <w:bottom w:val="nil"/>
              <w:right w:val="single" w:sz="4" w:space="0" w:color="auto"/>
            </w:tcBorders>
            <w:shd w:val="clear" w:color="auto" w:fill="auto"/>
            <w:vAlign w:val="center"/>
            <w:hideMark/>
          </w:tcPr>
          <w:p w14:paraId="11A2EDDC" w14:textId="375E0C32" w:rsidR="003D3EC9" w:rsidRPr="00977E64" w:rsidRDefault="003D3EC9" w:rsidP="00756BE9">
            <w:pPr>
              <w:pStyle w:val="TableTextRight"/>
            </w:pPr>
            <w:r>
              <w:rPr>
                <w:rFonts w:ascii="Calibri" w:hAnsi="Calibri" w:cs="Calibri"/>
              </w:rPr>
              <w:t>581</w:t>
            </w:r>
          </w:p>
        </w:tc>
        <w:tc>
          <w:tcPr>
            <w:tcW w:w="574" w:type="pct"/>
            <w:tcBorders>
              <w:top w:val="nil"/>
              <w:left w:val="nil"/>
              <w:bottom w:val="nil"/>
              <w:right w:val="nil"/>
            </w:tcBorders>
            <w:shd w:val="clear" w:color="auto" w:fill="auto"/>
            <w:vAlign w:val="center"/>
            <w:hideMark/>
          </w:tcPr>
          <w:p w14:paraId="328BC1DA" w14:textId="515CC5BC" w:rsidR="003D3EC9" w:rsidRPr="00977E64" w:rsidRDefault="003D3EC9" w:rsidP="00756BE9">
            <w:pPr>
              <w:pStyle w:val="TableTextRight"/>
            </w:pPr>
            <w:r>
              <w:rPr>
                <w:rFonts w:ascii="Calibri" w:hAnsi="Calibri" w:cs="Calibri"/>
              </w:rPr>
              <w:t>599</w:t>
            </w:r>
          </w:p>
        </w:tc>
      </w:tr>
      <w:tr w:rsidR="003D3EC9" w:rsidRPr="00977E64" w14:paraId="08AAA252" w14:textId="77777777" w:rsidTr="00916EF2">
        <w:trPr>
          <w:trHeight w:val="227"/>
        </w:trPr>
        <w:tc>
          <w:tcPr>
            <w:tcW w:w="1531" w:type="pct"/>
            <w:tcBorders>
              <w:top w:val="nil"/>
              <w:left w:val="nil"/>
              <w:bottom w:val="nil"/>
              <w:right w:val="nil"/>
            </w:tcBorders>
            <w:shd w:val="clear" w:color="auto" w:fill="auto"/>
            <w:vAlign w:val="center"/>
            <w:hideMark/>
          </w:tcPr>
          <w:p w14:paraId="1650FEAE"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3C471AB3" w14:textId="6A670869" w:rsidR="003D3EC9" w:rsidRPr="00977E64" w:rsidRDefault="003D3EC9" w:rsidP="00756BE9">
            <w:pPr>
              <w:pStyle w:val="TableTextRight"/>
            </w:pPr>
            <w:r>
              <w:rPr>
                <w:rFonts w:ascii="Calibri" w:hAnsi="Calibri" w:cs="Calibri"/>
              </w:rPr>
              <w:t>254</w:t>
            </w:r>
          </w:p>
        </w:tc>
        <w:tc>
          <w:tcPr>
            <w:tcW w:w="579" w:type="pct"/>
            <w:tcBorders>
              <w:top w:val="nil"/>
              <w:left w:val="nil"/>
              <w:bottom w:val="nil"/>
              <w:right w:val="nil"/>
            </w:tcBorders>
            <w:shd w:val="clear" w:color="auto" w:fill="D2EDFF"/>
            <w:vAlign w:val="center"/>
            <w:hideMark/>
          </w:tcPr>
          <w:p w14:paraId="0ED8156E" w14:textId="497C9BD1" w:rsidR="003D3EC9" w:rsidRPr="00977E64" w:rsidRDefault="004368C9" w:rsidP="00756BE9">
            <w:pPr>
              <w:pStyle w:val="TableTextRight"/>
            </w:pPr>
            <w:r>
              <w:rPr>
                <w:rFonts w:ascii="Calibri" w:hAnsi="Calibri" w:cs="Calibri"/>
              </w:rPr>
              <w:t>254</w:t>
            </w:r>
          </w:p>
        </w:tc>
        <w:tc>
          <w:tcPr>
            <w:tcW w:w="579" w:type="pct"/>
            <w:tcBorders>
              <w:top w:val="nil"/>
              <w:left w:val="nil"/>
              <w:bottom w:val="nil"/>
              <w:right w:val="nil"/>
            </w:tcBorders>
            <w:shd w:val="clear" w:color="auto" w:fill="auto"/>
            <w:vAlign w:val="center"/>
            <w:hideMark/>
          </w:tcPr>
          <w:p w14:paraId="12BACC9E" w14:textId="613DE775" w:rsidR="003D3EC9" w:rsidRPr="00977E64" w:rsidRDefault="003D3EC9" w:rsidP="00756BE9">
            <w:pPr>
              <w:pStyle w:val="TableTextRight"/>
            </w:pPr>
            <w:r>
              <w:rPr>
                <w:rFonts w:ascii="Calibri" w:hAnsi="Calibri" w:cs="Calibri"/>
              </w:rPr>
              <w:t>255</w:t>
            </w:r>
          </w:p>
        </w:tc>
        <w:tc>
          <w:tcPr>
            <w:tcW w:w="579" w:type="pct"/>
            <w:tcBorders>
              <w:top w:val="nil"/>
              <w:left w:val="nil"/>
              <w:bottom w:val="nil"/>
              <w:right w:val="nil"/>
            </w:tcBorders>
            <w:shd w:val="clear" w:color="auto" w:fill="auto"/>
            <w:vAlign w:val="center"/>
            <w:hideMark/>
          </w:tcPr>
          <w:p w14:paraId="234890F5" w14:textId="5F112C6A" w:rsidR="003D3EC9" w:rsidRPr="00977E64" w:rsidRDefault="003D3EC9" w:rsidP="00756BE9">
            <w:pPr>
              <w:pStyle w:val="TableTextRight"/>
            </w:pPr>
            <w:r>
              <w:rPr>
                <w:rFonts w:ascii="Calibri" w:hAnsi="Calibri" w:cs="Calibri"/>
              </w:rPr>
              <w:t>256</w:t>
            </w:r>
          </w:p>
        </w:tc>
        <w:tc>
          <w:tcPr>
            <w:tcW w:w="579" w:type="pct"/>
            <w:tcBorders>
              <w:top w:val="nil"/>
              <w:left w:val="nil"/>
              <w:bottom w:val="nil"/>
              <w:right w:val="single" w:sz="4" w:space="0" w:color="auto"/>
            </w:tcBorders>
            <w:shd w:val="clear" w:color="auto" w:fill="auto"/>
            <w:vAlign w:val="center"/>
            <w:hideMark/>
          </w:tcPr>
          <w:p w14:paraId="31EDCC64" w14:textId="5F66F49F" w:rsidR="003D3EC9" w:rsidRPr="00977E64" w:rsidRDefault="003D3EC9" w:rsidP="00756BE9">
            <w:pPr>
              <w:pStyle w:val="TableTextRight"/>
            </w:pPr>
            <w:r>
              <w:rPr>
                <w:rFonts w:ascii="Calibri" w:hAnsi="Calibri" w:cs="Calibri"/>
              </w:rPr>
              <w:t>258</w:t>
            </w:r>
          </w:p>
        </w:tc>
        <w:tc>
          <w:tcPr>
            <w:tcW w:w="574" w:type="pct"/>
            <w:tcBorders>
              <w:top w:val="nil"/>
              <w:left w:val="nil"/>
              <w:bottom w:val="nil"/>
              <w:right w:val="nil"/>
            </w:tcBorders>
            <w:shd w:val="clear" w:color="auto" w:fill="auto"/>
            <w:vAlign w:val="center"/>
            <w:hideMark/>
          </w:tcPr>
          <w:p w14:paraId="0AC6D373" w14:textId="6231EF2E" w:rsidR="003D3EC9" w:rsidRPr="00977E64" w:rsidRDefault="003D3EC9" w:rsidP="00756BE9">
            <w:pPr>
              <w:pStyle w:val="TableTextRight"/>
            </w:pPr>
            <w:r>
              <w:rPr>
                <w:rFonts w:ascii="Calibri" w:hAnsi="Calibri" w:cs="Calibri"/>
              </w:rPr>
              <w:t>270</w:t>
            </w:r>
          </w:p>
        </w:tc>
      </w:tr>
      <w:tr w:rsidR="003D3EC9" w:rsidRPr="00977E64" w14:paraId="4192190D" w14:textId="77777777" w:rsidTr="00916EF2">
        <w:trPr>
          <w:trHeight w:val="227"/>
        </w:trPr>
        <w:tc>
          <w:tcPr>
            <w:tcW w:w="1531" w:type="pct"/>
            <w:tcBorders>
              <w:top w:val="nil"/>
              <w:left w:val="nil"/>
              <w:bottom w:val="nil"/>
              <w:right w:val="nil"/>
            </w:tcBorders>
            <w:shd w:val="clear" w:color="auto" w:fill="auto"/>
            <w:vAlign w:val="center"/>
            <w:hideMark/>
          </w:tcPr>
          <w:p w14:paraId="1521D877"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nil"/>
              <w:right w:val="nil"/>
            </w:tcBorders>
            <w:shd w:val="clear" w:color="auto" w:fill="auto"/>
            <w:vAlign w:val="center"/>
            <w:hideMark/>
          </w:tcPr>
          <w:p w14:paraId="4E7A1B4E" w14:textId="2A59FB2B" w:rsidR="003D3EC9" w:rsidRPr="00977E64" w:rsidRDefault="003D3EC9" w:rsidP="00756BE9">
            <w:pPr>
              <w:pStyle w:val="TableTextRight"/>
            </w:pPr>
            <w:r>
              <w:rPr>
                <w:rFonts w:ascii="Calibri" w:hAnsi="Calibri" w:cs="Calibri"/>
              </w:rPr>
              <w:t>320</w:t>
            </w:r>
          </w:p>
        </w:tc>
        <w:tc>
          <w:tcPr>
            <w:tcW w:w="579" w:type="pct"/>
            <w:tcBorders>
              <w:top w:val="nil"/>
              <w:left w:val="nil"/>
              <w:bottom w:val="nil"/>
              <w:right w:val="nil"/>
            </w:tcBorders>
            <w:shd w:val="clear" w:color="auto" w:fill="D2EDFF"/>
            <w:vAlign w:val="center"/>
            <w:hideMark/>
          </w:tcPr>
          <w:p w14:paraId="3D766384" w14:textId="3F3B34F1" w:rsidR="003D3EC9" w:rsidRPr="00977E64" w:rsidRDefault="003D3EC9" w:rsidP="00756BE9">
            <w:pPr>
              <w:pStyle w:val="TableTextRight"/>
            </w:pPr>
            <w:r>
              <w:rPr>
                <w:rFonts w:ascii="Calibri" w:hAnsi="Calibri" w:cs="Calibri"/>
              </w:rPr>
              <w:t>321</w:t>
            </w:r>
          </w:p>
        </w:tc>
        <w:tc>
          <w:tcPr>
            <w:tcW w:w="579" w:type="pct"/>
            <w:tcBorders>
              <w:top w:val="nil"/>
              <w:left w:val="nil"/>
              <w:bottom w:val="nil"/>
              <w:right w:val="nil"/>
            </w:tcBorders>
            <w:shd w:val="clear" w:color="auto" w:fill="auto"/>
            <w:vAlign w:val="center"/>
            <w:hideMark/>
          </w:tcPr>
          <w:p w14:paraId="01D4932D" w14:textId="64EB79F8" w:rsidR="003D3EC9" w:rsidRPr="00977E64" w:rsidRDefault="003D3EC9" w:rsidP="00756BE9">
            <w:pPr>
              <w:pStyle w:val="TableTextRight"/>
            </w:pPr>
            <w:r>
              <w:rPr>
                <w:rFonts w:ascii="Calibri" w:hAnsi="Calibri" w:cs="Calibri"/>
              </w:rPr>
              <w:t>322</w:t>
            </w:r>
          </w:p>
        </w:tc>
        <w:tc>
          <w:tcPr>
            <w:tcW w:w="579" w:type="pct"/>
            <w:tcBorders>
              <w:top w:val="nil"/>
              <w:left w:val="nil"/>
              <w:bottom w:val="nil"/>
              <w:right w:val="nil"/>
            </w:tcBorders>
            <w:shd w:val="clear" w:color="auto" w:fill="auto"/>
            <w:vAlign w:val="center"/>
            <w:hideMark/>
          </w:tcPr>
          <w:p w14:paraId="531EDF1E" w14:textId="454F7722" w:rsidR="003D3EC9" w:rsidRPr="00977E64" w:rsidRDefault="003D3EC9" w:rsidP="00756BE9">
            <w:pPr>
              <w:pStyle w:val="TableTextRight"/>
            </w:pPr>
            <w:r>
              <w:rPr>
                <w:rFonts w:ascii="Calibri" w:hAnsi="Calibri" w:cs="Calibri"/>
              </w:rPr>
              <w:t>323</w:t>
            </w:r>
          </w:p>
        </w:tc>
        <w:tc>
          <w:tcPr>
            <w:tcW w:w="579" w:type="pct"/>
            <w:tcBorders>
              <w:top w:val="nil"/>
              <w:left w:val="nil"/>
              <w:bottom w:val="nil"/>
              <w:right w:val="single" w:sz="4" w:space="0" w:color="auto"/>
            </w:tcBorders>
            <w:shd w:val="clear" w:color="auto" w:fill="auto"/>
            <w:vAlign w:val="center"/>
            <w:hideMark/>
          </w:tcPr>
          <w:p w14:paraId="62625D76" w14:textId="7AE3F589" w:rsidR="003D3EC9" w:rsidRPr="00977E64" w:rsidRDefault="003D3EC9" w:rsidP="00756BE9">
            <w:pPr>
              <w:pStyle w:val="TableTextRight"/>
            </w:pPr>
            <w:r>
              <w:rPr>
                <w:rFonts w:ascii="Calibri" w:hAnsi="Calibri" w:cs="Calibri"/>
              </w:rPr>
              <w:t>323</w:t>
            </w:r>
          </w:p>
        </w:tc>
        <w:tc>
          <w:tcPr>
            <w:tcW w:w="574" w:type="pct"/>
            <w:tcBorders>
              <w:top w:val="nil"/>
              <w:left w:val="nil"/>
              <w:bottom w:val="nil"/>
              <w:right w:val="nil"/>
            </w:tcBorders>
            <w:shd w:val="clear" w:color="auto" w:fill="auto"/>
            <w:vAlign w:val="center"/>
            <w:hideMark/>
          </w:tcPr>
          <w:p w14:paraId="72A8675C" w14:textId="05B0B9EA" w:rsidR="003D3EC9" w:rsidRPr="00977E64" w:rsidRDefault="006D2426" w:rsidP="00756BE9">
            <w:pPr>
              <w:pStyle w:val="TableTextRight"/>
            </w:pPr>
            <w:r>
              <w:rPr>
                <w:rFonts w:ascii="Calibri" w:hAnsi="Calibri" w:cs="Calibri"/>
              </w:rPr>
              <w:t>330</w:t>
            </w:r>
          </w:p>
        </w:tc>
      </w:tr>
      <w:tr w:rsidR="003D3EC9" w:rsidRPr="00977E64" w14:paraId="788A345E" w14:textId="77777777" w:rsidTr="00916EF2">
        <w:trPr>
          <w:trHeight w:val="227"/>
        </w:trPr>
        <w:tc>
          <w:tcPr>
            <w:tcW w:w="1531" w:type="pct"/>
            <w:tcBorders>
              <w:top w:val="nil"/>
              <w:left w:val="nil"/>
              <w:bottom w:val="nil"/>
              <w:right w:val="nil"/>
            </w:tcBorders>
            <w:shd w:val="clear" w:color="auto" w:fill="auto"/>
            <w:vAlign w:val="center"/>
            <w:hideMark/>
          </w:tcPr>
          <w:p w14:paraId="1CD7DF77" w14:textId="77777777" w:rsidR="003D3EC9" w:rsidRPr="00977E64" w:rsidRDefault="003D3EC9" w:rsidP="00C75089">
            <w:pPr>
              <w:pStyle w:val="TableColumnHeadingLeft"/>
            </w:pPr>
            <w:r w:rsidRPr="00977E64">
              <w:t>Population growth (per cent)</w:t>
            </w:r>
          </w:p>
        </w:tc>
        <w:tc>
          <w:tcPr>
            <w:tcW w:w="579" w:type="pct"/>
            <w:tcBorders>
              <w:top w:val="nil"/>
              <w:left w:val="nil"/>
              <w:bottom w:val="nil"/>
              <w:right w:val="nil"/>
            </w:tcBorders>
            <w:shd w:val="clear" w:color="auto" w:fill="auto"/>
            <w:vAlign w:val="center"/>
            <w:hideMark/>
          </w:tcPr>
          <w:p w14:paraId="20A4A69C"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679861FF" w14:textId="07CE53E8"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5BF45DBC"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48BCD6EE"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0F8E35F1" w14:textId="68C8651A"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5DB80AFB" w14:textId="77777777" w:rsidR="003D3EC9" w:rsidRPr="00977E64" w:rsidRDefault="003D3EC9" w:rsidP="00756BE9">
            <w:pPr>
              <w:pStyle w:val="TableTextRight"/>
            </w:pPr>
          </w:p>
        </w:tc>
      </w:tr>
      <w:tr w:rsidR="003D3EC9" w:rsidRPr="00977E64" w14:paraId="73E1A44B" w14:textId="77777777" w:rsidTr="00916EF2">
        <w:trPr>
          <w:trHeight w:val="227"/>
        </w:trPr>
        <w:tc>
          <w:tcPr>
            <w:tcW w:w="1531" w:type="pct"/>
            <w:tcBorders>
              <w:top w:val="nil"/>
              <w:left w:val="nil"/>
              <w:bottom w:val="nil"/>
              <w:right w:val="nil"/>
            </w:tcBorders>
            <w:shd w:val="clear" w:color="auto" w:fill="auto"/>
            <w:vAlign w:val="center"/>
            <w:hideMark/>
          </w:tcPr>
          <w:p w14:paraId="6907FDA5"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729A9AC0" w14:textId="04071D4D" w:rsidR="003D3EC9" w:rsidRPr="00977E64" w:rsidRDefault="003D3EC9" w:rsidP="00756BE9">
            <w:pPr>
              <w:pStyle w:val="TableTextRight"/>
            </w:pPr>
            <w:r>
              <w:rPr>
                <w:rFonts w:ascii="Calibri" w:hAnsi="Calibri" w:cs="Calibri"/>
              </w:rPr>
              <w:t>0.5</w:t>
            </w:r>
          </w:p>
        </w:tc>
        <w:tc>
          <w:tcPr>
            <w:tcW w:w="579" w:type="pct"/>
            <w:tcBorders>
              <w:top w:val="nil"/>
              <w:left w:val="nil"/>
              <w:bottom w:val="nil"/>
              <w:right w:val="nil"/>
            </w:tcBorders>
            <w:shd w:val="clear" w:color="auto" w:fill="D2EDFF"/>
            <w:vAlign w:val="center"/>
            <w:hideMark/>
          </w:tcPr>
          <w:p w14:paraId="302FA299" w14:textId="194977D5" w:rsidR="003D3EC9" w:rsidRPr="00977E64" w:rsidRDefault="004368C9" w:rsidP="00756BE9">
            <w:pPr>
              <w:pStyle w:val="TableTextRight"/>
            </w:pPr>
            <w:r>
              <w:rPr>
                <w:rFonts w:ascii="Calibri" w:hAnsi="Calibri" w:cs="Calibri"/>
              </w:rPr>
              <w:t>0.3</w:t>
            </w:r>
          </w:p>
        </w:tc>
        <w:tc>
          <w:tcPr>
            <w:tcW w:w="579" w:type="pct"/>
            <w:tcBorders>
              <w:top w:val="nil"/>
              <w:left w:val="nil"/>
              <w:bottom w:val="nil"/>
              <w:right w:val="nil"/>
            </w:tcBorders>
            <w:shd w:val="clear" w:color="auto" w:fill="auto"/>
            <w:vAlign w:val="center"/>
            <w:hideMark/>
          </w:tcPr>
          <w:p w14:paraId="2E7DA252" w14:textId="7A43B985" w:rsidR="003D3EC9" w:rsidRPr="00977E64" w:rsidRDefault="003D3EC9" w:rsidP="00756BE9">
            <w:pPr>
              <w:pStyle w:val="TableTextRight"/>
            </w:pPr>
            <w:r>
              <w:rPr>
                <w:rFonts w:ascii="Calibri" w:hAnsi="Calibri" w:cs="Calibri"/>
              </w:rPr>
              <w:t>0.2</w:t>
            </w:r>
          </w:p>
        </w:tc>
        <w:tc>
          <w:tcPr>
            <w:tcW w:w="579" w:type="pct"/>
            <w:tcBorders>
              <w:top w:val="nil"/>
              <w:left w:val="nil"/>
              <w:bottom w:val="nil"/>
              <w:right w:val="nil"/>
            </w:tcBorders>
            <w:shd w:val="clear" w:color="auto" w:fill="auto"/>
            <w:vAlign w:val="center"/>
            <w:hideMark/>
          </w:tcPr>
          <w:p w14:paraId="24C8FC5B" w14:textId="5F8872EC" w:rsidR="003D3EC9" w:rsidRPr="00977E64" w:rsidRDefault="003D3EC9" w:rsidP="00756BE9">
            <w:pPr>
              <w:pStyle w:val="TableTextRight"/>
            </w:pPr>
            <w:r>
              <w:rPr>
                <w:rFonts w:ascii="Calibri" w:hAnsi="Calibri" w:cs="Calibri"/>
              </w:rPr>
              <w:t>0.3</w:t>
            </w:r>
          </w:p>
        </w:tc>
        <w:tc>
          <w:tcPr>
            <w:tcW w:w="579" w:type="pct"/>
            <w:tcBorders>
              <w:top w:val="nil"/>
              <w:left w:val="nil"/>
              <w:bottom w:val="nil"/>
              <w:right w:val="single" w:sz="4" w:space="0" w:color="auto"/>
            </w:tcBorders>
            <w:shd w:val="clear" w:color="auto" w:fill="auto"/>
            <w:vAlign w:val="center"/>
            <w:hideMark/>
          </w:tcPr>
          <w:p w14:paraId="4D85FD5C" w14:textId="74524593" w:rsidR="003D3EC9" w:rsidRPr="00977E64" w:rsidRDefault="003D3EC9" w:rsidP="00756BE9">
            <w:pPr>
              <w:pStyle w:val="TableTextRight"/>
            </w:pPr>
            <w:r>
              <w:rPr>
                <w:rFonts w:ascii="Calibri" w:hAnsi="Calibri" w:cs="Calibri"/>
              </w:rPr>
              <w:t>0.4</w:t>
            </w:r>
          </w:p>
        </w:tc>
        <w:tc>
          <w:tcPr>
            <w:tcW w:w="574" w:type="pct"/>
            <w:tcBorders>
              <w:top w:val="nil"/>
              <w:left w:val="nil"/>
              <w:bottom w:val="nil"/>
              <w:right w:val="nil"/>
            </w:tcBorders>
            <w:shd w:val="clear" w:color="auto" w:fill="auto"/>
            <w:vAlign w:val="center"/>
            <w:hideMark/>
          </w:tcPr>
          <w:p w14:paraId="28558525" w14:textId="34BEB782" w:rsidR="003D3EC9" w:rsidRPr="00977E64" w:rsidRDefault="004368C9" w:rsidP="00756BE9">
            <w:pPr>
              <w:pStyle w:val="TableTextRight"/>
            </w:pPr>
            <w:r>
              <w:rPr>
                <w:rFonts w:ascii="Calibri" w:hAnsi="Calibri" w:cs="Calibri"/>
              </w:rPr>
              <w:t>0.4</w:t>
            </w:r>
          </w:p>
        </w:tc>
      </w:tr>
      <w:tr w:rsidR="003D3EC9" w:rsidRPr="00977E64" w14:paraId="0773378E" w14:textId="77777777" w:rsidTr="00916EF2">
        <w:trPr>
          <w:trHeight w:val="227"/>
        </w:trPr>
        <w:tc>
          <w:tcPr>
            <w:tcW w:w="1531" w:type="pct"/>
            <w:tcBorders>
              <w:top w:val="nil"/>
              <w:left w:val="nil"/>
              <w:bottom w:val="nil"/>
              <w:right w:val="nil"/>
            </w:tcBorders>
            <w:shd w:val="clear" w:color="auto" w:fill="auto"/>
            <w:vAlign w:val="center"/>
            <w:hideMark/>
          </w:tcPr>
          <w:p w14:paraId="3268D8DE"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7B548DCB" w14:textId="03788004" w:rsidR="003D3EC9" w:rsidRPr="00977E64" w:rsidRDefault="003D3EC9" w:rsidP="00756BE9">
            <w:pPr>
              <w:pStyle w:val="TableTextRight"/>
            </w:pPr>
            <w:r>
              <w:rPr>
                <w:rFonts w:ascii="Calibri" w:hAnsi="Calibri" w:cs="Calibri"/>
              </w:rPr>
              <w:t>0.5</w:t>
            </w:r>
          </w:p>
        </w:tc>
        <w:tc>
          <w:tcPr>
            <w:tcW w:w="579" w:type="pct"/>
            <w:tcBorders>
              <w:top w:val="nil"/>
              <w:left w:val="nil"/>
              <w:bottom w:val="nil"/>
              <w:right w:val="nil"/>
            </w:tcBorders>
            <w:shd w:val="clear" w:color="auto" w:fill="D2EDFF"/>
            <w:vAlign w:val="center"/>
            <w:hideMark/>
          </w:tcPr>
          <w:p w14:paraId="75D09A15" w14:textId="158119A2" w:rsidR="003D3EC9" w:rsidRPr="00977E64" w:rsidRDefault="003D3EC9" w:rsidP="00756BE9">
            <w:pPr>
              <w:pStyle w:val="TableTextRight"/>
            </w:pPr>
            <w:r>
              <w:rPr>
                <w:rFonts w:ascii="Calibri" w:hAnsi="Calibri" w:cs="Calibri"/>
              </w:rPr>
              <w:t>0.2</w:t>
            </w:r>
          </w:p>
        </w:tc>
        <w:tc>
          <w:tcPr>
            <w:tcW w:w="579" w:type="pct"/>
            <w:tcBorders>
              <w:top w:val="nil"/>
              <w:left w:val="nil"/>
              <w:bottom w:val="nil"/>
              <w:right w:val="nil"/>
            </w:tcBorders>
            <w:shd w:val="clear" w:color="auto" w:fill="auto"/>
            <w:vAlign w:val="center"/>
            <w:hideMark/>
          </w:tcPr>
          <w:p w14:paraId="5EB402DA" w14:textId="4C5F07BB" w:rsidR="003D3EC9" w:rsidRPr="00977E64" w:rsidRDefault="003D3EC9" w:rsidP="00756BE9">
            <w:pPr>
              <w:pStyle w:val="TableTextRight"/>
            </w:pPr>
            <w:r>
              <w:rPr>
                <w:rFonts w:ascii="Calibri" w:hAnsi="Calibri" w:cs="Calibri"/>
              </w:rPr>
              <w:t>0.2</w:t>
            </w:r>
          </w:p>
        </w:tc>
        <w:tc>
          <w:tcPr>
            <w:tcW w:w="579" w:type="pct"/>
            <w:tcBorders>
              <w:top w:val="nil"/>
              <w:left w:val="nil"/>
              <w:bottom w:val="nil"/>
              <w:right w:val="nil"/>
            </w:tcBorders>
            <w:shd w:val="clear" w:color="auto" w:fill="auto"/>
            <w:vAlign w:val="center"/>
            <w:hideMark/>
          </w:tcPr>
          <w:p w14:paraId="3ADE3C56" w14:textId="643DC492" w:rsidR="003D3EC9" w:rsidRPr="00977E64" w:rsidRDefault="003D3EC9" w:rsidP="00756BE9">
            <w:pPr>
              <w:pStyle w:val="TableTextRight"/>
            </w:pPr>
            <w:r>
              <w:rPr>
                <w:rFonts w:ascii="Calibri" w:hAnsi="Calibri" w:cs="Calibri"/>
              </w:rPr>
              <w:t>0.4</w:t>
            </w:r>
          </w:p>
        </w:tc>
        <w:tc>
          <w:tcPr>
            <w:tcW w:w="579" w:type="pct"/>
            <w:tcBorders>
              <w:top w:val="nil"/>
              <w:left w:val="nil"/>
              <w:bottom w:val="nil"/>
              <w:right w:val="single" w:sz="4" w:space="0" w:color="auto"/>
            </w:tcBorders>
            <w:shd w:val="clear" w:color="auto" w:fill="auto"/>
            <w:vAlign w:val="center"/>
            <w:hideMark/>
          </w:tcPr>
          <w:p w14:paraId="7ABD9298" w14:textId="2BB45BB8" w:rsidR="003D3EC9" w:rsidRPr="00977E64" w:rsidRDefault="003D3EC9" w:rsidP="00756BE9">
            <w:pPr>
              <w:pStyle w:val="TableTextRight"/>
            </w:pPr>
            <w:r>
              <w:rPr>
                <w:rFonts w:ascii="Calibri" w:hAnsi="Calibri" w:cs="Calibri"/>
              </w:rPr>
              <w:t>0.6</w:t>
            </w:r>
          </w:p>
        </w:tc>
        <w:tc>
          <w:tcPr>
            <w:tcW w:w="574" w:type="pct"/>
            <w:tcBorders>
              <w:top w:val="nil"/>
              <w:left w:val="nil"/>
              <w:bottom w:val="nil"/>
              <w:right w:val="nil"/>
            </w:tcBorders>
            <w:shd w:val="clear" w:color="auto" w:fill="auto"/>
            <w:vAlign w:val="center"/>
            <w:hideMark/>
          </w:tcPr>
          <w:p w14:paraId="55ADCBE0" w14:textId="51DD25F5" w:rsidR="003D3EC9" w:rsidRPr="00977E64" w:rsidRDefault="003D3EC9" w:rsidP="00756BE9">
            <w:pPr>
              <w:pStyle w:val="TableTextRight"/>
            </w:pPr>
            <w:r>
              <w:rPr>
                <w:rFonts w:ascii="Calibri" w:hAnsi="Calibri" w:cs="Calibri"/>
              </w:rPr>
              <w:t>0.5</w:t>
            </w:r>
          </w:p>
        </w:tc>
      </w:tr>
      <w:tr w:rsidR="003D3EC9" w:rsidRPr="00977E64" w14:paraId="1D0F2FC5" w14:textId="77777777" w:rsidTr="00916EF2">
        <w:trPr>
          <w:trHeight w:val="227"/>
        </w:trPr>
        <w:tc>
          <w:tcPr>
            <w:tcW w:w="1531" w:type="pct"/>
            <w:tcBorders>
              <w:top w:val="nil"/>
              <w:left w:val="nil"/>
              <w:bottom w:val="nil"/>
              <w:right w:val="nil"/>
            </w:tcBorders>
            <w:shd w:val="clear" w:color="auto" w:fill="auto"/>
            <w:vAlign w:val="center"/>
            <w:hideMark/>
          </w:tcPr>
          <w:p w14:paraId="6A26FAA1"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nil"/>
              <w:right w:val="nil"/>
            </w:tcBorders>
            <w:shd w:val="clear" w:color="auto" w:fill="auto"/>
            <w:vAlign w:val="center"/>
            <w:hideMark/>
          </w:tcPr>
          <w:p w14:paraId="7469ED98" w14:textId="7F36797B" w:rsidR="003D3EC9" w:rsidRPr="00977E64" w:rsidRDefault="003D3EC9" w:rsidP="00756BE9">
            <w:pPr>
              <w:pStyle w:val="TableTextRight"/>
            </w:pPr>
            <w:r>
              <w:rPr>
                <w:rFonts w:ascii="Calibri" w:hAnsi="Calibri" w:cs="Calibri"/>
              </w:rPr>
              <w:t>0.3</w:t>
            </w:r>
          </w:p>
        </w:tc>
        <w:tc>
          <w:tcPr>
            <w:tcW w:w="579" w:type="pct"/>
            <w:tcBorders>
              <w:top w:val="nil"/>
              <w:left w:val="nil"/>
              <w:bottom w:val="nil"/>
              <w:right w:val="nil"/>
            </w:tcBorders>
            <w:shd w:val="clear" w:color="auto" w:fill="D2EDFF"/>
            <w:vAlign w:val="center"/>
            <w:hideMark/>
          </w:tcPr>
          <w:p w14:paraId="1ECCCAC5" w14:textId="7E13A3B6" w:rsidR="003D3EC9" w:rsidRPr="00977E64" w:rsidRDefault="003D3EC9" w:rsidP="00756BE9">
            <w:pPr>
              <w:pStyle w:val="TableTextRight"/>
            </w:pPr>
            <w:r>
              <w:rPr>
                <w:rFonts w:ascii="Calibri" w:hAnsi="Calibri" w:cs="Calibri"/>
              </w:rPr>
              <w:t>0.4</w:t>
            </w:r>
          </w:p>
        </w:tc>
        <w:tc>
          <w:tcPr>
            <w:tcW w:w="579" w:type="pct"/>
            <w:tcBorders>
              <w:top w:val="nil"/>
              <w:left w:val="nil"/>
              <w:bottom w:val="nil"/>
              <w:right w:val="nil"/>
            </w:tcBorders>
            <w:shd w:val="clear" w:color="auto" w:fill="auto"/>
            <w:vAlign w:val="center"/>
            <w:hideMark/>
          </w:tcPr>
          <w:p w14:paraId="318BA66F" w14:textId="0C146DA6" w:rsidR="003D3EC9" w:rsidRPr="00977E64" w:rsidRDefault="003D3EC9" w:rsidP="00756BE9">
            <w:pPr>
              <w:pStyle w:val="TableTextRight"/>
            </w:pPr>
            <w:r>
              <w:rPr>
                <w:rFonts w:ascii="Calibri" w:hAnsi="Calibri" w:cs="Calibri"/>
              </w:rPr>
              <w:t>0.3</w:t>
            </w:r>
          </w:p>
        </w:tc>
        <w:tc>
          <w:tcPr>
            <w:tcW w:w="579" w:type="pct"/>
            <w:tcBorders>
              <w:top w:val="nil"/>
              <w:left w:val="nil"/>
              <w:bottom w:val="nil"/>
              <w:right w:val="nil"/>
            </w:tcBorders>
            <w:shd w:val="clear" w:color="auto" w:fill="auto"/>
            <w:vAlign w:val="center"/>
            <w:hideMark/>
          </w:tcPr>
          <w:p w14:paraId="557CB302" w14:textId="6CEF7FCE" w:rsidR="003D3EC9" w:rsidRPr="00977E64" w:rsidRDefault="003D3EC9" w:rsidP="00756BE9">
            <w:pPr>
              <w:pStyle w:val="TableTextRight"/>
            </w:pPr>
            <w:r>
              <w:rPr>
                <w:rFonts w:ascii="Calibri" w:hAnsi="Calibri" w:cs="Calibri"/>
              </w:rPr>
              <w:t>0.2</w:t>
            </w:r>
          </w:p>
        </w:tc>
        <w:tc>
          <w:tcPr>
            <w:tcW w:w="579" w:type="pct"/>
            <w:tcBorders>
              <w:top w:val="nil"/>
              <w:left w:val="nil"/>
              <w:bottom w:val="nil"/>
              <w:right w:val="single" w:sz="4" w:space="0" w:color="auto"/>
            </w:tcBorders>
            <w:shd w:val="clear" w:color="auto" w:fill="auto"/>
            <w:vAlign w:val="center"/>
            <w:hideMark/>
          </w:tcPr>
          <w:p w14:paraId="2BEC46E5" w14:textId="1203A391" w:rsidR="003D3EC9" w:rsidRPr="00977E64" w:rsidRDefault="003D3EC9" w:rsidP="00756BE9">
            <w:pPr>
              <w:pStyle w:val="TableTextRight"/>
            </w:pPr>
            <w:r>
              <w:rPr>
                <w:rFonts w:ascii="Calibri" w:hAnsi="Calibri" w:cs="Calibri"/>
              </w:rPr>
              <w:t>0.2</w:t>
            </w:r>
          </w:p>
        </w:tc>
        <w:tc>
          <w:tcPr>
            <w:tcW w:w="574" w:type="pct"/>
            <w:tcBorders>
              <w:top w:val="nil"/>
              <w:left w:val="nil"/>
              <w:bottom w:val="nil"/>
              <w:right w:val="nil"/>
            </w:tcBorders>
            <w:shd w:val="clear" w:color="auto" w:fill="auto"/>
            <w:vAlign w:val="center"/>
            <w:hideMark/>
          </w:tcPr>
          <w:p w14:paraId="226879A3" w14:textId="0279CD99" w:rsidR="003D3EC9" w:rsidRPr="00977E64" w:rsidRDefault="003D3EC9" w:rsidP="00756BE9">
            <w:pPr>
              <w:pStyle w:val="TableTextRight"/>
            </w:pPr>
            <w:r>
              <w:rPr>
                <w:rFonts w:ascii="Calibri" w:hAnsi="Calibri" w:cs="Calibri"/>
              </w:rPr>
              <w:t>0.2</w:t>
            </w:r>
          </w:p>
        </w:tc>
      </w:tr>
      <w:tr w:rsidR="003D3EC9" w:rsidRPr="00977E64" w14:paraId="06A90242" w14:textId="77777777" w:rsidTr="00916EF2">
        <w:trPr>
          <w:trHeight w:val="227"/>
        </w:trPr>
        <w:tc>
          <w:tcPr>
            <w:tcW w:w="1531" w:type="pct"/>
            <w:tcBorders>
              <w:top w:val="nil"/>
              <w:left w:val="nil"/>
              <w:bottom w:val="nil"/>
              <w:right w:val="nil"/>
            </w:tcBorders>
            <w:shd w:val="clear" w:color="auto" w:fill="auto"/>
            <w:vAlign w:val="center"/>
            <w:hideMark/>
          </w:tcPr>
          <w:p w14:paraId="6AA84BF7" w14:textId="68A319FC" w:rsidR="003D3EC9" w:rsidRPr="00977E64" w:rsidRDefault="003D3EC9" w:rsidP="00C75089">
            <w:pPr>
              <w:pStyle w:val="TableColumnHeadingLeft"/>
            </w:pPr>
            <w:r w:rsidRPr="00977E64">
              <w:t>Population growth (</w:t>
            </w:r>
            <w:r w:rsidR="00050D25">
              <w:t>‘</w:t>
            </w:r>
            <w:r w:rsidRPr="00977E64">
              <w:t>000)</w:t>
            </w:r>
          </w:p>
        </w:tc>
        <w:tc>
          <w:tcPr>
            <w:tcW w:w="579" w:type="pct"/>
            <w:tcBorders>
              <w:top w:val="nil"/>
              <w:left w:val="nil"/>
              <w:bottom w:val="nil"/>
              <w:right w:val="nil"/>
            </w:tcBorders>
            <w:shd w:val="clear" w:color="auto" w:fill="auto"/>
            <w:vAlign w:val="center"/>
            <w:hideMark/>
          </w:tcPr>
          <w:p w14:paraId="557733CC"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590AF69E" w14:textId="0F607FF7"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14A3FF9D"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7291F94E"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65162C48" w14:textId="71F410F8"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1EADA53E" w14:textId="77777777" w:rsidR="003D3EC9" w:rsidRPr="00977E64" w:rsidRDefault="003D3EC9" w:rsidP="00756BE9">
            <w:pPr>
              <w:pStyle w:val="TableTextRight"/>
            </w:pPr>
          </w:p>
        </w:tc>
      </w:tr>
      <w:tr w:rsidR="003D3EC9" w:rsidRPr="00977E64" w14:paraId="3433C578" w14:textId="77777777" w:rsidTr="00916EF2">
        <w:trPr>
          <w:trHeight w:val="227"/>
        </w:trPr>
        <w:tc>
          <w:tcPr>
            <w:tcW w:w="1531" w:type="pct"/>
            <w:tcBorders>
              <w:top w:val="nil"/>
              <w:left w:val="nil"/>
              <w:bottom w:val="nil"/>
              <w:right w:val="nil"/>
            </w:tcBorders>
            <w:shd w:val="clear" w:color="auto" w:fill="auto"/>
            <w:vAlign w:val="center"/>
            <w:hideMark/>
          </w:tcPr>
          <w:p w14:paraId="1CC86370"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4E9B81C6" w14:textId="07B5FF15" w:rsidR="003D3EC9" w:rsidRPr="00977E64" w:rsidRDefault="003D3EC9" w:rsidP="00756BE9">
            <w:pPr>
              <w:pStyle w:val="TableTextRight"/>
            </w:pPr>
            <w:r>
              <w:rPr>
                <w:rFonts w:ascii="Calibri" w:hAnsi="Calibri" w:cs="Calibri"/>
              </w:rPr>
              <w:t>2.7</w:t>
            </w:r>
          </w:p>
        </w:tc>
        <w:tc>
          <w:tcPr>
            <w:tcW w:w="579" w:type="pct"/>
            <w:tcBorders>
              <w:top w:val="nil"/>
              <w:left w:val="nil"/>
              <w:bottom w:val="nil"/>
              <w:right w:val="nil"/>
            </w:tcBorders>
            <w:shd w:val="clear" w:color="auto" w:fill="D2EDFF"/>
            <w:vAlign w:val="center"/>
            <w:hideMark/>
          </w:tcPr>
          <w:p w14:paraId="3ECE6AB6" w14:textId="77E2F5F3" w:rsidR="003D3EC9" w:rsidRPr="00977E64" w:rsidRDefault="003D3EC9" w:rsidP="00756BE9">
            <w:pPr>
              <w:pStyle w:val="TableTextRight"/>
            </w:pPr>
            <w:r>
              <w:rPr>
                <w:rFonts w:ascii="Calibri" w:hAnsi="Calibri" w:cs="Calibri"/>
              </w:rPr>
              <w:t>2.0</w:t>
            </w:r>
          </w:p>
        </w:tc>
        <w:tc>
          <w:tcPr>
            <w:tcW w:w="579" w:type="pct"/>
            <w:tcBorders>
              <w:top w:val="nil"/>
              <w:left w:val="nil"/>
              <w:bottom w:val="nil"/>
              <w:right w:val="nil"/>
            </w:tcBorders>
            <w:shd w:val="clear" w:color="auto" w:fill="auto"/>
            <w:vAlign w:val="center"/>
            <w:hideMark/>
          </w:tcPr>
          <w:p w14:paraId="0FE0A388" w14:textId="4B8EEEB1" w:rsidR="003D3EC9" w:rsidRPr="00977E64" w:rsidRDefault="004368C9" w:rsidP="00756BE9">
            <w:pPr>
              <w:pStyle w:val="TableTextRight"/>
            </w:pPr>
            <w:r>
              <w:rPr>
                <w:rFonts w:ascii="Calibri" w:hAnsi="Calibri" w:cs="Calibri"/>
              </w:rPr>
              <w:t>1.3</w:t>
            </w:r>
          </w:p>
        </w:tc>
        <w:tc>
          <w:tcPr>
            <w:tcW w:w="579" w:type="pct"/>
            <w:tcBorders>
              <w:top w:val="nil"/>
              <w:left w:val="nil"/>
              <w:bottom w:val="nil"/>
              <w:right w:val="nil"/>
            </w:tcBorders>
            <w:shd w:val="clear" w:color="auto" w:fill="auto"/>
            <w:vAlign w:val="center"/>
            <w:hideMark/>
          </w:tcPr>
          <w:p w14:paraId="37EE62F6" w14:textId="3AABDEF8" w:rsidR="003D3EC9" w:rsidRPr="00977E64" w:rsidRDefault="003D3EC9" w:rsidP="00756BE9">
            <w:pPr>
              <w:pStyle w:val="TableTextRight"/>
            </w:pPr>
            <w:r>
              <w:rPr>
                <w:rFonts w:ascii="Calibri" w:hAnsi="Calibri" w:cs="Calibri"/>
              </w:rPr>
              <w:t>1.8</w:t>
            </w:r>
          </w:p>
        </w:tc>
        <w:tc>
          <w:tcPr>
            <w:tcW w:w="579" w:type="pct"/>
            <w:tcBorders>
              <w:top w:val="nil"/>
              <w:left w:val="nil"/>
              <w:bottom w:val="nil"/>
              <w:right w:val="single" w:sz="4" w:space="0" w:color="auto"/>
            </w:tcBorders>
            <w:shd w:val="clear" w:color="auto" w:fill="auto"/>
            <w:vAlign w:val="center"/>
            <w:hideMark/>
          </w:tcPr>
          <w:p w14:paraId="4F5746F1" w14:textId="7B9FCA48" w:rsidR="003D3EC9" w:rsidRPr="00977E64" w:rsidRDefault="004368C9" w:rsidP="00756BE9">
            <w:pPr>
              <w:pStyle w:val="TableTextRight"/>
            </w:pPr>
            <w:r>
              <w:rPr>
                <w:rFonts w:ascii="Calibri" w:hAnsi="Calibri" w:cs="Calibri"/>
              </w:rPr>
              <w:t>2.</w:t>
            </w:r>
            <w:r w:rsidR="006D2426">
              <w:rPr>
                <w:rFonts w:ascii="Calibri" w:hAnsi="Calibri" w:cs="Calibri"/>
              </w:rPr>
              <w:t>1</w:t>
            </w:r>
          </w:p>
        </w:tc>
        <w:tc>
          <w:tcPr>
            <w:tcW w:w="574" w:type="pct"/>
            <w:tcBorders>
              <w:top w:val="nil"/>
              <w:left w:val="nil"/>
              <w:bottom w:val="nil"/>
              <w:right w:val="nil"/>
            </w:tcBorders>
            <w:shd w:val="clear" w:color="auto" w:fill="auto"/>
            <w:vAlign w:val="center"/>
            <w:hideMark/>
          </w:tcPr>
          <w:p w14:paraId="624961A4" w14:textId="38ABDEAC" w:rsidR="003D3EC9" w:rsidRPr="00977E64" w:rsidRDefault="003D3EC9" w:rsidP="00756BE9">
            <w:pPr>
              <w:pStyle w:val="TableTextRight"/>
            </w:pPr>
            <w:r>
              <w:rPr>
                <w:rFonts w:ascii="Calibri" w:hAnsi="Calibri" w:cs="Calibri"/>
              </w:rPr>
              <w:t>2.1</w:t>
            </w:r>
          </w:p>
        </w:tc>
      </w:tr>
      <w:tr w:rsidR="003D3EC9" w:rsidRPr="00977E64" w14:paraId="57CCB09F" w14:textId="77777777" w:rsidTr="00916EF2">
        <w:trPr>
          <w:trHeight w:val="227"/>
        </w:trPr>
        <w:tc>
          <w:tcPr>
            <w:tcW w:w="1531" w:type="pct"/>
            <w:tcBorders>
              <w:top w:val="nil"/>
              <w:left w:val="nil"/>
              <w:bottom w:val="nil"/>
              <w:right w:val="nil"/>
            </w:tcBorders>
            <w:shd w:val="clear" w:color="auto" w:fill="auto"/>
            <w:vAlign w:val="center"/>
            <w:hideMark/>
          </w:tcPr>
          <w:p w14:paraId="412B4DDB"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3556AC6A" w14:textId="34463787" w:rsidR="003D3EC9" w:rsidRPr="00977E64" w:rsidRDefault="003D3EC9" w:rsidP="00756BE9">
            <w:pPr>
              <w:pStyle w:val="TableTextRight"/>
            </w:pPr>
            <w:r>
              <w:rPr>
                <w:rFonts w:ascii="Calibri" w:hAnsi="Calibri" w:cs="Calibri"/>
              </w:rPr>
              <w:t>1.2</w:t>
            </w:r>
          </w:p>
        </w:tc>
        <w:tc>
          <w:tcPr>
            <w:tcW w:w="579" w:type="pct"/>
            <w:tcBorders>
              <w:top w:val="nil"/>
              <w:left w:val="nil"/>
              <w:bottom w:val="nil"/>
              <w:right w:val="nil"/>
            </w:tcBorders>
            <w:shd w:val="clear" w:color="auto" w:fill="D2EDFF"/>
            <w:vAlign w:val="center"/>
            <w:hideMark/>
          </w:tcPr>
          <w:p w14:paraId="592140E3" w14:textId="49B644F9" w:rsidR="003D3EC9" w:rsidRPr="00977E64" w:rsidRDefault="003D3EC9" w:rsidP="00756BE9">
            <w:pPr>
              <w:pStyle w:val="TableTextRight"/>
            </w:pPr>
            <w:r>
              <w:rPr>
                <w:rFonts w:ascii="Calibri" w:hAnsi="Calibri" w:cs="Calibri"/>
              </w:rPr>
              <w:t>0.6</w:t>
            </w:r>
          </w:p>
        </w:tc>
        <w:tc>
          <w:tcPr>
            <w:tcW w:w="579" w:type="pct"/>
            <w:tcBorders>
              <w:top w:val="nil"/>
              <w:left w:val="nil"/>
              <w:bottom w:val="nil"/>
              <w:right w:val="nil"/>
            </w:tcBorders>
            <w:shd w:val="clear" w:color="auto" w:fill="auto"/>
            <w:vAlign w:val="center"/>
            <w:hideMark/>
          </w:tcPr>
          <w:p w14:paraId="6BC33142" w14:textId="19CBC792" w:rsidR="003D3EC9" w:rsidRPr="00977E64" w:rsidRDefault="003D3EC9" w:rsidP="00756BE9">
            <w:pPr>
              <w:pStyle w:val="TableTextRight"/>
            </w:pPr>
            <w:r>
              <w:rPr>
                <w:rFonts w:ascii="Calibri" w:hAnsi="Calibri" w:cs="Calibri"/>
              </w:rPr>
              <w:t>0.5</w:t>
            </w:r>
          </w:p>
        </w:tc>
        <w:tc>
          <w:tcPr>
            <w:tcW w:w="579" w:type="pct"/>
            <w:tcBorders>
              <w:top w:val="nil"/>
              <w:left w:val="nil"/>
              <w:bottom w:val="nil"/>
              <w:right w:val="nil"/>
            </w:tcBorders>
            <w:shd w:val="clear" w:color="auto" w:fill="auto"/>
            <w:vAlign w:val="center"/>
            <w:hideMark/>
          </w:tcPr>
          <w:p w14:paraId="3A45A74A" w14:textId="45B20FB1" w:rsidR="003D3EC9" w:rsidRPr="00977E64" w:rsidRDefault="003D3EC9" w:rsidP="00756BE9">
            <w:pPr>
              <w:pStyle w:val="TableTextRight"/>
            </w:pPr>
            <w:r>
              <w:rPr>
                <w:rFonts w:ascii="Calibri" w:hAnsi="Calibri" w:cs="Calibri"/>
              </w:rPr>
              <w:t>1.1</w:t>
            </w:r>
          </w:p>
        </w:tc>
        <w:tc>
          <w:tcPr>
            <w:tcW w:w="579" w:type="pct"/>
            <w:tcBorders>
              <w:top w:val="nil"/>
              <w:left w:val="nil"/>
              <w:bottom w:val="nil"/>
              <w:right w:val="single" w:sz="4" w:space="0" w:color="auto"/>
            </w:tcBorders>
            <w:shd w:val="clear" w:color="auto" w:fill="auto"/>
            <w:vAlign w:val="center"/>
            <w:hideMark/>
          </w:tcPr>
          <w:p w14:paraId="1D2F9488" w14:textId="30EB0D75" w:rsidR="003D3EC9" w:rsidRPr="00977E64" w:rsidRDefault="004368C9" w:rsidP="00756BE9">
            <w:pPr>
              <w:pStyle w:val="TableTextRight"/>
            </w:pPr>
            <w:r>
              <w:rPr>
                <w:rFonts w:ascii="Calibri" w:hAnsi="Calibri" w:cs="Calibri"/>
              </w:rPr>
              <w:t>1.5</w:t>
            </w:r>
          </w:p>
        </w:tc>
        <w:tc>
          <w:tcPr>
            <w:tcW w:w="574" w:type="pct"/>
            <w:tcBorders>
              <w:top w:val="nil"/>
              <w:left w:val="nil"/>
              <w:bottom w:val="nil"/>
              <w:right w:val="nil"/>
            </w:tcBorders>
            <w:shd w:val="clear" w:color="auto" w:fill="auto"/>
            <w:vAlign w:val="center"/>
            <w:hideMark/>
          </w:tcPr>
          <w:p w14:paraId="4561E64B" w14:textId="18B0F4DB" w:rsidR="003D3EC9" w:rsidRPr="00977E64" w:rsidRDefault="003D3EC9" w:rsidP="00756BE9">
            <w:pPr>
              <w:pStyle w:val="TableTextRight"/>
            </w:pPr>
            <w:r>
              <w:rPr>
                <w:rFonts w:ascii="Calibri" w:hAnsi="Calibri" w:cs="Calibri"/>
              </w:rPr>
              <w:t>1.</w:t>
            </w:r>
            <w:r w:rsidR="006D2426">
              <w:rPr>
                <w:rFonts w:ascii="Calibri" w:hAnsi="Calibri" w:cs="Calibri"/>
              </w:rPr>
              <w:t>3</w:t>
            </w:r>
          </w:p>
        </w:tc>
      </w:tr>
      <w:tr w:rsidR="003D3EC9" w:rsidRPr="00977E64" w14:paraId="4602608F"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62A0BABF"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single" w:sz="4" w:space="0" w:color="auto"/>
              <w:right w:val="nil"/>
            </w:tcBorders>
            <w:shd w:val="clear" w:color="auto" w:fill="auto"/>
            <w:vAlign w:val="center"/>
            <w:hideMark/>
          </w:tcPr>
          <w:p w14:paraId="4B291C4F" w14:textId="4FCACB8B" w:rsidR="003D3EC9" w:rsidRPr="00977E64" w:rsidRDefault="003D3EC9" w:rsidP="00756BE9">
            <w:pPr>
              <w:pStyle w:val="TableTextRight"/>
            </w:pPr>
            <w:r>
              <w:rPr>
                <w:rFonts w:ascii="Calibri" w:hAnsi="Calibri" w:cs="Calibri"/>
              </w:rPr>
              <w:t>0.9</w:t>
            </w:r>
          </w:p>
        </w:tc>
        <w:tc>
          <w:tcPr>
            <w:tcW w:w="579" w:type="pct"/>
            <w:tcBorders>
              <w:top w:val="nil"/>
              <w:left w:val="nil"/>
              <w:bottom w:val="single" w:sz="4" w:space="0" w:color="auto"/>
              <w:right w:val="nil"/>
            </w:tcBorders>
            <w:shd w:val="clear" w:color="auto" w:fill="D2EDFF"/>
            <w:vAlign w:val="center"/>
            <w:hideMark/>
          </w:tcPr>
          <w:p w14:paraId="032FE443" w14:textId="4B30B7AB" w:rsidR="003D3EC9" w:rsidRPr="00977E64" w:rsidRDefault="003D3EC9" w:rsidP="00756BE9">
            <w:pPr>
              <w:pStyle w:val="TableTextRight"/>
            </w:pPr>
            <w:r>
              <w:rPr>
                <w:rFonts w:ascii="Calibri" w:hAnsi="Calibri" w:cs="Calibri"/>
              </w:rPr>
              <w:t>1.4</w:t>
            </w:r>
          </w:p>
        </w:tc>
        <w:tc>
          <w:tcPr>
            <w:tcW w:w="579" w:type="pct"/>
            <w:tcBorders>
              <w:top w:val="nil"/>
              <w:left w:val="nil"/>
              <w:bottom w:val="single" w:sz="4" w:space="0" w:color="auto"/>
              <w:right w:val="nil"/>
            </w:tcBorders>
            <w:shd w:val="clear" w:color="auto" w:fill="auto"/>
            <w:vAlign w:val="center"/>
            <w:hideMark/>
          </w:tcPr>
          <w:p w14:paraId="5F547E7C" w14:textId="3A6D7128" w:rsidR="003D3EC9" w:rsidRPr="00977E64" w:rsidRDefault="004368C9" w:rsidP="00756BE9">
            <w:pPr>
              <w:pStyle w:val="TableTextRight"/>
            </w:pPr>
            <w:r>
              <w:rPr>
                <w:rFonts w:ascii="Calibri" w:hAnsi="Calibri" w:cs="Calibri"/>
              </w:rPr>
              <w:t>0.8</w:t>
            </w:r>
          </w:p>
        </w:tc>
        <w:tc>
          <w:tcPr>
            <w:tcW w:w="579" w:type="pct"/>
            <w:tcBorders>
              <w:top w:val="nil"/>
              <w:left w:val="nil"/>
              <w:bottom w:val="single" w:sz="4" w:space="0" w:color="auto"/>
              <w:right w:val="nil"/>
            </w:tcBorders>
            <w:shd w:val="clear" w:color="auto" w:fill="auto"/>
            <w:vAlign w:val="center"/>
            <w:hideMark/>
          </w:tcPr>
          <w:p w14:paraId="478531F7" w14:textId="37784988" w:rsidR="003D3EC9" w:rsidRPr="00977E64" w:rsidRDefault="003D3EC9" w:rsidP="00756BE9">
            <w:pPr>
              <w:pStyle w:val="TableTextRight"/>
            </w:pPr>
            <w:r>
              <w:rPr>
                <w:rFonts w:ascii="Calibri" w:hAnsi="Calibri" w:cs="Calibri"/>
              </w:rPr>
              <w:t>0.7</w:t>
            </w:r>
          </w:p>
        </w:tc>
        <w:tc>
          <w:tcPr>
            <w:tcW w:w="579" w:type="pct"/>
            <w:tcBorders>
              <w:top w:val="nil"/>
              <w:left w:val="nil"/>
              <w:bottom w:val="single" w:sz="4" w:space="0" w:color="auto"/>
              <w:right w:val="single" w:sz="4" w:space="0" w:color="auto"/>
            </w:tcBorders>
            <w:shd w:val="clear" w:color="auto" w:fill="auto"/>
            <w:vAlign w:val="center"/>
            <w:hideMark/>
          </w:tcPr>
          <w:p w14:paraId="5BDAB62F" w14:textId="34D9DE3C" w:rsidR="003D3EC9" w:rsidRPr="00977E64" w:rsidRDefault="004368C9" w:rsidP="00756BE9">
            <w:pPr>
              <w:pStyle w:val="TableTextRight"/>
            </w:pPr>
            <w:r>
              <w:rPr>
                <w:rFonts w:ascii="Calibri" w:hAnsi="Calibri" w:cs="Calibri"/>
              </w:rPr>
              <w:t>0.6</w:t>
            </w:r>
          </w:p>
        </w:tc>
        <w:tc>
          <w:tcPr>
            <w:tcW w:w="574" w:type="pct"/>
            <w:tcBorders>
              <w:top w:val="nil"/>
              <w:left w:val="nil"/>
              <w:bottom w:val="single" w:sz="4" w:space="0" w:color="auto"/>
              <w:right w:val="nil"/>
            </w:tcBorders>
            <w:shd w:val="clear" w:color="auto" w:fill="auto"/>
            <w:vAlign w:val="center"/>
            <w:hideMark/>
          </w:tcPr>
          <w:p w14:paraId="708C00AA" w14:textId="29D12971" w:rsidR="003D3EC9" w:rsidRPr="00977E64" w:rsidRDefault="004368C9" w:rsidP="00756BE9">
            <w:pPr>
              <w:pStyle w:val="TableTextRight"/>
            </w:pPr>
            <w:r>
              <w:rPr>
                <w:rFonts w:ascii="Calibri" w:hAnsi="Calibri" w:cs="Calibri"/>
              </w:rPr>
              <w:t>0.8</w:t>
            </w:r>
          </w:p>
        </w:tc>
      </w:tr>
      <w:tr w:rsidR="003D3EC9" w:rsidRPr="00977E64" w14:paraId="7A087A7C" w14:textId="77777777" w:rsidTr="00916EF2">
        <w:trPr>
          <w:trHeight w:val="227"/>
        </w:trPr>
        <w:tc>
          <w:tcPr>
            <w:tcW w:w="1531" w:type="pct"/>
            <w:tcBorders>
              <w:top w:val="nil"/>
              <w:left w:val="nil"/>
              <w:bottom w:val="nil"/>
              <w:right w:val="nil"/>
            </w:tcBorders>
            <w:shd w:val="clear" w:color="auto" w:fill="auto"/>
            <w:vAlign w:val="center"/>
            <w:hideMark/>
          </w:tcPr>
          <w:p w14:paraId="643F2FE1" w14:textId="3D5817B3" w:rsidR="003D3EC9" w:rsidRPr="00977E64" w:rsidRDefault="003D3EC9" w:rsidP="00C75089">
            <w:pPr>
              <w:pStyle w:val="TableColumnHeadingLeft"/>
            </w:pPr>
            <w:r w:rsidRPr="00977E64">
              <w:t>Natural increase (</w:t>
            </w:r>
            <w:r w:rsidR="00050D25">
              <w:t>‘</w:t>
            </w:r>
            <w:r w:rsidRPr="00977E64">
              <w:t>000)</w:t>
            </w:r>
          </w:p>
        </w:tc>
        <w:tc>
          <w:tcPr>
            <w:tcW w:w="579" w:type="pct"/>
            <w:tcBorders>
              <w:top w:val="nil"/>
              <w:left w:val="nil"/>
              <w:bottom w:val="nil"/>
              <w:right w:val="nil"/>
            </w:tcBorders>
            <w:shd w:val="clear" w:color="auto" w:fill="auto"/>
            <w:vAlign w:val="center"/>
            <w:hideMark/>
          </w:tcPr>
          <w:p w14:paraId="671CB416"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533598AB" w14:textId="3407455A"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4A2EA872"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7B00EC76"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6D7C5CE8" w14:textId="0D95D608"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57051BCD" w14:textId="77777777" w:rsidR="003D3EC9" w:rsidRPr="00977E64" w:rsidRDefault="003D3EC9" w:rsidP="00756BE9">
            <w:pPr>
              <w:pStyle w:val="TableTextRight"/>
            </w:pPr>
          </w:p>
        </w:tc>
      </w:tr>
      <w:tr w:rsidR="003D3EC9" w:rsidRPr="00977E64" w14:paraId="37C50C6A" w14:textId="77777777" w:rsidTr="00916EF2">
        <w:trPr>
          <w:trHeight w:val="227"/>
        </w:trPr>
        <w:tc>
          <w:tcPr>
            <w:tcW w:w="1531" w:type="pct"/>
            <w:tcBorders>
              <w:top w:val="nil"/>
              <w:left w:val="nil"/>
              <w:bottom w:val="nil"/>
              <w:right w:val="nil"/>
            </w:tcBorders>
            <w:shd w:val="clear" w:color="auto" w:fill="auto"/>
            <w:vAlign w:val="center"/>
            <w:hideMark/>
          </w:tcPr>
          <w:p w14:paraId="324FE048"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3D5C0019" w14:textId="765EADB2" w:rsidR="003D3EC9" w:rsidRPr="00977E64" w:rsidRDefault="003D3EC9" w:rsidP="00756BE9">
            <w:pPr>
              <w:pStyle w:val="TableTextRight"/>
            </w:pPr>
            <w:r>
              <w:rPr>
                <w:rFonts w:ascii="Calibri" w:hAnsi="Calibri" w:cs="Calibri"/>
              </w:rPr>
              <w:t>0.5</w:t>
            </w:r>
          </w:p>
        </w:tc>
        <w:tc>
          <w:tcPr>
            <w:tcW w:w="579" w:type="pct"/>
            <w:tcBorders>
              <w:top w:val="nil"/>
              <w:left w:val="nil"/>
              <w:bottom w:val="nil"/>
              <w:right w:val="nil"/>
            </w:tcBorders>
            <w:shd w:val="clear" w:color="auto" w:fill="D2EDFF"/>
            <w:vAlign w:val="center"/>
            <w:hideMark/>
          </w:tcPr>
          <w:p w14:paraId="0D7CA609" w14:textId="45DADFA3" w:rsidR="003D3EC9" w:rsidRPr="00977E64" w:rsidRDefault="004368C9" w:rsidP="00756BE9">
            <w:pPr>
              <w:pStyle w:val="TableTextRight"/>
            </w:pPr>
            <w:r>
              <w:rPr>
                <w:rFonts w:ascii="Calibri" w:hAnsi="Calibri" w:cs="Calibri"/>
              </w:rPr>
              <w:t>0.3</w:t>
            </w:r>
          </w:p>
        </w:tc>
        <w:tc>
          <w:tcPr>
            <w:tcW w:w="579" w:type="pct"/>
            <w:tcBorders>
              <w:top w:val="nil"/>
              <w:left w:val="nil"/>
              <w:bottom w:val="nil"/>
              <w:right w:val="nil"/>
            </w:tcBorders>
            <w:shd w:val="clear" w:color="auto" w:fill="auto"/>
            <w:vAlign w:val="center"/>
            <w:hideMark/>
          </w:tcPr>
          <w:p w14:paraId="01FA70C7" w14:textId="4F0A7EFE" w:rsidR="003D3EC9" w:rsidRPr="00977E64" w:rsidRDefault="004368C9" w:rsidP="00756BE9">
            <w:pPr>
              <w:pStyle w:val="TableTextRight"/>
            </w:pPr>
            <w:r>
              <w:rPr>
                <w:rFonts w:ascii="Calibri" w:hAnsi="Calibri" w:cs="Calibri"/>
              </w:rPr>
              <w:t>0.1</w:t>
            </w:r>
          </w:p>
        </w:tc>
        <w:tc>
          <w:tcPr>
            <w:tcW w:w="579" w:type="pct"/>
            <w:tcBorders>
              <w:top w:val="nil"/>
              <w:left w:val="nil"/>
              <w:bottom w:val="nil"/>
              <w:right w:val="nil"/>
            </w:tcBorders>
            <w:shd w:val="clear" w:color="auto" w:fill="auto"/>
            <w:vAlign w:val="center"/>
            <w:hideMark/>
          </w:tcPr>
          <w:p w14:paraId="7FC53D08" w14:textId="5C585127" w:rsidR="003D3EC9" w:rsidRPr="00977E64" w:rsidRDefault="004368C9" w:rsidP="00756BE9">
            <w:pPr>
              <w:pStyle w:val="TableTextRight"/>
            </w:pPr>
            <w:r>
              <w:rPr>
                <w:rFonts w:ascii="Calibri" w:hAnsi="Calibri" w:cs="Calibri"/>
              </w:rPr>
              <w:t>0.2</w:t>
            </w:r>
          </w:p>
        </w:tc>
        <w:tc>
          <w:tcPr>
            <w:tcW w:w="579" w:type="pct"/>
            <w:tcBorders>
              <w:top w:val="nil"/>
              <w:left w:val="nil"/>
              <w:bottom w:val="nil"/>
              <w:right w:val="single" w:sz="4" w:space="0" w:color="auto"/>
            </w:tcBorders>
            <w:shd w:val="clear" w:color="auto" w:fill="auto"/>
            <w:vAlign w:val="center"/>
            <w:hideMark/>
          </w:tcPr>
          <w:p w14:paraId="4CC36BB2" w14:textId="5E1A425C" w:rsidR="003D3EC9" w:rsidRPr="00977E64" w:rsidRDefault="004368C9" w:rsidP="00756BE9">
            <w:pPr>
              <w:pStyle w:val="TableTextRight"/>
            </w:pPr>
            <w:r>
              <w:rPr>
                <w:rFonts w:ascii="Calibri" w:hAnsi="Calibri" w:cs="Calibri"/>
              </w:rPr>
              <w:t>0.1</w:t>
            </w:r>
          </w:p>
        </w:tc>
        <w:tc>
          <w:tcPr>
            <w:tcW w:w="574" w:type="pct"/>
            <w:tcBorders>
              <w:top w:val="nil"/>
              <w:left w:val="nil"/>
              <w:bottom w:val="nil"/>
              <w:right w:val="nil"/>
            </w:tcBorders>
            <w:shd w:val="clear" w:color="auto" w:fill="auto"/>
            <w:vAlign w:val="center"/>
            <w:hideMark/>
          </w:tcPr>
          <w:p w14:paraId="00076BF3" w14:textId="5E14A9E7" w:rsidR="003D3EC9" w:rsidRPr="00977E64" w:rsidRDefault="00050D25" w:rsidP="00756BE9">
            <w:pPr>
              <w:pStyle w:val="TableTextRight"/>
            </w:pPr>
            <w:r>
              <w:rPr>
                <w:rFonts w:ascii="Calibri" w:hAnsi="Calibri" w:cs="Calibri"/>
              </w:rPr>
              <w:noBreakHyphen/>
            </w:r>
            <w:r w:rsidR="003D3EC9">
              <w:rPr>
                <w:rFonts w:ascii="Calibri" w:hAnsi="Calibri" w:cs="Calibri"/>
              </w:rPr>
              <w:t>0.8</w:t>
            </w:r>
          </w:p>
        </w:tc>
      </w:tr>
      <w:tr w:rsidR="003D3EC9" w:rsidRPr="00977E64" w14:paraId="5F82A107" w14:textId="77777777" w:rsidTr="00916EF2">
        <w:trPr>
          <w:trHeight w:val="227"/>
        </w:trPr>
        <w:tc>
          <w:tcPr>
            <w:tcW w:w="1531" w:type="pct"/>
            <w:tcBorders>
              <w:top w:val="nil"/>
              <w:left w:val="nil"/>
              <w:bottom w:val="nil"/>
              <w:right w:val="nil"/>
            </w:tcBorders>
            <w:shd w:val="clear" w:color="auto" w:fill="auto"/>
            <w:vAlign w:val="center"/>
            <w:hideMark/>
          </w:tcPr>
          <w:p w14:paraId="1D7A0EC3"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6E94FE31" w14:textId="630EDB7A" w:rsidR="003D3EC9" w:rsidRPr="00977E64" w:rsidRDefault="003D3EC9" w:rsidP="00756BE9">
            <w:pPr>
              <w:pStyle w:val="TableTextRight"/>
            </w:pPr>
            <w:r>
              <w:rPr>
                <w:rFonts w:ascii="Calibri" w:hAnsi="Calibri" w:cs="Calibri"/>
              </w:rPr>
              <w:t>0.3</w:t>
            </w:r>
          </w:p>
        </w:tc>
        <w:tc>
          <w:tcPr>
            <w:tcW w:w="579" w:type="pct"/>
            <w:tcBorders>
              <w:top w:val="nil"/>
              <w:left w:val="nil"/>
              <w:bottom w:val="nil"/>
              <w:right w:val="nil"/>
            </w:tcBorders>
            <w:shd w:val="clear" w:color="auto" w:fill="D2EDFF"/>
            <w:vAlign w:val="center"/>
            <w:hideMark/>
          </w:tcPr>
          <w:p w14:paraId="64E89635" w14:textId="3842DE02" w:rsidR="003D3EC9" w:rsidRPr="00977E64" w:rsidRDefault="004368C9" w:rsidP="00756BE9">
            <w:pPr>
              <w:pStyle w:val="TableTextRight"/>
            </w:pPr>
            <w:r>
              <w:rPr>
                <w:rFonts w:ascii="Calibri" w:hAnsi="Calibri" w:cs="Calibri"/>
              </w:rPr>
              <w:t>0.6</w:t>
            </w:r>
          </w:p>
        </w:tc>
        <w:tc>
          <w:tcPr>
            <w:tcW w:w="579" w:type="pct"/>
            <w:tcBorders>
              <w:top w:val="nil"/>
              <w:left w:val="nil"/>
              <w:bottom w:val="nil"/>
              <w:right w:val="nil"/>
            </w:tcBorders>
            <w:shd w:val="clear" w:color="auto" w:fill="auto"/>
            <w:vAlign w:val="center"/>
            <w:hideMark/>
          </w:tcPr>
          <w:p w14:paraId="49D76B8F" w14:textId="0B533220" w:rsidR="003D3EC9" w:rsidRPr="00977E64" w:rsidRDefault="004368C9" w:rsidP="00756BE9">
            <w:pPr>
              <w:pStyle w:val="TableTextRight"/>
            </w:pPr>
            <w:r>
              <w:rPr>
                <w:rFonts w:ascii="Calibri" w:hAnsi="Calibri" w:cs="Calibri"/>
              </w:rPr>
              <w:t>0.5</w:t>
            </w:r>
          </w:p>
        </w:tc>
        <w:tc>
          <w:tcPr>
            <w:tcW w:w="579" w:type="pct"/>
            <w:tcBorders>
              <w:top w:val="nil"/>
              <w:left w:val="nil"/>
              <w:bottom w:val="nil"/>
              <w:right w:val="nil"/>
            </w:tcBorders>
            <w:shd w:val="clear" w:color="auto" w:fill="auto"/>
            <w:vAlign w:val="center"/>
            <w:hideMark/>
          </w:tcPr>
          <w:p w14:paraId="684633E6" w14:textId="25B630D0" w:rsidR="003D3EC9" w:rsidRPr="00977E64" w:rsidRDefault="004368C9" w:rsidP="00756BE9">
            <w:pPr>
              <w:pStyle w:val="TableTextRight"/>
            </w:pPr>
            <w:r>
              <w:rPr>
                <w:rFonts w:ascii="Calibri" w:hAnsi="Calibri" w:cs="Calibri"/>
              </w:rPr>
              <w:t>0.5</w:t>
            </w:r>
          </w:p>
        </w:tc>
        <w:tc>
          <w:tcPr>
            <w:tcW w:w="579" w:type="pct"/>
            <w:tcBorders>
              <w:top w:val="nil"/>
              <w:left w:val="nil"/>
              <w:bottom w:val="nil"/>
              <w:right w:val="single" w:sz="4" w:space="0" w:color="auto"/>
            </w:tcBorders>
            <w:shd w:val="clear" w:color="auto" w:fill="auto"/>
            <w:vAlign w:val="center"/>
            <w:hideMark/>
          </w:tcPr>
          <w:p w14:paraId="6841EE6C" w14:textId="6B96B8AA" w:rsidR="003D3EC9" w:rsidRPr="00977E64" w:rsidRDefault="004368C9" w:rsidP="00756BE9">
            <w:pPr>
              <w:pStyle w:val="TableTextRight"/>
            </w:pPr>
            <w:r>
              <w:rPr>
                <w:rFonts w:ascii="Calibri" w:hAnsi="Calibri" w:cs="Calibri"/>
              </w:rPr>
              <w:t>0.5</w:t>
            </w:r>
          </w:p>
        </w:tc>
        <w:tc>
          <w:tcPr>
            <w:tcW w:w="574" w:type="pct"/>
            <w:tcBorders>
              <w:top w:val="nil"/>
              <w:left w:val="nil"/>
              <w:bottom w:val="nil"/>
              <w:right w:val="nil"/>
            </w:tcBorders>
            <w:shd w:val="clear" w:color="auto" w:fill="auto"/>
            <w:vAlign w:val="center"/>
            <w:hideMark/>
          </w:tcPr>
          <w:p w14:paraId="44648657" w14:textId="3167C91F" w:rsidR="003D3EC9" w:rsidRPr="00977E64" w:rsidRDefault="003D3EC9" w:rsidP="00756BE9">
            <w:pPr>
              <w:pStyle w:val="TableTextRight"/>
            </w:pPr>
            <w:r>
              <w:rPr>
                <w:rFonts w:ascii="Calibri" w:hAnsi="Calibri" w:cs="Calibri"/>
              </w:rPr>
              <w:t>0.0</w:t>
            </w:r>
          </w:p>
        </w:tc>
      </w:tr>
      <w:tr w:rsidR="003D3EC9" w:rsidRPr="00977E64" w14:paraId="53FD2311" w14:textId="77777777" w:rsidTr="00916EF2">
        <w:trPr>
          <w:trHeight w:val="227"/>
        </w:trPr>
        <w:tc>
          <w:tcPr>
            <w:tcW w:w="1531" w:type="pct"/>
            <w:tcBorders>
              <w:top w:val="nil"/>
              <w:left w:val="nil"/>
              <w:bottom w:val="nil"/>
              <w:right w:val="nil"/>
            </w:tcBorders>
            <w:shd w:val="clear" w:color="auto" w:fill="auto"/>
            <w:vAlign w:val="center"/>
            <w:hideMark/>
          </w:tcPr>
          <w:p w14:paraId="31687930"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nil"/>
              <w:right w:val="nil"/>
            </w:tcBorders>
            <w:shd w:val="clear" w:color="auto" w:fill="auto"/>
            <w:vAlign w:val="center"/>
            <w:hideMark/>
          </w:tcPr>
          <w:p w14:paraId="0FFDF2A5" w14:textId="3FAAB225" w:rsidR="003D3EC9" w:rsidRPr="00977E64" w:rsidRDefault="00050D25" w:rsidP="00756BE9">
            <w:pPr>
              <w:pStyle w:val="TableTextRight"/>
            </w:pPr>
            <w:r>
              <w:rPr>
                <w:rFonts w:ascii="Calibri" w:hAnsi="Calibri" w:cs="Calibri"/>
              </w:rPr>
              <w:noBreakHyphen/>
            </w:r>
            <w:r w:rsidR="003D3EC9">
              <w:rPr>
                <w:rFonts w:ascii="Calibri" w:hAnsi="Calibri" w:cs="Calibri"/>
              </w:rPr>
              <w:t>0.1</w:t>
            </w:r>
          </w:p>
        </w:tc>
        <w:tc>
          <w:tcPr>
            <w:tcW w:w="579" w:type="pct"/>
            <w:tcBorders>
              <w:top w:val="nil"/>
              <w:left w:val="nil"/>
              <w:bottom w:val="nil"/>
              <w:right w:val="nil"/>
            </w:tcBorders>
            <w:shd w:val="clear" w:color="auto" w:fill="D2EDFF"/>
            <w:vAlign w:val="center"/>
            <w:hideMark/>
          </w:tcPr>
          <w:p w14:paraId="1C524D01" w14:textId="7C95CA6D" w:rsidR="003D3EC9" w:rsidRPr="00977E64" w:rsidRDefault="00050D25" w:rsidP="00756BE9">
            <w:pPr>
              <w:pStyle w:val="TableTextRight"/>
            </w:pPr>
            <w:r>
              <w:rPr>
                <w:rFonts w:ascii="Calibri" w:hAnsi="Calibri" w:cs="Calibri"/>
              </w:rPr>
              <w:noBreakHyphen/>
            </w:r>
            <w:r w:rsidR="003D3EC9">
              <w:rPr>
                <w:rFonts w:ascii="Calibri" w:hAnsi="Calibri" w:cs="Calibri"/>
              </w:rPr>
              <w:t>0.3</w:t>
            </w:r>
          </w:p>
        </w:tc>
        <w:tc>
          <w:tcPr>
            <w:tcW w:w="579" w:type="pct"/>
            <w:tcBorders>
              <w:top w:val="nil"/>
              <w:left w:val="nil"/>
              <w:bottom w:val="nil"/>
              <w:right w:val="nil"/>
            </w:tcBorders>
            <w:shd w:val="clear" w:color="auto" w:fill="auto"/>
            <w:vAlign w:val="center"/>
            <w:hideMark/>
          </w:tcPr>
          <w:p w14:paraId="1C60E786" w14:textId="6F1D6EF9" w:rsidR="003D3EC9" w:rsidRPr="00977E64" w:rsidRDefault="00050D25" w:rsidP="00756BE9">
            <w:pPr>
              <w:pStyle w:val="TableTextRight"/>
            </w:pPr>
            <w:r>
              <w:rPr>
                <w:rFonts w:ascii="Calibri" w:hAnsi="Calibri" w:cs="Calibri"/>
              </w:rPr>
              <w:noBreakHyphen/>
            </w:r>
            <w:r w:rsidR="004368C9">
              <w:rPr>
                <w:rFonts w:ascii="Calibri" w:hAnsi="Calibri" w:cs="Calibri"/>
              </w:rPr>
              <w:t>0.4</w:t>
            </w:r>
          </w:p>
        </w:tc>
        <w:tc>
          <w:tcPr>
            <w:tcW w:w="579" w:type="pct"/>
            <w:tcBorders>
              <w:top w:val="nil"/>
              <w:left w:val="nil"/>
              <w:bottom w:val="nil"/>
              <w:right w:val="nil"/>
            </w:tcBorders>
            <w:shd w:val="clear" w:color="auto" w:fill="auto"/>
            <w:vAlign w:val="center"/>
            <w:hideMark/>
          </w:tcPr>
          <w:p w14:paraId="4C9EB015" w14:textId="7CDB4784" w:rsidR="003D3EC9" w:rsidRPr="00977E64" w:rsidRDefault="00050D25" w:rsidP="00756BE9">
            <w:pPr>
              <w:pStyle w:val="TableTextRight"/>
            </w:pPr>
            <w:r>
              <w:rPr>
                <w:rFonts w:ascii="Calibri" w:hAnsi="Calibri" w:cs="Calibri"/>
              </w:rPr>
              <w:noBreakHyphen/>
            </w:r>
            <w:r w:rsidR="004368C9">
              <w:rPr>
                <w:rFonts w:ascii="Calibri" w:hAnsi="Calibri" w:cs="Calibri"/>
              </w:rPr>
              <w:t>0.4</w:t>
            </w:r>
          </w:p>
        </w:tc>
        <w:tc>
          <w:tcPr>
            <w:tcW w:w="579" w:type="pct"/>
            <w:tcBorders>
              <w:top w:val="nil"/>
              <w:left w:val="nil"/>
              <w:bottom w:val="nil"/>
              <w:right w:val="single" w:sz="4" w:space="0" w:color="auto"/>
            </w:tcBorders>
            <w:shd w:val="clear" w:color="auto" w:fill="auto"/>
            <w:vAlign w:val="center"/>
            <w:hideMark/>
          </w:tcPr>
          <w:p w14:paraId="7ED5FC80" w14:textId="39804900" w:rsidR="003D3EC9" w:rsidRPr="00977E64" w:rsidRDefault="00050D25" w:rsidP="00756BE9">
            <w:pPr>
              <w:pStyle w:val="TableTextRight"/>
            </w:pPr>
            <w:r>
              <w:rPr>
                <w:rFonts w:ascii="Calibri" w:hAnsi="Calibri" w:cs="Calibri"/>
              </w:rPr>
              <w:noBreakHyphen/>
            </w:r>
            <w:r w:rsidR="004368C9">
              <w:rPr>
                <w:rFonts w:ascii="Calibri" w:hAnsi="Calibri" w:cs="Calibri"/>
              </w:rPr>
              <w:t>0.4</w:t>
            </w:r>
          </w:p>
        </w:tc>
        <w:tc>
          <w:tcPr>
            <w:tcW w:w="574" w:type="pct"/>
            <w:tcBorders>
              <w:top w:val="nil"/>
              <w:left w:val="nil"/>
              <w:bottom w:val="nil"/>
              <w:right w:val="nil"/>
            </w:tcBorders>
            <w:shd w:val="clear" w:color="auto" w:fill="auto"/>
            <w:vAlign w:val="center"/>
            <w:hideMark/>
          </w:tcPr>
          <w:p w14:paraId="7244C9C3" w14:textId="26620CAD" w:rsidR="003D3EC9" w:rsidRPr="00977E64" w:rsidRDefault="00050D25" w:rsidP="00756BE9">
            <w:pPr>
              <w:pStyle w:val="TableTextRight"/>
            </w:pPr>
            <w:r>
              <w:rPr>
                <w:rFonts w:ascii="Calibri" w:hAnsi="Calibri" w:cs="Calibri"/>
              </w:rPr>
              <w:noBreakHyphen/>
            </w:r>
            <w:r w:rsidR="003D3EC9">
              <w:rPr>
                <w:rFonts w:ascii="Calibri" w:hAnsi="Calibri" w:cs="Calibri"/>
              </w:rPr>
              <w:t>0.8</w:t>
            </w:r>
          </w:p>
        </w:tc>
      </w:tr>
      <w:tr w:rsidR="003D3EC9" w:rsidRPr="00977E64" w14:paraId="5BE7970C" w14:textId="77777777" w:rsidTr="00916EF2">
        <w:trPr>
          <w:trHeight w:val="227"/>
        </w:trPr>
        <w:tc>
          <w:tcPr>
            <w:tcW w:w="1531" w:type="pct"/>
            <w:tcBorders>
              <w:top w:val="nil"/>
              <w:left w:val="nil"/>
              <w:bottom w:val="nil"/>
              <w:right w:val="nil"/>
            </w:tcBorders>
            <w:shd w:val="clear" w:color="auto" w:fill="auto"/>
            <w:vAlign w:val="center"/>
            <w:hideMark/>
          </w:tcPr>
          <w:p w14:paraId="31372C4D" w14:textId="377B6A60" w:rsidR="003D3EC9" w:rsidRPr="00977E64" w:rsidRDefault="003D3EC9" w:rsidP="00C75089">
            <w:pPr>
              <w:pStyle w:val="TableColumnHeadingLeft"/>
            </w:pPr>
            <w:r w:rsidRPr="00977E64">
              <w:t>Net overseas migration (</w:t>
            </w:r>
            <w:r w:rsidR="00050D25">
              <w:t>‘</w:t>
            </w:r>
            <w:r w:rsidRPr="00977E64">
              <w:t>000)</w:t>
            </w:r>
          </w:p>
        </w:tc>
        <w:tc>
          <w:tcPr>
            <w:tcW w:w="579" w:type="pct"/>
            <w:tcBorders>
              <w:top w:val="nil"/>
              <w:left w:val="nil"/>
              <w:bottom w:val="nil"/>
              <w:right w:val="nil"/>
            </w:tcBorders>
            <w:shd w:val="clear" w:color="auto" w:fill="auto"/>
            <w:vAlign w:val="center"/>
            <w:hideMark/>
          </w:tcPr>
          <w:p w14:paraId="2CAB59BE"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449EAAB6" w14:textId="04D2D2C9"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1607D60C"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45AB3A3D"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54E6129F" w14:textId="73E3695B"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19653D26" w14:textId="77777777" w:rsidR="003D3EC9" w:rsidRPr="00977E64" w:rsidRDefault="003D3EC9" w:rsidP="00756BE9">
            <w:pPr>
              <w:pStyle w:val="TableTextRight"/>
            </w:pPr>
          </w:p>
        </w:tc>
      </w:tr>
      <w:tr w:rsidR="003D3EC9" w:rsidRPr="00977E64" w14:paraId="6C35060D" w14:textId="77777777" w:rsidTr="00916EF2">
        <w:trPr>
          <w:trHeight w:val="227"/>
        </w:trPr>
        <w:tc>
          <w:tcPr>
            <w:tcW w:w="1531" w:type="pct"/>
            <w:tcBorders>
              <w:top w:val="nil"/>
              <w:left w:val="nil"/>
              <w:bottom w:val="nil"/>
              <w:right w:val="nil"/>
            </w:tcBorders>
            <w:shd w:val="clear" w:color="auto" w:fill="auto"/>
            <w:vAlign w:val="center"/>
            <w:hideMark/>
          </w:tcPr>
          <w:p w14:paraId="5E9A82B2"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6894D09C" w14:textId="1D53EEC4" w:rsidR="003D3EC9" w:rsidRPr="00977E64" w:rsidRDefault="003D3EC9" w:rsidP="00756BE9">
            <w:pPr>
              <w:pStyle w:val="TableTextRight"/>
            </w:pPr>
            <w:r>
              <w:rPr>
                <w:rFonts w:ascii="Calibri" w:hAnsi="Calibri" w:cs="Calibri"/>
              </w:rPr>
              <w:t>4.7</w:t>
            </w:r>
          </w:p>
        </w:tc>
        <w:tc>
          <w:tcPr>
            <w:tcW w:w="579" w:type="pct"/>
            <w:tcBorders>
              <w:top w:val="nil"/>
              <w:left w:val="nil"/>
              <w:bottom w:val="nil"/>
              <w:right w:val="nil"/>
            </w:tcBorders>
            <w:shd w:val="clear" w:color="auto" w:fill="D2EDFF"/>
            <w:vAlign w:val="center"/>
            <w:hideMark/>
          </w:tcPr>
          <w:p w14:paraId="3013EABB" w14:textId="4B4963C2" w:rsidR="003D3EC9" w:rsidRPr="00977E64" w:rsidRDefault="004368C9" w:rsidP="00756BE9">
            <w:pPr>
              <w:pStyle w:val="TableTextRight"/>
            </w:pPr>
            <w:r>
              <w:rPr>
                <w:rFonts w:ascii="Calibri" w:hAnsi="Calibri" w:cs="Calibri"/>
              </w:rPr>
              <w:t>4.3</w:t>
            </w:r>
          </w:p>
        </w:tc>
        <w:tc>
          <w:tcPr>
            <w:tcW w:w="579" w:type="pct"/>
            <w:tcBorders>
              <w:top w:val="nil"/>
              <w:left w:val="nil"/>
              <w:bottom w:val="nil"/>
              <w:right w:val="nil"/>
            </w:tcBorders>
            <w:shd w:val="clear" w:color="auto" w:fill="auto"/>
            <w:vAlign w:val="center"/>
            <w:hideMark/>
          </w:tcPr>
          <w:p w14:paraId="0720DDA8" w14:textId="5914777A" w:rsidR="003D3EC9" w:rsidRPr="00977E64" w:rsidRDefault="004368C9" w:rsidP="00756BE9">
            <w:pPr>
              <w:pStyle w:val="TableTextRight"/>
            </w:pPr>
            <w:r>
              <w:rPr>
                <w:rFonts w:ascii="Calibri" w:hAnsi="Calibri" w:cs="Calibri"/>
              </w:rPr>
              <w:t>2.8</w:t>
            </w:r>
          </w:p>
        </w:tc>
        <w:tc>
          <w:tcPr>
            <w:tcW w:w="579" w:type="pct"/>
            <w:tcBorders>
              <w:top w:val="nil"/>
              <w:left w:val="nil"/>
              <w:bottom w:val="nil"/>
              <w:right w:val="nil"/>
            </w:tcBorders>
            <w:shd w:val="clear" w:color="auto" w:fill="auto"/>
            <w:vAlign w:val="center"/>
            <w:hideMark/>
          </w:tcPr>
          <w:p w14:paraId="12E421B8" w14:textId="6CE46256" w:rsidR="003D3EC9" w:rsidRPr="00977E64" w:rsidRDefault="004368C9" w:rsidP="00756BE9">
            <w:pPr>
              <w:pStyle w:val="TableTextRight"/>
            </w:pPr>
            <w:r>
              <w:rPr>
                <w:rFonts w:ascii="Calibri" w:hAnsi="Calibri" w:cs="Calibri"/>
              </w:rPr>
              <w:t>2.1</w:t>
            </w:r>
          </w:p>
        </w:tc>
        <w:tc>
          <w:tcPr>
            <w:tcW w:w="579" w:type="pct"/>
            <w:tcBorders>
              <w:top w:val="nil"/>
              <w:left w:val="nil"/>
              <w:bottom w:val="nil"/>
              <w:right w:val="single" w:sz="4" w:space="0" w:color="auto"/>
            </w:tcBorders>
            <w:shd w:val="clear" w:color="auto" w:fill="auto"/>
            <w:vAlign w:val="center"/>
            <w:hideMark/>
          </w:tcPr>
          <w:p w14:paraId="54EE3F59" w14:textId="0338EED8" w:rsidR="003D3EC9" w:rsidRPr="00977E64" w:rsidRDefault="003D3EC9" w:rsidP="00756BE9">
            <w:pPr>
              <w:pStyle w:val="TableTextRight"/>
            </w:pPr>
            <w:r>
              <w:rPr>
                <w:rFonts w:ascii="Calibri" w:hAnsi="Calibri" w:cs="Calibri"/>
              </w:rPr>
              <w:t>1.8</w:t>
            </w:r>
          </w:p>
        </w:tc>
        <w:tc>
          <w:tcPr>
            <w:tcW w:w="574" w:type="pct"/>
            <w:tcBorders>
              <w:top w:val="nil"/>
              <w:left w:val="nil"/>
              <w:bottom w:val="nil"/>
              <w:right w:val="nil"/>
            </w:tcBorders>
            <w:shd w:val="clear" w:color="auto" w:fill="auto"/>
            <w:vAlign w:val="center"/>
            <w:hideMark/>
          </w:tcPr>
          <w:p w14:paraId="53011950" w14:textId="4CBB7DDF" w:rsidR="003D3EC9" w:rsidRPr="00977E64" w:rsidRDefault="003D3EC9" w:rsidP="00756BE9">
            <w:pPr>
              <w:pStyle w:val="TableTextRight"/>
            </w:pPr>
            <w:r>
              <w:rPr>
                <w:rFonts w:ascii="Calibri" w:hAnsi="Calibri" w:cs="Calibri"/>
              </w:rPr>
              <w:t>1.9</w:t>
            </w:r>
          </w:p>
        </w:tc>
      </w:tr>
      <w:tr w:rsidR="003D3EC9" w:rsidRPr="00977E64" w14:paraId="5067104C" w14:textId="77777777" w:rsidTr="00916EF2">
        <w:trPr>
          <w:trHeight w:val="227"/>
        </w:trPr>
        <w:tc>
          <w:tcPr>
            <w:tcW w:w="1531" w:type="pct"/>
            <w:tcBorders>
              <w:top w:val="nil"/>
              <w:left w:val="nil"/>
              <w:bottom w:val="nil"/>
              <w:right w:val="nil"/>
            </w:tcBorders>
            <w:shd w:val="clear" w:color="auto" w:fill="auto"/>
            <w:vAlign w:val="center"/>
            <w:hideMark/>
          </w:tcPr>
          <w:p w14:paraId="49360174"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37E2AC29" w14:textId="487AFFE2" w:rsidR="003D3EC9" w:rsidRPr="00977E64" w:rsidRDefault="003D3EC9" w:rsidP="00756BE9">
            <w:pPr>
              <w:pStyle w:val="TableTextRight"/>
            </w:pPr>
            <w:r>
              <w:rPr>
                <w:rFonts w:ascii="Calibri" w:hAnsi="Calibri" w:cs="Calibri"/>
              </w:rPr>
              <w:t>2.8</w:t>
            </w:r>
          </w:p>
        </w:tc>
        <w:tc>
          <w:tcPr>
            <w:tcW w:w="579" w:type="pct"/>
            <w:tcBorders>
              <w:top w:val="nil"/>
              <w:left w:val="nil"/>
              <w:bottom w:val="nil"/>
              <w:right w:val="nil"/>
            </w:tcBorders>
            <w:shd w:val="clear" w:color="auto" w:fill="D2EDFF"/>
            <w:vAlign w:val="center"/>
            <w:hideMark/>
          </w:tcPr>
          <w:p w14:paraId="0DF385C0" w14:textId="60963354" w:rsidR="003D3EC9" w:rsidRPr="00977E64" w:rsidRDefault="003D3EC9" w:rsidP="00756BE9">
            <w:pPr>
              <w:pStyle w:val="TableTextRight"/>
            </w:pPr>
            <w:r>
              <w:rPr>
                <w:rFonts w:ascii="Calibri" w:hAnsi="Calibri" w:cs="Calibri"/>
              </w:rPr>
              <w:t>2.6</w:t>
            </w:r>
          </w:p>
        </w:tc>
        <w:tc>
          <w:tcPr>
            <w:tcW w:w="579" w:type="pct"/>
            <w:tcBorders>
              <w:top w:val="nil"/>
              <w:left w:val="nil"/>
              <w:bottom w:val="nil"/>
              <w:right w:val="nil"/>
            </w:tcBorders>
            <w:shd w:val="clear" w:color="auto" w:fill="auto"/>
            <w:vAlign w:val="center"/>
            <w:hideMark/>
          </w:tcPr>
          <w:p w14:paraId="525EDCF5" w14:textId="00B56DED" w:rsidR="003D3EC9" w:rsidRPr="00977E64" w:rsidRDefault="003D3EC9" w:rsidP="00756BE9">
            <w:pPr>
              <w:pStyle w:val="TableTextRight"/>
            </w:pPr>
            <w:r>
              <w:rPr>
                <w:rFonts w:ascii="Calibri" w:hAnsi="Calibri" w:cs="Calibri"/>
              </w:rPr>
              <w:t>1.6</w:t>
            </w:r>
          </w:p>
        </w:tc>
        <w:tc>
          <w:tcPr>
            <w:tcW w:w="579" w:type="pct"/>
            <w:tcBorders>
              <w:top w:val="nil"/>
              <w:left w:val="nil"/>
              <w:bottom w:val="nil"/>
              <w:right w:val="nil"/>
            </w:tcBorders>
            <w:shd w:val="clear" w:color="auto" w:fill="auto"/>
            <w:vAlign w:val="center"/>
            <w:hideMark/>
          </w:tcPr>
          <w:p w14:paraId="1C4F846A" w14:textId="73C58B37" w:rsidR="003D3EC9" w:rsidRPr="00977E64" w:rsidRDefault="004368C9" w:rsidP="00756BE9">
            <w:pPr>
              <w:pStyle w:val="TableTextRight"/>
            </w:pPr>
            <w:r>
              <w:rPr>
                <w:rFonts w:ascii="Calibri" w:hAnsi="Calibri" w:cs="Calibri"/>
              </w:rPr>
              <w:t>1.2</w:t>
            </w:r>
          </w:p>
        </w:tc>
        <w:tc>
          <w:tcPr>
            <w:tcW w:w="579" w:type="pct"/>
            <w:tcBorders>
              <w:top w:val="nil"/>
              <w:left w:val="nil"/>
              <w:bottom w:val="nil"/>
              <w:right w:val="single" w:sz="4" w:space="0" w:color="auto"/>
            </w:tcBorders>
            <w:shd w:val="clear" w:color="auto" w:fill="auto"/>
            <w:vAlign w:val="center"/>
            <w:hideMark/>
          </w:tcPr>
          <w:p w14:paraId="31978F14" w14:textId="09B03D4F" w:rsidR="003D3EC9" w:rsidRPr="00977E64" w:rsidRDefault="004368C9" w:rsidP="00756BE9">
            <w:pPr>
              <w:pStyle w:val="TableTextRight"/>
            </w:pPr>
            <w:r>
              <w:rPr>
                <w:rFonts w:ascii="Calibri" w:hAnsi="Calibri" w:cs="Calibri"/>
              </w:rPr>
              <w:t>0.9</w:t>
            </w:r>
          </w:p>
        </w:tc>
        <w:tc>
          <w:tcPr>
            <w:tcW w:w="574" w:type="pct"/>
            <w:tcBorders>
              <w:top w:val="nil"/>
              <w:left w:val="nil"/>
              <w:bottom w:val="nil"/>
              <w:right w:val="nil"/>
            </w:tcBorders>
            <w:shd w:val="clear" w:color="auto" w:fill="auto"/>
            <w:vAlign w:val="center"/>
            <w:hideMark/>
          </w:tcPr>
          <w:p w14:paraId="1E58D16D" w14:textId="51B7A478" w:rsidR="003D3EC9" w:rsidRPr="00977E64" w:rsidRDefault="004368C9" w:rsidP="00756BE9">
            <w:pPr>
              <w:pStyle w:val="TableTextRight"/>
            </w:pPr>
            <w:r>
              <w:rPr>
                <w:rFonts w:ascii="Calibri" w:hAnsi="Calibri" w:cs="Calibri"/>
              </w:rPr>
              <w:t>1.0</w:t>
            </w:r>
          </w:p>
        </w:tc>
      </w:tr>
      <w:tr w:rsidR="003D3EC9" w:rsidRPr="00977E64" w14:paraId="070B9B90" w14:textId="77777777" w:rsidTr="00916EF2">
        <w:trPr>
          <w:trHeight w:val="227"/>
        </w:trPr>
        <w:tc>
          <w:tcPr>
            <w:tcW w:w="1531" w:type="pct"/>
            <w:tcBorders>
              <w:top w:val="nil"/>
              <w:left w:val="nil"/>
              <w:bottom w:val="nil"/>
              <w:right w:val="nil"/>
            </w:tcBorders>
            <w:shd w:val="clear" w:color="auto" w:fill="auto"/>
            <w:vAlign w:val="center"/>
            <w:hideMark/>
          </w:tcPr>
          <w:p w14:paraId="1CE91B50"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nil"/>
              <w:right w:val="nil"/>
            </w:tcBorders>
            <w:shd w:val="clear" w:color="auto" w:fill="auto"/>
            <w:vAlign w:val="center"/>
            <w:hideMark/>
          </w:tcPr>
          <w:p w14:paraId="35C98E86" w14:textId="231E4E65" w:rsidR="003D3EC9" w:rsidRPr="00977E64" w:rsidRDefault="003D3EC9" w:rsidP="00756BE9">
            <w:pPr>
              <w:pStyle w:val="TableTextRight"/>
            </w:pPr>
            <w:r>
              <w:rPr>
                <w:rFonts w:ascii="Calibri" w:hAnsi="Calibri" w:cs="Calibri"/>
              </w:rPr>
              <w:t>1.6</w:t>
            </w:r>
          </w:p>
        </w:tc>
        <w:tc>
          <w:tcPr>
            <w:tcW w:w="579" w:type="pct"/>
            <w:tcBorders>
              <w:top w:val="nil"/>
              <w:left w:val="nil"/>
              <w:bottom w:val="nil"/>
              <w:right w:val="nil"/>
            </w:tcBorders>
            <w:shd w:val="clear" w:color="auto" w:fill="D2EDFF"/>
            <w:vAlign w:val="center"/>
            <w:hideMark/>
          </w:tcPr>
          <w:p w14:paraId="106D88F1" w14:textId="3B5DB365" w:rsidR="003D3EC9" w:rsidRPr="00977E64" w:rsidRDefault="003D3EC9" w:rsidP="00756BE9">
            <w:pPr>
              <w:pStyle w:val="TableTextRight"/>
            </w:pPr>
            <w:r>
              <w:rPr>
                <w:rFonts w:ascii="Calibri" w:hAnsi="Calibri" w:cs="Calibri"/>
              </w:rPr>
              <w:t>1.7</w:t>
            </w:r>
          </w:p>
        </w:tc>
        <w:tc>
          <w:tcPr>
            <w:tcW w:w="579" w:type="pct"/>
            <w:tcBorders>
              <w:top w:val="nil"/>
              <w:left w:val="nil"/>
              <w:bottom w:val="nil"/>
              <w:right w:val="nil"/>
            </w:tcBorders>
            <w:shd w:val="clear" w:color="auto" w:fill="auto"/>
            <w:vAlign w:val="center"/>
            <w:hideMark/>
          </w:tcPr>
          <w:p w14:paraId="552B4C5B" w14:textId="73078317" w:rsidR="003D3EC9" w:rsidRPr="00977E64" w:rsidRDefault="003D3EC9" w:rsidP="00756BE9">
            <w:pPr>
              <w:pStyle w:val="TableTextRight"/>
            </w:pPr>
            <w:r>
              <w:rPr>
                <w:rFonts w:ascii="Calibri" w:hAnsi="Calibri" w:cs="Calibri"/>
              </w:rPr>
              <w:t>1.2</w:t>
            </w:r>
          </w:p>
        </w:tc>
        <w:tc>
          <w:tcPr>
            <w:tcW w:w="579" w:type="pct"/>
            <w:tcBorders>
              <w:top w:val="nil"/>
              <w:left w:val="nil"/>
              <w:bottom w:val="nil"/>
              <w:right w:val="nil"/>
            </w:tcBorders>
            <w:shd w:val="clear" w:color="auto" w:fill="auto"/>
            <w:vAlign w:val="center"/>
            <w:hideMark/>
          </w:tcPr>
          <w:p w14:paraId="791D31D8" w14:textId="7BB87847" w:rsidR="003D3EC9" w:rsidRPr="00977E64" w:rsidRDefault="003D3EC9" w:rsidP="00756BE9">
            <w:pPr>
              <w:pStyle w:val="TableTextRight"/>
            </w:pPr>
            <w:r>
              <w:rPr>
                <w:rFonts w:ascii="Calibri" w:hAnsi="Calibri" w:cs="Calibri"/>
              </w:rPr>
              <w:t>0.9</w:t>
            </w:r>
          </w:p>
        </w:tc>
        <w:tc>
          <w:tcPr>
            <w:tcW w:w="579" w:type="pct"/>
            <w:tcBorders>
              <w:top w:val="nil"/>
              <w:left w:val="nil"/>
              <w:bottom w:val="nil"/>
              <w:right w:val="single" w:sz="4" w:space="0" w:color="auto"/>
            </w:tcBorders>
            <w:shd w:val="clear" w:color="auto" w:fill="auto"/>
            <w:vAlign w:val="center"/>
            <w:hideMark/>
          </w:tcPr>
          <w:p w14:paraId="700E3629" w14:textId="5097B7D4" w:rsidR="003D3EC9" w:rsidRPr="00977E64" w:rsidRDefault="003D3EC9" w:rsidP="00756BE9">
            <w:pPr>
              <w:pStyle w:val="TableTextRight"/>
            </w:pPr>
            <w:r>
              <w:rPr>
                <w:rFonts w:ascii="Calibri" w:hAnsi="Calibri" w:cs="Calibri"/>
              </w:rPr>
              <w:t>0.8</w:t>
            </w:r>
          </w:p>
        </w:tc>
        <w:tc>
          <w:tcPr>
            <w:tcW w:w="574" w:type="pct"/>
            <w:tcBorders>
              <w:top w:val="nil"/>
              <w:left w:val="nil"/>
              <w:bottom w:val="nil"/>
              <w:right w:val="nil"/>
            </w:tcBorders>
            <w:shd w:val="clear" w:color="auto" w:fill="auto"/>
            <w:vAlign w:val="center"/>
            <w:hideMark/>
          </w:tcPr>
          <w:p w14:paraId="6C40A520" w14:textId="6AC906F9" w:rsidR="003D3EC9" w:rsidRPr="00977E64" w:rsidRDefault="003D3EC9" w:rsidP="00756BE9">
            <w:pPr>
              <w:pStyle w:val="TableTextRight"/>
            </w:pPr>
            <w:r>
              <w:rPr>
                <w:rFonts w:ascii="Calibri" w:hAnsi="Calibri" w:cs="Calibri"/>
              </w:rPr>
              <w:t>0.8</w:t>
            </w:r>
          </w:p>
        </w:tc>
      </w:tr>
      <w:tr w:rsidR="003D3EC9" w:rsidRPr="00977E64" w14:paraId="22D6FCBD" w14:textId="77777777" w:rsidTr="00916EF2">
        <w:trPr>
          <w:trHeight w:val="227"/>
        </w:trPr>
        <w:tc>
          <w:tcPr>
            <w:tcW w:w="1531" w:type="pct"/>
            <w:tcBorders>
              <w:top w:val="nil"/>
              <w:left w:val="nil"/>
              <w:bottom w:val="nil"/>
              <w:right w:val="nil"/>
            </w:tcBorders>
            <w:shd w:val="clear" w:color="auto" w:fill="auto"/>
            <w:vAlign w:val="center"/>
            <w:hideMark/>
          </w:tcPr>
          <w:p w14:paraId="635B9C2E" w14:textId="3F48E4BE" w:rsidR="003D3EC9" w:rsidRPr="00977E64" w:rsidRDefault="003D3EC9" w:rsidP="00C75089">
            <w:pPr>
              <w:pStyle w:val="TableColumnHeadingLeft"/>
            </w:pPr>
            <w:r w:rsidRPr="00977E64">
              <w:t>Net internal migration (</w:t>
            </w:r>
            <w:r w:rsidR="00050D25">
              <w:t>‘</w:t>
            </w:r>
            <w:r w:rsidRPr="00977E64">
              <w:t>000)</w:t>
            </w:r>
          </w:p>
        </w:tc>
        <w:tc>
          <w:tcPr>
            <w:tcW w:w="579" w:type="pct"/>
            <w:tcBorders>
              <w:top w:val="nil"/>
              <w:left w:val="nil"/>
              <w:bottom w:val="nil"/>
              <w:right w:val="nil"/>
            </w:tcBorders>
            <w:shd w:val="clear" w:color="auto" w:fill="auto"/>
            <w:vAlign w:val="center"/>
            <w:hideMark/>
          </w:tcPr>
          <w:p w14:paraId="4C838BBE"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6D94DB9A" w14:textId="2B2A1DD7"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02B98C26"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2342422F"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3FF1B747" w14:textId="456B574F"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37110419" w14:textId="77777777" w:rsidR="003D3EC9" w:rsidRPr="00977E64" w:rsidRDefault="003D3EC9" w:rsidP="00756BE9">
            <w:pPr>
              <w:pStyle w:val="TableTextRight"/>
            </w:pPr>
          </w:p>
        </w:tc>
      </w:tr>
      <w:tr w:rsidR="003D3EC9" w:rsidRPr="00977E64" w14:paraId="512770B8" w14:textId="77777777" w:rsidTr="00916EF2">
        <w:trPr>
          <w:trHeight w:val="227"/>
        </w:trPr>
        <w:tc>
          <w:tcPr>
            <w:tcW w:w="1531" w:type="pct"/>
            <w:tcBorders>
              <w:top w:val="nil"/>
              <w:left w:val="nil"/>
              <w:bottom w:val="nil"/>
              <w:right w:val="nil"/>
            </w:tcBorders>
            <w:shd w:val="clear" w:color="auto" w:fill="auto"/>
            <w:vAlign w:val="center"/>
            <w:hideMark/>
          </w:tcPr>
          <w:p w14:paraId="2CAAA758"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29E295CA" w14:textId="2F063ED3" w:rsidR="003D3EC9" w:rsidRPr="00977E64" w:rsidRDefault="00050D25" w:rsidP="00756BE9">
            <w:pPr>
              <w:pStyle w:val="TableTextRight"/>
            </w:pPr>
            <w:r>
              <w:rPr>
                <w:rFonts w:ascii="Calibri" w:hAnsi="Calibri" w:cs="Calibri"/>
              </w:rPr>
              <w:noBreakHyphen/>
            </w:r>
            <w:r w:rsidR="003D3EC9">
              <w:rPr>
                <w:rFonts w:ascii="Calibri" w:hAnsi="Calibri" w:cs="Calibri"/>
              </w:rPr>
              <w:t>2.6</w:t>
            </w:r>
          </w:p>
        </w:tc>
        <w:tc>
          <w:tcPr>
            <w:tcW w:w="579" w:type="pct"/>
            <w:tcBorders>
              <w:top w:val="nil"/>
              <w:left w:val="nil"/>
              <w:bottom w:val="nil"/>
              <w:right w:val="nil"/>
            </w:tcBorders>
            <w:shd w:val="clear" w:color="auto" w:fill="D2EDFF"/>
            <w:vAlign w:val="center"/>
            <w:hideMark/>
          </w:tcPr>
          <w:p w14:paraId="74993069" w14:textId="5B0C58BE" w:rsidR="003D3EC9" w:rsidRPr="00977E64" w:rsidRDefault="00050D25" w:rsidP="00756BE9">
            <w:pPr>
              <w:pStyle w:val="TableTextRight"/>
            </w:pPr>
            <w:r>
              <w:rPr>
                <w:rFonts w:ascii="Calibri" w:hAnsi="Calibri" w:cs="Calibri"/>
              </w:rPr>
              <w:noBreakHyphen/>
            </w:r>
            <w:r w:rsidR="003D3EC9">
              <w:rPr>
                <w:rFonts w:ascii="Calibri" w:hAnsi="Calibri" w:cs="Calibri"/>
              </w:rPr>
              <w:t>2.7</w:t>
            </w:r>
          </w:p>
        </w:tc>
        <w:tc>
          <w:tcPr>
            <w:tcW w:w="579" w:type="pct"/>
            <w:tcBorders>
              <w:top w:val="nil"/>
              <w:left w:val="nil"/>
              <w:bottom w:val="nil"/>
              <w:right w:val="nil"/>
            </w:tcBorders>
            <w:shd w:val="clear" w:color="auto" w:fill="auto"/>
            <w:vAlign w:val="center"/>
            <w:hideMark/>
          </w:tcPr>
          <w:p w14:paraId="33E317AB" w14:textId="5CEED2FD" w:rsidR="003D3EC9" w:rsidRPr="00977E64" w:rsidRDefault="00050D25" w:rsidP="00756BE9">
            <w:pPr>
              <w:pStyle w:val="TableTextRight"/>
            </w:pPr>
            <w:r>
              <w:rPr>
                <w:rFonts w:ascii="Calibri" w:hAnsi="Calibri" w:cs="Calibri"/>
              </w:rPr>
              <w:noBreakHyphen/>
            </w:r>
            <w:r w:rsidR="003D3EC9">
              <w:rPr>
                <w:rFonts w:ascii="Calibri" w:hAnsi="Calibri" w:cs="Calibri"/>
              </w:rPr>
              <w:t>1.7</w:t>
            </w:r>
          </w:p>
        </w:tc>
        <w:tc>
          <w:tcPr>
            <w:tcW w:w="579" w:type="pct"/>
            <w:tcBorders>
              <w:top w:val="nil"/>
              <w:left w:val="nil"/>
              <w:bottom w:val="nil"/>
              <w:right w:val="nil"/>
            </w:tcBorders>
            <w:shd w:val="clear" w:color="auto" w:fill="auto"/>
            <w:vAlign w:val="center"/>
            <w:hideMark/>
          </w:tcPr>
          <w:p w14:paraId="2A0FC7C6" w14:textId="00F8D84C" w:rsidR="003D3EC9" w:rsidRPr="00977E64" w:rsidRDefault="00050D25" w:rsidP="00756BE9">
            <w:pPr>
              <w:pStyle w:val="TableTextRight"/>
            </w:pPr>
            <w:r>
              <w:rPr>
                <w:rFonts w:ascii="Calibri" w:hAnsi="Calibri" w:cs="Calibri"/>
              </w:rPr>
              <w:noBreakHyphen/>
            </w:r>
            <w:r w:rsidR="003D3EC9">
              <w:rPr>
                <w:rFonts w:ascii="Calibri" w:hAnsi="Calibri" w:cs="Calibri"/>
              </w:rPr>
              <w:t>0.5</w:t>
            </w:r>
          </w:p>
        </w:tc>
        <w:tc>
          <w:tcPr>
            <w:tcW w:w="579" w:type="pct"/>
            <w:tcBorders>
              <w:top w:val="nil"/>
              <w:left w:val="nil"/>
              <w:bottom w:val="nil"/>
              <w:right w:val="single" w:sz="4" w:space="0" w:color="auto"/>
            </w:tcBorders>
            <w:shd w:val="clear" w:color="auto" w:fill="auto"/>
            <w:vAlign w:val="center"/>
            <w:hideMark/>
          </w:tcPr>
          <w:p w14:paraId="3A6FC9CD" w14:textId="0D0A9842" w:rsidR="003D3EC9" w:rsidRPr="00977E64" w:rsidRDefault="004368C9" w:rsidP="00756BE9">
            <w:pPr>
              <w:pStyle w:val="TableTextRight"/>
            </w:pPr>
            <w:r>
              <w:rPr>
                <w:rFonts w:ascii="Calibri" w:hAnsi="Calibri" w:cs="Calibri"/>
              </w:rPr>
              <w:t>0.</w:t>
            </w:r>
            <w:r w:rsidR="006D2426">
              <w:rPr>
                <w:rFonts w:ascii="Calibri" w:hAnsi="Calibri" w:cs="Calibri"/>
              </w:rPr>
              <w:t>2</w:t>
            </w:r>
          </w:p>
        </w:tc>
        <w:tc>
          <w:tcPr>
            <w:tcW w:w="574" w:type="pct"/>
            <w:tcBorders>
              <w:top w:val="nil"/>
              <w:left w:val="nil"/>
              <w:bottom w:val="nil"/>
              <w:right w:val="nil"/>
            </w:tcBorders>
            <w:shd w:val="clear" w:color="auto" w:fill="auto"/>
            <w:vAlign w:val="center"/>
            <w:hideMark/>
          </w:tcPr>
          <w:p w14:paraId="6D9D9343" w14:textId="4631F0B3" w:rsidR="003D3EC9" w:rsidRPr="00977E64" w:rsidRDefault="003D3EC9" w:rsidP="00756BE9">
            <w:pPr>
              <w:pStyle w:val="TableTextRight"/>
            </w:pPr>
            <w:r>
              <w:rPr>
                <w:rFonts w:ascii="Calibri" w:hAnsi="Calibri" w:cs="Calibri"/>
              </w:rPr>
              <w:t>1.0</w:t>
            </w:r>
          </w:p>
        </w:tc>
      </w:tr>
      <w:tr w:rsidR="003D3EC9" w:rsidRPr="00977E64" w14:paraId="010E84C6" w14:textId="77777777" w:rsidTr="00916EF2">
        <w:trPr>
          <w:trHeight w:val="227"/>
        </w:trPr>
        <w:tc>
          <w:tcPr>
            <w:tcW w:w="1531" w:type="pct"/>
            <w:tcBorders>
              <w:top w:val="nil"/>
              <w:left w:val="nil"/>
              <w:bottom w:val="nil"/>
              <w:right w:val="nil"/>
            </w:tcBorders>
            <w:shd w:val="clear" w:color="auto" w:fill="auto"/>
            <w:vAlign w:val="center"/>
            <w:hideMark/>
          </w:tcPr>
          <w:p w14:paraId="711C1496"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5D4EC536" w14:textId="2B30785B" w:rsidR="003D3EC9" w:rsidRPr="00977E64" w:rsidRDefault="00050D25" w:rsidP="00756BE9">
            <w:pPr>
              <w:pStyle w:val="TableTextRight"/>
            </w:pPr>
            <w:r>
              <w:rPr>
                <w:rFonts w:ascii="Calibri" w:hAnsi="Calibri" w:cs="Calibri"/>
              </w:rPr>
              <w:noBreakHyphen/>
            </w:r>
            <w:r w:rsidR="003D3EC9">
              <w:rPr>
                <w:rFonts w:ascii="Calibri" w:hAnsi="Calibri" w:cs="Calibri"/>
              </w:rPr>
              <w:t>2.0</w:t>
            </w:r>
          </w:p>
        </w:tc>
        <w:tc>
          <w:tcPr>
            <w:tcW w:w="579" w:type="pct"/>
            <w:tcBorders>
              <w:top w:val="nil"/>
              <w:left w:val="nil"/>
              <w:bottom w:val="nil"/>
              <w:right w:val="nil"/>
            </w:tcBorders>
            <w:shd w:val="clear" w:color="auto" w:fill="D2EDFF"/>
            <w:vAlign w:val="center"/>
            <w:hideMark/>
          </w:tcPr>
          <w:p w14:paraId="31F0993C" w14:textId="16A3E95E" w:rsidR="003D3EC9" w:rsidRPr="00977E64" w:rsidRDefault="00050D25" w:rsidP="00756BE9">
            <w:pPr>
              <w:pStyle w:val="TableTextRight"/>
            </w:pPr>
            <w:r>
              <w:rPr>
                <w:rFonts w:ascii="Calibri" w:hAnsi="Calibri" w:cs="Calibri"/>
              </w:rPr>
              <w:noBreakHyphen/>
            </w:r>
            <w:r w:rsidR="003D3EC9">
              <w:rPr>
                <w:rFonts w:ascii="Calibri" w:hAnsi="Calibri" w:cs="Calibri"/>
              </w:rPr>
              <w:t>2.6</w:t>
            </w:r>
          </w:p>
        </w:tc>
        <w:tc>
          <w:tcPr>
            <w:tcW w:w="579" w:type="pct"/>
            <w:tcBorders>
              <w:top w:val="nil"/>
              <w:left w:val="nil"/>
              <w:bottom w:val="nil"/>
              <w:right w:val="nil"/>
            </w:tcBorders>
            <w:shd w:val="clear" w:color="auto" w:fill="auto"/>
            <w:vAlign w:val="center"/>
            <w:hideMark/>
          </w:tcPr>
          <w:p w14:paraId="76336CDC" w14:textId="0E1685AE" w:rsidR="003D3EC9" w:rsidRPr="00977E64" w:rsidRDefault="00050D25" w:rsidP="00756BE9">
            <w:pPr>
              <w:pStyle w:val="TableTextRight"/>
            </w:pPr>
            <w:r>
              <w:rPr>
                <w:rFonts w:ascii="Calibri" w:hAnsi="Calibri" w:cs="Calibri"/>
              </w:rPr>
              <w:noBreakHyphen/>
            </w:r>
            <w:r w:rsidR="003D3EC9">
              <w:rPr>
                <w:rFonts w:ascii="Calibri" w:hAnsi="Calibri" w:cs="Calibri"/>
              </w:rPr>
              <w:t>1.7</w:t>
            </w:r>
          </w:p>
        </w:tc>
        <w:tc>
          <w:tcPr>
            <w:tcW w:w="579" w:type="pct"/>
            <w:tcBorders>
              <w:top w:val="nil"/>
              <w:left w:val="nil"/>
              <w:bottom w:val="nil"/>
              <w:right w:val="nil"/>
            </w:tcBorders>
            <w:shd w:val="clear" w:color="auto" w:fill="auto"/>
            <w:vAlign w:val="center"/>
            <w:hideMark/>
          </w:tcPr>
          <w:p w14:paraId="2DE41A80" w14:textId="25B6FEA5" w:rsidR="003D3EC9" w:rsidRPr="00977E64" w:rsidRDefault="00050D25" w:rsidP="00756BE9">
            <w:pPr>
              <w:pStyle w:val="TableTextRight"/>
            </w:pPr>
            <w:r>
              <w:rPr>
                <w:rFonts w:ascii="Calibri" w:hAnsi="Calibri" w:cs="Calibri"/>
              </w:rPr>
              <w:noBreakHyphen/>
            </w:r>
            <w:r w:rsidR="003D3EC9">
              <w:rPr>
                <w:rFonts w:ascii="Calibri" w:hAnsi="Calibri" w:cs="Calibri"/>
              </w:rPr>
              <w:t>0.6</w:t>
            </w:r>
          </w:p>
        </w:tc>
        <w:tc>
          <w:tcPr>
            <w:tcW w:w="579" w:type="pct"/>
            <w:tcBorders>
              <w:top w:val="nil"/>
              <w:left w:val="nil"/>
              <w:bottom w:val="nil"/>
              <w:right w:val="single" w:sz="4" w:space="0" w:color="auto"/>
            </w:tcBorders>
            <w:shd w:val="clear" w:color="auto" w:fill="auto"/>
            <w:vAlign w:val="center"/>
            <w:hideMark/>
          </w:tcPr>
          <w:p w14:paraId="22D96D9A" w14:textId="18B6E92B" w:rsidR="003D3EC9" w:rsidRPr="00977E64" w:rsidRDefault="003D3EC9" w:rsidP="00756BE9">
            <w:pPr>
              <w:pStyle w:val="TableTextRight"/>
            </w:pPr>
            <w:r>
              <w:rPr>
                <w:rFonts w:ascii="Calibri" w:hAnsi="Calibri" w:cs="Calibri"/>
              </w:rPr>
              <w:t>0.1</w:t>
            </w:r>
          </w:p>
        </w:tc>
        <w:tc>
          <w:tcPr>
            <w:tcW w:w="574" w:type="pct"/>
            <w:tcBorders>
              <w:top w:val="nil"/>
              <w:left w:val="nil"/>
              <w:bottom w:val="nil"/>
              <w:right w:val="nil"/>
            </w:tcBorders>
            <w:shd w:val="clear" w:color="auto" w:fill="auto"/>
            <w:vAlign w:val="center"/>
            <w:hideMark/>
          </w:tcPr>
          <w:p w14:paraId="0A4E8344" w14:textId="146F2CDD" w:rsidR="003D3EC9" w:rsidRPr="00977E64" w:rsidRDefault="003D3EC9" w:rsidP="00756BE9">
            <w:pPr>
              <w:pStyle w:val="TableTextRight"/>
            </w:pPr>
            <w:r>
              <w:rPr>
                <w:rFonts w:ascii="Calibri" w:hAnsi="Calibri" w:cs="Calibri"/>
              </w:rPr>
              <w:t>0.3</w:t>
            </w:r>
          </w:p>
        </w:tc>
      </w:tr>
      <w:tr w:rsidR="003D3EC9" w:rsidRPr="00977E64" w14:paraId="0E28C1FD"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250854D5"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single" w:sz="4" w:space="0" w:color="auto"/>
              <w:right w:val="nil"/>
            </w:tcBorders>
            <w:shd w:val="clear" w:color="auto" w:fill="auto"/>
            <w:vAlign w:val="center"/>
            <w:hideMark/>
          </w:tcPr>
          <w:p w14:paraId="4BAB2BFF" w14:textId="405007F0" w:rsidR="003D3EC9" w:rsidRPr="00977E64" w:rsidRDefault="00050D25" w:rsidP="00756BE9">
            <w:pPr>
              <w:pStyle w:val="TableTextRight"/>
            </w:pPr>
            <w:r>
              <w:rPr>
                <w:rFonts w:ascii="Calibri" w:hAnsi="Calibri" w:cs="Calibri"/>
              </w:rPr>
              <w:noBreakHyphen/>
            </w:r>
            <w:r w:rsidR="003D3EC9">
              <w:rPr>
                <w:rFonts w:ascii="Calibri" w:hAnsi="Calibri" w:cs="Calibri"/>
              </w:rPr>
              <w:t>0.6</w:t>
            </w:r>
          </w:p>
        </w:tc>
        <w:tc>
          <w:tcPr>
            <w:tcW w:w="579" w:type="pct"/>
            <w:tcBorders>
              <w:top w:val="nil"/>
              <w:left w:val="nil"/>
              <w:bottom w:val="single" w:sz="4" w:space="0" w:color="auto"/>
              <w:right w:val="nil"/>
            </w:tcBorders>
            <w:shd w:val="clear" w:color="auto" w:fill="D2EDFF"/>
            <w:vAlign w:val="center"/>
            <w:hideMark/>
          </w:tcPr>
          <w:p w14:paraId="00C3B8F5" w14:textId="7E88FDBC" w:rsidR="003D3EC9" w:rsidRPr="00977E64" w:rsidRDefault="003D3EC9" w:rsidP="00756BE9">
            <w:pPr>
              <w:pStyle w:val="TableTextRight"/>
            </w:pPr>
            <w:r>
              <w:rPr>
                <w:rFonts w:ascii="Calibri" w:hAnsi="Calibri" w:cs="Calibri"/>
              </w:rPr>
              <w:t>0.0</w:t>
            </w:r>
          </w:p>
        </w:tc>
        <w:tc>
          <w:tcPr>
            <w:tcW w:w="579" w:type="pct"/>
            <w:tcBorders>
              <w:top w:val="nil"/>
              <w:left w:val="nil"/>
              <w:bottom w:val="single" w:sz="4" w:space="0" w:color="auto"/>
              <w:right w:val="nil"/>
            </w:tcBorders>
            <w:shd w:val="clear" w:color="auto" w:fill="auto"/>
            <w:vAlign w:val="center"/>
            <w:hideMark/>
          </w:tcPr>
          <w:p w14:paraId="6F9B4C98" w14:textId="52066313" w:rsidR="003D3EC9" w:rsidRPr="00977E64" w:rsidRDefault="003D3EC9" w:rsidP="00756BE9">
            <w:pPr>
              <w:pStyle w:val="TableTextRight"/>
            </w:pPr>
            <w:r>
              <w:rPr>
                <w:rFonts w:ascii="Calibri" w:hAnsi="Calibri" w:cs="Calibri"/>
              </w:rPr>
              <w:t>0.0</w:t>
            </w:r>
          </w:p>
        </w:tc>
        <w:tc>
          <w:tcPr>
            <w:tcW w:w="579" w:type="pct"/>
            <w:tcBorders>
              <w:top w:val="nil"/>
              <w:left w:val="nil"/>
              <w:bottom w:val="single" w:sz="4" w:space="0" w:color="auto"/>
              <w:right w:val="nil"/>
            </w:tcBorders>
            <w:shd w:val="clear" w:color="auto" w:fill="auto"/>
            <w:vAlign w:val="center"/>
            <w:hideMark/>
          </w:tcPr>
          <w:p w14:paraId="33D648E6" w14:textId="419FB5F6" w:rsidR="003D3EC9" w:rsidRPr="00977E64" w:rsidRDefault="003D3EC9" w:rsidP="00756BE9">
            <w:pPr>
              <w:pStyle w:val="TableTextRight"/>
            </w:pPr>
            <w:r>
              <w:rPr>
                <w:rFonts w:ascii="Calibri" w:hAnsi="Calibri" w:cs="Calibri"/>
              </w:rPr>
              <w:t>0.1</w:t>
            </w:r>
          </w:p>
        </w:tc>
        <w:tc>
          <w:tcPr>
            <w:tcW w:w="579" w:type="pct"/>
            <w:tcBorders>
              <w:top w:val="nil"/>
              <w:left w:val="nil"/>
              <w:bottom w:val="single" w:sz="4" w:space="0" w:color="auto"/>
              <w:right w:val="single" w:sz="4" w:space="0" w:color="auto"/>
            </w:tcBorders>
            <w:shd w:val="clear" w:color="auto" w:fill="auto"/>
            <w:vAlign w:val="center"/>
            <w:hideMark/>
          </w:tcPr>
          <w:p w14:paraId="3EB7714D" w14:textId="551854A9" w:rsidR="003D3EC9" w:rsidRPr="00977E64" w:rsidRDefault="004368C9" w:rsidP="00756BE9">
            <w:pPr>
              <w:pStyle w:val="TableTextRight"/>
            </w:pPr>
            <w:r>
              <w:rPr>
                <w:rFonts w:ascii="Calibri" w:hAnsi="Calibri" w:cs="Calibri"/>
              </w:rPr>
              <w:t>0.2</w:t>
            </w:r>
          </w:p>
        </w:tc>
        <w:tc>
          <w:tcPr>
            <w:tcW w:w="574" w:type="pct"/>
            <w:tcBorders>
              <w:top w:val="nil"/>
              <w:left w:val="nil"/>
              <w:bottom w:val="single" w:sz="4" w:space="0" w:color="auto"/>
              <w:right w:val="nil"/>
            </w:tcBorders>
            <w:shd w:val="clear" w:color="auto" w:fill="auto"/>
            <w:vAlign w:val="center"/>
            <w:hideMark/>
          </w:tcPr>
          <w:p w14:paraId="1E827755" w14:textId="16D9A44A" w:rsidR="003D3EC9" w:rsidRPr="00977E64" w:rsidRDefault="003D3EC9" w:rsidP="00756BE9">
            <w:pPr>
              <w:pStyle w:val="TableTextRight"/>
            </w:pPr>
            <w:r>
              <w:rPr>
                <w:rFonts w:ascii="Calibri" w:hAnsi="Calibri" w:cs="Calibri"/>
              </w:rPr>
              <w:t>0.7</w:t>
            </w:r>
          </w:p>
        </w:tc>
      </w:tr>
      <w:tr w:rsidR="003D3EC9" w:rsidRPr="00977E64" w14:paraId="7B6D6799" w14:textId="77777777" w:rsidTr="00916EF2">
        <w:trPr>
          <w:trHeight w:val="227"/>
        </w:trPr>
        <w:tc>
          <w:tcPr>
            <w:tcW w:w="1531" w:type="pct"/>
            <w:tcBorders>
              <w:top w:val="nil"/>
              <w:left w:val="nil"/>
              <w:bottom w:val="nil"/>
              <w:right w:val="nil"/>
            </w:tcBorders>
            <w:shd w:val="clear" w:color="auto" w:fill="auto"/>
            <w:vAlign w:val="center"/>
            <w:hideMark/>
          </w:tcPr>
          <w:p w14:paraId="4CA6ACAC" w14:textId="77777777" w:rsidR="003D3EC9" w:rsidRPr="00977E64" w:rsidRDefault="003D3EC9" w:rsidP="00C75089">
            <w:pPr>
              <w:pStyle w:val="TableColumnHeadingLeft"/>
            </w:pPr>
            <w:r w:rsidRPr="00977E64">
              <w:t>Median age (years)</w:t>
            </w:r>
          </w:p>
        </w:tc>
        <w:tc>
          <w:tcPr>
            <w:tcW w:w="579" w:type="pct"/>
            <w:tcBorders>
              <w:top w:val="nil"/>
              <w:left w:val="nil"/>
              <w:bottom w:val="nil"/>
              <w:right w:val="nil"/>
            </w:tcBorders>
            <w:shd w:val="clear" w:color="auto" w:fill="auto"/>
            <w:vAlign w:val="center"/>
            <w:hideMark/>
          </w:tcPr>
          <w:p w14:paraId="313B314E" w14:textId="77777777" w:rsidR="003D3EC9" w:rsidRPr="00977E64" w:rsidRDefault="003D3EC9" w:rsidP="00756BE9">
            <w:pPr>
              <w:pStyle w:val="TableTextRight"/>
              <w:rPr>
                <w:b/>
                <w:bCs/>
                <w:color w:val="002C47"/>
              </w:rPr>
            </w:pPr>
          </w:p>
        </w:tc>
        <w:tc>
          <w:tcPr>
            <w:tcW w:w="579" w:type="pct"/>
            <w:tcBorders>
              <w:top w:val="nil"/>
              <w:left w:val="nil"/>
              <w:bottom w:val="nil"/>
              <w:right w:val="nil"/>
            </w:tcBorders>
            <w:shd w:val="clear" w:color="auto" w:fill="D2EDFF"/>
            <w:vAlign w:val="center"/>
            <w:hideMark/>
          </w:tcPr>
          <w:p w14:paraId="46DF499D" w14:textId="751E27B0" w:rsidR="003D3EC9" w:rsidRPr="00977E64" w:rsidRDefault="003D3EC9" w:rsidP="00756BE9">
            <w:pPr>
              <w:pStyle w:val="TableTextRight"/>
            </w:pPr>
            <w:r>
              <w:rPr>
                <w:rFonts w:ascii="Calibri" w:hAnsi="Calibri" w:cs="Calibri"/>
              </w:rPr>
              <w:t> </w:t>
            </w:r>
          </w:p>
        </w:tc>
        <w:tc>
          <w:tcPr>
            <w:tcW w:w="579" w:type="pct"/>
            <w:tcBorders>
              <w:top w:val="nil"/>
              <w:left w:val="nil"/>
              <w:bottom w:val="nil"/>
              <w:right w:val="nil"/>
            </w:tcBorders>
            <w:shd w:val="clear" w:color="auto" w:fill="auto"/>
            <w:vAlign w:val="center"/>
            <w:hideMark/>
          </w:tcPr>
          <w:p w14:paraId="7F17E26D" w14:textId="77777777" w:rsidR="003D3EC9" w:rsidRPr="00977E64" w:rsidRDefault="003D3EC9" w:rsidP="00756BE9">
            <w:pPr>
              <w:pStyle w:val="TableTextRight"/>
            </w:pPr>
          </w:p>
        </w:tc>
        <w:tc>
          <w:tcPr>
            <w:tcW w:w="579" w:type="pct"/>
            <w:tcBorders>
              <w:top w:val="nil"/>
              <w:left w:val="nil"/>
              <w:bottom w:val="nil"/>
              <w:right w:val="nil"/>
            </w:tcBorders>
            <w:shd w:val="clear" w:color="auto" w:fill="auto"/>
            <w:vAlign w:val="center"/>
            <w:hideMark/>
          </w:tcPr>
          <w:p w14:paraId="525659FF" w14:textId="77777777" w:rsidR="003D3EC9" w:rsidRPr="00977E64" w:rsidRDefault="003D3EC9" w:rsidP="00756BE9">
            <w:pPr>
              <w:pStyle w:val="TableTextRight"/>
              <w:rPr>
                <w:rFonts w:ascii="Times New Roman" w:hAnsi="Times New Roman" w:cs="Times New Roman"/>
              </w:rPr>
            </w:pPr>
          </w:p>
        </w:tc>
        <w:tc>
          <w:tcPr>
            <w:tcW w:w="579" w:type="pct"/>
            <w:tcBorders>
              <w:top w:val="nil"/>
              <w:left w:val="nil"/>
              <w:bottom w:val="nil"/>
              <w:right w:val="single" w:sz="4" w:space="0" w:color="auto"/>
            </w:tcBorders>
            <w:shd w:val="clear" w:color="auto" w:fill="auto"/>
            <w:vAlign w:val="center"/>
            <w:hideMark/>
          </w:tcPr>
          <w:p w14:paraId="55C762C7" w14:textId="1E06F935" w:rsidR="003D3EC9" w:rsidRPr="00977E64" w:rsidRDefault="003D3EC9" w:rsidP="00756BE9">
            <w:pPr>
              <w:pStyle w:val="TableTextRight"/>
            </w:pPr>
            <w:r>
              <w:rPr>
                <w:rFonts w:ascii="Calibri" w:hAnsi="Calibri" w:cs="Calibri"/>
              </w:rPr>
              <w:t> </w:t>
            </w:r>
          </w:p>
        </w:tc>
        <w:tc>
          <w:tcPr>
            <w:tcW w:w="574" w:type="pct"/>
            <w:tcBorders>
              <w:top w:val="nil"/>
              <w:left w:val="nil"/>
              <w:bottom w:val="nil"/>
              <w:right w:val="nil"/>
            </w:tcBorders>
            <w:shd w:val="clear" w:color="auto" w:fill="auto"/>
            <w:vAlign w:val="center"/>
            <w:hideMark/>
          </w:tcPr>
          <w:p w14:paraId="5D254FA5" w14:textId="77777777" w:rsidR="003D3EC9" w:rsidRPr="00977E64" w:rsidRDefault="003D3EC9" w:rsidP="00756BE9">
            <w:pPr>
              <w:pStyle w:val="TableTextRight"/>
            </w:pPr>
          </w:p>
        </w:tc>
      </w:tr>
      <w:tr w:rsidR="003D3EC9" w:rsidRPr="00977E64" w14:paraId="474283DB" w14:textId="77777777" w:rsidTr="00916EF2">
        <w:trPr>
          <w:trHeight w:val="227"/>
        </w:trPr>
        <w:tc>
          <w:tcPr>
            <w:tcW w:w="1531" w:type="pct"/>
            <w:tcBorders>
              <w:top w:val="nil"/>
              <w:left w:val="nil"/>
              <w:bottom w:val="nil"/>
              <w:right w:val="nil"/>
            </w:tcBorders>
            <w:shd w:val="clear" w:color="auto" w:fill="auto"/>
            <w:vAlign w:val="center"/>
            <w:hideMark/>
          </w:tcPr>
          <w:p w14:paraId="2F2C3FAF" w14:textId="77777777" w:rsidR="003D3EC9" w:rsidRPr="00977E64" w:rsidRDefault="003D3EC9" w:rsidP="00916EF2">
            <w:pPr>
              <w:spacing w:before="0" w:after="0" w:line="240" w:lineRule="auto"/>
              <w:rPr>
                <w:rFonts w:ascii="Calibri" w:eastAsia="Times New Roman" w:hAnsi="Calibri" w:cs="Calibri"/>
                <w:color w:val="002C47"/>
                <w:lang w:eastAsia="en-AU"/>
              </w:rPr>
            </w:pPr>
            <w:r w:rsidRPr="00977E64">
              <w:rPr>
                <w:rFonts w:ascii="Calibri" w:eastAsia="Times New Roman" w:hAnsi="Calibri" w:cs="Calibri"/>
                <w:color w:val="002C47"/>
                <w:lang w:eastAsia="en-AU"/>
              </w:rPr>
              <w:t>Tasmania</w:t>
            </w:r>
          </w:p>
        </w:tc>
        <w:tc>
          <w:tcPr>
            <w:tcW w:w="579" w:type="pct"/>
            <w:tcBorders>
              <w:top w:val="nil"/>
              <w:left w:val="nil"/>
              <w:bottom w:val="nil"/>
              <w:right w:val="nil"/>
            </w:tcBorders>
            <w:shd w:val="clear" w:color="auto" w:fill="auto"/>
            <w:vAlign w:val="center"/>
            <w:hideMark/>
          </w:tcPr>
          <w:p w14:paraId="4F93F404" w14:textId="06345FBC" w:rsidR="003D3EC9" w:rsidRPr="00977E64" w:rsidRDefault="004368C9" w:rsidP="00756BE9">
            <w:pPr>
              <w:pStyle w:val="TableTextRight"/>
            </w:pPr>
            <w:r>
              <w:rPr>
                <w:rFonts w:ascii="Calibri" w:hAnsi="Calibri" w:cs="Calibri"/>
              </w:rPr>
              <w:t>41.</w:t>
            </w:r>
            <w:r w:rsidR="003D3EC9">
              <w:rPr>
                <w:rFonts w:ascii="Calibri" w:hAnsi="Calibri" w:cs="Calibri"/>
              </w:rPr>
              <w:t>9</w:t>
            </w:r>
          </w:p>
        </w:tc>
        <w:tc>
          <w:tcPr>
            <w:tcW w:w="579" w:type="pct"/>
            <w:tcBorders>
              <w:top w:val="nil"/>
              <w:left w:val="nil"/>
              <w:bottom w:val="nil"/>
              <w:right w:val="nil"/>
            </w:tcBorders>
            <w:shd w:val="clear" w:color="auto" w:fill="D2EDFF"/>
            <w:vAlign w:val="center"/>
            <w:hideMark/>
          </w:tcPr>
          <w:p w14:paraId="7A051651" w14:textId="72B88A9C" w:rsidR="003D3EC9" w:rsidRPr="00977E64" w:rsidRDefault="004368C9" w:rsidP="00756BE9">
            <w:pPr>
              <w:pStyle w:val="TableTextRight"/>
            </w:pPr>
            <w:r>
              <w:rPr>
                <w:rFonts w:ascii="Calibri" w:hAnsi="Calibri" w:cs="Calibri"/>
              </w:rPr>
              <w:t>42.</w:t>
            </w:r>
            <w:r w:rsidR="003D3EC9">
              <w:rPr>
                <w:rFonts w:ascii="Calibri" w:hAnsi="Calibri" w:cs="Calibri"/>
              </w:rPr>
              <w:t>2</w:t>
            </w:r>
          </w:p>
        </w:tc>
        <w:tc>
          <w:tcPr>
            <w:tcW w:w="579" w:type="pct"/>
            <w:tcBorders>
              <w:top w:val="nil"/>
              <w:left w:val="nil"/>
              <w:bottom w:val="nil"/>
              <w:right w:val="nil"/>
            </w:tcBorders>
            <w:shd w:val="clear" w:color="auto" w:fill="auto"/>
            <w:vAlign w:val="center"/>
            <w:hideMark/>
          </w:tcPr>
          <w:p w14:paraId="30360B9A" w14:textId="2326CBD0" w:rsidR="003D3EC9" w:rsidRPr="00977E64" w:rsidRDefault="004368C9" w:rsidP="00756BE9">
            <w:pPr>
              <w:pStyle w:val="TableTextRight"/>
            </w:pPr>
            <w:r>
              <w:rPr>
                <w:rFonts w:ascii="Calibri" w:hAnsi="Calibri" w:cs="Calibri"/>
              </w:rPr>
              <w:t>42.6</w:t>
            </w:r>
          </w:p>
        </w:tc>
        <w:tc>
          <w:tcPr>
            <w:tcW w:w="579" w:type="pct"/>
            <w:tcBorders>
              <w:top w:val="nil"/>
              <w:left w:val="nil"/>
              <w:bottom w:val="nil"/>
              <w:right w:val="nil"/>
            </w:tcBorders>
            <w:shd w:val="clear" w:color="auto" w:fill="auto"/>
            <w:vAlign w:val="center"/>
            <w:hideMark/>
          </w:tcPr>
          <w:p w14:paraId="2467D542" w14:textId="323E36D8" w:rsidR="003D3EC9" w:rsidRPr="00977E64" w:rsidRDefault="004368C9" w:rsidP="00756BE9">
            <w:pPr>
              <w:pStyle w:val="TableTextRight"/>
            </w:pPr>
            <w:r>
              <w:rPr>
                <w:rFonts w:ascii="Calibri" w:hAnsi="Calibri" w:cs="Calibri"/>
              </w:rPr>
              <w:t>43.</w:t>
            </w:r>
            <w:r w:rsidR="003D3EC9">
              <w:rPr>
                <w:rFonts w:ascii="Calibri" w:hAnsi="Calibri" w:cs="Calibri"/>
              </w:rPr>
              <w:t>0</w:t>
            </w:r>
          </w:p>
        </w:tc>
        <w:tc>
          <w:tcPr>
            <w:tcW w:w="579" w:type="pct"/>
            <w:tcBorders>
              <w:top w:val="nil"/>
              <w:left w:val="nil"/>
              <w:bottom w:val="nil"/>
              <w:right w:val="single" w:sz="4" w:space="0" w:color="auto"/>
            </w:tcBorders>
            <w:shd w:val="clear" w:color="auto" w:fill="auto"/>
            <w:vAlign w:val="center"/>
            <w:hideMark/>
          </w:tcPr>
          <w:p w14:paraId="3E6D154D" w14:textId="5BB1C4B0" w:rsidR="003D3EC9" w:rsidRPr="00977E64" w:rsidRDefault="004368C9" w:rsidP="00756BE9">
            <w:pPr>
              <w:pStyle w:val="TableTextRight"/>
            </w:pPr>
            <w:r>
              <w:rPr>
                <w:rFonts w:ascii="Calibri" w:hAnsi="Calibri" w:cs="Calibri"/>
              </w:rPr>
              <w:t>43.</w:t>
            </w:r>
            <w:r w:rsidR="003D3EC9">
              <w:rPr>
                <w:rFonts w:ascii="Calibri" w:hAnsi="Calibri" w:cs="Calibri"/>
              </w:rPr>
              <w:t>4</w:t>
            </w:r>
          </w:p>
        </w:tc>
        <w:tc>
          <w:tcPr>
            <w:tcW w:w="574" w:type="pct"/>
            <w:tcBorders>
              <w:top w:val="nil"/>
              <w:left w:val="nil"/>
              <w:bottom w:val="nil"/>
              <w:right w:val="nil"/>
            </w:tcBorders>
            <w:shd w:val="clear" w:color="auto" w:fill="auto"/>
            <w:vAlign w:val="center"/>
            <w:hideMark/>
          </w:tcPr>
          <w:p w14:paraId="79D6FA05" w14:textId="468E35C7" w:rsidR="003D3EC9" w:rsidRPr="00977E64" w:rsidRDefault="004368C9" w:rsidP="00756BE9">
            <w:pPr>
              <w:pStyle w:val="TableTextRight"/>
            </w:pPr>
            <w:r>
              <w:rPr>
                <w:rFonts w:ascii="Calibri" w:hAnsi="Calibri" w:cs="Calibri"/>
              </w:rPr>
              <w:t>46.</w:t>
            </w:r>
            <w:r w:rsidR="003D3EC9">
              <w:rPr>
                <w:rFonts w:ascii="Calibri" w:hAnsi="Calibri" w:cs="Calibri"/>
              </w:rPr>
              <w:t>3</w:t>
            </w:r>
          </w:p>
        </w:tc>
      </w:tr>
      <w:tr w:rsidR="003D3EC9" w:rsidRPr="00977E64" w14:paraId="50A9ED84" w14:textId="77777777" w:rsidTr="00916EF2">
        <w:trPr>
          <w:trHeight w:val="227"/>
        </w:trPr>
        <w:tc>
          <w:tcPr>
            <w:tcW w:w="1531" w:type="pct"/>
            <w:tcBorders>
              <w:top w:val="nil"/>
              <w:left w:val="nil"/>
              <w:bottom w:val="nil"/>
              <w:right w:val="nil"/>
            </w:tcBorders>
            <w:shd w:val="clear" w:color="auto" w:fill="auto"/>
            <w:vAlign w:val="center"/>
            <w:hideMark/>
          </w:tcPr>
          <w:p w14:paraId="5DC95414"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Greater Hobart</w:t>
            </w:r>
          </w:p>
        </w:tc>
        <w:tc>
          <w:tcPr>
            <w:tcW w:w="579" w:type="pct"/>
            <w:tcBorders>
              <w:top w:val="nil"/>
              <w:left w:val="nil"/>
              <w:bottom w:val="nil"/>
              <w:right w:val="nil"/>
            </w:tcBorders>
            <w:shd w:val="clear" w:color="auto" w:fill="auto"/>
            <w:vAlign w:val="center"/>
            <w:hideMark/>
          </w:tcPr>
          <w:p w14:paraId="0FAB7635" w14:textId="3F69C5ED" w:rsidR="003D3EC9" w:rsidRPr="00977E64" w:rsidRDefault="004368C9" w:rsidP="00756BE9">
            <w:pPr>
              <w:pStyle w:val="TableTextRight"/>
            </w:pPr>
            <w:r>
              <w:rPr>
                <w:rFonts w:ascii="Calibri" w:hAnsi="Calibri" w:cs="Calibri"/>
              </w:rPr>
              <w:t>38.</w:t>
            </w:r>
            <w:r w:rsidR="003D3EC9">
              <w:rPr>
                <w:rFonts w:ascii="Calibri" w:hAnsi="Calibri" w:cs="Calibri"/>
              </w:rPr>
              <w:t>9</w:t>
            </w:r>
          </w:p>
        </w:tc>
        <w:tc>
          <w:tcPr>
            <w:tcW w:w="579" w:type="pct"/>
            <w:tcBorders>
              <w:top w:val="nil"/>
              <w:left w:val="nil"/>
              <w:bottom w:val="nil"/>
              <w:right w:val="nil"/>
            </w:tcBorders>
            <w:shd w:val="clear" w:color="auto" w:fill="D2EDFF"/>
            <w:vAlign w:val="center"/>
            <w:hideMark/>
          </w:tcPr>
          <w:p w14:paraId="3FE29B28" w14:textId="0401EAE4" w:rsidR="003D3EC9" w:rsidRPr="00977E64" w:rsidRDefault="004368C9" w:rsidP="00756BE9">
            <w:pPr>
              <w:pStyle w:val="TableTextRight"/>
            </w:pPr>
            <w:r>
              <w:rPr>
                <w:rFonts w:ascii="Calibri" w:hAnsi="Calibri" w:cs="Calibri"/>
              </w:rPr>
              <w:t>39.</w:t>
            </w:r>
            <w:r w:rsidR="003D3EC9">
              <w:rPr>
                <w:rFonts w:ascii="Calibri" w:hAnsi="Calibri" w:cs="Calibri"/>
              </w:rPr>
              <w:t>3</w:t>
            </w:r>
          </w:p>
        </w:tc>
        <w:tc>
          <w:tcPr>
            <w:tcW w:w="579" w:type="pct"/>
            <w:tcBorders>
              <w:top w:val="nil"/>
              <w:left w:val="nil"/>
              <w:bottom w:val="nil"/>
              <w:right w:val="nil"/>
            </w:tcBorders>
            <w:shd w:val="clear" w:color="auto" w:fill="auto"/>
            <w:vAlign w:val="center"/>
            <w:hideMark/>
          </w:tcPr>
          <w:p w14:paraId="73672771" w14:textId="1536436F" w:rsidR="003D3EC9" w:rsidRPr="00977E64" w:rsidRDefault="004368C9" w:rsidP="00756BE9">
            <w:pPr>
              <w:pStyle w:val="TableTextRight"/>
            </w:pPr>
            <w:r>
              <w:rPr>
                <w:rFonts w:ascii="Calibri" w:hAnsi="Calibri" w:cs="Calibri"/>
              </w:rPr>
              <w:t>39.</w:t>
            </w:r>
            <w:r w:rsidR="003D3EC9">
              <w:rPr>
                <w:rFonts w:ascii="Calibri" w:hAnsi="Calibri" w:cs="Calibri"/>
              </w:rPr>
              <w:t>8</w:t>
            </w:r>
          </w:p>
        </w:tc>
        <w:tc>
          <w:tcPr>
            <w:tcW w:w="579" w:type="pct"/>
            <w:tcBorders>
              <w:top w:val="nil"/>
              <w:left w:val="nil"/>
              <w:bottom w:val="nil"/>
              <w:right w:val="nil"/>
            </w:tcBorders>
            <w:shd w:val="clear" w:color="auto" w:fill="auto"/>
            <w:vAlign w:val="center"/>
            <w:hideMark/>
          </w:tcPr>
          <w:p w14:paraId="5761190E" w14:textId="047D1AE6" w:rsidR="003D3EC9" w:rsidRPr="00977E64" w:rsidRDefault="004368C9" w:rsidP="00756BE9">
            <w:pPr>
              <w:pStyle w:val="TableTextRight"/>
            </w:pPr>
            <w:r>
              <w:rPr>
                <w:rFonts w:ascii="Calibri" w:hAnsi="Calibri" w:cs="Calibri"/>
              </w:rPr>
              <w:t>40.</w:t>
            </w:r>
            <w:r w:rsidR="003D3EC9">
              <w:rPr>
                <w:rFonts w:ascii="Calibri" w:hAnsi="Calibri" w:cs="Calibri"/>
              </w:rPr>
              <w:t>3</w:t>
            </w:r>
          </w:p>
        </w:tc>
        <w:tc>
          <w:tcPr>
            <w:tcW w:w="579" w:type="pct"/>
            <w:tcBorders>
              <w:top w:val="nil"/>
              <w:left w:val="nil"/>
              <w:bottom w:val="nil"/>
              <w:right w:val="single" w:sz="4" w:space="0" w:color="auto"/>
            </w:tcBorders>
            <w:shd w:val="clear" w:color="auto" w:fill="auto"/>
            <w:vAlign w:val="center"/>
            <w:hideMark/>
          </w:tcPr>
          <w:p w14:paraId="430B036E" w14:textId="41F0053F" w:rsidR="003D3EC9" w:rsidRPr="00977E64" w:rsidRDefault="004368C9" w:rsidP="00756BE9">
            <w:pPr>
              <w:pStyle w:val="TableTextRight"/>
            </w:pPr>
            <w:r>
              <w:rPr>
                <w:rFonts w:ascii="Calibri" w:hAnsi="Calibri" w:cs="Calibri"/>
              </w:rPr>
              <w:t>40.</w:t>
            </w:r>
            <w:r w:rsidR="003D3EC9">
              <w:rPr>
                <w:rFonts w:ascii="Calibri" w:hAnsi="Calibri" w:cs="Calibri"/>
              </w:rPr>
              <w:t>8</w:t>
            </w:r>
          </w:p>
        </w:tc>
        <w:tc>
          <w:tcPr>
            <w:tcW w:w="574" w:type="pct"/>
            <w:tcBorders>
              <w:top w:val="nil"/>
              <w:left w:val="nil"/>
              <w:bottom w:val="nil"/>
              <w:right w:val="nil"/>
            </w:tcBorders>
            <w:shd w:val="clear" w:color="auto" w:fill="auto"/>
            <w:vAlign w:val="center"/>
            <w:hideMark/>
          </w:tcPr>
          <w:p w14:paraId="188F6888" w14:textId="735A37A6" w:rsidR="003D3EC9" w:rsidRPr="00977E64" w:rsidRDefault="004368C9" w:rsidP="00756BE9">
            <w:pPr>
              <w:pStyle w:val="TableTextRight"/>
            </w:pPr>
            <w:r>
              <w:rPr>
                <w:rFonts w:ascii="Calibri" w:hAnsi="Calibri" w:cs="Calibri"/>
              </w:rPr>
              <w:t>44.</w:t>
            </w:r>
            <w:r w:rsidR="003D3EC9">
              <w:rPr>
                <w:rFonts w:ascii="Calibri" w:hAnsi="Calibri" w:cs="Calibri"/>
              </w:rPr>
              <w:t>2</w:t>
            </w:r>
          </w:p>
        </w:tc>
      </w:tr>
      <w:tr w:rsidR="003D3EC9" w:rsidRPr="00977E64" w14:paraId="51A0546A"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2209BF11" w14:textId="77777777" w:rsidR="003D3EC9" w:rsidRPr="00977E64" w:rsidRDefault="003D3EC9" w:rsidP="00916EF2">
            <w:pPr>
              <w:spacing w:before="0" w:after="0" w:line="240" w:lineRule="auto"/>
              <w:ind w:firstLineChars="100" w:firstLine="200"/>
              <w:rPr>
                <w:rFonts w:ascii="Calibri" w:eastAsia="Times New Roman" w:hAnsi="Calibri" w:cs="Calibri"/>
                <w:i/>
                <w:iCs/>
                <w:color w:val="002C47"/>
                <w:lang w:eastAsia="en-AU"/>
              </w:rPr>
            </w:pPr>
            <w:r w:rsidRPr="00977E64">
              <w:rPr>
                <w:rFonts w:ascii="Calibri" w:eastAsia="Times New Roman" w:hAnsi="Calibri" w:cs="Calibri"/>
                <w:i/>
                <w:iCs/>
                <w:color w:val="002C47"/>
                <w:lang w:eastAsia="en-AU"/>
              </w:rPr>
              <w:t>Rest of Tasmania</w:t>
            </w:r>
          </w:p>
        </w:tc>
        <w:tc>
          <w:tcPr>
            <w:tcW w:w="579" w:type="pct"/>
            <w:tcBorders>
              <w:top w:val="nil"/>
              <w:left w:val="nil"/>
              <w:bottom w:val="single" w:sz="4" w:space="0" w:color="auto"/>
              <w:right w:val="nil"/>
            </w:tcBorders>
            <w:shd w:val="clear" w:color="auto" w:fill="auto"/>
            <w:vAlign w:val="center"/>
            <w:hideMark/>
          </w:tcPr>
          <w:p w14:paraId="6AF3A80B" w14:textId="494E6188" w:rsidR="003D3EC9" w:rsidRPr="00977E64" w:rsidRDefault="004368C9" w:rsidP="00756BE9">
            <w:pPr>
              <w:pStyle w:val="TableTextRight"/>
            </w:pPr>
            <w:r>
              <w:rPr>
                <w:rFonts w:ascii="Calibri" w:hAnsi="Calibri" w:cs="Calibri"/>
              </w:rPr>
              <w:t>44.8</w:t>
            </w:r>
          </w:p>
        </w:tc>
        <w:tc>
          <w:tcPr>
            <w:tcW w:w="579" w:type="pct"/>
            <w:tcBorders>
              <w:top w:val="nil"/>
              <w:left w:val="nil"/>
              <w:bottom w:val="single" w:sz="4" w:space="0" w:color="auto"/>
              <w:right w:val="nil"/>
            </w:tcBorders>
            <w:shd w:val="clear" w:color="auto" w:fill="D2EDFF"/>
            <w:vAlign w:val="center"/>
            <w:hideMark/>
          </w:tcPr>
          <w:p w14:paraId="2082A908" w14:textId="317EEA23" w:rsidR="003D3EC9" w:rsidRPr="00977E64" w:rsidRDefault="004368C9" w:rsidP="00756BE9">
            <w:pPr>
              <w:pStyle w:val="TableTextRight"/>
            </w:pPr>
            <w:r>
              <w:rPr>
                <w:rFonts w:ascii="Calibri" w:hAnsi="Calibri" w:cs="Calibri"/>
              </w:rPr>
              <w:t>45.0</w:t>
            </w:r>
          </w:p>
        </w:tc>
        <w:tc>
          <w:tcPr>
            <w:tcW w:w="579" w:type="pct"/>
            <w:tcBorders>
              <w:top w:val="nil"/>
              <w:left w:val="nil"/>
              <w:bottom w:val="single" w:sz="4" w:space="0" w:color="auto"/>
              <w:right w:val="nil"/>
            </w:tcBorders>
            <w:shd w:val="clear" w:color="auto" w:fill="auto"/>
            <w:vAlign w:val="center"/>
            <w:hideMark/>
          </w:tcPr>
          <w:p w14:paraId="4F9B5546" w14:textId="41E99695" w:rsidR="003D3EC9" w:rsidRPr="00977E64" w:rsidRDefault="004368C9" w:rsidP="00756BE9">
            <w:pPr>
              <w:pStyle w:val="TableTextRight"/>
            </w:pPr>
            <w:r>
              <w:rPr>
                <w:rFonts w:ascii="Calibri" w:hAnsi="Calibri" w:cs="Calibri"/>
              </w:rPr>
              <w:t>45.</w:t>
            </w:r>
            <w:r w:rsidR="003D3EC9">
              <w:rPr>
                <w:rFonts w:ascii="Calibri" w:hAnsi="Calibri" w:cs="Calibri"/>
              </w:rPr>
              <w:t>2</w:t>
            </w:r>
          </w:p>
        </w:tc>
        <w:tc>
          <w:tcPr>
            <w:tcW w:w="579" w:type="pct"/>
            <w:tcBorders>
              <w:top w:val="nil"/>
              <w:left w:val="nil"/>
              <w:bottom w:val="single" w:sz="4" w:space="0" w:color="auto"/>
              <w:right w:val="nil"/>
            </w:tcBorders>
            <w:shd w:val="clear" w:color="auto" w:fill="auto"/>
            <w:vAlign w:val="center"/>
            <w:hideMark/>
          </w:tcPr>
          <w:p w14:paraId="15232F35" w14:textId="4DA99C51" w:rsidR="003D3EC9" w:rsidRPr="00977E64" w:rsidRDefault="004368C9" w:rsidP="00756BE9">
            <w:pPr>
              <w:pStyle w:val="TableTextRight"/>
            </w:pPr>
            <w:r>
              <w:rPr>
                <w:rFonts w:ascii="Calibri" w:hAnsi="Calibri" w:cs="Calibri"/>
              </w:rPr>
              <w:t>45.</w:t>
            </w:r>
            <w:r w:rsidR="006D2426">
              <w:rPr>
                <w:rFonts w:ascii="Calibri" w:hAnsi="Calibri" w:cs="Calibri"/>
              </w:rPr>
              <w:t>6</w:t>
            </w:r>
          </w:p>
        </w:tc>
        <w:tc>
          <w:tcPr>
            <w:tcW w:w="579" w:type="pct"/>
            <w:tcBorders>
              <w:top w:val="nil"/>
              <w:left w:val="nil"/>
              <w:bottom w:val="single" w:sz="4" w:space="0" w:color="auto"/>
              <w:right w:val="single" w:sz="4" w:space="0" w:color="auto"/>
            </w:tcBorders>
            <w:shd w:val="clear" w:color="auto" w:fill="auto"/>
            <w:vAlign w:val="center"/>
            <w:hideMark/>
          </w:tcPr>
          <w:p w14:paraId="01D6B064" w14:textId="40A89503" w:rsidR="003D3EC9" w:rsidRPr="00977E64" w:rsidRDefault="004368C9" w:rsidP="00756BE9">
            <w:pPr>
              <w:pStyle w:val="TableTextRight"/>
            </w:pPr>
            <w:r>
              <w:rPr>
                <w:rFonts w:ascii="Calibri" w:hAnsi="Calibri" w:cs="Calibri"/>
              </w:rPr>
              <w:t>45.9</w:t>
            </w:r>
          </w:p>
        </w:tc>
        <w:tc>
          <w:tcPr>
            <w:tcW w:w="574" w:type="pct"/>
            <w:tcBorders>
              <w:top w:val="nil"/>
              <w:left w:val="nil"/>
              <w:bottom w:val="single" w:sz="4" w:space="0" w:color="auto"/>
              <w:right w:val="nil"/>
            </w:tcBorders>
            <w:shd w:val="clear" w:color="auto" w:fill="auto"/>
            <w:vAlign w:val="center"/>
            <w:hideMark/>
          </w:tcPr>
          <w:p w14:paraId="24399F48" w14:textId="4C2426B8" w:rsidR="003D3EC9" w:rsidRPr="00977E64" w:rsidRDefault="004368C9" w:rsidP="00756BE9">
            <w:pPr>
              <w:pStyle w:val="TableTextRight"/>
            </w:pPr>
            <w:r>
              <w:rPr>
                <w:rFonts w:ascii="Calibri" w:hAnsi="Calibri" w:cs="Calibri"/>
              </w:rPr>
              <w:t>48.4</w:t>
            </w:r>
          </w:p>
        </w:tc>
      </w:tr>
    </w:tbl>
    <w:p w14:paraId="0ED34D63" w14:textId="118E88E4" w:rsidR="00756BE9" w:rsidRDefault="003D3EC9" w:rsidP="003D3EC9">
      <w:pPr>
        <w:pStyle w:val="Source"/>
      </w:pPr>
      <w:r w:rsidRPr="00D47BF1">
        <w:t xml:space="preserve">Source: </w:t>
      </w:r>
      <w:r>
        <w:tab/>
      </w:r>
      <w:r w:rsidRPr="00D47BF1">
        <w:t xml:space="preserve">ABS, </w:t>
      </w:r>
      <w:r w:rsidR="009155F8" w:rsidRPr="00997375">
        <w:rPr>
          <w:rStyle w:val="SubtleEmphasis"/>
        </w:rPr>
        <w:t>National, state and territory population, March 2024</w:t>
      </w:r>
      <w:r w:rsidRPr="00997375">
        <w:rPr>
          <w:rStyle w:val="SubtleEmphasis"/>
        </w:rPr>
        <w:t>;</w:t>
      </w:r>
      <w:r>
        <w:t xml:space="preserve"> ABS, </w:t>
      </w:r>
      <w:r w:rsidR="0035214B" w:rsidRPr="00997375">
        <w:rPr>
          <w:rStyle w:val="SubtleEmphasis"/>
        </w:rPr>
        <w:t>Regional population, 2022–23</w:t>
      </w:r>
      <w:r w:rsidRPr="00997375">
        <w:rPr>
          <w:rStyle w:val="SubtleEmphasis"/>
        </w:rPr>
        <w:t>;</w:t>
      </w:r>
      <w:r>
        <w:t xml:space="preserve"> and Centre for Population.</w:t>
      </w:r>
    </w:p>
    <w:p w14:paraId="37249E59" w14:textId="77777777" w:rsidR="00756BE9" w:rsidRDefault="00756BE9">
      <w:pPr>
        <w:spacing w:before="0" w:after="160" w:line="259" w:lineRule="auto"/>
        <w:rPr>
          <w:sz w:val="18"/>
          <w:bdr w:val="none" w:sz="0" w:space="0" w:color="auto" w:frame="1"/>
        </w:rPr>
      </w:pPr>
      <w:r>
        <w:br w:type="page"/>
      </w:r>
    </w:p>
    <w:p w14:paraId="5B4C9180" w14:textId="77777777" w:rsidR="003D3EC9" w:rsidRDefault="003D3EC9" w:rsidP="003D3EC9">
      <w:pPr>
        <w:pStyle w:val="Heading2Numbered"/>
      </w:pPr>
      <w:bookmarkStart w:id="227" w:name="_Toc149846514"/>
      <w:bookmarkStart w:id="228" w:name="_Toc149846555"/>
      <w:bookmarkStart w:id="229" w:name="_Toc149846653"/>
      <w:bookmarkStart w:id="230" w:name="_Toc149847596"/>
      <w:bookmarkStart w:id="231" w:name="_Toc151994729"/>
      <w:bookmarkStart w:id="232" w:name="_Toc180584527"/>
      <w:bookmarkStart w:id="233" w:name="_Toc185333118"/>
      <w:bookmarkStart w:id="234" w:name="_Toc185346735"/>
      <w:r>
        <w:lastRenderedPageBreak/>
        <w:t>Northern Territory</w:t>
      </w:r>
      <w:bookmarkEnd w:id="227"/>
      <w:bookmarkEnd w:id="228"/>
      <w:bookmarkEnd w:id="229"/>
      <w:bookmarkEnd w:id="230"/>
      <w:bookmarkEnd w:id="231"/>
      <w:bookmarkEnd w:id="232"/>
      <w:bookmarkEnd w:id="233"/>
      <w:bookmarkEnd w:id="234"/>
    </w:p>
    <w:p w14:paraId="2376C0BB" w14:textId="7B398F0C" w:rsidR="003D3EC9" w:rsidRDefault="003D3EC9" w:rsidP="00997375">
      <w:pPr>
        <w:rPr>
          <w:lang w:eastAsia="en-AU"/>
        </w:rPr>
      </w:pPr>
      <w:bookmarkStart w:id="235" w:name="_Toc151994730"/>
      <w:r>
        <w:rPr>
          <w:lang w:eastAsia="en-AU"/>
        </w:rPr>
        <w:t>The population of the Northern Territory is projected to increase from 255,000 in 2023–24 to 28</w:t>
      </w:r>
      <w:r w:rsidR="000545B9">
        <w:rPr>
          <w:lang w:eastAsia="en-AU"/>
        </w:rPr>
        <w:t>2</w:t>
      </w:r>
      <w:r>
        <w:rPr>
          <w:lang w:eastAsia="en-AU"/>
        </w:rPr>
        <w:t xml:space="preserve">,000 in 2034–‍35. </w:t>
      </w:r>
      <w:r>
        <w:t>Population growth is forecast to decline to 0.6</w:t>
      </w:r>
      <w:r w:rsidR="00FF207F">
        <w:t> per cent</w:t>
      </w:r>
      <w:r>
        <w:t xml:space="preserve"> in 2023–24</w:t>
      </w:r>
      <w:r w:rsidR="000545B9">
        <w:t xml:space="preserve">, </w:t>
      </w:r>
      <w:r w:rsidR="00C47523">
        <w:t>recovering to</w:t>
      </w:r>
      <w:r w:rsidR="000545B9">
        <w:t xml:space="preserve"> 0.7 </w:t>
      </w:r>
      <w:r w:rsidR="00C47523">
        <w:t xml:space="preserve">per cent </w:t>
      </w:r>
      <w:r w:rsidR="000545B9">
        <w:t xml:space="preserve">in </w:t>
      </w:r>
      <w:r>
        <w:t xml:space="preserve">2024–25 and </w:t>
      </w:r>
      <w:r w:rsidR="006E29DD">
        <w:t>1.0</w:t>
      </w:r>
      <w:r w:rsidR="00FF207F">
        <w:t> per cent</w:t>
      </w:r>
      <w:r>
        <w:t xml:space="preserve"> growth from 202</w:t>
      </w:r>
      <w:r w:rsidR="006E29DD">
        <w:t>7</w:t>
      </w:r>
      <w:r>
        <w:t>–2</w:t>
      </w:r>
      <w:r w:rsidR="00D51760">
        <w:t>8</w:t>
      </w:r>
      <w:r>
        <w:t>.</w:t>
      </w:r>
    </w:p>
    <w:p w14:paraId="1DCC889F" w14:textId="3841FA14" w:rsidR="003D3EC9" w:rsidRDefault="003D3EC9" w:rsidP="00997375">
      <w:pPr>
        <w:rPr>
          <w:lang w:eastAsia="en-AU"/>
        </w:rPr>
      </w:pPr>
      <w:r>
        <w:rPr>
          <w:lang w:eastAsia="en-AU"/>
        </w:rPr>
        <w:t>Natural increase – the main driver of population growth over most of the projection period – is expected to continue to add around 0.9 percentage points per year to the Northern Territory</w:t>
      </w:r>
      <w:r w:rsidR="00050D25">
        <w:rPr>
          <w:lang w:eastAsia="en-AU"/>
        </w:rPr>
        <w:t>’</w:t>
      </w:r>
      <w:r>
        <w:rPr>
          <w:lang w:eastAsia="en-AU"/>
        </w:rPr>
        <w:t xml:space="preserve">s population. </w:t>
      </w:r>
      <w:r w:rsidR="00D13887">
        <w:rPr>
          <w:lang w:eastAsia="en-AU"/>
        </w:rPr>
        <w:t>The Northern Territory has the largest</w:t>
      </w:r>
      <w:r w:rsidR="004E2BF7">
        <w:rPr>
          <w:lang w:eastAsia="en-AU"/>
        </w:rPr>
        <w:t xml:space="preserve"> contribution to growth from natural increase, which </w:t>
      </w:r>
      <w:r>
        <w:rPr>
          <w:lang w:eastAsia="en-AU"/>
        </w:rPr>
        <w:t>reflects its higher fertility rates and younger population. As</w:t>
      </w:r>
      <w:r w:rsidDel="002D7CD5">
        <w:rPr>
          <w:lang w:eastAsia="en-AU"/>
        </w:rPr>
        <w:t xml:space="preserve"> </w:t>
      </w:r>
      <w:r w:rsidR="005414F1">
        <w:rPr>
          <w:lang w:eastAsia="en-AU"/>
        </w:rPr>
        <w:t xml:space="preserve">it </w:t>
      </w:r>
      <w:r>
        <w:rPr>
          <w:lang w:eastAsia="en-AU"/>
        </w:rPr>
        <w:t>moderates</w:t>
      </w:r>
      <w:r w:rsidR="00E61CF8">
        <w:rPr>
          <w:lang w:eastAsia="en-AU"/>
        </w:rPr>
        <w:t>,</w:t>
      </w:r>
      <w:r>
        <w:rPr>
          <w:lang w:eastAsia="en-AU"/>
        </w:rPr>
        <w:t xml:space="preserve"> </w:t>
      </w:r>
      <w:r w:rsidR="005414F1">
        <w:rPr>
          <w:lang w:eastAsia="en-AU"/>
        </w:rPr>
        <w:t xml:space="preserve">NOM </w:t>
      </w:r>
      <w:r>
        <w:rPr>
          <w:lang w:eastAsia="en-AU"/>
        </w:rPr>
        <w:t>is expected to add around 0.</w:t>
      </w:r>
      <w:r w:rsidR="00923014">
        <w:rPr>
          <w:lang w:eastAsia="en-AU"/>
        </w:rPr>
        <w:t>6</w:t>
      </w:r>
      <w:r>
        <w:rPr>
          <w:lang w:eastAsia="en-AU"/>
        </w:rPr>
        <w:t xml:space="preserve"> percentage points to growth per</w:t>
      </w:r>
      <w:r w:rsidR="00CC1B2F">
        <w:rPr>
          <w:lang w:eastAsia="en-AU"/>
        </w:rPr>
        <w:t> </w:t>
      </w:r>
      <w:r>
        <w:rPr>
          <w:lang w:eastAsia="en-AU"/>
        </w:rPr>
        <w:t>year. The Northern Territory experienced net interstate migration outflows over the past 1</w:t>
      </w:r>
      <w:r w:rsidR="00E646FA">
        <w:rPr>
          <w:lang w:eastAsia="en-AU"/>
        </w:rPr>
        <w:t>4</w:t>
      </w:r>
      <w:r w:rsidR="00AB42A1">
        <w:rPr>
          <w:lang w:eastAsia="en-AU"/>
        </w:rPr>
        <w:t> </w:t>
      </w:r>
      <w:r>
        <w:rPr>
          <w:lang w:eastAsia="en-AU"/>
        </w:rPr>
        <w:t>years, and this is projected to continue. Internal migration outflows are expected to increase in 2023–‍24 before moderating, detracting around 0.5 percentage points from growth from 2026–27.</w:t>
      </w:r>
    </w:p>
    <w:p w14:paraId="12B7A103" w14:textId="17390F32" w:rsidR="00756BE9" w:rsidRDefault="003D3EC9" w:rsidP="00654915">
      <w:pPr>
        <w:pStyle w:val="ChartMainHeading"/>
      </w:pPr>
      <w:r w:rsidRPr="0080495D">
        <w:t xml:space="preserve">Population growth </w:t>
      </w:r>
      <w:r w:rsidR="00631419">
        <w:t xml:space="preserve">in the </w:t>
      </w:r>
      <w:r>
        <w:t>Northern Territory</w:t>
      </w:r>
    </w:p>
    <w:p w14:paraId="4AA20890" w14:textId="0308B43B" w:rsidR="003D3EC9" w:rsidRDefault="000C1650" w:rsidP="00756BE9">
      <w:pPr>
        <w:pStyle w:val="ChartGraphic"/>
      </w:pPr>
      <w:r w:rsidRPr="000C1650">
        <w:t xml:space="preserve"> </w:t>
      </w:r>
      <w:r w:rsidR="00F80753" w:rsidRPr="00F80753">
        <w:rPr>
          <w:noProof/>
        </w:rPr>
        <w:drawing>
          <wp:inline distT="0" distB="0" distL="0" distR="0" wp14:anchorId="3991FA4D" wp14:editId="7ADD7880">
            <wp:extent cx="5588911" cy="2880000"/>
            <wp:effectExtent l="0" t="0" r="0" b="0"/>
            <wp:docPr id="1043600324" name="Picture 1043600324" descr="This chart shows the population growth rate and contribution to growth by components in the Northern Territory. The population of the Northern Territory has continued growing despite a slight decrease in 2020–21 due to border restrictions. Growth peaked in 2022–23, driven by net overseas migration, and is forecast to decrease and stabilise by 2027–28. Increased net overseas migration in 2022–23 was largely offset by interstate migration outflows, but these are expected to decline and stabilise by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0324" name="Picture 1043600324" descr="This chart shows the population growth rate and contribution to growth by components in the Northern Territory. The population of the Northern Territory has continued growing despite a slight decrease in 2020–21 due to border restrictions. Growth peaked in 2022–23, driven by net overseas migration, and is forecast to decrease and stabilise by 2027–28. Increased net overseas migration in 2022–23 was largely offset by interstate migration outflows, but these are expected to decline and stabilise by 2026–27.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8911" cy="2880000"/>
                    </a:xfrm>
                    <a:prstGeom prst="rect">
                      <a:avLst/>
                    </a:prstGeom>
                    <a:noFill/>
                    <a:ln>
                      <a:noFill/>
                    </a:ln>
                  </pic:spPr>
                </pic:pic>
              </a:graphicData>
            </a:graphic>
          </wp:inline>
        </w:drawing>
      </w:r>
    </w:p>
    <w:p w14:paraId="452F5D1F" w14:textId="70DD00D4" w:rsidR="003D3EC9" w:rsidRPr="008A444E" w:rsidRDefault="003D3EC9" w:rsidP="003D3EC9">
      <w:pPr>
        <w:pStyle w:val="Source"/>
      </w:pPr>
      <w:r w:rsidRPr="004218BD">
        <w:t xml:space="preserve">Source: </w:t>
      </w:r>
      <w:r>
        <w:tab/>
      </w:r>
      <w:r w:rsidRPr="004218BD">
        <w:t xml:space="preserve">ABS, </w:t>
      </w:r>
      <w:r w:rsidR="009155F8" w:rsidRPr="00997375">
        <w:rPr>
          <w:rStyle w:val="SubtleEmphasis"/>
        </w:rPr>
        <w:t>National, state and territory population</w:t>
      </w:r>
      <w:r w:rsidR="009155F8" w:rsidRPr="009155F8">
        <w:rPr>
          <w:i/>
        </w:rPr>
        <w:t>, March 2024</w:t>
      </w:r>
      <w:r>
        <w:t>,</w:t>
      </w:r>
      <w:r w:rsidRPr="004218BD">
        <w:t xml:space="preserve"> and Centre for Population.</w:t>
      </w:r>
    </w:p>
    <w:p w14:paraId="2A6F6C39" w14:textId="77777777" w:rsidR="00997375" w:rsidRDefault="00997375" w:rsidP="00997375">
      <w:pPr>
        <w:pStyle w:val="SingleParagraph"/>
      </w:pPr>
    </w:p>
    <w:p w14:paraId="45143BD0" w14:textId="2697565E" w:rsidR="003D3EC9" w:rsidRDefault="003D3EC9" w:rsidP="003D3EC9">
      <w:r w:rsidRPr="003771B3">
        <w:rPr>
          <w:b/>
          <w:bCs/>
        </w:rPr>
        <w:t>Greater Darwin</w:t>
      </w:r>
      <w:r w:rsidR="00050D25" w:rsidRPr="005F727B">
        <w:t>’</w:t>
      </w:r>
      <w:r w:rsidRPr="005F727B">
        <w:t>s</w:t>
      </w:r>
      <w:r>
        <w:t xml:space="preserve"> population</w:t>
      </w:r>
      <w:r w:rsidRPr="00DB30B1">
        <w:t xml:space="preserve"> </w:t>
      </w:r>
      <w:r>
        <w:t>is expected to be 15</w:t>
      </w:r>
      <w:r w:rsidR="00775D09">
        <w:t>2</w:t>
      </w:r>
      <w:r>
        <w:t>,000 in 2023–24, representing 60</w:t>
      </w:r>
      <w:r w:rsidR="00FF207F">
        <w:t> per cent</w:t>
      </w:r>
      <w:r>
        <w:t xml:space="preserve"> of the Northern</w:t>
      </w:r>
      <w:r w:rsidR="001339E1">
        <w:t> </w:t>
      </w:r>
      <w:r>
        <w:t>Territory</w:t>
      </w:r>
      <w:r w:rsidR="00050D25">
        <w:t>’</w:t>
      </w:r>
      <w:r>
        <w:t>s population</w:t>
      </w:r>
      <w:r w:rsidDel="00E6416A">
        <w:t>.</w:t>
      </w:r>
      <w:r w:rsidDel="006169D9">
        <w:t xml:space="preserve"> </w:t>
      </w:r>
      <w:r>
        <w:t>Population growth is forecast to decrease to 0.7</w:t>
      </w:r>
      <w:r w:rsidR="00FF207F">
        <w:t> per cent</w:t>
      </w:r>
      <w:r>
        <w:t xml:space="preserve"> in 2023–24 </w:t>
      </w:r>
      <w:r w:rsidR="004D0965">
        <w:t>before rising</w:t>
      </w:r>
      <w:r w:rsidR="005A511B">
        <w:t xml:space="preserve"> to 0.8</w:t>
      </w:r>
      <w:r w:rsidR="00CC1B2F">
        <w:t> </w:t>
      </w:r>
      <w:r w:rsidR="005A511B">
        <w:t>per</w:t>
      </w:r>
      <w:r w:rsidR="00CC1B2F">
        <w:t> </w:t>
      </w:r>
      <w:r w:rsidR="005A511B">
        <w:t>cent in</w:t>
      </w:r>
      <w:r>
        <w:t xml:space="preserve"> 2024–25. Growth is expected to recover to 1.</w:t>
      </w:r>
      <w:r w:rsidR="00E87DE8">
        <w:t>4</w:t>
      </w:r>
      <w:r w:rsidR="00FF207F">
        <w:t> per cent</w:t>
      </w:r>
      <w:r>
        <w:t xml:space="preserve"> in 2027–28 before declining to 1.</w:t>
      </w:r>
      <w:r w:rsidR="005A511B">
        <w:t>3</w:t>
      </w:r>
      <w:r w:rsidR="00FF207F">
        <w:t> per cent</w:t>
      </w:r>
      <w:r>
        <w:t xml:space="preserve"> by 2034–35. As </w:t>
      </w:r>
      <w:r w:rsidR="00E84835">
        <w:t>NOM</w:t>
      </w:r>
      <w:r>
        <w:t xml:space="preserve"> subsides, natural increase is projected to return as Darwin</w:t>
      </w:r>
      <w:r w:rsidR="00050D25">
        <w:t>’</w:t>
      </w:r>
      <w:r>
        <w:t xml:space="preserve">s largest driver of growth – the highest contribution to growth from natural increase for any capital city. Growth from </w:t>
      </w:r>
      <w:r w:rsidR="00E84835">
        <w:t>NOM</w:t>
      </w:r>
      <w:r>
        <w:t xml:space="preserve"> has been mostly offset by interstate migration in recent years and this is projected to continue</w:t>
      </w:r>
      <w:r w:rsidR="009762B8">
        <w:t xml:space="preserve"> in the short term</w:t>
      </w:r>
      <w:r w:rsidDel="00AB6063">
        <w:t xml:space="preserve">. </w:t>
      </w:r>
      <w:r>
        <w:t>Darwin</w:t>
      </w:r>
      <w:r w:rsidR="00050D25">
        <w:t>’</w:t>
      </w:r>
      <w:r>
        <w:t>s population is expected to be 17</w:t>
      </w:r>
      <w:r w:rsidR="004D0965">
        <w:t>5</w:t>
      </w:r>
      <w:r>
        <w:t>,000 in 2034–35.</w:t>
      </w:r>
    </w:p>
    <w:p w14:paraId="34477454" w14:textId="4D820FCF" w:rsidR="003D3EC9" w:rsidRDefault="003D3EC9" w:rsidP="003D3EC9">
      <w:r>
        <w:t xml:space="preserve">The population of the </w:t>
      </w:r>
      <w:r w:rsidRPr="3C362E4C">
        <w:rPr>
          <w:b/>
          <w:bCs/>
        </w:rPr>
        <w:t xml:space="preserve">rest of the Northern Territory </w:t>
      </w:r>
      <w:r>
        <w:t>is expected to be 102,000 in 2023–24. Population growth is forecast to decrease to 0.4</w:t>
      </w:r>
      <w:r w:rsidR="00FF207F">
        <w:t> per cent</w:t>
      </w:r>
      <w:r>
        <w:t xml:space="preserve"> in 2023–24 and </w:t>
      </w:r>
      <w:r w:rsidR="00B657BA">
        <w:t>0.2 per cent in 2026–27, recovering to 0.4 per cent in</w:t>
      </w:r>
      <w:r>
        <w:t xml:space="preserve"> 20</w:t>
      </w:r>
      <w:r w:rsidR="00E953F2">
        <w:t>3</w:t>
      </w:r>
      <w:r>
        <w:t>4–</w:t>
      </w:r>
      <w:r w:rsidR="00E953F2">
        <w:t>3</w:t>
      </w:r>
      <w:r>
        <w:t>5. Despite having the highest natural increase contribution of any rest</w:t>
      </w:r>
      <w:r w:rsidR="00050D25">
        <w:noBreakHyphen/>
      </w:r>
      <w:r>
        <w:t>of</w:t>
      </w:r>
      <w:r w:rsidR="00050D25">
        <w:noBreakHyphen/>
      </w:r>
      <w:r>
        <w:t xml:space="preserve">state area, the rest of the Northern Territory is projected to have the </w:t>
      </w:r>
      <w:r w:rsidR="005A264C">
        <w:t xml:space="preserve">third </w:t>
      </w:r>
      <w:r>
        <w:t>slowest growing rest</w:t>
      </w:r>
      <w:r w:rsidR="00050D25">
        <w:noBreakHyphen/>
      </w:r>
      <w:r>
        <w:t>of</w:t>
      </w:r>
      <w:r w:rsidR="00050D25">
        <w:noBreakHyphen/>
      </w:r>
      <w:r>
        <w:t>state area over most of the projection period. This is because, unlike most rest</w:t>
      </w:r>
      <w:r w:rsidR="00050D25">
        <w:noBreakHyphen/>
      </w:r>
      <w:r>
        <w:t>of</w:t>
      </w:r>
      <w:r w:rsidR="00050D25">
        <w:noBreakHyphen/>
      </w:r>
      <w:r>
        <w:t>state areas that benefit from net internal migration, internal migration outflows will be a substantial</w:t>
      </w:r>
      <w:r w:rsidDel="00AC11F6">
        <w:t xml:space="preserve"> </w:t>
      </w:r>
      <w:r>
        <w:t>drag on population growth. The rest of the Northern Territory</w:t>
      </w:r>
      <w:r w:rsidR="00050D25">
        <w:t>’</w:t>
      </w:r>
      <w:r>
        <w:t>s population is projected to be 106,000 in 2034–35.</w:t>
      </w:r>
    </w:p>
    <w:p w14:paraId="34468538" w14:textId="7F9B84CF" w:rsidR="003D3EC9" w:rsidRPr="00D47BF1" w:rsidRDefault="003D3EC9" w:rsidP="00654915">
      <w:pPr>
        <w:pStyle w:val="ChartMainHeading"/>
      </w:pPr>
      <w:r w:rsidRPr="00D47BF1">
        <w:lastRenderedPageBreak/>
        <w:t xml:space="preserve">Population growth in </w:t>
      </w:r>
      <w:r w:rsidRPr="001D20C5">
        <w:t>the Northern Territory,</w:t>
      </w:r>
      <w:r>
        <w:t xml:space="preserve"> G</w:t>
      </w:r>
      <w:r w:rsidRPr="001D20C5">
        <w:t xml:space="preserve">reater </w:t>
      </w:r>
      <w:proofErr w:type="gramStart"/>
      <w:r>
        <w:t>Darwin</w:t>
      </w:r>
      <w:proofErr w:type="gramEnd"/>
      <w:r w:rsidRPr="001D20C5">
        <w:t xml:space="preserve"> and the rest of </w:t>
      </w:r>
      <w:r>
        <w:t>NT</w:t>
      </w:r>
    </w:p>
    <w:p w14:paraId="107192DC" w14:textId="4C23A1E0" w:rsidR="003D3EC9" w:rsidRDefault="008937A2" w:rsidP="003914B2">
      <w:pPr>
        <w:pStyle w:val="ChartGraphic"/>
      </w:pPr>
      <w:r w:rsidRPr="008937A2">
        <w:t xml:space="preserve"> </w:t>
      </w:r>
      <w:r w:rsidR="00CF1AC7" w:rsidRPr="00CF1AC7">
        <w:t xml:space="preserve"> </w:t>
      </w:r>
      <w:r w:rsidR="00CF1AC7" w:rsidRPr="00CF1AC7">
        <w:rPr>
          <w:noProof/>
        </w:rPr>
        <w:drawing>
          <wp:inline distT="0" distB="0" distL="0" distR="0" wp14:anchorId="032BBA43" wp14:editId="4B8174D4">
            <wp:extent cx="5610225" cy="2895600"/>
            <wp:effectExtent l="0" t="0" r="0" b="0"/>
            <wp:docPr id="314678766" name="Picture 7" descr="This chart shows population growth for Darwin, Northern Territory, and rest of Northern Territory. Darwin’s population growth peaked in 2022–23. Growth in Darwin is forecast to decline in 2023–24, then increase before stabilising from 2026–27. Growth in the rest of the Northern Territory peaked in 2021–22 then declined in 2022–23. It is forecast to continue declining before increasing from 2026–27 and then stabil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8766" name="Picture 7" descr="This chart shows population growth for Darwin, Northern Territory, and rest of Northern Territory. Darwin’s population growth peaked in 2022–23. Growth in Darwin is forecast to decline in 2023–24, then increase before stabilising from 2026–27. Growth in the rest of the Northern Territory peaked in 2021–22 then declined in 2022–23. It is forecast to continue declining before increasing from 2026–27 and then stabilis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0225" cy="2895600"/>
                    </a:xfrm>
                    <a:prstGeom prst="rect">
                      <a:avLst/>
                    </a:prstGeom>
                    <a:noFill/>
                    <a:ln>
                      <a:noFill/>
                    </a:ln>
                  </pic:spPr>
                </pic:pic>
              </a:graphicData>
            </a:graphic>
          </wp:inline>
        </w:drawing>
      </w:r>
    </w:p>
    <w:p w14:paraId="701BA968" w14:textId="15A440E5" w:rsidR="0070497D" w:rsidRDefault="003D3EC9" w:rsidP="003D3EC9">
      <w:pPr>
        <w:pStyle w:val="Source"/>
      </w:pPr>
      <w:r w:rsidRPr="00F67DB6">
        <w:t>Source:</w:t>
      </w:r>
      <w:r w:rsidRPr="001F0DE5">
        <w:tab/>
      </w:r>
      <w:r w:rsidRPr="00F67DB6">
        <w:t xml:space="preserve">ABS, </w:t>
      </w:r>
      <w:r w:rsidR="0035214B" w:rsidRPr="00997375">
        <w:rPr>
          <w:rStyle w:val="SubtleEmphasis"/>
        </w:rPr>
        <w:t>Regional population, 2022–23</w:t>
      </w:r>
      <w:r w:rsidRPr="00997375">
        <w:rPr>
          <w:rStyle w:val="SubtleEmphasis"/>
        </w:rPr>
        <w:t>;</w:t>
      </w:r>
      <w:r>
        <w:t xml:space="preserve"> ABS, </w:t>
      </w:r>
      <w:r w:rsidR="009155F8" w:rsidRPr="00997375">
        <w:rPr>
          <w:rStyle w:val="SubtleEmphasis"/>
        </w:rPr>
        <w:t>National, state and territory population, March 2024</w:t>
      </w:r>
      <w:r>
        <w:t>; and Centre for Population</w:t>
      </w:r>
      <w:r w:rsidRPr="00F67DB6">
        <w:t>.</w:t>
      </w:r>
    </w:p>
    <w:p w14:paraId="52A10047" w14:textId="77777777" w:rsidR="0070497D" w:rsidRDefault="0070497D">
      <w:pPr>
        <w:spacing w:before="0" w:after="160" w:line="259" w:lineRule="auto"/>
        <w:rPr>
          <w:sz w:val="18"/>
          <w:bdr w:val="none" w:sz="0" w:space="0" w:color="auto" w:frame="1"/>
        </w:rPr>
      </w:pPr>
      <w:r>
        <w:br w:type="page"/>
      </w:r>
    </w:p>
    <w:p w14:paraId="703EF06B" w14:textId="77777777" w:rsidR="003D3EC9" w:rsidRPr="0080495D" w:rsidRDefault="003D3EC9" w:rsidP="00A633E1">
      <w:pPr>
        <w:pStyle w:val="TableMainHeading"/>
      </w:pPr>
      <w:r w:rsidRPr="0080495D">
        <w:lastRenderedPageBreak/>
        <w:t xml:space="preserve">Population projections, </w:t>
      </w:r>
      <w:r w:rsidRPr="00485E58">
        <w:t>Northern Territory</w:t>
      </w:r>
    </w:p>
    <w:tbl>
      <w:tblPr>
        <w:tblW w:w="5000" w:type="pct"/>
        <w:tblLook w:val="04A0" w:firstRow="1" w:lastRow="0" w:firstColumn="1" w:lastColumn="0" w:noHBand="0" w:noVBand="1"/>
      </w:tblPr>
      <w:tblGrid>
        <w:gridCol w:w="2777"/>
        <w:gridCol w:w="1050"/>
        <w:gridCol w:w="1049"/>
        <w:gridCol w:w="1049"/>
        <w:gridCol w:w="1049"/>
        <w:gridCol w:w="1049"/>
        <w:gridCol w:w="1049"/>
      </w:tblGrid>
      <w:tr w:rsidR="003D3EC9" w:rsidRPr="00243179" w14:paraId="185D159F" w14:textId="77777777" w:rsidTr="00916EF2">
        <w:trPr>
          <w:trHeight w:val="227"/>
        </w:trPr>
        <w:tc>
          <w:tcPr>
            <w:tcW w:w="1531" w:type="pct"/>
            <w:tcBorders>
              <w:top w:val="single" w:sz="4" w:space="0" w:color="auto"/>
              <w:left w:val="nil"/>
              <w:bottom w:val="single" w:sz="4" w:space="0" w:color="auto"/>
              <w:right w:val="nil"/>
            </w:tcBorders>
            <w:shd w:val="clear" w:color="auto" w:fill="auto"/>
            <w:vAlign w:val="center"/>
            <w:hideMark/>
          </w:tcPr>
          <w:p w14:paraId="399A199B" w14:textId="77777777" w:rsidR="003D3EC9" w:rsidRPr="00243179" w:rsidRDefault="003D3EC9" w:rsidP="00916EF2">
            <w:pPr>
              <w:spacing w:before="0" w:after="0" w:line="240" w:lineRule="auto"/>
              <w:rPr>
                <w:rFonts w:ascii="Calibri" w:eastAsia="Times New Roman" w:hAnsi="Calibri" w:cs="Calibri"/>
                <w:color w:val="000000"/>
                <w:lang w:eastAsia="en-AU"/>
              </w:rPr>
            </w:pPr>
            <w:r w:rsidRPr="00243179">
              <w:rPr>
                <w:rFonts w:ascii="Calibri" w:eastAsia="Times New Roman" w:hAnsi="Calibri" w:cs="Calibri"/>
                <w:color w:val="000000"/>
                <w:lang w:eastAsia="en-AU"/>
              </w:rPr>
              <w:t> </w:t>
            </w:r>
          </w:p>
        </w:tc>
        <w:tc>
          <w:tcPr>
            <w:tcW w:w="579" w:type="pct"/>
            <w:tcBorders>
              <w:top w:val="single" w:sz="4" w:space="0" w:color="auto"/>
              <w:left w:val="nil"/>
              <w:bottom w:val="single" w:sz="4" w:space="0" w:color="auto"/>
              <w:right w:val="nil"/>
            </w:tcBorders>
            <w:shd w:val="clear" w:color="auto" w:fill="auto"/>
            <w:noWrap/>
            <w:vAlign w:val="center"/>
            <w:hideMark/>
          </w:tcPr>
          <w:p w14:paraId="67D515F7" w14:textId="77777777" w:rsidR="003D3EC9" w:rsidRPr="00243179" w:rsidRDefault="003D3EC9" w:rsidP="0070497D">
            <w:pPr>
              <w:pStyle w:val="TableColumnHeadingRight"/>
            </w:pPr>
            <w:r w:rsidRPr="00243179">
              <w:t>2022</w:t>
            </w:r>
            <w:r>
              <w:t>–</w:t>
            </w:r>
            <w:r w:rsidRPr="00243179">
              <w:t>23</w:t>
            </w:r>
          </w:p>
        </w:tc>
        <w:tc>
          <w:tcPr>
            <w:tcW w:w="578" w:type="pct"/>
            <w:tcBorders>
              <w:top w:val="single" w:sz="4" w:space="0" w:color="auto"/>
              <w:left w:val="nil"/>
              <w:bottom w:val="single" w:sz="4" w:space="0" w:color="auto"/>
              <w:right w:val="nil"/>
            </w:tcBorders>
            <w:shd w:val="clear" w:color="auto" w:fill="D2EDFF"/>
            <w:noWrap/>
            <w:vAlign w:val="center"/>
            <w:hideMark/>
          </w:tcPr>
          <w:p w14:paraId="74B88995" w14:textId="77777777" w:rsidR="003D3EC9" w:rsidRPr="00243179" w:rsidRDefault="003D3EC9" w:rsidP="0070497D">
            <w:pPr>
              <w:pStyle w:val="TableColumnHeadingRight"/>
            </w:pPr>
            <w:r w:rsidRPr="00243179">
              <w:t>2023</w:t>
            </w:r>
            <w:r>
              <w:t>–</w:t>
            </w:r>
            <w:r w:rsidRPr="00243179">
              <w:t>24</w:t>
            </w:r>
          </w:p>
        </w:tc>
        <w:tc>
          <w:tcPr>
            <w:tcW w:w="578" w:type="pct"/>
            <w:tcBorders>
              <w:top w:val="single" w:sz="4" w:space="0" w:color="auto"/>
              <w:left w:val="nil"/>
              <w:bottom w:val="single" w:sz="4" w:space="0" w:color="auto"/>
              <w:right w:val="nil"/>
            </w:tcBorders>
            <w:shd w:val="clear" w:color="auto" w:fill="auto"/>
            <w:noWrap/>
            <w:vAlign w:val="center"/>
            <w:hideMark/>
          </w:tcPr>
          <w:p w14:paraId="668305B3" w14:textId="77777777" w:rsidR="003D3EC9" w:rsidRPr="00243179" w:rsidRDefault="003D3EC9" w:rsidP="0070497D">
            <w:pPr>
              <w:pStyle w:val="TableColumnHeadingRight"/>
            </w:pPr>
            <w:r w:rsidRPr="00243179">
              <w:t>2024</w:t>
            </w:r>
            <w:r>
              <w:t>–</w:t>
            </w:r>
            <w:r w:rsidRPr="00243179">
              <w:t>25</w:t>
            </w:r>
          </w:p>
        </w:tc>
        <w:tc>
          <w:tcPr>
            <w:tcW w:w="578" w:type="pct"/>
            <w:tcBorders>
              <w:top w:val="single" w:sz="4" w:space="0" w:color="auto"/>
              <w:left w:val="nil"/>
              <w:bottom w:val="single" w:sz="4" w:space="0" w:color="auto"/>
              <w:right w:val="nil"/>
            </w:tcBorders>
            <w:shd w:val="clear" w:color="auto" w:fill="auto"/>
            <w:noWrap/>
            <w:vAlign w:val="center"/>
            <w:hideMark/>
          </w:tcPr>
          <w:p w14:paraId="4B7E8582" w14:textId="77777777" w:rsidR="003D3EC9" w:rsidRPr="00243179" w:rsidRDefault="003D3EC9" w:rsidP="0070497D">
            <w:pPr>
              <w:pStyle w:val="TableColumnHeadingRight"/>
            </w:pPr>
            <w:r w:rsidRPr="00243179">
              <w:t>2025</w:t>
            </w:r>
            <w:r>
              <w:t>–</w:t>
            </w:r>
            <w:r w:rsidRPr="00243179">
              <w:t>26</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4FD4B221" w14:textId="77777777" w:rsidR="003D3EC9" w:rsidRPr="00243179" w:rsidRDefault="003D3EC9" w:rsidP="0070497D">
            <w:pPr>
              <w:pStyle w:val="TableColumnHeadingRight"/>
            </w:pPr>
            <w:r w:rsidRPr="00243179">
              <w:t>2026</w:t>
            </w:r>
            <w:r>
              <w:t>–</w:t>
            </w:r>
            <w:r w:rsidRPr="00243179">
              <w:t>27</w:t>
            </w:r>
          </w:p>
        </w:tc>
        <w:tc>
          <w:tcPr>
            <w:tcW w:w="578" w:type="pct"/>
            <w:tcBorders>
              <w:top w:val="single" w:sz="4" w:space="0" w:color="auto"/>
              <w:left w:val="nil"/>
              <w:bottom w:val="single" w:sz="4" w:space="0" w:color="auto"/>
              <w:right w:val="nil"/>
            </w:tcBorders>
            <w:shd w:val="clear" w:color="auto" w:fill="auto"/>
            <w:noWrap/>
            <w:vAlign w:val="center"/>
            <w:hideMark/>
          </w:tcPr>
          <w:p w14:paraId="2DC27707" w14:textId="77777777" w:rsidR="003D3EC9" w:rsidRPr="00243179" w:rsidRDefault="003D3EC9" w:rsidP="0070497D">
            <w:pPr>
              <w:pStyle w:val="TableColumnHeadingRight"/>
            </w:pPr>
            <w:r w:rsidRPr="00243179">
              <w:t>2034</w:t>
            </w:r>
            <w:r>
              <w:t>–</w:t>
            </w:r>
            <w:r w:rsidRPr="00243179">
              <w:t>35</w:t>
            </w:r>
          </w:p>
        </w:tc>
      </w:tr>
      <w:tr w:rsidR="003D3EC9" w:rsidRPr="00243179" w14:paraId="4B29CE8F" w14:textId="77777777" w:rsidTr="00916EF2">
        <w:trPr>
          <w:trHeight w:val="227"/>
        </w:trPr>
        <w:tc>
          <w:tcPr>
            <w:tcW w:w="1531" w:type="pct"/>
            <w:tcBorders>
              <w:top w:val="nil"/>
              <w:left w:val="nil"/>
              <w:bottom w:val="nil"/>
              <w:right w:val="nil"/>
            </w:tcBorders>
            <w:shd w:val="clear" w:color="auto" w:fill="auto"/>
            <w:vAlign w:val="center"/>
            <w:hideMark/>
          </w:tcPr>
          <w:p w14:paraId="46133294" w14:textId="108DC12F" w:rsidR="003D3EC9" w:rsidRPr="00243179" w:rsidRDefault="003D3EC9" w:rsidP="00C75089">
            <w:pPr>
              <w:pStyle w:val="TableColumnHeadingLeft"/>
            </w:pPr>
            <w:r w:rsidRPr="00243179">
              <w:t>Population (</w:t>
            </w:r>
            <w:r w:rsidR="00050D25">
              <w:t>‘</w:t>
            </w:r>
            <w:r w:rsidRPr="00243179">
              <w:t>000)</w:t>
            </w:r>
          </w:p>
        </w:tc>
        <w:tc>
          <w:tcPr>
            <w:tcW w:w="579" w:type="pct"/>
            <w:tcBorders>
              <w:top w:val="nil"/>
              <w:left w:val="nil"/>
              <w:bottom w:val="nil"/>
              <w:right w:val="nil"/>
            </w:tcBorders>
            <w:shd w:val="clear" w:color="auto" w:fill="auto"/>
            <w:vAlign w:val="center"/>
            <w:hideMark/>
          </w:tcPr>
          <w:p w14:paraId="69882BFC"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D2EDFF"/>
            <w:vAlign w:val="center"/>
            <w:hideMark/>
          </w:tcPr>
          <w:p w14:paraId="280C42AF" w14:textId="5F62DEF0"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7966E8C5"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auto"/>
            <w:vAlign w:val="center"/>
            <w:hideMark/>
          </w:tcPr>
          <w:p w14:paraId="7BFCCC6B" w14:textId="77777777" w:rsidR="003D3EC9" w:rsidRPr="00243179" w:rsidRDefault="003D3EC9" w:rsidP="0070497D">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2C3B12A5" w14:textId="4116850A"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7146FB76" w14:textId="77777777" w:rsidR="003D3EC9" w:rsidRPr="00243179" w:rsidRDefault="003D3EC9" w:rsidP="0070497D">
            <w:pPr>
              <w:pStyle w:val="TableTextRight"/>
              <w:rPr>
                <w:lang w:eastAsia="en-AU"/>
              </w:rPr>
            </w:pPr>
          </w:p>
        </w:tc>
      </w:tr>
      <w:tr w:rsidR="003D3EC9" w:rsidRPr="00243179" w14:paraId="2429377D" w14:textId="77777777" w:rsidTr="00916EF2">
        <w:trPr>
          <w:trHeight w:val="227"/>
        </w:trPr>
        <w:tc>
          <w:tcPr>
            <w:tcW w:w="1531" w:type="pct"/>
            <w:tcBorders>
              <w:top w:val="nil"/>
              <w:left w:val="nil"/>
              <w:bottom w:val="nil"/>
              <w:right w:val="nil"/>
            </w:tcBorders>
            <w:shd w:val="clear" w:color="auto" w:fill="auto"/>
            <w:vAlign w:val="center"/>
            <w:hideMark/>
          </w:tcPr>
          <w:p w14:paraId="1DE624FC"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212593A4" w14:textId="07C3A61D" w:rsidR="003D3EC9" w:rsidRPr="00243179" w:rsidRDefault="003D3EC9" w:rsidP="0070497D">
            <w:pPr>
              <w:pStyle w:val="TableTextRight"/>
              <w:rPr>
                <w:lang w:eastAsia="en-AU"/>
              </w:rPr>
            </w:pPr>
            <w:r>
              <w:rPr>
                <w:rFonts w:ascii="Calibri" w:hAnsi="Calibri" w:cs="Calibri"/>
              </w:rPr>
              <w:t>253</w:t>
            </w:r>
          </w:p>
        </w:tc>
        <w:tc>
          <w:tcPr>
            <w:tcW w:w="578" w:type="pct"/>
            <w:tcBorders>
              <w:top w:val="nil"/>
              <w:left w:val="nil"/>
              <w:bottom w:val="nil"/>
              <w:right w:val="nil"/>
            </w:tcBorders>
            <w:shd w:val="clear" w:color="auto" w:fill="D2EDFF"/>
            <w:vAlign w:val="center"/>
            <w:hideMark/>
          </w:tcPr>
          <w:p w14:paraId="399DC7FB" w14:textId="5CC1B04B" w:rsidR="003D3EC9" w:rsidRPr="00243179" w:rsidRDefault="003D3EC9" w:rsidP="0070497D">
            <w:pPr>
              <w:pStyle w:val="TableTextRight"/>
              <w:rPr>
                <w:lang w:eastAsia="en-AU"/>
              </w:rPr>
            </w:pPr>
            <w:r>
              <w:rPr>
                <w:rFonts w:ascii="Calibri" w:hAnsi="Calibri" w:cs="Calibri"/>
              </w:rPr>
              <w:t>255</w:t>
            </w:r>
          </w:p>
        </w:tc>
        <w:tc>
          <w:tcPr>
            <w:tcW w:w="578" w:type="pct"/>
            <w:tcBorders>
              <w:top w:val="nil"/>
              <w:left w:val="nil"/>
              <w:bottom w:val="nil"/>
              <w:right w:val="nil"/>
            </w:tcBorders>
            <w:shd w:val="clear" w:color="auto" w:fill="auto"/>
            <w:vAlign w:val="center"/>
            <w:hideMark/>
          </w:tcPr>
          <w:p w14:paraId="750DB402" w14:textId="2CC9FFCC" w:rsidR="003D3EC9" w:rsidRPr="00243179" w:rsidRDefault="003D3EC9" w:rsidP="0070497D">
            <w:pPr>
              <w:pStyle w:val="TableTextRight"/>
              <w:rPr>
                <w:lang w:eastAsia="en-AU"/>
              </w:rPr>
            </w:pPr>
            <w:r>
              <w:rPr>
                <w:rFonts w:ascii="Calibri" w:hAnsi="Calibri" w:cs="Calibri"/>
              </w:rPr>
              <w:t>256</w:t>
            </w:r>
          </w:p>
        </w:tc>
        <w:tc>
          <w:tcPr>
            <w:tcW w:w="578" w:type="pct"/>
            <w:tcBorders>
              <w:top w:val="nil"/>
              <w:left w:val="nil"/>
              <w:bottom w:val="nil"/>
              <w:right w:val="nil"/>
            </w:tcBorders>
            <w:shd w:val="clear" w:color="auto" w:fill="auto"/>
            <w:vAlign w:val="center"/>
            <w:hideMark/>
          </w:tcPr>
          <w:p w14:paraId="29BFAA0A" w14:textId="78F48F1A" w:rsidR="003D3EC9" w:rsidRPr="00243179" w:rsidRDefault="003D3EC9" w:rsidP="0070497D">
            <w:pPr>
              <w:pStyle w:val="TableTextRight"/>
              <w:rPr>
                <w:lang w:eastAsia="en-AU"/>
              </w:rPr>
            </w:pPr>
            <w:r>
              <w:rPr>
                <w:rFonts w:ascii="Calibri" w:hAnsi="Calibri" w:cs="Calibri"/>
              </w:rPr>
              <w:t>258</w:t>
            </w:r>
          </w:p>
        </w:tc>
        <w:tc>
          <w:tcPr>
            <w:tcW w:w="578" w:type="pct"/>
            <w:tcBorders>
              <w:top w:val="nil"/>
              <w:left w:val="nil"/>
              <w:bottom w:val="nil"/>
              <w:right w:val="single" w:sz="4" w:space="0" w:color="auto"/>
            </w:tcBorders>
            <w:shd w:val="clear" w:color="auto" w:fill="auto"/>
            <w:vAlign w:val="center"/>
            <w:hideMark/>
          </w:tcPr>
          <w:p w14:paraId="38EAF81B" w14:textId="26B642E2" w:rsidR="003D3EC9" w:rsidRPr="00243179" w:rsidRDefault="003D3EC9" w:rsidP="0070497D">
            <w:pPr>
              <w:pStyle w:val="TableTextRight"/>
              <w:rPr>
                <w:lang w:eastAsia="en-AU"/>
              </w:rPr>
            </w:pPr>
            <w:r>
              <w:rPr>
                <w:rFonts w:ascii="Calibri" w:hAnsi="Calibri" w:cs="Calibri"/>
              </w:rPr>
              <w:t>260</w:t>
            </w:r>
          </w:p>
        </w:tc>
        <w:tc>
          <w:tcPr>
            <w:tcW w:w="578" w:type="pct"/>
            <w:tcBorders>
              <w:top w:val="nil"/>
              <w:left w:val="nil"/>
              <w:bottom w:val="nil"/>
              <w:right w:val="nil"/>
            </w:tcBorders>
            <w:shd w:val="clear" w:color="auto" w:fill="auto"/>
            <w:vAlign w:val="center"/>
            <w:hideMark/>
          </w:tcPr>
          <w:p w14:paraId="293CFFAC" w14:textId="1AF969CE" w:rsidR="003D3EC9" w:rsidRPr="00243179" w:rsidRDefault="006D2426" w:rsidP="0070497D">
            <w:pPr>
              <w:pStyle w:val="TableTextRight"/>
              <w:rPr>
                <w:lang w:eastAsia="en-AU"/>
              </w:rPr>
            </w:pPr>
            <w:r>
              <w:rPr>
                <w:rFonts w:ascii="Calibri" w:hAnsi="Calibri" w:cs="Calibri"/>
              </w:rPr>
              <w:t>282</w:t>
            </w:r>
          </w:p>
        </w:tc>
      </w:tr>
      <w:tr w:rsidR="003D3EC9" w:rsidRPr="00243179" w14:paraId="7592FE4D" w14:textId="77777777" w:rsidTr="00916EF2">
        <w:trPr>
          <w:trHeight w:val="227"/>
        </w:trPr>
        <w:tc>
          <w:tcPr>
            <w:tcW w:w="1531" w:type="pct"/>
            <w:tcBorders>
              <w:top w:val="nil"/>
              <w:left w:val="nil"/>
              <w:bottom w:val="nil"/>
              <w:right w:val="nil"/>
            </w:tcBorders>
            <w:shd w:val="clear" w:color="auto" w:fill="auto"/>
            <w:vAlign w:val="center"/>
            <w:hideMark/>
          </w:tcPr>
          <w:p w14:paraId="5C426D42"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7B665550" w14:textId="1A7B1805" w:rsidR="003D3EC9" w:rsidRPr="00243179" w:rsidRDefault="003D3EC9" w:rsidP="0070497D">
            <w:pPr>
              <w:pStyle w:val="TableTextRight"/>
              <w:rPr>
                <w:lang w:eastAsia="en-AU"/>
              </w:rPr>
            </w:pPr>
            <w:r>
              <w:rPr>
                <w:rFonts w:ascii="Calibri" w:hAnsi="Calibri" w:cs="Calibri"/>
              </w:rPr>
              <w:t>151</w:t>
            </w:r>
          </w:p>
        </w:tc>
        <w:tc>
          <w:tcPr>
            <w:tcW w:w="578" w:type="pct"/>
            <w:tcBorders>
              <w:top w:val="nil"/>
              <w:left w:val="nil"/>
              <w:bottom w:val="nil"/>
              <w:right w:val="nil"/>
            </w:tcBorders>
            <w:shd w:val="clear" w:color="auto" w:fill="D2EDFF"/>
            <w:vAlign w:val="center"/>
            <w:hideMark/>
          </w:tcPr>
          <w:p w14:paraId="1FE3E430" w14:textId="02FD1BD1" w:rsidR="003D3EC9" w:rsidRPr="00243179" w:rsidRDefault="003D3EC9" w:rsidP="0070497D">
            <w:pPr>
              <w:pStyle w:val="TableTextRight"/>
              <w:rPr>
                <w:lang w:eastAsia="en-AU"/>
              </w:rPr>
            </w:pPr>
            <w:r>
              <w:rPr>
                <w:rFonts w:ascii="Calibri" w:hAnsi="Calibri" w:cs="Calibri"/>
              </w:rPr>
              <w:t>152</w:t>
            </w:r>
          </w:p>
        </w:tc>
        <w:tc>
          <w:tcPr>
            <w:tcW w:w="578" w:type="pct"/>
            <w:tcBorders>
              <w:top w:val="nil"/>
              <w:left w:val="nil"/>
              <w:bottom w:val="nil"/>
              <w:right w:val="nil"/>
            </w:tcBorders>
            <w:shd w:val="clear" w:color="auto" w:fill="auto"/>
            <w:vAlign w:val="center"/>
            <w:hideMark/>
          </w:tcPr>
          <w:p w14:paraId="04B5BE50" w14:textId="5D3C4832" w:rsidR="003D3EC9" w:rsidRPr="00243179" w:rsidRDefault="003D3EC9" w:rsidP="0070497D">
            <w:pPr>
              <w:pStyle w:val="TableTextRight"/>
              <w:rPr>
                <w:lang w:eastAsia="en-AU"/>
              </w:rPr>
            </w:pPr>
            <w:r>
              <w:rPr>
                <w:rFonts w:ascii="Calibri" w:hAnsi="Calibri" w:cs="Calibri"/>
              </w:rPr>
              <w:t>153</w:t>
            </w:r>
          </w:p>
        </w:tc>
        <w:tc>
          <w:tcPr>
            <w:tcW w:w="578" w:type="pct"/>
            <w:tcBorders>
              <w:top w:val="nil"/>
              <w:left w:val="nil"/>
              <w:bottom w:val="nil"/>
              <w:right w:val="nil"/>
            </w:tcBorders>
            <w:shd w:val="clear" w:color="auto" w:fill="auto"/>
            <w:vAlign w:val="center"/>
            <w:hideMark/>
          </w:tcPr>
          <w:p w14:paraId="4B52B15E" w14:textId="64F1CD0A" w:rsidR="003D3EC9" w:rsidRPr="00243179" w:rsidRDefault="003D3EC9" w:rsidP="0070497D">
            <w:pPr>
              <w:pStyle w:val="TableTextRight"/>
              <w:rPr>
                <w:lang w:eastAsia="en-AU"/>
              </w:rPr>
            </w:pPr>
            <w:r>
              <w:rPr>
                <w:rFonts w:ascii="Calibri" w:hAnsi="Calibri" w:cs="Calibri"/>
              </w:rPr>
              <w:t>155</w:t>
            </w:r>
          </w:p>
        </w:tc>
        <w:tc>
          <w:tcPr>
            <w:tcW w:w="578" w:type="pct"/>
            <w:tcBorders>
              <w:top w:val="nil"/>
              <w:left w:val="nil"/>
              <w:bottom w:val="nil"/>
              <w:right w:val="single" w:sz="4" w:space="0" w:color="auto"/>
            </w:tcBorders>
            <w:shd w:val="clear" w:color="auto" w:fill="auto"/>
            <w:vAlign w:val="center"/>
            <w:hideMark/>
          </w:tcPr>
          <w:p w14:paraId="3E6B46BB" w14:textId="4EAF04BA" w:rsidR="003D3EC9" w:rsidRPr="00243179" w:rsidRDefault="003D3EC9" w:rsidP="0070497D">
            <w:pPr>
              <w:pStyle w:val="TableTextRight"/>
              <w:rPr>
                <w:lang w:eastAsia="en-AU"/>
              </w:rPr>
            </w:pPr>
            <w:r>
              <w:rPr>
                <w:rFonts w:ascii="Calibri" w:hAnsi="Calibri" w:cs="Calibri"/>
              </w:rPr>
              <w:t>157</w:t>
            </w:r>
          </w:p>
        </w:tc>
        <w:tc>
          <w:tcPr>
            <w:tcW w:w="578" w:type="pct"/>
            <w:tcBorders>
              <w:top w:val="nil"/>
              <w:left w:val="nil"/>
              <w:bottom w:val="nil"/>
              <w:right w:val="nil"/>
            </w:tcBorders>
            <w:shd w:val="clear" w:color="auto" w:fill="auto"/>
            <w:vAlign w:val="center"/>
            <w:hideMark/>
          </w:tcPr>
          <w:p w14:paraId="348536C5" w14:textId="7C23B92D" w:rsidR="003D3EC9" w:rsidRPr="00243179" w:rsidRDefault="006D2426" w:rsidP="0070497D">
            <w:pPr>
              <w:pStyle w:val="TableTextRight"/>
              <w:rPr>
                <w:lang w:eastAsia="en-AU"/>
              </w:rPr>
            </w:pPr>
            <w:r>
              <w:rPr>
                <w:rFonts w:ascii="Calibri" w:hAnsi="Calibri" w:cs="Calibri"/>
              </w:rPr>
              <w:t>175</w:t>
            </w:r>
          </w:p>
        </w:tc>
      </w:tr>
      <w:tr w:rsidR="003D3EC9" w:rsidRPr="00243179" w14:paraId="3E39D774" w14:textId="77777777" w:rsidTr="00916EF2">
        <w:trPr>
          <w:trHeight w:val="227"/>
        </w:trPr>
        <w:tc>
          <w:tcPr>
            <w:tcW w:w="1531" w:type="pct"/>
            <w:tcBorders>
              <w:top w:val="nil"/>
              <w:left w:val="nil"/>
              <w:bottom w:val="nil"/>
              <w:right w:val="nil"/>
            </w:tcBorders>
            <w:shd w:val="clear" w:color="auto" w:fill="auto"/>
            <w:vAlign w:val="center"/>
            <w:hideMark/>
          </w:tcPr>
          <w:p w14:paraId="2332CEE7"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6F38425E" w14:textId="3F87A9EF" w:rsidR="003D3EC9" w:rsidRPr="00243179" w:rsidRDefault="003D3EC9" w:rsidP="0070497D">
            <w:pPr>
              <w:pStyle w:val="TableTextRight"/>
              <w:rPr>
                <w:lang w:eastAsia="en-AU"/>
              </w:rPr>
            </w:pPr>
            <w:r>
              <w:rPr>
                <w:rFonts w:ascii="Calibri" w:hAnsi="Calibri" w:cs="Calibri"/>
              </w:rPr>
              <w:t>102</w:t>
            </w:r>
          </w:p>
        </w:tc>
        <w:tc>
          <w:tcPr>
            <w:tcW w:w="578" w:type="pct"/>
            <w:tcBorders>
              <w:top w:val="nil"/>
              <w:left w:val="nil"/>
              <w:bottom w:val="nil"/>
              <w:right w:val="nil"/>
            </w:tcBorders>
            <w:shd w:val="clear" w:color="auto" w:fill="D2EDFF"/>
            <w:vAlign w:val="center"/>
            <w:hideMark/>
          </w:tcPr>
          <w:p w14:paraId="5C56F0CE" w14:textId="547B73DA" w:rsidR="003D3EC9" w:rsidRPr="00243179" w:rsidRDefault="003D3EC9" w:rsidP="0070497D">
            <w:pPr>
              <w:pStyle w:val="TableTextRight"/>
              <w:rPr>
                <w:lang w:eastAsia="en-AU"/>
              </w:rPr>
            </w:pPr>
            <w:r>
              <w:rPr>
                <w:rFonts w:ascii="Calibri" w:hAnsi="Calibri" w:cs="Calibri"/>
              </w:rPr>
              <w:t>102</w:t>
            </w:r>
          </w:p>
        </w:tc>
        <w:tc>
          <w:tcPr>
            <w:tcW w:w="578" w:type="pct"/>
            <w:tcBorders>
              <w:top w:val="nil"/>
              <w:left w:val="nil"/>
              <w:bottom w:val="nil"/>
              <w:right w:val="nil"/>
            </w:tcBorders>
            <w:shd w:val="clear" w:color="auto" w:fill="auto"/>
            <w:vAlign w:val="center"/>
            <w:hideMark/>
          </w:tcPr>
          <w:p w14:paraId="0E60F4F7" w14:textId="02748395" w:rsidR="003D3EC9" w:rsidRPr="00243179" w:rsidRDefault="003D3EC9" w:rsidP="0070497D">
            <w:pPr>
              <w:pStyle w:val="TableTextRight"/>
              <w:rPr>
                <w:lang w:eastAsia="en-AU"/>
              </w:rPr>
            </w:pPr>
            <w:r>
              <w:rPr>
                <w:rFonts w:ascii="Calibri" w:hAnsi="Calibri" w:cs="Calibri"/>
              </w:rPr>
              <w:t>103</w:t>
            </w:r>
          </w:p>
        </w:tc>
        <w:tc>
          <w:tcPr>
            <w:tcW w:w="578" w:type="pct"/>
            <w:tcBorders>
              <w:top w:val="nil"/>
              <w:left w:val="nil"/>
              <w:bottom w:val="nil"/>
              <w:right w:val="nil"/>
            </w:tcBorders>
            <w:shd w:val="clear" w:color="auto" w:fill="auto"/>
            <w:vAlign w:val="center"/>
            <w:hideMark/>
          </w:tcPr>
          <w:p w14:paraId="38A27150" w14:textId="5A38E50D" w:rsidR="003D3EC9" w:rsidRPr="00243179" w:rsidRDefault="003D3EC9" w:rsidP="0070497D">
            <w:pPr>
              <w:pStyle w:val="TableTextRight"/>
              <w:rPr>
                <w:lang w:eastAsia="en-AU"/>
              </w:rPr>
            </w:pPr>
            <w:r>
              <w:rPr>
                <w:rFonts w:ascii="Calibri" w:hAnsi="Calibri" w:cs="Calibri"/>
              </w:rPr>
              <w:t>103</w:t>
            </w:r>
          </w:p>
        </w:tc>
        <w:tc>
          <w:tcPr>
            <w:tcW w:w="578" w:type="pct"/>
            <w:tcBorders>
              <w:top w:val="nil"/>
              <w:left w:val="nil"/>
              <w:bottom w:val="nil"/>
              <w:right w:val="single" w:sz="4" w:space="0" w:color="auto"/>
            </w:tcBorders>
            <w:shd w:val="clear" w:color="auto" w:fill="auto"/>
            <w:vAlign w:val="center"/>
            <w:hideMark/>
          </w:tcPr>
          <w:p w14:paraId="4AE1CBC6" w14:textId="53A43933" w:rsidR="003D3EC9" w:rsidRPr="00243179" w:rsidRDefault="003D3EC9" w:rsidP="0070497D">
            <w:pPr>
              <w:pStyle w:val="TableTextRight"/>
              <w:rPr>
                <w:lang w:eastAsia="en-AU"/>
              </w:rPr>
            </w:pPr>
            <w:r>
              <w:rPr>
                <w:rFonts w:ascii="Calibri" w:hAnsi="Calibri" w:cs="Calibri"/>
              </w:rPr>
              <w:t>103</w:t>
            </w:r>
          </w:p>
        </w:tc>
        <w:tc>
          <w:tcPr>
            <w:tcW w:w="578" w:type="pct"/>
            <w:tcBorders>
              <w:top w:val="nil"/>
              <w:left w:val="nil"/>
              <w:bottom w:val="nil"/>
              <w:right w:val="nil"/>
            </w:tcBorders>
            <w:shd w:val="clear" w:color="auto" w:fill="auto"/>
            <w:vAlign w:val="center"/>
            <w:hideMark/>
          </w:tcPr>
          <w:p w14:paraId="5353503B" w14:textId="7000EF64" w:rsidR="003D3EC9" w:rsidRPr="00243179" w:rsidRDefault="003D3EC9" w:rsidP="0070497D">
            <w:pPr>
              <w:pStyle w:val="TableTextRight"/>
              <w:rPr>
                <w:lang w:eastAsia="en-AU"/>
              </w:rPr>
            </w:pPr>
            <w:r>
              <w:rPr>
                <w:rFonts w:ascii="Calibri" w:hAnsi="Calibri" w:cs="Calibri"/>
              </w:rPr>
              <w:t>106</w:t>
            </w:r>
          </w:p>
        </w:tc>
      </w:tr>
      <w:tr w:rsidR="003D3EC9" w:rsidRPr="00243179" w14:paraId="2230159B" w14:textId="77777777" w:rsidTr="00916EF2">
        <w:trPr>
          <w:trHeight w:val="227"/>
        </w:trPr>
        <w:tc>
          <w:tcPr>
            <w:tcW w:w="1531" w:type="pct"/>
            <w:tcBorders>
              <w:top w:val="nil"/>
              <w:left w:val="nil"/>
              <w:bottom w:val="nil"/>
              <w:right w:val="nil"/>
            </w:tcBorders>
            <w:shd w:val="clear" w:color="auto" w:fill="auto"/>
            <w:vAlign w:val="center"/>
            <w:hideMark/>
          </w:tcPr>
          <w:p w14:paraId="4C0B45D2" w14:textId="77777777" w:rsidR="003D3EC9" w:rsidRPr="00243179" w:rsidRDefault="003D3EC9" w:rsidP="00C75089">
            <w:pPr>
              <w:pStyle w:val="TableColumnHeadingLeft"/>
            </w:pPr>
            <w:r w:rsidRPr="00243179">
              <w:t>Population growth (per cent)</w:t>
            </w:r>
          </w:p>
        </w:tc>
        <w:tc>
          <w:tcPr>
            <w:tcW w:w="579" w:type="pct"/>
            <w:tcBorders>
              <w:top w:val="nil"/>
              <w:left w:val="nil"/>
              <w:bottom w:val="nil"/>
              <w:right w:val="nil"/>
            </w:tcBorders>
            <w:shd w:val="clear" w:color="auto" w:fill="auto"/>
            <w:vAlign w:val="center"/>
            <w:hideMark/>
          </w:tcPr>
          <w:p w14:paraId="67826A78"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D2EDFF"/>
            <w:vAlign w:val="center"/>
            <w:hideMark/>
          </w:tcPr>
          <w:p w14:paraId="113B6DFD" w14:textId="0D38CDB6"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2FF74812"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auto"/>
            <w:vAlign w:val="center"/>
            <w:hideMark/>
          </w:tcPr>
          <w:p w14:paraId="3C94A71E" w14:textId="77777777" w:rsidR="003D3EC9" w:rsidRPr="00243179" w:rsidRDefault="003D3EC9" w:rsidP="0070497D">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2DDBF5CD" w14:textId="2D73ED2A"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6A719362" w14:textId="77777777" w:rsidR="003D3EC9" w:rsidRPr="00243179" w:rsidRDefault="003D3EC9" w:rsidP="0070497D">
            <w:pPr>
              <w:pStyle w:val="TableTextRight"/>
              <w:rPr>
                <w:lang w:eastAsia="en-AU"/>
              </w:rPr>
            </w:pPr>
          </w:p>
        </w:tc>
      </w:tr>
      <w:tr w:rsidR="003D3EC9" w:rsidRPr="00243179" w14:paraId="5B568F36" w14:textId="77777777" w:rsidTr="00916EF2">
        <w:trPr>
          <w:trHeight w:val="227"/>
        </w:trPr>
        <w:tc>
          <w:tcPr>
            <w:tcW w:w="1531" w:type="pct"/>
            <w:tcBorders>
              <w:top w:val="nil"/>
              <w:left w:val="nil"/>
              <w:bottom w:val="nil"/>
              <w:right w:val="nil"/>
            </w:tcBorders>
            <w:shd w:val="clear" w:color="auto" w:fill="auto"/>
            <w:vAlign w:val="center"/>
            <w:hideMark/>
          </w:tcPr>
          <w:p w14:paraId="29B9B094"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53B7EC5D" w14:textId="612ADAA2" w:rsidR="003D3EC9" w:rsidRPr="00243179" w:rsidRDefault="003D3EC9" w:rsidP="0070497D">
            <w:pPr>
              <w:pStyle w:val="TableTextRight"/>
              <w:rPr>
                <w:lang w:eastAsia="en-AU"/>
              </w:rPr>
            </w:pPr>
            <w:r>
              <w:rPr>
                <w:rFonts w:ascii="Calibri" w:hAnsi="Calibri" w:cs="Calibri"/>
              </w:rPr>
              <w:t>1.1</w:t>
            </w:r>
          </w:p>
        </w:tc>
        <w:tc>
          <w:tcPr>
            <w:tcW w:w="578" w:type="pct"/>
            <w:tcBorders>
              <w:top w:val="nil"/>
              <w:left w:val="nil"/>
              <w:bottom w:val="nil"/>
              <w:right w:val="nil"/>
            </w:tcBorders>
            <w:shd w:val="clear" w:color="auto" w:fill="D2EDFF"/>
            <w:vAlign w:val="center"/>
            <w:hideMark/>
          </w:tcPr>
          <w:p w14:paraId="51F39A61" w14:textId="0F319402" w:rsidR="003D3EC9" w:rsidRPr="00243179" w:rsidRDefault="003D3EC9" w:rsidP="0070497D">
            <w:pPr>
              <w:pStyle w:val="TableTextRight"/>
              <w:rPr>
                <w:lang w:eastAsia="en-AU"/>
              </w:rPr>
            </w:pPr>
            <w:r>
              <w:rPr>
                <w:rFonts w:ascii="Calibri" w:hAnsi="Calibri" w:cs="Calibri"/>
              </w:rPr>
              <w:t>0.6</w:t>
            </w:r>
          </w:p>
        </w:tc>
        <w:tc>
          <w:tcPr>
            <w:tcW w:w="578" w:type="pct"/>
            <w:tcBorders>
              <w:top w:val="nil"/>
              <w:left w:val="nil"/>
              <w:bottom w:val="nil"/>
              <w:right w:val="nil"/>
            </w:tcBorders>
            <w:shd w:val="clear" w:color="auto" w:fill="auto"/>
            <w:vAlign w:val="center"/>
            <w:hideMark/>
          </w:tcPr>
          <w:p w14:paraId="097658FA" w14:textId="5337F6F5"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7</w:t>
            </w:r>
          </w:p>
        </w:tc>
        <w:tc>
          <w:tcPr>
            <w:tcW w:w="578" w:type="pct"/>
            <w:tcBorders>
              <w:top w:val="nil"/>
              <w:left w:val="nil"/>
              <w:bottom w:val="nil"/>
              <w:right w:val="nil"/>
            </w:tcBorders>
            <w:shd w:val="clear" w:color="auto" w:fill="auto"/>
            <w:vAlign w:val="center"/>
            <w:hideMark/>
          </w:tcPr>
          <w:p w14:paraId="1C402B37" w14:textId="077EB8C4"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7</w:t>
            </w:r>
          </w:p>
        </w:tc>
        <w:tc>
          <w:tcPr>
            <w:tcW w:w="578" w:type="pct"/>
            <w:tcBorders>
              <w:top w:val="nil"/>
              <w:left w:val="nil"/>
              <w:bottom w:val="nil"/>
              <w:right w:val="single" w:sz="4" w:space="0" w:color="auto"/>
            </w:tcBorders>
            <w:shd w:val="clear" w:color="auto" w:fill="auto"/>
            <w:vAlign w:val="center"/>
            <w:hideMark/>
          </w:tcPr>
          <w:p w14:paraId="64C69FE4" w14:textId="7312889E" w:rsidR="003D3EC9" w:rsidRPr="00243179" w:rsidRDefault="003D3EC9" w:rsidP="0070497D">
            <w:pPr>
              <w:pStyle w:val="TableTextRight"/>
              <w:rPr>
                <w:lang w:eastAsia="en-AU"/>
              </w:rPr>
            </w:pPr>
            <w:r>
              <w:rPr>
                <w:rFonts w:ascii="Calibri" w:hAnsi="Calibri" w:cs="Calibri"/>
              </w:rPr>
              <w:t>0.9</w:t>
            </w:r>
          </w:p>
        </w:tc>
        <w:tc>
          <w:tcPr>
            <w:tcW w:w="578" w:type="pct"/>
            <w:tcBorders>
              <w:top w:val="nil"/>
              <w:left w:val="nil"/>
              <w:bottom w:val="nil"/>
              <w:right w:val="nil"/>
            </w:tcBorders>
            <w:shd w:val="clear" w:color="auto" w:fill="auto"/>
            <w:vAlign w:val="center"/>
            <w:hideMark/>
          </w:tcPr>
          <w:p w14:paraId="32F0CF89" w14:textId="683F1085"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0</w:t>
            </w:r>
          </w:p>
        </w:tc>
      </w:tr>
      <w:tr w:rsidR="003D3EC9" w:rsidRPr="00243179" w14:paraId="20FD3918" w14:textId="77777777" w:rsidTr="00916EF2">
        <w:trPr>
          <w:trHeight w:val="227"/>
        </w:trPr>
        <w:tc>
          <w:tcPr>
            <w:tcW w:w="1531" w:type="pct"/>
            <w:tcBorders>
              <w:top w:val="nil"/>
              <w:left w:val="nil"/>
              <w:bottom w:val="nil"/>
              <w:right w:val="nil"/>
            </w:tcBorders>
            <w:shd w:val="clear" w:color="auto" w:fill="auto"/>
            <w:vAlign w:val="center"/>
            <w:hideMark/>
          </w:tcPr>
          <w:p w14:paraId="22C0FFA8"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611C9F3B" w14:textId="2DEA9217" w:rsidR="003D3EC9" w:rsidRPr="00243179" w:rsidRDefault="003D3EC9" w:rsidP="0070497D">
            <w:pPr>
              <w:pStyle w:val="TableTextRight"/>
              <w:rPr>
                <w:lang w:eastAsia="en-AU"/>
              </w:rPr>
            </w:pPr>
            <w:r>
              <w:rPr>
                <w:rFonts w:ascii="Calibri" w:hAnsi="Calibri" w:cs="Calibri"/>
              </w:rPr>
              <w:t>1.1</w:t>
            </w:r>
          </w:p>
        </w:tc>
        <w:tc>
          <w:tcPr>
            <w:tcW w:w="578" w:type="pct"/>
            <w:tcBorders>
              <w:top w:val="nil"/>
              <w:left w:val="nil"/>
              <w:bottom w:val="nil"/>
              <w:right w:val="nil"/>
            </w:tcBorders>
            <w:shd w:val="clear" w:color="auto" w:fill="D2EDFF"/>
            <w:vAlign w:val="center"/>
            <w:hideMark/>
          </w:tcPr>
          <w:p w14:paraId="2215740D" w14:textId="020E070F" w:rsidR="003D3EC9" w:rsidRPr="00243179" w:rsidRDefault="003D3EC9" w:rsidP="0070497D">
            <w:pPr>
              <w:pStyle w:val="TableTextRight"/>
              <w:rPr>
                <w:lang w:eastAsia="en-AU"/>
              </w:rPr>
            </w:pPr>
            <w:r>
              <w:rPr>
                <w:rFonts w:ascii="Calibri" w:hAnsi="Calibri" w:cs="Calibri"/>
              </w:rPr>
              <w:t>0.7</w:t>
            </w:r>
          </w:p>
        </w:tc>
        <w:tc>
          <w:tcPr>
            <w:tcW w:w="578" w:type="pct"/>
            <w:tcBorders>
              <w:top w:val="nil"/>
              <w:left w:val="nil"/>
              <w:bottom w:val="nil"/>
              <w:right w:val="nil"/>
            </w:tcBorders>
            <w:shd w:val="clear" w:color="auto" w:fill="auto"/>
            <w:vAlign w:val="center"/>
            <w:hideMark/>
          </w:tcPr>
          <w:p w14:paraId="2C11D37E" w14:textId="5859E30A"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8</w:t>
            </w:r>
          </w:p>
        </w:tc>
        <w:tc>
          <w:tcPr>
            <w:tcW w:w="578" w:type="pct"/>
            <w:tcBorders>
              <w:top w:val="nil"/>
              <w:left w:val="nil"/>
              <w:bottom w:val="nil"/>
              <w:right w:val="nil"/>
            </w:tcBorders>
            <w:shd w:val="clear" w:color="auto" w:fill="auto"/>
            <w:vAlign w:val="center"/>
            <w:hideMark/>
          </w:tcPr>
          <w:p w14:paraId="42EB482A" w14:textId="2978FAD6"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1</w:t>
            </w:r>
          </w:p>
        </w:tc>
        <w:tc>
          <w:tcPr>
            <w:tcW w:w="578" w:type="pct"/>
            <w:tcBorders>
              <w:top w:val="nil"/>
              <w:left w:val="nil"/>
              <w:bottom w:val="nil"/>
              <w:right w:val="single" w:sz="4" w:space="0" w:color="auto"/>
            </w:tcBorders>
            <w:shd w:val="clear" w:color="auto" w:fill="auto"/>
            <w:vAlign w:val="center"/>
            <w:hideMark/>
          </w:tcPr>
          <w:p w14:paraId="573C405C" w14:textId="0A1323C1" w:rsidR="003D3EC9" w:rsidRPr="00243179" w:rsidRDefault="003D3EC9" w:rsidP="0070497D">
            <w:pPr>
              <w:pStyle w:val="TableTextRight"/>
              <w:rPr>
                <w:lang w:eastAsia="en-AU"/>
              </w:rPr>
            </w:pPr>
            <w:r>
              <w:rPr>
                <w:rFonts w:ascii="Calibri" w:hAnsi="Calibri" w:cs="Calibri"/>
              </w:rPr>
              <w:t>1.4</w:t>
            </w:r>
          </w:p>
        </w:tc>
        <w:tc>
          <w:tcPr>
            <w:tcW w:w="578" w:type="pct"/>
            <w:tcBorders>
              <w:top w:val="nil"/>
              <w:left w:val="nil"/>
              <w:bottom w:val="nil"/>
              <w:right w:val="nil"/>
            </w:tcBorders>
            <w:shd w:val="clear" w:color="auto" w:fill="auto"/>
            <w:vAlign w:val="center"/>
            <w:hideMark/>
          </w:tcPr>
          <w:p w14:paraId="3D7DDFBD" w14:textId="4FF896A9"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3</w:t>
            </w:r>
          </w:p>
        </w:tc>
      </w:tr>
      <w:tr w:rsidR="003D3EC9" w:rsidRPr="00243179" w14:paraId="5BD95DD4" w14:textId="77777777" w:rsidTr="00916EF2">
        <w:trPr>
          <w:trHeight w:val="227"/>
        </w:trPr>
        <w:tc>
          <w:tcPr>
            <w:tcW w:w="1531" w:type="pct"/>
            <w:tcBorders>
              <w:top w:val="nil"/>
              <w:left w:val="nil"/>
              <w:bottom w:val="nil"/>
              <w:right w:val="nil"/>
            </w:tcBorders>
            <w:shd w:val="clear" w:color="auto" w:fill="auto"/>
            <w:vAlign w:val="center"/>
            <w:hideMark/>
          </w:tcPr>
          <w:p w14:paraId="2D84029F"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3C654A61" w14:textId="60738D1A" w:rsidR="003D3EC9" w:rsidRPr="00243179" w:rsidRDefault="003D3EC9" w:rsidP="0070497D">
            <w:pPr>
              <w:pStyle w:val="TableTextRight"/>
              <w:rPr>
                <w:lang w:eastAsia="en-AU"/>
              </w:rPr>
            </w:pPr>
            <w:r>
              <w:rPr>
                <w:rFonts w:ascii="Calibri" w:hAnsi="Calibri" w:cs="Calibri"/>
              </w:rPr>
              <w:t>0.7</w:t>
            </w:r>
          </w:p>
        </w:tc>
        <w:tc>
          <w:tcPr>
            <w:tcW w:w="578" w:type="pct"/>
            <w:tcBorders>
              <w:top w:val="nil"/>
              <w:left w:val="nil"/>
              <w:bottom w:val="nil"/>
              <w:right w:val="nil"/>
            </w:tcBorders>
            <w:shd w:val="clear" w:color="auto" w:fill="D2EDFF"/>
            <w:vAlign w:val="center"/>
            <w:hideMark/>
          </w:tcPr>
          <w:p w14:paraId="14E3430F" w14:textId="2AEC4816" w:rsidR="003D3EC9" w:rsidRPr="00243179" w:rsidRDefault="003D3EC9" w:rsidP="0070497D">
            <w:pPr>
              <w:pStyle w:val="TableTextRight"/>
              <w:rPr>
                <w:lang w:eastAsia="en-AU"/>
              </w:rPr>
            </w:pPr>
            <w:r>
              <w:rPr>
                <w:rFonts w:ascii="Calibri" w:hAnsi="Calibri" w:cs="Calibri"/>
              </w:rPr>
              <w:t>0.4</w:t>
            </w:r>
          </w:p>
        </w:tc>
        <w:tc>
          <w:tcPr>
            <w:tcW w:w="578" w:type="pct"/>
            <w:tcBorders>
              <w:top w:val="nil"/>
              <w:left w:val="nil"/>
              <w:bottom w:val="nil"/>
              <w:right w:val="nil"/>
            </w:tcBorders>
            <w:shd w:val="clear" w:color="auto" w:fill="auto"/>
            <w:vAlign w:val="center"/>
            <w:hideMark/>
          </w:tcPr>
          <w:p w14:paraId="6D90456D" w14:textId="31E9F96A" w:rsidR="003D3EC9" w:rsidRPr="00243179" w:rsidRDefault="003D3EC9" w:rsidP="0070497D">
            <w:pPr>
              <w:pStyle w:val="TableTextRight"/>
              <w:rPr>
                <w:lang w:eastAsia="en-AU"/>
              </w:rPr>
            </w:pPr>
            <w:r>
              <w:rPr>
                <w:rFonts w:ascii="Calibri" w:hAnsi="Calibri" w:cs="Calibri"/>
              </w:rPr>
              <w:t>0.4</w:t>
            </w:r>
          </w:p>
        </w:tc>
        <w:tc>
          <w:tcPr>
            <w:tcW w:w="578" w:type="pct"/>
            <w:tcBorders>
              <w:top w:val="nil"/>
              <w:left w:val="nil"/>
              <w:bottom w:val="nil"/>
              <w:right w:val="nil"/>
            </w:tcBorders>
            <w:shd w:val="clear" w:color="auto" w:fill="auto"/>
            <w:vAlign w:val="center"/>
            <w:hideMark/>
          </w:tcPr>
          <w:p w14:paraId="52C46287" w14:textId="6BBA037C" w:rsidR="003D3EC9" w:rsidRPr="00243179" w:rsidRDefault="003D3EC9" w:rsidP="0070497D">
            <w:pPr>
              <w:pStyle w:val="TableTextRight"/>
              <w:rPr>
                <w:lang w:eastAsia="en-AU"/>
              </w:rPr>
            </w:pPr>
            <w:r>
              <w:rPr>
                <w:rFonts w:ascii="Calibri" w:hAnsi="Calibri" w:cs="Calibri"/>
              </w:rPr>
              <w:t>0.2</w:t>
            </w:r>
          </w:p>
        </w:tc>
        <w:tc>
          <w:tcPr>
            <w:tcW w:w="578" w:type="pct"/>
            <w:tcBorders>
              <w:top w:val="nil"/>
              <w:left w:val="nil"/>
              <w:bottom w:val="nil"/>
              <w:right w:val="single" w:sz="4" w:space="0" w:color="auto"/>
            </w:tcBorders>
            <w:shd w:val="clear" w:color="auto" w:fill="auto"/>
            <w:vAlign w:val="center"/>
            <w:hideMark/>
          </w:tcPr>
          <w:p w14:paraId="5304BFAA" w14:textId="4C136372"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2</w:t>
            </w:r>
          </w:p>
        </w:tc>
        <w:tc>
          <w:tcPr>
            <w:tcW w:w="578" w:type="pct"/>
            <w:tcBorders>
              <w:top w:val="nil"/>
              <w:left w:val="nil"/>
              <w:bottom w:val="nil"/>
              <w:right w:val="nil"/>
            </w:tcBorders>
            <w:shd w:val="clear" w:color="auto" w:fill="auto"/>
            <w:vAlign w:val="center"/>
            <w:hideMark/>
          </w:tcPr>
          <w:p w14:paraId="7839C8CD" w14:textId="4E10C52C" w:rsidR="003D3EC9" w:rsidRPr="00243179" w:rsidRDefault="003D3EC9" w:rsidP="0070497D">
            <w:pPr>
              <w:pStyle w:val="TableTextRight"/>
              <w:rPr>
                <w:lang w:eastAsia="en-AU"/>
              </w:rPr>
            </w:pPr>
            <w:r>
              <w:rPr>
                <w:rFonts w:ascii="Calibri" w:hAnsi="Calibri" w:cs="Calibri"/>
              </w:rPr>
              <w:t>0.4</w:t>
            </w:r>
          </w:p>
        </w:tc>
      </w:tr>
      <w:tr w:rsidR="003D3EC9" w:rsidRPr="00243179" w14:paraId="57BD19D4" w14:textId="77777777" w:rsidTr="00916EF2">
        <w:trPr>
          <w:trHeight w:val="227"/>
        </w:trPr>
        <w:tc>
          <w:tcPr>
            <w:tcW w:w="1531" w:type="pct"/>
            <w:tcBorders>
              <w:top w:val="nil"/>
              <w:left w:val="nil"/>
              <w:bottom w:val="nil"/>
              <w:right w:val="nil"/>
            </w:tcBorders>
            <w:shd w:val="clear" w:color="auto" w:fill="auto"/>
            <w:vAlign w:val="center"/>
            <w:hideMark/>
          </w:tcPr>
          <w:p w14:paraId="3CF16382" w14:textId="06F4EEC2" w:rsidR="003D3EC9" w:rsidRPr="00243179" w:rsidRDefault="003D3EC9" w:rsidP="00C75089">
            <w:pPr>
              <w:pStyle w:val="TableColumnHeadingLeft"/>
            </w:pPr>
            <w:r w:rsidRPr="00243179">
              <w:t>Population growth (</w:t>
            </w:r>
            <w:r w:rsidR="00050D25">
              <w:t>‘</w:t>
            </w:r>
            <w:r w:rsidRPr="00243179">
              <w:t>000)</w:t>
            </w:r>
          </w:p>
        </w:tc>
        <w:tc>
          <w:tcPr>
            <w:tcW w:w="579" w:type="pct"/>
            <w:tcBorders>
              <w:top w:val="nil"/>
              <w:left w:val="nil"/>
              <w:bottom w:val="nil"/>
              <w:right w:val="nil"/>
            </w:tcBorders>
            <w:shd w:val="clear" w:color="auto" w:fill="auto"/>
            <w:vAlign w:val="center"/>
            <w:hideMark/>
          </w:tcPr>
          <w:p w14:paraId="138355BC"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D2EDFF"/>
            <w:vAlign w:val="center"/>
            <w:hideMark/>
          </w:tcPr>
          <w:p w14:paraId="307CC92A" w14:textId="7EBA667F"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E3E2F1E"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auto"/>
            <w:vAlign w:val="center"/>
            <w:hideMark/>
          </w:tcPr>
          <w:p w14:paraId="72A26A16" w14:textId="77777777" w:rsidR="003D3EC9" w:rsidRPr="00243179" w:rsidRDefault="003D3EC9" w:rsidP="0070497D">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5BCCC62D" w14:textId="6FEDC9D5"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59DB93AC" w14:textId="77777777" w:rsidR="003D3EC9" w:rsidRPr="00243179" w:rsidRDefault="003D3EC9" w:rsidP="0070497D">
            <w:pPr>
              <w:pStyle w:val="TableTextRight"/>
              <w:rPr>
                <w:lang w:eastAsia="en-AU"/>
              </w:rPr>
            </w:pPr>
          </w:p>
        </w:tc>
      </w:tr>
      <w:tr w:rsidR="003D3EC9" w:rsidRPr="00243179" w14:paraId="34971FB0" w14:textId="77777777" w:rsidTr="00916EF2">
        <w:trPr>
          <w:trHeight w:val="227"/>
        </w:trPr>
        <w:tc>
          <w:tcPr>
            <w:tcW w:w="1531" w:type="pct"/>
            <w:tcBorders>
              <w:top w:val="nil"/>
              <w:left w:val="nil"/>
              <w:bottom w:val="nil"/>
              <w:right w:val="nil"/>
            </w:tcBorders>
            <w:shd w:val="clear" w:color="auto" w:fill="auto"/>
            <w:vAlign w:val="center"/>
            <w:hideMark/>
          </w:tcPr>
          <w:p w14:paraId="0C94CCE2"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4384BF09" w14:textId="0749A5AD" w:rsidR="003D3EC9" w:rsidRPr="00243179" w:rsidRDefault="003D3EC9" w:rsidP="0070497D">
            <w:pPr>
              <w:pStyle w:val="TableTextRight"/>
              <w:rPr>
                <w:lang w:eastAsia="en-AU"/>
              </w:rPr>
            </w:pPr>
            <w:r>
              <w:rPr>
                <w:rFonts w:ascii="Calibri" w:hAnsi="Calibri" w:cs="Calibri"/>
              </w:rPr>
              <w:t>2.8</w:t>
            </w:r>
          </w:p>
        </w:tc>
        <w:tc>
          <w:tcPr>
            <w:tcW w:w="578" w:type="pct"/>
            <w:tcBorders>
              <w:top w:val="nil"/>
              <w:left w:val="nil"/>
              <w:bottom w:val="nil"/>
              <w:right w:val="nil"/>
            </w:tcBorders>
            <w:shd w:val="clear" w:color="auto" w:fill="D2EDFF"/>
            <w:vAlign w:val="center"/>
            <w:hideMark/>
          </w:tcPr>
          <w:p w14:paraId="56A19A4E" w14:textId="66768F78" w:rsidR="003D3EC9" w:rsidRPr="00243179" w:rsidRDefault="003D3EC9" w:rsidP="0070497D">
            <w:pPr>
              <w:pStyle w:val="TableTextRight"/>
              <w:rPr>
                <w:lang w:eastAsia="en-AU"/>
              </w:rPr>
            </w:pPr>
            <w:r>
              <w:rPr>
                <w:rFonts w:ascii="Calibri" w:hAnsi="Calibri" w:cs="Calibri"/>
              </w:rPr>
              <w:t>1.5</w:t>
            </w:r>
          </w:p>
        </w:tc>
        <w:tc>
          <w:tcPr>
            <w:tcW w:w="578" w:type="pct"/>
            <w:tcBorders>
              <w:top w:val="nil"/>
              <w:left w:val="nil"/>
              <w:bottom w:val="nil"/>
              <w:right w:val="nil"/>
            </w:tcBorders>
            <w:shd w:val="clear" w:color="auto" w:fill="auto"/>
            <w:vAlign w:val="center"/>
            <w:hideMark/>
          </w:tcPr>
          <w:p w14:paraId="10A97A9B" w14:textId="379D5935"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7</w:t>
            </w:r>
          </w:p>
        </w:tc>
        <w:tc>
          <w:tcPr>
            <w:tcW w:w="578" w:type="pct"/>
            <w:tcBorders>
              <w:top w:val="nil"/>
              <w:left w:val="nil"/>
              <w:bottom w:val="nil"/>
              <w:right w:val="nil"/>
            </w:tcBorders>
            <w:shd w:val="clear" w:color="auto" w:fill="auto"/>
            <w:vAlign w:val="center"/>
            <w:hideMark/>
          </w:tcPr>
          <w:p w14:paraId="50D13EBC" w14:textId="448A042F"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8</w:t>
            </w:r>
          </w:p>
        </w:tc>
        <w:tc>
          <w:tcPr>
            <w:tcW w:w="578" w:type="pct"/>
            <w:tcBorders>
              <w:top w:val="nil"/>
              <w:left w:val="nil"/>
              <w:bottom w:val="nil"/>
              <w:right w:val="single" w:sz="4" w:space="0" w:color="auto"/>
            </w:tcBorders>
            <w:shd w:val="clear" w:color="auto" w:fill="auto"/>
            <w:vAlign w:val="center"/>
            <w:hideMark/>
          </w:tcPr>
          <w:p w14:paraId="06609581" w14:textId="159BA5CE" w:rsidR="003D3EC9" w:rsidRPr="00243179" w:rsidRDefault="004368C9" w:rsidP="0070497D">
            <w:pPr>
              <w:pStyle w:val="TableTextRight"/>
              <w:rPr>
                <w:lang w:eastAsia="en-AU"/>
              </w:rPr>
            </w:pPr>
            <w:r>
              <w:rPr>
                <w:rFonts w:ascii="Calibri" w:hAnsi="Calibri" w:cs="Calibri"/>
              </w:rPr>
              <w:t>2.</w:t>
            </w:r>
            <w:r w:rsidR="006D2426">
              <w:rPr>
                <w:rFonts w:ascii="Calibri" w:hAnsi="Calibri" w:cs="Calibri"/>
              </w:rPr>
              <w:t>3</w:t>
            </w:r>
          </w:p>
        </w:tc>
        <w:tc>
          <w:tcPr>
            <w:tcW w:w="578" w:type="pct"/>
            <w:tcBorders>
              <w:top w:val="nil"/>
              <w:left w:val="nil"/>
              <w:bottom w:val="nil"/>
              <w:right w:val="nil"/>
            </w:tcBorders>
            <w:shd w:val="clear" w:color="auto" w:fill="auto"/>
            <w:vAlign w:val="center"/>
            <w:hideMark/>
          </w:tcPr>
          <w:p w14:paraId="42543C39" w14:textId="6DEBD6BB" w:rsidR="003D3EC9" w:rsidRPr="00243179" w:rsidRDefault="004368C9" w:rsidP="0070497D">
            <w:pPr>
              <w:pStyle w:val="TableTextRight"/>
              <w:rPr>
                <w:lang w:eastAsia="en-AU"/>
              </w:rPr>
            </w:pPr>
            <w:r>
              <w:rPr>
                <w:rFonts w:ascii="Calibri" w:hAnsi="Calibri" w:cs="Calibri"/>
              </w:rPr>
              <w:t>2.</w:t>
            </w:r>
            <w:r w:rsidR="006D2426">
              <w:rPr>
                <w:rFonts w:ascii="Calibri" w:hAnsi="Calibri" w:cs="Calibri"/>
              </w:rPr>
              <w:t>7</w:t>
            </w:r>
          </w:p>
        </w:tc>
      </w:tr>
      <w:tr w:rsidR="003D3EC9" w:rsidRPr="00243179" w14:paraId="7D1C73F5" w14:textId="77777777" w:rsidTr="00916EF2">
        <w:trPr>
          <w:trHeight w:val="227"/>
        </w:trPr>
        <w:tc>
          <w:tcPr>
            <w:tcW w:w="1531" w:type="pct"/>
            <w:tcBorders>
              <w:top w:val="nil"/>
              <w:left w:val="nil"/>
              <w:bottom w:val="nil"/>
              <w:right w:val="nil"/>
            </w:tcBorders>
            <w:shd w:val="clear" w:color="auto" w:fill="auto"/>
            <w:vAlign w:val="center"/>
            <w:hideMark/>
          </w:tcPr>
          <w:p w14:paraId="24A779A2"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47F1F565" w14:textId="224EA3C3" w:rsidR="003D3EC9" w:rsidRPr="00243179" w:rsidRDefault="003D3EC9" w:rsidP="0070497D">
            <w:pPr>
              <w:pStyle w:val="TableTextRight"/>
              <w:rPr>
                <w:lang w:eastAsia="en-AU"/>
              </w:rPr>
            </w:pPr>
            <w:r>
              <w:rPr>
                <w:rFonts w:ascii="Calibri" w:hAnsi="Calibri" w:cs="Calibri"/>
              </w:rPr>
              <w:t>1.6</w:t>
            </w:r>
          </w:p>
        </w:tc>
        <w:tc>
          <w:tcPr>
            <w:tcW w:w="578" w:type="pct"/>
            <w:tcBorders>
              <w:top w:val="nil"/>
              <w:left w:val="nil"/>
              <w:bottom w:val="nil"/>
              <w:right w:val="nil"/>
            </w:tcBorders>
            <w:shd w:val="clear" w:color="auto" w:fill="D2EDFF"/>
            <w:vAlign w:val="center"/>
            <w:hideMark/>
          </w:tcPr>
          <w:p w14:paraId="286010B7" w14:textId="4E65011B"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0</w:t>
            </w:r>
          </w:p>
        </w:tc>
        <w:tc>
          <w:tcPr>
            <w:tcW w:w="578" w:type="pct"/>
            <w:tcBorders>
              <w:top w:val="nil"/>
              <w:left w:val="nil"/>
              <w:bottom w:val="nil"/>
              <w:right w:val="nil"/>
            </w:tcBorders>
            <w:shd w:val="clear" w:color="auto" w:fill="auto"/>
            <w:vAlign w:val="center"/>
            <w:hideMark/>
          </w:tcPr>
          <w:p w14:paraId="086DFAF9" w14:textId="4F7FD56B"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3</w:t>
            </w:r>
          </w:p>
        </w:tc>
        <w:tc>
          <w:tcPr>
            <w:tcW w:w="578" w:type="pct"/>
            <w:tcBorders>
              <w:top w:val="nil"/>
              <w:left w:val="nil"/>
              <w:bottom w:val="nil"/>
              <w:right w:val="nil"/>
            </w:tcBorders>
            <w:shd w:val="clear" w:color="auto" w:fill="auto"/>
            <w:vAlign w:val="center"/>
            <w:hideMark/>
          </w:tcPr>
          <w:p w14:paraId="7E41E8A9" w14:textId="73D75A0A"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6</w:t>
            </w:r>
          </w:p>
        </w:tc>
        <w:tc>
          <w:tcPr>
            <w:tcW w:w="578" w:type="pct"/>
            <w:tcBorders>
              <w:top w:val="nil"/>
              <w:left w:val="nil"/>
              <w:bottom w:val="nil"/>
              <w:right w:val="single" w:sz="4" w:space="0" w:color="auto"/>
            </w:tcBorders>
            <w:shd w:val="clear" w:color="auto" w:fill="auto"/>
            <w:vAlign w:val="center"/>
            <w:hideMark/>
          </w:tcPr>
          <w:p w14:paraId="4187A32A" w14:textId="2A015C76" w:rsidR="003D3EC9" w:rsidRPr="00243179" w:rsidRDefault="004368C9" w:rsidP="0070497D">
            <w:pPr>
              <w:pStyle w:val="TableTextRight"/>
              <w:rPr>
                <w:lang w:eastAsia="en-AU"/>
              </w:rPr>
            </w:pPr>
            <w:r>
              <w:rPr>
                <w:rFonts w:ascii="Calibri" w:hAnsi="Calibri" w:cs="Calibri"/>
              </w:rPr>
              <w:t>2.</w:t>
            </w:r>
            <w:r w:rsidR="006D2426">
              <w:rPr>
                <w:rFonts w:ascii="Calibri" w:hAnsi="Calibri" w:cs="Calibri"/>
              </w:rPr>
              <w:t>2</w:t>
            </w:r>
          </w:p>
        </w:tc>
        <w:tc>
          <w:tcPr>
            <w:tcW w:w="578" w:type="pct"/>
            <w:tcBorders>
              <w:top w:val="nil"/>
              <w:left w:val="nil"/>
              <w:bottom w:val="nil"/>
              <w:right w:val="nil"/>
            </w:tcBorders>
            <w:shd w:val="clear" w:color="auto" w:fill="auto"/>
            <w:vAlign w:val="center"/>
            <w:hideMark/>
          </w:tcPr>
          <w:p w14:paraId="0B8B6132" w14:textId="1BA949BC" w:rsidR="003D3EC9" w:rsidRPr="00243179" w:rsidRDefault="004368C9" w:rsidP="0070497D">
            <w:pPr>
              <w:pStyle w:val="TableTextRight"/>
              <w:rPr>
                <w:lang w:eastAsia="en-AU"/>
              </w:rPr>
            </w:pPr>
            <w:r>
              <w:rPr>
                <w:rFonts w:ascii="Calibri" w:hAnsi="Calibri" w:cs="Calibri"/>
              </w:rPr>
              <w:t>2.</w:t>
            </w:r>
            <w:r w:rsidR="006D2426">
              <w:rPr>
                <w:rFonts w:ascii="Calibri" w:hAnsi="Calibri" w:cs="Calibri"/>
              </w:rPr>
              <w:t>3</w:t>
            </w:r>
          </w:p>
        </w:tc>
      </w:tr>
      <w:tr w:rsidR="003D3EC9" w:rsidRPr="00243179" w14:paraId="2BDC5A8D" w14:textId="77777777" w:rsidTr="00916EF2">
        <w:trPr>
          <w:trHeight w:val="227"/>
        </w:trPr>
        <w:tc>
          <w:tcPr>
            <w:tcW w:w="1531" w:type="pct"/>
            <w:tcBorders>
              <w:top w:val="nil"/>
              <w:left w:val="nil"/>
              <w:bottom w:val="nil"/>
              <w:right w:val="nil"/>
            </w:tcBorders>
            <w:shd w:val="clear" w:color="auto" w:fill="auto"/>
            <w:vAlign w:val="center"/>
            <w:hideMark/>
          </w:tcPr>
          <w:p w14:paraId="47997211"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64B9DDF3" w14:textId="33153B4D" w:rsidR="003D3EC9" w:rsidRPr="00243179" w:rsidRDefault="003D3EC9" w:rsidP="0070497D">
            <w:pPr>
              <w:pStyle w:val="TableTextRight"/>
              <w:rPr>
                <w:lang w:eastAsia="en-AU"/>
              </w:rPr>
            </w:pPr>
            <w:r>
              <w:rPr>
                <w:rFonts w:ascii="Calibri" w:hAnsi="Calibri" w:cs="Calibri"/>
              </w:rPr>
              <w:t>0.7</w:t>
            </w:r>
          </w:p>
        </w:tc>
        <w:tc>
          <w:tcPr>
            <w:tcW w:w="578" w:type="pct"/>
            <w:tcBorders>
              <w:top w:val="nil"/>
              <w:left w:val="nil"/>
              <w:bottom w:val="nil"/>
              <w:right w:val="nil"/>
            </w:tcBorders>
            <w:shd w:val="clear" w:color="auto" w:fill="D2EDFF"/>
            <w:vAlign w:val="center"/>
            <w:hideMark/>
          </w:tcPr>
          <w:p w14:paraId="4984A312" w14:textId="5F366442" w:rsidR="003D3EC9" w:rsidRPr="00243179" w:rsidRDefault="003D3EC9" w:rsidP="0070497D">
            <w:pPr>
              <w:pStyle w:val="TableTextRight"/>
              <w:rPr>
                <w:lang w:eastAsia="en-AU"/>
              </w:rPr>
            </w:pPr>
            <w:r>
              <w:rPr>
                <w:rFonts w:ascii="Calibri" w:hAnsi="Calibri" w:cs="Calibri"/>
              </w:rPr>
              <w:t>0.4</w:t>
            </w:r>
          </w:p>
        </w:tc>
        <w:tc>
          <w:tcPr>
            <w:tcW w:w="578" w:type="pct"/>
            <w:tcBorders>
              <w:top w:val="nil"/>
              <w:left w:val="nil"/>
              <w:bottom w:val="nil"/>
              <w:right w:val="nil"/>
            </w:tcBorders>
            <w:shd w:val="clear" w:color="auto" w:fill="auto"/>
            <w:vAlign w:val="center"/>
            <w:hideMark/>
          </w:tcPr>
          <w:p w14:paraId="0070C3AF" w14:textId="5AFF0E53"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5</w:t>
            </w:r>
          </w:p>
        </w:tc>
        <w:tc>
          <w:tcPr>
            <w:tcW w:w="578" w:type="pct"/>
            <w:tcBorders>
              <w:top w:val="nil"/>
              <w:left w:val="nil"/>
              <w:bottom w:val="nil"/>
              <w:right w:val="nil"/>
            </w:tcBorders>
            <w:shd w:val="clear" w:color="auto" w:fill="auto"/>
            <w:vAlign w:val="center"/>
            <w:hideMark/>
          </w:tcPr>
          <w:p w14:paraId="010FB166" w14:textId="68CFE26A" w:rsidR="003D3EC9" w:rsidRPr="00243179" w:rsidRDefault="003D3EC9" w:rsidP="0070497D">
            <w:pPr>
              <w:pStyle w:val="TableTextRight"/>
              <w:rPr>
                <w:lang w:eastAsia="en-AU"/>
              </w:rPr>
            </w:pPr>
            <w:r>
              <w:rPr>
                <w:rFonts w:ascii="Calibri" w:hAnsi="Calibri" w:cs="Calibri"/>
              </w:rPr>
              <w:t>0.2</w:t>
            </w:r>
          </w:p>
        </w:tc>
        <w:tc>
          <w:tcPr>
            <w:tcW w:w="578" w:type="pct"/>
            <w:tcBorders>
              <w:top w:val="nil"/>
              <w:left w:val="nil"/>
              <w:bottom w:val="nil"/>
              <w:right w:val="single" w:sz="4" w:space="0" w:color="auto"/>
            </w:tcBorders>
            <w:shd w:val="clear" w:color="auto" w:fill="auto"/>
            <w:vAlign w:val="center"/>
            <w:hideMark/>
          </w:tcPr>
          <w:p w14:paraId="52153899" w14:textId="1D4831B4"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2</w:t>
            </w:r>
          </w:p>
        </w:tc>
        <w:tc>
          <w:tcPr>
            <w:tcW w:w="578" w:type="pct"/>
            <w:tcBorders>
              <w:top w:val="nil"/>
              <w:left w:val="nil"/>
              <w:bottom w:val="nil"/>
              <w:right w:val="nil"/>
            </w:tcBorders>
            <w:shd w:val="clear" w:color="auto" w:fill="auto"/>
            <w:vAlign w:val="center"/>
            <w:hideMark/>
          </w:tcPr>
          <w:p w14:paraId="132920CF" w14:textId="35B0232C" w:rsidR="003D3EC9" w:rsidRPr="00243179" w:rsidRDefault="003D3EC9" w:rsidP="0070497D">
            <w:pPr>
              <w:pStyle w:val="TableTextRight"/>
              <w:rPr>
                <w:lang w:eastAsia="en-AU"/>
              </w:rPr>
            </w:pPr>
            <w:r>
              <w:rPr>
                <w:rFonts w:ascii="Calibri" w:hAnsi="Calibri" w:cs="Calibri"/>
              </w:rPr>
              <w:t>0.5</w:t>
            </w:r>
          </w:p>
        </w:tc>
      </w:tr>
      <w:tr w:rsidR="003D3EC9" w:rsidRPr="00243179" w14:paraId="16A7F240" w14:textId="77777777" w:rsidTr="00916EF2">
        <w:trPr>
          <w:trHeight w:val="227"/>
        </w:trPr>
        <w:tc>
          <w:tcPr>
            <w:tcW w:w="1531" w:type="pct"/>
            <w:tcBorders>
              <w:top w:val="single" w:sz="4" w:space="0" w:color="auto"/>
              <w:left w:val="nil"/>
              <w:bottom w:val="nil"/>
              <w:right w:val="nil"/>
            </w:tcBorders>
            <w:shd w:val="clear" w:color="auto" w:fill="auto"/>
            <w:vAlign w:val="center"/>
            <w:hideMark/>
          </w:tcPr>
          <w:p w14:paraId="3F8A9349" w14:textId="09250B5E" w:rsidR="003D3EC9" w:rsidRPr="00243179" w:rsidRDefault="003D3EC9" w:rsidP="00C75089">
            <w:pPr>
              <w:pStyle w:val="TableColumnHeadingLeft"/>
            </w:pPr>
            <w:r w:rsidRPr="00243179">
              <w:t>Natural increase (</w:t>
            </w:r>
            <w:r w:rsidR="00050D25">
              <w:t>‘</w:t>
            </w:r>
            <w:r w:rsidRPr="00243179">
              <w:t>000)</w:t>
            </w:r>
          </w:p>
        </w:tc>
        <w:tc>
          <w:tcPr>
            <w:tcW w:w="579" w:type="pct"/>
            <w:tcBorders>
              <w:top w:val="single" w:sz="4" w:space="0" w:color="auto"/>
              <w:left w:val="nil"/>
              <w:bottom w:val="nil"/>
              <w:right w:val="nil"/>
            </w:tcBorders>
            <w:shd w:val="clear" w:color="auto" w:fill="auto"/>
            <w:vAlign w:val="center"/>
            <w:hideMark/>
          </w:tcPr>
          <w:p w14:paraId="42413CF9" w14:textId="236CA995"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D2EDFF"/>
            <w:vAlign w:val="center"/>
            <w:hideMark/>
          </w:tcPr>
          <w:p w14:paraId="5BCCF40C" w14:textId="4E4196D6"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60BB5729" w14:textId="6D8A7FAD"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0E0BA1D4" w14:textId="4071A506"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single" w:sz="4" w:space="0" w:color="auto"/>
            </w:tcBorders>
            <w:shd w:val="clear" w:color="auto" w:fill="auto"/>
            <w:vAlign w:val="center"/>
            <w:hideMark/>
          </w:tcPr>
          <w:p w14:paraId="6F4C0500" w14:textId="1424E3AA"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5268B9AD" w14:textId="0DD31097" w:rsidR="003D3EC9" w:rsidRPr="00243179" w:rsidRDefault="003D3EC9" w:rsidP="0070497D">
            <w:pPr>
              <w:pStyle w:val="TableTextRight"/>
              <w:rPr>
                <w:lang w:eastAsia="en-AU"/>
              </w:rPr>
            </w:pPr>
            <w:r>
              <w:rPr>
                <w:rFonts w:ascii="Calibri" w:hAnsi="Calibri" w:cs="Calibri"/>
              </w:rPr>
              <w:t> </w:t>
            </w:r>
          </w:p>
        </w:tc>
      </w:tr>
      <w:tr w:rsidR="003D3EC9" w:rsidRPr="00243179" w14:paraId="3C837396" w14:textId="77777777" w:rsidTr="00916EF2">
        <w:trPr>
          <w:trHeight w:val="227"/>
        </w:trPr>
        <w:tc>
          <w:tcPr>
            <w:tcW w:w="1531" w:type="pct"/>
            <w:tcBorders>
              <w:top w:val="nil"/>
              <w:left w:val="nil"/>
              <w:bottom w:val="nil"/>
              <w:right w:val="nil"/>
            </w:tcBorders>
            <w:shd w:val="clear" w:color="auto" w:fill="auto"/>
            <w:vAlign w:val="center"/>
            <w:hideMark/>
          </w:tcPr>
          <w:p w14:paraId="440530E8"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1631FBD7" w14:textId="54AF0E60" w:rsidR="003D3EC9" w:rsidRPr="00243179" w:rsidRDefault="003D3EC9" w:rsidP="0070497D">
            <w:pPr>
              <w:pStyle w:val="TableTextRight"/>
              <w:rPr>
                <w:lang w:eastAsia="en-AU"/>
              </w:rPr>
            </w:pPr>
            <w:r>
              <w:rPr>
                <w:rFonts w:ascii="Calibri" w:hAnsi="Calibri" w:cs="Calibri"/>
              </w:rPr>
              <w:t>2.2</w:t>
            </w:r>
          </w:p>
        </w:tc>
        <w:tc>
          <w:tcPr>
            <w:tcW w:w="578" w:type="pct"/>
            <w:tcBorders>
              <w:top w:val="nil"/>
              <w:left w:val="nil"/>
              <w:bottom w:val="nil"/>
              <w:right w:val="nil"/>
            </w:tcBorders>
            <w:shd w:val="clear" w:color="auto" w:fill="D2EDFF"/>
            <w:vAlign w:val="center"/>
            <w:hideMark/>
          </w:tcPr>
          <w:p w14:paraId="16972C7E" w14:textId="2D15F8A2" w:rsidR="003D3EC9" w:rsidRPr="00243179" w:rsidRDefault="003D3EC9" w:rsidP="0070497D">
            <w:pPr>
              <w:pStyle w:val="TableTextRight"/>
              <w:rPr>
                <w:lang w:eastAsia="en-AU"/>
              </w:rPr>
            </w:pPr>
            <w:r>
              <w:rPr>
                <w:rFonts w:ascii="Calibri" w:hAnsi="Calibri" w:cs="Calibri"/>
              </w:rPr>
              <w:t>2.2</w:t>
            </w:r>
          </w:p>
        </w:tc>
        <w:tc>
          <w:tcPr>
            <w:tcW w:w="578" w:type="pct"/>
            <w:tcBorders>
              <w:top w:val="nil"/>
              <w:left w:val="nil"/>
              <w:bottom w:val="nil"/>
              <w:right w:val="nil"/>
            </w:tcBorders>
            <w:shd w:val="clear" w:color="auto" w:fill="auto"/>
            <w:vAlign w:val="center"/>
            <w:hideMark/>
          </w:tcPr>
          <w:p w14:paraId="409298E4" w14:textId="214B6982" w:rsidR="003D3EC9" w:rsidRPr="00243179" w:rsidRDefault="003D3EC9" w:rsidP="0070497D">
            <w:pPr>
              <w:pStyle w:val="TableTextRight"/>
              <w:rPr>
                <w:lang w:eastAsia="en-AU"/>
              </w:rPr>
            </w:pPr>
            <w:r>
              <w:rPr>
                <w:rFonts w:ascii="Calibri" w:hAnsi="Calibri" w:cs="Calibri"/>
              </w:rPr>
              <w:t>2.2</w:t>
            </w:r>
          </w:p>
        </w:tc>
        <w:tc>
          <w:tcPr>
            <w:tcW w:w="578" w:type="pct"/>
            <w:tcBorders>
              <w:top w:val="nil"/>
              <w:left w:val="nil"/>
              <w:bottom w:val="nil"/>
              <w:right w:val="nil"/>
            </w:tcBorders>
            <w:shd w:val="clear" w:color="auto" w:fill="auto"/>
            <w:vAlign w:val="center"/>
            <w:hideMark/>
          </w:tcPr>
          <w:p w14:paraId="530048BB" w14:textId="67F34932" w:rsidR="003D3EC9" w:rsidRPr="00243179" w:rsidRDefault="003D3EC9" w:rsidP="0070497D">
            <w:pPr>
              <w:pStyle w:val="TableTextRight"/>
              <w:rPr>
                <w:lang w:eastAsia="en-AU"/>
              </w:rPr>
            </w:pPr>
            <w:r>
              <w:rPr>
                <w:rFonts w:ascii="Calibri" w:hAnsi="Calibri" w:cs="Calibri"/>
              </w:rPr>
              <w:t>2.3</w:t>
            </w:r>
          </w:p>
        </w:tc>
        <w:tc>
          <w:tcPr>
            <w:tcW w:w="578" w:type="pct"/>
            <w:tcBorders>
              <w:top w:val="nil"/>
              <w:left w:val="nil"/>
              <w:bottom w:val="nil"/>
              <w:right w:val="single" w:sz="4" w:space="0" w:color="auto"/>
            </w:tcBorders>
            <w:shd w:val="clear" w:color="auto" w:fill="auto"/>
            <w:vAlign w:val="center"/>
            <w:hideMark/>
          </w:tcPr>
          <w:p w14:paraId="4CF308F9" w14:textId="28A97E31" w:rsidR="003D3EC9" w:rsidRPr="00243179" w:rsidRDefault="003D3EC9" w:rsidP="0070497D">
            <w:pPr>
              <w:pStyle w:val="TableTextRight"/>
              <w:rPr>
                <w:lang w:eastAsia="en-AU"/>
              </w:rPr>
            </w:pPr>
            <w:r>
              <w:rPr>
                <w:rFonts w:ascii="Calibri" w:hAnsi="Calibri" w:cs="Calibri"/>
              </w:rPr>
              <w:t>2.3</w:t>
            </w:r>
          </w:p>
        </w:tc>
        <w:tc>
          <w:tcPr>
            <w:tcW w:w="578" w:type="pct"/>
            <w:tcBorders>
              <w:top w:val="nil"/>
              <w:left w:val="nil"/>
              <w:bottom w:val="nil"/>
              <w:right w:val="nil"/>
            </w:tcBorders>
            <w:shd w:val="clear" w:color="auto" w:fill="auto"/>
            <w:vAlign w:val="center"/>
            <w:hideMark/>
          </w:tcPr>
          <w:p w14:paraId="22AC0689" w14:textId="7FB33914" w:rsidR="003D3EC9" w:rsidRPr="00243179" w:rsidRDefault="003D3EC9" w:rsidP="0070497D">
            <w:pPr>
              <w:pStyle w:val="TableTextRight"/>
              <w:rPr>
                <w:lang w:eastAsia="en-AU"/>
              </w:rPr>
            </w:pPr>
            <w:r>
              <w:rPr>
                <w:rFonts w:ascii="Calibri" w:hAnsi="Calibri" w:cs="Calibri"/>
              </w:rPr>
              <w:t>2.4</w:t>
            </w:r>
          </w:p>
        </w:tc>
      </w:tr>
      <w:tr w:rsidR="003D3EC9" w:rsidRPr="00243179" w14:paraId="377ADD04" w14:textId="77777777" w:rsidTr="00916EF2">
        <w:trPr>
          <w:trHeight w:val="227"/>
        </w:trPr>
        <w:tc>
          <w:tcPr>
            <w:tcW w:w="1531" w:type="pct"/>
            <w:tcBorders>
              <w:top w:val="nil"/>
              <w:left w:val="nil"/>
              <w:bottom w:val="nil"/>
              <w:right w:val="nil"/>
            </w:tcBorders>
            <w:shd w:val="clear" w:color="auto" w:fill="auto"/>
            <w:vAlign w:val="center"/>
            <w:hideMark/>
          </w:tcPr>
          <w:p w14:paraId="19F615B7"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10ABC741" w14:textId="695C0AF2" w:rsidR="003D3EC9" w:rsidRPr="00243179" w:rsidRDefault="003D3EC9" w:rsidP="0070497D">
            <w:pPr>
              <w:pStyle w:val="TableTextRight"/>
              <w:rPr>
                <w:lang w:eastAsia="en-AU"/>
              </w:rPr>
            </w:pPr>
            <w:r>
              <w:rPr>
                <w:rFonts w:ascii="Calibri" w:hAnsi="Calibri" w:cs="Calibri"/>
              </w:rPr>
              <w:t>1.4</w:t>
            </w:r>
          </w:p>
        </w:tc>
        <w:tc>
          <w:tcPr>
            <w:tcW w:w="578" w:type="pct"/>
            <w:tcBorders>
              <w:top w:val="nil"/>
              <w:left w:val="nil"/>
              <w:bottom w:val="nil"/>
              <w:right w:val="nil"/>
            </w:tcBorders>
            <w:shd w:val="clear" w:color="auto" w:fill="D2EDFF"/>
            <w:vAlign w:val="center"/>
            <w:hideMark/>
          </w:tcPr>
          <w:p w14:paraId="2907BDD0" w14:textId="6B7BE3AF" w:rsidR="003D3EC9" w:rsidRPr="00243179" w:rsidRDefault="003D3EC9" w:rsidP="0070497D">
            <w:pPr>
              <w:pStyle w:val="TableTextRight"/>
              <w:rPr>
                <w:lang w:eastAsia="en-AU"/>
              </w:rPr>
            </w:pPr>
            <w:r>
              <w:rPr>
                <w:rFonts w:ascii="Calibri" w:hAnsi="Calibri" w:cs="Calibri"/>
              </w:rPr>
              <w:t>1.3</w:t>
            </w:r>
          </w:p>
        </w:tc>
        <w:tc>
          <w:tcPr>
            <w:tcW w:w="578" w:type="pct"/>
            <w:tcBorders>
              <w:top w:val="nil"/>
              <w:left w:val="nil"/>
              <w:bottom w:val="nil"/>
              <w:right w:val="nil"/>
            </w:tcBorders>
            <w:shd w:val="clear" w:color="auto" w:fill="auto"/>
            <w:vAlign w:val="center"/>
            <w:hideMark/>
          </w:tcPr>
          <w:p w14:paraId="2909AD0E" w14:textId="01B14025" w:rsidR="003D3EC9" w:rsidRPr="00243179" w:rsidRDefault="003D3EC9" w:rsidP="0070497D">
            <w:pPr>
              <w:pStyle w:val="TableTextRight"/>
              <w:rPr>
                <w:lang w:eastAsia="en-AU"/>
              </w:rPr>
            </w:pPr>
            <w:r>
              <w:rPr>
                <w:rFonts w:ascii="Calibri" w:hAnsi="Calibri" w:cs="Calibri"/>
              </w:rPr>
              <w:t>1.4</w:t>
            </w:r>
          </w:p>
        </w:tc>
        <w:tc>
          <w:tcPr>
            <w:tcW w:w="578" w:type="pct"/>
            <w:tcBorders>
              <w:top w:val="nil"/>
              <w:left w:val="nil"/>
              <w:bottom w:val="nil"/>
              <w:right w:val="nil"/>
            </w:tcBorders>
            <w:shd w:val="clear" w:color="auto" w:fill="auto"/>
            <w:vAlign w:val="center"/>
            <w:hideMark/>
          </w:tcPr>
          <w:p w14:paraId="7340B96A" w14:textId="1866D86A" w:rsidR="003D3EC9" w:rsidRPr="00243179" w:rsidRDefault="003D3EC9" w:rsidP="0070497D">
            <w:pPr>
              <w:pStyle w:val="TableTextRight"/>
              <w:rPr>
                <w:lang w:eastAsia="en-AU"/>
              </w:rPr>
            </w:pPr>
            <w:r>
              <w:rPr>
                <w:rFonts w:ascii="Calibri" w:hAnsi="Calibri" w:cs="Calibri"/>
              </w:rPr>
              <w:t>1.4</w:t>
            </w:r>
          </w:p>
        </w:tc>
        <w:tc>
          <w:tcPr>
            <w:tcW w:w="578" w:type="pct"/>
            <w:tcBorders>
              <w:top w:val="nil"/>
              <w:left w:val="nil"/>
              <w:bottom w:val="nil"/>
              <w:right w:val="single" w:sz="4" w:space="0" w:color="auto"/>
            </w:tcBorders>
            <w:shd w:val="clear" w:color="auto" w:fill="auto"/>
            <w:vAlign w:val="center"/>
            <w:hideMark/>
          </w:tcPr>
          <w:p w14:paraId="151614B7" w14:textId="75733DFE" w:rsidR="003D3EC9" w:rsidRPr="00243179" w:rsidRDefault="003D3EC9" w:rsidP="0070497D">
            <w:pPr>
              <w:pStyle w:val="TableTextRight"/>
              <w:rPr>
                <w:lang w:eastAsia="en-AU"/>
              </w:rPr>
            </w:pPr>
            <w:r>
              <w:rPr>
                <w:rFonts w:ascii="Calibri" w:hAnsi="Calibri" w:cs="Calibri"/>
              </w:rPr>
              <w:t>1.4</w:t>
            </w:r>
          </w:p>
        </w:tc>
        <w:tc>
          <w:tcPr>
            <w:tcW w:w="578" w:type="pct"/>
            <w:tcBorders>
              <w:top w:val="nil"/>
              <w:left w:val="nil"/>
              <w:bottom w:val="nil"/>
              <w:right w:val="nil"/>
            </w:tcBorders>
            <w:shd w:val="clear" w:color="auto" w:fill="auto"/>
            <w:vAlign w:val="center"/>
            <w:hideMark/>
          </w:tcPr>
          <w:p w14:paraId="0B25780A" w14:textId="604AA696" w:rsidR="003D3EC9" w:rsidRPr="00243179" w:rsidRDefault="003D3EC9" w:rsidP="0070497D">
            <w:pPr>
              <w:pStyle w:val="TableTextRight"/>
              <w:rPr>
                <w:lang w:eastAsia="en-AU"/>
              </w:rPr>
            </w:pPr>
            <w:r>
              <w:rPr>
                <w:rFonts w:ascii="Calibri" w:hAnsi="Calibri" w:cs="Calibri"/>
              </w:rPr>
              <w:t>1.5</w:t>
            </w:r>
          </w:p>
        </w:tc>
      </w:tr>
      <w:tr w:rsidR="003D3EC9" w:rsidRPr="00243179" w14:paraId="2D1AAAB7" w14:textId="77777777" w:rsidTr="00916EF2">
        <w:trPr>
          <w:trHeight w:val="227"/>
        </w:trPr>
        <w:tc>
          <w:tcPr>
            <w:tcW w:w="1531" w:type="pct"/>
            <w:tcBorders>
              <w:top w:val="nil"/>
              <w:left w:val="nil"/>
              <w:bottom w:val="nil"/>
              <w:right w:val="nil"/>
            </w:tcBorders>
            <w:shd w:val="clear" w:color="auto" w:fill="auto"/>
            <w:vAlign w:val="center"/>
            <w:hideMark/>
          </w:tcPr>
          <w:p w14:paraId="7F7DC3EE"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16D28DBB" w14:textId="469A082A" w:rsidR="003D3EC9" w:rsidRPr="00243179" w:rsidRDefault="003D3EC9" w:rsidP="0070497D">
            <w:pPr>
              <w:pStyle w:val="TableTextRight"/>
              <w:rPr>
                <w:lang w:eastAsia="en-AU"/>
              </w:rPr>
            </w:pPr>
            <w:r>
              <w:rPr>
                <w:rFonts w:ascii="Calibri" w:hAnsi="Calibri" w:cs="Calibri"/>
              </w:rPr>
              <w:t>0.8</w:t>
            </w:r>
          </w:p>
        </w:tc>
        <w:tc>
          <w:tcPr>
            <w:tcW w:w="578" w:type="pct"/>
            <w:tcBorders>
              <w:top w:val="nil"/>
              <w:left w:val="nil"/>
              <w:bottom w:val="nil"/>
              <w:right w:val="nil"/>
            </w:tcBorders>
            <w:shd w:val="clear" w:color="auto" w:fill="D2EDFF"/>
            <w:vAlign w:val="center"/>
            <w:hideMark/>
          </w:tcPr>
          <w:p w14:paraId="2693F39C" w14:textId="656FBFDE" w:rsidR="003D3EC9" w:rsidRPr="00243179" w:rsidRDefault="003D3EC9" w:rsidP="0070497D">
            <w:pPr>
              <w:pStyle w:val="TableTextRight"/>
              <w:rPr>
                <w:lang w:eastAsia="en-AU"/>
              </w:rPr>
            </w:pPr>
            <w:r>
              <w:rPr>
                <w:rFonts w:ascii="Calibri" w:hAnsi="Calibri" w:cs="Calibri"/>
              </w:rPr>
              <w:t>0.9</w:t>
            </w:r>
          </w:p>
        </w:tc>
        <w:tc>
          <w:tcPr>
            <w:tcW w:w="578" w:type="pct"/>
            <w:tcBorders>
              <w:top w:val="nil"/>
              <w:left w:val="nil"/>
              <w:bottom w:val="nil"/>
              <w:right w:val="nil"/>
            </w:tcBorders>
            <w:shd w:val="clear" w:color="auto" w:fill="auto"/>
            <w:vAlign w:val="center"/>
            <w:hideMark/>
          </w:tcPr>
          <w:p w14:paraId="14F575C0" w14:textId="7B227269" w:rsidR="003D3EC9" w:rsidRPr="00243179" w:rsidRDefault="003D3EC9" w:rsidP="0070497D">
            <w:pPr>
              <w:pStyle w:val="TableTextRight"/>
              <w:rPr>
                <w:lang w:eastAsia="en-AU"/>
              </w:rPr>
            </w:pPr>
            <w:r>
              <w:rPr>
                <w:rFonts w:ascii="Calibri" w:hAnsi="Calibri" w:cs="Calibri"/>
              </w:rPr>
              <w:t>0.9</w:t>
            </w:r>
          </w:p>
        </w:tc>
        <w:tc>
          <w:tcPr>
            <w:tcW w:w="578" w:type="pct"/>
            <w:tcBorders>
              <w:top w:val="nil"/>
              <w:left w:val="nil"/>
              <w:bottom w:val="nil"/>
              <w:right w:val="nil"/>
            </w:tcBorders>
            <w:shd w:val="clear" w:color="auto" w:fill="auto"/>
            <w:vAlign w:val="center"/>
            <w:hideMark/>
          </w:tcPr>
          <w:p w14:paraId="27B30491" w14:textId="648DC025" w:rsidR="003D3EC9" w:rsidRPr="00243179" w:rsidRDefault="003D3EC9" w:rsidP="0070497D">
            <w:pPr>
              <w:pStyle w:val="TableTextRight"/>
              <w:rPr>
                <w:lang w:eastAsia="en-AU"/>
              </w:rPr>
            </w:pPr>
            <w:r>
              <w:rPr>
                <w:rFonts w:ascii="Calibri" w:hAnsi="Calibri" w:cs="Calibri"/>
              </w:rPr>
              <w:t>0.9</w:t>
            </w:r>
          </w:p>
        </w:tc>
        <w:tc>
          <w:tcPr>
            <w:tcW w:w="578" w:type="pct"/>
            <w:tcBorders>
              <w:top w:val="nil"/>
              <w:left w:val="nil"/>
              <w:bottom w:val="nil"/>
              <w:right w:val="single" w:sz="4" w:space="0" w:color="auto"/>
            </w:tcBorders>
            <w:shd w:val="clear" w:color="auto" w:fill="auto"/>
            <w:vAlign w:val="center"/>
            <w:hideMark/>
          </w:tcPr>
          <w:p w14:paraId="19C302E6" w14:textId="0A9E557B" w:rsidR="003D3EC9" w:rsidRPr="00243179" w:rsidRDefault="003D3EC9" w:rsidP="0070497D">
            <w:pPr>
              <w:pStyle w:val="TableTextRight"/>
              <w:rPr>
                <w:lang w:eastAsia="en-AU"/>
              </w:rPr>
            </w:pPr>
            <w:r>
              <w:rPr>
                <w:rFonts w:ascii="Calibri" w:hAnsi="Calibri" w:cs="Calibri"/>
              </w:rPr>
              <w:t>0.9</w:t>
            </w:r>
          </w:p>
        </w:tc>
        <w:tc>
          <w:tcPr>
            <w:tcW w:w="578" w:type="pct"/>
            <w:tcBorders>
              <w:top w:val="nil"/>
              <w:left w:val="nil"/>
              <w:bottom w:val="nil"/>
              <w:right w:val="nil"/>
            </w:tcBorders>
            <w:shd w:val="clear" w:color="auto" w:fill="auto"/>
            <w:vAlign w:val="center"/>
            <w:hideMark/>
          </w:tcPr>
          <w:p w14:paraId="6952EB52" w14:textId="3A914CCB" w:rsidR="003D3EC9" w:rsidRPr="00243179" w:rsidRDefault="003D3EC9" w:rsidP="0070497D">
            <w:pPr>
              <w:pStyle w:val="TableTextRight"/>
              <w:rPr>
                <w:lang w:eastAsia="en-AU"/>
              </w:rPr>
            </w:pPr>
            <w:r>
              <w:rPr>
                <w:rFonts w:ascii="Calibri" w:hAnsi="Calibri" w:cs="Calibri"/>
              </w:rPr>
              <w:t>0.9</w:t>
            </w:r>
          </w:p>
        </w:tc>
      </w:tr>
      <w:tr w:rsidR="003D3EC9" w:rsidRPr="00243179" w14:paraId="7D0C0197" w14:textId="77777777" w:rsidTr="00916EF2">
        <w:trPr>
          <w:trHeight w:val="227"/>
        </w:trPr>
        <w:tc>
          <w:tcPr>
            <w:tcW w:w="1531" w:type="pct"/>
            <w:tcBorders>
              <w:top w:val="nil"/>
              <w:left w:val="nil"/>
              <w:bottom w:val="nil"/>
              <w:right w:val="nil"/>
            </w:tcBorders>
            <w:shd w:val="clear" w:color="auto" w:fill="auto"/>
            <w:vAlign w:val="center"/>
            <w:hideMark/>
          </w:tcPr>
          <w:p w14:paraId="731406F8" w14:textId="2A2F70B2" w:rsidR="003D3EC9" w:rsidRPr="00243179" w:rsidRDefault="003D3EC9" w:rsidP="00C75089">
            <w:pPr>
              <w:pStyle w:val="TableColumnHeadingLeft"/>
            </w:pPr>
            <w:r w:rsidRPr="00243179">
              <w:t>Net overseas migration (</w:t>
            </w:r>
            <w:r w:rsidR="00050D25">
              <w:t>‘</w:t>
            </w:r>
            <w:r w:rsidRPr="00243179">
              <w:t>000)</w:t>
            </w:r>
          </w:p>
        </w:tc>
        <w:tc>
          <w:tcPr>
            <w:tcW w:w="579" w:type="pct"/>
            <w:tcBorders>
              <w:top w:val="nil"/>
              <w:left w:val="nil"/>
              <w:bottom w:val="nil"/>
              <w:right w:val="nil"/>
            </w:tcBorders>
            <w:shd w:val="clear" w:color="auto" w:fill="auto"/>
            <w:vAlign w:val="center"/>
            <w:hideMark/>
          </w:tcPr>
          <w:p w14:paraId="625C45C9"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D2EDFF"/>
            <w:vAlign w:val="center"/>
            <w:hideMark/>
          </w:tcPr>
          <w:p w14:paraId="08EE2D3A" w14:textId="5784349E"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449D18E"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auto"/>
            <w:vAlign w:val="center"/>
            <w:hideMark/>
          </w:tcPr>
          <w:p w14:paraId="0EF8F301" w14:textId="77777777" w:rsidR="003D3EC9" w:rsidRPr="00243179" w:rsidRDefault="003D3EC9" w:rsidP="0070497D">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7F8F2C99" w14:textId="01144F25"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32AEF579" w14:textId="77777777" w:rsidR="003D3EC9" w:rsidRPr="00243179" w:rsidRDefault="003D3EC9" w:rsidP="0070497D">
            <w:pPr>
              <w:pStyle w:val="TableTextRight"/>
              <w:rPr>
                <w:lang w:eastAsia="en-AU"/>
              </w:rPr>
            </w:pPr>
          </w:p>
        </w:tc>
      </w:tr>
      <w:tr w:rsidR="003D3EC9" w:rsidRPr="00243179" w14:paraId="542FD417" w14:textId="77777777" w:rsidTr="00916EF2">
        <w:trPr>
          <w:trHeight w:val="227"/>
        </w:trPr>
        <w:tc>
          <w:tcPr>
            <w:tcW w:w="1531" w:type="pct"/>
            <w:tcBorders>
              <w:top w:val="nil"/>
              <w:left w:val="nil"/>
              <w:bottom w:val="nil"/>
              <w:right w:val="nil"/>
            </w:tcBorders>
            <w:shd w:val="clear" w:color="auto" w:fill="auto"/>
            <w:vAlign w:val="center"/>
            <w:hideMark/>
          </w:tcPr>
          <w:p w14:paraId="50A5E781"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07AF1E34" w14:textId="6FCAC4B6" w:rsidR="003D3EC9" w:rsidRPr="00243179" w:rsidRDefault="003D3EC9" w:rsidP="0070497D">
            <w:pPr>
              <w:pStyle w:val="TableTextRight"/>
              <w:rPr>
                <w:lang w:eastAsia="en-AU"/>
              </w:rPr>
            </w:pPr>
            <w:r>
              <w:rPr>
                <w:rFonts w:ascii="Calibri" w:hAnsi="Calibri" w:cs="Calibri"/>
              </w:rPr>
              <w:t>3.9</w:t>
            </w:r>
          </w:p>
        </w:tc>
        <w:tc>
          <w:tcPr>
            <w:tcW w:w="578" w:type="pct"/>
            <w:tcBorders>
              <w:top w:val="nil"/>
              <w:left w:val="nil"/>
              <w:bottom w:val="nil"/>
              <w:right w:val="nil"/>
            </w:tcBorders>
            <w:shd w:val="clear" w:color="auto" w:fill="D2EDFF"/>
            <w:vAlign w:val="center"/>
            <w:hideMark/>
          </w:tcPr>
          <w:p w14:paraId="6426584D" w14:textId="2769AD8C" w:rsidR="003D3EC9" w:rsidRPr="00243179" w:rsidRDefault="004368C9" w:rsidP="0070497D">
            <w:pPr>
              <w:pStyle w:val="TableTextRight"/>
              <w:rPr>
                <w:lang w:eastAsia="en-AU"/>
              </w:rPr>
            </w:pPr>
            <w:r>
              <w:rPr>
                <w:rFonts w:ascii="Calibri" w:hAnsi="Calibri" w:cs="Calibri"/>
              </w:rPr>
              <w:t>3.</w:t>
            </w:r>
            <w:r w:rsidR="006D2426">
              <w:rPr>
                <w:rFonts w:ascii="Calibri" w:hAnsi="Calibri" w:cs="Calibri"/>
              </w:rPr>
              <w:t>3</w:t>
            </w:r>
          </w:p>
        </w:tc>
        <w:tc>
          <w:tcPr>
            <w:tcW w:w="578" w:type="pct"/>
            <w:tcBorders>
              <w:top w:val="nil"/>
              <w:left w:val="nil"/>
              <w:bottom w:val="nil"/>
              <w:right w:val="nil"/>
            </w:tcBorders>
            <w:shd w:val="clear" w:color="auto" w:fill="auto"/>
            <w:vAlign w:val="center"/>
            <w:hideMark/>
          </w:tcPr>
          <w:p w14:paraId="2E1670A5" w14:textId="00D5D4AB" w:rsidR="003D3EC9" w:rsidRPr="00243179" w:rsidRDefault="004368C9" w:rsidP="0070497D">
            <w:pPr>
              <w:pStyle w:val="TableTextRight"/>
              <w:rPr>
                <w:lang w:eastAsia="en-AU"/>
              </w:rPr>
            </w:pPr>
            <w:r>
              <w:rPr>
                <w:rFonts w:ascii="Calibri" w:hAnsi="Calibri" w:cs="Calibri"/>
              </w:rPr>
              <w:t>2.</w:t>
            </w:r>
            <w:r w:rsidR="006D2426">
              <w:rPr>
                <w:rFonts w:ascii="Calibri" w:hAnsi="Calibri" w:cs="Calibri"/>
              </w:rPr>
              <w:t>5</w:t>
            </w:r>
          </w:p>
        </w:tc>
        <w:tc>
          <w:tcPr>
            <w:tcW w:w="578" w:type="pct"/>
            <w:tcBorders>
              <w:top w:val="nil"/>
              <w:left w:val="nil"/>
              <w:bottom w:val="nil"/>
              <w:right w:val="nil"/>
            </w:tcBorders>
            <w:shd w:val="clear" w:color="auto" w:fill="auto"/>
            <w:vAlign w:val="center"/>
            <w:hideMark/>
          </w:tcPr>
          <w:p w14:paraId="2DEC2848" w14:textId="57BB51EC"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6</w:t>
            </w:r>
          </w:p>
        </w:tc>
        <w:tc>
          <w:tcPr>
            <w:tcW w:w="578" w:type="pct"/>
            <w:tcBorders>
              <w:top w:val="nil"/>
              <w:left w:val="nil"/>
              <w:bottom w:val="nil"/>
              <w:right w:val="single" w:sz="4" w:space="0" w:color="auto"/>
            </w:tcBorders>
            <w:shd w:val="clear" w:color="auto" w:fill="auto"/>
            <w:vAlign w:val="center"/>
            <w:hideMark/>
          </w:tcPr>
          <w:p w14:paraId="57D230CA" w14:textId="3F616098"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4</w:t>
            </w:r>
          </w:p>
        </w:tc>
        <w:tc>
          <w:tcPr>
            <w:tcW w:w="578" w:type="pct"/>
            <w:tcBorders>
              <w:top w:val="nil"/>
              <w:left w:val="nil"/>
              <w:bottom w:val="nil"/>
              <w:right w:val="nil"/>
            </w:tcBorders>
            <w:shd w:val="clear" w:color="auto" w:fill="auto"/>
            <w:vAlign w:val="center"/>
            <w:hideMark/>
          </w:tcPr>
          <w:p w14:paraId="35A69F08" w14:textId="076077F4"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6</w:t>
            </w:r>
          </w:p>
        </w:tc>
      </w:tr>
      <w:tr w:rsidR="003D3EC9" w:rsidRPr="00243179" w14:paraId="241A528F" w14:textId="77777777" w:rsidTr="00916EF2">
        <w:trPr>
          <w:trHeight w:val="227"/>
        </w:trPr>
        <w:tc>
          <w:tcPr>
            <w:tcW w:w="1531" w:type="pct"/>
            <w:tcBorders>
              <w:top w:val="nil"/>
              <w:left w:val="nil"/>
              <w:bottom w:val="nil"/>
              <w:right w:val="nil"/>
            </w:tcBorders>
            <w:shd w:val="clear" w:color="auto" w:fill="auto"/>
            <w:vAlign w:val="center"/>
            <w:hideMark/>
          </w:tcPr>
          <w:p w14:paraId="49E85C8F"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7233AA7F" w14:textId="1887A97C" w:rsidR="003D3EC9" w:rsidRPr="00243179" w:rsidRDefault="003D3EC9" w:rsidP="0070497D">
            <w:pPr>
              <w:pStyle w:val="TableTextRight"/>
              <w:rPr>
                <w:lang w:eastAsia="en-AU"/>
              </w:rPr>
            </w:pPr>
            <w:r>
              <w:rPr>
                <w:rFonts w:ascii="Calibri" w:hAnsi="Calibri" w:cs="Calibri"/>
              </w:rPr>
              <w:t>2.6</w:t>
            </w:r>
          </w:p>
        </w:tc>
        <w:tc>
          <w:tcPr>
            <w:tcW w:w="578" w:type="pct"/>
            <w:tcBorders>
              <w:top w:val="nil"/>
              <w:left w:val="nil"/>
              <w:bottom w:val="nil"/>
              <w:right w:val="nil"/>
            </w:tcBorders>
            <w:shd w:val="clear" w:color="auto" w:fill="D2EDFF"/>
            <w:vAlign w:val="center"/>
            <w:hideMark/>
          </w:tcPr>
          <w:p w14:paraId="4320AE17" w14:textId="1EF79701" w:rsidR="003D3EC9" w:rsidRPr="00243179" w:rsidRDefault="003D3EC9" w:rsidP="0070497D">
            <w:pPr>
              <w:pStyle w:val="TableTextRight"/>
              <w:rPr>
                <w:lang w:eastAsia="en-AU"/>
              </w:rPr>
            </w:pPr>
            <w:r>
              <w:rPr>
                <w:rFonts w:ascii="Calibri" w:hAnsi="Calibri" w:cs="Calibri"/>
              </w:rPr>
              <w:t>2.6</w:t>
            </w:r>
          </w:p>
        </w:tc>
        <w:tc>
          <w:tcPr>
            <w:tcW w:w="578" w:type="pct"/>
            <w:tcBorders>
              <w:top w:val="nil"/>
              <w:left w:val="nil"/>
              <w:bottom w:val="nil"/>
              <w:right w:val="nil"/>
            </w:tcBorders>
            <w:shd w:val="clear" w:color="auto" w:fill="auto"/>
            <w:vAlign w:val="center"/>
            <w:hideMark/>
          </w:tcPr>
          <w:p w14:paraId="57C38E2F" w14:textId="1DA60E7C" w:rsidR="003D3EC9" w:rsidRPr="00243179" w:rsidRDefault="006D2426" w:rsidP="0070497D">
            <w:pPr>
              <w:pStyle w:val="TableTextRight"/>
              <w:rPr>
                <w:lang w:eastAsia="en-AU"/>
              </w:rPr>
            </w:pPr>
            <w:r>
              <w:rPr>
                <w:rFonts w:ascii="Calibri" w:hAnsi="Calibri" w:cs="Calibri"/>
              </w:rPr>
              <w:t>1.9</w:t>
            </w:r>
          </w:p>
        </w:tc>
        <w:tc>
          <w:tcPr>
            <w:tcW w:w="578" w:type="pct"/>
            <w:tcBorders>
              <w:top w:val="nil"/>
              <w:left w:val="nil"/>
              <w:bottom w:val="nil"/>
              <w:right w:val="nil"/>
            </w:tcBorders>
            <w:shd w:val="clear" w:color="auto" w:fill="auto"/>
            <w:vAlign w:val="center"/>
            <w:hideMark/>
          </w:tcPr>
          <w:p w14:paraId="04327526" w14:textId="6BD98CDE"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2</w:t>
            </w:r>
          </w:p>
        </w:tc>
        <w:tc>
          <w:tcPr>
            <w:tcW w:w="578" w:type="pct"/>
            <w:tcBorders>
              <w:top w:val="nil"/>
              <w:left w:val="nil"/>
              <w:bottom w:val="nil"/>
              <w:right w:val="single" w:sz="4" w:space="0" w:color="auto"/>
            </w:tcBorders>
            <w:shd w:val="clear" w:color="auto" w:fill="auto"/>
            <w:vAlign w:val="center"/>
            <w:hideMark/>
          </w:tcPr>
          <w:p w14:paraId="1EC4DEA4" w14:textId="13E6837C" w:rsidR="003D3EC9" w:rsidRPr="00243179" w:rsidRDefault="003D3EC9" w:rsidP="0070497D">
            <w:pPr>
              <w:pStyle w:val="TableTextRight"/>
              <w:rPr>
                <w:lang w:eastAsia="en-AU"/>
              </w:rPr>
            </w:pPr>
            <w:r>
              <w:rPr>
                <w:rFonts w:ascii="Calibri" w:hAnsi="Calibri" w:cs="Calibri"/>
              </w:rPr>
              <w:t>1.0</w:t>
            </w:r>
          </w:p>
        </w:tc>
        <w:tc>
          <w:tcPr>
            <w:tcW w:w="578" w:type="pct"/>
            <w:tcBorders>
              <w:top w:val="nil"/>
              <w:left w:val="nil"/>
              <w:bottom w:val="nil"/>
              <w:right w:val="nil"/>
            </w:tcBorders>
            <w:shd w:val="clear" w:color="auto" w:fill="auto"/>
            <w:vAlign w:val="center"/>
            <w:hideMark/>
          </w:tcPr>
          <w:p w14:paraId="019DF706" w14:textId="26ED3D53" w:rsidR="003D3EC9" w:rsidRPr="00243179" w:rsidRDefault="004368C9" w:rsidP="0070497D">
            <w:pPr>
              <w:pStyle w:val="TableTextRight"/>
              <w:rPr>
                <w:lang w:eastAsia="en-AU"/>
              </w:rPr>
            </w:pPr>
            <w:r>
              <w:rPr>
                <w:rFonts w:ascii="Calibri" w:hAnsi="Calibri" w:cs="Calibri"/>
              </w:rPr>
              <w:t>1.</w:t>
            </w:r>
            <w:r w:rsidR="006D2426">
              <w:rPr>
                <w:rFonts w:ascii="Calibri" w:hAnsi="Calibri" w:cs="Calibri"/>
              </w:rPr>
              <w:t>2</w:t>
            </w:r>
          </w:p>
        </w:tc>
      </w:tr>
      <w:tr w:rsidR="003D3EC9" w:rsidRPr="00243179" w14:paraId="7D79EEA6" w14:textId="77777777" w:rsidTr="00916EF2">
        <w:trPr>
          <w:trHeight w:val="227"/>
        </w:trPr>
        <w:tc>
          <w:tcPr>
            <w:tcW w:w="1531" w:type="pct"/>
            <w:tcBorders>
              <w:top w:val="nil"/>
              <w:left w:val="nil"/>
              <w:bottom w:val="nil"/>
              <w:right w:val="nil"/>
            </w:tcBorders>
            <w:shd w:val="clear" w:color="auto" w:fill="auto"/>
            <w:vAlign w:val="center"/>
            <w:hideMark/>
          </w:tcPr>
          <w:p w14:paraId="20DE0654"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00A58359" w14:textId="6D836C12" w:rsidR="003D3EC9" w:rsidRPr="00243179" w:rsidRDefault="003D3EC9" w:rsidP="0070497D">
            <w:pPr>
              <w:pStyle w:val="TableTextRight"/>
              <w:rPr>
                <w:lang w:eastAsia="en-AU"/>
              </w:rPr>
            </w:pPr>
            <w:r>
              <w:rPr>
                <w:rFonts w:ascii="Calibri" w:hAnsi="Calibri" w:cs="Calibri"/>
              </w:rPr>
              <w:t>0.8</w:t>
            </w:r>
          </w:p>
        </w:tc>
        <w:tc>
          <w:tcPr>
            <w:tcW w:w="578" w:type="pct"/>
            <w:tcBorders>
              <w:top w:val="nil"/>
              <w:left w:val="nil"/>
              <w:bottom w:val="nil"/>
              <w:right w:val="nil"/>
            </w:tcBorders>
            <w:shd w:val="clear" w:color="auto" w:fill="D2EDFF"/>
            <w:vAlign w:val="center"/>
            <w:hideMark/>
          </w:tcPr>
          <w:p w14:paraId="68AC995A" w14:textId="5BC47A4D" w:rsidR="003D3EC9" w:rsidRPr="00243179" w:rsidRDefault="003D3EC9" w:rsidP="0070497D">
            <w:pPr>
              <w:pStyle w:val="TableTextRight"/>
              <w:rPr>
                <w:lang w:eastAsia="en-AU"/>
              </w:rPr>
            </w:pPr>
            <w:r>
              <w:rPr>
                <w:rFonts w:ascii="Calibri" w:hAnsi="Calibri" w:cs="Calibri"/>
              </w:rPr>
              <w:t>0.8</w:t>
            </w:r>
          </w:p>
        </w:tc>
        <w:tc>
          <w:tcPr>
            <w:tcW w:w="578" w:type="pct"/>
            <w:tcBorders>
              <w:top w:val="nil"/>
              <w:left w:val="nil"/>
              <w:bottom w:val="nil"/>
              <w:right w:val="nil"/>
            </w:tcBorders>
            <w:shd w:val="clear" w:color="auto" w:fill="auto"/>
            <w:vAlign w:val="center"/>
            <w:hideMark/>
          </w:tcPr>
          <w:p w14:paraId="4083F3BE" w14:textId="37A76957" w:rsidR="003D3EC9" w:rsidRPr="00243179" w:rsidRDefault="003D3EC9" w:rsidP="0070497D">
            <w:pPr>
              <w:pStyle w:val="TableTextRight"/>
              <w:rPr>
                <w:lang w:eastAsia="en-AU"/>
              </w:rPr>
            </w:pPr>
            <w:r>
              <w:rPr>
                <w:rFonts w:ascii="Calibri" w:hAnsi="Calibri" w:cs="Calibri"/>
              </w:rPr>
              <w:t>0.6</w:t>
            </w:r>
          </w:p>
        </w:tc>
        <w:tc>
          <w:tcPr>
            <w:tcW w:w="578" w:type="pct"/>
            <w:tcBorders>
              <w:top w:val="nil"/>
              <w:left w:val="nil"/>
              <w:bottom w:val="nil"/>
              <w:right w:val="nil"/>
            </w:tcBorders>
            <w:shd w:val="clear" w:color="auto" w:fill="auto"/>
            <w:vAlign w:val="center"/>
            <w:hideMark/>
          </w:tcPr>
          <w:p w14:paraId="212A85C9" w14:textId="6D7B6B97"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4</w:t>
            </w:r>
          </w:p>
        </w:tc>
        <w:tc>
          <w:tcPr>
            <w:tcW w:w="578" w:type="pct"/>
            <w:tcBorders>
              <w:top w:val="nil"/>
              <w:left w:val="nil"/>
              <w:bottom w:val="nil"/>
              <w:right w:val="single" w:sz="4" w:space="0" w:color="auto"/>
            </w:tcBorders>
            <w:shd w:val="clear" w:color="auto" w:fill="auto"/>
            <w:vAlign w:val="center"/>
            <w:hideMark/>
          </w:tcPr>
          <w:p w14:paraId="775B279D" w14:textId="2A4DEB4E" w:rsidR="003D3EC9" w:rsidRPr="00243179" w:rsidRDefault="003D3EC9" w:rsidP="0070497D">
            <w:pPr>
              <w:pStyle w:val="TableTextRight"/>
              <w:rPr>
                <w:lang w:eastAsia="en-AU"/>
              </w:rPr>
            </w:pPr>
            <w:r>
              <w:rPr>
                <w:rFonts w:ascii="Calibri" w:hAnsi="Calibri" w:cs="Calibri"/>
              </w:rPr>
              <w:t>0.3</w:t>
            </w:r>
          </w:p>
        </w:tc>
        <w:tc>
          <w:tcPr>
            <w:tcW w:w="578" w:type="pct"/>
            <w:tcBorders>
              <w:top w:val="nil"/>
              <w:left w:val="nil"/>
              <w:bottom w:val="nil"/>
              <w:right w:val="nil"/>
            </w:tcBorders>
            <w:shd w:val="clear" w:color="auto" w:fill="auto"/>
            <w:vAlign w:val="center"/>
            <w:hideMark/>
          </w:tcPr>
          <w:p w14:paraId="7F0BA9B1" w14:textId="25498D05" w:rsidR="003D3EC9" w:rsidRPr="00243179" w:rsidRDefault="004368C9" w:rsidP="0070497D">
            <w:pPr>
              <w:pStyle w:val="TableTextRight"/>
              <w:rPr>
                <w:lang w:eastAsia="en-AU"/>
              </w:rPr>
            </w:pPr>
            <w:r>
              <w:rPr>
                <w:rFonts w:ascii="Calibri" w:hAnsi="Calibri" w:cs="Calibri"/>
              </w:rPr>
              <w:t>0.</w:t>
            </w:r>
            <w:r w:rsidR="006D2426">
              <w:rPr>
                <w:rFonts w:ascii="Calibri" w:hAnsi="Calibri" w:cs="Calibri"/>
              </w:rPr>
              <w:t>4</w:t>
            </w:r>
          </w:p>
        </w:tc>
      </w:tr>
      <w:tr w:rsidR="003D3EC9" w:rsidRPr="00243179" w14:paraId="5734ACEB" w14:textId="77777777" w:rsidTr="00916EF2">
        <w:trPr>
          <w:trHeight w:val="227"/>
        </w:trPr>
        <w:tc>
          <w:tcPr>
            <w:tcW w:w="1531" w:type="pct"/>
            <w:tcBorders>
              <w:top w:val="nil"/>
              <w:left w:val="nil"/>
              <w:bottom w:val="nil"/>
              <w:right w:val="nil"/>
            </w:tcBorders>
            <w:shd w:val="clear" w:color="auto" w:fill="auto"/>
            <w:vAlign w:val="center"/>
            <w:hideMark/>
          </w:tcPr>
          <w:p w14:paraId="49C5402E" w14:textId="07F06B56" w:rsidR="003D3EC9" w:rsidRPr="00243179" w:rsidRDefault="003D3EC9" w:rsidP="00C75089">
            <w:pPr>
              <w:pStyle w:val="TableColumnHeadingLeft"/>
            </w:pPr>
            <w:r w:rsidRPr="00243179">
              <w:t>Net internal migration (</w:t>
            </w:r>
            <w:r w:rsidR="00050D25">
              <w:t>‘</w:t>
            </w:r>
            <w:r w:rsidRPr="00243179">
              <w:t>000)</w:t>
            </w:r>
          </w:p>
        </w:tc>
        <w:tc>
          <w:tcPr>
            <w:tcW w:w="579" w:type="pct"/>
            <w:tcBorders>
              <w:top w:val="nil"/>
              <w:left w:val="nil"/>
              <w:bottom w:val="nil"/>
              <w:right w:val="nil"/>
            </w:tcBorders>
            <w:shd w:val="clear" w:color="auto" w:fill="auto"/>
            <w:vAlign w:val="center"/>
            <w:hideMark/>
          </w:tcPr>
          <w:p w14:paraId="2F3BF184"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D2EDFF"/>
            <w:vAlign w:val="center"/>
            <w:hideMark/>
          </w:tcPr>
          <w:p w14:paraId="29AD0F66" w14:textId="37C849AF"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6F34899A" w14:textId="77777777" w:rsidR="003D3EC9" w:rsidRPr="00243179" w:rsidRDefault="003D3EC9" w:rsidP="0070497D">
            <w:pPr>
              <w:pStyle w:val="TableTextRight"/>
              <w:rPr>
                <w:lang w:eastAsia="en-AU"/>
              </w:rPr>
            </w:pPr>
          </w:p>
        </w:tc>
        <w:tc>
          <w:tcPr>
            <w:tcW w:w="578" w:type="pct"/>
            <w:tcBorders>
              <w:top w:val="nil"/>
              <w:left w:val="nil"/>
              <w:bottom w:val="nil"/>
              <w:right w:val="nil"/>
            </w:tcBorders>
            <w:shd w:val="clear" w:color="auto" w:fill="auto"/>
            <w:vAlign w:val="center"/>
            <w:hideMark/>
          </w:tcPr>
          <w:p w14:paraId="4D8FD912" w14:textId="77777777" w:rsidR="003D3EC9" w:rsidRPr="00243179" w:rsidRDefault="003D3EC9" w:rsidP="0070497D">
            <w:pPr>
              <w:pStyle w:val="TableTextRight"/>
              <w:rPr>
                <w:rFonts w:ascii="Times New Roman" w:hAnsi="Times New Roman" w:cs="Times New Roman"/>
                <w:lang w:eastAsia="en-AU"/>
              </w:rPr>
            </w:pPr>
          </w:p>
        </w:tc>
        <w:tc>
          <w:tcPr>
            <w:tcW w:w="578" w:type="pct"/>
            <w:tcBorders>
              <w:top w:val="nil"/>
              <w:left w:val="nil"/>
              <w:bottom w:val="nil"/>
              <w:right w:val="single" w:sz="4" w:space="0" w:color="auto"/>
            </w:tcBorders>
            <w:shd w:val="clear" w:color="auto" w:fill="auto"/>
            <w:vAlign w:val="center"/>
            <w:hideMark/>
          </w:tcPr>
          <w:p w14:paraId="228778C2" w14:textId="62B7B52D" w:rsidR="003D3EC9" w:rsidRPr="00243179" w:rsidRDefault="003D3EC9" w:rsidP="0070497D">
            <w:pPr>
              <w:pStyle w:val="TableTextRight"/>
              <w:rPr>
                <w:lang w:eastAsia="en-AU"/>
              </w:rPr>
            </w:pPr>
            <w:r>
              <w:rPr>
                <w:rFonts w:ascii="Calibri" w:hAnsi="Calibri" w:cs="Calibri"/>
              </w:rPr>
              <w:t> </w:t>
            </w:r>
          </w:p>
        </w:tc>
        <w:tc>
          <w:tcPr>
            <w:tcW w:w="578" w:type="pct"/>
            <w:tcBorders>
              <w:top w:val="nil"/>
              <w:left w:val="nil"/>
              <w:bottom w:val="nil"/>
              <w:right w:val="nil"/>
            </w:tcBorders>
            <w:shd w:val="clear" w:color="auto" w:fill="auto"/>
            <w:vAlign w:val="center"/>
            <w:hideMark/>
          </w:tcPr>
          <w:p w14:paraId="42306F90" w14:textId="77777777" w:rsidR="003D3EC9" w:rsidRPr="00243179" w:rsidRDefault="003D3EC9" w:rsidP="0070497D">
            <w:pPr>
              <w:pStyle w:val="TableTextRight"/>
              <w:rPr>
                <w:lang w:eastAsia="en-AU"/>
              </w:rPr>
            </w:pPr>
          </w:p>
        </w:tc>
      </w:tr>
      <w:tr w:rsidR="003D3EC9" w:rsidRPr="00243179" w14:paraId="76C5C889" w14:textId="77777777" w:rsidTr="00916EF2">
        <w:trPr>
          <w:trHeight w:val="227"/>
        </w:trPr>
        <w:tc>
          <w:tcPr>
            <w:tcW w:w="1531" w:type="pct"/>
            <w:tcBorders>
              <w:top w:val="nil"/>
              <w:left w:val="nil"/>
              <w:bottom w:val="nil"/>
              <w:right w:val="nil"/>
            </w:tcBorders>
            <w:shd w:val="clear" w:color="auto" w:fill="auto"/>
            <w:vAlign w:val="center"/>
            <w:hideMark/>
          </w:tcPr>
          <w:p w14:paraId="1ADAA9C3"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51AF5104" w14:textId="6B2A312C"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3.3</w:t>
            </w:r>
          </w:p>
        </w:tc>
        <w:tc>
          <w:tcPr>
            <w:tcW w:w="578" w:type="pct"/>
            <w:tcBorders>
              <w:top w:val="nil"/>
              <w:left w:val="nil"/>
              <w:bottom w:val="nil"/>
              <w:right w:val="nil"/>
            </w:tcBorders>
            <w:shd w:val="clear" w:color="auto" w:fill="D2EDFF"/>
            <w:vAlign w:val="center"/>
            <w:hideMark/>
          </w:tcPr>
          <w:p w14:paraId="4DC3E29D" w14:textId="327D1AB5"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4.1</w:t>
            </w:r>
          </w:p>
        </w:tc>
        <w:tc>
          <w:tcPr>
            <w:tcW w:w="578" w:type="pct"/>
            <w:tcBorders>
              <w:top w:val="nil"/>
              <w:left w:val="nil"/>
              <w:bottom w:val="nil"/>
              <w:right w:val="nil"/>
            </w:tcBorders>
            <w:shd w:val="clear" w:color="auto" w:fill="auto"/>
            <w:vAlign w:val="center"/>
            <w:hideMark/>
          </w:tcPr>
          <w:p w14:paraId="6ED98AE8" w14:textId="4AF9BB32"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3.1</w:t>
            </w:r>
          </w:p>
        </w:tc>
        <w:tc>
          <w:tcPr>
            <w:tcW w:w="578" w:type="pct"/>
            <w:tcBorders>
              <w:top w:val="nil"/>
              <w:left w:val="nil"/>
              <w:bottom w:val="nil"/>
              <w:right w:val="nil"/>
            </w:tcBorders>
            <w:shd w:val="clear" w:color="auto" w:fill="auto"/>
            <w:vAlign w:val="center"/>
            <w:hideMark/>
          </w:tcPr>
          <w:p w14:paraId="2AB2D95F" w14:textId="3A728E37"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2.0</w:t>
            </w:r>
          </w:p>
        </w:tc>
        <w:tc>
          <w:tcPr>
            <w:tcW w:w="578" w:type="pct"/>
            <w:tcBorders>
              <w:top w:val="nil"/>
              <w:left w:val="nil"/>
              <w:bottom w:val="nil"/>
              <w:right w:val="single" w:sz="4" w:space="0" w:color="auto"/>
            </w:tcBorders>
            <w:shd w:val="clear" w:color="auto" w:fill="auto"/>
            <w:vAlign w:val="center"/>
            <w:hideMark/>
          </w:tcPr>
          <w:p w14:paraId="2A49EB5A" w14:textId="7A43D743"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1.4</w:t>
            </w:r>
          </w:p>
        </w:tc>
        <w:tc>
          <w:tcPr>
            <w:tcW w:w="578" w:type="pct"/>
            <w:tcBorders>
              <w:top w:val="nil"/>
              <w:left w:val="nil"/>
              <w:bottom w:val="nil"/>
              <w:right w:val="nil"/>
            </w:tcBorders>
            <w:shd w:val="clear" w:color="auto" w:fill="auto"/>
            <w:vAlign w:val="center"/>
            <w:hideMark/>
          </w:tcPr>
          <w:p w14:paraId="70D6AD5D" w14:textId="5B2380DE"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1.2</w:t>
            </w:r>
          </w:p>
        </w:tc>
      </w:tr>
      <w:tr w:rsidR="003D3EC9" w:rsidRPr="00243179" w14:paraId="38EFADD4" w14:textId="77777777" w:rsidTr="00916EF2">
        <w:trPr>
          <w:trHeight w:val="227"/>
        </w:trPr>
        <w:tc>
          <w:tcPr>
            <w:tcW w:w="1531" w:type="pct"/>
            <w:tcBorders>
              <w:top w:val="nil"/>
              <w:left w:val="nil"/>
              <w:bottom w:val="nil"/>
              <w:right w:val="nil"/>
            </w:tcBorders>
            <w:shd w:val="clear" w:color="auto" w:fill="auto"/>
            <w:vAlign w:val="center"/>
            <w:hideMark/>
          </w:tcPr>
          <w:p w14:paraId="1CAB246F"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6CA1891E" w14:textId="17F6101C"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2.4</w:t>
            </w:r>
          </w:p>
        </w:tc>
        <w:tc>
          <w:tcPr>
            <w:tcW w:w="578" w:type="pct"/>
            <w:tcBorders>
              <w:top w:val="nil"/>
              <w:left w:val="nil"/>
              <w:bottom w:val="nil"/>
              <w:right w:val="nil"/>
            </w:tcBorders>
            <w:shd w:val="clear" w:color="auto" w:fill="D2EDFF"/>
            <w:vAlign w:val="center"/>
            <w:hideMark/>
          </w:tcPr>
          <w:p w14:paraId="0C163917" w14:textId="5F461093"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2.8</w:t>
            </w:r>
          </w:p>
        </w:tc>
        <w:tc>
          <w:tcPr>
            <w:tcW w:w="578" w:type="pct"/>
            <w:tcBorders>
              <w:top w:val="nil"/>
              <w:left w:val="nil"/>
              <w:bottom w:val="nil"/>
              <w:right w:val="nil"/>
            </w:tcBorders>
            <w:shd w:val="clear" w:color="auto" w:fill="auto"/>
            <w:vAlign w:val="center"/>
            <w:hideMark/>
          </w:tcPr>
          <w:p w14:paraId="4B98DE21" w14:textId="1E5BCDC8"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2.1</w:t>
            </w:r>
          </w:p>
        </w:tc>
        <w:tc>
          <w:tcPr>
            <w:tcW w:w="578" w:type="pct"/>
            <w:tcBorders>
              <w:top w:val="nil"/>
              <w:left w:val="nil"/>
              <w:bottom w:val="nil"/>
              <w:right w:val="nil"/>
            </w:tcBorders>
            <w:shd w:val="clear" w:color="auto" w:fill="auto"/>
            <w:vAlign w:val="center"/>
            <w:hideMark/>
          </w:tcPr>
          <w:p w14:paraId="428E695C" w14:textId="5FC38CCC"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1.0</w:t>
            </w:r>
          </w:p>
        </w:tc>
        <w:tc>
          <w:tcPr>
            <w:tcW w:w="578" w:type="pct"/>
            <w:tcBorders>
              <w:top w:val="nil"/>
              <w:left w:val="nil"/>
              <w:bottom w:val="nil"/>
              <w:right w:val="single" w:sz="4" w:space="0" w:color="auto"/>
            </w:tcBorders>
            <w:shd w:val="clear" w:color="auto" w:fill="auto"/>
            <w:vAlign w:val="center"/>
            <w:hideMark/>
          </w:tcPr>
          <w:p w14:paraId="6C6CD24D" w14:textId="6FBAFB91"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0.3</w:t>
            </w:r>
          </w:p>
        </w:tc>
        <w:tc>
          <w:tcPr>
            <w:tcW w:w="578" w:type="pct"/>
            <w:tcBorders>
              <w:top w:val="nil"/>
              <w:left w:val="nil"/>
              <w:bottom w:val="nil"/>
              <w:right w:val="nil"/>
            </w:tcBorders>
            <w:shd w:val="clear" w:color="auto" w:fill="auto"/>
            <w:vAlign w:val="center"/>
            <w:hideMark/>
          </w:tcPr>
          <w:p w14:paraId="25CCB2AF" w14:textId="25DFCD02"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0.5</w:t>
            </w:r>
          </w:p>
        </w:tc>
      </w:tr>
      <w:tr w:rsidR="003D3EC9" w:rsidRPr="00243179" w14:paraId="6ABF2A18" w14:textId="77777777" w:rsidTr="00916EF2">
        <w:trPr>
          <w:trHeight w:val="227"/>
        </w:trPr>
        <w:tc>
          <w:tcPr>
            <w:tcW w:w="1531" w:type="pct"/>
            <w:tcBorders>
              <w:top w:val="nil"/>
              <w:left w:val="nil"/>
              <w:bottom w:val="nil"/>
              <w:right w:val="nil"/>
            </w:tcBorders>
            <w:shd w:val="clear" w:color="auto" w:fill="auto"/>
            <w:vAlign w:val="center"/>
            <w:hideMark/>
          </w:tcPr>
          <w:p w14:paraId="5DEC7814"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nil"/>
              <w:right w:val="nil"/>
            </w:tcBorders>
            <w:shd w:val="clear" w:color="auto" w:fill="auto"/>
            <w:vAlign w:val="center"/>
            <w:hideMark/>
          </w:tcPr>
          <w:p w14:paraId="53C77DD7" w14:textId="49E0EEE7"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0.9</w:t>
            </w:r>
          </w:p>
        </w:tc>
        <w:tc>
          <w:tcPr>
            <w:tcW w:w="578" w:type="pct"/>
            <w:tcBorders>
              <w:top w:val="nil"/>
              <w:left w:val="nil"/>
              <w:bottom w:val="nil"/>
              <w:right w:val="nil"/>
            </w:tcBorders>
            <w:shd w:val="clear" w:color="auto" w:fill="D2EDFF"/>
            <w:vAlign w:val="center"/>
            <w:hideMark/>
          </w:tcPr>
          <w:p w14:paraId="2733947F" w14:textId="2B882FF5"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1.2</w:t>
            </w:r>
          </w:p>
        </w:tc>
        <w:tc>
          <w:tcPr>
            <w:tcW w:w="578" w:type="pct"/>
            <w:tcBorders>
              <w:top w:val="nil"/>
              <w:left w:val="nil"/>
              <w:bottom w:val="nil"/>
              <w:right w:val="nil"/>
            </w:tcBorders>
            <w:shd w:val="clear" w:color="auto" w:fill="auto"/>
            <w:vAlign w:val="center"/>
            <w:hideMark/>
          </w:tcPr>
          <w:p w14:paraId="00D49B7D" w14:textId="215C6513"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1.0</w:t>
            </w:r>
          </w:p>
        </w:tc>
        <w:tc>
          <w:tcPr>
            <w:tcW w:w="578" w:type="pct"/>
            <w:tcBorders>
              <w:top w:val="nil"/>
              <w:left w:val="nil"/>
              <w:bottom w:val="nil"/>
              <w:right w:val="nil"/>
            </w:tcBorders>
            <w:shd w:val="clear" w:color="auto" w:fill="auto"/>
            <w:vAlign w:val="center"/>
            <w:hideMark/>
          </w:tcPr>
          <w:p w14:paraId="775DCB98" w14:textId="03323211" w:rsidR="003D3EC9" w:rsidRPr="00243179" w:rsidRDefault="00050D25" w:rsidP="0070497D">
            <w:pPr>
              <w:pStyle w:val="TableTextRight"/>
              <w:rPr>
                <w:lang w:eastAsia="en-AU"/>
              </w:rPr>
            </w:pPr>
            <w:r>
              <w:rPr>
                <w:rFonts w:ascii="Calibri" w:hAnsi="Calibri" w:cs="Calibri"/>
              </w:rPr>
              <w:noBreakHyphen/>
            </w:r>
            <w:r w:rsidR="004368C9">
              <w:rPr>
                <w:rFonts w:ascii="Calibri" w:hAnsi="Calibri" w:cs="Calibri"/>
              </w:rPr>
              <w:t>1.</w:t>
            </w:r>
            <w:r w:rsidR="006D2426">
              <w:rPr>
                <w:rFonts w:ascii="Calibri" w:hAnsi="Calibri" w:cs="Calibri"/>
              </w:rPr>
              <w:t>0</w:t>
            </w:r>
          </w:p>
        </w:tc>
        <w:tc>
          <w:tcPr>
            <w:tcW w:w="578" w:type="pct"/>
            <w:tcBorders>
              <w:top w:val="nil"/>
              <w:left w:val="nil"/>
              <w:bottom w:val="nil"/>
              <w:right w:val="single" w:sz="4" w:space="0" w:color="auto"/>
            </w:tcBorders>
            <w:shd w:val="clear" w:color="auto" w:fill="auto"/>
            <w:vAlign w:val="center"/>
            <w:hideMark/>
          </w:tcPr>
          <w:p w14:paraId="64588778" w14:textId="134E727B" w:rsidR="003D3EC9" w:rsidRPr="00243179" w:rsidRDefault="00050D25" w:rsidP="0070497D">
            <w:pPr>
              <w:pStyle w:val="TableTextRight"/>
              <w:rPr>
                <w:lang w:eastAsia="en-AU"/>
              </w:rPr>
            </w:pPr>
            <w:r>
              <w:rPr>
                <w:rFonts w:ascii="Calibri" w:hAnsi="Calibri" w:cs="Calibri"/>
              </w:rPr>
              <w:noBreakHyphen/>
            </w:r>
            <w:r w:rsidR="003D3EC9">
              <w:rPr>
                <w:rFonts w:ascii="Calibri" w:hAnsi="Calibri" w:cs="Calibri"/>
              </w:rPr>
              <w:t>1.1</w:t>
            </w:r>
          </w:p>
        </w:tc>
        <w:tc>
          <w:tcPr>
            <w:tcW w:w="578" w:type="pct"/>
            <w:tcBorders>
              <w:top w:val="nil"/>
              <w:left w:val="nil"/>
              <w:bottom w:val="nil"/>
              <w:right w:val="nil"/>
            </w:tcBorders>
            <w:shd w:val="clear" w:color="auto" w:fill="auto"/>
            <w:vAlign w:val="center"/>
            <w:hideMark/>
          </w:tcPr>
          <w:p w14:paraId="3351F8B6" w14:textId="386E8D31" w:rsidR="003D3EC9" w:rsidRPr="00243179" w:rsidRDefault="00050D25" w:rsidP="0070497D">
            <w:pPr>
              <w:pStyle w:val="TableTextRight"/>
              <w:rPr>
                <w:lang w:eastAsia="en-AU"/>
              </w:rPr>
            </w:pPr>
            <w:r>
              <w:rPr>
                <w:rFonts w:ascii="Calibri" w:hAnsi="Calibri" w:cs="Calibri"/>
              </w:rPr>
              <w:noBreakHyphen/>
            </w:r>
            <w:r w:rsidR="004368C9">
              <w:rPr>
                <w:rFonts w:ascii="Calibri" w:hAnsi="Calibri" w:cs="Calibri"/>
              </w:rPr>
              <w:t>0.</w:t>
            </w:r>
            <w:r w:rsidR="006D2426">
              <w:rPr>
                <w:rFonts w:ascii="Calibri" w:hAnsi="Calibri" w:cs="Calibri"/>
              </w:rPr>
              <w:t>8</w:t>
            </w:r>
          </w:p>
        </w:tc>
      </w:tr>
      <w:tr w:rsidR="003D3EC9" w:rsidRPr="00243179" w14:paraId="6B8E9CE8" w14:textId="77777777" w:rsidTr="00916EF2">
        <w:trPr>
          <w:trHeight w:val="227"/>
        </w:trPr>
        <w:tc>
          <w:tcPr>
            <w:tcW w:w="1531" w:type="pct"/>
            <w:tcBorders>
              <w:top w:val="single" w:sz="4" w:space="0" w:color="auto"/>
              <w:left w:val="nil"/>
              <w:bottom w:val="nil"/>
              <w:right w:val="nil"/>
            </w:tcBorders>
            <w:shd w:val="clear" w:color="auto" w:fill="auto"/>
            <w:vAlign w:val="center"/>
            <w:hideMark/>
          </w:tcPr>
          <w:p w14:paraId="42BEBB9A" w14:textId="77777777" w:rsidR="003D3EC9" w:rsidRPr="00243179" w:rsidRDefault="003D3EC9" w:rsidP="00C75089">
            <w:pPr>
              <w:pStyle w:val="TableColumnHeadingLeft"/>
            </w:pPr>
            <w:r w:rsidRPr="00243179">
              <w:t>Median age (years)</w:t>
            </w:r>
          </w:p>
        </w:tc>
        <w:tc>
          <w:tcPr>
            <w:tcW w:w="579" w:type="pct"/>
            <w:tcBorders>
              <w:top w:val="single" w:sz="4" w:space="0" w:color="auto"/>
              <w:left w:val="nil"/>
              <w:bottom w:val="nil"/>
              <w:right w:val="nil"/>
            </w:tcBorders>
            <w:shd w:val="clear" w:color="auto" w:fill="auto"/>
            <w:vAlign w:val="center"/>
            <w:hideMark/>
          </w:tcPr>
          <w:p w14:paraId="2A2FD777" w14:textId="7A4B5B34"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D2EDFF"/>
            <w:vAlign w:val="center"/>
            <w:hideMark/>
          </w:tcPr>
          <w:p w14:paraId="0869C5E1" w14:textId="11C6972A"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5CD8ED74" w14:textId="7F756418"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091A5522" w14:textId="3EAD6397"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single" w:sz="4" w:space="0" w:color="auto"/>
            </w:tcBorders>
            <w:shd w:val="clear" w:color="auto" w:fill="auto"/>
            <w:vAlign w:val="center"/>
            <w:hideMark/>
          </w:tcPr>
          <w:p w14:paraId="5240B299" w14:textId="50D0A64B" w:rsidR="003D3EC9" w:rsidRPr="00243179" w:rsidRDefault="003D3EC9" w:rsidP="0070497D">
            <w:pPr>
              <w:pStyle w:val="TableTextRight"/>
              <w:rPr>
                <w:lang w:eastAsia="en-AU"/>
              </w:rPr>
            </w:pPr>
            <w:r>
              <w:rPr>
                <w:rFonts w:ascii="Calibri" w:hAnsi="Calibri" w:cs="Calibri"/>
              </w:rPr>
              <w:t> </w:t>
            </w:r>
          </w:p>
        </w:tc>
        <w:tc>
          <w:tcPr>
            <w:tcW w:w="578" w:type="pct"/>
            <w:tcBorders>
              <w:top w:val="single" w:sz="4" w:space="0" w:color="auto"/>
              <w:left w:val="nil"/>
              <w:bottom w:val="nil"/>
              <w:right w:val="nil"/>
            </w:tcBorders>
            <w:shd w:val="clear" w:color="auto" w:fill="auto"/>
            <w:vAlign w:val="center"/>
            <w:hideMark/>
          </w:tcPr>
          <w:p w14:paraId="171068BB" w14:textId="5D72BBFC" w:rsidR="003D3EC9" w:rsidRPr="00243179" w:rsidRDefault="003D3EC9" w:rsidP="0070497D">
            <w:pPr>
              <w:pStyle w:val="TableTextRight"/>
              <w:rPr>
                <w:lang w:eastAsia="en-AU"/>
              </w:rPr>
            </w:pPr>
            <w:r>
              <w:rPr>
                <w:rFonts w:ascii="Calibri" w:hAnsi="Calibri" w:cs="Calibri"/>
              </w:rPr>
              <w:t> </w:t>
            </w:r>
          </w:p>
        </w:tc>
      </w:tr>
      <w:tr w:rsidR="003D3EC9" w:rsidRPr="00243179" w14:paraId="492AC333" w14:textId="77777777" w:rsidTr="00916EF2">
        <w:trPr>
          <w:trHeight w:val="227"/>
        </w:trPr>
        <w:tc>
          <w:tcPr>
            <w:tcW w:w="1531" w:type="pct"/>
            <w:tcBorders>
              <w:top w:val="nil"/>
              <w:left w:val="nil"/>
              <w:bottom w:val="nil"/>
              <w:right w:val="nil"/>
            </w:tcBorders>
            <w:shd w:val="clear" w:color="auto" w:fill="auto"/>
            <w:vAlign w:val="center"/>
            <w:hideMark/>
          </w:tcPr>
          <w:p w14:paraId="59265B5A" w14:textId="77777777" w:rsidR="003D3EC9" w:rsidRPr="00243179" w:rsidRDefault="003D3EC9" w:rsidP="00916EF2">
            <w:pPr>
              <w:spacing w:before="0" w:after="0" w:line="240" w:lineRule="auto"/>
              <w:rPr>
                <w:rFonts w:ascii="Calibri" w:eastAsia="Times New Roman" w:hAnsi="Calibri" w:cs="Calibri"/>
                <w:color w:val="002C47"/>
                <w:lang w:eastAsia="en-AU"/>
              </w:rPr>
            </w:pPr>
            <w:r w:rsidRPr="00243179">
              <w:rPr>
                <w:rFonts w:ascii="Calibri" w:eastAsia="Times New Roman" w:hAnsi="Calibri" w:cs="Calibri"/>
                <w:color w:val="002C47"/>
                <w:lang w:eastAsia="en-AU"/>
              </w:rPr>
              <w:t>Northern Territory</w:t>
            </w:r>
          </w:p>
        </w:tc>
        <w:tc>
          <w:tcPr>
            <w:tcW w:w="579" w:type="pct"/>
            <w:tcBorders>
              <w:top w:val="nil"/>
              <w:left w:val="nil"/>
              <w:bottom w:val="nil"/>
              <w:right w:val="nil"/>
            </w:tcBorders>
            <w:shd w:val="clear" w:color="auto" w:fill="auto"/>
            <w:vAlign w:val="center"/>
            <w:hideMark/>
          </w:tcPr>
          <w:p w14:paraId="2F8B7B44" w14:textId="18410005" w:rsidR="003D3EC9" w:rsidRPr="00243179" w:rsidRDefault="004368C9" w:rsidP="0070497D">
            <w:pPr>
              <w:pStyle w:val="TableTextRight"/>
              <w:rPr>
                <w:lang w:eastAsia="en-AU"/>
              </w:rPr>
            </w:pPr>
            <w:r>
              <w:rPr>
                <w:rFonts w:ascii="Calibri" w:hAnsi="Calibri" w:cs="Calibri"/>
              </w:rPr>
              <w:t>33.</w:t>
            </w:r>
            <w:r w:rsidR="003D3EC9">
              <w:rPr>
                <w:rFonts w:ascii="Calibri" w:hAnsi="Calibri" w:cs="Calibri"/>
              </w:rPr>
              <w:t>7</w:t>
            </w:r>
          </w:p>
        </w:tc>
        <w:tc>
          <w:tcPr>
            <w:tcW w:w="578" w:type="pct"/>
            <w:tcBorders>
              <w:top w:val="nil"/>
              <w:left w:val="nil"/>
              <w:bottom w:val="nil"/>
              <w:right w:val="nil"/>
            </w:tcBorders>
            <w:shd w:val="clear" w:color="auto" w:fill="D2EDFF"/>
            <w:vAlign w:val="center"/>
            <w:hideMark/>
          </w:tcPr>
          <w:p w14:paraId="1504A4F1" w14:textId="75F91735" w:rsidR="003D3EC9" w:rsidRPr="00243179" w:rsidRDefault="004368C9" w:rsidP="0070497D">
            <w:pPr>
              <w:pStyle w:val="TableTextRight"/>
              <w:rPr>
                <w:lang w:eastAsia="en-AU"/>
              </w:rPr>
            </w:pPr>
            <w:r>
              <w:rPr>
                <w:rFonts w:ascii="Calibri" w:hAnsi="Calibri" w:cs="Calibri"/>
              </w:rPr>
              <w:t>34.</w:t>
            </w:r>
            <w:r w:rsidR="003D3EC9">
              <w:rPr>
                <w:rFonts w:ascii="Calibri" w:hAnsi="Calibri" w:cs="Calibri"/>
              </w:rPr>
              <w:t>0</w:t>
            </w:r>
          </w:p>
        </w:tc>
        <w:tc>
          <w:tcPr>
            <w:tcW w:w="578" w:type="pct"/>
            <w:tcBorders>
              <w:top w:val="nil"/>
              <w:left w:val="nil"/>
              <w:bottom w:val="nil"/>
              <w:right w:val="nil"/>
            </w:tcBorders>
            <w:shd w:val="clear" w:color="auto" w:fill="auto"/>
            <w:vAlign w:val="center"/>
            <w:hideMark/>
          </w:tcPr>
          <w:p w14:paraId="6E385EBB" w14:textId="3D69F21D" w:rsidR="003D3EC9" w:rsidRPr="00243179" w:rsidRDefault="004368C9" w:rsidP="0070497D">
            <w:pPr>
              <w:pStyle w:val="TableTextRight"/>
              <w:rPr>
                <w:lang w:eastAsia="en-AU"/>
              </w:rPr>
            </w:pPr>
            <w:r>
              <w:rPr>
                <w:rFonts w:ascii="Calibri" w:hAnsi="Calibri" w:cs="Calibri"/>
              </w:rPr>
              <w:t>34.</w:t>
            </w:r>
            <w:r w:rsidR="003D3EC9">
              <w:rPr>
                <w:rFonts w:ascii="Calibri" w:hAnsi="Calibri" w:cs="Calibri"/>
              </w:rPr>
              <w:t>2</w:t>
            </w:r>
          </w:p>
        </w:tc>
        <w:tc>
          <w:tcPr>
            <w:tcW w:w="578" w:type="pct"/>
            <w:tcBorders>
              <w:top w:val="nil"/>
              <w:left w:val="nil"/>
              <w:bottom w:val="nil"/>
              <w:right w:val="nil"/>
            </w:tcBorders>
            <w:shd w:val="clear" w:color="auto" w:fill="auto"/>
            <w:vAlign w:val="center"/>
            <w:hideMark/>
          </w:tcPr>
          <w:p w14:paraId="03971A15" w14:textId="7A187222" w:rsidR="003D3EC9" w:rsidRPr="00243179" w:rsidRDefault="004368C9" w:rsidP="0070497D">
            <w:pPr>
              <w:pStyle w:val="TableTextRight"/>
              <w:rPr>
                <w:lang w:eastAsia="en-AU"/>
              </w:rPr>
            </w:pPr>
            <w:r>
              <w:rPr>
                <w:rFonts w:ascii="Calibri" w:hAnsi="Calibri" w:cs="Calibri"/>
              </w:rPr>
              <w:t>34.</w:t>
            </w:r>
            <w:r w:rsidR="003D3EC9">
              <w:rPr>
                <w:rFonts w:ascii="Calibri" w:hAnsi="Calibri" w:cs="Calibri"/>
              </w:rPr>
              <w:t>5</w:t>
            </w:r>
          </w:p>
        </w:tc>
        <w:tc>
          <w:tcPr>
            <w:tcW w:w="578" w:type="pct"/>
            <w:tcBorders>
              <w:top w:val="nil"/>
              <w:left w:val="nil"/>
              <w:bottom w:val="nil"/>
              <w:right w:val="single" w:sz="4" w:space="0" w:color="auto"/>
            </w:tcBorders>
            <w:shd w:val="clear" w:color="auto" w:fill="auto"/>
            <w:vAlign w:val="center"/>
            <w:hideMark/>
          </w:tcPr>
          <w:p w14:paraId="56D04BB4" w14:textId="15502DFA" w:rsidR="003D3EC9" w:rsidRPr="00243179" w:rsidRDefault="004368C9" w:rsidP="0070497D">
            <w:pPr>
              <w:pStyle w:val="TableTextRight"/>
              <w:rPr>
                <w:lang w:eastAsia="en-AU"/>
              </w:rPr>
            </w:pPr>
            <w:r>
              <w:rPr>
                <w:rFonts w:ascii="Calibri" w:hAnsi="Calibri" w:cs="Calibri"/>
              </w:rPr>
              <w:t>34.</w:t>
            </w:r>
            <w:r w:rsidR="003D3EC9">
              <w:rPr>
                <w:rFonts w:ascii="Calibri" w:hAnsi="Calibri" w:cs="Calibri"/>
              </w:rPr>
              <w:t>7</w:t>
            </w:r>
          </w:p>
        </w:tc>
        <w:tc>
          <w:tcPr>
            <w:tcW w:w="578" w:type="pct"/>
            <w:tcBorders>
              <w:top w:val="nil"/>
              <w:left w:val="nil"/>
              <w:bottom w:val="nil"/>
              <w:right w:val="nil"/>
            </w:tcBorders>
            <w:shd w:val="clear" w:color="auto" w:fill="auto"/>
            <w:vAlign w:val="center"/>
            <w:hideMark/>
          </w:tcPr>
          <w:p w14:paraId="0FF51B73" w14:textId="7071987E" w:rsidR="003D3EC9" w:rsidRPr="00243179" w:rsidRDefault="004368C9" w:rsidP="0070497D">
            <w:pPr>
              <w:pStyle w:val="TableTextRight"/>
              <w:rPr>
                <w:lang w:eastAsia="en-AU"/>
              </w:rPr>
            </w:pPr>
            <w:r>
              <w:rPr>
                <w:rFonts w:ascii="Calibri" w:hAnsi="Calibri" w:cs="Calibri"/>
              </w:rPr>
              <w:t>36.</w:t>
            </w:r>
            <w:r w:rsidR="006D2426">
              <w:rPr>
                <w:rFonts w:ascii="Calibri" w:hAnsi="Calibri" w:cs="Calibri"/>
              </w:rPr>
              <w:t>0</w:t>
            </w:r>
          </w:p>
        </w:tc>
      </w:tr>
      <w:tr w:rsidR="003D3EC9" w:rsidRPr="00243179" w14:paraId="5B441091" w14:textId="77777777" w:rsidTr="00916EF2">
        <w:trPr>
          <w:trHeight w:val="227"/>
        </w:trPr>
        <w:tc>
          <w:tcPr>
            <w:tcW w:w="1531" w:type="pct"/>
            <w:tcBorders>
              <w:top w:val="nil"/>
              <w:left w:val="nil"/>
              <w:bottom w:val="nil"/>
              <w:right w:val="nil"/>
            </w:tcBorders>
            <w:shd w:val="clear" w:color="auto" w:fill="auto"/>
            <w:vAlign w:val="center"/>
            <w:hideMark/>
          </w:tcPr>
          <w:p w14:paraId="088F4CC1"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Greater Darwin</w:t>
            </w:r>
          </w:p>
        </w:tc>
        <w:tc>
          <w:tcPr>
            <w:tcW w:w="579" w:type="pct"/>
            <w:tcBorders>
              <w:top w:val="nil"/>
              <w:left w:val="nil"/>
              <w:bottom w:val="nil"/>
              <w:right w:val="nil"/>
            </w:tcBorders>
            <w:shd w:val="clear" w:color="auto" w:fill="auto"/>
            <w:vAlign w:val="center"/>
            <w:hideMark/>
          </w:tcPr>
          <w:p w14:paraId="7C8037B0" w14:textId="3D031B42" w:rsidR="003D3EC9" w:rsidRPr="00243179" w:rsidRDefault="004368C9" w:rsidP="0070497D">
            <w:pPr>
              <w:pStyle w:val="TableTextRight"/>
              <w:rPr>
                <w:lang w:eastAsia="en-AU"/>
              </w:rPr>
            </w:pPr>
            <w:r>
              <w:rPr>
                <w:rFonts w:ascii="Calibri" w:hAnsi="Calibri" w:cs="Calibri"/>
              </w:rPr>
              <w:t>34.</w:t>
            </w:r>
            <w:r w:rsidR="006D2426">
              <w:rPr>
                <w:rFonts w:ascii="Calibri" w:hAnsi="Calibri" w:cs="Calibri"/>
              </w:rPr>
              <w:t>6</w:t>
            </w:r>
          </w:p>
        </w:tc>
        <w:tc>
          <w:tcPr>
            <w:tcW w:w="578" w:type="pct"/>
            <w:tcBorders>
              <w:top w:val="nil"/>
              <w:left w:val="nil"/>
              <w:bottom w:val="nil"/>
              <w:right w:val="nil"/>
            </w:tcBorders>
            <w:shd w:val="clear" w:color="auto" w:fill="D2EDFF"/>
            <w:vAlign w:val="center"/>
            <w:hideMark/>
          </w:tcPr>
          <w:p w14:paraId="5DE56840" w14:textId="299422D5" w:rsidR="003D3EC9" w:rsidRPr="00243179" w:rsidRDefault="004368C9" w:rsidP="0070497D">
            <w:pPr>
              <w:pStyle w:val="TableTextRight"/>
              <w:rPr>
                <w:lang w:eastAsia="en-AU"/>
              </w:rPr>
            </w:pPr>
            <w:r>
              <w:rPr>
                <w:rFonts w:ascii="Calibri" w:hAnsi="Calibri" w:cs="Calibri"/>
              </w:rPr>
              <w:t>34.</w:t>
            </w:r>
            <w:r w:rsidR="006D2426">
              <w:rPr>
                <w:rFonts w:ascii="Calibri" w:hAnsi="Calibri" w:cs="Calibri"/>
              </w:rPr>
              <w:t>8</w:t>
            </w:r>
          </w:p>
        </w:tc>
        <w:tc>
          <w:tcPr>
            <w:tcW w:w="578" w:type="pct"/>
            <w:tcBorders>
              <w:top w:val="nil"/>
              <w:left w:val="nil"/>
              <w:bottom w:val="nil"/>
              <w:right w:val="nil"/>
            </w:tcBorders>
            <w:shd w:val="clear" w:color="auto" w:fill="auto"/>
            <w:vAlign w:val="center"/>
            <w:hideMark/>
          </w:tcPr>
          <w:p w14:paraId="44DD4F45" w14:textId="7E1F6E9C" w:rsidR="003D3EC9" w:rsidRPr="00243179" w:rsidRDefault="004368C9" w:rsidP="0070497D">
            <w:pPr>
              <w:pStyle w:val="TableTextRight"/>
              <w:rPr>
                <w:lang w:eastAsia="en-AU"/>
              </w:rPr>
            </w:pPr>
            <w:r>
              <w:rPr>
                <w:rFonts w:ascii="Calibri" w:hAnsi="Calibri" w:cs="Calibri"/>
              </w:rPr>
              <w:t>35.</w:t>
            </w:r>
            <w:r w:rsidR="003D3EC9">
              <w:rPr>
                <w:rFonts w:ascii="Calibri" w:hAnsi="Calibri" w:cs="Calibri"/>
              </w:rPr>
              <w:t>1</w:t>
            </w:r>
          </w:p>
        </w:tc>
        <w:tc>
          <w:tcPr>
            <w:tcW w:w="578" w:type="pct"/>
            <w:tcBorders>
              <w:top w:val="nil"/>
              <w:left w:val="nil"/>
              <w:bottom w:val="nil"/>
              <w:right w:val="nil"/>
            </w:tcBorders>
            <w:shd w:val="clear" w:color="auto" w:fill="auto"/>
            <w:vAlign w:val="center"/>
            <w:hideMark/>
          </w:tcPr>
          <w:p w14:paraId="7936D2BE" w14:textId="2A1E45FC" w:rsidR="003D3EC9" w:rsidRPr="00243179" w:rsidRDefault="004368C9" w:rsidP="0070497D">
            <w:pPr>
              <w:pStyle w:val="TableTextRight"/>
              <w:rPr>
                <w:lang w:eastAsia="en-AU"/>
              </w:rPr>
            </w:pPr>
            <w:r>
              <w:rPr>
                <w:rFonts w:ascii="Calibri" w:hAnsi="Calibri" w:cs="Calibri"/>
              </w:rPr>
              <w:t>35.</w:t>
            </w:r>
            <w:r w:rsidR="003D3EC9">
              <w:rPr>
                <w:rFonts w:ascii="Calibri" w:hAnsi="Calibri" w:cs="Calibri"/>
              </w:rPr>
              <w:t>4</w:t>
            </w:r>
          </w:p>
        </w:tc>
        <w:tc>
          <w:tcPr>
            <w:tcW w:w="578" w:type="pct"/>
            <w:tcBorders>
              <w:top w:val="nil"/>
              <w:left w:val="nil"/>
              <w:bottom w:val="nil"/>
              <w:right w:val="single" w:sz="4" w:space="0" w:color="auto"/>
            </w:tcBorders>
            <w:shd w:val="clear" w:color="auto" w:fill="auto"/>
            <w:vAlign w:val="center"/>
            <w:hideMark/>
          </w:tcPr>
          <w:p w14:paraId="473FCA92" w14:textId="61A22A41" w:rsidR="003D3EC9" w:rsidRPr="00243179" w:rsidRDefault="004368C9" w:rsidP="0070497D">
            <w:pPr>
              <w:pStyle w:val="TableTextRight"/>
              <w:rPr>
                <w:lang w:eastAsia="en-AU"/>
              </w:rPr>
            </w:pPr>
            <w:r>
              <w:rPr>
                <w:rFonts w:ascii="Calibri" w:hAnsi="Calibri" w:cs="Calibri"/>
              </w:rPr>
              <w:t>35.</w:t>
            </w:r>
            <w:r w:rsidR="003D3EC9">
              <w:rPr>
                <w:rFonts w:ascii="Calibri" w:hAnsi="Calibri" w:cs="Calibri"/>
              </w:rPr>
              <w:t>6</w:t>
            </w:r>
          </w:p>
        </w:tc>
        <w:tc>
          <w:tcPr>
            <w:tcW w:w="578" w:type="pct"/>
            <w:tcBorders>
              <w:top w:val="nil"/>
              <w:left w:val="nil"/>
              <w:bottom w:val="nil"/>
              <w:right w:val="nil"/>
            </w:tcBorders>
            <w:shd w:val="clear" w:color="auto" w:fill="auto"/>
            <w:vAlign w:val="center"/>
            <w:hideMark/>
          </w:tcPr>
          <w:p w14:paraId="754B0D24" w14:textId="0459E595" w:rsidR="003D3EC9" w:rsidRPr="00243179" w:rsidRDefault="004368C9" w:rsidP="0070497D">
            <w:pPr>
              <w:pStyle w:val="TableTextRight"/>
              <w:rPr>
                <w:lang w:eastAsia="en-AU"/>
              </w:rPr>
            </w:pPr>
            <w:r>
              <w:rPr>
                <w:rFonts w:ascii="Calibri" w:hAnsi="Calibri" w:cs="Calibri"/>
              </w:rPr>
              <w:t>36.</w:t>
            </w:r>
            <w:r w:rsidR="006D2426">
              <w:rPr>
                <w:rFonts w:ascii="Calibri" w:hAnsi="Calibri" w:cs="Calibri"/>
              </w:rPr>
              <w:t>8</w:t>
            </w:r>
          </w:p>
        </w:tc>
      </w:tr>
      <w:tr w:rsidR="003D3EC9" w:rsidRPr="00243179" w14:paraId="28B20205" w14:textId="77777777" w:rsidTr="00916EF2">
        <w:trPr>
          <w:trHeight w:val="227"/>
        </w:trPr>
        <w:tc>
          <w:tcPr>
            <w:tcW w:w="1531" w:type="pct"/>
            <w:tcBorders>
              <w:top w:val="nil"/>
              <w:left w:val="nil"/>
              <w:bottom w:val="single" w:sz="4" w:space="0" w:color="auto"/>
              <w:right w:val="nil"/>
            </w:tcBorders>
            <w:shd w:val="clear" w:color="auto" w:fill="auto"/>
            <w:vAlign w:val="center"/>
            <w:hideMark/>
          </w:tcPr>
          <w:p w14:paraId="5D3C797E" w14:textId="77777777" w:rsidR="003D3EC9" w:rsidRPr="00243179" w:rsidRDefault="003D3EC9" w:rsidP="00916EF2">
            <w:pPr>
              <w:spacing w:before="0" w:after="0" w:line="240" w:lineRule="auto"/>
              <w:ind w:firstLineChars="100" w:firstLine="200"/>
              <w:rPr>
                <w:rFonts w:ascii="Calibri" w:eastAsia="Times New Roman" w:hAnsi="Calibri" w:cs="Calibri"/>
                <w:i/>
                <w:iCs/>
                <w:color w:val="002C47"/>
                <w:lang w:eastAsia="en-AU"/>
              </w:rPr>
            </w:pPr>
            <w:r w:rsidRPr="00243179">
              <w:rPr>
                <w:rFonts w:ascii="Calibri" w:eastAsia="Times New Roman" w:hAnsi="Calibri" w:cs="Calibri"/>
                <w:i/>
                <w:iCs/>
                <w:color w:val="002C47"/>
                <w:lang w:eastAsia="en-AU"/>
              </w:rPr>
              <w:t>Rest of Northern Territory</w:t>
            </w:r>
          </w:p>
        </w:tc>
        <w:tc>
          <w:tcPr>
            <w:tcW w:w="579" w:type="pct"/>
            <w:tcBorders>
              <w:top w:val="nil"/>
              <w:left w:val="nil"/>
              <w:bottom w:val="single" w:sz="4" w:space="0" w:color="auto"/>
              <w:right w:val="nil"/>
            </w:tcBorders>
            <w:shd w:val="clear" w:color="auto" w:fill="auto"/>
            <w:vAlign w:val="center"/>
            <w:hideMark/>
          </w:tcPr>
          <w:p w14:paraId="740DC969" w14:textId="4F4AEFEF" w:rsidR="003D3EC9" w:rsidRPr="00243179" w:rsidRDefault="004368C9" w:rsidP="0070497D">
            <w:pPr>
              <w:pStyle w:val="TableTextRight"/>
              <w:rPr>
                <w:lang w:eastAsia="en-AU"/>
              </w:rPr>
            </w:pPr>
            <w:r>
              <w:rPr>
                <w:rFonts w:ascii="Calibri" w:hAnsi="Calibri" w:cs="Calibri"/>
              </w:rPr>
              <w:t>32.</w:t>
            </w:r>
            <w:r w:rsidR="003D3EC9">
              <w:rPr>
                <w:rFonts w:ascii="Calibri" w:hAnsi="Calibri" w:cs="Calibri"/>
              </w:rPr>
              <w:t>3</w:t>
            </w:r>
          </w:p>
        </w:tc>
        <w:tc>
          <w:tcPr>
            <w:tcW w:w="578" w:type="pct"/>
            <w:tcBorders>
              <w:top w:val="nil"/>
              <w:left w:val="nil"/>
              <w:bottom w:val="single" w:sz="4" w:space="0" w:color="auto"/>
              <w:right w:val="nil"/>
            </w:tcBorders>
            <w:shd w:val="clear" w:color="auto" w:fill="D2EDFF"/>
            <w:vAlign w:val="center"/>
            <w:hideMark/>
          </w:tcPr>
          <w:p w14:paraId="4FF4BDE6" w14:textId="1C49FE0F" w:rsidR="003D3EC9" w:rsidRPr="00243179" w:rsidRDefault="004368C9" w:rsidP="0070497D">
            <w:pPr>
              <w:pStyle w:val="TableTextRight"/>
              <w:rPr>
                <w:lang w:eastAsia="en-AU"/>
              </w:rPr>
            </w:pPr>
            <w:r>
              <w:rPr>
                <w:rFonts w:ascii="Calibri" w:hAnsi="Calibri" w:cs="Calibri"/>
              </w:rPr>
              <w:t>32.</w:t>
            </w:r>
            <w:r w:rsidR="003D3EC9">
              <w:rPr>
                <w:rFonts w:ascii="Calibri" w:hAnsi="Calibri" w:cs="Calibri"/>
              </w:rPr>
              <w:t>6</w:t>
            </w:r>
          </w:p>
        </w:tc>
        <w:tc>
          <w:tcPr>
            <w:tcW w:w="578" w:type="pct"/>
            <w:tcBorders>
              <w:top w:val="nil"/>
              <w:left w:val="nil"/>
              <w:bottom w:val="single" w:sz="4" w:space="0" w:color="auto"/>
              <w:right w:val="nil"/>
            </w:tcBorders>
            <w:shd w:val="clear" w:color="auto" w:fill="auto"/>
            <w:vAlign w:val="center"/>
            <w:hideMark/>
          </w:tcPr>
          <w:p w14:paraId="7B260B06" w14:textId="027BB301" w:rsidR="003D3EC9" w:rsidRPr="00243179" w:rsidRDefault="004368C9" w:rsidP="0070497D">
            <w:pPr>
              <w:pStyle w:val="TableTextRight"/>
              <w:rPr>
                <w:lang w:eastAsia="en-AU"/>
              </w:rPr>
            </w:pPr>
            <w:r>
              <w:rPr>
                <w:rFonts w:ascii="Calibri" w:hAnsi="Calibri" w:cs="Calibri"/>
              </w:rPr>
              <w:t>32.</w:t>
            </w:r>
            <w:r w:rsidR="003D3EC9">
              <w:rPr>
                <w:rFonts w:ascii="Calibri" w:hAnsi="Calibri" w:cs="Calibri"/>
              </w:rPr>
              <w:t>8</w:t>
            </w:r>
          </w:p>
        </w:tc>
        <w:tc>
          <w:tcPr>
            <w:tcW w:w="578" w:type="pct"/>
            <w:tcBorders>
              <w:top w:val="nil"/>
              <w:left w:val="nil"/>
              <w:bottom w:val="single" w:sz="4" w:space="0" w:color="auto"/>
              <w:right w:val="nil"/>
            </w:tcBorders>
            <w:shd w:val="clear" w:color="auto" w:fill="auto"/>
            <w:vAlign w:val="center"/>
            <w:hideMark/>
          </w:tcPr>
          <w:p w14:paraId="7D81E9A6" w14:textId="28E75A35" w:rsidR="003D3EC9" w:rsidRPr="00243179" w:rsidRDefault="004368C9" w:rsidP="0070497D">
            <w:pPr>
              <w:pStyle w:val="TableTextRight"/>
              <w:rPr>
                <w:lang w:eastAsia="en-AU"/>
              </w:rPr>
            </w:pPr>
            <w:r>
              <w:rPr>
                <w:rFonts w:ascii="Calibri" w:hAnsi="Calibri" w:cs="Calibri"/>
              </w:rPr>
              <w:t>33.</w:t>
            </w:r>
            <w:r w:rsidR="003D3EC9">
              <w:rPr>
                <w:rFonts w:ascii="Calibri" w:hAnsi="Calibri" w:cs="Calibri"/>
              </w:rPr>
              <w:t>0</w:t>
            </w:r>
          </w:p>
        </w:tc>
        <w:tc>
          <w:tcPr>
            <w:tcW w:w="578" w:type="pct"/>
            <w:tcBorders>
              <w:top w:val="nil"/>
              <w:left w:val="nil"/>
              <w:bottom w:val="single" w:sz="4" w:space="0" w:color="auto"/>
              <w:right w:val="single" w:sz="4" w:space="0" w:color="auto"/>
            </w:tcBorders>
            <w:shd w:val="clear" w:color="auto" w:fill="auto"/>
            <w:vAlign w:val="center"/>
            <w:hideMark/>
          </w:tcPr>
          <w:p w14:paraId="7BED8AE6" w14:textId="146B4659" w:rsidR="003D3EC9" w:rsidRPr="00243179" w:rsidRDefault="004368C9" w:rsidP="0070497D">
            <w:pPr>
              <w:pStyle w:val="TableTextRight"/>
              <w:rPr>
                <w:lang w:eastAsia="en-AU"/>
              </w:rPr>
            </w:pPr>
            <w:r>
              <w:rPr>
                <w:rFonts w:ascii="Calibri" w:hAnsi="Calibri" w:cs="Calibri"/>
              </w:rPr>
              <w:t>33.</w:t>
            </w:r>
            <w:r w:rsidR="003D3EC9">
              <w:rPr>
                <w:rFonts w:ascii="Calibri" w:hAnsi="Calibri" w:cs="Calibri"/>
              </w:rPr>
              <w:t>2</w:t>
            </w:r>
          </w:p>
        </w:tc>
        <w:tc>
          <w:tcPr>
            <w:tcW w:w="578" w:type="pct"/>
            <w:tcBorders>
              <w:top w:val="nil"/>
              <w:left w:val="nil"/>
              <w:bottom w:val="single" w:sz="4" w:space="0" w:color="auto"/>
              <w:right w:val="nil"/>
            </w:tcBorders>
            <w:shd w:val="clear" w:color="auto" w:fill="auto"/>
            <w:vAlign w:val="center"/>
            <w:hideMark/>
          </w:tcPr>
          <w:p w14:paraId="62F694A9" w14:textId="47AAFD2E" w:rsidR="003D3EC9" w:rsidRPr="00243179" w:rsidRDefault="004368C9" w:rsidP="0070497D">
            <w:pPr>
              <w:pStyle w:val="TableTextRight"/>
              <w:rPr>
                <w:lang w:eastAsia="en-AU"/>
              </w:rPr>
            </w:pPr>
            <w:r>
              <w:rPr>
                <w:rFonts w:ascii="Calibri" w:hAnsi="Calibri" w:cs="Calibri"/>
              </w:rPr>
              <w:t>34.</w:t>
            </w:r>
            <w:r w:rsidR="003D3EC9">
              <w:rPr>
                <w:rFonts w:ascii="Calibri" w:hAnsi="Calibri" w:cs="Calibri"/>
              </w:rPr>
              <w:t>5</w:t>
            </w:r>
          </w:p>
        </w:tc>
      </w:tr>
    </w:tbl>
    <w:p w14:paraId="50043F80" w14:textId="4C89158B" w:rsidR="0070497D" w:rsidRDefault="003D3EC9" w:rsidP="003D3EC9">
      <w:pPr>
        <w:pStyle w:val="Source"/>
      </w:pPr>
      <w:r w:rsidRPr="00D47BF1">
        <w:t xml:space="preserve">Source: </w:t>
      </w:r>
      <w:r>
        <w:tab/>
      </w:r>
      <w:r w:rsidRPr="00D47BF1">
        <w:t xml:space="preserve">ABS, </w:t>
      </w:r>
      <w:bookmarkStart w:id="236" w:name="_Toc149846515"/>
      <w:bookmarkStart w:id="237" w:name="_Toc149846556"/>
      <w:bookmarkStart w:id="238" w:name="_Toc149846654"/>
      <w:bookmarkStart w:id="239" w:name="_Toc149847597"/>
      <w:r w:rsidR="009155F8" w:rsidRPr="00997375">
        <w:rPr>
          <w:rStyle w:val="SubtleEmphasis"/>
        </w:rPr>
        <w:t>National, state and territory population, March 2024</w:t>
      </w:r>
      <w:r>
        <w:t xml:space="preserve">; ABS, </w:t>
      </w:r>
      <w:r w:rsidR="0035214B" w:rsidRPr="00997375">
        <w:rPr>
          <w:rStyle w:val="SubtleEmphasis"/>
        </w:rPr>
        <w:t>Regional population, 2022–23</w:t>
      </w:r>
      <w:r w:rsidRPr="00997375">
        <w:rPr>
          <w:rStyle w:val="SubtleEmphasis"/>
        </w:rPr>
        <w:t>;</w:t>
      </w:r>
      <w:r>
        <w:t xml:space="preserve"> and Centre for Population.</w:t>
      </w:r>
    </w:p>
    <w:p w14:paraId="764B5548" w14:textId="77777777" w:rsidR="0070497D" w:rsidRDefault="0070497D">
      <w:pPr>
        <w:spacing w:before="0" w:after="160" w:line="259" w:lineRule="auto"/>
        <w:rPr>
          <w:sz w:val="18"/>
          <w:bdr w:val="none" w:sz="0" w:space="0" w:color="auto" w:frame="1"/>
        </w:rPr>
      </w:pPr>
      <w:r>
        <w:br w:type="page"/>
      </w:r>
    </w:p>
    <w:p w14:paraId="4E04E87E" w14:textId="77777777" w:rsidR="003D3EC9" w:rsidRPr="001D20C5" w:rsidRDefault="003D3EC9" w:rsidP="003D3EC9">
      <w:pPr>
        <w:pStyle w:val="Heading2Numbered"/>
      </w:pPr>
      <w:bookmarkStart w:id="240" w:name="_Toc180584528"/>
      <w:bookmarkStart w:id="241" w:name="_Toc185333119"/>
      <w:bookmarkStart w:id="242" w:name="_Toc185346736"/>
      <w:r w:rsidRPr="001D20C5">
        <w:lastRenderedPageBreak/>
        <w:t>Australian Capital Territory</w:t>
      </w:r>
      <w:bookmarkEnd w:id="235"/>
      <w:bookmarkEnd w:id="236"/>
      <w:bookmarkEnd w:id="237"/>
      <w:bookmarkEnd w:id="238"/>
      <w:bookmarkEnd w:id="239"/>
      <w:bookmarkEnd w:id="240"/>
      <w:bookmarkEnd w:id="241"/>
      <w:bookmarkEnd w:id="242"/>
    </w:p>
    <w:p w14:paraId="2D57FF31" w14:textId="66B716EB" w:rsidR="003D3EC9" w:rsidRDefault="003D3EC9" w:rsidP="003D3EC9">
      <w:bookmarkStart w:id="243" w:name="_Toc149846516"/>
      <w:bookmarkStart w:id="244" w:name="_Toc149846557"/>
      <w:bookmarkStart w:id="245" w:name="_Toc149846655"/>
      <w:bookmarkStart w:id="246" w:name="_Toc149847598"/>
      <w:bookmarkStart w:id="247" w:name="_Toc151994731"/>
      <w:r>
        <w:t xml:space="preserve">The population of the Australian Capital Territory </w:t>
      </w:r>
      <w:r w:rsidRPr="00D747A3">
        <w:t xml:space="preserve">is projected to increase from </w:t>
      </w:r>
      <w:r w:rsidR="008E42BB">
        <w:t>474</w:t>
      </w:r>
      <w:r w:rsidRPr="00D747A3">
        <w:t>,000 in 2023</w:t>
      </w:r>
      <w:r>
        <w:t>–</w:t>
      </w:r>
      <w:r w:rsidRPr="00D747A3">
        <w:t xml:space="preserve">24 to </w:t>
      </w:r>
      <w:r w:rsidR="008E42BB">
        <w:t>541</w:t>
      </w:r>
      <w:r w:rsidRPr="00D747A3">
        <w:t xml:space="preserve">,000 </w:t>
      </w:r>
      <w:r>
        <w:t>in</w:t>
      </w:r>
      <w:r w:rsidRPr="00D747A3">
        <w:t xml:space="preserve"> 2034–35</w:t>
      </w:r>
      <w:r>
        <w:t>.</w:t>
      </w:r>
      <w:r w:rsidDel="00C407EF">
        <w:t xml:space="preserve"> </w:t>
      </w:r>
      <w:r>
        <w:t>The population growth rate is forecast to decline to 1.6</w:t>
      </w:r>
      <w:r w:rsidR="00FF207F">
        <w:t> per cent</w:t>
      </w:r>
      <w:r>
        <w:t xml:space="preserve"> in 2023–24</w:t>
      </w:r>
      <w:r w:rsidR="00F039AB">
        <w:t>,</w:t>
      </w:r>
      <w:r>
        <w:t xml:space="preserve"> 1.2</w:t>
      </w:r>
      <w:r w:rsidR="00FF207F">
        <w:t> per cent</w:t>
      </w:r>
      <w:r>
        <w:t xml:space="preserve"> </w:t>
      </w:r>
      <w:r w:rsidR="00F039AB">
        <w:t xml:space="preserve">in </w:t>
      </w:r>
      <w:r>
        <w:t>2026–</w:t>
      </w:r>
      <w:r w:rsidR="00C73CB5">
        <w:t>‍</w:t>
      </w:r>
      <w:r>
        <w:t>27</w:t>
      </w:r>
      <w:r w:rsidR="00F039AB">
        <w:t xml:space="preserve"> and 1.1 per cent in 2034–35</w:t>
      </w:r>
      <w:r>
        <w:t>.</w:t>
      </w:r>
    </w:p>
    <w:p w14:paraId="23E5D757" w14:textId="558A6222" w:rsidR="003D3EC9" w:rsidRDefault="003D3EC9" w:rsidP="003D3EC9">
      <w:r>
        <w:t xml:space="preserve">As </w:t>
      </w:r>
      <w:r w:rsidR="00E54677">
        <w:t>NOM</w:t>
      </w:r>
      <w:r>
        <w:t xml:space="preserve"> declines, natural increase is expected to become the main source of population growth in the Australian Capital Territory, reflecting the Territory</w:t>
      </w:r>
      <w:r w:rsidR="00050D25">
        <w:t>’</w:t>
      </w:r>
      <w:r>
        <w:t xml:space="preserve">s young age structure. Net interstate migration is expected to be an outflow of 2,000 in 2023–24, which would be the largest annual outflow </w:t>
      </w:r>
      <w:r w:rsidR="00B85CD3">
        <w:t xml:space="preserve">in the </w:t>
      </w:r>
      <w:r w:rsidR="009A2F35">
        <w:t>T</w:t>
      </w:r>
      <w:r w:rsidR="00B85CD3">
        <w:t>erritory</w:t>
      </w:r>
      <w:r>
        <w:t xml:space="preserve"> outside of the </w:t>
      </w:r>
      <w:r w:rsidR="00480F71">
        <w:t>COVID</w:t>
      </w:r>
      <w:r w:rsidR="00050D25">
        <w:noBreakHyphen/>
      </w:r>
      <w:r w:rsidR="00480F71">
        <w:t xml:space="preserve">19 </w:t>
      </w:r>
      <w:r>
        <w:t>pandemic since 1998. Net interstate migration is forecast to return to its long</w:t>
      </w:r>
      <w:r w:rsidR="00050D25">
        <w:noBreakHyphen/>
      </w:r>
      <w:r>
        <w:t>run trend of a small inflow of 400 in 2026–27 and remain around that level until 2034–35.</w:t>
      </w:r>
    </w:p>
    <w:p w14:paraId="4382E498" w14:textId="7A5CC0DE" w:rsidR="003D3EC9" w:rsidRDefault="003D3EC9" w:rsidP="003D3EC9">
      <w:r>
        <w:t>The ACT experienced large population revisions following the 2021 Census, likely due to challenges in measuring net interstate and overseas migration. To help reduce the size of future revisions, the ABS is implementing an intercensal review of net internal migration (</w:t>
      </w:r>
      <w:r w:rsidRPr="00B9347E">
        <w:t xml:space="preserve">Appendix </w:t>
      </w:r>
      <w:r w:rsidR="004E1202">
        <w:t>–</w:t>
      </w:r>
      <w:r w:rsidRPr="00B9347E">
        <w:t xml:space="preserve"> </w:t>
      </w:r>
      <w:r w:rsidR="00C07B66">
        <w:fldChar w:fldCharType="begin"/>
      </w:r>
      <w:r w:rsidR="00C07B66">
        <w:instrText xml:space="preserve"> REF _Ref184287102 \r \h </w:instrText>
      </w:r>
      <w:r w:rsidR="00C07B66">
        <w:fldChar w:fldCharType="separate"/>
      </w:r>
      <w:r w:rsidR="00050D25">
        <w:t>Box 12</w:t>
      </w:r>
      <w:r w:rsidR="00C07B66">
        <w:fldChar w:fldCharType="end"/>
      </w:r>
      <w:r>
        <w:t xml:space="preserve">). </w:t>
      </w:r>
    </w:p>
    <w:p w14:paraId="0F8879B5" w14:textId="16E1D01D" w:rsidR="003D3EC9" w:rsidRPr="00DF4285" w:rsidRDefault="003D3EC9" w:rsidP="00654915">
      <w:pPr>
        <w:pStyle w:val="ChartMainHeading"/>
      </w:pPr>
      <w:r w:rsidRPr="0080495D">
        <w:t xml:space="preserve">Population growth </w:t>
      </w:r>
      <w:r w:rsidR="00631419">
        <w:t xml:space="preserve">in the </w:t>
      </w:r>
      <w:r>
        <w:t>Australian Capital Territory</w:t>
      </w:r>
    </w:p>
    <w:p w14:paraId="01B1CA1B" w14:textId="6FF9A5F9" w:rsidR="003D3EC9" w:rsidRDefault="00607B3C" w:rsidP="00A633E1">
      <w:pPr>
        <w:pStyle w:val="ChartGraphic"/>
      </w:pPr>
      <w:r w:rsidRPr="00607B3C">
        <w:t xml:space="preserve"> </w:t>
      </w:r>
      <w:r w:rsidR="00F80753" w:rsidRPr="00F80753">
        <w:rPr>
          <w:noProof/>
        </w:rPr>
        <w:drawing>
          <wp:inline distT="0" distB="0" distL="0" distR="0" wp14:anchorId="169FF22A" wp14:editId="5E7A67BE">
            <wp:extent cx="5580852" cy="2880000"/>
            <wp:effectExtent l="0" t="0" r="0" b="0"/>
            <wp:docPr id="1855241517" name="Picture 1855241517" descr="This chart shows the population growth rate and contribution to growth by components for the Australian Capital Territory. Population growth in the Australian Capital Territory fell to a low in 2021–22, rather than 2020–21. Growth recovered quickly and peaked a year later in 2022–23 driven by large inflows of overseas arrivals. Growth in the Australian Capital Territory is forecast to decline and stabilise by 2024–25 as net overseas migration returns to pre-pandemic levels. From 2026–27 onwards, contribution to growth from natural increase is expected to slightly surpass net overseas mig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1517" name="Picture 1855241517" descr="This chart shows the population growth rate and contribution to growth by components for the Australian Capital Territory. Population growth in the Australian Capital Territory fell to a low in 2021–22, rather than 2020–21. Growth recovered quickly and peaked a year later in 2022–23 driven by large inflows of overseas arrivals. Growth in the Australian Capital Territory is forecast to decline and stabilise by 2024–25 as net overseas migration returns to pre-pandemic levels. From 2026–27 onwards, contribution to growth from natural increase is expected to slightly surpass net overseas migratio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0852" cy="2880000"/>
                    </a:xfrm>
                    <a:prstGeom prst="rect">
                      <a:avLst/>
                    </a:prstGeom>
                    <a:noFill/>
                    <a:ln>
                      <a:noFill/>
                    </a:ln>
                  </pic:spPr>
                </pic:pic>
              </a:graphicData>
            </a:graphic>
          </wp:inline>
        </w:drawing>
      </w:r>
    </w:p>
    <w:p w14:paraId="1CA32DE0" w14:textId="0E4F4DD2" w:rsidR="003D3EC9" w:rsidRDefault="003D3EC9" w:rsidP="003D3EC9">
      <w:pPr>
        <w:pStyle w:val="Source"/>
      </w:pPr>
      <w:r w:rsidRPr="00DA7BCF">
        <w:t xml:space="preserve">Source: </w:t>
      </w:r>
      <w:r w:rsidRPr="00DA7BCF">
        <w:tab/>
        <w:t xml:space="preserve">ABS, </w:t>
      </w:r>
      <w:r w:rsidR="009155F8" w:rsidRPr="00997375">
        <w:rPr>
          <w:rStyle w:val="SubtleEmphasis"/>
        </w:rPr>
        <w:t>National, state and territory population, March 2024</w:t>
      </w:r>
      <w:r>
        <w:t>;</w:t>
      </w:r>
      <w:r w:rsidRPr="00DA7BCF">
        <w:t xml:space="preserve"> and Centre for Population.</w:t>
      </w:r>
    </w:p>
    <w:p w14:paraId="6568361C" w14:textId="77777777" w:rsidR="00997375" w:rsidRPr="00DA7BCF" w:rsidRDefault="00997375" w:rsidP="00997375">
      <w:pPr>
        <w:pStyle w:val="SingleParagraph"/>
      </w:pPr>
    </w:p>
    <w:p w14:paraId="622928D3" w14:textId="77777777" w:rsidR="003D3EC9" w:rsidRPr="0080495D" w:rsidRDefault="003D3EC9" w:rsidP="00FF207F">
      <w:pPr>
        <w:pStyle w:val="TableMainHeading"/>
      </w:pPr>
      <w:r w:rsidRPr="0080495D">
        <w:t>Population projections,</w:t>
      </w:r>
      <w:r w:rsidRPr="00CE3FAA">
        <w:t xml:space="preserve"> Australian Capital Territory</w:t>
      </w:r>
    </w:p>
    <w:tbl>
      <w:tblPr>
        <w:tblW w:w="5000" w:type="pct"/>
        <w:tblLook w:val="04A0" w:firstRow="1" w:lastRow="0" w:firstColumn="1" w:lastColumn="0" w:noHBand="0" w:noVBand="1"/>
      </w:tblPr>
      <w:tblGrid>
        <w:gridCol w:w="2778"/>
        <w:gridCol w:w="1049"/>
        <w:gridCol w:w="1049"/>
        <w:gridCol w:w="1049"/>
        <w:gridCol w:w="1049"/>
        <w:gridCol w:w="1049"/>
        <w:gridCol w:w="1049"/>
      </w:tblGrid>
      <w:tr w:rsidR="003D3EC9" w:rsidRPr="00172E03" w14:paraId="579BF97C" w14:textId="77777777" w:rsidTr="00916EF2">
        <w:trPr>
          <w:trHeight w:val="300"/>
        </w:trPr>
        <w:tc>
          <w:tcPr>
            <w:tcW w:w="1531" w:type="pct"/>
            <w:tcBorders>
              <w:top w:val="single" w:sz="4" w:space="0" w:color="auto"/>
              <w:left w:val="nil"/>
              <w:bottom w:val="single" w:sz="4" w:space="0" w:color="auto"/>
              <w:right w:val="nil"/>
            </w:tcBorders>
            <w:shd w:val="clear" w:color="auto" w:fill="auto"/>
            <w:vAlign w:val="center"/>
            <w:hideMark/>
          </w:tcPr>
          <w:p w14:paraId="60100463" w14:textId="77777777" w:rsidR="003D3EC9" w:rsidRPr="00172E03" w:rsidRDefault="003D3EC9" w:rsidP="00916EF2">
            <w:pPr>
              <w:spacing w:before="0" w:after="0" w:line="240" w:lineRule="auto"/>
              <w:rPr>
                <w:rFonts w:ascii="Calibri" w:eastAsia="Times New Roman" w:hAnsi="Calibri" w:cs="Calibri"/>
                <w:color w:val="000000"/>
                <w:lang w:eastAsia="en-AU"/>
              </w:rPr>
            </w:pPr>
            <w:r w:rsidRPr="00172E03">
              <w:rPr>
                <w:rFonts w:ascii="Calibri" w:eastAsia="Times New Roman" w:hAnsi="Calibri" w:cs="Calibri"/>
                <w:color w:val="000000"/>
                <w:lang w:eastAsia="en-AU"/>
              </w:rPr>
              <w:t> </w:t>
            </w:r>
          </w:p>
        </w:tc>
        <w:tc>
          <w:tcPr>
            <w:tcW w:w="578" w:type="pct"/>
            <w:tcBorders>
              <w:top w:val="single" w:sz="4" w:space="0" w:color="auto"/>
              <w:left w:val="nil"/>
              <w:bottom w:val="single" w:sz="4" w:space="0" w:color="auto"/>
              <w:right w:val="nil"/>
            </w:tcBorders>
            <w:shd w:val="clear" w:color="auto" w:fill="auto"/>
            <w:noWrap/>
            <w:vAlign w:val="center"/>
            <w:hideMark/>
          </w:tcPr>
          <w:p w14:paraId="61852CB8" w14:textId="77777777" w:rsidR="003D3EC9" w:rsidRPr="00172E03" w:rsidRDefault="003D3EC9" w:rsidP="0070497D">
            <w:pPr>
              <w:pStyle w:val="TableColumnHeadingRight"/>
            </w:pPr>
            <w:r w:rsidRPr="00172E03">
              <w:t>2022</w:t>
            </w:r>
            <w:r>
              <w:t>–</w:t>
            </w:r>
            <w:r w:rsidRPr="00172E03">
              <w:t>23</w:t>
            </w:r>
          </w:p>
        </w:tc>
        <w:tc>
          <w:tcPr>
            <w:tcW w:w="578" w:type="pct"/>
            <w:tcBorders>
              <w:top w:val="single" w:sz="4" w:space="0" w:color="auto"/>
              <w:left w:val="nil"/>
              <w:bottom w:val="single" w:sz="4" w:space="0" w:color="auto"/>
              <w:right w:val="nil"/>
            </w:tcBorders>
            <w:shd w:val="clear" w:color="auto" w:fill="D2EDFF"/>
            <w:noWrap/>
            <w:vAlign w:val="center"/>
            <w:hideMark/>
          </w:tcPr>
          <w:p w14:paraId="4D11781E" w14:textId="77777777" w:rsidR="003D3EC9" w:rsidRPr="00172E03" w:rsidRDefault="003D3EC9" w:rsidP="0070497D">
            <w:pPr>
              <w:pStyle w:val="TableColumnHeadingRight"/>
            </w:pPr>
            <w:r w:rsidRPr="00172E03">
              <w:t>2023</w:t>
            </w:r>
            <w:r>
              <w:t>–</w:t>
            </w:r>
            <w:r w:rsidRPr="00172E03">
              <w:t>24</w:t>
            </w:r>
          </w:p>
        </w:tc>
        <w:tc>
          <w:tcPr>
            <w:tcW w:w="578" w:type="pct"/>
            <w:tcBorders>
              <w:top w:val="single" w:sz="4" w:space="0" w:color="auto"/>
              <w:left w:val="nil"/>
              <w:bottom w:val="single" w:sz="4" w:space="0" w:color="auto"/>
              <w:right w:val="nil"/>
            </w:tcBorders>
            <w:shd w:val="clear" w:color="auto" w:fill="auto"/>
            <w:noWrap/>
            <w:vAlign w:val="center"/>
            <w:hideMark/>
          </w:tcPr>
          <w:p w14:paraId="3239F89B" w14:textId="77777777" w:rsidR="003D3EC9" w:rsidRPr="00172E03" w:rsidRDefault="003D3EC9" w:rsidP="0070497D">
            <w:pPr>
              <w:pStyle w:val="TableColumnHeadingRight"/>
            </w:pPr>
            <w:r w:rsidRPr="00172E03">
              <w:t>2024</w:t>
            </w:r>
            <w:r>
              <w:t>–</w:t>
            </w:r>
            <w:r w:rsidRPr="00172E03">
              <w:t>25</w:t>
            </w:r>
          </w:p>
        </w:tc>
        <w:tc>
          <w:tcPr>
            <w:tcW w:w="578" w:type="pct"/>
            <w:tcBorders>
              <w:top w:val="single" w:sz="4" w:space="0" w:color="auto"/>
              <w:left w:val="nil"/>
              <w:bottom w:val="single" w:sz="4" w:space="0" w:color="auto"/>
              <w:right w:val="nil"/>
            </w:tcBorders>
            <w:shd w:val="clear" w:color="auto" w:fill="auto"/>
            <w:noWrap/>
            <w:vAlign w:val="center"/>
            <w:hideMark/>
          </w:tcPr>
          <w:p w14:paraId="750326C0" w14:textId="77777777" w:rsidR="003D3EC9" w:rsidRPr="00172E03" w:rsidRDefault="003D3EC9" w:rsidP="0070497D">
            <w:pPr>
              <w:pStyle w:val="TableColumnHeadingRight"/>
            </w:pPr>
            <w:r w:rsidRPr="00172E03">
              <w:t>2025</w:t>
            </w:r>
            <w:r>
              <w:t>–</w:t>
            </w:r>
            <w:r w:rsidRPr="00172E03">
              <w:t>26</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14F288CA" w14:textId="77777777" w:rsidR="003D3EC9" w:rsidRPr="00172E03" w:rsidRDefault="003D3EC9" w:rsidP="0070497D">
            <w:pPr>
              <w:pStyle w:val="TableColumnHeadingRight"/>
            </w:pPr>
            <w:r w:rsidRPr="00172E03">
              <w:t>2026</w:t>
            </w:r>
            <w:r>
              <w:t>–</w:t>
            </w:r>
            <w:r w:rsidRPr="00172E03">
              <w:t>27</w:t>
            </w:r>
          </w:p>
        </w:tc>
        <w:tc>
          <w:tcPr>
            <w:tcW w:w="578" w:type="pct"/>
            <w:tcBorders>
              <w:top w:val="single" w:sz="4" w:space="0" w:color="auto"/>
              <w:left w:val="nil"/>
              <w:bottom w:val="single" w:sz="4" w:space="0" w:color="auto"/>
              <w:right w:val="nil"/>
            </w:tcBorders>
            <w:shd w:val="clear" w:color="auto" w:fill="auto"/>
            <w:noWrap/>
            <w:vAlign w:val="center"/>
            <w:hideMark/>
          </w:tcPr>
          <w:p w14:paraId="37767CBC" w14:textId="77777777" w:rsidR="003D3EC9" w:rsidRPr="00172E03" w:rsidRDefault="003D3EC9" w:rsidP="0070497D">
            <w:pPr>
              <w:pStyle w:val="TableColumnHeadingRight"/>
            </w:pPr>
            <w:r w:rsidRPr="00172E03">
              <w:t>2034</w:t>
            </w:r>
            <w:r>
              <w:t>–</w:t>
            </w:r>
            <w:r w:rsidRPr="00172E03">
              <w:t>35</w:t>
            </w:r>
          </w:p>
        </w:tc>
      </w:tr>
      <w:tr w:rsidR="003D3EC9" w:rsidRPr="00172E03" w14:paraId="724760F3" w14:textId="77777777" w:rsidTr="00916EF2">
        <w:trPr>
          <w:trHeight w:val="300"/>
        </w:trPr>
        <w:tc>
          <w:tcPr>
            <w:tcW w:w="1531" w:type="pct"/>
            <w:tcBorders>
              <w:top w:val="nil"/>
              <w:left w:val="nil"/>
              <w:bottom w:val="nil"/>
              <w:right w:val="nil"/>
            </w:tcBorders>
            <w:shd w:val="clear" w:color="auto" w:fill="auto"/>
            <w:vAlign w:val="center"/>
            <w:hideMark/>
          </w:tcPr>
          <w:p w14:paraId="15BEE4F0" w14:textId="3925A5F6"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Population (</w:t>
            </w:r>
            <w:r w:rsidR="00050D25">
              <w:rPr>
                <w:rFonts w:ascii="Calibri" w:eastAsia="Times New Roman" w:hAnsi="Calibri" w:cs="Calibri"/>
                <w:b/>
                <w:bCs/>
                <w:color w:val="002C47"/>
                <w:lang w:eastAsia="en-AU"/>
              </w:rPr>
              <w:t>‘</w:t>
            </w:r>
            <w:r w:rsidRPr="00172E03">
              <w:rPr>
                <w:rFonts w:ascii="Calibri" w:eastAsia="Times New Roman" w:hAnsi="Calibri" w:cs="Calibri"/>
                <w:b/>
                <w:bCs/>
                <w:color w:val="002C47"/>
                <w:lang w:eastAsia="en-AU"/>
              </w:rPr>
              <w:t>000)</w:t>
            </w:r>
          </w:p>
        </w:tc>
        <w:tc>
          <w:tcPr>
            <w:tcW w:w="578" w:type="pct"/>
            <w:tcBorders>
              <w:top w:val="nil"/>
              <w:left w:val="nil"/>
              <w:bottom w:val="nil"/>
              <w:right w:val="nil"/>
            </w:tcBorders>
            <w:shd w:val="clear" w:color="auto" w:fill="auto"/>
            <w:vAlign w:val="center"/>
            <w:hideMark/>
          </w:tcPr>
          <w:p w14:paraId="57618B53" w14:textId="13FC73F7" w:rsidR="003D3EC9" w:rsidRPr="00172E03" w:rsidRDefault="003D3EC9" w:rsidP="0070497D">
            <w:pPr>
              <w:pStyle w:val="TableTextRight"/>
              <w:rPr>
                <w:lang w:eastAsia="en-AU"/>
              </w:rPr>
            </w:pPr>
            <w:r>
              <w:rPr>
                <w:rFonts w:ascii="Calibri" w:hAnsi="Calibri" w:cs="Calibri"/>
              </w:rPr>
              <w:t>466</w:t>
            </w:r>
          </w:p>
        </w:tc>
        <w:tc>
          <w:tcPr>
            <w:tcW w:w="578" w:type="pct"/>
            <w:tcBorders>
              <w:top w:val="nil"/>
              <w:left w:val="nil"/>
              <w:bottom w:val="nil"/>
              <w:right w:val="nil"/>
            </w:tcBorders>
            <w:shd w:val="clear" w:color="auto" w:fill="D2EDFF"/>
            <w:vAlign w:val="center"/>
            <w:hideMark/>
          </w:tcPr>
          <w:p w14:paraId="542ADB93" w14:textId="3C126CEF" w:rsidR="003D3EC9" w:rsidRPr="00172E03" w:rsidRDefault="003D3EC9" w:rsidP="0070497D">
            <w:pPr>
              <w:pStyle w:val="TableTextRight"/>
              <w:rPr>
                <w:lang w:eastAsia="en-AU"/>
              </w:rPr>
            </w:pPr>
            <w:r>
              <w:rPr>
                <w:rFonts w:ascii="Calibri" w:hAnsi="Calibri" w:cs="Calibri"/>
              </w:rPr>
              <w:t>474</w:t>
            </w:r>
          </w:p>
        </w:tc>
        <w:tc>
          <w:tcPr>
            <w:tcW w:w="578" w:type="pct"/>
            <w:tcBorders>
              <w:top w:val="nil"/>
              <w:left w:val="nil"/>
              <w:bottom w:val="nil"/>
              <w:right w:val="nil"/>
            </w:tcBorders>
            <w:shd w:val="clear" w:color="auto" w:fill="auto"/>
            <w:vAlign w:val="center"/>
            <w:hideMark/>
          </w:tcPr>
          <w:p w14:paraId="0B3669E0" w14:textId="0F17645A" w:rsidR="003D3EC9" w:rsidRPr="00172E03" w:rsidRDefault="003D3EC9" w:rsidP="0070497D">
            <w:pPr>
              <w:pStyle w:val="TableTextRight"/>
              <w:rPr>
                <w:lang w:eastAsia="en-AU"/>
              </w:rPr>
            </w:pPr>
            <w:r>
              <w:rPr>
                <w:rFonts w:ascii="Calibri" w:hAnsi="Calibri" w:cs="Calibri"/>
              </w:rPr>
              <w:t>480</w:t>
            </w:r>
          </w:p>
        </w:tc>
        <w:tc>
          <w:tcPr>
            <w:tcW w:w="578" w:type="pct"/>
            <w:tcBorders>
              <w:top w:val="nil"/>
              <w:left w:val="nil"/>
              <w:bottom w:val="nil"/>
              <w:right w:val="nil"/>
            </w:tcBorders>
            <w:shd w:val="clear" w:color="auto" w:fill="auto"/>
            <w:vAlign w:val="center"/>
            <w:hideMark/>
          </w:tcPr>
          <w:p w14:paraId="41887730" w14:textId="13A89DF9" w:rsidR="003D3EC9" w:rsidRPr="00172E03" w:rsidRDefault="00E756B4" w:rsidP="0070497D">
            <w:pPr>
              <w:pStyle w:val="TableTextRight"/>
              <w:rPr>
                <w:lang w:eastAsia="en-AU"/>
              </w:rPr>
            </w:pPr>
            <w:r>
              <w:rPr>
                <w:rFonts w:ascii="Calibri" w:hAnsi="Calibri" w:cs="Calibri"/>
              </w:rPr>
              <w:t>486</w:t>
            </w:r>
          </w:p>
        </w:tc>
        <w:tc>
          <w:tcPr>
            <w:tcW w:w="578" w:type="pct"/>
            <w:tcBorders>
              <w:top w:val="nil"/>
              <w:left w:val="nil"/>
              <w:bottom w:val="nil"/>
              <w:right w:val="single" w:sz="4" w:space="0" w:color="auto"/>
            </w:tcBorders>
            <w:shd w:val="clear" w:color="auto" w:fill="auto"/>
            <w:vAlign w:val="center"/>
            <w:hideMark/>
          </w:tcPr>
          <w:p w14:paraId="2B514AD9" w14:textId="7AF3F222" w:rsidR="003D3EC9" w:rsidRPr="00172E03" w:rsidRDefault="00E756B4" w:rsidP="0070497D">
            <w:pPr>
              <w:pStyle w:val="TableTextRight"/>
              <w:rPr>
                <w:lang w:eastAsia="en-AU"/>
              </w:rPr>
            </w:pPr>
            <w:r>
              <w:rPr>
                <w:rFonts w:ascii="Calibri" w:hAnsi="Calibri" w:cs="Calibri"/>
              </w:rPr>
              <w:t>492</w:t>
            </w:r>
          </w:p>
        </w:tc>
        <w:tc>
          <w:tcPr>
            <w:tcW w:w="578" w:type="pct"/>
            <w:tcBorders>
              <w:top w:val="nil"/>
              <w:left w:val="nil"/>
              <w:bottom w:val="nil"/>
              <w:right w:val="nil"/>
            </w:tcBorders>
            <w:shd w:val="clear" w:color="auto" w:fill="auto"/>
            <w:vAlign w:val="center"/>
            <w:hideMark/>
          </w:tcPr>
          <w:p w14:paraId="68B13B93" w14:textId="5249A9D1" w:rsidR="003D3EC9" w:rsidRPr="00172E03" w:rsidRDefault="003D3EC9" w:rsidP="0070497D">
            <w:pPr>
              <w:pStyle w:val="TableTextRight"/>
              <w:rPr>
                <w:lang w:eastAsia="en-AU"/>
              </w:rPr>
            </w:pPr>
            <w:r>
              <w:rPr>
                <w:rFonts w:ascii="Calibri" w:hAnsi="Calibri" w:cs="Calibri"/>
              </w:rPr>
              <w:t>541</w:t>
            </w:r>
          </w:p>
        </w:tc>
      </w:tr>
      <w:tr w:rsidR="003D3EC9" w:rsidRPr="00172E03" w14:paraId="1427787D" w14:textId="77777777" w:rsidTr="00916EF2">
        <w:trPr>
          <w:trHeight w:val="300"/>
        </w:trPr>
        <w:tc>
          <w:tcPr>
            <w:tcW w:w="1531" w:type="pct"/>
            <w:tcBorders>
              <w:top w:val="nil"/>
              <w:left w:val="nil"/>
              <w:bottom w:val="nil"/>
              <w:right w:val="nil"/>
            </w:tcBorders>
            <w:shd w:val="clear" w:color="auto" w:fill="auto"/>
            <w:vAlign w:val="center"/>
            <w:hideMark/>
          </w:tcPr>
          <w:p w14:paraId="375F2F5B" w14:textId="77777777"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Population growth (per cent)</w:t>
            </w:r>
          </w:p>
        </w:tc>
        <w:tc>
          <w:tcPr>
            <w:tcW w:w="578" w:type="pct"/>
            <w:tcBorders>
              <w:top w:val="nil"/>
              <w:left w:val="nil"/>
              <w:bottom w:val="nil"/>
              <w:right w:val="nil"/>
            </w:tcBorders>
            <w:shd w:val="clear" w:color="auto" w:fill="auto"/>
            <w:vAlign w:val="center"/>
            <w:hideMark/>
          </w:tcPr>
          <w:p w14:paraId="59A8913F" w14:textId="1E0CF70C" w:rsidR="003D3EC9" w:rsidRPr="00172E03" w:rsidRDefault="003D3EC9" w:rsidP="0070497D">
            <w:pPr>
              <w:pStyle w:val="TableTextRight"/>
              <w:rPr>
                <w:lang w:eastAsia="en-AU"/>
              </w:rPr>
            </w:pPr>
            <w:r>
              <w:rPr>
                <w:rFonts w:ascii="Calibri" w:hAnsi="Calibri" w:cs="Calibri"/>
              </w:rPr>
              <w:t>2.1</w:t>
            </w:r>
          </w:p>
        </w:tc>
        <w:tc>
          <w:tcPr>
            <w:tcW w:w="578" w:type="pct"/>
            <w:tcBorders>
              <w:top w:val="nil"/>
              <w:left w:val="nil"/>
              <w:bottom w:val="nil"/>
              <w:right w:val="nil"/>
            </w:tcBorders>
            <w:shd w:val="clear" w:color="auto" w:fill="D2EDFF"/>
            <w:vAlign w:val="center"/>
            <w:hideMark/>
          </w:tcPr>
          <w:p w14:paraId="32D8F9E6" w14:textId="0E96BE95" w:rsidR="003D3EC9" w:rsidRPr="00172E03" w:rsidRDefault="003D3EC9" w:rsidP="0070497D">
            <w:pPr>
              <w:pStyle w:val="TableTextRight"/>
              <w:rPr>
                <w:lang w:eastAsia="en-AU"/>
              </w:rPr>
            </w:pPr>
            <w:r>
              <w:rPr>
                <w:rFonts w:ascii="Calibri" w:hAnsi="Calibri" w:cs="Calibri"/>
              </w:rPr>
              <w:t>1.6</w:t>
            </w:r>
          </w:p>
        </w:tc>
        <w:tc>
          <w:tcPr>
            <w:tcW w:w="578" w:type="pct"/>
            <w:tcBorders>
              <w:top w:val="nil"/>
              <w:left w:val="nil"/>
              <w:bottom w:val="nil"/>
              <w:right w:val="nil"/>
            </w:tcBorders>
            <w:shd w:val="clear" w:color="auto" w:fill="auto"/>
            <w:vAlign w:val="center"/>
            <w:hideMark/>
          </w:tcPr>
          <w:p w14:paraId="48F7C87E" w14:textId="2D18277F" w:rsidR="003D3EC9" w:rsidRPr="00172E03" w:rsidRDefault="003D3EC9" w:rsidP="0070497D">
            <w:pPr>
              <w:pStyle w:val="TableTextRight"/>
              <w:rPr>
                <w:lang w:eastAsia="en-AU"/>
              </w:rPr>
            </w:pPr>
            <w:r>
              <w:rPr>
                <w:rFonts w:ascii="Calibri" w:hAnsi="Calibri" w:cs="Calibri"/>
              </w:rPr>
              <w:t>1.2</w:t>
            </w:r>
          </w:p>
        </w:tc>
        <w:tc>
          <w:tcPr>
            <w:tcW w:w="578" w:type="pct"/>
            <w:tcBorders>
              <w:top w:val="nil"/>
              <w:left w:val="nil"/>
              <w:bottom w:val="nil"/>
              <w:right w:val="nil"/>
            </w:tcBorders>
            <w:shd w:val="clear" w:color="auto" w:fill="auto"/>
            <w:vAlign w:val="center"/>
            <w:hideMark/>
          </w:tcPr>
          <w:p w14:paraId="64D35EBD" w14:textId="040905DD" w:rsidR="003D3EC9" w:rsidRPr="00172E03" w:rsidRDefault="004368C9" w:rsidP="0070497D">
            <w:pPr>
              <w:pStyle w:val="TableTextRight"/>
              <w:rPr>
                <w:lang w:eastAsia="en-AU"/>
              </w:rPr>
            </w:pPr>
            <w:r>
              <w:rPr>
                <w:rFonts w:ascii="Calibri" w:hAnsi="Calibri" w:cs="Calibri"/>
              </w:rPr>
              <w:t>1.</w:t>
            </w:r>
            <w:r w:rsidR="00E756B4">
              <w:rPr>
                <w:rFonts w:ascii="Calibri" w:hAnsi="Calibri" w:cs="Calibri"/>
              </w:rPr>
              <w:t>2</w:t>
            </w:r>
          </w:p>
        </w:tc>
        <w:tc>
          <w:tcPr>
            <w:tcW w:w="578" w:type="pct"/>
            <w:tcBorders>
              <w:top w:val="nil"/>
              <w:left w:val="nil"/>
              <w:bottom w:val="nil"/>
              <w:right w:val="single" w:sz="4" w:space="0" w:color="auto"/>
            </w:tcBorders>
            <w:shd w:val="clear" w:color="auto" w:fill="auto"/>
            <w:vAlign w:val="center"/>
            <w:hideMark/>
          </w:tcPr>
          <w:p w14:paraId="1BE6781E" w14:textId="54E5F82B" w:rsidR="003D3EC9" w:rsidRPr="00172E03" w:rsidRDefault="003D3EC9" w:rsidP="0070497D">
            <w:pPr>
              <w:pStyle w:val="TableTextRight"/>
              <w:rPr>
                <w:lang w:eastAsia="en-AU"/>
              </w:rPr>
            </w:pPr>
            <w:r>
              <w:rPr>
                <w:rFonts w:ascii="Calibri" w:hAnsi="Calibri" w:cs="Calibri"/>
              </w:rPr>
              <w:t>1.2</w:t>
            </w:r>
          </w:p>
        </w:tc>
        <w:tc>
          <w:tcPr>
            <w:tcW w:w="578" w:type="pct"/>
            <w:tcBorders>
              <w:top w:val="nil"/>
              <w:left w:val="nil"/>
              <w:bottom w:val="nil"/>
              <w:right w:val="nil"/>
            </w:tcBorders>
            <w:shd w:val="clear" w:color="auto" w:fill="auto"/>
            <w:vAlign w:val="center"/>
            <w:hideMark/>
          </w:tcPr>
          <w:p w14:paraId="739AC93F" w14:textId="48BC2297" w:rsidR="003D3EC9" w:rsidRPr="00172E03" w:rsidRDefault="003D3EC9" w:rsidP="0070497D">
            <w:pPr>
              <w:pStyle w:val="TableTextRight"/>
              <w:rPr>
                <w:lang w:eastAsia="en-AU"/>
              </w:rPr>
            </w:pPr>
            <w:r>
              <w:rPr>
                <w:rFonts w:ascii="Calibri" w:hAnsi="Calibri" w:cs="Calibri"/>
              </w:rPr>
              <w:t>1.1</w:t>
            </w:r>
          </w:p>
        </w:tc>
      </w:tr>
      <w:tr w:rsidR="003D3EC9" w:rsidRPr="00172E03" w14:paraId="142AD759" w14:textId="77777777" w:rsidTr="00916EF2">
        <w:trPr>
          <w:trHeight w:val="300"/>
        </w:trPr>
        <w:tc>
          <w:tcPr>
            <w:tcW w:w="1531" w:type="pct"/>
            <w:tcBorders>
              <w:top w:val="nil"/>
              <w:left w:val="nil"/>
              <w:bottom w:val="single" w:sz="4" w:space="0" w:color="auto"/>
              <w:right w:val="nil"/>
            </w:tcBorders>
            <w:shd w:val="clear" w:color="auto" w:fill="auto"/>
            <w:vAlign w:val="center"/>
            <w:hideMark/>
          </w:tcPr>
          <w:p w14:paraId="49461DF7" w14:textId="1FBF782D"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Population growth (</w:t>
            </w:r>
            <w:r w:rsidR="00050D25">
              <w:rPr>
                <w:rFonts w:ascii="Calibri" w:eastAsia="Times New Roman" w:hAnsi="Calibri" w:cs="Calibri"/>
                <w:b/>
                <w:bCs/>
                <w:color w:val="002C47"/>
                <w:lang w:eastAsia="en-AU"/>
              </w:rPr>
              <w:t>‘</w:t>
            </w:r>
            <w:r w:rsidRPr="00172E03">
              <w:rPr>
                <w:rFonts w:ascii="Calibri" w:eastAsia="Times New Roman" w:hAnsi="Calibri" w:cs="Calibri"/>
                <w:b/>
                <w:bCs/>
                <w:color w:val="002C47"/>
                <w:lang w:eastAsia="en-AU"/>
              </w:rPr>
              <w:t>000)</w:t>
            </w:r>
          </w:p>
        </w:tc>
        <w:tc>
          <w:tcPr>
            <w:tcW w:w="578" w:type="pct"/>
            <w:tcBorders>
              <w:top w:val="nil"/>
              <w:left w:val="nil"/>
              <w:bottom w:val="single" w:sz="4" w:space="0" w:color="auto"/>
              <w:right w:val="nil"/>
            </w:tcBorders>
            <w:shd w:val="clear" w:color="auto" w:fill="auto"/>
            <w:vAlign w:val="center"/>
            <w:hideMark/>
          </w:tcPr>
          <w:p w14:paraId="21F85C4E" w14:textId="17961DC1" w:rsidR="003D3EC9" w:rsidRPr="00172E03" w:rsidRDefault="003D3EC9" w:rsidP="0070497D">
            <w:pPr>
              <w:pStyle w:val="TableTextRight"/>
              <w:rPr>
                <w:lang w:eastAsia="en-AU"/>
              </w:rPr>
            </w:pPr>
            <w:r>
              <w:rPr>
                <w:rFonts w:ascii="Calibri" w:hAnsi="Calibri" w:cs="Calibri"/>
              </w:rPr>
              <w:t>9.4</w:t>
            </w:r>
          </w:p>
        </w:tc>
        <w:tc>
          <w:tcPr>
            <w:tcW w:w="578" w:type="pct"/>
            <w:tcBorders>
              <w:top w:val="nil"/>
              <w:left w:val="nil"/>
              <w:bottom w:val="single" w:sz="4" w:space="0" w:color="auto"/>
              <w:right w:val="nil"/>
            </w:tcBorders>
            <w:shd w:val="clear" w:color="auto" w:fill="D2EDFF"/>
            <w:vAlign w:val="center"/>
            <w:hideMark/>
          </w:tcPr>
          <w:p w14:paraId="4FF9F26E" w14:textId="2688C7D5" w:rsidR="003D3EC9" w:rsidRPr="00172E03" w:rsidRDefault="003D3EC9" w:rsidP="0070497D">
            <w:pPr>
              <w:pStyle w:val="TableTextRight"/>
              <w:rPr>
                <w:lang w:eastAsia="en-AU"/>
              </w:rPr>
            </w:pPr>
            <w:r>
              <w:rPr>
                <w:rFonts w:ascii="Calibri" w:hAnsi="Calibri" w:cs="Calibri"/>
              </w:rPr>
              <w:t>7.6</w:t>
            </w:r>
          </w:p>
        </w:tc>
        <w:tc>
          <w:tcPr>
            <w:tcW w:w="578" w:type="pct"/>
            <w:tcBorders>
              <w:top w:val="nil"/>
              <w:left w:val="nil"/>
              <w:bottom w:val="single" w:sz="4" w:space="0" w:color="auto"/>
              <w:right w:val="nil"/>
            </w:tcBorders>
            <w:shd w:val="clear" w:color="auto" w:fill="auto"/>
            <w:vAlign w:val="center"/>
            <w:hideMark/>
          </w:tcPr>
          <w:p w14:paraId="42D6347C" w14:textId="54398DC6" w:rsidR="003D3EC9" w:rsidRPr="00172E03" w:rsidRDefault="003D3EC9" w:rsidP="0070497D">
            <w:pPr>
              <w:pStyle w:val="TableTextRight"/>
              <w:rPr>
                <w:lang w:eastAsia="en-AU"/>
              </w:rPr>
            </w:pPr>
            <w:r>
              <w:rPr>
                <w:rFonts w:ascii="Calibri" w:hAnsi="Calibri" w:cs="Calibri"/>
              </w:rPr>
              <w:t>5.9</w:t>
            </w:r>
          </w:p>
        </w:tc>
        <w:tc>
          <w:tcPr>
            <w:tcW w:w="578" w:type="pct"/>
            <w:tcBorders>
              <w:top w:val="nil"/>
              <w:left w:val="nil"/>
              <w:bottom w:val="single" w:sz="4" w:space="0" w:color="auto"/>
              <w:right w:val="nil"/>
            </w:tcBorders>
            <w:shd w:val="clear" w:color="auto" w:fill="auto"/>
            <w:vAlign w:val="center"/>
            <w:hideMark/>
          </w:tcPr>
          <w:p w14:paraId="2EA860AD" w14:textId="1D218088" w:rsidR="003D3EC9" w:rsidRPr="00172E03" w:rsidRDefault="004368C9" w:rsidP="0070497D">
            <w:pPr>
              <w:pStyle w:val="TableTextRight"/>
              <w:rPr>
                <w:lang w:eastAsia="en-AU"/>
              </w:rPr>
            </w:pPr>
            <w:r>
              <w:rPr>
                <w:rFonts w:ascii="Calibri" w:hAnsi="Calibri" w:cs="Calibri"/>
              </w:rPr>
              <w:t>6.</w:t>
            </w:r>
            <w:r w:rsidR="00E756B4">
              <w:rPr>
                <w:rFonts w:ascii="Calibri" w:hAnsi="Calibri" w:cs="Calibri"/>
              </w:rPr>
              <w:t>0</w:t>
            </w:r>
          </w:p>
        </w:tc>
        <w:tc>
          <w:tcPr>
            <w:tcW w:w="578" w:type="pct"/>
            <w:tcBorders>
              <w:top w:val="nil"/>
              <w:left w:val="nil"/>
              <w:bottom w:val="single" w:sz="4" w:space="0" w:color="auto"/>
              <w:right w:val="single" w:sz="4" w:space="0" w:color="auto"/>
            </w:tcBorders>
            <w:shd w:val="clear" w:color="auto" w:fill="auto"/>
            <w:vAlign w:val="center"/>
            <w:hideMark/>
          </w:tcPr>
          <w:p w14:paraId="0C918858" w14:textId="7AC76A75" w:rsidR="003D3EC9" w:rsidRPr="00172E03" w:rsidRDefault="003D3EC9" w:rsidP="0070497D">
            <w:pPr>
              <w:pStyle w:val="TableTextRight"/>
              <w:rPr>
                <w:lang w:eastAsia="en-AU"/>
              </w:rPr>
            </w:pPr>
            <w:r>
              <w:rPr>
                <w:rFonts w:ascii="Calibri" w:hAnsi="Calibri" w:cs="Calibri"/>
              </w:rPr>
              <w:t>5.9</w:t>
            </w:r>
          </w:p>
        </w:tc>
        <w:tc>
          <w:tcPr>
            <w:tcW w:w="578" w:type="pct"/>
            <w:tcBorders>
              <w:top w:val="nil"/>
              <w:left w:val="nil"/>
              <w:bottom w:val="single" w:sz="4" w:space="0" w:color="auto"/>
              <w:right w:val="nil"/>
            </w:tcBorders>
            <w:shd w:val="clear" w:color="auto" w:fill="auto"/>
            <w:vAlign w:val="center"/>
            <w:hideMark/>
          </w:tcPr>
          <w:p w14:paraId="462853FC" w14:textId="34B942B0" w:rsidR="003D3EC9" w:rsidRPr="00172E03" w:rsidRDefault="003D3EC9" w:rsidP="0070497D">
            <w:pPr>
              <w:pStyle w:val="TableTextRight"/>
              <w:rPr>
                <w:lang w:eastAsia="en-AU"/>
              </w:rPr>
            </w:pPr>
            <w:r>
              <w:rPr>
                <w:rFonts w:ascii="Calibri" w:hAnsi="Calibri" w:cs="Calibri"/>
              </w:rPr>
              <w:t>6.1</w:t>
            </w:r>
          </w:p>
        </w:tc>
      </w:tr>
      <w:tr w:rsidR="003D3EC9" w:rsidRPr="00172E03" w14:paraId="09DDE99D" w14:textId="77777777" w:rsidTr="00916EF2">
        <w:trPr>
          <w:trHeight w:val="300"/>
        </w:trPr>
        <w:tc>
          <w:tcPr>
            <w:tcW w:w="1531" w:type="pct"/>
            <w:tcBorders>
              <w:top w:val="nil"/>
              <w:left w:val="nil"/>
              <w:bottom w:val="nil"/>
              <w:right w:val="nil"/>
            </w:tcBorders>
            <w:shd w:val="clear" w:color="auto" w:fill="auto"/>
            <w:vAlign w:val="center"/>
            <w:hideMark/>
          </w:tcPr>
          <w:p w14:paraId="4A941AEB" w14:textId="2642E611"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Natural increase (</w:t>
            </w:r>
            <w:r w:rsidR="00050D25">
              <w:rPr>
                <w:rFonts w:ascii="Calibri" w:eastAsia="Times New Roman" w:hAnsi="Calibri" w:cs="Calibri"/>
                <w:b/>
                <w:bCs/>
                <w:color w:val="002C47"/>
                <w:lang w:eastAsia="en-AU"/>
              </w:rPr>
              <w:t>‘</w:t>
            </w:r>
            <w:r w:rsidRPr="00172E03">
              <w:rPr>
                <w:rFonts w:ascii="Calibri" w:eastAsia="Times New Roman" w:hAnsi="Calibri" w:cs="Calibri"/>
                <w:b/>
                <w:bCs/>
                <w:color w:val="002C47"/>
                <w:lang w:eastAsia="en-AU"/>
              </w:rPr>
              <w:t>000)</w:t>
            </w:r>
          </w:p>
        </w:tc>
        <w:tc>
          <w:tcPr>
            <w:tcW w:w="578" w:type="pct"/>
            <w:tcBorders>
              <w:top w:val="nil"/>
              <w:left w:val="nil"/>
              <w:bottom w:val="nil"/>
              <w:right w:val="nil"/>
            </w:tcBorders>
            <w:shd w:val="clear" w:color="auto" w:fill="auto"/>
            <w:vAlign w:val="center"/>
            <w:hideMark/>
          </w:tcPr>
          <w:p w14:paraId="2ED97BF2" w14:textId="353CFD63" w:rsidR="003D3EC9" w:rsidRPr="00172E03" w:rsidRDefault="003D3EC9" w:rsidP="0070497D">
            <w:pPr>
              <w:pStyle w:val="TableTextRight"/>
              <w:rPr>
                <w:lang w:eastAsia="en-AU"/>
              </w:rPr>
            </w:pPr>
            <w:r>
              <w:rPr>
                <w:rFonts w:ascii="Calibri" w:hAnsi="Calibri" w:cs="Calibri"/>
              </w:rPr>
              <w:t>2.6</w:t>
            </w:r>
          </w:p>
        </w:tc>
        <w:tc>
          <w:tcPr>
            <w:tcW w:w="578" w:type="pct"/>
            <w:tcBorders>
              <w:top w:val="nil"/>
              <w:left w:val="nil"/>
              <w:bottom w:val="nil"/>
              <w:right w:val="nil"/>
            </w:tcBorders>
            <w:shd w:val="clear" w:color="auto" w:fill="D2EDFF"/>
            <w:vAlign w:val="center"/>
            <w:hideMark/>
          </w:tcPr>
          <w:p w14:paraId="6874ACD5" w14:textId="25339BC8" w:rsidR="003D3EC9" w:rsidRPr="00172E03" w:rsidRDefault="003D3EC9" w:rsidP="0070497D">
            <w:pPr>
              <w:pStyle w:val="TableTextRight"/>
              <w:rPr>
                <w:lang w:eastAsia="en-AU"/>
              </w:rPr>
            </w:pPr>
            <w:r>
              <w:rPr>
                <w:rFonts w:ascii="Calibri" w:hAnsi="Calibri" w:cs="Calibri"/>
              </w:rPr>
              <w:t>2.7</w:t>
            </w:r>
          </w:p>
        </w:tc>
        <w:tc>
          <w:tcPr>
            <w:tcW w:w="578" w:type="pct"/>
            <w:tcBorders>
              <w:top w:val="nil"/>
              <w:left w:val="nil"/>
              <w:bottom w:val="nil"/>
              <w:right w:val="nil"/>
            </w:tcBorders>
            <w:shd w:val="clear" w:color="auto" w:fill="auto"/>
            <w:vAlign w:val="center"/>
            <w:hideMark/>
          </w:tcPr>
          <w:p w14:paraId="5F1750E0" w14:textId="43085948" w:rsidR="003D3EC9" w:rsidRPr="00172E03" w:rsidRDefault="003D3EC9" w:rsidP="0070497D">
            <w:pPr>
              <w:pStyle w:val="TableTextRight"/>
              <w:rPr>
                <w:lang w:eastAsia="en-AU"/>
              </w:rPr>
            </w:pPr>
            <w:r>
              <w:rPr>
                <w:rFonts w:ascii="Calibri" w:hAnsi="Calibri" w:cs="Calibri"/>
              </w:rPr>
              <w:t>2.7</w:t>
            </w:r>
          </w:p>
        </w:tc>
        <w:tc>
          <w:tcPr>
            <w:tcW w:w="578" w:type="pct"/>
            <w:tcBorders>
              <w:top w:val="nil"/>
              <w:left w:val="nil"/>
              <w:bottom w:val="nil"/>
              <w:right w:val="nil"/>
            </w:tcBorders>
            <w:shd w:val="clear" w:color="auto" w:fill="auto"/>
            <w:vAlign w:val="center"/>
            <w:hideMark/>
          </w:tcPr>
          <w:p w14:paraId="1C8697FD" w14:textId="286912DC" w:rsidR="003D3EC9" w:rsidRPr="00172E03" w:rsidRDefault="003D3EC9" w:rsidP="0070497D">
            <w:pPr>
              <w:pStyle w:val="TableTextRight"/>
              <w:rPr>
                <w:lang w:eastAsia="en-AU"/>
              </w:rPr>
            </w:pPr>
            <w:r>
              <w:rPr>
                <w:rFonts w:ascii="Calibri" w:hAnsi="Calibri" w:cs="Calibri"/>
              </w:rPr>
              <w:t>2.9</w:t>
            </w:r>
          </w:p>
        </w:tc>
        <w:tc>
          <w:tcPr>
            <w:tcW w:w="578" w:type="pct"/>
            <w:tcBorders>
              <w:top w:val="nil"/>
              <w:left w:val="nil"/>
              <w:bottom w:val="nil"/>
              <w:right w:val="single" w:sz="4" w:space="0" w:color="auto"/>
            </w:tcBorders>
            <w:shd w:val="clear" w:color="auto" w:fill="auto"/>
            <w:vAlign w:val="center"/>
            <w:hideMark/>
          </w:tcPr>
          <w:p w14:paraId="72818CFD" w14:textId="018FE5AC" w:rsidR="003D3EC9" w:rsidRPr="00172E03" w:rsidRDefault="003D3EC9" w:rsidP="0070497D">
            <w:pPr>
              <w:pStyle w:val="TableTextRight"/>
              <w:rPr>
                <w:lang w:eastAsia="en-AU"/>
              </w:rPr>
            </w:pPr>
            <w:r>
              <w:rPr>
                <w:rFonts w:ascii="Calibri" w:hAnsi="Calibri" w:cs="Calibri"/>
              </w:rPr>
              <w:t>3.0</w:t>
            </w:r>
          </w:p>
        </w:tc>
        <w:tc>
          <w:tcPr>
            <w:tcW w:w="578" w:type="pct"/>
            <w:tcBorders>
              <w:top w:val="nil"/>
              <w:left w:val="nil"/>
              <w:bottom w:val="nil"/>
              <w:right w:val="nil"/>
            </w:tcBorders>
            <w:shd w:val="clear" w:color="auto" w:fill="auto"/>
            <w:vAlign w:val="center"/>
            <w:hideMark/>
          </w:tcPr>
          <w:p w14:paraId="6F0ABC12" w14:textId="7FABEB59" w:rsidR="003D3EC9" w:rsidRPr="00172E03" w:rsidRDefault="003D3EC9" w:rsidP="0070497D">
            <w:pPr>
              <w:pStyle w:val="TableTextRight"/>
              <w:rPr>
                <w:lang w:eastAsia="en-AU"/>
              </w:rPr>
            </w:pPr>
            <w:r>
              <w:rPr>
                <w:rFonts w:ascii="Calibri" w:hAnsi="Calibri" w:cs="Calibri"/>
              </w:rPr>
              <w:t>3.1</w:t>
            </w:r>
          </w:p>
        </w:tc>
      </w:tr>
      <w:tr w:rsidR="003D3EC9" w:rsidRPr="00172E03" w14:paraId="7860D3EC" w14:textId="77777777" w:rsidTr="00916EF2">
        <w:trPr>
          <w:trHeight w:val="300"/>
        </w:trPr>
        <w:tc>
          <w:tcPr>
            <w:tcW w:w="1531" w:type="pct"/>
            <w:tcBorders>
              <w:top w:val="nil"/>
              <w:left w:val="nil"/>
              <w:bottom w:val="nil"/>
              <w:right w:val="nil"/>
            </w:tcBorders>
            <w:shd w:val="clear" w:color="auto" w:fill="auto"/>
            <w:vAlign w:val="center"/>
            <w:hideMark/>
          </w:tcPr>
          <w:p w14:paraId="2157F53E" w14:textId="3D2A3CA6"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Net overseas migration (</w:t>
            </w:r>
            <w:r w:rsidR="00050D25">
              <w:rPr>
                <w:rFonts w:ascii="Calibri" w:eastAsia="Times New Roman" w:hAnsi="Calibri" w:cs="Calibri"/>
                <w:b/>
                <w:bCs/>
                <w:color w:val="002C47"/>
                <w:lang w:eastAsia="en-AU"/>
              </w:rPr>
              <w:t>‘</w:t>
            </w:r>
            <w:r w:rsidRPr="00172E03">
              <w:rPr>
                <w:rFonts w:ascii="Calibri" w:eastAsia="Times New Roman" w:hAnsi="Calibri" w:cs="Calibri"/>
                <w:b/>
                <w:bCs/>
                <w:color w:val="002C47"/>
                <w:lang w:eastAsia="en-AU"/>
              </w:rPr>
              <w:t>000)</w:t>
            </w:r>
          </w:p>
        </w:tc>
        <w:tc>
          <w:tcPr>
            <w:tcW w:w="578" w:type="pct"/>
            <w:tcBorders>
              <w:top w:val="nil"/>
              <w:left w:val="nil"/>
              <w:bottom w:val="nil"/>
              <w:right w:val="nil"/>
            </w:tcBorders>
            <w:shd w:val="clear" w:color="auto" w:fill="auto"/>
            <w:vAlign w:val="center"/>
            <w:hideMark/>
          </w:tcPr>
          <w:p w14:paraId="466810C2" w14:textId="596BC796" w:rsidR="003D3EC9" w:rsidRPr="00172E03" w:rsidRDefault="003D3EC9" w:rsidP="0070497D">
            <w:pPr>
              <w:pStyle w:val="TableTextRight"/>
              <w:rPr>
                <w:lang w:eastAsia="en-AU"/>
              </w:rPr>
            </w:pPr>
            <w:r>
              <w:rPr>
                <w:rFonts w:ascii="Calibri" w:hAnsi="Calibri" w:cs="Calibri"/>
              </w:rPr>
              <w:t>8.4</w:t>
            </w:r>
          </w:p>
        </w:tc>
        <w:tc>
          <w:tcPr>
            <w:tcW w:w="578" w:type="pct"/>
            <w:tcBorders>
              <w:top w:val="nil"/>
              <w:left w:val="nil"/>
              <w:bottom w:val="nil"/>
              <w:right w:val="nil"/>
            </w:tcBorders>
            <w:shd w:val="clear" w:color="auto" w:fill="D2EDFF"/>
            <w:vAlign w:val="center"/>
            <w:hideMark/>
          </w:tcPr>
          <w:p w14:paraId="2157B606" w14:textId="781C240D" w:rsidR="003D3EC9" w:rsidRPr="00172E03" w:rsidRDefault="003D3EC9" w:rsidP="0070497D">
            <w:pPr>
              <w:pStyle w:val="TableTextRight"/>
              <w:rPr>
                <w:lang w:eastAsia="en-AU"/>
              </w:rPr>
            </w:pPr>
            <w:r>
              <w:rPr>
                <w:rFonts w:ascii="Calibri" w:hAnsi="Calibri" w:cs="Calibri"/>
              </w:rPr>
              <w:t>6.8</w:t>
            </w:r>
          </w:p>
        </w:tc>
        <w:tc>
          <w:tcPr>
            <w:tcW w:w="578" w:type="pct"/>
            <w:tcBorders>
              <w:top w:val="nil"/>
              <w:left w:val="nil"/>
              <w:bottom w:val="nil"/>
              <w:right w:val="nil"/>
            </w:tcBorders>
            <w:shd w:val="clear" w:color="auto" w:fill="auto"/>
            <w:vAlign w:val="center"/>
            <w:hideMark/>
          </w:tcPr>
          <w:p w14:paraId="3CEECBF6" w14:textId="187B80BE" w:rsidR="003D3EC9" w:rsidRPr="00172E03" w:rsidRDefault="004368C9" w:rsidP="0070497D">
            <w:pPr>
              <w:pStyle w:val="TableTextRight"/>
              <w:rPr>
                <w:lang w:eastAsia="en-AU"/>
              </w:rPr>
            </w:pPr>
            <w:r>
              <w:rPr>
                <w:rFonts w:ascii="Calibri" w:hAnsi="Calibri" w:cs="Calibri"/>
              </w:rPr>
              <w:t>4.</w:t>
            </w:r>
            <w:r w:rsidR="00E756B4">
              <w:rPr>
                <w:rFonts w:ascii="Calibri" w:hAnsi="Calibri" w:cs="Calibri"/>
              </w:rPr>
              <w:t>5</w:t>
            </w:r>
          </w:p>
        </w:tc>
        <w:tc>
          <w:tcPr>
            <w:tcW w:w="578" w:type="pct"/>
            <w:tcBorders>
              <w:top w:val="nil"/>
              <w:left w:val="nil"/>
              <w:bottom w:val="nil"/>
              <w:right w:val="nil"/>
            </w:tcBorders>
            <w:shd w:val="clear" w:color="auto" w:fill="auto"/>
            <w:vAlign w:val="center"/>
            <w:hideMark/>
          </w:tcPr>
          <w:p w14:paraId="301376A8" w14:textId="7F7B74FC" w:rsidR="003D3EC9" w:rsidRPr="00172E03" w:rsidRDefault="004368C9" w:rsidP="0070497D">
            <w:pPr>
              <w:pStyle w:val="TableTextRight"/>
              <w:rPr>
                <w:lang w:eastAsia="en-AU"/>
              </w:rPr>
            </w:pPr>
            <w:r>
              <w:rPr>
                <w:rFonts w:ascii="Calibri" w:hAnsi="Calibri" w:cs="Calibri"/>
              </w:rPr>
              <w:t>3.</w:t>
            </w:r>
            <w:r w:rsidR="00E756B4">
              <w:rPr>
                <w:rFonts w:ascii="Calibri" w:hAnsi="Calibri" w:cs="Calibri"/>
              </w:rPr>
              <w:t>3</w:t>
            </w:r>
          </w:p>
        </w:tc>
        <w:tc>
          <w:tcPr>
            <w:tcW w:w="578" w:type="pct"/>
            <w:tcBorders>
              <w:top w:val="nil"/>
              <w:left w:val="nil"/>
              <w:bottom w:val="nil"/>
              <w:right w:val="single" w:sz="4" w:space="0" w:color="auto"/>
            </w:tcBorders>
            <w:shd w:val="clear" w:color="auto" w:fill="auto"/>
            <w:vAlign w:val="center"/>
            <w:hideMark/>
          </w:tcPr>
          <w:p w14:paraId="75BBE026" w14:textId="4AE5878A" w:rsidR="003D3EC9" w:rsidRPr="00172E03" w:rsidRDefault="003D3EC9" w:rsidP="0070497D">
            <w:pPr>
              <w:pStyle w:val="TableTextRight"/>
              <w:rPr>
                <w:lang w:eastAsia="en-AU"/>
              </w:rPr>
            </w:pPr>
            <w:r>
              <w:rPr>
                <w:rFonts w:ascii="Calibri" w:hAnsi="Calibri" w:cs="Calibri"/>
              </w:rPr>
              <w:t>2.5</w:t>
            </w:r>
          </w:p>
        </w:tc>
        <w:tc>
          <w:tcPr>
            <w:tcW w:w="578" w:type="pct"/>
            <w:tcBorders>
              <w:top w:val="nil"/>
              <w:left w:val="nil"/>
              <w:bottom w:val="nil"/>
              <w:right w:val="nil"/>
            </w:tcBorders>
            <w:shd w:val="clear" w:color="auto" w:fill="auto"/>
            <w:vAlign w:val="center"/>
            <w:hideMark/>
          </w:tcPr>
          <w:p w14:paraId="4392F8D5" w14:textId="6B40D827" w:rsidR="003D3EC9" w:rsidRPr="00172E03" w:rsidRDefault="003D3EC9" w:rsidP="0070497D">
            <w:pPr>
              <w:pStyle w:val="TableTextRight"/>
              <w:rPr>
                <w:lang w:eastAsia="en-AU"/>
              </w:rPr>
            </w:pPr>
            <w:r>
              <w:rPr>
                <w:rFonts w:ascii="Calibri" w:hAnsi="Calibri" w:cs="Calibri"/>
              </w:rPr>
              <w:t>2.6</w:t>
            </w:r>
          </w:p>
        </w:tc>
      </w:tr>
      <w:tr w:rsidR="003D3EC9" w:rsidRPr="00172E03" w14:paraId="374235E5" w14:textId="77777777" w:rsidTr="00916EF2">
        <w:trPr>
          <w:trHeight w:val="300"/>
        </w:trPr>
        <w:tc>
          <w:tcPr>
            <w:tcW w:w="1531" w:type="pct"/>
            <w:tcBorders>
              <w:top w:val="nil"/>
              <w:left w:val="nil"/>
              <w:bottom w:val="single" w:sz="4" w:space="0" w:color="auto"/>
              <w:right w:val="nil"/>
            </w:tcBorders>
            <w:shd w:val="clear" w:color="auto" w:fill="auto"/>
            <w:vAlign w:val="center"/>
            <w:hideMark/>
          </w:tcPr>
          <w:p w14:paraId="35AF0F0E" w14:textId="08B8980D"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Net internal migration (</w:t>
            </w:r>
            <w:r w:rsidR="00050D25">
              <w:rPr>
                <w:rFonts w:ascii="Calibri" w:eastAsia="Times New Roman" w:hAnsi="Calibri" w:cs="Calibri"/>
                <w:b/>
                <w:bCs/>
                <w:color w:val="002C47"/>
                <w:lang w:eastAsia="en-AU"/>
              </w:rPr>
              <w:t>‘</w:t>
            </w:r>
            <w:r w:rsidRPr="00172E03">
              <w:rPr>
                <w:rFonts w:ascii="Calibri" w:eastAsia="Times New Roman" w:hAnsi="Calibri" w:cs="Calibri"/>
                <w:b/>
                <w:bCs/>
                <w:color w:val="002C47"/>
                <w:lang w:eastAsia="en-AU"/>
              </w:rPr>
              <w:t>000)</w:t>
            </w:r>
          </w:p>
        </w:tc>
        <w:tc>
          <w:tcPr>
            <w:tcW w:w="578" w:type="pct"/>
            <w:tcBorders>
              <w:top w:val="nil"/>
              <w:left w:val="nil"/>
              <w:bottom w:val="single" w:sz="4" w:space="0" w:color="auto"/>
              <w:right w:val="nil"/>
            </w:tcBorders>
            <w:shd w:val="clear" w:color="auto" w:fill="auto"/>
            <w:vAlign w:val="center"/>
            <w:hideMark/>
          </w:tcPr>
          <w:p w14:paraId="17E14B8E" w14:textId="07A42162" w:rsidR="003D3EC9" w:rsidRPr="00172E03" w:rsidRDefault="00050D25" w:rsidP="0070497D">
            <w:pPr>
              <w:pStyle w:val="TableTextRight"/>
              <w:rPr>
                <w:lang w:eastAsia="en-AU"/>
              </w:rPr>
            </w:pPr>
            <w:r>
              <w:rPr>
                <w:rFonts w:ascii="Calibri" w:hAnsi="Calibri" w:cs="Calibri"/>
              </w:rPr>
              <w:noBreakHyphen/>
            </w:r>
            <w:r w:rsidR="003D3EC9">
              <w:rPr>
                <w:rFonts w:ascii="Calibri" w:hAnsi="Calibri" w:cs="Calibri"/>
              </w:rPr>
              <w:t>1.6</w:t>
            </w:r>
          </w:p>
        </w:tc>
        <w:tc>
          <w:tcPr>
            <w:tcW w:w="578" w:type="pct"/>
            <w:tcBorders>
              <w:top w:val="nil"/>
              <w:left w:val="nil"/>
              <w:bottom w:val="single" w:sz="4" w:space="0" w:color="auto"/>
              <w:right w:val="nil"/>
            </w:tcBorders>
            <w:shd w:val="clear" w:color="auto" w:fill="D2EDFF"/>
            <w:vAlign w:val="center"/>
            <w:hideMark/>
          </w:tcPr>
          <w:p w14:paraId="391C344B" w14:textId="51D29B36" w:rsidR="003D3EC9" w:rsidRPr="00172E03" w:rsidRDefault="00050D25" w:rsidP="0070497D">
            <w:pPr>
              <w:pStyle w:val="TableTextRight"/>
              <w:rPr>
                <w:lang w:eastAsia="en-AU"/>
              </w:rPr>
            </w:pPr>
            <w:r>
              <w:rPr>
                <w:rFonts w:ascii="Calibri" w:hAnsi="Calibri" w:cs="Calibri"/>
              </w:rPr>
              <w:noBreakHyphen/>
            </w:r>
            <w:r w:rsidR="003D3EC9">
              <w:rPr>
                <w:rFonts w:ascii="Calibri" w:hAnsi="Calibri" w:cs="Calibri"/>
              </w:rPr>
              <w:t>2.0</w:t>
            </w:r>
          </w:p>
        </w:tc>
        <w:tc>
          <w:tcPr>
            <w:tcW w:w="578" w:type="pct"/>
            <w:tcBorders>
              <w:top w:val="nil"/>
              <w:left w:val="nil"/>
              <w:bottom w:val="single" w:sz="4" w:space="0" w:color="auto"/>
              <w:right w:val="nil"/>
            </w:tcBorders>
            <w:shd w:val="clear" w:color="auto" w:fill="auto"/>
            <w:vAlign w:val="center"/>
            <w:hideMark/>
          </w:tcPr>
          <w:p w14:paraId="0A0EF372" w14:textId="6CF45E0E" w:rsidR="003D3EC9" w:rsidRPr="00172E03" w:rsidRDefault="00050D25" w:rsidP="0070497D">
            <w:pPr>
              <w:pStyle w:val="TableTextRight"/>
              <w:rPr>
                <w:lang w:eastAsia="en-AU"/>
              </w:rPr>
            </w:pPr>
            <w:r>
              <w:rPr>
                <w:rFonts w:ascii="Calibri" w:hAnsi="Calibri" w:cs="Calibri"/>
              </w:rPr>
              <w:noBreakHyphen/>
            </w:r>
            <w:r w:rsidR="003D3EC9">
              <w:rPr>
                <w:rFonts w:ascii="Calibri" w:hAnsi="Calibri" w:cs="Calibri"/>
              </w:rPr>
              <w:t>1.3</w:t>
            </w:r>
          </w:p>
        </w:tc>
        <w:tc>
          <w:tcPr>
            <w:tcW w:w="578" w:type="pct"/>
            <w:tcBorders>
              <w:top w:val="nil"/>
              <w:left w:val="nil"/>
              <w:bottom w:val="single" w:sz="4" w:space="0" w:color="auto"/>
              <w:right w:val="nil"/>
            </w:tcBorders>
            <w:shd w:val="clear" w:color="auto" w:fill="auto"/>
            <w:vAlign w:val="center"/>
            <w:hideMark/>
          </w:tcPr>
          <w:p w14:paraId="7A9E19DA" w14:textId="40047FE1" w:rsidR="003D3EC9" w:rsidRPr="00172E03" w:rsidRDefault="00050D25" w:rsidP="0070497D">
            <w:pPr>
              <w:pStyle w:val="TableTextRight"/>
              <w:rPr>
                <w:lang w:eastAsia="en-AU"/>
              </w:rPr>
            </w:pPr>
            <w:r>
              <w:rPr>
                <w:rFonts w:ascii="Calibri" w:hAnsi="Calibri" w:cs="Calibri"/>
              </w:rPr>
              <w:noBreakHyphen/>
            </w:r>
            <w:r w:rsidR="003D3EC9">
              <w:rPr>
                <w:rFonts w:ascii="Calibri" w:hAnsi="Calibri" w:cs="Calibri"/>
              </w:rPr>
              <w:t>0.3</w:t>
            </w:r>
          </w:p>
        </w:tc>
        <w:tc>
          <w:tcPr>
            <w:tcW w:w="578" w:type="pct"/>
            <w:tcBorders>
              <w:top w:val="nil"/>
              <w:left w:val="nil"/>
              <w:bottom w:val="single" w:sz="4" w:space="0" w:color="auto"/>
              <w:right w:val="single" w:sz="4" w:space="0" w:color="auto"/>
            </w:tcBorders>
            <w:shd w:val="clear" w:color="auto" w:fill="auto"/>
            <w:vAlign w:val="center"/>
            <w:hideMark/>
          </w:tcPr>
          <w:p w14:paraId="1E52BE4D" w14:textId="0777B225" w:rsidR="003D3EC9" w:rsidRPr="00172E03" w:rsidRDefault="003D3EC9" w:rsidP="0070497D">
            <w:pPr>
              <w:pStyle w:val="TableTextRight"/>
              <w:rPr>
                <w:lang w:eastAsia="en-AU"/>
              </w:rPr>
            </w:pPr>
            <w:r>
              <w:rPr>
                <w:rFonts w:ascii="Calibri" w:hAnsi="Calibri" w:cs="Calibri"/>
              </w:rPr>
              <w:t>0.4</w:t>
            </w:r>
          </w:p>
        </w:tc>
        <w:tc>
          <w:tcPr>
            <w:tcW w:w="578" w:type="pct"/>
            <w:tcBorders>
              <w:top w:val="nil"/>
              <w:left w:val="nil"/>
              <w:bottom w:val="single" w:sz="4" w:space="0" w:color="auto"/>
              <w:right w:val="nil"/>
            </w:tcBorders>
            <w:shd w:val="clear" w:color="auto" w:fill="auto"/>
            <w:vAlign w:val="center"/>
            <w:hideMark/>
          </w:tcPr>
          <w:p w14:paraId="675B5E6C" w14:textId="314F1B30" w:rsidR="003D3EC9" w:rsidRPr="00172E03" w:rsidRDefault="003D3EC9" w:rsidP="0070497D">
            <w:pPr>
              <w:pStyle w:val="TableTextRight"/>
              <w:rPr>
                <w:lang w:eastAsia="en-AU"/>
              </w:rPr>
            </w:pPr>
            <w:r>
              <w:rPr>
                <w:rFonts w:ascii="Calibri" w:hAnsi="Calibri" w:cs="Calibri"/>
              </w:rPr>
              <w:t>0.4</w:t>
            </w:r>
          </w:p>
        </w:tc>
      </w:tr>
      <w:tr w:rsidR="003D3EC9" w:rsidRPr="00172E03" w14:paraId="3E78175A" w14:textId="77777777" w:rsidTr="00916EF2">
        <w:trPr>
          <w:trHeight w:val="300"/>
        </w:trPr>
        <w:tc>
          <w:tcPr>
            <w:tcW w:w="1531" w:type="pct"/>
            <w:tcBorders>
              <w:top w:val="nil"/>
              <w:left w:val="nil"/>
              <w:bottom w:val="single" w:sz="4" w:space="0" w:color="auto"/>
              <w:right w:val="nil"/>
            </w:tcBorders>
            <w:shd w:val="clear" w:color="auto" w:fill="auto"/>
            <w:vAlign w:val="center"/>
            <w:hideMark/>
          </w:tcPr>
          <w:p w14:paraId="021A51CF" w14:textId="77777777" w:rsidR="003D3EC9" w:rsidRPr="00172E03" w:rsidRDefault="003D3EC9" w:rsidP="00916EF2">
            <w:pPr>
              <w:spacing w:before="0" w:after="0" w:line="240" w:lineRule="auto"/>
              <w:rPr>
                <w:rFonts w:ascii="Calibri" w:eastAsia="Times New Roman" w:hAnsi="Calibri" w:cs="Calibri"/>
                <w:b/>
                <w:bCs/>
                <w:color w:val="002C47"/>
                <w:lang w:eastAsia="en-AU"/>
              </w:rPr>
            </w:pPr>
            <w:r w:rsidRPr="00172E03">
              <w:rPr>
                <w:rFonts w:ascii="Calibri" w:eastAsia="Times New Roman" w:hAnsi="Calibri" w:cs="Calibri"/>
                <w:b/>
                <w:bCs/>
                <w:color w:val="002C47"/>
                <w:lang w:eastAsia="en-AU"/>
              </w:rPr>
              <w:t>Median age (years)</w:t>
            </w:r>
          </w:p>
        </w:tc>
        <w:tc>
          <w:tcPr>
            <w:tcW w:w="578" w:type="pct"/>
            <w:tcBorders>
              <w:top w:val="nil"/>
              <w:left w:val="nil"/>
              <w:bottom w:val="single" w:sz="4" w:space="0" w:color="auto"/>
              <w:right w:val="nil"/>
            </w:tcBorders>
            <w:shd w:val="clear" w:color="auto" w:fill="auto"/>
            <w:vAlign w:val="center"/>
            <w:hideMark/>
          </w:tcPr>
          <w:p w14:paraId="46C12DD8" w14:textId="2D185276" w:rsidR="003D3EC9" w:rsidRPr="00172E03" w:rsidRDefault="004368C9" w:rsidP="0070497D">
            <w:pPr>
              <w:pStyle w:val="TableTextRight"/>
              <w:rPr>
                <w:lang w:eastAsia="en-AU"/>
              </w:rPr>
            </w:pPr>
            <w:r>
              <w:rPr>
                <w:rFonts w:ascii="Calibri" w:hAnsi="Calibri" w:cs="Calibri"/>
              </w:rPr>
              <w:t>35.</w:t>
            </w:r>
            <w:r w:rsidR="00E756B4">
              <w:rPr>
                <w:rFonts w:ascii="Calibri" w:hAnsi="Calibri" w:cs="Calibri"/>
              </w:rPr>
              <w:t>6</w:t>
            </w:r>
          </w:p>
        </w:tc>
        <w:tc>
          <w:tcPr>
            <w:tcW w:w="578" w:type="pct"/>
            <w:tcBorders>
              <w:top w:val="nil"/>
              <w:left w:val="nil"/>
              <w:bottom w:val="single" w:sz="4" w:space="0" w:color="auto"/>
              <w:right w:val="nil"/>
            </w:tcBorders>
            <w:shd w:val="clear" w:color="auto" w:fill="D2EDFF"/>
            <w:vAlign w:val="center"/>
            <w:hideMark/>
          </w:tcPr>
          <w:p w14:paraId="7C08816C" w14:textId="030155C1" w:rsidR="003D3EC9" w:rsidRPr="00172E03" w:rsidRDefault="004368C9" w:rsidP="0070497D">
            <w:pPr>
              <w:pStyle w:val="TableTextRight"/>
              <w:rPr>
                <w:lang w:eastAsia="en-AU"/>
              </w:rPr>
            </w:pPr>
            <w:r>
              <w:rPr>
                <w:rFonts w:ascii="Calibri" w:hAnsi="Calibri" w:cs="Calibri"/>
              </w:rPr>
              <w:t>35.</w:t>
            </w:r>
            <w:r w:rsidR="003D3EC9">
              <w:rPr>
                <w:rFonts w:ascii="Calibri" w:hAnsi="Calibri" w:cs="Calibri"/>
              </w:rPr>
              <w:t>7</w:t>
            </w:r>
          </w:p>
        </w:tc>
        <w:tc>
          <w:tcPr>
            <w:tcW w:w="578" w:type="pct"/>
            <w:tcBorders>
              <w:top w:val="nil"/>
              <w:left w:val="nil"/>
              <w:bottom w:val="single" w:sz="4" w:space="0" w:color="auto"/>
              <w:right w:val="nil"/>
            </w:tcBorders>
            <w:shd w:val="clear" w:color="auto" w:fill="auto"/>
            <w:vAlign w:val="center"/>
            <w:hideMark/>
          </w:tcPr>
          <w:p w14:paraId="6D5A07CA" w14:textId="6C29F5B0" w:rsidR="003D3EC9" w:rsidRPr="00172E03" w:rsidRDefault="004368C9" w:rsidP="0070497D">
            <w:pPr>
              <w:pStyle w:val="TableTextRight"/>
              <w:rPr>
                <w:lang w:eastAsia="en-AU"/>
              </w:rPr>
            </w:pPr>
            <w:r>
              <w:rPr>
                <w:rFonts w:ascii="Calibri" w:hAnsi="Calibri" w:cs="Calibri"/>
              </w:rPr>
              <w:t>36.</w:t>
            </w:r>
            <w:r w:rsidR="003D3EC9">
              <w:rPr>
                <w:rFonts w:ascii="Calibri" w:hAnsi="Calibri" w:cs="Calibri"/>
              </w:rPr>
              <w:t>0</w:t>
            </w:r>
          </w:p>
        </w:tc>
        <w:tc>
          <w:tcPr>
            <w:tcW w:w="578" w:type="pct"/>
            <w:tcBorders>
              <w:top w:val="nil"/>
              <w:left w:val="nil"/>
              <w:bottom w:val="single" w:sz="4" w:space="0" w:color="auto"/>
              <w:right w:val="nil"/>
            </w:tcBorders>
            <w:shd w:val="clear" w:color="auto" w:fill="auto"/>
            <w:vAlign w:val="center"/>
            <w:hideMark/>
          </w:tcPr>
          <w:p w14:paraId="31E9BE74" w14:textId="00560C24" w:rsidR="003D3EC9" w:rsidRPr="00172E03" w:rsidRDefault="004368C9" w:rsidP="0070497D">
            <w:pPr>
              <w:pStyle w:val="TableTextRight"/>
              <w:rPr>
                <w:lang w:eastAsia="en-AU"/>
              </w:rPr>
            </w:pPr>
            <w:r>
              <w:rPr>
                <w:rFonts w:ascii="Calibri" w:hAnsi="Calibri" w:cs="Calibri"/>
              </w:rPr>
              <w:t>36.</w:t>
            </w:r>
            <w:r w:rsidR="003D3EC9">
              <w:rPr>
                <w:rFonts w:ascii="Calibri" w:hAnsi="Calibri" w:cs="Calibri"/>
              </w:rPr>
              <w:t>3</w:t>
            </w:r>
          </w:p>
        </w:tc>
        <w:tc>
          <w:tcPr>
            <w:tcW w:w="578" w:type="pct"/>
            <w:tcBorders>
              <w:top w:val="nil"/>
              <w:left w:val="nil"/>
              <w:bottom w:val="single" w:sz="4" w:space="0" w:color="auto"/>
              <w:right w:val="single" w:sz="4" w:space="0" w:color="auto"/>
            </w:tcBorders>
            <w:shd w:val="clear" w:color="auto" w:fill="auto"/>
            <w:vAlign w:val="center"/>
            <w:hideMark/>
          </w:tcPr>
          <w:p w14:paraId="6F3C3B89" w14:textId="60C9C513" w:rsidR="003D3EC9" w:rsidRPr="00172E03" w:rsidRDefault="004368C9" w:rsidP="0070497D">
            <w:pPr>
              <w:pStyle w:val="TableTextRight"/>
              <w:rPr>
                <w:lang w:eastAsia="en-AU"/>
              </w:rPr>
            </w:pPr>
            <w:r>
              <w:rPr>
                <w:rFonts w:ascii="Calibri" w:hAnsi="Calibri" w:cs="Calibri"/>
              </w:rPr>
              <w:t>36.</w:t>
            </w:r>
            <w:r w:rsidR="003D3EC9">
              <w:rPr>
                <w:rFonts w:ascii="Calibri" w:hAnsi="Calibri" w:cs="Calibri"/>
              </w:rPr>
              <w:t>6</w:t>
            </w:r>
          </w:p>
        </w:tc>
        <w:tc>
          <w:tcPr>
            <w:tcW w:w="578" w:type="pct"/>
            <w:tcBorders>
              <w:top w:val="nil"/>
              <w:left w:val="nil"/>
              <w:bottom w:val="single" w:sz="4" w:space="0" w:color="auto"/>
              <w:right w:val="nil"/>
            </w:tcBorders>
            <w:shd w:val="clear" w:color="auto" w:fill="auto"/>
            <w:vAlign w:val="center"/>
            <w:hideMark/>
          </w:tcPr>
          <w:p w14:paraId="74C4D6F9" w14:textId="35BA76C0" w:rsidR="003D3EC9" w:rsidRPr="00172E03" w:rsidRDefault="004368C9" w:rsidP="0070497D">
            <w:pPr>
              <w:pStyle w:val="TableTextRight"/>
              <w:rPr>
                <w:lang w:eastAsia="en-AU"/>
              </w:rPr>
            </w:pPr>
            <w:r>
              <w:rPr>
                <w:rFonts w:ascii="Calibri" w:hAnsi="Calibri" w:cs="Calibri"/>
              </w:rPr>
              <w:t>38.</w:t>
            </w:r>
            <w:r w:rsidR="003D3EC9">
              <w:rPr>
                <w:rFonts w:ascii="Calibri" w:hAnsi="Calibri" w:cs="Calibri"/>
              </w:rPr>
              <w:t>3</w:t>
            </w:r>
          </w:p>
        </w:tc>
      </w:tr>
    </w:tbl>
    <w:p w14:paraId="295CAAC4" w14:textId="77777777" w:rsidR="00D7273B" w:rsidRDefault="003D3EC9" w:rsidP="00601D45">
      <w:pPr>
        <w:pStyle w:val="Source"/>
      </w:pPr>
      <w:r w:rsidRPr="00D47BF1">
        <w:t xml:space="preserve">Source: </w:t>
      </w:r>
      <w:r>
        <w:tab/>
      </w:r>
      <w:r w:rsidRPr="00D47BF1">
        <w:t xml:space="preserve">ABS, </w:t>
      </w:r>
      <w:r w:rsidR="009155F8" w:rsidRPr="00997375">
        <w:rPr>
          <w:rStyle w:val="SubtleEmphasis"/>
        </w:rPr>
        <w:t>National, state and territory population, March 2024</w:t>
      </w:r>
      <w:r>
        <w:t xml:space="preserve">; </w:t>
      </w:r>
      <w:r w:rsidRPr="00D47BF1">
        <w:t>and Centre for Population.</w:t>
      </w:r>
      <w:bookmarkEnd w:id="243"/>
      <w:bookmarkEnd w:id="244"/>
      <w:bookmarkEnd w:id="245"/>
      <w:bookmarkEnd w:id="246"/>
      <w:bookmarkEnd w:id="247"/>
    </w:p>
    <w:p w14:paraId="55A7543D" w14:textId="77777777" w:rsidR="00B9229E" w:rsidRDefault="00B9229E" w:rsidP="00B9229E">
      <w:pPr>
        <w:sectPr w:rsidR="00B9229E" w:rsidSect="00054E63">
          <w:headerReference w:type="even" r:id="rId90"/>
          <w:headerReference w:type="default" r:id="rId91"/>
          <w:footerReference w:type="even" r:id="rId92"/>
          <w:footerReference w:type="default" r:id="rId93"/>
          <w:headerReference w:type="first" r:id="rId94"/>
          <w:footerReference w:type="first" r:id="rId95"/>
          <w:type w:val="oddPage"/>
          <w:pgSz w:w="11906" w:h="16838" w:code="9"/>
          <w:pgMar w:top="1417" w:right="1417" w:bottom="1417" w:left="1417" w:header="709" w:footer="709" w:gutter="0"/>
          <w:cols w:space="708"/>
          <w:docGrid w:linePitch="360"/>
        </w:sectPr>
      </w:pPr>
    </w:p>
    <w:p w14:paraId="4F6E4B33" w14:textId="77777777" w:rsidR="00D7273B" w:rsidRDefault="00D7273B" w:rsidP="00D7273B">
      <w:pPr>
        <w:pStyle w:val="Heading1Numbered"/>
      </w:pPr>
      <w:bookmarkStart w:id="248" w:name="_Toc180584529"/>
      <w:bookmarkStart w:id="249" w:name="_Toc185333120"/>
      <w:bookmarkStart w:id="250" w:name="_Toc185346737"/>
      <w:r>
        <w:lastRenderedPageBreak/>
        <w:t>Technical appendix</w:t>
      </w:r>
      <w:bookmarkEnd w:id="248"/>
      <w:bookmarkEnd w:id="249"/>
      <w:bookmarkEnd w:id="250"/>
    </w:p>
    <w:p w14:paraId="5547BFEA" w14:textId="1D0A7B84" w:rsidR="00D7273B" w:rsidRDefault="00D7273B" w:rsidP="00D7273B">
      <w:bookmarkStart w:id="251" w:name="_Toc149846517"/>
      <w:bookmarkStart w:id="252" w:name="_Toc149846558"/>
      <w:bookmarkStart w:id="253" w:name="_Toc149846656"/>
      <w:bookmarkStart w:id="254" w:name="_Toc149847599"/>
      <w:r>
        <w:t xml:space="preserve">The Centre typically produces projections twice a year, for the Australian Government Budget and MYEFO. </w:t>
      </w:r>
      <w:r w:rsidRPr="00D46333">
        <w:t>The 2024 Population Statement is consistent with the MYEFO 2024–25 projections</w:t>
      </w:r>
      <w:r w:rsidR="00D46333">
        <w:t>,</w:t>
      </w:r>
      <w:r w:rsidR="00D46333" w:rsidRPr="00D46333">
        <w:t xml:space="preserve"> however MYEFO</w:t>
      </w:r>
      <w:r w:rsidR="00D46333">
        <w:rPr>
          <w:rFonts w:ascii="CIDFont+F1" w:eastAsiaTheme="minorHAnsi" w:hAnsi="CIDFont+F1" w:cs="CIDFont+F1"/>
        </w:rPr>
        <w:t xml:space="preserve"> published the ABS estimate for net overseas migration in 2023</w:t>
      </w:r>
      <w:r w:rsidR="00D46333">
        <w:t>–</w:t>
      </w:r>
      <w:r w:rsidR="00D46333">
        <w:rPr>
          <w:rFonts w:ascii="CIDFont+F1" w:eastAsiaTheme="minorHAnsi" w:hAnsi="CIDFont+F1" w:cs="CIDFont+F1"/>
        </w:rPr>
        <w:t>24</w:t>
      </w:r>
      <w:r>
        <w:t>.</w:t>
      </w:r>
    </w:p>
    <w:p w14:paraId="3C9A4C6C" w14:textId="70FEC2B5" w:rsidR="00D7273B" w:rsidRDefault="00D7273B" w:rsidP="00D7273B">
      <w:pPr>
        <w:rPr>
          <w:rStyle w:val="Hyperlink"/>
          <w:color w:val="auto"/>
        </w:rPr>
      </w:pPr>
      <w:r>
        <w:t>Population projections for this Statement have been developed at the national, state, and Greater Capital City Statistical Area (GCCSA) classification. P</w:t>
      </w:r>
      <w:r w:rsidRPr="00877EDE">
        <w:t xml:space="preserve">rojections used in the Statement can be found at </w:t>
      </w:r>
      <w:hyperlink r:id="rId96" w:history="1">
        <w:r w:rsidRPr="00877EDE">
          <w:rPr>
            <w:rStyle w:val="Hyperlink"/>
          </w:rPr>
          <w:t>population.gov.au</w:t>
        </w:r>
      </w:hyperlink>
      <w:r>
        <w:rPr>
          <w:rStyle w:val="Hyperlink"/>
          <w:color w:val="auto"/>
        </w:rPr>
        <w:t>.</w:t>
      </w:r>
    </w:p>
    <w:p w14:paraId="0672B1F7" w14:textId="2C5DFC81" w:rsidR="00D7273B" w:rsidRDefault="00D7273B" w:rsidP="00D7273B">
      <w:pPr>
        <w:rPr>
          <w:rStyle w:val="Hyperlink"/>
          <w:color w:val="auto"/>
        </w:rPr>
      </w:pPr>
      <w:r>
        <w:t>The main data source</w:t>
      </w:r>
      <w:r w:rsidRPr="007A675F">
        <w:t xml:space="preserve"> for the</w:t>
      </w:r>
      <w:r>
        <w:t>se</w:t>
      </w:r>
      <w:r w:rsidRPr="007A675F">
        <w:t xml:space="preserve"> projections is </w:t>
      </w:r>
      <w:r>
        <w:t>the</w:t>
      </w:r>
      <w:r w:rsidRPr="007A675F">
        <w:t xml:space="preserve"> </w:t>
      </w:r>
      <w:r w:rsidR="0024047B">
        <w:t>ABS</w:t>
      </w:r>
      <w:r w:rsidRPr="007A675F">
        <w:t xml:space="preserve"> </w:t>
      </w:r>
      <w:r w:rsidRPr="005C563D">
        <w:rPr>
          <w:i/>
        </w:rPr>
        <w:t>National, state and territory population, March 2024</w:t>
      </w:r>
      <w:r w:rsidRPr="007A675F">
        <w:t>, released in September 202</w:t>
      </w:r>
      <w:r>
        <w:t>4</w:t>
      </w:r>
      <w:r w:rsidRPr="007A675F">
        <w:t>.</w:t>
      </w:r>
      <w:r>
        <w:t xml:space="preserve"> Population data after 2020</w:t>
      </w:r>
      <w:r w:rsidRPr="00FE68EA">
        <w:rPr>
          <w:rFonts w:ascii="Calibri" w:eastAsia="Calibri" w:hAnsi="Calibri" w:cs="Calibri"/>
        </w:rPr>
        <w:t>–</w:t>
      </w:r>
      <w:r>
        <w:t>21 will be subject to revision</w:t>
      </w:r>
      <w:r w:rsidR="00135DC5">
        <w:t xml:space="preserve"> </w:t>
      </w:r>
      <w:r w:rsidR="00135DC5">
        <w:rPr>
          <w:rStyle w:val="cf01"/>
        </w:rPr>
        <w:t>until</w:t>
      </w:r>
      <w:r w:rsidR="004B7333">
        <w:rPr>
          <w:rStyle w:val="cf01"/>
        </w:rPr>
        <w:t xml:space="preserve"> it is finalised</w:t>
      </w:r>
      <w:r w:rsidR="00135DC5">
        <w:rPr>
          <w:rStyle w:val="cf01"/>
        </w:rPr>
        <w:t xml:space="preserve"> </w:t>
      </w:r>
      <w:r w:rsidR="009100B0">
        <w:rPr>
          <w:rStyle w:val="cf01"/>
        </w:rPr>
        <w:t>following</w:t>
      </w:r>
      <w:r w:rsidR="00135DC5">
        <w:rPr>
          <w:rStyle w:val="cf01"/>
        </w:rPr>
        <w:t xml:space="preserve"> the 2026 Census</w:t>
      </w:r>
      <w:r>
        <w:t>.</w:t>
      </w:r>
      <w:r w:rsidR="004B7333">
        <w:t xml:space="preserve"> </w:t>
      </w:r>
      <w:r w:rsidR="009F3CB4">
        <w:t xml:space="preserve">Components of </w:t>
      </w:r>
      <w:r w:rsidR="004B7333">
        <w:t xml:space="preserve">population </w:t>
      </w:r>
      <w:r w:rsidR="007D135A">
        <w:t>change, such as NO</w:t>
      </w:r>
      <w:r w:rsidR="00DB7974">
        <w:t>M</w:t>
      </w:r>
      <w:r w:rsidR="007D135A">
        <w:t>,</w:t>
      </w:r>
      <w:r w:rsidR="009F3CB4">
        <w:t xml:space="preserve"> have differing revision schedules.</w:t>
      </w:r>
    </w:p>
    <w:p w14:paraId="79220554" w14:textId="77777777" w:rsidR="00D7273B" w:rsidRPr="00410693" w:rsidDel="00D43607" w:rsidRDefault="00D7273B" w:rsidP="00D7273B">
      <w:pPr>
        <w:pStyle w:val="Heading2Numbered"/>
      </w:pPr>
      <w:bookmarkStart w:id="255" w:name="_Toc185333121"/>
      <w:bookmarkStart w:id="256" w:name="_Toc185346738"/>
      <w:r>
        <w:t>Components</w:t>
      </w:r>
      <w:bookmarkEnd w:id="255"/>
      <w:bookmarkEnd w:id="256"/>
    </w:p>
    <w:bookmarkEnd w:id="251"/>
    <w:bookmarkEnd w:id="252"/>
    <w:bookmarkEnd w:id="253"/>
    <w:bookmarkEnd w:id="254"/>
    <w:p w14:paraId="293354FD" w14:textId="3B16424F" w:rsidR="00D7273B" w:rsidRDefault="00D7273B" w:rsidP="00997375">
      <w:pPr>
        <w:rPr>
          <w:rFonts w:eastAsiaTheme="majorEastAsia"/>
        </w:rPr>
      </w:pPr>
      <w:r>
        <w:t xml:space="preserve">The Centre projects the future population using the </w:t>
      </w:r>
      <w:r w:rsidR="00050D25">
        <w:t>‘</w:t>
      </w:r>
      <w:r>
        <w:t>cohort component</w:t>
      </w:r>
      <w:r w:rsidR="00050D25">
        <w:t>’</w:t>
      </w:r>
      <w:r>
        <w:t xml:space="preserve"> method. This involves developing forecasts, by single year of age and sex, of the components of population change – fertility, </w:t>
      </w:r>
      <w:proofErr w:type="gramStart"/>
      <w:r>
        <w:t>mortality</w:t>
      </w:r>
      <w:proofErr w:type="gramEnd"/>
      <w:r>
        <w:t xml:space="preserve"> and migration. These components are added to the population at the start of a financial year to calculate the population at the end of the financial year. This process is repeated until the end of the projection period.</w:t>
      </w:r>
      <w:r w:rsidRPr="001F3B6F">
        <w:t xml:space="preserve"> </w:t>
      </w:r>
    </w:p>
    <w:p w14:paraId="31502FEC" w14:textId="7CE80FC9" w:rsidR="00D7273B" w:rsidRPr="001F3B6F" w:rsidRDefault="00D7273B" w:rsidP="00997375">
      <w:pPr>
        <w:rPr>
          <w:rFonts w:eastAsiaTheme="majorEastAsia"/>
        </w:rPr>
      </w:pPr>
      <w:r>
        <w:rPr>
          <w:rFonts w:eastAsiaTheme="majorEastAsia"/>
        </w:rPr>
        <w:t>F</w:t>
      </w:r>
      <w:r>
        <w:t xml:space="preserve">or consistency across different geographic projections, components of population change at the </w:t>
      </w:r>
      <w:r w:rsidR="009550C0">
        <w:t xml:space="preserve">national </w:t>
      </w:r>
      <w:r>
        <w:t xml:space="preserve">level constrain components at the state level which, in turn, constrain components of change at the national level. </w:t>
      </w:r>
    </w:p>
    <w:p w14:paraId="6C4B4B8C" w14:textId="77777777" w:rsidR="00D7273B" w:rsidRPr="001D20C5" w:rsidRDefault="00D7273B" w:rsidP="00D7273B">
      <w:pPr>
        <w:pStyle w:val="Heading3Numbered"/>
      </w:pPr>
      <w:bookmarkStart w:id="257" w:name="_Ref184646542"/>
      <w:r w:rsidRPr="001D20C5">
        <w:t>N</w:t>
      </w:r>
      <w:bookmarkStart w:id="258" w:name="_Toc149846518"/>
      <w:bookmarkStart w:id="259" w:name="_Toc149846559"/>
      <w:bookmarkStart w:id="260" w:name="_Toc149846657"/>
      <w:bookmarkStart w:id="261" w:name="_Toc149847600"/>
      <w:r w:rsidRPr="001D20C5">
        <w:t>et overseas migration</w:t>
      </w:r>
      <w:bookmarkEnd w:id="257"/>
      <w:bookmarkEnd w:id="258"/>
      <w:bookmarkEnd w:id="259"/>
      <w:bookmarkEnd w:id="260"/>
      <w:bookmarkEnd w:id="261"/>
    </w:p>
    <w:p w14:paraId="1F9E1965" w14:textId="23696A08" w:rsidR="00D7273B" w:rsidRDefault="00D7273B" w:rsidP="00997375">
      <w:r>
        <w:t xml:space="preserve">The </w:t>
      </w:r>
      <w:r w:rsidR="00E84835">
        <w:t>NOM</w:t>
      </w:r>
      <w:r>
        <w:t xml:space="preserve"> forecasts begin with ABS estimates of quarterly overseas migrant arrivals and departures by visa group and by state. The ABS provides preliminary estimates of overseas migration 6 months after the reference period and final estimates a further 12 months later. </w:t>
      </w:r>
    </w:p>
    <w:p w14:paraId="0F4101F3" w14:textId="6DB28D20" w:rsidR="00D7273B" w:rsidRDefault="00D7273B" w:rsidP="00997375">
      <w:r>
        <w:t>The Centre analyses ABS o</w:t>
      </w:r>
      <w:r w:rsidRPr="00152F5B">
        <w:t xml:space="preserve">verseas </w:t>
      </w:r>
      <w:r>
        <w:t>a</w:t>
      </w:r>
      <w:r w:rsidRPr="00152F5B">
        <w:t xml:space="preserve">rrivals and </w:t>
      </w:r>
      <w:r>
        <w:t>d</w:t>
      </w:r>
      <w:r w:rsidRPr="00152F5B">
        <w:t>epartures</w:t>
      </w:r>
      <w:r>
        <w:t xml:space="preserve"> </w:t>
      </w:r>
      <w:r w:rsidRPr="00152F5B">
        <w:t xml:space="preserve">data as a leading indicator of </w:t>
      </w:r>
      <w:proofErr w:type="gramStart"/>
      <w:r w:rsidRPr="00152F5B">
        <w:t>NOM</w:t>
      </w:r>
      <w:r>
        <w:t xml:space="preserve">, </w:t>
      </w:r>
      <w:r w:rsidR="006863A7">
        <w:t>and</w:t>
      </w:r>
      <w:proofErr w:type="gramEnd"/>
      <w:r w:rsidR="006863A7">
        <w:t xml:space="preserve"> has built</w:t>
      </w:r>
      <w:r>
        <w:t xml:space="preserve"> improved leading indicators from unit record data. The Centre also analyses other data as leading indicators of NOM, including data from the Department of Home Affairs on the number of temporary visa holders in Australia and offshore visa grants. The Centre accounts for Government policy and its expected future effect on overseas migration.</w:t>
      </w:r>
    </w:p>
    <w:p w14:paraId="4BF47AFA" w14:textId="7BA6AB2E" w:rsidR="00D7273B" w:rsidRDefault="00D7273B" w:rsidP="00997375">
      <w:r>
        <w:t>The long</w:t>
      </w:r>
      <w:r w:rsidR="00050D25">
        <w:noBreakHyphen/>
      </w:r>
      <w:r>
        <w:t>run assumption of NOM is 235,000 per year, which is unchanged since the 2021 Intergenerational Report (IGR). This assumption means NOM contributes 0.7 percentage points to annual population growth over the 2023 IGR horizon, which is consistent with the average contribution over the 40 year</w:t>
      </w:r>
      <w:r w:rsidRPr="006539E9">
        <w:t>s</w:t>
      </w:r>
      <w:r>
        <w:t xml:space="preserve"> prior to the 2023</w:t>
      </w:r>
      <w:r w:rsidR="0070497D">
        <w:t> </w:t>
      </w:r>
      <w:r>
        <w:t>IGR</w:t>
      </w:r>
      <w:r w:rsidRPr="006539E9">
        <w:t xml:space="preserve">. </w:t>
      </w:r>
    </w:p>
    <w:p w14:paraId="7D1EAF65" w14:textId="1BF57E6A" w:rsidR="00D7273B" w:rsidRDefault="00D7273B" w:rsidP="00997375">
      <w:r>
        <w:t>NOM projections from 2028–29 onwards have no visa breakdown. Further explanation of the long</w:t>
      </w:r>
      <w:r w:rsidR="00050D25">
        <w:noBreakHyphen/>
      </w:r>
      <w:r>
        <w:t>run assumption can be found in the 2022 Population Statement.</w:t>
      </w:r>
    </w:p>
    <w:p w14:paraId="1D3BA915" w14:textId="3964DB60" w:rsidR="00D7273B" w:rsidRDefault="00D7273B" w:rsidP="00997375">
      <w:r>
        <w:t>Pre</w:t>
      </w:r>
      <w:r w:rsidR="00050D25">
        <w:noBreakHyphen/>
      </w:r>
      <w:r>
        <w:t>pandemic average (2016–17 to 2018–19) age and sex profiles of migrant arrivals and departures, by visa and state, are assumed in forecasts up to 2027–28. Pre</w:t>
      </w:r>
      <w:r w:rsidR="00050D25">
        <w:noBreakHyphen/>
      </w:r>
      <w:r>
        <w:t>pandemic age and sex profiles without a visa breakdown are assumed from 2028–29 onwards.</w:t>
      </w:r>
    </w:p>
    <w:p w14:paraId="14D259FB" w14:textId="1EFD0E8A" w:rsidR="00D7273B" w:rsidRDefault="00D7273B" w:rsidP="00997375">
      <w:r>
        <w:t>State</w:t>
      </w:r>
      <w:r w:rsidR="00050D25">
        <w:noBreakHyphen/>
      </w:r>
      <w:r>
        <w:t>level overseas migration figures are derived as a share of the national total. Known historical state shares, disaggregated by migrant visa type and direction, inform the forecast shares. A smooth transition from recent state shares (June 2023 to March 2024 quarters) to pre</w:t>
      </w:r>
      <w:r w:rsidR="00050D25">
        <w:noBreakHyphen/>
      </w:r>
      <w:r>
        <w:t>pandemic shares (2004–05 to 2017–18) is applied over the first 8 forecast quarters, after which pre</w:t>
      </w:r>
      <w:r w:rsidR="00050D25">
        <w:noBreakHyphen/>
      </w:r>
      <w:r>
        <w:t>pandemic shares are applied.</w:t>
      </w:r>
      <w:r w:rsidR="000751AC">
        <w:t xml:space="preserve"> </w:t>
      </w:r>
      <w:r w:rsidR="00341D6C">
        <w:t xml:space="preserve">This </w:t>
      </w:r>
      <w:r w:rsidR="00407FE7">
        <w:t xml:space="preserve">methodology improves on the </w:t>
      </w:r>
      <w:r w:rsidR="00EA2A4B">
        <w:t>more judgement</w:t>
      </w:r>
      <w:r w:rsidR="00050D25">
        <w:noBreakHyphen/>
      </w:r>
      <w:r w:rsidR="00EA2A4B">
        <w:t xml:space="preserve">based approach in the 2023 Population Statement. </w:t>
      </w:r>
    </w:p>
    <w:p w14:paraId="64D2B35F" w14:textId="06DE1442" w:rsidR="00D7273B" w:rsidRDefault="00D7273B" w:rsidP="00D7273B">
      <w:r>
        <w:lastRenderedPageBreak/>
        <w:t>GCCSA</w:t>
      </w:r>
      <w:r w:rsidR="00050D25">
        <w:noBreakHyphen/>
      </w:r>
      <w:r>
        <w:t>level overseas migration figures are derived as a share of forecast state totals. The average GCCSA share of migrants over 2016–17 to 2018–19</w:t>
      </w:r>
      <w:r w:rsidRPr="00B614C4">
        <w:t xml:space="preserve"> </w:t>
      </w:r>
      <w:r>
        <w:t>inform forecast GCCSA shares, disaggregated by direction, age, and sex.</w:t>
      </w:r>
    </w:p>
    <w:p w14:paraId="02381E67" w14:textId="6CA80657" w:rsidR="00D7273B" w:rsidRPr="00017C0C" w:rsidRDefault="00D7273B" w:rsidP="00D7273B">
      <w:pPr>
        <w:pStyle w:val="Heading3Numbered"/>
      </w:pPr>
      <w:bookmarkStart w:id="262" w:name="_Toc149846520"/>
      <w:bookmarkStart w:id="263" w:name="_Toc149846561"/>
      <w:bookmarkStart w:id="264" w:name="_Toc149846659"/>
      <w:bookmarkStart w:id="265" w:name="_Toc149847602"/>
      <w:r w:rsidRPr="00152209">
        <w:t>Fertility</w:t>
      </w:r>
      <w:bookmarkEnd w:id="262"/>
      <w:bookmarkEnd w:id="263"/>
      <w:bookmarkEnd w:id="264"/>
      <w:bookmarkEnd w:id="265"/>
    </w:p>
    <w:p w14:paraId="3DF3158F" w14:textId="12B938FD" w:rsidR="00D7273B" w:rsidRDefault="00D7273B" w:rsidP="00997375">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fertility forecasts are based on leading indicator data in the near</w:t>
      </w:r>
      <w:r w:rsidR="00D362E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term, before transitioning towards a long</w:t>
      </w:r>
      <w:r w:rsidR="00050D25">
        <w:rPr>
          <w:rStyle w:val="normaltextrun"/>
          <w:rFonts w:ascii="Calibri" w:hAnsi="Calibri" w:cs="Calibri"/>
          <w:color w:val="000000"/>
          <w:shd w:val="clear" w:color="auto" w:fill="FFFFFF"/>
        </w:rPr>
        <w:noBreakHyphen/>
      </w:r>
      <w:r>
        <w:rPr>
          <w:rStyle w:val="normaltextrun"/>
          <w:rFonts w:ascii="Calibri" w:hAnsi="Calibri" w:cs="Calibri"/>
          <w:color w:val="000000"/>
          <w:shd w:val="clear" w:color="auto" w:fill="FFFFFF"/>
        </w:rPr>
        <w:t>run assumption.</w:t>
      </w:r>
    </w:p>
    <w:p w14:paraId="318ED503" w14:textId="5BBB326E" w:rsidR="00D7273B" w:rsidRPr="00183586" w:rsidRDefault="00D7273B" w:rsidP="00997375">
      <w:pPr>
        <w:rPr>
          <w:rFonts w:eastAsia="Calibri" w:cs="Arial"/>
          <w:szCs w:val="22"/>
        </w:rPr>
      </w:pPr>
      <w:r>
        <w:rPr>
          <w:rStyle w:val="normaltextrun"/>
          <w:rFonts w:ascii="Calibri" w:hAnsi="Calibri" w:cs="Calibri"/>
          <w:color w:val="000000"/>
          <w:shd w:val="clear" w:color="auto" w:fill="FFFFFF"/>
        </w:rPr>
        <w:t>The near</w:t>
      </w:r>
      <w:r w:rsidR="00050D25">
        <w:rPr>
          <w:rStyle w:val="normaltextrun"/>
          <w:rFonts w:ascii="Calibri" w:hAnsi="Calibri" w:cs="Calibri"/>
          <w:color w:val="000000"/>
          <w:shd w:val="clear" w:color="auto" w:fill="FFFFFF"/>
        </w:rPr>
        <w:noBreakHyphen/>
      </w:r>
      <w:r>
        <w:rPr>
          <w:rStyle w:val="normaltextrun"/>
          <w:rFonts w:ascii="Calibri" w:hAnsi="Calibri" w:cs="Calibri"/>
          <w:color w:val="000000"/>
          <w:shd w:val="clear" w:color="auto" w:fill="FFFFFF"/>
        </w:rPr>
        <w:t>term fertility forecasts have been formulated using data on pregnancy scans as a leading indicator for the first time</w:t>
      </w:r>
      <w:r w:rsidRPr="00B9347E">
        <w:rPr>
          <w:rStyle w:val="eop"/>
        </w:rPr>
        <w:t xml:space="preserve"> (</w:t>
      </w:r>
      <w:r w:rsidR="004E1202">
        <w:rPr>
          <w:rStyle w:val="eop"/>
        </w:rPr>
        <w:fldChar w:fldCharType="begin"/>
      </w:r>
      <w:r w:rsidR="004E1202">
        <w:rPr>
          <w:rStyle w:val="eop"/>
        </w:rPr>
        <w:instrText xml:space="preserve"> REF _Ref179371002 \r \h </w:instrText>
      </w:r>
      <w:r w:rsidR="00997375">
        <w:rPr>
          <w:rStyle w:val="eop"/>
        </w:rPr>
        <w:instrText xml:space="preserve"> \* MERGEFORMAT </w:instrText>
      </w:r>
      <w:r w:rsidR="004E1202">
        <w:rPr>
          <w:rStyle w:val="eop"/>
        </w:rPr>
      </w:r>
      <w:r w:rsidR="004E1202">
        <w:rPr>
          <w:rStyle w:val="eop"/>
        </w:rPr>
        <w:fldChar w:fldCharType="separate"/>
      </w:r>
      <w:r w:rsidR="00050D25">
        <w:rPr>
          <w:rStyle w:val="eop"/>
        </w:rPr>
        <w:t>Box 11</w:t>
      </w:r>
      <w:r w:rsidR="004E1202">
        <w:rPr>
          <w:rStyle w:val="eop"/>
        </w:rPr>
        <w:fldChar w:fldCharType="end"/>
      </w:r>
      <w:r w:rsidRPr="00B9347E">
        <w:rPr>
          <w:rStyle w:val="eop"/>
        </w:rPr>
        <w:t>).</w:t>
      </w:r>
      <w:r>
        <w:rPr>
          <w:rStyle w:val="eop"/>
          <w:rFonts w:ascii="Calibri" w:hAnsi="Calibri" w:cs="Calibri"/>
          <w:color w:val="000000"/>
          <w:shd w:val="clear" w:color="auto" w:fill="FFFFFF"/>
        </w:rPr>
        <w:t> Births are first modelled based on the correlation with pregnancy scans, from which the total fertility rate and age</w:t>
      </w:r>
      <w:r w:rsidR="00050D25">
        <w:rPr>
          <w:rStyle w:val="eop"/>
          <w:rFonts w:ascii="Calibri" w:hAnsi="Calibri" w:cs="Calibri"/>
          <w:color w:val="000000"/>
          <w:shd w:val="clear" w:color="auto" w:fill="FFFFFF"/>
        </w:rPr>
        <w:noBreakHyphen/>
      </w:r>
      <w:r>
        <w:rPr>
          <w:rStyle w:val="eop"/>
          <w:rFonts w:ascii="Calibri" w:hAnsi="Calibri" w:cs="Calibri"/>
          <w:color w:val="000000"/>
          <w:shd w:val="clear" w:color="auto" w:fill="FFFFFF"/>
        </w:rPr>
        <w:t>specific fertility rates are subsequently derived based on births</w:t>
      </w:r>
      <w:r w:rsidR="00487847">
        <w:rPr>
          <w:rStyle w:val="eop"/>
          <w:rFonts w:ascii="Calibri" w:hAnsi="Calibri" w:cs="Calibri"/>
          <w:color w:val="000000"/>
          <w:shd w:val="clear" w:color="auto" w:fill="FFFFFF"/>
        </w:rPr>
        <w:t xml:space="preserve"> and forecasts of the female population aged 15 to 49</w:t>
      </w:r>
      <w:r>
        <w:rPr>
          <w:rStyle w:val="eop"/>
          <w:rFonts w:ascii="Calibri" w:hAnsi="Calibri" w:cs="Calibri"/>
          <w:color w:val="000000"/>
          <w:shd w:val="clear" w:color="auto" w:fill="FFFFFF"/>
        </w:rPr>
        <w:t xml:space="preserve">. </w:t>
      </w:r>
      <w:r w:rsidRPr="004F0B35">
        <w:rPr>
          <w:rFonts w:eastAsia="Calibri" w:cs="Arial"/>
          <w:szCs w:val="22"/>
        </w:rPr>
        <w:t xml:space="preserve">This resulted in </w:t>
      </w:r>
      <w:r w:rsidRPr="00183586">
        <w:rPr>
          <w:rFonts w:eastAsia="Calibri" w:cs="Arial"/>
          <w:szCs w:val="22"/>
        </w:rPr>
        <w:t>the total fertility rate forecast being revised down to 1.</w:t>
      </w:r>
      <w:r w:rsidR="00BD1A0C">
        <w:rPr>
          <w:rFonts w:eastAsia="Calibri" w:cs="Arial"/>
          <w:szCs w:val="22"/>
        </w:rPr>
        <w:t>48</w:t>
      </w:r>
      <w:r w:rsidRPr="00183586">
        <w:rPr>
          <w:rFonts w:eastAsia="Calibri" w:cs="Arial"/>
          <w:szCs w:val="22"/>
        </w:rPr>
        <w:t xml:space="preserve"> in 2023</w:t>
      </w:r>
      <w:r w:rsidR="00AF38FB">
        <w:rPr>
          <w:rFonts w:eastAsia="Calibri" w:cs="Arial"/>
          <w:szCs w:val="22"/>
        </w:rPr>
        <w:t>–</w:t>
      </w:r>
      <w:r w:rsidRPr="00183586">
        <w:rPr>
          <w:rFonts w:eastAsia="Calibri" w:cs="Arial"/>
          <w:szCs w:val="22"/>
        </w:rPr>
        <w:t>24 and 1.4</w:t>
      </w:r>
      <w:r w:rsidR="00BD1A0C">
        <w:rPr>
          <w:rFonts w:eastAsia="Calibri" w:cs="Arial"/>
          <w:szCs w:val="22"/>
        </w:rPr>
        <w:t>5</w:t>
      </w:r>
      <w:r w:rsidRPr="00183586">
        <w:rPr>
          <w:rFonts w:eastAsia="Calibri" w:cs="Arial"/>
          <w:szCs w:val="22"/>
        </w:rPr>
        <w:t xml:space="preserve"> in 2024</w:t>
      </w:r>
      <w:r w:rsidR="00AF38FB">
        <w:rPr>
          <w:rFonts w:eastAsia="Calibri" w:cs="Arial"/>
          <w:szCs w:val="22"/>
        </w:rPr>
        <w:t>–</w:t>
      </w:r>
      <w:r w:rsidRPr="00183586">
        <w:rPr>
          <w:rFonts w:eastAsia="Calibri" w:cs="Arial"/>
          <w:szCs w:val="22"/>
        </w:rPr>
        <w:t>25</w:t>
      </w:r>
      <w:r w:rsidR="00A16B80">
        <w:rPr>
          <w:rFonts w:eastAsia="Calibri" w:cs="Arial"/>
          <w:szCs w:val="22"/>
        </w:rPr>
        <w:t>,</w:t>
      </w:r>
      <w:r w:rsidRPr="00183586">
        <w:rPr>
          <w:rFonts w:eastAsia="Calibri" w:cs="Arial"/>
          <w:szCs w:val="22"/>
        </w:rPr>
        <w:t xml:space="preserve"> </w:t>
      </w:r>
      <w:r w:rsidRPr="004F0B35">
        <w:rPr>
          <w:rFonts w:eastAsia="Calibri" w:cs="Arial"/>
          <w:szCs w:val="22"/>
        </w:rPr>
        <w:t>compared</w:t>
      </w:r>
      <w:r w:rsidRPr="00183586">
        <w:rPr>
          <w:rFonts w:eastAsia="Calibri" w:cs="Arial"/>
          <w:szCs w:val="22"/>
        </w:rPr>
        <w:t xml:space="preserve"> to 1.65 for </w:t>
      </w:r>
      <w:r>
        <w:rPr>
          <w:rFonts w:eastAsia="Calibri" w:cs="Arial"/>
          <w:szCs w:val="22"/>
        </w:rPr>
        <w:t>both years</w:t>
      </w:r>
      <w:r w:rsidRPr="00183586">
        <w:rPr>
          <w:rFonts w:eastAsia="Calibri" w:cs="Arial"/>
          <w:szCs w:val="22"/>
        </w:rPr>
        <w:t xml:space="preserve"> in the </w:t>
      </w:r>
      <w:r w:rsidR="00BA71E6">
        <w:rPr>
          <w:rFonts w:eastAsia="Calibri" w:cs="Arial"/>
          <w:szCs w:val="22"/>
        </w:rPr>
        <w:t>2023</w:t>
      </w:r>
      <w:r w:rsidR="00BA71E6" w:rsidRPr="00183586">
        <w:rPr>
          <w:rFonts w:eastAsia="Calibri" w:cs="Arial"/>
          <w:szCs w:val="22"/>
        </w:rPr>
        <w:t xml:space="preserve"> </w:t>
      </w:r>
      <w:r w:rsidRPr="00183586">
        <w:rPr>
          <w:rFonts w:eastAsia="Calibri" w:cs="Arial"/>
          <w:szCs w:val="22"/>
        </w:rPr>
        <w:t>Stat</w:t>
      </w:r>
      <w:r>
        <w:rPr>
          <w:rFonts w:eastAsia="Calibri" w:cs="Arial"/>
          <w:szCs w:val="22"/>
        </w:rPr>
        <w:t>e</w:t>
      </w:r>
      <w:r w:rsidRPr="00183586">
        <w:rPr>
          <w:rFonts w:eastAsia="Calibri" w:cs="Arial"/>
          <w:szCs w:val="22"/>
        </w:rPr>
        <w:t>ment.</w:t>
      </w:r>
    </w:p>
    <w:p w14:paraId="4F8E9833" w14:textId="48B95027" w:rsidR="00D7273B" w:rsidRDefault="00D7273B" w:rsidP="00997375">
      <w:r w:rsidRPr="004F0B35">
        <w:t>From 2025</w:t>
      </w:r>
      <w:r w:rsidR="00AF38FB">
        <w:t>–</w:t>
      </w:r>
      <w:r w:rsidRPr="004F0B35">
        <w:t>26, fertility rate</w:t>
      </w:r>
      <w:r>
        <w:t>s are expected</w:t>
      </w:r>
      <w:r w:rsidRPr="004F0B35">
        <w:t xml:space="preserve"> to gradually recover</w:t>
      </w:r>
      <w:r>
        <w:t xml:space="preserve">. This </w:t>
      </w:r>
      <w:r w:rsidR="00B47F3F">
        <w:t>assumes</w:t>
      </w:r>
      <w:r>
        <w:t xml:space="preserve"> that </w:t>
      </w:r>
      <w:r w:rsidR="006A5D2D">
        <w:t>shorter</w:t>
      </w:r>
      <w:r w:rsidR="00050D25">
        <w:noBreakHyphen/>
      </w:r>
      <w:r w:rsidR="006A5D2D">
        <w:t>term</w:t>
      </w:r>
      <w:r>
        <w:t xml:space="preserve"> factors weighing on fertility </w:t>
      </w:r>
      <w:r w:rsidR="005D70C9">
        <w:t>will unwind slowly</w:t>
      </w:r>
      <w:r>
        <w:t>.</w:t>
      </w:r>
    </w:p>
    <w:p w14:paraId="2C71BAA4" w14:textId="2E398F99" w:rsidR="00D7273B" w:rsidRDefault="00D7273B" w:rsidP="00997375">
      <w:r>
        <w:t>From</w:t>
      </w:r>
      <w:r w:rsidRPr="004F0B35">
        <w:t xml:space="preserve"> 2031</w:t>
      </w:r>
      <w:r w:rsidR="00AF38FB">
        <w:t>–</w:t>
      </w:r>
      <w:r w:rsidRPr="004F0B35">
        <w:t>32</w:t>
      </w:r>
      <w:r>
        <w:t xml:space="preserve">, the total fertility rate </w:t>
      </w:r>
      <w:r w:rsidRPr="003E0C4C">
        <w:t xml:space="preserve">is </w:t>
      </w:r>
      <w:r>
        <w:t>projected</w:t>
      </w:r>
      <w:r w:rsidRPr="003E0C4C">
        <w:t xml:space="preserve"> to </w:t>
      </w:r>
      <w:r>
        <w:t>stabilise at 1.62 babies per woman in accordance with</w:t>
      </w:r>
      <w:r w:rsidRPr="00BC4175">
        <w:t xml:space="preserve"> </w:t>
      </w:r>
      <w:r w:rsidRPr="00997375">
        <w:rPr>
          <w:rStyle w:val="SubtleEmphasis"/>
        </w:rPr>
        <w:t>A Projection of Australia</w:t>
      </w:r>
      <w:r w:rsidR="00050D25">
        <w:rPr>
          <w:rStyle w:val="SubtleEmphasis"/>
        </w:rPr>
        <w:t>’</w:t>
      </w:r>
      <w:r w:rsidRPr="00997375">
        <w:rPr>
          <w:rStyle w:val="SubtleEmphasis"/>
        </w:rPr>
        <w:t>s Future Fertility Rates</w:t>
      </w:r>
      <w:r>
        <w:rPr>
          <w:i/>
          <w:iCs/>
        </w:rPr>
        <w:t>.</w:t>
      </w:r>
      <w:r w:rsidRPr="00BC4175">
        <w:rPr>
          <w:rStyle w:val="FootnoteReference"/>
        </w:rPr>
        <w:footnoteReference w:id="58"/>
      </w:r>
      <w:r w:rsidRPr="00BC4175">
        <w:t xml:space="preserve"> </w:t>
      </w:r>
      <w:r>
        <w:t>The expectation that fertility will rise to this</w:t>
      </w:r>
      <w:r w:rsidRPr="00BC4175">
        <w:t xml:space="preserve"> </w:t>
      </w:r>
      <w:r w:rsidDel="00997707">
        <w:t>long</w:t>
      </w:r>
      <w:r w:rsidR="00050D25">
        <w:noBreakHyphen/>
      </w:r>
      <w:r>
        <w:t xml:space="preserve">run rate reflects that </w:t>
      </w:r>
      <w:r w:rsidRPr="003E0C4C">
        <w:t>the proportion of</w:t>
      </w:r>
      <w:r>
        <w:t xml:space="preserve"> </w:t>
      </w:r>
      <w:r w:rsidRPr="003E0C4C">
        <w:t>women without children has not increased significantly</w:t>
      </w:r>
      <w:r>
        <w:t xml:space="preserve"> in recent years</w:t>
      </w:r>
      <w:r w:rsidR="00FE3B3C">
        <w:t xml:space="preserve"> and</w:t>
      </w:r>
      <w:r>
        <w:t xml:space="preserve"> Australia has historically seen relatively strong fertility recuperation.</w:t>
      </w:r>
      <w:r w:rsidRPr="004E0F8C">
        <w:t xml:space="preserve"> </w:t>
      </w:r>
      <w:r>
        <w:t>R</w:t>
      </w:r>
      <w:r w:rsidRPr="003E0C4C">
        <w:t xml:space="preserve">ecuperation </w:t>
      </w:r>
      <w:r>
        <w:t>is when a cohort has more births at older ages to compensate for delayed childbearing at younger ages.</w:t>
      </w:r>
      <w:r w:rsidRPr="00991803">
        <w:t xml:space="preserve"> </w:t>
      </w:r>
      <w:r>
        <w:t xml:space="preserve">The Centre has commissioned the ANU to undertake a review of the </w:t>
      </w:r>
      <w:r w:rsidR="007C5D3D">
        <w:t xml:space="preserve">projected </w:t>
      </w:r>
      <w:r>
        <w:t>long</w:t>
      </w:r>
      <w:r w:rsidR="00050D25">
        <w:noBreakHyphen/>
      </w:r>
      <w:r>
        <w:t xml:space="preserve">run </w:t>
      </w:r>
      <w:r w:rsidR="007C5D3D">
        <w:t>rate</w:t>
      </w:r>
      <w:r>
        <w:t>.</w:t>
      </w:r>
    </w:p>
    <w:p w14:paraId="2211DE73" w14:textId="4CB988AC" w:rsidR="00D7273B" w:rsidRDefault="00D7273B" w:rsidP="00997375">
      <w:r w:rsidRPr="00BC4175">
        <w:t xml:space="preserve">The same approach has been used at the state level. At the </w:t>
      </w:r>
      <w:r>
        <w:t>capital city and rest</w:t>
      </w:r>
      <w:r w:rsidR="00050D25">
        <w:noBreakHyphen/>
      </w:r>
      <w:r>
        <w:t>of</w:t>
      </w:r>
      <w:r w:rsidR="00050D25">
        <w:noBreakHyphen/>
      </w:r>
      <w:r>
        <w:t>state</w:t>
      </w:r>
      <w:r w:rsidRPr="00BC4175">
        <w:t xml:space="preserve"> level, the recent ratios of location</w:t>
      </w:r>
      <w:r w:rsidR="00050D25">
        <w:noBreakHyphen/>
      </w:r>
      <w:r w:rsidRPr="00BC4175">
        <w:t>specific fertility rates to the state total fertility rate are assumed to remain constant. The fertility rates for these areas are also constrained to state fertility rates.</w:t>
      </w: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insideH w:val="single" w:sz="4" w:space="0" w:color="9E928F" w:themeColor="accent5"/>
          <w:insideV w:val="single" w:sz="4" w:space="0" w:color="9E928F" w:themeColor="accent5"/>
        </w:tblBorders>
        <w:tblLook w:val="04A0" w:firstRow="1" w:lastRow="0" w:firstColumn="1" w:lastColumn="0" w:noHBand="0" w:noVBand="1"/>
      </w:tblPr>
      <w:tblGrid>
        <w:gridCol w:w="9062"/>
      </w:tblGrid>
      <w:tr w:rsidR="00D7273B" w:rsidRPr="003B6850" w14:paraId="0C361899" w14:textId="77777777" w:rsidTr="00AF3159">
        <w:trPr>
          <w:trHeight w:val="293"/>
        </w:trPr>
        <w:tc>
          <w:tcPr>
            <w:tcW w:w="9072" w:type="dxa"/>
            <w:shd w:val="clear" w:color="auto" w:fill="auto"/>
          </w:tcPr>
          <w:p w14:paraId="228FB673" w14:textId="6633EFE9" w:rsidR="00D7273B" w:rsidRDefault="00D7273B" w:rsidP="00916EF2">
            <w:pPr>
              <w:pStyle w:val="BoxHeading"/>
            </w:pPr>
            <w:bookmarkStart w:id="266" w:name="_Ref179371002"/>
            <w:r w:rsidRPr="00467B66">
              <w:lastRenderedPageBreak/>
              <w:t>Improving near</w:t>
            </w:r>
            <w:r w:rsidR="00050D25">
              <w:noBreakHyphen/>
            </w:r>
            <w:r w:rsidRPr="00467B66">
              <w:t>term births forecasts using Medicare data</w:t>
            </w:r>
            <w:bookmarkEnd w:id="266"/>
            <w:r w:rsidRPr="000C19FE">
              <w:t xml:space="preserve"> </w:t>
            </w:r>
          </w:p>
          <w:p w14:paraId="7E5716FE" w14:textId="015E9175" w:rsidR="00D7273B" w:rsidRPr="00997375" w:rsidRDefault="00D7273B" w:rsidP="00997375">
            <w:pPr>
              <w:pStyle w:val="BoxHeading2"/>
            </w:pPr>
            <w:r w:rsidRPr="00997375">
              <w:t>Forecasting performance since COVID</w:t>
            </w:r>
            <w:r w:rsidR="00050D25">
              <w:noBreakHyphen/>
            </w:r>
            <w:r w:rsidRPr="00997375">
              <w:t>19</w:t>
            </w:r>
          </w:p>
          <w:p w14:paraId="6E19F778" w14:textId="206811C7" w:rsidR="00D7273B" w:rsidRDefault="00D7273B" w:rsidP="00AB42A1">
            <w:pPr>
              <w:pStyle w:val="BoxText"/>
            </w:pPr>
            <w:r>
              <w:t>Since the onset of the pandemic, the total fertility rate has been volatile. Lockdowns, cost</w:t>
            </w:r>
            <w:r w:rsidR="00050D25">
              <w:noBreakHyphen/>
            </w:r>
            <w:r>
              <w:t>of</w:t>
            </w:r>
            <w:r w:rsidR="00050D25">
              <w:noBreakHyphen/>
            </w:r>
            <w:r>
              <w:t xml:space="preserve">living and general uncertainty have affected the timing and number of births in recent years. Further, growth in the female population has </w:t>
            </w:r>
            <w:r w:rsidR="00344B5E">
              <w:t>varied widely</w:t>
            </w:r>
            <w:r>
              <w:t xml:space="preserve">, with the closure and reopening of national borders. Collectively, these factors resulted in </w:t>
            </w:r>
            <w:r w:rsidR="00817F65">
              <w:t>an</w:t>
            </w:r>
            <w:r>
              <w:t xml:space="preserve"> increase in the total fertility rate from 1.62 in 2019–20 to 1.69 in 2021–22, the so</w:t>
            </w:r>
            <w:r w:rsidR="00050D25">
              <w:noBreakHyphen/>
            </w:r>
            <w:r>
              <w:t xml:space="preserve">called </w:t>
            </w:r>
            <w:r w:rsidR="00050D25">
              <w:t>‘</w:t>
            </w:r>
            <w:r>
              <w:t>mini baby boom</w:t>
            </w:r>
            <w:r w:rsidR="00050D25">
              <w:t>’</w:t>
            </w:r>
            <w:r>
              <w:t xml:space="preserve">, before declining to a record low of 1.55 in 2022–23. </w:t>
            </w:r>
          </w:p>
          <w:p w14:paraId="7537B7B1" w14:textId="1CB3BD7A" w:rsidR="00D7273B" w:rsidRDefault="00D7273B" w:rsidP="00AB42A1">
            <w:pPr>
              <w:pStyle w:val="BoxText"/>
            </w:pPr>
            <w:r>
              <w:t>This has made forecasting births more challenging. Prior to this Statement, the Centre forecast near</w:t>
            </w:r>
            <w:r w:rsidR="00050D25">
              <w:noBreakHyphen/>
            </w:r>
            <w:r>
              <w:t>term births by assuming single</w:t>
            </w:r>
            <w:r w:rsidR="00050D25">
              <w:noBreakHyphen/>
            </w:r>
            <w:r>
              <w:t>year age</w:t>
            </w:r>
            <w:r w:rsidR="00050D25">
              <w:noBreakHyphen/>
            </w:r>
            <w:r>
              <w:t>specific fertility rates (ASFRs) based on recent averages and applying these rates to the expected 15 to 49</w:t>
            </w:r>
            <w:r w:rsidR="00050D25">
              <w:noBreakHyphen/>
            </w:r>
            <w:r w:rsidR="0099727D">
              <w:t>year</w:t>
            </w:r>
            <w:r w:rsidR="00050D25">
              <w:noBreakHyphen/>
            </w:r>
            <w:r w:rsidR="0099727D">
              <w:t>old</w:t>
            </w:r>
            <w:r>
              <w:t xml:space="preserve"> female population. However, the approach did not detect </w:t>
            </w:r>
            <w:r w:rsidDel="005F7BF5">
              <w:t xml:space="preserve">the </w:t>
            </w:r>
            <w:r>
              <w:t>near</w:t>
            </w:r>
            <w:r w:rsidR="00050D25">
              <w:noBreakHyphen/>
            </w:r>
            <w:r>
              <w:t>term variability seen in recent years.</w:t>
            </w:r>
          </w:p>
          <w:p w14:paraId="758F004D" w14:textId="77777777" w:rsidR="00D7273B" w:rsidRPr="00997375" w:rsidRDefault="00D7273B" w:rsidP="00997375">
            <w:pPr>
              <w:pStyle w:val="BoxHeading2"/>
            </w:pPr>
            <w:r w:rsidRPr="00997375">
              <w:t>Pregnancy ultrasound scan data as a leading indicator of births</w:t>
            </w:r>
          </w:p>
          <w:p w14:paraId="0A0B85AF" w14:textId="4E29AFD2" w:rsidR="00D7273B" w:rsidRDefault="00D7273B" w:rsidP="00AB42A1">
            <w:pPr>
              <w:pStyle w:val="BoxText"/>
            </w:pPr>
            <w:r>
              <w:t>To improve near</w:t>
            </w:r>
            <w:r w:rsidR="00050D25">
              <w:noBreakHyphen/>
            </w:r>
            <w:r>
              <w:t>term forecasting accuracy, the Centre has analysed Medicare data of pregnancy ultrasound scans to develop a short</w:t>
            </w:r>
            <w:r w:rsidR="00050D25">
              <w:noBreakHyphen/>
            </w:r>
            <w:r>
              <w:t xml:space="preserve">term leading indicator of births. </w:t>
            </w:r>
            <w:r w:rsidR="0004591B">
              <w:t>As</w:t>
            </w:r>
            <w:r>
              <w:t xml:space="preserve"> most pregnant women undergo an ultrasound scan at 18 to 22 weeks of pregnancy</w:t>
            </w:r>
            <w:r w:rsidR="00585AF8">
              <w:t>,</w:t>
            </w:r>
            <w:r>
              <w:t xml:space="preserve"> scan data </w:t>
            </w:r>
            <w:r w:rsidR="00EF75BB">
              <w:t>leads</w:t>
            </w:r>
            <w:r>
              <w:t xml:space="preserve"> births data </w:t>
            </w:r>
            <w:r w:rsidR="00EF75BB">
              <w:t>by 4 to 6 months</w:t>
            </w:r>
            <w:r>
              <w:t xml:space="preserve"> (</w:t>
            </w:r>
            <w:r w:rsidR="00403CB8">
              <w:t>Chart 52).</w:t>
            </w:r>
            <w:r>
              <w:t xml:space="preserve"> The final design of the leading indicator is derived from a statistical model using a 4</w:t>
            </w:r>
            <w:r w:rsidR="00050D25">
              <w:noBreakHyphen/>
            </w:r>
            <w:r>
              <w:t>month lag of the scan data, as well as lagged values of births.</w:t>
            </w:r>
          </w:p>
          <w:p w14:paraId="771439DA" w14:textId="77777777" w:rsidR="00D7273B" w:rsidRDefault="00D7273B" w:rsidP="00654915">
            <w:pPr>
              <w:pStyle w:val="ChartMainHeading"/>
            </w:pPr>
            <w:bookmarkStart w:id="267" w:name="_Ref180496957"/>
            <w:r>
              <w:t>Quarterly births and</w:t>
            </w:r>
            <w:r w:rsidDel="00F13CB1">
              <w:t xml:space="preserve"> </w:t>
            </w:r>
            <w:r>
              <w:t>Medicare pregnancy ultrasound scans data</w:t>
            </w:r>
            <w:bookmarkEnd w:id="267"/>
          </w:p>
          <w:p w14:paraId="5DFC51A3" w14:textId="77777777" w:rsidR="00D7273B" w:rsidRPr="00F820B8" w:rsidRDefault="00D7273B" w:rsidP="00A633E1">
            <w:pPr>
              <w:pStyle w:val="ChartGraphic"/>
            </w:pPr>
            <w:r w:rsidRPr="007E7F3B">
              <w:rPr>
                <w:noProof/>
              </w:rPr>
              <w:drawing>
                <wp:inline distT="0" distB="0" distL="0" distR="0" wp14:anchorId="4A93A4A1" wp14:editId="19854E15">
                  <wp:extent cx="5543550" cy="2524125"/>
                  <wp:effectExtent l="0" t="0" r="0" b="9525"/>
                  <wp:docPr id="162016745" name="Picture 162016745" descr="This line chart shows quarterly births and the 3-month sum of pregnancy ultrasound scans lagged by 4 months between 2006 and 2024. Births and lagged pregnancy scans have a strong correlation over the period. The chart also shows the Centre’s modelling of quarterly births using pregnancy scans as a leading indicator for the September 2023 quarter to the December quarter 2024. Births are expected to follow the trend of pregnancy scans and are forecast to be around 72,000 in each quarter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6745" name="Picture 162016745" descr="This line chart shows quarterly births and the 3-month sum of pregnancy ultrasound scans lagged by 4 months between 2006 and 2024. Births and lagged pregnancy scans have a strong correlation over the period. The chart also shows the Centre’s modelling of quarterly births using pregnancy scans as a leading indicator for the September 2023 quarter to the December quarter 2024. Births are expected to follow the trend of pregnancy scans and are forecast to be around 72,000 in each quarter over this perio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3550" cy="2524125"/>
                          </a:xfrm>
                          <a:prstGeom prst="rect">
                            <a:avLst/>
                          </a:prstGeom>
                          <a:noFill/>
                          <a:ln>
                            <a:noFill/>
                          </a:ln>
                        </pic:spPr>
                      </pic:pic>
                    </a:graphicData>
                  </a:graphic>
                </wp:inline>
              </w:drawing>
            </w:r>
          </w:p>
          <w:p w14:paraId="21E186A9" w14:textId="32F0E521" w:rsidR="0070497D" w:rsidRPr="002B56A1" w:rsidRDefault="0070497D" w:rsidP="0070497D">
            <w:pPr>
              <w:pStyle w:val="ChartorTableNote"/>
            </w:pPr>
            <w:r w:rsidRPr="002B56A1">
              <w:t xml:space="preserve">Note: </w:t>
            </w:r>
            <w:r>
              <w:tab/>
            </w:r>
            <w:r w:rsidRPr="002B56A1">
              <w:t>Dashed births data is preliminary and subject to revision.</w:t>
            </w:r>
          </w:p>
          <w:p w14:paraId="33D4B45B" w14:textId="197A3F5D" w:rsidR="00D7273B" w:rsidRPr="002B56A1" w:rsidRDefault="00D7273B" w:rsidP="00916EF2">
            <w:pPr>
              <w:pStyle w:val="Source"/>
            </w:pPr>
            <w:r w:rsidRPr="002B56A1">
              <w:t xml:space="preserve">Source: </w:t>
            </w:r>
            <w:r w:rsidR="0070497D">
              <w:tab/>
            </w:r>
            <w:r w:rsidRPr="002B56A1">
              <w:t xml:space="preserve">ABS, </w:t>
            </w:r>
            <w:r w:rsidR="009155F8" w:rsidRPr="00997375">
              <w:rPr>
                <w:rStyle w:val="SubtleEmphasis"/>
              </w:rPr>
              <w:t>National, state and territory population, March 2024</w:t>
            </w:r>
            <w:r w:rsidRPr="002B56A1">
              <w:t xml:space="preserve">; Services Australia, </w:t>
            </w:r>
            <w:r w:rsidRPr="00997375">
              <w:rPr>
                <w:rStyle w:val="SubtleEmphasis"/>
              </w:rPr>
              <w:t>Medicare Item Reports.</w:t>
            </w:r>
            <w:r w:rsidRPr="002B56A1">
              <w:t xml:space="preserve"> </w:t>
            </w:r>
          </w:p>
          <w:p w14:paraId="3A8E62E9" w14:textId="77777777" w:rsidR="00997375" w:rsidRDefault="00997375" w:rsidP="00997375">
            <w:pPr>
              <w:pStyle w:val="SingleParagraph"/>
            </w:pPr>
          </w:p>
          <w:p w14:paraId="23B9065E" w14:textId="18FBAB6C" w:rsidR="00997375" w:rsidRPr="00997375" w:rsidRDefault="00997375" w:rsidP="00997375">
            <w:pPr>
              <w:pStyle w:val="Bullet"/>
              <w:numPr>
                <w:ilvl w:val="0"/>
                <w:numId w:val="0"/>
              </w:numPr>
              <w:spacing w:after="0"/>
              <w:jc w:val="right"/>
              <w:rPr>
                <w:rFonts w:eastAsiaTheme="majorEastAsia"/>
                <w:i/>
                <w:iCs/>
              </w:rPr>
            </w:pPr>
            <w:r w:rsidRPr="00997375">
              <w:rPr>
                <w:rStyle w:val="Box-Continuedoverpage"/>
              </w:rPr>
              <w:t>continued over next page</w:t>
            </w:r>
          </w:p>
        </w:tc>
      </w:tr>
    </w:tbl>
    <w:p w14:paraId="02E3D73F" w14:textId="77777777" w:rsidR="00997375" w:rsidRDefault="00997375" w:rsidP="00997375">
      <w:pPr>
        <w:pStyle w:val="SingleParagraph"/>
      </w:pPr>
      <w:bookmarkStart w:id="268" w:name="_Toc149846521"/>
      <w:bookmarkStart w:id="269" w:name="_Toc149846562"/>
      <w:bookmarkStart w:id="270" w:name="_Toc149846660"/>
      <w:bookmarkStart w:id="271" w:name="_Toc149847603"/>
    </w:p>
    <w:tbl>
      <w:tblPr>
        <w:tblStyle w:val="TableGrid"/>
        <w:tblW w:w="5000" w:type="pct"/>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997375" w14:paraId="7F7E1CEC" w14:textId="77777777" w:rsidTr="00AF3159">
        <w:tc>
          <w:tcPr>
            <w:tcW w:w="5000" w:type="pct"/>
            <w:shd w:val="clear" w:color="auto" w:fill="auto"/>
          </w:tcPr>
          <w:p w14:paraId="13CDCD10" w14:textId="77777777" w:rsidR="00997375" w:rsidRPr="0028256F" w:rsidRDefault="00997375" w:rsidP="00997375">
            <w:pPr>
              <w:pStyle w:val="BoxHeading2"/>
              <w:keepNext/>
              <w:keepLines/>
              <w:pageBreakBefore/>
            </w:pPr>
            <w:r w:rsidRPr="0028256F">
              <w:lastRenderedPageBreak/>
              <w:t>Modelling with the leading indicator in practice</w:t>
            </w:r>
          </w:p>
          <w:p w14:paraId="5940986E" w14:textId="1F8BFC75" w:rsidR="00997375" w:rsidRDefault="00997375" w:rsidP="00997375">
            <w:pPr>
              <w:pStyle w:val="BoxText"/>
              <w:keepNext/>
              <w:keepLines/>
              <w:pageBreakBefore/>
            </w:pPr>
            <w:r>
              <w:t>The leading indicator allows the Centre to better forecast births in the first 2 years of each forecast period. Testing this new modelling approach shows it would have performed better than the Centre</w:t>
            </w:r>
            <w:r w:rsidR="00050D25">
              <w:t>’</w:t>
            </w:r>
            <w:r>
              <w:t>s forecasts from recent population statements, especially in the first year (</w:t>
            </w:r>
            <w:r>
              <w:fldChar w:fldCharType="begin"/>
            </w:r>
            <w:r>
              <w:instrText xml:space="preserve"> REF _Ref182390179 \r \h </w:instrText>
            </w:r>
            <w:r w:rsidR="009424B9">
              <w:instrText xml:space="preserve"> \* MERGEFORMAT </w:instrText>
            </w:r>
            <w:r>
              <w:fldChar w:fldCharType="separate"/>
            </w:r>
            <w:r w:rsidR="00050D25">
              <w:t>Chart 53</w:t>
            </w:r>
            <w:r>
              <w:fldChar w:fldCharType="end"/>
            </w:r>
            <w:r>
              <w:t>). The model performs less well in the second forecast year as the scans data is not available to forecast 2 quarters of the year, although it is still an improvement. Pregnancy scans data is also available at the state level and works well as a leading indicator in this context.</w:t>
            </w:r>
          </w:p>
          <w:p w14:paraId="1E24A7F4" w14:textId="77777777" w:rsidR="00997375" w:rsidRPr="00997375" w:rsidRDefault="00997375" w:rsidP="00997375">
            <w:pPr>
              <w:pStyle w:val="ChartMainHeading"/>
              <w:spacing w:after="0"/>
            </w:pPr>
            <w:bookmarkStart w:id="272" w:name="_Ref182390179"/>
            <w:r w:rsidRPr="00997375">
              <w:t>Comparison of tests of leading indicator model with past population statement birth forecasts</w:t>
            </w:r>
            <w:bookmarkEnd w:id="272"/>
          </w:p>
          <w:p w14:paraId="7F4BF602" w14:textId="77777777" w:rsidR="00997375" w:rsidRPr="00D03F75" w:rsidRDefault="00997375" w:rsidP="00997375">
            <w:pPr>
              <w:pStyle w:val="ChartGraphic"/>
            </w:pPr>
            <w:r w:rsidRPr="0071647E" w:rsidDel="00C07390">
              <w:rPr>
                <w:noProof/>
              </w:rPr>
              <w:t xml:space="preserve"> </w:t>
            </w:r>
            <w:r w:rsidRPr="00997375">
              <w:rPr>
                <w:noProof/>
              </w:rPr>
              <w:drawing>
                <wp:inline distT="0" distB="0" distL="0" distR="0" wp14:anchorId="52A4E995" wp14:editId="1BA1D212">
                  <wp:extent cx="2762250" cy="2771775"/>
                  <wp:effectExtent l="0" t="0" r="0" b="0"/>
                  <wp:docPr id="701132795" name="Picture 701132795" descr="These line charts show a comparison between births forecasts from previous Population Statements, the Centre’s new fertility forecasting model and actuals. The charts show that if the Centre’s fertility forecasting model was implemented in previous forecast rounds, it would have forecast births more accurately in the 2022 and 2023 Popul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32795" name="Picture 701132795" descr="These line charts show a comparison between births forecasts from previous Population Statements, the Centre’s new fertility forecasting model and actuals. The charts show that if the Centre’s fertility forecasting model was implemented in previous forecast rounds, it would have forecast births more accurately in the 2022 and 2023 Population Statemen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62250" cy="2771775"/>
                          </a:xfrm>
                          <a:prstGeom prst="rect">
                            <a:avLst/>
                          </a:prstGeom>
                          <a:noFill/>
                          <a:ln>
                            <a:noFill/>
                          </a:ln>
                        </pic:spPr>
                      </pic:pic>
                    </a:graphicData>
                  </a:graphic>
                </wp:inline>
              </w:drawing>
            </w:r>
            <w:r>
              <w:t xml:space="preserve"> </w:t>
            </w:r>
            <w:r w:rsidRPr="00997375">
              <w:rPr>
                <w:noProof/>
              </w:rPr>
              <w:drawing>
                <wp:inline distT="0" distB="0" distL="0" distR="0" wp14:anchorId="2A04C752" wp14:editId="145F52E8">
                  <wp:extent cx="2771775" cy="2781300"/>
                  <wp:effectExtent l="0" t="0" r="0" b="0"/>
                  <wp:docPr id="1606913166" name="Picture 1606913166" descr="These line charts show a comparison between births forecasts from previous Population Statements, the Centre’s new fertility forecasting model and actuals. The charts show that if the Centre’s fertility forecasting model was implemented in previous forecast rounds, it would have forecast births more accurately in the 2022 and 2023 Popul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13166" name="Picture 1606913166" descr="These line charts show a comparison between births forecasts from previous Population Statements, the Centre’s new fertility forecasting model and actuals. The charts show that if the Centre’s fertility forecasting model was implemented in previous forecast rounds, it would have forecast births more accurately in the 2022 and 2023 Population Statemen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1775" cy="2781300"/>
                          </a:xfrm>
                          <a:prstGeom prst="rect">
                            <a:avLst/>
                          </a:prstGeom>
                          <a:noFill/>
                          <a:ln>
                            <a:noFill/>
                          </a:ln>
                        </pic:spPr>
                      </pic:pic>
                    </a:graphicData>
                  </a:graphic>
                </wp:inline>
              </w:drawing>
            </w:r>
          </w:p>
          <w:p w14:paraId="202997AD" w14:textId="77777777" w:rsidR="00997375" w:rsidRDefault="00997375" w:rsidP="00997375">
            <w:pPr>
              <w:pStyle w:val="ChartorTableNote"/>
            </w:pPr>
            <w:r>
              <w:t xml:space="preserve">Note: </w:t>
            </w:r>
            <w:r>
              <w:tab/>
              <w:t>Model tests forecast births for the first 2 years of each forecast period and figures beyond this point are interpolations to, and then mirror, the published forecasts. Dots represent years where actuals are available to compare to forecasts from model tests and population statements.</w:t>
            </w:r>
          </w:p>
          <w:p w14:paraId="76AC7F84" w14:textId="77777777" w:rsidR="00997375" w:rsidRDefault="00997375" w:rsidP="00997375">
            <w:pPr>
              <w:pStyle w:val="Source"/>
            </w:pPr>
            <w:r w:rsidRPr="00F45F79">
              <w:t>Source:</w:t>
            </w:r>
            <w:r>
              <w:tab/>
            </w:r>
            <w:r w:rsidRPr="0037128E">
              <w:rPr>
                <w:i/>
              </w:rPr>
              <w:t>2022 Population Statement</w:t>
            </w:r>
            <w:r>
              <w:t xml:space="preserve">; </w:t>
            </w:r>
            <w:r w:rsidRPr="0037128E">
              <w:rPr>
                <w:i/>
              </w:rPr>
              <w:t>2023 Population Statement</w:t>
            </w:r>
            <w:r>
              <w:t>; and Centre for Population.</w:t>
            </w:r>
          </w:p>
          <w:p w14:paraId="0F490629" w14:textId="55447EBE" w:rsidR="00997375" w:rsidRDefault="00997375" w:rsidP="00997375">
            <w:pPr>
              <w:pStyle w:val="SingleParagraph"/>
            </w:pPr>
          </w:p>
        </w:tc>
      </w:tr>
    </w:tbl>
    <w:p w14:paraId="125A4DE6" w14:textId="771F3291" w:rsidR="00D7273B" w:rsidRPr="00017C0C" w:rsidRDefault="00D7273B" w:rsidP="00D7273B">
      <w:pPr>
        <w:pStyle w:val="Heading3Numbered"/>
      </w:pPr>
      <w:r w:rsidRPr="000B60AA">
        <w:t>Mortality</w:t>
      </w:r>
      <w:bookmarkEnd w:id="268"/>
      <w:bookmarkEnd w:id="269"/>
      <w:bookmarkEnd w:id="270"/>
      <w:bookmarkEnd w:id="271"/>
    </w:p>
    <w:p w14:paraId="2D6B1964" w14:textId="6AA3FEC5" w:rsidR="00D7273B" w:rsidRDefault="00D7273B" w:rsidP="00D7273B">
      <w:r>
        <w:t>Projected</w:t>
      </w:r>
      <w:r w:rsidRPr="001915BC">
        <w:t xml:space="preserve"> national mortality</w:t>
      </w:r>
      <w:r>
        <w:t xml:space="preserve"> is based on</w:t>
      </w:r>
      <w:r w:rsidRPr="001915BC">
        <w:t xml:space="preserve"> the </w:t>
      </w:r>
      <w:r>
        <w:t>ABS</w:t>
      </w:r>
      <w:r w:rsidR="00050D25">
        <w:t>’</w:t>
      </w:r>
      <w:r>
        <w:t>s</w:t>
      </w:r>
      <w:r w:rsidRPr="001915BC">
        <w:t xml:space="preserve"> 201</w:t>
      </w:r>
      <w:r>
        <w:t>9</w:t>
      </w:r>
      <w:r w:rsidRPr="001915BC">
        <w:t>–</w:t>
      </w:r>
      <w:r>
        <w:t>20</w:t>
      </w:r>
      <w:r w:rsidRPr="001915BC">
        <w:t>2</w:t>
      </w:r>
      <w:r>
        <w:t>1</w:t>
      </w:r>
      <w:r w:rsidRPr="001915BC">
        <w:t xml:space="preserve"> national life table</w:t>
      </w:r>
      <w:r>
        <w:t xml:space="preserve">, adjusted for </w:t>
      </w:r>
      <w:r w:rsidRPr="001915BC">
        <w:t xml:space="preserve">future improvement by applying </w:t>
      </w:r>
      <w:r>
        <w:t xml:space="preserve">mortality improvement factors from </w:t>
      </w:r>
      <w:r w:rsidRPr="001915BC">
        <w:t>the Australian Government Actuary</w:t>
      </w:r>
      <w:r>
        <w:t>.</w:t>
      </w:r>
      <w:r>
        <w:rPr>
          <w:rStyle w:val="FootnoteReference"/>
        </w:rPr>
        <w:footnoteReference w:id="59"/>
      </w:r>
      <w:r>
        <w:t xml:space="preserve"> The adjusted 2019</w:t>
      </w:r>
      <w:r w:rsidR="00AF38FB">
        <w:t>–</w:t>
      </w:r>
      <w:r>
        <w:t>2021 life table is used to represent the level of mortality that would be expected in the absence of the pandemic.</w:t>
      </w:r>
      <w:r>
        <w:rPr>
          <w:rStyle w:val="FootnoteReference"/>
        </w:rPr>
        <w:footnoteReference w:id="60"/>
      </w:r>
    </w:p>
    <w:p w14:paraId="00B9EAF2" w14:textId="3CDC811B" w:rsidR="00D7273B" w:rsidRDefault="00D7273B" w:rsidP="00D7273B">
      <w:r>
        <w:t>The Australian Government Actuary</w:t>
      </w:r>
      <w:r w:rsidR="00050D25">
        <w:t>’</w:t>
      </w:r>
      <w:r>
        <w:t xml:space="preserve">s mortality projections are then adjusted to reflect the ongoing </w:t>
      </w:r>
      <w:r w:rsidR="00E62359">
        <w:t>impacts of the</w:t>
      </w:r>
      <w:r>
        <w:t xml:space="preserve"> COVID</w:t>
      </w:r>
      <w:r w:rsidR="00050D25">
        <w:noBreakHyphen/>
      </w:r>
      <w:r>
        <w:t>19</w:t>
      </w:r>
      <w:r w:rsidR="00E62359">
        <w:t xml:space="preserve"> pandemic</w:t>
      </w:r>
      <w:r>
        <w:t>. The</w:t>
      </w:r>
      <w:r w:rsidRPr="0024434D">
        <w:t xml:space="preserve"> mortality rate </w:t>
      </w:r>
      <w:r>
        <w:t>adjustments apply to</w:t>
      </w:r>
      <w:r w:rsidRPr="0024434D">
        <w:t xml:space="preserve"> those aged 50 and above</w:t>
      </w:r>
      <w:r>
        <w:t>, reflecting that excess mortality has been concentrated in these age groups</w:t>
      </w:r>
      <w:r w:rsidRPr="0024434D">
        <w:t>.</w:t>
      </w:r>
      <w:r>
        <w:t xml:space="preserve"> The Centre assumes mortality rates will gradually </w:t>
      </w:r>
      <w:r w:rsidRPr="0026602B">
        <w:t>return</w:t>
      </w:r>
      <w:r>
        <w:t xml:space="preserve"> from their 2022–23 peak</w:t>
      </w:r>
      <w:r w:rsidRPr="0026602B">
        <w:t xml:space="preserve"> to </w:t>
      </w:r>
      <w:r>
        <w:t>the</w:t>
      </w:r>
      <w:r w:rsidRPr="0026602B">
        <w:t xml:space="preserve"> pre</w:t>
      </w:r>
      <w:r w:rsidR="00050D25">
        <w:noBreakHyphen/>
      </w:r>
      <w:r w:rsidRPr="0026602B">
        <w:t xml:space="preserve">pandemic </w:t>
      </w:r>
      <w:r>
        <w:t>trend</w:t>
      </w:r>
      <w:r w:rsidRPr="0026602B">
        <w:t xml:space="preserve"> </w:t>
      </w:r>
      <w:r>
        <w:t>by</w:t>
      </w:r>
      <w:r w:rsidRPr="0026602B">
        <w:t xml:space="preserve"> 202</w:t>
      </w:r>
      <w:r>
        <w:t>8–</w:t>
      </w:r>
      <w:r w:rsidRPr="0026602B">
        <w:t>2</w:t>
      </w:r>
      <w:r>
        <w:t xml:space="preserve">9. In the 2023 Population Statement, mortality rates were assumed to return to the </w:t>
      </w:r>
      <w:r w:rsidR="00050D25">
        <w:t>‘</w:t>
      </w:r>
      <w:r>
        <w:t>pre</w:t>
      </w:r>
      <w:r w:rsidR="00050D25">
        <w:noBreakHyphen/>
      </w:r>
      <w:r>
        <w:t>pandemic</w:t>
      </w:r>
      <w:r w:rsidR="00050D25">
        <w:t>’</w:t>
      </w:r>
      <w:r>
        <w:t xml:space="preserve"> level </w:t>
      </w:r>
      <w:r w:rsidRPr="000703DA">
        <w:t>in 202</w:t>
      </w:r>
      <w:r>
        <w:t>6–</w:t>
      </w:r>
      <w:r w:rsidRPr="0024434D">
        <w:t>2</w:t>
      </w:r>
      <w:r>
        <w:t>7</w:t>
      </w:r>
      <w:r w:rsidRPr="0024434D">
        <w:t xml:space="preserve"> </w:t>
      </w:r>
      <w:r>
        <w:t>(</w:t>
      </w:r>
      <w:r w:rsidR="00B37013">
        <w:fldChar w:fldCharType="begin"/>
      </w:r>
      <w:r w:rsidR="00B37013">
        <w:instrText xml:space="preserve"> REF _Ref184727172 \r \h </w:instrText>
      </w:r>
      <w:r w:rsidR="00B37013">
        <w:fldChar w:fldCharType="separate"/>
      </w:r>
      <w:r w:rsidR="00050D25">
        <w:t>Table 12</w:t>
      </w:r>
      <w:r w:rsidR="00B37013">
        <w:fldChar w:fldCharType="end"/>
      </w:r>
      <w:r>
        <w:t>).</w:t>
      </w:r>
      <w:r w:rsidRPr="000B2EEB">
        <w:t xml:space="preserve"> </w:t>
      </w:r>
    </w:p>
    <w:p w14:paraId="7003BB56" w14:textId="0C506389" w:rsidR="00254809" w:rsidRDefault="00254809" w:rsidP="003914B2">
      <w:bookmarkStart w:id="273" w:name="_Ref182390131"/>
      <w:r>
        <w:lastRenderedPageBreak/>
        <w:t>The move to a more conservative mortality assumption was informed by recent mortality trends. In 2022 and 2023, a new COVID</w:t>
      </w:r>
      <w:r w:rsidR="00050D25">
        <w:noBreakHyphen/>
      </w:r>
      <w:r>
        <w:t>19 wave was observed approximately every 6 months, with each wave resulting in around 10 to 15 per cent fewer deaths than the previous one. However, during 2024, COVID</w:t>
      </w:r>
      <w:r w:rsidR="00050D25">
        <w:noBreakHyphen/>
      </w:r>
      <w:r>
        <w:t>19 deaths have not decreased as quickly as in previous waves. The 2024 winter wave was similar in size to 2023, indicating that future improvement in mortality may be more limited than previously expected.</w:t>
      </w:r>
    </w:p>
    <w:p w14:paraId="777702AE" w14:textId="48F3CBF8" w:rsidR="00D7273B" w:rsidRPr="00BD2A0A" w:rsidRDefault="00D7273B" w:rsidP="00A633E1">
      <w:pPr>
        <w:pStyle w:val="TableMainHeading"/>
      </w:pPr>
      <w:bookmarkStart w:id="274" w:name="_Ref184727172"/>
      <w:r>
        <w:t>Excess mortality projections</w:t>
      </w:r>
      <w:bookmarkEnd w:id="273"/>
      <w:r w:rsidR="003A2724">
        <w:t xml:space="preserve"> (above pre</w:t>
      </w:r>
      <w:r w:rsidR="00050D25">
        <w:noBreakHyphen/>
      </w:r>
      <w:r w:rsidR="003A2724">
        <w:t>pandemic trend)</w:t>
      </w:r>
      <w:bookmarkEnd w:id="274"/>
    </w:p>
    <w:tbl>
      <w:tblPr>
        <w:tblStyle w:val="CPOPTable"/>
        <w:tblW w:w="4967" w:type="pct"/>
        <w:tblLayout w:type="fixed"/>
        <w:tblLook w:val="04A0" w:firstRow="1" w:lastRow="0" w:firstColumn="1" w:lastColumn="0" w:noHBand="0" w:noVBand="1"/>
        <w:tblCaption w:val="Table"/>
      </w:tblPr>
      <w:tblGrid>
        <w:gridCol w:w="2705"/>
        <w:gridCol w:w="1051"/>
        <w:gridCol w:w="1051"/>
        <w:gridCol w:w="1052"/>
        <w:gridCol w:w="1051"/>
        <w:gridCol w:w="1051"/>
        <w:gridCol w:w="1051"/>
      </w:tblGrid>
      <w:tr w:rsidR="00D7273B" w14:paraId="1CD5333D" w14:textId="77777777" w:rsidTr="00916EF2">
        <w:trPr>
          <w:cnfStyle w:val="100000000000" w:firstRow="1" w:lastRow="0" w:firstColumn="0" w:lastColumn="0" w:oddVBand="0" w:evenVBand="0" w:oddHBand="0" w:evenHBand="0" w:firstRowFirstColumn="0" w:firstRowLastColumn="0" w:lastRowFirstColumn="0" w:lastRowLastColumn="0"/>
          <w:trHeight w:val="623"/>
        </w:trPr>
        <w:tc>
          <w:tcPr>
            <w:tcW w:w="2706" w:type="dxa"/>
            <w:tcBorders>
              <w:top w:val="single" w:sz="4" w:space="0" w:color="auto"/>
              <w:bottom w:val="single" w:sz="4" w:space="0" w:color="auto"/>
            </w:tcBorders>
          </w:tcPr>
          <w:p w14:paraId="2BAEB2F7" w14:textId="6CF8E73E" w:rsidR="00D7273B" w:rsidRDefault="00881B0A" w:rsidP="00881B0A">
            <w:pPr>
              <w:pStyle w:val="TableSecondHeading"/>
              <w:jc w:val="left"/>
              <w:rPr>
                <w:rFonts w:cstheme="minorHAnsi"/>
                <w:sz w:val="19"/>
                <w:szCs w:val="19"/>
                <w:lang w:eastAsia="en-US"/>
              </w:rPr>
            </w:pPr>
            <w:r>
              <w:rPr>
                <w:rFonts w:cstheme="minorHAnsi"/>
                <w:sz w:val="19"/>
                <w:szCs w:val="19"/>
                <w:lang w:eastAsia="en-US"/>
              </w:rPr>
              <w:t>%</w:t>
            </w:r>
          </w:p>
        </w:tc>
        <w:tc>
          <w:tcPr>
            <w:tcW w:w="1051" w:type="dxa"/>
            <w:tcBorders>
              <w:top w:val="single" w:sz="4" w:space="0" w:color="auto"/>
              <w:bottom w:val="single" w:sz="4" w:space="0" w:color="auto"/>
            </w:tcBorders>
          </w:tcPr>
          <w:p w14:paraId="6814865E" w14:textId="77777777" w:rsidR="00D7273B" w:rsidRDefault="00D7273B" w:rsidP="0070497D">
            <w:pPr>
              <w:pStyle w:val="TableColumnHeadingRight"/>
            </w:pPr>
            <w:r>
              <w:t>2023</w:t>
            </w:r>
            <w:r>
              <w:rPr>
                <w:rStyle w:val="Hyperlink"/>
                <w:color w:val="auto"/>
              </w:rPr>
              <w:t>–</w:t>
            </w:r>
            <w:r>
              <w:t>24</w:t>
            </w:r>
          </w:p>
        </w:tc>
        <w:tc>
          <w:tcPr>
            <w:tcW w:w="1051" w:type="dxa"/>
            <w:tcBorders>
              <w:top w:val="single" w:sz="4" w:space="0" w:color="auto"/>
              <w:bottom w:val="single" w:sz="4" w:space="0" w:color="auto"/>
            </w:tcBorders>
          </w:tcPr>
          <w:p w14:paraId="7673BFC7" w14:textId="77777777" w:rsidR="00D7273B" w:rsidRPr="00B472FB" w:rsidRDefault="00D7273B" w:rsidP="0070497D">
            <w:pPr>
              <w:pStyle w:val="TableColumnHeadingRight"/>
            </w:pPr>
            <w:r>
              <w:t>2024</w:t>
            </w:r>
            <w:r>
              <w:rPr>
                <w:rStyle w:val="Hyperlink"/>
                <w:color w:val="auto"/>
              </w:rPr>
              <w:t>–</w:t>
            </w:r>
            <w:r>
              <w:t>25</w:t>
            </w:r>
          </w:p>
        </w:tc>
        <w:tc>
          <w:tcPr>
            <w:tcW w:w="1052" w:type="dxa"/>
            <w:tcBorders>
              <w:top w:val="single" w:sz="4" w:space="0" w:color="auto"/>
              <w:bottom w:val="single" w:sz="4" w:space="0" w:color="auto"/>
            </w:tcBorders>
            <w:hideMark/>
          </w:tcPr>
          <w:p w14:paraId="51912A41" w14:textId="77777777" w:rsidR="00D7273B" w:rsidRPr="00B472FB" w:rsidRDefault="00D7273B" w:rsidP="0070497D">
            <w:pPr>
              <w:pStyle w:val="TableColumnHeadingRight"/>
            </w:pPr>
            <w:r>
              <w:t>2025</w:t>
            </w:r>
            <w:r>
              <w:rPr>
                <w:rStyle w:val="Hyperlink"/>
                <w:color w:val="auto"/>
              </w:rPr>
              <w:t>–</w:t>
            </w:r>
            <w:r>
              <w:t>26</w:t>
            </w:r>
          </w:p>
        </w:tc>
        <w:tc>
          <w:tcPr>
            <w:tcW w:w="1051" w:type="dxa"/>
            <w:tcBorders>
              <w:top w:val="single" w:sz="4" w:space="0" w:color="auto"/>
              <w:bottom w:val="single" w:sz="4" w:space="0" w:color="auto"/>
            </w:tcBorders>
            <w:hideMark/>
          </w:tcPr>
          <w:p w14:paraId="490EEE48" w14:textId="77777777" w:rsidR="00D7273B" w:rsidRPr="00B472FB" w:rsidRDefault="00D7273B" w:rsidP="0070497D">
            <w:pPr>
              <w:pStyle w:val="TableColumnHeadingRight"/>
            </w:pPr>
            <w:r>
              <w:t>2026</w:t>
            </w:r>
            <w:r>
              <w:rPr>
                <w:rStyle w:val="Hyperlink"/>
                <w:color w:val="auto"/>
              </w:rPr>
              <w:t>–</w:t>
            </w:r>
            <w:r>
              <w:t>27</w:t>
            </w:r>
          </w:p>
        </w:tc>
        <w:tc>
          <w:tcPr>
            <w:tcW w:w="1051" w:type="dxa"/>
            <w:tcBorders>
              <w:top w:val="single" w:sz="4" w:space="0" w:color="auto"/>
              <w:bottom w:val="single" w:sz="4" w:space="0" w:color="auto"/>
            </w:tcBorders>
            <w:hideMark/>
          </w:tcPr>
          <w:p w14:paraId="5CD824DC" w14:textId="77777777" w:rsidR="00D7273B" w:rsidRPr="00B472FB" w:rsidRDefault="00D7273B" w:rsidP="0070497D">
            <w:pPr>
              <w:pStyle w:val="TableColumnHeadingRight"/>
            </w:pPr>
            <w:r w:rsidRPr="00B472FB">
              <w:t>20</w:t>
            </w:r>
            <w:r>
              <w:t>27</w:t>
            </w:r>
            <w:r>
              <w:rPr>
                <w:rStyle w:val="Hyperlink"/>
                <w:color w:val="auto"/>
              </w:rPr>
              <w:t>–</w:t>
            </w:r>
            <w:r>
              <w:t>28</w:t>
            </w:r>
          </w:p>
        </w:tc>
        <w:tc>
          <w:tcPr>
            <w:tcW w:w="1051" w:type="dxa"/>
            <w:tcBorders>
              <w:top w:val="single" w:sz="4" w:space="0" w:color="auto"/>
              <w:bottom w:val="single" w:sz="4" w:space="0" w:color="auto"/>
            </w:tcBorders>
            <w:hideMark/>
          </w:tcPr>
          <w:p w14:paraId="6B0AEA8E" w14:textId="77777777" w:rsidR="00D7273B" w:rsidRPr="00B472FB" w:rsidRDefault="00D7273B" w:rsidP="0070497D">
            <w:pPr>
              <w:pStyle w:val="TableColumnHeadingRight"/>
            </w:pPr>
            <w:r>
              <w:t>2028</w:t>
            </w:r>
            <w:r>
              <w:rPr>
                <w:rStyle w:val="Hyperlink"/>
                <w:color w:val="auto"/>
              </w:rPr>
              <w:t>–</w:t>
            </w:r>
            <w:r>
              <w:t>29 onwards</w:t>
            </w:r>
          </w:p>
        </w:tc>
      </w:tr>
      <w:tr w:rsidR="00D7273B" w14:paraId="148FC53E" w14:textId="77777777" w:rsidTr="00916EF2">
        <w:trPr>
          <w:trHeight w:val="221"/>
        </w:trPr>
        <w:tc>
          <w:tcPr>
            <w:tcW w:w="2706" w:type="dxa"/>
            <w:tcBorders>
              <w:top w:val="nil"/>
              <w:left w:val="nil"/>
              <w:bottom w:val="nil"/>
              <w:right w:val="nil"/>
            </w:tcBorders>
          </w:tcPr>
          <w:p w14:paraId="3A1B6322" w14:textId="77777777" w:rsidR="00D7273B" w:rsidRPr="009B1024" w:rsidRDefault="00D7273B" w:rsidP="00C75089">
            <w:pPr>
              <w:pStyle w:val="TableTextLeftBlue"/>
            </w:pPr>
            <w:r w:rsidRPr="00173683">
              <w:t xml:space="preserve">2023 </w:t>
            </w:r>
            <w:r w:rsidRPr="001F1826">
              <w:t xml:space="preserve">Population </w:t>
            </w:r>
            <w:r w:rsidRPr="00173683">
              <w:t>Statement</w:t>
            </w:r>
          </w:p>
        </w:tc>
        <w:tc>
          <w:tcPr>
            <w:tcW w:w="1051" w:type="dxa"/>
            <w:tcBorders>
              <w:top w:val="nil"/>
              <w:left w:val="nil"/>
              <w:bottom w:val="nil"/>
              <w:right w:val="nil"/>
            </w:tcBorders>
          </w:tcPr>
          <w:p w14:paraId="47B6DD21" w14:textId="488104C1" w:rsidR="00D7273B" w:rsidRPr="00386590" w:rsidRDefault="00D7273B" w:rsidP="0070497D">
            <w:pPr>
              <w:pStyle w:val="TableTextRight"/>
            </w:pPr>
            <w:r>
              <w:t>5</w:t>
            </w:r>
          </w:p>
        </w:tc>
        <w:tc>
          <w:tcPr>
            <w:tcW w:w="1051" w:type="dxa"/>
            <w:tcBorders>
              <w:top w:val="nil"/>
              <w:left w:val="nil"/>
              <w:bottom w:val="nil"/>
              <w:right w:val="nil"/>
            </w:tcBorders>
          </w:tcPr>
          <w:p w14:paraId="4D4E034B" w14:textId="106F0DA7" w:rsidR="00D7273B" w:rsidRPr="00386590" w:rsidRDefault="00D7273B" w:rsidP="0070497D">
            <w:pPr>
              <w:pStyle w:val="TableTextRight"/>
            </w:pPr>
            <w:r>
              <w:t>3</w:t>
            </w:r>
          </w:p>
        </w:tc>
        <w:tc>
          <w:tcPr>
            <w:tcW w:w="1052" w:type="dxa"/>
            <w:tcBorders>
              <w:top w:val="nil"/>
              <w:left w:val="nil"/>
              <w:bottom w:val="nil"/>
              <w:right w:val="nil"/>
            </w:tcBorders>
            <w:vAlign w:val="bottom"/>
          </w:tcPr>
          <w:p w14:paraId="44E138F3" w14:textId="248F9EE1" w:rsidR="00D7273B" w:rsidRPr="00386590" w:rsidRDefault="00D7273B" w:rsidP="0070497D">
            <w:pPr>
              <w:pStyle w:val="TableTextRight"/>
              <w:rPr>
                <w:rFonts w:cstheme="minorHAnsi"/>
              </w:rPr>
            </w:pPr>
            <w:r>
              <w:t>1</w:t>
            </w:r>
          </w:p>
        </w:tc>
        <w:tc>
          <w:tcPr>
            <w:tcW w:w="1051" w:type="dxa"/>
            <w:tcBorders>
              <w:top w:val="nil"/>
              <w:left w:val="nil"/>
              <w:bottom w:val="nil"/>
              <w:right w:val="nil"/>
            </w:tcBorders>
            <w:vAlign w:val="bottom"/>
          </w:tcPr>
          <w:p w14:paraId="0F52A0EA" w14:textId="307B308A" w:rsidR="00D7273B" w:rsidRPr="00386590" w:rsidRDefault="00D7273B" w:rsidP="0070497D">
            <w:pPr>
              <w:pStyle w:val="TableTextRight"/>
              <w:rPr>
                <w:rFonts w:cstheme="minorHAnsi"/>
              </w:rPr>
            </w:pPr>
            <w:r>
              <w:t>0</w:t>
            </w:r>
          </w:p>
        </w:tc>
        <w:tc>
          <w:tcPr>
            <w:tcW w:w="1051" w:type="dxa"/>
            <w:tcBorders>
              <w:top w:val="nil"/>
              <w:left w:val="nil"/>
              <w:bottom w:val="nil"/>
              <w:right w:val="nil"/>
            </w:tcBorders>
            <w:vAlign w:val="bottom"/>
          </w:tcPr>
          <w:p w14:paraId="6FF3F44A" w14:textId="245FCCD3" w:rsidR="00D7273B" w:rsidRPr="00386590" w:rsidRDefault="00D7273B" w:rsidP="0070497D">
            <w:pPr>
              <w:pStyle w:val="TableTextRight"/>
              <w:rPr>
                <w:rFonts w:cstheme="minorHAnsi"/>
              </w:rPr>
            </w:pPr>
            <w:r>
              <w:t>0</w:t>
            </w:r>
          </w:p>
        </w:tc>
        <w:tc>
          <w:tcPr>
            <w:tcW w:w="1051" w:type="dxa"/>
            <w:tcBorders>
              <w:top w:val="nil"/>
              <w:left w:val="nil"/>
              <w:bottom w:val="nil"/>
              <w:right w:val="nil"/>
            </w:tcBorders>
            <w:vAlign w:val="bottom"/>
          </w:tcPr>
          <w:p w14:paraId="7CEFBF6D" w14:textId="0CE1A3C9" w:rsidR="00D7273B" w:rsidRPr="00386590" w:rsidRDefault="00D7273B" w:rsidP="0070497D">
            <w:pPr>
              <w:pStyle w:val="TableTextRight"/>
              <w:rPr>
                <w:rFonts w:cstheme="minorHAnsi"/>
              </w:rPr>
            </w:pPr>
            <w:r>
              <w:t>0</w:t>
            </w:r>
          </w:p>
        </w:tc>
      </w:tr>
      <w:tr w:rsidR="00D7273B" w14:paraId="508D7C15" w14:textId="77777777" w:rsidTr="00916EF2">
        <w:trPr>
          <w:trHeight w:val="79"/>
        </w:trPr>
        <w:tc>
          <w:tcPr>
            <w:tcW w:w="2706" w:type="dxa"/>
            <w:tcBorders>
              <w:top w:val="nil"/>
              <w:left w:val="nil"/>
              <w:bottom w:val="single" w:sz="4" w:space="0" w:color="auto"/>
              <w:right w:val="nil"/>
            </w:tcBorders>
            <w:hideMark/>
          </w:tcPr>
          <w:p w14:paraId="6A8E8CC0" w14:textId="77777777" w:rsidR="00D7273B" w:rsidRDefault="00D7273B" w:rsidP="00C75089">
            <w:pPr>
              <w:pStyle w:val="TableTextLeftBlue"/>
            </w:pPr>
            <w:r>
              <w:t>2024 Population Statement</w:t>
            </w:r>
          </w:p>
        </w:tc>
        <w:tc>
          <w:tcPr>
            <w:tcW w:w="1051" w:type="dxa"/>
            <w:tcBorders>
              <w:top w:val="nil"/>
              <w:left w:val="nil"/>
              <w:bottom w:val="single" w:sz="4" w:space="0" w:color="auto"/>
              <w:right w:val="nil"/>
            </w:tcBorders>
          </w:tcPr>
          <w:p w14:paraId="79BA888C" w14:textId="6E522524" w:rsidR="00D7273B" w:rsidRPr="00386590" w:rsidRDefault="00D7273B" w:rsidP="0070497D">
            <w:pPr>
              <w:pStyle w:val="TableTextRight"/>
            </w:pPr>
            <w:r>
              <w:t>5</w:t>
            </w:r>
          </w:p>
        </w:tc>
        <w:tc>
          <w:tcPr>
            <w:tcW w:w="1051" w:type="dxa"/>
            <w:tcBorders>
              <w:top w:val="nil"/>
              <w:left w:val="nil"/>
              <w:bottom w:val="single" w:sz="4" w:space="0" w:color="auto"/>
              <w:right w:val="nil"/>
            </w:tcBorders>
          </w:tcPr>
          <w:p w14:paraId="04156B28" w14:textId="5C8F40D8" w:rsidR="00D7273B" w:rsidRPr="00386590" w:rsidRDefault="00D7273B" w:rsidP="0070497D">
            <w:pPr>
              <w:pStyle w:val="TableTextRight"/>
            </w:pPr>
            <w:r>
              <w:t>4</w:t>
            </w:r>
          </w:p>
        </w:tc>
        <w:tc>
          <w:tcPr>
            <w:tcW w:w="1052" w:type="dxa"/>
            <w:tcBorders>
              <w:top w:val="nil"/>
              <w:left w:val="nil"/>
              <w:bottom w:val="single" w:sz="4" w:space="0" w:color="auto"/>
              <w:right w:val="nil"/>
            </w:tcBorders>
            <w:vAlign w:val="bottom"/>
          </w:tcPr>
          <w:p w14:paraId="44BCA098" w14:textId="2B4BAC1D" w:rsidR="00D7273B" w:rsidRPr="00386590" w:rsidRDefault="00D7273B" w:rsidP="0070497D">
            <w:pPr>
              <w:pStyle w:val="TableTextRight"/>
              <w:rPr>
                <w:rFonts w:cstheme="minorHAnsi"/>
              </w:rPr>
            </w:pPr>
            <w:r w:rsidRPr="00386590">
              <w:t>3</w:t>
            </w:r>
          </w:p>
        </w:tc>
        <w:tc>
          <w:tcPr>
            <w:tcW w:w="1051" w:type="dxa"/>
            <w:tcBorders>
              <w:top w:val="nil"/>
              <w:left w:val="nil"/>
              <w:bottom w:val="single" w:sz="4" w:space="0" w:color="auto"/>
              <w:right w:val="nil"/>
            </w:tcBorders>
            <w:vAlign w:val="bottom"/>
          </w:tcPr>
          <w:p w14:paraId="1369B080" w14:textId="5C0F9C72" w:rsidR="00D7273B" w:rsidRPr="00386590" w:rsidRDefault="00D7273B" w:rsidP="0070497D">
            <w:pPr>
              <w:pStyle w:val="TableTextRight"/>
              <w:rPr>
                <w:rFonts w:cstheme="minorHAnsi"/>
              </w:rPr>
            </w:pPr>
            <w:r>
              <w:t>2</w:t>
            </w:r>
          </w:p>
        </w:tc>
        <w:tc>
          <w:tcPr>
            <w:tcW w:w="1051" w:type="dxa"/>
            <w:tcBorders>
              <w:top w:val="nil"/>
              <w:left w:val="nil"/>
              <w:bottom w:val="single" w:sz="4" w:space="0" w:color="auto"/>
              <w:right w:val="nil"/>
            </w:tcBorders>
            <w:vAlign w:val="bottom"/>
          </w:tcPr>
          <w:p w14:paraId="58A4EAB3" w14:textId="64A0377A" w:rsidR="00D7273B" w:rsidRPr="00386590" w:rsidRDefault="00D7273B" w:rsidP="0070497D">
            <w:pPr>
              <w:pStyle w:val="TableTextRight"/>
              <w:rPr>
                <w:rFonts w:cstheme="minorHAnsi"/>
              </w:rPr>
            </w:pPr>
            <w:r>
              <w:t>1</w:t>
            </w:r>
          </w:p>
        </w:tc>
        <w:tc>
          <w:tcPr>
            <w:tcW w:w="1051" w:type="dxa"/>
            <w:tcBorders>
              <w:top w:val="nil"/>
              <w:left w:val="nil"/>
              <w:bottom w:val="single" w:sz="4" w:space="0" w:color="auto"/>
              <w:right w:val="nil"/>
            </w:tcBorders>
            <w:vAlign w:val="bottom"/>
          </w:tcPr>
          <w:p w14:paraId="49CCCAD0" w14:textId="118C0035" w:rsidR="00D7273B" w:rsidRPr="00386590" w:rsidRDefault="00D7273B" w:rsidP="0070497D">
            <w:pPr>
              <w:pStyle w:val="TableTextRight"/>
              <w:rPr>
                <w:rFonts w:cstheme="minorHAnsi"/>
              </w:rPr>
            </w:pPr>
            <w:r>
              <w:t>0</w:t>
            </w:r>
          </w:p>
        </w:tc>
      </w:tr>
    </w:tbl>
    <w:p w14:paraId="5EDE0865" w14:textId="77777777" w:rsidR="00D7273B" w:rsidRDefault="00D7273B" w:rsidP="00D7273B">
      <w:pPr>
        <w:pStyle w:val="Source"/>
      </w:pPr>
      <w:r w:rsidRPr="00252F42">
        <w:t xml:space="preserve">Source: </w:t>
      </w:r>
      <w:r w:rsidRPr="00252F42">
        <w:tab/>
        <w:t>Centre for Population.</w:t>
      </w:r>
    </w:p>
    <w:p w14:paraId="6AA225C6" w14:textId="77777777" w:rsidR="00997375" w:rsidRPr="0007163C" w:rsidRDefault="00997375" w:rsidP="00997375">
      <w:pPr>
        <w:pStyle w:val="SingleParagraph"/>
      </w:pPr>
    </w:p>
    <w:p w14:paraId="7DE43092" w14:textId="5853E5D2" w:rsidR="00D7273B" w:rsidRDefault="00D7273B" w:rsidP="00D7273B">
      <w:r>
        <w:t>As the future of COVID</w:t>
      </w:r>
      <w:r w:rsidR="00050D25">
        <w:noBreakHyphen/>
      </w:r>
      <w:r>
        <w:t>19 waves and variants is unclear, t</w:t>
      </w:r>
      <w:r w:rsidRPr="0024434D">
        <w:t>he long</w:t>
      </w:r>
      <w:r w:rsidR="00050D25">
        <w:noBreakHyphen/>
      </w:r>
      <w:r>
        <w:t>term</w:t>
      </w:r>
      <w:r w:rsidRPr="0024434D">
        <w:t xml:space="preserve"> </w:t>
      </w:r>
      <w:r>
        <w:t>effect</w:t>
      </w:r>
      <w:r w:rsidRPr="0024434D">
        <w:t xml:space="preserve"> of COVID</w:t>
      </w:r>
      <w:r w:rsidR="00050D25">
        <w:noBreakHyphen/>
      </w:r>
      <w:r w:rsidRPr="0024434D">
        <w:t>19 on mortality remains highly uncertain.</w:t>
      </w:r>
      <w:r>
        <w:t xml:space="preserve"> </w:t>
      </w:r>
      <w:r w:rsidRPr="003B7BD0">
        <w:t xml:space="preserve">If excess mortality </w:t>
      </w:r>
      <w:r>
        <w:t xml:space="preserve">of </w:t>
      </w:r>
      <w:r w:rsidR="00D21BFD">
        <w:t>one </w:t>
      </w:r>
      <w:r w:rsidR="00FF207F">
        <w:t>per cent</w:t>
      </w:r>
      <w:r>
        <w:t xml:space="preserve"> </w:t>
      </w:r>
      <w:r w:rsidRPr="008F57C9">
        <w:t>continues in 2028</w:t>
      </w:r>
      <w:r w:rsidR="00AF38FB">
        <w:t>–</w:t>
      </w:r>
      <w:r w:rsidRPr="008F57C9">
        <w:t xml:space="preserve">29 and beyond, </w:t>
      </w:r>
      <w:r>
        <w:t>it</w:t>
      </w:r>
      <w:r w:rsidRPr="008F57C9">
        <w:t xml:space="preserve"> will </w:t>
      </w:r>
      <w:r>
        <w:t xml:space="preserve">result in an additional </w:t>
      </w:r>
      <w:r w:rsidR="00850F6F">
        <w:t>11</w:t>
      </w:r>
      <w:r w:rsidRPr="008F57C9">
        <w:t>,</w:t>
      </w:r>
      <w:r w:rsidR="00850F6F">
        <w:t>7</w:t>
      </w:r>
      <w:r w:rsidRPr="008F57C9">
        <w:t>00 deaths</w:t>
      </w:r>
      <w:r>
        <w:t xml:space="preserve"> </w:t>
      </w:r>
      <w:r w:rsidR="001D7BCB">
        <w:t>by 2034</w:t>
      </w:r>
      <w:r w:rsidR="001D7BCB">
        <w:rPr>
          <w:rStyle w:val="Hyperlink"/>
          <w:color w:val="auto"/>
        </w:rPr>
        <w:t>–</w:t>
      </w:r>
      <w:r w:rsidR="001D7BCB">
        <w:t xml:space="preserve">35 </w:t>
      </w:r>
      <w:r>
        <w:t>and reduce life expectancy by 0.</w:t>
      </w:r>
      <w:r w:rsidRPr="00186107">
        <w:t>1</w:t>
      </w:r>
      <w:r>
        <w:t xml:space="preserve"> years, relative to the current forecast.</w:t>
      </w:r>
    </w:p>
    <w:p w14:paraId="36285CA2" w14:textId="218DC5C8" w:rsidR="00D7273B" w:rsidRPr="0007163C" w:rsidRDefault="00D7273B" w:rsidP="00D7273B">
      <w:r w:rsidRPr="001915BC">
        <w:t>The same approach</w:t>
      </w:r>
      <w:r>
        <w:t xml:space="preserve"> as above</w:t>
      </w:r>
      <w:r w:rsidRPr="001915BC">
        <w:t xml:space="preserve"> has been used at the state level.</w:t>
      </w:r>
      <w:r>
        <w:t xml:space="preserve"> </w:t>
      </w:r>
      <w:r w:rsidRPr="0007163C">
        <w:t>At the capital city and rest</w:t>
      </w:r>
      <w:r w:rsidR="00050D25">
        <w:noBreakHyphen/>
      </w:r>
      <w:r w:rsidRPr="0007163C">
        <w:t>of</w:t>
      </w:r>
      <w:r w:rsidR="00050D25">
        <w:noBreakHyphen/>
      </w:r>
      <w:r w:rsidRPr="0007163C">
        <w:t xml:space="preserve">state level, abridged life tables were constructed based on </w:t>
      </w:r>
      <w:r>
        <w:t>ABS</w:t>
      </w:r>
      <w:r w:rsidRPr="0007163C">
        <w:t xml:space="preserve"> deaths </w:t>
      </w:r>
      <w:r w:rsidR="00580544">
        <w:t xml:space="preserve">data </w:t>
      </w:r>
      <w:r w:rsidRPr="0007163C">
        <w:t xml:space="preserve">and estimated resident population data from financial years </w:t>
      </w:r>
      <w:r w:rsidRPr="00062F89">
        <w:t>200</w:t>
      </w:r>
      <w:r>
        <w:t>3</w:t>
      </w:r>
      <w:r w:rsidRPr="00062F89">
        <w:t>–0</w:t>
      </w:r>
      <w:r>
        <w:t>4</w:t>
      </w:r>
      <w:r w:rsidRPr="00062F89">
        <w:t xml:space="preserve"> to 20</w:t>
      </w:r>
      <w:r w:rsidRPr="0024434D">
        <w:t>2</w:t>
      </w:r>
      <w:r>
        <w:t>1</w:t>
      </w:r>
      <w:r w:rsidRPr="00062F89">
        <w:t>–2</w:t>
      </w:r>
      <w:r>
        <w:t>2</w:t>
      </w:r>
      <w:r w:rsidRPr="00062F89">
        <w:t>. The approach for future capital city and rest</w:t>
      </w:r>
      <w:r w:rsidR="00050D25">
        <w:noBreakHyphen/>
      </w:r>
      <w:r w:rsidRPr="00062F89">
        <w:t>of</w:t>
      </w:r>
      <w:r w:rsidR="00050D25">
        <w:noBreakHyphen/>
      </w:r>
      <w:r w:rsidRPr="00062F89">
        <w:t xml:space="preserve">state mortality rates assumes that average ratios of </w:t>
      </w:r>
      <w:r>
        <w:t>capital city/rest</w:t>
      </w:r>
      <w:r w:rsidR="00050D25">
        <w:noBreakHyphen/>
      </w:r>
      <w:r>
        <w:t>of</w:t>
      </w:r>
      <w:r w:rsidR="00050D25">
        <w:noBreakHyphen/>
      </w:r>
      <w:r>
        <w:t xml:space="preserve">state </w:t>
      </w:r>
      <w:r w:rsidRPr="00062F89">
        <w:t>to</w:t>
      </w:r>
      <w:r>
        <w:t xml:space="preserve"> </w:t>
      </w:r>
      <w:r w:rsidRPr="00062F89">
        <w:t>state mortality rates over</w:t>
      </w:r>
      <w:r>
        <w:t> </w:t>
      </w:r>
      <w:r w:rsidRPr="00062F89">
        <w:t>201</w:t>
      </w:r>
      <w:r>
        <w:t>7</w:t>
      </w:r>
      <w:r w:rsidRPr="00062F89">
        <w:t>–1</w:t>
      </w:r>
      <w:r>
        <w:t>8</w:t>
      </w:r>
      <w:r w:rsidRPr="00062F89">
        <w:t xml:space="preserve"> to 20</w:t>
      </w:r>
      <w:r>
        <w:t>21</w:t>
      </w:r>
      <w:r w:rsidRPr="00062F89">
        <w:t>–2</w:t>
      </w:r>
      <w:r>
        <w:t>2</w:t>
      </w:r>
      <w:r w:rsidRPr="00062F89">
        <w:t xml:space="preserve"> apply from 202</w:t>
      </w:r>
      <w:r>
        <w:t>6</w:t>
      </w:r>
      <w:r w:rsidRPr="00062F89">
        <w:t>–2</w:t>
      </w:r>
      <w:r>
        <w:t>7</w:t>
      </w:r>
      <w:r w:rsidRPr="00062F89">
        <w:t xml:space="preserve"> onwards. For the period</w:t>
      </w:r>
      <w:r w:rsidRPr="00765388">
        <w:t xml:space="preserve"> </w:t>
      </w:r>
      <w:r w:rsidRPr="00062F89">
        <w:t>up to 202</w:t>
      </w:r>
      <w:r>
        <w:t>6</w:t>
      </w:r>
      <w:r w:rsidRPr="00062F89">
        <w:t>–2</w:t>
      </w:r>
      <w:r>
        <w:t>7</w:t>
      </w:r>
      <w:r w:rsidRPr="00062F89">
        <w:t>,</w:t>
      </w:r>
      <w:r>
        <w:t xml:space="preserve"> the ratios are smoothed from recent values to the 5</w:t>
      </w:r>
      <w:r w:rsidR="00050D25">
        <w:noBreakHyphen/>
      </w:r>
      <w:r>
        <w:t xml:space="preserve">year average. </w:t>
      </w:r>
      <w:r w:rsidRPr="001915BC">
        <w:t xml:space="preserve">Projected mortality rates for </w:t>
      </w:r>
      <w:r>
        <w:t>capital cities and rest</w:t>
      </w:r>
      <w:r w:rsidR="00050D25">
        <w:noBreakHyphen/>
      </w:r>
      <w:r>
        <w:t>of</w:t>
      </w:r>
      <w:r w:rsidR="00050D25">
        <w:noBreakHyphen/>
      </w:r>
      <w:r>
        <w:t>state areas</w:t>
      </w:r>
      <w:r w:rsidRPr="001915BC">
        <w:t xml:space="preserve"> are then calculated by multiplying projected state mortality rates prepared by the Australian Government Actuary by the </w:t>
      </w:r>
      <w:r w:rsidR="000A335C">
        <w:t>historical</w:t>
      </w:r>
      <w:r w:rsidRPr="001915BC">
        <w:t xml:space="preserve"> ratios. </w:t>
      </w:r>
    </w:p>
    <w:p w14:paraId="4576759D" w14:textId="77777777" w:rsidR="00D7273B" w:rsidRDefault="00D7273B" w:rsidP="00D7273B">
      <w:pPr>
        <w:pStyle w:val="Heading3Numbered"/>
      </w:pPr>
      <w:bookmarkStart w:id="275" w:name="_Toc149846522"/>
      <w:bookmarkStart w:id="276" w:name="_Toc149846563"/>
      <w:bookmarkStart w:id="277" w:name="_Toc149846661"/>
      <w:bookmarkStart w:id="278" w:name="_Toc149847604"/>
      <w:r>
        <w:t>Net internal migration</w:t>
      </w:r>
      <w:bookmarkEnd w:id="275"/>
      <w:bookmarkEnd w:id="276"/>
      <w:bookmarkEnd w:id="277"/>
      <w:bookmarkEnd w:id="278"/>
    </w:p>
    <w:p w14:paraId="6C8ADBCD" w14:textId="46A95DB0" w:rsidR="00D7273B" w:rsidRDefault="00D7273B" w:rsidP="00997375">
      <w:r>
        <w:t>Internal migration patterns vary year</w:t>
      </w:r>
      <w:r w:rsidR="00050D25">
        <w:noBreakHyphen/>
      </w:r>
      <w:r>
        <w:t>to</w:t>
      </w:r>
      <w:r w:rsidR="00050D25">
        <w:noBreakHyphen/>
      </w:r>
      <w:r>
        <w:t>year, driven by a variety of social and economic factors. While some patterns are well established (for example, outflows from Sydney, inflows to Queensland), most regions have experienced both net gains and net losses to internal migration at some time during the past 2 decades.</w:t>
      </w:r>
    </w:p>
    <w:p w14:paraId="261F4A86" w14:textId="33A890C6" w:rsidR="00D7273B" w:rsidRDefault="00D7273B" w:rsidP="00997375">
      <w:r>
        <w:t xml:space="preserve">The forecast future patterns of net internal migration rely on both historical averages and recent data. Expected patterns of internal migration for 2023–24 </w:t>
      </w:r>
      <w:proofErr w:type="gramStart"/>
      <w:r>
        <w:t>are</w:t>
      </w:r>
      <w:proofErr w:type="gramEnd"/>
      <w:r>
        <w:t xml:space="preserve"> based on recent internal migration estimates and are then assumed to return to a long</w:t>
      </w:r>
      <w:r w:rsidR="00050D25">
        <w:noBreakHyphen/>
      </w:r>
      <w:r>
        <w:t xml:space="preserve">term average by 2026–27. </w:t>
      </w:r>
    </w:p>
    <w:p w14:paraId="197AC4AF" w14:textId="1AB25057" w:rsidR="00D7273B" w:rsidRDefault="00D7273B" w:rsidP="00997375">
      <w:r>
        <w:t>The long</w:t>
      </w:r>
      <w:r w:rsidR="00050D25">
        <w:noBreakHyphen/>
      </w:r>
      <w:r>
        <w:t>term average calculation uses 20 years of data, consisting of the 19 years to 2018</w:t>
      </w:r>
      <w:r>
        <w:rPr>
          <w:rStyle w:val="Hyperlink"/>
          <w:color w:val="auto"/>
        </w:rPr>
        <w:t>–</w:t>
      </w:r>
      <w:r>
        <w:t>19 plus 2022–23. For capital cities and rest</w:t>
      </w:r>
      <w:r w:rsidR="00050D25">
        <w:noBreakHyphen/>
      </w:r>
      <w:r>
        <w:t>of</w:t>
      </w:r>
      <w:r w:rsidR="00050D25">
        <w:noBreakHyphen/>
      </w:r>
      <w:r>
        <w:t>state areas, the long</w:t>
      </w:r>
      <w:r w:rsidR="00050D25">
        <w:noBreakHyphen/>
      </w:r>
      <w:r>
        <w:t>term average is 19 years because of data availability. The pandemic period is excluded from the averages because of disruptions</w:t>
      </w:r>
      <w:r w:rsidR="00360020">
        <w:t xml:space="preserve"> to the data</w:t>
      </w:r>
      <w:r>
        <w:t xml:space="preserve">. </w:t>
      </w:r>
    </w:p>
    <w:p w14:paraId="15D8246D" w14:textId="2CB0DE5D" w:rsidR="00D7273B" w:rsidRDefault="00D7273B" w:rsidP="00997375">
      <w:r>
        <w:t xml:space="preserve">After 2026–27, </w:t>
      </w:r>
      <w:r w:rsidR="00EB67FD">
        <w:t>NIM</w:t>
      </w:r>
      <w:r>
        <w:t xml:space="preserve"> is the average of a fixed</w:t>
      </w:r>
      <w:r w:rsidR="002954A5">
        <w:t xml:space="preserve"> </w:t>
      </w:r>
      <w:r>
        <w:t>levels and a fixed</w:t>
      </w:r>
      <w:r w:rsidR="002954A5">
        <w:t xml:space="preserve"> </w:t>
      </w:r>
      <w:r>
        <w:t xml:space="preserve">rates assumption for each age and sex. A fixed levels assumption keeps the </w:t>
      </w:r>
      <w:r w:rsidRPr="003B3DD0">
        <w:rPr>
          <w:i/>
        </w:rPr>
        <w:t>number</w:t>
      </w:r>
      <w:r>
        <w:t xml:space="preserve"> of arrivals and departures constant for each jurisdiction, while a fixed rates assumption keeps the </w:t>
      </w:r>
      <w:r w:rsidRPr="003B3DD0">
        <w:rPr>
          <w:i/>
        </w:rPr>
        <w:t>rate</w:t>
      </w:r>
      <w:r>
        <w:t xml:space="preserve"> of arrivals and departures </w:t>
      </w:r>
      <w:r w:rsidR="002B48AF">
        <w:t xml:space="preserve">constant </w:t>
      </w:r>
      <w:r>
        <w:t>relative to the jurisdiction</w:t>
      </w:r>
      <w:r w:rsidR="00050D25">
        <w:t>’</w:t>
      </w:r>
      <w:r>
        <w:t>s population.</w:t>
      </w:r>
    </w:p>
    <w:p w14:paraId="1FFA1B94" w14:textId="623D4BCE" w:rsidR="00D7273B" w:rsidRDefault="00D7273B" w:rsidP="00997375">
      <w:r>
        <w:t xml:space="preserve">The composition of </w:t>
      </w:r>
      <w:r w:rsidR="00EB67FD">
        <w:t>NIM</w:t>
      </w:r>
      <w:r>
        <w:t xml:space="preserve"> – the age and sex distribution of people who move – is assumed to</w:t>
      </w:r>
      <w:r w:rsidDel="005F3BA6">
        <w:t xml:space="preserve"> </w:t>
      </w:r>
      <w:r>
        <w:t xml:space="preserve">remain stable during the projection period. Young adults generally migrate to the capital cities and older Australians generally move out of the capital cities. Compositional assumptions are based upon the 2016 Census because the pandemic lockdowns significantly affected the 2021 Census movement data. </w:t>
      </w: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D7273B" w:rsidRPr="003B6850" w14:paraId="0FF3A5E9" w14:textId="77777777" w:rsidTr="0095584C">
        <w:trPr>
          <w:trHeight w:val="293"/>
        </w:trPr>
        <w:tc>
          <w:tcPr>
            <w:tcW w:w="9072" w:type="dxa"/>
            <w:shd w:val="clear" w:color="auto" w:fill="auto"/>
          </w:tcPr>
          <w:p w14:paraId="5900B629" w14:textId="77777777" w:rsidR="00D7273B" w:rsidRDefault="00D7273B" w:rsidP="00916EF2">
            <w:pPr>
              <w:pStyle w:val="BoxHeading"/>
            </w:pPr>
            <w:bookmarkStart w:id="279" w:name="_Ref184287102"/>
            <w:r w:rsidRPr="00553DB5">
              <w:lastRenderedPageBreak/>
              <w:t>Measuring interstate migration</w:t>
            </w:r>
            <w:bookmarkEnd w:id="279"/>
          </w:p>
          <w:p w14:paraId="0B5921FB" w14:textId="7275FFA7" w:rsidR="00D7273B" w:rsidRPr="002546EE" w:rsidRDefault="003709F3" w:rsidP="00AB42A1">
            <w:pPr>
              <w:pStyle w:val="BoxText"/>
            </w:pPr>
            <w:r>
              <w:t>There is no</w:t>
            </w:r>
            <w:r w:rsidRPr="002546EE">
              <w:t xml:space="preserve"> direct measure of interstate migration</w:t>
            </w:r>
            <w:r w:rsidR="00D7273B">
              <w:t xml:space="preserve"> </w:t>
            </w:r>
            <w:r>
              <w:t>making it</w:t>
            </w:r>
            <w:r w:rsidR="00D7273B">
              <w:t xml:space="preserve"> more difficult to measure than overseas migration or natural increase. </w:t>
            </w:r>
            <w:r w:rsidR="00D7273B" w:rsidRPr="002546EE">
              <w:t xml:space="preserve">Australian residents are not </w:t>
            </w:r>
            <w:r w:rsidR="00D7273B">
              <w:t xml:space="preserve">generally </w:t>
            </w:r>
            <w:r w:rsidR="00D7273B" w:rsidRPr="002546EE">
              <w:t xml:space="preserve">required to report to government agencies </w:t>
            </w:r>
            <w:r w:rsidR="00D7273B">
              <w:t>when</w:t>
            </w:r>
            <w:r w:rsidR="00D7273B" w:rsidRPr="002546EE">
              <w:t xml:space="preserve"> they move. Instead,</w:t>
            </w:r>
            <w:r w:rsidR="00D7273B" w:rsidRPr="002546EE" w:rsidDel="008E2EBD">
              <w:t xml:space="preserve"> </w:t>
            </w:r>
            <w:r w:rsidR="00D7273B">
              <w:t>people</w:t>
            </w:r>
            <w:r w:rsidR="00D7273B" w:rsidRPr="002546EE">
              <w:t xml:space="preserve"> update address details with government agencies when convenient, for example an address change is generally reported to </w:t>
            </w:r>
            <w:r w:rsidR="00665AC1">
              <w:t>the</w:t>
            </w:r>
            <w:r w:rsidR="00D7273B" w:rsidRPr="002546EE">
              <w:t xml:space="preserve"> Australian Taxation Office (ATO) at tax time annually.</w:t>
            </w:r>
          </w:p>
          <w:p w14:paraId="757960EA" w14:textId="77777777" w:rsidR="00D7273B" w:rsidRPr="002546EE" w:rsidRDefault="00D7273B" w:rsidP="00AB42A1">
            <w:pPr>
              <w:pStyle w:val="BoxText"/>
            </w:pPr>
            <w:r>
              <w:t>B</w:t>
            </w:r>
            <w:r w:rsidRPr="002546EE">
              <w:t>etween Censuses</w:t>
            </w:r>
            <w:r>
              <w:t>, the ABS</w:t>
            </w:r>
            <w:r w:rsidRPr="002546EE">
              <w:t xml:space="preserve"> relies on Medicare change of address </w:t>
            </w:r>
            <w:r>
              <w:t>data</w:t>
            </w:r>
            <w:r w:rsidRPr="002546EE">
              <w:t xml:space="preserve"> to estimate </w:t>
            </w:r>
            <w:r>
              <w:t xml:space="preserve">quarterly </w:t>
            </w:r>
            <w:r w:rsidRPr="002546EE">
              <w:t>net interstate</w:t>
            </w:r>
            <w:r>
              <w:t xml:space="preserve"> migration. To account for missing movements due to delayed updates and residents not eligible for Medicare, change of address data is scaled using </w:t>
            </w:r>
            <w:r w:rsidRPr="002546EE">
              <w:t xml:space="preserve">expansion factors </w:t>
            </w:r>
            <w:r>
              <w:t>which are</w:t>
            </w:r>
            <w:r w:rsidRPr="002546EE" w:rsidDel="00663474">
              <w:t xml:space="preserve"> </w:t>
            </w:r>
            <w:r>
              <w:t>based on the most recent Census. However, expansion factors are not revisited between Censuses</w:t>
            </w:r>
            <w:r w:rsidRPr="002546EE">
              <w:t>.</w:t>
            </w:r>
          </w:p>
          <w:p w14:paraId="4C87DCD4" w14:textId="30DB7C50" w:rsidR="00D7273B" w:rsidRDefault="00D7273B" w:rsidP="00AB42A1">
            <w:pPr>
              <w:pStyle w:val="BoxText"/>
            </w:pPr>
            <w:r w:rsidRPr="002546EE">
              <w:t>Rebasing</w:t>
            </w:r>
            <w:r w:rsidRPr="002546EE" w:rsidDel="001F4121">
              <w:t xml:space="preserve"> </w:t>
            </w:r>
            <w:r w:rsidRPr="002546EE">
              <w:t xml:space="preserve">the </w:t>
            </w:r>
            <w:r>
              <w:t>ABS</w:t>
            </w:r>
            <w:r w:rsidR="00050D25">
              <w:t>’</w:t>
            </w:r>
            <w:r>
              <w:t>s</w:t>
            </w:r>
            <w:r w:rsidRPr="002546EE">
              <w:t xml:space="preserve"> quarterly population estimates to the most recent 2021 Census saw larger</w:t>
            </w:r>
            <w:r w:rsidR="00050D25">
              <w:noBreakHyphen/>
            </w:r>
            <w:r w:rsidRPr="002546EE">
              <w:t>than</w:t>
            </w:r>
            <w:r w:rsidR="00050D25">
              <w:noBreakHyphen/>
            </w:r>
            <w:r w:rsidRPr="002546EE">
              <w:t>usual revisions at the state and territory level</w:t>
            </w:r>
            <w:r w:rsidDel="00A81CCB">
              <w:t xml:space="preserve"> (</w:t>
            </w:r>
            <w:r w:rsidDel="00A81CCB">
              <w:fldChar w:fldCharType="begin"/>
            </w:r>
            <w:r w:rsidDel="00A81CCB">
              <w:instrText xml:space="preserve"> REF _Ref180497030 \r \h </w:instrText>
            </w:r>
            <w:r w:rsidR="0095584C">
              <w:instrText xml:space="preserve"> \* MERGEFORMAT </w:instrText>
            </w:r>
            <w:r w:rsidDel="00A81CCB">
              <w:fldChar w:fldCharType="separate"/>
            </w:r>
            <w:r w:rsidR="00050D25">
              <w:t>Chart 54</w:t>
            </w:r>
            <w:r w:rsidDel="00A81CCB">
              <w:fldChar w:fldCharType="end"/>
            </w:r>
            <w:r w:rsidDel="00A81CCB">
              <w:t>)</w:t>
            </w:r>
            <w:r>
              <w:t>. This was especially true in Tasmania and the ACT which saw major upwards revisions to their populations. The ACT population underestimate was mostly due the estimates of NIM.</w:t>
            </w:r>
          </w:p>
          <w:p w14:paraId="132F998B" w14:textId="77777777" w:rsidR="00D7273B" w:rsidRPr="001159B7" w:rsidRDefault="00D7273B" w:rsidP="00654915">
            <w:pPr>
              <w:pStyle w:val="ChartMainHeading"/>
            </w:pPr>
            <w:bookmarkStart w:id="280" w:name="_Ref180497030"/>
            <w:r>
              <w:t>Preliminary intercensal difference</w:t>
            </w:r>
            <w:bookmarkEnd w:id="280"/>
          </w:p>
          <w:p w14:paraId="24222BE2" w14:textId="6AD2FC71" w:rsidR="00D7273B" w:rsidRPr="00997375" w:rsidRDefault="00D7273B" w:rsidP="00997375">
            <w:pPr>
              <w:pStyle w:val="ChartGraphic"/>
            </w:pPr>
            <w:r>
              <w:t xml:space="preserve"> </w:t>
            </w:r>
            <w:r w:rsidR="005C30BE" w:rsidRPr="00997375">
              <w:rPr>
                <w:noProof/>
              </w:rPr>
              <w:drawing>
                <wp:inline distT="0" distB="0" distL="0" distR="0" wp14:anchorId="1864BC35" wp14:editId="145B14B4">
                  <wp:extent cx="5581650" cy="2886075"/>
                  <wp:effectExtent l="0" t="0" r="0" b="0"/>
                  <wp:docPr id="731676513" name="Picture 731676513" descr="This chart shows the preliminary intercensal difference following the 2011, 2016 and 2021 censuses for Australia and each state. Prior to the 2021 Census, most differences were within ½ per cent, with the largest intercensal difference just over 2 per cent. In the 2021 Census, the intercensal difference was similar to previous censuses at the national level, but 7 of the 8 states had their highest intercensal difference. The difference was particularly large for Tasmania and the ACT, with an underestimate of around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6513" name="Picture 731676513" descr="This chart shows the preliminary intercensal difference following the 2011, 2016 and 2021 censuses for Australia and each state. Prior to the 2021 Census, most differences were within ½ per cent, with the largest intercensal difference just over 2 per cent. In the 2021 Census, the intercensal difference was similar to previous censuses at the national level, but 7 of the 8 states had their highest intercensal difference. The difference was particularly large for Tasmania and the ACT, with an underestimate of around 5 per c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7AE71CEF" w14:textId="3F177648" w:rsidR="00F81EB0" w:rsidRPr="00DA7BCF" w:rsidRDefault="00F81EB0" w:rsidP="00997375">
            <w:pPr>
              <w:pStyle w:val="ChartorTableNote"/>
            </w:pPr>
            <w:r w:rsidRPr="00DA7BCF">
              <w:t xml:space="preserve">Note: </w:t>
            </w:r>
            <w:r w:rsidR="00B83E08" w:rsidRPr="00DA7BCF">
              <w:tab/>
            </w:r>
            <w:r w:rsidRPr="00DA7BCF">
              <w:t>The negative sign means that the 2016 Census</w:t>
            </w:r>
            <w:r w:rsidR="00050D25">
              <w:noBreakHyphen/>
            </w:r>
            <w:r w:rsidRPr="00DA7BCF">
              <w:t xml:space="preserve">based </w:t>
            </w:r>
            <w:r>
              <w:t>population</w:t>
            </w:r>
            <w:r w:rsidRPr="00DA7BCF">
              <w:t xml:space="preserve"> as </w:t>
            </w:r>
            <w:proofErr w:type="gramStart"/>
            <w:r w:rsidRPr="00DA7BCF">
              <w:t>at</w:t>
            </w:r>
            <w:proofErr w:type="gramEnd"/>
            <w:r w:rsidRPr="00DA7BCF">
              <w:t xml:space="preserve"> June 2021 was an underestimate when compared with the 2021</w:t>
            </w:r>
            <w:r>
              <w:t xml:space="preserve"> Census</w:t>
            </w:r>
            <w:r w:rsidR="00050D25">
              <w:noBreakHyphen/>
            </w:r>
            <w:r w:rsidRPr="00DA7BCF">
              <w:t xml:space="preserve">based </w:t>
            </w:r>
            <w:r>
              <w:t>population</w:t>
            </w:r>
            <w:r w:rsidRPr="00DA7BCF">
              <w:t>.</w:t>
            </w:r>
          </w:p>
          <w:p w14:paraId="4DFA5464" w14:textId="74367382" w:rsidR="00D7273B" w:rsidRPr="00DA7BCF" w:rsidRDefault="00D7273B" w:rsidP="00916EF2">
            <w:pPr>
              <w:pStyle w:val="Source"/>
            </w:pPr>
            <w:r w:rsidRPr="00DA7BCF">
              <w:t xml:space="preserve">Source: </w:t>
            </w:r>
            <w:r w:rsidRPr="00DA7BCF">
              <w:tab/>
              <w:t>ABS</w:t>
            </w:r>
            <w:r w:rsidR="007B0C9F">
              <w:t>,</w:t>
            </w:r>
            <w:r w:rsidR="00F81EB0">
              <w:t xml:space="preserve"> </w:t>
            </w:r>
            <w:r w:rsidR="00F81EB0" w:rsidRPr="00997375">
              <w:rPr>
                <w:rStyle w:val="SubtleEmphasis"/>
              </w:rPr>
              <w:t>National</w:t>
            </w:r>
            <w:r w:rsidR="000F11FF" w:rsidRPr="00997375">
              <w:rPr>
                <w:rStyle w:val="SubtleEmphasis"/>
              </w:rPr>
              <w:t>,</w:t>
            </w:r>
            <w:r w:rsidR="00F81EB0" w:rsidRPr="00997375">
              <w:rPr>
                <w:rStyle w:val="SubtleEmphasis"/>
              </w:rPr>
              <w:t xml:space="preserve"> state and territory population,</w:t>
            </w:r>
            <w:r w:rsidR="00F81EB0" w:rsidRPr="00F81EB0">
              <w:t xml:space="preserve"> various releases following Census</w:t>
            </w:r>
            <w:r w:rsidR="00A24587">
              <w:t>es</w:t>
            </w:r>
            <w:r w:rsidR="00F81EB0">
              <w:t>.</w:t>
            </w:r>
          </w:p>
          <w:p w14:paraId="5D4496BB" w14:textId="77777777" w:rsidR="00997375" w:rsidRDefault="00997375" w:rsidP="00997375">
            <w:pPr>
              <w:pStyle w:val="SingleParagraph"/>
            </w:pPr>
          </w:p>
          <w:p w14:paraId="4F07ACD0" w14:textId="515BF011" w:rsidR="00D7273B" w:rsidRPr="002546EE" w:rsidRDefault="00D7273B" w:rsidP="00AB42A1">
            <w:pPr>
              <w:pStyle w:val="BoxText"/>
            </w:pPr>
            <w:r w:rsidRPr="007E59C4">
              <w:rPr>
                <w:rFonts w:cstheme="minorBidi"/>
              </w:rPr>
              <w:t>Rebasing the NIM estimates more frequently will allow less measurement</w:t>
            </w:r>
            <w:r w:rsidRPr="002546EE">
              <w:t xml:space="preserve"> error to </w:t>
            </w:r>
            <w:r w:rsidRPr="007E59C4">
              <w:rPr>
                <w:rFonts w:cstheme="minorBidi"/>
              </w:rPr>
              <w:t>accumulate</w:t>
            </w:r>
            <w:r>
              <w:rPr>
                <w:rFonts w:cstheme="minorBidi"/>
              </w:rPr>
              <w:t xml:space="preserve"> between Censuses</w:t>
            </w:r>
            <w:r w:rsidRPr="007E59C4">
              <w:rPr>
                <w:rFonts w:cstheme="minorBidi"/>
              </w:rPr>
              <w:t>.</w:t>
            </w:r>
            <w:r w:rsidRPr="002546EE">
              <w:t xml:space="preserve"> T</w:t>
            </w:r>
            <w:r>
              <w:t>o this end, t</w:t>
            </w:r>
            <w:r w:rsidRPr="002546EE">
              <w:t xml:space="preserve">he ABS </w:t>
            </w:r>
            <w:r w:rsidR="005F4B64">
              <w:t>is</w:t>
            </w:r>
            <w:r w:rsidR="005F4B64" w:rsidRPr="002546EE">
              <w:t xml:space="preserve"> </w:t>
            </w:r>
            <w:r w:rsidRPr="002546EE">
              <w:t>introduc</w:t>
            </w:r>
            <w:r w:rsidR="005F4B64">
              <w:t>ing</w:t>
            </w:r>
            <w:r w:rsidRPr="002546EE">
              <w:t xml:space="preserve"> a mid</w:t>
            </w:r>
            <w:r w:rsidR="00050D25">
              <w:noBreakHyphen/>
            </w:r>
            <w:r w:rsidRPr="002546EE">
              <w:t>point intercensal review. The review will use information from the Person</w:t>
            </w:r>
            <w:r w:rsidR="00050D25">
              <w:noBreakHyphen/>
            </w:r>
            <w:r w:rsidRPr="002546EE">
              <w:t>Level Integrated Data Asset, which captures address changes from ATO, Centrelink and Medicare data, to enhance estimation of quarterly NIM. Medicare will remain the primary input as the ABS assesses it to be the most suitable given its near universal coverage of the population.</w:t>
            </w:r>
          </w:p>
          <w:p w14:paraId="747D8F69" w14:textId="77777777" w:rsidR="00D7273B" w:rsidRPr="00B344C9" w:rsidRDefault="00D7273B" w:rsidP="00AB42A1">
            <w:pPr>
              <w:pStyle w:val="BoxText"/>
            </w:pPr>
            <w:r w:rsidRPr="002546EE">
              <w:t>This review would take the form of NIM revisions, something which has previously not been possible due to lack of suitable data. The results will be reflected in the population estimates released in June 2025.</w:t>
            </w:r>
          </w:p>
        </w:tc>
      </w:tr>
    </w:tbl>
    <w:p w14:paraId="11308B61" w14:textId="77777777" w:rsidR="00D7273B" w:rsidRDefault="00D7273B" w:rsidP="00D7273B"/>
    <w:p w14:paraId="0E5FB067" w14:textId="77777777" w:rsidR="00D7273B" w:rsidRDefault="00D7273B" w:rsidP="00D7273B">
      <w:pPr>
        <w:pStyle w:val="Heading2Numbered"/>
      </w:pPr>
      <w:bookmarkStart w:id="281" w:name="_Toc180584531"/>
      <w:bookmarkStart w:id="282" w:name="_Toc185333122"/>
      <w:bookmarkStart w:id="283" w:name="_Toc185346739"/>
      <w:r>
        <w:lastRenderedPageBreak/>
        <w:t>Comparing past projections to outcomes</w:t>
      </w:r>
      <w:bookmarkEnd w:id="281"/>
      <w:bookmarkEnd w:id="282"/>
      <w:bookmarkEnd w:id="283"/>
    </w:p>
    <w:p w14:paraId="07FF20AF" w14:textId="77777777" w:rsidR="00D7273B" w:rsidRDefault="00D7273B" w:rsidP="00997375">
      <w:r>
        <w:t>Measuring forecast accuracy can provide insights into the drivers of population change and how to improve forecasting. Forecasts vary from observed outcomes for multiple reasons</w:t>
      </w:r>
      <w:r w:rsidRPr="7B6B904E">
        <w:t xml:space="preserve"> includ</w:t>
      </w:r>
      <w:r>
        <w:t>ing</w:t>
      </w:r>
      <w:r w:rsidRPr="7B6B904E">
        <w:t xml:space="preserve"> </w:t>
      </w:r>
      <w:r>
        <w:t>trends progressing</w:t>
      </w:r>
      <w:r w:rsidRPr="7B6B904E">
        <w:t xml:space="preserve"> differently to assumptions,</w:t>
      </w:r>
      <w:r>
        <w:t xml:space="preserve"> data limitations,</w:t>
      </w:r>
      <w:r w:rsidRPr="7B6B904E">
        <w:t xml:space="preserve"> behaviour</w:t>
      </w:r>
      <w:r>
        <w:t>al</w:t>
      </w:r>
      <w:r w:rsidRPr="00040470">
        <w:t xml:space="preserve"> </w:t>
      </w:r>
      <w:r w:rsidRPr="7B6B904E">
        <w:t>changes, changes in government policy and data revisions</w:t>
      </w:r>
      <w:r>
        <w:t>.</w:t>
      </w:r>
    </w:p>
    <w:p w14:paraId="61959511" w14:textId="77777777" w:rsidR="00D7273B" w:rsidRDefault="00D7273B" w:rsidP="00D7273B">
      <w:pPr>
        <w:pStyle w:val="Heading3Numbered"/>
      </w:pPr>
      <w:r w:rsidRPr="7B6B904E">
        <w:t xml:space="preserve">National </w:t>
      </w:r>
      <w:r>
        <w:t>projections</w:t>
      </w:r>
      <w:r w:rsidRPr="7B6B904E">
        <w:t xml:space="preserve"> </w:t>
      </w:r>
    </w:p>
    <w:p w14:paraId="72842761" w14:textId="3999C5AD" w:rsidR="00D7273B" w:rsidRDefault="00D7273B" w:rsidP="00D7273B">
      <w:r>
        <w:t xml:space="preserve">Previous </w:t>
      </w:r>
      <w:r w:rsidR="008A1B65">
        <w:t>p</w:t>
      </w:r>
      <w:r>
        <w:t xml:space="preserve">opulation </w:t>
      </w:r>
      <w:r w:rsidR="008A1B65">
        <w:t>s</w:t>
      </w:r>
      <w:r>
        <w:t>tatements consistently underestimated post</w:t>
      </w:r>
      <w:r w:rsidR="00050D25">
        <w:noBreakHyphen/>
      </w:r>
      <w:r>
        <w:t>pandemic growth rates (</w:t>
      </w:r>
      <w:r>
        <w:fldChar w:fldCharType="begin"/>
      </w:r>
      <w:r>
        <w:instrText xml:space="preserve"> REF _Ref180497122 \r \h </w:instrText>
      </w:r>
      <w:r>
        <w:fldChar w:fldCharType="separate"/>
      </w:r>
      <w:r w:rsidR="00050D25">
        <w:t>Chart 55</w:t>
      </w:r>
      <w:r>
        <w:fldChar w:fldCharType="end"/>
      </w:r>
      <w:r>
        <w:t xml:space="preserve">). </w:t>
      </w:r>
      <w:r w:rsidRPr="00221013">
        <w:rPr>
          <w:rFonts w:ascii="Calibri" w:eastAsia="SimSun" w:hAnsi="Calibri" w:cs="Times New Roman"/>
        </w:rPr>
        <w:t xml:space="preserve">The </w:t>
      </w:r>
      <w:r>
        <w:rPr>
          <w:rFonts w:ascii="Calibri" w:eastAsia="SimSun" w:hAnsi="Calibri" w:cs="Times New Roman"/>
        </w:rPr>
        <w:t>forecast</w:t>
      </w:r>
      <w:r w:rsidRPr="00221013">
        <w:rPr>
          <w:rFonts w:ascii="Calibri" w:eastAsia="SimSun" w:hAnsi="Calibri" w:cs="Times New Roman"/>
        </w:rPr>
        <w:t xml:space="preserve"> errors were particularly large </w:t>
      </w:r>
      <w:r>
        <w:rPr>
          <w:rFonts w:ascii="Calibri" w:eastAsia="SimSun" w:hAnsi="Calibri" w:cs="Times New Roman"/>
        </w:rPr>
        <w:t>for 2022</w:t>
      </w:r>
      <w:r>
        <w:rPr>
          <w:rStyle w:val="Hyperlink"/>
          <w:color w:val="auto"/>
        </w:rPr>
        <w:t>–</w:t>
      </w:r>
      <w:r w:rsidRPr="00712606">
        <w:rPr>
          <w:rFonts w:ascii="Calibri" w:eastAsia="SimSun" w:hAnsi="Calibri" w:cs="Times New Roman"/>
        </w:rPr>
        <w:t xml:space="preserve">23 </w:t>
      </w:r>
      <w:r w:rsidRPr="000C1978">
        <w:rPr>
          <w:rFonts w:ascii="Calibri" w:eastAsia="SimSun" w:hAnsi="Calibri" w:cs="Times New Roman"/>
        </w:rPr>
        <w:t>in</w:t>
      </w:r>
      <w:r w:rsidRPr="00712606">
        <w:rPr>
          <w:rFonts w:ascii="Calibri" w:eastAsia="SimSun" w:hAnsi="Calibri" w:cs="Times New Roman"/>
        </w:rPr>
        <w:t xml:space="preserve"> the</w:t>
      </w:r>
      <w:r>
        <w:rPr>
          <w:rFonts w:ascii="Calibri" w:eastAsia="SimSun" w:hAnsi="Calibri" w:cs="Times New Roman"/>
        </w:rPr>
        <w:t xml:space="preserve"> first </w:t>
      </w:r>
      <w:r w:rsidR="008A1B65">
        <w:rPr>
          <w:rFonts w:ascii="Calibri" w:eastAsia="SimSun" w:hAnsi="Calibri" w:cs="Times New Roman"/>
        </w:rPr>
        <w:t>3 p</w:t>
      </w:r>
      <w:r>
        <w:rPr>
          <w:rFonts w:ascii="Calibri" w:eastAsia="SimSun" w:hAnsi="Calibri" w:cs="Times New Roman"/>
        </w:rPr>
        <w:t xml:space="preserve">opulation </w:t>
      </w:r>
      <w:r w:rsidR="008A1B65">
        <w:rPr>
          <w:rFonts w:ascii="Calibri" w:eastAsia="SimSun" w:hAnsi="Calibri" w:cs="Times New Roman"/>
        </w:rPr>
        <w:t>s</w:t>
      </w:r>
      <w:r>
        <w:rPr>
          <w:rFonts w:ascii="Calibri" w:eastAsia="SimSun" w:hAnsi="Calibri" w:cs="Times New Roman"/>
        </w:rPr>
        <w:t xml:space="preserve">tatements, at 1.6 percentage points in the 2020 Statement, 1.3 percentage points in the 2021 Statement, and 1.1 percentage points in the 2022 Statement. </w:t>
      </w:r>
      <w:r w:rsidR="0067279A">
        <w:rPr>
          <w:rFonts w:ascii="Calibri" w:eastAsia="SimSun" w:hAnsi="Calibri" w:cs="Times New Roman"/>
        </w:rPr>
        <w:t xml:space="preserve">Many </w:t>
      </w:r>
      <w:r w:rsidR="005C574C">
        <w:rPr>
          <w:rFonts w:ascii="Calibri" w:eastAsia="SimSun" w:hAnsi="Calibri" w:cs="Times New Roman"/>
        </w:rPr>
        <w:t xml:space="preserve">other </w:t>
      </w:r>
      <w:r w:rsidR="0067279A">
        <w:rPr>
          <w:rFonts w:ascii="Calibri" w:eastAsia="SimSun" w:hAnsi="Calibri" w:cs="Times New Roman"/>
        </w:rPr>
        <w:t xml:space="preserve">population </w:t>
      </w:r>
      <w:r>
        <w:rPr>
          <w:rFonts w:ascii="Calibri" w:eastAsia="SimSun" w:hAnsi="Calibri" w:cs="Times New Roman"/>
        </w:rPr>
        <w:t>p</w:t>
      </w:r>
      <w:r>
        <w:t xml:space="preserve">rojections prepared during and after the pandemic </w:t>
      </w:r>
      <w:r w:rsidR="00DA57FC">
        <w:t xml:space="preserve">also </w:t>
      </w:r>
      <w:r>
        <w:t xml:space="preserve">underestimated population </w:t>
      </w:r>
      <w:r w:rsidR="004C2FDC">
        <w:t>growth</w:t>
      </w:r>
      <w:r>
        <w:t xml:space="preserve">, as they did not anticipate the sharp recovery in </w:t>
      </w:r>
      <w:r w:rsidR="00E84835">
        <w:t>NOM</w:t>
      </w:r>
      <w:r>
        <w:t>.</w:t>
      </w:r>
      <w:r w:rsidDel="0075714C">
        <w:t xml:space="preserve"> </w:t>
      </w:r>
    </w:p>
    <w:p w14:paraId="43E7D36F" w14:textId="77777777" w:rsidR="0070497D" w:rsidRDefault="00D7273B" w:rsidP="00654915">
      <w:pPr>
        <w:pStyle w:val="ChartMainHeading"/>
      </w:pPr>
      <w:bookmarkStart w:id="284" w:name="_Ref180497122"/>
      <w:r w:rsidRPr="7B6B904E">
        <w:t xml:space="preserve">Actual and forecast population growth rates, Australia </w:t>
      </w:r>
    </w:p>
    <w:bookmarkEnd w:id="284"/>
    <w:p w14:paraId="52E7AA8D" w14:textId="13F95E2B" w:rsidR="00D7273B" w:rsidRDefault="00D24F02" w:rsidP="00A633E1">
      <w:pPr>
        <w:pStyle w:val="ChartGraphic"/>
      </w:pPr>
      <w:r w:rsidRPr="00D24F02">
        <w:t xml:space="preserve"> </w:t>
      </w:r>
      <w:r w:rsidR="00153403" w:rsidRPr="00153403">
        <w:t xml:space="preserve"> </w:t>
      </w:r>
      <w:r w:rsidR="00153403" w:rsidRPr="00153403">
        <w:rPr>
          <w:noProof/>
        </w:rPr>
        <w:drawing>
          <wp:inline distT="0" distB="0" distL="0" distR="0" wp14:anchorId="4E26F7B8" wp14:editId="47050DBE">
            <wp:extent cx="5572760" cy="2889885"/>
            <wp:effectExtent l="0" t="0" r="0" b="0"/>
            <wp:docPr id="1573183934" name="Picture 1573183934" descr="This chart shows Australia’s population growth rates estimates from 2016–17 to 2022–23 and Population Statement projections from the 2020 to 2024 releases until 2026–27. Previous Population Statement forecasts have consistently underestimated the post-pandemic population growth rate. The 2024 Population Statement expects population growth to slow over the next few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83934" name="Picture 1573183934" descr="This chart shows Australia’s population growth rates estimates from 2016–17 to 2022–23 and Population Statement projections from the 2020 to 2024 releases until 2026–27. Previous Population Statement forecasts have consistently underestimated the post-pandemic population growth rate. The 2024 Population Statement expects population growth to slow over the next few year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2760" cy="2889885"/>
                    </a:xfrm>
                    <a:prstGeom prst="rect">
                      <a:avLst/>
                    </a:prstGeom>
                    <a:noFill/>
                    <a:ln>
                      <a:noFill/>
                    </a:ln>
                  </pic:spPr>
                </pic:pic>
              </a:graphicData>
            </a:graphic>
          </wp:inline>
        </w:drawing>
      </w:r>
    </w:p>
    <w:p w14:paraId="1C86B5DF" w14:textId="4AC6AAE6" w:rsidR="00D7273B" w:rsidRDefault="00D7273B" w:rsidP="00D7273B">
      <w:pPr>
        <w:pStyle w:val="Source"/>
        <w:rPr>
          <w:szCs w:val="18"/>
        </w:rPr>
      </w:pPr>
      <w:r w:rsidRPr="00DA7BCF">
        <w:t>Source</w:t>
      </w:r>
      <w:r w:rsidRPr="00CA5AB0">
        <w:rPr>
          <w:szCs w:val="18"/>
        </w:rPr>
        <w:t>:</w:t>
      </w:r>
      <w:r w:rsidRPr="00CA5AB0">
        <w:rPr>
          <w:szCs w:val="18"/>
        </w:rPr>
        <w:tab/>
        <w:t xml:space="preserve">ABS, </w:t>
      </w:r>
      <w:r w:rsidR="009155F8" w:rsidRPr="00997375">
        <w:rPr>
          <w:rStyle w:val="SubtleEmphasis"/>
        </w:rPr>
        <w:t>National, state and territory population</w:t>
      </w:r>
      <w:r w:rsidR="009155F8" w:rsidRPr="009155F8">
        <w:rPr>
          <w:i/>
          <w:szCs w:val="18"/>
        </w:rPr>
        <w:t>, March 2024</w:t>
      </w:r>
      <w:r>
        <w:rPr>
          <w:szCs w:val="18"/>
        </w:rPr>
        <w:t>;</w:t>
      </w:r>
      <w:r w:rsidRPr="00CA5AB0">
        <w:rPr>
          <w:szCs w:val="18"/>
        </w:rPr>
        <w:t xml:space="preserve"> and Centre for Population.</w:t>
      </w:r>
    </w:p>
    <w:p w14:paraId="28985A03" w14:textId="77777777" w:rsidR="00997375" w:rsidRPr="00CA5AB0" w:rsidRDefault="00997375" w:rsidP="00997375">
      <w:pPr>
        <w:pStyle w:val="SingleParagraph"/>
      </w:pPr>
    </w:p>
    <w:p w14:paraId="76FBECE6" w14:textId="581A27F8" w:rsidR="00D7273B" w:rsidRDefault="00D7273B" w:rsidP="00D7273B">
      <w:r>
        <w:t>In contrast, population projections developed prior to the COVID</w:t>
      </w:r>
      <w:r w:rsidR="00050D25">
        <w:noBreakHyphen/>
      </w:r>
      <w:r>
        <w:t>19 pandemic generally</w:t>
      </w:r>
      <w:r w:rsidRPr="006B2AE0">
        <w:t xml:space="preserve"> </w:t>
      </w:r>
      <w:r>
        <w:t xml:space="preserve">overestimated </w:t>
      </w:r>
      <w:r w:rsidR="00802394">
        <w:t xml:space="preserve">the </w:t>
      </w:r>
      <w:r>
        <w:t>population, including the 2015 Intergenerational Report,</w:t>
      </w:r>
      <w:r w:rsidDel="00183586">
        <w:t xml:space="preserve"> </w:t>
      </w:r>
      <w:r>
        <w:t>the 2017 ABS projections, and the 2019–‍20 MYEFO (</w:t>
      </w:r>
      <w:r>
        <w:fldChar w:fldCharType="begin"/>
      </w:r>
      <w:r>
        <w:instrText xml:space="preserve"> REF _Ref181260691 \r \h </w:instrText>
      </w:r>
      <w:r>
        <w:fldChar w:fldCharType="separate"/>
      </w:r>
      <w:r w:rsidR="00050D25">
        <w:t>Table 13</w:t>
      </w:r>
      <w:r>
        <w:fldChar w:fldCharType="end"/>
      </w:r>
      <w:r>
        <w:t>). These forecast errors reflect the impact of pandemic</w:t>
      </w:r>
      <w:r w:rsidR="00050D25">
        <w:noBreakHyphen/>
      </w:r>
      <w:r>
        <w:t xml:space="preserve">related travel restrictions on </w:t>
      </w:r>
      <w:r w:rsidR="00E84835">
        <w:t>NOM</w:t>
      </w:r>
      <w:r>
        <w:t>, as well as declining fertility rates.</w:t>
      </w:r>
    </w:p>
    <w:p w14:paraId="00155987" w14:textId="77777777" w:rsidR="00D7273B" w:rsidRDefault="00D7273B" w:rsidP="00D7273B">
      <w:pPr>
        <w:spacing w:before="0" w:after="160" w:line="259" w:lineRule="auto"/>
        <w:rPr>
          <w:rFonts w:ascii="Calibri" w:hAnsi="Calibri" w:cs="Calibri"/>
          <w:b/>
          <w:bCs/>
          <w:smallCaps/>
          <w:color w:val="002C47" w:themeColor="accent1"/>
          <w:spacing w:val="10"/>
        </w:rPr>
      </w:pPr>
      <w:r>
        <w:rPr>
          <w:rFonts w:ascii="Calibri" w:hAnsi="Calibri" w:cs="Calibri"/>
          <w:bCs/>
        </w:rPr>
        <w:br w:type="page"/>
      </w:r>
    </w:p>
    <w:p w14:paraId="4E183535" w14:textId="77777777" w:rsidR="00D7273B" w:rsidRPr="008B1263" w:rsidRDefault="00D7273B" w:rsidP="00A633E1">
      <w:pPr>
        <w:pStyle w:val="TableMainHeading"/>
        <w:rPr>
          <w:szCs w:val="18"/>
        </w:rPr>
      </w:pPr>
      <w:bookmarkStart w:id="285" w:name="_Ref180497150"/>
      <w:bookmarkStart w:id="286" w:name="_Ref181260691"/>
      <w:r w:rsidRPr="00BB08BA">
        <w:lastRenderedPageBreak/>
        <w:t>Difference (%) between population projections and outcomes, Australia, 30 June</w:t>
      </w:r>
      <w:bookmarkEnd w:id="285"/>
      <w:bookmarkEnd w:id="286"/>
    </w:p>
    <w:tbl>
      <w:tblPr>
        <w:tblW w:w="5000" w:type="pct"/>
        <w:tblCellMar>
          <w:left w:w="0" w:type="dxa"/>
          <w:right w:w="0" w:type="dxa"/>
        </w:tblCellMar>
        <w:tblLook w:val="04A0" w:firstRow="1" w:lastRow="0" w:firstColumn="1" w:lastColumn="0" w:noHBand="0" w:noVBand="1"/>
      </w:tblPr>
      <w:tblGrid>
        <w:gridCol w:w="4023"/>
        <w:gridCol w:w="560"/>
        <w:gridCol w:w="561"/>
        <w:gridCol w:w="561"/>
        <w:gridCol w:w="561"/>
        <w:gridCol w:w="561"/>
        <w:gridCol w:w="562"/>
        <w:gridCol w:w="562"/>
        <w:gridCol w:w="562"/>
        <w:gridCol w:w="559"/>
      </w:tblGrid>
      <w:tr w:rsidR="00D7273B" w:rsidRPr="00030006" w14:paraId="3A872785" w14:textId="77777777" w:rsidTr="00916EF2">
        <w:trPr>
          <w:trHeight w:val="300"/>
        </w:trPr>
        <w:tc>
          <w:tcPr>
            <w:tcW w:w="2217" w:type="pct"/>
            <w:tcBorders>
              <w:top w:val="single" w:sz="4" w:space="0" w:color="293F5B"/>
              <w:left w:val="nil"/>
              <w:bottom w:val="single" w:sz="4" w:space="0" w:color="293F5B"/>
              <w:right w:val="nil"/>
            </w:tcBorders>
            <w:shd w:val="clear" w:color="000000" w:fill="FFFFFF"/>
            <w:noWrap/>
            <w:vAlign w:val="center"/>
            <w:hideMark/>
          </w:tcPr>
          <w:p w14:paraId="11BE0FB2" w14:textId="77777777" w:rsidR="00D7273B" w:rsidRPr="00030006" w:rsidRDefault="00D7273B" w:rsidP="0070497D">
            <w:pPr>
              <w:pStyle w:val="TableColumnHeadingLeft"/>
            </w:pPr>
            <w:r w:rsidRPr="00030006">
              <w:t>Projection</w:t>
            </w:r>
          </w:p>
        </w:tc>
        <w:tc>
          <w:tcPr>
            <w:tcW w:w="309" w:type="pct"/>
            <w:tcBorders>
              <w:top w:val="single" w:sz="4" w:space="0" w:color="293F5B"/>
              <w:left w:val="nil"/>
              <w:bottom w:val="single" w:sz="4" w:space="0" w:color="293F5B"/>
              <w:right w:val="nil"/>
            </w:tcBorders>
            <w:shd w:val="clear" w:color="000000" w:fill="FFFFFF"/>
            <w:noWrap/>
            <w:vAlign w:val="center"/>
            <w:hideMark/>
          </w:tcPr>
          <w:p w14:paraId="436CCDD2" w14:textId="77777777" w:rsidR="00D7273B" w:rsidRPr="00C75089" w:rsidRDefault="00D7273B" w:rsidP="00C75089">
            <w:pPr>
              <w:pStyle w:val="TableColumnHeadingRight"/>
            </w:pPr>
            <w:r w:rsidRPr="00C75089">
              <w:t>2015</w:t>
            </w:r>
          </w:p>
        </w:tc>
        <w:tc>
          <w:tcPr>
            <w:tcW w:w="309" w:type="pct"/>
            <w:tcBorders>
              <w:top w:val="single" w:sz="4" w:space="0" w:color="293F5B"/>
              <w:left w:val="nil"/>
              <w:bottom w:val="single" w:sz="4" w:space="0" w:color="293F5B"/>
              <w:right w:val="nil"/>
            </w:tcBorders>
            <w:shd w:val="clear" w:color="000000" w:fill="FFFFFF"/>
            <w:noWrap/>
            <w:vAlign w:val="center"/>
            <w:hideMark/>
          </w:tcPr>
          <w:p w14:paraId="4020C6EF" w14:textId="77777777" w:rsidR="00D7273B" w:rsidRPr="00C75089" w:rsidRDefault="00D7273B" w:rsidP="00C75089">
            <w:pPr>
              <w:pStyle w:val="TableColumnHeadingRight"/>
            </w:pPr>
            <w:r w:rsidRPr="00C75089">
              <w:t>2016</w:t>
            </w:r>
          </w:p>
        </w:tc>
        <w:tc>
          <w:tcPr>
            <w:tcW w:w="309" w:type="pct"/>
            <w:tcBorders>
              <w:top w:val="single" w:sz="4" w:space="0" w:color="293F5B"/>
              <w:left w:val="nil"/>
              <w:bottom w:val="single" w:sz="4" w:space="0" w:color="293F5B"/>
              <w:right w:val="nil"/>
            </w:tcBorders>
            <w:shd w:val="clear" w:color="000000" w:fill="FFFFFF"/>
            <w:noWrap/>
            <w:vAlign w:val="center"/>
            <w:hideMark/>
          </w:tcPr>
          <w:p w14:paraId="447C89E7" w14:textId="77777777" w:rsidR="00D7273B" w:rsidRPr="00C75089" w:rsidRDefault="00D7273B" w:rsidP="00C75089">
            <w:pPr>
              <w:pStyle w:val="TableColumnHeadingRight"/>
            </w:pPr>
            <w:r w:rsidRPr="00C75089">
              <w:t>2017</w:t>
            </w:r>
          </w:p>
        </w:tc>
        <w:tc>
          <w:tcPr>
            <w:tcW w:w="309" w:type="pct"/>
            <w:tcBorders>
              <w:top w:val="single" w:sz="4" w:space="0" w:color="293F5B"/>
              <w:left w:val="nil"/>
              <w:bottom w:val="single" w:sz="4" w:space="0" w:color="293F5B"/>
              <w:right w:val="nil"/>
            </w:tcBorders>
            <w:shd w:val="clear" w:color="000000" w:fill="FFFFFF"/>
            <w:noWrap/>
            <w:vAlign w:val="center"/>
            <w:hideMark/>
          </w:tcPr>
          <w:p w14:paraId="78C33CE7" w14:textId="77777777" w:rsidR="00D7273B" w:rsidRPr="00C75089" w:rsidRDefault="00D7273B" w:rsidP="00C75089">
            <w:pPr>
              <w:pStyle w:val="TableColumnHeadingRight"/>
            </w:pPr>
            <w:r w:rsidRPr="00C75089">
              <w:t>2018</w:t>
            </w:r>
          </w:p>
        </w:tc>
        <w:tc>
          <w:tcPr>
            <w:tcW w:w="309" w:type="pct"/>
            <w:tcBorders>
              <w:top w:val="single" w:sz="4" w:space="0" w:color="293F5B"/>
              <w:left w:val="nil"/>
              <w:bottom w:val="single" w:sz="4" w:space="0" w:color="293F5B"/>
              <w:right w:val="nil"/>
            </w:tcBorders>
            <w:shd w:val="clear" w:color="000000" w:fill="FFFFFF"/>
            <w:noWrap/>
            <w:vAlign w:val="center"/>
            <w:hideMark/>
          </w:tcPr>
          <w:p w14:paraId="75046FE3" w14:textId="77777777" w:rsidR="00D7273B" w:rsidRPr="00C75089" w:rsidRDefault="00D7273B" w:rsidP="00C75089">
            <w:pPr>
              <w:pStyle w:val="TableColumnHeadingRight"/>
            </w:pPr>
            <w:r w:rsidRPr="00C75089">
              <w:t>2019</w:t>
            </w:r>
          </w:p>
        </w:tc>
        <w:tc>
          <w:tcPr>
            <w:tcW w:w="310" w:type="pct"/>
            <w:tcBorders>
              <w:top w:val="single" w:sz="4" w:space="0" w:color="293F5B"/>
              <w:left w:val="nil"/>
              <w:bottom w:val="single" w:sz="4" w:space="0" w:color="293F5B"/>
              <w:right w:val="nil"/>
            </w:tcBorders>
            <w:shd w:val="clear" w:color="000000" w:fill="FFFFFF"/>
            <w:noWrap/>
            <w:vAlign w:val="center"/>
            <w:hideMark/>
          </w:tcPr>
          <w:p w14:paraId="46454EFA" w14:textId="77777777" w:rsidR="00D7273B" w:rsidRPr="00C75089" w:rsidRDefault="00D7273B" w:rsidP="00C75089">
            <w:pPr>
              <w:pStyle w:val="TableColumnHeadingRight"/>
            </w:pPr>
            <w:r w:rsidRPr="00C75089">
              <w:t>2020</w:t>
            </w:r>
          </w:p>
        </w:tc>
        <w:tc>
          <w:tcPr>
            <w:tcW w:w="310" w:type="pct"/>
            <w:tcBorders>
              <w:top w:val="single" w:sz="4" w:space="0" w:color="293F5B"/>
              <w:left w:val="nil"/>
              <w:bottom w:val="single" w:sz="4" w:space="0" w:color="293F5B"/>
              <w:right w:val="nil"/>
            </w:tcBorders>
            <w:shd w:val="clear" w:color="000000" w:fill="FFFFFF"/>
            <w:noWrap/>
            <w:vAlign w:val="center"/>
            <w:hideMark/>
          </w:tcPr>
          <w:p w14:paraId="6BF39BDE" w14:textId="77777777" w:rsidR="00D7273B" w:rsidRPr="00C75089" w:rsidRDefault="00D7273B" w:rsidP="00C75089">
            <w:pPr>
              <w:pStyle w:val="TableColumnHeadingRight"/>
            </w:pPr>
            <w:r w:rsidRPr="00C75089">
              <w:t>2021</w:t>
            </w:r>
          </w:p>
        </w:tc>
        <w:tc>
          <w:tcPr>
            <w:tcW w:w="310" w:type="pct"/>
            <w:tcBorders>
              <w:top w:val="single" w:sz="4" w:space="0" w:color="293F5B"/>
              <w:left w:val="nil"/>
              <w:bottom w:val="single" w:sz="4" w:space="0" w:color="293F5B"/>
              <w:right w:val="nil"/>
            </w:tcBorders>
            <w:shd w:val="clear" w:color="000000" w:fill="FFFFFF"/>
            <w:noWrap/>
            <w:vAlign w:val="center"/>
            <w:hideMark/>
          </w:tcPr>
          <w:p w14:paraId="7BAF85B0" w14:textId="77777777" w:rsidR="00D7273B" w:rsidRPr="00C75089" w:rsidRDefault="00D7273B" w:rsidP="00C75089">
            <w:pPr>
              <w:pStyle w:val="TableColumnHeadingRight"/>
            </w:pPr>
            <w:r w:rsidRPr="00C75089">
              <w:t>2022</w:t>
            </w:r>
          </w:p>
        </w:tc>
        <w:tc>
          <w:tcPr>
            <w:tcW w:w="308" w:type="pct"/>
            <w:tcBorders>
              <w:top w:val="single" w:sz="4" w:space="0" w:color="293F5B"/>
              <w:left w:val="nil"/>
              <w:bottom w:val="single" w:sz="4" w:space="0" w:color="293F5B"/>
              <w:right w:val="nil"/>
            </w:tcBorders>
            <w:shd w:val="clear" w:color="000000" w:fill="FFFFFF"/>
            <w:noWrap/>
            <w:vAlign w:val="center"/>
            <w:hideMark/>
          </w:tcPr>
          <w:p w14:paraId="17A89C76" w14:textId="77777777" w:rsidR="00D7273B" w:rsidRPr="00C75089" w:rsidRDefault="00D7273B" w:rsidP="00C75089">
            <w:pPr>
              <w:pStyle w:val="TableColumnHeadingRight"/>
            </w:pPr>
            <w:r w:rsidRPr="00C75089">
              <w:t>2023</w:t>
            </w:r>
          </w:p>
        </w:tc>
      </w:tr>
      <w:tr w:rsidR="00D7273B" w:rsidRPr="00030006" w14:paraId="0E868E9F" w14:textId="77777777" w:rsidTr="00916EF2">
        <w:trPr>
          <w:trHeight w:val="300"/>
        </w:trPr>
        <w:tc>
          <w:tcPr>
            <w:tcW w:w="2217" w:type="pct"/>
            <w:tcBorders>
              <w:top w:val="nil"/>
              <w:left w:val="nil"/>
              <w:bottom w:val="nil"/>
              <w:right w:val="nil"/>
            </w:tcBorders>
            <w:shd w:val="clear" w:color="000000" w:fill="FFFFFF"/>
            <w:noWrap/>
            <w:vAlign w:val="center"/>
            <w:hideMark/>
          </w:tcPr>
          <w:p w14:paraId="6E03EC2F" w14:textId="77777777" w:rsidR="00D7273B" w:rsidRPr="00030006" w:rsidRDefault="00D7273B" w:rsidP="00C75089">
            <w:pPr>
              <w:pStyle w:val="TableColumnHeadingLeft"/>
            </w:pPr>
            <w:r w:rsidRPr="00030006">
              <w:t>Intergenerational Report, 2015</w:t>
            </w:r>
          </w:p>
        </w:tc>
        <w:tc>
          <w:tcPr>
            <w:tcW w:w="309" w:type="pct"/>
            <w:tcBorders>
              <w:top w:val="nil"/>
              <w:left w:val="nil"/>
              <w:bottom w:val="nil"/>
              <w:right w:val="nil"/>
            </w:tcBorders>
            <w:shd w:val="clear" w:color="000000" w:fill="FFFFFF"/>
            <w:noWrap/>
            <w:vAlign w:val="center"/>
            <w:hideMark/>
          </w:tcPr>
          <w:p w14:paraId="2788C33B" w14:textId="62EB6F21" w:rsidR="00D7273B" w:rsidRPr="00030006" w:rsidRDefault="00D7273B" w:rsidP="0070497D">
            <w:pPr>
              <w:pStyle w:val="TableTextRight"/>
              <w:rPr>
                <w:lang w:eastAsia="en-AU"/>
              </w:rPr>
            </w:pPr>
            <w:r>
              <w:rPr>
                <w:rFonts w:ascii="Calibri" w:hAnsi="Calibri" w:cs="Calibri"/>
              </w:rPr>
              <w:t>0.4</w:t>
            </w:r>
          </w:p>
        </w:tc>
        <w:tc>
          <w:tcPr>
            <w:tcW w:w="309" w:type="pct"/>
            <w:tcBorders>
              <w:top w:val="nil"/>
              <w:left w:val="nil"/>
              <w:bottom w:val="nil"/>
              <w:right w:val="nil"/>
            </w:tcBorders>
            <w:shd w:val="clear" w:color="000000" w:fill="FFFFFF"/>
            <w:noWrap/>
            <w:vAlign w:val="center"/>
            <w:hideMark/>
          </w:tcPr>
          <w:p w14:paraId="44B68786" w14:textId="7F455B73" w:rsidR="00D7273B" w:rsidRPr="00030006" w:rsidRDefault="00D7273B" w:rsidP="0070497D">
            <w:pPr>
              <w:pStyle w:val="TableTextRight"/>
              <w:rPr>
                <w:lang w:eastAsia="en-AU"/>
              </w:rPr>
            </w:pPr>
            <w:r>
              <w:rPr>
                <w:rFonts w:ascii="Calibri" w:hAnsi="Calibri" w:cs="Calibri"/>
              </w:rPr>
              <w:t>0.5</w:t>
            </w:r>
          </w:p>
        </w:tc>
        <w:tc>
          <w:tcPr>
            <w:tcW w:w="309" w:type="pct"/>
            <w:tcBorders>
              <w:top w:val="nil"/>
              <w:left w:val="nil"/>
              <w:bottom w:val="nil"/>
              <w:right w:val="nil"/>
            </w:tcBorders>
            <w:shd w:val="clear" w:color="000000" w:fill="FFFFFF"/>
            <w:noWrap/>
            <w:vAlign w:val="center"/>
            <w:hideMark/>
          </w:tcPr>
          <w:p w14:paraId="2979F866" w14:textId="22D24763" w:rsidR="00D7273B" w:rsidRPr="00030006" w:rsidRDefault="00D7273B" w:rsidP="0070497D">
            <w:pPr>
              <w:pStyle w:val="TableTextRight"/>
              <w:rPr>
                <w:lang w:eastAsia="en-AU"/>
              </w:rPr>
            </w:pPr>
            <w:r>
              <w:rPr>
                <w:rFonts w:ascii="Calibri" w:hAnsi="Calibri" w:cs="Calibri"/>
              </w:rPr>
              <w:t>0.6</w:t>
            </w:r>
          </w:p>
        </w:tc>
        <w:tc>
          <w:tcPr>
            <w:tcW w:w="309" w:type="pct"/>
            <w:tcBorders>
              <w:top w:val="nil"/>
              <w:left w:val="nil"/>
              <w:bottom w:val="nil"/>
              <w:right w:val="nil"/>
            </w:tcBorders>
            <w:shd w:val="clear" w:color="000000" w:fill="FFFFFF"/>
            <w:noWrap/>
            <w:vAlign w:val="center"/>
            <w:hideMark/>
          </w:tcPr>
          <w:p w14:paraId="473B16EE" w14:textId="78095723" w:rsidR="00D7273B" w:rsidRPr="00030006" w:rsidRDefault="00D7273B" w:rsidP="0070497D">
            <w:pPr>
              <w:pStyle w:val="TableTextRight"/>
              <w:rPr>
                <w:lang w:eastAsia="en-AU"/>
              </w:rPr>
            </w:pPr>
            <w:r>
              <w:rPr>
                <w:rFonts w:ascii="Calibri" w:hAnsi="Calibri" w:cs="Calibri"/>
              </w:rPr>
              <w:t>0.8</w:t>
            </w:r>
          </w:p>
        </w:tc>
        <w:tc>
          <w:tcPr>
            <w:tcW w:w="309" w:type="pct"/>
            <w:tcBorders>
              <w:top w:val="nil"/>
              <w:left w:val="nil"/>
              <w:bottom w:val="nil"/>
              <w:right w:val="nil"/>
            </w:tcBorders>
            <w:shd w:val="clear" w:color="000000" w:fill="FFFFFF"/>
            <w:noWrap/>
            <w:vAlign w:val="center"/>
            <w:hideMark/>
          </w:tcPr>
          <w:p w14:paraId="40EB72F1" w14:textId="1960C012" w:rsidR="00D7273B" w:rsidRPr="00030006" w:rsidRDefault="00D7273B" w:rsidP="0070497D">
            <w:pPr>
              <w:pStyle w:val="TableTextRight"/>
              <w:rPr>
                <w:lang w:eastAsia="en-AU"/>
              </w:rPr>
            </w:pPr>
            <w:r>
              <w:rPr>
                <w:rFonts w:ascii="Calibri" w:hAnsi="Calibri" w:cs="Calibri"/>
              </w:rPr>
              <w:t>0.9</w:t>
            </w:r>
          </w:p>
        </w:tc>
        <w:tc>
          <w:tcPr>
            <w:tcW w:w="310" w:type="pct"/>
            <w:tcBorders>
              <w:top w:val="nil"/>
              <w:left w:val="nil"/>
              <w:bottom w:val="nil"/>
              <w:right w:val="nil"/>
            </w:tcBorders>
            <w:shd w:val="clear" w:color="000000" w:fill="FFFFFF"/>
            <w:noWrap/>
            <w:vAlign w:val="center"/>
            <w:hideMark/>
          </w:tcPr>
          <w:p w14:paraId="23A55029" w14:textId="2FB52AD0" w:rsidR="00D7273B" w:rsidRPr="00030006" w:rsidRDefault="00D7273B" w:rsidP="0070497D">
            <w:pPr>
              <w:pStyle w:val="TableTextRight"/>
              <w:rPr>
                <w:lang w:eastAsia="en-AU"/>
              </w:rPr>
            </w:pPr>
            <w:r>
              <w:rPr>
                <w:rFonts w:ascii="Calibri" w:hAnsi="Calibri" w:cs="Calibri"/>
              </w:rPr>
              <w:t>1.2</w:t>
            </w:r>
          </w:p>
        </w:tc>
        <w:tc>
          <w:tcPr>
            <w:tcW w:w="310" w:type="pct"/>
            <w:tcBorders>
              <w:top w:val="nil"/>
              <w:left w:val="nil"/>
              <w:bottom w:val="nil"/>
              <w:right w:val="nil"/>
            </w:tcBorders>
            <w:shd w:val="clear" w:color="000000" w:fill="FFFFFF"/>
            <w:noWrap/>
            <w:vAlign w:val="center"/>
            <w:hideMark/>
          </w:tcPr>
          <w:p w14:paraId="1800E8BF" w14:textId="543830D9" w:rsidR="00D7273B" w:rsidRPr="00030006" w:rsidRDefault="00D7273B" w:rsidP="0070497D">
            <w:pPr>
              <w:pStyle w:val="TableTextRight"/>
              <w:rPr>
                <w:lang w:eastAsia="en-AU"/>
              </w:rPr>
            </w:pPr>
            <w:r>
              <w:rPr>
                <w:rFonts w:ascii="Calibri" w:hAnsi="Calibri" w:cs="Calibri"/>
              </w:rPr>
              <w:t>2.7</w:t>
            </w:r>
          </w:p>
        </w:tc>
        <w:tc>
          <w:tcPr>
            <w:tcW w:w="310" w:type="pct"/>
            <w:tcBorders>
              <w:top w:val="nil"/>
              <w:left w:val="nil"/>
              <w:bottom w:val="nil"/>
              <w:right w:val="nil"/>
            </w:tcBorders>
            <w:shd w:val="clear" w:color="000000" w:fill="FFFFFF"/>
            <w:noWrap/>
            <w:vAlign w:val="center"/>
            <w:hideMark/>
          </w:tcPr>
          <w:p w14:paraId="75EDB589" w14:textId="0AB6D305" w:rsidR="00D7273B" w:rsidRPr="00030006" w:rsidRDefault="00D7273B" w:rsidP="0070497D">
            <w:pPr>
              <w:pStyle w:val="TableTextRight"/>
              <w:rPr>
                <w:lang w:eastAsia="en-AU"/>
              </w:rPr>
            </w:pPr>
            <w:r>
              <w:rPr>
                <w:rFonts w:ascii="Calibri" w:hAnsi="Calibri" w:cs="Calibri"/>
              </w:rPr>
              <w:t>2.9</w:t>
            </w:r>
          </w:p>
        </w:tc>
        <w:tc>
          <w:tcPr>
            <w:tcW w:w="308" w:type="pct"/>
            <w:tcBorders>
              <w:top w:val="nil"/>
              <w:left w:val="nil"/>
              <w:bottom w:val="nil"/>
              <w:right w:val="nil"/>
            </w:tcBorders>
            <w:shd w:val="clear" w:color="000000" w:fill="FFFFFF"/>
            <w:noWrap/>
            <w:vAlign w:val="center"/>
            <w:hideMark/>
          </w:tcPr>
          <w:p w14:paraId="3B5A33EB" w14:textId="22CA26A8" w:rsidR="00D7273B" w:rsidRPr="00030006" w:rsidRDefault="00D7273B" w:rsidP="0070497D">
            <w:pPr>
              <w:pStyle w:val="TableTextRight"/>
              <w:rPr>
                <w:lang w:eastAsia="en-AU"/>
              </w:rPr>
            </w:pPr>
            <w:r>
              <w:rPr>
                <w:rFonts w:ascii="Calibri" w:hAnsi="Calibri" w:cs="Calibri"/>
              </w:rPr>
              <w:t>2.0</w:t>
            </w:r>
          </w:p>
        </w:tc>
      </w:tr>
      <w:tr w:rsidR="00D7273B" w:rsidRPr="00030006" w14:paraId="177ACC9F" w14:textId="77777777" w:rsidTr="00916EF2">
        <w:trPr>
          <w:trHeight w:val="300"/>
        </w:trPr>
        <w:tc>
          <w:tcPr>
            <w:tcW w:w="2217" w:type="pct"/>
            <w:tcBorders>
              <w:top w:val="nil"/>
              <w:left w:val="nil"/>
              <w:bottom w:val="nil"/>
              <w:right w:val="nil"/>
            </w:tcBorders>
            <w:shd w:val="clear" w:color="000000" w:fill="FFFFFF"/>
            <w:noWrap/>
            <w:vAlign w:val="center"/>
            <w:hideMark/>
          </w:tcPr>
          <w:p w14:paraId="5B1A31D7" w14:textId="77777777" w:rsidR="00D7273B" w:rsidRPr="00030006" w:rsidRDefault="00D7273B" w:rsidP="00C75089">
            <w:pPr>
              <w:pStyle w:val="TableColumnHeadingLeft"/>
            </w:pPr>
            <w:r w:rsidRPr="00030006">
              <w:t>ABS projection series medium series (2017 base)</w:t>
            </w:r>
          </w:p>
        </w:tc>
        <w:tc>
          <w:tcPr>
            <w:tcW w:w="309" w:type="pct"/>
            <w:tcBorders>
              <w:top w:val="nil"/>
              <w:left w:val="nil"/>
              <w:bottom w:val="nil"/>
              <w:right w:val="nil"/>
            </w:tcBorders>
            <w:shd w:val="clear" w:color="000000" w:fill="FFFFFF"/>
            <w:noWrap/>
            <w:vAlign w:val="center"/>
            <w:hideMark/>
          </w:tcPr>
          <w:p w14:paraId="16F6FB45" w14:textId="736428F7"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1C124AB4" w14:textId="49753E8A"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04C89D8E" w14:textId="6F93EBBD"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1F5112FA" w14:textId="1472C2D1" w:rsidR="00D7273B" w:rsidRPr="00030006" w:rsidRDefault="00D7273B" w:rsidP="0070497D">
            <w:pPr>
              <w:pStyle w:val="TableTextRight"/>
              <w:rPr>
                <w:lang w:eastAsia="en-AU"/>
              </w:rPr>
            </w:pPr>
            <w:r>
              <w:rPr>
                <w:rFonts w:ascii="Calibri" w:hAnsi="Calibri" w:cs="Calibri"/>
              </w:rPr>
              <w:t>0.2</w:t>
            </w:r>
          </w:p>
        </w:tc>
        <w:tc>
          <w:tcPr>
            <w:tcW w:w="309" w:type="pct"/>
            <w:tcBorders>
              <w:top w:val="nil"/>
              <w:left w:val="nil"/>
              <w:bottom w:val="nil"/>
              <w:right w:val="nil"/>
            </w:tcBorders>
            <w:shd w:val="clear" w:color="000000" w:fill="FFFFFF"/>
            <w:noWrap/>
            <w:vAlign w:val="center"/>
            <w:hideMark/>
          </w:tcPr>
          <w:p w14:paraId="0451B1C1" w14:textId="11A88001" w:rsidR="00D7273B" w:rsidRPr="00030006" w:rsidRDefault="00D7273B" w:rsidP="0070497D">
            <w:pPr>
              <w:pStyle w:val="TableTextRight"/>
              <w:rPr>
                <w:lang w:eastAsia="en-AU"/>
              </w:rPr>
            </w:pPr>
            <w:r>
              <w:rPr>
                <w:rFonts w:ascii="Calibri" w:hAnsi="Calibri" w:cs="Calibri"/>
              </w:rPr>
              <w:t>0.4</w:t>
            </w:r>
          </w:p>
        </w:tc>
        <w:tc>
          <w:tcPr>
            <w:tcW w:w="310" w:type="pct"/>
            <w:tcBorders>
              <w:top w:val="nil"/>
              <w:left w:val="nil"/>
              <w:bottom w:val="nil"/>
              <w:right w:val="nil"/>
            </w:tcBorders>
            <w:shd w:val="clear" w:color="000000" w:fill="FFFFFF"/>
            <w:noWrap/>
            <w:vAlign w:val="center"/>
            <w:hideMark/>
          </w:tcPr>
          <w:p w14:paraId="4D1CDDAE" w14:textId="0843630F" w:rsidR="00D7273B" w:rsidRPr="00030006" w:rsidRDefault="00D7273B" w:rsidP="0070497D">
            <w:pPr>
              <w:pStyle w:val="TableTextRight"/>
              <w:rPr>
                <w:lang w:eastAsia="en-AU"/>
              </w:rPr>
            </w:pPr>
            <w:r>
              <w:rPr>
                <w:rFonts w:ascii="Calibri" w:hAnsi="Calibri" w:cs="Calibri"/>
              </w:rPr>
              <w:t>0.9</w:t>
            </w:r>
          </w:p>
        </w:tc>
        <w:tc>
          <w:tcPr>
            <w:tcW w:w="310" w:type="pct"/>
            <w:tcBorders>
              <w:top w:val="nil"/>
              <w:left w:val="nil"/>
              <w:bottom w:val="nil"/>
              <w:right w:val="nil"/>
            </w:tcBorders>
            <w:shd w:val="clear" w:color="000000" w:fill="FFFFFF"/>
            <w:noWrap/>
            <w:vAlign w:val="center"/>
            <w:hideMark/>
          </w:tcPr>
          <w:p w14:paraId="67712843" w14:textId="1C3BEEDF" w:rsidR="00D7273B" w:rsidRPr="00030006" w:rsidRDefault="00D7273B" w:rsidP="0070497D">
            <w:pPr>
              <w:pStyle w:val="TableTextRight"/>
              <w:rPr>
                <w:lang w:eastAsia="en-AU"/>
              </w:rPr>
            </w:pPr>
            <w:r>
              <w:rPr>
                <w:rFonts w:ascii="Calibri" w:hAnsi="Calibri" w:cs="Calibri"/>
              </w:rPr>
              <w:t>2.4</w:t>
            </w:r>
          </w:p>
        </w:tc>
        <w:tc>
          <w:tcPr>
            <w:tcW w:w="310" w:type="pct"/>
            <w:tcBorders>
              <w:top w:val="nil"/>
              <w:left w:val="nil"/>
              <w:bottom w:val="nil"/>
              <w:right w:val="nil"/>
            </w:tcBorders>
            <w:shd w:val="clear" w:color="000000" w:fill="FFFFFF"/>
            <w:noWrap/>
            <w:vAlign w:val="center"/>
            <w:hideMark/>
          </w:tcPr>
          <w:p w14:paraId="7B227A30" w14:textId="4247B23C" w:rsidR="00D7273B" w:rsidRPr="00030006" w:rsidRDefault="00D7273B" w:rsidP="0070497D">
            <w:pPr>
              <w:pStyle w:val="TableTextRight"/>
              <w:rPr>
                <w:lang w:eastAsia="en-AU"/>
              </w:rPr>
            </w:pPr>
            <w:r>
              <w:rPr>
                <w:rFonts w:ascii="Calibri" w:hAnsi="Calibri" w:cs="Calibri"/>
              </w:rPr>
              <w:t>2.7</w:t>
            </w:r>
          </w:p>
        </w:tc>
        <w:tc>
          <w:tcPr>
            <w:tcW w:w="308" w:type="pct"/>
            <w:tcBorders>
              <w:top w:val="nil"/>
              <w:left w:val="nil"/>
              <w:bottom w:val="nil"/>
              <w:right w:val="nil"/>
            </w:tcBorders>
            <w:shd w:val="clear" w:color="000000" w:fill="FFFFFF"/>
            <w:noWrap/>
            <w:vAlign w:val="center"/>
            <w:hideMark/>
          </w:tcPr>
          <w:p w14:paraId="74B67A32" w14:textId="538D7DBD" w:rsidR="00D7273B" w:rsidRPr="00030006" w:rsidRDefault="00D7273B" w:rsidP="0070497D">
            <w:pPr>
              <w:pStyle w:val="TableTextRight"/>
              <w:rPr>
                <w:lang w:eastAsia="en-AU"/>
              </w:rPr>
            </w:pPr>
            <w:r>
              <w:rPr>
                <w:rFonts w:ascii="Calibri" w:hAnsi="Calibri" w:cs="Calibri"/>
              </w:rPr>
              <w:t>1.9</w:t>
            </w:r>
          </w:p>
        </w:tc>
      </w:tr>
      <w:tr w:rsidR="00D7273B" w:rsidRPr="00030006" w14:paraId="765B44FC" w14:textId="77777777" w:rsidTr="00916EF2">
        <w:trPr>
          <w:trHeight w:val="300"/>
        </w:trPr>
        <w:tc>
          <w:tcPr>
            <w:tcW w:w="2217" w:type="pct"/>
            <w:tcBorders>
              <w:top w:val="nil"/>
              <w:left w:val="nil"/>
              <w:bottom w:val="nil"/>
              <w:right w:val="nil"/>
            </w:tcBorders>
            <w:shd w:val="clear" w:color="000000" w:fill="FFFFFF"/>
            <w:noWrap/>
            <w:vAlign w:val="center"/>
          </w:tcPr>
          <w:p w14:paraId="5D08BE5C" w14:textId="77777777" w:rsidR="00D7273B" w:rsidRPr="00030006" w:rsidRDefault="00D7273B" w:rsidP="00C75089">
            <w:pPr>
              <w:pStyle w:val="TableColumnHeadingLeft"/>
            </w:pPr>
            <w:r>
              <w:t xml:space="preserve">2019–20 MYEFO </w:t>
            </w:r>
          </w:p>
        </w:tc>
        <w:tc>
          <w:tcPr>
            <w:tcW w:w="309" w:type="pct"/>
            <w:tcBorders>
              <w:top w:val="nil"/>
              <w:left w:val="nil"/>
              <w:bottom w:val="nil"/>
              <w:right w:val="nil"/>
            </w:tcBorders>
            <w:shd w:val="clear" w:color="000000" w:fill="FFFFFF"/>
            <w:noWrap/>
            <w:vAlign w:val="center"/>
          </w:tcPr>
          <w:p w14:paraId="337BBE04" w14:textId="3B6D5198"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tcPr>
          <w:p w14:paraId="2D357D31" w14:textId="0BDBDA65"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tcPr>
          <w:p w14:paraId="78107D31" w14:textId="5B7E6B8D"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tcPr>
          <w:p w14:paraId="2B9FAA14" w14:textId="03155C0A"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tcPr>
          <w:p w14:paraId="274C7CB0" w14:textId="5BDB7FA9" w:rsidR="00D7273B" w:rsidRPr="00030006" w:rsidRDefault="00D7273B" w:rsidP="0070497D">
            <w:pPr>
              <w:pStyle w:val="TableTextRight"/>
              <w:rPr>
                <w:lang w:eastAsia="en-AU"/>
              </w:rPr>
            </w:pPr>
            <w:r>
              <w:rPr>
                <w:rFonts w:ascii="Calibri" w:hAnsi="Calibri" w:cs="Calibri"/>
              </w:rPr>
              <w:t>0.2</w:t>
            </w:r>
          </w:p>
        </w:tc>
        <w:tc>
          <w:tcPr>
            <w:tcW w:w="310" w:type="pct"/>
            <w:tcBorders>
              <w:top w:val="nil"/>
              <w:left w:val="nil"/>
              <w:bottom w:val="nil"/>
              <w:right w:val="nil"/>
            </w:tcBorders>
            <w:shd w:val="clear" w:color="000000" w:fill="FFFFFF"/>
            <w:noWrap/>
            <w:vAlign w:val="center"/>
          </w:tcPr>
          <w:p w14:paraId="3C5820FD" w14:textId="0EBD6956" w:rsidR="00D7273B" w:rsidRDefault="00D7273B" w:rsidP="0070497D">
            <w:pPr>
              <w:pStyle w:val="TableTextRight"/>
              <w:rPr>
                <w:lang w:eastAsia="en-AU"/>
              </w:rPr>
            </w:pPr>
            <w:r>
              <w:rPr>
                <w:rFonts w:ascii="Calibri" w:hAnsi="Calibri" w:cs="Calibri"/>
              </w:rPr>
              <w:t>0.6</w:t>
            </w:r>
          </w:p>
        </w:tc>
        <w:tc>
          <w:tcPr>
            <w:tcW w:w="310" w:type="pct"/>
            <w:tcBorders>
              <w:top w:val="nil"/>
              <w:left w:val="nil"/>
              <w:bottom w:val="nil"/>
              <w:right w:val="nil"/>
            </w:tcBorders>
            <w:shd w:val="clear" w:color="000000" w:fill="FFFFFF"/>
            <w:noWrap/>
            <w:vAlign w:val="center"/>
          </w:tcPr>
          <w:p w14:paraId="1BF65477" w14:textId="137ED426" w:rsidR="00D7273B" w:rsidRPr="00030006" w:rsidRDefault="00D7273B" w:rsidP="0070497D">
            <w:pPr>
              <w:pStyle w:val="TableTextRight"/>
              <w:rPr>
                <w:lang w:eastAsia="en-AU"/>
              </w:rPr>
            </w:pPr>
            <w:r>
              <w:rPr>
                <w:rFonts w:ascii="Calibri" w:hAnsi="Calibri" w:cs="Calibri"/>
              </w:rPr>
              <w:t>2.2</w:t>
            </w:r>
          </w:p>
        </w:tc>
        <w:tc>
          <w:tcPr>
            <w:tcW w:w="310" w:type="pct"/>
            <w:tcBorders>
              <w:top w:val="nil"/>
              <w:left w:val="nil"/>
              <w:bottom w:val="nil"/>
              <w:right w:val="nil"/>
            </w:tcBorders>
            <w:shd w:val="clear" w:color="000000" w:fill="FFFFFF"/>
            <w:noWrap/>
            <w:vAlign w:val="center"/>
          </w:tcPr>
          <w:p w14:paraId="541328CE" w14:textId="039D695C" w:rsidR="00D7273B" w:rsidRPr="00030006" w:rsidRDefault="00D7273B" w:rsidP="0070497D">
            <w:pPr>
              <w:pStyle w:val="TableTextRight"/>
              <w:rPr>
                <w:lang w:eastAsia="en-AU"/>
              </w:rPr>
            </w:pPr>
            <w:r>
              <w:rPr>
                <w:rFonts w:ascii="Calibri" w:hAnsi="Calibri" w:cs="Calibri"/>
              </w:rPr>
              <w:t>2.6</w:t>
            </w:r>
          </w:p>
        </w:tc>
        <w:tc>
          <w:tcPr>
            <w:tcW w:w="308" w:type="pct"/>
            <w:tcBorders>
              <w:top w:val="nil"/>
              <w:left w:val="nil"/>
              <w:bottom w:val="nil"/>
              <w:right w:val="nil"/>
            </w:tcBorders>
            <w:shd w:val="clear" w:color="000000" w:fill="FFFFFF"/>
            <w:noWrap/>
            <w:vAlign w:val="center"/>
          </w:tcPr>
          <w:p w14:paraId="7E113CED" w14:textId="48DFA0B3" w:rsidR="00D7273B" w:rsidRPr="00030006" w:rsidRDefault="00D7273B" w:rsidP="0070497D">
            <w:pPr>
              <w:pStyle w:val="TableTextRight"/>
              <w:rPr>
                <w:lang w:eastAsia="en-AU"/>
              </w:rPr>
            </w:pPr>
            <w:r>
              <w:rPr>
                <w:rFonts w:ascii="Calibri" w:hAnsi="Calibri" w:cs="Calibri"/>
              </w:rPr>
              <w:t>1.8</w:t>
            </w:r>
          </w:p>
        </w:tc>
      </w:tr>
      <w:tr w:rsidR="00D7273B" w:rsidRPr="00030006" w14:paraId="1740929F" w14:textId="77777777" w:rsidTr="00916EF2">
        <w:trPr>
          <w:trHeight w:val="300"/>
        </w:trPr>
        <w:tc>
          <w:tcPr>
            <w:tcW w:w="2217" w:type="pct"/>
            <w:tcBorders>
              <w:top w:val="nil"/>
              <w:left w:val="nil"/>
              <w:bottom w:val="nil"/>
              <w:right w:val="nil"/>
            </w:tcBorders>
            <w:shd w:val="clear" w:color="000000" w:fill="FFFFFF"/>
            <w:noWrap/>
            <w:vAlign w:val="center"/>
            <w:hideMark/>
          </w:tcPr>
          <w:p w14:paraId="26725F2D" w14:textId="77777777" w:rsidR="00D7273B" w:rsidRPr="00030006" w:rsidRDefault="00D7273B" w:rsidP="00C75089">
            <w:pPr>
              <w:pStyle w:val="TableColumnHeadingLeft"/>
            </w:pPr>
            <w:r w:rsidRPr="00030006">
              <w:t>Population Statement 2020</w:t>
            </w:r>
          </w:p>
        </w:tc>
        <w:tc>
          <w:tcPr>
            <w:tcW w:w="309" w:type="pct"/>
            <w:tcBorders>
              <w:top w:val="nil"/>
              <w:left w:val="nil"/>
              <w:bottom w:val="nil"/>
              <w:right w:val="nil"/>
            </w:tcBorders>
            <w:shd w:val="clear" w:color="000000" w:fill="FFFFFF"/>
            <w:noWrap/>
            <w:vAlign w:val="center"/>
            <w:hideMark/>
          </w:tcPr>
          <w:p w14:paraId="0CB9FCEB" w14:textId="5E6E9300"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5628865B" w14:textId="4F573C62"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BB739BB" w14:textId="02DF6EF9"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F2EB19E" w14:textId="32CF9C36"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D60EFCF" w14:textId="1C3A685A"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3ADCCA51" w14:textId="34F6F424" w:rsidR="00D7273B" w:rsidRPr="00030006" w:rsidRDefault="00D7273B" w:rsidP="0070497D">
            <w:pPr>
              <w:pStyle w:val="TableTextRight"/>
              <w:rPr>
                <w:lang w:eastAsia="en-AU"/>
              </w:rPr>
            </w:pPr>
            <w:r>
              <w:rPr>
                <w:rFonts w:ascii="Calibri" w:hAnsi="Calibri" w:cs="Calibri"/>
              </w:rPr>
              <w:t>0.0</w:t>
            </w:r>
          </w:p>
        </w:tc>
        <w:tc>
          <w:tcPr>
            <w:tcW w:w="310" w:type="pct"/>
            <w:tcBorders>
              <w:top w:val="nil"/>
              <w:left w:val="nil"/>
              <w:bottom w:val="nil"/>
              <w:right w:val="nil"/>
            </w:tcBorders>
            <w:shd w:val="clear" w:color="000000" w:fill="FFFFFF"/>
            <w:noWrap/>
            <w:vAlign w:val="center"/>
            <w:hideMark/>
          </w:tcPr>
          <w:p w14:paraId="434A517A" w14:textId="5D8CEA57" w:rsidR="00D7273B" w:rsidRPr="00030006" w:rsidRDefault="00D7273B" w:rsidP="0070497D">
            <w:pPr>
              <w:pStyle w:val="TableTextRight"/>
              <w:rPr>
                <w:lang w:eastAsia="en-AU"/>
              </w:rPr>
            </w:pPr>
            <w:r>
              <w:rPr>
                <w:rFonts w:ascii="Calibri" w:hAnsi="Calibri" w:cs="Calibri"/>
              </w:rPr>
              <w:t>0.1</w:t>
            </w:r>
          </w:p>
        </w:tc>
        <w:tc>
          <w:tcPr>
            <w:tcW w:w="310" w:type="pct"/>
            <w:tcBorders>
              <w:top w:val="nil"/>
              <w:left w:val="nil"/>
              <w:bottom w:val="nil"/>
              <w:right w:val="nil"/>
            </w:tcBorders>
            <w:shd w:val="clear" w:color="000000" w:fill="FFFFFF"/>
            <w:noWrap/>
            <w:vAlign w:val="center"/>
            <w:hideMark/>
          </w:tcPr>
          <w:p w14:paraId="15249D2D" w14:textId="38FE2EC7"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0.8</w:t>
            </w:r>
          </w:p>
        </w:tc>
        <w:tc>
          <w:tcPr>
            <w:tcW w:w="308" w:type="pct"/>
            <w:tcBorders>
              <w:top w:val="nil"/>
              <w:left w:val="nil"/>
              <w:bottom w:val="nil"/>
              <w:right w:val="nil"/>
            </w:tcBorders>
            <w:shd w:val="clear" w:color="000000" w:fill="FFFFFF"/>
            <w:noWrap/>
            <w:vAlign w:val="center"/>
            <w:hideMark/>
          </w:tcPr>
          <w:p w14:paraId="38AE7162" w14:textId="04A33211"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2.3</w:t>
            </w:r>
          </w:p>
        </w:tc>
      </w:tr>
      <w:tr w:rsidR="00D7273B" w:rsidRPr="00030006" w14:paraId="3E01F181" w14:textId="77777777" w:rsidTr="00916EF2">
        <w:trPr>
          <w:trHeight w:val="300"/>
        </w:trPr>
        <w:tc>
          <w:tcPr>
            <w:tcW w:w="2217" w:type="pct"/>
            <w:tcBorders>
              <w:top w:val="nil"/>
              <w:left w:val="nil"/>
              <w:bottom w:val="nil"/>
              <w:right w:val="nil"/>
            </w:tcBorders>
            <w:shd w:val="clear" w:color="000000" w:fill="FFFFFF"/>
            <w:noWrap/>
            <w:vAlign w:val="center"/>
            <w:hideMark/>
          </w:tcPr>
          <w:p w14:paraId="2345A552" w14:textId="77777777" w:rsidR="00D7273B" w:rsidRPr="00030006" w:rsidRDefault="00D7273B" w:rsidP="00C75089">
            <w:pPr>
              <w:pStyle w:val="TableColumnHeadingLeft"/>
            </w:pPr>
            <w:r w:rsidRPr="00030006">
              <w:t>Intergenerational Report, 2021</w:t>
            </w:r>
          </w:p>
        </w:tc>
        <w:tc>
          <w:tcPr>
            <w:tcW w:w="309" w:type="pct"/>
            <w:tcBorders>
              <w:top w:val="nil"/>
              <w:left w:val="nil"/>
              <w:bottom w:val="nil"/>
              <w:right w:val="nil"/>
            </w:tcBorders>
            <w:shd w:val="clear" w:color="000000" w:fill="FFFFFF"/>
            <w:noWrap/>
            <w:vAlign w:val="center"/>
            <w:hideMark/>
          </w:tcPr>
          <w:p w14:paraId="41E4002C" w14:textId="22692E15"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2E77977" w14:textId="495FBBCA"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52BB022" w14:textId="2D6D3F92"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5810E363" w14:textId="71611607"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1AF04168" w14:textId="217E5365"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0E09F09A" w14:textId="14A072D2"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2E5FF1CE" w14:textId="35F92400" w:rsidR="00D7273B" w:rsidRPr="00030006" w:rsidRDefault="00D7273B" w:rsidP="0070497D">
            <w:pPr>
              <w:pStyle w:val="TableTextRight"/>
              <w:rPr>
                <w:lang w:eastAsia="en-AU"/>
              </w:rPr>
            </w:pPr>
            <w:r>
              <w:rPr>
                <w:rFonts w:ascii="Calibri" w:hAnsi="Calibri" w:cs="Calibri"/>
              </w:rPr>
              <w:t>0.2</w:t>
            </w:r>
          </w:p>
        </w:tc>
        <w:tc>
          <w:tcPr>
            <w:tcW w:w="310" w:type="pct"/>
            <w:tcBorders>
              <w:top w:val="nil"/>
              <w:left w:val="nil"/>
              <w:bottom w:val="nil"/>
              <w:right w:val="nil"/>
            </w:tcBorders>
            <w:shd w:val="clear" w:color="000000" w:fill="FFFFFF"/>
            <w:noWrap/>
            <w:vAlign w:val="center"/>
            <w:hideMark/>
          </w:tcPr>
          <w:p w14:paraId="31CC259B" w14:textId="3BBB7D63"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0.9</w:t>
            </w:r>
          </w:p>
        </w:tc>
        <w:tc>
          <w:tcPr>
            <w:tcW w:w="308" w:type="pct"/>
            <w:tcBorders>
              <w:top w:val="nil"/>
              <w:left w:val="nil"/>
              <w:bottom w:val="nil"/>
              <w:right w:val="nil"/>
            </w:tcBorders>
            <w:shd w:val="clear" w:color="000000" w:fill="FFFFFF"/>
            <w:noWrap/>
            <w:vAlign w:val="center"/>
            <w:hideMark/>
          </w:tcPr>
          <w:p w14:paraId="7FCB86DE" w14:textId="221A6662" w:rsidR="00D7273B" w:rsidRPr="00030006" w:rsidRDefault="00050D25" w:rsidP="0070497D">
            <w:pPr>
              <w:pStyle w:val="TableTextRight"/>
              <w:rPr>
                <w:lang w:eastAsia="en-AU"/>
              </w:rPr>
            </w:pPr>
            <w:r>
              <w:rPr>
                <w:rFonts w:ascii="Calibri" w:hAnsi="Calibri" w:cs="Calibri"/>
              </w:rPr>
              <w:noBreakHyphen/>
            </w:r>
            <w:r w:rsidR="00EF7344">
              <w:rPr>
                <w:rFonts w:ascii="Calibri" w:hAnsi="Calibri" w:cs="Calibri"/>
              </w:rPr>
              <w:t>2.5</w:t>
            </w:r>
          </w:p>
        </w:tc>
      </w:tr>
      <w:tr w:rsidR="00D7273B" w:rsidRPr="00030006" w14:paraId="52D17C06" w14:textId="77777777" w:rsidTr="00916EF2">
        <w:trPr>
          <w:trHeight w:val="300"/>
        </w:trPr>
        <w:tc>
          <w:tcPr>
            <w:tcW w:w="2217" w:type="pct"/>
            <w:tcBorders>
              <w:top w:val="nil"/>
              <w:left w:val="nil"/>
              <w:bottom w:val="nil"/>
              <w:right w:val="nil"/>
            </w:tcBorders>
            <w:shd w:val="clear" w:color="000000" w:fill="FFFFFF"/>
            <w:noWrap/>
            <w:vAlign w:val="center"/>
            <w:hideMark/>
          </w:tcPr>
          <w:p w14:paraId="6B9AA945" w14:textId="77777777" w:rsidR="00D7273B" w:rsidRPr="00030006" w:rsidRDefault="00D7273B" w:rsidP="00C75089">
            <w:pPr>
              <w:pStyle w:val="TableColumnHeadingLeft"/>
            </w:pPr>
            <w:r w:rsidRPr="00030006">
              <w:t>Population Statement 2021</w:t>
            </w:r>
          </w:p>
        </w:tc>
        <w:tc>
          <w:tcPr>
            <w:tcW w:w="309" w:type="pct"/>
            <w:tcBorders>
              <w:top w:val="nil"/>
              <w:left w:val="nil"/>
              <w:bottom w:val="nil"/>
              <w:right w:val="nil"/>
            </w:tcBorders>
            <w:shd w:val="clear" w:color="000000" w:fill="FFFFFF"/>
            <w:noWrap/>
            <w:vAlign w:val="center"/>
            <w:hideMark/>
          </w:tcPr>
          <w:p w14:paraId="275C99E1" w14:textId="675A48C8"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2688101A" w14:textId="5EB5D454"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4CDE743C" w14:textId="7FB2BF10"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0D1E03E2" w14:textId="75974AFA"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53879FA9" w14:textId="36106600"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1504F6D5" w14:textId="7B2E4376"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7A7DF416" w14:textId="5A196059" w:rsidR="00D7273B" w:rsidRPr="00030006" w:rsidRDefault="00D7273B" w:rsidP="0070497D">
            <w:pPr>
              <w:pStyle w:val="TableTextRight"/>
              <w:rPr>
                <w:lang w:eastAsia="en-AU"/>
              </w:rPr>
            </w:pPr>
            <w:r>
              <w:rPr>
                <w:rFonts w:ascii="Calibri" w:hAnsi="Calibri" w:cs="Calibri"/>
              </w:rPr>
              <w:t>0.2</w:t>
            </w:r>
          </w:p>
        </w:tc>
        <w:tc>
          <w:tcPr>
            <w:tcW w:w="310" w:type="pct"/>
            <w:tcBorders>
              <w:top w:val="nil"/>
              <w:left w:val="nil"/>
              <w:bottom w:val="nil"/>
              <w:right w:val="nil"/>
            </w:tcBorders>
            <w:shd w:val="clear" w:color="000000" w:fill="FFFFFF"/>
            <w:noWrap/>
            <w:vAlign w:val="center"/>
            <w:hideMark/>
          </w:tcPr>
          <w:p w14:paraId="4D09DE5C" w14:textId="5DA2A199"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0.8</w:t>
            </w:r>
          </w:p>
        </w:tc>
        <w:tc>
          <w:tcPr>
            <w:tcW w:w="308" w:type="pct"/>
            <w:tcBorders>
              <w:top w:val="nil"/>
              <w:left w:val="nil"/>
              <w:bottom w:val="nil"/>
              <w:right w:val="nil"/>
            </w:tcBorders>
            <w:shd w:val="clear" w:color="000000" w:fill="FFFFFF"/>
            <w:noWrap/>
            <w:vAlign w:val="center"/>
            <w:hideMark/>
          </w:tcPr>
          <w:p w14:paraId="0EA45EB2" w14:textId="7FA321D2"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2.0</w:t>
            </w:r>
          </w:p>
        </w:tc>
      </w:tr>
      <w:tr w:rsidR="00D7273B" w:rsidRPr="00030006" w14:paraId="13D25101" w14:textId="77777777" w:rsidTr="00916EF2">
        <w:trPr>
          <w:trHeight w:val="300"/>
        </w:trPr>
        <w:tc>
          <w:tcPr>
            <w:tcW w:w="2217" w:type="pct"/>
            <w:tcBorders>
              <w:top w:val="nil"/>
              <w:left w:val="nil"/>
              <w:bottom w:val="nil"/>
              <w:right w:val="nil"/>
            </w:tcBorders>
            <w:shd w:val="clear" w:color="000000" w:fill="FFFFFF"/>
            <w:noWrap/>
            <w:vAlign w:val="center"/>
            <w:hideMark/>
          </w:tcPr>
          <w:p w14:paraId="498FD635" w14:textId="77777777" w:rsidR="00D7273B" w:rsidRPr="00030006" w:rsidRDefault="00D7273B" w:rsidP="00C75089">
            <w:pPr>
              <w:pStyle w:val="TableColumnHeadingLeft"/>
            </w:pPr>
            <w:r w:rsidRPr="00030006">
              <w:t>Population Statement 2022</w:t>
            </w:r>
          </w:p>
        </w:tc>
        <w:tc>
          <w:tcPr>
            <w:tcW w:w="309" w:type="pct"/>
            <w:tcBorders>
              <w:top w:val="nil"/>
              <w:left w:val="nil"/>
              <w:bottom w:val="nil"/>
              <w:right w:val="nil"/>
            </w:tcBorders>
            <w:shd w:val="clear" w:color="000000" w:fill="FFFFFF"/>
            <w:noWrap/>
            <w:vAlign w:val="center"/>
            <w:hideMark/>
          </w:tcPr>
          <w:p w14:paraId="2E199BE7" w14:textId="56FCB1CD"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277EAEEE" w14:textId="5DD1D908"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4209BB46" w14:textId="05B8EEE5"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0A624BF8" w14:textId="0E4E5D33"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78090CE8" w14:textId="729F3347"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0E4119BE" w14:textId="095C4D7E"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7285526E" w14:textId="158C2F9C"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7FB83FF1" w14:textId="4C0698B1"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0.2</w:t>
            </w:r>
          </w:p>
        </w:tc>
        <w:tc>
          <w:tcPr>
            <w:tcW w:w="308" w:type="pct"/>
            <w:tcBorders>
              <w:top w:val="nil"/>
              <w:left w:val="nil"/>
              <w:bottom w:val="nil"/>
              <w:right w:val="nil"/>
            </w:tcBorders>
            <w:shd w:val="clear" w:color="000000" w:fill="FFFFFF"/>
            <w:noWrap/>
            <w:vAlign w:val="center"/>
            <w:hideMark/>
          </w:tcPr>
          <w:p w14:paraId="5A79F5AA" w14:textId="4ABFEF53"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1.3</w:t>
            </w:r>
          </w:p>
        </w:tc>
      </w:tr>
      <w:tr w:rsidR="00D7273B" w:rsidRPr="00030006" w14:paraId="3956709B" w14:textId="77777777" w:rsidTr="00916EF2">
        <w:trPr>
          <w:trHeight w:val="300"/>
        </w:trPr>
        <w:tc>
          <w:tcPr>
            <w:tcW w:w="2217" w:type="pct"/>
            <w:tcBorders>
              <w:top w:val="nil"/>
              <w:left w:val="nil"/>
              <w:bottom w:val="nil"/>
              <w:right w:val="nil"/>
            </w:tcBorders>
            <w:shd w:val="clear" w:color="000000" w:fill="FFFFFF"/>
            <w:noWrap/>
            <w:vAlign w:val="center"/>
            <w:hideMark/>
          </w:tcPr>
          <w:p w14:paraId="067A4977" w14:textId="77777777" w:rsidR="00D7273B" w:rsidRPr="00030006" w:rsidRDefault="00D7273B" w:rsidP="00C75089">
            <w:pPr>
              <w:pStyle w:val="TableColumnHeadingLeft"/>
            </w:pPr>
            <w:r w:rsidRPr="00030006">
              <w:t>Intergenerational Report, 2023</w:t>
            </w:r>
          </w:p>
        </w:tc>
        <w:tc>
          <w:tcPr>
            <w:tcW w:w="309" w:type="pct"/>
            <w:tcBorders>
              <w:top w:val="nil"/>
              <w:left w:val="nil"/>
              <w:bottom w:val="nil"/>
              <w:right w:val="nil"/>
            </w:tcBorders>
            <w:shd w:val="clear" w:color="000000" w:fill="FFFFFF"/>
            <w:noWrap/>
            <w:vAlign w:val="center"/>
            <w:hideMark/>
          </w:tcPr>
          <w:p w14:paraId="1C611341" w14:textId="68B47593"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532C60DB" w14:textId="6118C099"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88C8CE5" w14:textId="091FC88C"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73061723" w14:textId="4FE565FB"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4BB293C6" w14:textId="6D246F8E"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1CDBE8BA" w14:textId="72922D57"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3B7BDA39" w14:textId="3FA2C2D0"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196F8E75" w14:textId="5F32F73A" w:rsidR="00D7273B" w:rsidRPr="00030006" w:rsidRDefault="00050D25" w:rsidP="0070497D">
            <w:pPr>
              <w:pStyle w:val="TableTextRight"/>
              <w:rPr>
                <w:lang w:eastAsia="en-AU"/>
              </w:rPr>
            </w:pPr>
            <w:r>
              <w:rPr>
                <w:rFonts w:ascii="Calibri" w:hAnsi="Calibri" w:cs="Calibri"/>
              </w:rPr>
              <w:noBreakHyphen/>
            </w:r>
          </w:p>
        </w:tc>
        <w:tc>
          <w:tcPr>
            <w:tcW w:w="308" w:type="pct"/>
            <w:tcBorders>
              <w:top w:val="nil"/>
              <w:left w:val="nil"/>
              <w:bottom w:val="nil"/>
              <w:right w:val="nil"/>
            </w:tcBorders>
            <w:shd w:val="clear" w:color="000000" w:fill="FFFFFF"/>
            <w:noWrap/>
            <w:vAlign w:val="center"/>
            <w:hideMark/>
          </w:tcPr>
          <w:p w14:paraId="67B8D87F" w14:textId="51F6D29A"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0.5</w:t>
            </w:r>
          </w:p>
        </w:tc>
      </w:tr>
      <w:tr w:rsidR="00D7273B" w:rsidRPr="00030006" w14:paraId="0539304D" w14:textId="77777777" w:rsidTr="00916EF2">
        <w:trPr>
          <w:trHeight w:val="300"/>
        </w:trPr>
        <w:tc>
          <w:tcPr>
            <w:tcW w:w="2217" w:type="pct"/>
            <w:tcBorders>
              <w:top w:val="nil"/>
              <w:left w:val="nil"/>
              <w:bottom w:val="nil"/>
              <w:right w:val="nil"/>
            </w:tcBorders>
            <w:shd w:val="clear" w:color="000000" w:fill="FFFFFF"/>
            <w:noWrap/>
            <w:vAlign w:val="center"/>
            <w:hideMark/>
          </w:tcPr>
          <w:p w14:paraId="442AB670" w14:textId="77777777" w:rsidR="00D7273B" w:rsidRPr="00030006" w:rsidRDefault="00D7273B" w:rsidP="00C75089">
            <w:pPr>
              <w:pStyle w:val="TableColumnHeadingLeft"/>
            </w:pPr>
            <w:r w:rsidRPr="00030006">
              <w:t>ABS projection series medium series (2022 base)</w:t>
            </w:r>
          </w:p>
        </w:tc>
        <w:tc>
          <w:tcPr>
            <w:tcW w:w="309" w:type="pct"/>
            <w:tcBorders>
              <w:top w:val="nil"/>
              <w:left w:val="nil"/>
              <w:bottom w:val="nil"/>
              <w:right w:val="nil"/>
            </w:tcBorders>
            <w:shd w:val="clear" w:color="000000" w:fill="FFFFFF"/>
            <w:noWrap/>
            <w:vAlign w:val="center"/>
            <w:hideMark/>
          </w:tcPr>
          <w:p w14:paraId="35A5AF25" w14:textId="0F7CDD36"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303CEAB8" w14:textId="42B3713C"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2C056B3D" w14:textId="5A547B9B"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66EFC731" w14:textId="660F2F05"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nil"/>
              <w:right w:val="nil"/>
            </w:tcBorders>
            <w:shd w:val="clear" w:color="000000" w:fill="FFFFFF"/>
            <w:noWrap/>
            <w:vAlign w:val="center"/>
            <w:hideMark/>
          </w:tcPr>
          <w:p w14:paraId="17B9A04F" w14:textId="6195BF36"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4747B3B1" w14:textId="3E68B7E5"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24C56199" w14:textId="54FF05E7"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nil"/>
              <w:right w:val="nil"/>
            </w:tcBorders>
            <w:shd w:val="clear" w:color="000000" w:fill="FFFFFF"/>
            <w:noWrap/>
            <w:vAlign w:val="center"/>
            <w:hideMark/>
          </w:tcPr>
          <w:p w14:paraId="433DEB52" w14:textId="47A46DA1" w:rsidR="00D7273B" w:rsidRPr="00030006" w:rsidRDefault="00050D25" w:rsidP="0070497D">
            <w:pPr>
              <w:pStyle w:val="TableTextRight"/>
              <w:rPr>
                <w:lang w:eastAsia="en-AU"/>
              </w:rPr>
            </w:pPr>
            <w:r>
              <w:rPr>
                <w:rFonts w:ascii="Calibri" w:hAnsi="Calibri" w:cs="Calibri"/>
              </w:rPr>
              <w:noBreakHyphen/>
            </w:r>
          </w:p>
        </w:tc>
        <w:tc>
          <w:tcPr>
            <w:tcW w:w="308" w:type="pct"/>
            <w:tcBorders>
              <w:top w:val="nil"/>
              <w:left w:val="nil"/>
              <w:bottom w:val="nil"/>
              <w:right w:val="nil"/>
            </w:tcBorders>
            <w:shd w:val="clear" w:color="000000" w:fill="FFFFFF"/>
            <w:noWrap/>
            <w:vAlign w:val="center"/>
            <w:hideMark/>
          </w:tcPr>
          <w:p w14:paraId="3979803B" w14:textId="6A20273D" w:rsidR="00D7273B" w:rsidRPr="00030006" w:rsidRDefault="00050D25" w:rsidP="0070497D">
            <w:pPr>
              <w:pStyle w:val="TableTextRight"/>
              <w:rPr>
                <w:lang w:eastAsia="en-AU"/>
              </w:rPr>
            </w:pPr>
            <w:r>
              <w:rPr>
                <w:rFonts w:ascii="Calibri" w:hAnsi="Calibri" w:cs="Calibri"/>
              </w:rPr>
              <w:noBreakHyphen/>
            </w:r>
            <w:r w:rsidR="00D7273B">
              <w:rPr>
                <w:rFonts w:ascii="Calibri" w:hAnsi="Calibri" w:cs="Calibri"/>
              </w:rPr>
              <w:t>0.4</w:t>
            </w:r>
          </w:p>
        </w:tc>
      </w:tr>
      <w:tr w:rsidR="00D7273B" w:rsidRPr="00030006" w14:paraId="126B1025" w14:textId="77777777" w:rsidTr="00916EF2">
        <w:trPr>
          <w:trHeight w:val="300"/>
        </w:trPr>
        <w:tc>
          <w:tcPr>
            <w:tcW w:w="2217" w:type="pct"/>
            <w:tcBorders>
              <w:top w:val="nil"/>
              <w:left w:val="nil"/>
              <w:bottom w:val="single" w:sz="4" w:space="0" w:color="293F5B"/>
              <w:right w:val="nil"/>
            </w:tcBorders>
            <w:shd w:val="clear" w:color="000000" w:fill="FFFFFF"/>
            <w:noWrap/>
            <w:vAlign w:val="center"/>
            <w:hideMark/>
          </w:tcPr>
          <w:p w14:paraId="7DFEBDC8" w14:textId="77777777" w:rsidR="00D7273B" w:rsidRPr="00030006" w:rsidRDefault="00D7273B" w:rsidP="00C75089">
            <w:pPr>
              <w:pStyle w:val="TableColumnHeadingLeft"/>
            </w:pPr>
            <w:r w:rsidRPr="00030006">
              <w:t>Population Statement 2023</w:t>
            </w:r>
          </w:p>
        </w:tc>
        <w:tc>
          <w:tcPr>
            <w:tcW w:w="309" w:type="pct"/>
            <w:tcBorders>
              <w:top w:val="nil"/>
              <w:left w:val="nil"/>
              <w:bottom w:val="single" w:sz="4" w:space="0" w:color="293F5B"/>
              <w:right w:val="nil"/>
            </w:tcBorders>
            <w:shd w:val="clear" w:color="000000" w:fill="FFFFFF"/>
            <w:noWrap/>
            <w:vAlign w:val="center"/>
            <w:hideMark/>
          </w:tcPr>
          <w:p w14:paraId="30C38A42" w14:textId="64597686"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single" w:sz="4" w:space="0" w:color="293F5B"/>
              <w:right w:val="nil"/>
            </w:tcBorders>
            <w:shd w:val="clear" w:color="000000" w:fill="FFFFFF"/>
            <w:noWrap/>
            <w:vAlign w:val="center"/>
            <w:hideMark/>
          </w:tcPr>
          <w:p w14:paraId="589BCF55" w14:textId="3DDD2CEA"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single" w:sz="4" w:space="0" w:color="293F5B"/>
              <w:right w:val="nil"/>
            </w:tcBorders>
            <w:shd w:val="clear" w:color="000000" w:fill="FFFFFF"/>
            <w:noWrap/>
            <w:vAlign w:val="center"/>
            <w:hideMark/>
          </w:tcPr>
          <w:p w14:paraId="6C6DC30C" w14:textId="47CE2C01"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single" w:sz="4" w:space="0" w:color="293F5B"/>
              <w:right w:val="nil"/>
            </w:tcBorders>
            <w:shd w:val="clear" w:color="000000" w:fill="FFFFFF"/>
            <w:noWrap/>
            <w:vAlign w:val="center"/>
            <w:hideMark/>
          </w:tcPr>
          <w:p w14:paraId="49E09506" w14:textId="496C1A14" w:rsidR="00D7273B" w:rsidRPr="00030006" w:rsidRDefault="00050D25" w:rsidP="0070497D">
            <w:pPr>
              <w:pStyle w:val="TableTextRight"/>
              <w:rPr>
                <w:lang w:eastAsia="en-AU"/>
              </w:rPr>
            </w:pPr>
            <w:r>
              <w:rPr>
                <w:rFonts w:ascii="Calibri" w:hAnsi="Calibri" w:cs="Calibri"/>
              </w:rPr>
              <w:noBreakHyphen/>
            </w:r>
          </w:p>
        </w:tc>
        <w:tc>
          <w:tcPr>
            <w:tcW w:w="309" w:type="pct"/>
            <w:tcBorders>
              <w:top w:val="nil"/>
              <w:left w:val="nil"/>
              <w:bottom w:val="single" w:sz="4" w:space="0" w:color="293F5B"/>
              <w:right w:val="nil"/>
            </w:tcBorders>
            <w:shd w:val="clear" w:color="000000" w:fill="FFFFFF"/>
            <w:noWrap/>
            <w:vAlign w:val="center"/>
            <w:hideMark/>
          </w:tcPr>
          <w:p w14:paraId="47C1F626" w14:textId="24DBDF54"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single" w:sz="4" w:space="0" w:color="293F5B"/>
              <w:right w:val="nil"/>
            </w:tcBorders>
            <w:shd w:val="clear" w:color="000000" w:fill="FFFFFF"/>
            <w:noWrap/>
            <w:vAlign w:val="center"/>
            <w:hideMark/>
          </w:tcPr>
          <w:p w14:paraId="770CEA04" w14:textId="5B82E6AA"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single" w:sz="4" w:space="0" w:color="293F5B"/>
              <w:right w:val="nil"/>
            </w:tcBorders>
            <w:shd w:val="clear" w:color="000000" w:fill="FFFFFF"/>
            <w:noWrap/>
            <w:vAlign w:val="center"/>
            <w:hideMark/>
          </w:tcPr>
          <w:p w14:paraId="457A8FF7" w14:textId="43B6910F" w:rsidR="00D7273B" w:rsidRPr="00030006" w:rsidRDefault="00050D25" w:rsidP="0070497D">
            <w:pPr>
              <w:pStyle w:val="TableTextRight"/>
              <w:rPr>
                <w:lang w:eastAsia="en-AU"/>
              </w:rPr>
            </w:pPr>
            <w:r>
              <w:rPr>
                <w:rFonts w:ascii="Calibri" w:hAnsi="Calibri" w:cs="Calibri"/>
              </w:rPr>
              <w:noBreakHyphen/>
            </w:r>
          </w:p>
        </w:tc>
        <w:tc>
          <w:tcPr>
            <w:tcW w:w="310" w:type="pct"/>
            <w:tcBorders>
              <w:top w:val="nil"/>
              <w:left w:val="nil"/>
              <w:bottom w:val="single" w:sz="4" w:space="0" w:color="293F5B"/>
              <w:right w:val="nil"/>
            </w:tcBorders>
            <w:shd w:val="clear" w:color="000000" w:fill="FFFFFF"/>
            <w:noWrap/>
            <w:vAlign w:val="center"/>
            <w:hideMark/>
          </w:tcPr>
          <w:p w14:paraId="09F1E1F5" w14:textId="504FCF50" w:rsidR="00D7273B" w:rsidRPr="00030006" w:rsidRDefault="00050D25" w:rsidP="0070497D">
            <w:pPr>
              <w:pStyle w:val="TableTextRight"/>
              <w:rPr>
                <w:lang w:eastAsia="en-AU"/>
              </w:rPr>
            </w:pPr>
            <w:r>
              <w:rPr>
                <w:rFonts w:ascii="Calibri" w:hAnsi="Calibri" w:cs="Calibri"/>
              </w:rPr>
              <w:noBreakHyphen/>
            </w:r>
          </w:p>
        </w:tc>
        <w:tc>
          <w:tcPr>
            <w:tcW w:w="308" w:type="pct"/>
            <w:tcBorders>
              <w:top w:val="nil"/>
              <w:left w:val="nil"/>
              <w:bottom w:val="single" w:sz="4" w:space="0" w:color="293F5B"/>
              <w:right w:val="nil"/>
            </w:tcBorders>
            <w:shd w:val="clear" w:color="000000" w:fill="FFFFFF"/>
            <w:noWrap/>
            <w:vAlign w:val="center"/>
            <w:hideMark/>
          </w:tcPr>
          <w:p w14:paraId="1F7624B6" w14:textId="7AC9EE7B" w:rsidR="00D7273B" w:rsidRPr="00030006" w:rsidRDefault="00D7273B" w:rsidP="0070497D">
            <w:pPr>
              <w:pStyle w:val="TableTextRight"/>
              <w:rPr>
                <w:lang w:eastAsia="en-AU"/>
              </w:rPr>
            </w:pPr>
            <w:r>
              <w:rPr>
                <w:rFonts w:ascii="Calibri" w:hAnsi="Calibri" w:cs="Calibri"/>
              </w:rPr>
              <w:t>0.0</w:t>
            </w:r>
          </w:p>
        </w:tc>
      </w:tr>
    </w:tbl>
    <w:p w14:paraId="64BF7AF6" w14:textId="77777777" w:rsidR="00F9758F" w:rsidRDefault="00F9758F" w:rsidP="00997375">
      <w:pPr>
        <w:pStyle w:val="ChartorTableNote"/>
      </w:pPr>
      <w:r w:rsidRPr="00ED5B08">
        <w:t>Note:</w:t>
      </w:r>
      <w:r>
        <w:tab/>
      </w:r>
      <w:r w:rsidRPr="00997375">
        <w:t>Positive</w:t>
      </w:r>
      <w:r w:rsidRPr="00ED5B08">
        <w:t xml:space="preserve"> numbers indicate an </w:t>
      </w:r>
      <w:r>
        <w:t>overestimation</w:t>
      </w:r>
      <w:r w:rsidRPr="00ED5B08">
        <w:t xml:space="preserve"> while negative numbers indicate an </w:t>
      </w:r>
      <w:r>
        <w:t>under</w:t>
      </w:r>
      <w:r w:rsidRPr="00ED5B08">
        <w:t>estimation.</w:t>
      </w:r>
    </w:p>
    <w:p w14:paraId="1CCE6FEB" w14:textId="2E2EBD70" w:rsidR="0070497D" w:rsidRDefault="00D7273B" w:rsidP="003914B2">
      <w:pPr>
        <w:pStyle w:val="Source"/>
      </w:pPr>
      <w:r w:rsidRPr="00DA7BCF">
        <w:t>Source:</w:t>
      </w:r>
      <w:r w:rsidRPr="00DA7BCF">
        <w:tab/>
        <w:t xml:space="preserve">ABS, </w:t>
      </w:r>
      <w:r w:rsidR="009155F8" w:rsidRPr="00997375">
        <w:rPr>
          <w:rStyle w:val="SubtleEmphasis"/>
        </w:rPr>
        <w:t>National, state and territory population, March 2024</w:t>
      </w:r>
      <w:r>
        <w:t>;</w:t>
      </w:r>
      <w:r w:rsidRPr="00DA7BCF">
        <w:t xml:space="preserve"> ABS, </w:t>
      </w:r>
      <w:bookmarkStart w:id="287" w:name="_Hlk183089738"/>
      <w:r w:rsidRPr="00997375">
        <w:rPr>
          <w:rStyle w:val="SubtleEmphasis"/>
        </w:rPr>
        <w:t xml:space="preserve">Population Projections 2017 (base) </w:t>
      </w:r>
      <w:r w:rsidR="00065B79" w:rsidRPr="00997375">
        <w:rPr>
          <w:rStyle w:val="SubtleEmphasis"/>
        </w:rPr>
        <w:t>–</w:t>
      </w:r>
      <w:r w:rsidRPr="00997375">
        <w:rPr>
          <w:rStyle w:val="SubtleEmphasis"/>
        </w:rPr>
        <w:t xml:space="preserve"> 2066</w:t>
      </w:r>
      <w:bookmarkEnd w:id="287"/>
      <w:r>
        <w:t>;</w:t>
      </w:r>
      <w:r w:rsidRPr="00DA7BCF">
        <w:t xml:space="preserve"> ABS, </w:t>
      </w:r>
      <w:r w:rsidRPr="00997375">
        <w:rPr>
          <w:rStyle w:val="SubtleEmphasis"/>
        </w:rPr>
        <w:t xml:space="preserve">Population projections, 2022 (base) </w:t>
      </w:r>
      <w:r w:rsidR="00065B79" w:rsidRPr="00997375">
        <w:rPr>
          <w:rStyle w:val="SubtleEmphasis"/>
        </w:rPr>
        <w:t>–</w:t>
      </w:r>
      <w:r w:rsidRPr="00997375">
        <w:rPr>
          <w:rStyle w:val="SubtleEmphasis"/>
        </w:rPr>
        <w:t xml:space="preserve"> 2071</w:t>
      </w:r>
      <w:r>
        <w:t>;</w:t>
      </w:r>
      <w:r w:rsidRPr="00DA7BCF">
        <w:t xml:space="preserve"> Commonwealth of Australia, </w:t>
      </w:r>
      <w:r w:rsidRPr="00997375">
        <w:rPr>
          <w:rStyle w:val="SubtleEmphasis"/>
        </w:rPr>
        <w:t>2015, 2021, 2023 Intergenerational Report;</w:t>
      </w:r>
      <w:r w:rsidRPr="00DA7BCF">
        <w:t xml:space="preserve"> Commonwealth of Australia</w:t>
      </w:r>
      <w:r>
        <w:t>,</w:t>
      </w:r>
      <w:r w:rsidRPr="00DA7BCF">
        <w:t xml:space="preserve"> </w:t>
      </w:r>
      <w:r w:rsidRPr="00997375">
        <w:rPr>
          <w:rStyle w:val="SubtleEmphasis"/>
        </w:rPr>
        <w:t>MYEFO 2019</w:t>
      </w:r>
      <w:r w:rsidR="00AF38FB" w:rsidRPr="00997375">
        <w:rPr>
          <w:rStyle w:val="SubtleEmphasis"/>
        </w:rPr>
        <w:t>–</w:t>
      </w:r>
      <w:r w:rsidRPr="00997375">
        <w:rPr>
          <w:rStyle w:val="SubtleEmphasis"/>
        </w:rPr>
        <w:t>20;</w:t>
      </w:r>
      <w:r>
        <w:t xml:space="preserve"> </w:t>
      </w:r>
      <w:r w:rsidRPr="00DA7BCF">
        <w:t>and Centre for Population.</w:t>
      </w:r>
    </w:p>
    <w:p w14:paraId="7EA20C7F" w14:textId="77777777" w:rsidR="00997375" w:rsidRDefault="00997375" w:rsidP="00997375">
      <w:pPr>
        <w:pStyle w:val="SingleParagraph"/>
      </w:pPr>
    </w:p>
    <w:p w14:paraId="7C0C6156" w14:textId="065F9B1E" w:rsidR="00D7273B" w:rsidRDefault="00D7273B" w:rsidP="00D7273B">
      <w:pPr>
        <w:pStyle w:val="Heading3Numbered"/>
      </w:pPr>
      <w:r>
        <w:t>Net overseas migration</w:t>
      </w:r>
      <w:r w:rsidRPr="7B6B904E">
        <w:rPr>
          <w:rFonts w:eastAsia="Calibri"/>
        </w:rPr>
        <w:t xml:space="preserve"> </w:t>
      </w:r>
    </w:p>
    <w:p w14:paraId="01FF2A57" w14:textId="7D15D903" w:rsidR="00D7273B" w:rsidRDefault="00E84835" w:rsidP="00D7273B">
      <w:r>
        <w:t>NOM</w:t>
      </w:r>
      <w:r w:rsidR="00D7273B">
        <w:t xml:space="preserve"> has been the most volatile component of national population growth and the most difficult to forecast, especially given the</w:t>
      </w:r>
      <w:r w:rsidR="00D7273B" w:rsidRPr="00432CE9">
        <w:t xml:space="preserve"> </w:t>
      </w:r>
      <w:r w:rsidR="00D7273B">
        <w:t>disruption of overseas migration during the pandemic (</w:t>
      </w:r>
      <w:r w:rsidR="00D7273B">
        <w:fldChar w:fldCharType="begin"/>
      </w:r>
      <w:r w:rsidR="00D7273B">
        <w:instrText xml:space="preserve"> REF _Ref180672336 \r \h </w:instrText>
      </w:r>
      <w:r w:rsidR="00D7273B">
        <w:fldChar w:fldCharType="separate"/>
      </w:r>
      <w:r w:rsidR="00050D25">
        <w:t>Box 13</w:t>
      </w:r>
      <w:r w:rsidR="00D7273B">
        <w:fldChar w:fldCharType="end"/>
      </w:r>
      <w:r w:rsidR="00D7273B">
        <w:t xml:space="preserve">). It has been the largest source of forecast error across </w:t>
      </w:r>
      <w:r w:rsidR="00EE5FFE">
        <w:t>p</w:t>
      </w:r>
      <w:r w:rsidR="00D7273B">
        <w:t xml:space="preserve">opulation </w:t>
      </w:r>
      <w:r w:rsidR="00EE5FFE">
        <w:t>s</w:t>
      </w:r>
      <w:r w:rsidR="00D7273B">
        <w:t xml:space="preserve">tatements at the national level. </w:t>
      </w:r>
    </w:p>
    <w:p w14:paraId="3507F617" w14:textId="29165D46" w:rsidR="00D7273B" w:rsidRDefault="00E84835" w:rsidP="00D7273B">
      <w:r>
        <w:t>NOM</w:t>
      </w:r>
      <w:r w:rsidR="00D7273B" w:rsidRPr="004176A5">
        <w:t xml:space="preserve"> was underestimated for 2021–22 and 2022–23 across the first </w:t>
      </w:r>
      <w:r w:rsidR="00144F9F">
        <w:t>3</w:t>
      </w:r>
      <w:r w:rsidR="00144F9F" w:rsidRPr="004176A5">
        <w:t xml:space="preserve"> </w:t>
      </w:r>
      <w:r w:rsidR="00053AF3">
        <w:t>p</w:t>
      </w:r>
      <w:r w:rsidR="00D7273B" w:rsidRPr="004176A5">
        <w:t xml:space="preserve">opulation </w:t>
      </w:r>
      <w:r w:rsidR="00144F9F">
        <w:t>s</w:t>
      </w:r>
      <w:r w:rsidR="00D7273B" w:rsidRPr="004176A5">
        <w:t xml:space="preserve">tatements, with more arrivals and fewer departures than expected. Forecast errors </w:t>
      </w:r>
      <w:r w:rsidR="00143590">
        <w:t xml:space="preserve">for </w:t>
      </w:r>
      <w:r w:rsidR="00143590" w:rsidRPr="004176A5">
        <w:t>2022–23</w:t>
      </w:r>
      <w:r w:rsidR="00D7273B" w:rsidRPr="004176A5">
        <w:t xml:space="preserve"> </w:t>
      </w:r>
      <w:proofErr w:type="gramStart"/>
      <w:r w:rsidR="00D7273B" w:rsidRPr="004176A5">
        <w:t>were</w:t>
      </w:r>
      <w:proofErr w:type="gramEnd"/>
      <w:r w:rsidR="00D7273B" w:rsidRPr="004176A5">
        <w:t xml:space="preserve"> substantially greater for arrivals than departures in the first </w:t>
      </w:r>
      <w:r w:rsidR="00F24CB7">
        <w:t>3</w:t>
      </w:r>
      <w:r w:rsidR="00F24CB7" w:rsidRPr="004176A5">
        <w:t xml:space="preserve"> </w:t>
      </w:r>
      <w:r w:rsidR="00053AF3">
        <w:t>s</w:t>
      </w:r>
      <w:r w:rsidR="00D7273B" w:rsidRPr="004176A5">
        <w:t>tatements, underestimating arrivals by 30</w:t>
      </w:r>
      <w:r w:rsidR="009A0507">
        <w:t>7</w:t>
      </w:r>
      <w:r w:rsidR="00D7273B" w:rsidRPr="004176A5">
        <w:t xml:space="preserve">,000 on average and overestimating departures by 59,000 on average. The 2023 Statement underestimated arrivals by 15,000 and overestimated departures by 14,000. Most of the error was concentrated in temporary migrant arrivals, </w:t>
      </w:r>
      <w:r w:rsidR="00D7273B">
        <w:t>including</w:t>
      </w:r>
      <w:r w:rsidR="00D7273B" w:rsidRPr="004176A5">
        <w:t xml:space="preserve"> students, with relatively small misses in other categories (</w:t>
      </w:r>
      <w:r w:rsidR="006F2FC4">
        <w:fldChar w:fldCharType="begin"/>
      </w:r>
      <w:r w:rsidR="006F2FC4">
        <w:instrText xml:space="preserve"> REF _Ref183183933 \r \h </w:instrText>
      </w:r>
      <w:r w:rsidR="006F2FC4">
        <w:fldChar w:fldCharType="separate"/>
      </w:r>
      <w:r w:rsidR="00050D25">
        <w:t>Chart 57</w:t>
      </w:r>
      <w:r w:rsidR="006F2FC4">
        <w:fldChar w:fldCharType="end"/>
      </w:r>
      <w:r w:rsidR="00D7273B" w:rsidRPr="004176A5">
        <w:t>).</w:t>
      </w: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tblBorders>
        <w:tblLook w:val="04A0" w:firstRow="1" w:lastRow="0" w:firstColumn="1" w:lastColumn="0" w:noHBand="0" w:noVBand="1"/>
      </w:tblPr>
      <w:tblGrid>
        <w:gridCol w:w="9062"/>
      </w:tblGrid>
      <w:tr w:rsidR="00D7273B" w:rsidRPr="003B6850" w14:paraId="0F2AA6C3" w14:textId="77777777" w:rsidTr="0095584C">
        <w:trPr>
          <w:trHeight w:val="293"/>
        </w:trPr>
        <w:tc>
          <w:tcPr>
            <w:tcW w:w="9072" w:type="dxa"/>
            <w:shd w:val="clear" w:color="auto" w:fill="auto"/>
          </w:tcPr>
          <w:p w14:paraId="2465CDA6" w14:textId="77777777" w:rsidR="00A34FFA" w:rsidRPr="00645008" w:rsidRDefault="00A34FFA" w:rsidP="00A34FFA">
            <w:pPr>
              <w:pStyle w:val="BoxHeading"/>
            </w:pPr>
            <w:bookmarkStart w:id="288" w:name="_Ref180672336"/>
            <w:r>
              <w:lastRenderedPageBreak/>
              <w:t xml:space="preserve">Improving net overseas migration </w:t>
            </w:r>
            <w:bookmarkEnd w:id="288"/>
            <w:r>
              <w:t>forecasting</w:t>
            </w:r>
          </w:p>
          <w:p w14:paraId="6917C97C" w14:textId="2E921B2C" w:rsidR="00D7273B" w:rsidRDefault="00D7273B" w:rsidP="00916EF2">
            <w:pPr>
              <w:pStyle w:val="BoxText"/>
            </w:pPr>
            <w:r w:rsidRPr="00207D67">
              <w:t xml:space="preserve">Forecasting </w:t>
            </w:r>
            <w:r w:rsidR="00E84835">
              <w:t>NOM</w:t>
            </w:r>
            <w:r w:rsidRPr="00207D67">
              <w:t xml:space="preserve"> </w:t>
            </w:r>
            <w:r>
              <w:t>is inherently difficult. Although the Government sets</w:t>
            </w:r>
            <w:r w:rsidDel="009E2D38">
              <w:t xml:space="preserve"> </w:t>
            </w:r>
            <w:r>
              <w:t>the number of permanent visas granted each year, many temporary visas are demand</w:t>
            </w:r>
            <w:r w:rsidR="00050D25">
              <w:noBreakHyphen/>
            </w:r>
            <w:r>
              <w:t xml:space="preserve">driven. Demand can be affected by </w:t>
            </w:r>
            <w:r w:rsidR="001313ED">
              <w:t xml:space="preserve">several </w:t>
            </w:r>
            <w:r>
              <w:t xml:space="preserve">factors, such as domestic and international economic conditions and </w:t>
            </w:r>
            <w:r w:rsidR="00EB745B">
              <w:t xml:space="preserve">migration </w:t>
            </w:r>
            <w:r>
              <w:t>policy settings</w:t>
            </w:r>
            <w:r w:rsidR="0006549F">
              <w:t xml:space="preserve"> in Australia and overseas</w:t>
            </w:r>
            <w:r>
              <w:t xml:space="preserve">. The uncertainty around NOM has been </w:t>
            </w:r>
            <w:r w:rsidR="00DC0D0E">
              <w:t xml:space="preserve">higher </w:t>
            </w:r>
            <w:r>
              <w:t>in recent years because of the significant disruptions to travel and migration trends during the early years of the COVID</w:t>
            </w:r>
            <w:r w:rsidR="00050D25">
              <w:noBreakHyphen/>
            </w:r>
            <w:r>
              <w:t xml:space="preserve">19 pandemic. As a result, </w:t>
            </w:r>
            <w:r w:rsidRPr="00207D67">
              <w:t xml:space="preserve">the data </w:t>
            </w:r>
            <w:r>
              <w:t xml:space="preserve">used to inform </w:t>
            </w:r>
            <w:r w:rsidRPr="00207D67">
              <w:t xml:space="preserve">NOM forecasts </w:t>
            </w:r>
            <w:r>
              <w:t>became more volatile, which made it more difficult to ascertain trends. The lack of</w:t>
            </w:r>
            <w:r w:rsidR="00BC4E56">
              <w:t xml:space="preserve"> modern</w:t>
            </w:r>
            <w:r>
              <w:t xml:space="preserve"> precedents </w:t>
            </w:r>
            <w:proofErr w:type="gramStart"/>
            <w:r w:rsidR="00EB745B">
              <w:t>similar to</w:t>
            </w:r>
            <w:proofErr w:type="gramEnd"/>
            <w:r w:rsidR="00EB745B">
              <w:t xml:space="preserve"> </w:t>
            </w:r>
            <w:r w:rsidR="00690BB3">
              <w:t>the</w:t>
            </w:r>
            <w:r w:rsidR="00EB745B">
              <w:t xml:space="preserve"> </w:t>
            </w:r>
            <w:r w:rsidR="00BC4E56">
              <w:t>COVID</w:t>
            </w:r>
            <w:r w:rsidR="00050D25">
              <w:noBreakHyphen/>
            </w:r>
            <w:r w:rsidR="00BC4E56">
              <w:t>19</w:t>
            </w:r>
            <w:r w:rsidR="00EB745B">
              <w:t xml:space="preserve"> pandemic</w:t>
            </w:r>
            <w:r w:rsidR="00BC4E56">
              <w:t xml:space="preserve"> </w:t>
            </w:r>
            <w:r>
              <w:t xml:space="preserve">also made it difficult to </w:t>
            </w:r>
            <w:r w:rsidDel="009E239C">
              <w:t>inform</w:t>
            </w:r>
            <w:r>
              <w:t xml:space="preserve"> the judgements the Centre needed to make for its NOM forecasts. </w:t>
            </w:r>
          </w:p>
          <w:p w14:paraId="50997EF9" w14:textId="5B609183" w:rsidR="00D7273B" w:rsidRPr="00555EE5" w:rsidRDefault="00D7273B" w:rsidP="00916EF2">
            <w:pPr>
              <w:pStyle w:val="BoxText"/>
            </w:pPr>
            <w:r>
              <w:t>The</w:t>
            </w:r>
            <w:r w:rsidDel="009E239C">
              <w:t xml:space="preserve"> </w:t>
            </w:r>
            <w:r>
              <w:t>significant lags involved in publishing data</w:t>
            </w:r>
            <w:r w:rsidDel="009E239C">
              <w:t xml:space="preserve"> </w:t>
            </w:r>
            <w:r>
              <w:t xml:space="preserve">contribute to the difficulties in forecasting </w:t>
            </w:r>
            <w:r w:rsidRPr="00555EE5">
              <w:t>NOM. Official ABS estimates of NOM cannot be finalised until 16 months after the reference period and are published 18 months</w:t>
            </w:r>
            <w:r>
              <w:t xml:space="preserve"> after the reference period</w:t>
            </w:r>
            <w:r w:rsidRPr="00555EE5">
              <w:t xml:space="preserve">. This is because a person is only counted </w:t>
            </w:r>
            <w:r>
              <w:t>in</w:t>
            </w:r>
            <w:r w:rsidRPr="00555EE5">
              <w:t xml:space="preserve"> NOM if they </w:t>
            </w:r>
            <w:r>
              <w:t>stay in</w:t>
            </w:r>
            <w:r w:rsidRPr="00555EE5">
              <w:t xml:space="preserve"> Australia for 12</w:t>
            </w:r>
            <w:r>
              <w:t> </w:t>
            </w:r>
            <w:r w:rsidRPr="00555EE5">
              <w:t>months or more over a 16</w:t>
            </w:r>
            <w:r w:rsidR="00050D25">
              <w:noBreakHyphen/>
            </w:r>
            <w:r w:rsidRPr="00555EE5">
              <w:t>month period. Preliminary ABS estimates, which are published 6 months</w:t>
            </w:r>
            <w:r>
              <w:t xml:space="preserve"> after the reference period</w:t>
            </w:r>
            <w:r w:rsidRPr="00555EE5">
              <w:t xml:space="preserve">, are based on </w:t>
            </w:r>
            <w:r w:rsidR="00EA4E85">
              <w:t xml:space="preserve">traveller behaviour from </w:t>
            </w:r>
            <w:r w:rsidR="001D212E">
              <w:t>an</w:t>
            </w:r>
            <w:r w:rsidR="00EA4E85">
              <w:t xml:space="preserve"> earlier</w:t>
            </w:r>
            <w:r w:rsidR="001D212E">
              <w:t xml:space="preserve"> period</w:t>
            </w:r>
            <w:r>
              <w:t xml:space="preserve"> and </w:t>
            </w:r>
            <w:r w:rsidRPr="00555EE5">
              <w:t xml:space="preserve">revised each quarter until the </w:t>
            </w:r>
            <w:proofErr w:type="gramStart"/>
            <w:r w:rsidRPr="00555EE5">
              <w:t>final outcome</w:t>
            </w:r>
            <w:proofErr w:type="gramEnd"/>
            <w:r w:rsidRPr="00555EE5">
              <w:t xml:space="preserve"> is known. </w:t>
            </w:r>
            <w:r>
              <w:t>As the ABS face</w:t>
            </w:r>
            <w:r w:rsidR="008B4167">
              <w:t>s</w:t>
            </w:r>
            <w:r>
              <w:t xml:space="preserve"> similar challenges in understanding and predicting behaviour post</w:t>
            </w:r>
            <w:r w:rsidR="00050D25">
              <w:noBreakHyphen/>
            </w:r>
            <w:r>
              <w:t>pandemic, some e</w:t>
            </w:r>
            <w:r w:rsidRPr="00555EE5">
              <w:t>stimates in recent years have been subject to substantial revisions.</w:t>
            </w:r>
            <w:r w:rsidR="0074572F">
              <w:t xml:space="preserve"> New policy that changes travel beh</w:t>
            </w:r>
            <w:r w:rsidR="00B0106C">
              <w:t>a</w:t>
            </w:r>
            <w:r w:rsidR="0074572F">
              <w:t xml:space="preserve">viour and migration patterns may also </w:t>
            </w:r>
            <w:r w:rsidR="00B0106C">
              <w:t>result in</w:t>
            </w:r>
            <w:r w:rsidR="0074572F">
              <w:t xml:space="preserve"> more revisions to overseas migration estimates. As the ABS</w:t>
            </w:r>
            <w:r w:rsidR="00050D25">
              <w:t>’</w:t>
            </w:r>
            <w:r w:rsidR="0074572F">
              <w:t xml:space="preserve">s preliminary estimates are modelled on </w:t>
            </w:r>
            <w:r w:rsidR="00EA4E85">
              <w:t>previous traveller</w:t>
            </w:r>
            <w:r w:rsidR="0074572F">
              <w:t xml:space="preserve"> behaviour, they </w:t>
            </w:r>
            <w:r w:rsidR="00EA4E85">
              <w:t>cannot</w:t>
            </w:r>
            <w:r w:rsidR="0074572F">
              <w:t xml:space="preserve"> immediately capture </w:t>
            </w:r>
            <w:r w:rsidR="00EA4E85">
              <w:t>behaviour</w:t>
            </w:r>
            <w:r w:rsidR="00DD5793">
              <w:t>al</w:t>
            </w:r>
            <w:r w:rsidR="0074572F">
              <w:t xml:space="preserve"> changes.</w:t>
            </w:r>
            <w:r w:rsidR="00442AE3">
              <w:t xml:space="preserve"> </w:t>
            </w:r>
          </w:p>
          <w:p w14:paraId="14232299" w14:textId="32431E7B" w:rsidR="00B96816" w:rsidRDefault="00B96816" w:rsidP="00B96816">
            <w:pPr>
              <w:pStyle w:val="BoxText"/>
            </w:pPr>
            <w:r>
              <w:t>The NOM forecast contained in the 2023</w:t>
            </w:r>
            <w:r>
              <w:rPr>
                <w:rStyle w:val="Hyperlink"/>
                <w:color w:val="auto"/>
              </w:rPr>
              <w:t>–</w:t>
            </w:r>
            <w:r>
              <w:t>24 Budget significantly underestimated the post</w:t>
            </w:r>
            <w:r w:rsidR="00050D25">
              <w:noBreakHyphen/>
            </w:r>
            <w:r>
              <w:t>pandemic surge in NOM in 2022</w:t>
            </w:r>
            <w:r>
              <w:rPr>
                <w:rStyle w:val="Hyperlink"/>
                <w:color w:val="auto"/>
              </w:rPr>
              <w:t>–</w:t>
            </w:r>
            <w:r>
              <w:t>23. The Centre</w:t>
            </w:r>
            <w:r w:rsidR="00050D25">
              <w:t>’</w:t>
            </w:r>
            <w:r>
              <w:t>s forecast for NOM was 400,000 but the most recent ABS estimate for 2022</w:t>
            </w:r>
            <w:r>
              <w:rPr>
                <w:rStyle w:val="Hyperlink"/>
                <w:color w:val="auto"/>
              </w:rPr>
              <w:t>–</w:t>
            </w:r>
            <w:r>
              <w:t>23 was 53</w:t>
            </w:r>
            <w:r w:rsidRPr="00572A9A">
              <w:t>7</w:t>
            </w:r>
            <w:r>
              <w:t>,000, which represents a 26</w:t>
            </w:r>
            <w:r w:rsidR="00FF207F">
              <w:t> per cent</w:t>
            </w:r>
            <w:r>
              <w:t xml:space="preserve"> forecast error. Like Australia, </w:t>
            </w:r>
            <w:r w:rsidRPr="00555EE5">
              <w:t xml:space="preserve">the </w:t>
            </w:r>
            <w:r w:rsidR="008050CD">
              <w:t>UK</w:t>
            </w:r>
            <w:r w:rsidRPr="00555EE5">
              <w:t xml:space="preserve"> and New Zealand substantially underestimat</w:t>
            </w:r>
            <w:r>
              <w:t>ed</w:t>
            </w:r>
            <w:r w:rsidRPr="00555EE5">
              <w:t xml:space="preserve"> post</w:t>
            </w:r>
            <w:r w:rsidR="00050D25">
              <w:noBreakHyphen/>
            </w:r>
            <w:r w:rsidRPr="00555EE5">
              <w:t xml:space="preserve">pandemic </w:t>
            </w:r>
            <w:r>
              <w:t>increases</w:t>
            </w:r>
            <w:r w:rsidRPr="00555EE5">
              <w:t xml:space="preserve"> in NOM. In the UK, the March 2023 NOM forecast for the year ending 30 June 2023 was 311,000, </w:t>
            </w:r>
            <w:r>
              <w:t>or about</w:t>
            </w:r>
            <w:r w:rsidRPr="00555EE5">
              <w:t xml:space="preserve"> </w:t>
            </w:r>
            <w:r w:rsidR="00C76F00">
              <w:t>66</w:t>
            </w:r>
            <w:r w:rsidR="00FF207F">
              <w:t> per cent</w:t>
            </w:r>
            <w:r w:rsidRPr="00555EE5">
              <w:t xml:space="preserve"> lower than the latest estimate of </w:t>
            </w:r>
            <w:r w:rsidR="00C76F00">
              <w:t>906</w:t>
            </w:r>
            <w:r w:rsidRPr="00555EE5">
              <w:t>,000 for that period.</w:t>
            </w:r>
            <w:r w:rsidR="00A8563F">
              <w:rPr>
                <w:rStyle w:val="FootnoteReference"/>
              </w:rPr>
              <w:footnoteReference w:id="61"/>
            </w:r>
            <w:r w:rsidRPr="00555EE5">
              <w:t xml:space="preserve"> In New Zealand, the 2023 Budget (May</w:t>
            </w:r>
            <w:r>
              <w:t xml:space="preserve"> 20</w:t>
            </w:r>
            <w:r w:rsidRPr="00555EE5">
              <w:t>23) NOM forecast for the year ending 30</w:t>
            </w:r>
            <w:r>
              <w:t> </w:t>
            </w:r>
            <w:r w:rsidRPr="00555EE5">
              <w:t>June 2023 was 63,000, approximately 42</w:t>
            </w:r>
            <w:r w:rsidR="00FF207F">
              <w:t> per cent</w:t>
            </w:r>
            <w:r w:rsidRPr="00555EE5">
              <w:t xml:space="preserve"> lower than the latest estimate of 10</w:t>
            </w:r>
            <w:r w:rsidR="00E001E9">
              <w:t>8</w:t>
            </w:r>
            <w:r>
              <w:t>,000</w:t>
            </w:r>
            <w:r w:rsidRPr="00555EE5">
              <w:t>.</w:t>
            </w:r>
            <w:r w:rsidR="00B47E8B">
              <w:rPr>
                <w:rStyle w:val="FootnoteReference"/>
              </w:rPr>
              <w:footnoteReference w:id="62"/>
            </w:r>
          </w:p>
          <w:p w14:paraId="3D1C87E0" w14:textId="0EBCCDC1" w:rsidR="00B96816" w:rsidRDefault="00B96816" w:rsidP="00B96816">
            <w:pPr>
              <w:pStyle w:val="BoxText"/>
            </w:pPr>
            <w:r>
              <w:t>The Centre for Population is making changes to improve its NOM forecasts. The Centre has been working with the Department of Home Affairs to make better use of administrative data and develop indicators of migration which are more stable than the traditional methods. This includes using:</w:t>
            </w:r>
          </w:p>
          <w:p w14:paraId="0A957924" w14:textId="5B70BD80" w:rsidR="00B96816" w:rsidRDefault="00B96816" w:rsidP="0070497D">
            <w:pPr>
              <w:pStyle w:val="BoxBullet"/>
            </w:pPr>
            <w:r>
              <w:t>unit record data to better identify when an overseas arrival (border movement) is likely to be a new migrant arrival, as opposed to a migrant who is returning from a short</w:t>
            </w:r>
            <w:r w:rsidR="00050D25">
              <w:noBreakHyphen/>
            </w:r>
            <w:r>
              <w:t xml:space="preserve">term overseas </w:t>
            </w:r>
            <w:proofErr w:type="gramStart"/>
            <w:r>
              <w:t>trip</w:t>
            </w:r>
            <w:proofErr w:type="gramEnd"/>
          </w:p>
          <w:p w14:paraId="2355089C" w14:textId="7A660D0D" w:rsidR="00B96816" w:rsidRDefault="00B96816" w:rsidP="0070497D">
            <w:pPr>
              <w:pStyle w:val="BoxBullet"/>
            </w:pPr>
            <w:r>
              <w:t>unit record data to link historical migrant arrivals to subsequent departures, a step towards develop</w:t>
            </w:r>
            <w:r w:rsidR="00911ABF">
              <w:t>ing</w:t>
            </w:r>
            <w:r>
              <w:t xml:space="preserve"> a model which will link arrivals to departures and help predict when migrants will </w:t>
            </w:r>
            <w:proofErr w:type="gramStart"/>
            <w:r>
              <w:t>depart</w:t>
            </w:r>
            <w:proofErr w:type="gramEnd"/>
          </w:p>
          <w:p w14:paraId="10381ACC" w14:textId="380F97D8" w:rsidR="00B96816" w:rsidRDefault="00B96816" w:rsidP="0070497D">
            <w:pPr>
              <w:pStyle w:val="BoxBullet"/>
            </w:pPr>
            <w:r>
              <w:t xml:space="preserve">data on visa transitions to better understand the pathways migrants take while </w:t>
            </w:r>
            <w:proofErr w:type="gramStart"/>
            <w:r>
              <w:t>onshore</w:t>
            </w:r>
            <w:proofErr w:type="gramEnd"/>
          </w:p>
          <w:p w14:paraId="5368BA95" w14:textId="77777777" w:rsidR="00B96816" w:rsidRDefault="00B96816" w:rsidP="0070497D">
            <w:pPr>
              <w:pStyle w:val="BoxBullet"/>
            </w:pPr>
            <w:r>
              <w:t>differences in unemployment rates between Australia and New Zealand to better predict New Zealand citizen NOM.</w:t>
            </w:r>
          </w:p>
          <w:p w14:paraId="73CAC1FD" w14:textId="77777777" w:rsidR="00B96816" w:rsidRDefault="00B96816" w:rsidP="00B96816">
            <w:pPr>
              <w:pStyle w:val="BoxText"/>
            </w:pPr>
            <w:r>
              <w:t>The Centre has also started using Department of Education data on international student commencements and enrolments to help monitor the outlook for student migrants.</w:t>
            </w:r>
          </w:p>
          <w:p w14:paraId="3554BEDB" w14:textId="679B8FA9" w:rsidR="00D7273B" w:rsidRPr="00B344C9" w:rsidRDefault="00B96816" w:rsidP="00B96816">
            <w:pPr>
              <w:pStyle w:val="BoxText"/>
            </w:pPr>
            <w:r>
              <w:t>Throughout 2024, the Centre has consult</w:t>
            </w:r>
            <w:r w:rsidR="00A03127">
              <w:t>ed</w:t>
            </w:r>
            <w:r>
              <w:t xml:space="preserve"> with experts in Australia and internationally, to investigate NOM modelling and forecasting techniques used by others. This includes consulting with experts in New Zealand, the UK and Canada about their own challenges in NOM forecasting post</w:t>
            </w:r>
            <w:r w:rsidR="00050D25">
              <w:noBreakHyphen/>
            </w:r>
            <w:r>
              <w:t>pandemic, and how they are working to improve their forecasts. The Centre has also introduced a formalised peer review process with migration experts across government to promote better cross</w:t>
            </w:r>
            <w:r w:rsidR="00050D25">
              <w:noBreakHyphen/>
            </w:r>
            <w:r>
              <w:t xml:space="preserve">government collaboration on NOM. </w:t>
            </w:r>
            <w:r>
              <w:rPr>
                <w:rFonts w:cstheme="minorBidi"/>
                <w:b/>
                <w:smallCaps/>
                <w:lang w:eastAsia="en-US"/>
              </w:rPr>
              <w:br w:type="page"/>
            </w:r>
          </w:p>
        </w:tc>
      </w:tr>
    </w:tbl>
    <w:p w14:paraId="724C3A17" w14:textId="197061A0" w:rsidR="00D7273B" w:rsidRDefault="00D7273B" w:rsidP="00654915">
      <w:pPr>
        <w:pStyle w:val="ChartMainHeading"/>
      </w:pPr>
      <w:bookmarkStart w:id="289" w:name="_Ref181350937"/>
      <w:r>
        <w:lastRenderedPageBreak/>
        <w:t xml:space="preserve">Difference between </w:t>
      </w:r>
      <w:r w:rsidR="00E84835">
        <w:t>NOM</w:t>
      </w:r>
      <w:r>
        <w:t xml:space="preserve"> forecast and outcome</w:t>
      </w:r>
      <w:bookmarkEnd w:id="289"/>
      <w:r>
        <w:t xml:space="preserve"> </w:t>
      </w:r>
    </w:p>
    <w:p w14:paraId="6742D01C" w14:textId="74F031D8" w:rsidR="0070497D" w:rsidRPr="0070497D" w:rsidRDefault="00153B89" w:rsidP="0070497D">
      <w:pPr>
        <w:pStyle w:val="ChartGraphic"/>
      </w:pPr>
      <w:r w:rsidRPr="00153B89">
        <w:t xml:space="preserve"> </w:t>
      </w:r>
      <w:r w:rsidR="00E045C6" w:rsidRPr="00E045C6">
        <w:rPr>
          <w:noProof/>
        </w:rPr>
        <w:drawing>
          <wp:inline distT="0" distB="0" distL="0" distR="0" wp14:anchorId="37042876" wp14:editId="4344ECB8">
            <wp:extent cx="5581015" cy="2872740"/>
            <wp:effectExtent l="0" t="0" r="635" b="0"/>
            <wp:docPr id="188296959" name="Picture 188296959" descr="This chart shows the percentage difference between previous population statements’ net overseas migration forecasts for 2019–20 to 2022–23 and the outcome. The largest differences were in 2021–22 and 2022–23, which were significantly underestimated in the 2020, 2021 and 2022 Population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959" name="Picture 188296959" descr="This chart shows the percentage difference between previous population statements’ net overseas migration forecasts for 2019–20 to 2022–23 and the outcome. The largest differences were in 2021–22 and 2022–23, which were significantly underestimated in the 2020, 2021 and 2022 Population Statements.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015" cy="2872740"/>
                    </a:xfrm>
                    <a:prstGeom prst="rect">
                      <a:avLst/>
                    </a:prstGeom>
                    <a:noFill/>
                    <a:ln>
                      <a:noFill/>
                    </a:ln>
                  </pic:spPr>
                </pic:pic>
              </a:graphicData>
            </a:graphic>
          </wp:inline>
        </w:drawing>
      </w:r>
    </w:p>
    <w:p w14:paraId="630888E5" w14:textId="77777777" w:rsidR="004F78E8" w:rsidRDefault="004F78E8" w:rsidP="004F78E8">
      <w:pPr>
        <w:pStyle w:val="ChartorTableNote"/>
      </w:pPr>
      <w:r w:rsidRPr="00ED5B08">
        <w:t>Note:</w:t>
      </w:r>
      <w:r>
        <w:tab/>
      </w:r>
      <w:r w:rsidRPr="00ED5B08">
        <w:t xml:space="preserve">Positive numbers indicate an </w:t>
      </w:r>
      <w:r>
        <w:t>overestimation</w:t>
      </w:r>
      <w:r w:rsidRPr="00ED5B08">
        <w:t xml:space="preserve"> while negative numbers indicate an </w:t>
      </w:r>
      <w:r>
        <w:t>under</w:t>
      </w:r>
      <w:r w:rsidRPr="00ED5B08">
        <w:t>estimation.</w:t>
      </w:r>
    </w:p>
    <w:p w14:paraId="715D677C" w14:textId="442CB246" w:rsidR="00D7273B" w:rsidRDefault="00D7273B" w:rsidP="00D7273B">
      <w:pPr>
        <w:pStyle w:val="Source"/>
        <w:rPr>
          <w:b/>
          <w:bCs/>
        </w:rPr>
      </w:pPr>
      <w:r w:rsidRPr="00DA7BCF">
        <w:t>Source:</w:t>
      </w:r>
      <w:r w:rsidRPr="00DA7BCF">
        <w:tab/>
        <w:t xml:space="preserve">ABS, </w:t>
      </w:r>
      <w:r w:rsidR="009155F8" w:rsidRPr="00997375">
        <w:rPr>
          <w:rStyle w:val="SubtleEmphasis"/>
        </w:rPr>
        <w:t>National, state and territory population, March 2024</w:t>
      </w:r>
      <w:r>
        <w:t xml:space="preserve">; and </w:t>
      </w:r>
      <w:r w:rsidRPr="00326F65">
        <w:t>Centre</w:t>
      </w:r>
      <w:r w:rsidRPr="00DA7BCF">
        <w:t xml:space="preserve"> for Population.</w:t>
      </w:r>
    </w:p>
    <w:p w14:paraId="3DE07DC8" w14:textId="77777777" w:rsidR="0070497D" w:rsidRDefault="0070497D" w:rsidP="0070497D">
      <w:pPr>
        <w:pStyle w:val="SingleParagraph"/>
      </w:pPr>
      <w:bookmarkStart w:id="290" w:name="_Ref181351163"/>
    </w:p>
    <w:p w14:paraId="2757E5E0" w14:textId="4CC4A187" w:rsidR="00D7273B" w:rsidRDefault="00D7273B" w:rsidP="00654915">
      <w:pPr>
        <w:pStyle w:val="ChartMainHeading"/>
      </w:pPr>
      <w:bookmarkStart w:id="291" w:name="_Ref183183933"/>
      <w:r w:rsidRPr="7B6B904E">
        <w:t xml:space="preserve">Difference between </w:t>
      </w:r>
      <w:r w:rsidR="00E84835">
        <w:t>NOM</w:t>
      </w:r>
      <w:r w:rsidRPr="7B6B904E">
        <w:t xml:space="preserve"> forecast and outcome, </w:t>
      </w:r>
      <w:r>
        <w:t xml:space="preserve">by visa </w:t>
      </w:r>
      <w:r w:rsidR="00F909D7">
        <w:t>group</w:t>
      </w:r>
      <w:r w:rsidRPr="7B6B904E">
        <w:t xml:space="preserve">, </w:t>
      </w:r>
      <w:r>
        <w:t>2022</w:t>
      </w:r>
      <w:r>
        <w:rPr>
          <w:rStyle w:val="Hyperlink"/>
          <w:color w:val="auto"/>
        </w:rPr>
        <w:t>–23</w:t>
      </w:r>
      <w:bookmarkEnd w:id="290"/>
      <w:bookmarkEnd w:id="291"/>
    </w:p>
    <w:p w14:paraId="721A9684" w14:textId="01C010EF" w:rsidR="00D7273B" w:rsidRPr="00B16F3E" w:rsidRDefault="00031C39" w:rsidP="00997375">
      <w:pPr>
        <w:pStyle w:val="ChartGraphic"/>
      </w:pPr>
      <w:r w:rsidRPr="00031C39">
        <w:t xml:space="preserve"> </w:t>
      </w:r>
      <w:r w:rsidRPr="00031C39">
        <w:rPr>
          <w:noProof/>
        </w:rPr>
        <w:drawing>
          <wp:inline distT="0" distB="0" distL="0" distR="0" wp14:anchorId="3BCF79A2" wp14:editId="7CF4E06E">
            <wp:extent cx="5581650" cy="2886075"/>
            <wp:effectExtent l="0" t="0" r="0" b="9525"/>
            <wp:docPr id="578155571" name="Picture 9" descr="This chart shows the difference between previous population statements’ net overseas migration forecasts for 2022–23 and the outcome, by major visa group. The largest differences were for students, followed by all other temporary visas grouped together, which were both significantly underestimated in the 2020, 2021 and 2022 Population Statements. Australian citizens were overestimated in previous population statements. There were smaller differences for New Zealand citizens and permanent v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55571" name="Picture 9" descr="This chart shows the difference between previous population statements’ net overseas migration forecasts for 2022–23 and the outcome, by major visa group. The largest differences were for students, followed by all other temporary visas grouped together, which were both significantly underestimated in the 2020, 2021 and 2022 Population Statements. Australian citizens were overestimated in previous population statements. There were smaller differences for New Zealand citizens and permanent vis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010D457C" w14:textId="77777777" w:rsidR="00D7273B" w:rsidRDefault="00D7273B" w:rsidP="0070497D">
      <w:pPr>
        <w:pStyle w:val="ChartorTableNote"/>
      </w:pPr>
      <w:r w:rsidRPr="00ED5B08">
        <w:t>Note:</w:t>
      </w:r>
      <w:r>
        <w:tab/>
      </w:r>
      <w:r w:rsidRPr="00ED5B08">
        <w:t xml:space="preserve">Positive numbers indicate an </w:t>
      </w:r>
      <w:r>
        <w:t>overestimation</w:t>
      </w:r>
      <w:r w:rsidRPr="00ED5B08">
        <w:t xml:space="preserve"> while negative numbers indicate an </w:t>
      </w:r>
      <w:r>
        <w:t>under</w:t>
      </w:r>
      <w:r w:rsidRPr="00ED5B08">
        <w:t>estimation.</w:t>
      </w:r>
    </w:p>
    <w:p w14:paraId="752F5F84" w14:textId="4A2EC9D1" w:rsidR="00D7273B" w:rsidRDefault="00D7273B" w:rsidP="00D7273B">
      <w:pPr>
        <w:pStyle w:val="Source"/>
      </w:pPr>
      <w:r w:rsidRPr="00ED5B08">
        <w:t>Source:</w:t>
      </w:r>
      <w:r>
        <w:tab/>
        <w:t>ABS</w:t>
      </w:r>
      <w:r w:rsidRPr="7B6B904E">
        <w:t xml:space="preserve">, </w:t>
      </w:r>
      <w:r w:rsidR="009155F8" w:rsidRPr="00997375">
        <w:rPr>
          <w:rStyle w:val="SubtleEmphasis"/>
        </w:rPr>
        <w:t>National, state and territory population, March 2024</w:t>
      </w:r>
      <w:r>
        <w:t>;</w:t>
      </w:r>
      <w:r w:rsidRPr="00ED5B08">
        <w:t xml:space="preserve"> and Centre for Population.</w:t>
      </w:r>
      <w:r w:rsidR="001C42A5">
        <w:t xml:space="preserve"> </w:t>
      </w:r>
    </w:p>
    <w:p w14:paraId="412C88F0" w14:textId="77777777" w:rsidR="0070497D" w:rsidRDefault="0070497D" w:rsidP="00997375">
      <w:pPr>
        <w:pStyle w:val="SingleParagraph"/>
        <w:rPr>
          <w:color w:val="002C47" w:themeColor="accent1"/>
          <w:spacing w:val="15"/>
        </w:rPr>
      </w:pPr>
      <w:r>
        <w:br w:type="page"/>
      </w:r>
    </w:p>
    <w:p w14:paraId="35703102" w14:textId="375B35D2" w:rsidR="00D7273B" w:rsidRDefault="00D7273B" w:rsidP="00D7273B">
      <w:pPr>
        <w:pStyle w:val="Heading3Numbered"/>
      </w:pPr>
      <w:r>
        <w:lastRenderedPageBreak/>
        <w:t>Natural increase</w:t>
      </w:r>
    </w:p>
    <w:p w14:paraId="2C14E7E1" w14:textId="1182EAF1" w:rsidR="00D7273B" w:rsidRDefault="00D7273B" w:rsidP="00997375">
      <w:r>
        <w:t xml:space="preserve">Although natural increase forecasts were accurate for most years, all </w:t>
      </w:r>
      <w:r w:rsidR="008A1B65">
        <w:t>4</w:t>
      </w:r>
      <w:r w:rsidR="00C460C3">
        <w:t xml:space="preserve"> previous</w:t>
      </w:r>
      <w:r w:rsidR="008A1B65">
        <w:t xml:space="preserve"> p</w:t>
      </w:r>
      <w:r>
        <w:t xml:space="preserve">opulation </w:t>
      </w:r>
      <w:r w:rsidR="008A1B65">
        <w:t>s</w:t>
      </w:r>
      <w:r>
        <w:t>tatements overestimated natural increase in 2022</w:t>
      </w:r>
      <w:r>
        <w:rPr>
          <w:rStyle w:val="Hyperlink"/>
          <w:color w:val="auto"/>
        </w:rPr>
        <w:t>–</w:t>
      </w:r>
      <w:r>
        <w:t xml:space="preserve">23, with fewer births and more deaths </w:t>
      </w:r>
      <w:r w:rsidR="00231658">
        <w:t>than</w:t>
      </w:r>
      <w:r w:rsidR="009D26FF">
        <w:t xml:space="preserve"> </w:t>
      </w:r>
      <w:r w:rsidR="00231658">
        <w:t xml:space="preserve">expected </w:t>
      </w:r>
      <w:r>
        <w:t>(</w:t>
      </w:r>
      <w:r>
        <w:fldChar w:fldCharType="begin"/>
      </w:r>
      <w:r>
        <w:instrText xml:space="preserve"> REF _Ref181350048 \r \h </w:instrText>
      </w:r>
      <w:r w:rsidR="00997375">
        <w:instrText xml:space="preserve"> \* MERGEFORMAT </w:instrText>
      </w:r>
      <w:r>
        <w:fldChar w:fldCharType="separate"/>
      </w:r>
      <w:r w:rsidR="00050D25">
        <w:t>Chart 58</w:t>
      </w:r>
      <w:r>
        <w:fldChar w:fldCharType="end"/>
      </w:r>
      <w:r>
        <w:t>).</w:t>
      </w:r>
    </w:p>
    <w:p w14:paraId="39106786" w14:textId="364A7180" w:rsidR="00D7273B" w:rsidRDefault="00D7273B" w:rsidP="00997375">
      <w:r>
        <w:t xml:space="preserve">All </w:t>
      </w:r>
      <w:r w:rsidR="008A1B65">
        <w:t>s</w:t>
      </w:r>
      <w:r>
        <w:t>tatements overestimated 2022</w:t>
      </w:r>
      <w:r>
        <w:rPr>
          <w:rStyle w:val="Hyperlink"/>
          <w:color w:val="auto"/>
        </w:rPr>
        <w:t>–</w:t>
      </w:r>
      <w:r>
        <w:t xml:space="preserve">23 births by between 11,000 and 19,000, when fertility rates fell to a record low. As demonstrated in </w:t>
      </w:r>
      <w:r>
        <w:fldChar w:fldCharType="begin"/>
      </w:r>
      <w:r>
        <w:instrText xml:space="preserve"> REF _Ref179371002 \r \h </w:instrText>
      </w:r>
      <w:r w:rsidR="00997375">
        <w:instrText xml:space="preserve"> \* MERGEFORMAT </w:instrText>
      </w:r>
      <w:r>
        <w:fldChar w:fldCharType="separate"/>
      </w:r>
      <w:r w:rsidR="00050D25">
        <w:t>Box 11</w:t>
      </w:r>
      <w:r>
        <w:fldChar w:fldCharType="end"/>
      </w:r>
      <w:r>
        <w:t>, adopting the fertility leading indicator would have largely avoided the forecast miss in the 2023</w:t>
      </w:r>
      <w:r w:rsidR="00961F04">
        <w:t xml:space="preserve"> Population</w:t>
      </w:r>
      <w:r>
        <w:t xml:space="preserve"> Statement and </w:t>
      </w:r>
      <w:r w:rsidR="00D328D2">
        <w:t>substantially</w:t>
      </w:r>
      <w:r>
        <w:t xml:space="preserve"> reduced the miss in the 2022 Statement.</w:t>
      </w:r>
    </w:p>
    <w:p w14:paraId="45604FC7" w14:textId="05A73F13" w:rsidR="00D7273B" w:rsidRDefault="00D7273B" w:rsidP="00997375">
      <w:r>
        <w:t xml:space="preserve">The first </w:t>
      </w:r>
      <w:r w:rsidR="008A1B65">
        <w:t>3 p</w:t>
      </w:r>
      <w:r>
        <w:t xml:space="preserve">opulation </w:t>
      </w:r>
      <w:r w:rsidR="008A1B65">
        <w:t>s</w:t>
      </w:r>
      <w:r>
        <w:t>tatements underestimated the number of deaths in 2022</w:t>
      </w:r>
      <w:r>
        <w:rPr>
          <w:rStyle w:val="Hyperlink"/>
          <w:color w:val="auto"/>
        </w:rPr>
        <w:t>–</w:t>
      </w:r>
      <w:r>
        <w:t>23, when COVID</w:t>
      </w:r>
      <w:r w:rsidR="00050D25">
        <w:noBreakHyphen/>
      </w:r>
      <w:r>
        <w:t>19</w:t>
      </w:r>
      <w:r w:rsidR="00050D25">
        <w:t>’</w:t>
      </w:r>
      <w:r>
        <w:t>s impact on mortality peaked (by 10,000, 11,000 and 4,000 respectively). This reflects the significant uncertainty about COVID</w:t>
      </w:r>
      <w:r w:rsidR="00050D25">
        <w:noBreakHyphen/>
      </w:r>
      <w:r>
        <w:t>19, prior to t</w:t>
      </w:r>
      <w:r w:rsidRPr="0024434D">
        <w:t xml:space="preserve">he </w:t>
      </w:r>
      <w:r>
        <w:t>virus becoming widespread. The 2023 Statement slightly overestimated deaths (by 500), but this was based on three</w:t>
      </w:r>
      <w:r w:rsidR="00BC4BC0">
        <w:t xml:space="preserve"> </w:t>
      </w:r>
      <w:r>
        <w:t>quarters of actual data and a full year of provisional data.</w:t>
      </w:r>
      <w:r w:rsidDel="00C87B6A">
        <w:t xml:space="preserve"> </w:t>
      </w:r>
    </w:p>
    <w:p w14:paraId="1AE165CE" w14:textId="400DE29E" w:rsidR="00D7273B" w:rsidRDefault="00D7273B" w:rsidP="00654915">
      <w:pPr>
        <w:pStyle w:val="ChartMainHeading"/>
      </w:pPr>
      <w:bookmarkStart w:id="292" w:name="_Ref179881337"/>
      <w:bookmarkStart w:id="293" w:name="_Ref181350048"/>
      <w:r>
        <w:t>Difference between natural increase forecast and outcome</w:t>
      </w:r>
      <w:bookmarkEnd w:id="292"/>
      <w:bookmarkEnd w:id="293"/>
    </w:p>
    <w:p w14:paraId="03FD01C1" w14:textId="64716C31" w:rsidR="0070497D" w:rsidRDefault="00D46EE8" w:rsidP="00997375">
      <w:pPr>
        <w:pStyle w:val="ChartGraphic"/>
      </w:pPr>
      <w:r w:rsidRPr="00D46EE8">
        <w:t xml:space="preserve"> </w:t>
      </w:r>
      <w:r w:rsidR="00ED1C4F" w:rsidRPr="00997375">
        <w:rPr>
          <w:noProof/>
        </w:rPr>
        <w:drawing>
          <wp:inline distT="0" distB="0" distL="0" distR="0" wp14:anchorId="0CB4C51B" wp14:editId="2D62CEB3">
            <wp:extent cx="5607050" cy="2872740"/>
            <wp:effectExtent l="0" t="0" r="0" b="0"/>
            <wp:docPr id="1689113861" name="Picture 1689113861" descr="This chart shows natural increase forecasts for the population statements released between 2020 and 2023 and shows the percentage differences from actuals for the years 2019–20 to 2022–23. Natural increase forecasts were accurate for most years, but all four previous Statements overestimated natural increase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3861" name="Picture 1689113861" descr="This chart shows natural increase forecasts for the population statements released between 2020 and 2023 and shows the percentage differences from actuals for the years 2019–20 to 2022–23. Natural increase forecasts were accurate for most years, but all four previous Statements overestimated natural increase in 2022–23.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7050" cy="2872740"/>
                    </a:xfrm>
                    <a:prstGeom prst="rect">
                      <a:avLst/>
                    </a:prstGeom>
                    <a:noFill/>
                    <a:ln>
                      <a:noFill/>
                    </a:ln>
                  </pic:spPr>
                </pic:pic>
              </a:graphicData>
            </a:graphic>
          </wp:inline>
        </w:drawing>
      </w:r>
    </w:p>
    <w:p w14:paraId="540B4183" w14:textId="02DFE80D" w:rsidR="00D7273B" w:rsidRDefault="00D7273B" w:rsidP="0070497D">
      <w:pPr>
        <w:pStyle w:val="Source"/>
        <w:rPr>
          <w:b/>
        </w:rPr>
      </w:pPr>
      <w:r w:rsidRPr="00DA7BCF">
        <w:t>Source:</w:t>
      </w:r>
      <w:r w:rsidRPr="00DA7BCF">
        <w:tab/>
        <w:t xml:space="preserve">ABS, </w:t>
      </w:r>
      <w:r w:rsidR="009155F8" w:rsidRPr="00997375">
        <w:rPr>
          <w:rStyle w:val="SubtleEmphasis"/>
        </w:rPr>
        <w:t>National, state and territory population, March 2024</w:t>
      </w:r>
      <w:r>
        <w:t xml:space="preserve">; and </w:t>
      </w:r>
      <w:r w:rsidRPr="00326F65">
        <w:t>Centre</w:t>
      </w:r>
      <w:r w:rsidRPr="00DA7BCF">
        <w:t xml:space="preserve"> for Population.</w:t>
      </w:r>
    </w:p>
    <w:p w14:paraId="4EDD28D6" w14:textId="77777777" w:rsidR="00D7273B" w:rsidRDefault="00D7273B" w:rsidP="00997375">
      <w:pPr>
        <w:pStyle w:val="SingleParagraph"/>
        <w:rPr>
          <w:sz w:val="18"/>
          <w:bdr w:val="none" w:sz="0" w:space="0" w:color="auto" w:frame="1"/>
        </w:rPr>
      </w:pPr>
      <w:r>
        <w:br w:type="page"/>
      </w:r>
    </w:p>
    <w:p w14:paraId="15748950" w14:textId="56E10F37" w:rsidR="00D7273B" w:rsidRDefault="00D7273B" w:rsidP="00D7273B">
      <w:pPr>
        <w:pStyle w:val="Heading3Numbered"/>
      </w:pPr>
      <w:r w:rsidRPr="7B6B904E">
        <w:lastRenderedPageBreak/>
        <w:t xml:space="preserve">State and territory </w:t>
      </w:r>
      <w:r>
        <w:t>projections</w:t>
      </w:r>
    </w:p>
    <w:p w14:paraId="32C4874C" w14:textId="1CE90F7A" w:rsidR="00D7273B" w:rsidRDefault="00D7273B" w:rsidP="00D7273B">
      <w:r>
        <w:t>The past performance of the Centre</w:t>
      </w:r>
      <w:r w:rsidR="00050D25">
        <w:t>’</w:t>
      </w:r>
      <w:r>
        <w:t>s state and territory projections has been mixed (</w:t>
      </w:r>
      <w:r>
        <w:fldChar w:fldCharType="begin"/>
      </w:r>
      <w:r>
        <w:instrText xml:space="preserve"> REF _Ref180497267 \r \h </w:instrText>
      </w:r>
      <w:r>
        <w:fldChar w:fldCharType="separate"/>
      </w:r>
      <w:r w:rsidR="00050D25">
        <w:t>Chart 59</w:t>
      </w:r>
      <w:r>
        <w:fldChar w:fldCharType="end"/>
      </w:r>
      <w:r>
        <w:t xml:space="preserve">). The population revisions resulting from the 2021 Census changed the base population estimates used in the 2021 Population Statement, which contributed to the large forecast errors for most states. </w:t>
      </w:r>
    </w:p>
    <w:p w14:paraId="38874228" w14:textId="57390397" w:rsidR="00D7273B" w:rsidRDefault="00D7273B" w:rsidP="00D7273B">
      <w:r>
        <w:t xml:space="preserve">In the 2022 Population Statement, there were forecast errors around </w:t>
      </w:r>
      <w:r w:rsidDel="00D21BFD">
        <w:t xml:space="preserve">1 </w:t>
      </w:r>
      <w:r>
        <w:t>to 2</w:t>
      </w:r>
      <w:r w:rsidR="00FF207F">
        <w:t> per cent</w:t>
      </w:r>
      <w:r>
        <w:t xml:space="preserve"> for most states and territories. The major drivers of these forecast errors</w:t>
      </w:r>
      <w:r w:rsidR="00162248">
        <w:t xml:space="preserve"> were</w:t>
      </w:r>
      <w:r>
        <w:t xml:space="preserve"> NIM and NOM.</w:t>
      </w:r>
    </w:p>
    <w:p w14:paraId="3801C050" w14:textId="2F14AAB3" w:rsidR="00D7273B" w:rsidRDefault="00D7273B" w:rsidP="00D7273B">
      <w:r>
        <w:t>The 2023 Population Statement forecasts for 2022</w:t>
      </w:r>
      <w:r>
        <w:rPr>
          <w:rStyle w:val="Hyperlink"/>
          <w:color w:val="auto"/>
        </w:rPr>
        <w:t>–</w:t>
      </w:r>
      <w:r>
        <w:t xml:space="preserve">23 align </w:t>
      </w:r>
      <w:r w:rsidR="00130B87">
        <w:t xml:space="preserve">better </w:t>
      </w:r>
      <w:r>
        <w:t>with the latest estimates, as forecasts were made with three</w:t>
      </w:r>
      <w:r w:rsidR="00961F04">
        <w:t xml:space="preserve"> </w:t>
      </w:r>
      <w:r>
        <w:t xml:space="preserve">quarters of actual data available. </w:t>
      </w:r>
    </w:p>
    <w:p w14:paraId="363B975A" w14:textId="30CDC32F" w:rsidR="00D7273B" w:rsidRDefault="00D7273B" w:rsidP="00654915">
      <w:pPr>
        <w:pStyle w:val="ChartMainHeading"/>
      </w:pPr>
      <w:bookmarkStart w:id="294" w:name="_Ref180497267"/>
      <w:r w:rsidRPr="7B6B904E">
        <w:t>Difference between population forecasts and outcome</w:t>
      </w:r>
      <w:r>
        <w:t xml:space="preserve">s, </w:t>
      </w:r>
      <w:r w:rsidRPr="7B6B904E">
        <w:t xml:space="preserve">by state, </w:t>
      </w:r>
      <w:bookmarkEnd w:id="294"/>
      <w:r w:rsidR="00A56465">
        <w:t>2022–23</w:t>
      </w:r>
    </w:p>
    <w:p w14:paraId="272A2CD1" w14:textId="60C5B6F7" w:rsidR="00D7273B" w:rsidRPr="004B625C" w:rsidRDefault="00144462" w:rsidP="00A633E1">
      <w:pPr>
        <w:pStyle w:val="ChartGraphic"/>
      </w:pPr>
      <w:r w:rsidRPr="00144462">
        <w:t xml:space="preserve"> </w:t>
      </w:r>
      <w:r w:rsidR="00E40839" w:rsidRPr="00E40839">
        <w:rPr>
          <w:noProof/>
        </w:rPr>
        <w:drawing>
          <wp:inline distT="0" distB="0" distL="0" distR="0" wp14:anchorId="5480FBC8" wp14:editId="12CE9710">
            <wp:extent cx="5589905" cy="2872740"/>
            <wp:effectExtent l="0" t="0" r="0" b="3810"/>
            <wp:docPr id="964796217" name="Picture 964796217" descr="This chart shows the percentage difference between the 2021 to 2023 Population Statement forecasts for 30 June 2023 and the population outcome, by state and territory. The 2021 Population Statement shows the biggest forecast errors, underestimating the populations of Western Australia, Tasmania, and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96217" name="Picture 964796217" descr="This chart shows the percentage difference between the 2021 to 2023 Population Statement forecasts for 30 June 2023 and the population outcome, by state and territory. The 2021 Population Statement shows the biggest forecast errors, underestimating the populations of Western Australia, Tasmania, and the Australian Capital Territory.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9905" cy="2872740"/>
                    </a:xfrm>
                    <a:prstGeom prst="rect">
                      <a:avLst/>
                    </a:prstGeom>
                    <a:noFill/>
                    <a:ln>
                      <a:noFill/>
                    </a:ln>
                  </pic:spPr>
                </pic:pic>
              </a:graphicData>
            </a:graphic>
          </wp:inline>
        </w:drawing>
      </w:r>
    </w:p>
    <w:p w14:paraId="18060E97" w14:textId="77777777" w:rsidR="00D7273B" w:rsidRPr="00626156" w:rsidRDefault="00D7273B" w:rsidP="0070497D">
      <w:pPr>
        <w:pStyle w:val="ChartorTableNote"/>
      </w:pPr>
      <w:r w:rsidRPr="00577EF6">
        <w:t>Note:</w:t>
      </w:r>
      <w:r w:rsidRPr="00626156">
        <w:tab/>
        <w:t>Positive numbers indicate an overestimation while negative numbers indicate an underestimation.</w:t>
      </w:r>
    </w:p>
    <w:p w14:paraId="3B6A8754" w14:textId="6277B386" w:rsidR="00D7273B" w:rsidRDefault="00D7273B" w:rsidP="00D7273B">
      <w:pPr>
        <w:pStyle w:val="Source"/>
      </w:pPr>
      <w:r w:rsidRPr="00626156">
        <w:t>Source:</w:t>
      </w:r>
      <w:r w:rsidRPr="00626156">
        <w:tab/>
        <w:t xml:space="preserve">ABS, </w:t>
      </w:r>
      <w:r w:rsidR="009155F8" w:rsidRPr="00997375">
        <w:rPr>
          <w:rStyle w:val="SubtleEmphasis"/>
        </w:rPr>
        <w:t>National, state and territory population, March 2024</w:t>
      </w:r>
      <w:r>
        <w:t>;</w:t>
      </w:r>
      <w:r w:rsidRPr="00626156">
        <w:t xml:space="preserve"> and Centre for Population. </w:t>
      </w:r>
    </w:p>
    <w:p w14:paraId="0935650E" w14:textId="77777777" w:rsidR="00997375" w:rsidRPr="00626156" w:rsidRDefault="00997375" w:rsidP="00997375">
      <w:pPr>
        <w:pStyle w:val="SingleParagraph"/>
      </w:pPr>
    </w:p>
    <w:p w14:paraId="00D67E81" w14:textId="55971CD9" w:rsidR="00D7273B" w:rsidRDefault="00D7273B" w:rsidP="00D7273B">
      <w:pPr>
        <w:pStyle w:val="Heading4"/>
      </w:pPr>
      <w:r>
        <w:t>State f</w:t>
      </w:r>
      <w:r w:rsidRPr="00465E6E">
        <w:t>orecast components</w:t>
      </w:r>
    </w:p>
    <w:p w14:paraId="3FBFDE4D" w14:textId="04C6A261" w:rsidR="00D7273B" w:rsidRDefault="00D7273B" w:rsidP="00D7273B">
      <w:r w:rsidRPr="00D209C9">
        <w:fldChar w:fldCharType="begin"/>
      </w:r>
      <w:r w:rsidRPr="00D209C9">
        <w:instrText xml:space="preserve"> REF _Ref180497318 \r \h </w:instrText>
      </w:r>
      <w:r>
        <w:instrText xml:space="preserve"> \* MERGEFORMAT </w:instrText>
      </w:r>
      <w:r w:rsidRPr="00D209C9">
        <w:fldChar w:fldCharType="separate"/>
      </w:r>
      <w:r w:rsidR="00050D25">
        <w:t>Chart 60</w:t>
      </w:r>
      <w:r w:rsidRPr="00D209C9">
        <w:fldChar w:fldCharType="end"/>
      </w:r>
      <w:r>
        <w:t xml:space="preserve"> shows the difference between the </w:t>
      </w:r>
      <w:r w:rsidR="00630890">
        <w:t xml:space="preserve">forecasts in the </w:t>
      </w:r>
      <w:r>
        <w:t>2022 and 2023 Statement</w:t>
      </w:r>
      <w:r w:rsidDel="00630890">
        <w:t xml:space="preserve"> </w:t>
      </w:r>
      <w:r>
        <w:t xml:space="preserve">and </w:t>
      </w:r>
      <w:r w:rsidR="00630890">
        <w:t xml:space="preserve">the </w:t>
      </w:r>
      <w:r>
        <w:t xml:space="preserve">ABS actuals for each state and territory on 30 June 2023, broken down by components of growth. </w:t>
      </w:r>
    </w:p>
    <w:p w14:paraId="3EBFF5BC" w14:textId="69E8CB4E" w:rsidR="00D7273B" w:rsidRDefault="00D7273B" w:rsidP="00D7273B">
      <w:r>
        <w:t xml:space="preserve">Underestimating </w:t>
      </w:r>
      <w:r w:rsidR="00E84835">
        <w:t>NOM</w:t>
      </w:r>
      <w:r>
        <w:t xml:space="preserve"> was the dominant contributor to forecast error for both </w:t>
      </w:r>
      <w:r w:rsidR="001A120B">
        <w:t>population statements</w:t>
      </w:r>
      <w:r>
        <w:t xml:space="preserve">. Western Australia had the largest forecast error in the 2022 Population Statement, with over 1.5 percentage points of forecast error due to </w:t>
      </w:r>
      <w:r w:rsidR="00E84835">
        <w:t>NOM</w:t>
      </w:r>
      <w:r>
        <w:t xml:space="preserve">. The only state for which the 2022 Statement did not underestimate NOM by more than 0.5 percentage points was Tasmania. </w:t>
      </w:r>
    </w:p>
    <w:p w14:paraId="6542F05B" w14:textId="22CC65CD" w:rsidR="00D7273B" w:rsidRDefault="00D7273B" w:rsidP="00D7273B">
      <w:r>
        <w:t xml:space="preserve">Net interstate migration was the second largest </w:t>
      </w:r>
      <w:r w:rsidR="00467882">
        <w:t xml:space="preserve">source </w:t>
      </w:r>
      <w:r>
        <w:t>of forecast error. It was by far the biggest driver in the smaller states of Tasmania and the Northern Territory</w:t>
      </w:r>
      <w:r w:rsidDel="0031046E">
        <w:t xml:space="preserve"> </w:t>
      </w:r>
      <w:r>
        <w:t>in the 2022 Statement and led to significant overestimates of population in those jurisdictions.</w:t>
      </w:r>
    </w:p>
    <w:p w14:paraId="540BC2B3" w14:textId="4EB8C181" w:rsidR="00D7273B" w:rsidRDefault="00D7273B" w:rsidP="00D7273B">
      <w:r>
        <w:t>Births and deaths have been a relatively small source of forecast error, although the overestimation of births in the 2023 Statement contribut</w:t>
      </w:r>
      <w:r w:rsidR="00630890">
        <w:t>ed</w:t>
      </w:r>
      <w:r>
        <w:t xml:space="preserve"> to </w:t>
      </w:r>
      <w:r w:rsidR="00713AED">
        <w:t xml:space="preserve">significant </w:t>
      </w:r>
      <w:r>
        <w:t>population overestimates in New South Wales and the Australian</w:t>
      </w:r>
      <w:r w:rsidR="001339E1">
        <w:t> </w:t>
      </w:r>
      <w:r>
        <w:t>Capital Territory. The forecast error due to births was smaller in the 2022 Statement for some of the larger states, because overestimates in 2022</w:t>
      </w:r>
      <w:r>
        <w:rPr>
          <w:rStyle w:val="Hyperlink"/>
          <w:color w:val="auto"/>
        </w:rPr>
        <w:t>–</w:t>
      </w:r>
      <w:r>
        <w:t>23 were offset by underestimates in 2021</w:t>
      </w:r>
      <w:r>
        <w:rPr>
          <w:rStyle w:val="Hyperlink"/>
          <w:color w:val="auto"/>
        </w:rPr>
        <w:t>–</w:t>
      </w:r>
      <w:r>
        <w:t>22.</w:t>
      </w:r>
    </w:p>
    <w:p w14:paraId="62393F97" w14:textId="70CB4EC4" w:rsidR="00D7273B" w:rsidRDefault="00D7273B" w:rsidP="00D7273B">
      <w:r>
        <w:lastRenderedPageBreak/>
        <w:t>For projections prior to the 2023 Population Statement, some of the forecast error is also due to subsequent ABS revisions to population outcomes following the 2021 Census.</w:t>
      </w:r>
      <w:r w:rsidR="00A80C0D">
        <w:t xml:space="preserve"> </w:t>
      </w:r>
      <w:r>
        <w:t xml:space="preserve">These errors were most prominent for the smaller states and territories in the 2022 Statement. The largest contribution was in the Northern Territory, making up 0.4 percentage points of total error, followed by the Australian Capital Territory at 0.2 percentage points and Tasmania at 0.1 percentage points. </w:t>
      </w:r>
    </w:p>
    <w:p w14:paraId="494979A4" w14:textId="36BB9BAC" w:rsidR="00D7273B" w:rsidRDefault="00D7273B" w:rsidP="00654915">
      <w:pPr>
        <w:pStyle w:val="ChartMainHeading"/>
      </w:pPr>
      <w:bookmarkStart w:id="295" w:name="_Ref180497318"/>
      <w:r>
        <w:t xml:space="preserve">Contribution of components to growth by state, difference between forecasts and outcome, </w:t>
      </w:r>
      <w:r w:rsidR="00350408">
        <w:t>2022–23</w:t>
      </w:r>
      <w:bookmarkEnd w:id="295"/>
    </w:p>
    <w:tbl>
      <w:tblPr>
        <w:tblStyle w:val="TableGrid"/>
        <w:tblW w:w="0" w:type="auto"/>
        <w:tblCellMar>
          <w:left w:w="0" w:type="dxa"/>
          <w:right w:w="0" w:type="dxa"/>
        </w:tblCellMar>
        <w:tblLook w:val="04A0" w:firstRow="1" w:lastRow="0" w:firstColumn="1" w:lastColumn="0" w:noHBand="0" w:noVBand="1"/>
      </w:tblPr>
      <w:tblGrid>
        <w:gridCol w:w="4508"/>
        <w:gridCol w:w="4508"/>
      </w:tblGrid>
      <w:tr w:rsidR="00D7273B" w14:paraId="75B5FBB5" w14:textId="77777777" w:rsidTr="00916EF2">
        <w:tc>
          <w:tcPr>
            <w:tcW w:w="4508" w:type="dxa"/>
            <w:shd w:val="clear" w:color="auto" w:fill="auto"/>
          </w:tcPr>
          <w:p w14:paraId="22CC7719" w14:textId="7B429A89" w:rsidR="00D7273B" w:rsidRPr="00997375" w:rsidRDefault="00D7273B" w:rsidP="00997375">
            <w:pPr>
              <w:pStyle w:val="ChartSecondHeading"/>
            </w:pPr>
            <w:r w:rsidRPr="00997375">
              <w:t>2022 Population Statement</w:t>
            </w:r>
          </w:p>
        </w:tc>
        <w:tc>
          <w:tcPr>
            <w:tcW w:w="4508" w:type="dxa"/>
            <w:shd w:val="clear" w:color="auto" w:fill="auto"/>
          </w:tcPr>
          <w:p w14:paraId="1901D0DA" w14:textId="77777777" w:rsidR="00D7273B" w:rsidRPr="00997375" w:rsidRDefault="00D7273B" w:rsidP="00997375">
            <w:pPr>
              <w:pStyle w:val="ChartSecondHeading"/>
            </w:pPr>
            <w:r w:rsidRPr="00997375">
              <w:t>2023 Population Statement</w:t>
            </w:r>
          </w:p>
        </w:tc>
      </w:tr>
      <w:tr w:rsidR="00D7273B" w14:paraId="4AD3C83E" w14:textId="77777777" w:rsidTr="00916EF2">
        <w:tc>
          <w:tcPr>
            <w:tcW w:w="4508" w:type="dxa"/>
            <w:shd w:val="clear" w:color="auto" w:fill="auto"/>
          </w:tcPr>
          <w:p w14:paraId="618637A7" w14:textId="560C11E5" w:rsidR="00D7273B" w:rsidRPr="00997375" w:rsidRDefault="002B33C2" w:rsidP="00997375">
            <w:pPr>
              <w:pStyle w:val="ChartGraphic"/>
            </w:pPr>
            <w:r>
              <w:rPr>
                <w:noProof/>
              </w:rPr>
              <w:t xml:space="preserve"> </w:t>
            </w:r>
            <w:r w:rsidRPr="00997375">
              <w:rPr>
                <w:noProof/>
              </w:rPr>
              <w:drawing>
                <wp:inline distT="0" distB="0" distL="0" distR="0" wp14:anchorId="18BD60F3" wp14:editId="6A868794">
                  <wp:extent cx="2800350" cy="2886075"/>
                  <wp:effectExtent l="0" t="0" r="0" b="0"/>
                  <wp:docPr id="485060073" name="Picture 485060073" descr="This chart shows the percentage difference between the forecasts in the 2022 Population Statement and the ABS actuals for each state and territory on 30 June 2023, broken down by components of growth. The 2022 Statement underestimating net overseas migration for all states. Net interstate migration was overestimated for Tasmania, the Northern Territory and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60073" name="Picture 485060073" descr="This chart shows the percentage difference between the forecasts in the 2022 Population Statement and the ABS actuals for each state and territory on 30 June 2023, broken down by components of growth. The 2022 Statement underestimating net overseas migration for all states. Net interstate migration was overestimated for Tasmania, the Northern Territory and the Australian Capital Territor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0350" cy="2886075"/>
                          </a:xfrm>
                          <a:prstGeom prst="rect">
                            <a:avLst/>
                          </a:prstGeom>
                          <a:noFill/>
                          <a:ln>
                            <a:noFill/>
                          </a:ln>
                        </pic:spPr>
                      </pic:pic>
                    </a:graphicData>
                  </a:graphic>
                </wp:inline>
              </w:drawing>
            </w:r>
            <w:r w:rsidR="00D7273B" w:rsidRPr="00997375" w:rsidDel="00F1315B">
              <w:t xml:space="preserve"> </w:t>
            </w:r>
          </w:p>
        </w:tc>
        <w:tc>
          <w:tcPr>
            <w:tcW w:w="4508" w:type="dxa"/>
            <w:shd w:val="clear" w:color="auto" w:fill="auto"/>
          </w:tcPr>
          <w:p w14:paraId="7511E6E5" w14:textId="652B9DB7" w:rsidR="00D7273B" w:rsidRPr="00997375" w:rsidRDefault="00723D74" w:rsidP="00997375">
            <w:pPr>
              <w:pStyle w:val="ChartGraphic"/>
            </w:pPr>
            <w:r>
              <w:t xml:space="preserve"> </w:t>
            </w:r>
            <w:r w:rsidRPr="00997375">
              <w:rPr>
                <w:noProof/>
              </w:rPr>
              <w:drawing>
                <wp:inline distT="0" distB="0" distL="0" distR="0" wp14:anchorId="5C09808A" wp14:editId="1E702FF7">
                  <wp:extent cx="2800350" cy="2886075"/>
                  <wp:effectExtent l="0" t="0" r="0" b="0"/>
                  <wp:docPr id="284990577" name="Picture 284990577" descr="This chart shows the percentage difference between the forecasts in the 2023 Population Statement and the ABS actuals for each state and territory on 30 June 2023, broken down by components of growth. Net overseas migration and natural increase had the largest forecast errors for all states and territories except for Tasmania. Net overseas migration was underestimated for all states except for the Australian Capital Territory, and natural increase was overestimated for all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0577" name="Picture 284990577" descr="This chart shows the percentage difference between the forecasts in the 2023 Population Statement and the ABS actuals for each state and territory on 30 June 2023, broken down by components of growth. Net overseas migration and natural increase had the largest forecast errors for all states and territories except for Tasmania. Net overseas migration was underestimated for all states except for the Australian Capital Territory, and natural increase was overestimated for all stat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0350" cy="2886075"/>
                          </a:xfrm>
                          <a:prstGeom prst="rect">
                            <a:avLst/>
                          </a:prstGeom>
                          <a:noFill/>
                          <a:ln>
                            <a:noFill/>
                          </a:ln>
                        </pic:spPr>
                      </pic:pic>
                    </a:graphicData>
                  </a:graphic>
                </wp:inline>
              </w:drawing>
            </w:r>
          </w:p>
        </w:tc>
      </w:tr>
    </w:tbl>
    <w:p w14:paraId="39B5BF7A" w14:textId="77777777" w:rsidR="00D7273B" w:rsidRPr="00DA7BCF" w:rsidRDefault="00D7273B" w:rsidP="0070497D">
      <w:pPr>
        <w:pStyle w:val="ChartorTableNote"/>
      </w:pPr>
      <w:r w:rsidRPr="00681233">
        <w:t>Note:</w:t>
      </w:r>
      <w:r w:rsidRPr="00DA7BCF">
        <w:tab/>
        <w:t>Positive numbers indicate an overestimation while negative numbers indicate an underestimation.</w:t>
      </w:r>
    </w:p>
    <w:p w14:paraId="0C7F73B4" w14:textId="71F731E6" w:rsidR="00D7273B" w:rsidRDefault="00D7273B" w:rsidP="00D7273B">
      <w:pPr>
        <w:pStyle w:val="Source"/>
      </w:pPr>
      <w:r w:rsidRPr="00DA7BCF">
        <w:t>Source:</w:t>
      </w:r>
      <w:r w:rsidRPr="00DA7BCF">
        <w:tab/>
      </w:r>
      <w:r w:rsidR="00B30C87" w:rsidRPr="00626156">
        <w:t xml:space="preserve">ABS, </w:t>
      </w:r>
      <w:r w:rsidR="00B30C87" w:rsidRPr="00997375">
        <w:rPr>
          <w:rStyle w:val="SubtleEmphasis"/>
        </w:rPr>
        <w:t>National, state and territory population, March 2024</w:t>
      </w:r>
      <w:r w:rsidR="00B30C87">
        <w:rPr>
          <w:i/>
        </w:rPr>
        <w:t xml:space="preserve">; </w:t>
      </w:r>
      <w:r w:rsidR="00B30C87" w:rsidRPr="0037128E">
        <w:rPr>
          <w:iCs/>
        </w:rPr>
        <w:t>and</w:t>
      </w:r>
      <w:r w:rsidR="008E3459">
        <w:rPr>
          <w:i/>
        </w:rPr>
        <w:t xml:space="preserve"> </w:t>
      </w:r>
      <w:r w:rsidRPr="00DA7BCF">
        <w:t>Centre for Population.</w:t>
      </w:r>
    </w:p>
    <w:p w14:paraId="148DF8FC" w14:textId="77777777" w:rsidR="00997375" w:rsidRPr="00DA7BCF" w:rsidRDefault="00997375" w:rsidP="00997375">
      <w:pPr>
        <w:pStyle w:val="SingleParagraph"/>
      </w:pPr>
    </w:p>
    <w:p w14:paraId="108685B4" w14:textId="3707CA5B" w:rsidR="00D7273B" w:rsidRDefault="00D7273B" w:rsidP="00D7273B">
      <w:pPr>
        <w:pStyle w:val="Heading3Numbered"/>
      </w:pPr>
      <w:r w:rsidRPr="7B6B904E">
        <w:t>Capital city and rest</w:t>
      </w:r>
      <w:r w:rsidR="00BD3F30">
        <w:t>-</w:t>
      </w:r>
      <w:r w:rsidRPr="7B6B904E">
        <w:t>of</w:t>
      </w:r>
      <w:r w:rsidR="00BD3F30">
        <w:t>-</w:t>
      </w:r>
      <w:r w:rsidRPr="7B6B904E">
        <w:t xml:space="preserve">state forecasts </w:t>
      </w:r>
    </w:p>
    <w:p w14:paraId="200E9658" w14:textId="3FE67A49" w:rsidR="00D7273B" w:rsidRDefault="00D7273B" w:rsidP="00D7273B">
      <w:r>
        <w:t>Forecasts in the 2021 Statement underestimated the populations of capital cities and rest</w:t>
      </w:r>
      <w:r w:rsidR="00050D25">
        <w:noBreakHyphen/>
      </w:r>
      <w:r>
        <w:t>of</w:t>
      </w:r>
      <w:r w:rsidR="00050D25">
        <w:noBreakHyphen/>
      </w:r>
      <w:r>
        <w:t>state areas in 2022</w:t>
      </w:r>
      <w:r>
        <w:rPr>
          <w:rStyle w:val="Hyperlink"/>
          <w:color w:val="auto"/>
        </w:rPr>
        <w:t>–</w:t>
      </w:r>
      <w:r>
        <w:t>23</w:t>
      </w:r>
      <w:r w:rsidDel="00B77E4B">
        <w:t xml:space="preserve"> (</w:t>
      </w:r>
      <w:r w:rsidDel="00B77E4B">
        <w:fldChar w:fldCharType="begin"/>
      </w:r>
      <w:r w:rsidDel="00B77E4B">
        <w:instrText xml:space="preserve"> REF _Ref180497382 \r \h </w:instrText>
      </w:r>
      <w:r w:rsidDel="00B77E4B">
        <w:fldChar w:fldCharType="separate"/>
      </w:r>
      <w:r w:rsidR="00050D25">
        <w:t>Chart 61</w:t>
      </w:r>
      <w:r w:rsidDel="00B77E4B">
        <w:fldChar w:fldCharType="end"/>
      </w:r>
      <w:r w:rsidDel="00B77E4B">
        <w:t>)</w:t>
      </w:r>
      <w:r>
        <w:t xml:space="preserve">. </w:t>
      </w:r>
      <w:r w:rsidR="00E84835">
        <w:t>NOM</w:t>
      </w:r>
      <w:r>
        <w:t xml:space="preserve"> was underestimated in all areas, especially capitals. ABS revisions to the population following the 2021 Census are also a significant driver of the forecast error outside of larger capital cities (where it offsets some of the NOM miss). </w:t>
      </w:r>
    </w:p>
    <w:p w14:paraId="6108DE28" w14:textId="33848921" w:rsidR="00D7273B" w:rsidRDefault="00D7273B" w:rsidP="00D7273B">
      <w:r>
        <w:t xml:space="preserve">The 2022 Statement underestimated the populations of larger states, especially their capitals. This was because the larger capitals were disproportionately impacted by the underestimation of NOM. In smaller states, the </w:t>
      </w:r>
      <w:r w:rsidR="0000587D">
        <w:t>underestimates of</w:t>
      </w:r>
      <w:r>
        <w:t xml:space="preserve"> NOM </w:t>
      </w:r>
      <w:r w:rsidR="0000587D">
        <w:t xml:space="preserve">were </w:t>
      </w:r>
      <w:r>
        <w:t xml:space="preserve">offset by overestimates of </w:t>
      </w:r>
      <w:r w:rsidR="00630890">
        <w:t>NIM</w:t>
      </w:r>
      <w:r>
        <w:t>, which led to population overestimates for rest</w:t>
      </w:r>
      <w:r w:rsidR="00050D25">
        <w:noBreakHyphen/>
      </w:r>
      <w:r>
        <w:t>of</w:t>
      </w:r>
      <w:r w:rsidR="00050D25">
        <w:noBreakHyphen/>
      </w:r>
      <w:r>
        <w:t>state areas.</w:t>
      </w:r>
    </w:p>
    <w:p w14:paraId="2C3F7F32" w14:textId="09EA54D4" w:rsidR="00D7273B" w:rsidRDefault="00D7273B" w:rsidP="00D7273B">
      <w:r>
        <w:t>The 2023 Statement was largely accurate in its first forecast year, with the largest proportional overestimate for Darwin (0.5</w:t>
      </w:r>
      <w:r w:rsidR="00FF207F">
        <w:t> per cent</w:t>
      </w:r>
      <w:r>
        <w:t>) and the largest underestimate for rest of Northern Territory (0.4</w:t>
      </w:r>
      <w:r w:rsidR="00FF207F">
        <w:t> per cent</w:t>
      </w:r>
      <w:r>
        <w:t>). While sub</w:t>
      </w:r>
      <w:r w:rsidR="00050D25">
        <w:noBreakHyphen/>
      </w:r>
      <w:r>
        <w:t>state population data is not available quarterly, the GCCSA projections are benchmarked to the state</w:t>
      </w:r>
      <w:r w:rsidR="00050D25">
        <w:noBreakHyphen/>
      </w:r>
      <w:r>
        <w:t xml:space="preserve">level projections, and so in aggregate they benefitted from the </w:t>
      </w:r>
      <w:r w:rsidDel="00C460C3">
        <w:t>three</w:t>
      </w:r>
      <w:r w:rsidR="00F22C19">
        <w:t xml:space="preserve"> </w:t>
      </w:r>
      <w:r>
        <w:t>quarters of available state</w:t>
      </w:r>
      <w:r w:rsidR="00050D25">
        <w:noBreakHyphen/>
      </w:r>
      <w:r>
        <w:t xml:space="preserve">level data. </w:t>
      </w:r>
    </w:p>
    <w:p w14:paraId="1AFF72C3" w14:textId="4628AFF3" w:rsidR="00D7273B" w:rsidRDefault="009567F6" w:rsidP="00654915">
      <w:pPr>
        <w:pStyle w:val="ChartMainHeading"/>
      </w:pPr>
      <w:r>
        <w:lastRenderedPageBreak/>
        <w:t>F</w:t>
      </w:r>
      <w:r w:rsidR="00D7273B" w:rsidDel="006103DA">
        <w:t xml:space="preserve">orecasts </w:t>
      </w:r>
      <w:r w:rsidR="00D7273B">
        <w:t>vs</w:t>
      </w:r>
      <w:bookmarkStart w:id="296" w:name="_Ref180497382"/>
      <w:r w:rsidR="00D7273B" w:rsidRPr="7B6B904E">
        <w:t xml:space="preserve"> outcomes, </w:t>
      </w:r>
      <w:r w:rsidR="00D7273B">
        <w:t xml:space="preserve">by aggregated capital cities and rest of states, </w:t>
      </w:r>
      <w:bookmarkEnd w:id="296"/>
      <w:r w:rsidR="00350408">
        <w:t>2022–23</w:t>
      </w:r>
    </w:p>
    <w:p w14:paraId="54E27543" w14:textId="42B5C6BD" w:rsidR="00D7273B" w:rsidRDefault="00D7273B" w:rsidP="00A633E1">
      <w:pPr>
        <w:pStyle w:val="ChartGraphic"/>
      </w:pPr>
      <w:r w:rsidRPr="00160342">
        <w:t xml:space="preserve"> </w:t>
      </w:r>
      <w:r w:rsidR="00203F13" w:rsidRPr="00203F13">
        <w:t xml:space="preserve"> </w:t>
      </w:r>
      <w:r w:rsidR="00A45BAA" w:rsidRPr="00A45BAA">
        <w:rPr>
          <w:noProof/>
        </w:rPr>
        <w:drawing>
          <wp:inline distT="0" distB="0" distL="0" distR="0" wp14:anchorId="4D5F9E30" wp14:editId="38B5CB38">
            <wp:extent cx="5638800" cy="2876550"/>
            <wp:effectExtent l="0" t="0" r="0" b="0"/>
            <wp:docPr id="1077401203" name="Picture 5" descr="This chart shows the percentage difference between forecasts in the Population Statements released in 2021, 2022, and 2023, and the ABS actuals for capital cities and the rest of states, broken down by components of growth. The 2021 Statement had the largest forecast errors, underestimating the populations of capital cities and rest of states. Net overseas migration was underestimated in all areas, especially capital cities. ABS revisions to the population following the 2021 Census were also a significant driver of forecast err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1203" name="Picture 5" descr="This chart shows the percentage difference between forecasts in the Population Statements released in 2021, 2022, and 2023, and the ABS actuals for capital cities and the rest of states, broken down by components of growth. The 2021 Statement had the largest forecast errors, underestimating the populations of capital cities and rest of states. Net overseas migration was underestimated in all areas, especially capital cities. ABS revisions to the population following the 2021 Census were also a significant driver of forecast errors.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38800" cy="2876550"/>
                    </a:xfrm>
                    <a:prstGeom prst="rect">
                      <a:avLst/>
                    </a:prstGeom>
                    <a:noFill/>
                    <a:ln>
                      <a:noFill/>
                    </a:ln>
                  </pic:spPr>
                </pic:pic>
              </a:graphicData>
            </a:graphic>
          </wp:inline>
        </w:drawing>
      </w:r>
    </w:p>
    <w:p w14:paraId="0EB95DB0" w14:textId="312325EC" w:rsidR="00D7273B" w:rsidRPr="00E547BB" w:rsidRDefault="00D7273B" w:rsidP="00997375">
      <w:pPr>
        <w:pStyle w:val="ChartorTableNote"/>
      </w:pPr>
      <w:r w:rsidRPr="007148D4">
        <w:t>Note:</w:t>
      </w:r>
      <w:r>
        <w:tab/>
      </w:r>
      <w:r w:rsidRPr="7B6B904E">
        <w:t xml:space="preserve">Positive numbers indicate an </w:t>
      </w:r>
      <w:r>
        <w:t>overestimation</w:t>
      </w:r>
      <w:r w:rsidRPr="7B6B904E">
        <w:t xml:space="preserve"> while negative numbers indicate an</w:t>
      </w:r>
      <w:r>
        <w:t xml:space="preserve"> underestimation</w:t>
      </w:r>
      <w:r w:rsidRPr="7B6B904E">
        <w:t>.</w:t>
      </w:r>
      <w:r>
        <w:t xml:space="preserve"> Larger states </w:t>
      </w:r>
      <w:proofErr w:type="gramStart"/>
      <w:r>
        <w:t>includes</w:t>
      </w:r>
      <w:proofErr w:type="gramEnd"/>
      <w:r>
        <w:t xml:space="preserve"> New South Wales, Victoria, Queensland and Western Australia.</w:t>
      </w:r>
      <w:r w:rsidDel="00D46520">
        <w:t xml:space="preserve"> </w:t>
      </w:r>
      <w:r w:rsidR="00050D25">
        <w:t>‘</w:t>
      </w:r>
      <w:r>
        <w:t>Revisions</w:t>
      </w:r>
      <w:r w:rsidR="00050D25">
        <w:t>’</w:t>
      </w:r>
      <w:r>
        <w:t xml:space="preserve"> reflects population rebasing by the ABS.</w:t>
      </w:r>
    </w:p>
    <w:p w14:paraId="784BF450" w14:textId="0DD49DB1" w:rsidR="00D7273B" w:rsidRPr="00ED74D2" w:rsidRDefault="00D7273B" w:rsidP="00D7273B">
      <w:pPr>
        <w:pStyle w:val="Source"/>
      </w:pPr>
      <w:r w:rsidRPr="7B6B904E">
        <w:t>Source:</w:t>
      </w:r>
      <w:r>
        <w:tab/>
      </w:r>
      <w:r w:rsidRPr="7B6B904E">
        <w:t>ABS</w:t>
      </w:r>
      <w:r>
        <w:t xml:space="preserve">, </w:t>
      </w:r>
      <w:r w:rsidR="0035214B" w:rsidRPr="00997375">
        <w:rPr>
          <w:rStyle w:val="SubtleEmphasis"/>
        </w:rPr>
        <w:t>Regional population, 2022–23</w:t>
      </w:r>
      <w:r>
        <w:t>;</w:t>
      </w:r>
      <w:r w:rsidRPr="7B6B904E">
        <w:t xml:space="preserve"> and Centre for Population.</w:t>
      </w:r>
    </w:p>
    <w:p w14:paraId="14E896ED" w14:textId="77777777" w:rsidR="00D7273B" w:rsidRDefault="00D7273B" w:rsidP="00997375">
      <w:pPr>
        <w:pStyle w:val="SingleParagraph"/>
      </w:pPr>
    </w:p>
    <w:tbl>
      <w:tblPr>
        <w:tblStyle w:val="TableGrid"/>
        <w:tblW w:w="0" w:type="auto"/>
        <w:tblBorders>
          <w:top w:val="single" w:sz="4" w:space="0" w:color="9E928F" w:themeColor="accent5"/>
          <w:left w:val="single" w:sz="4" w:space="0" w:color="9E928F" w:themeColor="accent5"/>
          <w:bottom w:val="single" w:sz="4" w:space="0" w:color="9E928F" w:themeColor="accent5"/>
          <w:right w:val="single" w:sz="4" w:space="0" w:color="9E928F" w:themeColor="accent5"/>
          <w:insideH w:val="single" w:sz="4" w:space="0" w:color="9E928F" w:themeColor="accent5"/>
          <w:insideV w:val="single" w:sz="4" w:space="0" w:color="9E928F" w:themeColor="accent5"/>
        </w:tblBorders>
        <w:tblLook w:val="04A0" w:firstRow="1" w:lastRow="0" w:firstColumn="1" w:lastColumn="0" w:noHBand="0" w:noVBand="1"/>
      </w:tblPr>
      <w:tblGrid>
        <w:gridCol w:w="9062"/>
      </w:tblGrid>
      <w:tr w:rsidR="00D7273B" w:rsidRPr="003B6850" w14:paraId="4221D1FC" w14:textId="77777777" w:rsidTr="00C23683">
        <w:trPr>
          <w:trHeight w:val="293"/>
        </w:trPr>
        <w:tc>
          <w:tcPr>
            <w:tcW w:w="9072" w:type="dxa"/>
            <w:shd w:val="clear" w:color="auto" w:fill="auto"/>
          </w:tcPr>
          <w:p w14:paraId="39F2D14C" w14:textId="77777777" w:rsidR="00D7273B" w:rsidRDefault="00D7273B" w:rsidP="00916EF2">
            <w:pPr>
              <w:pStyle w:val="BoxHeading"/>
            </w:pPr>
            <w:r>
              <w:lastRenderedPageBreak/>
              <w:t xml:space="preserve">Understanding population benchmarks in ABS </w:t>
            </w:r>
            <w:r w:rsidRPr="00410693">
              <w:t>Labour Force Surveys</w:t>
            </w:r>
          </w:p>
          <w:p w14:paraId="33542A3A" w14:textId="3B913F46" w:rsidR="00D7273B" w:rsidRPr="00152F5B" w:rsidRDefault="00D7273B" w:rsidP="00503EC8">
            <w:pPr>
              <w:pStyle w:val="BoxText"/>
            </w:pPr>
            <w:r>
              <w:t>T</w:t>
            </w:r>
            <w:r w:rsidRPr="00152F5B">
              <w:t xml:space="preserve">he </w:t>
            </w:r>
            <w:r>
              <w:t xml:space="preserve">ABS </w:t>
            </w:r>
            <w:r w:rsidRPr="00152F5B">
              <w:t xml:space="preserve">Labour Force Survey (LFS) </w:t>
            </w:r>
            <w:r>
              <w:t>uses population benchmarks</w:t>
            </w:r>
            <w:r w:rsidRPr="00152F5B">
              <w:t xml:space="preserve"> to </w:t>
            </w:r>
            <w:r>
              <w:t>represent</w:t>
            </w:r>
            <w:r w:rsidRPr="00152F5B">
              <w:t xml:space="preserve"> the civilian population aged 15</w:t>
            </w:r>
            <w:r w:rsidR="00C73CB5">
              <w:t> </w:t>
            </w:r>
            <w:r w:rsidRPr="00152F5B">
              <w:t>years and over.</w:t>
            </w:r>
            <w:r>
              <w:t xml:space="preserve"> </w:t>
            </w:r>
            <w:r w:rsidRPr="00152F5B">
              <w:t xml:space="preserve">Since the LFS requires benchmarks </w:t>
            </w:r>
            <w:r>
              <w:t>that</w:t>
            </w:r>
            <w:r w:rsidRPr="00152F5B">
              <w:t xml:space="preserve"> are 6 to 9 months ahead of the published </w:t>
            </w:r>
            <w:r w:rsidR="00AB1348">
              <w:t>population estimate</w:t>
            </w:r>
            <w:r w:rsidRPr="00152F5B">
              <w:t xml:space="preserve">, </w:t>
            </w:r>
            <w:r>
              <w:t xml:space="preserve">the ABS uses </w:t>
            </w:r>
            <w:r w:rsidRPr="00152F5B">
              <w:t xml:space="preserve">a population projection. </w:t>
            </w:r>
            <w:r w:rsidR="00E76564">
              <w:t>Similar approaches are used for other releases, such as the ABS National Accounts.</w:t>
            </w:r>
          </w:p>
          <w:p w14:paraId="3EE4AFD6" w14:textId="4D3776C4" w:rsidR="00D7273B" w:rsidRPr="00152F5B" w:rsidRDefault="00D7273B" w:rsidP="00503EC8">
            <w:pPr>
              <w:pStyle w:val="BoxText"/>
            </w:pPr>
            <w:r>
              <w:t xml:space="preserve">These </w:t>
            </w:r>
            <w:r w:rsidR="00261750">
              <w:t>types of</w:t>
            </w:r>
            <w:r>
              <w:t xml:space="preserve"> benchmarks have attracted attention over the past year as a possible leading indicator of population growth. However, these benchmarks should not be considered </w:t>
            </w:r>
            <w:r w:rsidR="00F02E13">
              <w:t>as a proxy for</w:t>
            </w:r>
            <w:r>
              <w:t xml:space="preserve"> population data, nor should they be treated as a formal population forecast. </w:t>
            </w:r>
          </w:p>
          <w:p w14:paraId="663A8A7E" w14:textId="23C64434" w:rsidR="00D7273B" w:rsidRPr="00152F5B" w:rsidRDefault="00D7273B" w:rsidP="00503EC8">
            <w:pPr>
              <w:pStyle w:val="BoxText"/>
            </w:pPr>
            <w:r>
              <w:t>P</w:t>
            </w:r>
            <w:r w:rsidRPr="00152F5B">
              <w:t>opulation benchmark</w:t>
            </w:r>
            <w:r>
              <w:t>s</w:t>
            </w:r>
            <w:r w:rsidRPr="00152F5B">
              <w:t xml:space="preserve"> </w:t>
            </w:r>
            <w:r>
              <w:t xml:space="preserve">are </w:t>
            </w:r>
            <w:r w:rsidRPr="00152F5B">
              <w:t>customised for use in a particular survey. They enable the survey to be coherent with an independent measure of the population</w:t>
            </w:r>
            <w:r>
              <w:t xml:space="preserve">. They also </w:t>
            </w:r>
            <w:r w:rsidRPr="00152F5B">
              <w:t>adjust for differential non</w:t>
            </w:r>
            <w:r w:rsidR="00050D25">
              <w:noBreakHyphen/>
            </w:r>
            <w:r w:rsidRPr="00152F5B">
              <w:t>response</w:t>
            </w:r>
            <w:r>
              <w:t xml:space="preserve"> to the monthly LFS survey, where </w:t>
            </w:r>
            <w:r w:rsidR="00A1764E">
              <w:t>some</w:t>
            </w:r>
            <w:r w:rsidR="00A1764E" w:rsidRPr="00152F5B">
              <w:t xml:space="preserve"> </w:t>
            </w:r>
            <w:r w:rsidRPr="00152F5B">
              <w:t>combinations of age and sex have greater non</w:t>
            </w:r>
            <w:r w:rsidR="00050D25">
              <w:noBreakHyphen/>
            </w:r>
            <w:r w:rsidRPr="00152F5B">
              <w:t>response than others</w:t>
            </w:r>
            <w:r>
              <w:t>. This reduces</w:t>
            </w:r>
            <w:r w:rsidRPr="00152F5B">
              <w:t xml:space="preserve"> standard errors and bias</w:t>
            </w:r>
            <w:r>
              <w:t xml:space="preserve">, </w:t>
            </w:r>
            <w:r w:rsidRPr="00152F5B">
              <w:t>and survey estimates are improved.</w:t>
            </w:r>
          </w:p>
          <w:p w14:paraId="6EDFF73C" w14:textId="2B164C05" w:rsidR="00D7273B" w:rsidRPr="00152F5B" w:rsidRDefault="00D7273B" w:rsidP="00503EC8">
            <w:pPr>
              <w:pStyle w:val="BoxText"/>
            </w:pPr>
            <w:r w:rsidRPr="00152F5B">
              <w:t xml:space="preserve">The projection is based on recently observed patterns of each population component. Data on assumed levels of births, deaths and internal migration </w:t>
            </w:r>
            <w:r w:rsidR="0013382B">
              <w:t>are based on</w:t>
            </w:r>
            <w:r w:rsidR="0013382B" w:rsidRPr="00152F5B">
              <w:t xml:space="preserve"> </w:t>
            </w:r>
            <w:r w:rsidRPr="00152F5B">
              <w:t>recent data and are held constant over the projection period.</w:t>
            </w:r>
            <w:r>
              <w:t xml:space="preserve"> </w:t>
            </w:r>
            <w:r w:rsidRPr="00152F5B">
              <w:t>Projections of NOM use the following assumptions</w:t>
            </w:r>
            <w:r>
              <w:t>:</w:t>
            </w:r>
          </w:p>
          <w:p w14:paraId="211CB57B" w14:textId="51C19B22" w:rsidR="00D7273B" w:rsidRPr="00152F5B" w:rsidRDefault="00630890" w:rsidP="0070497D">
            <w:pPr>
              <w:pStyle w:val="BoxBullet"/>
            </w:pPr>
            <w:r>
              <w:t>first</w:t>
            </w:r>
            <w:r w:rsidRPr="00152F5B">
              <w:t xml:space="preserve"> </w:t>
            </w:r>
            <w:r w:rsidR="00D7273B" w:rsidRPr="00152F5B">
              <w:t xml:space="preserve">projected quarter – </w:t>
            </w:r>
            <w:r w:rsidR="00D7273B">
              <w:t>p</w:t>
            </w:r>
            <w:r w:rsidR="00D7273B" w:rsidRPr="00152F5B">
              <w:t xml:space="preserve">atterns and volumes from </w:t>
            </w:r>
            <w:r w:rsidR="004D36BE">
              <w:t>o</w:t>
            </w:r>
            <w:r w:rsidR="004D36BE" w:rsidRPr="00152F5B">
              <w:t xml:space="preserve">verseas </w:t>
            </w:r>
            <w:r w:rsidR="004D36BE">
              <w:t>a</w:t>
            </w:r>
            <w:r w:rsidR="00D7273B" w:rsidRPr="00152F5B">
              <w:t xml:space="preserve">rrivals and </w:t>
            </w:r>
            <w:r w:rsidR="004D36BE">
              <w:t>d</w:t>
            </w:r>
            <w:r w:rsidR="00D7273B" w:rsidRPr="00152F5B">
              <w:t xml:space="preserve">epartures data used as a </w:t>
            </w:r>
            <w:r w:rsidR="00050D25">
              <w:t>‘</w:t>
            </w:r>
            <w:r w:rsidR="00D7273B" w:rsidRPr="00152F5B">
              <w:t>leading indicator</w:t>
            </w:r>
            <w:r w:rsidR="00050D25">
              <w:t>’</w:t>
            </w:r>
            <w:r w:rsidR="00D7273B" w:rsidRPr="00152F5B">
              <w:t xml:space="preserve"> of NOM</w:t>
            </w:r>
            <w:r w:rsidR="00D7273B">
              <w:t xml:space="preserve">. The Centre uses </w:t>
            </w:r>
            <w:r w:rsidR="0013382B">
              <w:t xml:space="preserve">the </w:t>
            </w:r>
            <w:r w:rsidR="00D7273B">
              <w:t>same data in its forecasting.</w:t>
            </w:r>
          </w:p>
          <w:p w14:paraId="656AECC0" w14:textId="32330037" w:rsidR="00D7273B" w:rsidRPr="00152F5B" w:rsidRDefault="00630890" w:rsidP="0070497D">
            <w:pPr>
              <w:pStyle w:val="BoxBullet"/>
            </w:pPr>
            <w:r>
              <w:t>second</w:t>
            </w:r>
            <w:r w:rsidR="00D7273B" w:rsidRPr="00152F5B">
              <w:t xml:space="preserve"> </w:t>
            </w:r>
            <w:r w:rsidR="00D7273B">
              <w:t xml:space="preserve">and </w:t>
            </w:r>
            <w:r>
              <w:t>third</w:t>
            </w:r>
            <w:r w:rsidR="00D7273B" w:rsidRPr="00152F5B">
              <w:t xml:space="preserve"> projected quarter</w:t>
            </w:r>
            <w:r w:rsidR="00D7273B">
              <w:t>s</w:t>
            </w:r>
            <w:r w:rsidR="00D7273B" w:rsidRPr="00152F5B">
              <w:t xml:space="preserve"> – NOM from the first projection quarter</w:t>
            </w:r>
            <w:r w:rsidR="00D7273B">
              <w:t xml:space="preserve">, with no seasonal adjustment. </w:t>
            </w:r>
          </w:p>
          <w:p w14:paraId="52095D03" w14:textId="2B2D4AA6" w:rsidR="00D7273B" w:rsidRDefault="00D7273B" w:rsidP="00503EC8">
            <w:pPr>
              <w:pStyle w:val="BoxText"/>
            </w:pPr>
            <w:r w:rsidRPr="00152F5B">
              <w:t xml:space="preserve">LFS </w:t>
            </w:r>
            <w:r>
              <w:t xml:space="preserve">population benchmarks </w:t>
            </w:r>
            <w:r w:rsidRPr="00152F5B">
              <w:t>estimates are updated quarter</w:t>
            </w:r>
            <w:r>
              <w:t xml:space="preserve">ly, to reflect newly released and revised </w:t>
            </w:r>
            <w:r w:rsidR="00223D8D">
              <w:t>population data</w:t>
            </w:r>
            <w:r w:rsidRPr="00152F5B">
              <w:t>.</w:t>
            </w:r>
            <w:r>
              <w:t xml:space="preserve"> There can be sizable revisions to LFS population benchmarks. For example, the benchmark for February</w:t>
            </w:r>
            <w:r w:rsidR="001339E1">
              <w:t> </w:t>
            </w:r>
            <w:r>
              <w:t>2023 was revised up by a cumulative 91,000 since the initial projection (</w:t>
            </w:r>
            <w:r w:rsidR="00CF7490">
              <w:fldChar w:fldCharType="begin"/>
            </w:r>
            <w:r w:rsidR="00CF7490">
              <w:instrText xml:space="preserve"> REF _Ref184286095 \r \h </w:instrText>
            </w:r>
            <w:r w:rsidR="00965D79">
              <w:instrText xml:space="preserve"> \* MERGEFORMAT </w:instrText>
            </w:r>
            <w:r w:rsidR="00CF7490">
              <w:fldChar w:fldCharType="separate"/>
            </w:r>
            <w:r w:rsidR="00050D25">
              <w:t>Chart 62</w:t>
            </w:r>
            <w:r w:rsidR="00CF7490">
              <w:fldChar w:fldCharType="end"/>
            </w:r>
            <w:r>
              <w:t>).</w:t>
            </w:r>
          </w:p>
          <w:p w14:paraId="4C421F12" w14:textId="77777777" w:rsidR="00D7273B" w:rsidRDefault="00D7273B" w:rsidP="00654915">
            <w:pPr>
              <w:pStyle w:val="ChartMainHeading"/>
            </w:pPr>
            <w:bookmarkStart w:id="297" w:name="_Ref184286095"/>
            <w:r>
              <w:t>Revisions to LFS projections of civilian 15+ population</w:t>
            </w:r>
            <w:bookmarkEnd w:id="297"/>
          </w:p>
          <w:p w14:paraId="1FAECD5B" w14:textId="1FA560E5" w:rsidR="00D7273B" w:rsidRDefault="00FE13EF" w:rsidP="00997375">
            <w:pPr>
              <w:pStyle w:val="ChartGraphic"/>
            </w:pPr>
            <w:r w:rsidRPr="00FE13EF">
              <w:rPr>
                <w:noProof/>
              </w:rPr>
              <w:drawing>
                <wp:inline distT="0" distB="0" distL="0" distR="0" wp14:anchorId="5ECF09C0" wp14:editId="37D6FD61">
                  <wp:extent cx="5581650" cy="2886075"/>
                  <wp:effectExtent l="0" t="0" r="0" b="9525"/>
                  <wp:docPr id="1230287542" name="Picture 1230287542" descr="This chart shows revisions to the population benchmarks used in the ABS Labour Force Survey, for selected months between August 2022 and August 2024. From August 2022 to August 2023, the original projections have each been revised up by between 40,000 and 140,000. For example, the benchmark for February 2023 has been revised up by a cumulative 91,000 since the original projection. Benchmarks for May 2023 and onwards are subject to further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542" name="Picture 1230287542" descr="This chart shows revisions to the population benchmarks used in the ABS Labour Force Survey, for selected months between August 2022 and August 2024. From August 2022 to August 2023, the original projections have each been revised up by between 40,000 and 140,000. For example, the benchmark for February 2023 has been revised up by a cumulative 91,000 since the original projection. Benchmarks for May 2023 and onwards are subject to further revis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54075856" w14:textId="77777777" w:rsidR="00D7273B" w:rsidRDefault="00D7273B" w:rsidP="00916EF2">
            <w:pPr>
              <w:pStyle w:val="Source"/>
            </w:pPr>
            <w:r>
              <w:t>Source:</w:t>
            </w:r>
            <w:r w:rsidR="0070497D">
              <w:tab/>
            </w:r>
            <w:r>
              <w:t xml:space="preserve"> ABS</w:t>
            </w:r>
            <w:r w:rsidR="00D871BB">
              <w:t>,</w:t>
            </w:r>
            <w:r>
              <w:t xml:space="preserve"> </w:t>
            </w:r>
            <w:r w:rsidRPr="00512B99">
              <w:rPr>
                <w:rStyle w:val="SubtleEmphasis"/>
              </w:rPr>
              <w:t>Labour Force</w:t>
            </w:r>
            <w:r w:rsidR="00B26977" w:rsidRPr="00512B99">
              <w:rPr>
                <w:rStyle w:val="SubtleEmphasis"/>
              </w:rPr>
              <w:t xml:space="preserve">, </w:t>
            </w:r>
            <w:r w:rsidR="00D10884" w:rsidRPr="00512B99">
              <w:rPr>
                <w:rStyle w:val="SubtleEmphasis"/>
              </w:rPr>
              <w:t>Australia</w:t>
            </w:r>
            <w:r w:rsidR="00D10884">
              <w:t>,</w:t>
            </w:r>
            <w:r w:rsidR="00B26977">
              <w:t xml:space="preserve"> various releases</w:t>
            </w:r>
            <w:r w:rsidR="00AA0E78">
              <w:t xml:space="preserve"> to October 2024</w:t>
            </w:r>
            <w:r>
              <w:t>.</w:t>
            </w:r>
            <w:r w:rsidR="00AD3C9C">
              <w:t xml:space="preserve"> </w:t>
            </w:r>
          </w:p>
          <w:p w14:paraId="1008F168" w14:textId="174A06C3" w:rsidR="00997375" w:rsidRPr="00B344C9" w:rsidRDefault="00997375" w:rsidP="00997375">
            <w:pPr>
              <w:pStyle w:val="SingleParagraph"/>
            </w:pPr>
          </w:p>
        </w:tc>
      </w:tr>
    </w:tbl>
    <w:p w14:paraId="00EE7215" w14:textId="77777777" w:rsidR="00B9229E" w:rsidRDefault="00B9229E" w:rsidP="00997375">
      <w:pPr>
        <w:pStyle w:val="SingleParagraph"/>
        <w:sectPr w:rsidR="00B9229E" w:rsidSect="00B9229E">
          <w:pgSz w:w="11906" w:h="16838" w:code="9"/>
          <w:pgMar w:top="1417" w:right="1417" w:bottom="1417" w:left="1417" w:header="709" w:footer="709" w:gutter="0"/>
          <w:cols w:space="708"/>
          <w:docGrid w:linePitch="360"/>
        </w:sectPr>
      </w:pPr>
    </w:p>
    <w:p w14:paraId="5A98D48C" w14:textId="5F812999" w:rsidR="00D7273B" w:rsidRPr="00631AE1" w:rsidRDefault="00D7273B" w:rsidP="0070497D">
      <w:pPr>
        <w:pStyle w:val="Glossaryheading"/>
      </w:pPr>
      <w:bookmarkStart w:id="298" w:name="_Toc149846525"/>
      <w:bookmarkStart w:id="299" w:name="_Toc149846566"/>
      <w:bookmarkStart w:id="300" w:name="_Toc149846664"/>
      <w:bookmarkStart w:id="301" w:name="_Toc149847607"/>
      <w:bookmarkStart w:id="302" w:name="_Toc151994736"/>
      <w:bookmarkStart w:id="303" w:name="_Toc180584533"/>
      <w:bookmarkStart w:id="304" w:name="_Toc185333123"/>
      <w:bookmarkStart w:id="305" w:name="_Toc185346740"/>
      <w:r w:rsidRPr="005B422D">
        <w:lastRenderedPageBreak/>
        <w:t>Glossary</w:t>
      </w:r>
      <w:bookmarkEnd w:id="298"/>
      <w:bookmarkEnd w:id="299"/>
      <w:bookmarkEnd w:id="300"/>
      <w:bookmarkEnd w:id="301"/>
      <w:bookmarkEnd w:id="302"/>
      <w:bookmarkEnd w:id="303"/>
      <w:bookmarkEnd w:id="304"/>
      <w:bookmarkEnd w:id="305"/>
    </w:p>
    <w:p w14:paraId="341EE271" w14:textId="77777777" w:rsidR="00D7273B" w:rsidRPr="00997375" w:rsidRDefault="00D7273B" w:rsidP="00997375">
      <w:pPr>
        <w:pStyle w:val="GlossaryHeading2"/>
      </w:pPr>
      <w:bookmarkStart w:id="306" w:name="_Toc118887300"/>
      <w:bookmarkStart w:id="307" w:name="_Toc120635144"/>
      <w:bookmarkStart w:id="308" w:name="_Toc122617977"/>
      <w:bookmarkStart w:id="309" w:name="_Toc122618404"/>
      <w:r w:rsidRPr="00997375">
        <w:t>Contribution to growth</w:t>
      </w:r>
    </w:p>
    <w:p w14:paraId="1FE1CBE4" w14:textId="77777777" w:rsidR="00D7273B" w:rsidRDefault="00D7273B" w:rsidP="00D7273B">
      <w:r>
        <w:t>How much a particular component contributes to the growth rate of the aggregate. Unless otherwise specified, it refers to the percentage point contribution.</w:t>
      </w:r>
    </w:p>
    <w:p w14:paraId="34579E34" w14:textId="76FE61E8" w:rsidR="00D7273B" w:rsidRDefault="00D7273B" w:rsidP="00D7273B">
      <w:r w:rsidRPr="007148D4">
        <w:t>For example, population growth was 1.7</w:t>
      </w:r>
      <w:r w:rsidR="00FF207F">
        <w:t> per cent</w:t>
      </w:r>
      <w:r w:rsidRPr="007148D4">
        <w:t xml:space="preserve"> in 2018–19. The contribution to growth from </w:t>
      </w:r>
      <w:r w:rsidR="00E84835">
        <w:t>NOM</w:t>
      </w:r>
      <w:r w:rsidRPr="007148D4">
        <w:t xml:space="preserve"> was 1.</w:t>
      </w:r>
      <w:r w:rsidR="0097441F" w:rsidRPr="007148D4">
        <w:t>1</w:t>
      </w:r>
      <w:r w:rsidR="0097441F">
        <w:t> </w:t>
      </w:r>
      <w:r w:rsidRPr="007148D4">
        <w:t>percentage points and the contribution to growth from natural increase was 0.6 percentage points.</w:t>
      </w:r>
    </w:p>
    <w:p w14:paraId="205D0975" w14:textId="77777777" w:rsidR="00D7273B" w:rsidRDefault="00D7273B" w:rsidP="00997375">
      <w:pPr>
        <w:pStyle w:val="GlossaryHeading2"/>
      </w:pPr>
      <w:r>
        <w:t xml:space="preserve">Completed cohort fertility </w:t>
      </w:r>
      <w:proofErr w:type="gramStart"/>
      <w:r>
        <w:t>rate</w:t>
      </w:r>
      <w:proofErr w:type="gramEnd"/>
    </w:p>
    <w:p w14:paraId="2C409BCE" w14:textId="77777777" w:rsidR="00D7273B" w:rsidRPr="007D463D" w:rsidRDefault="00D7273B" w:rsidP="00D7273B">
      <w:r>
        <w:t xml:space="preserve">A measure of the average number of children born to a cohort of women of the same age over their reproductive lifetime. </w:t>
      </w:r>
    </w:p>
    <w:p w14:paraId="47CD0118" w14:textId="77777777" w:rsidR="00D7273B" w:rsidRDefault="00D7273B" w:rsidP="00997375">
      <w:pPr>
        <w:pStyle w:val="GlossaryHeading2"/>
      </w:pPr>
      <w:bookmarkStart w:id="310" w:name="_Toc118887301"/>
      <w:bookmarkEnd w:id="306"/>
      <w:bookmarkEnd w:id="307"/>
      <w:bookmarkEnd w:id="308"/>
      <w:bookmarkEnd w:id="309"/>
      <w:r>
        <w:t>Excess mortality</w:t>
      </w:r>
    </w:p>
    <w:p w14:paraId="17B880CD" w14:textId="4FE1D1A2" w:rsidR="00F10789" w:rsidRPr="00977581" w:rsidRDefault="00D7273B" w:rsidP="00D7273B">
      <w:r>
        <w:t xml:space="preserve">The difference between the actual number, and the expected numbers, of deaths from all causes in a specific period. </w:t>
      </w:r>
      <w:r w:rsidR="00F10789">
        <w:t xml:space="preserve">Expected deaths is the number of deaths that would be anticipated under </w:t>
      </w:r>
      <w:r w:rsidR="00050D25">
        <w:t>‘</w:t>
      </w:r>
      <w:r w:rsidR="00F10789">
        <w:t>normal</w:t>
      </w:r>
      <w:r w:rsidR="00050D25">
        <w:t>’</w:t>
      </w:r>
      <w:r w:rsidR="00F10789">
        <w:t xml:space="preserve"> conditions (for example, in the absence of the COVID</w:t>
      </w:r>
      <w:r w:rsidR="00050D25">
        <w:noBreakHyphen/>
      </w:r>
      <w:r w:rsidR="00F10789">
        <w:t xml:space="preserve">19 pandemic). </w:t>
      </w:r>
      <w:r w:rsidRPr="00E01AE5">
        <w:t>Excess mortality</w:t>
      </w:r>
      <w:r>
        <w:t xml:space="preserve"> provides a</w:t>
      </w:r>
      <w:r w:rsidRPr="00E01AE5">
        <w:t xml:space="preserve"> </w:t>
      </w:r>
      <w:r>
        <w:t>measure of</w:t>
      </w:r>
      <w:r w:rsidRPr="00E01AE5">
        <w:t xml:space="preserve"> </w:t>
      </w:r>
      <w:r>
        <w:t xml:space="preserve">additional </w:t>
      </w:r>
      <w:r w:rsidRPr="00E01AE5">
        <w:t xml:space="preserve">deaths </w:t>
      </w:r>
      <w:r w:rsidR="00F10789">
        <w:t xml:space="preserve">above their normal or trend level. </w:t>
      </w:r>
      <w:r w:rsidR="00495402">
        <w:t>This could be</w:t>
      </w:r>
      <w:r w:rsidR="00F10789">
        <w:t xml:space="preserve"> </w:t>
      </w:r>
      <w:r w:rsidRPr="00E01AE5">
        <w:t>due to</w:t>
      </w:r>
      <w:r>
        <w:t>:</w:t>
      </w:r>
      <w:r w:rsidRPr="00E01AE5">
        <w:t xml:space="preserve"> COVID</w:t>
      </w:r>
      <w:r w:rsidR="00050D25">
        <w:noBreakHyphen/>
      </w:r>
      <w:r w:rsidRPr="00E01AE5">
        <w:t>19, potentially misclassified or undiagnosed COVID</w:t>
      </w:r>
      <w:r w:rsidR="00050D25">
        <w:noBreakHyphen/>
      </w:r>
      <w:r w:rsidRPr="00E01AE5">
        <w:t>19 deaths, and other mortality that may be indirectly related to the pandemic (</w:t>
      </w:r>
      <w:r w:rsidR="00535659">
        <w:t>for example,</w:t>
      </w:r>
      <w:r w:rsidRPr="00E01AE5">
        <w:t xml:space="preserve"> relating to social isolation or changed access to health care).</w:t>
      </w:r>
    </w:p>
    <w:p w14:paraId="40930184" w14:textId="3FEEC68F" w:rsidR="00CD77A5" w:rsidRDefault="00CD77A5" w:rsidP="00997375">
      <w:pPr>
        <w:pStyle w:val="GlossaryHeading2"/>
      </w:pPr>
      <w:r>
        <w:t>Fertility desires</w:t>
      </w:r>
    </w:p>
    <w:p w14:paraId="1D56617B" w14:textId="747ABF17" w:rsidR="00CD77A5" w:rsidRPr="00CD77A5" w:rsidRDefault="00CD77A5" w:rsidP="0037128E">
      <w:r>
        <w:t xml:space="preserve">The total number of children a person intends on having </w:t>
      </w:r>
      <w:r w:rsidRPr="0037128E">
        <w:rPr>
          <w:i/>
        </w:rPr>
        <w:t>before</w:t>
      </w:r>
      <w:r>
        <w:t xml:space="preserve"> being confronted by economic, </w:t>
      </w:r>
      <w:proofErr w:type="gramStart"/>
      <w:r>
        <w:t>social</w:t>
      </w:r>
      <w:proofErr w:type="gramEnd"/>
      <w:r>
        <w:t xml:space="preserve"> or individual factors.</w:t>
      </w:r>
      <w:r>
        <w:rPr>
          <w:rStyle w:val="FootnoteReference"/>
        </w:rPr>
        <w:footnoteReference w:id="63"/>
      </w:r>
    </w:p>
    <w:p w14:paraId="24731981" w14:textId="7B51F8BE" w:rsidR="00A4284C" w:rsidRPr="00787F84" w:rsidRDefault="00A4284C" w:rsidP="00997375">
      <w:pPr>
        <w:pStyle w:val="GlossaryHeading2"/>
      </w:pPr>
      <w:r w:rsidRPr="00787F84">
        <w:t>Fertility intentions</w:t>
      </w:r>
    </w:p>
    <w:p w14:paraId="6D81015C" w14:textId="2746D5DE" w:rsidR="00A4284C" w:rsidRPr="00977581" w:rsidRDefault="00A953DC" w:rsidP="00D7273B">
      <w:r>
        <w:t xml:space="preserve">The </w:t>
      </w:r>
      <w:r w:rsidR="00AA59B4">
        <w:t>total</w:t>
      </w:r>
      <w:r>
        <w:t xml:space="preserve"> </w:t>
      </w:r>
      <w:r w:rsidR="006B5071">
        <w:t>number of children</w:t>
      </w:r>
      <w:r>
        <w:t xml:space="preserve"> a </w:t>
      </w:r>
      <w:r w:rsidR="006B5071">
        <w:t>person</w:t>
      </w:r>
      <w:r>
        <w:t xml:space="preserve"> intends on having</w:t>
      </w:r>
      <w:r w:rsidR="00CD77A5">
        <w:t xml:space="preserve"> </w:t>
      </w:r>
      <w:r w:rsidR="00CD77A5" w:rsidRPr="00512B99">
        <w:rPr>
          <w:rStyle w:val="SubtleEmphasis"/>
        </w:rPr>
        <w:t>after</w:t>
      </w:r>
      <w:r>
        <w:t xml:space="preserve"> being confronted </w:t>
      </w:r>
      <w:r w:rsidR="009D2DE1">
        <w:t>by</w:t>
      </w:r>
      <w:r>
        <w:t xml:space="preserve"> economic, </w:t>
      </w:r>
      <w:proofErr w:type="gramStart"/>
      <w:r>
        <w:t>social</w:t>
      </w:r>
      <w:proofErr w:type="gramEnd"/>
      <w:r>
        <w:t xml:space="preserve"> or individual factors.</w:t>
      </w:r>
      <w:r>
        <w:rPr>
          <w:rStyle w:val="FootnoteReference"/>
        </w:rPr>
        <w:footnoteReference w:id="64"/>
      </w:r>
    </w:p>
    <w:p w14:paraId="586741E1" w14:textId="3AAE65C3" w:rsidR="00D7273B" w:rsidRPr="00977581" w:rsidRDefault="00D7273B" w:rsidP="00997375">
      <w:pPr>
        <w:pStyle w:val="GlossaryHeading2"/>
      </w:pPr>
      <w:bookmarkStart w:id="311" w:name="_Toc120635145"/>
      <w:bookmarkStart w:id="312" w:name="_Toc122617978"/>
      <w:bookmarkStart w:id="313" w:name="_Toc122618405"/>
      <w:r w:rsidRPr="00977581">
        <w:t>Greater Capital City Statistical Areas</w:t>
      </w:r>
      <w:bookmarkEnd w:id="310"/>
      <w:bookmarkEnd w:id="311"/>
      <w:bookmarkEnd w:id="312"/>
      <w:bookmarkEnd w:id="313"/>
      <w:r w:rsidR="00074722">
        <w:t xml:space="preserve"> (GCCSA)</w:t>
      </w:r>
    </w:p>
    <w:p w14:paraId="0C57480E" w14:textId="632B2C1E" w:rsidR="00D7273B" w:rsidRPr="00977581" w:rsidRDefault="00D7273B" w:rsidP="00D7273B">
      <w:pPr>
        <w:rPr>
          <w:sz w:val="18"/>
        </w:rPr>
      </w:pPr>
      <w:bookmarkStart w:id="314" w:name="_Toc118887302"/>
      <w:r>
        <w:t>T</w:t>
      </w:r>
      <w:r w:rsidRPr="00977581">
        <w:t>he socio</w:t>
      </w:r>
      <w:r w:rsidR="00050D25">
        <w:noBreakHyphen/>
      </w:r>
      <w:r w:rsidRPr="00977581">
        <w:t xml:space="preserve">economic extent of the capital cities as defined by the </w:t>
      </w:r>
      <w:r>
        <w:t>ABS</w:t>
      </w:r>
      <w:r w:rsidRPr="00977581">
        <w:t>.</w:t>
      </w:r>
      <w:r w:rsidRPr="00977581">
        <w:rPr>
          <w:rStyle w:val="FootnoteReference"/>
        </w:rPr>
        <w:footnoteReference w:id="65"/>
      </w:r>
      <w:r w:rsidRPr="00977581">
        <w:t xml:space="preserve"> </w:t>
      </w:r>
    </w:p>
    <w:p w14:paraId="0B740978" w14:textId="77777777" w:rsidR="00D7273B" w:rsidRPr="00977581" w:rsidRDefault="00D7273B" w:rsidP="00997375">
      <w:pPr>
        <w:pStyle w:val="GlossaryHeading2"/>
      </w:pPr>
      <w:bookmarkStart w:id="315" w:name="_Toc118887303"/>
      <w:bookmarkStart w:id="316" w:name="_Toc120635147"/>
      <w:bookmarkStart w:id="317" w:name="_Toc122617980"/>
      <w:bookmarkStart w:id="318" w:name="_Toc122618407"/>
      <w:bookmarkEnd w:id="314"/>
      <w:r w:rsidRPr="00977581">
        <w:t>Intercensal difference</w:t>
      </w:r>
      <w:bookmarkEnd w:id="315"/>
      <w:bookmarkEnd w:id="316"/>
      <w:bookmarkEnd w:id="317"/>
      <w:bookmarkEnd w:id="318"/>
    </w:p>
    <w:p w14:paraId="7D9C05E6" w14:textId="77777777" w:rsidR="00D7273B" w:rsidRPr="00977581" w:rsidRDefault="00D7273B" w:rsidP="00D7273B">
      <w:bookmarkStart w:id="319" w:name="_Toc118887304"/>
      <w:r w:rsidRPr="00D3268C">
        <w:t>The</w:t>
      </w:r>
      <w:r w:rsidRPr="00977581">
        <w:t xml:space="preserve"> difference in </w:t>
      </w:r>
      <w:r>
        <w:t>the official</w:t>
      </w:r>
      <w:r w:rsidRPr="00977581">
        <w:t xml:space="preserve"> population estimate </w:t>
      </w:r>
      <w:r>
        <w:t>based on the C</w:t>
      </w:r>
      <w:r w:rsidRPr="00977581">
        <w:t>ensus and the</w:t>
      </w:r>
      <w:r>
        <w:t xml:space="preserve"> estimates derived</w:t>
      </w:r>
      <w:r w:rsidRPr="00977581">
        <w:t xml:space="preserve"> </w:t>
      </w:r>
      <w:r>
        <w:t>from</w:t>
      </w:r>
      <w:r w:rsidRPr="00977581">
        <w:t xml:space="preserve"> administrative data sources which cannot be attributed to a particular source.</w:t>
      </w:r>
      <w:r w:rsidRPr="00977581">
        <w:rPr>
          <w:rStyle w:val="FootnoteReference"/>
        </w:rPr>
        <w:footnoteReference w:id="66"/>
      </w:r>
    </w:p>
    <w:p w14:paraId="659B496E" w14:textId="77777777" w:rsidR="00D7273B" w:rsidRPr="00977581" w:rsidRDefault="00D7273B" w:rsidP="00997375">
      <w:pPr>
        <w:pStyle w:val="GlossaryHeading2"/>
      </w:pPr>
      <w:bookmarkStart w:id="320" w:name="_Toc118887305"/>
      <w:bookmarkStart w:id="321" w:name="_Toc120635149"/>
      <w:bookmarkStart w:id="322" w:name="_Toc122617982"/>
      <w:bookmarkStart w:id="323" w:name="_Toc122618409"/>
      <w:bookmarkEnd w:id="319"/>
      <w:r w:rsidRPr="00977581">
        <w:t>Internal migration</w:t>
      </w:r>
      <w:bookmarkEnd w:id="320"/>
      <w:bookmarkEnd w:id="321"/>
      <w:bookmarkEnd w:id="322"/>
      <w:bookmarkEnd w:id="323"/>
    </w:p>
    <w:p w14:paraId="115CEAFD" w14:textId="77777777" w:rsidR="00D7273B" w:rsidRPr="00977581" w:rsidRDefault="00D7273B" w:rsidP="00D7273B">
      <w:bookmarkStart w:id="324" w:name="_Toc118887306"/>
      <w:r>
        <w:t>T</w:t>
      </w:r>
      <w:r w:rsidRPr="00977581">
        <w:t>he movement of people across a specified boundary within Australia involving a change in place of usual residence.</w:t>
      </w:r>
      <w:r>
        <w:t xml:space="preserve"> </w:t>
      </w:r>
      <w:r w:rsidRPr="00977581">
        <w:t xml:space="preserve">Net </w:t>
      </w:r>
      <w:r>
        <w:t>internal</w:t>
      </w:r>
      <w:r w:rsidRPr="00977581">
        <w:t xml:space="preserve"> migration is the difference between arrivals and departures and can be either positive or negative.</w:t>
      </w:r>
    </w:p>
    <w:p w14:paraId="42C77B87" w14:textId="77777777" w:rsidR="00997375" w:rsidRDefault="00997375" w:rsidP="00997375">
      <w:pPr>
        <w:pStyle w:val="GlossaryHeading2"/>
      </w:pPr>
      <w:r>
        <w:br w:type="page"/>
      </w:r>
    </w:p>
    <w:p w14:paraId="34AFA036" w14:textId="5749BC3E" w:rsidR="00D7273B" w:rsidRPr="00977581" w:rsidRDefault="00D7273B" w:rsidP="00997375">
      <w:pPr>
        <w:pStyle w:val="GlossaryHeading2"/>
      </w:pPr>
      <w:r w:rsidRPr="00977581">
        <w:lastRenderedPageBreak/>
        <w:t>Inter</w:t>
      </w:r>
      <w:r>
        <w:t>state</w:t>
      </w:r>
      <w:r w:rsidRPr="00977581">
        <w:t xml:space="preserve"> migration</w:t>
      </w:r>
    </w:p>
    <w:p w14:paraId="50A20937" w14:textId="77777777" w:rsidR="00D7273B" w:rsidRPr="00977581" w:rsidRDefault="00D7273B" w:rsidP="00D7273B">
      <w:r>
        <w:t>T</w:t>
      </w:r>
      <w:r w:rsidRPr="00977581">
        <w:t>he movement of people over a state boundary involving a change in place of usual residence. Net interstate migration is the difference between arrivals and departures and can be either positive or negative.</w:t>
      </w:r>
    </w:p>
    <w:p w14:paraId="7B9F84A7" w14:textId="2EF1AD3A" w:rsidR="00D7273B" w:rsidRPr="00977581" w:rsidRDefault="00D7273B" w:rsidP="00997375">
      <w:pPr>
        <w:pStyle w:val="GlossaryHeading2"/>
      </w:pPr>
      <w:bookmarkStart w:id="325" w:name="_Toc118887308"/>
      <w:bookmarkStart w:id="326" w:name="_Toc120635152"/>
      <w:bookmarkStart w:id="327" w:name="_Toc122617985"/>
      <w:bookmarkStart w:id="328" w:name="_Toc122618412"/>
      <w:bookmarkEnd w:id="324"/>
      <w:r w:rsidRPr="00977581">
        <w:t>Life expectancy</w:t>
      </w:r>
      <w:bookmarkEnd w:id="325"/>
      <w:bookmarkEnd w:id="326"/>
      <w:bookmarkEnd w:id="327"/>
      <w:bookmarkEnd w:id="328"/>
      <w:r w:rsidR="005D56D7">
        <w:t xml:space="preserve"> </w:t>
      </w:r>
      <w:r w:rsidR="00C3039A">
        <w:t>(</w:t>
      </w:r>
      <w:r w:rsidR="005D56D7">
        <w:t>period</w:t>
      </w:r>
      <w:r w:rsidR="00C33C79">
        <w:t>)</w:t>
      </w:r>
    </w:p>
    <w:p w14:paraId="31B0F780" w14:textId="681E3478" w:rsidR="00D7273B" w:rsidRDefault="00D7273B" w:rsidP="00D7273B">
      <w:bookmarkStart w:id="329" w:name="_Toc118887309"/>
      <w:r w:rsidRPr="00D3268C">
        <w:t>A</w:t>
      </w:r>
      <w:r w:rsidRPr="00A02D6E">
        <w:rPr>
          <w:bCs/>
        </w:rPr>
        <w:t xml:space="preserve"> measure</w:t>
      </w:r>
      <w:r>
        <w:t xml:space="preserve"> of</w:t>
      </w:r>
      <w:r w:rsidRPr="00977581">
        <w:t xml:space="preserve"> how long a person </w:t>
      </w:r>
      <w:r w:rsidR="002878A9">
        <w:t xml:space="preserve">would </w:t>
      </w:r>
      <w:r w:rsidR="00AB3171">
        <w:t>be</w:t>
      </w:r>
      <w:r w:rsidRPr="00977581">
        <w:t xml:space="preserve"> expected to live </w:t>
      </w:r>
      <w:r w:rsidR="002878A9">
        <w:t>if they experience</w:t>
      </w:r>
      <w:r w:rsidR="00AB3171">
        <w:t>d</w:t>
      </w:r>
      <w:r w:rsidRPr="00977581">
        <w:t xml:space="preserve"> the age and sex</w:t>
      </w:r>
      <w:r w:rsidR="00050D25">
        <w:noBreakHyphen/>
      </w:r>
      <w:r w:rsidRPr="00977581">
        <w:t xml:space="preserve">specific mortality rates </w:t>
      </w:r>
      <w:r w:rsidR="00A935F6">
        <w:t>from a single year</w:t>
      </w:r>
      <w:r w:rsidRPr="00977581">
        <w:t xml:space="preserve">. </w:t>
      </w:r>
      <w:r w:rsidR="000720BE">
        <w:t xml:space="preserve">It represents </w:t>
      </w:r>
      <w:r w:rsidRPr="00977581">
        <w:t xml:space="preserve">the average </w:t>
      </w:r>
      <w:r w:rsidR="000720BE">
        <w:t xml:space="preserve">number of </w:t>
      </w:r>
      <w:r w:rsidRPr="00977581">
        <w:t xml:space="preserve">years a person </w:t>
      </w:r>
      <w:r w:rsidR="000720BE">
        <w:t xml:space="preserve">would </w:t>
      </w:r>
      <w:r w:rsidRPr="00977581">
        <w:t xml:space="preserve">live </w:t>
      </w:r>
      <w:r w:rsidR="00BC224D">
        <w:t>from</w:t>
      </w:r>
      <w:r w:rsidRPr="00977581">
        <w:t xml:space="preserve"> a specific age. </w:t>
      </w:r>
      <w:r w:rsidR="00D94560">
        <w:t xml:space="preserve">This differs from cohort life expectancy, which </w:t>
      </w:r>
      <w:r w:rsidR="000720BE">
        <w:t>estimates</w:t>
      </w:r>
      <w:r w:rsidR="00D94560">
        <w:t xml:space="preserve"> how long a person would live if they experienced </w:t>
      </w:r>
      <w:r w:rsidR="00BE1928">
        <w:t>projected</w:t>
      </w:r>
      <w:r w:rsidR="00D94560">
        <w:t xml:space="preserve"> age and sex</w:t>
      </w:r>
      <w:r w:rsidR="00050D25">
        <w:noBreakHyphen/>
      </w:r>
      <w:r w:rsidR="00D94560">
        <w:t>specific mortality rates</w:t>
      </w:r>
      <w:r w:rsidR="00BE1928">
        <w:t xml:space="preserve"> across their lifetime</w:t>
      </w:r>
      <w:r w:rsidR="00D94560">
        <w:t xml:space="preserve">. </w:t>
      </w:r>
      <w:r w:rsidRPr="00977581">
        <w:t>In</w:t>
      </w:r>
      <w:r w:rsidRPr="00977581" w:rsidDel="00BA71E6">
        <w:t xml:space="preserve"> </w:t>
      </w:r>
      <w:r w:rsidR="00BA71E6">
        <w:t>this</w:t>
      </w:r>
      <w:r w:rsidRPr="00977581">
        <w:t xml:space="preserve"> </w:t>
      </w:r>
      <w:r w:rsidR="00073D3E">
        <w:t>p</w:t>
      </w:r>
      <w:r>
        <w:t>opulation</w:t>
      </w:r>
      <w:r w:rsidRPr="00977581">
        <w:t xml:space="preserve"> </w:t>
      </w:r>
      <w:r w:rsidR="00073D3E">
        <w:t>s</w:t>
      </w:r>
      <w:r w:rsidRPr="00977581">
        <w:t xml:space="preserve">tatement, </w:t>
      </w:r>
      <w:r w:rsidR="00050D25">
        <w:t>‘</w:t>
      </w:r>
      <w:r w:rsidRPr="00977581">
        <w:t>life expectancy</w:t>
      </w:r>
      <w:r w:rsidR="00050D25">
        <w:t>’</w:t>
      </w:r>
      <w:r w:rsidRPr="00977581">
        <w:t xml:space="preserve"> refers to </w:t>
      </w:r>
      <w:r w:rsidR="00B600C2">
        <w:t xml:space="preserve">the period </w:t>
      </w:r>
      <w:r w:rsidRPr="00977581">
        <w:t>life expectancy at birth.</w:t>
      </w:r>
    </w:p>
    <w:p w14:paraId="6D13B4A7" w14:textId="77777777" w:rsidR="00D7273B" w:rsidRPr="00977581" w:rsidRDefault="00D7273B" w:rsidP="00997375">
      <w:pPr>
        <w:pStyle w:val="GlossaryHeading2"/>
      </w:pPr>
      <w:r w:rsidRPr="00977581">
        <w:t xml:space="preserve">Overseas migrant </w:t>
      </w:r>
      <w:r>
        <w:t>arrival</w:t>
      </w:r>
    </w:p>
    <w:p w14:paraId="28064BA1" w14:textId="340012C5" w:rsidR="00D7273B" w:rsidRDefault="00D7273B" w:rsidP="00D7273B">
      <w:r>
        <w:t>An incoming international traveller who stays in Australia for 12 months or more over a 16</w:t>
      </w:r>
      <w:r w:rsidR="00050D25">
        <w:noBreakHyphen/>
      </w:r>
      <w:r>
        <w:t>month period, who is not currently counted within the population, and is then added to the population.</w:t>
      </w:r>
    </w:p>
    <w:p w14:paraId="149014C4" w14:textId="77777777" w:rsidR="00D7273B" w:rsidRPr="00977581" w:rsidRDefault="00D7273B" w:rsidP="00997375">
      <w:pPr>
        <w:pStyle w:val="GlossaryHeading2"/>
      </w:pPr>
      <w:r w:rsidRPr="00977581">
        <w:t xml:space="preserve">Overseas migrant </w:t>
      </w:r>
      <w:r>
        <w:t>departure</w:t>
      </w:r>
    </w:p>
    <w:p w14:paraId="76795C4C" w14:textId="135D67AC" w:rsidR="00D7273B" w:rsidRPr="00D262DE" w:rsidRDefault="00D7273B" w:rsidP="00D7273B">
      <w:pPr>
        <w:rPr>
          <w:sz w:val="18"/>
        </w:rPr>
      </w:pPr>
      <w:r>
        <w:t>An outgoing international traveller who leaves Australia for 12 months or more over a 16</w:t>
      </w:r>
      <w:r w:rsidR="00050D25">
        <w:noBreakHyphen/>
      </w:r>
      <w:r>
        <w:t>month period, who is currently counted within the population, and is then subtracted from the population.</w:t>
      </w:r>
    </w:p>
    <w:p w14:paraId="28D6B92F" w14:textId="3C4D01D4" w:rsidR="00D7273B" w:rsidRPr="00977581" w:rsidRDefault="00D7273B" w:rsidP="00997375">
      <w:pPr>
        <w:pStyle w:val="GlossaryHeading2"/>
      </w:pPr>
      <w:bookmarkStart w:id="330" w:name="_Toc118887312"/>
      <w:bookmarkStart w:id="331" w:name="_Toc120635156"/>
      <w:bookmarkStart w:id="332" w:name="_Toc122617989"/>
      <w:bookmarkStart w:id="333" w:name="_Toc122618416"/>
      <w:bookmarkEnd w:id="329"/>
      <w:r w:rsidRPr="00977581">
        <w:t xml:space="preserve">Overseas migrant – permanent </w:t>
      </w:r>
      <w:r w:rsidR="007A3624">
        <w:t>(</w:t>
      </w:r>
      <w:r w:rsidR="00050D25">
        <w:t>‘</w:t>
      </w:r>
      <w:r w:rsidR="007A3624">
        <w:t>permanent migrant</w:t>
      </w:r>
      <w:r w:rsidR="00050D25">
        <w:t>’</w:t>
      </w:r>
      <w:r w:rsidR="007A3624">
        <w:t>)</w:t>
      </w:r>
      <w:bookmarkEnd w:id="330"/>
      <w:bookmarkEnd w:id="331"/>
      <w:bookmarkEnd w:id="332"/>
      <w:bookmarkEnd w:id="333"/>
    </w:p>
    <w:p w14:paraId="508B175D" w14:textId="2F2819DC" w:rsidR="00D7273B" w:rsidRPr="00977581" w:rsidRDefault="00D7273B" w:rsidP="00D7273B">
      <w:bookmarkStart w:id="334" w:name="_Toc118887313"/>
      <w:r>
        <w:t>A</w:t>
      </w:r>
      <w:r w:rsidRPr="00977581">
        <w:t xml:space="preserve"> non</w:t>
      </w:r>
      <w:r w:rsidR="00050D25">
        <w:noBreakHyphen/>
      </w:r>
      <w:r w:rsidRPr="00977581">
        <w:t>citizen who holds an Australian permanent visa and usually resid</w:t>
      </w:r>
      <w:r>
        <w:t>es</w:t>
      </w:r>
      <w:r w:rsidRPr="00977581">
        <w:t xml:space="preserve"> in Australia (</w:t>
      </w:r>
      <w:r w:rsidR="0030193B">
        <w:t>refer to</w:t>
      </w:r>
      <w:r w:rsidR="0030193B" w:rsidRPr="00977581">
        <w:t xml:space="preserve"> </w:t>
      </w:r>
      <w:r w:rsidR="009E2575" w:rsidRPr="00977581">
        <w:t xml:space="preserve">definition </w:t>
      </w:r>
      <w:r w:rsidR="009E2575">
        <w:t xml:space="preserve">of </w:t>
      </w:r>
      <w:r w:rsidR="00050D25">
        <w:t>‘</w:t>
      </w:r>
      <w:r>
        <w:t>net</w:t>
      </w:r>
      <w:r w:rsidR="001339E1">
        <w:t> </w:t>
      </w:r>
      <w:r w:rsidRPr="00977581">
        <w:t>overseas migration</w:t>
      </w:r>
      <w:r w:rsidR="00050D25">
        <w:t>’</w:t>
      </w:r>
      <w:r w:rsidRPr="00977581">
        <w:t>). Generally, permanent residents can live, work and study with fewer restrictions than temporary visa holders in Australia.</w:t>
      </w:r>
    </w:p>
    <w:p w14:paraId="030C3C15" w14:textId="7EE0E8DA" w:rsidR="00D7273B" w:rsidRPr="00977581" w:rsidRDefault="00D7273B" w:rsidP="00997375">
      <w:pPr>
        <w:pStyle w:val="GlossaryHeading2"/>
      </w:pPr>
      <w:bookmarkStart w:id="335" w:name="_Toc120635157"/>
      <w:bookmarkStart w:id="336" w:name="_Toc122617990"/>
      <w:bookmarkStart w:id="337" w:name="_Toc122618417"/>
      <w:r w:rsidRPr="00977581">
        <w:t xml:space="preserve">Overseas migrant – temporary </w:t>
      </w:r>
      <w:r w:rsidR="007A3624">
        <w:t>(</w:t>
      </w:r>
      <w:r w:rsidR="00050D25">
        <w:t>‘</w:t>
      </w:r>
      <w:r w:rsidR="007A3624">
        <w:t>temporary migrant</w:t>
      </w:r>
      <w:r w:rsidR="00050D25">
        <w:t>’</w:t>
      </w:r>
      <w:bookmarkEnd w:id="334"/>
      <w:bookmarkEnd w:id="335"/>
      <w:bookmarkEnd w:id="336"/>
      <w:bookmarkEnd w:id="337"/>
      <w:r w:rsidR="007A3624">
        <w:t>)</w:t>
      </w:r>
    </w:p>
    <w:p w14:paraId="07699752" w14:textId="1CA22061" w:rsidR="00D7273B" w:rsidRDefault="00D7273B" w:rsidP="00D7273B">
      <w:r>
        <w:t>A</w:t>
      </w:r>
      <w:r w:rsidRPr="00977581">
        <w:t xml:space="preserve"> non</w:t>
      </w:r>
      <w:r w:rsidR="00050D25">
        <w:noBreakHyphen/>
      </w:r>
      <w:r w:rsidRPr="00977581">
        <w:t>citizen who holds a temporary visa that grants authority for travel to and from Australia within a specific period for a specific purpose (such as work or study) and usually reside</w:t>
      </w:r>
      <w:r>
        <w:t>s</w:t>
      </w:r>
      <w:r w:rsidRPr="00977581">
        <w:t xml:space="preserve"> in Australia (</w:t>
      </w:r>
      <w:r w:rsidR="0030193B">
        <w:t>refer to</w:t>
      </w:r>
      <w:r w:rsidR="0030193B" w:rsidRPr="00977581">
        <w:t xml:space="preserve"> </w:t>
      </w:r>
      <w:r w:rsidR="008B75EE" w:rsidRPr="00977581">
        <w:t>definition</w:t>
      </w:r>
      <w:r w:rsidR="008B75EE">
        <w:t xml:space="preserve"> of</w:t>
      </w:r>
      <w:r w:rsidR="008B75EE" w:rsidRPr="00977581">
        <w:t xml:space="preserve"> </w:t>
      </w:r>
      <w:r w:rsidR="00050D25">
        <w:t>‘</w:t>
      </w:r>
      <w:r>
        <w:t>net</w:t>
      </w:r>
      <w:r w:rsidR="001339E1">
        <w:t> </w:t>
      </w:r>
      <w:r w:rsidRPr="00977581">
        <w:t>overseas migration</w:t>
      </w:r>
      <w:r w:rsidR="00050D25">
        <w:t>’</w:t>
      </w:r>
      <w:r w:rsidRPr="00977581">
        <w:t>). Temporary visa holders may have other conditions tied to their stay in Australia. Not</w:t>
      </w:r>
      <w:r w:rsidR="001339E1">
        <w:t> </w:t>
      </w:r>
      <w:r w:rsidRPr="00977581">
        <w:t xml:space="preserve">all temporary visa holders are considered residents as they may not meet the </w:t>
      </w:r>
      <w:r w:rsidR="00050D25">
        <w:t>‘</w:t>
      </w:r>
      <w:r w:rsidRPr="00977581">
        <w:t>usually resident in Australia</w:t>
      </w:r>
      <w:r w:rsidR="00050D25">
        <w:t>’</w:t>
      </w:r>
      <w:r w:rsidRPr="00977581">
        <w:t xml:space="preserve"> criterion.</w:t>
      </w:r>
      <w:bookmarkStart w:id="338" w:name="_Toc118887314"/>
      <w:bookmarkStart w:id="339" w:name="_Toc120635158"/>
    </w:p>
    <w:p w14:paraId="3A363B33" w14:textId="50FC02F1" w:rsidR="00BC2E77" w:rsidRDefault="00BC2E77" w:rsidP="00997375">
      <w:pPr>
        <w:pStyle w:val="GlossaryHeading2"/>
      </w:pPr>
      <w:bookmarkStart w:id="340" w:name="_Toc122617991"/>
      <w:bookmarkStart w:id="341" w:name="_Toc122618418"/>
      <w:r>
        <w:t>Natural increase</w:t>
      </w:r>
    </w:p>
    <w:p w14:paraId="43DF37F7" w14:textId="36528A09" w:rsidR="00BC2E77" w:rsidRPr="00BC2E77" w:rsidRDefault="00BC2E77" w:rsidP="003914B2">
      <w:r>
        <w:t xml:space="preserve">The population change resulting from the number of births minus </w:t>
      </w:r>
      <w:r w:rsidR="00290471">
        <w:t xml:space="preserve">the number of </w:t>
      </w:r>
      <w:r>
        <w:t xml:space="preserve">deaths </w:t>
      </w:r>
      <w:r w:rsidR="00247B0B">
        <w:t>over</w:t>
      </w:r>
      <w:r>
        <w:t xml:space="preserve"> a given </w:t>
      </w:r>
      <w:proofErr w:type="gramStart"/>
      <w:r w:rsidR="00205472">
        <w:t>period of</w:t>
      </w:r>
      <w:r w:rsidR="001339E1">
        <w:t> </w:t>
      </w:r>
      <w:r w:rsidR="00205472">
        <w:t>time</w:t>
      </w:r>
      <w:proofErr w:type="gramEnd"/>
      <w:r w:rsidR="00205472">
        <w:t>.</w:t>
      </w:r>
    </w:p>
    <w:p w14:paraId="78DEE647" w14:textId="14B21AC4" w:rsidR="00D7273B" w:rsidRPr="00977581" w:rsidRDefault="00D7273B" w:rsidP="00997375">
      <w:pPr>
        <w:pStyle w:val="GlossaryHeading2"/>
      </w:pPr>
      <w:r>
        <w:t>Net o</w:t>
      </w:r>
      <w:r w:rsidRPr="00977581">
        <w:t>verseas migration</w:t>
      </w:r>
      <w:r w:rsidR="00E84835">
        <w:t xml:space="preserve"> (NOM)</w:t>
      </w:r>
    </w:p>
    <w:p w14:paraId="1A351930" w14:textId="77777777" w:rsidR="00D7273B" w:rsidRPr="00232035" w:rsidRDefault="00D7273B" w:rsidP="00D7273B">
      <w:pPr>
        <w:rPr>
          <w:b/>
        </w:rPr>
      </w:pPr>
      <w:r>
        <w:t>T</w:t>
      </w:r>
      <w:r w:rsidRPr="0000228F">
        <w:t xml:space="preserve">he net gain or loss of population through immigration to, and emigration from, Australia. It is measured </w:t>
      </w:r>
      <w:r>
        <w:t>as</w:t>
      </w:r>
      <w:r w:rsidRPr="0000228F">
        <w:t xml:space="preserve"> </w:t>
      </w:r>
      <w:r>
        <w:t>the difference between the number of migrant arrivals and the number of migrant departures</w:t>
      </w:r>
      <w:r w:rsidRPr="0000228F" w:rsidDel="00B75F61">
        <w:t>.</w:t>
      </w:r>
      <w:r w:rsidRPr="0000228F">
        <w:t xml:space="preserve"> This includes individuals on both permanent and temporary visas, as well as returning and departing Australian citizens.</w:t>
      </w:r>
      <w:r>
        <w:t xml:space="preserve"> </w:t>
      </w:r>
    </w:p>
    <w:p w14:paraId="4CBB8EEC" w14:textId="77777777" w:rsidR="00997375" w:rsidRDefault="00997375">
      <w:pPr>
        <w:spacing w:before="0" w:after="160" w:line="259" w:lineRule="auto"/>
        <w:rPr>
          <w:b/>
          <w:i/>
          <w:color w:val="002C47" w:themeColor="accent1"/>
        </w:rPr>
      </w:pPr>
      <w:bookmarkStart w:id="342" w:name="_Toc118887317"/>
      <w:bookmarkStart w:id="343" w:name="_Toc120635161"/>
      <w:bookmarkStart w:id="344" w:name="_Toc122617994"/>
      <w:bookmarkStart w:id="345" w:name="_Toc122618421"/>
      <w:bookmarkEnd w:id="338"/>
      <w:bookmarkEnd w:id="339"/>
      <w:bookmarkEnd w:id="340"/>
      <w:bookmarkEnd w:id="341"/>
      <w:r>
        <w:br w:type="page"/>
      </w:r>
    </w:p>
    <w:p w14:paraId="6CDB4F76" w14:textId="0B7CC5C3" w:rsidR="00AA1191" w:rsidRPr="00977581" w:rsidRDefault="00AA1191" w:rsidP="00997375">
      <w:pPr>
        <w:pStyle w:val="GlossaryHeading2"/>
      </w:pPr>
      <w:r>
        <w:lastRenderedPageBreak/>
        <w:t>P</w:t>
      </w:r>
      <w:r w:rsidRPr="00977581">
        <w:t>opulation</w:t>
      </w:r>
    </w:p>
    <w:p w14:paraId="7D7B79C1" w14:textId="01C671AF" w:rsidR="00AA1191" w:rsidRDefault="00AA1191" w:rsidP="00997375">
      <w:r>
        <w:t>T</w:t>
      </w:r>
      <w:r w:rsidRPr="00977581">
        <w:t>he official measure of Australia</w:t>
      </w:r>
      <w:r w:rsidR="00050D25">
        <w:t>’</w:t>
      </w:r>
      <w:r w:rsidRPr="00977581">
        <w:t>s population based on the concept of usual residence</w:t>
      </w:r>
      <w:r>
        <w:t xml:space="preserve"> –</w:t>
      </w:r>
      <w:r w:rsidR="00C507A6">
        <w:t xml:space="preserve"> </w:t>
      </w:r>
      <w:r>
        <w:t>known as estimated resident population</w:t>
      </w:r>
      <w:r w:rsidRPr="00977581">
        <w:t>.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w:t>
      </w:r>
      <w:r>
        <w:t>refer to</w:t>
      </w:r>
      <w:r w:rsidRPr="00977581">
        <w:t xml:space="preserve"> definition</w:t>
      </w:r>
      <w:r>
        <w:t xml:space="preserve"> of</w:t>
      </w:r>
      <w:r w:rsidRPr="00977581">
        <w:t xml:space="preserve"> </w:t>
      </w:r>
      <w:r w:rsidR="00050D25">
        <w:t>‘</w:t>
      </w:r>
      <w:r>
        <w:t xml:space="preserve">net </w:t>
      </w:r>
      <w:r w:rsidRPr="00977581">
        <w:t>overseas migration</w:t>
      </w:r>
      <w:r w:rsidR="00050D25">
        <w:t>’</w:t>
      </w:r>
      <w:r w:rsidRPr="00977581">
        <w:t>).</w:t>
      </w:r>
      <w:r w:rsidRPr="00977581">
        <w:rPr>
          <w:rStyle w:val="FootnoteReference"/>
        </w:rPr>
        <w:footnoteReference w:id="67"/>
      </w:r>
    </w:p>
    <w:p w14:paraId="02140442" w14:textId="38E327D2" w:rsidR="00D7273B" w:rsidRDefault="00D7273B" w:rsidP="00997375">
      <w:pPr>
        <w:pStyle w:val="GlossaryHeading2"/>
      </w:pPr>
      <w:r>
        <w:t>Population momentum</w:t>
      </w:r>
    </w:p>
    <w:p w14:paraId="54F405D5" w14:textId="6647C031" w:rsidR="00D7273B" w:rsidRPr="009C6356" w:rsidRDefault="00D7273B" w:rsidP="00D7273B">
      <w:r>
        <w:t>Population momentum refers to the effect that the age structure of the current population has on its future size and composition. Population momentum can add to, or subtract from, population growth. For example, regardless of the total fertility rate, a younger age structure contributes to faster population growth, as it will mean more births and fewer deaths.</w:t>
      </w:r>
    </w:p>
    <w:p w14:paraId="30909C84" w14:textId="77777777" w:rsidR="00D7273B" w:rsidRDefault="00D7273B" w:rsidP="00997375">
      <w:pPr>
        <w:pStyle w:val="GlossaryHeading2"/>
      </w:pPr>
      <w:r>
        <w:t>Recuperation</w:t>
      </w:r>
    </w:p>
    <w:p w14:paraId="36D14028" w14:textId="0DCAFF74" w:rsidR="00D7273B" w:rsidRPr="007D463D" w:rsidRDefault="00D7273B" w:rsidP="00D7273B">
      <w:r>
        <w:t xml:space="preserve">Recuperation refers to an increase in births at older ages that compensates for a delay in childbearing at younger ages. </w:t>
      </w:r>
    </w:p>
    <w:p w14:paraId="14970DF5" w14:textId="77777777" w:rsidR="00D7273B" w:rsidRPr="00977581" w:rsidRDefault="00D7273B" w:rsidP="00997375">
      <w:pPr>
        <w:pStyle w:val="GlossaryHeading2"/>
      </w:pPr>
      <w:r w:rsidRPr="00977581">
        <w:t>Replacement rate</w:t>
      </w:r>
      <w:bookmarkEnd w:id="342"/>
      <w:bookmarkEnd w:id="343"/>
      <w:bookmarkEnd w:id="344"/>
      <w:bookmarkEnd w:id="345"/>
    </w:p>
    <w:p w14:paraId="01FF382A" w14:textId="3F0D4C06" w:rsidR="00D7273B" w:rsidRPr="00977581" w:rsidRDefault="00D7273B" w:rsidP="00D7273B">
      <w:r>
        <w:rPr>
          <w:rFonts w:eastAsia="Times New Roman"/>
        </w:rPr>
        <w:t>T</w:t>
      </w:r>
      <w:r w:rsidRPr="00977581">
        <w:rPr>
          <w:rFonts w:eastAsia="Times New Roman"/>
        </w:rPr>
        <w:t xml:space="preserve">he number of babies a woman would need to have over her reproductive lifespan to replace herself and her partner. Given not all babies survive to reproductive age and are </w:t>
      </w:r>
      <w:r>
        <w:rPr>
          <w:rFonts w:eastAsia="Times New Roman"/>
        </w:rPr>
        <w:t>slightly</w:t>
      </w:r>
      <w:r w:rsidRPr="00977581">
        <w:rPr>
          <w:rFonts w:eastAsia="Times New Roman"/>
        </w:rPr>
        <w:t xml:space="preserve"> more likely to be male, replacement fertility is around 2.1 babies per woman in </w:t>
      </w:r>
      <w:r>
        <w:rPr>
          <w:rFonts w:eastAsia="Times New Roman"/>
        </w:rPr>
        <w:t>advanced economies</w:t>
      </w:r>
      <w:r w:rsidRPr="00977581">
        <w:rPr>
          <w:rFonts w:eastAsia="Times New Roman"/>
        </w:rPr>
        <w:t>.</w:t>
      </w:r>
    </w:p>
    <w:p w14:paraId="371A53AA" w14:textId="38D1598F" w:rsidR="00D7273B" w:rsidRPr="00977581" w:rsidRDefault="00D7273B" w:rsidP="00997375">
      <w:pPr>
        <w:pStyle w:val="GlossaryHeading2"/>
      </w:pPr>
      <w:bookmarkStart w:id="346" w:name="_Toc118887318"/>
      <w:bookmarkStart w:id="347" w:name="_Toc120635162"/>
      <w:bookmarkStart w:id="348" w:name="_Toc122617995"/>
      <w:bookmarkStart w:id="349" w:name="_Toc122618422"/>
      <w:r w:rsidRPr="00977581">
        <w:t>Rest</w:t>
      </w:r>
      <w:r w:rsidR="00050D25">
        <w:noBreakHyphen/>
      </w:r>
      <w:r w:rsidRPr="00977581">
        <w:t>of</w:t>
      </w:r>
      <w:r w:rsidR="00050D25">
        <w:noBreakHyphen/>
      </w:r>
      <w:r w:rsidRPr="00977581">
        <w:t xml:space="preserve">state </w:t>
      </w:r>
      <w:proofErr w:type="gramStart"/>
      <w:r w:rsidRPr="00977581">
        <w:t>area</w:t>
      </w:r>
      <w:bookmarkEnd w:id="346"/>
      <w:bookmarkEnd w:id="347"/>
      <w:bookmarkEnd w:id="348"/>
      <w:bookmarkEnd w:id="349"/>
      <w:proofErr w:type="gramEnd"/>
    </w:p>
    <w:p w14:paraId="08086147" w14:textId="0B87807A" w:rsidR="00D7273B" w:rsidRPr="00977581" w:rsidRDefault="00D7273B" w:rsidP="00D7273B">
      <w:pPr>
        <w:rPr>
          <w:sz w:val="18"/>
        </w:rPr>
      </w:pPr>
      <w:bookmarkStart w:id="350" w:name="_Toc118887319"/>
      <w:r>
        <w:t>The area w</w:t>
      </w:r>
      <w:r w:rsidRPr="00977581">
        <w:t xml:space="preserve">ithin each state </w:t>
      </w:r>
      <w:r>
        <w:t>that is</w:t>
      </w:r>
      <w:r w:rsidRPr="00977581">
        <w:t xml:space="preserve"> not defined as being part of the Greater Capital</w:t>
      </w:r>
      <w:r w:rsidR="00B41783">
        <w:t xml:space="preserve"> City</w:t>
      </w:r>
      <w:r w:rsidR="00EC593E">
        <w:t>.</w:t>
      </w:r>
      <w:r w:rsidRPr="00977581">
        <w:rPr>
          <w:rStyle w:val="FootnoteReference"/>
        </w:rPr>
        <w:footnoteReference w:id="68"/>
      </w:r>
    </w:p>
    <w:p w14:paraId="448893F8" w14:textId="77777777" w:rsidR="00D7273B" w:rsidRPr="00977581" w:rsidRDefault="00D7273B" w:rsidP="00997375">
      <w:pPr>
        <w:pStyle w:val="GlossaryHeading2"/>
      </w:pPr>
      <w:bookmarkStart w:id="351" w:name="_Toc118887321"/>
      <w:bookmarkStart w:id="352" w:name="_Toc120635165"/>
      <w:bookmarkStart w:id="353" w:name="_Toc122617998"/>
      <w:bookmarkStart w:id="354" w:name="_Toc122618425"/>
      <w:bookmarkEnd w:id="350"/>
      <w:r w:rsidRPr="00977581">
        <w:t xml:space="preserve">Total fertility rate </w:t>
      </w:r>
      <w:bookmarkEnd w:id="351"/>
      <w:bookmarkEnd w:id="352"/>
      <w:bookmarkEnd w:id="353"/>
      <w:bookmarkEnd w:id="354"/>
    </w:p>
    <w:p w14:paraId="46A16D41" w14:textId="471BBA7F" w:rsidR="00D7273B" w:rsidRDefault="00D7273B" w:rsidP="00D7273B">
      <w:pPr>
        <w:rPr>
          <w:spacing w:val="-2"/>
        </w:rPr>
      </w:pPr>
      <w:r>
        <w:rPr>
          <w:spacing w:val="-2"/>
        </w:rPr>
        <w:t>An estimate of</w:t>
      </w:r>
      <w:r w:rsidRPr="00B35A85">
        <w:rPr>
          <w:spacing w:val="-2"/>
        </w:rPr>
        <w:t xml:space="preserve"> the number of children a woman would have during her lifetime if she experienced the age</w:t>
      </w:r>
      <w:r w:rsidR="00050D25">
        <w:rPr>
          <w:spacing w:val="-2"/>
        </w:rPr>
        <w:noBreakHyphen/>
      </w:r>
      <w:r w:rsidRPr="00B35A85">
        <w:rPr>
          <w:spacing w:val="-2"/>
        </w:rPr>
        <w:t>specific fertility rates for a given year at each age of her reproductive life.</w:t>
      </w:r>
    </w:p>
    <w:p w14:paraId="39E9407D" w14:textId="434CDA9D" w:rsidR="00D7273B" w:rsidRPr="00977581" w:rsidRDefault="00D7273B" w:rsidP="00997375">
      <w:pPr>
        <w:pStyle w:val="GlossaryHeading2"/>
      </w:pPr>
      <w:r>
        <w:t>With</w:t>
      </w:r>
      <w:r w:rsidR="00050D25">
        <w:noBreakHyphen/>
      </w:r>
      <w:r>
        <w:t>migration replacement t</w:t>
      </w:r>
      <w:r w:rsidRPr="00977581">
        <w:t xml:space="preserve">otal fertility rate </w:t>
      </w:r>
    </w:p>
    <w:p w14:paraId="1019C08F" w14:textId="193BDE0C" w:rsidR="00D7273B" w:rsidRPr="000B1A20" w:rsidRDefault="00D7273B" w:rsidP="00D7273B">
      <w:pPr>
        <w:rPr>
          <w:spacing w:val="-2"/>
        </w:rPr>
      </w:pPr>
      <w:r>
        <w:rPr>
          <w:spacing w:val="-2"/>
        </w:rPr>
        <w:t xml:space="preserve">A measure of the total fertility rate that, in combination with projected levels of </w:t>
      </w:r>
      <w:r w:rsidR="00E84835">
        <w:rPr>
          <w:spacing w:val="-2"/>
        </w:rPr>
        <w:t>NOM</w:t>
      </w:r>
      <w:r>
        <w:rPr>
          <w:spacing w:val="-2"/>
        </w:rPr>
        <w:t xml:space="preserve"> and life expectancy, would be consistent with zero long</w:t>
      </w:r>
      <w:r w:rsidR="00050D25">
        <w:rPr>
          <w:spacing w:val="-2"/>
        </w:rPr>
        <w:noBreakHyphen/>
      </w:r>
      <w:r>
        <w:rPr>
          <w:spacing w:val="-2"/>
        </w:rPr>
        <w:t>run population growth.</w:t>
      </w:r>
    </w:p>
    <w:p w14:paraId="46FCD942" w14:textId="77777777" w:rsidR="00D7273B" w:rsidRDefault="00D7273B" w:rsidP="00D7273B">
      <w:pPr>
        <w:spacing w:before="0" w:after="160" w:line="259" w:lineRule="auto"/>
        <w:rPr>
          <w:b/>
          <w:smallCaps/>
          <w:color w:val="FFFFFF" w:themeColor="background1"/>
          <w:spacing w:val="15"/>
          <w:sz w:val="22"/>
          <w:szCs w:val="22"/>
        </w:rPr>
      </w:pPr>
      <w:r>
        <w:br w:type="page"/>
      </w:r>
    </w:p>
    <w:bookmarkStart w:id="355" w:name="_Toc180584534" w:displacedByCustomXml="next"/>
    <w:bookmarkStart w:id="356" w:name="_Toc185333124" w:displacedByCustomXml="next"/>
    <w:bookmarkStart w:id="357" w:name="_Toc185346741" w:displacedByCustomXml="next"/>
    <w:bookmarkStart w:id="358" w:name="_Toc149846526" w:displacedByCustomXml="next"/>
    <w:bookmarkStart w:id="359" w:name="_Toc149846567" w:displacedByCustomXml="next"/>
    <w:bookmarkStart w:id="360" w:name="_Toc149846665" w:displacedByCustomXml="next"/>
    <w:bookmarkStart w:id="361" w:name="_Toc149847608" w:displacedByCustomXml="next"/>
    <w:bookmarkStart w:id="362" w:name="_Toc151994737" w:displacedByCustomXml="next"/>
    <w:sdt>
      <w:sdtPr>
        <w:rPr>
          <w:b w:val="0"/>
          <w:smallCaps w:val="0"/>
          <w:color w:val="auto"/>
          <w:spacing w:val="0"/>
          <w:sz w:val="20"/>
          <w:szCs w:val="20"/>
        </w:rPr>
        <w:id w:val="-1845615810"/>
        <w:docPartObj>
          <w:docPartGallery w:val="Bibliographies"/>
          <w:docPartUnique/>
        </w:docPartObj>
      </w:sdtPr>
      <w:sdtEndPr/>
      <w:sdtContent>
        <w:bookmarkEnd w:id="355" w:displacedByCustomXml="next"/>
        <w:bookmarkEnd w:id="356" w:displacedByCustomXml="next"/>
        <w:bookmarkEnd w:id="357" w:displacedByCustomXml="next"/>
        <w:sdt>
          <w:sdtPr>
            <w:rPr>
              <w:b w:val="0"/>
              <w:smallCaps w:val="0"/>
              <w:color w:val="auto"/>
              <w:spacing w:val="0"/>
              <w:sz w:val="20"/>
              <w:szCs w:val="20"/>
            </w:rPr>
            <w:id w:val="1104548631"/>
            <w:docPartObj>
              <w:docPartGallery w:val="Bibliographies"/>
              <w:docPartUnique/>
            </w:docPartObj>
          </w:sdtPr>
          <w:sdtEndPr/>
          <w:sdtContent>
            <w:p w14:paraId="53E3495D" w14:textId="77777777" w:rsidR="003E1E4A" w:rsidRDefault="003E1E4A" w:rsidP="003E1E4A">
              <w:pPr>
                <w:pStyle w:val="Heading1"/>
              </w:pPr>
              <w:r>
                <w:t>References</w:t>
              </w:r>
            </w:p>
            <w:p w14:paraId="51825538" w14:textId="7C2CD875" w:rsidR="003E1E4A" w:rsidRDefault="003E1E4A" w:rsidP="003E1E4A">
              <w:pPr>
                <w:pStyle w:val="Bibliography"/>
                <w:ind w:left="720" w:hanging="720"/>
                <w:rPr>
                  <w:noProof/>
                  <w:sz w:val="24"/>
                  <w:szCs w:val="24"/>
                </w:rPr>
              </w:pPr>
              <w:r>
                <w:rPr>
                  <w:noProof/>
                </w:rPr>
                <w:t>Adair, T.</w:t>
              </w:r>
              <w:r w:rsidR="00AB752F">
                <w:rPr>
                  <w:noProof/>
                </w:rPr>
                <w:t>,</w:t>
              </w:r>
              <w:r>
                <w:rPr>
                  <w:noProof/>
                </w:rPr>
                <w:t xml:space="preserve"> H</w:t>
              </w:r>
              <w:r w:rsidR="00AB752F">
                <w:rPr>
                  <w:noProof/>
                </w:rPr>
                <w:t>oule, B</w:t>
              </w:r>
              <w:r w:rsidR="00E53D58">
                <w:rPr>
                  <w:noProof/>
                </w:rPr>
                <w:t>,</w:t>
              </w:r>
              <w:r w:rsidR="00CA0A86">
                <w:rPr>
                  <w:noProof/>
                </w:rPr>
                <w:t xml:space="preserve"> &amp; Canudas-Romo, V,</w:t>
              </w:r>
              <w:r>
                <w:rPr>
                  <w:noProof/>
                </w:rPr>
                <w:t xml:space="preserve">. (2024). </w:t>
              </w:r>
              <w:r w:rsidRPr="00236366">
                <w:rPr>
                  <w:rStyle w:val="SubtleEmphasis"/>
                </w:rPr>
                <w:t>Submission to the Inquiry into Excess Mortality</w:t>
              </w:r>
              <w:r w:rsidR="00CA0A86">
                <w:rPr>
                  <w:rStyle w:val="SubtleEmphasis"/>
                </w:rPr>
                <w:t>, Senate Community Affairs References Committee</w:t>
              </w:r>
              <w:r w:rsidRPr="00AE142A">
                <w:rPr>
                  <w:i/>
                  <w:iCs/>
                  <w:noProof/>
                </w:rPr>
                <w:t>.</w:t>
              </w:r>
              <w:r>
                <w:rPr>
                  <w:noProof/>
                </w:rPr>
                <w:t xml:space="preserve"> </w:t>
              </w:r>
            </w:p>
            <w:p w14:paraId="100C166B" w14:textId="362D118E" w:rsidR="003E1E4A" w:rsidRDefault="003E1E4A" w:rsidP="003E1E4A">
              <w:pPr>
                <w:pStyle w:val="Bibliography"/>
                <w:ind w:left="720" w:hanging="720"/>
                <w:rPr>
                  <w:noProof/>
                </w:rPr>
              </w:pPr>
              <w:r>
                <w:rPr>
                  <w:noProof/>
                </w:rPr>
                <w:t xml:space="preserve">Administrative Review Tribunal. (2024, November 29). </w:t>
              </w:r>
              <w:r w:rsidRPr="00236366">
                <w:rPr>
                  <w:rStyle w:val="SubtleEmphasis"/>
                </w:rPr>
                <w:t>Processing times for the former AAT</w:t>
              </w:r>
              <w:r w:rsidR="00050D25" w:rsidRPr="00236366">
                <w:rPr>
                  <w:rStyle w:val="SubtleEmphasis"/>
                </w:rPr>
                <w:t>’</w:t>
              </w:r>
              <w:r w:rsidRPr="00236366">
                <w:rPr>
                  <w:rStyle w:val="SubtleEmphasis"/>
                </w:rPr>
                <w:t>s Migration and Refugee Division</w:t>
              </w:r>
              <w:r>
                <w:rPr>
                  <w:noProof/>
                </w:rPr>
                <w:t>. Retrieved from https://www.art.gov.au/about</w:t>
              </w:r>
              <w:r w:rsidR="00050D25">
                <w:rPr>
                  <w:noProof/>
                </w:rPr>
                <w:t>-</w:t>
              </w:r>
              <w:r>
                <w:rPr>
                  <w:noProof/>
                </w:rPr>
                <w:t>us/accountability</w:t>
              </w:r>
              <w:r w:rsidR="00050D25">
                <w:rPr>
                  <w:noProof/>
                </w:rPr>
                <w:t>-</w:t>
              </w:r>
              <w:r>
                <w:rPr>
                  <w:noProof/>
                </w:rPr>
                <w:t>and</w:t>
              </w:r>
              <w:r w:rsidR="00050D25">
                <w:rPr>
                  <w:noProof/>
                </w:rPr>
                <w:t>-</w:t>
              </w:r>
              <w:r>
                <w:rPr>
                  <w:noProof/>
                </w:rPr>
                <w:t>reporting/former</w:t>
              </w:r>
              <w:r w:rsidR="00050D25">
                <w:rPr>
                  <w:noProof/>
                </w:rPr>
                <w:t>-</w:t>
              </w:r>
              <w:r>
                <w:rPr>
                  <w:noProof/>
                </w:rPr>
                <w:t>administrative</w:t>
              </w:r>
              <w:r w:rsidR="00050D25">
                <w:rPr>
                  <w:noProof/>
                </w:rPr>
                <w:t>-</w:t>
              </w:r>
              <w:r>
                <w:rPr>
                  <w:noProof/>
                </w:rPr>
                <w:t>appeals</w:t>
              </w:r>
              <w:r w:rsidR="00050D25">
                <w:rPr>
                  <w:noProof/>
                </w:rPr>
                <w:t>-</w:t>
              </w:r>
              <w:r>
                <w:rPr>
                  <w:noProof/>
                </w:rPr>
                <w:t>tribunal/processing</w:t>
              </w:r>
              <w:r w:rsidR="00050D25">
                <w:rPr>
                  <w:noProof/>
                </w:rPr>
                <w:t>-</w:t>
              </w:r>
              <w:r>
                <w:rPr>
                  <w:noProof/>
                </w:rPr>
                <w:t>times</w:t>
              </w:r>
              <w:r w:rsidR="00050D25">
                <w:rPr>
                  <w:noProof/>
                </w:rPr>
                <w:t>-</w:t>
              </w:r>
              <w:r>
                <w:rPr>
                  <w:noProof/>
                </w:rPr>
                <w:t>former</w:t>
              </w:r>
              <w:r w:rsidR="00050D25">
                <w:rPr>
                  <w:noProof/>
                </w:rPr>
                <w:t>-</w:t>
              </w:r>
              <w:r>
                <w:rPr>
                  <w:noProof/>
                </w:rPr>
                <w:t>aats</w:t>
              </w:r>
              <w:r w:rsidR="00050D25">
                <w:rPr>
                  <w:noProof/>
                </w:rPr>
                <w:t>-</w:t>
              </w:r>
              <w:r>
                <w:rPr>
                  <w:noProof/>
                </w:rPr>
                <w:t>migration</w:t>
              </w:r>
              <w:r w:rsidR="00050D25">
                <w:rPr>
                  <w:noProof/>
                </w:rPr>
                <w:t>-</w:t>
              </w:r>
              <w:r>
                <w:rPr>
                  <w:noProof/>
                </w:rPr>
                <w:t>and</w:t>
              </w:r>
              <w:r w:rsidR="00050D25">
                <w:rPr>
                  <w:noProof/>
                </w:rPr>
                <w:t>-</w:t>
              </w:r>
              <w:r>
                <w:rPr>
                  <w:noProof/>
                </w:rPr>
                <w:t>refugee</w:t>
              </w:r>
              <w:r w:rsidR="00050D25">
                <w:rPr>
                  <w:noProof/>
                </w:rPr>
                <w:t>-</w:t>
              </w:r>
              <w:r>
                <w:rPr>
                  <w:noProof/>
                </w:rPr>
                <w:t>division</w:t>
              </w:r>
            </w:p>
            <w:p w14:paraId="3AC4CEE1" w14:textId="23DC1764" w:rsidR="003E1E4A" w:rsidRPr="008C7979" w:rsidRDefault="003E1E4A" w:rsidP="003E1E4A">
              <w:pPr>
                <w:pStyle w:val="Bibliography"/>
                <w:ind w:left="720" w:hanging="720"/>
                <w:rPr>
                  <w:noProof/>
                </w:rPr>
              </w:pPr>
              <w:r w:rsidRPr="0017016B">
                <w:rPr>
                  <w:noProof/>
                </w:rPr>
                <w:t xml:space="preserve">Australian Bureau of Statistics. (2023). </w:t>
              </w:r>
              <w:r w:rsidRPr="00236366">
                <w:rPr>
                  <w:rStyle w:val="SubtleEmphasis"/>
                </w:rPr>
                <w:t>Labour Force Status of Families</w:t>
              </w:r>
              <w:r w:rsidRPr="0017016B">
                <w:rPr>
                  <w:noProof/>
                </w:rPr>
                <w:t>. Retrieved from https://www.abs.gov.au/statistics/labour/employment</w:t>
              </w:r>
              <w:r w:rsidR="00050D25">
                <w:rPr>
                  <w:noProof/>
                </w:rPr>
                <w:t>-</w:t>
              </w:r>
              <w:r w:rsidRPr="0017016B">
                <w:rPr>
                  <w:noProof/>
                </w:rPr>
                <w:t>and</w:t>
              </w:r>
              <w:r w:rsidR="00050D25">
                <w:rPr>
                  <w:noProof/>
                </w:rPr>
                <w:t>-</w:t>
              </w:r>
              <w:r w:rsidRPr="0017016B">
                <w:rPr>
                  <w:noProof/>
                </w:rPr>
                <w:t>unemployment/labour</w:t>
              </w:r>
              <w:r w:rsidR="00050D25">
                <w:rPr>
                  <w:noProof/>
                </w:rPr>
                <w:t>-</w:t>
              </w:r>
              <w:r w:rsidRPr="0017016B">
                <w:rPr>
                  <w:noProof/>
                </w:rPr>
                <w:t>force</w:t>
              </w:r>
              <w:r w:rsidR="00050D25">
                <w:rPr>
                  <w:noProof/>
                </w:rPr>
                <w:t>-</w:t>
              </w:r>
              <w:r w:rsidRPr="0017016B">
                <w:rPr>
                  <w:noProof/>
                </w:rPr>
                <w:t>status</w:t>
              </w:r>
              <w:r w:rsidR="00050D25">
                <w:rPr>
                  <w:noProof/>
                </w:rPr>
                <w:t>-</w:t>
              </w:r>
              <w:r w:rsidRPr="0017016B">
                <w:rPr>
                  <w:noProof/>
                </w:rPr>
                <w:t>families/latest</w:t>
              </w:r>
              <w:r w:rsidR="00050D25">
                <w:rPr>
                  <w:noProof/>
                </w:rPr>
                <w:t>-</w:t>
              </w:r>
              <w:r w:rsidRPr="0017016B">
                <w:rPr>
                  <w:noProof/>
                </w:rPr>
                <w:t>release</w:t>
              </w:r>
            </w:p>
            <w:p w14:paraId="2B415692" w14:textId="40EE9A37" w:rsidR="003E1E4A" w:rsidRPr="008C7979" w:rsidRDefault="003E1E4A" w:rsidP="003E1E4A">
              <w:pPr>
                <w:pStyle w:val="Bibliography"/>
                <w:ind w:left="720" w:hanging="720"/>
                <w:rPr>
                  <w:noProof/>
                </w:rPr>
              </w:pPr>
              <w:r w:rsidRPr="008C7979">
                <w:rPr>
                  <w:noProof/>
                </w:rPr>
                <w:t xml:space="preserve">Australian Bureau of Statistics. (2023). </w:t>
              </w:r>
              <w:r w:rsidRPr="00236366">
                <w:rPr>
                  <w:rStyle w:val="SubtleEmphasis"/>
                </w:rPr>
                <w:t>National, state and territory population methodology, March 2023</w:t>
              </w:r>
              <w:r w:rsidRPr="008C7979">
                <w:rPr>
                  <w:i/>
                  <w:iCs/>
                  <w:noProof/>
                </w:rPr>
                <w:t>.</w:t>
              </w:r>
              <w:r w:rsidRPr="008C7979">
                <w:rPr>
                  <w:noProof/>
                </w:rPr>
                <w:t xml:space="preserve"> Retrieved from https://www.abs.gov.au/methodologies/national</w:t>
              </w:r>
              <w:r w:rsidR="00050D25">
                <w:rPr>
                  <w:noProof/>
                </w:rPr>
                <w:t>-</w:t>
              </w:r>
              <w:r w:rsidRPr="008C7979">
                <w:rPr>
                  <w:noProof/>
                </w:rPr>
                <w:t>state</w:t>
              </w:r>
              <w:r w:rsidR="00050D25">
                <w:rPr>
                  <w:noProof/>
                </w:rPr>
                <w:t>-</w:t>
              </w:r>
              <w:r w:rsidRPr="008C7979">
                <w:rPr>
                  <w:noProof/>
                </w:rPr>
                <w:t>and</w:t>
              </w:r>
              <w:r w:rsidR="00050D25">
                <w:rPr>
                  <w:noProof/>
                </w:rPr>
                <w:t>-</w:t>
              </w:r>
              <w:r w:rsidRPr="008C7979">
                <w:rPr>
                  <w:noProof/>
                </w:rPr>
                <w:t>territory</w:t>
              </w:r>
              <w:r w:rsidR="00050D25">
                <w:rPr>
                  <w:noProof/>
                </w:rPr>
                <w:t>-</w:t>
              </w:r>
              <w:r w:rsidRPr="008C7979">
                <w:rPr>
                  <w:noProof/>
                </w:rPr>
                <w:t>population</w:t>
              </w:r>
              <w:r w:rsidR="00050D25">
                <w:rPr>
                  <w:noProof/>
                </w:rPr>
                <w:t>-</w:t>
              </w:r>
              <w:r w:rsidRPr="008C7979">
                <w:rPr>
                  <w:noProof/>
                </w:rPr>
                <w:t>methodology/mar</w:t>
              </w:r>
              <w:r w:rsidR="00050D25">
                <w:rPr>
                  <w:noProof/>
                </w:rPr>
                <w:t>-</w:t>
              </w:r>
              <w:r w:rsidRPr="008C7979">
                <w:rPr>
                  <w:noProof/>
                </w:rPr>
                <w:t>2023</w:t>
              </w:r>
            </w:p>
            <w:p w14:paraId="04A2E7CC" w14:textId="161B24DE" w:rsidR="003E1E4A" w:rsidRDefault="003E1E4A" w:rsidP="003E1E4A">
              <w:pPr>
                <w:pStyle w:val="Bibliography"/>
                <w:ind w:left="720" w:hanging="720"/>
                <w:rPr>
                  <w:noProof/>
                </w:rPr>
              </w:pPr>
              <w:r w:rsidRPr="0017016B">
                <w:rPr>
                  <w:noProof/>
                </w:rPr>
                <w:t xml:space="preserve">Australian Bureau of Statistics. (2024). </w:t>
              </w:r>
              <w:r w:rsidRPr="00236366">
                <w:rPr>
                  <w:rStyle w:val="SubtleEmphasis"/>
                </w:rPr>
                <w:t>Measuring the labour contribution of unpaid care in the Labour Account</w:t>
              </w:r>
              <w:r w:rsidRPr="0017016B">
                <w:rPr>
                  <w:noProof/>
                </w:rPr>
                <w:t>. Retrieved from https://www.abs.gov.au/statistics/detailed</w:t>
              </w:r>
              <w:r w:rsidR="00050D25">
                <w:rPr>
                  <w:noProof/>
                </w:rPr>
                <w:t>-</w:t>
              </w:r>
              <w:r w:rsidRPr="0017016B">
                <w:rPr>
                  <w:noProof/>
                </w:rPr>
                <w:t>methodology</w:t>
              </w:r>
              <w:r w:rsidR="00050D25">
                <w:rPr>
                  <w:noProof/>
                </w:rPr>
                <w:t>-</w:t>
              </w:r>
              <w:r w:rsidRPr="0017016B">
                <w:rPr>
                  <w:noProof/>
                </w:rPr>
                <w:t>information/information</w:t>
              </w:r>
              <w:r w:rsidR="00050D25">
                <w:rPr>
                  <w:noProof/>
                </w:rPr>
                <w:t>-</w:t>
              </w:r>
              <w:r w:rsidRPr="0017016B">
                <w:rPr>
                  <w:noProof/>
                </w:rPr>
                <w:t>papers/measuring</w:t>
              </w:r>
              <w:r w:rsidR="00050D25">
                <w:rPr>
                  <w:noProof/>
                </w:rPr>
                <w:t>-</w:t>
              </w:r>
              <w:r w:rsidRPr="0017016B">
                <w:rPr>
                  <w:noProof/>
                </w:rPr>
                <w:t>labour</w:t>
              </w:r>
              <w:r w:rsidR="00050D25">
                <w:rPr>
                  <w:noProof/>
                </w:rPr>
                <w:t>-</w:t>
              </w:r>
              <w:r w:rsidRPr="0017016B">
                <w:rPr>
                  <w:noProof/>
                </w:rPr>
                <w:t>contribution</w:t>
              </w:r>
              <w:r w:rsidR="00050D25">
                <w:rPr>
                  <w:noProof/>
                </w:rPr>
                <w:t>-</w:t>
              </w:r>
              <w:r w:rsidRPr="0017016B">
                <w:rPr>
                  <w:noProof/>
                </w:rPr>
                <w:t>unpaid</w:t>
              </w:r>
              <w:r w:rsidR="00050D25">
                <w:rPr>
                  <w:noProof/>
                </w:rPr>
                <w:t>-c</w:t>
              </w:r>
              <w:r w:rsidRPr="0017016B">
                <w:rPr>
                  <w:noProof/>
                </w:rPr>
                <w:t>are</w:t>
              </w:r>
              <w:r w:rsidR="00050D25">
                <w:rPr>
                  <w:noProof/>
                </w:rPr>
                <w:t>-</w:t>
              </w:r>
              <w:r w:rsidRPr="0017016B">
                <w:rPr>
                  <w:noProof/>
                </w:rPr>
                <w:t>labour</w:t>
              </w:r>
              <w:r w:rsidR="00050D25">
                <w:rPr>
                  <w:noProof/>
                </w:rPr>
                <w:t>-</w:t>
              </w:r>
              <w:r w:rsidRPr="0017016B">
                <w:rPr>
                  <w:noProof/>
                </w:rPr>
                <w:t>account</w:t>
              </w:r>
            </w:p>
            <w:p w14:paraId="29B0C377" w14:textId="18E9B943" w:rsidR="003E1E4A" w:rsidRDefault="003E1E4A" w:rsidP="003E1E4A">
              <w:pPr>
                <w:pStyle w:val="Bibliography"/>
                <w:ind w:left="720" w:hanging="720"/>
                <w:rPr>
                  <w:noProof/>
                </w:rPr>
              </w:pPr>
              <w:r w:rsidRPr="00AE142A">
                <w:rPr>
                  <w:noProof/>
                </w:rPr>
                <w:t>Baffour,</w:t>
              </w:r>
              <w:r w:rsidR="009862F0" w:rsidRPr="00AE142A">
                <w:rPr>
                  <w:noProof/>
                </w:rPr>
                <w:t xml:space="preserve"> B</w:t>
              </w:r>
              <w:r w:rsidR="00AE142A" w:rsidRPr="00AE142A">
                <w:rPr>
                  <w:noProof/>
                </w:rPr>
                <w:t>.</w:t>
              </w:r>
              <w:r w:rsidRPr="00AE142A">
                <w:rPr>
                  <w:noProof/>
                </w:rPr>
                <w:t xml:space="preserve"> (2020).</w:t>
              </w:r>
              <w:r>
                <w:rPr>
                  <w:noProof/>
                </w:rPr>
                <w:t xml:space="preserve"> </w:t>
              </w:r>
              <w:r w:rsidRPr="00236366">
                <w:rPr>
                  <w:rStyle w:val="SubtleEmphasis"/>
                </w:rPr>
                <w:t>Recent trends in immigrant fertility in Australia</w:t>
              </w:r>
              <w:r>
                <w:rPr>
                  <w:noProof/>
                </w:rPr>
                <w:t xml:space="preserve">. </w:t>
              </w:r>
              <w:r w:rsidRPr="0017016B">
                <w:rPr>
                  <w:noProof/>
                </w:rPr>
                <w:t>Journal of International Migration and Integr</w:t>
              </w:r>
              <w:r w:rsidR="00BB75D4">
                <w:rPr>
                  <w:noProof/>
                </w:rPr>
                <w:t>a</w:t>
              </w:r>
              <w:r w:rsidRPr="0017016B">
                <w:rPr>
                  <w:noProof/>
                </w:rPr>
                <w:t>tion</w:t>
              </w:r>
              <w:r w:rsidRPr="00DD0195">
                <w:rPr>
                  <w:noProof/>
                </w:rPr>
                <w:t>.</w:t>
              </w:r>
            </w:p>
            <w:p w14:paraId="7D4771D6" w14:textId="57E55ECE" w:rsidR="003E1E4A" w:rsidRDefault="003E1E4A" w:rsidP="003E1E4A">
              <w:pPr>
                <w:pStyle w:val="Bibliography"/>
                <w:ind w:left="720" w:hanging="720"/>
                <w:rPr>
                  <w:noProof/>
                </w:rPr>
              </w:pPr>
              <w:r>
                <w:rPr>
                  <w:noProof/>
                </w:rPr>
                <w:t>Coates, B., &amp; Wiltshire, T. (2024).</w:t>
              </w:r>
              <w:r w:rsidRPr="00236366">
                <w:rPr>
                  <w:rStyle w:val="SubtleEmphasis"/>
                </w:rPr>
                <w:t xml:space="preserve"> Cutting permanent migration may make housing cheaper, but it will </w:t>
              </w:r>
              <w:proofErr w:type="gramStart"/>
              <w:r w:rsidRPr="00236366">
                <w:rPr>
                  <w:rStyle w:val="SubtleEmphasis"/>
                </w:rPr>
                <w:t>definitely make</w:t>
              </w:r>
              <w:proofErr w:type="gramEnd"/>
              <w:r w:rsidRPr="00236366">
                <w:rPr>
                  <w:rStyle w:val="SubtleEmphasis"/>
                </w:rPr>
                <w:t xml:space="preserve"> us poorer</w:t>
              </w:r>
              <w:r>
                <w:rPr>
                  <w:noProof/>
                </w:rPr>
                <w:t>. Grattan Institute</w:t>
              </w:r>
              <w:r w:rsidR="000579BA">
                <w:rPr>
                  <w:noProof/>
                </w:rPr>
                <w:t>.</w:t>
              </w:r>
            </w:p>
            <w:p w14:paraId="38E71521" w14:textId="69F83D9E" w:rsidR="003E1E4A" w:rsidRDefault="003E1E4A" w:rsidP="003E1E4A">
              <w:pPr>
                <w:pStyle w:val="Bibliography"/>
                <w:ind w:left="720" w:hanging="720"/>
                <w:rPr>
                  <w:noProof/>
                </w:rPr>
              </w:pPr>
              <w:r>
                <w:rPr>
                  <w:noProof/>
                </w:rPr>
                <w:t xml:space="preserve">Coates, B., Wiltshire, T., &amp; Bradshaw, N. (2024). </w:t>
              </w:r>
              <w:r w:rsidRPr="00236366">
                <w:rPr>
                  <w:rStyle w:val="SubtleEmphasis"/>
                </w:rPr>
                <w:t>It all adds up: reforming points</w:t>
              </w:r>
              <w:r w:rsidR="00050D25" w:rsidRPr="00236366">
                <w:rPr>
                  <w:rStyle w:val="SubtleEmphasis"/>
                </w:rPr>
                <w:noBreakHyphen/>
              </w:r>
              <w:r w:rsidRPr="00236366">
                <w:rPr>
                  <w:rStyle w:val="SubtleEmphasis"/>
                </w:rPr>
                <w:t>tested visas</w:t>
              </w:r>
              <w:r>
                <w:rPr>
                  <w:i/>
                  <w:iCs/>
                  <w:noProof/>
                </w:rPr>
                <w:t>.</w:t>
              </w:r>
              <w:r>
                <w:rPr>
                  <w:noProof/>
                </w:rPr>
                <w:t xml:space="preserve"> Grattan Institute.</w:t>
              </w:r>
            </w:p>
            <w:p w14:paraId="14226C88" w14:textId="299A28FC" w:rsidR="003E1E4A" w:rsidRDefault="003E1E4A" w:rsidP="003E1E4A">
              <w:pPr>
                <w:pStyle w:val="Bibliography"/>
                <w:ind w:left="720" w:hanging="720"/>
                <w:rPr>
                  <w:noProof/>
                </w:rPr>
              </w:pPr>
              <w:r>
                <w:rPr>
                  <w:noProof/>
                </w:rPr>
                <w:t xml:space="preserve">Commonwealth of Australia. (2023). </w:t>
              </w:r>
              <w:r>
                <w:rPr>
                  <w:i/>
                  <w:iCs/>
                  <w:noProof/>
                </w:rPr>
                <w:t xml:space="preserve">2023 </w:t>
              </w:r>
              <w:r w:rsidRPr="00236366">
                <w:rPr>
                  <w:rStyle w:val="SubtleEmphasis"/>
                </w:rPr>
                <w:t>Intergenerational Report</w:t>
              </w:r>
              <w:r>
                <w:rPr>
                  <w:i/>
                  <w:iCs/>
                  <w:noProof/>
                </w:rPr>
                <w:t>.</w:t>
              </w:r>
              <w:r>
                <w:rPr>
                  <w:noProof/>
                </w:rPr>
                <w:t xml:space="preserve"> Retrieved from </w:t>
              </w:r>
              <w:hyperlink r:id="rId110" w:history="1">
                <w:r w:rsidR="008800C6" w:rsidRPr="008800C6">
                  <w:t>https://treasury.gov.au/publication/2023-intergenerational-report</w:t>
                </w:r>
              </w:hyperlink>
            </w:p>
            <w:p w14:paraId="190F7D7B" w14:textId="37F75584" w:rsidR="008800C6" w:rsidRPr="008800C6" w:rsidRDefault="008800C6" w:rsidP="008800C6">
              <w:pPr>
                <w:pStyle w:val="Bibliography"/>
                <w:ind w:left="720" w:hanging="720"/>
                <w:rPr>
                  <w:noProof/>
                </w:rPr>
              </w:pPr>
              <w:r>
                <w:rPr>
                  <w:noProof/>
                </w:rPr>
                <w:t xml:space="preserve">Commonwealth of Australia. (2023). </w:t>
              </w:r>
              <w:r w:rsidRPr="00236366">
                <w:rPr>
                  <w:rStyle w:val="SubtleEmphasis"/>
                </w:rPr>
                <w:t xml:space="preserve">Working Future: </w:t>
              </w:r>
              <w:r>
                <w:rPr>
                  <w:rStyle w:val="SubtleEmphasis"/>
                </w:rPr>
                <w:t>T</w:t>
              </w:r>
              <w:r w:rsidRPr="00236366">
                <w:rPr>
                  <w:rStyle w:val="SubtleEmphasis"/>
                </w:rPr>
                <w:t>he Australian Government’s White Paper on Jobs and Opportunities</w:t>
              </w:r>
              <w:r w:rsidRPr="00AE142A">
                <w:rPr>
                  <w:i/>
                  <w:iCs/>
                  <w:noProof/>
                </w:rPr>
                <w:t>.</w:t>
              </w:r>
              <w:r w:rsidRPr="00AE142A">
                <w:rPr>
                  <w:noProof/>
                </w:rPr>
                <w:t xml:space="preserve"> Retrieved from https://treasury.gov.au/employment</w:t>
              </w:r>
              <w:r>
                <w:rPr>
                  <w:noProof/>
                </w:rPr>
                <w:t>-</w:t>
              </w:r>
              <w:r w:rsidRPr="00AE142A">
                <w:rPr>
                  <w:noProof/>
                </w:rPr>
                <w:t>whitepaper/final</w:t>
              </w:r>
              <w:r>
                <w:rPr>
                  <w:noProof/>
                </w:rPr>
                <w:t>-</w:t>
              </w:r>
              <w:r w:rsidRPr="00AE142A">
                <w:rPr>
                  <w:noProof/>
                </w:rPr>
                <w:t>report</w:t>
              </w:r>
            </w:p>
            <w:p w14:paraId="07AA5335" w14:textId="77777777" w:rsidR="003E1E4A" w:rsidRDefault="003E1E4A" w:rsidP="003E1E4A">
              <w:pPr>
                <w:pStyle w:val="Bibliography"/>
                <w:ind w:left="720" w:hanging="720"/>
                <w:rPr>
                  <w:noProof/>
                </w:rPr>
              </w:pPr>
              <w:r>
                <w:rPr>
                  <w:noProof/>
                </w:rPr>
                <w:t xml:space="preserve">Department of Health and Aged Care. (2024). </w:t>
              </w:r>
              <w:r w:rsidRPr="00236366">
                <w:rPr>
                  <w:rStyle w:val="SubtleEmphasis"/>
                </w:rPr>
                <w:t>Submission from the Department of Health and Aged Care to the Senate Community Affairs References Committee Inquiry into Excess Mortality</w:t>
              </w:r>
              <w:r>
                <w:rPr>
                  <w:i/>
                  <w:iCs/>
                  <w:noProof/>
                </w:rPr>
                <w:t>.</w:t>
              </w:r>
              <w:r>
                <w:rPr>
                  <w:noProof/>
                </w:rPr>
                <w:t xml:space="preserve"> </w:t>
              </w:r>
            </w:p>
            <w:p w14:paraId="2C46DBC4" w14:textId="647B8419" w:rsidR="003E1E4A" w:rsidRDefault="003E1E4A" w:rsidP="003E1E4A">
              <w:pPr>
                <w:pStyle w:val="Bibliography"/>
                <w:ind w:left="720" w:hanging="720"/>
                <w:rPr>
                  <w:noProof/>
                </w:rPr>
              </w:pPr>
              <w:r>
                <w:rPr>
                  <w:noProof/>
                </w:rPr>
                <w:t xml:space="preserve">Department of Home Affairs. (2023). </w:t>
              </w:r>
              <w:r w:rsidRPr="00236366">
                <w:rPr>
                  <w:rStyle w:val="SubtleEmphasis"/>
                </w:rPr>
                <w:t>Temporary visa holders in Australia</w:t>
              </w:r>
              <w:r w:rsidR="00A648C8">
                <w:rPr>
                  <w:rStyle w:val="SubtleEmphasis"/>
                </w:rPr>
                <w:t xml:space="preserve"> </w:t>
              </w:r>
              <w:proofErr w:type="gramStart"/>
              <w:r w:rsidR="00A648C8">
                <w:rPr>
                  <w:rStyle w:val="SubtleEmphasis"/>
                </w:rPr>
                <w:t>at</w:t>
              </w:r>
              <w:proofErr w:type="gramEnd"/>
              <w:r w:rsidR="00A648C8">
                <w:rPr>
                  <w:rStyle w:val="SubtleEmphasis"/>
                </w:rPr>
                <w:t xml:space="preserve"> 30 September 2024</w:t>
              </w:r>
              <w:r>
                <w:rPr>
                  <w:noProof/>
                </w:rPr>
                <w:t>. Retrieved from https://data.gov.au/</w:t>
              </w:r>
              <w:r w:rsidR="00A648C8">
                <w:rPr>
                  <w:noProof/>
                </w:rPr>
                <w:t>data/</w:t>
              </w:r>
              <w:r>
                <w:rPr>
                  <w:noProof/>
                </w:rPr>
                <w:t>dataset/</w:t>
              </w:r>
              <w:r w:rsidR="00A648C8">
                <w:rPr>
                  <w:noProof/>
                </w:rPr>
                <w:t xml:space="preserve"> </w:t>
              </w:r>
              <w:r>
                <w:rPr>
                  <w:noProof/>
                </w:rPr>
                <w:t>temporary</w:t>
              </w:r>
              <w:r w:rsidR="0035697C">
                <w:rPr>
                  <w:noProof/>
                </w:rPr>
                <w:t>-entrants-</w:t>
              </w:r>
              <w:r>
                <w:rPr>
                  <w:noProof/>
                </w:rPr>
                <w:t>visa</w:t>
              </w:r>
              <w:r w:rsidR="0035697C">
                <w:rPr>
                  <w:noProof/>
                </w:rPr>
                <w:t>-</w:t>
              </w:r>
              <w:r>
                <w:rPr>
                  <w:noProof/>
                </w:rPr>
                <w:t>holders</w:t>
              </w:r>
            </w:p>
            <w:p w14:paraId="3569BAEE" w14:textId="2374F958" w:rsidR="003E1E4A" w:rsidRDefault="003E1E4A" w:rsidP="003E1E4A">
              <w:pPr>
                <w:pStyle w:val="Bibliography"/>
                <w:ind w:left="720" w:hanging="720"/>
                <w:rPr>
                  <w:noProof/>
                </w:rPr>
              </w:pPr>
              <w:r>
                <w:rPr>
                  <w:noProof/>
                </w:rPr>
                <w:t xml:space="preserve">Department of Social Services. (2021). </w:t>
              </w:r>
              <w:r w:rsidRPr="00236366">
                <w:rPr>
                  <w:rStyle w:val="SubtleEmphasis"/>
                </w:rPr>
                <w:t>Household, Income and Labour Dynamics in Australia Survey (HILDA)</w:t>
              </w:r>
              <w:r>
                <w:rPr>
                  <w:noProof/>
                </w:rPr>
                <w:t>. Retrieved from https://www.dss.gov.au/about</w:t>
              </w:r>
              <w:r w:rsidR="00050D25">
                <w:rPr>
                  <w:noProof/>
                </w:rPr>
                <w:t>-</w:t>
              </w:r>
              <w:r>
                <w:rPr>
                  <w:noProof/>
                </w:rPr>
                <w:t>the</w:t>
              </w:r>
              <w:r w:rsidR="00050D25">
                <w:rPr>
                  <w:noProof/>
                </w:rPr>
                <w:t>-</w:t>
              </w:r>
              <w:r>
                <w:rPr>
                  <w:noProof/>
                </w:rPr>
                <w:t>department/longitudinal</w:t>
              </w:r>
              <w:r w:rsidR="00050D25">
                <w:rPr>
                  <w:noProof/>
                </w:rPr>
                <w:t>-</w:t>
              </w:r>
              <w:r>
                <w:rPr>
                  <w:noProof/>
                </w:rPr>
                <w:t>studies/living</w:t>
              </w:r>
              <w:r w:rsidR="00050D25">
                <w:rPr>
                  <w:noProof/>
                </w:rPr>
                <w:t>-</w:t>
              </w:r>
              <w:r>
                <w:rPr>
                  <w:noProof/>
                </w:rPr>
                <w:t>in</w:t>
              </w:r>
              <w:r w:rsidR="00050D25">
                <w:rPr>
                  <w:noProof/>
                </w:rPr>
                <w:t>-</w:t>
              </w:r>
              <w:r>
                <w:rPr>
                  <w:noProof/>
                </w:rPr>
                <w:t>australia</w:t>
              </w:r>
              <w:r w:rsidR="00050D25">
                <w:rPr>
                  <w:noProof/>
                </w:rPr>
                <w:t>-</w:t>
              </w:r>
              <w:r>
                <w:rPr>
                  <w:noProof/>
                </w:rPr>
                <w:t>hilda</w:t>
              </w:r>
              <w:r w:rsidR="00050D25">
                <w:rPr>
                  <w:noProof/>
                </w:rPr>
                <w:t>-</w:t>
              </w:r>
              <w:r>
                <w:rPr>
                  <w:noProof/>
                </w:rPr>
                <w:t>household</w:t>
              </w:r>
              <w:r w:rsidR="00050D25">
                <w:rPr>
                  <w:noProof/>
                </w:rPr>
                <w:t>-</w:t>
              </w:r>
              <w:r>
                <w:rPr>
                  <w:noProof/>
                </w:rPr>
                <w:t>income</w:t>
              </w:r>
              <w:r w:rsidR="00050D25">
                <w:rPr>
                  <w:noProof/>
                </w:rPr>
                <w:t>-</w:t>
              </w:r>
              <w:r>
                <w:rPr>
                  <w:noProof/>
                </w:rPr>
                <w:t>and</w:t>
              </w:r>
              <w:r w:rsidR="00050D25">
                <w:rPr>
                  <w:noProof/>
                </w:rPr>
                <w:t>-</w:t>
              </w:r>
              <w:r>
                <w:rPr>
                  <w:noProof/>
                </w:rPr>
                <w:t>labour</w:t>
              </w:r>
              <w:r w:rsidR="00050D25">
                <w:rPr>
                  <w:noProof/>
                </w:rPr>
                <w:t>-</w:t>
              </w:r>
              <w:r>
                <w:rPr>
                  <w:noProof/>
                </w:rPr>
                <w:t>dynamics</w:t>
              </w:r>
              <w:r w:rsidR="00050D25">
                <w:rPr>
                  <w:noProof/>
                </w:rPr>
                <w:t>-</w:t>
              </w:r>
              <w:r>
                <w:rPr>
                  <w:noProof/>
                </w:rPr>
                <w:t>in</w:t>
              </w:r>
              <w:r w:rsidR="00050D25">
                <w:rPr>
                  <w:noProof/>
                </w:rPr>
                <w:t>-</w:t>
              </w:r>
              <w:r>
                <w:rPr>
                  <w:noProof/>
                </w:rPr>
                <w:t>australia</w:t>
              </w:r>
              <w:r w:rsidR="00050D25">
                <w:rPr>
                  <w:noProof/>
                </w:rPr>
                <w:t>-</w:t>
              </w:r>
              <w:r>
                <w:rPr>
                  <w:noProof/>
                </w:rPr>
                <w:t>overview</w:t>
              </w:r>
            </w:p>
            <w:p w14:paraId="3435164D" w14:textId="43D7CBAD" w:rsidR="003E1E4A" w:rsidRDefault="003E1E4A" w:rsidP="003E1E4A">
              <w:pPr>
                <w:pStyle w:val="Bibliography"/>
                <w:ind w:left="720" w:hanging="720"/>
                <w:rPr>
                  <w:noProof/>
                </w:rPr>
              </w:pPr>
              <w:r w:rsidRPr="0017016B">
                <w:rPr>
                  <w:noProof/>
                </w:rPr>
                <w:t>Department of Social Services. (202</w:t>
              </w:r>
              <w:r w:rsidRPr="0EC8096A">
                <w:rPr>
                  <w:noProof/>
                </w:rPr>
                <w:t>3</w:t>
              </w:r>
              <w:r w:rsidRPr="0017016B">
                <w:rPr>
                  <w:noProof/>
                </w:rPr>
                <w:t xml:space="preserve">). </w:t>
              </w:r>
              <w:r w:rsidRPr="00236366">
                <w:rPr>
                  <w:rStyle w:val="SubtleEmphasis"/>
                </w:rPr>
                <w:t>Household, Income and Labour Dynamics in Australia Survey (HILDA)</w:t>
              </w:r>
              <w:r w:rsidRPr="0017016B">
                <w:rPr>
                  <w:noProof/>
                </w:rPr>
                <w:t>. Retrieved from https://www.dss.gov.au/about</w:t>
              </w:r>
              <w:r w:rsidR="00050D25">
                <w:rPr>
                  <w:noProof/>
                </w:rPr>
                <w:t>-</w:t>
              </w:r>
              <w:r w:rsidRPr="0017016B">
                <w:rPr>
                  <w:noProof/>
                </w:rPr>
                <w:t>the</w:t>
              </w:r>
              <w:r w:rsidR="00050D25">
                <w:rPr>
                  <w:noProof/>
                </w:rPr>
                <w:t>-</w:t>
              </w:r>
              <w:r w:rsidRPr="0017016B">
                <w:rPr>
                  <w:noProof/>
                </w:rPr>
                <w:t>department/longitudinal</w:t>
              </w:r>
              <w:r w:rsidR="00050D25">
                <w:rPr>
                  <w:noProof/>
                </w:rPr>
                <w:t>-</w:t>
              </w:r>
              <w:r w:rsidRPr="0017016B">
                <w:rPr>
                  <w:noProof/>
                </w:rPr>
                <w:t>studies/living</w:t>
              </w:r>
              <w:r w:rsidR="00050D25">
                <w:rPr>
                  <w:noProof/>
                </w:rPr>
                <w:t>-</w:t>
              </w:r>
              <w:r w:rsidRPr="0017016B">
                <w:rPr>
                  <w:noProof/>
                </w:rPr>
                <w:t>in</w:t>
              </w:r>
              <w:r w:rsidR="00050D25">
                <w:rPr>
                  <w:noProof/>
                </w:rPr>
                <w:t>-</w:t>
              </w:r>
              <w:r w:rsidRPr="0017016B">
                <w:rPr>
                  <w:noProof/>
                </w:rPr>
                <w:t>australia</w:t>
              </w:r>
              <w:r w:rsidR="00050D25">
                <w:rPr>
                  <w:noProof/>
                </w:rPr>
                <w:t>-</w:t>
              </w:r>
              <w:r w:rsidRPr="0017016B">
                <w:rPr>
                  <w:noProof/>
                </w:rPr>
                <w:t>hilda</w:t>
              </w:r>
              <w:r w:rsidR="00050D25">
                <w:rPr>
                  <w:noProof/>
                </w:rPr>
                <w:t>-</w:t>
              </w:r>
              <w:r w:rsidRPr="0017016B">
                <w:rPr>
                  <w:noProof/>
                </w:rPr>
                <w:t>household</w:t>
              </w:r>
              <w:r w:rsidR="00050D25">
                <w:rPr>
                  <w:noProof/>
                </w:rPr>
                <w:t>-</w:t>
              </w:r>
              <w:r w:rsidRPr="0017016B">
                <w:rPr>
                  <w:noProof/>
                </w:rPr>
                <w:t>income</w:t>
              </w:r>
              <w:r w:rsidR="00050D25">
                <w:rPr>
                  <w:noProof/>
                </w:rPr>
                <w:t>-</w:t>
              </w:r>
              <w:r w:rsidRPr="0017016B">
                <w:rPr>
                  <w:noProof/>
                </w:rPr>
                <w:t>and</w:t>
              </w:r>
              <w:r w:rsidR="00050D25">
                <w:rPr>
                  <w:noProof/>
                </w:rPr>
                <w:t>-</w:t>
              </w:r>
              <w:r w:rsidRPr="0017016B">
                <w:rPr>
                  <w:noProof/>
                </w:rPr>
                <w:t>labour</w:t>
              </w:r>
              <w:r w:rsidR="00050D25">
                <w:rPr>
                  <w:noProof/>
                </w:rPr>
                <w:t>-</w:t>
              </w:r>
              <w:r w:rsidRPr="0017016B">
                <w:rPr>
                  <w:noProof/>
                </w:rPr>
                <w:t>dynamics</w:t>
              </w:r>
              <w:r w:rsidR="00050D25">
                <w:rPr>
                  <w:noProof/>
                </w:rPr>
                <w:t>-</w:t>
              </w:r>
              <w:r w:rsidRPr="0017016B">
                <w:rPr>
                  <w:noProof/>
                </w:rPr>
                <w:t>in</w:t>
              </w:r>
              <w:r w:rsidR="00050D25">
                <w:rPr>
                  <w:noProof/>
                </w:rPr>
                <w:t>-</w:t>
              </w:r>
              <w:r w:rsidRPr="0017016B">
                <w:rPr>
                  <w:noProof/>
                </w:rPr>
                <w:t>australia</w:t>
              </w:r>
              <w:r w:rsidR="00050D25">
                <w:rPr>
                  <w:noProof/>
                </w:rPr>
                <w:t>-</w:t>
              </w:r>
              <w:r w:rsidRPr="0017016B">
                <w:rPr>
                  <w:noProof/>
                </w:rPr>
                <w:t>overview</w:t>
              </w:r>
              <w:r>
                <w:rPr>
                  <w:noProof/>
                </w:rPr>
                <w:t xml:space="preserve"> </w:t>
              </w:r>
            </w:p>
            <w:p w14:paraId="73A559A4" w14:textId="1E827F58" w:rsidR="003E1E4A" w:rsidRPr="00973C62" w:rsidRDefault="003E1E4A" w:rsidP="00973C62">
              <w:pPr>
                <w:pStyle w:val="Bibliography"/>
                <w:ind w:left="720" w:hanging="720"/>
                <w:rPr>
                  <w:noProof/>
                </w:rPr>
              </w:pPr>
              <w:r w:rsidRPr="00973C62">
                <w:rPr>
                  <w:noProof/>
                </w:rPr>
                <w:t>Espenshade</w:t>
              </w:r>
              <w:r>
                <w:rPr>
                  <w:noProof/>
                </w:rPr>
                <w:t>,</w:t>
              </w:r>
              <w:r w:rsidRPr="00973C62">
                <w:rPr>
                  <w:noProof/>
                </w:rPr>
                <w:t xml:space="preserve"> T</w:t>
              </w:r>
              <w:r>
                <w:rPr>
                  <w:noProof/>
                </w:rPr>
                <w:t>.</w:t>
              </w:r>
              <w:r w:rsidRPr="00973C62">
                <w:rPr>
                  <w:noProof/>
                </w:rPr>
                <w:t>J</w:t>
              </w:r>
              <w:r>
                <w:rPr>
                  <w:noProof/>
                </w:rPr>
                <w:t>.</w:t>
              </w:r>
              <w:r w:rsidRPr="00973C62">
                <w:rPr>
                  <w:noProof/>
                </w:rPr>
                <w:t>, Guzman</w:t>
              </w:r>
              <w:r>
                <w:rPr>
                  <w:noProof/>
                </w:rPr>
                <w:t>,</w:t>
              </w:r>
              <w:r w:rsidRPr="00973C62">
                <w:rPr>
                  <w:noProof/>
                </w:rPr>
                <w:t xml:space="preserve"> J</w:t>
              </w:r>
              <w:r>
                <w:rPr>
                  <w:noProof/>
                </w:rPr>
                <w:t>.</w:t>
              </w:r>
              <w:r w:rsidRPr="00973C62">
                <w:rPr>
                  <w:noProof/>
                </w:rPr>
                <w:t>C</w:t>
              </w:r>
              <w:r>
                <w:rPr>
                  <w:noProof/>
                </w:rPr>
                <w:t>.,</w:t>
              </w:r>
              <w:r w:rsidRPr="00973C62">
                <w:rPr>
                  <w:noProof/>
                </w:rPr>
                <w:t xml:space="preserve"> </w:t>
              </w:r>
              <w:r>
                <w:rPr>
                  <w:noProof/>
                </w:rPr>
                <w:t>&amp;</w:t>
              </w:r>
              <w:r w:rsidRPr="00973C62">
                <w:rPr>
                  <w:noProof/>
                </w:rPr>
                <w:t xml:space="preserve"> Westoff</w:t>
              </w:r>
              <w:r>
                <w:rPr>
                  <w:noProof/>
                </w:rPr>
                <w:t>,</w:t>
              </w:r>
              <w:r w:rsidRPr="00973C62">
                <w:rPr>
                  <w:noProof/>
                </w:rPr>
                <w:t xml:space="preserve"> C</w:t>
              </w:r>
              <w:r>
                <w:rPr>
                  <w:noProof/>
                </w:rPr>
                <w:t>.</w:t>
              </w:r>
              <w:r w:rsidRPr="00973C62">
                <w:rPr>
                  <w:noProof/>
                </w:rPr>
                <w:t>F</w:t>
              </w:r>
              <w:r>
                <w:rPr>
                  <w:noProof/>
                </w:rPr>
                <w:t>. (2003).</w:t>
              </w:r>
              <w:r w:rsidRPr="00973C62">
                <w:rPr>
                  <w:noProof/>
                </w:rPr>
                <w:t xml:space="preserve"> </w:t>
              </w:r>
              <w:r w:rsidRPr="00973C62">
                <w:rPr>
                  <w:i/>
                  <w:iCs/>
                  <w:noProof/>
                </w:rPr>
                <w:t>The surprising global variation in replacement fertility</w:t>
              </w:r>
              <w:r w:rsidRPr="00973C62">
                <w:rPr>
                  <w:noProof/>
                </w:rPr>
                <w:t>.</w:t>
              </w:r>
              <w:r>
                <w:rPr>
                  <w:noProof/>
                </w:rPr>
                <w:t xml:space="preserve"> Population Research and Policy Review.</w:t>
              </w:r>
            </w:p>
            <w:p w14:paraId="296CE855" w14:textId="3F34F576" w:rsidR="003E1E4A" w:rsidRDefault="003E1E4A" w:rsidP="003E1E4A">
              <w:pPr>
                <w:pStyle w:val="Bibliography"/>
                <w:ind w:left="720" w:hanging="720"/>
                <w:rPr>
                  <w:noProof/>
                </w:rPr>
              </w:pPr>
              <w:r>
                <w:rPr>
                  <w:noProof/>
                </w:rPr>
                <w:lastRenderedPageBreak/>
                <w:t xml:space="preserve">Gray, E., Reimondos, A., Lazzari, E., Breunig, R., Steinhauser, R., Zhang, J., </w:t>
              </w:r>
              <w:r w:rsidR="007757E3" w:rsidRPr="007757E3">
                <w:rPr>
                  <w:noProof/>
                </w:rPr>
                <w:t>Biddle, N</w:t>
              </w:r>
              <w:r w:rsidR="007757E3">
                <w:rPr>
                  <w:noProof/>
                </w:rPr>
                <w:t>,</w:t>
              </w:r>
              <w:r w:rsidR="007757E3" w:rsidRPr="007757E3">
                <w:rPr>
                  <w:noProof/>
                </w:rPr>
                <w:t xml:space="preserve"> </w:t>
              </w:r>
              <w:r>
                <w:rPr>
                  <w:noProof/>
                </w:rPr>
                <w:t xml:space="preserve">Gray, M. (2022). </w:t>
              </w:r>
              <w:r w:rsidRPr="00236366">
                <w:rPr>
                  <w:rStyle w:val="SubtleEmphasis"/>
                </w:rPr>
                <w:t>Impacts of Policies on Fertility Rates</w:t>
              </w:r>
              <w:r>
                <w:rPr>
                  <w:i/>
                  <w:iCs/>
                  <w:noProof/>
                </w:rPr>
                <w:t>.</w:t>
              </w:r>
              <w:r>
                <w:rPr>
                  <w:noProof/>
                </w:rPr>
                <w:t xml:space="preserve"> Centre for Population.</w:t>
              </w:r>
            </w:p>
            <w:p w14:paraId="5219D32E" w14:textId="69C1586B" w:rsidR="003E1E4A" w:rsidRDefault="003E1E4A" w:rsidP="003E1E4A">
              <w:pPr>
                <w:pStyle w:val="Bibliography"/>
                <w:ind w:left="720" w:hanging="720"/>
                <w:rPr>
                  <w:noProof/>
                </w:rPr>
              </w:pPr>
              <w:r>
                <w:rPr>
                  <w:noProof/>
                </w:rPr>
                <w:t xml:space="preserve">Harrap, B., Hawthorne, L., Holland, M., McDonald, J., &amp; Scott, A. (2021). </w:t>
              </w:r>
              <w:r w:rsidRPr="00236366">
                <w:rPr>
                  <w:rStyle w:val="SubtleEmphasis"/>
                </w:rPr>
                <w:t>Australia</w:t>
              </w:r>
              <w:r w:rsidR="00050D25" w:rsidRPr="00236366">
                <w:rPr>
                  <w:rStyle w:val="SubtleEmphasis"/>
                </w:rPr>
                <w:t>’</w:t>
              </w:r>
              <w:r w:rsidRPr="00236366">
                <w:rPr>
                  <w:rStyle w:val="SubtleEmphasis"/>
                </w:rPr>
                <w:t>s superior skilled migration outcomes compared with Canada</w:t>
              </w:r>
              <w:r w:rsidR="00050D25" w:rsidRPr="00236366">
                <w:rPr>
                  <w:rStyle w:val="SubtleEmphasis"/>
                </w:rPr>
                <w:t>’</w:t>
              </w:r>
              <w:r w:rsidRPr="00236366">
                <w:rPr>
                  <w:rStyle w:val="SubtleEmphasis"/>
                </w:rPr>
                <w:t>s</w:t>
              </w:r>
              <w:r>
                <w:rPr>
                  <w:noProof/>
                </w:rPr>
                <w:t xml:space="preserve">. </w:t>
              </w:r>
              <w:r w:rsidRPr="0017016B">
                <w:rPr>
                  <w:noProof/>
                </w:rPr>
                <w:t>International Migration</w:t>
              </w:r>
              <w:r w:rsidRPr="00693644">
                <w:rPr>
                  <w:noProof/>
                </w:rPr>
                <w:t>.</w:t>
              </w:r>
            </w:p>
            <w:p w14:paraId="43C75E6F" w14:textId="77777777" w:rsidR="003E1E4A" w:rsidRPr="009862F0" w:rsidRDefault="003E1E4A" w:rsidP="003E1E4A">
              <w:pPr>
                <w:pStyle w:val="Bibliography"/>
                <w:ind w:left="720" w:hanging="720"/>
                <w:rPr>
                  <w:noProof/>
                </w:rPr>
              </w:pPr>
              <w:r w:rsidRPr="009862F0">
                <w:rPr>
                  <w:noProof/>
                </w:rPr>
                <w:t xml:space="preserve">Human Fertility Database. (2023). </w:t>
              </w:r>
              <w:r w:rsidRPr="00236366">
                <w:rPr>
                  <w:rStyle w:val="SubtleEmphasis"/>
                </w:rPr>
                <w:t>Short Term Fertility Fluctuations</w:t>
              </w:r>
              <w:r w:rsidRPr="009862F0">
                <w:rPr>
                  <w:noProof/>
                </w:rPr>
                <w:t>. Retrieved from https://www.humanfertility.org/Data/STFF</w:t>
              </w:r>
            </w:p>
            <w:p w14:paraId="527E902E" w14:textId="453B4123" w:rsidR="003E1E4A" w:rsidRPr="009862F0" w:rsidRDefault="003E1E4A" w:rsidP="003E1E4A">
              <w:pPr>
                <w:pStyle w:val="Bibliography"/>
                <w:ind w:left="720" w:hanging="720"/>
                <w:rPr>
                  <w:noProof/>
                </w:rPr>
              </w:pPr>
              <w:r w:rsidRPr="009862F0">
                <w:rPr>
                  <w:noProof/>
                </w:rPr>
                <w:t>The Lancet (202</w:t>
              </w:r>
              <w:r w:rsidR="0095740E">
                <w:rPr>
                  <w:noProof/>
                </w:rPr>
                <w:t>4</w:t>
              </w:r>
              <w:r w:rsidRPr="009862F0">
                <w:rPr>
                  <w:noProof/>
                </w:rPr>
                <w:t xml:space="preserve">). </w:t>
              </w:r>
              <w:r w:rsidRPr="00236366">
                <w:rPr>
                  <w:rStyle w:val="SubtleEmphasis"/>
                </w:rPr>
                <w:t>Global fertility in 204 countries and territories, 1950–2021</w:t>
              </w:r>
              <w:r w:rsidRPr="009862F0">
                <w:rPr>
                  <w:noProof/>
                </w:rPr>
                <w:t>. Retrieved from https://www.thelancet.com/pdfs/journals/lancet/PIIS0140</w:t>
              </w:r>
              <w:r w:rsidR="00050D25">
                <w:rPr>
                  <w:noProof/>
                </w:rPr>
                <w:noBreakHyphen/>
              </w:r>
              <w:r w:rsidRPr="009862F0">
                <w:rPr>
                  <w:noProof/>
                </w:rPr>
                <w:t>6736(24)00550</w:t>
              </w:r>
              <w:r w:rsidR="00050D25">
                <w:rPr>
                  <w:noProof/>
                </w:rPr>
                <w:t>-</w:t>
              </w:r>
              <w:r w:rsidRPr="009862F0">
                <w:rPr>
                  <w:noProof/>
                </w:rPr>
                <w:t>6.pdf</w:t>
              </w:r>
            </w:p>
            <w:p w14:paraId="5C6E15F7" w14:textId="61F2C6EA" w:rsidR="003E1E4A" w:rsidRPr="009862F0" w:rsidRDefault="003E1E4A" w:rsidP="003E1E4A">
              <w:pPr>
                <w:pStyle w:val="Bibliography"/>
                <w:ind w:left="720" w:hanging="720"/>
                <w:rPr>
                  <w:noProof/>
                </w:rPr>
              </w:pPr>
              <w:r w:rsidRPr="009862F0">
                <w:rPr>
                  <w:noProof/>
                </w:rPr>
                <w:t xml:space="preserve">McDonald, P. (2020). </w:t>
              </w:r>
              <w:r w:rsidRPr="00236366">
                <w:rPr>
                  <w:rStyle w:val="SubtleEmphasis"/>
                </w:rPr>
                <w:t>A Projection of Australia</w:t>
              </w:r>
              <w:r w:rsidR="00050D25" w:rsidRPr="00236366">
                <w:rPr>
                  <w:rStyle w:val="SubtleEmphasis"/>
                </w:rPr>
                <w:t>’</w:t>
              </w:r>
              <w:r w:rsidRPr="00236366">
                <w:rPr>
                  <w:rStyle w:val="SubtleEmphasis"/>
                </w:rPr>
                <w:t>s Future Fertility Rates</w:t>
              </w:r>
              <w:r w:rsidRPr="009862F0">
                <w:rPr>
                  <w:i/>
                  <w:iCs/>
                  <w:noProof/>
                </w:rPr>
                <w:t>.</w:t>
              </w:r>
              <w:r w:rsidRPr="009862F0">
                <w:rPr>
                  <w:noProof/>
                </w:rPr>
                <w:t xml:space="preserve"> Centre for Population.</w:t>
              </w:r>
            </w:p>
            <w:p w14:paraId="2000B0B6" w14:textId="3F23D7D8" w:rsidR="008974A6" w:rsidRPr="008974A6" w:rsidRDefault="008974A6" w:rsidP="00A9455A">
              <w:r>
                <w:t xml:space="preserve">Morse, A. (2024). </w:t>
              </w:r>
              <w:r w:rsidRPr="00A9455A">
                <w:rPr>
                  <w:rStyle w:val="SubtleEmphasis"/>
                </w:rPr>
                <w:t>Population Momentum and Fer</w:t>
              </w:r>
              <w:r w:rsidR="00A9455A" w:rsidRPr="00A9455A">
                <w:rPr>
                  <w:rStyle w:val="SubtleEmphasis"/>
                </w:rPr>
                <w:t>tility</w:t>
              </w:r>
              <w:r w:rsidR="00A9455A">
                <w:rPr>
                  <w:rStyle w:val="SubtleEmphasis"/>
                </w:rPr>
                <w:t xml:space="preserve">. </w:t>
              </w:r>
              <w:r w:rsidR="00BB12BD" w:rsidRPr="00BB12BD">
                <w:rPr>
                  <w:rStyle w:val="SubtleEmphasis"/>
                  <w:i w:val="0"/>
                  <w:iCs w:val="0"/>
                </w:rPr>
                <w:t>Select Topics in International Population and Health.</w:t>
              </w:r>
            </w:p>
            <w:p w14:paraId="064D9C18" w14:textId="4B066FC8" w:rsidR="003E1E4A" w:rsidRPr="009862F0" w:rsidRDefault="003E1E4A" w:rsidP="003E1E4A">
              <w:pPr>
                <w:pStyle w:val="Bibliography"/>
                <w:ind w:left="720" w:hanging="720"/>
                <w:rPr>
                  <w:noProof/>
                </w:rPr>
              </w:pPr>
              <w:r w:rsidRPr="009862F0">
                <w:rPr>
                  <w:noProof/>
                </w:rPr>
                <w:t xml:space="preserve">OECD. (2023). </w:t>
              </w:r>
              <w:r w:rsidRPr="00236366">
                <w:rPr>
                  <w:rStyle w:val="SubtleEmphasis"/>
                </w:rPr>
                <w:t>Migration and regional productivity: Evidence from individual wages in Australia</w:t>
              </w:r>
              <w:r w:rsidRPr="009862F0">
                <w:rPr>
                  <w:i/>
                  <w:iCs/>
                  <w:noProof/>
                </w:rPr>
                <w:t>.</w:t>
              </w:r>
              <w:r w:rsidRPr="009862F0">
                <w:rPr>
                  <w:noProof/>
                </w:rPr>
                <w:t xml:space="preserve"> The Organisation for Economic Co</w:t>
              </w:r>
              <w:r w:rsidR="00050D25">
                <w:rPr>
                  <w:noProof/>
                </w:rPr>
                <w:noBreakHyphen/>
              </w:r>
              <w:r w:rsidRPr="009862F0">
                <w:rPr>
                  <w:noProof/>
                </w:rPr>
                <w:t>operation and Development.</w:t>
              </w:r>
            </w:p>
            <w:p w14:paraId="6A6A05C1" w14:textId="4BE34171" w:rsidR="003E1E4A" w:rsidRPr="009862F0" w:rsidRDefault="003E1E4A" w:rsidP="003E1E4A">
              <w:pPr>
                <w:pStyle w:val="Bibliography"/>
                <w:ind w:left="720" w:hanging="720"/>
                <w:rPr>
                  <w:noProof/>
                </w:rPr>
              </w:pPr>
              <w:r w:rsidRPr="009862F0">
                <w:rPr>
                  <w:noProof/>
                </w:rPr>
                <w:t xml:space="preserve">OECD. (2023). </w:t>
              </w:r>
              <w:r w:rsidRPr="00236366">
                <w:rPr>
                  <w:rStyle w:val="SubtleEmphasis"/>
                </w:rPr>
                <w:t>Regional productivity, local labour markets, and migration in Australia</w:t>
              </w:r>
              <w:r w:rsidRPr="009862F0">
                <w:rPr>
                  <w:i/>
                  <w:iCs/>
                  <w:noProof/>
                </w:rPr>
                <w:t>.</w:t>
              </w:r>
              <w:r w:rsidRPr="009862F0">
                <w:rPr>
                  <w:noProof/>
                </w:rPr>
                <w:t xml:space="preserve"> The Organisation for Economic Co</w:t>
              </w:r>
              <w:r w:rsidR="00050D25">
                <w:rPr>
                  <w:noProof/>
                </w:rPr>
                <w:noBreakHyphen/>
              </w:r>
              <w:r w:rsidRPr="009862F0">
                <w:rPr>
                  <w:noProof/>
                </w:rPr>
                <w:t>operation and Development.</w:t>
              </w:r>
            </w:p>
            <w:p w14:paraId="006BB06F" w14:textId="3AE25B99" w:rsidR="003E1E4A" w:rsidRPr="009862F0" w:rsidRDefault="003E1E4A" w:rsidP="003E1E4A">
              <w:pPr>
                <w:pStyle w:val="Bibliography"/>
                <w:ind w:left="720" w:hanging="720"/>
                <w:rPr>
                  <w:noProof/>
                </w:rPr>
              </w:pPr>
              <w:r w:rsidRPr="009862F0">
                <w:rPr>
                  <w:noProof/>
                </w:rPr>
                <w:t xml:space="preserve">OECD. (2023). </w:t>
              </w:r>
              <w:r w:rsidRPr="00236366">
                <w:rPr>
                  <w:rStyle w:val="SubtleEmphasis"/>
                </w:rPr>
                <w:t>The impact of migration on regional labour markets in Australia</w:t>
              </w:r>
              <w:r w:rsidRPr="009862F0">
                <w:rPr>
                  <w:i/>
                  <w:iCs/>
                  <w:noProof/>
                </w:rPr>
                <w:t>.</w:t>
              </w:r>
              <w:r w:rsidRPr="009862F0">
                <w:rPr>
                  <w:noProof/>
                </w:rPr>
                <w:t xml:space="preserve"> The Organisation for Economic Co</w:t>
              </w:r>
              <w:r w:rsidR="00050D25">
                <w:rPr>
                  <w:noProof/>
                </w:rPr>
                <w:noBreakHyphen/>
              </w:r>
              <w:r w:rsidRPr="009862F0">
                <w:rPr>
                  <w:noProof/>
                </w:rPr>
                <w:t>operation and Development.</w:t>
              </w:r>
            </w:p>
            <w:p w14:paraId="3E5C3458" w14:textId="02D132F5" w:rsidR="003E1E4A" w:rsidRPr="009862F0" w:rsidRDefault="003E1E4A" w:rsidP="003E1E4A">
              <w:pPr>
                <w:pStyle w:val="Bibliography"/>
                <w:ind w:left="720" w:hanging="720"/>
                <w:rPr>
                  <w:noProof/>
                </w:rPr>
              </w:pPr>
              <w:r w:rsidRPr="009862F0">
                <w:rPr>
                  <w:noProof/>
                </w:rPr>
                <w:t xml:space="preserve">OECD. (2024). </w:t>
              </w:r>
              <w:r w:rsidRPr="00236366">
                <w:rPr>
                  <w:rStyle w:val="SubtleEmphasis"/>
                </w:rPr>
                <w:t>Migration and regional innovation in Australia</w:t>
              </w:r>
              <w:r w:rsidRPr="009862F0">
                <w:rPr>
                  <w:i/>
                  <w:iCs/>
                  <w:noProof/>
                </w:rPr>
                <w:t>.</w:t>
              </w:r>
              <w:r w:rsidRPr="009862F0">
                <w:rPr>
                  <w:noProof/>
                </w:rPr>
                <w:t xml:space="preserve"> The Organisation for Economic Co</w:t>
              </w:r>
              <w:r w:rsidR="00050D25">
                <w:rPr>
                  <w:noProof/>
                </w:rPr>
                <w:noBreakHyphen/>
              </w:r>
              <w:r w:rsidRPr="009862F0">
                <w:rPr>
                  <w:noProof/>
                </w:rPr>
                <w:t>operation and Development.</w:t>
              </w:r>
            </w:p>
            <w:p w14:paraId="7250D947" w14:textId="69879F9A" w:rsidR="003E1E4A" w:rsidRPr="009862F0" w:rsidRDefault="003E1E4A" w:rsidP="003E1E4A">
              <w:pPr>
                <w:pStyle w:val="Bibliography"/>
                <w:ind w:left="720" w:hanging="720"/>
                <w:rPr>
                  <w:noProof/>
                </w:rPr>
              </w:pPr>
              <w:r w:rsidRPr="009862F0">
                <w:rPr>
                  <w:noProof/>
                </w:rPr>
                <w:t xml:space="preserve">Office for National Statistics. (2024). </w:t>
              </w:r>
              <w:r w:rsidRPr="00236366">
                <w:rPr>
                  <w:rStyle w:val="SubtleEmphasis"/>
                </w:rPr>
                <w:t>Long</w:t>
              </w:r>
              <w:r w:rsidR="00050D25" w:rsidRPr="00236366">
                <w:rPr>
                  <w:rStyle w:val="SubtleEmphasis"/>
                </w:rPr>
                <w:noBreakHyphen/>
              </w:r>
              <w:r w:rsidRPr="00236366">
                <w:rPr>
                  <w:rStyle w:val="SubtleEmphasis"/>
                </w:rPr>
                <w:t>term international migration, provisional: year ending June 2024</w:t>
              </w:r>
              <w:r w:rsidRPr="009862F0">
                <w:rPr>
                  <w:noProof/>
                </w:rPr>
                <w:t>. Retrieved from https://www.ons.gov.uk/peoplepopulationandcommunity/populationandmigration/internationalmigration/bulletins/longterminternationalmigrationprovisional/yearendingjune2024</w:t>
              </w:r>
            </w:p>
            <w:p w14:paraId="22AC5EC6" w14:textId="7CAEB3E7" w:rsidR="003E1E4A" w:rsidRDefault="005B3C64" w:rsidP="003E1E4A">
              <w:pPr>
                <w:pStyle w:val="Bibliography"/>
                <w:ind w:left="720" w:hanging="720"/>
                <w:rPr>
                  <w:noProof/>
                </w:rPr>
              </w:pPr>
              <w:r>
                <w:rPr>
                  <w:noProof/>
                </w:rPr>
                <w:t>OECD.</w:t>
              </w:r>
              <w:r w:rsidR="003E1E4A" w:rsidRPr="009862F0">
                <w:rPr>
                  <w:noProof/>
                </w:rPr>
                <w:t xml:space="preserve"> (2024). </w:t>
              </w:r>
              <w:r w:rsidR="003E1E4A" w:rsidRPr="00236366">
                <w:rPr>
                  <w:rStyle w:val="SubtleEmphasis"/>
                </w:rPr>
                <w:t>Life expectancy</w:t>
              </w:r>
              <w:r w:rsidR="003E1E4A" w:rsidRPr="009862F0">
                <w:rPr>
                  <w:noProof/>
                </w:rPr>
                <w:t>. Retrieved from OECD Data Explorer.</w:t>
              </w:r>
            </w:p>
            <w:p w14:paraId="49BC8DA6" w14:textId="77777777" w:rsidR="003E1E4A" w:rsidRPr="0017016B" w:rsidRDefault="003E1E4A" w:rsidP="003E1E4A">
              <w:pPr>
                <w:ind w:left="720" w:hanging="720"/>
                <w:rPr>
                  <w:rFonts w:eastAsiaTheme="minorHAnsi"/>
                  <w:kern w:val="2"/>
                  <w:sz w:val="22"/>
                  <w:szCs w:val="22"/>
                  <w14:ligatures w14:val="standardContextual"/>
                </w:rPr>
              </w:pPr>
              <w:r w:rsidRPr="0017016B">
                <w:rPr>
                  <w:rFonts w:eastAsiaTheme="minorHAnsi"/>
                  <w:kern w:val="2"/>
                  <w14:ligatures w14:val="standardContextual"/>
                </w:rPr>
                <w:t>Parr N</w:t>
              </w:r>
              <w:r>
                <w:t>. (2020).</w:t>
              </w:r>
              <w:r w:rsidRPr="0017016B">
                <w:rPr>
                  <w:rFonts w:eastAsiaTheme="minorHAnsi"/>
                  <w:kern w:val="2"/>
                  <w14:ligatures w14:val="standardContextual"/>
                </w:rPr>
                <w:t xml:space="preserve"> </w:t>
              </w:r>
              <w:r w:rsidRPr="00236366">
                <w:rPr>
                  <w:rStyle w:val="SubtleEmphasis"/>
                </w:rPr>
                <w:t>A New Measure of Fertility Replacement Level in the Presence of Positive Net Immigration</w:t>
              </w:r>
              <w:r>
                <w:t>. European Journal of Population.</w:t>
              </w:r>
            </w:p>
            <w:p w14:paraId="6192EA3A" w14:textId="470A4F24" w:rsidR="003E1E4A" w:rsidRDefault="003E1E4A" w:rsidP="003E1E4A">
              <w:pPr>
                <w:pStyle w:val="Bibliography"/>
                <w:ind w:left="720" w:hanging="720"/>
                <w:rPr>
                  <w:noProof/>
                </w:rPr>
              </w:pPr>
              <w:r>
                <w:rPr>
                  <w:noProof/>
                </w:rPr>
                <w:t xml:space="preserve">Stats NZ. (2024). </w:t>
              </w:r>
              <w:r w:rsidRPr="00236366">
                <w:rPr>
                  <w:rStyle w:val="SubtleEmphasis"/>
                </w:rPr>
                <w:t>International migration: September 2024</w:t>
              </w:r>
              <w:r>
                <w:rPr>
                  <w:noProof/>
                </w:rPr>
                <w:t>. Retrieved from https://www.stats.govt.nz/information</w:t>
              </w:r>
              <w:r w:rsidR="00050D25">
                <w:rPr>
                  <w:noProof/>
                </w:rPr>
                <w:t>-</w:t>
              </w:r>
              <w:r>
                <w:rPr>
                  <w:noProof/>
                </w:rPr>
                <w:t>releases/international</w:t>
              </w:r>
              <w:r w:rsidR="00050D25">
                <w:rPr>
                  <w:noProof/>
                </w:rPr>
                <w:t>-</w:t>
              </w:r>
              <w:r>
                <w:rPr>
                  <w:noProof/>
                </w:rPr>
                <w:t>migration</w:t>
              </w:r>
              <w:r w:rsidR="00050D25">
                <w:rPr>
                  <w:noProof/>
                </w:rPr>
                <w:t>-</w:t>
              </w:r>
              <w:r>
                <w:rPr>
                  <w:noProof/>
                </w:rPr>
                <w:t>september</w:t>
              </w:r>
              <w:r w:rsidR="00050D25">
                <w:rPr>
                  <w:noProof/>
                </w:rPr>
                <w:t>-</w:t>
              </w:r>
              <w:r>
                <w:rPr>
                  <w:noProof/>
                </w:rPr>
                <w:t>2024/</w:t>
              </w:r>
            </w:p>
            <w:p w14:paraId="5C309380" w14:textId="4AD6BDB0" w:rsidR="003E1E4A" w:rsidRDefault="003E1E4A" w:rsidP="003E1E4A">
              <w:pPr>
                <w:pStyle w:val="Bibliography"/>
                <w:ind w:left="720" w:hanging="720"/>
                <w:rPr>
                  <w:noProof/>
                </w:rPr>
              </w:pPr>
              <w:r w:rsidRPr="009862F0">
                <w:t>Tan</w:t>
              </w:r>
              <w:r w:rsidR="00B17A71" w:rsidRPr="00B17A71">
                <w:t xml:space="preserve"> K., Li, N., Meltzer, A, Chin, J., Tan, L., Lim, A., </w:t>
              </w:r>
              <w:proofErr w:type="spellStart"/>
              <w:r w:rsidR="00B17A71" w:rsidRPr="00B17A71">
                <w:t>Neuberg</w:t>
              </w:r>
              <w:proofErr w:type="spellEnd"/>
              <w:r w:rsidR="00B17A71" w:rsidRPr="00B17A71">
                <w:t xml:space="preserve">, S., van </w:t>
              </w:r>
              <w:proofErr w:type="spellStart"/>
              <w:r w:rsidR="00B17A71" w:rsidRPr="00B17A71">
                <w:t>Vugt</w:t>
              </w:r>
              <w:proofErr w:type="spellEnd"/>
              <w:r w:rsidR="00B17A71" w:rsidRPr="00B17A71">
                <w:t>, M. (2022)</w:t>
              </w:r>
              <w:r w:rsidRPr="009862F0">
                <w:t xml:space="preserve">, </w:t>
              </w:r>
              <w:r w:rsidRPr="000B6918">
                <w:rPr>
                  <w:rStyle w:val="SubtleEmphasis"/>
                </w:rPr>
                <w:t>Effects of economic uncertainty and socioeconomic status on reproductive timing: A life history approach</w:t>
              </w:r>
              <w:r w:rsidR="00C43313">
                <w:rPr>
                  <w:rStyle w:val="SubtleEmphasis"/>
                </w:rPr>
                <w:t>.</w:t>
              </w:r>
              <w:r w:rsidR="00C43313">
                <w:t xml:space="preserve"> Current Research in Ecological and Social Psychology</w:t>
              </w:r>
              <w:r>
                <w:t>.</w:t>
              </w:r>
            </w:p>
            <w:p w14:paraId="4E978CEF" w14:textId="355BA87B" w:rsidR="003E1E4A" w:rsidRDefault="003E1E4A" w:rsidP="003E1E4A">
              <w:pPr>
                <w:pStyle w:val="Bibliography"/>
                <w:ind w:left="720" w:hanging="720"/>
                <w:rPr>
                  <w:noProof/>
                </w:rPr>
              </w:pPr>
              <w:r>
                <w:rPr>
                  <w:noProof/>
                </w:rPr>
                <w:t xml:space="preserve">The Centre for International Economics. (2023). </w:t>
              </w:r>
              <w:r w:rsidRPr="000B6918">
                <w:rPr>
                  <w:rStyle w:val="SubtleEmphasis"/>
                </w:rPr>
                <w:t>Internal migration in Australia and the impact of government levers</w:t>
              </w:r>
              <w:r>
                <w:rPr>
                  <w:i/>
                  <w:iCs/>
                  <w:noProof/>
                </w:rPr>
                <w:t>.</w:t>
              </w:r>
              <w:r>
                <w:rPr>
                  <w:noProof/>
                </w:rPr>
                <w:t xml:space="preserve"> Retrieved from https://population.gov.au/sites/population.gov.au/files/2023</w:t>
              </w:r>
              <w:r w:rsidR="00050D25">
                <w:rPr>
                  <w:noProof/>
                </w:rPr>
                <w:t>-</w:t>
              </w:r>
              <w:r>
                <w:rPr>
                  <w:noProof/>
                </w:rPr>
                <w:t>11/final</w:t>
              </w:r>
              <w:r w:rsidR="00050D25">
                <w:rPr>
                  <w:noProof/>
                </w:rPr>
                <w:t>-</w:t>
              </w:r>
              <w:r>
                <w:rPr>
                  <w:noProof/>
                </w:rPr>
                <w:t>report</w:t>
              </w:r>
              <w:r w:rsidR="00050D25">
                <w:rPr>
                  <w:noProof/>
                </w:rPr>
                <w:t>-</w:t>
              </w:r>
              <w:r>
                <w:rPr>
                  <w:noProof/>
                </w:rPr>
                <w:t>internal</w:t>
              </w:r>
              <w:r w:rsidR="00050D25">
                <w:rPr>
                  <w:noProof/>
                </w:rPr>
                <w:t>-</w:t>
              </w:r>
              <w:r>
                <w:rPr>
                  <w:noProof/>
                </w:rPr>
                <w:t>migration</w:t>
              </w:r>
              <w:r w:rsidR="00050D25">
                <w:rPr>
                  <w:noProof/>
                </w:rPr>
                <w:t>-</w:t>
              </w:r>
              <w:r>
                <w:rPr>
                  <w:noProof/>
                </w:rPr>
                <w:t>aus.pdf</w:t>
              </w:r>
            </w:p>
            <w:p w14:paraId="27069B32" w14:textId="4DF2ABE4" w:rsidR="003E1E4A" w:rsidRDefault="003E1E4A" w:rsidP="003E1E4A">
              <w:pPr>
                <w:pStyle w:val="Bibliography"/>
                <w:ind w:left="720" w:hanging="720"/>
                <w:rPr>
                  <w:noProof/>
                </w:rPr>
              </w:pPr>
              <w:r>
                <w:rPr>
                  <w:noProof/>
                </w:rPr>
                <w:t xml:space="preserve">United Nations. (2024). </w:t>
              </w:r>
              <w:r w:rsidRPr="000B6918">
                <w:rPr>
                  <w:rStyle w:val="SubtleEmphasis"/>
                </w:rPr>
                <w:t>World population prospects (2024 Revision)</w:t>
              </w:r>
              <w:r w:rsidRPr="009862F0">
                <w:rPr>
                  <w:noProof/>
                </w:rPr>
                <w:t>.</w:t>
              </w:r>
              <w:r w:rsidR="00091503">
                <w:rPr>
                  <w:noProof/>
                </w:rPr>
                <w:t xml:space="preserve"> </w:t>
              </w:r>
              <w:r w:rsidRPr="009862F0">
                <w:rPr>
                  <w:noProof/>
                </w:rPr>
                <w:t>Retrieved</w:t>
              </w:r>
              <w:r>
                <w:rPr>
                  <w:noProof/>
                </w:rPr>
                <w:t xml:space="preserve"> from </w:t>
              </w:r>
              <w:r w:rsidRPr="008A0D3F">
                <w:rPr>
                  <w:noProof/>
                </w:rPr>
                <w:t>https://www.un.org/development/desa/pd/world</w:t>
              </w:r>
              <w:r w:rsidR="00050D25">
                <w:rPr>
                  <w:noProof/>
                </w:rPr>
                <w:t>-</w:t>
              </w:r>
              <w:r w:rsidRPr="008A0D3F">
                <w:rPr>
                  <w:noProof/>
                </w:rPr>
                <w:t>population</w:t>
              </w:r>
              <w:r w:rsidR="00050D25">
                <w:rPr>
                  <w:noProof/>
                </w:rPr>
                <w:t>-</w:t>
              </w:r>
              <w:r w:rsidRPr="008A0D3F">
                <w:rPr>
                  <w:noProof/>
                </w:rPr>
                <w:t>prospects</w:t>
              </w:r>
              <w:r w:rsidR="00050D25">
                <w:rPr>
                  <w:noProof/>
                </w:rPr>
                <w:t>-</w:t>
              </w:r>
              <w:r w:rsidRPr="008A0D3F">
                <w:rPr>
                  <w:noProof/>
                </w:rPr>
                <w:t>2024</w:t>
              </w:r>
            </w:p>
            <w:p w14:paraId="437C95FF" w14:textId="77777777" w:rsidR="003E1E4A" w:rsidRDefault="003E1E4A" w:rsidP="003E1E4A">
              <w:pPr>
                <w:pStyle w:val="Bibliography"/>
                <w:ind w:left="720" w:hanging="720"/>
                <w:rPr>
                  <w:noProof/>
                </w:rPr>
              </w:pPr>
              <w:r>
                <w:rPr>
                  <w:noProof/>
                </w:rPr>
                <w:t xml:space="preserve">Varela, P., &amp; Breunig, R. (2024). </w:t>
              </w:r>
              <w:r w:rsidRPr="000B6918">
                <w:rPr>
                  <w:rStyle w:val="SubtleEmphasis"/>
                </w:rPr>
                <w:t>Determinants of the economic outcomes of Australian permanent migrants</w:t>
              </w:r>
              <w:r>
                <w:rPr>
                  <w:i/>
                  <w:iCs/>
                  <w:noProof/>
                </w:rPr>
                <w:t>.</w:t>
              </w:r>
              <w:r>
                <w:rPr>
                  <w:noProof/>
                </w:rPr>
                <w:t xml:space="preserve"> Tax and Transfer Policy Institute, Australian National University.</w:t>
              </w:r>
            </w:p>
            <w:p w14:paraId="1D932065" w14:textId="77777777" w:rsidR="003E1E4A" w:rsidRDefault="003E1E4A" w:rsidP="003E1E4A">
              <w:pPr>
                <w:pStyle w:val="Bibliography"/>
                <w:ind w:left="720" w:hanging="720"/>
                <w:rPr>
                  <w:noProof/>
                </w:rPr>
              </w:pPr>
              <w:r>
                <w:rPr>
                  <w:noProof/>
                </w:rPr>
                <w:lastRenderedPageBreak/>
                <w:t xml:space="preserve">Varela, P., Husek, N., Williams, T., Maher, R., &amp; Kennedy, D. (2021). </w:t>
              </w:r>
              <w:r w:rsidRPr="000B6918">
                <w:rPr>
                  <w:rStyle w:val="SubtleEmphasis"/>
                </w:rPr>
                <w:t>The lifetime fiscal impact of the Australian permanent migration program</w:t>
              </w:r>
              <w:r>
                <w:rPr>
                  <w:i/>
                  <w:iCs/>
                  <w:noProof/>
                </w:rPr>
                <w:t>.</w:t>
              </w:r>
              <w:r>
                <w:rPr>
                  <w:noProof/>
                </w:rPr>
                <w:t xml:space="preserve"> Treasury Working Paper.</w:t>
              </w:r>
            </w:p>
            <w:p w14:paraId="304E847B" w14:textId="4F567E54" w:rsidR="003E1E4A" w:rsidRDefault="003E1E4A" w:rsidP="003E1E4A">
              <w:pPr>
                <w:pStyle w:val="Bibliography"/>
                <w:ind w:left="720" w:hanging="720"/>
              </w:pPr>
              <w:r>
                <w:rPr>
                  <w:noProof/>
                </w:rPr>
                <w:t>Wooden, M., Trinh, T.</w:t>
              </w:r>
              <w:r w:rsidR="00050D25">
                <w:rPr>
                  <w:noProof/>
                </w:rPr>
                <w:noBreakHyphen/>
              </w:r>
              <w:r>
                <w:rPr>
                  <w:noProof/>
                </w:rPr>
                <w:t>A., &amp; Mooi</w:t>
              </w:r>
              <w:r w:rsidR="00050D25">
                <w:rPr>
                  <w:noProof/>
                </w:rPr>
                <w:noBreakHyphen/>
              </w:r>
              <w:r>
                <w:rPr>
                  <w:noProof/>
                </w:rPr>
                <w:t xml:space="preserve">Reci, I. (2023). </w:t>
              </w:r>
              <w:r w:rsidRPr="000B6918">
                <w:rPr>
                  <w:rStyle w:val="SubtleEmphasis"/>
                </w:rPr>
                <w:t>The Differential Impacts of Contingent Employment on Fertility: Evidence from Australia</w:t>
              </w:r>
              <w:r w:rsidRPr="0017016B">
                <w:rPr>
                  <w:i/>
                  <w:iCs/>
                  <w:noProof/>
                </w:rPr>
                <w:t>.</w:t>
              </w:r>
              <w:r>
                <w:rPr>
                  <w:noProof/>
                </w:rPr>
                <w:t xml:space="preserve"> </w:t>
              </w:r>
              <w:r w:rsidRPr="0017016B">
                <w:rPr>
                  <w:noProof/>
                </w:rPr>
                <w:t>Social Forces</w:t>
              </w:r>
              <w:r>
                <w:rPr>
                  <w:noProof/>
                </w:rPr>
                <w:t>, 330</w:t>
              </w:r>
              <w:r w:rsidR="00050D25">
                <w:rPr>
                  <w:noProof/>
                </w:rPr>
                <w:noBreakHyphen/>
              </w:r>
              <w:r>
                <w:rPr>
                  <w:noProof/>
                </w:rPr>
                <w:t>352.</w:t>
              </w:r>
            </w:p>
          </w:sdtContent>
        </w:sdt>
        <w:p w14:paraId="2226EE60" w14:textId="4F3D2897" w:rsidR="00D7273B" w:rsidDel="00786B45" w:rsidRDefault="003977FE" w:rsidP="00050D25">
          <w:pPr>
            <w:pStyle w:val="SingleParagraph"/>
          </w:pPr>
        </w:p>
      </w:sdtContent>
    </w:sdt>
    <w:bookmarkEnd w:id="358" w:displacedByCustomXml="prev"/>
    <w:bookmarkEnd w:id="359" w:displacedByCustomXml="prev"/>
    <w:bookmarkEnd w:id="360" w:displacedByCustomXml="prev"/>
    <w:bookmarkEnd w:id="361" w:displacedByCustomXml="prev"/>
    <w:bookmarkEnd w:id="362" w:displacedByCustomXml="prev"/>
    <w:sectPr w:rsidR="00D7273B" w:rsidDel="00786B45" w:rsidSect="00B9229E">
      <w:headerReference w:type="default" r:id="rId111"/>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5D9E7" w14:textId="77777777" w:rsidR="004811F8" w:rsidRDefault="004811F8">
      <w:pPr>
        <w:spacing w:before="0" w:after="0"/>
      </w:pPr>
      <w:r>
        <w:separator/>
      </w:r>
    </w:p>
    <w:p w14:paraId="1FE54664" w14:textId="77777777" w:rsidR="004811F8" w:rsidRDefault="004811F8"/>
  </w:endnote>
  <w:endnote w:type="continuationSeparator" w:id="0">
    <w:p w14:paraId="1BE5E27E" w14:textId="77777777" w:rsidR="004811F8" w:rsidRDefault="004811F8">
      <w:pPr>
        <w:spacing w:before="0" w:after="0"/>
      </w:pPr>
      <w:r>
        <w:continuationSeparator/>
      </w:r>
    </w:p>
    <w:p w14:paraId="5D2EAA27" w14:textId="77777777" w:rsidR="004811F8" w:rsidRDefault="004811F8"/>
  </w:endnote>
  <w:endnote w:type="continuationNotice" w:id="1">
    <w:p w14:paraId="2CEA458F" w14:textId="77777777" w:rsidR="004811F8" w:rsidRDefault="004811F8">
      <w:pPr>
        <w:spacing w:before="0" w:after="0" w:line="240" w:lineRule="auto"/>
      </w:pPr>
    </w:p>
    <w:p w14:paraId="327B5A10" w14:textId="77777777" w:rsidR="004811F8" w:rsidRDefault="00481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16F5" w14:textId="3030B737" w:rsidR="00EF145E" w:rsidRPr="00E77C89" w:rsidRDefault="00320174" w:rsidP="00E629F0">
    <w:pPr>
      <w:pStyle w:val="FooterEven"/>
    </w:pPr>
    <w:r>
      <w:fldChar w:fldCharType="begin"/>
    </w:r>
    <w:r>
      <w:instrText xml:space="preserve"> PAGE  \* roman  \* MERGEFORMAT </w:instrText>
    </w:r>
    <w:r>
      <w:fldChar w:fldCharType="separate"/>
    </w:r>
    <w:r>
      <w:t>ii</w:t>
    </w:r>
    <w:r>
      <w:fldChar w:fldCharType="end"/>
    </w:r>
    <w:r w:rsidR="00E629F0">
      <w:t xml:space="preserve"> | </w:t>
    </w:r>
    <w:r w:rsidR="00946BB9" w:rsidRPr="00165A28">
      <w:rPr>
        <w:b/>
        <w:bCs/>
      </w:rPr>
      <w:fldChar w:fldCharType="begin"/>
    </w:r>
    <w:r w:rsidR="00946BB9" w:rsidRPr="00165A28">
      <w:rPr>
        <w:b/>
        <w:bCs/>
      </w:rPr>
      <w:instrText xml:space="preserve"> INFO  Title  \* MERGEFORMAT </w:instrText>
    </w:r>
    <w:r w:rsidR="00946BB9" w:rsidRPr="00165A28">
      <w:rPr>
        <w:b/>
        <w:bCs/>
      </w:rPr>
      <w:fldChar w:fldCharType="separate"/>
    </w:r>
    <w:r w:rsidR="00050D25">
      <w:rPr>
        <w:b/>
        <w:bCs/>
      </w:rPr>
      <w:t>Population Statement 2024</w:t>
    </w:r>
    <w:r w:rsidR="00946BB9" w:rsidRPr="00165A28">
      <w:rPr>
        <w:b/>
        <w:b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2D4E" w14:textId="4DABC2C7" w:rsidR="00D7273B" w:rsidRDefault="00D7273B" w:rsidP="00B9347E">
    <w:pPr>
      <w:pStyle w:val="FooterOdd"/>
    </w:pPr>
    <w:r w:rsidRPr="00165A28">
      <w:rPr>
        <w:b/>
        <w:bCs/>
      </w:rPr>
      <w:fldChar w:fldCharType="begin"/>
    </w:r>
    <w:r w:rsidRPr="00165A28">
      <w:rPr>
        <w:b/>
        <w:bCs/>
      </w:rPr>
      <w:instrText xml:space="preserve"> INFO  Title  \* MERGEFORMAT </w:instrText>
    </w:r>
    <w:r w:rsidRPr="00165A28">
      <w:rPr>
        <w:b/>
        <w:bCs/>
      </w:rPr>
      <w:fldChar w:fldCharType="separate"/>
    </w:r>
    <w:r w:rsidR="00050D25">
      <w:rPr>
        <w:b/>
        <w:bCs/>
      </w:rPr>
      <w:t>Population Statement 2024</w:t>
    </w:r>
    <w:r w:rsidRPr="00165A28">
      <w:rPr>
        <w:b/>
        <w:bCs/>
      </w:rPr>
      <w:fldChar w:fldCharType="end"/>
    </w:r>
    <w:r w:rsidR="00870EFF">
      <w:rPr>
        <w:b/>
        <w:bCs/>
      </w:rPr>
      <w:t xml:space="preserve"> </w:t>
    </w:r>
    <w:r>
      <w:t xml:space="preserve">| </w:t>
    </w:r>
    <w:r>
      <w:fldChar w:fldCharType="begin"/>
    </w:r>
    <w:r>
      <w:instrText xml:space="preserve"> PAGE  \* Arabic  \* MERGEFORMAT </w:instrText>
    </w:r>
    <w:r>
      <w:fldChar w:fldCharType="separate"/>
    </w:r>
    <w:r>
      <w:t>21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783AC" w14:textId="780AB417" w:rsidR="00D7273B" w:rsidRDefault="00D72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6654" w14:textId="170EDC93" w:rsidR="00F401A0" w:rsidRPr="00E77C89" w:rsidRDefault="00946BB9" w:rsidP="00F401A0">
    <w:pPr>
      <w:pStyle w:val="FooterOdd"/>
      <w:ind w:firstLine="720"/>
    </w:pPr>
    <w:r w:rsidRPr="00165A28">
      <w:rPr>
        <w:b/>
        <w:bCs/>
      </w:rPr>
      <w:fldChar w:fldCharType="begin"/>
    </w:r>
    <w:r w:rsidRPr="00165A28">
      <w:rPr>
        <w:b/>
        <w:bCs/>
      </w:rPr>
      <w:instrText xml:space="preserve"> INFO  Title  \* MERGEFORMAT </w:instrText>
    </w:r>
    <w:r w:rsidRPr="00165A28">
      <w:rPr>
        <w:b/>
        <w:bCs/>
      </w:rPr>
      <w:fldChar w:fldCharType="separate"/>
    </w:r>
    <w:r w:rsidR="00050D25">
      <w:rPr>
        <w:b/>
        <w:bCs/>
      </w:rPr>
      <w:t>Population Statement 2024</w:t>
    </w:r>
    <w:r w:rsidRPr="00165A28">
      <w:rPr>
        <w:b/>
        <w:bCs/>
      </w:rPr>
      <w:fldChar w:fldCharType="end"/>
    </w:r>
    <w:r w:rsidR="00F401A0">
      <w:t xml:space="preserve">| </w:t>
    </w:r>
    <w:r w:rsidR="00F401A0">
      <w:fldChar w:fldCharType="begin"/>
    </w:r>
    <w:r w:rsidR="00F401A0">
      <w:instrText xml:space="preserve"> PAGE  \* roman  \* MERGEFORMAT </w:instrText>
    </w:r>
    <w:r w:rsidR="00F401A0">
      <w:fldChar w:fldCharType="separate"/>
    </w:r>
    <w:r w:rsidR="00F401A0">
      <w:t>v</w:t>
    </w:r>
    <w:proofErr w:type="spellStart"/>
    <w:r w:rsidR="00F401A0">
      <w:t>i</w:t>
    </w:r>
    <w:proofErr w:type="spellEnd"/>
    <w:r w:rsidR="00F401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2076" w14:textId="01A954BF" w:rsidR="00E629F0" w:rsidRPr="00E77C89" w:rsidRDefault="00E629F0" w:rsidP="00E629F0">
    <w:pPr>
      <w:pStyle w:val="FooterEven"/>
    </w:pPr>
    <w:r>
      <w:fldChar w:fldCharType="begin"/>
    </w:r>
    <w:r>
      <w:instrText xml:space="preserve"> PAGE  \* roman  \* MERGEFORMAT </w:instrText>
    </w:r>
    <w:r>
      <w:fldChar w:fldCharType="separate"/>
    </w:r>
    <w:r>
      <w:t>ii</w:t>
    </w:r>
    <w:r>
      <w:fldChar w:fldCharType="end"/>
    </w:r>
    <w:r>
      <w:t xml:space="preserve"> | </w:t>
    </w:r>
    <w:r w:rsidR="00946BB9" w:rsidRPr="00165A28">
      <w:rPr>
        <w:b/>
        <w:bCs/>
      </w:rPr>
      <w:fldChar w:fldCharType="begin"/>
    </w:r>
    <w:r w:rsidR="00946BB9" w:rsidRPr="00165A28">
      <w:rPr>
        <w:b/>
        <w:bCs/>
      </w:rPr>
      <w:instrText xml:space="preserve"> INFO  Title  \* MERGEFORMAT </w:instrText>
    </w:r>
    <w:r w:rsidR="00946BB9" w:rsidRPr="00165A28">
      <w:rPr>
        <w:b/>
        <w:bCs/>
      </w:rPr>
      <w:fldChar w:fldCharType="separate"/>
    </w:r>
    <w:r w:rsidR="00050D25">
      <w:rPr>
        <w:b/>
        <w:bCs/>
      </w:rPr>
      <w:t>Population Statement 2024</w:t>
    </w:r>
    <w:r w:rsidR="00946BB9" w:rsidRPr="00165A28">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FC45" w14:textId="273A4658" w:rsidR="00B55588" w:rsidRPr="00E77C89" w:rsidRDefault="00946BB9" w:rsidP="00F401A0">
    <w:pPr>
      <w:pStyle w:val="FooterOdd"/>
      <w:ind w:firstLine="720"/>
    </w:pPr>
    <w:r w:rsidRPr="00165A28">
      <w:rPr>
        <w:b/>
        <w:bCs/>
      </w:rPr>
      <w:fldChar w:fldCharType="begin"/>
    </w:r>
    <w:r w:rsidRPr="00165A28">
      <w:rPr>
        <w:b/>
        <w:bCs/>
      </w:rPr>
      <w:instrText xml:space="preserve"> INFO  Title  \* MERGEFORMAT </w:instrText>
    </w:r>
    <w:r w:rsidRPr="00165A28">
      <w:rPr>
        <w:b/>
        <w:bCs/>
      </w:rPr>
      <w:fldChar w:fldCharType="separate"/>
    </w:r>
    <w:r w:rsidR="00050D25">
      <w:rPr>
        <w:b/>
        <w:bCs/>
      </w:rPr>
      <w:t>Population Statement 2024</w:t>
    </w:r>
    <w:r w:rsidRPr="00165A28">
      <w:rPr>
        <w:b/>
        <w:bCs/>
      </w:rPr>
      <w:fldChar w:fldCharType="end"/>
    </w:r>
    <w:r>
      <w:rPr>
        <w:b/>
        <w:bCs/>
      </w:rPr>
      <w:t xml:space="preserve"> </w:t>
    </w:r>
    <w:r w:rsidR="00527F5D">
      <w:t xml:space="preserve">| </w:t>
    </w:r>
    <w:r w:rsidR="00527F5D">
      <w:fldChar w:fldCharType="begin"/>
    </w:r>
    <w:r w:rsidR="00527F5D">
      <w:instrText xml:space="preserve"> PAGE  \* roman  \* MERGEFORMAT </w:instrText>
    </w:r>
    <w:r w:rsidR="00527F5D">
      <w:fldChar w:fldCharType="separate"/>
    </w:r>
    <w:r w:rsidR="00527F5D">
      <w:rPr>
        <w:noProof/>
      </w:rPr>
      <w:t>ii</w:t>
    </w:r>
    <w:r w:rsidR="00527F5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33C2" w14:textId="78607375" w:rsidR="0066348F" w:rsidRPr="00E77C89" w:rsidRDefault="0066348F" w:rsidP="0066348F">
    <w:pPr>
      <w:pStyle w:val="FooterOdd"/>
      <w:ind w:firstLine="720"/>
    </w:pPr>
    <w:r w:rsidRPr="00AC19E9">
      <w:rPr>
        <w:b/>
        <w:bCs/>
      </w:rPr>
      <w:t>Centre for Population</w:t>
    </w:r>
    <w:r>
      <w:t xml:space="preserve"> | </w:t>
    </w:r>
    <w:r w:rsidR="00806B8A" w:rsidRPr="00806B8A">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5E2D" w14:textId="5BC0393B" w:rsidR="005C63AA" w:rsidRPr="0066348F" w:rsidRDefault="005C63AA" w:rsidP="00E01570">
    <w:pPr>
      <w:pStyle w:val="FooterEven"/>
      <w:rPr>
        <w:b/>
        <w:bCs/>
      </w:rPr>
    </w:pPr>
    <w:r>
      <w:fldChar w:fldCharType="begin"/>
    </w:r>
    <w:r>
      <w:instrText xml:space="preserve"> PAGE  \* Arabic  \* MERGEFORMAT </w:instrText>
    </w:r>
    <w:r>
      <w:fldChar w:fldCharType="separate"/>
    </w:r>
    <w:r>
      <w:t>2</w:t>
    </w:r>
    <w:r>
      <w:fldChar w:fldCharType="end"/>
    </w:r>
    <w:r>
      <w:t xml:space="preserve"> | </w:t>
    </w:r>
    <w:r w:rsidRPr="0066348F">
      <w:rPr>
        <w:b/>
        <w:bCs/>
      </w:rPr>
      <w:fldChar w:fldCharType="begin"/>
    </w:r>
    <w:r w:rsidRPr="0066348F">
      <w:rPr>
        <w:b/>
        <w:bCs/>
      </w:rPr>
      <w:instrText xml:space="preserve"> INFO  Title  \* MERGEFORMAT </w:instrText>
    </w:r>
    <w:r w:rsidRPr="0066348F">
      <w:rPr>
        <w:b/>
        <w:bCs/>
      </w:rPr>
      <w:fldChar w:fldCharType="separate"/>
    </w:r>
    <w:r w:rsidR="00050D25">
      <w:rPr>
        <w:b/>
        <w:bCs/>
      </w:rPr>
      <w:t>Population Statement 2024</w:t>
    </w:r>
    <w:r w:rsidRPr="0066348F">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B63B" w14:textId="2D98D8C1" w:rsidR="005C63AA" w:rsidRPr="0066348F" w:rsidRDefault="005C63AA" w:rsidP="00E01570">
    <w:pPr>
      <w:pStyle w:val="FooterOdd"/>
    </w:pPr>
    <w:r w:rsidRPr="00165A28">
      <w:rPr>
        <w:b/>
        <w:bCs/>
      </w:rPr>
      <w:fldChar w:fldCharType="begin"/>
    </w:r>
    <w:r w:rsidRPr="00165A28">
      <w:rPr>
        <w:b/>
        <w:bCs/>
      </w:rPr>
      <w:instrText xml:space="preserve"> INFO  Title  \* MERGEFORMAT </w:instrText>
    </w:r>
    <w:r w:rsidRPr="00165A28">
      <w:rPr>
        <w:b/>
        <w:bCs/>
      </w:rPr>
      <w:fldChar w:fldCharType="separate"/>
    </w:r>
    <w:r w:rsidR="00050D25">
      <w:rPr>
        <w:b/>
        <w:bCs/>
      </w:rPr>
      <w:t>Population Statement 2024</w:t>
    </w:r>
    <w:r w:rsidRPr="00165A28">
      <w:rPr>
        <w:b/>
        <w:bCs/>
      </w:rPr>
      <w:fldChar w:fldCharType="end"/>
    </w:r>
    <w:r w:rsidR="00105159">
      <w:rPr>
        <w:b/>
        <w:bCs/>
      </w:rPr>
      <w:t xml:space="preserve"> </w:t>
    </w:r>
    <w:r>
      <w:t xml:space="preserve">| </w:t>
    </w:r>
    <w:r>
      <w:fldChar w:fldCharType="begin"/>
    </w:r>
    <w:r>
      <w:instrText xml:space="preserve"> PAGE  \* Arabic  \* MERGEFORMAT </w:instrText>
    </w:r>
    <w:r>
      <w:fldChar w:fldCharType="separate"/>
    </w:r>
    <w: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2F85" w14:textId="563E42E3" w:rsidR="005C63AA" w:rsidRPr="00E77C89" w:rsidRDefault="005C63AA" w:rsidP="0066348F">
    <w:pPr>
      <w:pStyle w:val="FooterOdd"/>
      <w:ind w:firstLine="720"/>
    </w:pPr>
    <w:r w:rsidRPr="00AC19E9">
      <w:rPr>
        <w:b/>
        <w:bCs/>
      </w:rPr>
      <w:t>Centre for Population</w:t>
    </w:r>
    <w:r>
      <w:t xml:space="preserve"> | </w:t>
    </w:r>
    <w:r w:rsidRPr="00806B8A">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8EAA" w14:textId="515C1FD6" w:rsidR="00D7273B" w:rsidRDefault="00D7273B" w:rsidP="00B9347E">
    <w:pPr>
      <w:pStyle w:val="Footer"/>
      <w:jc w:val="left"/>
    </w:pPr>
    <w:r w:rsidRPr="00165A28">
      <w:rPr>
        <w:b/>
        <w:bCs/>
      </w:rPr>
      <w:fldChar w:fldCharType="begin"/>
    </w:r>
    <w:r w:rsidRPr="00165A28">
      <w:rPr>
        <w:b/>
        <w:bCs/>
      </w:rPr>
      <w:instrText xml:space="preserve"> INFO  Title  \* MERGEFORMAT </w:instrText>
    </w:r>
    <w:r w:rsidRPr="00165A28">
      <w:rPr>
        <w:b/>
        <w:bCs/>
      </w:rPr>
      <w:fldChar w:fldCharType="separate"/>
    </w:r>
    <w:r w:rsidR="00050D25">
      <w:rPr>
        <w:b/>
        <w:bCs/>
      </w:rPr>
      <w:t>Population Statement 2024</w:t>
    </w:r>
    <w:r w:rsidRPr="00165A28">
      <w:rPr>
        <w:b/>
        <w:bCs/>
      </w:rPr>
      <w:fldChar w:fldCharType="end"/>
    </w:r>
    <w:r>
      <w:rPr>
        <w:b/>
        <w:bCs/>
      </w:rPr>
      <w:t xml:space="preserve"> </w:t>
    </w:r>
    <w:r w:rsidR="00870EFF">
      <w:t xml:space="preserve">| </w:t>
    </w:r>
    <w:r>
      <w:fldChar w:fldCharType="begin"/>
    </w:r>
    <w:r>
      <w:instrText xml:space="preserve"> PAGE  \* Arabic  \* MERGEFORMAT </w:instrText>
    </w:r>
    <w:r>
      <w:fldChar w:fldCharType="separate"/>
    </w:r>
    <w: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D9013" w14:textId="77777777" w:rsidR="004811F8" w:rsidRDefault="004811F8">
      <w:pPr>
        <w:spacing w:before="0" w:after="0"/>
      </w:pPr>
      <w:r>
        <w:separator/>
      </w:r>
    </w:p>
  </w:footnote>
  <w:footnote w:type="continuationSeparator" w:id="0">
    <w:p w14:paraId="6DDBD234" w14:textId="77777777" w:rsidR="004811F8" w:rsidRDefault="004811F8">
      <w:pPr>
        <w:spacing w:before="0" w:after="0"/>
      </w:pPr>
      <w:r>
        <w:continuationSeparator/>
      </w:r>
    </w:p>
    <w:p w14:paraId="251C09EE" w14:textId="77777777" w:rsidR="004811F8" w:rsidRDefault="004811F8"/>
  </w:footnote>
  <w:footnote w:type="continuationNotice" w:id="1">
    <w:p w14:paraId="3A65F2C0" w14:textId="77777777" w:rsidR="004811F8" w:rsidRDefault="004811F8">
      <w:pPr>
        <w:spacing w:before="0" w:after="0" w:line="240" w:lineRule="auto"/>
      </w:pPr>
    </w:p>
    <w:p w14:paraId="741E8AA3" w14:textId="77777777" w:rsidR="004811F8" w:rsidRDefault="004811F8"/>
  </w:footnote>
  <w:footnote w:id="2">
    <w:p w14:paraId="7D83E5A0" w14:textId="73013BEF" w:rsidR="00D9259F" w:rsidRDefault="00671F0E" w:rsidP="00D9259F">
      <w:pPr>
        <w:pStyle w:val="FootnoteText"/>
      </w:pPr>
      <w:r w:rsidRPr="00671F0E">
        <w:rPr>
          <w:rStyle w:val="FootnoteReference"/>
          <w:vertAlign w:val="baseline"/>
        </w:rPr>
        <w:footnoteRef/>
      </w:r>
      <w:r w:rsidR="00D9259F" w:rsidRPr="001920B3">
        <w:rPr>
          <w:rStyle w:val="FootnoteReference"/>
          <w:vertAlign w:val="baseline"/>
        </w:rPr>
        <w:t xml:space="preserve"> </w:t>
      </w:r>
      <w:r w:rsidR="00D9259F">
        <w:tab/>
      </w:r>
      <w:r w:rsidR="00E84835">
        <w:rPr>
          <w:rStyle w:val="FootnoteReference"/>
          <w:vertAlign w:val="baseline"/>
        </w:rPr>
        <w:t>N</w:t>
      </w:r>
      <w:r w:rsidR="00E84835">
        <w:t>OM</w:t>
      </w:r>
      <w:r w:rsidR="00D9259F" w:rsidRPr="001920B3">
        <w:rPr>
          <w:rStyle w:val="FootnoteReference"/>
          <w:vertAlign w:val="baseline"/>
        </w:rPr>
        <w:t xml:space="preserve"> made a smaller contribution to population growth in the other jurisdictions resulting in lower average growth between 1994 and 2020 in the United States (0.9</w:t>
      </w:r>
      <w:r w:rsidR="00FF207F">
        <w:rPr>
          <w:rStyle w:val="FootnoteReference"/>
          <w:vertAlign w:val="baseline"/>
        </w:rPr>
        <w:t> per cent</w:t>
      </w:r>
      <w:r w:rsidR="00D9259F" w:rsidRPr="001920B3">
        <w:rPr>
          <w:rStyle w:val="FootnoteReference"/>
          <w:vertAlign w:val="baseline"/>
        </w:rPr>
        <w:t xml:space="preserve">), the </w:t>
      </w:r>
      <w:r w:rsidR="008050CD">
        <w:rPr>
          <w:rStyle w:val="FootnoteReference"/>
          <w:vertAlign w:val="baseline"/>
        </w:rPr>
        <w:t>U</w:t>
      </w:r>
      <w:r w:rsidR="008050CD">
        <w:t xml:space="preserve">K </w:t>
      </w:r>
      <w:r w:rsidR="00D9259F" w:rsidRPr="001920B3">
        <w:rPr>
          <w:rStyle w:val="FootnoteReference"/>
          <w:vertAlign w:val="baseline"/>
        </w:rPr>
        <w:t>(0.6</w:t>
      </w:r>
      <w:r w:rsidR="00FF207F">
        <w:rPr>
          <w:rStyle w:val="FootnoteReference"/>
          <w:vertAlign w:val="baseline"/>
        </w:rPr>
        <w:t> per cent</w:t>
      </w:r>
      <w:r w:rsidR="00D9259F" w:rsidRPr="001920B3">
        <w:rPr>
          <w:rStyle w:val="FootnoteReference"/>
          <w:vertAlign w:val="baseline"/>
        </w:rPr>
        <w:t xml:space="preserve">) and the </w:t>
      </w:r>
      <w:r w:rsidR="008050CD">
        <w:rPr>
          <w:rStyle w:val="FootnoteReference"/>
          <w:vertAlign w:val="baseline"/>
        </w:rPr>
        <w:t>E</w:t>
      </w:r>
      <w:r w:rsidR="008050CD">
        <w:t>U</w:t>
      </w:r>
      <w:r w:rsidR="00D9259F" w:rsidRPr="001920B3">
        <w:rPr>
          <w:rStyle w:val="FootnoteReference"/>
          <w:vertAlign w:val="baseline"/>
        </w:rPr>
        <w:t xml:space="preserve"> (0.2</w:t>
      </w:r>
      <w:r w:rsidR="00FF207F">
        <w:rPr>
          <w:rStyle w:val="FootnoteReference"/>
          <w:vertAlign w:val="baseline"/>
        </w:rPr>
        <w:t> per cent</w:t>
      </w:r>
      <w:r w:rsidR="00D9259F" w:rsidRPr="001920B3">
        <w:rPr>
          <w:rStyle w:val="FootnoteReference"/>
          <w:vertAlign w:val="baseline"/>
        </w:rPr>
        <w:t>).</w:t>
      </w:r>
    </w:p>
  </w:footnote>
  <w:footnote w:id="3">
    <w:p w14:paraId="480D2C14" w14:textId="141E3747" w:rsidR="00D9259F" w:rsidRDefault="00671F0E" w:rsidP="00D9259F">
      <w:pPr>
        <w:pStyle w:val="Footnotev2"/>
      </w:pPr>
      <w:r w:rsidRPr="00671F0E">
        <w:footnoteRef/>
      </w:r>
      <w:r w:rsidR="00D9259F" w:rsidRPr="001920B3">
        <w:rPr>
          <w:rStyle w:val="FootnoteTextChar"/>
        </w:rPr>
        <w:tab/>
      </w:r>
      <w:r w:rsidR="009A280B" w:rsidRPr="009A280B">
        <w:rPr>
          <w:rStyle w:val="FootnoteTextChar"/>
        </w:rPr>
        <w:t xml:space="preserve">Commonwealth of Australia, </w:t>
      </w:r>
      <w:r w:rsidR="00D9259F" w:rsidRPr="0037128E">
        <w:rPr>
          <w:rStyle w:val="FootnoteTextChar"/>
          <w:i/>
          <w:iCs/>
        </w:rPr>
        <w:t>2023 Intergenerational Report</w:t>
      </w:r>
      <w:r w:rsidR="00BF55B1">
        <w:rPr>
          <w:rStyle w:val="FootnoteTextChar"/>
          <w:i/>
          <w:iCs/>
        </w:rPr>
        <w:t>.</w:t>
      </w:r>
    </w:p>
  </w:footnote>
  <w:footnote w:id="4">
    <w:p w14:paraId="5F163634" w14:textId="19C9BDB9" w:rsidR="00D9259F" w:rsidRPr="003914B2" w:rsidRDefault="00671F0E" w:rsidP="00756BE9">
      <w:pPr>
        <w:pStyle w:val="FootnoteText"/>
        <w:rPr>
          <w:highlight w:val="yellow"/>
        </w:rPr>
      </w:pPr>
      <w:r w:rsidRPr="00B67622">
        <w:rPr>
          <w:rStyle w:val="FootnoteReference"/>
          <w:rFonts w:asciiTheme="minorHAnsi" w:hAnsiTheme="minorHAnsi"/>
          <w:vertAlign w:val="baseline"/>
        </w:rPr>
        <w:footnoteRef/>
      </w:r>
      <w:r w:rsidR="00D9259F" w:rsidRPr="00B67622">
        <w:rPr>
          <w:rStyle w:val="FootnoteReference"/>
          <w:rFonts w:asciiTheme="minorHAnsi" w:hAnsiTheme="minorHAnsi"/>
          <w:vertAlign w:val="baseline"/>
        </w:rPr>
        <w:tab/>
      </w:r>
      <w:r w:rsidR="008A1EEF" w:rsidRPr="00B67622">
        <w:t>The Lancet</w:t>
      </w:r>
      <w:r w:rsidR="008A1EEF" w:rsidRPr="008A1EEF">
        <w:t xml:space="preserve">, </w:t>
      </w:r>
      <w:r w:rsidR="00D9259F" w:rsidRPr="00A11E5D">
        <w:rPr>
          <w:i/>
        </w:rPr>
        <w:t>Global fertility in 204 countries and territories, 1950–2021, with forecasts to 2100</w:t>
      </w:r>
      <w:r w:rsidR="005222FD">
        <w:rPr>
          <w:iCs/>
        </w:rPr>
        <w:t>, 2024.</w:t>
      </w:r>
    </w:p>
  </w:footnote>
  <w:footnote w:id="5">
    <w:p w14:paraId="770D8D6F" w14:textId="5CC6B6FF" w:rsidR="00EF4331" w:rsidRPr="00EF4331" w:rsidRDefault="00EF4331">
      <w:pPr>
        <w:pStyle w:val="FootnoteText"/>
      </w:pPr>
      <w:r w:rsidRPr="0037128E">
        <w:rPr>
          <w:rStyle w:val="FootnoteReference"/>
          <w:vertAlign w:val="baseline"/>
        </w:rPr>
        <w:footnoteRef/>
      </w:r>
      <w:r w:rsidRPr="00EF4331">
        <w:t xml:space="preserve"> </w:t>
      </w:r>
      <w:r w:rsidR="00D64A92">
        <w:tab/>
        <w:t xml:space="preserve">ABS, </w:t>
      </w:r>
      <w:r w:rsidR="00D64A92" w:rsidRPr="006A24B8">
        <w:rPr>
          <w:rStyle w:val="SubtleEmphasis"/>
        </w:rPr>
        <w:t>Estimates of Aboriginal and Torres Strait Islander Australians</w:t>
      </w:r>
      <w:r w:rsidR="00D64A92" w:rsidRPr="0037128E">
        <w:rPr>
          <w:i/>
        </w:rPr>
        <w:t>, 2021</w:t>
      </w:r>
      <w:r w:rsidR="00D64A92">
        <w:t>.</w:t>
      </w:r>
    </w:p>
  </w:footnote>
  <w:footnote w:id="6">
    <w:p w14:paraId="6DA6A999" w14:textId="3CA03062" w:rsidR="00A4088A" w:rsidRDefault="00A4088A">
      <w:pPr>
        <w:pStyle w:val="FootnoteText"/>
      </w:pPr>
      <w:r w:rsidRPr="0037128E">
        <w:rPr>
          <w:rStyle w:val="FootnoteReference"/>
          <w:vertAlign w:val="baseline"/>
        </w:rPr>
        <w:footnoteRef/>
      </w:r>
      <w:r w:rsidRPr="0037128E">
        <w:rPr>
          <w:rStyle w:val="FootnoteReference"/>
          <w:vertAlign w:val="baseline"/>
        </w:rPr>
        <w:t xml:space="preserve"> </w:t>
      </w:r>
      <w:r w:rsidR="00F65E1B">
        <w:tab/>
      </w:r>
      <w:r w:rsidR="00F65E1B" w:rsidRPr="0037128E">
        <w:rPr>
          <w:rStyle w:val="FootnoteReference"/>
          <w:vertAlign w:val="baseline"/>
        </w:rPr>
        <w:t xml:space="preserve">ABS, </w:t>
      </w:r>
      <w:r w:rsidR="0035214B">
        <w:rPr>
          <w:i/>
        </w:rPr>
        <w:t>Regional population, 2022–23</w:t>
      </w:r>
      <w:r w:rsidR="00AF5A1B">
        <w:t>.</w:t>
      </w:r>
    </w:p>
  </w:footnote>
  <w:footnote w:id="7">
    <w:p w14:paraId="7F69CBA2" w14:textId="686CE5BB" w:rsidR="000D06A9" w:rsidRPr="00756BE9" w:rsidRDefault="000D06A9" w:rsidP="000D06A9">
      <w:pPr>
        <w:pStyle w:val="FootnoteText"/>
      </w:pPr>
      <w:r w:rsidRPr="00671F0E">
        <w:footnoteRef/>
      </w:r>
      <w:r w:rsidRPr="00756BE9">
        <w:t xml:space="preserve"> </w:t>
      </w:r>
      <w:r w:rsidRPr="00756BE9">
        <w:tab/>
        <w:t>The ABS produced 3 main series to provide a range of projections for analysis. These series are referred to as high, medium and low projections.</w:t>
      </w:r>
      <w:r>
        <w:t xml:space="preserve"> </w:t>
      </w:r>
      <w:r w:rsidR="00C14134">
        <w:t>The a</w:t>
      </w:r>
      <w:r>
        <w:t>nalysis in this section is based on the medium projection.</w:t>
      </w:r>
    </w:p>
  </w:footnote>
  <w:footnote w:id="8">
    <w:p w14:paraId="4E8613FA" w14:textId="34B637BD" w:rsidR="00751003" w:rsidRDefault="00751003">
      <w:pPr>
        <w:pStyle w:val="FootnoteText"/>
      </w:pPr>
      <w:r w:rsidRPr="0037128E">
        <w:footnoteRef/>
      </w:r>
      <w:r>
        <w:t xml:space="preserve"> </w:t>
      </w:r>
      <w:r w:rsidR="00566ECC">
        <w:tab/>
      </w:r>
      <w:r w:rsidR="00C14134">
        <w:t>Th</w:t>
      </w:r>
      <w:r w:rsidR="007F035F">
        <w:t>e analysis in this</w:t>
      </w:r>
      <w:r w:rsidR="008C7B8D">
        <w:t xml:space="preserve"> </w:t>
      </w:r>
      <w:r>
        <w:t xml:space="preserve">section </w:t>
      </w:r>
      <w:r w:rsidR="00901442">
        <w:t>compares</w:t>
      </w:r>
      <w:r w:rsidR="00726734">
        <w:t xml:space="preserve"> First Nations population pr</w:t>
      </w:r>
      <w:r w:rsidR="00EF32DF">
        <w:t xml:space="preserve">ojections </w:t>
      </w:r>
      <w:r w:rsidR="00D861BA">
        <w:t xml:space="preserve">to the medium series </w:t>
      </w:r>
      <w:r w:rsidR="00A32F4C">
        <w:t>of</w:t>
      </w:r>
      <w:r w:rsidR="00D861BA">
        <w:t xml:space="preserve"> </w:t>
      </w:r>
      <w:r w:rsidR="00C01D26">
        <w:t>total Australia</w:t>
      </w:r>
      <w:r w:rsidR="00267CD9">
        <w:t>n</w:t>
      </w:r>
      <w:r w:rsidR="00C01D26">
        <w:t xml:space="preserve"> </w:t>
      </w:r>
      <w:r w:rsidR="00E25C86">
        <w:t>population projections in</w:t>
      </w:r>
      <w:r w:rsidR="00C01D26">
        <w:t xml:space="preserve"> </w:t>
      </w:r>
      <w:r w:rsidR="00D861BA">
        <w:t xml:space="preserve">the </w:t>
      </w:r>
      <w:r w:rsidR="00A32F4C" w:rsidRPr="006F5582">
        <w:rPr>
          <w:iCs/>
        </w:rPr>
        <w:t>ABS</w:t>
      </w:r>
      <w:r w:rsidR="00A32F4C" w:rsidRPr="0037128E">
        <w:rPr>
          <w:i/>
        </w:rPr>
        <w:t xml:space="preserve"> Population Projections, Australia, 2022</w:t>
      </w:r>
      <w:r w:rsidR="00D32DE4">
        <w:t>–</w:t>
      </w:r>
      <w:r w:rsidR="00A32F4C" w:rsidRPr="0037128E">
        <w:rPr>
          <w:i/>
        </w:rPr>
        <w:t>2071</w:t>
      </w:r>
      <w:r w:rsidR="00A32F4C">
        <w:t xml:space="preserve">. </w:t>
      </w:r>
    </w:p>
  </w:footnote>
  <w:footnote w:id="9">
    <w:p w14:paraId="2A4E4FAB" w14:textId="7BD16882" w:rsidR="00502FAD" w:rsidRDefault="00502FAD">
      <w:pPr>
        <w:pStyle w:val="FootnoteText"/>
      </w:pPr>
      <w:r w:rsidRPr="00F11880">
        <w:rPr>
          <w:rStyle w:val="FootnoteReference"/>
          <w:vertAlign w:val="baseline"/>
        </w:rPr>
        <w:footnoteRef/>
      </w:r>
      <w:r w:rsidRPr="00F11880">
        <w:rPr>
          <w:rStyle w:val="FootnoteReference"/>
          <w:vertAlign w:val="baseline"/>
        </w:rPr>
        <w:t xml:space="preserve"> </w:t>
      </w:r>
      <w:r w:rsidR="00307453">
        <w:tab/>
      </w:r>
      <w:r w:rsidR="00307453" w:rsidRPr="00F11880">
        <w:rPr>
          <w:rStyle w:val="FootnoteReference"/>
          <w:vertAlign w:val="baseline"/>
        </w:rPr>
        <w:t xml:space="preserve">ABS, </w:t>
      </w:r>
      <w:r w:rsidR="00307453" w:rsidRPr="0037128E">
        <w:rPr>
          <w:rStyle w:val="FootnoteReference"/>
          <w:i/>
          <w:vertAlign w:val="baseline"/>
        </w:rPr>
        <w:t>Births, Australia</w:t>
      </w:r>
      <w:r w:rsidR="00307453" w:rsidRPr="00F11880">
        <w:rPr>
          <w:rStyle w:val="FootnoteReference"/>
          <w:vertAlign w:val="baseline"/>
        </w:rPr>
        <w:t xml:space="preserve">, </w:t>
      </w:r>
      <w:r w:rsidR="00307453" w:rsidRPr="0037128E">
        <w:rPr>
          <w:rStyle w:val="FootnoteReference"/>
          <w:i/>
          <w:vertAlign w:val="baseline"/>
        </w:rPr>
        <w:t>2023</w:t>
      </w:r>
      <w:r w:rsidR="00CE2291">
        <w:t>.</w:t>
      </w:r>
    </w:p>
  </w:footnote>
  <w:footnote w:id="10">
    <w:p w14:paraId="18B600F6" w14:textId="282A6502" w:rsidR="000D06A9" w:rsidRDefault="000D06A9" w:rsidP="000D06A9">
      <w:pPr>
        <w:pStyle w:val="FootnoteText"/>
      </w:pPr>
      <w:r w:rsidRPr="00671F0E">
        <w:rPr>
          <w:rStyle w:val="FootnoteReference"/>
          <w:vertAlign w:val="baseline"/>
        </w:rPr>
        <w:footnoteRef/>
      </w:r>
      <w:r>
        <w:t xml:space="preserve"> </w:t>
      </w:r>
      <w:r>
        <w:tab/>
        <w:t xml:space="preserve">The First Nations total fertility rate projections in ABS </w:t>
      </w:r>
      <w:r w:rsidRPr="00A21EAA">
        <w:rPr>
          <w:i/>
          <w:iCs/>
        </w:rPr>
        <w:t>Estimates and Projections, Aboriginal and Torres</w:t>
      </w:r>
      <w:r>
        <w:rPr>
          <w:i/>
          <w:iCs/>
        </w:rPr>
        <w:t> </w:t>
      </w:r>
      <w:r w:rsidRPr="00A21EAA">
        <w:rPr>
          <w:i/>
          <w:iCs/>
        </w:rPr>
        <w:t>Strait Islander Australian</w:t>
      </w:r>
      <w:r>
        <w:rPr>
          <w:i/>
          <w:iCs/>
        </w:rPr>
        <w:t>s</w:t>
      </w:r>
      <w:r>
        <w:t xml:space="preserve"> </w:t>
      </w:r>
      <w:r w:rsidRPr="0037128E">
        <w:rPr>
          <w:i/>
        </w:rPr>
        <w:t>(2011 to 2031),</w:t>
      </w:r>
      <w:r>
        <w:t xml:space="preserve"> are based on </w:t>
      </w:r>
      <w:r w:rsidRPr="003703EE">
        <w:rPr>
          <w:i/>
          <w:iCs/>
        </w:rPr>
        <w:t>Births, Australia, 2022</w:t>
      </w:r>
      <w:r>
        <w:t>, which uses 2016</w:t>
      </w:r>
      <w:r w:rsidR="001339E1">
        <w:t> </w:t>
      </w:r>
      <w:r>
        <w:t>Census</w:t>
      </w:r>
      <w:r w:rsidR="00050D25">
        <w:noBreakHyphen/>
      </w:r>
      <w:r>
        <w:t xml:space="preserve">based projections. Comparatively, </w:t>
      </w:r>
      <w:r w:rsidRPr="003703EE">
        <w:rPr>
          <w:i/>
          <w:iCs/>
        </w:rPr>
        <w:t>Births, Australia, 2023</w:t>
      </w:r>
      <w:r>
        <w:t xml:space="preserve"> uses 2021 Census</w:t>
      </w:r>
      <w:r w:rsidR="00050D25">
        <w:noBreakHyphen/>
      </w:r>
      <w:r>
        <w:t xml:space="preserve">based data, and estimates a far lower total fertility rate for the First Nations population. </w:t>
      </w:r>
    </w:p>
  </w:footnote>
  <w:footnote w:id="11">
    <w:p w14:paraId="194FA1A1" w14:textId="77777777" w:rsidR="000D06A9" w:rsidRDefault="000D06A9" w:rsidP="000D06A9">
      <w:pPr>
        <w:pStyle w:val="FootnoteText"/>
      </w:pPr>
      <w:r w:rsidRPr="00671F0E">
        <w:footnoteRef/>
      </w:r>
      <w:r w:rsidRPr="00251DD3">
        <w:t xml:space="preserve"> </w:t>
      </w:r>
      <w:r>
        <w:tab/>
        <w:t>A further 23 per cent of First Nations births had both parents identify as First Nations, while for 45 per cent only the mother identified as First Nations.</w:t>
      </w:r>
    </w:p>
  </w:footnote>
  <w:footnote w:id="12">
    <w:p w14:paraId="1EF8632D" w14:textId="4E3EE15E" w:rsidR="000D06A9" w:rsidRDefault="000D06A9" w:rsidP="000D06A9">
      <w:pPr>
        <w:pStyle w:val="FootnoteText"/>
      </w:pPr>
      <w:r w:rsidRPr="0037128E">
        <w:footnoteRef/>
      </w:r>
      <w:r w:rsidRPr="0037128E">
        <w:t xml:space="preserve"> </w:t>
      </w:r>
      <w:r w:rsidRPr="0037128E">
        <w:tab/>
        <w:t xml:space="preserve">ABS, </w:t>
      </w:r>
      <w:r w:rsidRPr="0037128E">
        <w:rPr>
          <w:i/>
        </w:rPr>
        <w:t>Estimates and Projections, Aboriginal and Torres Strait Islander Australian</w:t>
      </w:r>
      <w:r>
        <w:rPr>
          <w:i/>
          <w:iCs/>
        </w:rPr>
        <w:t>s</w:t>
      </w:r>
      <w:r w:rsidR="008668CA" w:rsidRPr="008668CA">
        <w:rPr>
          <w:i/>
          <w:iCs/>
        </w:rPr>
        <w:t>, 2011 to 2031</w:t>
      </w:r>
      <w:r>
        <w:rPr>
          <w:i/>
          <w:iCs/>
        </w:rPr>
        <w:t>.</w:t>
      </w:r>
    </w:p>
  </w:footnote>
  <w:footnote w:id="13">
    <w:p w14:paraId="722A47F9" w14:textId="26D7D404" w:rsidR="00D9259F" w:rsidRPr="00756BE9" w:rsidRDefault="00671F0E" w:rsidP="00756BE9">
      <w:pPr>
        <w:pStyle w:val="FootnoteText"/>
      </w:pPr>
      <w:r w:rsidRPr="00145B6B">
        <w:footnoteRef/>
      </w:r>
      <w:r w:rsidR="00D9259F" w:rsidRPr="00145B6B">
        <w:rPr>
          <w:rStyle w:val="FootnoteReference"/>
          <w:rFonts w:asciiTheme="minorHAnsi" w:hAnsiTheme="minorHAnsi"/>
          <w:vertAlign w:val="baseline"/>
        </w:rPr>
        <w:tab/>
      </w:r>
      <w:r w:rsidR="00D9259F" w:rsidRPr="00145B6B">
        <w:t>ABS</w:t>
      </w:r>
      <w:r w:rsidR="00791F41" w:rsidRPr="003914B2">
        <w:t xml:space="preserve">, </w:t>
      </w:r>
      <w:r w:rsidR="00791F41" w:rsidRPr="003914B2">
        <w:rPr>
          <w:i/>
        </w:rPr>
        <w:t>Australia</w:t>
      </w:r>
      <w:r w:rsidR="00050D25">
        <w:rPr>
          <w:i/>
        </w:rPr>
        <w:t>’</w:t>
      </w:r>
      <w:r w:rsidR="00791F41" w:rsidRPr="003914B2">
        <w:rPr>
          <w:i/>
        </w:rPr>
        <w:t>s Population by Country of Birth</w:t>
      </w:r>
      <w:r w:rsidR="00791F41">
        <w:rPr>
          <w:i/>
        </w:rPr>
        <w:t xml:space="preserve">, </w:t>
      </w:r>
      <w:r w:rsidR="00E225B0" w:rsidRPr="00145B6B">
        <w:rPr>
          <w:i/>
          <w:iCs/>
        </w:rPr>
        <w:t>Jun</w:t>
      </w:r>
      <w:r w:rsidR="00E225B0">
        <w:rPr>
          <w:i/>
          <w:iCs/>
        </w:rPr>
        <w:t xml:space="preserve"> </w:t>
      </w:r>
      <w:r w:rsidR="00D9259F" w:rsidRPr="003914B2" w:rsidDel="00791F41">
        <w:rPr>
          <w:i/>
        </w:rPr>
        <w:t>2023</w:t>
      </w:r>
      <w:r w:rsidR="00D9259F" w:rsidRPr="00145B6B">
        <w:t>.</w:t>
      </w:r>
    </w:p>
  </w:footnote>
  <w:footnote w:id="14">
    <w:p w14:paraId="5B18088D" w14:textId="2C3D496D" w:rsidR="00D9259F" w:rsidRDefault="00671F0E" w:rsidP="00756BE9">
      <w:pPr>
        <w:pStyle w:val="FootnoteText"/>
      </w:pPr>
      <w:r w:rsidRPr="00671F0E">
        <w:footnoteRef/>
      </w:r>
      <w:r w:rsidR="00D9259F" w:rsidRPr="00756BE9">
        <w:rPr>
          <w:rStyle w:val="FootnoteReference"/>
          <w:rFonts w:asciiTheme="minorHAnsi" w:hAnsiTheme="minorHAnsi"/>
          <w:vertAlign w:val="baseline"/>
        </w:rPr>
        <w:tab/>
      </w:r>
      <w:r w:rsidR="00D9259F" w:rsidRPr="00756BE9">
        <w:t>The Administrative Review Tribunal commenced operation on 14 October 2024 and replaced the Administrative Appeals Tribunal. All appeals in the Administrative Appeals Tribunal automatically transferred to the new Tribunal.</w:t>
      </w:r>
    </w:p>
  </w:footnote>
  <w:footnote w:id="15">
    <w:p w14:paraId="659C7BC3" w14:textId="602E4CA7" w:rsidR="00FD496B" w:rsidDel="00FC041B" w:rsidRDefault="00FC041B">
      <w:pPr>
        <w:pStyle w:val="FootnoteText"/>
      </w:pPr>
      <w:r w:rsidRPr="00F91FC5">
        <w:rPr>
          <w:rStyle w:val="FootnoteReference"/>
          <w:vertAlign w:val="baseline"/>
        </w:rPr>
        <w:footnoteRef/>
      </w:r>
      <w:r w:rsidRPr="00FC041B">
        <w:t xml:space="preserve"> </w:t>
      </w:r>
      <w:r>
        <w:t xml:space="preserve">Department of Home Affairs, </w:t>
      </w:r>
      <w:r w:rsidRPr="0038033B">
        <w:rPr>
          <w:i/>
          <w:iCs/>
        </w:rPr>
        <w:t>Temporary visa holders in Australia, September 2024</w:t>
      </w:r>
      <w:r>
        <w:t>.</w:t>
      </w:r>
    </w:p>
  </w:footnote>
  <w:footnote w:id="16">
    <w:p w14:paraId="7F5B4A45" w14:textId="6BD365CB" w:rsidR="00403C7D" w:rsidRDefault="00403C7D">
      <w:pPr>
        <w:pStyle w:val="FootnoteText"/>
      </w:pPr>
      <w:r w:rsidRPr="00F91FC5">
        <w:footnoteRef/>
      </w:r>
      <w:r>
        <w:t xml:space="preserve"> </w:t>
      </w:r>
      <w:r w:rsidR="00C9481C">
        <w:t>Administrative</w:t>
      </w:r>
      <w:r>
        <w:t xml:space="preserve"> Review Tribunal</w:t>
      </w:r>
      <w:r w:rsidR="00A1281C">
        <w:t xml:space="preserve">, </w:t>
      </w:r>
      <w:r w:rsidR="00F34D8A" w:rsidRPr="00412BD6">
        <w:rPr>
          <w:i/>
        </w:rPr>
        <w:t>Processing times for the former AAT</w:t>
      </w:r>
      <w:r w:rsidR="00050D25">
        <w:rPr>
          <w:i/>
        </w:rPr>
        <w:t>’</w:t>
      </w:r>
      <w:r w:rsidR="00F34D8A" w:rsidRPr="00412BD6">
        <w:rPr>
          <w:i/>
        </w:rPr>
        <w:t>s Migration and Refugee Division</w:t>
      </w:r>
      <w:r w:rsidR="00F34D8A">
        <w:t xml:space="preserve">, </w:t>
      </w:r>
      <w:r w:rsidR="00C9481C">
        <w:t>2024.</w:t>
      </w:r>
    </w:p>
  </w:footnote>
  <w:footnote w:id="17">
    <w:p w14:paraId="40218F72" w14:textId="3B7E1C10" w:rsidR="00D9259F" w:rsidRPr="00F541FE" w:rsidRDefault="00671F0E" w:rsidP="00756BE9">
      <w:pPr>
        <w:pStyle w:val="FootnoteText"/>
      </w:pPr>
      <w:r w:rsidRPr="00F541FE">
        <w:footnoteRef/>
      </w:r>
      <w:r w:rsidR="00D9259F" w:rsidRPr="00F541FE">
        <w:rPr>
          <w:rStyle w:val="FootnoteReference"/>
          <w:rFonts w:asciiTheme="minorHAnsi" w:hAnsiTheme="minorHAnsi"/>
          <w:vertAlign w:val="baseline"/>
        </w:rPr>
        <w:tab/>
      </w:r>
      <w:r w:rsidR="00720141" w:rsidRPr="00720141">
        <w:t>OECD</w:t>
      </w:r>
      <w:r w:rsidR="00493290">
        <w:t>,</w:t>
      </w:r>
      <w:r w:rsidR="00720141" w:rsidRPr="00720141">
        <w:t xml:space="preserve"> </w:t>
      </w:r>
      <w:r w:rsidR="00720141" w:rsidRPr="00F541FE">
        <w:rPr>
          <w:i/>
        </w:rPr>
        <w:t>The impact of migration on regional labour markets in Australia</w:t>
      </w:r>
      <w:r w:rsidR="00493290">
        <w:rPr>
          <w:i/>
          <w:iCs/>
        </w:rPr>
        <w:t xml:space="preserve">, </w:t>
      </w:r>
      <w:r w:rsidR="00493290" w:rsidRPr="00720141">
        <w:t>2023</w:t>
      </w:r>
      <w:r w:rsidR="00365BC9">
        <w:rPr>
          <w:i/>
          <w:iCs/>
        </w:rPr>
        <w:t>.</w:t>
      </w:r>
    </w:p>
  </w:footnote>
  <w:footnote w:id="18">
    <w:p w14:paraId="57906F06" w14:textId="745507DB" w:rsidR="00C9087C" w:rsidRPr="00F12158" w:rsidRDefault="00C9087C">
      <w:pPr>
        <w:pStyle w:val="FootnoteText"/>
        <w:rPr>
          <w:i/>
          <w:iCs/>
        </w:rPr>
      </w:pPr>
      <w:r w:rsidRPr="00463598">
        <w:rPr>
          <w:rStyle w:val="FootnoteReference"/>
          <w:vertAlign w:val="baseline"/>
        </w:rPr>
        <w:footnoteRef/>
      </w:r>
      <w:r>
        <w:t xml:space="preserve"> OECD, </w:t>
      </w:r>
      <w:r>
        <w:rPr>
          <w:i/>
          <w:iCs/>
        </w:rPr>
        <w:t>Regional productivity, local labour markets, and migration in Australia,</w:t>
      </w:r>
      <w:r w:rsidRPr="00463598">
        <w:t xml:space="preserve"> 2023</w:t>
      </w:r>
      <w:r w:rsidR="00826E38">
        <w:t>.</w:t>
      </w:r>
    </w:p>
  </w:footnote>
  <w:footnote w:id="19">
    <w:p w14:paraId="47395475" w14:textId="336D89FE" w:rsidR="005E7730" w:rsidRDefault="005E7730">
      <w:pPr>
        <w:pStyle w:val="FootnoteText"/>
      </w:pPr>
      <w:r w:rsidRPr="00463598">
        <w:rPr>
          <w:rStyle w:val="FootnoteReference"/>
          <w:vertAlign w:val="baseline"/>
        </w:rPr>
        <w:footnoteRef/>
      </w:r>
      <w:r>
        <w:t xml:space="preserve"> </w:t>
      </w:r>
      <w:r w:rsidRPr="005E7730">
        <w:t>OECD</w:t>
      </w:r>
      <w:r w:rsidR="00493290">
        <w:t>,</w:t>
      </w:r>
      <w:r w:rsidRPr="005E7730">
        <w:t xml:space="preserve"> </w:t>
      </w:r>
      <w:r w:rsidRPr="005E7730">
        <w:rPr>
          <w:i/>
          <w:iCs/>
        </w:rPr>
        <w:t>Migration and regional productivity: Evidence from individual wages in Australia</w:t>
      </w:r>
      <w:r w:rsidR="00493290">
        <w:rPr>
          <w:i/>
          <w:iCs/>
        </w:rPr>
        <w:t xml:space="preserve">, </w:t>
      </w:r>
      <w:r w:rsidR="00493290" w:rsidRPr="00463598">
        <w:t>2023</w:t>
      </w:r>
      <w:r w:rsidR="00365BC9">
        <w:rPr>
          <w:i/>
          <w:iCs/>
        </w:rPr>
        <w:t>.</w:t>
      </w:r>
    </w:p>
  </w:footnote>
  <w:footnote w:id="20">
    <w:p w14:paraId="6288EA32" w14:textId="77DC4D5E" w:rsidR="00D9259F" w:rsidRPr="00F541FE" w:rsidRDefault="00671F0E" w:rsidP="00756BE9">
      <w:pPr>
        <w:pStyle w:val="FootnoteText"/>
      </w:pPr>
      <w:r w:rsidRPr="00F541FE">
        <w:footnoteRef/>
      </w:r>
      <w:r w:rsidR="00D9259F" w:rsidRPr="00F541FE">
        <w:rPr>
          <w:rStyle w:val="FootnoteReference"/>
          <w:rFonts w:asciiTheme="minorHAnsi" w:hAnsiTheme="minorHAnsi"/>
          <w:vertAlign w:val="baseline"/>
        </w:rPr>
        <w:tab/>
      </w:r>
      <w:r w:rsidR="00D9259F" w:rsidRPr="00F541FE">
        <w:t xml:space="preserve">Varela </w:t>
      </w:r>
      <w:r w:rsidR="00011B77" w:rsidRPr="00F541FE">
        <w:t>P, Husek N, Williams T, Maher</w:t>
      </w:r>
      <w:r w:rsidR="00DE7E5B" w:rsidRPr="00F541FE">
        <w:t xml:space="preserve"> R and Kennedy D</w:t>
      </w:r>
      <w:r w:rsidR="008A7867">
        <w:t>,</w:t>
      </w:r>
      <w:r w:rsidR="00DE7E5B" w:rsidRPr="00F541FE">
        <w:t xml:space="preserve"> </w:t>
      </w:r>
      <w:hyperlink r:id="rId1" w:history="1">
        <w:r w:rsidR="0035702E" w:rsidRPr="00463598">
          <w:rPr>
            <w:rStyle w:val="Hyperlink"/>
            <w:i/>
            <w:color w:val="auto"/>
          </w:rPr>
          <w:t>The lifetime fiscal impact of the Australian permanent migration program</w:t>
        </w:r>
      </w:hyperlink>
      <w:r w:rsidR="00493290" w:rsidRPr="00F541FE">
        <w:t>, 2021</w:t>
      </w:r>
      <w:r w:rsidR="00B77372">
        <w:t>.</w:t>
      </w:r>
      <w:r w:rsidR="0035702E" w:rsidRPr="00F541FE">
        <w:t xml:space="preserve"> </w:t>
      </w:r>
    </w:p>
  </w:footnote>
  <w:footnote w:id="21">
    <w:p w14:paraId="398D5B94" w14:textId="1A86CBA9" w:rsidR="00D9259F" w:rsidRPr="00F541FE" w:rsidRDefault="00671F0E" w:rsidP="00756BE9">
      <w:pPr>
        <w:pStyle w:val="FootnoteText"/>
      </w:pPr>
      <w:r w:rsidRPr="00F541FE">
        <w:footnoteRef/>
      </w:r>
      <w:r w:rsidR="00D9259F" w:rsidRPr="00F541FE">
        <w:rPr>
          <w:rStyle w:val="FootnoteReference"/>
          <w:rFonts w:asciiTheme="minorHAnsi" w:hAnsiTheme="minorHAnsi"/>
          <w:vertAlign w:val="baseline"/>
        </w:rPr>
        <w:tab/>
      </w:r>
      <w:r w:rsidR="00D9259F" w:rsidRPr="00F541FE">
        <w:t>Coates</w:t>
      </w:r>
      <w:r w:rsidR="00493290" w:rsidRPr="00F541FE">
        <w:t xml:space="preserve"> B </w:t>
      </w:r>
      <w:r w:rsidR="0019225A" w:rsidRPr="00F541FE">
        <w:t xml:space="preserve">and </w:t>
      </w:r>
      <w:r w:rsidR="00D9259F" w:rsidRPr="00F541FE">
        <w:t>Wiltshire</w:t>
      </w:r>
      <w:r w:rsidR="0019225A">
        <w:t xml:space="preserve"> T</w:t>
      </w:r>
      <w:r w:rsidR="00493290" w:rsidRPr="00F541FE">
        <w:t xml:space="preserve">, </w:t>
      </w:r>
      <w:r w:rsidR="00493290" w:rsidRPr="00463598">
        <w:rPr>
          <w:i/>
        </w:rPr>
        <w:t>Cutting permanent migration may make housing cheaper but it will definitely make us poorer</w:t>
      </w:r>
      <w:r w:rsidR="00493290">
        <w:t xml:space="preserve">, </w:t>
      </w:r>
      <w:r w:rsidR="00D9259F" w:rsidRPr="00F541FE">
        <w:t>2024.</w:t>
      </w:r>
    </w:p>
  </w:footnote>
  <w:footnote w:id="22">
    <w:p w14:paraId="7EFF0751" w14:textId="68624BAF" w:rsidR="00D9259F" w:rsidRDefault="00671F0E" w:rsidP="005244EB">
      <w:pPr>
        <w:pStyle w:val="FootnoteText"/>
      </w:pPr>
      <w:r w:rsidRPr="00F541FE">
        <w:footnoteRef/>
      </w:r>
      <w:r w:rsidR="00D9259F" w:rsidRPr="00F541FE">
        <w:rPr>
          <w:rStyle w:val="FootnoteReference"/>
          <w:rFonts w:asciiTheme="minorHAnsi" w:hAnsiTheme="minorHAnsi"/>
          <w:vertAlign w:val="baseline"/>
        </w:rPr>
        <w:tab/>
      </w:r>
      <w:r w:rsidR="00D9259F" w:rsidRPr="00F541FE">
        <w:t xml:space="preserve">Harrap </w:t>
      </w:r>
      <w:r w:rsidR="005244EB" w:rsidRPr="00F541FE">
        <w:t>B</w:t>
      </w:r>
      <w:r w:rsidR="00F541FE" w:rsidRPr="00F541FE">
        <w:t>,</w:t>
      </w:r>
      <w:r w:rsidR="005244EB" w:rsidRPr="00F541FE">
        <w:t xml:space="preserve"> Hawthorne</w:t>
      </w:r>
      <w:r w:rsidR="00F541FE" w:rsidRPr="00F541FE">
        <w:t xml:space="preserve"> L</w:t>
      </w:r>
      <w:r w:rsidR="005244EB" w:rsidRPr="00F541FE">
        <w:t>, Holland</w:t>
      </w:r>
      <w:r w:rsidR="00F541FE" w:rsidRPr="00F541FE">
        <w:t xml:space="preserve"> M</w:t>
      </w:r>
      <w:r w:rsidR="005244EB" w:rsidRPr="00F541FE">
        <w:t>, McDonald</w:t>
      </w:r>
      <w:r w:rsidR="00F541FE" w:rsidRPr="00F541FE">
        <w:t xml:space="preserve"> JT</w:t>
      </w:r>
      <w:r w:rsidR="005244EB" w:rsidRPr="00F541FE">
        <w:t>, </w:t>
      </w:r>
      <w:hyperlink r:id="rId2" w:history="1">
        <w:r w:rsidR="005244EB" w:rsidRPr="00C16502">
          <w:rPr>
            <w:rStyle w:val="Hyperlink"/>
            <w:color w:val="auto"/>
          </w:rPr>
          <w:t>Scott</w:t>
        </w:r>
      </w:hyperlink>
      <w:r w:rsidR="00493290" w:rsidRPr="00F541FE">
        <w:t xml:space="preserve"> </w:t>
      </w:r>
      <w:r w:rsidR="00F541FE" w:rsidRPr="00F541FE">
        <w:t>A,</w:t>
      </w:r>
      <w:r w:rsidR="00D9259F" w:rsidRPr="00F541FE">
        <w:t xml:space="preserve"> </w:t>
      </w:r>
      <w:r w:rsidR="006C6317" w:rsidRPr="00463598">
        <w:rPr>
          <w:i/>
        </w:rPr>
        <w:t>Australia</w:t>
      </w:r>
      <w:r w:rsidR="00050D25">
        <w:rPr>
          <w:i/>
        </w:rPr>
        <w:t>’</w:t>
      </w:r>
      <w:r w:rsidR="006C6317" w:rsidRPr="00463598">
        <w:rPr>
          <w:i/>
        </w:rPr>
        <w:t>s superior skilled migration outcomes compared with Canada</w:t>
      </w:r>
      <w:r w:rsidR="00050D25">
        <w:rPr>
          <w:i/>
        </w:rPr>
        <w:t>’</w:t>
      </w:r>
      <w:r w:rsidR="006C6317" w:rsidRPr="00463598">
        <w:rPr>
          <w:i/>
        </w:rPr>
        <w:t>s</w:t>
      </w:r>
      <w:r w:rsidR="008A7867" w:rsidRPr="00463598">
        <w:rPr>
          <w:i/>
        </w:rPr>
        <w:t>,</w:t>
      </w:r>
      <w:r w:rsidR="00D9259F">
        <w:t xml:space="preserve"> </w:t>
      </w:r>
      <w:r w:rsidR="00D9259F" w:rsidRPr="00F541FE">
        <w:t>2021.</w:t>
      </w:r>
    </w:p>
  </w:footnote>
  <w:footnote w:id="23">
    <w:p w14:paraId="18C8A45E" w14:textId="4E5CEEFB" w:rsidR="00D9259F" w:rsidRPr="00B1127C" w:rsidRDefault="00671F0E" w:rsidP="00756BE9">
      <w:pPr>
        <w:pStyle w:val="FootnoteText"/>
      </w:pPr>
      <w:r w:rsidRPr="00B1127C">
        <w:footnoteRef/>
      </w:r>
      <w:r w:rsidR="00D9259F" w:rsidRPr="00B1127C">
        <w:rPr>
          <w:rStyle w:val="FootnoteReference"/>
          <w:rFonts w:asciiTheme="minorHAnsi" w:hAnsiTheme="minorHAnsi"/>
          <w:vertAlign w:val="baseline"/>
        </w:rPr>
        <w:tab/>
      </w:r>
      <w:r w:rsidR="00D9259F" w:rsidRPr="00B1127C">
        <w:t xml:space="preserve">Varela </w:t>
      </w:r>
      <w:r w:rsidR="002F6B5F" w:rsidRPr="00B1127C">
        <w:t>P and</w:t>
      </w:r>
      <w:r w:rsidR="00D9259F" w:rsidRPr="00B1127C">
        <w:t xml:space="preserve"> Breunig </w:t>
      </w:r>
      <w:r w:rsidR="002F6B5F" w:rsidRPr="00B1127C">
        <w:t>R</w:t>
      </w:r>
      <w:r w:rsidR="00AC77FE" w:rsidRPr="00B1127C">
        <w:t>,</w:t>
      </w:r>
      <w:r w:rsidR="002F6B5F" w:rsidRPr="00B1127C">
        <w:t xml:space="preserve"> </w:t>
      </w:r>
      <w:r w:rsidR="00B34013" w:rsidRPr="00753952">
        <w:rPr>
          <w:rStyle w:val="SubtleEmphasis"/>
        </w:rPr>
        <w:t>Determinants of the economic outcomes of Australian permanent</w:t>
      </w:r>
      <w:r w:rsidR="002639C5" w:rsidRPr="00753952">
        <w:rPr>
          <w:rStyle w:val="SubtleEmphasis"/>
        </w:rPr>
        <w:t xml:space="preserve"> </w:t>
      </w:r>
      <w:r w:rsidR="00B34013" w:rsidRPr="00753952">
        <w:rPr>
          <w:rStyle w:val="SubtleEmphasis"/>
        </w:rPr>
        <w:t>Migrants</w:t>
      </w:r>
      <w:r w:rsidR="00B34013">
        <w:t xml:space="preserve">, </w:t>
      </w:r>
      <w:r w:rsidR="00AC77FE" w:rsidRPr="00B1127C">
        <w:t>2024</w:t>
      </w:r>
      <w:r w:rsidR="0039214E" w:rsidRPr="00B1127C">
        <w:t>.</w:t>
      </w:r>
    </w:p>
  </w:footnote>
  <w:footnote w:id="24">
    <w:p w14:paraId="64565A07" w14:textId="4D81D57F" w:rsidR="00D9259F" w:rsidRDefault="00671F0E" w:rsidP="00756BE9">
      <w:pPr>
        <w:pStyle w:val="FootnoteText"/>
      </w:pPr>
      <w:r w:rsidRPr="00B1127C">
        <w:footnoteRef/>
      </w:r>
      <w:r w:rsidR="00D9259F" w:rsidRPr="00B1127C">
        <w:rPr>
          <w:rStyle w:val="FootnoteReference"/>
          <w:rFonts w:asciiTheme="minorHAnsi" w:hAnsiTheme="minorHAnsi"/>
          <w:vertAlign w:val="baseline"/>
        </w:rPr>
        <w:tab/>
      </w:r>
      <w:r w:rsidR="00D9259F" w:rsidRPr="00B1127C">
        <w:t>Coates</w:t>
      </w:r>
      <w:r w:rsidR="00AF2E58" w:rsidRPr="00B1127C">
        <w:t xml:space="preserve"> B</w:t>
      </w:r>
      <w:r w:rsidR="00094CA4" w:rsidRPr="00B1127C">
        <w:t>,</w:t>
      </w:r>
      <w:r w:rsidR="00AF2E58" w:rsidRPr="00B1127C">
        <w:t xml:space="preserve"> </w:t>
      </w:r>
      <w:r w:rsidR="00D9259F" w:rsidRPr="00B1127C">
        <w:t>Wiltshire</w:t>
      </w:r>
      <w:r w:rsidR="00AF2E58" w:rsidRPr="00B1127C">
        <w:t xml:space="preserve"> T and </w:t>
      </w:r>
      <w:r w:rsidR="00D9259F" w:rsidRPr="00B1127C">
        <w:t xml:space="preserve">Bradshaw </w:t>
      </w:r>
      <w:r w:rsidR="00AF2E58" w:rsidRPr="00B1127C">
        <w:t>N</w:t>
      </w:r>
      <w:r w:rsidR="00B1127C" w:rsidRPr="00B1127C">
        <w:t>,</w:t>
      </w:r>
      <w:r w:rsidR="00AF2E58" w:rsidRPr="00B1127C" w:rsidDel="002314F8">
        <w:t xml:space="preserve"> </w:t>
      </w:r>
      <w:hyperlink r:id="rId3" w:history="1">
        <w:r w:rsidR="00AF2E58" w:rsidRPr="00463598">
          <w:rPr>
            <w:rStyle w:val="Hyperlink"/>
            <w:i/>
            <w:color w:val="auto"/>
          </w:rPr>
          <w:t>It all a</w:t>
        </w:r>
        <w:r w:rsidR="00CA16E7" w:rsidRPr="00463598">
          <w:rPr>
            <w:rStyle w:val="Hyperlink"/>
            <w:i/>
            <w:color w:val="auto"/>
          </w:rPr>
          <w:t>dds up: reforming points</w:t>
        </w:r>
        <w:r w:rsidR="00050D25">
          <w:rPr>
            <w:rStyle w:val="Hyperlink"/>
            <w:i/>
            <w:color w:val="auto"/>
          </w:rPr>
          <w:noBreakHyphen/>
        </w:r>
        <w:r w:rsidR="00CA16E7" w:rsidRPr="00463598">
          <w:rPr>
            <w:rStyle w:val="Hyperlink"/>
            <w:i/>
            <w:color w:val="auto"/>
          </w:rPr>
          <w:t>tested visas</w:t>
        </w:r>
      </w:hyperlink>
      <w:r w:rsidR="00CA16E7" w:rsidRPr="00B1127C">
        <w:t xml:space="preserve">, </w:t>
      </w:r>
      <w:r w:rsidR="00B1127C" w:rsidRPr="00B1127C">
        <w:t>2024</w:t>
      </w:r>
      <w:r w:rsidR="00D9259F" w:rsidRPr="00B1127C">
        <w:t>.</w:t>
      </w:r>
    </w:p>
  </w:footnote>
  <w:footnote w:id="25">
    <w:p w14:paraId="29340992" w14:textId="5AC7FB99" w:rsidR="00B10E0F" w:rsidRPr="00B10E0F" w:rsidRDefault="00B10E0F">
      <w:pPr>
        <w:pStyle w:val="FootnoteText"/>
      </w:pPr>
      <w:r w:rsidRPr="003914B2">
        <w:rPr>
          <w:rStyle w:val="FootnoteReference"/>
          <w:vertAlign w:val="baseline"/>
        </w:rPr>
        <w:footnoteRef/>
      </w:r>
      <w:r>
        <w:tab/>
      </w:r>
      <w:r w:rsidR="009C553B">
        <w:t>Tan K et al</w:t>
      </w:r>
      <w:r w:rsidR="009C553B" w:rsidRPr="00860CD5">
        <w:t>.</w:t>
      </w:r>
      <w:r w:rsidR="00AC65E9" w:rsidRPr="00860CD5">
        <w:t>,</w:t>
      </w:r>
      <w:r w:rsidR="009C553B" w:rsidRPr="00860CD5">
        <w:t xml:space="preserve"> </w:t>
      </w:r>
      <w:r w:rsidR="00860CD5" w:rsidRPr="00753952">
        <w:rPr>
          <w:rStyle w:val="SubtleEmphasis"/>
        </w:rPr>
        <w:t>Effects of economic uncertainty and socioeconomic status on reproductive timing: A life history approach</w:t>
      </w:r>
      <w:r w:rsidR="00FB39D4" w:rsidRPr="00860CD5">
        <w:t>,</w:t>
      </w:r>
      <w:r w:rsidR="00FB39D4">
        <w:t xml:space="preserve"> </w:t>
      </w:r>
      <w:r w:rsidR="00AC65E9">
        <w:t>202</w:t>
      </w:r>
      <w:r w:rsidR="00115445">
        <w:t>2</w:t>
      </w:r>
      <w:r w:rsidR="00FB39D4">
        <w:t>.</w:t>
      </w:r>
    </w:p>
  </w:footnote>
  <w:footnote w:id="26">
    <w:p w14:paraId="0231A0BA" w14:textId="344980EE" w:rsidR="001C4D6C" w:rsidRPr="003914B2" w:rsidRDefault="00671F0E" w:rsidP="000651CF">
      <w:pPr>
        <w:pStyle w:val="FootnoteText"/>
        <w:rPr>
          <w:highlight w:val="yellow"/>
        </w:rPr>
      </w:pPr>
      <w:r w:rsidRPr="0037128E">
        <w:rPr>
          <w:rStyle w:val="FootnoteReference"/>
          <w:rFonts w:asciiTheme="minorHAnsi" w:hAnsiTheme="minorHAnsi"/>
          <w:vertAlign w:val="baseline"/>
        </w:rPr>
        <w:footnoteRef/>
      </w:r>
      <w:r w:rsidR="001C4D6C" w:rsidRPr="0037128E">
        <w:t xml:space="preserve"> </w:t>
      </w:r>
      <w:r w:rsidR="000651CF" w:rsidRPr="0037128E">
        <w:tab/>
      </w:r>
      <w:r w:rsidR="001C4D6C" w:rsidRPr="0037128E">
        <w:t>United Nations</w:t>
      </w:r>
      <w:r w:rsidR="00D5576E" w:rsidRPr="0037128E">
        <w:t>,</w:t>
      </w:r>
      <w:r w:rsidR="001C4D6C" w:rsidRPr="0037128E">
        <w:t xml:space="preserve"> </w:t>
      </w:r>
      <w:r w:rsidR="001C4D6C" w:rsidRPr="0037128E">
        <w:rPr>
          <w:i/>
        </w:rPr>
        <w:t>World Population Prospects</w:t>
      </w:r>
      <w:r w:rsidR="000C2024" w:rsidRPr="000C2024">
        <w:rPr>
          <w:iCs/>
        </w:rPr>
        <w:t>,</w:t>
      </w:r>
      <w:r w:rsidR="001C4D6C" w:rsidRPr="000C2024">
        <w:rPr>
          <w:iCs/>
        </w:rPr>
        <w:t xml:space="preserve"> 2024</w:t>
      </w:r>
      <w:r w:rsidR="001C4D6C" w:rsidRPr="0037128E">
        <w:t>.</w:t>
      </w:r>
    </w:p>
  </w:footnote>
  <w:footnote w:id="27">
    <w:p w14:paraId="44EFAB41" w14:textId="7A5D77D9" w:rsidR="001C4D6C" w:rsidRDefault="00671F0E" w:rsidP="000651CF">
      <w:pPr>
        <w:pStyle w:val="FootnoteText"/>
      </w:pPr>
      <w:r w:rsidRPr="0037128E">
        <w:rPr>
          <w:rStyle w:val="FootnoteReference"/>
          <w:rFonts w:asciiTheme="minorHAnsi" w:hAnsiTheme="minorHAnsi"/>
          <w:vertAlign w:val="baseline"/>
        </w:rPr>
        <w:footnoteRef/>
      </w:r>
      <w:r w:rsidR="001C4D6C" w:rsidRPr="0037128E">
        <w:rPr>
          <w:rStyle w:val="FootnoteReference"/>
          <w:rFonts w:asciiTheme="minorHAnsi" w:hAnsiTheme="minorHAnsi"/>
          <w:vertAlign w:val="baseline"/>
        </w:rPr>
        <w:t xml:space="preserve"> </w:t>
      </w:r>
      <w:r w:rsidR="000651CF" w:rsidRPr="0037128E">
        <w:tab/>
      </w:r>
      <w:r w:rsidR="00B70CE3" w:rsidRPr="00B70CE3">
        <w:t xml:space="preserve">ABS, </w:t>
      </w:r>
      <w:r w:rsidR="00B70CE3" w:rsidRPr="0037128E">
        <w:rPr>
          <w:i/>
          <w:iCs/>
        </w:rPr>
        <w:t>Census of Population and Housing, 2021</w:t>
      </w:r>
      <w:r w:rsidR="00B70CE3" w:rsidRPr="00B70CE3">
        <w:t>.</w:t>
      </w:r>
    </w:p>
  </w:footnote>
  <w:footnote w:id="28">
    <w:p w14:paraId="3989B27C" w14:textId="6ECBAEA6" w:rsidR="001C4D6C" w:rsidRPr="0037128E" w:rsidRDefault="00671F0E" w:rsidP="00756BE9">
      <w:pPr>
        <w:pStyle w:val="FootnoteText"/>
      </w:pPr>
      <w:r w:rsidRPr="0037128E">
        <w:rPr>
          <w:rStyle w:val="FootnoteReference"/>
          <w:rFonts w:asciiTheme="minorHAnsi" w:hAnsiTheme="minorHAnsi"/>
          <w:vertAlign w:val="baseline"/>
        </w:rPr>
        <w:footnoteRef/>
      </w:r>
      <w:r w:rsidR="001C4D6C" w:rsidRPr="0037128E">
        <w:t xml:space="preserve"> </w:t>
      </w:r>
      <w:r w:rsidR="00756BE9" w:rsidRPr="0037128E">
        <w:tab/>
      </w:r>
      <w:r w:rsidR="001C4D6C" w:rsidRPr="0037128E">
        <w:t xml:space="preserve">Espenshade </w:t>
      </w:r>
      <w:r w:rsidR="00B472B0" w:rsidRPr="0037128E">
        <w:t xml:space="preserve">TJ, Guzman JC </w:t>
      </w:r>
      <w:r w:rsidR="00A351B1" w:rsidRPr="0037128E">
        <w:t>and</w:t>
      </w:r>
      <w:r w:rsidR="00B472B0" w:rsidRPr="0037128E">
        <w:t xml:space="preserve"> </w:t>
      </w:r>
      <w:r w:rsidR="00A351B1" w:rsidRPr="0037128E">
        <w:t>Westoff CF</w:t>
      </w:r>
      <w:r w:rsidR="00B472B0" w:rsidRPr="0037128E">
        <w:t xml:space="preserve">, </w:t>
      </w:r>
      <w:r w:rsidR="00A351B1" w:rsidRPr="0037128E">
        <w:rPr>
          <w:i/>
        </w:rPr>
        <w:t>The surprising variation in global fertility</w:t>
      </w:r>
      <w:r w:rsidR="00A351B1" w:rsidRPr="0037128E">
        <w:t>,</w:t>
      </w:r>
      <w:r w:rsidR="001C4D6C" w:rsidRPr="0037128E">
        <w:t xml:space="preserve"> 2003.</w:t>
      </w:r>
    </w:p>
  </w:footnote>
  <w:footnote w:id="29">
    <w:p w14:paraId="7E97DEFA" w14:textId="59E398C8" w:rsidR="00A82311" w:rsidRDefault="00A82311" w:rsidP="00A82311">
      <w:pPr>
        <w:pStyle w:val="FootnoteText"/>
      </w:pPr>
      <w:r w:rsidRPr="0037128E">
        <w:rPr>
          <w:rStyle w:val="FootnoteReference"/>
          <w:rFonts w:asciiTheme="minorHAnsi" w:hAnsiTheme="minorHAnsi"/>
          <w:vertAlign w:val="baseline"/>
        </w:rPr>
        <w:footnoteRef/>
      </w:r>
      <w:r w:rsidRPr="0037128E">
        <w:t xml:space="preserve"> </w:t>
      </w:r>
      <w:r w:rsidRPr="0037128E">
        <w:tab/>
        <w:t>Morse</w:t>
      </w:r>
      <w:r w:rsidR="002314F8" w:rsidRPr="0037128E">
        <w:t xml:space="preserve"> A, </w:t>
      </w:r>
      <w:r w:rsidR="002314F8" w:rsidRPr="0037128E">
        <w:rPr>
          <w:i/>
        </w:rPr>
        <w:t>Population Momentum and Fertility</w:t>
      </w:r>
      <w:r w:rsidR="002314F8" w:rsidRPr="0037128E">
        <w:t>,</w:t>
      </w:r>
      <w:r w:rsidRPr="0037128E">
        <w:t xml:space="preserve"> 2024.</w:t>
      </w:r>
    </w:p>
  </w:footnote>
  <w:footnote w:id="30">
    <w:p w14:paraId="4212FE0B" w14:textId="181671BB" w:rsidR="001C4D6C" w:rsidRPr="00756BE9" w:rsidRDefault="00671F0E" w:rsidP="00756BE9">
      <w:pPr>
        <w:pStyle w:val="FootnoteText"/>
      </w:pPr>
      <w:r w:rsidRPr="0037128E">
        <w:rPr>
          <w:rStyle w:val="FootnoteReference"/>
          <w:rFonts w:asciiTheme="minorHAnsi" w:hAnsiTheme="minorHAnsi"/>
          <w:vertAlign w:val="baseline"/>
        </w:rPr>
        <w:footnoteRef/>
      </w:r>
      <w:r w:rsidR="001C4D6C" w:rsidRPr="0037128E">
        <w:t xml:space="preserve"> </w:t>
      </w:r>
      <w:r w:rsidR="000651CF" w:rsidRPr="0037128E">
        <w:tab/>
      </w:r>
      <w:r w:rsidR="001C4D6C" w:rsidRPr="0037128E">
        <w:t>Parr</w:t>
      </w:r>
      <w:r w:rsidR="00F14140" w:rsidRPr="0037128E">
        <w:t xml:space="preserve"> N, </w:t>
      </w:r>
      <w:r w:rsidR="00F14140" w:rsidRPr="0037128E">
        <w:rPr>
          <w:i/>
        </w:rPr>
        <w:t>A New Measure of Fertility Replacement Level in the Presence of Positive Net Immigration</w:t>
      </w:r>
      <w:r w:rsidR="00F14140" w:rsidRPr="0037128E">
        <w:t>,</w:t>
      </w:r>
      <w:r w:rsidR="001C4D6C" w:rsidRPr="0037128E">
        <w:t xml:space="preserve"> 2020.</w:t>
      </w:r>
    </w:p>
  </w:footnote>
  <w:footnote w:id="31">
    <w:p w14:paraId="19F19EDF" w14:textId="27F4FBF4" w:rsidR="00BF7B1E" w:rsidRPr="00BF7B1E" w:rsidRDefault="00BF7B1E">
      <w:pPr>
        <w:pStyle w:val="FootnoteText"/>
      </w:pPr>
      <w:r w:rsidRPr="003914B2">
        <w:rPr>
          <w:rStyle w:val="FootnoteReference"/>
          <w:vertAlign w:val="baseline"/>
        </w:rPr>
        <w:footnoteRef/>
      </w:r>
      <w:r>
        <w:tab/>
      </w:r>
      <w:r w:rsidR="005D69AA">
        <w:t xml:space="preserve">Where NOM is </w:t>
      </w:r>
      <w:r w:rsidR="004213E8">
        <w:t xml:space="preserve">projected </w:t>
      </w:r>
      <w:r w:rsidR="005D69AA">
        <w:t xml:space="preserve">as a rate, only one </w:t>
      </w:r>
      <w:r w:rsidR="00C23CBC">
        <w:t>fertility rate leads to a stable population. However, t</w:t>
      </w:r>
      <w:r w:rsidR="000A604B">
        <w:t>he Centre</w:t>
      </w:r>
      <w:r w:rsidR="00637B3F">
        <w:t xml:space="preserve"> </w:t>
      </w:r>
      <w:r w:rsidR="004213E8">
        <w:t xml:space="preserve">projects </w:t>
      </w:r>
      <w:r w:rsidR="00D65931">
        <w:t>the level</w:t>
      </w:r>
      <w:r w:rsidR="00006FF9">
        <w:t xml:space="preserve"> </w:t>
      </w:r>
      <w:r w:rsidR="00D65931">
        <w:t xml:space="preserve">of </w:t>
      </w:r>
      <w:r w:rsidR="00E60C9D">
        <w:t>NOM</w:t>
      </w:r>
      <w:r w:rsidR="00006FF9">
        <w:t xml:space="preserve"> </w:t>
      </w:r>
      <w:r w:rsidR="00D65931">
        <w:t xml:space="preserve">rather than </w:t>
      </w:r>
      <w:r w:rsidR="00006FF9">
        <w:t>a rate</w:t>
      </w:r>
      <w:r w:rsidR="00633EF8">
        <w:t xml:space="preserve">, </w:t>
      </w:r>
      <w:r w:rsidR="00C03174">
        <w:t>leading</w:t>
      </w:r>
      <w:r w:rsidR="00633EF8">
        <w:t xml:space="preserve"> population growth </w:t>
      </w:r>
      <w:r w:rsidR="00C03174">
        <w:t xml:space="preserve">to </w:t>
      </w:r>
      <w:r w:rsidR="00633EF8">
        <w:t>eventually stabilise</w:t>
      </w:r>
      <w:r w:rsidR="00155F8D">
        <w:t xml:space="preserve"> regardless of the fertility rate. </w:t>
      </w:r>
      <w:r w:rsidR="00C03174">
        <w:t>However, when and at what level it stabilises</w:t>
      </w:r>
      <w:r w:rsidR="00D46F1A">
        <w:t xml:space="preserve"> </w:t>
      </w:r>
      <w:r w:rsidR="000E52A2">
        <w:t xml:space="preserve">depends on the </w:t>
      </w:r>
      <w:r w:rsidR="00C03174">
        <w:t>fertility</w:t>
      </w:r>
      <w:r w:rsidR="000E52A2">
        <w:t xml:space="preserve"> rate</w:t>
      </w:r>
      <w:r w:rsidR="005B12E8">
        <w:t>.</w:t>
      </w:r>
    </w:p>
  </w:footnote>
  <w:footnote w:id="32">
    <w:p w14:paraId="069D0DE1" w14:textId="493C3122" w:rsidR="0015748E" w:rsidRPr="003914B2" w:rsidRDefault="0015748E" w:rsidP="00ED4735">
      <w:pPr>
        <w:pStyle w:val="FootnoteText"/>
        <w:rPr>
          <w:rStyle w:val="FootnoteReference"/>
          <w:vertAlign w:val="baseline"/>
        </w:rPr>
      </w:pPr>
      <w:r w:rsidRPr="003914B2">
        <w:rPr>
          <w:rStyle w:val="FootnoteReference"/>
          <w:vertAlign w:val="baseline"/>
        </w:rPr>
        <w:footnoteRef/>
      </w:r>
      <w:r w:rsidR="00ED4735">
        <w:t xml:space="preserve"> </w:t>
      </w:r>
      <w:r w:rsidR="00ED4735">
        <w:tab/>
      </w:r>
      <w:r w:rsidRPr="003914B2">
        <w:rPr>
          <w:rStyle w:val="FootnoteReference"/>
          <w:vertAlign w:val="baseline"/>
        </w:rPr>
        <w:t xml:space="preserve">ABS, </w:t>
      </w:r>
      <w:r w:rsidRPr="0037128E">
        <w:rPr>
          <w:rStyle w:val="FootnoteReference"/>
          <w:i/>
          <w:vertAlign w:val="baseline"/>
        </w:rPr>
        <w:t>Births, Australia</w:t>
      </w:r>
      <w:r w:rsidR="00801A6B" w:rsidRPr="0037128E">
        <w:rPr>
          <w:rStyle w:val="FootnoteReference"/>
          <w:i/>
          <w:vertAlign w:val="baseline"/>
        </w:rPr>
        <w:t>,</w:t>
      </w:r>
      <w:r w:rsidRPr="0037128E">
        <w:rPr>
          <w:rStyle w:val="FootnoteReference"/>
          <w:i/>
          <w:vertAlign w:val="baseline"/>
        </w:rPr>
        <w:t xml:space="preserve"> 2023</w:t>
      </w:r>
      <w:r w:rsidR="00B76544">
        <w:t>.</w:t>
      </w:r>
    </w:p>
  </w:footnote>
  <w:footnote w:id="33">
    <w:p w14:paraId="2F374C09" w14:textId="4FCE1AFC" w:rsidR="0015748E" w:rsidRDefault="0015748E">
      <w:pPr>
        <w:pStyle w:val="FootnoteText"/>
      </w:pPr>
      <w:r w:rsidRPr="003914B2">
        <w:rPr>
          <w:rStyle w:val="FootnoteReference"/>
          <w:vertAlign w:val="baseline"/>
        </w:rPr>
        <w:footnoteRef/>
      </w:r>
      <w:r w:rsidRPr="003914B2">
        <w:rPr>
          <w:rStyle w:val="FootnoteReference"/>
          <w:vertAlign w:val="baseline"/>
        </w:rPr>
        <w:t xml:space="preserve"> </w:t>
      </w:r>
      <w:r w:rsidR="00583E35">
        <w:rPr>
          <w:rStyle w:val="FootnoteReference"/>
          <w:vertAlign w:val="baseline"/>
        </w:rPr>
        <w:tab/>
      </w:r>
      <w:r w:rsidR="00ED4735" w:rsidRPr="003914B2">
        <w:rPr>
          <w:rStyle w:val="FootnoteReference"/>
          <w:vertAlign w:val="baseline"/>
        </w:rPr>
        <w:t>The total fertility rate for overseas</w:t>
      </w:r>
      <w:r w:rsidR="00050D25">
        <w:rPr>
          <w:rStyle w:val="FootnoteReference"/>
          <w:vertAlign w:val="baseline"/>
        </w:rPr>
        <w:noBreakHyphen/>
      </w:r>
      <w:r w:rsidR="00ED4735" w:rsidRPr="003914B2">
        <w:rPr>
          <w:rStyle w:val="FootnoteReference"/>
          <w:vertAlign w:val="baseline"/>
        </w:rPr>
        <w:t xml:space="preserve">born women </w:t>
      </w:r>
      <w:r w:rsidR="004E73CE" w:rsidRPr="003914B2">
        <w:rPr>
          <w:rStyle w:val="FootnoteReference"/>
          <w:vertAlign w:val="baseline"/>
        </w:rPr>
        <w:t>is</w:t>
      </w:r>
      <w:r w:rsidR="00ED4735" w:rsidRPr="003914B2">
        <w:rPr>
          <w:rStyle w:val="FootnoteReference"/>
          <w:vertAlign w:val="baseline"/>
        </w:rPr>
        <w:t xml:space="preserve"> based on bi</w:t>
      </w:r>
      <w:r w:rsidR="004E73CE" w:rsidRPr="003914B2">
        <w:rPr>
          <w:rStyle w:val="FootnoteReference"/>
          <w:vertAlign w:val="baseline"/>
        </w:rPr>
        <w:t>rths registered in Australia</w:t>
      </w:r>
      <w:r w:rsidR="002026FA">
        <w:t xml:space="preserve"> </w:t>
      </w:r>
      <w:r w:rsidR="002026FA" w:rsidRPr="007E271E">
        <w:rPr>
          <w:rStyle w:val="FootnoteReference"/>
          <w:vertAlign w:val="baseline"/>
        </w:rPr>
        <w:t xml:space="preserve">over </w:t>
      </w:r>
      <w:r w:rsidR="002026FA">
        <w:t xml:space="preserve">a </w:t>
      </w:r>
      <w:r w:rsidR="002026FA" w:rsidRPr="007E271E">
        <w:rPr>
          <w:rStyle w:val="FootnoteReference"/>
          <w:vertAlign w:val="baseline"/>
        </w:rPr>
        <w:t>3</w:t>
      </w:r>
      <w:r w:rsidR="00050D25">
        <w:rPr>
          <w:rStyle w:val="FootnoteReference"/>
          <w:vertAlign w:val="baseline"/>
        </w:rPr>
        <w:noBreakHyphen/>
      </w:r>
      <w:r w:rsidR="002026FA" w:rsidRPr="007E271E">
        <w:rPr>
          <w:rStyle w:val="FootnoteReference"/>
          <w:vertAlign w:val="baseline"/>
        </w:rPr>
        <w:t>year</w:t>
      </w:r>
      <w:r w:rsidR="001339E1">
        <w:t> </w:t>
      </w:r>
      <w:r w:rsidR="002026FA" w:rsidRPr="007E271E">
        <w:rPr>
          <w:rStyle w:val="FootnoteReference"/>
          <w:vertAlign w:val="baseline"/>
        </w:rPr>
        <w:t>period</w:t>
      </w:r>
      <w:r w:rsidR="004E73CE" w:rsidRPr="003914B2">
        <w:rPr>
          <w:rStyle w:val="FootnoteReference"/>
          <w:vertAlign w:val="baseline"/>
        </w:rPr>
        <w:t xml:space="preserve">, </w:t>
      </w:r>
      <w:r w:rsidR="009C59CF" w:rsidRPr="003914B2">
        <w:rPr>
          <w:rStyle w:val="FootnoteReference"/>
          <w:vertAlign w:val="baseline"/>
        </w:rPr>
        <w:t>excluding</w:t>
      </w:r>
      <w:r w:rsidR="00793B7C" w:rsidRPr="003914B2">
        <w:rPr>
          <w:rStyle w:val="FootnoteReference"/>
          <w:vertAlign w:val="baseline"/>
        </w:rPr>
        <w:t xml:space="preserve"> children </w:t>
      </w:r>
      <w:r w:rsidR="009C59CF" w:rsidRPr="003914B2">
        <w:rPr>
          <w:rStyle w:val="FootnoteReference"/>
          <w:vertAlign w:val="baseline"/>
        </w:rPr>
        <w:t>born before they</w:t>
      </w:r>
      <w:r w:rsidR="00793B7C" w:rsidRPr="003914B2">
        <w:rPr>
          <w:rStyle w:val="FootnoteReference"/>
          <w:vertAlign w:val="baseline"/>
        </w:rPr>
        <w:t xml:space="preserve"> mov</w:t>
      </w:r>
      <w:r w:rsidR="009C59CF" w:rsidRPr="003914B2">
        <w:rPr>
          <w:rStyle w:val="FootnoteReference"/>
          <w:vertAlign w:val="baseline"/>
        </w:rPr>
        <w:t>e</w:t>
      </w:r>
      <w:r w:rsidR="00793B7C" w:rsidRPr="003914B2">
        <w:rPr>
          <w:rStyle w:val="FootnoteReference"/>
          <w:vertAlign w:val="baseline"/>
        </w:rPr>
        <w:t xml:space="preserve"> to Australia.</w:t>
      </w:r>
      <w:r w:rsidR="00793B7C">
        <w:t xml:space="preserve"> </w:t>
      </w:r>
    </w:p>
  </w:footnote>
  <w:footnote w:id="34">
    <w:p w14:paraId="7C45A750" w14:textId="1A0E1E6C" w:rsidR="0015748E" w:rsidRDefault="0015748E" w:rsidP="0015748E">
      <w:pPr>
        <w:pStyle w:val="FootnoteText"/>
      </w:pPr>
      <w:r w:rsidRPr="003914B2">
        <w:rPr>
          <w:rStyle w:val="FootnoteReference"/>
          <w:vertAlign w:val="baseline"/>
        </w:rPr>
        <w:footnoteRef/>
      </w:r>
      <w:r w:rsidRPr="003914B2">
        <w:rPr>
          <w:rStyle w:val="FootnoteReference"/>
          <w:vertAlign w:val="baseline"/>
        </w:rPr>
        <w:t xml:space="preserve"> </w:t>
      </w:r>
      <w:r>
        <w:tab/>
      </w:r>
      <w:r w:rsidRPr="003914B2">
        <w:rPr>
          <w:rStyle w:val="FootnoteReference"/>
          <w:vertAlign w:val="baseline"/>
        </w:rPr>
        <w:t xml:space="preserve">ABS, </w:t>
      </w:r>
      <w:r w:rsidRPr="0037128E">
        <w:rPr>
          <w:rStyle w:val="FootnoteReference"/>
          <w:i/>
          <w:vertAlign w:val="baseline"/>
        </w:rPr>
        <w:t>Births, Australia</w:t>
      </w:r>
      <w:r w:rsidR="00801A6B" w:rsidRPr="0037128E">
        <w:rPr>
          <w:rStyle w:val="FootnoteReference"/>
          <w:i/>
          <w:vertAlign w:val="baseline"/>
        </w:rPr>
        <w:t>,</w:t>
      </w:r>
      <w:r w:rsidRPr="0037128E">
        <w:rPr>
          <w:rStyle w:val="FootnoteReference"/>
          <w:i/>
          <w:vertAlign w:val="baseline"/>
        </w:rPr>
        <w:t xml:space="preserve"> 2003</w:t>
      </w:r>
      <w:r w:rsidR="00B76544">
        <w:t>.</w:t>
      </w:r>
    </w:p>
  </w:footnote>
  <w:footnote w:id="35">
    <w:p w14:paraId="6DA8CDA0" w14:textId="446D5DAF" w:rsidR="001C4D6C" w:rsidRDefault="00671F0E" w:rsidP="00756BE9">
      <w:pPr>
        <w:pStyle w:val="FootnoteText"/>
      </w:pPr>
      <w:r w:rsidRPr="0037128E">
        <w:rPr>
          <w:rStyle w:val="FootnoteReference"/>
          <w:rFonts w:asciiTheme="minorHAnsi" w:hAnsiTheme="minorHAnsi"/>
          <w:vertAlign w:val="baseline"/>
        </w:rPr>
        <w:footnoteRef/>
      </w:r>
      <w:r w:rsidR="001C4D6C" w:rsidRPr="0037128E">
        <w:t xml:space="preserve"> </w:t>
      </w:r>
      <w:r w:rsidR="000651CF" w:rsidRPr="0037128E">
        <w:tab/>
      </w:r>
      <w:r w:rsidR="001C4D6C" w:rsidRPr="0037128E">
        <w:t xml:space="preserve">Baffour </w:t>
      </w:r>
      <w:r w:rsidR="00E16004" w:rsidRPr="0037128E">
        <w:t xml:space="preserve">B </w:t>
      </w:r>
      <w:r w:rsidR="001C4D6C" w:rsidRPr="0037128E">
        <w:t>et al.</w:t>
      </w:r>
      <w:r w:rsidR="0078260E" w:rsidRPr="0037128E">
        <w:t xml:space="preserve">, </w:t>
      </w:r>
      <w:r w:rsidR="0078260E" w:rsidRPr="0037128E">
        <w:rPr>
          <w:i/>
        </w:rPr>
        <w:t>Recent Trends in immigrant fertility in Australia</w:t>
      </w:r>
      <w:r w:rsidR="0078260E" w:rsidRPr="0037128E">
        <w:t>,</w:t>
      </w:r>
      <w:r w:rsidR="001C4D6C" w:rsidRPr="0037128E">
        <w:t xml:space="preserve"> 2020.</w:t>
      </w:r>
    </w:p>
  </w:footnote>
  <w:footnote w:id="36">
    <w:p w14:paraId="77FD5CD6" w14:textId="67C74D03" w:rsidR="00E06F97" w:rsidRDefault="00E06F97" w:rsidP="00E06F97">
      <w:pPr>
        <w:pStyle w:val="FootnoteText"/>
      </w:pPr>
      <w:r w:rsidRPr="005D0F2F">
        <w:rPr>
          <w:rStyle w:val="FootnoteReference"/>
          <w:vertAlign w:val="baseline"/>
        </w:rPr>
        <w:footnoteRef/>
      </w:r>
      <w:r w:rsidR="00532591" w:rsidRPr="005D0F2F">
        <w:t xml:space="preserve"> </w:t>
      </w:r>
      <w:r w:rsidR="00532591" w:rsidRPr="005D0F2F">
        <w:tab/>
        <w:t>Department of Social Services</w:t>
      </w:r>
      <w:r w:rsidR="00532591" w:rsidRPr="00D139A5">
        <w:t xml:space="preserve">, </w:t>
      </w:r>
      <w:r w:rsidR="00532591" w:rsidRPr="00186063">
        <w:rPr>
          <w:rStyle w:val="SubtleEmphasis"/>
        </w:rPr>
        <w:t>Household, Income and Labour Dynamics in Australia Survey (HILDA)</w:t>
      </w:r>
      <w:r w:rsidR="00532591" w:rsidRPr="00D139A5">
        <w:t>,</w:t>
      </w:r>
      <w:r w:rsidR="00532591" w:rsidRPr="005D0F2F">
        <w:t xml:space="preserve"> 2021.</w:t>
      </w:r>
    </w:p>
  </w:footnote>
  <w:footnote w:id="37">
    <w:p w14:paraId="6E30AC13" w14:textId="77777777" w:rsidR="00E06F97" w:rsidRDefault="00E06F97" w:rsidP="00E06F97">
      <w:pPr>
        <w:pStyle w:val="FootnoteText"/>
      </w:pPr>
      <w:r w:rsidRPr="005D0F2F">
        <w:rPr>
          <w:rStyle w:val="FootnoteReference"/>
          <w:vertAlign w:val="baseline"/>
        </w:rPr>
        <w:footnoteRef/>
      </w:r>
      <w:r w:rsidRPr="005D0F2F">
        <w:t xml:space="preserve"> </w:t>
      </w:r>
      <w:r w:rsidRPr="005D0F2F">
        <w:tab/>
        <w:t>Australian Bureau of Statistics</w:t>
      </w:r>
      <w:r w:rsidRPr="00D139A5">
        <w:t xml:space="preserve">, </w:t>
      </w:r>
      <w:r w:rsidRPr="00186063">
        <w:rPr>
          <w:rStyle w:val="SubtleEmphasis"/>
        </w:rPr>
        <w:t>Births, Australia,</w:t>
      </w:r>
      <w:r w:rsidRPr="005D0F2F">
        <w:t xml:space="preserve"> 2021.</w:t>
      </w:r>
    </w:p>
  </w:footnote>
  <w:footnote w:id="38">
    <w:p w14:paraId="51B88F68" w14:textId="2842F512" w:rsidR="00E06F97" w:rsidRDefault="00E06F97" w:rsidP="00E06F97">
      <w:pPr>
        <w:pStyle w:val="FootnoteText"/>
      </w:pPr>
      <w:r w:rsidRPr="00671F0E">
        <w:rPr>
          <w:rStyle w:val="FootnoteReference"/>
          <w:vertAlign w:val="baseline"/>
        </w:rPr>
        <w:footnoteRef/>
      </w:r>
      <w:r>
        <w:t xml:space="preserve"> </w:t>
      </w:r>
      <w:r>
        <w:tab/>
        <w:t xml:space="preserve">For a more detailed discussion </w:t>
      </w:r>
      <w:r w:rsidR="00F07AA6">
        <w:t>see</w:t>
      </w:r>
      <w:r>
        <w:t xml:space="preserve"> the </w:t>
      </w:r>
      <w:r w:rsidRPr="00186063">
        <w:rPr>
          <w:rStyle w:val="SubtleEmphasis"/>
        </w:rPr>
        <w:t>Fertility decline in Australia: is it here to stay?</w:t>
      </w:r>
      <w:r>
        <w:t xml:space="preserve"> publication on the Centre</w:t>
      </w:r>
      <w:r w:rsidR="00050D25">
        <w:t>’</w:t>
      </w:r>
      <w:r>
        <w:t>s website.</w:t>
      </w:r>
    </w:p>
  </w:footnote>
  <w:footnote w:id="39">
    <w:p w14:paraId="14289A77" w14:textId="7C7294D5" w:rsidR="002C3357" w:rsidRDefault="002C3357">
      <w:pPr>
        <w:pStyle w:val="FootnoteText"/>
      </w:pPr>
      <w:r w:rsidRPr="004C4BF5">
        <w:rPr>
          <w:rStyle w:val="FootnoteReference"/>
          <w:vertAlign w:val="baseline"/>
        </w:rPr>
        <w:footnoteRef/>
      </w:r>
      <w:r w:rsidR="00CD0612">
        <w:tab/>
      </w:r>
      <w:r w:rsidRPr="004C4BF5">
        <w:rPr>
          <w:rStyle w:val="FootnoteReference"/>
          <w:vertAlign w:val="baseline"/>
        </w:rPr>
        <w:t xml:space="preserve">Gray et al., </w:t>
      </w:r>
      <w:r w:rsidRPr="00186063">
        <w:rPr>
          <w:rStyle w:val="SubtleEmphasis"/>
        </w:rPr>
        <w:t>Impacts of Policies on Fertility Rates</w:t>
      </w:r>
      <w:r w:rsidRPr="004C4BF5">
        <w:rPr>
          <w:rStyle w:val="FootnoteReference"/>
          <w:vertAlign w:val="baseline"/>
        </w:rPr>
        <w:t>, 2022.</w:t>
      </w:r>
    </w:p>
  </w:footnote>
  <w:footnote w:id="40">
    <w:p w14:paraId="7FE566F6" w14:textId="11F36ACF" w:rsidR="001C4D6C" w:rsidRPr="005D0F2F" w:rsidRDefault="00671F0E" w:rsidP="00756BE9">
      <w:pPr>
        <w:pStyle w:val="FootnoteText"/>
      </w:pPr>
      <w:r w:rsidRPr="005D0F2F">
        <w:rPr>
          <w:rStyle w:val="FootnoteReference"/>
          <w:vertAlign w:val="baseline"/>
        </w:rPr>
        <w:footnoteRef/>
      </w:r>
      <w:r w:rsidR="001C4D6C" w:rsidRPr="005D0F2F">
        <w:t xml:space="preserve"> </w:t>
      </w:r>
      <w:r w:rsidR="000651CF" w:rsidRPr="005D0F2F">
        <w:tab/>
      </w:r>
      <w:r w:rsidR="001C4D6C" w:rsidRPr="005D0F2F">
        <w:t>Department of Social Services</w:t>
      </w:r>
      <w:r w:rsidR="0089304B" w:rsidRPr="003914B2">
        <w:t xml:space="preserve">, </w:t>
      </w:r>
      <w:r w:rsidR="0089304B" w:rsidRPr="00186063">
        <w:rPr>
          <w:rStyle w:val="SubtleEmphasis"/>
        </w:rPr>
        <w:t>Household, Income and Labour Dynamics in Australia Survey (HILDA),</w:t>
      </w:r>
      <w:r w:rsidR="001C4D6C" w:rsidRPr="005D0F2F">
        <w:t xml:space="preserve"> 202</w:t>
      </w:r>
      <w:r w:rsidR="00375E19">
        <w:t>3</w:t>
      </w:r>
      <w:r w:rsidR="001C4D6C" w:rsidRPr="005D0F2F">
        <w:t>.</w:t>
      </w:r>
    </w:p>
  </w:footnote>
  <w:footnote w:id="41">
    <w:p w14:paraId="16F9FD18" w14:textId="1AA4B691" w:rsidR="00CD274A" w:rsidRDefault="00CD274A" w:rsidP="00CD274A">
      <w:pPr>
        <w:pStyle w:val="FootnoteText"/>
      </w:pPr>
      <w:r w:rsidRPr="007A1EF8">
        <w:rPr>
          <w:rStyle w:val="FootnoteReference"/>
          <w:vertAlign w:val="baseline"/>
        </w:rPr>
        <w:footnoteRef/>
      </w:r>
      <w:r>
        <w:t xml:space="preserve"> </w:t>
      </w:r>
      <w:r w:rsidR="00C51B9E">
        <w:tab/>
      </w:r>
      <w:r>
        <w:t xml:space="preserve">Australian Bureau of Statistics, </w:t>
      </w:r>
      <w:r w:rsidRPr="00186063">
        <w:rPr>
          <w:rStyle w:val="SubtleEmphasis"/>
        </w:rPr>
        <w:t>Measuring the labour contribution of unpaid care in the Labour Account</w:t>
      </w:r>
      <w:r>
        <w:t>, 2024.</w:t>
      </w:r>
    </w:p>
  </w:footnote>
  <w:footnote w:id="42">
    <w:p w14:paraId="1EABE4AE" w14:textId="78E7DF3D" w:rsidR="001C4D6C" w:rsidRPr="00CE02BF" w:rsidRDefault="00671F0E" w:rsidP="001C4D6C">
      <w:pPr>
        <w:pStyle w:val="FootnoteText"/>
      </w:pPr>
      <w:r w:rsidRPr="00CE02BF">
        <w:rPr>
          <w:rStyle w:val="FootnoteReference"/>
          <w:vertAlign w:val="baseline"/>
        </w:rPr>
        <w:footnoteRef/>
      </w:r>
      <w:r w:rsidR="001C4D6C" w:rsidRPr="00CE02BF">
        <w:t xml:space="preserve"> </w:t>
      </w:r>
      <w:r w:rsidR="000651CF" w:rsidRPr="00CE02BF">
        <w:tab/>
      </w:r>
      <w:r w:rsidR="001C4D6C" w:rsidRPr="00CE02BF">
        <w:t>Gray et al.</w:t>
      </w:r>
      <w:r w:rsidR="00EE2AA5" w:rsidRPr="00CE02BF">
        <w:t xml:space="preserve">, </w:t>
      </w:r>
      <w:r w:rsidR="00EE2AA5" w:rsidRPr="00186063">
        <w:rPr>
          <w:rStyle w:val="SubtleEmphasis"/>
        </w:rPr>
        <w:t>Impacts of Policies on Fertility Rates</w:t>
      </w:r>
      <w:r w:rsidR="00EE2AA5" w:rsidRPr="00CE02BF">
        <w:rPr>
          <w:i/>
        </w:rPr>
        <w:t>,</w:t>
      </w:r>
      <w:r w:rsidR="001C4D6C" w:rsidRPr="00CE02BF">
        <w:t xml:space="preserve"> 2022.</w:t>
      </w:r>
    </w:p>
  </w:footnote>
  <w:footnote w:id="43">
    <w:p w14:paraId="43709DAF" w14:textId="51852532" w:rsidR="001C4D6C" w:rsidRPr="00CE02BF" w:rsidRDefault="00671F0E" w:rsidP="001C4D6C">
      <w:pPr>
        <w:pStyle w:val="FootnoteText"/>
      </w:pPr>
      <w:r w:rsidRPr="00CE02BF">
        <w:rPr>
          <w:rStyle w:val="FootnoteReference"/>
          <w:vertAlign w:val="baseline"/>
        </w:rPr>
        <w:footnoteRef/>
      </w:r>
      <w:r w:rsidR="001C4D6C" w:rsidRPr="00CE02BF">
        <w:t xml:space="preserve"> </w:t>
      </w:r>
      <w:r w:rsidR="000651CF" w:rsidRPr="00CE02BF">
        <w:tab/>
      </w:r>
      <w:r w:rsidR="008800C6">
        <w:t>Commonwealth of A</w:t>
      </w:r>
      <w:r w:rsidR="001C4D6C" w:rsidRPr="00CE02BF">
        <w:t>ustralia</w:t>
      </w:r>
      <w:r w:rsidR="000A0496" w:rsidRPr="00CE02BF">
        <w:t xml:space="preserve">, </w:t>
      </w:r>
      <w:r w:rsidR="000A0496" w:rsidRPr="00186063">
        <w:rPr>
          <w:rStyle w:val="SubtleEmphasis"/>
        </w:rPr>
        <w:t xml:space="preserve">Working Future: </w:t>
      </w:r>
      <w:r w:rsidR="00577DFF">
        <w:rPr>
          <w:rStyle w:val="SubtleEmphasis"/>
        </w:rPr>
        <w:t>T</w:t>
      </w:r>
      <w:r w:rsidR="000A0496" w:rsidRPr="00186063">
        <w:rPr>
          <w:rStyle w:val="SubtleEmphasis"/>
        </w:rPr>
        <w:t>he Australian Government</w:t>
      </w:r>
      <w:r w:rsidR="00050D25">
        <w:rPr>
          <w:rStyle w:val="SubtleEmphasis"/>
        </w:rPr>
        <w:t>’</w:t>
      </w:r>
      <w:r w:rsidR="000A0496" w:rsidRPr="00186063">
        <w:rPr>
          <w:rStyle w:val="SubtleEmphasis"/>
        </w:rPr>
        <w:t>s White Paper on Jobs and Opportunities</w:t>
      </w:r>
      <w:r w:rsidR="000A0496" w:rsidRPr="00CE02BF">
        <w:t>,</w:t>
      </w:r>
      <w:r w:rsidR="001C4D6C" w:rsidRPr="00CE02BF">
        <w:t xml:space="preserve"> 2023.</w:t>
      </w:r>
    </w:p>
  </w:footnote>
  <w:footnote w:id="44">
    <w:p w14:paraId="525E1E6F" w14:textId="5FE31FF6" w:rsidR="001C4D6C" w:rsidRPr="00CE02BF" w:rsidRDefault="00671F0E" w:rsidP="001C4D6C">
      <w:pPr>
        <w:pStyle w:val="FootnoteText"/>
      </w:pPr>
      <w:r w:rsidRPr="00CE02BF">
        <w:rPr>
          <w:rStyle w:val="FootnoteReference"/>
          <w:vertAlign w:val="baseline"/>
        </w:rPr>
        <w:footnoteRef/>
      </w:r>
      <w:r w:rsidR="001C4D6C" w:rsidRPr="00CE02BF">
        <w:t xml:space="preserve"> </w:t>
      </w:r>
      <w:r w:rsidR="000651CF" w:rsidRPr="00CE02BF">
        <w:tab/>
      </w:r>
      <w:r w:rsidR="001C4D6C" w:rsidRPr="00CE02BF">
        <w:t>Wooden, Trinh &amp; Mooi</w:t>
      </w:r>
      <w:r w:rsidR="00050D25">
        <w:noBreakHyphen/>
      </w:r>
      <w:r w:rsidR="001C4D6C" w:rsidRPr="00CE02BF">
        <w:t>Reci</w:t>
      </w:r>
      <w:r w:rsidR="007B6FDA" w:rsidRPr="00CE02BF">
        <w:t xml:space="preserve">, </w:t>
      </w:r>
      <w:r w:rsidR="007B6FDA" w:rsidRPr="00186063">
        <w:rPr>
          <w:rStyle w:val="SubtleEmphasis"/>
        </w:rPr>
        <w:t>The Differential Impacts of Contingent Employment on Fertility: Evidence from Australia</w:t>
      </w:r>
      <w:r w:rsidR="007B6FDA">
        <w:rPr>
          <w:noProof/>
        </w:rPr>
        <w:t>,</w:t>
      </w:r>
      <w:r w:rsidR="001C4D6C" w:rsidRPr="00CE02BF">
        <w:t xml:space="preserve"> 2023.</w:t>
      </w:r>
    </w:p>
  </w:footnote>
  <w:footnote w:id="45">
    <w:p w14:paraId="7FC27CAF" w14:textId="794D4957" w:rsidR="001C4D6C" w:rsidRPr="005D0F2F" w:rsidRDefault="00671F0E" w:rsidP="001C4D6C">
      <w:pPr>
        <w:pStyle w:val="FootnoteText"/>
      </w:pPr>
      <w:r w:rsidRPr="00CE02BF">
        <w:rPr>
          <w:rStyle w:val="FootnoteReference"/>
          <w:vertAlign w:val="baseline"/>
        </w:rPr>
        <w:footnoteRef/>
      </w:r>
      <w:r w:rsidR="001C4D6C" w:rsidRPr="00CE02BF">
        <w:t xml:space="preserve"> </w:t>
      </w:r>
      <w:r w:rsidR="000651CF" w:rsidRPr="00CE02BF">
        <w:tab/>
      </w:r>
      <w:r w:rsidR="001C4D6C" w:rsidRPr="00CE02BF">
        <w:t>Wooden, Trinh &amp; Mooi</w:t>
      </w:r>
      <w:r w:rsidR="00050D25">
        <w:noBreakHyphen/>
      </w:r>
      <w:r w:rsidR="001C4D6C" w:rsidRPr="00CE02BF">
        <w:t>Reci</w:t>
      </w:r>
      <w:r w:rsidR="007B6FDA" w:rsidRPr="00CE02BF">
        <w:t xml:space="preserve">, </w:t>
      </w:r>
      <w:r w:rsidR="007B6FDA" w:rsidRPr="00186063">
        <w:rPr>
          <w:rStyle w:val="SubtleEmphasis"/>
        </w:rPr>
        <w:t>The Differential Impacts of Contingent Employment on Fertility: Evidence from Australia</w:t>
      </w:r>
      <w:r w:rsidR="007B6FDA" w:rsidRPr="007B6FDA">
        <w:rPr>
          <w:i/>
          <w:iCs/>
          <w:noProof/>
        </w:rPr>
        <w:t>,</w:t>
      </w:r>
      <w:r w:rsidR="001C4D6C" w:rsidRPr="00CE02BF">
        <w:t xml:space="preserve"> 2023.</w:t>
      </w:r>
    </w:p>
  </w:footnote>
  <w:footnote w:id="46">
    <w:p w14:paraId="63364925" w14:textId="111C5858" w:rsidR="001C4D6C" w:rsidRDefault="00671F0E" w:rsidP="001C4D6C">
      <w:pPr>
        <w:pStyle w:val="FootnoteText"/>
      </w:pPr>
      <w:r w:rsidRPr="00CE02BF">
        <w:rPr>
          <w:rStyle w:val="FootnoteReference"/>
          <w:vertAlign w:val="baseline"/>
        </w:rPr>
        <w:footnoteRef/>
      </w:r>
      <w:r w:rsidR="001C4D6C" w:rsidRPr="00CE02BF">
        <w:t xml:space="preserve"> </w:t>
      </w:r>
      <w:r w:rsidR="000651CF" w:rsidRPr="00CE02BF">
        <w:tab/>
      </w:r>
      <w:r w:rsidR="001C4D6C" w:rsidRPr="00CE02BF">
        <w:t>Gray et al.</w:t>
      </w:r>
      <w:r w:rsidR="00EE2AA5" w:rsidRPr="00CE02BF">
        <w:t xml:space="preserve">, </w:t>
      </w:r>
      <w:r w:rsidR="00EE2AA5" w:rsidRPr="00997375">
        <w:rPr>
          <w:rStyle w:val="SubtleEmphasis"/>
        </w:rPr>
        <w:t>Impacts of Policies on Fertility Rates</w:t>
      </w:r>
      <w:r w:rsidR="00EE2AA5" w:rsidRPr="00CE02BF">
        <w:rPr>
          <w:i/>
        </w:rPr>
        <w:t>,</w:t>
      </w:r>
      <w:r w:rsidR="001C4D6C" w:rsidRPr="00CE02BF">
        <w:t xml:space="preserve"> 2022.</w:t>
      </w:r>
    </w:p>
  </w:footnote>
  <w:footnote w:id="47">
    <w:p w14:paraId="1A5F6F15" w14:textId="4E106F1F" w:rsidR="00053BE5" w:rsidRDefault="00053BE5">
      <w:pPr>
        <w:pStyle w:val="FootnoteText"/>
      </w:pPr>
      <w:r w:rsidRPr="0037128E">
        <w:footnoteRef/>
      </w:r>
      <w:r>
        <w:t xml:space="preserve"> </w:t>
      </w:r>
      <w:r w:rsidR="00C51B9E">
        <w:tab/>
      </w:r>
      <w:r w:rsidR="0084145F" w:rsidRPr="0037128E">
        <w:t xml:space="preserve">This figure will increase </w:t>
      </w:r>
      <w:r w:rsidR="00E04B11" w:rsidRPr="0037128E">
        <w:t xml:space="preserve">slightly </w:t>
      </w:r>
      <w:r w:rsidR="0084145F" w:rsidRPr="0037128E">
        <w:t>due to small numbers of late reported deaths.</w:t>
      </w:r>
    </w:p>
  </w:footnote>
  <w:footnote w:id="48">
    <w:p w14:paraId="645C32C4" w14:textId="17F06094" w:rsidR="001C4D6C" w:rsidRDefault="00671F0E" w:rsidP="001C4D6C">
      <w:pPr>
        <w:pStyle w:val="FootnoteText"/>
      </w:pPr>
      <w:r w:rsidRPr="00671F0E">
        <w:rPr>
          <w:rStyle w:val="FootnoteReference"/>
          <w:vertAlign w:val="baseline"/>
        </w:rPr>
        <w:footnoteRef/>
      </w:r>
      <w:r w:rsidR="001C4D6C">
        <w:t xml:space="preserve"> </w:t>
      </w:r>
      <w:r w:rsidR="000651CF">
        <w:tab/>
      </w:r>
      <w:r w:rsidR="001C4D6C">
        <w:t xml:space="preserve">This does not include deaths </w:t>
      </w:r>
      <w:r w:rsidR="001C4D6C" w:rsidDel="001808F8">
        <w:t>where</w:t>
      </w:r>
      <w:r w:rsidR="001C4D6C">
        <w:t xml:space="preserve"> COVID</w:t>
      </w:r>
      <w:r w:rsidR="00050D25">
        <w:noBreakHyphen/>
      </w:r>
      <w:r w:rsidR="001C4D6C">
        <w:t xml:space="preserve">19 </w:t>
      </w:r>
      <w:r w:rsidR="001C4D6C" w:rsidDel="001808F8">
        <w:t>w</w:t>
      </w:r>
      <w:r w:rsidR="001C4D6C">
        <w:t xml:space="preserve">as a contributing factor (1,200 deaths). </w:t>
      </w:r>
      <w:r w:rsidR="001C4D6C" w:rsidRPr="00333759">
        <w:t>In 2023</w:t>
      </w:r>
      <w:r w:rsidR="00AF38FB">
        <w:t>–</w:t>
      </w:r>
      <w:r w:rsidR="001C4D6C" w:rsidRPr="00333759">
        <w:t>24, the decrease in deaths with COVID</w:t>
      </w:r>
      <w:r w:rsidR="00050D25">
        <w:noBreakHyphen/>
      </w:r>
      <w:r w:rsidR="001C4D6C" w:rsidRPr="00333759">
        <w:t>19 as a contributing factor was similar to the decrease in deaths due to COVID</w:t>
      </w:r>
      <w:r w:rsidR="00050D25">
        <w:noBreakHyphen/>
      </w:r>
      <w:r w:rsidR="001C4D6C" w:rsidRPr="00333759">
        <w:t>19.</w:t>
      </w:r>
    </w:p>
  </w:footnote>
  <w:footnote w:id="49">
    <w:p w14:paraId="2D50A644" w14:textId="6B9225BB" w:rsidR="00D46339" w:rsidRPr="00D46339" w:rsidRDefault="00D46339">
      <w:pPr>
        <w:pStyle w:val="FootnoteText"/>
      </w:pPr>
      <w:r w:rsidRPr="003914B2">
        <w:rPr>
          <w:rStyle w:val="FootnoteReference"/>
          <w:vertAlign w:val="baseline"/>
        </w:rPr>
        <w:footnoteRef/>
      </w:r>
      <w:r w:rsidRPr="00D46339">
        <w:t xml:space="preserve"> </w:t>
      </w:r>
      <w:r w:rsidR="00C51B9E">
        <w:tab/>
      </w:r>
      <w:r w:rsidR="00AC31C8">
        <w:t xml:space="preserve">ABS, </w:t>
      </w:r>
      <w:r w:rsidR="00AC31C8" w:rsidRPr="00997375">
        <w:rPr>
          <w:rStyle w:val="SubtleEmphasis"/>
        </w:rPr>
        <w:t>Life expectancy</w:t>
      </w:r>
      <w:r w:rsidR="00AC31C8" w:rsidRPr="0037128E">
        <w:rPr>
          <w:i/>
        </w:rPr>
        <w:t>, 2021–</w:t>
      </w:r>
      <w:r w:rsidR="00D05986" w:rsidRPr="0037128E">
        <w:rPr>
          <w:i/>
        </w:rPr>
        <w:t>20</w:t>
      </w:r>
      <w:r w:rsidR="00AC31C8" w:rsidRPr="0037128E">
        <w:rPr>
          <w:i/>
        </w:rPr>
        <w:t>23</w:t>
      </w:r>
      <w:r w:rsidR="0040353B">
        <w:t>.</w:t>
      </w:r>
    </w:p>
  </w:footnote>
  <w:footnote w:id="50">
    <w:p w14:paraId="37A0FE20" w14:textId="223A551F" w:rsidR="0081455C" w:rsidRPr="0081455C" w:rsidRDefault="0081455C">
      <w:pPr>
        <w:pStyle w:val="FootnoteText"/>
      </w:pPr>
      <w:r w:rsidRPr="003914B2">
        <w:rPr>
          <w:rStyle w:val="FootnoteReference"/>
          <w:vertAlign w:val="baseline"/>
        </w:rPr>
        <w:footnoteRef/>
      </w:r>
      <w:r w:rsidRPr="0081455C">
        <w:t xml:space="preserve"> </w:t>
      </w:r>
      <w:r w:rsidR="00C51B9E">
        <w:tab/>
      </w:r>
      <w:r>
        <w:t>OECD</w:t>
      </w:r>
      <w:r w:rsidR="009A2270">
        <w:t xml:space="preserve"> Data Explorer</w:t>
      </w:r>
      <w:r>
        <w:t xml:space="preserve">, </w:t>
      </w:r>
      <w:r w:rsidRPr="00997375">
        <w:rPr>
          <w:rStyle w:val="SubtleEmphasis"/>
        </w:rPr>
        <w:t>Life expectancy</w:t>
      </w:r>
      <w:r w:rsidRPr="0037128E">
        <w:rPr>
          <w:i/>
        </w:rPr>
        <w:t>, 202</w:t>
      </w:r>
      <w:r w:rsidR="009A2270" w:rsidRPr="0037128E">
        <w:rPr>
          <w:i/>
        </w:rPr>
        <w:t>4</w:t>
      </w:r>
      <w:r>
        <w:t xml:space="preserve">. </w:t>
      </w:r>
    </w:p>
  </w:footnote>
  <w:footnote w:id="51">
    <w:p w14:paraId="40147506" w14:textId="1779F045" w:rsidR="001C4D6C" w:rsidRPr="00BD459F" w:rsidRDefault="00671F0E" w:rsidP="001C4D6C">
      <w:pPr>
        <w:pStyle w:val="FootnoteText"/>
      </w:pPr>
      <w:r w:rsidRPr="00671F0E">
        <w:rPr>
          <w:rStyle w:val="FootnoteReference"/>
          <w:vertAlign w:val="baseline"/>
        </w:rPr>
        <w:footnoteRef/>
      </w:r>
      <w:r w:rsidR="001C4D6C" w:rsidRPr="00BD459F">
        <w:t xml:space="preserve"> </w:t>
      </w:r>
      <w:r w:rsidR="000651CF">
        <w:tab/>
      </w:r>
      <w:r w:rsidR="008F1C14">
        <w:t>Adair, Houle &amp; Canudas</w:t>
      </w:r>
      <w:r w:rsidR="00050D25">
        <w:noBreakHyphen/>
      </w:r>
      <w:r w:rsidR="008F1C14">
        <w:t>Romo</w:t>
      </w:r>
      <w:r w:rsidR="001C4D6C" w:rsidRPr="00BD459F">
        <w:t xml:space="preserve">, </w:t>
      </w:r>
      <w:r w:rsidR="001C4D6C" w:rsidRPr="0037128E">
        <w:rPr>
          <w:i/>
        </w:rPr>
        <w:t>Submission to the Inquiry into Excess Mortality, Senate Community Affairs Reference</w:t>
      </w:r>
      <w:r w:rsidR="00071795">
        <w:rPr>
          <w:i/>
        </w:rPr>
        <w:t>s</w:t>
      </w:r>
      <w:r w:rsidR="001C4D6C" w:rsidRPr="0037128E">
        <w:rPr>
          <w:i/>
        </w:rPr>
        <w:t xml:space="preserve"> Committee</w:t>
      </w:r>
      <w:r w:rsidR="001C4D6C" w:rsidRPr="00BD459F">
        <w:t>, May</w:t>
      </w:r>
      <w:r w:rsidR="00AF38FB">
        <w:t> </w:t>
      </w:r>
      <w:r w:rsidR="001C4D6C" w:rsidRPr="00BD459F">
        <w:t>2024</w:t>
      </w:r>
      <w:r w:rsidR="001C4D6C">
        <w:t xml:space="preserve">. </w:t>
      </w:r>
    </w:p>
  </w:footnote>
  <w:footnote w:id="52">
    <w:p w14:paraId="3E2585E8" w14:textId="46F141D4" w:rsidR="000E0DD1" w:rsidRDefault="000E0DD1" w:rsidP="000E0DD1">
      <w:pPr>
        <w:pStyle w:val="FootnoteText"/>
      </w:pPr>
      <w:r w:rsidRPr="0037128E">
        <w:rPr>
          <w:rStyle w:val="FootnoteReference"/>
          <w:vertAlign w:val="baseline"/>
        </w:rPr>
        <w:footnoteRef/>
      </w:r>
      <w:r w:rsidRPr="0037128E">
        <w:rPr>
          <w:rStyle w:val="FootnoteReference"/>
          <w:vertAlign w:val="baseline"/>
        </w:rPr>
        <w:t xml:space="preserve"> </w:t>
      </w:r>
      <w:r w:rsidR="00780649">
        <w:tab/>
      </w:r>
      <w:r w:rsidRPr="0037128E">
        <w:rPr>
          <w:rStyle w:val="FootnoteReference"/>
          <w:vertAlign w:val="baseline"/>
        </w:rPr>
        <w:t>Based on reported data for the 5 jurisdictions with higher quality First Nations identification data: New</w:t>
      </w:r>
      <w:r w:rsidR="001339E1">
        <w:t> </w:t>
      </w:r>
      <w:r w:rsidRPr="0037128E">
        <w:rPr>
          <w:rStyle w:val="FootnoteReference"/>
          <w:vertAlign w:val="baseline"/>
        </w:rPr>
        <w:t>South Wales, Queensland, Western Australia, South Australia and the North</w:t>
      </w:r>
      <w:r w:rsidR="00E70EE2" w:rsidRPr="0037128E">
        <w:rPr>
          <w:rStyle w:val="FootnoteReference"/>
          <w:vertAlign w:val="baseline"/>
        </w:rPr>
        <w:t>ern</w:t>
      </w:r>
      <w:r w:rsidRPr="0037128E">
        <w:rPr>
          <w:rStyle w:val="FootnoteReference"/>
          <w:vertAlign w:val="baseline"/>
        </w:rPr>
        <w:t xml:space="preserve"> Territory.</w:t>
      </w:r>
    </w:p>
  </w:footnote>
  <w:footnote w:id="53">
    <w:p w14:paraId="6BDA4FA1" w14:textId="30826C33" w:rsidR="001C4D6C" w:rsidRDefault="00671F0E" w:rsidP="001C4D6C">
      <w:pPr>
        <w:pStyle w:val="FootnoteText"/>
      </w:pPr>
      <w:r w:rsidRPr="00671F0E">
        <w:rPr>
          <w:rStyle w:val="FootnoteReference"/>
          <w:vertAlign w:val="baseline"/>
        </w:rPr>
        <w:footnoteRef/>
      </w:r>
      <w:r w:rsidR="001C4D6C">
        <w:t xml:space="preserve"> </w:t>
      </w:r>
      <w:r w:rsidR="00287546">
        <w:tab/>
      </w:r>
      <w:r w:rsidR="001C4D6C">
        <w:t xml:space="preserve">More information on excess mortality can be found in the </w:t>
      </w:r>
      <w:hyperlink r:id="rId4" w:history="1">
        <w:r w:rsidR="001C4D6C" w:rsidRPr="00585F59">
          <w:rPr>
            <w:rStyle w:val="Hyperlink"/>
          </w:rPr>
          <w:t>Centre</w:t>
        </w:r>
        <w:r w:rsidR="00050D25">
          <w:rPr>
            <w:rStyle w:val="Hyperlink"/>
          </w:rPr>
          <w:t>’</w:t>
        </w:r>
        <w:r w:rsidR="001C4D6C" w:rsidRPr="00585F59">
          <w:rPr>
            <w:rStyle w:val="Hyperlink"/>
          </w:rPr>
          <w:t>s submission to the Senate inquiry into excess mortality</w:t>
        </w:r>
      </w:hyperlink>
      <w:r w:rsidR="001C4D6C">
        <w:t>.</w:t>
      </w:r>
    </w:p>
  </w:footnote>
  <w:footnote w:id="54">
    <w:p w14:paraId="312DB545" w14:textId="2F8FF03D" w:rsidR="001C4D6C" w:rsidRDefault="00671F0E" w:rsidP="001C4D6C">
      <w:pPr>
        <w:pStyle w:val="FootnoteText"/>
      </w:pPr>
      <w:r w:rsidRPr="00154D26">
        <w:rPr>
          <w:rStyle w:val="FootnoteReference"/>
          <w:vertAlign w:val="baseline"/>
        </w:rPr>
        <w:footnoteRef/>
      </w:r>
      <w:r w:rsidR="001C4D6C" w:rsidRPr="00154D26">
        <w:t xml:space="preserve"> </w:t>
      </w:r>
      <w:r w:rsidR="00287546" w:rsidRPr="00154D26">
        <w:tab/>
      </w:r>
      <w:r w:rsidR="0087100A">
        <w:t xml:space="preserve">The Department of Health and Aged Care, </w:t>
      </w:r>
      <w:r w:rsidR="0087100A" w:rsidRPr="0037128E">
        <w:rPr>
          <w:i/>
        </w:rPr>
        <w:t>Su</w:t>
      </w:r>
      <w:r w:rsidR="009B755B" w:rsidRPr="0037128E">
        <w:rPr>
          <w:i/>
        </w:rPr>
        <w:t>bmission from the Department of Health and Aged Care to the Senate Community Affairs References Committee Inquiry into Excess Mortality</w:t>
      </w:r>
      <w:r w:rsidR="009B755B">
        <w:t xml:space="preserve">, 2024. </w:t>
      </w:r>
    </w:p>
  </w:footnote>
  <w:footnote w:id="55">
    <w:p w14:paraId="3483E8D3" w14:textId="29B53353" w:rsidR="00DD69FB" w:rsidRDefault="00DD69FB">
      <w:pPr>
        <w:pStyle w:val="FootnoteText"/>
      </w:pPr>
      <w:r w:rsidRPr="003914B2">
        <w:rPr>
          <w:rStyle w:val="FootnoteReference"/>
          <w:vertAlign w:val="baseline"/>
        </w:rPr>
        <w:footnoteRef/>
      </w:r>
      <w:r w:rsidRPr="00DD69FB">
        <w:t xml:space="preserve"> </w:t>
      </w:r>
      <w:r w:rsidR="00482E25">
        <w:t xml:space="preserve">The </w:t>
      </w:r>
      <w:r w:rsidRPr="00C141C9">
        <w:rPr>
          <w:rFonts w:ascii="Calibri" w:eastAsia="Calibri" w:hAnsi="Calibri" w:cs="Calibri"/>
        </w:rPr>
        <w:t>C</w:t>
      </w:r>
      <w:r w:rsidRPr="009C122D">
        <w:rPr>
          <w:rFonts w:ascii="Calibri" w:eastAsia="Calibri" w:hAnsi="Calibri" w:cs="Calibri"/>
        </w:rPr>
        <w:t>entre for International Economics,</w:t>
      </w:r>
      <w:r w:rsidRPr="00C141C9">
        <w:rPr>
          <w:rFonts w:ascii="Calibri" w:eastAsia="Calibri" w:hAnsi="Calibri" w:cs="Calibri"/>
        </w:rPr>
        <w:t xml:space="preserve"> </w:t>
      </w:r>
      <w:r w:rsidRPr="00997375">
        <w:rPr>
          <w:rStyle w:val="SubtleEmphasis"/>
        </w:rPr>
        <w:t>Internal Migration in Australia and the impact of government levers</w:t>
      </w:r>
      <w:r w:rsidRPr="009C122D">
        <w:rPr>
          <w:rFonts w:ascii="Calibri" w:eastAsia="Calibri" w:hAnsi="Calibri" w:cs="Calibri"/>
        </w:rPr>
        <w:t xml:space="preserve">, </w:t>
      </w:r>
      <w:r w:rsidRPr="00C141C9">
        <w:rPr>
          <w:rFonts w:ascii="Calibri" w:eastAsia="Calibri" w:hAnsi="Calibri" w:cs="Calibri"/>
        </w:rPr>
        <w:t>2023</w:t>
      </w:r>
      <w:r w:rsidR="00263A8B">
        <w:rPr>
          <w:rFonts w:ascii="Calibri" w:eastAsia="Calibri" w:hAnsi="Calibri" w:cs="Calibri"/>
        </w:rPr>
        <w:t>.</w:t>
      </w:r>
    </w:p>
  </w:footnote>
  <w:footnote w:id="56">
    <w:p w14:paraId="79AB7ADA" w14:textId="77777777" w:rsidR="00C6609C" w:rsidRPr="00C141C9" w:rsidRDefault="00C6609C" w:rsidP="00C6609C">
      <w:pPr>
        <w:pStyle w:val="FootnoteText"/>
      </w:pPr>
      <w:r w:rsidRPr="00C141C9">
        <w:rPr>
          <w:rStyle w:val="FootnoteReference"/>
          <w:vertAlign w:val="baseline"/>
        </w:rPr>
        <w:footnoteRef/>
      </w:r>
      <w:r w:rsidRPr="00C141C9">
        <w:t xml:space="preserve"> </w:t>
      </w:r>
      <w:r w:rsidRPr="00C141C9">
        <w:rPr>
          <w:rFonts w:ascii="Calibri" w:eastAsia="Calibri" w:hAnsi="Calibri" w:cs="Calibri"/>
        </w:rPr>
        <w:t>ABS</w:t>
      </w:r>
      <w:r w:rsidRPr="003914B2">
        <w:rPr>
          <w:rFonts w:ascii="Calibri" w:eastAsia="Calibri" w:hAnsi="Calibri" w:cs="Calibri"/>
        </w:rPr>
        <w:t>,</w:t>
      </w:r>
      <w:r w:rsidRPr="00C141C9">
        <w:rPr>
          <w:rFonts w:ascii="Calibri" w:eastAsia="Calibri" w:hAnsi="Calibri" w:cs="Calibri"/>
        </w:rPr>
        <w:t xml:space="preserve"> </w:t>
      </w:r>
      <w:r w:rsidRPr="00997375">
        <w:rPr>
          <w:rStyle w:val="SubtleEmphasis"/>
        </w:rPr>
        <w:t>Labour Force Status of Families</w:t>
      </w:r>
      <w:r w:rsidRPr="003914B2">
        <w:rPr>
          <w:rFonts w:ascii="Calibri" w:eastAsia="Calibri" w:hAnsi="Calibri" w:cs="Calibri"/>
        </w:rPr>
        <w:t>,</w:t>
      </w:r>
      <w:r w:rsidRPr="00DE616B">
        <w:rPr>
          <w:rFonts w:ascii="Calibri" w:eastAsia="Calibri" w:hAnsi="Calibri" w:cs="Calibri"/>
        </w:rPr>
        <w:t xml:space="preserve"> </w:t>
      </w:r>
      <w:r w:rsidRPr="00C141C9">
        <w:rPr>
          <w:rFonts w:ascii="Calibri" w:eastAsia="Calibri" w:hAnsi="Calibri" w:cs="Calibri"/>
        </w:rPr>
        <w:t>2024</w:t>
      </w:r>
      <w:r>
        <w:rPr>
          <w:rFonts w:ascii="Calibri" w:eastAsia="Calibri" w:hAnsi="Calibri" w:cs="Calibri"/>
        </w:rPr>
        <w:t>.</w:t>
      </w:r>
    </w:p>
  </w:footnote>
  <w:footnote w:id="57">
    <w:p w14:paraId="4294F395" w14:textId="583D2668" w:rsidR="00C6609C" w:rsidRDefault="00C6609C" w:rsidP="00C6609C">
      <w:pPr>
        <w:pStyle w:val="FootnoteText"/>
      </w:pPr>
      <w:r w:rsidRPr="00C141C9">
        <w:rPr>
          <w:rStyle w:val="FootnoteReference"/>
          <w:vertAlign w:val="baseline"/>
        </w:rPr>
        <w:footnoteRef/>
      </w:r>
      <w:r w:rsidRPr="00C141C9">
        <w:t xml:space="preserve"> </w:t>
      </w:r>
      <w:r w:rsidR="008E3097">
        <w:t>The</w:t>
      </w:r>
      <w:r w:rsidRPr="00C141C9">
        <w:t xml:space="preserve"> </w:t>
      </w:r>
      <w:r w:rsidRPr="00C141C9">
        <w:rPr>
          <w:rFonts w:ascii="Calibri" w:eastAsia="Calibri" w:hAnsi="Calibri" w:cs="Calibri"/>
        </w:rPr>
        <w:t>C</w:t>
      </w:r>
      <w:r w:rsidRPr="003914B2">
        <w:rPr>
          <w:rFonts w:ascii="Calibri" w:eastAsia="Calibri" w:hAnsi="Calibri" w:cs="Calibri"/>
        </w:rPr>
        <w:t>entre for International Economics,</w:t>
      </w:r>
      <w:r w:rsidRPr="00C141C9">
        <w:rPr>
          <w:rFonts w:ascii="Calibri" w:eastAsia="Calibri" w:hAnsi="Calibri" w:cs="Calibri"/>
        </w:rPr>
        <w:t xml:space="preserve"> </w:t>
      </w:r>
      <w:r w:rsidRPr="00997375">
        <w:rPr>
          <w:rStyle w:val="SubtleEmphasis"/>
        </w:rPr>
        <w:t>Internal Migration in Australia and the impact of government levers,</w:t>
      </w:r>
      <w:r w:rsidRPr="003914B2">
        <w:rPr>
          <w:rFonts w:ascii="Calibri" w:eastAsia="Calibri" w:hAnsi="Calibri" w:cs="Calibri"/>
        </w:rPr>
        <w:t xml:space="preserve"> </w:t>
      </w:r>
      <w:r w:rsidRPr="00C141C9">
        <w:rPr>
          <w:rFonts w:ascii="Calibri" w:eastAsia="Calibri" w:hAnsi="Calibri" w:cs="Calibri"/>
        </w:rPr>
        <w:t>2023</w:t>
      </w:r>
      <w:r>
        <w:rPr>
          <w:rFonts w:ascii="Calibri" w:eastAsia="Calibri" w:hAnsi="Calibri" w:cs="Calibri"/>
        </w:rPr>
        <w:t>.</w:t>
      </w:r>
    </w:p>
  </w:footnote>
  <w:footnote w:id="58">
    <w:p w14:paraId="60D7F688" w14:textId="714C4F58" w:rsidR="00D7273B" w:rsidRPr="006A4BC1" w:rsidRDefault="00671F0E" w:rsidP="00D7273B">
      <w:pPr>
        <w:pStyle w:val="FootnoteText"/>
      </w:pPr>
      <w:r w:rsidRPr="00671F0E">
        <w:rPr>
          <w:rStyle w:val="FootnoteReference"/>
          <w:rFonts w:asciiTheme="minorHAnsi" w:hAnsiTheme="minorHAnsi"/>
          <w:vertAlign w:val="baseline"/>
        </w:rPr>
        <w:footnoteRef/>
      </w:r>
      <w:r w:rsidR="00D7273B" w:rsidRPr="006A4BC1">
        <w:t xml:space="preserve"> </w:t>
      </w:r>
      <w:r w:rsidR="00D7273B" w:rsidRPr="006A4BC1">
        <w:tab/>
        <w:t>McDonald</w:t>
      </w:r>
      <w:r w:rsidR="00D362E9">
        <w:t xml:space="preserve"> P,</w:t>
      </w:r>
      <w:r w:rsidR="00D7273B" w:rsidRPr="006A4BC1">
        <w:t xml:space="preserve"> </w:t>
      </w:r>
      <w:r w:rsidR="00D7273B" w:rsidRPr="0037128E">
        <w:rPr>
          <w:i/>
        </w:rPr>
        <w:t>A Projection of Australia</w:t>
      </w:r>
      <w:r w:rsidR="00050D25">
        <w:rPr>
          <w:i/>
        </w:rPr>
        <w:t>’</w:t>
      </w:r>
      <w:r w:rsidR="00D7273B" w:rsidRPr="0037128E">
        <w:rPr>
          <w:i/>
        </w:rPr>
        <w:t>s Future Fertility Rates</w:t>
      </w:r>
      <w:r w:rsidR="00D7273B">
        <w:t>,</w:t>
      </w:r>
      <w:r w:rsidR="00D7273B" w:rsidRPr="006A4BC1">
        <w:t xml:space="preserve"> </w:t>
      </w:r>
      <w:r w:rsidR="00D7273B">
        <w:t>2020</w:t>
      </w:r>
      <w:r w:rsidR="00D7273B" w:rsidRPr="006A4BC1">
        <w:t>.</w:t>
      </w:r>
    </w:p>
  </w:footnote>
  <w:footnote w:id="59">
    <w:p w14:paraId="5819A814" w14:textId="35C0AAF3" w:rsidR="00D7273B" w:rsidRPr="00595D57" w:rsidRDefault="00671F0E" w:rsidP="00D7273B">
      <w:pPr>
        <w:pStyle w:val="FootnoteText"/>
        <w:rPr>
          <w:rStyle w:val="FootnoteReference"/>
          <w:rFonts w:asciiTheme="minorHAnsi" w:hAnsiTheme="minorHAnsi"/>
          <w:vertAlign w:val="baseline"/>
        </w:rPr>
      </w:pPr>
      <w:r w:rsidRPr="00671F0E">
        <w:rPr>
          <w:rStyle w:val="FootnoteReference"/>
          <w:rFonts w:asciiTheme="minorHAnsi" w:hAnsiTheme="minorHAnsi"/>
          <w:vertAlign w:val="baseline"/>
        </w:rPr>
        <w:footnoteRef/>
      </w:r>
      <w:r w:rsidR="00D7273B" w:rsidRPr="00595D57">
        <w:rPr>
          <w:rStyle w:val="FootnoteReference"/>
          <w:rFonts w:asciiTheme="minorHAnsi" w:hAnsiTheme="minorHAnsi"/>
          <w:vertAlign w:val="baseline"/>
        </w:rPr>
        <w:t xml:space="preserve"> </w:t>
      </w:r>
      <w:r w:rsidR="00D7273B">
        <w:rPr>
          <w:rStyle w:val="FootnoteReference"/>
          <w:rFonts w:asciiTheme="minorHAnsi" w:hAnsiTheme="minorHAnsi"/>
          <w:vertAlign w:val="baseline"/>
        </w:rPr>
        <w:tab/>
      </w:r>
      <w:r w:rsidR="00D7273B" w:rsidRPr="00595D57">
        <w:rPr>
          <w:rStyle w:val="FootnoteReference"/>
          <w:rFonts w:asciiTheme="minorHAnsi" w:hAnsiTheme="minorHAnsi"/>
          <w:vertAlign w:val="baseline"/>
        </w:rPr>
        <w:t xml:space="preserve">The </w:t>
      </w:r>
      <w:r w:rsidR="00D7273B" w:rsidRPr="00997375">
        <w:rPr>
          <w:rStyle w:val="SubtleEmphasis"/>
        </w:rPr>
        <w:t>2022 Population Statement</w:t>
      </w:r>
      <w:r w:rsidR="00D7273B" w:rsidRPr="00595D57">
        <w:rPr>
          <w:rStyle w:val="FootnoteReference"/>
          <w:rFonts w:asciiTheme="minorHAnsi" w:hAnsiTheme="minorHAnsi"/>
          <w:vertAlign w:val="baseline"/>
        </w:rPr>
        <w:t xml:space="preserve"> Technical Appendix provides more information on mortality improvement factors.</w:t>
      </w:r>
    </w:p>
  </w:footnote>
  <w:footnote w:id="60">
    <w:p w14:paraId="6B51FDF3" w14:textId="0EDAB003" w:rsidR="00D7273B" w:rsidRDefault="00671F0E" w:rsidP="00D7273B">
      <w:pPr>
        <w:pStyle w:val="FootnoteText"/>
      </w:pPr>
      <w:r w:rsidRPr="00671F0E">
        <w:rPr>
          <w:rStyle w:val="FootnoteReference"/>
          <w:rFonts w:asciiTheme="minorHAnsi" w:hAnsiTheme="minorHAnsi"/>
          <w:vertAlign w:val="baseline"/>
        </w:rPr>
        <w:footnoteRef/>
      </w:r>
      <w:r w:rsidR="00D7273B" w:rsidRPr="00595D57">
        <w:rPr>
          <w:rStyle w:val="FootnoteReference"/>
          <w:rFonts w:asciiTheme="minorHAnsi" w:hAnsiTheme="minorHAnsi"/>
          <w:vertAlign w:val="baseline"/>
        </w:rPr>
        <w:t xml:space="preserve"> </w:t>
      </w:r>
      <w:r w:rsidR="00D7273B">
        <w:tab/>
      </w:r>
      <w:r w:rsidR="00D7273B" w:rsidRPr="00595D57">
        <w:rPr>
          <w:rStyle w:val="FootnoteReference"/>
          <w:rFonts w:asciiTheme="minorHAnsi" w:hAnsiTheme="minorHAnsi"/>
          <w:vertAlign w:val="baseline"/>
        </w:rPr>
        <w:t>The Australian Government Actuary</w:t>
      </w:r>
      <w:r w:rsidR="00050D25">
        <w:rPr>
          <w:rStyle w:val="FootnoteReference"/>
          <w:rFonts w:asciiTheme="minorHAnsi" w:hAnsiTheme="minorHAnsi"/>
          <w:vertAlign w:val="baseline"/>
        </w:rPr>
        <w:t>’</w:t>
      </w:r>
      <w:r w:rsidR="00D7273B" w:rsidRPr="00595D57">
        <w:rPr>
          <w:rStyle w:val="FootnoteReference"/>
          <w:rFonts w:asciiTheme="minorHAnsi" w:hAnsiTheme="minorHAnsi"/>
          <w:vertAlign w:val="baseline"/>
        </w:rPr>
        <w:t>s approach requires establishing a pre</w:t>
      </w:r>
      <w:r w:rsidR="00050D25">
        <w:rPr>
          <w:rStyle w:val="FootnoteReference"/>
          <w:rFonts w:asciiTheme="minorHAnsi" w:hAnsiTheme="minorHAnsi"/>
          <w:vertAlign w:val="baseline"/>
        </w:rPr>
        <w:noBreakHyphen/>
      </w:r>
      <w:r w:rsidR="00D7273B" w:rsidRPr="00595D57">
        <w:rPr>
          <w:rStyle w:val="FootnoteReference"/>
          <w:rFonts w:asciiTheme="minorHAnsi" w:hAnsiTheme="minorHAnsi"/>
          <w:vertAlign w:val="baseline"/>
        </w:rPr>
        <w:t xml:space="preserve">pandemic baseline. </w:t>
      </w:r>
      <w:r w:rsidR="00D7273B">
        <w:rPr>
          <w:rStyle w:val="FootnoteReference"/>
          <w:rFonts w:asciiTheme="minorHAnsi" w:hAnsiTheme="minorHAnsi"/>
          <w:vertAlign w:val="baseline"/>
        </w:rPr>
        <w:t>T</w:t>
      </w:r>
      <w:r w:rsidR="00D7273B">
        <w:t>herefore</w:t>
      </w:r>
      <w:r w:rsidR="00D7273B" w:rsidRPr="00595D57">
        <w:rPr>
          <w:rStyle w:val="FootnoteReference"/>
          <w:rFonts w:asciiTheme="minorHAnsi" w:hAnsiTheme="minorHAnsi"/>
          <w:vertAlign w:val="baseline"/>
        </w:rPr>
        <w:t xml:space="preserve">, it did not use ABS 2020–2022 </w:t>
      </w:r>
      <w:r w:rsidR="003A2724">
        <w:t xml:space="preserve">or 2021–23 </w:t>
      </w:r>
      <w:r w:rsidR="00D7273B" w:rsidRPr="00595D57">
        <w:rPr>
          <w:rStyle w:val="FootnoteReference"/>
          <w:rFonts w:asciiTheme="minorHAnsi" w:hAnsiTheme="minorHAnsi"/>
          <w:vertAlign w:val="baseline"/>
        </w:rPr>
        <w:t xml:space="preserve">life tables, as these years </w:t>
      </w:r>
      <w:r w:rsidR="00D7273B">
        <w:t>were affected by</w:t>
      </w:r>
      <w:r w:rsidR="00D7273B" w:rsidRPr="00595D57">
        <w:rPr>
          <w:rStyle w:val="FootnoteReference"/>
          <w:rFonts w:asciiTheme="minorHAnsi" w:hAnsiTheme="minorHAnsi"/>
          <w:vertAlign w:val="baseline"/>
        </w:rPr>
        <w:t xml:space="preserve"> </w:t>
      </w:r>
      <w:r w:rsidR="00D375AA">
        <w:rPr>
          <w:rStyle w:val="FootnoteReference"/>
          <w:rFonts w:asciiTheme="minorHAnsi" w:hAnsiTheme="minorHAnsi"/>
          <w:vertAlign w:val="baseline"/>
        </w:rPr>
        <w:t>t</w:t>
      </w:r>
      <w:r w:rsidR="00D375AA">
        <w:t xml:space="preserve">he </w:t>
      </w:r>
      <w:r w:rsidR="00D7273B" w:rsidRPr="00595D57">
        <w:rPr>
          <w:rStyle w:val="FootnoteReference"/>
          <w:rFonts w:asciiTheme="minorHAnsi" w:hAnsiTheme="minorHAnsi"/>
          <w:vertAlign w:val="baseline"/>
        </w:rPr>
        <w:t>COVID</w:t>
      </w:r>
      <w:r w:rsidR="00050D25">
        <w:rPr>
          <w:rStyle w:val="FootnoteReference"/>
          <w:rFonts w:asciiTheme="minorHAnsi" w:hAnsiTheme="minorHAnsi"/>
          <w:vertAlign w:val="baseline"/>
        </w:rPr>
        <w:noBreakHyphen/>
      </w:r>
      <w:r w:rsidR="00D7273B" w:rsidRPr="00595D57">
        <w:rPr>
          <w:rStyle w:val="FootnoteReference"/>
          <w:rFonts w:asciiTheme="minorHAnsi" w:hAnsiTheme="minorHAnsi"/>
          <w:vertAlign w:val="baseline"/>
        </w:rPr>
        <w:t>19</w:t>
      </w:r>
      <w:r w:rsidR="00D375AA">
        <w:t xml:space="preserve"> pandemic</w:t>
      </w:r>
      <w:r w:rsidR="00D7273B">
        <w:t xml:space="preserve">. </w:t>
      </w:r>
    </w:p>
  </w:footnote>
  <w:footnote w:id="61">
    <w:p w14:paraId="431F1AA7" w14:textId="158EA47D" w:rsidR="00A8563F" w:rsidRDefault="00A8563F">
      <w:pPr>
        <w:pStyle w:val="FootnoteText"/>
      </w:pPr>
      <w:r w:rsidRPr="00516194">
        <w:footnoteRef/>
      </w:r>
      <w:r>
        <w:t xml:space="preserve"> </w:t>
      </w:r>
      <w:r w:rsidR="00C10457">
        <w:t xml:space="preserve">Office for National Statistics, </w:t>
      </w:r>
      <w:r w:rsidR="00C10457" w:rsidRPr="00050D25">
        <w:rPr>
          <w:rStyle w:val="SubtleEmphasis"/>
        </w:rPr>
        <w:t>Long</w:t>
      </w:r>
      <w:r w:rsidR="00050D25" w:rsidRPr="00050D25">
        <w:rPr>
          <w:rStyle w:val="SubtleEmphasis"/>
        </w:rPr>
        <w:noBreakHyphen/>
      </w:r>
      <w:r w:rsidR="00C10457" w:rsidRPr="00050D25">
        <w:rPr>
          <w:rStyle w:val="SubtleEmphasis"/>
        </w:rPr>
        <w:t>term international migration, provisional: year ending June 2024</w:t>
      </w:r>
      <w:r w:rsidR="000F4C18">
        <w:t>.</w:t>
      </w:r>
    </w:p>
  </w:footnote>
  <w:footnote w:id="62">
    <w:p w14:paraId="5A0EA9A1" w14:textId="16ADCFFE" w:rsidR="00B47E8B" w:rsidRDefault="00B47E8B">
      <w:pPr>
        <w:pStyle w:val="FootnoteText"/>
      </w:pPr>
      <w:r w:rsidRPr="00516194">
        <w:footnoteRef/>
      </w:r>
      <w:r w:rsidRPr="00516194">
        <w:t xml:space="preserve"> </w:t>
      </w:r>
      <w:r w:rsidR="00264269">
        <w:t>Stats NZ</w:t>
      </w:r>
      <w:r w:rsidR="00BB1C33">
        <w:t xml:space="preserve">, </w:t>
      </w:r>
      <w:r w:rsidR="00BB1C33" w:rsidRPr="00050D25">
        <w:rPr>
          <w:rStyle w:val="SubtleEmphasis"/>
        </w:rPr>
        <w:t xml:space="preserve">International </w:t>
      </w:r>
      <w:r w:rsidR="00A8563F" w:rsidRPr="00050D25">
        <w:rPr>
          <w:rStyle w:val="SubtleEmphasis"/>
        </w:rPr>
        <w:t>m</w:t>
      </w:r>
      <w:r w:rsidR="00BB1C33" w:rsidRPr="00050D25">
        <w:rPr>
          <w:rStyle w:val="SubtleEmphasis"/>
        </w:rPr>
        <w:t>igration: September 2024</w:t>
      </w:r>
      <w:r w:rsidR="00B11805">
        <w:t>.</w:t>
      </w:r>
    </w:p>
  </w:footnote>
  <w:footnote w:id="63">
    <w:p w14:paraId="3DC4F3F7" w14:textId="77777777" w:rsidR="00CD77A5" w:rsidRDefault="00CD77A5" w:rsidP="00C73CB5">
      <w:pPr>
        <w:spacing w:after="120"/>
      </w:pPr>
      <w:r w:rsidRPr="00C73CB5">
        <w:footnoteRef/>
      </w:r>
      <w:r>
        <w:t xml:space="preserve"> </w:t>
      </w:r>
      <w:r w:rsidRPr="006F3E59">
        <w:rPr>
          <w:rStyle w:val="FootnoteReference"/>
          <w:vertAlign w:val="baseline"/>
        </w:rPr>
        <w:t xml:space="preserve">Gray et al., </w:t>
      </w:r>
      <w:r w:rsidRPr="00997375">
        <w:rPr>
          <w:rStyle w:val="SubtleEmphasis"/>
        </w:rPr>
        <w:t>Impacts of Policies on Fertility Rates</w:t>
      </w:r>
      <w:r w:rsidRPr="006F3E59">
        <w:rPr>
          <w:rStyle w:val="FootnoteReference"/>
          <w:vertAlign w:val="baseline"/>
        </w:rPr>
        <w:t>, 2022.</w:t>
      </w:r>
    </w:p>
  </w:footnote>
  <w:footnote w:id="64">
    <w:p w14:paraId="21E26371" w14:textId="77777777" w:rsidR="00A953DC" w:rsidRDefault="00A953DC">
      <w:pPr>
        <w:pStyle w:val="FootnoteText"/>
      </w:pPr>
      <w:r w:rsidRPr="00C73CB5">
        <w:footnoteRef/>
      </w:r>
      <w:r>
        <w:t xml:space="preserve"> </w:t>
      </w:r>
      <w:r w:rsidR="00E2223E" w:rsidRPr="006F3E59">
        <w:rPr>
          <w:rStyle w:val="FootnoteReference"/>
          <w:vertAlign w:val="baseline"/>
        </w:rPr>
        <w:t>Gray et al</w:t>
      </w:r>
      <w:r w:rsidR="006D7021" w:rsidRPr="00997375">
        <w:rPr>
          <w:rStyle w:val="SubtleEmphasis"/>
        </w:rPr>
        <w:t>., Impacts of Policies on Fertility Rates</w:t>
      </w:r>
      <w:r w:rsidR="006D7021" w:rsidRPr="006F3E59">
        <w:rPr>
          <w:rStyle w:val="FootnoteReference"/>
          <w:vertAlign w:val="baseline"/>
        </w:rPr>
        <w:t>, 2022.</w:t>
      </w:r>
    </w:p>
  </w:footnote>
  <w:footnote w:id="65">
    <w:p w14:paraId="5E597A0D" w14:textId="5787499D" w:rsidR="00D7273B" w:rsidRPr="006F48FB" w:rsidRDefault="00671F0E" w:rsidP="00D7273B">
      <w:pPr>
        <w:pStyle w:val="FootnoteText"/>
      </w:pPr>
      <w:r w:rsidRPr="00671F0E">
        <w:rPr>
          <w:rStyle w:val="FootnoteReference"/>
          <w:rFonts w:asciiTheme="minorHAnsi" w:hAnsiTheme="minorHAnsi"/>
          <w:vertAlign w:val="baseline"/>
        </w:rPr>
        <w:footnoteRef/>
      </w:r>
      <w:r w:rsidR="00D7273B" w:rsidRPr="006F48FB">
        <w:t xml:space="preserve"> </w:t>
      </w:r>
      <w:r w:rsidR="00D7273B" w:rsidRPr="006F48FB">
        <w:tab/>
      </w:r>
      <w:r w:rsidR="00D7273B" w:rsidRPr="006F48FB">
        <w:rPr>
          <w:rStyle w:val="FootnoteReference"/>
          <w:rFonts w:asciiTheme="minorHAnsi" w:hAnsiTheme="minorHAnsi"/>
          <w:vertAlign w:val="baseline"/>
        </w:rPr>
        <w:t xml:space="preserve">ABS, </w:t>
      </w:r>
      <w:r w:rsidR="00D7273B" w:rsidRPr="00997375">
        <w:rPr>
          <w:rStyle w:val="SubtleEmphasis"/>
        </w:rPr>
        <w:t>Australian Statistical Geography Standard Edition 3</w:t>
      </w:r>
      <w:r w:rsidR="00D7273B" w:rsidRPr="006F48FB">
        <w:rPr>
          <w:rStyle w:val="FootnoteReference"/>
          <w:rFonts w:asciiTheme="minorHAnsi" w:hAnsiTheme="minorHAnsi"/>
          <w:vertAlign w:val="baseline"/>
        </w:rPr>
        <w:t>, 2021</w:t>
      </w:r>
      <w:r w:rsidR="00D7273B" w:rsidRPr="006F48FB">
        <w:t>.</w:t>
      </w:r>
    </w:p>
  </w:footnote>
  <w:footnote w:id="66">
    <w:p w14:paraId="29AC3711" w14:textId="4249C244" w:rsidR="00D7273B" w:rsidRPr="006F48FB" w:rsidRDefault="00671F0E" w:rsidP="00D7273B">
      <w:pPr>
        <w:pStyle w:val="FootnoteText"/>
      </w:pPr>
      <w:r w:rsidRPr="00671F0E">
        <w:rPr>
          <w:rStyle w:val="FootnoteReference"/>
          <w:rFonts w:asciiTheme="minorHAnsi" w:hAnsiTheme="minorHAnsi"/>
          <w:vertAlign w:val="baseline"/>
        </w:rPr>
        <w:footnoteRef/>
      </w:r>
      <w:r w:rsidR="00D7273B" w:rsidRPr="006F48FB">
        <w:t xml:space="preserve"> </w:t>
      </w:r>
      <w:r w:rsidR="00D7273B" w:rsidRPr="006F48FB">
        <w:tab/>
        <w:t xml:space="preserve">ABS, </w:t>
      </w:r>
      <w:r w:rsidR="00D7273B" w:rsidRPr="00997375">
        <w:rPr>
          <w:rStyle w:val="SubtleEmphasis"/>
        </w:rPr>
        <w:t>Census of Population and Housing</w:t>
      </w:r>
      <w:r w:rsidR="00D7273B" w:rsidRPr="0037128E">
        <w:rPr>
          <w:i/>
        </w:rPr>
        <w:t>, 2021</w:t>
      </w:r>
      <w:r w:rsidR="00D7273B" w:rsidRPr="006F48FB">
        <w:t>.</w:t>
      </w:r>
    </w:p>
  </w:footnote>
  <w:footnote w:id="67">
    <w:p w14:paraId="531DFC08" w14:textId="77777777" w:rsidR="00AA1191" w:rsidRPr="006F48FB" w:rsidRDefault="00AA1191" w:rsidP="00AA1191">
      <w:pPr>
        <w:pStyle w:val="FootnoteText"/>
      </w:pPr>
      <w:r w:rsidRPr="00671F0E">
        <w:rPr>
          <w:rStyle w:val="FootnoteReference"/>
          <w:rFonts w:asciiTheme="minorHAnsi" w:hAnsiTheme="minorHAnsi"/>
          <w:vertAlign w:val="baseline"/>
        </w:rPr>
        <w:footnoteRef/>
      </w:r>
      <w:r w:rsidRPr="006F48FB">
        <w:t xml:space="preserve"> </w:t>
      </w:r>
      <w:r w:rsidRPr="006F48FB">
        <w:tab/>
        <w:t xml:space="preserve">ABS, </w:t>
      </w:r>
      <w:r w:rsidRPr="00997375">
        <w:rPr>
          <w:rStyle w:val="SubtleEmphasis"/>
        </w:rPr>
        <w:t>National, state and territory population methodology</w:t>
      </w:r>
      <w:r w:rsidRPr="0037128E">
        <w:rPr>
          <w:i/>
        </w:rPr>
        <w:t>, March 2023</w:t>
      </w:r>
      <w:r w:rsidRPr="006F48FB">
        <w:t>.</w:t>
      </w:r>
    </w:p>
  </w:footnote>
  <w:footnote w:id="68">
    <w:p w14:paraId="19EA1E30" w14:textId="79F153A7" w:rsidR="00D7273B" w:rsidRPr="006F48FB" w:rsidRDefault="00671F0E" w:rsidP="00D7273B">
      <w:pPr>
        <w:pStyle w:val="FootnoteText"/>
      </w:pPr>
      <w:r w:rsidRPr="00671F0E">
        <w:rPr>
          <w:rStyle w:val="FootnoteReference"/>
          <w:rFonts w:asciiTheme="minorHAnsi" w:hAnsiTheme="minorHAnsi"/>
          <w:vertAlign w:val="baseline"/>
        </w:rPr>
        <w:footnoteRef/>
      </w:r>
      <w:r w:rsidR="00D7273B" w:rsidRPr="006F48FB">
        <w:t xml:space="preserve"> </w:t>
      </w:r>
      <w:r w:rsidR="00D7273B" w:rsidRPr="006F48FB">
        <w:tab/>
        <w:t xml:space="preserve">ABS, </w:t>
      </w:r>
      <w:r w:rsidR="00D7273B" w:rsidRPr="00997375">
        <w:rPr>
          <w:rStyle w:val="SubtleEmphasis"/>
        </w:rPr>
        <w:t>Australian Statistical Geography Standard Edition 3</w:t>
      </w:r>
      <w:r w:rsidR="00D7273B" w:rsidRPr="006F48FB">
        <w: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DD16" w14:textId="3009EFEB" w:rsidR="00D17397" w:rsidRDefault="002F08A0">
    <w:pPr>
      <w:pStyle w:val="Header"/>
    </w:pPr>
    <w:r w:rsidRPr="00772328">
      <w:rPr>
        <w:noProof/>
      </w:rPr>
      <w:drawing>
        <wp:anchor distT="0" distB="0" distL="114300" distR="114300" simplePos="0" relativeHeight="251658262" behindDoc="1" locked="0" layoutInCell="1" allowOverlap="1" wp14:anchorId="3892FD40" wp14:editId="0DCB47AE">
          <wp:simplePos x="0" y="0"/>
          <wp:positionH relativeFrom="column">
            <wp:posOffset>-883319</wp:posOffset>
          </wp:positionH>
          <wp:positionV relativeFrom="paragraph">
            <wp:posOffset>-450215</wp:posOffset>
          </wp:positionV>
          <wp:extent cx="7594560" cy="10691152"/>
          <wp:effectExtent l="0" t="0" r="6985" b="0"/>
          <wp:wrapNone/>
          <wp:docPr id="1129096137" name="Picture 1129096137" descr="The cover of the 2024 Population Statement, featuring artwork of Australia made up of coloured dots representing density and growth i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6137" name="Picture 1129096137" descr="The cover of the 2024 Population Statement, featuring artwork of Australia made up of coloured dots representing density and growth in population."/>
                  <pic:cNvPicPr/>
                </pic:nvPicPr>
                <pic:blipFill>
                  <a:blip r:embed="rId1">
                    <a:extLst>
                      <a:ext uri="{28A0092B-C50C-407E-A947-70E740481C1C}">
                        <a14:useLocalDpi xmlns:a14="http://schemas.microsoft.com/office/drawing/2010/main" val="0"/>
                      </a:ext>
                    </a:extLst>
                  </a:blip>
                  <a:stretch>
                    <a:fillRect/>
                  </a:stretch>
                </pic:blipFill>
                <pic:spPr>
                  <a:xfrm>
                    <a:off x="0" y="0"/>
                    <a:ext cx="7606873" cy="107084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983F" w14:textId="5AEDBF30" w:rsidR="00D7273B" w:rsidRDefault="00D727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29DF" w14:textId="1D993B10" w:rsidR="00B9229E" w:rsidRDefault="00EF14C8" w:rsidP="00165A28">
    <w:pPr>
      <w:pStyle w:val="HeaderOdd"/>
    </w:pPr>
    <w:fldSimple w:instr=" STYLEREF  &quot;Glossary heading&quot;  \* MERGEFORMAT ">
      <w:r w:rsidR="003977FE">
        <w:rPr>
          <w:noProof/>
        </w:rPr>
        <w:t>Glossary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EB3" w14:textId="408456FD" w:rsidR="00E629F0" w:rsidRPr="00B55588" w:rsidRDefault="00E629F0" w:rsidP="00B555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BFE4" w14:textId="60369AF3" w:rsidR="00B55588" w:rsidRPr="00F60198" w:rsidRDefault="00EF14C8" w:rsidP="00B55588">
    <w:pPr>
      <w:pStyle w:val="HeaderOdd"/>
    </w:pPr>
    <w:fldSimple w:instr="STYLEREF  &quot;Heading 1&quot;  \* MERGEFORMAT">
      <w:r w:rsidR="003977FE">
        <w:rPr>
          <w:noProof/>
        </w:rPr>
        <w:t>Key points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216B" w14:textId="25146660" w:rsidR="0066348F" w:rsidRPr="00F60198" w:rsidRDefault="00EF14C8" w:rsidP="0066348F">
    <w:pPr>
      <w:pStyle w:val="HeaderOdd"/>
    </w:pPr>
    <w:fldSimple w:instr="STYLEREF  &quot;Heading 1&quot;  \* MERGEFORMAT">
      <w:r w:rsidR="00050D25">
        <w:rPr>
          <w:noProof/>
        </w:rPr>
        <w:t>Contents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A7E1" w14:textId="48594E0F" w:rsidR="005C63AA" w:rsidRDefault="005C63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3D6A" w14:textId="56D966A2" w:rsidR="005C63AA" w:rsidRDefault="00EF14C8" w:rsidP="00165A28">
    <w:pPr>
      <w:pStyle w:val="HeaderOdd"/>
    </w:pPr>
    <w:fldSimple w:instr="STYLEREF  &quot;Heading 1 Numbered&quot;  \* MERGEFORMAT">
      <w:r w:rsidR="003977FE">
        <w:rPr>
          <w:noProof/>
        </w:rPr>
        <w:t>National population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3025" w14:textId="189C87D8" w:rsidR="005C63AA" w:rsidRPr="00F60198" w:rsidRDefault="00EF14C8" w:rsidP="0066348F">
    <w:pPr>
      <w:pStyle w:val="HeaderOdd"/>
    </w:pPr>
    <w:fldSimple w:instr="STYLEREF  &quot;Heading 1&quot;  \* MERGEFORMAT">
      <w:r w:rsidR="00050D25">
        <w:rPr>
          <w:noProof/>
        </w:rPr>
        <w:t>Key points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A404" w14:textId="585038B6" w:rsidR="00D7273B" w:rsidRDefault="00D727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08BC" w14:textId="0375387B" w:rsidR="00D7273B" w:rsidRDefault="00EF14C8" w:rsidP="00165A28">
    <w:pPr>
      <w:pStyle w:val="HeaderOdd"/>
    </w:pPr>
    <w:fldSimple w:instr=" STYLEREF  &quot;Heading 1 Numbered&quot;  \* MERGEFORMAT ">
      <w:r w:rsidR="003977FE">
        <w:rPr>
          <w:noProof/>
        </w:rPr>
        <w:t>Technical appendix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C21"/>
    <w:multiLevelType w:val="multilevel"/>
    <w:tmpl w:val="79FAD7F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FC7"/>
    <w:multiLevelType w:val="multilevel"/>
    <w:tmpl w:val="88BE711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A12375"/>
    <w:multiLevelType w:val="hybridMultilevel"/>
    <w:tmpl w:val="0074B4B0"/>
    <w:lvl w:ilvl="0" w:tplc="3196C1D0">
      <w:start w:val="1"/>
      <w:numFmt w:val="bullet"/>
      <w:lvlText w:val=""/>
      <w:lvlJc w:val="left"/>
      <w:pPr>
        <w:ind w:left="720" w:hanging="360"/>
      </w:pPr>
      <w:rPr>
        <w:rFonts w:ascii="Symbol" w:hAnsi="Symbol"/>
      </w:rPr>
    </w:lvl>
    <w:lvl w:ilvl="1" w:tplc="E2FA40E8">
      <w:start w:val="1"/>
      <w:numFmt w:val="bullet"/>
      <w:lvlText w:val=""/>
      <w:lvlJc w:val="left"/>
      <w:pPr>
        <w:ind w:left="720" w:hanging="360"/>
      </w:pPr>
      <w:rPr>
        <w:rFonts w:ascii="Symbol" w:hAnsi="Symbol"/>
      </w:rPr>
    </w:lvl>
    <w:lvl w:ilvl="2" w:tplc="7ABCF58C">
      <w:start w:val="1"/>
      <w:numFmt w:val="bullet"/>
      <w:lvlText w:val=""/>
      <w:lvlJc w:val="left"/>
      <w:pPr>
        <w:ind w:left="720" w:hanging="360"/>
      </w:pPr>
      <w:rPr>
        <w:rFonts w:ascii="Symbol" w:hAnsi="Symbol"/>
      </w:rPr>
    </w:lvl>
    <w:lvl w:ilvl="3" w:tplc="AE880F88">
      <w:start w:val="1"/>
      <w:numFmt w:val="bullet"/>
      <w:lvlText w:val=""/>
      <w:lvlJc w:val="left"/>
      <w:pPr>
        <w:ind w:left="720" w:hanging="360"/>
      </w:pPr>
      <w:rPr>
        <w:rFonts w:ascii="Symbol" w:hAnsi="Symbol"/>
      </w:rPr>
    </w:lvl>
    <w:lvl w:ilvl="4" w:tplc="27DC7146">
      <w:start w:val="1"/>
      <w:numFmt w:val="bullet"/>
      <w:lvlText w:val=""/>
      <w:lvlJc w:val="left"/>
      <w:pPr>
        <w:ind w:left="720" w:hanging="360"/>
      </w:pPr>
      <w:rPr>
        <w:rFonts w:ascii="Symbol" w:hAnsi="Symbol"/>
      </w:rPr>
    </w:lvl>
    <w:lvl w:ilvl="5" w:tplc="03E23382">
      <w:start w:val="1"/>
      <w:numFmt w:val="bullet"/>
      <w:lvlText w:val=""/>
      <w:lvlJc w:val="left"/>
      <w:pPr>
        <w:ind w:left="720" w:hanging="360"/>
      </w:pPr>
      <w:rPr>
        <w:rFonts w:ascii="Symbol" w:hAnsi="Symbol"/>
      </w:rPr>
    </w:lvl>
    <w:lvl w:ilvl="6" w:tplc="7182FF08">
      <w:start w:val="1"/>
      <w:numFmt w:val="bullet"/>
      <w:lvlText w:val=""/>
      <w:lvlJc w:val="left"/>
      <w:pPr>
        <w:ind w:left="720" w:hanging="360"/>
      </w:pPr>
      <w:rPr>
        <w:rFonts w:ascii="Symbol" w:hAnsi="Symbol"/>
      </w:rPr>
    </w:lvl>
    <w:lvl w:ilvl="7" w:tplc="83DE52D4">
      <w:start w:val="1"/>
      <w:numFmt w:val="bullet"/>
      <w:lvlText w:val=""/>
      <w:lvlJc w:val="left"/>
      <w:pPr>
        <w:ind w:left="720" w:hanging="360"/>
      </w:pPr>
      <w:rPr>
        <w:rFonts w:ascii="Symbol" w:hAnsi="Symbol"/>
      </w:rPr>
    </w:lvl>
    <w:lvl w:ilvl="8" w:tplc="F934CE38">
      <w:start w:val="1"/>
      <w:numFmt w:val="bullet"/>
      <w:lvlText w:val=""/>
      <w:lvlJc w:val="left"/>
      <w:pPr>
        <w:ind w:left="720" w:hanging="360"/>
      </w:pPr>
      <w:rPr>
        <w:rFonts w:ascii="Symbol" w:hAnsi="Symbol"/>
      </w:rPr>
    </w:lvl>
  </w:abstractNum>
  <w:abstractNum w:abstractNumId="3" w15:restartNumberingAfterBreak="0">
    <w:nsid w:val="0AC00F17"/>
    <w:multiLevelType w:val="hybridMultilevel"/>
    <w:tmpl w:val="BC8E4A8C"/>
    <w:lvl w:ilvl="0" w:tplc="5E322EEE">
      <w:start w:val="1"/>
      <w:numFmt w:val="decimal"/>
      <w:pStyle w:val="Heading8"/>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DF7717"/>
    <w:multiLevelType w:val="multilevel"/>
    <w:tmpl w:val="FC7EFAD0"/>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357" w:hanging="357"/>
      </w:pPr>
      <w:rPr>
        <w:rFonts w:hint="default"/>
      </w:rPr>
    </w:lvl>
    <w:lvl w:ilvl="2">
      <w:start w:val="1"/>
      <w:numFmt w:val="decimal"/>
      <w:pStyle w:val="Heading3Numbered"/>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FE51C0"/>
    <w:multiLevelType w:val="hybridMultilevel"/>
    <w:tmpl w:val="EAE03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A0461"/>
    <w:multiLevelType w:val="hybridMultilevel"/>
    <w:tmpl w:val="91260442"/>
    <w:lvl w:ilvl="0" w:tplc="B49A184C">
      <w:start w:val="1"/>
      <w:numFmt w:val="decimal"/>
      <w:lvlText w:val="Chart %1."/>
      <w:lvlJc w:val="left"/>
      <w:pPr>
        <w:ind w:left="5038"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118" w:hanging="360"/>
      </w:pPr>
    </w:lvl>
    <w:lvl w:ilvl="2" w:tplc="0C09001B" w:tentative="1">
      <w:start w:val="1"/>
      <w:numFmt w:val="lowerRoman"/>
      <w:lvlText w:val="%3."/>
      <w:lvlJc w:val="right"/>
      <w:pPr>
        <w:ind w:left="6838" w:hanging="180"/>
      </w:pPr>
    </w:lvl>
    <w:lvl w:ilvl="3" w:tplc="0C09000F" w:tentative="1">
      <w:start w:val="1"/>
      <w:numFmt w:val="decimal"/>
      <w:lvlText w:val="%4."/>
      <w:lvlJc w:val="left"/>
      <w:pPr>
        <w:ind w:left="7558" w:hanging="360"/>
      </w:pPr>
    </w:lvl>
    <w:lvl w:ilvl="4" w:tplc="0C090019" w:tentative="1">
      <w:start w:val="1"/>
      <w:numFmt w:val="lowerLetter"/>
      <w:lvlText w:val="%5."/>
      <w:lvlJc w:val="left"/>
      <w:pPr>
        <w:ind w:left="8278" w:hanging="360"/>
      </w:pPr>
    </w:lvl>
    <w:lvl w:ilvl="5" w:tplc="0C09001B" w:tentative="1">
      <w:start w:val="1"/>
      <w:numFmt w:val="lowerRoman"/>
      <w:lvlText w:val="%6."/>
      <w:lvlJc w:val="right"/>
      <w:pPr>
        <w:ind w:left="8998" w:hanging="180"/>
      </w:pPr>
    </w:lvl>
    <w:lvl w:ilvl="6" w:tplc="0C09000F" w:tentative="1">
      <w:start w:val="1"/>
      <w:numFmt w:val="decimal"/>
      <w:lvlText w:val="%7."/>
      <w:lvlJc w:val="left"/>
      <w:pPr>
        <w:ind w:left="9718" w:hanging="360"/>
      </w:pPr>
    </w:lvl>
    <w:lvl w:ilvl="7" w:tplc="0C090019" w:tentative="1">
      <w:start w:val="1"/>
      <w:numFmt w:val="lowerLetter"/>
      <w:lvlText w:val="%8."/>
      <w:lvlJc w:val="left"/>
      <w:pPr>
        <w:ind w:left="10438" w:hanging="360"/>
      </w:pPr>
    </w:lvl>
    <w:lvl w:ilvl="8" w:tplc="0C09001B" w:tentative="1">
      <w:start w:val="1"/>
      <w:numFmt w:val="lowerRoman"/>
      <w:lvlText w:val="%9."/>
      <w:lvlJc w:val="right"/>
      <w:pPr>
        <w:ind w:left="11158" w:hanging="180"/>
      </w:pPr>
    </w:lvl>
  </w:abstractNum>
  <w:abstractNum w:abstractNumId="8" w15:restartNumberingAfterBreak="0">
    <w:nsid w:val="213C9077"/>
    <w:multiLevelType w:val="multilevel"/>
    <w:tmpl w:val="FFFFFFFF"/>
    <w:lvl w:ilvl="0">
      <w:start w:val="1"/>
      <w:numFmt w:val="bullet"/>
      <w:pStyle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CF9EA4"/>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FE1470"/>
    <w:multiLevelType w:val="hybridMultilevel"/>
    <w:tmpl w:val="FFFFFFFF"/>
    <w:lvl w:ilvl="0" w:tplc="8ADC8494">
      <w:start w:val="1"/>
      <w:numFmt w:val="decimal"/>
      <w:lvlText w:val="Chart %1."/>
      <w:lvlJc w:val="left"/>
      <w:pPr>
        <w:ind w:left="0" w:firstLine="0"/>
      </w:pPr>
    </w:lvl>
    <w:lvl w:ilvl="1" w:tplc="BA223746">
      <w:start w:val="1"/>
      <w:numFmt w:val="lowerLetter"/>
      <w:lvlText w:val="%2."/>
      <w:lvlJc w:val="left"/>
      <w:pPr>
        <w:ind w:left="1440" w:hanging="360"/>
      </w:pPr>
    </w:lvl>
    <w:lvl w:ilvl="2" w:tplc="0BCAB63E">
      <w:start w:val="1"/>
      <w:numFmt w:val="lowerRoman"/>
      <w:lvlText w:val="%3."/>
      <w:lvlJc w:val="right"/>
      <w:pPr>
        <w:ind w:left="2160" w:hanging="180"/>
      </w:pPr>
    </w:lvl>
    <w:lvl w:ilvl="3" w:tplc="E688B3F8">
      <w:start w:val="1"/>
      <w:numFmt w:val="decimal"/>
      <w:lvlText w:val="%4."/>
      <w:lvlJc w:val="left"/>
      <w:pPr>
        <w:ind w:left="2880" w:hanging="360"/>
      </w:pPr>
    </w:lvl>
    <w:lvl w:ilvl="4" w:tplc="B1C68814">
      <w:start w:val="1"/>
      <w:numFmt w:val="lowerLetter"/>
      <w:lvlText w:val="%5."/>
      <w:lvlJc w:val="left"/>
      <w:pPr>
        <w:ind w:left="3600" w:hanging="360"/>
      </w:pPr>
    </w:lvl>
    <w:lvl w:ilvl="5" w:tplc="1114AE54">
      <w:start w:val="1"/>
      <w:numFmt w:val="lowerRoman"/>
      <w:lvlText w:val="%6."/>
      <w:lvlJc w:val="right"/>
      <w:pPr>
        <w:ind w:left="4320" w:hanging="180"/>
      </w:pPr>
    </w:lvl>
    <w:lvl w:ilvl="6" w:tplc="5DB45F02">
      <w:start w:val="1"/>
      <w:numFmt w:val="decimal"/>
      <w:lvlText w:val="%7."/>
      <w:lvlJc w:val="left"/>
      <w:pPr>
        <w:ind w:left="5040" w:hanging="360"/>
      </w:pPr>
    </w:lvl>
    <w:lvl w:ilvl="7" w:tplc="39CA4824">
      <w:start w:val="1"/>
      <w:numFmt w:val="lowerLetter"/>
      <w:lvlText w:val="%8."/>
      <w:lvlJc w:val="left"/>
      <w:pPr>
        <w:ind w:left="5760" w:hanging="360"/>
      </w:pPr>
    </w:lvl>
    <w:lvl w:ilvl="8" w:tplc="0ECE6262">
      <w:start w:val="1"/>
      <w:numFmt w:val="lowerRoman"/>
      <w:lvlText w:val="%9."/>
      <w:lvlJc w:val="right"/>
      <w:pPr>
        <w:ind w:left="6480" w:hanging="180"/>
      </w:pPr>
    </w:lvl>
  </w:abstractNum>
  <w:abstractNum w:abstractNumId="12" w15:restartNumberingAfterBreak="0">
    <w:nsid w:val="2AB123FE"/>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9F49F7"/>
    <w:multiLevelType w:val="hybridMultilevel"/>
    <w:tmpl w:val="FFFFFFFF"/>
    <w:lvl w:ilvl="0" w:tplc="9BDA83F8">
      <w:start w:val="1"/>
      <w:numFmt w:val="bullet"/>
      <w:lvlText w:val=""/>
      <w:lvlJc w:val="left"/>
      <w:pPr>
        <w:ind w:left="720" w:hanging="360"/>
      </w:pPr>
      <w:rPr>
        <w:rFonts w:ascii="Symbol" w:hAnsi="Symbol" w:hint="default"/>
      </w:rPr>
    </w:lvl>
    <w:lvl w:ilvl="1" w:tplc="4E86D96E">
      <w:start w:val="1"/>
      <w:numFmt w:val="bullet"/>
      <w:lvlText w:val="–"/>
      <w:lvlJc w:val="left"/>
      <w:pPr>
        <w:ind w:left="567" w:hanging="284"/>
      </w:pPr>
      <w:rPr>
        <w:rFonts w:ascii="Times New Roman" w:hAnsi="Times New Roman" w:hint="default"/>
      </w:rPr>
    </w:lvl>
    <w:lvl w:ilvl="2" w:tplc="E9DAF568">
      <w:start w:val="1"/>
      <w:numFmt w:val="bullet"/>
      <w:lvlText w:val=""/>
      <w:lvlJc w:val="left"/>
      <w:pPr>
        <w:ind w:left="2160" w:hanging="360"/>
      </w:pPr>
      <w:rPr>
        <w:rFonts w:ascii="Wingdings" w:hAnsi="Wingdings" w:hint="default"/>
      </w:rPr>
    </w:lvl>
    <w:lvl w:ilvl="3" w:tplc="5540D01C">
      <w:start w:val="1"/>
      <w:numFmt w:val="bullet"/>
      <w:lvlText w:val=""/>
      <w:lvlJc w:val="left"/>
      <w:pPr>
        <w:ind w:left="2880" w:hanging="360"/>
      </w:pPr>
      <w:rPr>
        <w:rFonts w:ascii="Symbol" w:hAnsi="Symbol" w:hint="default"/>
      </w:rPr>
    </w:lvl>
    <w:lvl w:ilvl="4" w:tplc="4D14627C">
      <w:start w:val="1"/>
      <w:numFmt w:val="bullet"/>
      <w:lvlText w:val="o"/>
      <w:lvlJc w:val="left"/>
      <w:pPr>
        <w:ind w:left="3600" w:hanging="360"/>
      </w:pPr>
      <w:rPr>
        <w:rFonts w:ascii="Courier New" w:hAnsi="Courier New" w:hint="default"/>
      </w:rPr>
    </w:lvl>
    <w:lvl w:ilvl="5" w:tplc="82C8955C">
      <w:start w:val="1"/>
      <w:numFmt w:val="bullet"/>
      <w:lvlText w:val=""/>
      <w:lvlJc w:val="left"/>
      <w:pPr>
        <w:ind w:left="4320" w:hanging="360"/>
      </w:pPr>
      <w:rPr>
        <w:rFonts w:ascii="Wingdings" w:hAnsi="Wingdings" w:hint="default"/>
      </w:rPr>
    </w:lvl>
    <w:lvl w:ilvl="6" w:tplc="830AA7FA">
      <w:start w:val="1"/>
      <w:numFmt w:val="bullet"/>
      <w:lvlText w:val=""/>
      <w:lvlJc w:val="left"/>
      <w:pPr>
        <w:ind w:left="5040" w:hanging="360"/>
      </w:pPr>
      <w:rPr>
        <w:rFonts w:ascii="Symbol" w:hAnsi="Symbol" w:hint="default"/>
      </w:rPr>
    </w:lvl>
    <w:lvl w:ilvl="7" w:tplc="9BC205DC">
      <w:start w:val="1"/>
      <w:numFmt w:val="bullet"/>
      <w:lvlText w:val="o"/>
      <w:lvlJc w:val="left"/>
      <w:pPr>
        <w:ind w:left="5760" w:hanging="360"/>
      </w:pPr>
      <w:rPr>
        <w:rFonts w:ascii="Courier New" w:hAnsi="Courier New" w:hint="default"/>
      </w:rPr>
    </w:lvl>
    <w:lvl w:ilvl="8" w:tplc="0D942744">
      <w:start w:val="1"/>
      <w:numFmt w:val="bullet"/>
      <w:lvlText w:val=""/>
      <w:lvlJc w:val="left"/>
      <w:pPr>
        <w:ind w:left="6480" w:hanging="360"/>
      </w:pPr>
      <w:rPr>
        <w:rFonts w:ascii="Wingdings" w:hAnsi="Wingdings" w:hint="default"/>
      </w:rPr>
    </w:lvl>
  </w:abstractNum>
  <w:abstractNum w:abstractNumId="14" w15:restartNumberingAfterBreak="0">
    <w:nsid w:val="2FCA24FC"/>
    <w:multiLevelType w:val="multilevel"/>
    <w:tmpl w:val="A48ABD5A"/>
    <w:name w:val="StandardNumberedList"/>
    <w:lvl w:ilvl="0">
      <w:start w:val="1"/>
      <w:numFmt w:val="decimal"/>
      <w:lvlText w:val="%1."/>
      <w:lvlJc w:val="left"/>
      <w:pPr>
        <w:tabs>
          <w:tab w:val="num" w:pos="472"/>
        </w:tabs>
        <w:ind w:left="472" w:hanging="472"/>
      </w:pPr>
      <w:rPr>
        <w:rFonts w:hint="default"/>
      </w:rPr>
    </w:lvl>
    <w:lvl w:ilvl="1">
      <w:start w:val="1"/>
      <w:numFmt w:val="decimal"/>
      <w:lvlText w:val="%1.%2."/>
      <w:lvlJc w:val="left"/>
      <w:pPr>
        <w:tabs>
          <w:tab w:val="num" w:pos="944"/>
        </w:tabs>
        <w:ind w:left="944" w:hanging="472"/>
      </w:pPr>
      <w:rPr>
        <w:rFonts w:hint="default"/>
      </w:rPr>
    </w:lvl>
    <w:lvl w:ilvl="2">
      <w:start w:val="1"/>
      <w:numFmt w:val="decimal"/>
      <w:lvlText w:val="%1.%2.%3."/>
      <w:lvlJc w:val="left"/>
      <w:pPr>
        <w:tabs>
          <w:tab w:val="num" w:pos="1416"/>
        </w:tabs>
        <w:ind w:left="1416" w:hanging="47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ED3611"/>
    <w:multiLevelType w:val="hybridMultilevel"/>
    <w:tmpl w:val="CF64CF60"/>
    <w:lvl w:ilvl="0" w:tplc="390E25AE">
      <w:start w:val="1"/>
      <w:numFmt w:val="decimal"/>
      <w:lvlText w:val="%1)"/>
      <w:lvlJc w:val="left"/>
      <w:pPr>
        <w:ind w:left="1020" w:hanging="360"/>
      </w:pPr>
    </w:lvl>
    <w:lvl w:ilvl="1" w:tplc="EB3CFFDA">
      <w:start w:val="1"/>
      <w:numFmt w:val="decimal"/>
      <w:lvlText w:val="%2)"/>
      <w:lvlJc w:val="left"/>
      <w:pPr>
        <w:ind w:left="1020" w:hanging="360"/>
      </w:pPr>
    </w:lvl>
    <w:lvl w:ilvl="2" w:tplc="128AA29A">
      <w:start w:val="1"/>
      <w:numFmt w:val="decimal"/>
      <w:lvlText w:val="%3)"/>
      <w:lvlJc w:val="left"/>
      <w:pPr>
        <w:ind w:left="1020" w:hanging="360"/>
      </w:pPr>
    </w:lvl>
    <w:lvl w:ilvl="3" w:tplc="5CB04E24">
      <w:start w:val="1"/>
      <w:numFmt w:val="decimal"/>
      <w:lvlText w:val="%4)"/>
      <w:lvlJc w:val="left"/>
      <w:pPr>
        <w:ind w:left="1020" w:hanging="360"/>
      </w:pPr>
    </w:lvl>
    <w:lvl w:ilvl="4" w:tplc="427CF434">
      <w:start w:val="1"/>
      <w:numFmt w:val="decimal"/>
      <w:lvlText w:val="%5)"/>
      <w:lvlJc w:val="left"/>
      <w:pPr>
        <w:ind w:left="1020" w:hanging="360"/>
      </w:pPr>
    </w:lvl>
    <w:lvl w:ilvl="5" w:tplc="17C2E5A6">
      <w:start w:val="1"/>
      <w:numFmt w:val="decimal"/>
      <w:lvlText w:val="%6)"/>
      <w:lvlJc w:val="left"/>
      <w:pPr>
        <w:ind w:left="1020" w:hanging="360"/>
      </w:pPr>
    </w:lvl>
    <w:lvl w:ilvl="6" w:tplc="B156D874">
      <w:start w:val="1"/>
      <w:numFmt w:val="decimal"/>
      <w:lvlText w:val="%7)"/>
      <w:lvlJc w:val="left"/>
      <w:pPr>
        <w:ind w:left="1020" w:hanging="360"/>
      </w:pPr>
    </w:lvl>
    <w:lvl w:ilvl="7" w:tplc="555C13F4">
      <w:start w:val="1"/>
      <w:numFmt w:val="decimal"/>
      <w:lvlText w:val="%8)"/>
      <w:lvlJc w:val="left"/>
      <w:pPr>
        <w:ind w:left="1020" w:hanging="360"/>
      </w:pPr>
    </w:lvl>
    <w:lvl w:ilvl="8" w:tplc="E382828E">
      <w:start w:val="1"/>
      <w:numFmt w:val="decimal"/>
      <w:lvlText w:val="%9)"/>
      <w:lvlJc w:val="left"/>
      <w:pPr>
        <w:ind w:left="1020" w:hanging="360"/>
      </w:pPr>
    </w:lvl>
  </w:abstractNum>
  <w:abstractNum w:abstractNumId="19" w15:restartNumberingAfterBreak="0">
    <w:nsid w:val="360C37C0"/>
    <w:multiLevelType w:val="hybridMultilevel"/>
    <w:tmpl w:val="7E4EFDA8"/>
    <w:lvl w:ilvl="0" w:tplc="BD6EB0BC">
      <w:start w:val="1"/>
      <w:numFmt w:val="decimal"/>
      <w:lvlText w:val="Chart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7F6AB3"/>
    <w:multiLevelType w:val="hybridMultilevel"/>
    <w:tmpl w:val="E8D02006"/>
    <w:lvl w:ilvl="0" w:tplc="56DE09CA">
      <w:start w:val="1"/>
      <w:numFmt w:val="decimal"/>
      <w:pStyle w:val="TableHeadingContinued"/>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8E5700"/>
    <w:multiLevelType w:val="hybridMultilevel"/>
    <w:tmpl w:val="A10253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4A3A9185"/>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42799E"/>
    <w:multiLevelType w:val="hybridMultilevel"/>
    <w:tmpl w:val="6F381338"/>
    <w:lvl w:ilvl="0" w:tplc="A2005A6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31D03"/>
    <w:multiLevelType w:val="hybridMultilevel"/>
    <w:tmpl w:val="DB90B036"/>
    <w:lvl w:ilvl="0" w:tplc="E43679F2">
      <w:start w:val="10"/>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AC15E1"/>
    <w:multiLevelType w:val="hybridMultilevel"/>
    <w:tmpl w:val="F5567204"/>
    <w:lvl w:ilvl="0" w:tplc="9C5886C8">
      <w:start w:val="1"/>
      <w:numFmt w:val="decimal"/>
      <w:lvlText w:val="%1)"/>
      <w:lvlJc w:val="left"/>
      <w:pPr>
        <w:ind w:left="1020" w:hanging="360"/>
      </w:pPr>
    </w:lvl>
    <w:lvl w:ilvl="1" w:tplc="05282702">
      <w:start w:val="1"/>
      <w:numFmt w:val="decimal"/>
      <w:lvlText w:val="%2)"/>
      <w:lvlJc w:val="left"/>
      <w:pPr>
        <w:ind w:left="1020" w:hanging="360"/>
      </w:pPr>
    </w:lvl>
    <w:lvl w:ilvl="2" w:tplc="C0421CEA">
      <w:start w:val="1"/>
      <w:numFmt w:val="decimal"/>
      <w:lvlText w:val="%3)"/>
      <w:lvlJc w:val="left"/>
      <w:pPr>
        <w:ind w:left="1020" w:hanging="360"/>
      </w:pPr>
    </w:lvl>
    <w:lvl w:ilvl="3" w:tplc="B27EFF04">
      <w:start w:val="1"/>
      <w:numFmt w:val="decimal"/>
      <w:lvlText w:val="%4)"/>
      <w:lvlJc w:val="left"/>
      <w:pPr>
        <w:ind w:left="1020" w:hanging="360"/>
      </w:pPr>
    </w:lvl>
    <w:lvl w:ilvl="4" w:tplc="DB12BA8E">
      <w:start w:val="1"/>
      <w:numFmt w:val="decimal"/>
      <w:lvlText w:val="%5)"/>
      <w:lvlJc w:val="left"/>
      <w:pPr>
        <w:ind w:left="1020" w:hanging="360"/>
      </w:pPr>
    </w:lvl>
    <w:lvl w:ilvl="5" w:tplc="8BC0AE6E">
      <w:start w:val="1"/>
      <w:numFmt w:val="decimal"/>
      <w:lvlText w:val="%6)"/>
      <w:lvlJc w:val="left"/>
      <w:pPr>
        <w:ind w:left="1020" w:hanging="360"/>
      </w:pPr>
    </w:lvl>
    <w:lvl w:ilvl="6" w:tplc="400C7B08">
      <w:start w:val="1"/>
      <w:numFmt w:val="decimal"/>
      <w:lvlText w:val="%7)"/>
      <w:lvlJc w:val="left"/>
      <w:pPr>
        <w:ind w:left="1020" w:hanging="360"/>
      </w:pPr>
    </w:lvl>
    <w:lvl w:ilvl="7" w:tplc="85C8D316">
      <w:start w:val="1"/>
      <w:numFmt w:val="decimal"/>
      <w:lvlText w:val="%8)"/>
      <w:lvlJc w:val="left"/>
      <w:pPr>
        <w:ind w:left="1020" w:hanging="360"/>
      </w:pPr>
    </w:lvl>
    <w:lvl w:ilvl="8" w:tplc="B180E78C">
      <w:start w:val="1"/>
      <w:numFmt w:val="decimal"/>
      <w:lvlText w:val="%9)"/>
      <w:lvlJc w:val="left"/>
      <w:pPr>
        <w:ind w:left="1020" w:hanging="360"/>
      </w:pPr>
    </w:lvl>
  </w:abstractNum>
  <w:abstractNum w:abstractNumId="26" w15:restartNumberingAfterBreak="0">
    <w:nsid w:val="50B20637"/>
    <w:multiLevelType w:val="hybridMultilevel"/>
    <w:tmpl w:val="E57A028C"/>
    <w:lvl w:ilvl="0" w:tplc="345E5FF0">
      <w:start w:val="1"/>
      <w:numFmt w:val="decimal"/>
      <w:lvlText w:val="Table %1."/>
      <w:lvlJc w:val="left"/>
      <w:pPr>
        <w:ind w:left="720"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302F66"/>
    <w:multiLevelType w:val="multilevel"/>
    <w:tmpl w:val="3184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0F57A5"/>
    <w:multiLevelType w:val="hybridMultilevel"/>
    <w:tmpl w:val="03BC89F0"/>
    <w:lvl w:ilvl="0" w:tplc="29E21A34">
      <w:start w:val="1"/>
      <w:numFmt w:val="decimal"/>
      <w:pStyle w:val="TableMainHeading"/>
      <w:lvlText w:val="Table %1."/>
      <w:lvlJc w:val="left"/>
      <w:pPr>
        <w:ind w:left="720" w:hanging="360"/>
      </w:pPr>
      <w:rPr>
        <w:rFonts w:ascii="Calibri" w:hAnsi="Calibri" w:hint="default"/>
        <w:b/>
        <w:i w:val="0"/>
        <w:caps w:val="0"/>
        <w:strike w:val="0"/>
        <w:dstrike w:val="0"/>
        <w:vanish w:val="0"/>
        <w:color w:val="002C47" w:themeColor="accent1"/>
        <w:spacing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D37A67"/>
    <w:multiLevelType w:val="hybridMultilevel"/>
    <w:tmpl w:val="FFFFFFFF"/>
    <w:lvl w:ilvl="0" w:tplc="1BAE2F6C">
      <w:start w:val="1"/>
      <w:numFmt w:val="decimal"/>
      <w:lvlText w:val="Box %1."/>
      <w:lvlJc w:val="left"/>
      <w:pPr>
        <w:ind w:left="720" w:hanging="360"/>
      </w:pPr>
    </w:lvl>
    <w:lvl w:ilvl="1" w:tplc="9E9893E2">
      <w:start w:val="1"/>
      <w:numFmt w:val="lowerLetter"/>
      <w:lvlText w:val="%2."/>
      <w:lvlJc w:val="left"/>
      <w:pPr>
        <w:ind w:left="1440" w:hanging="360"/>
      </w:pPr>
    </w:lvl>
    <w:lvl w:ilvl="2" w:tplc="BA3408A6">
      <w:start w:val="1"/>
      <w:numFmt w:val="lowerRoman"/>
      <w:lvlText w:val="%3."/>
      <w:lvlJc w:val="right"/>
      <w:pPr>
        <w:ind w:left="2160" w:hanging="180"/>
      </w:pPr>
    </w:lvl>
    <w:lvl w:ilvl="3" w:tplc="3B00D5D4">
      <w:start w:val="1"/>
      <w:numFmt w:val="decimal"/>
      <w:lvlText w:val="%4."/>
      <w:lvlJc w:val="left"/>
      <w:pPr>
        <w:ind w:left="2880" w:hanging="360"/>
      </w:pPr>
    </w:lvl>
    <w:lvl w:ilvl="4" w:tplc="DE4CA1A4">
      <w:start w:val="1"/>
      <w:numFmt w:val="lowerLetter"/>
      <w:lvlText w:val="%5."/>
      <w:lvlJc w:val="left"/>
      <w:pPr>
        <w:ind w:left="3600" w:hanging="360"/>
      </w:pPr>
    </w:lvl>
    <w:lvl w:ilvl="5" w:tplc="8BBC2AEC">
      <w:start w:val="1"/>
      <w:numFmt w:val="lowerRoman"/>
      <w:lvlText w:val="%6."/>
      <w:lvlJc w:val="right"/>
      <w:pPr>
        <w:ind w:left="4320" w:hanging="180"/>
      </w:pPr>
    </w:lvl>
    <w:lvl w:ilvl="6" w:tplc="06A66E6E">
      <w:start w:val="1"/>
      <w:numFmt w:val="decimal"/>
      <w:lvlText w:val="%7."/>
      <w:lvlJc w:val="left"/>
      <w:pPr>
        <w:ind w:left="5040" w:hanging="360"/>
      </w:pPr>
    </w:lvl>
    <w:lvl w:ilvl="7" w:tplc="0030979C">
      <w:start w:val="1"/>
      <w:numFmt w:val="lowerLetter"/>
      <w:lvlText w:val="%8."/>
      <w:lvlJc w:val="left"/>
      <w:pPr>
        <w:ind w:left="5760" w:hanging="360"/>
      </w:pPr>
    </w:lvl>
    <w:lvl w:ilvl="8" w:tplc="A330E792">
      <w:start w:val="1"/>
      <w:numFmt w:val="lowerRoman"/>
      <w:lvlText w:val="%9."/>
      <w:lvlJc w:val="right"/>
      <w:pPr>
        <w:ind w:left="6480" w:hanging="180"/>
      </w:pPr>
    </w:lvl>
  </w:abstractNum>
  <w:abstractNum w:abstractNumId="30" w15:restartNumberingAfterBreak="0">
    <w:nsid w:val="5B0E78C2"/>
    <w:multiLevelType w:val="hybridMultilevel"/>
    <w:tmpl w:val="F1FAC4C2"/>
    <w:lvl w:ilvl="0" w:tplc="D124D894">
      <w:start w:val="1"/>
      <w:numFmt w:val="bullet"/>
      <w:lvlText w:val=""/>
      <w:lvlJc w:val="left"/>
      <w:pPr>
        <w:ind w:left="720" w:hanging="360"/>
      </w:pPr>
      <w:rPr>
        <w:rFonts w:ascii="Symbol" w:hAnsi="Symbol"/>
      </w:rPr>
    </w:lvl>
    <w:lvl w:ilvl="1" w:tplc="32A085D4">
      <w:start w:val="1"/>
      <w:numFmt w:val="bullet"/>
      <w:lvlText w:val=""/>
      <w:lvlJc w:val="left"/>
      <w:pPr>
        <w:ind w:left="720" w:hanging="360"/>
      </w:pPr>
      <w:rPr>
        <w:rFonts w:ascii="Symbol" w:hAnsi="Symbol"/>
      </w:rPr>
    </w:lvl>
    <w:lvl w:ilvl="2" w:tplc="82243E1A">
      <w:start w:val="1"/>
      <w:numFmt w:val="bullet"/>
      <w:lvlText w:val=""/>
      <w:lvlJc w:val="left"/>
      <w:pPr>
        <w:ind w:left="720" w:hanging="360"/>
      </w:pPr>
      <w:rPr>
        <w:rFonts w:ascii="Symbol" w:hAnsi="Symbol"/>
      </w:rPr>
    </w:lvl>
    <w:lvl w:ilvl="3" w:tplc="BDECA4F6">
      <w:start w:val="1"/>
      <w:numFmt w:val="bullet"/>
      <w:lvlText w:val=""/>
      <w:lvlJc w:val="left"/>
      <w:pPr>
        <w:ind w:left="720" w:hanging="360"/>
      </w:pPr>
      <w:rPr>
        <w:rFonts w:ascii="Symbol" w:hAnsi="Symbol"/>
      </w:rPr>
    </w:lvl>
    <w:lvl w:ilvl="4" w:tplc="20B66E4A">
      <w:start w:val="1"/>
      <w:numFmt w:val="bullet"/>
      <w:lvlText w:val=""/>
      <w:lvlJc w:val="left"/>
      <w:pPr>
        <w:ind w:left="720" w:hanging="360"/>
      </w:pPr>
      <w:rPr>
        <w:rFonts w:ascii="Symbol" w:hAnsi="Symbol"/>
      </w:rPr>
    </w:lvl>
    <w:lvl w:ilvl="5" w:tplc="899497A4">
      <w:start w:val="1"/>
      <w:numFmt w:val="bullet"/>
      <w:lvlText w:val=""/>
      <w:lvlJc w:val="left"/>
      <w:pPr>
        <w:ind w:left="720" w:hanging="360"/>
      </w:pPr>
      <w:rPr>
        <w:rFonts w:ascii="Symbol" w:hAnsi="Symbol"/>
      </w:rPr>
    </w:lvl>
    <w:lvl w:ilvl="6" w:tplc="D6B6A1C2">
      <w:start w:val="1"/>
      <w:numFmt w:val="bullet"/>
      <w:lvlText w:val=""/>
      <w:lvlJc w:val="left"/>
      <w:pPr>
        <w:ind w:left="720" w:hanging="360"/>
      </w:pPr>
      <w:rPr>
        <w:rFonts w:ascii="Symbol" w:hAnsi="Symbol"/>
      </w:rPr>
    </w:lvl>
    <w:lvl w:ilvl="7" w:tplc="2FCC3030">
      <w:start w:val="1"/>
      <w:numFmt w:val="bullet"/>
      <w:lvlText w:val=""/>
      <w:lvlJc w:val="left"/>
      <w:pPr>
        <w:ind w:left="720" w:hanging="360"/>
      </w:pPr>
      <w:rPr>
        <w:rFonts w:ascii="Symbol" w:hAnsi="Symbol"/>
      </w:rPr>
    </w:lvl>
    <w:lvl w:ilvl="8" w:tplc="298A022C">
      <w:start w:val="1"/>
      <w:numFmt w:val="bullet"/>
      <w:lvlText w:val=""/>
      <w:lvlJc w:val="left"/>
      <w:pPr>
        <w:ind w:left="720" w:hanging="360"/>
      </w:pPr>
      <w:rPr>
        <w:rFonts w:ascii="Symbol" w:hAnsi="Symbol"/>
      </w:rPr>
    </w:lvl>
  </w:abstractNum>
  <w:abstractNum w:abstractNumId="31" w15:restartNumberingAfterBreak="0">
    <w:nsid w:val="617508C2"/>
    <w:multiLevelType w:val="hybridMultilevel"/>
    <w:tmpl w:val="76307676"/>
    <w:lvl w:ilvl="0" w:tplc="E162F2F0">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32B961"/>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5E265B8"/>
    <w:multiLevelType w:val="hybridMultilevel"/>
    <w:tmpl w:val="EC923554"/>
    <w:lvl w:ilvl="0" w:tplc="FEF6BA5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5EED2F1"/>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81FC66"/>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966D76"/>
    <w:multiLevelType w:val="hybridMultilevel"/>
    <w:tmpl w:val="2F844B7A"/>
    <w:lvl w:ilvl="0" w:tplc="AC4EB56E">
      <w:start w:val="1"/>
      <w:numFmt w:val="decimal"/>
      <w:pStyle w:val="BoxHeading"/>
      <w:lvlText w:val="Box %1."/>
      <w:lvlJc w:val="left"/>
      <w:pPr>
        <w:ind w:left="720" w:hanging="360"/>
      </w:pPr>
      <w:rPr>
        <w:rFonts w:hint="default"/>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CC0623"/>
    <w:multiLevelType w:val="multilevel"/>
    <w:tmpl w:val="FDDEBE6E"/>
    <w:lvl w:ilvl="0">
      <w:start w:val="1"/>
      <w:numFmt w:val="bullet"/>
      <w:lvlText w:val="•"/>
      <w:lvlJc w:val="left"/>
      <w:pPr>
        <w:tabs>
          <w:tab w:val="num" w:pos="1664"/>
        </w:tabs>
        <w:ind w:left="1664" w:hanging="472"/>
      </w:pPr>
      <w:rPr>
        <w:rFonts w:ascii="Times New Roman" w:hAnsi="Times New Roman" w:cs="Times New Roman"/>
      </w:rPr>
    </w:lvl>
    <w:lvl w:ilvl="1">
      <w:start w:val="1"/>
      <w:numFmt w:val="bullet"/>
      <w:lvlText w:val="–"/>
      <w:lvlJc w:val="left"/>
      <w:pPr>
        <w:tabs>
          <w:tab w:val="num" w:pos="2136"/>
        </w:tabs>
        <w:ind w:left="2136" w:hanging="472"/>
      </w:pPr>
      <w:rPr>
        <w:rFonts w:ascii="Times New Roman" w:hAnsi="Times New Roman" w:cs="Times New Roman"/>
      </w:rPr>
    </w:lvl>
    <w:lvl w:ilvl="2">
      <w:start w:val="1"/>
      <w:numFmt w:val="bullet"/>
      <w:lvlText w:val=":"/>
      <w:lvlJc w:val="left"/>
      <w:pPr>
        <w:tabs>
          <w:tab w:val="num" w:pos="2608"/>
        </w:tabs>
        <w:ind w:left="2608" w:hanging="472"/>
      </w:pPr>
      <w:rPr>
        <w:rFonts w:ascii="Times New Roman" w:hAnsi="Times New Roman" w:cs="Times New Roman"/>
      </w:rPr>
    </w:lvl>
    <w:lvl w:ilvl="3">
      <w:start w:val="1"/>
      <w:numFmt w:val="decimal"/>
      <w:lvlText w:val="(%4)"/>
      <w:lvlJc w:val="left"/>
      <w:pPr>
        <w:ind w:left="2632" w:hanging="360"/>
      </w:pPr>
    </w:lvl>
    <w:lvl w:ilvl="4">
      <w:start w:val="1"/>
      <w:numFmt w:val="lowerLetter"/>
      <w:lvlText w:val="(%5)"/>
      <w:lvlJc w:val="left"/>
      <w:pPr>
        <w:ind w:left="2992" w:hanging="360"/>
      </w:pPr>
    </w:lvl>
    <w:lvl w:ilvl="5">
      <w:start w:val="1"/>
      <w:numFmt w:val="lowerRoman"/>
      <w:lvlText w:val="(%6)"/>
      <w:lvlJc w:val="left"/>
      <w:pPr>
        <w:ind w:left="3352" w:hanging="360"/>
      </w:pPr>
    </w:lvl>
    <w:lvl w:ilvl="6">
      <w:start w:val="1"/>
      <w:numFmt w:val="decimal"/>
      <w:lvlText w:val="%7."/>
      <w:lvlJc w:val="left"/>
      <w:pPr>
        <w:ind w:left="3712" w:hanging="360"/>
      </w:pPr>
    </w:lvl>
    <w:lvl w:ilvl="7">
      <w:start w:val="1"/>
      <w:numFmt w:val="lowerLetter"/>
      <w:lvlText w:val="%8."/>
      <w:lvlJc w:val="left"/>
      <w:pPr>
        <w:ind w:left="4072" w:hanging="360"/>
      </w:pPr>
    </w:lvl>
    <w:lvl w:ilvl="8">
      <w:start w:val="1"/>
      <w:numFmt w:val="lowerRoman"/>
      <w:lvlText w:val="%9."/>
      <w:lvlJc w:val="left"/>
      <w:pPr>
        <w:ind w:left="4432" w:hanging="360"/>
      </w:pPr>
    </w:lvl>
  </w:abstractNum>
  <w:abstractNum w:abstractNumId="38" w15:restartNumberingAfterBreak="0">
    <w:nsid w:val="7188FDDA"/>
    <w:multiLevelType w:val="hybridMultilevel"/>
    <w:tmpl w:val="FFFFFFFF"/>
    <w:lvl w:ilvl="0" w:tplc="92901930">
      <w:start w:val="1"/>
      <w:numFmt w:val="bullet"/>
      <w:lvlText w:val=""/>
      <w:lvlJc w:val="left"/>
      <w:pPr>
        <w:ind w:left="720" w:hanging="360"/>
      </w:pPr>
      <w:rPr>
        <w:rFonts w:ascii="Symbol" w:hAnsi="Symbol" w:hint="default"/>
      </w:rPr>
    </w:lvl>
    <w:lvl w:ilvl="1" w:tplc="844CDA8A">
      <w:start w:val="1"/>
      <w:numFmt w:val="bullet"/>
      <w:lvlText w:val="–"/>
      <w:lvlJc w:val="left"/>
      <w:pPr>
        <w:ind w:left="567" w:hanging="284"/>
      </w:pPr>
      <w:rPr>
        <w:rFonts w:ascii="Times New Roman" w:hAnsi="Times New Roman" w:hint="default"/>
      </w:rPr>
    </w:lvl>
    <w:lvl w:ilvl="2" w:tplc="6A547784">
      <w:start w:val="1"/>
      <w:numFmt w:val="bullet"/>
      <w:lvlText w:val=""/>
      <w:lvlJc w:val="left"/>
      <w:pPr>
        <w:ind w:left="2160" w:hanging="360"/>
      </w:pPr>
      <w:rPr>
        <w:rFonts w:ascii="Wingdings" w:hAnsi="Wingdings" w:hint="default"/>
      </w:rPr>
    </w:lvl>
    <w:lvl w:ilvl="3" w:tplc="82407146">
      <w:start w:val="1"/>
      <w:numFmt w:val="bullet"/>
      <w:lvlText w:val=""/>
      <w:lvlJc w:val="left"/>
      <w:pPr>
        <w:ind w:left="2880" w:hanging="360"/>
      </w:pPr>
      <w:rPr>
        <w:rFonts w:ascii="Symbol" w:hAnsi="Symbol" w:hint="default"/>
      </w:rPr>
    </w:lvl>
    <w:lvl w:ilvl="4" w:tplc="0DA01608">
      <w:start w:val="1"/>
      <w:numFmt w:val="bullet"/>
      <w:lvlText w:val="o"/>
      <w:lvlJc w:val="left"/>
      <w:pPr>
        <w:ind w:left="3600" w:hanging="360"/>
      </w:pPr>
      <w:rPr>
        <w:rFonts w:ascii="Courier New" w:hAnsi="Courier New" w:hint="default"/>
      </w:rPr>
    </w:lvl>
    <w:lvl w:ilvl="5" w:tplc="A8D6A04E">
      <w:start w:val="1"/>
      <w:numFmt w:val="bullet"/>
      <w:lvlText w:val=""/>
      <w:lvlJc w:val="left"/>
      <w:pPr>
        <w:ind w:left="4320" w:hanging="360"/>
      </w:pPr>
      <w:rPr>
        <w:rFonts w:ascii="Wingdings" w:hAnsi="Wingdings" w:hint="default"/>
      </w:rPr>
    </w:lvl>
    <w:lvl w:ilvl="6" w:tplc="3B78D21A">
      <w:start w:val="1"/>
      <w:numFmt w:val="bullet"/>
      <w:lvlText w:val=""/>
      <w:lvlJc w:val="left"/>
      <w:pPr>
        <w:ind w:left="5040" w:hanging="360"/>
      </w:pPr>
      <w:rPr>
        <w:rFonts w:ascii="Symbol" w:hAnsi="Symbol" w:hint="default"/>
      </w:rPr>
    </w:lvl>
    <w:lvl w:ilvl="7" w:tplc="CAD267DC">
      <w:start w:val="1"/>
      <w:numFmt w:val="bullet"/>
      <w:lvlText w:val="o"/>
      <w:lvlJc w:val="left"/>
      <w:pPr>
        <w:ind w:left="5760" w:hanging="360"/>
      </w:pPr>
      <w:rPr>
        <w:rFonts w:ascii="Courier New" w:hAnsi="Courier New" w:hint="default"/>
      </w:rPr>
    </w:lvl>
    <w:lvl w:ilvl="8" w:tplc="F4888CE2">
      <w:start w:val="1"/>
      <w:numFmt w:val="bullet"/>
      <w:lvlText w:val=""/>
      <w:lvlJc w:val="left"/>
      <w:pPr>
        <w:ind w:left="6480" w:hanging="360"/>
      </w:pPr>
      <w:rPr>
        <w:rFonts w:ascii="Wingdings" w:hAnsi="Wingdings" w:hint="default"/>
      </w:rPr>
    </w:lvl>
  </w:abstractNum>
  <w:abstractNum w:abstractNumId="39" w15:restartNumberingAfterBreak="0">
    <w:nsid w:val="775A02C0"/>
    <w:multiLevelType w:val="hybridMultilevel"/>
    <w:tmpl w:val="37E2649C"/>
    <w:lvl w:ilvl="0" w:tplc="15E0B9FA">
      <w:start w:val="1"/>
      <w:numFmt w:val="decimal"/>
      <w:pStyle w:val="ChartMainHeading"/>
      <w:lvlText w:val="Chart %1."/>
      <w:lvlJc w:val="left"/>
      <w:pPr>
        <w:ind w:left="720" w:hanging="360"/>
      </w:pPr>
      <w:rPr>
        <w:rFonts w:hint="default"/>
        <w:spacing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D738DF"/>
    <w:multiLevelType w:val="hybridMultilevel"/>
    <w:tmpl w:val="FF76E51E"/>
    <w:lvl w:ilvl="0" w:tplc="3F46F1AA">
      <w:start w:val="1"/>
      <w:numFmt w:val="bullet"/>
      <w:lvlText w:val=""/>
      <w:lvlJc w:val="left"/>
      <w:pPr>
        <w:ind w:left="720" w:hanging="360"/>
      </w:pPr>
      <w:rPr>
        <w:rFonts w:ascii="Symbol" w:hAnsi="Symbol"/>
      </w:rPr>
    </w:lvl>
    <w:lvl w:ilvl="1" w:tplc="925C52B6">
      <w:start w:val="1"/>
      <w:numFmt w:val="bullet"/>
      <w:lvlText w:val=""/>
      <w:lvlJc w:val="left"/>
      <w:pPr>
        <w:ind w:left="720" w:hanging="360"/>
      </w:pPr>
      <w:rPr>
        <w:rFonts w:ascii="Symbol" w:hAnsi="Symbol"/>
      </w:rPr>
    </w:lvl>
    <w:lvl w:ilvl="2" w:tplc="A9E4FF32">
      <w:start w:val="1"/>
      <w:numFmt w:val="bullet"/>
      <w:lvlText w:val=""/>
      <w:lvlJc w:val="left"/>
      <w:pPr>
        <w:ind w:left="720" w:hanging="360"/>
      </w:pPr>
      <w:rPr>
        <w:rFonts w:ascii="Symbol" w:hAnsi="Symbol"/>
      </w:rPr>
    </w:lvl>
    <w:lvl w:ilvl="3" w:tplc="B36CCBC4">
      <w:start w:val="1"/>
      <w:numFmt w:val="bullet"/>
      <w:lvlText w:val=""/>
      <w:lvlJc w:val="left"/>
      <w:pPr>
        <w:ind w:left="720" w:hanging="360"/>
      </w:pPr>
      <w:rPr>
        <w:rFonts w:ascii="Symbol" w:hAnsi="Symbol"/>
      </w:rPr>
    </w:lvl>
    <w:lvl w:ilvl="4" w:tplc="C766162E">
      <w:start w:val="1"/>
      <w:numFmt w:val="bullet"/>
      <w:lvlText w:val=""/>
      <w:lvlJc w:val="left"/>
      <w:pPr>
        <w:ind w:left="720" w:hanging="360"/>
      </w:pPr>
      <w:rPr>
        <w:rFonts w:ascii="Symbol" w:hAnsi="Symbol"/>
      </w:rPr>
    </w:lvl>
    <w:lvl w:ilvl="5" w:tplc="2572DC98">
      <w:start w:val="1"/>
      <w:numFmt w:val="bullet"/>
      <w:lvlText w:val=""/>
      <w:lvlJc w:val="left"/>
      <w:pPr>
        <w:ind w:left="720" w:hanging="360"/>
      </w:pPr>
      <w:rPr>
        <w:rFonts w:ascii="Symbol" w:hAnsi="Symbol"/>
      </w:rPr>
    </w:lvl>
    <w:lvl w:ilvl="6" w:tplc="4F7CC17C">
      <w:start w:val="1"/>
      <w:numFmt w:val="bullet"/>
      <w:lvlText w:val=""/>
      <w:lvlJc w:val="left"/>
      <w:pPr>
        <w:ind w:left="720" w:hanging="360"/>
      </w:pPr>
      <w:rPr>
        <w:rFonts w:ascii="Symbol" w:hAnsi="Symbol"/>
      </w:rPr>
    </w:lvl>
    <w:lvl w:ilvl="7" w:tplc="523C40DA">
      <w:start w:val="1"/>
      <w:numFmt w:val="bullet"/>
      <w:lvlText w:val=""/>
      <w:lvlJc w:val="left"/>
      <w:pPr>
        <w:ind w:left="720" w:hanging="360"/>
      </w:pPr>
      <w:rPr>
        <w:rFonts w:ascii="Symbol" w:hAnsi="Symbol"/>
      </w:rPr>
    </w:lvl>
    <w:lvl w:ilvl="8" w:tplc="43267DEC">
      <w:start w:val="1"/>
      <w:numFmt w:val="bullet"/>
      <w:lvlText w:val=""/>
      <w:lvlJc w:val="left"/>
      <w:pPr>
        <w:ind w:left="720" w:hanging="360"/>
      </w:pPr>
      <w:rPr>
        <w:rFonts w:ascii="Symbol" w:hAnsi="Symbol"/>
      </w:rPr>
    </w:lvl>
  </w:abstractNum>
  <w:abstractNum w:abstractNumId="41" w15:restartNumberingAfterBreak="0">
    <w:nsid w:val="7C297CAF"/>
    <w:multiLevelType w:val="multilevel"/>
    <w:tmpl w:val="D0E0E1C2"/>
    <w:name w:val="StandardBulletedList"/>
    <w:lvl w:ilvl="0">
      <w:start w:val="1"/>
      <w:numFmt w:val="bullet"/>
      <w:lvlText w:val="•"/>
      <w:lvlJc w:val="left"/>
      <w:pPr>
        <w:tabs>
          <w:tab w:val="num" w:pos="472"/>
        </w:tabs>
        <w:ind w:left="472" w:hanging="472"/>
      </w:pPr>
      <w:rPr>
        <w:rFonts w:ascii="Times New Roman" w:hAnsi="Times New Roman" w:hint="default"/>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ABF96D"/>
    <w:multiLevelType w:val="hybridMultilevel"/>
    <w:tmpl w:val="FFFFFFFF"/>
    <w:lvl w:ilvl="0" w:tplc="AC6E8C70">
      <w:start w:val="2"/>
      <w:numFmt w:val="decimal"/>
      <w:lvlText w:val="Chart %1."/>
      <w:lvlJc w:val="left"/>
      <w:pPr>
        <w:ind w:left="0" w:firstLine="0"/>
      </w:pPr>
    </w:lvl>
    <w:lvl w:ilvl="1" w:tplc="2738DF22">
      <w:start w:val="1"/>
      <w:numFmt w:val="lowerLetter"/>
      <w:lvlText w:val="%2."/>
      <w:lvlJc w:val="left"/>
      <w:pPr>
        <w:ind w:left="1440" w:hanging="360"/>
      </w:pPr>
    </w:lvl>
    <w:lvl w:ilvl="2" w:tplc="D786EDE2">
      <w:start w:val="1"/>
      <w:numFmt w:val="lowerRoman"/>
      <w:lvlText w:val="%3."/>
      <w:lvlJc w:val="right"/>
      <w:pPr>
        <w:ind w:left="2160" w:hanging="180"/>
      </w:pPr>
    </w:lvl>
    <w:lvl w:ilvl="3" w:tplc="A984C31E">
      <w:start w:val="1"/>
      <w:numFmt w:val="decimal"/>
      <w:lvlText w:val="%4."/>
      <w:lvlJc w:val="left"/>
      <w:pPr>
        <w:ind w:left="2880" w:hanging="360"/>
      </w:pPr>
    </w:lvl>
    <w:lvl w:ilvl="4" w:tplc="D22A271C">
      <w:start w:val="1"/>
      <w:numFmt w:val="lowerLetter"/>
      <w:lvlText w:val="%5."/>
      <w:lvlJc w:val="left"/>
      <w:pPr>
        <w:ind w:left="3600" w:hanging="360"/>
      </w:pPr>
    </w:lvl>
    <w:lvl w:ilvl="5" w:tplc="E0BE8494">
      <w:start w:val="1"/>
      <w:numFmt w:val="lowerRoman"/>
      <w:lvlText w:val="%6."/>
      <w:lvlJc w:val="right"/>
      <w:pPr>
        <w:ind w:left="4320" w:hanging="180"/>
      </w:pPr>
    </w:lvl>
    <w:lvl w:ilvl="6" w:tplc="C16E255A">
      <w:start w:val="1"/>
      <w:numFmt w:val="decimal"/>
      <w:lvlText w:val="%7."/>
      <w:lvlJc w:val="left"/>
      <w:pPr>
        <w:ind w:left="5040" w:hanging="360"/>
      </w:pPr>
    </w:lvl>
    <w:lvl w:ilvl="7" w:tplc="72465F0E">
      <w:start w:val="1"/>
      <w:numFmt w:val="lowerLetter"/>
      <w:lvlText w:val="%8."/>
      <w:lvlJc w:val="left"/>
      <w:pPr>
        <w:ind w:left="5760" w:hanging="360"/>
      </w:pPr>
    </w:lvl>
    <w:lvl w:ilvl="8" w:tplc="334C6444">
      <w:start w:val="1"/>
      <w:numFmt w:val="lowerRoman"/>
      <w:lvlText w:val="%9."/>
      <w:lvlJc w:val="right"/>
      <w:pPr>
        <w:ind w:left="6480" w:hanging="180"/>
      </w:pPr>
    </w:lvl>
  </w:abstractNum>
  <w:abstractNum w:abstractNumId="43" w15:restartNumberingAfterBreak="0">
    <w:nsid w:val="7DFB8D50"/>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085458"/>
    <w:multiLevelType w:val="hybridMultilevel"/>
    <w:tmpl w:val="15E42EE6"/>
    <w:lvl w:ilvl="0" w:tplc="A568F106">
      <w:start w:val="1"/>
      <w:numFmt w:val="bullet"/>
      <w:lvlText w:val=""/>
      <w:lvlJc w:val="left"/>
      <w:pPr>
        <w:ind w:left="720" w:hanging="360"/>
      </w:pPr>
      <w:rPr>
        <w:rFonts w:ascii="Symbol" w:hAnsi="Symbol"/>
      </w:rPr>
    </w:lvl>
    <w:lvl w:ilvl="1" w:tplc="F32C9DDA">
      <w:start w:val="1"/>
      <w:numFmt w:val="bullet"/>
      <w:lvlText w:val=""/>
      <w:lvlJc w:val="left"/>
      <w:pPr>
        <w:ind w:left="720" w:hanging="360"/>
      </w:pPr>
      <w:rPr>
        <w:rFonts w:ascii="Symbol" w:hAnsi="Symbol"/>
      </w:rPr>
    </w:lvl>
    <w:lvl w:ilvl="2" w:tplc="4FC6D2E2">
      <w:start w:val="1"/>
      <w:numFmt w:val="bullet"/>
      <w:lvlText w:val=""/>
      <w:lvlJc w:val="left"/>
      <w:pPr>
        <w:ind w:left="720" w:hanging="360"/>
      </w:pPr>
      <w:rPr>
        <w:rFonts w:ascii="Symbol" w:hAnsi="Symbol"/>
      </w:rPr>
    </w:lvl>
    <w:lvl w:ilvl="3" w:tplc="D2AC9FCA">
      <w:start w:val="1"/>
      <w:numFmt w:val="bullet"/>
      <w:lvlText w:val=""/>
      <w:lvlJc w:val="left"/>
      <w:pPr>
        <w:ind w:left="720" w:hanging="360"/>
      </w:pPr>
      <w:rPr>
        <w:rFonts w:ascii="Symbol" w:hAnsi="Symbol"/>
      </w:rPr>
    </w:lvl>
    <w:lvl w:ilvl="4" w:tplc="AF18C4C8">
      <w:start w:val="1"/>
      <w:numFmt w:val="bullet"/>
      <w:lvlText w:val=""/>
      <w:lvlJc w:val="left"/>
      <w:pPr>
        <w:ind w:left="720" w:hanging="360"/>
      </w:pPr>
      <w:rPr>
        <w:rFonts w:ascii="Symbol" w:hAnsi="Symbol"/>
      </w:rPr>
    </w:lvl>
    <w:lvl w:ilvl="5" w:tplc="E0940EA6">
      <w:start w:val="1"/>
      <w:numFmt w:val="bullet"/>
      <w:lvlText w:val=""/>
      <w:lvlJc w:val="left"/>
      <w:pPr>
        <w:ind w:left="720" w:hanging="360"/>
      </w:pPr>
      <w:rPr>
        <w:rFonts w:ascii="Symbol" w:hAnsi="Symbol"/>
      </w:rPr>
    </w:lvl>
    <w:lvl w:ilvl="6" w:tplc="41945044">
      <w:start w:val="1"/>
      <w:numFmt w:val="bullet"/>
      <w:lvlText w:val=""/>
      <w:lvlJc w:val="left"/>
      <w:pPr>
        <w:ind w:left="720" w:hanging="360"/>
      </w:pPr>
      <w:rPr>
        <w:rFonts w:ascii="Symbol" w:hAnsi="Symbol"/>
      </w:rPr>
    </w:lvl>
    <w:lvl w:ilvl="7" w:tplc="93E8C48E">
      <w:start w:val="1"/>
      <w:numFmt w:val="bullet"/>
      <w:lvlText w:val=""/>
      <w:lvlJc w:val="left"/>
      <w:pPr>
        <w:ind w:left="720" w:hanging="360"/>
      </w:pPr>
      <w:rPr>
        <w:rFonts w:ascii="Symbol" w:hAnsi="Symbol"/>
      </w:rPr>
    </w:lvl>
    <w:lvl w:ilvl="8" w:tplc="EF009506">
      <w:start w:val="1"/>
      <w:numFmt w:val="bullet"/>
      <w:lvlText w:val=""/>
      <w:lvlJc w:val="left"/>
      <w:pPr>
        <w:ind w:left="720" w:hanging="360"/>
      </w:pPr>
      <w:rPr>
        <w:rFonts w:ascii="Symbol" w:hAnsi="Symbol"/>
      </w:rPr>
    </w:lvl>
  </w:abstractNum>
  <w:abstractNum w:abstractNumId="45" w15:restartNumberingAfterBreak="0">
    <w:nsid w:val="7F084BC9"/>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24358169">
    <w:abstractNumId w:val="38"/>
  </w:num>
  <w:num w:numId="2" w16cid:durableId="65224723">
    <w:abstractNumId w:val="42"/>
  </w:num>
  <w:num w:numId="3" w16cid:durableId="1811241384">
    <w:abstractNumId w:val="35"/>
  </w:num>
  <w:num w:numId="4" w16cid:durableId="2044669571">
    <w:abstractNumId w:val="9"/>
  </w:num>
  <w:num w:numId="5" w16cid:durableId="5716886">
    <w:abstractNumId w:val="45"/>
  </w:num>
  <w:num w:numId="6" w16cid:durableId="322591097">
    <w:abstractNumId w:val="12"/>
  </w:num>
  <w:num w:numId="7" w16cid:durableId="1624656446">
    <w:abstractNumId w:val="22"/>
  </w:num>
  <w:num w:numId="8" w16cid:durableId="769860710">
    <w:abstractNumId w:val="34"/>
  </w:num>
  <w:num w:numId="9" w16cid:durableId="1218862758">
    <w:abstractNumId w:val="43"/>
  </w:num>
  <w:num w:numId="10" w16cid:durableId="2030141193">
    <w:abstractNumId w:val="32"/>
  </w:num>
  <w:num w:numId="11" w16cid:durableId="1730306294">
    <w:abstractNumId w:val="13"/>
  </w:num>
  <w:num w:numId="12" w16cid:durableId="85538338">
    <w:abstractNumId w:val="11"/>
  </w:num>
  <w:num w:numId="13" w16cid:durableId="1561482782">
    <w:abstractNumId w:val="29"/>
  </w:num>
  <w:num w:numId="14" w16cid:durableId="799613398">
    <w:abstractNumId w:val="1"/>
  </w:num>
  <w:num w:numId="15" w16cid:durableId="1874729350">
    <w:abstractNumId w:val="15"/>
  </w:num>
  <w:num w:numId="16" w16cid:durableId="963385822">
    <w:abstractNumId w:val="16"/>
  </w:num>
  <w:num w:numId="17" w16cid:durableId="726682388">
    <w:abstractNumId w:val="17"/>
  </w:num>
  <w:num w:numId="18" w16cid:durableId="1898936951">
    <w:abstractNumId w:val="4"/>
  </w:num>
  <w:num w:numId="19" w16cid:durableId="420101173">
    <w:abstractNumId w:val="10"/>
  </w:num>
  <w:num w:numId="20" w16cid:durableId="1735201344">
    <w:abstractNumId w:val="20"/>
  </w:num>
  <w:num w:numId="21" w16cid:durableId="595677897">
    <w:abstractNumId w:val="28"/>
  </w:num>
  <w:num w:numId="22" w16cid:durableId="2078043811">
    <w:abstractNumId w:val="39"/>
  </w:num>
  <w:num w:numId="23" w16cid:durableId="526018401">
    <w:abstractNumId w:val="36"/>
  </w:num>
  <w:num w:numId="24" w16cid:durableId="1415474309">
    <w:abstractNumId w:val="3"/>
  </w:num>
  <w:num w:numId="25" w16cid:durableId="1885749963">
    <w:abstractNumId w:val="41"/>
  </w:num>
  <w:num w:numId="26" w16cid:durableId="1047532710">
    <w:abstractNumId w:val="5"/>
  </w:num>
  <w:num w:numId="27" w16cid:durableId="1764372906">
    <w:abstractNumId w:val="33"/>
  </w:num>
  <w:num w:numId="28" w16cid:durableId="2142111876">
    <w:abstractNumId w:val="24"/>
  </w:num>
  <w:num w:numId="29" w16cid:durableId="185295089">
    <w:abstractNumId w:val="23"/>
  </w:num>
  <w:num w:numId="30" w16cid:durableId="498666082">
    <w:abstractNumId w:val="37"/>
  </w:num>
  <w:num w:numId="31" w16cid:durableId="757868105">
    <w:abstractNumId w:val="8"/>
  </w:num>
  <w:num w:numId="32" w16cid:durableId="2023706627">
    <w:abstractNumId w:val="27"/>
  </w:num>
  <w:num w:numId="33" w16cid:durableId="1602762006">
    <w:abstractNumId w:val="30"/>
  </w:num>
  <w:num w:numId="34" w16cid:durableId="1131098678">
    <w:abstractNumId w:val="2"/>
  </w:num>
  <w:num w:numId="35" w16cid:durableId="195627682">
    <w:abstractNumId w:val="44"/>
  </w:num>
  <w:num w:numId="36" w16cid:durableId="191820139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3007908">
    <w:abstractNumId w:val="21"/>
  </w:num>
  <w:num w:numId="38" w16cid:durableId="125974932">
    <w:abstractNumId w:val="39"/>
    <w:lvlOverride w:ilvl="0">
      <w:startOverride w:val="1"/>
    </w:lvlOverride>
  </w:num>
  <w:num w:numId="39" w16cid:durableId="1052535783">
    <w:abstractNumId w:val="25"/>
  </w:num>
  <w:num w:numId="40" w16cid:durableId="2125417358">
    <w:abstractNumId w:val="18"/>
  </w:num>
  <w:num w:numId="41" w16cid:durableId="338971827">
    <w:abstractNumId w:val="31"/>
  </w:num>
  <w:num w:numId="42" w16cid:durableId="1848207983">
    <w:abstractNumId w:val="7"/>
  </w:num>
  <w:num w:numId="43" w16cid:durableId="1905530743">
    <w:abstractNumId w:val="26"/>
  </w:num>
  <w:num w:numId="44" w16cid:durableId="194318468">
    <w:abstractNumId w:val="19"/>
  </w:num>
  <w:num w:numId="45" w16cid:durableId="93718425">
    <w:abstractNumId w:val="6"/>
  </w:num>
  <w:num w:numId="46" w16cid:durableId="509221978">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FE"/>
    <w:rsid w:val="00000039"/>
    <w:rsid w:val="00000049"/>
    <w:rsid w:val="00000056"/>
    <w:rsid w:val="00000066"/>
    <w:rsid w:val="00000089"/>
    <w:rsid w:val="000001D0"/>
    <w:rsid w:val="0000022F"/>
    <w:rsid w:val="00000230"/>
    <w:rsid w:val="000002E6"/>
    <w:rsid w:val="0000032D"/>
    <w:rsid w:val="0000034F"/>
    <w:rsid w:val="000003CD"/>
    <w:rsid w:val="00000407"/>
    <w:rsid w:val="0000042E"/>
    <w:rsid w:val="00000441"/>
    <w:rsid w:val="000004B0"/>
    <w:rsid w:val="000004CF"/>
    <w:rsid w:val="00000609"/>
    <w:rsid w:val="0000070B"/>
    <w:rsid w:val="0000078E"/>
    <w:rsid w:val="000007D7"/>
    <w:rsid w:val="0000085B"/>
    <w:rsid w:val="0000085F"/>
    <w:rsid w:val="000008BC"/>
    <w:rsid w:val="000008EB"/>
    <w:rsid w:val="00000919"/>
    <w:rsid w:val="0000093C"/>
    <w:rsid w:val="0000094A"/>
    <w:rsid w:val="0000095F"/>
    <w:rsid w:val="00000983"/>
    <w:rsid w:val="0000098D"/>
    <w:rsid w:val="00000A4B"/>
    <w:rsid w:val="00000A61"/>
    <w:rsid w:val="00000A6A"/>
    <w:rsid w:val="00000BAA"/>
    <w:rsid w:val="00000BAF"/>
    <w:rsid w:val="00000BB4"/>
    <w:rsid w:val="00000BD8"/>
    <w:rsid w:val="00000C75"/>
    <w:rsid w:val="00000CFA"/>
    <w:rsid w:val="00000D58"/>
    <w:rsid w:val="00000DE4"/>
    <w:rsid w:val="00000E00"/>
    <w:rsid w:val="00000E76"/>
    <w:rsid w:val="00000E8C"/>
    <w:rsid w:val="00000E98"/>
    <w:rsid w:val="00000E9A"/>
    <w:rsid w:val="00000EB6"/>
    <w:rsid w:val="00000F3E"/>
    <w:rsid w:val="00000F43"/>
    <w:rsid w:val="00000F4C"/>
    <w:rsid w:val="00000F82"/>
    <w:rsid w:val="00000FD5"/>
    <w:rsid w:val="00000FE9"/>
    <w:rsid w:val="00000FFA"/>
    <w:rsid w:val="00001075"/>
    <w:rsid w:val="000010AD"/>
    <w:rsid w:val="000010B0"/>
    <w:rsid w:val="000010C3"/>
    <w:rsid w:val="000010D0"/>
    <w:rsid w:val="000010F1"/>
    <w:rsid w:val="000010FE"/>
    <w:rsid w:val="00001147"/>
    <w:rsid w:val="00001237"/>
    <w:rsid w:val="0000125D"/>
    <w:rsid w:val="000012C7"/>
    <w:rsid w:val="00001324"/>
    <w:rsid w:val="00001345"/>
    <w:rsid w:val="0000138F"/>
    <w:rsid w:val="000013A6"/>
    <w:rsid w:val="00001404"/>
    <w:rsid w:val="0000142E"/>
    <w:rsid w:val="000014E5"/>
    <w:rsid w:val="0000161A"/>
    <w:rsid w:val="0000169F"/>
    <w:rsid w:val="0000176D"/>
    <w:rsid w:val="0000181D"/>
    <w:rsid w:val="000018AF"/>
    <w:rsid w:val="00001901"/>
    <w:rsid w:val="00001947"/>
    <w:rsid w:val="00001A98"/>
    <w:rsid w:val="00001AA0"/>
    <w:rsid w:val="00001AA4"/>
    <w:rsid w:val="00001AC7"/>
    <w:rsid w:val="00001AFA"/>
    <w:rsid w:val="00001B36"/>
    <w:rsid w:val="00001C17"/>
    <w:rsid w:val="00001CF2"/>
    <w:rsid w:val="00001D19"/>
    <w:rsid w:val="00001D30"/>
    <w:rsid w:val="00001DFB"/>
    <w:rsid w:val="00001E09"/>
    <w:rsid w:val="00001E61"/>
    <w:rsid w:val="00001EC2"/>
    <w:rsid w:val="00001EC3"/>
    <w:rsid w:val="00001EC5"/>
    <w:rsid w:val="00001F39"/>
    <w:rsid w:val="00001F47"/>
    <w:rsid w:val="00001F75"/>
    <w:rsid w:val="00001F7D"/>
    <w:rsid w:val="00001F91"/>
    <w:rsid w:val="00001FA3"/>
    <w:rsid w:val="00001FDF"/>
    <w:rsid w:val="00001FE4"/>
    <w:rsid w:val="00002068"/>
    <w:rsid w:val="0000217B"/>
    <w:rsid w:val="000021AB"/>
    <w:rsid w:val="000021BC"/>
    <w:rsid w:val="0000220B"/>
    <w:rsid w:val="00002277"/>
    <w:rsid w:val="0000228F"/>
    <w:rsid w:val="0000229C"/>
    <w:rsid w:val="000022BA"/>
    <w:rsid w:val="0000233A"/>
    <w:rsid w:val="00002384"/>
    <w:rsid w:val="0000238C"/>
    <w:rsid w:val="000023CE"/>
    <w:rsid w:val="000023F2"/>
    <w:rsid w:val="00002447"/>
    <w:rsid w:val="000024EE"/>
    <w:rsid w:val="00002545"/>
    <w:rsid w:val="00002597"/>
    <w:rsid w:val="0000271F"/>
    <w:rsid w:val="00002736"/>
    <w:rsid w:val="00002746"/>
    <w:rsid w:val="00002751"/>
    <w:rsid w:val="00002780"/>
    <w:rsid w:val="00002790"/>
    <w:rsid w:val="00002814"/>
    <w:rsid w:val="0000286F"/>
    <w:rsid w:val="000028A6"/>
    <w:rsid w:val="000028C5"/>
    <w:rsid w:val="0000293F"/>
    <w:rsid w:val="0000299E"/>
    <w:rsid w:val="000029B9"/>
    <w:rsid w:val="00002A15"/>
    <w:rsid w:val="00002A91"/>
    <w:rsid w:val="00002B87"/>
    <w:rsid w:val="00002BA2"/>
    <w:rsid w:val="00002BA9"/>
    <w:rsid w:val="00002BAC"/>
    <w:rsid w:val="00002BDA"/>
    <w:rsid w:val="00002BED"/>
    <w:rsid w:val="00002C00"/>
    <w:rsid w:val="00002C21"/>
    <w:rsid w:val="00002C36"/>
    <w:rsid w:val="00002C3D"/>
    <w:rsid w:val="00002C77"/>
    <w:rsid w:val="00002DD2"/>
    <w:rsid w:val="00002E31"/>
    <w:rsid w:val="00002ED2"/>
    <w:rsid w:val="00002EEB"/>
    <w:rsid w:val="00002F20"/>
    <w:rsid w:val="00002F3F"/>
    <w:rsid w:val="00002F81"/>
    <w:rsid w:val="00002FBE"/>
    <w:rsid w:val="00002FD2"/>
    <w:rsid w:val="0000300E"/>
    <w:rsid w:val="00003042"/>
    <w:rsid w:val="000030AC"/>
    <w:rsid w:val="000030F0"/>
    <w:rsid w:val="00003131"/>
    <w:rsid w:val="0000314E"/>
    <w:rsid w:val="000031A5"/>
    <w:rsid w:val="000031EF"/>
    <w:rsid w:val="000031FF"/>
    <w:rsid w:val="0000324D"/>
    <w:rsid w:val="0000332F"/>
    <w:rsid w:val="0000333A"/>
    <w:rsid w:val="0000333F"/>
    <w:rsid w:val="000033E7"/>
    <w:rsid w:val="0000340D"/>
    <w:rsid w:val="0000342C"/>
    <w:rsid w:val="0000344A"/>
    <w:rsid w:val="00003493"/>
    <w:rsid w:val="000034A4"/>
    <w:rsid w:val="000034C6"/>
    <w:rsid w:val="000034CD"/>
    <w:rsid w:val="0000356A"/>
    <w:rsid w:val="000035FF"/>
    <w:rsid w:val="00003613"/>
    <w:rsid w:val="00003620"/>
    <w:rsid w:val="0000364F"/>
    <w:rsid w:val="0000365C"/>
    <w:rsid w:val="0000365D"/>
    <w:rsid w:val="00003695"/>
    <w:rsid w:val="000036A9"/>
    <w:rsid w:val="000036D1"/>
    <w:rsid w:val="00003739"/>
    <w:rsid w:val="00003765"/>
    <w:rsid w:val="00003831"/>
    <w:rsid w:val="00003844"/>
    <w:rsid w:val="0000388D"/>
    <w:rsid w:val="000038C8"/>
    <w:rsid w:val="000038FF"/>
    <w:rsid w:val="00003A35"/>
    <w:rsid w:val="00003A3C"/>
    <w:rsid w:val="00003AD0"/>
    <w:rsid w:val="00003AF7"/>
    <w:rsid w:val="00003B6D"/>
    <w:rsid w:val="00003BC4"/>
    <w:rsid w:val="00003BF8"/>
    <w:rsid w:val="00003C0C"/>
    <w:rsid w:val="00003C9B"/>
    <w:rsid w:val="00003CC5"/>
    <w:rsid w:val="00003CC8"/>
    <w:rsid w:val="00003CCF"/>
    <w:rsid w:val="00003D48"/>
    <w:rsid w:val="00003E74"/>
    <w:rsid w:val="00003E91"/>
    <w:rsid w:val="00003E98"/>
    <w:rsid w:val="00003E9C"/>
    <w:rsid w:val="00003EE1"/>
    <w:rsid w:val="00003F02"/>
    <w:rsid w:val="00003F50"/>
    <w:rsid w:val="00003F70"/>
    <w:rsid w:val="0000404D"/>
    <w:rsid w:val="0000408D"/>
    <w:rsid w:val="0000408F"/>
    <w:rsid w:val="000040A9"/>
    <w:rsid w:val="00004106"/>
    <w:rsid w:val="00004121"/>
    <w:rsid w:val="00004167"/>
    <w:rsid w:val="00004177"/>
    <w:rsid w:val="0000417E"/>
    <w:rsid w:val="000041A1"/>
    <w:rsid w:val="000041C7"/>
    <w:rsid w:val="000041D9"/>
    <w:rsid w:val="000041DA"/>
    <w:rsid w:val="000041EB"/>
    <w:rsid w:val="000041EF"/>
    <w:rsid w:val="00004259"/>
    <w:rsid w:val="00004267"/>
    <w:rsid w:val="00004373"/>
    <w:rsid w:val="00004447"/>
    <w:rsid w:val="0000449C"/>
    <w:rsid w:val="0000449D"/>
    <w:rsid w:val="0000449F"/>
    <w:rsid w:val="000044A6"/>
    <w:rsid w:val="000044FD"/>
    <w:rsid w:val="0000451F"/>
    <w:rsid w:val="00004532"/>
    <w:rsid w:val="00004535"/>
    <w:rsid w:val="0000456A"/>
    <w:rsid w:val="00004588"/>
    <w:rsid w:val="000045FA"/>
    <w:rsid w:val="00004719"/>
    <w:rsid w:val="000047DA"/>
    <w:rsid w:val="000047F0"/>
    <w:rsid w:val="0000481C"/>
    <w:rsid w:val="000048E0"/>
    <w:rsid w:val="00004903"/>
    <w:rsid w:val="00004999"/>
    <w:rsid w:val="000049DD"/>
    <w:rsid w:val="00004A1A"/>
    <w:rsid w:val="00004A20"/>
    <w:rsid w:val="00004A8D"/>
    <w:rsid w:val="00004B28"/>
    <w:rsid w:val="00004B2D"/>
    <w:rsid w:val="00004B3F"/>
    <w:rsid w:val="00004BAA"/>
    <w:rsid w:val="00004BBE"/>
    <w:rsid w:val="00004C14"/>
    <w:rsid w:val="00004C6D"/>
    <w:rsid w:val="00004CEC"/>
    <w:rsid w:val="00004CF1"/>
    <w:rsid w:val="00004CF9"/>
    <w:rsid w:val="00004D60"/>
    <w:rsid w:val="00004EBC"/>
    <w:rsid w:val="00004EE1"/>
    <w:rsid w:val="00004EE5"/>
    <w:rsid w:val="00004F34"/>
    <w:rsid w:val="00004F49"/>
    <w:rsid w:val="00005014"/>
    <w:rsid w:val="0000501F"/>
    <w:rsid w:val="00005108"/>
    <w:rsid w:val="00005162"/>
    <w:rsid w:val="0000520D"/>
    <w:rsid w:val="000052A5"/>
    <w:rsid w:val="000053AF"/>
    <w:rsid w:val="000054E8"/>
    <w:rsid w:val="0000553A"/>
    <w:rsid w:val="0000553E"/>
    <w:rsid w:val="00005631"/>
    <w:rsid w:val="0000565D"/>
    <w:rsid w:val="0000569D"/>
    <w:rsid w:val="00005748"/>
    <w:rsid w:val="00005780"/>
    <w:rsid w:val="0000578D"/>
    <w:rsid w:val="000057B6"/>
    <w:rsid w:val="0000587B"/>
    <w:rsid w:val="0000587D"/>
    <w:rsid w:val="0000587E"/>
    <w:rsid w:val="000058DF"/>
    <w:rsid w:val="0000590A"/>
    <w:rsid w:val="00005A54"/>
    <w:rsid w:val="00005AD5"/>
    <w:rsid w:val="00005AF1"/>
    <w:rsid w:val="00005AF7"/>
    <w:rsid w:val="00005AF8"/>
    <w:rsid w:val="00005B95"/>
    <w:rsid w:val="00005BBA"/>
    <w:rsid w:val="00005BEC"/>
    <w:rsid w:val="00005C9B"/>
    <w:rsid w:val="00005CF0"/>
    <w:rsid w:val="00005CF5"/>
    <w:rsid w:val="00005D19"/>
    <w:rsid w:val="00005DE6"/>
    <w:rsid w:val="00005DF5"/>
    <w:rsid w:val="00005DFC"/>
    <w:rsid w:val="00005E17"/>
    <w:rsid w:val="00005E52"/>
    <w:rsid w:val="00005E56"/>
    <w:rsid w:val="00005EFA"/>
    <w:rsid w:val="00005F25"/>
    <w:rsid w:val="00005F2B"/>
    <w:rsid w:val="00006023"/>
    <w:rsid w:val="0000610C"/>
    <w:rsid w:val="00006198"/>
    <w:rsid w:val="000061DA"/>
    <w:rsid w:val="00006218"/>
    <w:rsid w:val="00006233"/>
    <w:rsid w:val="0000623D"/>
    <w:rsid w:val="00006246"/>
    <w:rsid w:val="000062BF"/>
    <w:rsid w:val="0000635E"/>
    <w:rsid w:val="000063BC"/>
    <w:rsid w:val="00006416"/>
    <w:rsid w:val="00006475"/>
    <w:rsid w:val="00006479"/>
    <w:rsid w:val="00006523"/>
    <w:rsid w:val="00006568"/>
    <w:rsid w:val="000065C0"/>
    <w:rsid w:val="000065E1"/>
    <w:rsid w:val="000065F7"/>
    <w:rsid w:val="0000660C"/>
    <w:rsid w:val="00006632"/>
    <w:rsid w:val="0000667A"/>
    <w:rsid w:val="00006692"/>
    <w:rsid w:val="000066A5"/>
    <w:rsid w:val="000066B9"/>
    <w:rsid w:val="000066BD"/>
    <w:rsid w:val="000066DB"/>
    <w:rsid w:val="00006716"/>
    <w:rsid w:val="0000679D"/>
    <w:rsid w:val="00006822"/>
    <w:rsid w:val="00006830"/>
    <w:rsid w:val="000068DA"/>
    <w:rsid w:val="000068E9"/>
    <w:rsid w:val="00006912"/>
    <w:rsid w:val="00006979"/>
    <w:rsid w:val="000069DB"/>
    <w:rsid w:val="00006A2D"/>
    <w:rsid w:val="00006AD6"/>
    <w:rsid w:val="00006B37"/>
    <w:rsid w:val="00006B5F"/>
    <w:rsid w:val="00006B60"/>
    <w:rsid w:val="00006C69"/>
    <w:rsid w:val="00006C98"/>
    <w:rsid w:val="00006C9B"/>
    <w:rsid w:val="00006CB4"/>
    <w:rsid w:val="00006D22"/>
    <w:rsid w:val="00006D4A"/>
    <w:rsid w:val="00006DE0"/>
    <w:rsid w:val="00006DF3"/>
    <w:rsid w:val="00006EF9"/>
    <w:rsid w:val="00006F15"/>
    <w:rsid w:val="00006F35"/>
    <w:rsid w:val="00006F5D"/>
    <w:rsid w:val="00006F9F"/>
    <w:rsid w:val="00006FEA"/>
    <w:rsid w:val="00006FF9"/>
    <w:rsid w:val="0000701B"/>
    <w:rsid w:val="00007029"/>
    <w:rsid w:val="00007063"/>
    <w:rsid w:val="0000711B"/>
    <w:rsid w:val="0000711E"/>
    <w:rsid w:val="00007126"/>
    <w:rsid w:val="00007140"/>
    <w:rsid w:val="00007169"/>
    <w:rsid w:val="0000717E"/>
    <w:rsid w:val="00007307"/>
    <w:rsid w:val="00007326"/>
    <w:rsid w:val="0000738A"/>
    <w:rsid w:val="000073B7"/>
    <w:rsid w:val="000073DA"/>
    <w:rsid w:val="000073EA"/>
    <w:rsid w:val="00007416"/>
    <w:rsid w:val="00007438"/>
    <w:rsid w:val="0000747C"/>
    <w:rsid w:val="00007492"/>
    <w:rsid w:val="000074B8"/>
    <w:rsid w:val="000074CD"/>
    <w:rsid w:val="00007541"/>
    <w:rsid w:val="00007554"/>
    <w:rsid w:val="000075D5"/>
    <w:rsid w:val="0000769A"/>
    <w:rsid w:val="000076AF"/>
    <w:rsid w:val="000076BF"/>
    <w:rsid w:val="000076E6"/>
    <w:rsid w:val="00007718"/>
    <w:rsid w:val="0000771C"/>
    <w:rsid w:val="0000771D"/>
    <w:rsid w:val="000077A0"/>
    <w:rsid w:val="000077DB"/>
    <w:rsid w:val="00007858"/>
    <w:rsid w:val="0000788A"/>
    <w:rsid w:val="0000794F"/>
    <w:rsid w:val="00007990"/>
    <w:rsid w:val="000079CA"/>
    <w:rsid w:val="00007A1B"/>
    <w:rsid w:val="00007A6F"/>
    <w:rsid w:val="00007A82"/>
    <w:rsid w:val="00007A94"/>
    <w:rsid w:val="00007AA3"/>
    <w:rsid w:val="00007AAC"/>
    <w:rsid w:val="00007AE2"/>
    <w:rsid w:val="00007B13"/>
    <w:rsid w:val="00007B99"/>
    <w:rsid w:val="00007BDF"/>
    <w:rsid w:val="00007CB8"/>
    <w:rsid w:val="00007CCF"/>
    <w:rsid w:val="00007CF7"/>
    <w:rsid w:val="00007D11"/>
    <w:rsid w:val="00007D39"/>
    <w:rsid w:val="00007E62"/>
    <w:rsid w:val="00007E66"/>
    <w:rsid w:val="00007F32"/>
    <w:rsid w:val="00007F6D"/>
    <w:rsid w:val="00007FB0"/>
    <w:rsid w:val="00007FC6"/>
    <w:rsid w:val="00007FD6"/>
    <w:rsid w:val="00010075"/>
    <w:rsid w:val="0001008E"/>
    <w:rsid w:val="000100A7"/>
    <w:rsid w:val="000100AD"/>
    <w:rsid w:val="00010147"/>
    <w:rsid w:val="000101B4"/>
    <w:rsid w:val="000101C3"/>
    <w:rsid w:val="000101D3"/>
    <w:rsid w:val="000101F4"/>
    <w:rsid w:val="0001022D"/>
    <w:rsid w:val="00010237"/>
    <w:rsid w:val="00010354"/>
    <w:rsid w:val="00010356"/>
    <w:rsid w:val="0001037A"/>
    <w:rsid w:val="000103B0"/>
    <w:rsid w:val="000103FE"/>
    <w:rsid w:val="00010439"/>
    <w:rsid w:val="000104CB"/>
    <w:rsid w:val="00010522"/>
    <w:rsid w:val="0001055F"/>
    <w:rsid w:val="000105F8"/>
    <w:rsid w:val="00010633"/>
    <w:rsid w:val="00010695"/>
    <w:rsid w:val="0001074A"/>
    <w:rsid w:val="0001076B"/>
    <w:rsid w:val="000107B2"/>
    <w:rsid w:val="000107C1"/>
    <w:rsid w:val="000107CA"/>
    <w:rsid w:val="000107E3"/>
    <w:rsid w:val="00010843"/>
    <w:rsid w:val="0001084C"/>
    <w:rsid w:val="0001086A"/>
    <w:rsid w:val="000108A9"/>
    <w:rsid w:val="000108D7"/>
    <w:rsid w:val="000108F1"/>
    <w:rsid w:val="0001090B"/>
    <w:rsid w:val="000109A3"/>
    <w:rsid w:val="000109FB"/>
    <w:rsid w:val="00010A26"/>
    <w:rsid w:val="00010AD4"/>
    <w:rsid w:val="00010B1C"/>
    <w:rsid w:val="00010B5D"/>
    <w:rsid w:val="00010B97"/>
    <w:rsid w:val="00010B9B"/>
    <w:rsid w:val="00010BB7"/>
    <w:rsid w:val="00010C64"/>
    <w:rsid w:val="00010C75"/>
    <w:rsid w:val="00010C8F"/>
    <w:rsid w:val="00010CF1"/>
    <w:rsid w:val="00010D4F"/>
    <w:rsid w:val="00010D5B"/>
    <w:rsid w:val="00010DC9"/>
    <w:rsid w:val="00010E59"/>
    <w:rsid w:val="00010F86"/>
    <w:rsid w:val="00010FA3"/>
    <w:rsid w:val="00011091"/>
    <w:rsid w:val="0001110B"/>
    <w:rsid w:val="00011297"/>
    <w:rsid w:val="000112B7"/>
    <w:rsid w:val="000112BF"/>
    <w:rsid w:val="000112D4"/>
    <w:rsid w:val="00011317"/>
    <w:rsid w:val="0001134E"/>
    <w:rsid w:val="00011473"/>
    <w:rsid w:val="0001148F"/>
    <w:rsid w:val="00011503"/>
    <w:rsid w:val="0001152E"/>
    <w:rsid w:val="00011555"/>
    <w:rsid w:val="0001157B"/>
    <w:rsid w:val="00011588"/>
    <w:rsid w:val="000115D9"/>
    <w:rsid w:val="000115DC"/>
    <w:rsid w:val="000115F1"/>
    <w:rsid w:val="000116CE"/>
    <w:rsid w:val="00011725"/>
    <w:rsid w:val="00011754"/>
    <w:rsid w:val="0001179C"/>
    <w:rsid w:val="00011823"/>
    <w:rsid w:val="00011882"/>
    <w:rsid w:val="00011893"/>
    <w:rsid w:val="0001192A"/>
    <w:rsid w:val="00011987"/>
    <w:rsid w:val="000119A5"/>
    <w:rsid w:val="000119E6"/>
    <w:rsid w:val="000119F8"/>
    <w:rsid w:val="00011A0A"/>
    <w:rsid w:val="00011A67"/>
    <w:rsid w:val="00011A82"/>
    <w:rsid w:val="00011A85"/>
    <w:rsid w:val="00011B0C"/>
    <w:rsid w:val="00011B18"/>
    <w:rsid w:val="00011B45"/>
    <w:rsid w:val="00011B48"/>
    <w:rsid w:val="00011B77"/>
    <w:rsid w:val="00011B9C"/>
    <w:rsid w:val="00011BC0"/>
    <w:rsid w:val="00011BCD"/>
    <w:rsid w:val="00011C45"/>
    <w:rsid w:val="00011C4E"/>
    <w:rsid w:val="00011CB0"/>
    <w:rsid w:val="00011CCD"/>
    <w:rsid w:val="00011CE4"/>
    <w:rsid w:val="00011D16"/>
    <w:rsid w:val="00011D82"/>
    <w:rsid w:val="00011E71"/>
    <w:rsid w:val="00011F1D"/>
    <w:rsid w:val="00011FC3"/>
    <w:rsid w:val="00011FF6"/>
    <w:rsid w:val="00012007"/>
    <w:rsid w:val="0001200F"/>
    <w:rsid w:val="0001203C"/>
    <w:rsid w:val="0001203E"/>
    <w:rsid w:val="00012074"/>
    <w:rsid w:val="00012093"/>
    <w:rsid w:val="00012098"/>
    <w:rsid w:val="000120B4"/>
    <w:rsid w:val="0001213C"/>
    <w:rsid w:val="000121A6"/>
    <w:rsid w:val="000121BE"/>
    <w:rsid w:val="000121FF"/>
    <w:rsid w:val="00012232"/>
    <w:rsid w:val="0001223E"/>
    <w:rsid w:val="0001224C"/>
    <w:rsid w:val="0001226C"/>
    <w:rsid w:val="00012281"/>
    <w:rsid w:val="000122E9"/>
    <w:rsid w:val="00012380"/>
    <w:rsid w:val="000123E4"/>
    <w:rsid w:val="0001240E"/>
    <w:rsid w:val="00012517"/>
    <w:rsid w:val="0001251A"/>
    <w:rsid w:val="000125EC"/>
    <w:rsid w:val="00012605"/>
    <w:rsid w:val="00012663"/>
    <w:rsid w:val="00012671"/>
    <w:rsid w:val="000126EC"/>
    <w:rsid w:val="000126F5"/>
    <w:rsid w:val="0001271B"/>
    <w:rsid w:val="0001273C"/>
    <w:rsid w:val="0001278D"/>
    <w:rsid w:val="00012821"/>
    <w:rsid w:val="00012868"/>
    <w:rsid w:val="000128D1"/>
    <w:rsid w:val="00012972"/>
    <w:rsid w:val="00012A53"/>
    <w:rsid w:val="00012A92"/>
    <w:rsid w:val="00012AC0"/>
    <w:rsid w:val="00012AC4"/>
    <w:rsid w:val="00012B1F"/>
    <w:rsid w:val="00012B30"/>
    <w:rsid w:val="00012B62"/>
    <w:rsid w:val="00012B79"/>
    <w:rsid w:val="00012B85"/>
    <w:rsid w:val="00012B9D"/>
    <w:rsid w:val="00012BC0"/>
    <w:rsid w:val="00012BDF"/>
    <w:rsid w:val="00012C2E"/>
    <w:rsid w:val="00012C3C"/>
    <w:rsid w:val="00012C62"/>
    <w:rsid w:val="00012C8F"/>
    <w:rsid w:val="00012CF7"/>
    <w:rsid w:val="00012D0F"/>
    <w:rsid w:val="00012D12"/>
    <w:rsid w:val="00012D3E"/>
    <w:rsid w:val="00012D5F"/>
    <w:rsid w:val="00012DB7"/>
    <w:rsid w:val="00012DD7"/>
    <w:rsid w:val="00012E5C"/>
    <w:rsid w:val="00012EF4"/>
    <w:rsid w:val="00012EFC"/>
    <w:rsid w:val="00012F3C"/>
    <w:rsid w:val="00012F7A"/>
    <w:rsid w:val="00012FE0"/>
    <w:rsid w:val="00012FE7"/>
    <w:rsid w:val="000130AE"/>
    <w:rsid w:val="000130B5"/>
    <w:rsid w:val="000130E1"/>
    <w:rsid w:val="000131BF"/>
    <w:rsid w:val="000131E9"/>
    <w:rsid w:val="0001322A"/>
    <w:rsid w:val="00013251"/>
    <w:rsid w:val="00013261"/>
    <w:rsid w:val="000132EC"/>
    <w:rsid w:val="00013331"/>
    <w:rsid w:val="00013357"/>
    <w:rsid w:val="000133E0"/>
    <w:rsid w:val="00013412"/>
    <w:rsid w:val="0001341A"/>
    <w:rsid w:val="00013438"/>
    <w:rsid w:val="00013440"/>
    <w:rsid w:val="0001344F"/>
    <w:rsid w:val="0001348F"/>
    <w:rsid w:val="000134F4"/>
    <w:rsid w:val="0001353A"/>
    <w:rsid w:val="000135C0"/>
    <w:rsid w:val="00013610"/>
    <w:rsid w:val="0001365D"/>
    <w:rsid w:val="000136F8"/>
    <w:rsid w:val="000137A8"/>
    <w:rsid w:val="000137B8"/>
    <w:rsid w:val="000137FF"/>
    <w:rsid w:val="0001388C"/>
    <w:rsid w:val="000138E2"/>
    <w:rsid w:val="0001392F"/>
    <w:rsid w:val="00013931"/>
    <w:rsid w:val="0001396A"/>
    <w:rsid w:val="00013A24"/>
    <w:rsid w:val="00013A99"/>
    <w:rsid w:val="00013AA1"/>
    <w:rsid w:val="00013AC9"/>
    <w:rsid w:val="00013AD5"/>
    <w:rsid w:val="00013B88"/>
    <w:rsid w:val="00013BE2"/>
    <w:rsid w:val="00013C29"/>
    <w:rsid w:val="00013C39"/>
    <w:rsid w:val="00013CA6"/>
    <w:rsid w:val="00013CEA"/>
    <w:rsid w:val="00013D18"/>
    <w:rsid w:val="00013D45"/>
    <w:rsid w:val="00013DBA"/>
    <w:rsid w:val="00013DC7"/>
    <w:rsid w:val="00013E13"/>
    <w:rsid w:val="00013E89"/>
    <w:rsid w:val="00013EB6"/>
    <w:rsid w:val="00013EC9"/>
    <w:rsid w:val="00013EE1"/>
    <w:rsid w:val="00013F20"/>
    <w:rsid w:val="00013F73"/>
    <w:rsid w:val="00013FF1"/>
    <w:rsid w:val="0001404F"/>
    <w:rsid w:val="00014050"/>
    <w:rsid w:val="00014069"/>
    <w:rsid w:val="000140AC"/>
    <w:rsid w:val="000140FD"/>
    <w:rsid w:val="000140FE"/>
    <w:rsid w:val="00014148"/>
    <w:rsid w:val="000141B0"/>
    <w:rsid w:val="000141C7"/>
    <w:rsid w:val="000141D3"/>
    <w:rsid w:val="000141F4"/>
    <w:rsid w:val="000141F6"/>
    <w:rsid w:val="00014259"/>
    <w:rsid w:val="00014268"/>
    <w:rsid w:val="00014288"/>
    <w:rsid w:val="000142A3"/>
    <w:rsid w:val="0001431C"/>
    <w:rsid w:val="0001442C"/>
    <w:rsid w:val="000144AF"/>
    <w:rsid w:val="0001453E"/>
    <w:rsid w:val="00014613"/>
    <w:rsid w:val="00014649"/>
    <w:rsid w:val="00014655"/>
    <w:rsid w:val="000146D9"/>
    <w:rsid w:val="000146F2"/>
    <w:rsid w:val="00014740"/>
    <w:rsid w:val="00014863"/>
    <w:rsid w:val="00014874"/>
    <w:rsid w:val="00014892"/>
    <w:rsid w:val="000148B6"/>
    <w:rsid w:val="000148E5"/>
    <w:rsid w:val="000148E9"/>
    <w:rsid w:val="0001491B"/>
    <w:rsid w:val="0001491E"/>
    <w:rsid w:val="00014930"/>
    <w:rsid w:val="00014966"/>
    <w:rsid w:val="000149CB"/>
    <w:rsid w:val="00014A19"/>
    <w:rsid w:val="00014ADA"/>
    <w:rsid w:val="00014ADC"/>
    <w:rsid w:val="00014AF0"/>
    <w:rsid w:val="00014AF3"/>
    <w:rsid w:val="00014B06"/>
    <w:rsid w:val="00014B1A"/>
    <w:rsid w:val="00014C35"/>
    <w:rsid w:val="00014C6B"/>
    <w:rsid w:val="00014CF2"/>
    <w:rsid w:val="00014D48"/>
    <w:rsid w:val="00014D57"/>
    <w:rsid w:val="00014D72"/>
    <w:rsid w:val="00014D86"/>
    <w:rsid w:val="00014D88"/>
    <w:rsid w:val="00014DA2"/>
    <w:rsid w:val="00014DC6"/>
    <w:rsid w:val="00014DCB"/>
    <w:rsid w:val="00014E4B"/>
    <w:rsid w:val="00014F3B"/>
    <w:rsid w:val="00014F3F"/>
    <w:rsid w:val="00014F60"/>
    <w:rsid w:val="00014F7B"/>
    <w:rsid w:val="00014FC8"/>
    <w:rsid w:val="00014FFB"/>
    <w:rsid w:val="00015026"/>
    <w:rsid w:val="000150C4"/>
    <w:rsid w:val="000150CC"/>
    <w:rsid w:val="00015125"/>
    <w:rsid w:val="00015142"/>
    <w:rsid w:val="0001517E"/>
    <w:rsid w:val="000151CC"/>
    <w:rsid w:val="000151DE"/>
    <w:rsid w:val="00015208"/>
    <w:rsid w:val="00015301"/>
    <w:rsid w:val="00015305"/>
    <w:rsid w:val="00015490"/>
    <w:rsid w:val="000154BE"/>
    <w:rsid w:val="00015553"/>
    <w:rsid w:val="000155F1"/>
    <w:rsid w:val="0001562D"/>
    <w:rsid w:val="00015644"/>
    <w:rsid w:val="0001564A"/>
    <w:rsid w:val="000156C0"/>
    <w:rsid w:val="00015796"/>
    <w:rsid w:val="000157E1"/>
    <w:rsid w:val="0001582C"/>
    <w:rsid w:val="00015835"/>
    <w:rsid w:val="00015AF0"/>
    <w:rsid w:val="00015B07"/>
    <w:rsid w:val="00015B68"/>
    <w:rsid w:val="00015B6C"/>
    <w:rsid w:val="00015C54"/>
    <w:rsid w:val="00015CA7"/>
    <w:rsid w:val="00015CE8"/>
    <w:rsid w:val="00015CF7"/>
    <w:rsid w:val="00015D57"/>
    <w:rsid w:val="00015D74"/>
    <w:rsid w:val="00015D94"/>
    <w:rsid w:val="00015DB0"/>
    <w:rsid w:val="00015DC7"/>
    <w:rsid w:val="00015E04"/>
    <w:rsid w:val="00015E07"/>
    <w:rsid w:val="00015E43"/>
    <w:rsid w:val="00015E47"/>
    <w:rsid w:val="00015E65"/>
    <w:rsid w:val="00015E90"/>
    <w:rsid w:val="00015ED4"/>
    <w:rsid w:val="00015EDC"/>
    <w:rsid w:val="00015EF9"/>
    <w:rsid w:val="00015F04"/>
    <w:rsid w:val="00015F6B"/>
    <w:rsid w:val="00015F96"/>
    <w:rsid w:val="00015FBB"/>
    <w:rsid w:val="00016049"/>
    <w:rsid w:val="0001609D"/>
    <w:rsid w:val="000160D6"/>
    <w:rsid w:val="000160EF"/>
    <w:rsid w:val="00016138"/>
    <w:rsid w:val="00016151"/>
    <w:rsid w:val="0001615C"/>
    <w:rsid w:val="0001619B"/>
    <w:rsid w:val="000161B7"/>
    <w:rsid w:val="000161CF"/>
    <w:rsid w:val="000161F3"/>
    <w:rsid w:val="0001622E"/>
    <w:rsid w:val="00016245"/>
    <w:rsid w:val="00016259"/>
    <w:rsid w:val="0001629C"/>
    <w:rsid w:val="00016307"/>
    <w:rsid w:val="0001638D"/>
    <w:rsid w:val="000163F6"/>
    <w:rsid w:val="0001643A"/>
    <w:rsid w:val="0001648E"/>
    <w:rsid w:val="000164A0"/>
    <w:rsid w:val="000165DE"/>
    <w:rsid w:val="00016642"/>
    <w:rsid w:val="00016655"/>
    <w:rsid w:val="00016690"/>
    <w:rsid w:val="000166B6"/>
    <w:rsid w:val="000166C6"/>
    <w:rsid w:val="00016745"/>
    <w:rsid w:val="000167D7"/>
    <w:rsid w:val="00016874"/>
    <w:rsid w:val="000168A8"/>
    <w:rsid w:val="000168F7"/>
    <w:rsid w:val="0001693C"/>
    <w:rsid w:val="00016996"/>
    <w:rsid w:val="000169DB"/>
    <w:rsid w:val="000169E2"/>
    <w:rsid w:val="00016A3A"/>
    <w:rsid w:val="00016A9D"/>
    <w:rsid w:val="00016AA3"/>
    <w:rsid w:val="00016ACE"/>
    <w:rsid w:val="00016ADA"/>
    <w:rsid w:val="00016B2F"/>
    <w:rsid w:val="00016B60"/>
    <w:rsid w:val="00016B90"/>
    <w:rsid w:val="00016C18"/>
    <w:rsid w:val="00016C2B"/>
    <w:rsid w:val="00016CF1"/>
    <w:rsid w:val="00016CF8"/>
    <w:rsid w:val="00016D1F"/>
    <w:rsid w:val="00016DE4"/>
    <w:rsid w:val="00016EBE"/>
    <w:rsid w:val="00016F26"/>
    <w:rsid w:val="00016F30"/>
    <w:rsid w:val="00016F4F"/>
    <w:rsid w:val="00016F6D"/>
    <w:rsid w:val="00016FFE"/>
    <w:rsid w:val="00017004"/>
    <w:rsid w:val="0001700E"/>
    <w:rsid w:val="0001702D"/>
    <w:rsid w:val="00017054"/>
    <w:rsid w:val="0001706D"/>
    <w:rsid w:val="0001708A"/>
    <w:rsid w:val="00017099"/>
    <w:rsid w:val="0001709B"/>
    <w:rsid w:val="00017100"/>
    <w:rsid w:val="00017136"/>
    <w:rsid w:val="00017199"/>
    <w:rsid w:val="000171D8"/>
    <w:rsid w:val="000171F5"/>
    <w:rsid w:val="00017210"/>
    <w:rsid w:val="0001722D"/>
    <w:rsid w:val="00017248"/>
    <w:rsid w:val="000172E5"/>
    <w:rsid w:val="00017303"/>
    <w:rsid w:val="0001735C"/>
    <w:rsid w:val="00017397"/>
    <w:rsid w:val="000173CD"/>
    <w:rsid w:val="000173F9"/>
    <w:rsid w:val="00017424"/>
    <w:rsid w:val="00017472"/>
    <w:rsid w:val="0001749F"/>
    <w:rsid w:val="000174E6"/>
    <w:rsid w:val="000174FA"/>
    <w:rsid w:val="0001752A"/>
    <w:rsid w:val="0001753A"/>
    <w:rsid w:val="00017577"/>
    <w:rsid w:val="0001759E"/>
    <w:rsid w:val="000175A8"/>
    <w:rsid w:val="00017605"/>
    <w:rsid w:val="0001761B"/>
    <w:rsid w:val="0001768D"/>
    <w:rsid w:val="000176D3"/>
    <w:rsid w:val="000176DC"/>
    <w:rsid w:val="000176E7"/>
    <w:rsid w:val="000176E9"/>
    <w:rsid w:val="00017702"/>
    <w:rsid w:val="0001777D"/>
    <w:rsid w:val="000177A1"/>
    <w:rsid w:val="000177B8"/>
    <w:rsid w:val="000177BB"/>
    <w:rsid w:val="0001783D"/>
    <w:rsid w:val="000178BE"/>
    <w:rsid w:val="000178DE"/>
    <w:rsid w:val="000178DF"/>
    <w:rsid w:val="00017912"/>
    <w:rsid w:val="0001796C"/>
    <w:rsid w:val="000179D8"/>
    <w:rsid w:val="00017A34"/>
    <w:rsid w:val="00017A62"/>
    <w:rsid w:val="00017AC4"/>
    <w:rsid w:val="00017AE3"/>
    <w:rsid w:val="00017AF2"/>
    <w:rsid w:val="00017B12"/>
    <w:rsid w:val="00017B5C"/>
    <w:rsid w:val="00017B68"/>
    <w:rsid w:val="00017B69"/>
    <w:rsid w:val="00017BB1"/>
    <w:rsid w:val="00017C0C"/>
    <w:rsid w:val="00017C3D"/>
    <w:rsid w:val="00017D37"/>
    <w:rsid w:val="00017D4D"/>
    <w:rsid w:val="00017DC1"/>
    <w:rsid w:val="00017DCC"/>
    <w:rsid w:val="00017E1C"/>
    <w:rsid w:val="00017E24"/>
    <w:rsid w:val="00017E93"/>
    <w:rsid w:val="00017EE7"/>
    <w:rsid w:val="00017F45"/>
    <w:rsid w:val="00017FC3"/>
    <w:rsid w:val="00020007"/>
    <w:rsid w:val="00020069"/>
    <w:rsid w:val="000200DA"/>
    <w:rsid w:val="00020186"/>
    <w:rsid w:val="00020193"/>
    <w:rsid w:val="000201E2"/>
    <w:rsid w:val="0002035A"/>
    <w:rsid w:val="000203E1"/>
    <w:rsid w:val="0002043A"/>
    <w:rsid w:val="00020456"/>
    <w:rsid w:val="00020480"/>
    <w:rsid w:val="0002049D"/>
    <w:rsid w:val="0002049E"/>
    <w:rsid w:val="000204A6"/>
    <w:rsid w:val="000204D1"/>
    <w:rsid w:val="0002056C"/>
    <w:rsid w:val="0002058D"/>
    <w:rsid w:val="00020642"/>
    <w:rsid w:val="00020666"/>
    <w:rsid w:val="000206C8"/>
    <w:rsid w:val="000206FF"/>
    <w:rsid w:val="0002070B"/>
    <w:rsid w:val="00020779"/>
    <w:rsid w:val="00020783"/>
    <w:rsid w:val="000207E3"/>
    <w:rsid w:val="0002080B"/>
    <w:rsid w:val="0002086F"/>
    <w:rsid w:val="000208C5"/>
    <w:rsid w:val="000208E3"/>
    <w:rsid w:val="000209A6"/>
    <w:rsid w:val="000209C6"/>
    <w:rsid w:val="00020A89"/>
    <w:rsid w:val="00020B32"/>
    <w:rsid w:val="00020B6B"/>
    <w:rsid w:val="00020B94"/>
    <w:rsid w:val="00020BA5"/>
    <w:rsid w:val="00020BF0"/>
    <w:rsid w:val="00020C05"/>
    <w:rsid w:val="00020C2C"/>
    <w:rsid w:val="00020C39"/>
    <w:rsid w:val="00020CDB"/>
    <w:rsid w:val="00020D4E"/>
    <w:rsid w:val="00020DDE"/>
    <w:rsid w:val="00020E25"/>
    <w:rsid w:val="00020E48"/>
    <w:rsid w:val="00020E7B"/>
    <w:rsid w:val="00020EA7"/>
    <w:rsid w:val="00020EF8"/>
    <w:rsid w:val="00020F06"/>
    <w:rsid w:val="00021024"/>
    <w:rsid w:val="00021053"/>
    <w:rsid w:val="00021067"/>
    <w:rsid w:val="0002106D"/>
    <w:rsid w:val="00021090"/>
    <w:rsid w:val="000210CE"/>
    <w:rsid w:val="0002112C"/>
    <w:rsid w:val="00021177"/>
    <w:rsid w:val="00021191"/>
    <w:rsid w:val="00021206"/>
    <w:rsid w:val="00021218"/>
    <w:rsid w:val="00021235"/>
    <w:rsid w:val="00021270"/>
    <w:rsid w:val="0002136C"/>
    <w:rsid w:val="000213F1"/>
    <w:rsid w:val="0002140A"/>
    <w:rsid w:val="0002140C"/>
    <w:rsid w:val="0002146F"/>
    <w:rsid w:val="00021481"/>
    <w:rsid w:val="0002157A"/>
    <w:rsid w:val="00021598"/>
    <w:rsid w:val="000215BC"/>
    <w:rsid w:val="0002160E"/>
    <w:rsid w:val="000216F2"/>
    <w:rsid w:val="000216F9"/>
    <w:rsid w:val="0002170B"/>
    <w:rsid w:val="00021721"/>
    <w:rsid w:val="0002175E"/>
    <w:rsid w:val="00021789"/>
    <w:rsid w:val="000217CA"/>
    <w:rsid w:val="00021810"/>
    <w:rsid w:val="0002183C"/>
    <w:rsid w:val="00021842"/>
    <w:rsid w:val="0002189B"/>
    <w:rsid w:val="000218E4"/>
    <w:rsid w:val="0002197B"/>
    <w:rsid w:val="00021995"/>
    <w:rsid w:val="000219A6"/>
    <w:rsid w:val="000219C2"/>
    <w:rsid w:val="00021A39"/>
    <w:rsid w:val="00021A62"/>
    <w:rsid w:val="00021AA7"/>
    <w:rsid w:val="00021ADD"/>
    <w:rsid w:val="00021B2C"/>
    <w:rsid w:val="00021B43"/>
    <w:rsid w:val="00021B51"/>
    <w:rsid w:val="00021B98"/>
    <w:rsid w:val="00021BC8"/>
    <w:rsid w:val="00021BC9"/>
    <w:rsid w:val="00021C54"/>
    <w:rsid w:val="00021C62"/>
    <w:rsid w:val="00021CDE"/>
    <w:rsid w:val="00021DBD"/>
    <w:rsid w:val="00021DE5"/>
    <w:rsid w:val="00021E49"/>
    <w:rsid w:val="00021E65"/>
    <w:rsid w:val="00021F03"/>
    <w:rsid w:val="00021F26"/>
    <w:rsid w:val="00021F9F"/>
    <w:rsid w:val="00021FBE"/>
    <w:rsid w:val="00021FF1"/>
    <w:rsid w:val="00022044"/>
    <w:rsid w:val="00022046"/>
    <w:rsid w:val="0002213D"/>
    <w:rsid w:val="000221FB"/>
    <w:rsid w:val="00022206"/>
    <w:rsid w:val="0002226D"/>
    <w:rsid w:val="00022271"/>
    <w:rsid w:val="00022293"/>
    <w:rsid w:val="00022295"/>
    <w:rsid w:val="000222C0"/>
    <w:rsid w:val="000222CA"/>
    <w:rsid w:val="0002234D"/>
    <w:rsid w:val="00022361"/>
    <w:rsid w:val="00022369"/>
    <w:rsid w:val="0002236E"/>
    <w:rsid w:val="0002239E"/>
    <w:rsid w:val="000223AA"/>
    <w:rsid w:val="000223C1"/>
    <w:rsid w:val="00022407"/>
    <w:rsid w:val="0002242B"/>
    <w:rsid w:val="00022435"/>
    <w:rsid w:val="000224A2"/>
    <w:rsid w:val="000224D2"/>
    <w:rsid w:val="00022523"/>
    <w:rsid w:val="0002259D"/>
    <w:rsid w:val="000225EE"/>
    <w:rsid w:val="00022676"/>
    <w:rsid w:val="000226CE"/>
    <w:rsid w:val="000226E9"/>
    <w:rsid w:val="00022703"/>
    <w:rsid w:val="00022709"/>
    <w:rsid w:val="000227AE"/>
    <w:rsid w:val="0002283E"/>
    <w:rsid w:val="0002286F"/>
    <w:rsid w:val="000228AF"/>
    <w:rsid w:val="000228B2"/>
    <w:rsid w:val="000228FF"/>
    <w:rsid w:val="00022988"/>
    <w:rsid w:val="00022999"/>
    <w:rsid w:val="00022A1E"/>
    <w:rsid w:val="00022A94"/>
    <w:rsid w:val="00022AD1"/>
    <w:rsid w:val="00022B1E"/>
    <w:rsid w:val="00022CD6"/>
    <w:rsid w:val="00022CDA"/>
    <w:rsid w:val="00022CF5"/>
    <w:rsid w:val="00022D11"/>
    <w:rsid w:val="00022D1D"/>
    <w:rsid w:val="00022D42"/>
    <w:rsid w:val="00022D50"/>
    <w:rsid w:val="00022D68"/>
    <w:rsid w:val="00022DCA"/>
    <w:rsid w:val="00022E48"/>
    <w:rsid w:val="00022E4D"/>
    <w:rsid w:val="00022EAF"/>
    <w:rsid w:val="00022ED7"/>
    <w:rsid w:val="00022FD8"/>
    <w:rsid w:val="00022FDC"/>
    <w:rsid w:val="00022FDD"/>
    <w:rsid w:val="00023043"/>
    <w:rsid w:val="00023067"/>
    <w:rsid w:val="000230E5"/>
    <w:rsid w:val="0002310A"/>
    <w:rsid w:val="0002312E"/>
    <w:rsid w:val="0002319B"/>
    <w:rsid w:val="0002327E"/>
    <w:rsid w:val="000232B1"/>
    <w:rsid w:val="000232C2"/>
    <w:rsid w:val="000232EF"/>
    <w:rsid w:val="000232FB"/>
    <w:rsid w:val="00023309"/>
    <w:rsid w:val="00023328"/>
    <w:rsid w:val="00023330"/>
    <w:rsid w:val="0002335D"/>
    <w:rsid w:val="00023381"/>
    <w:rsid w:val="00023392"/>
    <w:rsid w:val="000233A6"/>
    <w:rsid w:val="000233F4"/>
    <w:rsid w:val="00023407"/>
    <w:rsid w:val="00023408"/>
    <w:rsid w:val="0002345F"/>
    <w:rsid w:val="00023515"/>
    <w:rsid w:val="0002351B"/>
    <w:rsid w:val="00023530"/>
    <w:rsid w:val="0002353A"/>
    <w:rsid w:val="0002356C"/>
    <w:rsid w:val="000235EB"/>
    <w:rsid w:val="00023609"/>
    <w:rsid w:val="00023623"/>
    <w:rsid w:val="00023658"/>
    <w:rsid w:val="0002366B"/>
    <w:rsid w:val="00023697"/>
    <w:rsid w:val="000236D6"/>
    <w:rsid w:val="00023771"/>
    <w:rsid w:val="00023867"/>
    <w:rsid w:val="0002386F"/>
    <w:rsid w:val="000238C9"/>
    <w:rsid w:val="000238F9"/>
    <w:rsid w:val="00023942"/>
    <w:rsid w:val="00023946"/>
    <w:rsid w:val="00023957"/>
    <w:rsid w:val="0002397F"/>
    <w:rsid w:val="0002398C"/>
    <w:rsid w:val="000239E8"/>
    <w:rsid w:val="00023AE7"/>
    <w:rsid w:val="00023B99"/>
    <w:rsid w:val="00023BDD"/>
    <w:rsid w:val="00023BF1"/>
    <w:rsid w:val="00023C3B"/>
    <w:rsid w:val="00023C6F"/>
    <w:rsid w:val="00023C87"/>
    <w:rsid w:val="00023CA4"/>
    <w:rsid w:val="00023CA8"/>
    <w:rsid w:val="00023D5E"/>
    <w:rsid w:val="00023D6E"/>
    <w:rsid w:val="00023D7D"/>
    <w:rsid w:val="00023E22"/>
    <w:rsid w:val="00023E3A"/>
    <w:rsid w:val="00023E3B"/>
    <w:rsid w:val="00023ECA"/>
    <w:rsid w:val="00023F34"/>
    <w:rsid w:val="00023F3A"/>
    <w:rsid w:val="00023F7D"/>
    <w:rsid w:val="00023FD1"/>
    <w:rsid w:val="000240C3"/>
    <w:rsid w:val="000240DA"/>
    <w:rsid w:val="00024138"/>
    <w:rsid w:val="000241ED"/>
    <w:rsid w:val="00024206"/>
    <w:rsid w:val="00024220"/>
    <w:rsid w:val="00024299"/>
    <w:rsid w:val="000242D0"/>
    <w:rsid w:val="000242F0"/>
    <w:rsid w:val="0002438D"/>
    <w:rsid w:val="000243D6"/>
    <w:rsid w:val="000243E1"/>
    <w:rsid w:val="0002440A"/>
    <w:rsid w:val="00024441"/>
    <w:rsid w:val="00024450"/>
    <w:rsid w:val="000244C9"/>
    <w:rsid w:val="00024521"/>
    <w:rsid w:val="000245BD"/>
    <w:rsid w:val="000245FB"/>
    <w:rsid w:val="00024609"/>
    <w:rsid w:val="00024614"/>
    <w:rsid w:val="0002463A"/>
    <w:rsid w:val="00024640"/>
    <w:rsid w:val="0002464A"/>
    <w:rsid w:val="000246CA"/>
    <w:rsid w:val="000246F3"/>
    <w:rsid w:val="00024712"/>
    <w:rsid w:val="00024713"/>
    <w:rsid w:val="00024736"/>
    <w:rsid w:val="0002475F"/>
    <w:rsid w:val="00024763"/>
    <w:rsid w:val="000247D7"/>
    <w:rsid w:val="0002480C"/>
    <w:rsid w:val="00024814"/>
    <w:rsid w:val="00024835"/>
    <w:rsid w:val="000248BD"/>
    <w:rsid w:val="000248E5"/>
    <w:rsid w:val="00024922"/>
    <w:rsid w:val="00024925"/>
    <w:rsid w:val="00024946"/>
    <w:rsid w:val="00024AB8"/>
    <w:rsid w:val="00024AD6"/>
    <w:rsid w:val="00024AF1"/>
    <w:rsid w:val="00024B2A"/>
    <w:rsid w:val="00024B66"/>
    <w:rsid w:val="00024B7F"/>
    <w:rsid w:val="00024B86"/>
    <w:rsid w:val="00024BDD"/>
    <w:rsid w:val="00024C03"/>
    <w:rsid w:val="00024C33"/>
    <w:rsid w:val="00024D9B"/>
    <w:rsid w:val="00024E42"/>
    <w:rsid w:val="00024EA6"/>
    <w:rsid w:val="00024EEC"/>
    <w:rsid w:val="00024EF5"/>
    <w:rsid w:val="00024F53"/>
    <w:rsid w:val="00024F65"/>
    <w:rsid w:val="00024FA0"/>
    <w:rsid w:val="00024FA3"/>
    <w:rsid w:val="00024FA6"/>
    <w:rsid w:val="00024FA7"/>
    <w:rsid w:val="00024FEE"/>
    <w:rsid w:val="0002500F"/>
    <w:rsid w:val="00025016"/>
    <w:rsid w:val="0002505F"/>
    <w:rsid w:val="00025061"/>
    <w:rsid w:val="000250FE"/>
    <w:rsid w:val="00025103"/>
    <w:rsid w:val="0002514F"/>
    <w:rsid w:val="00025175"/>
    <w:rsid w:val="00025199"/>
    <w:rsid w:val="0002525F"/>
    <w:rsid w:val="00025297"/>
    <w:rsid w:val="0002529A"/>
    <w:rsid w:val="000252AD"/>
    <w:rsid w:val="000252B5"/>
    <w:rsid w:val="000252CB"/>
    <w:rsid w:val="00025314"/>
    <w:rsid w:val="0002533F"/>
    <w:rsid w:val="0002538F"/>
    <w:rsid w:val="000253EB"/>
    <w:rsid w:val="00025400"/>
    <w:rsid w:val="0002544D"/>
    <w:rsid w:val="00025453"/>
    <w:rsid w:val="00025478"/>
    <w:rsid w:val="00025485"/>
    <w:rsid w:val="00025486"/>
    <w:rsid w:val="000254A5"/>
    <w:rsid w:val="000254AD"/>
    <w:rsid w:val="000254C6"/>
    <w:rsid w:val="000254D1"/>
    <w:rsid w:val="0002550A"/>
    <w:rsid w:val="0002550D"/>
    <w:rsid w:val="0002550E"/>
    <w:rsid w:val="0002558B"/>
    <w:rsid w:val="00025604"/>
    <w:rsid w:val="00025632"/>
    <w:rsid w:val="00025658"/>
    <w:rsid w:val="00025661"/>
    <w:rsid w:val="00025684"/>
    <w:rsid w:val="000256CD"/>
    <w:rsid w:val="000256D1"/>
    <w:rsid w:val="00025754"/>
    <w:rsid w:val="000257AD"/>
    <w:rsid w:val="000257CB"/>
    <w:rsid w:val="00025837"/>
    <w:rsid w:val="00025857"/>
    <w:rsid w:val="0002587C"/>
    <w:rsid w:val="00025884"/>
    <w:rsid w:val="000258D0"/>
    <w:rsid w:val="000258FC"/>
    <w:rsid w:val="0002590C"/>
    <w:rsid w:val="00025969"/>
    <w:rsid w:val="0002599C"/>
    <w:rsid w:val="00025A13"/>
    <w:rsid w:val="00025A29"/>
    <w:rsid w:val="00025AF8"/>
    <w:rsid w:val="00025AFD"/>
    <w:rsid w:val="00025B1B"/>
    <w:rsid w:val="00025C61"/>
    <w:rsid w:val="00025C72"/>
    <w:rsid w:val="00025CD9"/>
    <w:rsid w:val="00025D2A"/>
    <w:rsid w:val="00025D3E"/>
    <w:rsid w:val="00025D45"/>
    <w:rsid w:val="00025D66"/>
    <w:rsid w:val="00025D93"/>
    <w:rsid w:val="00025DD4"/>
    <w:rsid w:val="00025E92"/>
    <w:rsid w:val="00025E95"/>
    <w:rsid w:val="00025EEB"/>
    <w:rsid w:val="00025F06"/>
    <w:rsid w:val="00025F6E"/>
    <w:rsid w:val="00025F93"/>
    <w:rsid w:val="00025FD3"/>
    <w:rsid w:val="00025FDB"/>
    <w:rsid w:val="00025FF8"/>
    <w:rsid w:val="0002606F"/>
    <w:rsid w:val="00026103"/>
    <w:rsid w:val="0002616B"/>
    <w:rsid w:val="000261FE"/>
    <w:rsid w:val="00026213"/>
    <w:rsid w:val="00026214"/>
    <w:rsid w:val="00026276"/>
    <w:rsid w:val="00026314"/>
    <w:rsid w:val="0002632C"/>
    <w:rsid w:val="00026330"/>
    <w:rsid w:val="0002633A"/>
    <w:rsid w:val="00026340"/>
    <w:rsid w:val="00026391"/>
    <w:rsid w:val="0002639D"/>
    <w:rsid w:val="000263AF"/>
    <w:rsid w:val="000263D6"/>
    <w:rsid w:val="00026416"/>
    <w:rsid w:val="000264B2"/>
    <w:rsid w:val="000264BF"/>
    <w:rsid w:val="00026581"/>
    <w:rsid w:val="000265D1"/>
    <w:rsid w:val="000265E8"/>
    <w:rsid w:val="00026600"/>
    <w:rsid w:val="00026668"/>
    <w:rsid w:val="000266C4"/>
    <w:rsid w:val="000266EE"/>
    <w:rsid w:val="0002672F"/>
    <w:rsid w:val="000267B4"/>
    <w:rsid w:val="000267CF"/>
    <w:rsid w:val="00026809"/>
    <w:rsid w:val="0002684A"/>
    <w:rsid w:val="00026868"/>
    <w:rsid w:val="00026924"/>
    <w:rsid w:val="0002692F"/>
    <w:rsid w:val="00026967"/>
    <w:rsid w:val="000269D8"/>
    <w:rsid w:val="00026A72"/>
    <w:rsid w:val="00026A92"/>
    <w:rsid w:val="00026A97"/>
    <w:rsid w:val="00026A9E"/>
    <w:rsid w:val="00026AA7"/>
    <w:rsid w:val="00026AE9"/>
    <w:rsid w:val="00026B04"/>
    <w:rsid w:val="00026B43"/>
    <w:rsid w:val="00026B6D"/>
    <w:rsid w:val="00026B84"/>
    <w:rsid w:val="00026BBF"/>
    <w:rsid w:val="00026C49"/>
    <w:rsid w:val="00026C74"/>
    <w:rsid w:val="00026C84"/>
    <w:rsid w:val="00026CB4"/>
    <w:rsid w:val="00026D09"/>
    <w:rsid w:val="00026D65"/>
    <w:rsid w:val="00026E68"/>
    <w:rsid w:val="00026F67"/>
    <w:rsid w:val="00026F7C"/>
    <w:rsid w:val="00026FF3"/>
    <w:rsid w:val="0002700B"/>
    <w:rsid w:val="00027081"/>
    <w:rsid w:val="000270A5"/>
    <w:rsid w:val="000270DF"/>
    <w:rsid w:val="00027103"/>
    <w:rsid w:val="00027109"/>
    <w:rsid w:val="00027164"/>
    <w:rsid w:val="000272CC"/>
    <w:rsid w:val="000272E1"/>
    <w:rsid w:val="00027326"/>
    <w:rsid w:val="000273F7"/>
    <w:rsid w:val="00027433"/>
    <w:rsid w:val="0002752C"/>
    <w:rsid w:val="00027569"/>
    <w:rsid w:val="00027573"/>
    <w:rsid w:val="00027595"/>
    <w:rsid w:val="00027596"/>
    <w:rsid w:val="000275DA"/>
    <w:rsid w:val="000275F8"/>
    <w:rsid w:val="0002760D"/>
    <w:rsid w:val="00027629"/>
    <w:rsid w:val="00027640"/>
    <w:rsid w:val="0002765F"/>
    <w:rsid w:val="0002767C"/>
    <w:rsid w:val="0002769E"/>
    <w:rsid w:val="000276B6"/>
    <w:rsid w:val="000276D6"/>
    <w:rsid w:val="000276FB"/>
    <w:rsid w:val="000277E6"/>
    <w:rsid w:val="00027832"/>
    <w:rsid w:val="00027833"/>
    <w:rsid w:val="000278AF"/>
    <w:rsid w:val="00027983"/>
    <w:rsid w:val="000279BC"/>
    <w:rsid w:val="00027A21"/>
    <w:rsid w:val="00027A48"/>
    <w:rsid w:val="00027AA6"/>
    <w:rsid w:val="00027AD4"/>
    <w:rsid w:val="00027ADA"/>
    <w:rsid w:val="00027AEE"/>
    <w:rsid w:val="00027B93"/>
    <w:rsid w:val="00027BB8"/>
    <w:rsid w:val="00027BBC"/>
    <w:rsid w:val="00027BC6"/>
    <w:rsid w:val="00027C25"/>
    <w:rsid w:val="00027CE8"/>
    <w:rsid w:val="00027D5F"/>
    <w:rsid w:val="00027DB7"/>
    <w:rsid w:val="00027DED"/>
    <w:rsid w:val="00027E17"/>
    <w:rsid w:val="00027E36"/>
    <w:rsid w:val="00027E8F"/>
    <w:rsid w:val="00027E9F"/>
    <w:rsid w:val="00027ECB"/>
    <w:rsid w:val="00027ECD"/>
    <w:rsid w:val="00027F1B"/>
    <w:rsid w:val="00027F3F"/>
    <w:rsid w:val="00027F5B"/>
    <w:rsid w:val="00027FB3"/>
    <w:rsid w:val="00027FDA"/>
    <w:rsid w:val="00030006"/>
    <w:rsid w:val="00030012"/>
    <w:rsid w:val="00030031"/>
    <w:rsid w:val="0003004F"/>
    <w:rsid w:val="0003009E"/>
    <w:rsid w:val="000300BE"/>
    <w:rsid w:val="000300C8"/>
    <w:rsid w:val="000300DA"/>
    <w:rsid w:val="0003015B"/>
    <w:rsid w:val="0003015F"/>
    <w:rsid w:val="000301B7"/>
    <w:rsid w:val="0003027F"/>
    <w:rsid w:val="0003034E"/>
    <w:rsid w:val="00030367"/>
    <w:rsid w:val="00030393"/>
    <w:rsid w:val="000303FF"/>
    <w:rsid w:val="00030413"/>
    <w:rsid w:val="00030472"/>
    <w:rsid w:val="00030515"/>
    <w:rsid w:val="0003051F"/>
    <w:rsid w:val="00030544"/>
    <w:rsid w:val="00030608"/>
    <w:rsid w:val="00030671"/>
    <w:rsid w:val="00030684"/>
    <w:rsid w:val="000306B1"/>
    <w:rsid w:val="000306FB"/>
    <w:rsid w:val="00030720"/>
    <w:rsid w:val="00030749"/>
    <w:rsid w:val="00030766"/>
    <w:rsid w:val="00030767"/>
    <w:rsid w:val="0003078B"/>
    <w:rsid w:val="000307BE"/>
    <w:rsid w:val="00030804"/>
    <w:rsid w:val="00030827"/>
    <w:rsid w:val="0003086D"/>
    <w:rsid w:val="00030887"/>
    <w:rsid w:val="000308E7"/>
    <w:rsid w:val="0003090B"/>
    <w:rsid w:val="0003099E"/>
    <w:rsid w:val="00030A28"/>
    <w:rsid w:val="00030A6F"/>
    <w:rsid w:val="00030A8A"/>
    <w:rsid w:val="00030AF7"/>
    <w:rsid w:val="00030B41"/>
    <w:rsid w:val="00030B48"/>
    <w:rsid w:val="00030B59"/>
    <w:rsid w:val="00030B99"/>
    <w:rsid w:val="00030BC0"/>
    <w:rsid w:val="00030C2E"/>
    <w:rsid w:val="00030C4B"/>
    <w:rsid w:val="00030C7C"/>
    <w:rsid w:val="00030CBD"/>
    <w:rsid w:val="00030D20"/>
    <w:rsid w:val="00030D42"/>
    <w:rsid w:val="00030D4D"/>
    <w:rsid w:val="00030D88"/>
    <w:rsid w:val="00030E95"/>
    <w:rsid w:val="00030EAA"/>
    <w:rsid w:val="00030EBB"/>
    <w:rsid w:val="00030EEA"/>
    <w:rsid w:val="00030EFA"/>
    <w:rsid w:val="00030F3F"/>
    <w:rsid w:val="00030F58"/>
    <w:rsid w:val="00030F7A"/>
    <w:rsid w:val="00030F7D"/>
    <w:rsid w:val="00030F9C"/>
    <w:rsid w:val="00031006"/>
    <w:rsid w:val="00031065"/>
    <w:rsid w:val="00031087"/>
    <w:rsid w:val="000310F3"/>
    <w:rsid w:val="0003112E"/>
    <w:rsid w:val="00031162"/>
    <w:rsid w:val="00031167"/>
    <w:rsid w:val="00031199"/>
    <w:rsid w:val="00031204"/>
    <w:rsid w:val="00031294"/>
    <w:rsid w:val="0003133B"/>
    <w:rsid w:val="00031381"/>
    <w:rsid w:val="00031400"/>
    <w:rsid w:val="00031434"/>
    <w:rsid w:val="000314AD"/>
    <w:rsid w:val="000314F7"/>
    <w:rsid w:val="00031593"/>
    <w:rsid w:val="0003159A"/>
    <w:rsid w:val="000315BD"/>
    <w:rsid w:val="00031628"/>
    <w:rsid w:val="0003168F"/>
    <w:rsid w:val="000316F6"/>
    <w:rsid w:val="00031747"/>
    <w:rsid w:val="0003174E"/>
    <w:rsid w:val="00031795"/>
    <w:rsid w:val="0003187C"/>
    <w:rsid w:val="00031989"/>
    <w:rsid w:val="00031A91"/>
    <w:rsid w:val="00031AF4"/>
    <w:rsid w:val="00031BBB"/>
    <w:rsid w:val="00031BEF"/>
    <w:rsid w:val="00031C02"/>
    <w:rsid w:val="00031C0F"/>
    <w:rsid w:val="00031C2C"/>
    <w:rsid w:val="00031C39"/>
    <w:rsid w:val="00031CFB"/>
    <w:rsid w:val="00031D06"/>
    <w:rsid w:val="00031D32"/>
    <w:rsid w:val="00031D70"/>
    <w:rsid w:val="00031D8F"/>
    <w:rsid w:val="00031DAF"/>
    <w:rsid w:val="00031DCF"/>
    <w:rsid w:val="00031DEC"/>
    <w:rsid w:val="00031DF2"/>
    <w:rsid w:val="00031E15"/>
    <w:rsid w:val="00031E66"/>
    <w:rsid w:val="00031E6C"/>
    <w:rsid w:val="00031EA9"/>
    <w:rsid w:val="00031EC8"/>
    <w:rsid w:val="00031F4B"/>
    <w:rsid w:val="00031F6E"/>
    <w:rsid w:val="00031FA8"/>
    <w:rsid w:val="00031FD0"/>
    <w:rsid w:val="00031FF9"/>
    <w:rsid w:val="00031FFD"/>
    <w:rsid w:val="0003200B"/>
    <w:rsid w:val="0003203A"/>
    <w:rsid w:val="00032058"/>
    <w:rsid w:val="00032078"/>
    <w:rsid w:val="0003207F"/>
    <w:rsid w:val="000320AA"/>
    <w:rsid w:val="000320DA"/>
    <w:rsid w:val="000320EE"/>
    <w:rsid w:val="000320F5"/>
    <w:rsid w:val="00032179"/>
    <w:rsid w:val="0003220C"/>
    <w:rsid w:val="0003220E"/>
    <w:rsid w:val="0003221F"/>
    <w:rsid w:val="0003223C"/>
    <w:rsid w:val="00032272"/>
    <w:rsid w:val="00032284"/>
    <w:rsid w:val="00032397"/>
    <w:rsid w:val="000323E3"/>
    <w:rsid w:val="00032402"/>
    <w:rsid w:val="00032482"/>
    <w:rsid w:val="000324D2"/>
    <w:rsid w:val="00032587"/>
    <w:rsid w:val="000325F7"/>
    <w:rsid w:val="00032635"/>
    <w:rsid w:val="000326BD"/>
    <w:rsid w:val="000326EA"/>
    <w:rsid w:val="00032737"/>
    <w:rsid w:val="0003274D"/>
    <w:rsid w:val="0003278A"/>
    <w:rsid w:val="000327B4"/>
    <w:rsid w:val="000327C8"/>
    <w:rsid w:val="000327E3"/>
    <w:rsid w:val="00032807"/>
    <w:rsid w:val="0003288B"/>
    <w:rsid w:val="000328C7"/>
    <w:rsid w:val="00032A36"/>
    <w:rsid w:val="00032AC7"/>
    <w:rsid w:val="00032B3C"/>
    <w:rsid w:val="00032B54"/>
    <w:rsid w:val="00032B5E"/>
    <w:rsid w:val="00032B94"/>
    <w:rsid w:val="00032B9B"/>
    <w:rsid w:val="00032BA0"/>
    <w:rsid w:val="00032BFD"/>
    <w:rsid w:val="00032BFE"/>
    <w:rsid w:val="00032C05"/>
    <w:rsid w:val="00032C6F"/>
    <w:rsid w:val="00032C70"/>
    <w:rsid w:val="00032E19"/>
    <w:rsid w:val="00032EC6"/>
    <w:rsid w:val="00032F0B"/>
    <w:rsid w:val="00033001"/>
    <w:rsid w:val="00033028"/>
    <w:rsid w:val="0003303D"/>
    <w:rsid w:val="00033088"/>
    <w:rsid w:val="00033091"/>
    <w:rsid w:val="000330AB"/>
    <w:rsid w:val="000330B1"/>
    <w:rsid w:val="00033158"/>
    <w:rsid w:val="00033162"/>
    <w:rsid w:val="00033174"/>
    <w:rsid w:val="00033176"/>
    <w:rsid w:val="000331B4"/>
    <w:rsid w:val="00033206"/>
    <w:rsid w:val="00033239"/>
    <w:rsid w:val="0003325F"/>
    <w:rsid w:val="00033262"/>
    <w:rsid w:val="0003327F"/>
    <w:rsid w:val="000332F4"/>
    <w:rsid w:val="000332FE"/>
    <w:rsid w:val="0003336B"/>
    <w:rsid w:val="000333CE"/>
    <w:rsid w:val="00033403"/>
    <w:rsid w:val="0003341A"/>
    <w:rsid w:val="00033478"/>
    <w:rsid w:val="000334CA"/>
    <w:rsid w:val="000334CD"/>
    <w:rsid w:val="00033599"/>
    <w:rsid w:val="000335A4"/>
    <w:rsid w:val="00033632"/>
    <w:rsid w:val="0003363F"/>
    <w:rsid w:val="00033692"/>
    <w:rsid w:val="0003370E"/>
    <w:rsid w:val="0003371D"/>
    <w:rsid w:val="00033773"/>
    <w:rsid w:val="00033776"/>
    <w:rsid w:val="000337C5"/>
    <w:rsid w:val="00033806"/>
    <w:rsid w:val="0003390D"/>
    <w:rsid w:val="00033931"/>
    <w:rsid w:val="00033936"/>
    <w:rsid w:val="000339E8"/>
    <w:rsid w:val="00033A80"/>
    <w:rsid w:val="00033ACB"/>
    <w:rsid w:val="00033AE8"/>
    <w:rsid w:val="00033B0B"/>
    <w:rsid w:val="00033B49"/>
    <w:rsid w:val="00033B77"/>
    <w:rsid w:val="00033B86"/>
    <w:rsid w:val="00033BC5"/>
    <w:rsid w:val="00033C1F"/>
    <w:rsid w:val="00033C3A"/>
    <w:rsid w:val="00033C42"/>
    <w:rsid w:val="00033CB3"/>
    <w:rsid w:val="00033CBD"/>
    <w:rsid w:val="00033CC0"/>
    <w:rsid w:val="00033CD1"/>
    <w:rsid w:val="00033CDB"/>
    <w:rsid w:val="00033D1A"/>
    <w:rsid w:val="00033D25"/>
    <w:rsid w:val="00033D3D"/>
    <w:rsid w:val="00033D65"/>
    <w:rsid w:val="00033DCA"/>
    <w:rsid w:val="00033E36"/>
    <w:rsid w:val="00033E5D"/>
    <w:rsid w:val="00033E8B"/>
    <w:rsid w:val="00033E9A"/>
    <w:rsid w:val="00033F63"/>
    <w:rsid w:val="00033F6D"/>
    <w:rsid w:val="00033F87"/>
    <w:rsid w:val="00033F93"/>
    <w:rsid w:val="00033F9F"/>
    <w:rsid w:val="00034167"/>
    <w:rsid w:val="0003418F"/>
    <w:rsid w:val="000341A9"/>
    <w:rsid w:val="000341BE"/>
    <w:rsid w:val="000342C5"/>
    <w:rsid w:val="0003433B"/>
    <w:rsid w:val="00034394"/>
    <w:rsid w:val="000343BC"/>
    <w:rsid w:val="00034401"/>
    <w:rsid w:val="00034414"/>
    <w:rsid w:val="00034525"/>
    <w:rsid w:val="00034564"/>
    <w:rsid w:val="000346E7"/>
    <w:rsid w:val="00034770"/>
    <w:rsid w:val="000347CA"/>
    <w:rsid w:val="000347F6"/>
    <w:rsid w:val="0003481B"/>
    <w:rsid w:val="000349C6"/>
    <w:rsid w:val="00034A47"/>
    <w:rsid w:val="00034A56"/>
    <w:rsid w:val="00034AF2"/>
    <w:rsid w:val="00034B1F"/>
    <w:rsid w:val="00034BE9"/>
    <w:rsid w:val="00034BEA"/>
    <w:rsid w:val="00034BEC"/>
    <w:rsid w:val="00034C32"/>
    <w:rsid w:val="00034C44"/>
    <w:rsid w:val="00034C54"/>
    <w:rsid w:val="00034C67"/>
    <w:rsid w:val="00034C88"/>
    <w:rsid w:val="00034CC8"/>
    <w:rsid w:val="00034CCE"/>
    <w:rsid w:val="00034D1D"/>
    <w:rsid w:val="00034D40"/>
    <w:rsid w:val="00034D82"/>
    <w:rsid w:val="00034DFC"/>
    <w:rsid w:val="00034E35"/>
    <w:rsid w:val="00034E63"/>
    <w:rsid w:val="00034EB1"/>
    <w:rsid w:val="00034F31"/>
    <w:rsid w:val="00034F57"/>
    <w:rsid w:val="00034F66"/>
    <w:rsid w:val="00034F8A"/>
    <w:rsid w:val="00034FA8"/>
    <w:rsid w:val="00034FB2"/>
    <w:rsid w:val="00035003"/>
    <w:rsid w:val="00035019"/>
    <w:rsid w:val="0003502C"/>
    <w:rsid w:val="0003510C"/>
    <w:rsid w:val="00035135"/>
    <w:rsid w:val="0003525C"/>
    <w:rsid w:val="0003527C"/>
    <w:rsid w:val="00035290"/>
    <w:rsid w:val="000352CE"/>
    <w:rsid w:val="000352E2"/>
    <w:rsid w:val="0003532F"/>
    <w:rsid w:val="000353D1"/>
    <w:rsid w:val="00035407"/>
    <w:rsid w:val="00035432"/>
    <w:rsid w:val="0003543B"/>
    <w:rsid w:val="00035442"/>
    <w:rsid w:val="000354A3"/>
    <w:rsid w:val="000354DF"/>
    <w:rsid w:val="00035584"/>
    <w:rsid w:val="000355AA"/>
    <w:rsid w:val="0003566E"/>
    <w:rsid w:val="00035696"/>
    <w:rsid w:val="00035697"/>
    <w:rsid w:val="0003570F"/>
    <w:rsid w:val="00035721"/>
    <w:rsid w:val="00035776"/>
    <w:rsid w:val="0003581C"/>
    <w:rsid w:val="00035835"/>
    <w:rsid w:val="00035865"/>
    <w:rsid w:val="0003587A"/>
    <w:rsid w:val="00035910"/>
    <w:rsid w:val="0003597B"/>
    <w:rsid w:val="000359E4"/>
    <w:rsid w:val="00035A00"/>
    <w:rsid w:val="00035B26"/>
    <w:rsid w:val="00035B73"/>
    <w:rsid w:val="00035C28"/>
    <w:rsid w:val="00035C61"/>
    <w:rsid w:val="00035C83"/>
    <w:rsid w:val="00035CBF"/>
    <w:rsid w:val="00035CEB"/>
    <w:rsid w:val="00035D30"/>
    <w:rsid w:val="00035D3C"/>
    <w:rsid w:val="00035D49"/>
    <w:rsid w:val="00035D54"/>
    <w:rsid w:val="00035D59"/>
    <w:rsid w:val="00035D5E"/>
    <w:rsid w:val="00035D6E"/>
    <w:rsid w:val="00035D85"/>
    <w:rsid w:val="00035DB4"/>
    <w:rsid w:val="00035DFE"/>
    <w:rsid w:val="00035E0E"/>
    <w:rsid w:val="00035E23"/>
    <w:rsid w:val="00035E35"/>
    <w:rsid w:val="00035E43"/>
    <w:rsid w:val="00035F50"/>
    <w:rsid w:val="0003602B"/>
    <w:rsid w:val="0003603F"/>
    <w:rsid w:val="000360A5"/>
    <w:rsid w:val="000360AF"/>
    <w:rsid w:val="00036150"/>
    <w:rsid w:val="0003618F"/>
    <w:rsid w:val="00036204"/>
    <w:rsid w:val="0003621D"/>
    <w:rsid w:val="00036225"/>
    <w:rsid w:val="00036235"/>
    <w:rsid w:val="000362AE"/>
    <w:rsid w:val="000362D5"/>
    <w:rsid w:val="0003633D"/>
    <w:rsid w:val="00036352"/>
    <w:rsid w:val="0003636D"/>
    <w:rsid w:val="000363B3"/>
    <w:rsid w:val="00036428"/>
    <w:rsid w:val="00036436"/>
    <w:rsid w:val="00036447"/>
    <w:rsid w:val="0003656C"/>
    <w:rsid w:val="0003658C"/>
    <w:rsid w:val="0003658E"/>
    <w:rsid w:val="000365BE"/>
    <w:rsid w:val="00036634"/>
    <w:rsid w:val="00036690"/>
    <w:rsid w:val="000366F9"/>
    <w:rsid w:val="00036771"/>
    <w:rsid w:val="0003681F"/>
    <w:rsid w:val="000368C9"/>
    <w:rsid w:val="000368E9"/>
    <w:rsid w:val="000369AB"/>
    <w:rsid w:val="000369C6"/>
    <w:rsid w:val="00036A10"/>
    <w:rsid w:val="00036A1E"/>
    <w:rsid w:val="00036A7B"/>
    <w:rsid w:val="00036A9C"/>
    <w:rsid w:val="00036B73"/>
    <w:rsid w:val="00036BC6"/>
    <w:rsid w:val="00036BE5"/>
    <w:rsid w:val="00036C18"/>
    <w:rsid w:val="00036C36"/>
    <w:rsid w:val="00036CEA"/>
    <w:rsid w:val="00036D5E"/>
    <w:rsid w:val="00036D5F"/>
    <w:rsid w:val="00036DBF"/>
    <w:rsid w:val="00036DC7"/>
    <w:rsid w:val="00036E18"/>
    <w:rsid w:val="00036E50"/>
    <w:rsid w:val="00036E5E"/>
    <w:rsid w:val="00036EB8"/>
    <w:rsid w:val="00036EF1"/>
    <w:rsid w:val="00036F3E"/>
    <w:rsid w:val="00036F60"/>
    <w:rsid w:val="00036FE5"/>
    <w:rsid w:val="00037064"/>
    <w:rsid w:val="000371B2"/>
    <w:rsid w:val="000371BD"/>
    <w:rsid w:val="000371C4"/>
    <w:rsid w:val="000371F5"/>
    <w:rsid w:val="00037210"/>
    <w:rsid w:val="00037222"/>
    <w:rsid w:val="0003724B"/>
    <w:rsid w:val="00037251"/>
    <w:rsid w:val="000372A5"/>
    <w:rsid w:val="000372CA"/>
    <w:rsid w:val="0003732A"/>
    <w:rsid w:val="0003732B"/>
    <w:rsid w:val="0003733F"/>
    <w:rsid w:val="00037351"/>
    <w:rsid w:val="00037354"/>
    <w:rsid w:val="0003737F"/>
    <w:rsid w:val="00037385"/>
    <w:rsid w:val="00037391"/>
    <w:rsid w:val="000373BC"/>
    <w:rsid w:val="000373C0"/>
    <w:rsid w:val="000373E3"/>
    <w:rsid w:val="00037472"/>
    <w:rsid w:val="00037473"/>
    <w:rsid w:val="00037480"/>
    <w:rsid w:val="000374C7"/>
    <w:rsid w:val="000374D3"/>
    <w:rsid w:val="00037512"/>
    <w:rsid w:val="00037564"/>
    <w:rsid w:val="0003758F"/>
    <w:rsid w:val="0003759B"/>
    <w:rsid w:val="000375D8"/>
    <w:rsid w:val="00037609"/>
    <w:rsid w:val="0003760E"/>
    <w:rsid w:val="00037615"/>
    <w:rsid w:val="0003762F"/>
    <w:rsid w:val="000376A6"/>
    <w:rsid w:val="0003775C"/>
    <w:rsid w:val="000377C2"/>
    <w:rsid w:val="000377F8"/>
    <w:rsid w:val="00037864"/>
    <w:rsid w:val="000378A0"/>
    <w:rsid w:val="000378AD"/>
    <w:rsid w:val="000378CC"/>
    <w:rsid w:val="000378D4"/>
    <w:rsid w:val="0003790A"/>
    <w:rsid w:val="000379D6"/>
    <w:rsid w:val="000379ED"/>
    <w:rsid w:val="00037AC9"/>
    <w:rsid w:val="00037AD3"/>
    <w:rsid w:val="00037B0C"/>
    <w:rsid w:val="00037B39"/>
    <w:rsid w:val="00037B98"/>
    <w:rsid w:val="00037C16"/>
    <w:rsid w:val="00037C22"/>
    <w:rsid w:val="00037C6C"/>
    <w:rsid w:val="00037CE7"/>
    <w:rsid w:val="00037CFA"/>
    <w:rsid w:val="00037D45"/>
    <w:rsid w:val="00037D78"/>
    <w:rsid w:val="00037DC7"/>
    <w:rsid w:val="00037DE0"/>
    <w:rsid w:val="00037E14"/>
    <w:rsid w:val="00037E93"/>
    <w:rsid w:val="00037EBB"/>
    <w:rsid w:val="00037EDF"/>
    <w:rsid w:val="00037F38"/>
    <w:rsid w:val="00037F6B"/>
    <w:rsid w:val="00037F9F"/>
    <w:rsid w:val="00037FBE"/>
    <w:rsid w:val="00037FCD"/>
    <w:rsid w:val="0004007A"/>
    <w:rsid w:val="000400C6"/>
    <w:rsid w:val="000400DC"/>
    <w:rsid w:val="000400DD"/>
    <w:rsid w:val="00040100"/>
    <w:rsid w:val="00040166"/>
    <w:rsid w:val="0004024E"/>
    <w:rsid w:val="00040250"/>
    <w:rsid w:val="000402AA"/>
    <w:rsid w:val="000402DD"/>
    <w:rsid w:val="00040486"/>
    <w:rsid w:val="000404FB"/>
    <w:rsid w:val="0004064E"/>
    <w:rsid w:val="0004067B"/>
    <w:rsid w:val="00040702"/>
    <w:rsid w:val="00040709"/>
    <w:rsid w:val="00040720"/>
    <w:rsid w:val="00040776"/>
    <w:rsid w:val="000407B2"/>
    <w:rsid w:val="000407E9"/>
    <w:rsid w:val="000407F9"/>
    <w:rsid w:val="000407FC"/>
    <w:rsid w:val="00040809"/>
    <w:rsid w:val="00040821"/>
    <w:rsid w:val="00040825"/>
    <w:rsid w:val="000408E3"/>
    <w:rsid w:val="000408E5"/>
    <w:rsid w:val="000408E9"/>
    <w:rsid w:val="000408FE"/>
    <w:rsid w:val="0004091B"/>
    <w:rsid w:val="00040927"/>
    <w:rsid w:val="0004095D"/>
    <w:rsid w:val="000409A2"/>
    <w:rsid w:val="00040A49"/>
    <w:rsid w:val="00040B3E"/>
    <w:rsid w:val="00040B59"/>
    <w:rsid w:val="00040BBB"/>
    <w:rsid w:val="00040BC1"/>
    <w:rsid w:val="00040C36"/>
    <w:rsid w:val="00040CBB"/>
    <w:rsid w:val="00040CF4"/>
    <w:rsid w:val="00040D4C"/>
    <w:rsid w:val="00040D7C"/>
    <w:rsid w:val="00040D99"/>
    <w:rsid w:val="00040DA3"/>
    <w:rsid w:val="00040DAA"/>
    <w:rsid w:val="00040DE0"/>
    <w:rsid w:val="00040DE1"/>
    <w:rsid w:val="00040DEA"/>
    <w:rsid w:val="00040DEF"/>
    <w:rsid w:val="00040E3B"/>
    <w:rsid w:val="00040E72"/>
    <w:rsid w:val="00040E77"/>
    <w:rsid w:val="00040F12"/>
    <w:rsid w:val="00040FBE"/>
    <w:rsid w:val="0004101F"/>
    <w:rsid w:val="00041060"/>
    <w:rsid w:val="00041088"/>
    <w:rsid w:val="000410B1"/>
    <w:rsid w:val="000411EF"/>
    <w:rsid w:val="0004120C"/>
    <w:rsid w:val="00041229"/>
    <w:rsid w:val="00041259"/>
    <w:rsid w:val="00041274"/>
    <w:rsid w:val="000412B1"/>
    <w:rsid w:val="000412E9"/>
    <w:rsid w:val="000412FB"/>
    <w:rsid w:val="0004130F"/>
    <w:rsid w:val="00041315"/>
    <w:rsid w:val="0004132A"/>
    <w:rsid w:val="00041359"/>
    <w:rsid w:val="00041390"/>
    <w:rsid w:val="0004139B"/>
    <w:rsid w:val="000413B3"/>
    <w:rsid w:val="000413DA"/>
    <w:rsid w:val="000413E8"/>
    <w:rsid w:val="000413E9"/>
    <w:rsid w:val="00041409"/>
    <w:rsid w:val="00041464"/>
    <w:rsid w:val="00041483"/>
    <w:rsid w:val="000414D5"/>
    <w:rsid w:val="000414F2"/>
    <w:rsid w:val="0004150D"/>
    <w:rsid w:val="0004167E"/>
    <w:rsid w:val="00041774"/>
    <w:rsid w:val="0004179A"/>
    <w:rsid w:val="000417D5"/>
    <w:rsid w:val="000417F7"/>
    <w:rsid w:val="00041889"/>
    <w:rsid w:val="0004189D"/>
    <w:rsid w:val="000418D0"/>
    <w:rsid w:val="00041901"/>
    <w:rsid w:val="00041958"/>
    <w:rsid w:val="0004196F"/>
    <w:rsid w:val="00041976"/>
    <w:rsid w:val="00041995"/>
    <w:rsid w:val="000419A2"/>
    <w:rsid w:val="00041A13"/>
    <w:rsid w:val="00041A3B"/>
    <w:rsid w:val="00041A3C"/>
    <w:rsid w:val="00041A9C"/>
    <w:rsid w:val="00041AD9"/>
    <w:rsid w:val="00041AE3"/>
    <w:rsid w:val="00041AF6"/>
    <w:rsid w:val="00041B18"/>
    <w:rsid w:val="00041B45"/>
    <w:rsid w:val="00041B6D"/>
    <w:rsid w:val="00041BB0"/>
    <w:rsid w:val="00041C1F"/>
    <w:rsid w:val="00041C93"/>
    <w:rsid w:val="00041CBF"/>
    <w:rsid w:val="00041CC3"/>
    <w:rsid w:val="00041D2F"/>
    <w:rsid w:val="00041DE2"/>
    <w:rsid w:val="00041DFB"/>
    <w:rsid w:val="00041E60"/>
    <w:rsid w:val="00041E87"/>
    <w:rsid w:val="00041EDC"/>
    <w:rsid w:val="00041F34"/>
    <w:rsid w:val="00041F37"/>
    <w:rsid w:val="00041F3A"/>
    <w:rsid w:val="00041F3B"/>
    <w:rsid w:val="00041F42"/>
    <w:rsid w:val="00041F68"/>
    <w:rsid w:val="00041FA5"/>
    <w:rsid w:val="00041FB6"/>
    <w:rsid w:val="00042081"/>
    <w:rsid w:val="00042106"/>
    <w:rsid w:val="0004213A"/>
    <w:rsid w:val="00042166"/>
    <w:rsid w:val="00042173"/>
    <w:rsid w:val="00042275"/>
    <w:rsid w:val="00042289"/>
    <w:rsid w:val="000422C1"/>
    <w:rsid w:val="0004235F"/>
    <w:rsid w:val="000423D7"/>
    <w:rsid w:val="000423DB"/>
    <w:rsid w:val="000423F5"/>
    <w:rsid w:val="0004248A"/>
    <w:rsid w:val="0004249D"/>
    <w:rsid w:val="0004252C"/>
    <w:rsid w:val="00042554"/>
    <w:rsid w:val="00042583"/>
    <w:rsid w:val="000425FB"/>
    <w:rsid w:val="00042684"/>
    <w:rsid w:val="000426E6"/>
    <w:rsid w:val="000426F6"/>
    <w:rsid w:val="00042711"/>
    <w:rsid w:val="0004274D"/>
    <w:rsid w:val="0004279C"/>
    <w:rsid w:val="000427E3"/>
    <w:rsid w:val="00042815"/>
    <w:rsid w:val="00042833"/>
    <w:rsid w:val="00042839"/>
    <w:rsid w:val="0004283E"/>
    <w:rsid w:val="00042864"/>
    <w:rsid w:val="00042881"/>
    <w:rsid w:val="000428AE"/>
    <w:rsid w:val="000428D2"/>
    <w:rsid w:val="000428E9"/>
    <w:rsid w:val="0004290A"/>
    <w:rsid w:val="00042962"/>
    <w:rsid w:val="0004296A"/>
    <w:rsid w:val="00042983"/>
    <w:rsid w:val="00042990"/>
    <w:rsid w:val="00042ADA"/>
    <w:rsid w:val="00042B07"/>
    <w:rsid w:val="00042B44"/>
    <w:rsid w:val="00042B92"/>
    <w:rsid w:val="00042BA7"/>
    <w:rsid w:val="00042C0B"/>
    <w:rsid w:val="00042C3C"/>
    <w:rsid w:val="00042C42"/>
    <w:rsid w:val="00042CB0"/>
    <w:rsid w:val="00042E39"/>
    <w:rsid w:val="00042E6E"/>
    <w:rsid w:val="00042EED"/>
    <w:rsid w:val="00042F20"/>
    <w:rsid w:val="00042FA8"/>
    <w:rsid w:val="00042FE9"/>
    <w:rsid w:val="00042FFC"/>
    <w:rsid w:val="0004303B"/>
    <w:rsid w:val="0004307C"/>
    <w:rsid w:val="000430A5"/>
    <w:rsid w:val="000430A8"/>
    <w:rsid w:val="00043132"/>
    <w:rsid w:val="00043134"/>
    <w:rsid w:val="00043139"/>
    <w:rsid w:val="00043203"/>
    <w:rsid w:val="0004320E"/>
    <w:rsid w:val="0004323C"/>
    <w:rsid w:val="00043285"/>
    <w:rsid w:val="000432EA"/>
    <w:rsid w:val="00043318"/>
    <w:rsid w:val="00043348"/>
    <w:rsid w:val="00043369"/>
    <w:rsid w:val="000433C8"/>
    <w:rsid w:val="000433E2"/>
    <w:rsid w:val="00043416"/>
    <w:rsid w:val="00043431"/>
    <w:rsid w:val="00043439"/>
    <w:rsid w:val="0004345B"/>
    <w:rsid w:val="00043536"/>
    <w:rsid w:val="0004353E"/>
    <w:rsid w:val="0004355E"/>
    <w:rsid w:val="00043563"/>
    <w:rsid w:val="00043578"/>
    <w:rsid w:val="000435BB"/>
    <w:rsid w:val="000435BC"/>
    <w:rsid w:val="000435F3"/>
    <w:rsid w:val="00043602"/>
    <w:rsid w:val="00043612"/>
    <w:rsid w:val="00043666"/>
    <w:rsid w:val="000436F3"/>
    <w:rsid w:val="000436FB"/>
    <w:rsid w:val="00043759"/>
    <w:rsid w:val="0004377D"/>
    <w:rsid w:val="00043832"/>
    <w:rsid w:val="00043867"/>
    <w:rsid w:val="000438E3"/>
    <w:rsid w:val="0004390C"/>
    <w:rsid w:val="00043935"/>
    <w:rsid w:val="00043975"/>
    <w:rsid w:val="00043979"/>
    <w:rsid w:val="000439C7"/>
    <w:rsid w:val="00043A02"/>
    <w:rsid w:val="00043A04"/>
    <w:rsid w:val="00043A93"/>
    <w:rsid w:val="00043AA6"/>
    <w:rsid w:val="00043AB8"/>
    <w:rsid w:val="00043B14"/>
    <w:rsid w:val="00043BB8"/>
    <w:rsid w:val="00043BBB"/>
    <w:rsid w:val="00043BCD"/>
    <w:rsid w:val="00043C19"/>
    <w:rsid w:val="00043C93"/>
    <w:rsid w:val="00043CBE"/>
    <w:rsid w:val="00043D65"/>
    <w:rsid w:val="00043E36"/>
    <w:rsid w:val="00043E40"/>
    <w:rsid w:val="00043F26"/>
    <w:rsid w:val="00043F2B"/>
    <w:rsid w:val="00043FC4"/>
    <w:rsid w:val="000440EA"/>
    <w:rsid w:val="0004419C"/>
    <w:rsid w:val="000441E9"/>
    <w:rsid w:val="00044214"/>
    <w:rsid w:val="0004423D"/>
    <w:rsid w:val="00044257"/>
    <w:rsid w:val="000442A7"/>
    <w:rsid w:val="000442BC"/>
    <w:rsid w:val="000442C1"/>
    <w:rsid w:val="000443F9"/>
    <w:rsid w:val="00044410"/>
    <w:rsid w:val="00044461"/>
    <w:rsid w:val="00044490"/>
    <w:rsid w:val="000444B6"/>
    <w:rsid w:val="000444DB"/>
    <w:rsid w:val="000445A6"/>
    <w:rsid w:val="000445AF"/>
    <w:rsid w:val="000445DA"/>
    <w:rsid w:val="000445E3"/>
    <w:rsid w:val="000445EB"/>
    <w:rsid w:val="000445FA"/>
    <w:rsid w:val="0004460C"/>
    <w:rsid w:val="0004461E"/>
    <w:rsid w:val="0004464B"/>
    <w:rsid w:val="0004467B"/>
    <w:rsid w:val="00044681"/>
    <w:rsid w:val="00044688"/>
    <w:rsid w:val="0004469B"/>
    <w:rsid w:val="000446BC"/>
    <w:rsid w:val="000446E9"/>
    <w:rsid w:val="000446F5"/>
    <w:rsid w:val="0004473A"/>
    <w:rsid w:val="0004473F"/>
    <w:rsid w:val="0004477C"/>
    <w:rsid w:val="0004479B"/>
    <w:rsid w:val="00044812"/>
    <w:rsid w:val="00044815"/>
    <w:rsid w:val="0004483F"/>
    <w:rsid w:val="0004489D"/>
    <w:rsid w:val="000448D3"/>
    <w:rsid w:val="0004491B"/>
    <w:rsid w:val="00044951"/>
    <w:rsid w:val="00044966"/>
    <w:rsid w:val="000449EE"/>
    <w:rsid w:val="00044A30"/>
    <w:rsid w:val="00044A4F"/>
    <w:rsid w:val="00044A90"/>
    <w:rsid w:val="00044ABE"/>
    <w:rsid w:val="00044AF7"/>
    <w:rsid w:val="00044B09"/>
    <w:rsid w:val="00044B39"/>
    <w:rsid w:val="00044B62"/>
    <w:rsid w:val="00044C74"/>
    <w:rsid w:val="00044C9F"/>
    <w:rsid w:val="00044D32"/>
    <w:rsid w:val="00044DBB"/>
    <w:rsid w:val="00044E47"/>
    <w:rsid w:val="00044E5D"/>
    <w:rsid w:val="00044EE7"/>
    <w:rsid w:val="00044F1F"/>
    <w:rsid w:val="00044F32"/>
    <w:rsid w:val="00044F3E"/>
    <w:rsid w:val="00044F6B"/>
    <w:rsid w:val="00044F8F"/>
    <w:rsid w:val="00044FB6"/>
    <w:rsid w:val="00044FCB"/>
    <w:rsid w:val="00045001"/>
    <w:rsid w:val="00045089"/>
    <w:rsid w:val="000450F4"/>
    <w:rsid w:val="000451D3"/>
    <w:rsid w:val="00045219"/>
    <w:rsid w:val="00045234"/>
    <w:rsid w:val="00045279"/>
    <w:rsid w:val="00045285"/>
    <w:rsid w:val="0004528D"/>
    <w:rsid w:val="000452D1"/>
    <w:rsid w:val="00045369"/>
    <w:rsid w:val="0004536A"/>
    <w:rsid w:val="00045374"/>
    <w:rsid w:val="0004537D"/>
    <w:rsid w:val="00045389"/>
    <w:rsid w:val="000453F9"/>
    <w:rsid w:val="000453FF"/>
    <w:rsid w:val="000454A5"/>
    <w:rsid w:val="000454DB"/>
    <w:rsid w:val="00045507"/>
    <w:rsid w:val="000455DD"/>
    <w:rsid w:val="0004561B"/>
    <w:rsid w:val="0004566C"/>
    <w:rsid w:val="00045697"/>
    <w:rsid w:val="000456BD"/>
    <w:rsid w:val="000456CD"/>
    <w:rsid w:val="0004570C"/>
    <w:rsid w:val="000457D0"/>
    <w:rsid w:val="000457D6"/>
    <w:rsid w:val="0004581C"/>
    <w:rsid w:val="0004581D"/>
    <w:rsid w:val="00045856"/>
    <w:rsid w:val="0004586C"/>
    <w:rsid w:val="00045879"/>
    <w:rsid w:val="00045888"/>
    <w:rsid w:val="000458FF"/>
    <w:rsid w:val="00045914"/>
    <w:rsid w:val="0004591B"/>
    <w:rsid w:val="00045926"/>
    <w:rsid w:val="00045988"/>
    <w:rsid w:val="0004598C"/>
    <w:rsid w:val="00045A4C"/>
    <w:rsid w:val="00045AB6"/>
    <w:rsid w:val="00045ABE"/>
    <w:rsid w:val="00045ADE"/>
    <w:rsid w:val="00045B17"/>
    <w:rsid w:val="00045B40"/>
    <w:rsid w:val="00045B70"/>
    <w:rsid w:val="00045C3C"/>
    <w:rsid w:val="00045C61"/>
    <w:rsid w:val="00045C7E"/>
    <w:rsid w:val="00045E27"/>
    <w:rsid w:val="00045E2F"/>
    <w:rsid w:val="00045E89"/>
    <w:rsid w:val="00045EB9"/>
    <w:rsid w:val="00045EE3"/>
    <w:rsid w:val="00045F12"/>
    <w:rsid w:val="00045F6C"/>
    <w:rsid w:val="00045F73"/>
    <w:rsid w:val="00045F7A"/>
    <w:rsid w:val="0004600F"/>
    <w:rsid w:val="0004608A"/>
    <w:rsid w:val="000460DE"/>
    <w:rsid w:val="0004612C"/>
    <w:rsid w:val="00046142"/>
    <w:rsid w:val="00046153"/>
    <w:rsid w:val="00046294"/>
    <w:rsid w:val="000462CB"/>
    <w:rsid w:val="000462D1"/>
    <w:rsid w:val="000462D4"/>
    <w:rsid w:val="0004636A"/>
    <w:rsid w:val="0004637D"/>
    <w:rsid w:val="000463D9"/>
    <w:rsid w:val="000463E2"/>
    <w:rsid w:val="000463E6"/>
    <w:rsid w:val="00046411"/>
    <w:rsid w:val="00046448"/>
    <w:rsid w:val="0004644A"/>
    <w:rsid w:val="00046457"/>
    <w:rsid w:val="00046489"/>
    <w:rsid w:val="000464D3"/>
    <w:rsid w:val="0004651B"/>
    <w:rsid w:val="00046549"/>
    <w:rsid w:val="00046560"/>
    <w:rsid w:val="000465E0"/>
    <w:rsid w:val="000466E6"/>
    <w:rsid w:val="00046749"/>
    <w:rsid w:val="0004675D"/>
    <w:rsid w:val="0004679C"/>
    <w:rsid w:val="000467FF"/>
    <w:rsid w:val="0004681A"/>
    <w:rsid w:val="0004683F"/>
    <w:rsid w:val="00046856"/>
    <w:rsid w:val="0004689A"/>
    <w:rsid w:val="000468D2"/>
    <w:rsid w:val="0004690F"/>
    <w:rsid w:val="00046945"/>
    <w:rsid w:val="00046958"/>
    <w:rsid w:val="000469B7"/>
    <w:rsid w:val="00046A36"/>
    <w:rsid w:val="00046A8B"/>
    <w:rsid w:val="00046AD0"/>
    <w:rsid w:val="00046AF9"/>
    <w:rsid w:val="00046B5E"/>
    <w:rsid w:val="00046B74"/>
    <w:rsid w:val="00046B75"/>
    <w:rsid w:val="00046B87"/>
    <w:rsid w:val="00046B88"/>
    <w:rsid w:val="00046B96"/>
    <w:rsid w:val="00046BCD"/>
    <w:rsid w:val="00046BD8"/>
    <w:rsid w:val="00046C14"/>
    <w:rsid w:val="00046C34"/>
    <w:rsid w:val="00046C63"/>
    <w:rsid w:val="00046C74"/>
    <w:rsid w:val="00046CA5"/>
    <w:rsid w:val="00046CA9"/>
    <w:rsid w:val="00046D09"/>
    <w:rsid w:val="00046ED9"/>
    <w:rsid w:val="00046EE6"/>
    <w:rsid w:val="00046F01"/>
    <w:rsid w:val="00046F35"/>
    <w:rsid w:val="00046F69"/>
    <w:rsid w:val="00046FE8"/>
    <w:rsid w:val="0004704A"/>
    <w:rsid w:val="000470CB"/>
    <w:rsid w:val="000470F4"/>
    <w:rsid w:val="00047181"/>
    <w:rsid w:val="000471B4"/>
    <w:rsid w:val="00047229"/>
    <w:rsid w:val="00047260"/>
    <w:rsid w:val="00047284"/>
    <w:rsid w:val="000472AE"/>
    <w:rsid w:val="000472C1"/>
    <w:rsid w:val="00047328"/>
    <w:rsid w:val="00047374"/>
    <w:rsid w:val="0004739C"/>
    <w:rsid w:val="0004739D"/>
    <w:rsid w:val="000473B9"/>
    <w:rsid w:val="000473C1"/>
    <w:rsid w:val="0004741E"/>
    <w:rsid w:val="00047463"/>
    <w:rsid w:val="0004747F"/>
    <w:rsid w:val="00047499"/>
    <w:rsid w:val="000474D4"/>
    <w:rsid w:val="0004755E"/>
    <w:rsid w:val="0004759B"/>
    <w:rsid w:val="000475F8"/>
    <w:rsid w:val="00047612"/>
    <w:rsid w:val="0004761C"/>
    <w:rsid w:val="0004764D"/>
    <w:rsid w:val="00047653"/>
    <w:rsid w:val="0004765B"/>
    <w:rsid w:val="000476F7"/>
    <w:rsid w:val="00047740"/>
    <w:rsid w:val="00047774"/>
    <w:rsid w:val="000477E8"/>
    <w:rsid w:val="000477FE"/>
    <w:rsid w:val="0004783E"/>
    <w:rsid w:val="00047849"/>
    <w:rsid w:val="00047883"/>
    <w:rsid w:val="00047892"/>
    <w:rsid w:val="000478FF"/>
    <w:rsid w:val="00047908"/>
    <w:rsid w:val="00047969"/>
    <w:rsid w:val="000479DD"/>
    <w:rsid w:val="000479DF"/>
    <w:rsid w:val="000479F9"/>
    <w:rsid w:val="00047A2D"/>
    <w:rsid w:val="00047A6B"/>
    <w:rsid w:val="00047AC8"/>
    <w:rsid w:val="00047B14"/>
    <w:rsid w:val="00047B47"/>
    <w:rsid w:val="00047BA0"/>
    <w:rsid w:val="00047BD3"/>
    <w:rsid w:val="00047D19"/>
    <w:rsid w:val="00047D41"/>
    <w:rsid w:val="00047D71"/>
    <w:rsid w:val="00047DA0"/>
    <w:rsid w:val="00047DF8"/>
    <w:rsid w:val="00047E11"/>
    <w:rsid w:val="00047E51"/>
    <w:rsid w:val="00047EAA"/>
    <w:rsid w:val="00047EB0"/>
    <w:rsid w:val="00047F3D"/>
    <w:rsid w:val="00047F43"/>
    <w:rsid w:val="00047F91"/>
    <w:rsid w:val="00047FD8"/>
    <w:rsid w:val="0005000A"/>
    <w:rsid w:val="000500F1"/>
    <w:rsid w:val="0005010D"/>
    <w:rsid w:val="00050166"/>
    <w:rsid w:val="0005016A"/>
    <w:rsid w:val="0005018A"/>
    <w:rsid w:val="000501D3"/>
    <w:rsid w:val="000501EB"/>
    <w:rsid w:val="000501FC"/>
    <w:rsid w:val="00050226"/>
    <w:rsid w:val="000502BE"/>
    <w:rsid w:val="000502CF"/>
    <w:rsid w:val="00050306"/>
    <w:rsid w:val="00050310"/>
    <w:rsid w:val="000503C6"/>
    <w:rsid w:val="000503F0"/>
    <w:rsid w:val="00050488"/>
    <w:rsid w:val="00050559"/>
    <w:rsid w:val="0005055B"/>
    <w:rsid w:val="0005056D"/>
    <w:rsid w:val="000505A1"/>
    <w:rsid w:val="000505AB"/>
    <w:rsid w:val="00050689"/>
    <w:rsid w:val="000506C8"/>
    <w:rsid w:val="00050728"/>
    <w:rsid w:val="00050787"/>
    <w:rsid w:val="00050792"/>
    <w:rsid w:val="00050825"/>
    <w:rsid w:val="00050836"/>
    <w:rsid w:val="00050842"/>
    <w:rsid w:val="00050865"/>
    <w:rsid w:val="000508D3"/>
    <w:rsid w:val="0005092F"/>
    <w:rsid w:val="00050930"/>
    <w:rsid w:val="00050979"/>
    <w:rsid w:val="0005098B"/>
    <w:rsid w:val="00050991"/>
    <w:rsid w:val="000509A1"/>
    <w:rsid w:val="000509D7"/>
    <w:rsid w:val="000509E1"/>
    <w:rsid w:val="00050A36"/>
    <w:rsid w:val="00050A3A"/>
    <w:rsid w:val="00050A6B"/>
    <w:rsid w:val="00050A96"/>
    <w:rsid w:val="00050AA0"/>
    <w:rsid w:val="00050ABA"/>
    <w:rsid w:val="00050AFE"/>
    <w:rsid w:val="00050B45"/>
    <w:rsid w:val="00050B51"/>
    <w:rsid w:val="00050B5E"/>
    <w:rsid w:val="00050BCC"/>
    <w:rsid w:val="00050C17"/>
    <w:rsid w:val="00050C71"/>
    <w:rsid w:val="00050C8C"/>
    <w:rsid w:val="00050CA0"/>
    <w:rsid w:val="00050CC0"/>
    <w:rsid w:val="00050CF2"/>
    <w:rsid w:val="00050D15"/>
    <w:rsid w:val="00050D25"/>
    <w:rsid w:val="00050D2C"/>
    <w:rsid w:val="00050DB2"/>
    <w:rsid w:val="00050DDB"/>
    <w:rsid w:val="00050E04"/>
    <w:rsid w:val="00050E6A"/>
    <w:rsid w:val="00050E85"/>
    <w:rsid w:val="00050EE7"/>
    <w:rsid w:val="00050EFF"/>
    <w:rsid w:val="00050F2A"/>
    <w:rsid w:val="00051026"/>
    <w:rsid w:val="00051036"/>
    <w:rsid w:val="0005104C"/>
    <w:rsid w:val="00051077"/>
    <w:rsid w:val="00051097"/>
    <w:rsid w:val="000510C4"/>
    <w:rsid w:val="000510EB"/>
    <w:rsid w:val="000510EE"/>
    <w:rsid w:val="000510F1"/>
    <w:rsid w:val="000510F9"/>
    <w:rsid w:val="00051110"/>
    <w:rsid w:val="00051186"/>
    <w:rsid w:val="00051198"/>
    <w:rsid w:val="000511D8"/>
    <w:rsid w:val="000512A7"/>
    <w:rsid w:val="00051342"/>
    <w:rsid w:val="00051360"/>
    <w:rsid w:val="0005138B"/>
    <w:rsid w:val="000513A0"/>
    <w:rsid w:val="000513B3"/>
    <w:rsid w:val="000513DE"/>
    <w:rsid w:val="000513FC"/>
    <w:rsid w:val="0005140A"/>
    <w:rsid w:val="0005147D"/>
    <w:rsid w:val="0005147E"/>
    <w:rsid w:val="0005150F"/>
    <w:rsid w:val="00051523"/>
    <w:rsid w:val="000515B5"/>
    <w:rsid w:val="000515FB"/>
    <w:rsid w:val="00051653"/>
    <w:rsid w:val="00051683"/>
    <w:rsid w:val="000516CC"/>
    <w:rsid w:val="000516EE"/>
    <w:rsid w:val="00051705"/>
    <w:rsid w:val="0005172B"/>
    <w:rsid w:val="00051731"/>
    <w:rsid w:val="00051777"/>
    <w:rsid w:val="00051817"/>
    <w:rsid w:val="0005189A"/>
    <w:rsid w:val="0005194C"/>
    <w:rsid w:val="0005196A"/>
    <w:rsid w:val="000519BA"/>
    <w:rsid w:val="000519E1"/>
    <w:rsid w:val="00051A60"/>
    <w:rsid w:val="00051B07"/>
    <w:rsid w:val="00051B1E"/>
    <w:rsid w:val="00051B40"/>
    <w:rsid w:val="00051BB2"/>
    <w:rsid w:val="00051BD2"/>
    <w:rsid w:val="00051C83"/>
    <w:rsid w:val="00051C92"/>
    <w:rsid w:val="00051CBB"/>
    <w:rsid w:val="00051CF8"/>
    <w:rsid w:val="00051D1D"/>
    <w:rsid w:val="00051D67"/>
    <w:rsid w:val="00051DE1"/>
    <w:rsid w:val="00051E25"/>
    <w:rsid w:val="00051E6E"/>
    <w:rsid w:val="00051E99"/>
    <w:rsid w:val="00051EA5"/>
    <w:rsid w:val="00051EAF"/>
    <w:rsid w:val="00051EDB"/>
    <w:rsid w:val="00052013"/>
    <w:rsid w:val="00052029"/>
    <w:rsid w:val="00052044"/>
    <w:rsid w:val="00052046"/>
    <w:rsid w:val="0005206D"/>
    <w:rsid w:val="0005208C"/>
    <w:rsid w:val="000520A4"/>
    <w:rsid w:val="000520AB"/>
    <w:rsid w:val="000520E0"/>
    <w:rsid w:val="000520E8"/>
    <w:rsid w:val="0005216E"/>
    <w:rsid w:val="00052197"/>
    <w:rsid w:val="000521B7"/>
    <w:rsid w:val="000521B9"/>
    <w:rsid w:val="000521C0"/>
    <w:rsid w:val="000521DB"/>
    <w:rsid w:val="00052232"/>
    <w:rsid w:val="000522B7"/>
    <w:rsid w:val="000522CD"/>
    <w:rsid w:val="000522DC"/>
    <w:rsid w:val="000522E3"/>
    <w:rsid w:val="00052336"/>
    <w:rsid w:val="0005233F"/>
    <w:rsid w:val="00052351"/>
    <w:rsid w:val="000523D3"/>
    <w:rsid w:val="00052429"/>
    <w:rsid w:val="0005244D"/>
    <w:rsid w:val="00052465"/>
    <w:rsid w:val="00052496"/>
    <w:rsid w:val="000524A4"/>
    <w:rsid w:val="000524DD"/>
    <w:rsid w:val="000524E3"/>
    <w:rsid w:val="00052513"/>
    <w:rsid w:val="00052604"/>
    <w:rsid w:val="00052688"/>
    <w:rsid w:val="00052694"/>
    <w:rsid w:val="0005269E"/>
    <w:rsid w:val="000526FC"/>
    <w:rsid w:val="0005270B"/>
    <w:rsid w:val="00052740"/>
    <w:rsid w:val="00052750"/>
    <w:rsid w:val="000527F6"/>
    <w:rsid w:val="0005281B"/>
    <w:rsid w:val="00052895"/>
    <w:rsid w:val="000528C1"/>
    <w:rsid w:val="00052955"/>
    <w:rsid w:val="0005298D"/>
    <w:rsid w:val="000529EA"/>
    <w:rsid w:val="00052A0A"/>
    <w:rsid w:val="00052B10"/>
    <w:rsid w:val="00052B32"/>
    <w:rsid w:val="00052B8A"/>
    <w:rsid w:val="00052B99"/>
    <w:rsid w:val="00052B9B"/>
    <w:rsid w:val="00052B9D"/>
    <w:rsid w:val="00052BAA"/>
    <w:rsid w:val="00052BBD"/>
    <w:rsid w:val="00052C06"/>
    <w:rsid w:val="00052C65"/>
    <w:rsid w:val="00052CA8"/>
    <w:rsid w:val="00052CC2"/>
    <w:rsid w:val="00052D16"/>
    <w:rsid w:val="00052D62"/>
    <w:rsid w:val="00052D8B"/>
    <w:rsid w:val="00052DAA"/>
    <w:rsid w:val="00052DD7"/>
    <w:rsid w:val="00052E69"/>
    <w:rsid w:val="00052EA0"/>
    <w:rsid w:val="00052EA3"/>
    <w:rsid w:val="00052ED2"/>
    <w:rsid w:val="00052EE0"/>
    <w:rsid w:val="00052EEB"/>
    <w:rsid w:val="00053099"/>
    <w:rsid w:val="000530F7"/>
    <w:rsid w:val="00053118"/>
    <w:rsid w:val="000531B1"/>
    <w:rsid w:val="000531F8"/>
    <w:rsid w:val="00053218"/>
    <w:rsid w:val="0005321A"/>
    <w:rsid w:val="00053244"/>
    <w:rsid w:val="00053268"/>
    <w:rsid w:val="000532B1"/>
    <w:rsid w:val="00053337"/>
    <w:rsid w:val="0005343E"/>
    <w:rsid w:val="000534B5"/>
    <w:rsid w:val="00053573"/>
    <w:rsid w:val="00053587"/>
    <w:rsid w:val="000535AA"/>
    <w:rsid w:val="000535AD"/>
    <w:rsid w:val="000535CE"/>
    <w:rsid w:val="00053645"/>
    <w:rsid w:val="0005364A"/>
    <w:rsid w:val="0005365D"/>
    <w:rsid w:val="000536E1"/>
    <w:rsid w:val="00053726"/>
    <w:rsid w:val="00053745"/>
    <w:rsid w:val="00053780"/>
    <w:rsid w:val="000537A1"/>
    <w:rsid w:val="000537EA"/>
    <w:rsid w:val="00053814"/>
    <w:rsid w:val="00053829"/>
    <w:rsid w:val="00053834"/>
    <w:rsid w:val="00053864"/>
    <w:rsid w:val="00053942"/>
    <w:rsid w:val="00053994"/>
    <w:rsid w:val="00053A22"/>
    <w:rsid w:val="00053A46"/>
    <w:rsid w:val="00053A9A"/>
    <w:rsid w:val="00053AF3"/>
    <w:rsid w:val="00053B01"/>
    <w:rsid w:val="00053B03"/>
    <w:rsid w:val="00053B19"/>
    <w:rsid w:val="00053BE5"/>
    <w:rsid w:val="00053C2E"/>
    <w:rsid w:val="00053C44"/>
    <w:rsid w:val="00053CE1"/>
    <w:rsid w:val="00053CFC"/>
    <w:rsid w:val="00053D11"/>
    <w:rsid w:val="00053DE1"/>
    <w:rsid w:val="00053E14"/>
    <w:rsid w:val="00053E27"/>
    <w:rsid w:val="00053E2E"/>
    <w:rsid w:val="00053E48"/>
    <w:rsid w:val="00053F00"/>
    <w:rsid w:val="00053F44"/>
    <w:rsid w:val="00053FA8"/>
    <w:rsid w:val="00053FDB"/>
    <w:rsid w:val="0005405D"/>
    <w:rsid w:val="000540BD"/>
    <w:rsid w:val="00054141"/>
    <w:rsid w:val="000542B2"/>
    <w:rsid w:val="0005434F"/>
    <w:rsid w:val="0005438E"/>
    <w:rsid w:val="000543AA"/>
    <w:rsid w:val="0005441D"/>
    <w:rsid w:val="00054460"/>
    <w:rsid w:val="000544DE"/>
    <w:rsid w:val="00054558"/>
    <w:rsid w:val="000545A9"/>
    <w:rsid w:val="000545B9"/>
    <w:rsid w:val="000545EB"/>
    <w:rsid w:val="000545F3"/>
    <w:rsid w:val="000545F9"/>
    <w:rsid w:val="00054601"/>
    <w:rsid w:val="0005464C"/>
    <w:rsid w:val="00054708"/>
    <w:rsid w:val="0005470C"/>
    <w:rsid w:val="00054710"/>
    <w:rsid w:val="00054729"/>
    <w:rsid w:val="000547DE"/>
    <w:rsid w:val="000547E0"/>
    <w:rsid w:val="000547F2"/>
    <w:rsid w:val="00054819"/>
    <w:rsid w:val="00054850"/>
    <w:rsid w:val="000548C3"/>
    <w:rsid w:val="000548C9"/>
    <w:rsid w:val="000548F4"/>
    <w:rsid w:val="000548FF"/>
    <w:rsid w:val="00054920"/>
    <w:rsid w:val="0005498E"/>
    <w:rsid w:val="000549BC"/>
    <w:rsid w:val="00054A44"/>
    <w:rsid w:val="00054A75"/>
    <w:rsid w:val="00054A77"/>
    <w:rsid w:val="00054AAD"/>
    <w:rsid w:val="00054B3A"/>
    <w:rsid w:val="00054B69"/>
    <w:rsid w:val="00054C37"/>
    <w:rsid w:val="00054C5C"/>
    <w:rsid w:val="00054C6E"/>
    <w:rsid w:val="00054C78"/>
    <w:rsid w:val="00054CC9"/>
    <w:rsid w:val="00054CD0"/>
    <w:rsid w:val="00054CD5"/>
    <w:rsid w:val="00054D86"/>
    <w:rsid w:val="00054D87"/>
    <w:rsid w:val="00054E41"/>
    <w:rsid w:val="00054E63"/>
    <w:rsid w:val="00054E79"/>
    <w:rsid w:val="00054EC5"/>
    <w:rsid w:val="00054F2F"/>
    <w:rsid w:val="00054F43"/>
    <w:rsid w:val="00054F55"/>
    <w:rsid w:val="00054FA2"/>
    <w:rsid w:val="00054FDC"/>
    <w:rsid w:val="00055029"/>
    <w:rsid w:val="00055086"/>
    <w:rsid w:val="00055091"/>
    <w:rsid w:val="00055106"/>
    <w:rsid w:val="00055133"/>
    <w:rsid w:val="0005513B"/>
    <w:rsid w:val="000551AC"/>
    <w:rsid w:val="000551BA"/>
    <w:rsid w:val="000551DD"/>
    <w:rsid w:val="000551E8"/>
    <w:rsid w:val="000551F4"/>
    <w:rsid w:val="00055222"/>
    <w:rsid w:val="00055236"/>
    <w:rsid w:val="00055274"/>
    <w:rsid w:val="000552CB"/>
    <w:rsid w:val="000552D2"/>
    <w:rsid w:val="00055363"/>
    <w:rsid w:val="00055383"/>
    <w:rsid w:val="00055392"/>
    <w:rsid w:val="0005539E"/>
    <w:rsid w:val="000553BC"/>
    <w:rsid w:val="00055461"/>
    <w:rsid w:val="0005546A"/>
    <w:rsid w:val="000555A6"/>
    <w:rsid w:val="000555F5"/>
    <w:rsid w:val="0005562F"/>
    <w:rsid w:val="0005566C"/>
    <w:rsid w:val="00055697"/>
    <w:rsid w:val="000556A7"/>
    <w:rsid w:val="000556A9"/>
    <w:rsid w:val="000556CC"/>
    <w:rsid w:val="00055747"/>
    <w:rsid w:val="0005579F"/>
    <w:rsid w:val="000557B5"/>
    <w:rsid w:val="000557EE"/>
    <w:rsid w:val="00055805"/>
    <w:rsid w:val="0005584C"/>
    <w:rsid w:val="0005586B"/>
    <w:rsid w:val="000558E0"/>
    <w:rsid w:val="000558F9"/>
    <w:rsid w:val="00055917"/>
    <w:rsid w:val="0005593F"/>
    <w:rsid w:val="00055985"/>
    <w:rsid w:val="00055993"/>
    <w:rsid w:val="000559E5"/>
    <w:rsid w:val="000559EB"/>
    <w:rsid w:val="000559F7"/>
    <w:rsid w:val="00055A6D"/>
    <w:rsid w:val="00055A98"/>
    <w:rsid w:val="00055AEC"/>
    <w:rsid w:val="00055B2B"/>
    <w:rsid w:val="00055B33"/>
    <w:rsid w:val="00055BFD"/>
    <w:rsid w:val="00055C9A"/>
    <w:rsid w:val="00055CA4"/>
    <w:rsid w:val="00055CD2"/>
    <w:rsid w:val="00055D1B"/>
    <w:rsid w:val="00055D41"/>
    <w:rsid w:val="00055D9C"/>
    <w:rsid w:val="00055DAD"/>
    <w:rsid w:val="00055DD2"/>
    <w:rsid w:val="00055DD3"/>
    <w:rsid w:val="00055DF7"/>
    <w:rsid w:val="00055DFD"/>
    <w:rsid w:val="00055E0E"/>
    <w:rsid w:val="00055E71"/>
    <w:rsid w:val="00055ECC"/>
    <w:rsid w:val="00055F8A"/>
    <w:rsid w:val="00055F8E"/>
    <w:rsid w:val="00056004"/>
    <w:rsid w:val="0005602D"/>
    <w:rsid w:val="00056044"/>
    <w:rsid w:val="00056047"/>
    <w:rsid w:val="00056177"/>
    <w:rsid w:val="000561AD"/>
    <w:rsid w:val="000561C4"/>
    <w:rsid w:val="000561C8"/>
    <w:rsid w:val="0005623E"/>
    <w:rsid w:val="00056292"/>
    <w:rsid w:val="00056333"/>
    <w:rsid w:val="00056413"/>
    <w:rsid w:val="000564FB"/>
    <w:rsid w:val="0005651B"/>
    <w:rsid w:val="0005654B"/>
    <w:rsid w:val="0005658B"/>
    <w:rsid w:val="000565B3"/>
    <w:rsid w:val="000565BD"/>
    <w:rsid w:val="000565DE"/>
    <w:rsid w:val="000565E5"/>
    <w:rsid w:val="000565F2"/>
    <w:rsid w:val="00056753"/>
    <w:rsid w:val="0005676C"/>
    <w:rsid w:val="00056794"/>
    <w:rsid w:val="000567B3"/>
    <w:rsid w:val="000567F9"/>
    <w:rsid w:val="00056855"/>
    <w:rsid w:val="00056880"/>
    <w:rsid w:val="0005688D"/>
    <w:rsid w:val="00056895"/>
    <w:rsid w:val="000568BD"/>
    <w:rsid w:val="00056933"/>
    <w:rsid w:val="00056952"/>
    <w:rsid w:val="00056985"/>
    <w:rsid w:val="00056A05"/>
    <w:rsid w:val="00056A72"/>
    <w:rsid w:val="00056BC4"/>
    <w:rsid w:val="00056BFF"/>
    <w:rsid w:val="00056C03"/>
    <w:rsid w:val="00056C4C"/>
    <w:rsid w:val="00056C9D"/>
    <w:rsid w:val="00056CC7"/>
    <w:rsid w:val="00056D55"/>
    <w:rsid w:val="00056D9D"/>
    <w:rsid w:val="00056DE1"/>
    <w:rsid w:val="00056DF2"/>
    <w:rsid w:val="00056E2A"/>
    <w:rsid w:val="00056E38"/>
    <w:rsid w:val="00056E3E"/>
    <w:rsid w:val="00056F0C"/>
    <w:rsid w:val="0005707F"/>
    <w:rsid w:val="00057089"/>
    <w:rsid w:val="00057144"/>
    <w:rsid w:val="0005720A"/>
    <w:rsid w:val="000572C7"/>
    <w:rsid w:val="000572DB"/>
    <w:rsid w:val="000572E9"/>
    <w:rsid w:val="00057319"/>
    <w:rsid w:val="00057354"/>
    <w:rsid w:val="000573CC"/>
    <w:rsid w:val="000573DC"/>
    <w:rsid w:val="000573F9"/>
    <w:rsid w:val="0005740C"/>
    <w:rsid w:val="0005742E"/>
    <w:rsid w:val="0005745F"/>
    <w:rsid w:val="0005746D"/>
    <w:rsid w:val="000574F2"/>
    <w:rsid w:val="000574F3"/>
    <w:rsid w:val="00057547"/>
    <w:rsid w:val="0005756E"/>
    <w:rsid w:val="0005757E"/>
    <w:rsid w:val="0005759D"/>
    <w:rsid w:val="00057613"/>
    <w:rsid w:val="000576B4"/>
    <w:rsid w:val="000576B9"/>
    <w:rsid w:val="000576BD"/>
    <w:rsid w:val="000576C3"/>
    <w:rsid w:val="000576CB"/>
    <w:rsid w:val="000576F1"/>
    <w:rsid w:val="00057772"/>
    <w:rsid w:val="000577B0"/>
    <w:rsid w:val="000577B3"/>
    <w:rsid w:val="000577E1"/>
    <w:rsid w:val="0005781D"/>
    <w:rsid w:val="00057852"/>
    <w:rsid w:val="000578A6"/>
    <w:rsid w:val="000578BB"/>
    <w:rsid w:val="000578BD"/>
    <w:rsid w:val="000578D0"/>
    <w:rsid w:val="000579BA"/>
    <w:rsid w:val="00057A4A"/>
    <w:rsid w:val="00057AB2"/>
    <w:rsid w:val="00057AEC"/>
    <w:rsid w:val="00057AF3"/>
    <w:rsid w:val="00057B2A"/>
    <w:rsid w:val="00057B45"/>
    <w:rsid w:val="00057B4E"/>
    <w:rsid w:val="00057CAC"/>
    <w:rsid w:val="00057CB6"/>
    <w:rsid w:val="00057CFF"/>
    <w:rsid w:val="00057D54"/>
    <w:rsid w:val="00057D90"/>
    <w:rsid w:val="00057DAE"/>
    <w:rsid w:val="00057DEC"/>
    <w:rsid w:val="00057E14"/>
    <w:rsid w:val="00057E25"/>
    <w:rsid w:val="00057E31"/>
    <w:rsid w:val="00057E33"/>
    <w:rsid w:val="00057E45"/>
    <w:rsid w:val="00057E8F"/>
    <w:rsid w:val="00057EBE"/>
    <w:rsid w:val="00057F5B"/>
    <w:rsid w:val="00057FEC"/>
    <w:rsid w:val="00060045"/>
    <w:rsid w:val="00060049"/>
    <w:rsid w:val="0006016A"/>
    <w:rsid w:val="000601C4"/>
    <w:rsid w:val="00060207"/>
    <w:rsid w:val="0006023B"/>
    <w:rsid w:val="0006024C"/>
    <w:rsid w:val="00060286"/>
    <w:rsid w:val="000602AF"/>
    <w:rsid w:val="000602C1"/>
    <w:rsid w:val="000602C6"/>
    <w:rsid w:val="000602D7"/>
    <w:rsid w:val="000603D0"/>
    <w:rsid w:val="000603E7"/>
    <w:rsid w:val="00060436"/>
    <w:rsid w:val="0006043D"/>
    <w:rsid w:val="00060506"/>
    <w:rsid w:val="00060530"/>
    <w:rsid w:val="0006057A"/>
    <w:rsid w:val="000605A6"/>
    <w:rsid w:val="000605B4"/>
    <w:rsid w:val="000605DE"/>
    <w:rsid w:val="0006061D"/>
    <w:rsid w:val="00060780"/>
    <w:rsid w:val="000607A5"/>
    <w:rsid w:val="000607B2"/>
    <w:rsid w:val="000607BD"/>
    <w:rsid w:val="0006084D"/>
    <w:rsid w:val="00060855"/>
    <w:rsid w:val="00060877"/>
    <w:rsid w:val="000609B1"/>
    <w:rsid w:val="00060A3D"/>
    <w:rsid w:val="00060A59"/>
    <w:rsid w:val="00060A63"/>
    <w:rsid w:val="00060A92"/>
    <w:rsid w:val="00060B31"/>
    <w:rsid w:val="00060B3D"/>
    <w:rsid w:val="00060B4D"/>
    <w:rsid w:val="00060B6E"/>
    <w:rsid w:val="00060B92"/>
    <w:rsid w:val="00060B99"/>
    <w:rsid w:val="00060C2E"/>
    <w:rsid w:val="00060C34"/>
    <w:rsid w:val="00060C90"/>
    <w:rsid w:val="00060CD2"/>
    <w:rsid w:val="00060D52"/>
    <w:rsid w:val="00060D67"/>
    <w:rsid w:val="00060D70"/>
    <w:rsid w:val="00060DAD"/>
    <w:rsid w:val="00060DD4"/>
    <w:rsid w:val="00060E42"/>
    <w:rsid w:val="00060E53"/>
    <w:rsid w:val="00060E55"/>
    <w:rsid w:val="00060EA7"/>
    <w:rsid w:val="00060EF1"/>
    <w:rsid w:val="00060F13"/>
    <w:rsid w:val="00060F18"/>
    <w:rsid w:val="00060F5E"/>
    <w:rsid w:val="00060F73"/>
    <w:rsid w:val="00060F78"/>
    <w:rsid w:val="00060FFB"/>
    <w:rsid w:val="000610C9"/>
    <w:rsid w:val="00061238"/>
    <w:rsid w:val="00061248"/>
    <w:rsid w:val="000612EF"/>
    <w:rsid w:val="00061325"/>
    <w:rsid w:val="0006140A"/>
    <w:rsid w:val="0006140B"/>
    <w:rsid w:val="0006141C"/>
    <w:rsid w:val="00061490"/>
    <w:rsid w:val="000614A4"/>
    <w:rsid w:val="000614A9"/>
    <w:rsid w:val="000614DB"/>
    <w:rsid w:val="00061601"/>
    <w:rsid w:val="0006164F"/>
    <w:rsid w:val="00061657"/>
    <w:rsid w:val="000616FC"/>
    <w:rsid w:val="000617B0"/>
    <w:rsid w:val="000617F2"/>
    <w:rsid w:val="0006184F"/>
    <w:rsid w:val="00061895"/>
    <w:rsid w:val="000618A5"/>
    <w:rsid w:val="000618E2"/>
    <w:rsid w:val="0006190A"/>
    <w:rsid w:val="00061925"/>
    <w:rsid w:val="0006192F"/>
    <w:rsid w:val="0006193C"/>
    <w:rsid w:val="00061949"/>
    <w:rsid w:val="00061A00"/>
    <w:rsid w:val="00061A0B"/>
    <w:rsid w:val="00061A23"/>
    <w:rsid w:val="00061A6B"/>
    <w:rsid w:val="00061A7A"/>
    <w:rsid w:val="00061AAA"/>
    <w:rsid w:val="00061C13"/>
    <w:rsid w:val="00061C25"/>
    <w:rsid w:val="00061CFA"/>
    <w:rsid w:val="00061D33"/>
    <w:rsid w:val="00061D3C"/>
    <w:rsid w:val="00061D4C"/>
    <w:rsid w:val="00061E65"/>
    <w:rsid w:val="00061E95"/>
    <w:rsid w:val="00061EF4"/>
    <w:rsid w:val="00061F3A"/>
    <w:rsid w:val="00061FEC"/>
    <w:rsid w:val="00061FF7"/>
    <w:rsid w:val="00062053"/>
    <w:rsid w:val="000620B4"/>
    <w:rsid w:val="000620CB"/>
    <w:rsid w:val="000620DF"/>
    <w:rsid w:val="00062103"/>
    <w:rsid w:val="0006212D"/>
    <w:rsid w:val="00062180"/>
    <w:rsid w:val="000621AC"/>
    <w:rsid w:val="000621C4"/>
    <w:rsid w:val="00062209"/>
    <w:rsid w:val="00062234"/>
    <w:rsid w:val="0006224E"/>
    <w:rsid w:val="0006228B"/>
    <w:rsid w:val="000622AA"/>
    <w:rsid w:val="000622DD"/>
    <w:rsid w:val="000622FD"/>
    <w:rsid w:val="00062374"/>
    <w:rsid w:val="000623A4"/>
    <w:rsid w:val="000623BB"/>
    <w:rsid w:val="000623F6"/>
    <w:rsid w:val="000624AA"/>
    <w:rsid w:val="00062533"/>
    <w:rsid w:val="00062545"/>
    <w:rsid w:val="000625A7"/>
    <w:rsid w:val="000625C6"/>
    <w:rsid w:val="000625D0"/>
    <w:rsid w:val="000625F9"/>
    <w:rsid w:val="0006260A"/>
    <w:rsid w:val="00062670"/>
    <w:rsid w:val="00062674"/>
    <w:rsid w:val="000626F9"/>
    <w:rsid w:val="00062705"/>
    <w:rsid w:val="00062772"/>
    <w:rsid w:val="000627AA"/>
    <w:rsid w:val="000627B0"/>
    <w:rsid w:val="000627B7"/>
    <w:rsid w:val="000627F6"/>
    <w:rsid w:val="00062821"/>
    <w:rsid w:val="00062908"/>
    <w:rsid w:val="00062909"/>
    <w:rsid w:val="00062938"/>
    <w:rsid w:val="0006296E"/>
    <w:rsid w:val="00062971"/>
    <w:rsid w:val="00062985"/>
    <w:rsid w:val="000629CE"/>
    <w:rsid w:val="00062A41"/>
    <w:rsid w:val="00062A6B"/>
    <w:rsid w:val="00062A7C"/>
    <w:rsid w:val="00062A8F"/>
    <w:rsid w:val="00062AC4"/>
    <w:rsid w:val="00062CBE"/>
    <w:rsid w:val="00062D10"/>
    <w:rsid w:val="00062D19"/>
    <w:rsid w:val="00062D54"/>
    <w:rsid w:val="00062D60"/>
    <w:rsid w:val="00062D9E"/>
    <w:rsid w:val="00062E57"/>
    <w:rsid w:val="00062E7B"/>
    <w:rsid w:val="00062F73"/>
    <w:rsid w:val="00062F89"/>
    <w:rsid w:val="00062F93"/>
    <w:rsid w:val="00062FD1"/>
    <w:rsid w:val="00062FDE"/>
    <w:rsid w:val="00062FEF"/>
    <w:rsid w:val="00062FF4"/>
    <w:rsid w:val="00063011"/>
    <w:rsid w:val="0006302D"/>
    <w:rsid w:val="00063098"/>
    <w:rsid w:val="000630CA"/>
    <w:rsid w:val="00063124"/>
    <w:rsid w:val="00063125"/>
    <w:rsid w:val="00063159"/>
    <w:rsid w:val="000631CA"/>
    <w:rsid w:val="00063276"/>
    <w:rsid w:val="0006328C"/>
    <w:rsid w:val="00063323"/>
    <w:rsid w:val="000633C8"/>
    <w:rsid w:val="00063446"/>
    <w:rsid w:val="00063464"/>
    <w:rsid w:val="00063509"/>
    <w:rsid w:val="0006354C"/>
    <w:rsid w:val="00063599"/>
    <w:rsid w:val="0006359D"/>
    <w:rsid w:val="00063607"/>
    <w:rsid w:val="00063621"/>
    <w:rsid w:val="00063630"/>
    <w:rsid w:val="00063643"/>
    <w:rsid w:val="00063701"/>
    <w:rsid w:val="00063777"/>
    <w:rsid w:val="0006378A"/>
    <w:rsid w:val="0006378D"/>
    <w:rsid w:val="000637F1"/>
    <w:rsid w:val="0006380D"/>
    <w:rsid w:val="00063866"/>
    <w:rsid w:val="00063869"/>
    <w:rsid w:val="00063877"/>
    <w:rsid w:val="000638AE"/>
    <w:rsid w:val="000638C9"/>
    <w:rsid w:val="000638CB"/>
    <w:rsid w:val="000638E4"/>
    <w:rsid w:val="0006394D"/>
    <w:rsid w:val="0006396D"/>
    <w:rsid w:val="00063977"/>
    <w:rsid w:val="0006399F"/>
    <w:rsid w:val="000639D5"/>
    <w:rsid w:val="00063A2A"/>
    <w:rsid w:val="00063A8E"/>
    <w:rsid w:val="00063A9A"/>
    <w:rsid w:val="00063B9B"/>
    <w:rsid w:val="00063C5A"/>
    <w:rsid w:val="00063CD8"/>
    <w:rsid w:val="00063D2E"/>
    <w:rsid w:val="00063D30"/>
    <w:rsid w:val="00063D5D"/>
    <w:rsid w:val="00063DFB"/>
    <w:rsid w:val="00063E16"/>
    <w:rsid w:val="00063E3E"/>
    <w:rsid w:val="00063E4F"/>
    <w:rsid w:val="00063F39"/>
    <w:rsid w:val="00063F45"/>
    <w:rsid w:val="00063F8D"/>
    <w:rsid w:val="0006409E"/>
    <w:rsid w:val="0006412C"/>
    <w:rsid w:val="0006412D"/>
    <w:rsid w:val="00064148"/>
    <w:rsid w:val="0006414B"/>
    <w:rsid w:val="000641B4"/>
    <w:rsid w:val="00064261"/>
    <w:rsid w:val="00064285"/>
    <w:rsid w:val="00064294"/>
    <w:rsid w:val="00064303"/>
    <w:rsid w:val="00064431"/>
    <w:rsid w:val="00064439"/>
    <w:rsid w:val="0006443A"/>
    <w:rsid w:val="000644B1"/>
    <w:rsid w:val="000644E6"/>
    <w:rsid w:val="00064549"/>
    <w:rsid w:val="00064555"/>
    <w:rsid w:val="00064560"/>
    <w:rsid w:val="000645C4"/>
    <w:rsid w:val="00064646"/>
    <w:rsid w:val="0006472E"/>
    <w:rsid w:val="00064758"/>
    <w:rsid w:val="00064782"/>
    <w:rsid w:val="000647F9"/>
    <w:rsid w:val="0006480F"/>
    <w:rsid w:val="00064856"/>
    <w:rsid w:val="00064890"/>
    <w:rsid w:val="00064893"/>
    <w:rsid w:val="00064897"/>
    <w:rsid w:val="000648F0"/>
    <w:rsid w:val="000648FC"/>
    <w:rsid w:val="00064915"/>
    <w:rsid w:val="00064988"/>
    <w:rsid w:val="000649DB"/>
    <w:rsid w:val="000649DF"/>
    <w:rsid w:val="00064A70"/>
    <w:rsid w:val="00064AA3"/>
    <w:rsid w:val="00064AC4"/>
    <w:rsid w:val="00064B65"/>
    <w:rsid w:val="00064B66"/>
    <w:rsid w:val="00064C46"/>
    <w:rsid w:val="00064C52"/>
    <w:rsid w:val="00064C68"/>
    <w:rsid w:val="00064C98"/>
    <w:rsid w:val="00064D24"/>
    <w:rsid w:val="00064D29"/>
    <w:rsid w:val="00064D47"/>
    <w:rsid w:val="00064D55"/>
    <w:rsid w:val="00064DD0"/>
    <w:rsid w:val="00064E94"/>
    <w:rsid w:val="00064F3E"/>
    <w:rsid w:val="00064F45"/>
    <w:rsid w:val="00064F52"/>
    <w:rsid w:val="00064F65"/>
    <w:rsid w:val="00064F98"/>
    <w:rsid w:val="00064FA1"/>
    <w:rsid w:val="00064FA9"/>
    <w:rsid w:val="00064FC0"/>
    <w:rsid w:val="00065023"/>
    <w:rsid w:val="000650CD"/>
    <w:rsid w:val="000650CE"/>
    <w:rsid w:val="000650D5"/>
    <w:rsid w:val="000650D6"/>
    <w:rsid w:val="0006515B"/>
    <w:rsid w:val="00065161"/>
    <w:rsid w:val="0006518A"/>
    <w:rsid w:val="000651CF"/>
    <w:rsid w:val="000651D5"/>
    <w:rsid w:val="00065214"/>
    <w:rsid w:val="000652A5"/>
    <w:rsid w:val="000652AE"/>
    <w:rsid w:val="000652E6"/>
    <w:rsid w:val="0006531D"/>
    <w:rsid w:val="000653D6"/>
    <w:rsid w:val="000653D7"/>
    <w:rsid w:val="00065477"/>
    <w:rsid w:val="0006547C"/>
    <w:rsid w:val="00065495"/>
    <w:rsid w:val="0006549F"/>
    <w:rsid w:val="000654F0"/>
    <w:rsid w:val="0006552C"/>
    <w:rsid w:val="0006553C"/>
    <w:rsid w:val="00065577"/>
    <w:rsid w:val="00065588"/>
    <w:rsid w:val="000655A0"/>
    <w:rsid w:val="000655C1"/>
    <w:rsid w:val="000655FE"/>
    <w:rsid w:val="000656C1"/>
    <w:rsid w:val="000656E1"/>
    <w:rsid w:val="00065706"/>
    <w:rsid w:val="0006577A"/>
    <w:rsid w:val="00065917"/>
    <w:rsid w:val="000659FF"/>
    <w:rsid w:val="00065A04"/>
    <w:rsid w:val="00065A0D"/>
    <w:rsid w:val="00065A3F"/>
    <w:rsid w:val="00065A53"/>
    <w:rsid w:val="00065A5F"/>
    <w:rsid w:val="00065A82"/>
    <w:rsid w:val="00065A83"/>
    <w:rsid w:val="00065AE8"/>
    <w:rsid w:val="00065B06"/>
    <w:rsid w:val="00065B14"/>
    <w:rsid w:val="00065B60"/>
    <w:rsid w:val="00065B79"/>
    <w:rsid w:val="00065BB4"/>
    <w:rsid w:val="00065BB5"/>
    <w:rsid w:val="00065BC0"/>
    <w:rsid w:val="00065BC5"/>
    <w:rsid w:val="00065BD2"/>
    <w:rsid w:val="00065C63"/>
    <w:rsid w:val="00065C7F"/>
    <w:rsid w:val="00065CCE"/>
    <w:rsid w:val="00065D5E"/>
    <w:rsid w:val="00065D77"/>
    <w:rsid w:val="00065DF7"/>
    <w:rsid w:val="00065EF4"/>
    <w:rsid w:val="00065F3B"/>
    <w:rsid w:val="00065FE6"/>
    <w:rsid w:val="00065FE8"/>
    <w:rsid w:val="00065FF5"/>
    <w:rsid w:val="00066004"/>
    <w:rsid w:val="0006604C"/>
    <w:rsid w:val="000660DF"/>
    <w:rsid w:val="00066111"/>
    <w:rsid w:val="00066140"/>
    <w:rsid w:val="000661BE"/>
    <w:rsid w:val="000661EC"/>
    <w:rsid w:val="000661FA"/>
    <w:rsid w:val="000661FE"/>
    <w:rsid w:val="0006626B"/>
    <w:rsid w:val="00066288"/>
    <w:rsid w:val="000662C3"/>
    <w:rsid w:val="000662F8"/>
    <w:rsid w:val="0006631F"/>
    <w:rsid w:val="000663D0"/>
    <w:rsid w:val="000663F9"/>
    <w:rsid w:val="00066425"/>
    <w:rsid w:val="0006644D"/>
    <w:rsid w:val="000664E6"/>
    <w:rsid w:val="00066536"/>
    <w:rsid w:val="0006654A"/>
    <w:rsid w:val="00066560"/>
    <w:rsid w:val="000665A1"/>
    <w:rsid w:val="00066620"/>
    <w:rsid w:val="00066621"/>
    <w:rsid w:val="00066673"/>
    <w:rsid w:val="00066698"/>
    <w:rsid w:val="00066749"/>
    <w:rsid w:val="00066757"/>
    <w:rsid w:val="000667EF"/>
    <w:rsid w:val="0006685D"/>
    <w:rsid w:val="00066861"/>
    <w:rsid w:val="0006687B"/>
    <w:rsid w:val="000668D8"/>
    <w:rsid w:val="000668EE"/>
    <w:rsid w:val="000669AC"/>
    <w:rsid w:val="00066A7A"/>
    <w:rsid w:val="00066A7F"/>
    <w:rsid w:val="00066B3B"/>
    <w:rsid w:val="00066B42"/>
    <w:rsid w:val="00066B48"/>
    <w:rsid w:val="00066B8D"/>
    <w:rsid w:val="00066BB7"/>
    <w:rsid w:val="00066BDF"/>
    <w:rsid w:val="00066BED"/>
    <w:rsid w:val="00066C47"/>
    <w:rsid w:val="00066C5F"/>
    <w:rsid w:val="00066C7A"/>
    <w:rsid w:val="00066C8D"/>
    <w:rsid w:val="00066CA3"/>
    <w:rsid w:val="00066CC5"/>
    <w:rsid w:val="00066CD4"/>
    <w:rsid w:val="00066D37"/>
    <w:rsid w:val="00066DB3"/>
    <w:rsid w:val="00066E04"/>
    <w:rsid w:val="00066F5E"/>
    <w:rsid w:val="00066F8C"/>
    <w:rsid w:val="00066FCE"/>
    <w:rsid w:val="0006702E"/>
    <w:rsid w:val="00067053"/>
    <w:rsid w:val="00067072"/>
    <w:rsid w:val="0006716C"/>
    <w:rsid w:val="00067192"/>
    <w:rsid w:val="0006719F"/>
    <w:rsid w:val="000671A7"/>
    <w:rsid w:val="000671AA"/>
    <w:rsid w:val="000671DB"/>
    <w:rsid w:val="0006722D"/>
    <w:rsid w:val="000672D8"/>
    <w:rsid w:val="00067326"/>
    <w:rsid w:val="000673AA"/>
    <w:rsid w:val="000673B2"/>
    <w:rsid w:val="000673DC"/>
    <w:rsid w:val="0006742E"/>
    <w:rsid w:val="0006748D"/>
    <w:rsid w:val="0006753B"/>
    <w:rsid w:val="00067582"/>
    <w:rsid w:val="000675BB"/>
    <w:rsid w:val="000675D1"/>
    <w:rsid w:val="000675DC"/>
    <w:rsid w:val="000676A0"/>
    <w:rsid w:val="000676CA"/>
    <w:rsid w:val="000676D7"/>
    <w:rsid w:val="000677A4"/>
    <w:rsid w:val="000677C0"/>
    <w:rsid w:val="0006782D"/>
    <w:rsid w:val="00067850"/>
    <w:rsid w:val="00067924"/>
    <w:rsid w:val="00067926"/>
    <w:rsid w:val="000679A0"/>
    <w:rsid w:val="000679C9"/>
    <w:rsid w:val="000679DB"/>
    <w:rsid w:val="000679FB"/>
    <w:rsid w:val="00067A06"/>
    <w:rsid w:val="00067A48"/>
    <w:rsid w:val="00067AEA"/>
    <w:rsid w:val="00067B29"/>
    <w:rsid w:val="00067B82"/>
    <w:rsid w:val="00067B9C"/>
    <w:rsid w:val="00067BE1"/>
    <w:rsid w:val="00067C1F"/>
    <w:rsid w:val="00067C4A"/>
    <w:rsid w:val="00067CA5"/>
    <w:rsid w:val="00067CBA"/>
    <w:rsid w:val="00067D18"/>
    <w:rsid w:val="00067D73"/>
    <w:rsid w:val="00067D8B"/>
    <w:rsid w:val="00067D98"/>
    <w:rsid w:val="00067DA4"/>
    <w:rsid w:val="00067DBF"/>
    <w:rsid w:val="00067E61"/>
    <w:rsid w:val="00067E88"/>
    <w:rsid w:val="00067EAB"/>
    <w:rsid w:val="00067F02"/>
    <w:rsid w:val="00067F0C"/>
    <w:rsid w:val="00067F52"/>
    <w:rsid w:val="00067F5A"/>
    <w:rsid w:val="00067F7B"/>
    <w:rsid w:val="000700C1"/>
    <w:rsid w:val="0007011D"/>
    <w:rsid w:val="0007019F"/>
    <w:rsid w:val="000701D0"/>
    <w:rsid w:val="00070279"/>
    <w:rsid w:val="000702CC"/>
    <w:rsid w:val="000702FE"/>
    <w:rsid w:val="00070304"/>
    <w:rsid w:val="0007038D"/>
    <w:rsid w:val="000703A7"/>
    <w:rsid w:val="000703EC"/>
    <w:rsid w:val="0007040E"/>
    <w:rsid w:val="00070468"/>
    <w:rsid w:val="00070482"/>
    <w:rsid w:val="0007048E"/>
    <w:rsid w:val="000704A7"/>
    <w:rsid w:val="000704D7"/>
    <w:rsid w:val="00070585"/>
    <w:rsid w:val="000705E3"/>
    <w:rsid w:val="000705E5"/>
    <w:rsid w:val="0007066A"/>
    <w:rsid w:val="000706A9"/>
    <w:rsid w:val="000706EF"/>
    <w:rsid w:val="000706FF"/>
    <w:rsid w:val="00070705"/>
    <w:rsid w:val="0007070E"/>
    <w:rsid w:val="00070732"/>
    <w:rsid w:val="0007076B"/>
    <w:rsid w:val="00070798"/>
    <w:rsid w:val="000707A4"/>
    <w:rsid w:val="000707E4"/>
    <w:rsid w:val="000707FD"/>
    <w:rsid w:val="000708E7"/>
    <w:rsid w:val="00070921"/>
    <w:rsid w:val="00070972"/>
    <w:rsid w:val="000709C9"/>
    <w:rsid w:val="000709CF"/>
    <w:rsid w:val="000709FA"/>
    <w:rsid w:val="00070A0E"/>
    <w:rsid w:val="00070A51"/>
    <w:rsid w:val="00070A98"/>
    <w:rsid w:val="00070ACB"/>
    <w:rsid w:val="00070B07"/>
    <w:rsid w:val="00070B31"/>
    <w:rsid w:val="00070B95"/>
    <w:rsid w:val="00070BAF"/>
    <w:rsid w:val="00070C1D"/>
    <w:rsid w:val="00070C1F"/>
    <w:rsid w:val="00070C51"/>
    <w:rsid w:val="00070C52"/>
    <w:rsid w:val="00070C86"/>
    <w:rsid w:val="00070D04"/>
    <w:rsid w:val="00070D2D"/>
    <w:rsid w:val="00070D55"/>
    <w:rsid w:val="00070D71"/>
    <w:rsid w:val="00070D75"/>
    <w:rsid w:val="00070D76"/>
    <w:rsid w:val="00070DF3"/>
    <w:rsid w:val="00070EFB"/>
    <w:rsid w:val="00070F00"/>
    <w:rsid w:val="00070F16"/>
    <w:rsid w:val="00070F1B"/>
    <w:rsid w:val="00070F70"/>
    <w:rsid w:val="0007105A"/>
    <w:rsid w:val="0007105D"/>
    <w:rsid w:val="000710B2"/>
    <w:rsid w:val="000710BD"/>
    <w:rsid w:val="000710DF"/>
    <w:rsid w:val="000710F8"/>
    <w:rsid w:val="0007115A"/>
    <w:rsid w:val="000712C7"/>
    <w:rsid w:val="0007133C"/>
    <w:rsid w:val="000713C8"/>
    <w:rsid w:val="000713DC"/>
    <w:rsid w:val="00071418"/>
    <w:rsid w:val="00071457"/>
    <w:rsid w:val="000714BA"/>
    <w:rsid w:val="000714FB"/>
    <w:rsid w:val="00071507"/>
    <w:rsid w:val="00071553"/>
    <w:rsid w:val="00071633"/>
    <w:rsid w:val="00071678"/>
    <w:rsid w:val="00071692"/>
    <w:rsid w:val="000716DA"/>
    <w:rsid w:val="00071702"/>
    <w:rsid w:val="00071758"/>
    <w:rsid w:val="00071795"/>
    <w:rsid w:val="000717A7"/>
    <w:rsid w:val="00071802"/>
    <w:rsid w:val="0007181A"/>
    <w:rsid w:val="00071849"/>
    <w:rsid w:val="00071884"/>
    <w:rsid w:val="000718B7"/>
    <w:rsid w:val="000718BC"/>
    <w:rsid w:val="000718DE"/>
    <w:rsid w:val="00071905"/>
    <w:rsid w:val="00071923"/>
    <w:rsid w:val="00071974"/>
    <w:rsid w:val="000719CC"/>
    <w:rsid w:val="00071A08"/>
    <w:rsid w:val="00071A2F"/>
    <w:rsid w:val="00071AA5"/>
    <w:rsid w:val="00071B3F"/>
    <w:rsid w:val="00071B6F"/>
    <w:rsid w:val="00071B8D"/>
    <w:rsid w:val="00071C14"/>
    <w:rsid w:val="00071C22"/>
    <w:rsid w:val="00071C92"/>
    <w:rsid w:val="00071D5A"/>
    <w:rsid w:val="00071DB6"/>
    <w:rsid w:val="00071F0F"/>
    <w:rsid w:val="00071F35"/>
    <w:rsid w:val="00071FA6"/>
    <w:rsid w:val="00071FC8"/>
    <w:rsid w:val="00071FD4"/>
    <w:rsid w:val="00072021"/>
    <w:rsid w:val="00072027"/>
    <w:rsid w:val="00072029"/>
    <w:rsid w:val="00072036"/>
    <w:rsid w:val="00072095"/>
    <w:rsid w:val="000720B3"/>
    <w:rsid w:val="000720BE"/>
    <w:rsid w:val="0007210A"/>
    <w:rsid w:val="0007212C"/>
    <w:rsid w:val="000721AD"/>
    <w:rsid w:val="0007223F"/>
    <w:rsid w:val="0007230D"/>
    <w:rsid w:val="00072339"/>
    <w:rsid w:val="00072476"/>
    <w:rsid w:val="00072479"/>
    <w:rsid w:val="00072483"/>
    <w:rsid w:val="00072496"/>
    <w:rsid w:val="000724DD"/>
    <w:rsid w:val="00072526"/>
    <w:rsid w:val="00072587"/>
    <w:rsid w:val="000726C7"/>
    <w:rsid w:val="00072773"/>
    <w:rsid w:val="00072871"/>
    <w:rsid w:val="00072896"/>
    <w:rsid w:val="00072899"/>
    <w:rsid w:val="0007289F"/>
    <w:rsid w:val="000728BC"/>
    <w:rsid w:val="00072914"/>
    <w:rsid w:val="0007291F"/>
    <w:rsid w:val="0007294E"/>
    <w:rsid w:val="00072952"/>
    <w:rsid w:val="00072953"/>
    <w:rsid w:val="0007296E"/>
    <w:rsid w:val="00072A72"/>
    <w:rsid w:val="00072A8C"/>
    <w:rsid w:val="00072AA8"/>
    <w:rsid w:val="00072ADC"/>
    <w:rsid w:val="00072AE9"/>
    <w:rsid w:val="00072B1E"/>
    <w:rsid w:val="00072B8B"/>
    <w:rsid w:val="00072BB5"/>
    <w:rsid w:val="00072BCD"/>
    <w:rsid w:val="00072C3C"/>
    <w:rsid w:val="00072C61"/>
    <w:rsid w:val="00072CA6"/>
    <w:rsid w:val="00072CE1"/>
    <w:rsid w:val="00072D16"/>
    <w:rsid w:val="00072D8C"/>
    <w:rsid w:val="00072E6E"/>
    <w:rsid w:val="00072EDC"/>
    <w:rsid w:val="00072F34"/>
    <w:rsid w:val="00072F71"/>
    <w:rsid w:val="00072F8B"/>
    <w:rsid w:val="00072FAA"/>
    <w:rsid w:val="00072FDA"/>
    <w:rsid w:val="00073005"/>
    <w:rsid w:val="00073054"/>
    <w:rsid w:val="00073102"/>
    <w:rsid w:val="0007310B"/>
    <w:rsid w:val="0007311B"/>
    <w:rsid w:val="0007313D"/>
    <w:rsid w:val="0007314C"/>
    <w:rsid w:val="00073199"/>
    <w:rsid w:val="000731A6"/>
    <w:rsid w:val="000731AE"/>
    <w:rsid w:val="000731E8"/>
    <w:rsid w:val="0007321E"/>
    <w:rsid w:val="0007326D"/>
    <w:rsid w:val="000732D0"/>
    <w:rsid w:val="000732DD"/>
    <w:rsid w:val="0007330F"/>
    <w:rsid w:val="00073392"/>
    <w:rsid w:val="0007342E"/>
    <w:rsid w:val="00073462"/>
    <w:rsid w:val="00073486"/>
    <w:rsid w:val="0007350D"/>
    <w:rsid w:val="00073521"/>
    <w:rsid w:val="00073524"/>
    <w:rsid w:val="0007358A"/>
    <w:rsid w:val="000735E7"/>
    <w:rsid w:val="000735F3"/>
    <w:rsid w:val="00073605"/>
    <w:rsid w:val="00073722"/>
    <w:rsid w:val="00073741"/>
    <w:rsid w:val="00073794"/>
    <w:rsid w:val="0007381F"/>
    <w:rsid w:val="00073856"/>
    <w:rsid w:val="00073893"/>
    <w:rsid w:val="000739C5"/>
    <w:rsid w:val="000739C8"/>
    <w:rsid w:val="00073A7C"/>
    <w:rsid w:val="00073AAE"/>
    <w:rsid w:val="00073ADE"/>
    <w:rsid w:val="00073B0D"/>
    <w:rsid w:val="00073B90"/>
    <w:rsid w:val="00073BA5"/>
    <w:rsid w:val="00073BE7"/>
    <w:rsid w:val="00073C34"/>
    <w:rsid w:val="00073C4B"/>
    <w:rsid w:val="00073C58"/>
    <w:rsid w:val="00073C7A"/>
    <w:rsid w:val="00073CA1"/>
    <w:rsid w:val="00073CA8"/>
    <w:rsid w:val="00073D3E"/>
    <w:rsid w:val="00073D75"/>
    <w:rsid w:val="00073DBB"/>
    <w:rsid w:val="00073DDE"/>
    <w:rsid w:val="00073E2C"/>
    <w:rsid w:val="00073E3E"/>
    <w:rsid w:val="00073E45"/>
    <w:rsid w:val="00073E9E"/>
    <w:rsid w:val="00073EB0"/>
    <w:rsid w:val="00073ECB"/>
    <w:rsid w:val="00073F0A"/>
    <w:rsid w:val="00073F21"/>
    <w:rsid w:val="00073F3A"/>
    <w:rsid w:val="00073F4A"/>
    <w:rsid w:val="00073FAF"/>
    <w:rsid w:val="00073FB2"/>
    <w:rsid w:val="00073FBD"/>
    <w:rsid w:val="00073FCB"/>
    <w:rsid w:val="00074018"/>
    <w:rsid w:val="00074039"/>
    <w:rsid w:val="00074050"/>
    <w:rsid w:val="000740B4"/>
    <w:rsid w:val="000740BB"/>
    <w:rsid w:val="000740DD"/>
    <w:rsid w:val="0007411C"/>
    <w:rsid w:val="00074137"/>
    <w:rsid w:val="0007413C"/>
    <w:rsid w:val="000741AD"/>
    <w:rsid w:val="000741BF"/>
    <w:rsid w:val="00074220"/>
    <w:rsid w:val="00074222"/>
    <w:rsid w:val="00074231"/>
    <w:rsid w:val="0007428E"/>
    <w:rsid w:val="000742E0"/>
    <w:rsid w:val="00074352"/>
    <w:rsid w:val="00074358"/>
    <w:rsid w:val="00074360"/>
    <w:rsid w:val="00074380"/>
    <w:rsid w:val="000743BD"/>
    <w:rsid w:val="00074414"/>
    <w:rsid w:val="000744A7"/>
    <w:rsid w:val="000744BE"/>
    <w:rsid w:val="000744FF"/>
    <w:rsid w:val="0007452B"/>
    <w:rsid w:val="00074532"/>
    <w:rsid w:val="00074539"/>
    <w:rsid w:val="00074564"/>
    <w:rsid w:val="000745BE"/>
    <w:rsid w:val="0007460F"/>
    <w:rsid w:val="0007461B"/>
    <w:rsid w:val="0007467C"/>
    <w:rsid w:val="00074682"/>
    <w:rsid w:val="000746CF"/>
    <w:rsid w:val="000746E9"/>
    <w:rsid w:val="00074722"/>
    <w:rsid w:val="00074751"/>
    <w:rsid w:val="00074791"/>
    <w:rsid w:val="000747B5"/>
    <w:rsid w:val="000747B9"/>
    <w:rsid w:val="000747F4"/>
    <w:rsid w:val="00074822"/>
    <w:rsid w:val="00074858"/>
    <w:rsid w:val="00074859"/>
    <w:rsid w:val="000748BE"/>
    <w:rsid w:val="000748C3"/>
    <w:rsid w:val="000748D5"/>
    <w:rsid w:val="000748F1"/>
    <w:rsid w:val="000748F8"/>
    <w:rsid w:val="00074916"/>
    <w:rsid w:val="0007491A"/>
    <w:rsid w:val="000749FE"/>
    <w:rsid w:val="00074A00"/>
    <w:rsid w:val="00074A3D"/>
    <w:rsid w:val="00074A8F"/>
    <w:rsid w:val="00074AB8"/>
    <w:rsid w:val="00074AEA"/>
    <w:rsid w:val="00074B29"/>
    <w:rsid w:val="00074BAD"/>
    <w:rsid w:val="00074BB0"/>
    <w:rsid w:val="00074BB2"/>
    <w:rsid w:val="00074C13"/>
    <w:rsid w:val="00074C55"/>
    <w:rsid w:val="00074C62"/>
    <w:rsid w:val="00074C8B"/>
    <w:rsid w:val="00074D40"/>
    <w:rsid w:val="00074D55"/>
    <w:rsid w:val="00074D5D"/>
    <w:rsid w:val="00074DEB"/>
    <w:rsid w:val="00074DF9"/>
    <w:rsid w:val="00074E67"/>
    <w:rsid w:val="00074E9F"/>
    <w:rsid w:val="00074F0A"/>
    <w:rsid w:val="00074F25"/>
    <w:rsid w:val="00074F26"/>
    <w:rsid w:val="00074F3B"/>
    <w:rsid w:val="00074F6D"/>
    <w:rsid w:val="00074FA7"/>
    <w:rsid w:val="00074FBD"/>
    <w:rsid w:val="00074FC5"/>
    <w:rsid w:val="00074FC8"/>
    <w:rsid w:val="00074FFE"/>
    <w:rsid w:val="00075019"/>
    <w:rsid w:val="00075037"/>
    <w:rsid w:val="00075039"/>
    <w:rsid w:val="0007505B"/>
    <w:rsid w:val="000750D0"/>
    <w:rsid w:val="00075162"/>
    <w:rsid w:val="000751AC"/>
    <w:rsid w:val="000751C1"/>
    <w:rsid w:val="000752EB"/>
    <w:rsid w:val="00075340"/>
    <w:rsid w:val="00075428"/>
    <w:rsid w:val="000754CB"/>
    <w:rsid w:val="00075505"/>
    <w:rsid w:val="0007551C"/>
    <w:rsid w:val="0007556F"/>
    <w:rsid w:val="000755DC"/>
    <w:rsid w:val="000755F7"/>
    <w:rsid w:val="00075620"/>
    <w:rsid w:val="0007567D"/>
    <w:rsid w:val="00075698"/>
    <w:rsid w:val="000756C6"/>
    <w:rsid w:val="000756EC"/>
    <w:rsid w:val="0007574A"/>
    <w:rsid w:val="00075799"/>
    <w:rsid w:val="000757B4"/>
    <w:rsid w:val="000757BD"/>
    <w:rsid w:val="000757F6"/>
    <w:rsid w:val="00075801"/>
    <w:rsid w:val="00075806"/>
    <w:rsid w:val="00075818"/>
    <w:rsid w:val="0007582E"/>
    <w:rsid w:val="00075854"/>
    <w:rsid w:val="0007585C"/>
    <w:rsid w:val="00075881"/>
    <w:rsid w:val="000758D0"/>
    <w:rsid w:val="000758D4"/>
    <w:rsid w:val="000758DB"/>
    <w:rsid w:val="0007594C"/>
    <w:rsid w:val="00075980"/>
    <w:rsid w:val="000759B8"/>
    <w:rsid w:val="000759FC"/>
    <w:rsid w:val="00075A91"/>
    <w:rsid w:val="00075AA7"/>
    <w:rsid w:val="00075AE8"/>
    <w:rsid w:val="00075B32"/>
    <w:rsid w:val="00075B4D"/>
    <w:rsid w:val="00075B57"/>
    <w:rsid w:val="00075B7E"/>
    <w:rsid w:val="00075B82"/>
    <w:rsid w:val="00075B97"/>
    <w:rsid w:val="00075B9E"/>
    <w:rsid w:val="00075C29"/>
    <w:rsid w:val="00075C55"/>
    <w:rsid w:val="00075CB4"/>
    <w:rsid w:val="00075CD1"/>
    <w:rsid w:val="00075CD3"/>
    <w:rsid w:val="00075D11"/>
    <w:rsid w:val="00075D17"/>
    <w:rsid w:val="00075D1E"/>
    <w:rsid w:val="00075D2E"/>
    <w:rsid w:val="00075D45"/>
    <w:rsid w:val="00075D79"/>
    <w:rsid w:val="00075E10"/>
    <w:rsid w:val="00075E54"/>
    <w:rsid w:val="00075E65"/>
    <w:rsid w:val="00075E70"/>
    <w:rsid w:val="00075EBC"/>
    <w:rsid w:val="00075ED2"/>
    <w:rsid w:val="00075F31"/>
    <w:rsid w:val="00075F42"/>
    <w:rsid w:val="00075F83"/>
    <w:rsid w:val="00075F88"/>
    <w:rsid w:val="00075FF8"/>
    <w:rsid w:val="00076016"/>
    <w:rsid w:val="00076074"/>
    <w:rsid w:val="00076078"/>
    <w:rsid w:val="000760C2"/>
    <w:rsid w:val="000760F4"/>
    <w:rsid w:val="00076119"/>
    <w:rsid w:val="00076135"/>
    <w:rsid w:val="00076138"/>
    <w:rsid w:val="00076149"/>
    <w:rsid w:val="0007614E"/>
    <w:rsid w:val="000761D7"/>
    <w:rsid w:val="000761DA"/>
    <w:rsid w:val="00076206"/>
    <w:rsid w:val="0007621D"/>
    <w:rsid w:val="000762DF"/>
    <w:rsid w:val="000762E2"/>
    <w:rsid w:val="0007631D"/>
    <w:rsid w:val="0007634C"/>
    <w:rsid w:val="00076383"/>
    <w:rsid w:val="00076461"/>
    <w:rsid w:val="00076467"/>
    <w:rsid w:val="00076513"/>
    <w:rsid w:val="00076516"/>
    <w:rsid w:val="00076539"/>
    <w:rsid w:val="0007655A"/>
    <w:rsid w:val="00076577"/>
    <w:rsid w:val="0007658A"/>
    <w:rsid w:val="0007659B"/>
    <w:rsid w:val="000765B6"/>
    <w:rsid w:val="000765CB"/>
    <w:rsid w:val="000765D4"/>
    <w:rsid w:val="000765F5"/>
    <w:rsid w:val="000765FD"/>
    <w:rsid w:val="00076628"/>
    <w:rsid w:val="00076687"/>
    <w:rsid w:val="000766B0"/>
    <w:rsid w:val="000766F2"/>
    <w:rsid w:val="000767CA"/>
    <w:rsid w:val="0007685C"/>
    <w:rsid w:val="0007690C"/>
    <w:rsid w:val="00076919"/>
    <w:rsid w:val="00076953"/>
    <w:rsid w:val="00076980"/>
    <w:rsid w:val="000769D1"/>
    <w:rsid w:val="00076A1C"/>
    <w:rsid w:val="00076A78"/>
    <w:rsid w:val="00076AA5"/>
    <w:rsid w:val="00076AD7"/>
    <w:rsid w:val="00076AFC"/>
    <w:rsid w:val="00076B11"/>
    <w:rsid w:val="00076C5D"/>
    <w:rsid w:val="00076C7B"/>
    <w:rsid w:val="00076CB6"/>
    <w:rsid w:val="00076CFA"/>
    <w:rsid w:val="00076D09"/>
    <w:rsid w:val="00076D2D"/>
    <w:rsid w:val="00076D73"/>
    <w:rsid w:val="00076D8B"/>
    <w:rsid w:val="00076DB7"/>
    <w:rsid w:val="00076DE0"/>
    <w:rsid w:val="00076E41"/>
    <w:rsid w:val="00076E9B"/>
    <w:rsid w:val="00076EE8"/>
    <w:rsid w:val="00076F3F"/>
    <w:rsid w:val="00076F5A"/>
    <w:rsid w:val="00076F5D"/>
    <w:rsid w:val="00076FAE"/>
    <w:rsid w:val="00076FD2"/>
    <w:rsid w:val="0007700C"/>
    <w:rsid w:val="0007702A"/>
    <w:rsid w:val="000770B9"/>
    <w:rsid w:val="00077187"/>
    <w:rsid w:val="000771D4"/>
    <w:rsid w:val="0007721E"/>
    <w:rsid w:val="00077231"/>
    <w:rsid w:val="00077286"/>
    <w:rsid w:val="00077337"/>
    <w:rsid w:val="00077350"/>
    <w:rsid w:val="0007736A"/>
    <w:rsid w:val="000773FF"/>
    <w:rsid w:val="00077409"/>
    <w:rsid w:val="000774AE"/>
    <w:rsid w:val="000774B8"/>
    <w:rsid w:val="000774F3"/>
    <w:rsid w:val="00077508"/>
    <w:rsid w:val="00077512"/>
    <w:rsid w:val="0007756D"/>
    <w:rsid w:val="000775B9"/>
    <w:rsid w:val="000775BD"/>
    <w:rsid w:val="000775DE"/>
    <w:rsid w:val="00077677"/>
    <w:rsid w:val="000777C9"/>
    <w:rsid w:val="00077805"/>
    <w:rsid w:val="00077830"/>
    <w:rsid w:val="00077832"/>
    <w:rsid w:val="0007791F"/>
    <w:rsid w:val="00077960"/>
    <w:rsid w:val="000779C7"/>
    <w:rsid w:val="00077A25"/>
    <w:rsid w:val="00077A63"/>
    <w:rsid w:val="00077A8B"/>
    <w:rsid w:val="00077A97"/>
    <w:rsid w:val="00077AED"/>
    <w:rsid w:val="00077B6F"/>
    <w:rsid w:val="00077B8B"/>
    <w:rsid w:val="00077B92"/>
    <w:rsid w:val="00077BA1"/>
    <w:rsid w:val="00077BE8"/>
    <w:rsid w:val="00077C49"/>
    <w:rsid w:val="00077CCE"/>
    <w:rsid w:val="00077CF2"/>
    <w:rsid w:val="00077D41"/>
    <w:rsid w:val="00077D43"/>
    <w:rsid w:val="00077DA4"/>
    <w:rsid w:val="00077DCC"/>
    <w:rsid w:val="00077E5B"/>
    <w:rsid w:val="00077EC0"/>
    <w:rsid w:val="00077F3B"/>
    <w:rsid w:val="00077F8E"/>
    <w:rsid w:val="00077F8F"/>
    <w:rsid w:val="00080003"/>
    <w:rsid w:val="00080010"/>
    <w:rsid w:val="000800A1"/>
    <w:rsid w:val="000800BD"/>
    <w:rsid w:val="000800D9"/>
    <w:rsid w:val="00080123"/>
    <w:rsid w:val="000801F8"/>
    <w:rsid w:val="0008027F"/>
    <w:rsid w:val="000802DF"/>
    <w:rsid w:val="000802E5"/>
    <w:rsid w:val="0008030F"/>
    <w:rsid w:val="00080360"/>
    <w:rsid w:val="000803AF"/>
    <w:rsid w:val="000803B8"/>
    <w:rsid w:val="000803CC"/>
    <w:rsid w:val="0008045A"/>
    <w:rsid w:val="000804BF"/>
    <w:rsid w:val="00080525"/>
    <w:rsid w:val="00080555"/>
    <w:rsid w:val="0008055D"/>
    <w:rsid w:val="00080594"/>
    <w:rsid w:val="000805DF"/>
    <w:rsid w:val="000805FC"/>
    <w:rsid w:val="000806FE"/>
    <w:rsid w:val="000807A6"/>
    <w:rsid w:val="000807C4"/>
    <w:rsid w:val="000807D3"/>
    <w:rsid w:val="000807E2"/>
    <w:rsid w:val="00080852"/>
    <w:rsid w:val="000808B6"/>
    <w:rsid w:val="00080998"/>
    <w:rsid w:val="000809B4"/>
    <w:rsid w:val="000809DC"/>
    <w:rsid w:val="000809E0"/>
    <w:rsid w:val="000809FE"/>
    <w:rsid w:val="00080A23"/>
    <w:rsid w:val="00080AA4"/>
    <w:rsid w:val="00080AB1"/>
    <w:rsid w:val="00080AD9"/>
    <w:rsid w:val="00080B2A"/>
    <w:rsid w:val="00080B37"/>
    <w:rsid w:val="00080B72"/>
    <w:rsid w:val="00080B86"/>
    <w:rsid w:val="00080B8D"/>
    <w:rsid w:val="00080BA5"/>
    <w:rsid w:val="00080BC6"/>
    <w:rsid w:val="00080BE9"/>
    <w:rsid w:val="00080C49"/>
    <w:rsid w:val="00080C4C"/>
    <w:rsid w:val="00080C5A"/>
    <w:rsid w:val="00080C66"/>
    <w:rsid w:val="00080C89"/>
    <w:rsid w:val="00080CAB"/>
    <w:rsid w:val="00080D0C"/>
    <w:rsid w:val="00080D47"/>
    <w:rsid w:val="00080D9F"/>
    <w:rsid w:val="00080EFC"/>
    <w:rsid w:val="00080F93"/>
    <w:rsid w:val="00080FDB"/>
    <w:rsid w:val="00081016"/>
    <w:rsid w:val="00081062"/>
    <w:rsid w:val="0008109C"/>
    <w:rsid w:val="000810F0"/>
    <w:rsid w:val="00081118"/>
    <w:rsid w:val="00081163"/>
    <w:rsid w:val="0008117F"/>
    <w:rsid w:val="000811B6"/>
    <w:rsid w:val="00081267"/>
    <w:rsid w:val="0008129A"/>
    <w:rsid w:val="000812CB"/>
    <w:rsid w:val="00081316"/>
    <w:rsid w:val="000813AD"/>
    <w:rsid w:val="000813D0"/>
    <w:rsid w:val="00081406"/>
    <w:rsid w:val="000814E0"/>
    <w:rsid w:val="00081503"/>
    <w:rsid w:val="00081504"/>
    <w:rsid w:val="0008150C"/>
    <w:rsid w:val="0008155E"/>
    <w:rsid w:val="0008158A"/>
    <w:rsid w:val="000815A4"/>
    <w:rsid w:val="000815C4"/>
    <w:rsid w:val="000815CE"/>
    <w:rsid w:val="0008166C"/>
    <w:rsid w:val="000816D9"/>
    <w:rsid w:val="00081733"/>
    <w:rsid w:val="00081780"/>
    <w:rsid w:val="000817E6"/>
    <w:rsid w:val="00081829"/>
    <w:rsid w:val="00081838"/>
    <w:rsid w:val="0008188E"/>
    <w:rsid w:val="0008189B"/>
    <w:rsid w:val="000818DF"/>
    <w:rsid w:val="000818E8"/>
    <w:rsid w:val="00081906"/>
    <w:rsid w:val="0008193D"/>
    <w:rsid w:val="0008199B"/>
    <w:rsid w:val="00081A56"/>
    <w:rsid w:val="00081A86"/>
    <w:rsid w:val="00081AE6"/>
    <w:rsid w:val="00081B37"/>
    <w:rsid w:val="00081B39"/>
    <w:rsid w:val="00081B3F"/>
    <w:rsid w:val="00081BB1"/>
    <w:rsid w:val="00081CA3"/>
    <w:rsid w:val="00081D34"/>
    <w:rsid w:val="00081D35"/>
    <w:rsid w:val="00081E36"/>
    <w:rsid w:val="00081E7D"/>
    <w:rsid w:val="00081E9D"/>
    <w:rsid w:val="00081EB5"/>
    <w:rsid w:val="00081EBF"/>
    <w:rsid w:val="00081EC3"/>
    <w:rsid w:val="00081EDD"/>
    <w:rsid w:val="00081F19"/>
    <w:rsid w:val="00081FA4"/>
    <w:rsid w:val="00081FB7"/>
    <w:rsid w:val="00082060"/>
    <w:rsid w:val="0008210A"/>
    <w:rsid w:val="00082161"/>
    <w:rsid w:val="00082201"/>
    <w:rsid w:val="00082222"/>
    <w:rsid w:val="00082260"/>
    <w:rsid w:val="0008227F"/>
    <w:rsid w:val="000822BF"/>
    <w:rsid w:val="000822EC"/>
    <w:rsid w:val="00082332"/>
    <w:rsid w:val="00082371"/>
    <w:rsid w:val="0008237D"/>
    <w:rsid w:val="000823B5"/>
    <w:rsid w:val="000823D8"/>
    <w:rsid w:val="0008244D"/>
    <w:rsid w:val="0008246D"/>
    <w:rsid w:val="000824D7"/>
    <w:rsid w:val="0008250D"/>
    <w:rsid w:val="00082585"/>
    <w:rsid w:val="000825E4"/>
    <w:rsid w:val="00082687"/>
    <w:rsid w:val="00082739"/>
    <w:rsid w:val="0008274D"/>
    <w:rsid w:val="0008278D"/>
    <w:rsid w:val="00082804"/>
    <w:rsid w:val="00082881"/>
    <w:rsid w:val="00082888"/>
    <w:rsid w:val="000828EF"/>
    <w:rsid w:val="00082946"/>
    <w:rsid w:val="0008294B"/>
    <w:rsid w:val="0008294C"/>
    <w:rsid w:val="0008296A"/>
    <w:rsid w:val="00082997"/>
    <w:rsid w:val="000829A8"/>
    <w:rsid w:val="000829C0"/>
    <w:rsid w:val="000829EB"/>
    <w:rsid w:val="00082A00"/>
    <w:rsid w:val="00082A15"/>
    <w:rsid w:val="00082B70"/>
    <w:rsid w:val="00082B7E"/>
    <w:rsid w:val="00082B8C"/>
    <w:rsid w:val="00082B95"/>
    <w:rsid w:val="00082BE9"/>
    <w:rsid w:val="00082BEC"/>
    <w:rsid w:val="00082BF3"/>
    <w:rsid w:val="00082C11"/>
    <w:rsid w:val="00082C2A"/>
    <w:rsid w:val="00082CA0"/>
    <w:rsid w:val="00082CB2"/>
    <w:rsid w:val="00082D97"/>
    <w:rsid w:val="00082DE8"/>
    <w:rsid w:val="00082E74"/>
    <w:rsid w:val="00082E9F"/>
    <w:rsid w:val="00082EBC"/>
    <w:rsid w:val="00082EC4"/>
    <w:rsid w:val="00082EE9"/>
    <w:rsid w:val="00082EEC"/>
    <w:rsid w:val="00082F31"/>
    <w:rsid w:val="00082F3A"/>
    <w:rsid w:val="00082F44"/>
    <w:rsid w:val="00082F45"/>
    <w:rsid w:val="00082FC1"/>
    <w:rsid w:val="00083074"/>
    <w:rsid w:val="00083085"/>
    <w:rsid w:val="0008308A"/>
    <w:rsid w:val="000830CA"/>
    <w:rsid w:val="00083133"/>
    <w:rsid w:val="00083143"/>
    <w:rsid w:val="00083153"/>
    <w:rsid w:val="000831A2"/>
    <w:rsid w:val="000831B7"/>
    <w:rsid w:val="00083210"/>
    <w:rsid w:val="00083242"/>
    <w:rsid w:val="000832C5"/>
    <w:rsid w:val="00083301"/>
    <w:rsid w:val="00083323"/>
    <w:rsid w:val="000833BD"/>
    <w:rsid w:val="000833D7"/>
    <w:rsid w:val="000833E1"/>
    <w:rsid w:val="0008345D"/>
    <w:rsid w:val="00083467"/>
    <w:rsid w:val="0008349A"/>
    <w:rsid w:val="00083513"/>
    <w:rsid w:val="00083514"/>
    <w:rsid w:val="00083580"/>
    <w:rsid w:val="000835DD"/>
    <w:rsid w:val="0008362D"/>
    <w:rsid w:val="0008369E"/>
    <w:rsid w:val="000837B0"/>
    <w:rsid w:val="000837CF"/>
    <w:rsid w:val="000837DD"/>
    <w:rsid w:val="000837F6"/>
    <w:rsid w:val="00083876"/>
    <w:rsid w:val="00083881"/>
    <w:rsid w:val="000838CF"/>
    <w:rsid w:val="0008391D"/>
    <w:rsid w:val="00083922"/>
    <w:rsid w:val="00083A3B"/>
    <w:rsid w:val="00083A42"/>
    <w:rsid w:val="00083A9A"/>
    <w:rsid w:val="00083B2E"/>
    <w:rsid w:val="00083B40"/>
    <w:rsid w:val="00083C25"/>
    <w:rsid w:val="00083C36"/>
    <w:rsid w:val="00083C51"/>
    <w:rsid w:val="00083C53"/>
    <w:rsid w:val="00083C60"/>
    <w:rsid w:val="00083CD5"/>
    <w:rsid w:val="00083CE9"/>
    <w:rsid w:val="00083D20"/>
    <w:rsid w:val="00083D28"/>
    <w:rsid w:val="00083D42"/>
    <w:rsid w:val="00083D4E"/>
    <w:rsid w:val="00083DA3"/>
    <w:rsid w:val="00083DC4"/>
    <w:rsid w:val="00083DD0"/>
    <w:rsid w:val="00083DD1"/>
    <w:rsid w:val="00083E26"/>
    <w:rsid w:val="00083E39"/>
    <w:rsid w:val="00083E5E"/>
    <w:rsid w:val="00083E64"/>
    <w:rsid w:val="00083EF2"/>
    <w:rsid w:val="00083F57"/>
    <w:rsid w:val="00083FF0"/>
    <w:rsid w:val="00083FFD"/>
    <w:rsid w:val="0008403E"/>
    <w:rsid w:val="00084093"/>
    <w:rsid w:val="00084104"/>
    <w:rsid w:val="00084134"/>
    <w:rsid w:val="000841AB"/>
    <w:rsid w:val="00084268"/>
    <w:rsid w:val="000842D8"/>
    <w:rsid w:val="000842F9"/>
    <w:rsid w:val="000843E0"/>
    <w:rsid w:val="000843EB"/>
    <w:rsid w:val="0008441B"/>
    <w:rsid w:val="0008445E"/>
    <w:rsid w:val="0008447E"/>
    <w:rsid w:val="000844F0"/>
    <w:rsid w:val="000845F4"/>
    <w:rsid w:val="00084677"/>
    <w:rsid w:val="00084696"/>
    <w:rsid w:val="00084697"/>
    <w:rsid w:val="000846FA"/>
    <w:rsid w:val="0008473B"/>
    <w:rsid w:val="0008474A"/>
    <w:rsid w:val="0008477E"/>
    <w:rsid w:val="000847CB"/>
    <w:rsid w:val="000847CE"/>
    <w:rsid w:val="00084916"/>
    <w:rsid w:val="000849F0"/>
    <w:rsid w:val="00084A6D"/>
    <w:rsid w:val="00084B09"/>
    <w:rsid w:val="00084B29"/>
    <w:rsid w:val="00084B58"/>
    <w:rsid w:val="00084B61"/>
    <w:rsid w:val="00084B71"/>
    <w:rsid w:val="00084BD7"/>
    <w:rsid w:val="00084BFB"/>
    <w:rsid w:val="00084C38"/>
    <w:rsid w:val="00084C4F"/>
    <w:rsid w:val="00084D1C"/>
    <w:rsid w:val="00084D1F"/>
    <w:rsid w:val="00084D56"/>
    <w:rsid w:val="00084D5B"/>
    <w:rsid w:val="00084D68"/>
    <w:rsid w:val="00084DE4"/>
    <w:rsid w:val="00084EB7"/>
    <w:rsid w:val="00084EB8"/>
    <w:rsid w:val="00084EBF"/>
    <w:rsid w:val="00084EC0"/>
    <w:rsid w:val="00084ED1"/>
    <w:rsid w:val="00084ED5"/>
    <w:rsid w:val="00084F44"/>
    <w:rsid w:val="00084F56"/>
    <w:rsid w:val="00084F8E"/>
    <w:rsid w:val="00084FC2"/>
    <w:rsid w:val="00085007"/>
    <w:rsid w:val="0008500C"/>
    <w:rsid w:val="00085014"/>
    <w:rsid w:val="00085015"/>
    <w:rsid w:val="00085020"/>
    <w:rsid w:val="00085059"/>
    <w:rsid w:val="00085077"/>
    <w:rsid w:val="0008507A"/>
    <w:rsid w:val="00085123"/>
    <w:rsid w:val="00085165"/>
    <w:rsid w:val="0008516F"/>
    <w:rsid w:val="000851B0"/>
    <w:rsid w:val="000851BB"/>
    <w:rsid w:val="00085208"/>
    <w:rsid w:val="00085223"/>
    <w:rsid w:val="00085251"/>
    <w:rsid w:val="000852A6"/>
    <w:rsid w:val="000852AC"/>
    <w:rsid w:val="000852DC"/>
    <w:rsid w:val="00085410"/>
    <w:rsid w:val="00085428"/>
    <w:rsid w:val="0008544C"/>
    <w:rsid w:val="0008546E"/>
    <w:rsid w:val="000854C9"/>
    <w:rsid w:val="000854E9"/>
    <w:rsid w:val="000855AF"/>
    <w:rsid w:val="00085617"/>
    <w:rsid w:val="00085626"/>
    <w:rsid w:val="00085723"/>
    <w:rsid w:val="0008574F"/>
    <w:rsid w:val="00085781"/>
    <w:rsid w:val="000857A7"/>
    <w:rsid w:val="000857B5"/>
    <w:rsid w:val="000857E1"/>
    <w:rsid w:val="000857E8"/>
    <w:rsid w:val="00085843"/>
    <w:rsid w:val="0008584A"/>
    <w:rsid w:val="000858A1"/>
    <w:rsid w:val="00085906"/>
    <w:rsid w:val="00085911"/>
    <w:rsid w:val="000859BD"/>
    <w:rsid w:val="00085A34"/>
    <w:rsid w:val="00085B20"/>
    <w:rsid w:val="00085B6C"/>
    <w:rsid w:val="00085BA3"/>
    <w:rsid w:val="00085BF7"/>
    <w:rsid w:val="00085C12"/>
    <w:rsid w:val="00085C7C"/>
    <w:rsid w:val="00085C8D"/>
    <w:rsid w:val="00085CB6"/>
    <w:rsid w:val="00085CD5"/>
    <w:rsid w:val="00085D0B"/>
    <w:rsid w:val="00085D14"/>
    <w:rsid w:val="00085D60"/>
    <w:rsid w:val="00085D6A"/>
    <w:rsid w:val="00085D77"/>
    <w:rsid w:val="00085D8F"/>
    <w:rsid w:val="00085D98"/>
    <w:rsid w:val="00085E01"/>
    <w:rsid w:val="00085E5E"/>
    <w:rsid w:val="00085E94"/>
    <w:rsid w:val="00085EBC"/>
    <w:rsid w:val="00085EC3"/>
    <w:rsid w:val="00085F07"/>
    <w:rsid w:val="00085F15"/>
    <w:rsid w:val="00085F1F"/>
    <w:rsid w:val="00085F6D"/>
    <w:rsid w:val="00085FA6"/>
    <w:rsid w:val="00085FAA"/>
    <w:rsid w:val="00085FF5"/>
    <w:rsid w:val="00085FFE"/>
    <w:rsid w:val="0008601A"/>
    <w:rsid w:val="0008607C"/>
    <w:rsid w:val="000860DA"/>
    <w:rsid w:val="0008610E"/>
    <w:rsid w:val="00086142"/>
    <w:rsid w:val="000861AC"/>
    <w:rsid w:val="00086297"/>
    <w:rsid w:val="0008629D"/>
    <w:rsid w:val="000862BB"/>
    <w:rsid w:val="000862DF"/>
    <w:rsid w:val="000862E6"/>
    <w:rsid w:val="000862EE"/>
    <w:rsid w:val="000862F8"/>
    <w:rsid w:val="000863F6"/>
    <w:rsid w:val="00086400"/>
    <w:rsid w:val="0008643C"/>
    <w:rsid w:val="00086472"/>
    <w:rsid w:val="0008648A"/>
    <w:rsid w:val="00086495"/>
    <w:rsid w:val="0008649F"/>
    <w:rsid w:val="00086547"/>
    <w:rsid w:val="0008654E"/>
    <w:rsid w:val="00086569"/>
    <w:rsid w:val="00086574"/>
    <w:rsid w:val="000865D0"/>
    <w:rsid w:val="000865E7"/>
    <w:rsid w:val="00086641"/>
    <w:rsid w:val="0008664F"/>
    <w:rsid w:val="00086763"/>
    <w:rsid w:val="0008677D"/>
    <w:rsid w:val="000867A5"/>
    <w:rsid w:val="000867E7"/>
    <w:rsid w:val="00086867"/>
    <w:rsid w:val="0008689C"/>
    <w:rsid w:val="00086948"/>
    <w:rsid w:val="0008694F"/>
    <w:rsid w:val="00086966"/>
    <w:rsid w:val="0008696F"/>
    <w:rsid w:val="000869CF"/>
    <w:rsid w:val="000869D7"/>
    <w:rsid w:val="000869F9"/>
    <w:rsid w:val="00086A73"/>
    <w:rsid w:val="00086ABE"/>
    <w:rsid w:val="00086AD5"/>
    <w:rsid w:val="00086BBD"/>
    <w:rsid w:val="00086BC4"/>
    <w:rsid w:val="00086C1A"/>
    <w:rsid w:val="00086C25"/>
    <w:rsid w:val="00086C4D"/>
    <w:rsid w:val="00086C78"/>
    <w:rsid w:val="00086D17"/>
    <w:rsid w:val="00086D42"/>
    <w:rsid w:val="00086DAB"/>
    <w:rsid w:val="00086DC5"/>
    <w:rsid w:val="00086E09"/>
    <w:rsid w:val="00086EAD"/>
    <w:rsid w:val="00086EDE"/>
    <w:rsid w:val="00086F3C"/>
    <w:rsid w:val="00086F9E"/>
    <w:rsid w:val="00086FE9"/>
    <w:rsid w:val="00087017"/>
    <w:rsid w:val="0008705B"/>
    <w:rsid w:val="00087128"/>
    <w:rsid w:val="00087171"/>
    <w:rsid w:val="0008717F"/>
    <w:rsid w:val="00087197"/>
    <w:rsid w:val="000871C3"/>
    <w:rsid w:val="000871F4"/>
    <w:rsid w:val="00087240"/>
    <w:rsid w:val="00087276"/>
    <w:rsid w:val="00087298"/>
    <w:rsid w:val="00087319"/>
    <w:rsid w:val="000873D3"/>
    <w:rsid w:val="000873E6"/>
    <w:rsid w:val="00087427"/>
    <w:rsid w:val="00087439"/>
    <w:rsid w:val="0008748E"/>
    <w:rsid w:val="000874AC"/>
    <w:rsid w:val="00087568"/>
    <w:rsid w:val="000875BD"/>
    <w:rsid w:val="0008766D"/>
    <w:rsid w:val="000876CF"/>
    <w:rsid w:val="0008775F"/>
    <w:rsid w:val="00087791"/>
    <w:rsid w:val="000877EC"/>
    <w:rsid w:val="00087817"/>
    <w:rsid w:val="00087852"/>
    <w:rsid w:val="00087862"/>
    <w:rsid w:val="00087897"/>
    <w:rsid w:val="000878CA"/>
    <w:rsid w:val="00087932"/>
    <w:rsid w:val="0008799D"/>
    <w:rsid w:val="000879CD"/>
    <w:rsid w:val="00087A26"/>
    <w:rsid w:val="00087AB0"/>
    <w:rsid w:val="00087AB1"/>
    <w:rsid w:val="00087B0C"/>
    <w:rsid w:val="00087B2E"/>
    <w:rsid w:val="00087BFC"/>
    <w:rsid w:val="00087BFD"/>
    <w:rsid w:val="00087C30"/>
    <w:rsid w:val="00087C46"/>
    <w:rsid w:val="00087C48"/>
    <w:rsid w:val="00087CC4"/>
    <w:rsid w:val="00087CE1"/>
    <w:rsid w:val="00087CFB"/>
    <w:rsid w:val="00087D30"/>
    <w:rsid w:val="00087D50"/>
    <w:rsid w:val="00087DBC"/>
    <w:rsid w:val="00087DD0"/>
    <w:rsid w:val="00087DFF"/>
    <w:rsid w:val="00087E29"/>
    <w:rsid w:val="00087E3D"/>
    <w:rsid w:val="00087E5C"/>
    <w:rsid w:val="00087E8F"/>
    <w:rsid w:val="00087EE1"/>
    <w:rsid w:val="00087EE7"/>
    <w:rsid w:val="00087F67"/>
    <w:rsid w:val="00087FAF"/>
    <w:rsid w:val="00087FD9"/>
    <w:rsid w:val="00087FDC"/>
    <w:rsid w:val="000900D6"/>
    <w:rsid w:val="000900EC"/>
    <w:rsid w:val="00090135"/>
    <w:rsid w:val="000901AB"/>
    <w:rsid w:val="000901B6"/>
    <w:rsid w:val="000901C5"/>
    <w:rsid w:val="0009022D"/>
    <w:rsid w:val="00090246"/>
    <w:rsid w:val="0009034F"/>
    <w:rsid w:val="000903F1"/>
    <w:rsid w:val="00090407"/>
    <w:rsid w:val="00090444"/>
    <w:rsid w:val="00090479"/>
    <w:rsid w:val="0009050A"/>
    <w:rsid w:val="0009051D"/>
    <w:rsid w:val="0009058B"/>
    <w:rsid w:val="000905CF"/>
    <w:rsid w:val="000905E6"/>
    <w:rsid w:val="000905FC"/>
    <w:rsid w:val="00090636"/>
    <w:rsid w:val="0009065D"/>
    <w:rsid w:val="00090704"/>
    <w:rsid w:val="00090717"/>
    <w:rsid w:val="00090718"/>
    <w:rsid w:val="00090725"/>
    <w:rsid w:val="0009074E"/>
    <w:rsid w:val="00090761"/>
    <w:rsid w:val="0009076C"/>
    <w:rsid w:val="0009077A"/>
    <w:rsid w:val="00090874"/>
    <w:rsid w:val="00090882"/>
    <w:rsid w:val="000908F9"/>
    <w:rsid w:val="000908FD"/>
    <w:rsid w:val="00090935"/>
    <w:rsid w:val="00090951"/>
    <w:rsid w:val="00090953"/>
    <w:rsid w:val="0009099E"/>
    <w:rsid w:val="000909D2"/>
    <w:rsid w:val="000909DC"/>
    <w:rsid w:val="00090A08"/>
    <w:rsid w:val="00090A12"/>
    <w:rsid w:val="00090A3D"/>
    <w:rsid w:val="00090A85"/>
    <w:rsid w:val="00090AA4"/>
    <w:rsid w:val="00090AB7"/>
    <w:rsid w:val="00090B15"/>
    <w:rsid w:val="00090B2F"/>
    <w:rsid w:val="00090B68"/>
    <w:rsid w:val="00090B7D"/>
    <w:rsid w:val="00090BF8"/>
    <w:rsid w:val="00090C0A"/>
    <w:rsid w:val="00090C56"/>
    <w:rsid w:val="00090CB8"/>
    <w:rsid w:val="00090CEE"/>
    <w:rsid w:val="00090D6D"/>
    <w:rsid w:val="00090D87"/>
    <w:rsid w:val="00090DA0"/>
    <w:rsid w:val="00090DC3"/>
    <w:rsid w:val="00090E5B"/>
    <w:rsid w:val="00090E67"/>
    <w:rsid w:val="00090E9D"/>
    <w:rsid w:val="00090EC2"/>
    <w:rsid w:val="00090F80"/>
    <w:rsid w:val="00090FAA"/>
    <w:rsid w:val="00090FDB"/>
    <w:rsid w:val="00090FF2"/>
    <w:rsid w:val="0009106E"/>
    <w:rsid w:val="000910C9"/>
    <w:rsid w:val="0009111A"/>
    <w:rsid w:val="0009112C"/>
    <w:rsid w:val="00091170"/>
    <w:rsid w:val="000911BC"/>
    <w:rsid w:val="00091213"/>
    <w:rsid w:val="00091281"/>
    <w:rsid w:val="00091286"/>
    <w:rsid w:val="000912C1"/>
    <w:rsid w:val="00091310"/>
    <w:rsid w:val="00091479"/>
    <w:rsid w:val="000914F5"/>
    <w:rsid w:val="00091503"/>
    <w:rsid w:val="00091584"/>
    <w:rsid w:val="00091598"/>
    <w:rsid w:val="000915F9"/>
    <w:rsid w:val="00091613"/>
    <w:rsid w:val="00091665"/>
    <w:rsid w:val="00091678"/>
    <w:rsid w:val="000916B7"/>
    <w:rsid w:val="0009172D"/>
    <w:rsid w:val="000917D4"/>
    <w:rsid w:val="000917D8"/>
    <w:rsid w:val="00091807"/>
    <w:rsid w:val="0009184D"/>
    <w:rsid w:val="00091852"/>
    <w:rsid w:val="00091863"/>
    <w:rsid w:val="000918C3"/>
    <w:rsid w:val="000918FC"/>
    <w:rsid w:val="0009191B"/>
    <w:rsid w:val="0009198B"/>
    <w:rsid w:val="000919B7"/>
    <w:rsid w:val="000919BE"/>
    <w:rsid w:val="000919C2"/>
    <w:rsid w:val="00091A47"/>
    <w:rsid w:val="00091AD1"/>
    <w:rsid w:val="00091AE2"/>
    <w:rsid w:val="00091B27"/>
    <w:rsid w:val="00091B57"/>
    <w:rsid w:val="00091BA2"/>
    <w:rsid w:val="00091BA6"/>
    <w:rsid w:val="00091BEB"/>
    <w:rsid w:val="00091BFD"/>
    <w:rsid w:val="00091C78"/>
    <w:rsid w:val="00091D06"/>
    <w:rsid w:val="00091DA5"/>
    <w:rsid w:val="00091DEA"/>
    <w:rsid w:val="00091E49"/>
    <w:rsid w:val="00091E6D"/>
    <w:rsid w:val="00091E6E"/>
    <w:rsid w:val="00091E6F"/>
    <w:rsid w:val="00091EA6"/>
    <w:rsid w:val="00091EDF"/>
    <w:rsid w:val="00091EFA"/>
    <w:rsid w:val="00091F0F"/>
    <w:rsid w:val="00091F7B"/>
    <w:rsid w:val="00091F9A"/>
    <w:rsid w:val="0009211D"/>
    <w:rsid w:val="00092132"/>
    <w:rsid w:val="000921BA"/>
    <w:rsid w:val="000922B7"/>
    <w:rsid w:val="00092321"/>
    <w:rsid w:val="00092322"/>
    <w:rsid w:val="00092332"/>
    <w:rsid w:val="00092348"/>
    <w:rsid w:val="00092395"/>
    <w:rsid w:val="000923CA"/>
    <w:rsid w:val="000923D6"/>
    <w:rsid w:val="00092436"/>
    <w:rsid w:val="00092451"/>
    <w:rsid w:val="00092499"/>
    <w:rsid w:val="000924C0"/>
    <w:rsid w:val="000924C6"/>
    <w:rsid w:val="0009252C"/>
    <w:rsid w:val="000925A2"/>
    <w:rsid w:val="000925B2"/>
    <w:rsid w:val="000925D4"/>
    <w:rsid w:val="00092613"/>
    <w:rsid w:val="00092621"/>
    <w:rsid w:val="00092660"/>
    <w:rsid w:val="0009266E"/>
    <w:rsid w:val="0009269F"/>
    <w:rsid w:val="000926E6"/>
    <w:rsid w:val="0009273B"/>
    <w:rsid w:val="00092746"/>
    <w:rsid w:val="0009276F"/>
    <w:rsid w:val="0009277C"/>
    <w:rsid w:val="000927E7"/>
    <w:rsid w:val="0009286A"/>
    <w:rsid w:val="00092877"/>
    <w:rsid w:val="0009287C"/>
    <w:rsid w:val="0009287E"/>
    <w:rsid w:val="000928CF"/>
    <w:rsid w:val="000928F2"/>
    <w:rsid w:val="00092949"/>
    <w:rsid w:val="00092996"/>
    <w:rsid w:val="000929AA"/>
    <w:rsid w:val="000929AC"/>
    <w:rsid w:val="000929C9"/>
    <w:rsid w:val="00092A01"/>
    <w:rsid w:val="00092A0F"/>
    <w:rsid w:val="00092A3B"/>
    <w:rsid w:val="00092A4A"/>
    <w:rsid w:val="00092A68"/>
    <w:rsid w:val="00092A77"/>
    <w:rsid w:val="00092AE6"/>
    <w:rsid w:val="00092B16"/>
    <w:rsid w:val="00092B2F"/>
    <w:rsid w:val="00092B4D"/>
    <w:rsid w:val="00092B8F"/>
    <w:rsid w:val="00092BB8"/>
    <w:rsid w:val="00092CA0"/>
    <w:rsid w:val="00092CAB"/>
    <w:rsid w:val="00092CD9"/>
    <w:rsid w:val="00092D2C"/>
    <w:rsid w:val="00092D57"/>
    <w:rsid w:val="00092D62"/>
    <w:rsid w:val="00092DE2"/>
    <w:rsid w:val="00092E05"/>
    <w:rsid w:val="00092E28"/>
    <w:rsid w:val="00092E4E"/>
    <w:rsid w:val="00092ECC"/>
    <w:rsid w:val="00092EE7"/>
    <w:rsid w:val="00092F85"/>
    <w:rsid w:val="00092FFD"/>
    <w:rsid w:val="0009301E"/>
    <w:rsid w:val="00093058"/>
    <w:rsid w:val="00093085"/>
    <w:rsid w:val="000930AE"/>
    <w:rsid w:val="000930CE"/>
    <w:rsid w:val="00093100"/>
    <w:rsid w:val="00093135"/>
    <w:rsid w:val="0009313A"/>
    <w:rsid w:val="00093189"/>
    <w:rsid w:val="000931AD"/>
    <w:rsid w:val="0009322F"/>
    <w:rsid w:val="000932D4"/>
    <w:rsid w:val="00093314"/>
    <w:rsid w:val="0009331E"/>
    <w:rsid w:val="000933E5"/>
    <w:rsid w:val="0009340A"/>
    <w:rsid w:val="000934B8"/>
    <w:rsid w:val="000934C0"/>
    <w:rsid w:val="000934F6"/>
    <w:rsid w:val="00093548"/>
    <w:rsid w:val="00093586"/>
    <w:rsid w:val="000935B9"/>
    <w:rsid w:val="000935D7"/>
    <w:rsid w:val="000935EF"/>
    <w:rsid w:val="00093634"/>
    <w:rsid w:val="00093640"/>
    <w:rsid w:val="000936CB"/>
    <w:rsid w:val="00093713"/>
    <w:rsid w:val="00093779"/>
    <w:rsid w:val="000937E0"/>
    <w:rsid w:val="000937E7"/>
    <w:rsid w:val="00093802"/>
    <w:rsid w:val="0009380B"/>
    <w:rsid w:val="00093821"/>
    <w:rsid w:val="00093878"/>
    <w:rsid w:val="0009389D"/>
    <w:rsid w:val="000938D4"/>
    <w:rsid w:val="000938D9"/>
    <w:rsid w:val="000938FF"/>
    <w:rsid w:val="00093919"/>
    <w:rsid w:val="0009399F"/>
    <w:rsid w:val="000939CD"/>
    <w:rsid w:val="00093A2D"/>
    <w:rsid w:val="00093A54"/>
    <w:rsid w:val="00093A73"/>
    <w:rsid w:val="00093B00"/>
    <w:rsid w:val="00093B77"/>
    <w:rsid w:val="00093B9B"/>
    <w:rsid w:val="00093BDC"/>
    <w:rsid w:val="00093C3E"/>
    <w:rsid w:val="00093C71"/>
    <w:rsid w:val="00093C73"/>
    <w:rsid w:val="00093C7A"/>
    <w:rsid w:val="00093CC3"/>
    <w:rsid w:val="00093CE9"/>
    <w:rsid w:val="00093D54"/>
    <w:rsid w:val="00093D55"/>
    <w:rsid w:val="00093D96"/>
    <w:rsid w:val="00093DFD"/>
    <w:rsid w:val="00093E07"/>
    <w:rsid w:val="00093E35"/>
    <w:rsid w:val="00093E61"/>
    <w:rsid w:val="00093E83"/>
    <w:rsid w:val="00093ECA"/>
    <w:rsid w:val="00093F7E"/>
    <w:rsid w:val="00093FBF"/>
    <w:rsid w:val="0009402C"/>
    <w:rsid w:val="000940E2"/>
    <w:rsid w:val="000940E6"/>
    <w:rsid w:val="0009410D"/>
    <w:rsid w:val="00094148"/>
    <w:rsid w:val="00094152"/>
    <w:rsid w:val="0009417F"/>
    <w:rsid w:val="000941C5"/>
    <w:rsid w:val="000941F9"/>
    <w:rsid w:val="00094213"/>
    <w:rsid w:val="00094262"/>
    <w:rsid w:val="000942B4"/>
    <w:rsid w:val="000942F1"/>
    <w:rsid w:val="00094372"/>
    <w:rsid w:val="00094375"/>
    <w:rsid w:val="000943E2"/>
    <w:rsid w:val="0009447B"/>
    <w:rsid w:val="000944C0"/>
    <w:rsid w:val="000944DA"/>
    <w:rsid w:val="0009450D"/>
    <w:rsid w:val="00094550"/>
    <w:rsid w:val="00094631"/>
    <w:rsid w:val="00094639"/>
    <w:rsid w:val="0009465A"/>
    <w:rsid w:val="0009467F"/>
    <w:rsid w:val="00094694"/>
    <w:rsid w:val="00094706"/>
    <w:rsid w:val="00094796"/>
    <w:rsid w:val="000948AA"/>
    <w:rsid w:val="00094946"/>
    <w:rsid w:val="0009496C"/>
    <w:rsid w:val="0009497D"/>
    <w:rsid w:val="0009498F"/>
    <w:rsid w:val="000949FF"/>
    <w:rsid w:val="00094A6A"/>
    <w:rsid w:val="00094A81"/>
    <w:rsid w:val="00094AF9"/>
    <w:rsid w:val="00094B3A"/>
    <w:rsid w:val="00094B40"/>
    <w:rsid w:val="00094B47"/>
    <w:rsid w:val="00094B48"/>
    <w:rsid w:val="00094B74"/>
    <w:rsid w:val="00094B9A"/>
    <w:rsid w:val="00094BF5"/>
    <w:rsid w:val="00094C93"/>
    <w:rsid w:val="00094CA2"/>
    <w:rsid w:val="00094CA4"/>
    <w:rsid w:val="00094CB2"/>
    <w:rsid w:val="00094CEA"/>
    <w:rsid w:val="00094D3E"/>
    <w:rsid w:val="00094D4F"/>
    <w:rsid w:val="00094D62"/>
    <w:rsid w:val="00094E55"/>
    <w:rsid w:val="00094EE7"/>
    <w:rsid w:val="00094F07"/>
    <w:rsid w:val="00094FDE"/>
    <w:rsid w:val="00094FEF"/>
    <w:rsid w:val="00095024"/>
    <w:rsid w:val="0009505C"/>
    <w:rsid w:val="000950D4"/>
    <w:rsid w:val="0009511E"/>
    <w:rsid w:val="00095128"/>
    <w:rsid w:val="0009512C"/>
    <w:rsid w:val="00095163"/>
    <w:rsid w:val="0009516A"/>
    <w:rsid w:val="000951C7"/>
    <w:rsid w:val="000951EB"/>
    <w:rsid w:val="00095215"/>
    <w:rsid w:val="00095291"/>
    <w:rsid w:val="0009529A"/>
    <w:rsid w:val="0009535B"/>
    <w:rsid w:val="0009541B"/>
    <w:rsid w:val="00095421"/>
    <w:rsid w:val="00095484"/>
    <w:rsid w:val="00095494"/>
    <w:rsid w:val="000954BA"/>
    <w:rsid w:val="000954EB"/>
    <w:rsid w:val="0009552A"/>
    <w:rsid w:val="0009555B"/>
    <w:rsid w:val="000955B6"/>
    <w:rsid w:val="000955B8"/>
    <w:rsid w:val="0009565A"/>
    <w:rsid w:val="00095685"/>
    <w:rsid w:val="0009568A"/>
    <w:rsid w:val="00095695"/>
    <w:rsid w:val="000956AB"/>
    <w:rsid w:val="000956D4"/>
    <w:rsid w:val="000956FC"/>
    <w:rsid w:val="00095766"/>
    <w:rsid w:val="000957C4"/>
    <w:rsid w:val="00095825"/>
    <w:rsid w:val="00095830"/>
    <w:rsid w:val="00095834"/>
    <w:rsid w:val="0009583F"/>
    <w:rsid w:val="00095884"/>
    <w:rsid w:val="000958E0"/>
    <w:rsid w:val="0009591A"/>
    <w:rsid w:val="00095931"/>
    <w:rsid w:val="00095959"/>
    <w:rsid w:val="000959F7"/>
    <w:rsid w:val="00095A03"/>
    <w:rsid w:val="00095A70"/>
    <w:rsid w:val="00095A9C"/>
    <w:rsid w:val="00095B16"/>
    <w:rsid w:val="00095B4C"/>
    <w:rsid w:val="00095BEB"/>
    <w:rsid w:val="00095BFD"/>
    <w:rsid w:val="00095C35"/>
    <w:rsid w:val="00095C48"/>
    <w:rsid w:val="00095CCE"/>
    <w:rsid w:val="00095D42"/>
    <w:rsid w:val="00095DC6"/>
    <w:rsid w:val="00095DCF"/>
    <w:rsid w:val="00095E21"/>
    <w:rsid w:val="00095E25"/>
    <w:rsid w:val="00095E3B"/>
    <w:rsid w:val="00095E5B"/>
    <w:rsid w:val="00095E5F"/>
    <w:rsid w:val="00095F00"/>
    <w:rsid w:val="00095F5A"/>
    <w:rsid w:val="00095F5F"/>
    <w:rsid w:val="00095F8C"/>
    <w:rsid w:val="00095F92"/>
    <w:rsid w:val="00096052"/>
    <w:rsid w:val="000960B8"/>
    <w:rsid w:val="000960D4"/>
    <w:rsid w:val="000960E2"/>
    <w:rsid w:val="0009611B"/>
    <w:rsid w:val="00096123"/>
    <w:rsid w:val="00096126"/>
    <w:rsid w:val="0009612A"/>
    <w:rsid w:val="00096188"/>
    <w:rsid w:val="000961D5"/>
    <w:rsid w:val="000961E0"/>
    <w:rsid w:val="000961FD"/>
    <w:rsid w:val="00096225"/>
    <w:rsid w:val="0009627E"/>
    <w:rsid w:val="0009635C"/>
    <w:rsid w:val="0009635F"/>
    <w:rsid w:val="0009636C"/>
    <w:rsid w:val="000963EE"/>
    <w:rsid w:val="0009641F"/>
    <w:rsid w:val="00096452"/>
    <w:rsid w:val="00096500"/>
    <w:rsid w:val="0009653D"/>
    <w:rsid w:val="00096638"/>
    <w:rsid w:val="000966B9"/>
    <w:rsid w:val="000966DF"/>
    <w:rsid w:val="0009679B"/>
    <w:rsid w:val="0009679E"/>
    <w:rsid w:val="000967A5"/>
    <w:rsid w:val="000967F6"/>
    <w:rsid w:val="000968CA"/>
    <w:rsid w:val="000968E0"/>
    <w:rsid w:val="000968E5"/>
    <w:rsid w:val="0009698B"/>
    <w:rsid w:val="000969AA"/>
    <w:rsid w:val="000969B9"/>
    <w:rsid w:val="00096A0C"/>
    <w:rsid w:val="00096A4C"/>
    <w:rsid w:val="00096AB3"/>
    <w:rsid w:val="00096B0E"/>
    <w:rsid w:val="00096B40"/>
    <w:rsid w:val="00096B6B"/>
    <w:rsid w:val="00096B7E"/>
    <w:rsid w:val="00096C03"/>
    <w:rsid w:val="00096C0A"/>
    <w:rsid w:val="00096C6E"/>
    <w:rsid w:val="00096CB8"/>
    <w:rsid w:val="00096CF0"/>
    <w:rsid w:val="00096CF8"/>
    <w:rsid w:val="00096D2A"/>
    <w:rsid w:val="00096D4F"/>
    <w:rsid w:val="00096D52"/>
    <w:rsid w:val="00096D5E"/>
    <w:rsid w:val="00096D89"/>
    <w:rsid w:val="00096DBA"/>
    <w:rsid w:val="00096E66"/>
    <w:rsid w:val="00096E87"/>
    <w:rsid w:val="00096EDC"/>
    <w:rsid w:val="00096EE5"/>
    <w:rsid w:val="00096F02"/>
    <w:rsid w:val="00096FB4"/>
    <w:rsid w:val="00097032"/>
    <w:rsid w:val="00097050"/>
    <w:rsid w:val="0009706F"/>
    <w:rsid w:val="00097079"/>
    <w:rsid w:val="000970B9"/>
    <w:rsid w:val="000970D5"/>
    <w:rsid w:val="00097159"/>
    <w:rsid w:val="0009717C"/>
    <w:rsid w:val="00097188"/>
    <w:rsid w:val="0009719E"/>
    <w:rsid w:val="0009728C"/>
    <w:rsid w:val="000972B5"/>
    <w:rsid w:val="000972CF"/>
    <w:rsid w:val="000972F2"/>
    <w:rsid w:val="00097329"/>
    <w:rsid w:val="00097342"/>
    <w:rsid w:val="000973A2"/>
    <w:rsid w:val="000973D1"/>
    <w:rsid w:val="000973E8"/>
    <w:rsid w:val="000973F5"/>
    <w:rsid w:val="00097439"/>
    <w:rsid w:val="00097446"/>
    <w:rsid w:val="00097468"/>
    <w:rsid w:val="000974BB"/>
    <w:rsid w:val="0009754B"/>
    <w:rsid w:val="0009755C"/>
    <w:rsid w:val="000975B5"/>
    <w:rsid w:val="0009762F"/>
    <w:rsid w:val="0009771A"/>
    <w:rsid w:val="0009773B"/>
    <w:rsid w:val="00097770"/>
    <w:rsid w:val="00097774"/>
    <w:rsid w:val="000977AC"/>
    <w:rsid w:val="000977D9"/>
    <w:rsid w:val="00097803"/>
    <w:rsid w:val="000978E0"/>
    <w:rsid w:val="0009793B"/>
    <w:rsid w:val="00097976"/>
    <w:rsid w:val="000979CC"/>
    <w:rsid w:val="000979E8"/>
    <w:rsid w:val="00097A15"/>
    <w:rsid w:val="00097A44"/>
    <w:rsid w:val="00097A5C"/>
    <w:rsid w:val="00097AE1"/>
    <w:rsid w:val="00097B44"/>
    <w:rsid w:val="00097BC9"/>
    <w:rsid w:val="00097BD0"/>
    <w:rsid w:val="00097C19"/>
    <w:rsid w:val="00097C6E"/>
    <w:rsid w:val="00097C90"/>
    <w:rsid w:val="00097C9A"/>
    <w:rsid w:val="00097CB4"/>
    <w:rsid w:val="00097CBF"/>
    <w:rsid w:val="00097CD9"/>
    <w:rsid w:val="00097D06"/>
    <w:rsid w:val="00097D10"/>
    <w:rsid w:val="00097E56"/>
    <w:rsid w:val="00097E71"/>
    <w:rsid w:val="00097EA9"/>
    <w:rsid w:val="00097F07"/>
    <w:rsid w:val="00097F31"/>
    <w:rsid w:val="00097F40"/>
    <w:rsid w:val="00097F88"/>
    <w:rsid w:val="00097F8B"/>
    <w:rsid w:val="00097FA2"/>
    <w:rsid w:val="00097FBC"/>
    <w:rsid w:val="000A000F"/>
    <w:rsid w:val="000A00D0"/>
    <w:rsid w:val="000A00F6"/>
    <w:rsid w:val="000A010D"/>
    <w:rsid w:val="000A01E5"/>
    <w:rsid w:val="000A01F4"/>
    <w:rsid w:val="000A01FD"/>
    <w:rsid w:val="000A0202"/>
    <w:rsid w:val="000A020C"/>
    <w:rsid w:val="000A023D"/>
    <w:rsid w:val="000A025B"/>
    <w:rsid w:val="000A02BF"/>
    <w:rsid w:val="000A02F7"/>
    <w:rsid w:val="000A03F8"/>
    <w:rsid w:val="000A0494"/>
    <w:rsid w:val="000A0496"/>
    <w:rsid w:val="000A04F2"/>
    <w:rsid w:val="000A0543"/>
    <w:rsid w:val="000A0562"/>
    <w:rsid w:val="000A0564"/>
    <w:rsid w:val="000A05EC"/>
    <w:rsid w:val="000A0748"/>
    <w:rsid w:val="000A0753"/>
    <w:rsid w:val="000A0820"/>
    <w:rsid w:val="000A0849"/>
    <w:rsid w:val="000A0850"/>
    <w:rsid w:val="000A0887"/>
    <w:rsid w:val="000A0890"/>
    <w:rsid w:val="000A08C5"/>
    <w:rsid w:val="000A08CE"/>
    <w:rsid w:val="000A08E8"/>
    <w:rsid w:val="000A08EF"/>
    <w:rsid w:val="000A0914"/>
    <w:rsid w:val="000A0991"/>
    <w:rsid w:val="000A099E"/>
    <w:rsid w:val="000A09BB"/>
    <w:rsid w:val="000A09D9"/>
    <w:rsid w:val="000A0A94"/>
    <w:rsid w:val="000A0AA7"/>
    <w:rsid w:val="000A0B0B"/>
    <w:rsid w:val="000A0B8A"/>
    <w:rsid w:val="000A0B8F"/>
    <w:rsid w:val="000A0BDE"/>
    <w:rsid w:val="000A0BEE"/>
    <w:rsid w:val="000A0C0B"/>
    <w:rsid w:val="000A0C46"/>
    <w:rsid w:val="000A0CB4"/>
    <w:rsid w:val="000A0CED"/>
    <w:rsid w:val="000A0D55"/>
    <w:rsid w:val="000A0DE6"/>
    <w:rsid w:val="000A0DF4"/>
    <w:rsid w:val="000A0DFC"/>
    <w:rsid w:val="000A0E49"/>
    <w:rsid w:val="000A0E63"/>
    <w:rsid w:val="000A0EDA"/>
    <w:rsid w:val="000A0EEB"/>
    <w:rsid w:val="000A0F04"/>
    <w:rsid w:val="000A0F8B"/>
    <w:rsid w:val="000A0FE2"/>
    <w:rsid w:val="000A0FEF"/>
    <w:rsid w:val="000A1039"/>
    <w:rsid w:val="000A109D"/>
    <w:rsid w:val="000A1152"/>
    <w:rsid w:val="000A1176"/>
    <w:rsid w:val="000A1184"/>
    <w:rsid w:val="000A11DF"/>
    <w:rsid w:val="000A11F8"/>
    <w:rsid w:val="000A1206"/>
    <w:rsid w:val="000A1266"/>
    <w:rsid w:val="000A1294"/>
    <w:rsid w:val="000A1330"/>
    <w:rsid w:val="000A13B9"/>
    <w:rsid w:val="000A142C"/>
    <w:rsid w:val="000A14F4"/>
    <w:rsid w:val="000A152A"/>
    <w:rsid w:val="000A15B9"/>
    <w:rsid w:val="000A15C9"/>
    <w:rsid w:val="000A1610"/>
    <w:rsid w:val="000A172C"/>
    <w:rsid w:val="000A1749"/>
    <w:rsid w:val="000A1761"/>
    <w:rsid w:val="000A17EA"/>
    <w:rsid w:val="000A17EE"/>
    <w:rsid w:val="000A1803"/>
    <w:rsid w:val="000A1806"/>
    <w:rsid w:val="000A181D"/>
    <w:rsid w:val="000A1829"/>
    <w:rsid w:val="000A1917"/>
    <w:rsid w:val="000A191D"/>
    <w:rsid w:val="000A19A3"/>
    <w:rsid w:val="000A19C5"/>
    <w:rsid w:val="000A1A87"/>
    <w:rsid w:val="000A1AD7"/>
    <w:rsid w:val="000A1B24"/>
    <w:rsid w:val="000A1BAD"/>
    <w:rsid w:val="000A1BE8"/>
    <w:rsid w:val="000A1BFD"/>
    <w:rsid w:val="000A1D36"/>
    <w:rsid w:val="000A1D4F"/>
    <w:rsid w:val="000A1E38"/>
    <w:rsid w:val="000A1E89"/>
    <w:rsid w:val="000A1E8E"/>
    <w:rsid w:val="000A1E90"/>
    <w:rsid w:val="000A1EB8"/>
    <w:rsid w:val="000A1EC9"/>
    <w:rsid w:val="000A1ED5"/>
    <w:rsid w:val="000A1EE2"/>
    <w:rsid w:val="000A1F23"/>
    <w:rsid w:val="000A1F4B"/>
    <w:rsid w:val="000A1FA9"/>
    <w:rsid w:val="000A1FC7"/>
    <w:rsid w:val="000A1FDB"/>
    <w:rsid w:val="000A2001"/>
    <w:rsid w:val="000A200B"/>
    <w:rsid w:val="000A2028"/>
    <w:rsid w:val="000A202C"/>
    <w:rsid w:val="000A2030"/>
    <w:rsid w:val="000A2042"/>
    <w:rsid w:val="000A2079"/>
    <w:rsid w:val="000A20B8"/>
    <w:rsid w:val="000A2126"/>
    <w:rsid w:val="000A2135"/>
    <w:rsid w:val="000A2137"/>
    <w:rsid w:val="000A2150"/>
    <w:rsid w:val="000A2167"/>
    <w:rsid w:val="000A21DF"/>
    <w:rsid w:val="000A2255"/>
    <w:rsid w:val="000A2275"/>
    <w:rsid w:val="000A22BA"/>
    <w:rsid w:val="000A22BC"/>
    <w:rsid w:val="000A22CC"/>
    <w:rsid w:val="000A2348"/>
    <w:rsid w:val="000A2368"/>
    <w:rsid w:val="000A237A"/>
    <w:rsid w:val="000A2385"/>
    <w:rsid w:val="000A23C2"/>
    <w:rsid w:val="000A23F6"/>
    <w:rsid w:val="000A2400"/>
    <w:rsid w:val="000A2449"/>
    <w:rsid w:val="000A248E"/>
    <w:rsid w:val="000A2516"/>
    <w:rsid w:val="000A2519"/>
    <w:rsid w:val="000A2575"/>
    <w:rsid w:val="000A259F"/>
    <w:rsid w:val="000A25AF"/>
    <w:rsid w:val="000A25E9"/>
    <w:rsid w:val="000A2614"/>
    <w:rsid w:val="000A2650"/>
    <w:rsid w:val="000A2657"/>
    <w:rsid w:val="000A2660"/>
    <w:rsid w:val="000A2672"/>
    <w:rsid w:val="000A26A7"/>
    <w:rsid w:val="000A26DF"/>
    <w:rsid w:val="000A273C"/>
    <w:rsid w:val="000A2768"/>
    <w:rsid w:val="000A281A"/>
    <w:rsid w:val="000A2831"/>
    <w:rsid w:val="000A2835"/>
    <w:rsid w:val="000A2865"/>
    <w:rsid w:val="000A292D"/>
    <w:rsid w:val="000A2932"/>
    <w:rsid w:val="000A29F3"/>
    <w:rsid w:val="000A2ADB"/>
    <w:rsid w:val="000A2AFA"/>
    <w:rsid w:val="000A2B38"/>
    <w:rsid w:val="000A2B7E"/>
    <w:rsid w:val="000A2BB5"/>
    <w:rsid w:val="000A2BD0"/>
    <w:rsid w:val="000A2C51"/>
    <w:rsid w:val="000A2C8E"/>
    <w:rsid w:val="000A2CCD"/>
    <w:rsid w:val="000A2CF0"/>
    <w:rsid w:val="000A2CF6"/>
    <w:rsid w:val="000A2D28"/>
    <w:rsid w:val="000A2D44"/>
    <w:rsid w:val="000A2D66"/>
    <w:rsid w:val="000A2DB3"/>
    <w:rsid w:val="000A2DF3"/>
    <w:rsid w:val="000A2E10"/>
    <w:rsid w:val="000A2E28"/>
    <w:rsid w:val="000A2E55"/>
    <w:rsid w:val="000A2EA1"/>
    <w:rsid w:val="000A2EAB"/>
    <w:rsid w:val="000A2EB9"/>
    <w:rsid w:val="000A2F3E"/>
    <w:rsid w:val="000A2FC0"/>
    <w:rsid w:val="000A2FCF"/>
    <w:rsid w:val="000A302F"/>
    <w:rsid w:val="000A30DC"/>
    <w:rsid w:val="000A30ED"/>
    <w:rsid w:val="000A310E"/>
    <w:rsid w:val="000A3110"/>
    <w:rsid w:val="000A312C"/>
    <w:rsid w:val="000A3137"/>
    <w:rsid w:val="000A3139"/>
    <w:rsid w:val="000A3143"/>
    <w:rsid w:val="000A316E"/>
    <w:rsid w:val="000A3194"/>
    <w:rsid w:val="000A31B0"/>
    <w:rsid w:val="000A31B3"/>
    <w:rsid w:val="000A31F8"/>
    <w:rsid w:val="000A3250"/>
    <w:rsid w:val="000A327C"/>
    <w:rsid w:val="000A3295"/>
    <w:rsid w:val="000A32F2"/>
    <w:rsid w:val="000A335C"/>
    <w:rsid w:val="000A335E"/>
    <w:rsid w:val="000A3380"/>
    <w:rsid w:val="000A338A"/>
    <w:rsid w:val="000A33A6"/>
    <w:rsid w:val="000A33FC"/>
    <w:rsid w:val="000A3415"/>
    <w:rsid w:val="000A34B8"/>
    <w:rsid w:val="000A3529"/>
    <w:rsid w:val="000A352F"/>
    <w:rsid w:val="000A3548"/>
    <w:rsid w:val="000A3597"/>
    <w:rsid w:val="000A35DB"/>
    <w:rsid w:val="000A35E5"/>
    <w:rsid w:val="000A35F8"/>
    <w:rsid w:val="000A3649"/>
    <w:rsid w:val="000A3654"/>
    <w:rsid w:val="000A369C"/>
    <w:rsid w:val="000A36AA"/>
    <w:rsid w:val="000A36B3"/>
    <w:rsid w:val="000A36DE"/>
    <w:rsid w:val="000A371A"/>
    <w:rsid w:val="000A379C"/>
    <w:rsid w:val="000A37C0"/>
    <w:rsid w:val="000A3821"/>
    <w:rsid w:val="000A3898"/>
    <w:rsid w:val="000A389D"/>
    <w:rsid w:val="000A38B1"/>
    <w:rsid w:val="000A391C"/>
    <w:rsid w:val="000A39D6"/>
    <w:rsid w:val="000A3A2D"/>
    <w:rsid w:val="000A3A6B"/>
    <w:rsid w:val="000A3A70"/>
    <w:rsid w:val="000A3A76"/>
    <w:rsid w:val="000A3AD2"/>
    <w:rsid w:val="000A3B17"/>
    <w:rsid w:val="000A3B1C"/>
    <w:rsid w:val="000A3B92"/>
    <w:rsid w:val="000A3B98"/>
    <w:rsid w:val="000A3BB7"/>
    <w:rsid w:val="000A3BDE"/>
    <w:rsid w:val="000A3BF4"/>
    <w:rsid w:val="000A3C27"/>
    <w:rsid w:val="000A3C61"/>
    <w:rsid w:val="000A3CAA"/>
    <w:rsid w:val="000A3D20"/>
    <w:rsid w:val="000A3D39"/>
    <w:rsid w:val="000A3D3E"/>
    <w:rsid w:val="000A3D4C"/>
    <w:rsid w:val="000A3D89"/>
    <w:rsid w:val="000A3D90"/>
    <w:rsid w:val="000A3D94"/>
    <w:rsid w:val="000A3D96"/>
    <w:rsid w:val="000A3DB0"/>
    <w:rsid w:val="000A3E1B"/>
    <w:rsid w:val="000A3E65"/>
    <w:rsid w:val="000A3E85"/>
    <w:rsid w:val="000A3EC4"/>
    <w:rsid w:val="000A3ED7"/>
    <w:rsid w:val="000A3F27"/>
    <w:rsid w:val="000A3F29"/>
    <w:rsid w:val="000A3F2F"/>
    <w:rsid w:val="000A3F36"/>
    <w:rsid w:val="000A3F8E"/>
    <w:rsid w:val="000A3FDE"/>
    <w:rsid w:val="000A4093"/>
    <w:rsid w:val="000A40F6"/>
    <w:rsid w:val="000A4100"/>
    <w:rsid w:val="000A416B"/>
    <w:rsid w:val="000A4184"/>
    <w:rsid w:val="000A41B0"/>
    <w:rsid w:val="000A41F7"/>
    <w:rsid w:val="000A4223"/>
    <w:rsid w:val="000A4229"/>
    <w:rsid w:val="000A423B"/>
    <w:rsid w:val="000A42C7"/>
    <w:rsid w:val="000A42D6"/>
    <w:rsid w:val="000A4325"/>
    <w:rsid w:val="000A4338"/>
    <w:rsid w:val="000A435E"/>
    <w:rsid w:val="000A4373"/>
    <w:rsid w:val="000A449D"/>
    <w:rsid w:val="000A44C8"/>
    <w:rsid w:val="000A450C"/>
    <w:rsid w:val="000A4565"/>
    <w:rsid w:val="000A4588"/>
    <w:rsid w:val="000A45A6"/>
    <w:rsid w:val="000A45BA"/>
    <w:rsid w:val="000A45C4"/>
    <w:rsid w:val="000A45CB"/>
    <w:rsid w:val="000A45E7"/>
    <w:rsid w:val="000A460A"/>
    <w:rsid w:val="000A460E"/>
    <w:rsid w:val="000A4627"/>
    <w:rsid w:val="000A462C"/>
    <w:rsid w:val="000A4632"/>
    <w:rsid w:val="000A4679"/>
    <w:rsid w:val="000A467A"/>
    <w:rsid w:val="000A4745"/>
    <w:rsid w:val="000A4764"/>
    <w:rsid w:val="000A4793"/>
    <w:rsid w:val="000A4799"/>
    <w:rsid w:val="000A4853"/>
    <w:rsid w:val="000A4877"/>
    <w:rsid w:val="000A48D0"/>
    <w:rsid w:val="000A494F"/>
    <w:rsid w:val="000A4964"/>
    <w:rsid w:val="000A4A43"/>
    <w:rsid w:val="000A4A47"/>
    <w:rsid w:val="000A4A8F"/>
    <w:rsid w:val="000A4AE3"/>
    <w:rsid w:val="000A4B7B"/>
    <w:rsid w:val="000A4B8A"/>
    <w:rsid w:val="000A4B94"/>
    <w:rsid w:val="000A4BE2"/>
    <w:rsid w:val="000A4BEC"/>
    <w:rsid w:val="000A4BFC"/>
    <w:rsid w:val="000A4C0E"/>
    <w:rsid w:val="000A4C7A"/>
    <w:rsid w:val="000A4CCF"/>
    <w:rsid w:val="000A4CE4"/>
    <w:rsid w:val="000A4CEE"/>
    <w:rsid w:val="000A4D04"/>
    <w:rsid w:val="000A4D15"/>
    <w:rsid w:val="000A4D1F"/>
    <w:rsid w:val="000A4D3C"/>
    <w:rsid w:val="000A4DB8"/>
    <w:rsid w:val="000A4DF1"/>
    <w:rsid w:val="000A4DFA"/>
    <w:rsid w:val="000A4E3C"/>
    <w:rsid w:val="000A4EAA"/>
    <w:rsid w:val="000A4EE2"/>
    <w:rsid w:val="000A4EE6"/>
    <w:rsid w:val="000A5011"/>
    <w:rsid w:val="000A502A"/>
    <w:rsid w:val="000A505A"/>
    <w:rsid w:val="000A510C"/>
    <w:rsid w:val="000A5141"/>
    <w:rsid w:val="000A51B2"/>
    <w:rsid w:val="000A5260"/>
    <w:rsid w:val="000A5290"/>
    <w:rsid w:val="000A52B3"/>
    <w:rsid w:val="000A52BD"/>
    <w:rsid w:val="000A5314"/>
    <w:rsid w:val="000A533C"/>
    <w:rsid w:val="000A5360"/>
    <w:rsid w:val="000A5385"/>
    <w:rsid w:val="000A5434"/>
    <w:rsid w:val="000A5443"/>
    <w:rsid w:val="000A5475"/>
    <w:rsid w:val="000A54DC"/>
    <w:rsid w:val="000A54ED"/>
    <w:rsid w:val="000A551F"/>
    <w:rsid w:val="000A5535"/>
    <w:rsid w:val="000A55CF"/>
    <w:rsid w:val="000A562B"/>
    <w:rsid w:val="000A563C"/>
    <w:rsid w:val="000A5675"/>
    <w:rsid w:val="000A56F5"/>
    <w:rsid w:val="000A5706"/>
    <w:rsid w:val="000A5729"/>
    <w:rsid w:val="000A5768"/>
    <w:rsid w:val="000A5796"/>
    <w:rsid w:val="000A5805"/>
    <w:rsid w:val="000A5862"/>
    <w:rsid w:val="000A586A"/>
    <w:rsid w:val="000A5979"/>
    <w:rsid w:val="000A59BB"/>
    <w:rsid w:val="000A5A05"/>
    <w:rsid w:val="000A5A15"/>
    <w:rsid w:val="000A5AAE"/>
    <w:rsid w:val="000A5BC9"/>
    <w:rsid w:val="000A5C1C"/>
    <w:rsid w:val="000A5C74"/>
    <w:rsid w:val="000A5CA1"/>
    <w:rsid w:val="000A5CA9"/>
    <w:rsid w:val="000A5D1D"/>
    <w:rsid w:val="000A5EB3"/>
    <w:rsid w:val="000A5EC6"/>
    <w:rsid w:val="000A5EEF"/>
    <w:rsid w:val="000A5F0B"/>
    <w:rsid w:val="000A5F25"/>
    <w:rsid w:val="000A5F62"/>
    <w:rsid w:val="000A5FA8"/>
    <w:rsid w:val="000A5FCD"/>
    <w:rsid w:val="000A5FD2"/>
    <w:rsid w:val="000A5FFD"/>
    <w:rsid w:val="000A6008"/>
    <w:rsid w:val="000A602F"/>
    <w:rsid w:val="000A604B"/>
    <w:rsid w:val="000A60A0"/>
    <w:rsid w:val="000A60B8"/>
    <w:rsid w:val="000A60F8"/>
    <w:rsid w:val="000A613D"/>
    <w:rsid w:val="000A6152"/>
    <w:rsid w:val="000A6177"/>
    <w:rsid w:val="000A627E"/>
    <w:rsid w:val="000A6295"/>
    <w:rsid w:val="000A6298"/>
    <w:rsid w:val="000A62F4"/>
    <w:rsid w:val="000A6308"/>
    <w:rsid w:val="000A6355"/>
    <w:rsid w:val="000A63D9"/>
    <w:rsid w:val="000A63FF"/>
    <w:rsid w:val="000A64A5"/>
    <w:rsid w:val="000A64A7"/>
    <w:rsid w:val="000A64B4"/>
    <w:rsid w:val="000A64E9"/>
    <w:rsid w:val="000A6532"/>
    <w:rsid w:val="000A6695"/>
    <w:rsid w:val="000A66C3"/>
    <w:rsid w:val="000A6702"/>
    <w:rsid w:val="000A6713"/>
    <w:rsid w:val="000A6715"/>
    <w:rsid w:val="000A67CB"/>
    <w:rsid w:val="000A681E"/>
    <w:rsid w:val="000A6845"/>
    <w:rsid w:val="000A691E"/>
    <w:rsid w:val="000A699A"/>
    <w:rsid w:val="000A69A2"/>
    <w:rsid w:val="000A69CE"/>
    <w:rsid w:val="000A6A19"/>
    <w:rsid w:val="000A6A28"/>
    <w:rsid w:val="000A6A34"/>
    <w:rsid w:val="000A6A66"/>
    <w:rsid w:val="000A6AA1"/>
    <w:rsid w:val="000A6AC6"/>
    <w:rsid w:val="000A6AD5"/>
    <w:rsid w:val="000A6B26"/>
    <w:rsid w:val="000A6B27"/>
    <w:rsid w:val="000A6B4F"/>
    <w:rsid w:val="000A6C0F"/>
    <w:rsid w:val="000A6C45"/>
    <w:rsid w:val="000A6C66"/>
    <w:rsid w:val="000A6C82"/>
    <w:rsid w:val="000A6C8D"/>
    <w:rsid w:val="000A6D12"/>
    <w:rsid w:val="000A6D6D"/>
    <w:rsid w:val="000A6D98"/>
    <w:rsid w:val="000A6DF3"/>
    <w:rsid w:val="000A6E36"/>
    <w:rsid w:val="000A6E4C"/>
    <w:rsid w:val="000A6E68"/>
    <w:rsid w:val="000A6E82"/>
    <w:rsid w:val="000A6E90"/>
    <w:rsid w:val="000A6EB5"/>
    <w:rsid w:val="000A6F0F"/>
    <w:rsid w:val="000A6F5B"/>
    <w:rsid w:val="000A6FA3"/>
    <w:rsid w:val="000A6FCA"/>
    <w:rsid w:val="000A6FCD"/>
    <w:rsid w:val="000A6FD9"/>
    <w:rsid w:val="000A701C"/>
    <w:rsid w:val="000A70B1"/>
    <w:rsid w:val="000A70D5"/>
    <w:rsid w:val="000A70EA"/>
    <w:rsid w:val="000A70EF"/>
    <w:rsid w:val="000A710F"/>
    <w:rsid w:val="000A7110"/>
    <w:rsid w:val="000A712C"/>
    <w:rsid w:val="000A7133"/>
    <w:rsid w:val="000A715A"/>
    <w:rsid w:val="000A7168"/>
    <w:rsid w:val="000A71F8"/>
    <w:rsid w:val="000A7233"/>
    <w:rsid w:val="000A7275"/>
    <w:rsid w:val="000A72CA"/>
    <w:rsid w:val="000A72D6"/>
    <w:rsid w:val="000A72EA"/>
    <w:rsid w:val="000A736C"/>
    <w:rsid w:val="000A739F"/>
    <w:rsid w:val="000A73B9"/>
    <w:rsid w:val="000A741F"/>
    <w:rsid w:val="000A747E"/>
    <w:rsid w:val="000A74AF"/>
    <w:rsid w:val="000A74BF"/>
    <w:rsid w:val="000A74DE"/>
    <w:rsid w:val="000A7584"/>
    <w:rsid w:val="000A7591"/>
    <w:rsid w:val="000A75C5"/>
    <w:rsid w:val="000A75D1"/>
    <w:rsid w:val="000A770A"/>
    <w:rsid w:val="000A779D"/>
    <w:rsid w:val="000A7859"/>
    <w:rsid w:val="000A7882"/>
    <w:rsid w:val="000A7937"/>
    <w:rsid w:val="000A7970"/>
    <w:rsid w:val="000A7999"/>
    <w:rsid w:val="000A79AB"/>
    <w:rsid w:val="000A79C5"/>
    <w:rsid w:val="000A7A33"/>
    <w:rsid w:val="000A7ABD"/>
    <w:rsid w:val="000A7ACB"/>
    <w:rsid w:val="000A7B22"/>
    <w:rsid w:val="000A7B32"/>
    <w:rsid w:val="000A7B61"/>
    <w:rsid w:val="000A7B6E"/>
    <w:rsid w:val="000A7B98"/>
    <w:rsid w:val="000A7BC1"/>
    <w:rsid w:val="000A7BD8"/>
    <w:rsid w:val="000A7BDA"/>
    <w:rsid w:val="000A7C29"/>
    <w:rsid w:val="000A7C4B"/>
    <w:rsid w:val="000A7C86"/>
    <w:rsid w:val="000A7CA8"/>
    <w:rsid w:val="000A7CC8"/>
    <w:rsid w:val="000A7D0F"/>
    <w:rsid w:val="000A7D5C"/>
    <w:rsid w:val="000A7DD8"/>
    <w:rsid w:val="000A7DDD"/>
    <w:rsid w:val="000A7E72"/>
    <w:rsid w:val="000A7EED"/>
    <w:rsid w:val="000A7EEF"/>
    <w:rsid w:val="000A7F47"/>
    <w:rsid w:val="000A7FAD"/>
    <w:rsid w:val="000B0027"/>
    <w:rsid w:val="000B0088"/>
    <w:rsid w:val="000B00F2"/>
    <w:rsid w:val="000B00F6"/>
    <w:rsid w:val="000B0180"/>
    <w:rsid w:val="000B0215"/>
    <w:rsid w:val="000B027D"/>
    <w:rsid w:val="000B02A6"/>
    <w:rsid w:val="000B02A9"/>
    <w:rsid w:val="000B02D6"/>
    <w:rsid w:val="000B0343"/>
    <w:rsid w:val="000B0348"/>
    <w:rsid w:val="000B0361"/>
    <w:rsid w:val="000B03FD"/>
    <w:rsid w:val="000B0400"/>
    <w:rsid w:val="000B0421"/>
    <w:rsid w:val="000B043D"/>
    <w:rsid w:val="000B0527"/>
    <w:rsid w:val="000B0595"/>
    <w:rsid w:val="000B05CC"/>
    <w:rsid w:val="000B0661"/>
    <w:rsid w:val="000B06C5"/>
    <w:rsid w:val="000B06EC"/>
    <w:rsid w:val="000B0787"/>
    <w:rsid w:val="000B07E7"/>
    <w:rsid w:val="000B07F2"/>
    <w:rsid w:val="000B07F3"/>
    <w:rsid w:val="000B0835"/>
    <w:rsid w:val="000B084C"/>
    <w:rsid w:val="000B0850"/>
    <w:rsid w:val="000B0911"/>
    <w:rsid w:val="000B0914"/>
    <w:rsid w:val="000B092C"/>
    <w:rsid w:val="000B0981"/>
    <w:rsid w:val="000B0A33"/>
    <w:rsid w:val="000B0A50"/>
    <w:rsid w:val="000B0B08"/>
    <w:rsid w:val="000B0B5D"/>
    <w:rsid w:val="000B0B73"/>
    <w:rsid w:val="000B0B98"/>
    <w:rsid w:val="000B0B9A"/>
    <w:rsid w:val="000B0BAC"/>
    <w:rsid w:val="000B0BAE"/>
    <w:rsid w:val="000B0C3B"/>
    <w:rsid w:val="000B0CAF"/>
    <w:rsid w:val="000B0CD6"/>
    <w:rsid w:val="000B0DB3"/>
    <w:rsid w:val="000B0DE4"/>
    <w:rsid w:val="000B0ED4"/>
    <w:rsid w:val="000B0EE7"/>
    <w:rsid w:val="000B0EFE"/>
    <w:rsid w:val="000B0F49"/>
    <w:rsid w:val="000B0FEA"/>
    <w:rsid w:val="000B0FF0"/>
    <w:rsid w:val="000B1097"/>
    <w:rsid w:val="000B10C9"/>
    <w:rsid w:val="000B10ED"/>
    <w:rsid w:val="000B11B3"/>
    <w:rsid w:val="000B1201"/>
    <w:rsid w:val="000B1206"/>
    <w:rsid w:val="000B1240"/>
    <w:rsid w:val="000B1292"/>
    <w:rsid w:val="000B12B8"/>
    <w:rsid w:val="000B12FD"/>
    <w:rsid w:val="000B132A"/>
    <w:rsid w:val="000B13A1"/>
    <w:rsid w:val="000B13AF"/>
    <w:rsid w:val="000B141B"/>
    <w:rsid w:val="000B143A"/>
    <w:rsid w:val="000B1470"/>
    <w:rsid w:val="000B1490"/>
    <w:rsid w:val="000B14B1"/>
    <w:rsid w:val="000B1603"/>
    <w:rsid w:val="000B1620"/>
    <w:rsid w:val="000B1681"/>
    <w:rsid w:val="000B16BA"/>
    <w:rsid w:val="000B16FC"/>
    <w:rsid w:val="000B175E"/>
    <w:rsid w:val="000B182C"/>
    <w:rsid w:val="000B1838"/>
    <w:rsid w:val="000B187F"/>
    <w:rsid w:val="000B18B7"/>
    <w:rsid w:val="000B18BC"/>
    <w:rsid w:val="000B18D3"/>
    <w:rsid w:val="000B190B"/>
    <w:rsid w:val="000B196D"/>
    <w:rsid w:val="000B1985"/>
    <w:rsid w:val="000B1995"/>
    <w:rsid w:val="000B19AD"/>
    <w:rsid w:val="000B1A20"/>
    <w:rsid w:val="000B1A6C"/>
    <w:rsid w:val="000B1A6F"/>
    <w:rsid w:val="000B1AD3"/>
    <w:rsid w:val="000B1AF3"/>
    <w:rsid w:val="000B1B10"/>
    <w:rsid w:val="000B1B25"/>
    <w:rsid w:val="000B1B59"/>
    <w:rsid w:val="000B1B60"/>
    <w:rsid w:val="000B1BDF"/>
    <w:rsid w:val="000B1C5C"/>
    <w:rsid w:val="000B1CFE"/>
    <w:rsid w:val="000B1D05"/>
    <w:rsid w:val="000B1D32"/>
    <w:rsid w:val="000B1D9A"/>
    <w:rsid w:val="000B1DC8"/>
    <w:rsid w:val="000B1DDF"/>
    <w:rsid w:val="000B1DF8"/>
    <w:rsid w:val="000B1E29"/>
    <w:rsid w:val="000B1E2D"/>
    <w:rsid w:val="000B1E3F"/>
    <w:rsid w:val="000B1E6E"/>
    <w:rsid w:val="000B1E78"/>
    <w:rsid w:val="000B1E9E"/>
    <w:rsid w:val="000B1EAB"/>
    <w:rsid w:val="000B1EC5"/>
    <w:rsid w:val="000B1F5A"/>
    <w:rsid w:val="000B1FC7"/>
    <w:rsid w:val="000B1FCE"/>
    <w:rsid w:val="000B2057"/>
    <w:rsid w:val="000B207D"/>
    <w:rsid w:val="000B207E"/>
    <w:rsid w:val="000B20A5"/>
    <w:rsid w:val="000B2119"/>
    <w:rsid w:val="000B2163"/>
    <w:rsid w:val="000B216A"/>
    <w:rsid w:val="000B2177"/>
    <w:rsid w:val="000B21E0"/>
    <w:rsid w:val="000B2215"/>
    <w:rsid w:val="000B2272"/>
    <w:rsid w:val="000B22C7"/>
    <w:rsid w:val="000B232C"/>
    <w:rsid w:val="000B2336"/>
    <w:rsid w:val="000B23CC"/>
    <w:rsid w:val="000B23E5"/>
    <w:rsid w:val="000B2427"/>
    <w:rsid w:val="000B242F"/>
    <w:rsid w:val="000B246D"/>
    <w:rsid w:val="000B248B"/>
    <w:rsid w:val="000B24C5"/>
    <w:rsid w:val="000B25FA"/>
    <w:rsid w:val="000B2606"/>
    <w:rsid w:val="000B26A5"/>
    <w:rsid w:val="000B26C4"/>
    <w:rsid w:val="000B26D5"/>
    <w:rsid w:val="000B26E3"/>
    <w:rsid w:val="000B271D"/>
    <w:rsid w:val="000B2755"/>
    <w:rsid w:val="000B276A"/>
    <w:rsid w:val="000B27C6"/>
    <w:rsid w:val="000B2858"/>
    <w:rsid w:val="000B2862"/>
    <w:rsid w:val="000B287E"/>
    <w:rsid w:val="000B2915"/>
    <w:rsid w:val="000B2955"/>
    <w:rsid w:val="000B2956"/>
    <w:rsid w:val="000B2A26"/>
    <w:rsid w:val="000B2A8A"/>
    <w:rsid w:val="000B2AA4"/>
    <w:rsid w:val="000B2AF1"/>
    <w:rsid w:val="000B2B0C"/>
    <w:rsid w:val="000B2B6F"/>
    <w:rsid w:val="000B2BB2"/>
    <w:rsid w:val="000B2BCD"/>
    <w:rsid w:val="000B2C09"/>
    <w:rsid w:val="000B2C22"/>
    <w:rsid w:val="000B2C87"/>
    <w:rsid w:val="000B2C9E"/>
    <w:rsid w:val="000B2CAB"/>
    <w:rsid w:val="000B2CFD"/>
    <w:rsid w:val="000B2D65"/>
    <w:rsid w:val="000B2D92"/>
    <w:rsid w:val="000B2DAC"/>
    <w:rsid w:val="000B2DDD"/>
    <w:rsid w:val="000B2DDE"/>
    <w:rsid w:val="000B2DE7"/>
    <w:rsid w:val="000B2E83"/>
    <w:rsid w:val="000B2E89"/>
    <w:rsid w:val="000B2E90"/>
    <w:rsid w:val="000B2ED9"/>
    <w:rsid w:val="000B2F06"/>
    <w:rsid w:val="000B2F08"/>
    <w:rsid w:val="000B2F8D"/>
    <w:rsid w:val="000B2FB2"/>
    <w:rsid w:val="000B2FBE"/>
    <w:rsid w:val="000B2FCC"/>
    <w:rsid w:val="000B2FE3"/>
    <w:rsid w:val="000B2FF1"/>
    <w:rsid w:val="000B301B"/>
    <w:rsid w:val="000B303E"/>
    <w:rsid w:val="000B305D"/>
    <w:rsid w:val="000B310D"/>
    <w:rsid w:val="000B3132"/>
    <w:rsid w:val="000B3151"/>
    <w:rsid w:val="000B3170"/>
    <w:rsid w:val="000B317B"/>
    <w:rsid w:val="000B32A5"/>
    <w:rsid w:val="000B32B5"/>
    <w:rsid w:val="000B32EE"/>
    <w:rsid w:val="000B33EE"/>
    <w:rsid w:val="000B343F"/>
    <w:rsid w:val="000B3454"/>
    <w:rsid w:val="000B34D4"/>
    <w:rsid w:val="000B34EE"/>
    <w:rsid w:val="000B3583"/>
    <w:rsid w:val="000B3601"/>
    <w:rsid w:val="000B360F"/>
    <w:rsid w:val="000B3623"/>
    <w:rsid w:val="000B3628"/>
    <w:rsid w:val="000B365C"/>
    <w:rsid w:val="000B3670"/>
    <w:rsid w:val="000B36BF"/>
    <w:rsid w:val="000B36D5"/>
    <w:rsid w:val="000B3741"/>
    <w:rsid w:val="000B380E"/>
    <w:rsid w:val="000B38A7"/>
    <w:rsid w:val="000B38AB"/>
    <w:rsid w:val="000B38BE"/>
    <w:rsid w:val="000B3938"/>
    <w:rsid w:val="000B39B5"/>
    <w:rsid w:val="000B3A1B"/>
    <w:rsid w:val="000B3A5E"/>
    <w:rsid w:val="000B3A69"/>
    <w:rsid w:val="000B3B3B"/>
    <w:rsid w:val="000B3B4C"/>
    <w:rsid w:val="000B3B53"/>
    <w:rsid w:val="000B3B9F"/>
    <w:rsid w:val="000B3C65"/>
    <w:rsid w:val="000B3C8F"/>
    <w:rsid w:val="000B3D07"/>
    <w:rsid w:val="000B3D0F"/>
    <w:rsid w:val="000B3D42"/>
    <w:rsid w:val="000B3E39"/>
    <w:rsid w:val="000B3E66"/>
    <w:rsid w:val="000B3EAB"/>
    <w:rsid w:val="000B3EAF"/>
    <w:rsid w:val="000B3F36"/>
    <w:rsid w:val="000B3F46"/>
    <w:rsid w:val="000B3F61"/>
    <w:rsid w:val="000B3F9F"/>
    <w:rsid w:val="000B3FB4"/>
    <w:rsid w:val="000B3FBA"/>
    <w:rsid w:val="000B4042"/>
    <w:rsid w:val="000B4055"/>
    <w:rsid w:val="000B40B2"/>
    <w:rsid w:val="000B40D9"/>
    <w:rsid w:val="000B40FB"/>
    <w:rsid w:val="000B4161"/>
    <w:rsid w:val="000B41A8"/>
    <w:rsid w:val="000B41A9"/>
    <w:rsid w:val="000B41C8"/>
    <w:rsid w:val="000B422F"/>
    <w:rsid w:val="000B4247"/>
    <w:rsid w:val="000B42A0"/>
    <w:rsid w:val="000B4312"/>
    <w:rsid w:val="000B432D"/>
    <w:rsid w:val="000B437E"/>
    <w:rsid w:val="000B43B1"/>
    <w:rsid w:val="000B43C0"/>
    <w:rsid w:val="000B4401"/>
    <w:rsid w:val="000B443D"/>
    <w:rsid w:val="000B4440"/>
    <w:rsid w:val="000B4484"/>
    <w:rsid w:val="000B449C"/>
    <w:rsid w:val="000B44B5"/>
    <w:rsid w:val="000B44C5"/>
    <w:rsid w:val="000B44F5"/>
    <w:rsid w:val="000B454E"/>
    <w:rsid w:val="000B4553"/>
    <w:rsid w:val="000B4584"/>
    <w:rsid w:val="000B4595"/>
    <w:rsid w:val="000B459B"/>
    <w:rsid w:val="000B45A0"/>
    <w:rsid w:val="000B4665"/>
    <w:rsid w:val="000B4688"/>
    <w:rsid w:val="000B46D1"/>
    <w:rsid w:val="000B4711"/>
    <w:rsid w:val="000B4750"/>
    <w:rsid w:val="000B47B1"/>
    <w:rsid w:val="000B47B7"/>
    <w:rsid w:val="000B47FE"/>
    <w:rsid w:val="000B4903"/>
    <w:rsid w:val="000B490C"/>
    <w:rsid w:val="000B4919"/>
    <w:rsid w:val="000B4929"/>
    <w:rsid w:val="000B4999"/>
    <w:rsid w:val="000B49B4"/>
    <w:rsid w:val="000B4A25"/>
    <w:rsid w:val="000B4A3D"/>
    <w:rsid w:val="000B4A67"/>
    <w:rsid w:val="000B4A9B"/>
    <w:rsid w:val="000B4AD8"/>
    <w:rsid w:val="000B4AE0"/>
    <w:rsid w:val="000B4BE4"/>
    <w:rsid w:val="000B4BFE"/>
    <w:rsid w:val="000B4C2A"/>
    <w:rsid w:val="000B4C7C"/>
    <w:rsid w:val="000B4CA0"/>
    <w:rsid w:val="000B4CD7"/>
    <w:rsid w:val="000B4CFB"/>
    <w:rsid w:val="000B4DB4"/>
    <w:rsid w:val="000B4E07"/>
    <w:rsid w:val="000B4E37"/>
    <w:rsid w:val="000B4EE6"/>
    <w:rsid w:val="000B4F0B"/>
    <w:rsid w:val="000B4F24"/>
    <w:rsid w:val="000B4F9A"/>
    <w:rsid w:val="000B4FA9"/>
    <w:rsid w:val="000B4FE2"/>
    <w:rsid w:val="000B4FFE"/>
    <w:rsid w:val="000B5005"/>
    <w:rsid w:val="000B5068"/>
    <w:rsid w:val="000B5085"/>
    <w:rsid w:val="000B5088"/>
    <w:rsid w:val="000B50E7"/>
    <w:rsid w:val="000B50EE"/>
    <w:rsid w:val="000B5103"/>
    <w:rsid w:val="000B5129"/>
    <w:rsid w:val="000B51B8"/>
    <w:rsid w:val="000B520D"/>
    <w:rsid w:val="000B5217"/>
    <w:rsid w:val="000B521B"/>
    <w:rsid w:val="000B52B2"/>
    <w:rsid w:val="000B52BF"/>
    <w:rsid w:val="000B52DC"/>
    <w:rsid w:val="000B532C"/>
    <w:rsid w:val="000B536A"/>
    <w:rsid w:val="000B537B"/>
    <w:rsid w:val="000B53A8"/>
    <w:rsid w:val="000B53CC"/>
    <w:rsid w:val="000B53EB"/>
    <w:rsid w:val="000B543C"/>
    <w:rsid w:val="000B54E3"/>
    <w:rsid w:val="000B5538"/>
    <w:rsid w:val="000B5563"/>
    <w:rsid w:val="000B5599"/>
    <w:rsid w:val="000B55F6"/>
    <w:rsid w:val="000B564C"/>
    <w:rsid w:val="000B56CB"/>
    <w:rsid w:val="000B56D6"/>
    <w:rsid w:val="000B5802"/>
    <w:rsid w:val="000B5821"/>
    <w:rsid w:val="000B58D3"/>
    <w:rsid w:val="000B58F0"/>
    <w:rsid w:val="000B5947"/>
    <w:rsid w:val="000B5952"/>
    <w:rsid w:val="000B5969"/>
    <w:rsid w:val="000B59A9"/>
    <w:rsid w:val="000B59B0"/>
    <w:rsid w:val="000B59D4"/>
    <w:rsid w:val="000B5A0D"/>
    <w:rsid w:val="000B5A4A"/>
    <w:rsid w:val="000B5A7A"/>
    <w:rsid w:val="000B5A95"/>
    <w:rsid w:val="000B5BED"/>
    <w:rsid w:val="000B5C01"/>
    <w:rsid w:val="000B5C34"/>
    <w:rsid w:val="000B5C7A"/>
    <w:rsid w:val="000B5CBD"/>
    <w:rsid w:val="000B5CE2"/>
    <w:rsid w:val="000B5CFA"/>
    <w:rsid w:val="000B5D98"/>
    <w:rsid w:val="000B5DC8"/>
    <w:rsid w:val="000B5DCE"/>
    <w:rsid w:val="000B5DF7"/>
    <w:rsid w:val="000B5E4E"/>
    <w:rsid w:val="000B5E9F"/>
    <w:rsid w:val="000B5EDB"/>
    <w:rsid w:val="000B5F7C"/>
    <w:rsid w:val="000B5FAC"/>
    <w:rsid w:val="000B5FEB"/>
    <w:rsid w:val="000B6020"/>
    <w:rsid w:val="000B60A9"/>
    <w:rsid w:val="000B60AA"/>
    <w:rsid w:val="000B60F6"/>
    <w:rsid w:val="000B624C"/>
    <w:rsid w:val="000B629A"/>
    <w:rsid w:val="000B631F"/>
    <w:rsid w:val="000B6363"/>
    <w:rsid w:val="000B637F"/>
    <w:rsid w:val="000B6390"/>
    <w:rsid w:val="000B644F"/>
    <w:rsid w:val="000B6504"/>
    <w:rsid w:val="000B651A"/>
    <w:rsid w:val="000B6599"/>
    <w:rsid w:val="000B65EB"/>
    <w:rsid w:val="000B6656"/>
    <w:rsid w:val="000B6739"/>
    <w:rsid w:val="000B6791"/>
    <w:rsid w:val="000B67F7"/>
    <w:rsid w:val="000B68A8"/>
    <w:rsid w:val="000B6918"/>
    <w:rsid w:val="000B6921"/>
    <w:rsid w:val="000B6977"/>
    <w:rsid w:val="000B6A09"/>
    <w:rsid w:val="000B6A45"/>
    <w:rsid w:val="000B6AFC"/>
    <w:rsid w:val="000B6B46"/>
    <w:rsid w:val="000B6B50"/>
    <w:rsid w:val="000B6BA0"/>
    <w:rsid w:val="000B6BBA"/>
    <w:rsid w:val="000B6BCB"/>
    <w:rsid w:val="000B6BD0"/>
    <w:rsid w:val="000B6BF1"/>
    <w:rsid w:val="000B6C33"/>
    <w:rsid w:val="000B6CC6"/>
    <w:rsid w:val="000B6CF7"/>
    <w:rsid w:val="000B6D2C"/>
    <w:rsid w:val="000B6D58"/>
    <w:rsid w:val="000B6DEE"/>
    <w:rsid w:val="000B6E00"/>
    <w:rsid w:val="000B6E10"/>
    <w:rsid w:val="000B6E1C"/>
    <w:rsid w:val="000B6E27"/>
    <w:rsid w:val="000B6E32"/>
    <w:rsid w:val="000B6E4C"/>
    <w:rsid w:val="000B6E52"/>
    <w:rsid w:val="000B6E54"/>
    <w:rsid w:val="000B6E70"/>
    <w:rsid w:val="000B6E75"/>
    <w:rsid w:val="000B6F2D"/>
    <w:rsid w:val="000B6FDD"/>
    <w:rsid w:val="000B7028"/>
    <w:rsid w:val="000B7069"/>
    <w:rsid w:val="000B70DA"/>
    <w:rsid w:val="000B70FB"/>
    <w:rsid w:val="000B712D"/>
    <w:rsid w:val="000B717C"/>
    <w:rsid w:val="000B71CA"/>
    <w:rsid w:val="000B7209"/>
    <w:rsid w:val="000B721A"/>
    <w:rsid w:val="000B7220"/>
    <w:rsid w:val="000B724F"/>
    <w:rsid w:val="000B733C"/>
    <w:rsid w:val="000B73AF"/>
    <w:rsid w:val="000B73E2"/>
    <w:rsid w:val="000B7494"/>
    <w:rsid w:val="000B74A4"/>
    <w:rsid w:val="000B74F4"/>
    <w:rsid w:val="000B75B4"/>
    <w:rsid w:val="000B75F6"/>
    <w:rsid w:val="000B76B3"/>
    <w:rsid w:val="000B770A"/>
    <w:rsid w:val="000B7765"/>
    <w:rsid w:val="000B781A"/>
    <w:rsid w:val="000B7947"/>
    <w:rsid w:val="000B7A1D"/>
    <w:rsid w:val="000B7ACE"/>
    <w:rsid w:val="000B7AD0"/>
    <w:rsid w:val="000B7B1E"/>
    <w:rsid w:val="000B7B2F"/>
    <w:rsid w:val="000B7B45"/>
    <w:rsid w:val="000B7BC7"/>
    <w:rsid w:val="000B7BF4"/>
    <w:rsid w:val="000B7C9F"/>
    <w:rsid w:val="000B7CB8"/>
    <w:rsid w:val="000B7CD5"/>
    <w:rsid w:val="000B7CF0"/>
    <w:rsid w:val="000B7D67"/>
    <w:rsid w:val="000B7D79"/>
    <w:rsid w:val="000B7DDF"/>
    <w:rsid w:val="000B7E17"/>
    <w:rsid w:val="000B7E63"/>
    <w:rsid w:val="000B7EDE"/>
    <w:rsid w:val="000B7EDF"/>
    <w:rsid w:val="000B7EE8"/>
    <w:rsid w:val="000B7F13"/>
    <w:rsid w:val="000B7F2C"/>
    <w:rsid w:val="000B7F45"/>
    <w:rsid w:val="000C0044"/>
    <w:rsid w:val="000C005E"/>
    <w:rsid w:val="000C009E"/>
    <w:rsid w:val="000C0167"/>
    <w:rsid w:val="000C01B3"/>
    <w:rsid w:val="000C01F4"/>
    <w:rsid w:val="000C02DA"/>
    <w:rsid w:val="000C02EF"/>
    <w:rsid w:val="000C0309"/>
    <w:rsid w:val="000C030D"/>
    <w:rsid w:val="000C0331"/>
    <w:rsid w:val="000C039C"/>
    <w:rsid w:val="000C03D9"/>
    <w:rsid w:val="000C03F7"/>
    <w:rsid w:val="000C0468"/>
    <w:rsid w:val="000C047A"/>
    <w:rsid w:val="000C0488"/>
    <w:rsid w:val="000C04C0"/>
    <w:rsid w:val="000C04DA"/>
    <w:rsid w:val="000C0549"/>
    <w:rsid w:val="000C0595"/>
    <w:rsid w:val="000C06AA"/>
    <w:rsid w:val="000C06EC"/>
    <w:rsid w:val="000C06FB"/>
    <w:rsid w:val="000C07D7"/>
    <w:rsid w:val="000C07DF"/>
    <w:rsid w:val="000C07FF"/>
    <w:rsid w:val="000C0946"/>
    <w:rsid w:val="000C095F"/>
    <w:rsid w:val="000C0992"/>
    <w:rsid w:val="000C0998"/>
    <w:rsid w:val="000C0A16"/>
    <w:rsid w:val="000C0A1E"/>
    <w:rsid w:val="000C0A23"/>
    <w:rsid w:val="000C0A27"/>
    <w:rsid w:val="000C0A62"/>
    <w:rsid w:val="000C0A8B"/>
    <w:rsid w:val="000C0A8F"/>
    <w:rsid w:val="000C0B1A"/>
    <w:rsid w:val="000C0B31"/>
    <w:rsid w:val="000C0B51"/>
    <w:rsid w:val="000C0B62"/>
    <w:rsid w:val="000C0C1B"/>
    <w:rsid w:val="000C0C53"/>
    <w:rsid w:val="000C0C54"/>
    <w:rsid w:val="000C0C69"/>
    <w:rsid w:val="000C0C85"/>
    <w:rsid w:val="000C0C90"/>
    <w:rsid w:val="000C0C94"/>
    <w:rsid w:val="000C0CAD"/>
    <w:rsid w:val="000C0CBC"/>
    <w:rsid w:val="000C0D35"/>
    <w:rsid w:val="000C0D62"/>
    <w:rsid w:val="000C0D81"/>
    <w:rsid w:val="000C0D84"/>
    <w:rsid w:val="000C0D86"/>
    <w:rsid w:val="000C0DD4"/>
    <w:rsid w:val="000C0E2F"/>
    <w:rsid w:val="000C0E6B"/>
    <w:rsid w:val="000C0F0F"/>
    <w:rsid w:val="000C0F32"/>
    <w:rsid w:val="000C0F4A"/>
    <w:rsid w:val="000C0FB9"/>
    <w:rsid w:val="000C0FFB"/>
    <w:rsid w:val="000C1027"/>
    <w:rsid w:val="000C1118"/>
    <w:rsid w:val="000C111A"/>
    <w:rsid w:val="000C111E"/>
    <w:rsid w:val="000C1162"/>
    <w:rsid w:val="000C118A"/>
    <w:rsid w:val="000C1197"/>
    <w:rsid w:val="000C11FD"/>
    <w:rsid w:val="000C1311"/>
    <w:rsid w:val="000C135A"/>
    <w:rsid w:val="000C144E"/>
    <w:rsid w:val="000C153B"/>
    <w:rsid w:val="000C1564"/>
    <w:rsid w:val="000C15A5"/>
    <w:rsid w:val="000C1643"/>
    <w:rsid w:val="000C1647"/>
    <w:rsid w:val="000C1650"/>
    <w:rsid w:val="000C169C"/>
    <w:rsid w:val="000C16B5"/>
    <w:rsid w:val="000C1716"/>
    <w:rsid w:val="000C1734"/>
    <w:rsid w:val="000C1772"/>
    <w:rsid w:val="000C17A5"/>
    <w:rsid w:val="000C17A6"/>
    <w:rsid w:val="000C17E1"/>
    <w:rsid w:val="000C17E6"/>
    <w:rsid w:val="000C1804"/>
    <w:rsid w:val="000C180D"/>
    <w:rsid w:val="000C1827"/>
    <w:rsid w:val="000C183B"/>
    <w:rsid w:val="000C18B4"/>
    <w:rsid w:val="000C18C1"/>
    <w:rsid w:val="000C1928"/>
    <w:rsid w:val="000C196A"/>
    <w:rsid w:val="000C199B"/>
    <w:rsid w:val="000C19FE"/>
    <w:rsid w:val="000C1A24"/>
    <w:rsid w:val="000C1A7E"/>
    <w:rsid w:val="000C1A87"/>
    <w:rsid w:val="000C1AE6"/>
    <w:rsid w:val="000C1B11"/>
    <w:rsid w:val="000C1B5D"/>
    <w:rsid w:val="000C1B8A"/>
    <w:rsid w:val="000C1B92"/>
    <w:rsid w:val="000C1BDA"/>
    <w:rsid w:val="000C1C5E"/>
    <w:rsid w:val="000C1DE1"/>
    <w:rsid w:val="000C1E67"/>
    <w:rsid w:val="000C1E6E"/>
    <w:rsid w:val="000C1E9F"/>
    <w:rsid w:val="000C1EAE"/>
    <w:rsid w:val="000C1F8D"/>
    <w:rsid w:val="000C1FCA"/>
    <w:rsid w:val="000C201E"/>
    <w:rsid w:val="000C2024"/>
    <w:rsid w:val="000C20A4"/>
    <w:rsid w:val="000C20E9"/>
    <w:rsid w:val="000C2167"/>
    <w:rsid w:val="000C219A"/>
    <w:rsid w:val="000C21C8"/>
    <w:rsid w:val="000C21D5"/>
    <w:rsid w:val="000C2217"/>
    <w:rsid w:val="000C2260"/>
    <w:rsid w:val="000C2266"/>
    <w:rsid w:val="000C2295"/>
    <w:rsid w:val="000C22DE"/>
    <w:rsid w:val="000C232A"/>
    <w:rsid w:val="000C238B"/>
    <w:rsid w:val="000C238F"/>
    <w:rsid w:val="000C2397"/>
    <w:rsid w:val="000C2428"/>
    <w:rsid w:val="000C2441"/>
    <w:rsid w:val="000C2489"/>
    <w:rsid w:val="000C2529"/>
    <w:rsid w:val="000C255F"/>
    <w:rsid w:val="000C257F"/>
    <w:rsid w:val="000C25A5"/>
    <w:rsid w:val="000C2601"/>
    <w:rsid w:val="000C2672"/>
    <w:rsid w:val="000C26A4"/>
    <w:rsid w:val="000C26B0"/>
    <w:rsid w:val="000C26DF"/>
    <w:rsid w:val="000C26E0"/>
    <w:rsid w:val="000C2707"/>
    <w:rsid w:val="000C2729"/>
    <w:rsid w:val="000C2740"/>
    <w:rsid w:val="000C2797"/>
    <w:rsid w:val="000C27C5"/>
    <w:rsid w:val="000C27F9"/>
    <w:rsid w:val="000C280D"/>
    <w:rsid w:val="000C2886"/>
    <w:rsid w:val="000C28A2"/>
    <w:rsid w:val="000C28B2"/>
    <w:rsid w:val="000C28C9"/>
    <w:rsid w:val="000C2907"/>
    <w:rsid w:val="000C29AC"/>
    <w:rsid w:val="000C29C2"/>
    <w:rsid w:val="000C29ED"/>
    <w:rsid w:val="000C2A25"/>
    <w:rsid w:val="000C2A30"/>
    <w:rsid w:val="000C2A8A"/>
    <w:rsid w:val="000C2AE8"/>
    <w:rsid w:val="000C2B52"/>
    <w:rsid w:val="000C2B90"/>
    <w:rsid w:val="000C2B9A"/>
    <w:rsid w:val="000C2C05"/>
    <w:rsid w:val="000C2C4A"/>
    <w:rsid w:val="000C2C88"/>
    <w:rsid w:val="000C2C92"/>
    <w:rsid w:val="000C2CC4"/>
    <w:rsid w:val="000C2CEA"/>
    <w:rsid w:val="000C2D61"/>
    <w:rsid w:val="000C2DA3"/>
    <w:rsid w:val="000C2DCE"/>
    <w:rsid w:val="000C2DE8"/>
    <w:rsid w:val="000C2E0F"/>
    <w:rsid w:val="000C2E86"/>
    <w:rsid w:val="000C2EA5"/>
    <w:rsid w:val="000C2EC3"/>
    <w:rsid w:val="000C2EE1"/>
    <w:rsid w:val="000C2EFC"/>
    <w:rsid w:val="000C2F4F"/>
    <w:rsid w:val="000C3012"/>
    <w:rsid w:val="000C3052"/>
    <w:rsid w:val="000C305E"/>
    <w:rsid w:val="000C311F"/>
    <w:rsid w:val="000C313A"/>
    <w:rsid w:val="000C3175"/>
    <w:rsid w:val="000C31CF"/>
    <w:rsid w:val="000C31FB"/>
    <w:rsid w:val="000C321F"/>
    <w:rsid w:val="000C324E"/>
    <w:rsid w:val="000C326E"/>
    <w:rsid w:val="000C3280"/>
    <w:rsid w:val="000C32B7"/>
    <w:rsid w:val="000C3314"/>
    <w:rsid w:val="000C333B"/>
    <w:rsid w:val="000C3378"/>
    <w:rsid w:val="000C33B7"/>
    <w:rsid w:val="000C342F"/>
    <w:rsid w:val="000C3459"/>
    <w:rsid w:val="000C348E"/>
    <w:rsid w:val="000C3557"/>
    <w:rsid w:val="000C358A"/>
    <w:rsid w:val="000C35BD"/>
    <w:rsid w:val="000C3623"/>
    <w:rsid w:val="000C364F"/>
    <w:rsid w:val="000C3671"/>
    <w:rsid w:val="000C36D8"/>
    <w:rsid w:val="000C3735"/>
    <w:rsid w:val="000C3748"/>
    <w:rsid w:val="000C3753"/>
    <w:rsid w:val="000C37BB"/>
    <w:rsid w:val="000C37DC"/>
    <w:rsid w:val="000C380B"/>
    <w:rsid w:val="000C381A"/>
    <w:rsid w:val="000C3877"/>
    <w:rsid w:val="000C3898"/>
    <w:rsid w:val="000C392D"/>
    <w:rsid w:val="000C3934"/>
    <w:rsid w:val="000C3979"/>
    <w:rsid w:val="000C39BB"/>
    <w:rsid w:val="000C39FC"/>
    <w:rsid w:val="000C3A11"/>
    <w:rsid w:val="000C3A2B"/>
    <w:rsid w:val="000C3A81"/>
    <w:rsid w:val="000C3AD5"/>
    <w:rsid w:val="000C3B16"/>
    <w:rsid w:val="000C3B38"/>
    <w:rsid w:val="000C3BE7"/>
    <w:rsid w:val="000C3C0D"/>
    <w:rsid w:val="000C3C1E"/>
    <w:rsid w:val="000C3C31"/>
    <w:rsid w:val="000C3C51"/>
    <w:rsid w:val="000C3C84"/>
    <w:rsid w:val="000C3CFC"/>
    <w:rsid w:val="000C3D75"/>
    <w:rsid w:val="000C3D76"/>
    <w:rsid w:val="000C3DB7"/>
    <w:rsid w:val="000C3DDB"/>
    <w:rsid w:val="000C3DF3"/>
    <w:rsid w:val="000C3E8D"/>
    <w:rsid w:val="000C3E8E"/>
    <w:rsid w:val="000C3ECA"/>
    <w:rsid w:val="000C3FA9"/>
    <w:rsid w:val="000C3FFA"/>
    <w:rsid w:val="000C4028"/>
    <w:rsid w:val="000C4059"/>
    <w:rsid w:val="000C40AA"/>
    <w:rsid w:val="000C40C5"/>
    <w:rsid w:val="000C418B"/>
    <w:rsid w:val="000C419F"/>
    <w:rsid w:val="000C41D9"/>
    <w:rsid w:val="000C4220"/>
    <w:rsid w:val="000C426C"/>
    <w:rsid w:val="000C42D2"/>
    <w:rsid w:val="000C4494"/>
    <w:rsid w:val="000C44F8"/>
    <w:rsid w:val="000C4503"/>
    <w:rsid w:val="000C4507"/>
    <w:rsid w:val="000C451C"/>
    <w:rsid w:val="000C453B"/>
    <w:rsid w:val="000C4555"/>
    <w:rsid w:val="000C458A"/>
    <w:rsid w:val="000C4597"/>
    <w:rsid w:val="000C45A4"/>
    <w:rsid w:val="000C45D2"/>
    <w:rsid w:val="000C462A"/>
    <w:rsid w:val="000C4658"/>
    <w:rsid w:val="000C4691"/>
    <w:rsid w:val="000C46AE"/>
    <w:rsid w:val="000C46D2"/>
    <w:rsid w:val="000C46DE"/>
    <w:rsid w:val="000C4755"/>
    <w:rsid w:val="000C4772"/>
    <w:rsid w:val="000C4778"/>
    <w:rsid w:val="000C4785"/>
    <w:rsid w:val="000C4791"/>
    <w:rsid w:val="000C47C5"/>
    <w:rsid w:val="000C487F"/>
    <w:rsid w:val="000C4881"/>
    <w:rsid w:val="000C48F7"/>
    <w:rsid w:val="000C497A"/>
    <w:rsid w:val="000C49F3"/>
    <w:rsid w:val="000C4A09"/>
    <w:rsid w:val="000C4A44"/>
    <w:rsid w:val="000C4A56"/>
    <w:rsid w:val="000C4A60"/>
    <w:rsid w:val="000C4A87"/>
    <w:rsid w:val="000C4A98"/>
    <w:rsid w:val="000C4AC3"/>
    <w:rsid w:val="000C4AE7"/>
    <w:rsid w:val="000C4B24"/>
    <w:rsid w:val="000C4B41"/>
    <w:rsid w:val="000C4B99"/>
    <w:rsid w:val="000C4C19"/>
    <w:rsid w:val="000C4C36"/>
    <w:rsid w:val="000C4C47"/>
    <w:rsid w:val="000C4C6E"/>
    <w:rsid w:val="000C4C88"/>
    <w:rsid w:val="000C4CA4"/>
    <w:rsid w:val="000C4CA7"/>
    <w:rsid w:val="000C4D05"/>
    <w:rsid w:val="000C4D47"/>
    <w:rsid w:val="000C4D9D"/>
    <w:rsid w:val="000C4DAC"/>
    <w:rsid w:val="000C4DD0"/>
    <w:rsid w:val="000C4EBB"/>
    <w:rsid w:val="000C4F8E"/>
    <w:rsid w:val="000C5075"/>
    <w:rsid w:val="000C508F"/>
    <w:rsid w:val="000C50AB"/>
    <w:rsid w:val="000C50D2"/>
    <w:rsid w:val="000C50EA"/>
    <w:rsid w:val="000C514E"/>
    <w:rsid w:val="000C5184"/>
    <w:rsid w:val="000C52A4"/>
    <w:rsid w:val="000C52D1"/>
    <w:rsid w:val="000C52D3"/>
    <w:rsid w:val="000C52E3"/>
    <w:rsid w:val="000C5335"/>
    <w:rsid w:val="000C535B"/>
    <w:rsid w:val="000C5369"/>
    <w:rsid w:val="000C53CA"/>
    <w:rsid w:val="000C53E7"/>
    <w:rsid w:val="000C5464"/>
    <w:rsid w:val="000C5474"/>
    <w:rsid w:val="000C54B5"/>
    <w:rsid w:val="000C54FA"/>
    <w:rsid w:val="000C5512"/>
    <w:rsid w:val="000C5529"/>
    <w:rsid w:val="000C5590"/>
    <w:rsid w:val="000C55BF"/>
    <w:rsid w:val="000C55C6"/>
    <w:rsid w:val="000C55D2"/>
    <w:rsid w:val="000C55FF"/>
    <w:rsid w:val="000C561A"/>
    <w:rsid w:val="000C56C7"/>
    <w:rsid w:val="000C5705"/>
    <w:rsid w:val="000C571D"/>
    <w:rsid w:val="000C571F"/>
    <w:rsid w:val="000C58C2"/>
    <w:rsid w:val="000C5957"/>
    <w:rsid w:val="000C596D"/>
    <w:rsid w:val="000C5987"/>
    <w:rsid w:val="000C598F"/>
    <w:rsid w:val="000C59C3"/>
    <w:rsid w:val="000C59FA"/>
    <w:rsid w:val="000C5A00"/>
    <w:rsid w:val="000C5AA7"/>
    <w:rsid w:val="000C5B52"/>
    <w:rsid w:val="000C5B66"/>
    <w:rsid w:val="000C5B91"/>
    <w:rsid w:val="000C5BD7"/>
    <w:rsid w:val="000C5BF9"/>
    <w:rsid w:val="000C5C2A"/>
    <w:rsid w:val="000C5C3D"/>
    <w:rsid w:val="000C5C68"/>
    <w:rsid w:val="000C5C9A"/>
    <w:rsid w:val="000C5D3A"/>
    <w:rsid w:val="000C5D3B"/>
    <w:rsid w:val="000C5D7A"/>
    <w:rsid w:val="000C5DFB"/>
    <w:rsid w:val="000C5E2C"/>
    <w:rsid w:val="000C5E6A"/>
    <w:rsid w:val="000C5E9E"/>
    <w:rsid w:val="000C5EA6"/>
    <w:rsid w:val="000C5EDC"/>
    <w:rsid w:val="000C5F40"/>
    <w:rsid w:val="000C5FC4"/>
    <w:rsid w:val="000C5FE5"/>
    <w:rsid w:val="000C6009"/>
    <w:rsid w:val="000C6015"/>
    <w:rsid w:val="000C602A"/>
    <w:rsid w:val="000C6032"/>
    <w:rsid w:val="000C603E"/>
    <w:rsid w:val="000C609F"/>
    <w:rsid w:val="000C611D"/>
    <w:rsid w:val="000C617E"/>
    <w:rsid w:val="000C61D7"/>
    <w:rsid w:val="000C61E2"/>
    <w:rsid w:val="000C61F8"/>
    <w:rsid w:val="000C61FD"/>
    <w:rsid w:val="000C6231"/>
    <w:rsid w:val="000C62E1"/>
    <w:rsid w:val="000C62FA"/>
    <w:rsid w:val="000C62FF"/>
    <w:rsid w:val="000C6360"/>
    <w:rsid w:val="000C6394"/>
    <w:rsid w:val="000C63BE"/>
    <w:rsid w:val="000C63BF"/>
    <w:rsid w:val="000C6401"/>
    <w:rsid w:val="000C640C"/>
    <w:rsid w:val="000C6412"/>
    <w:rsid w:val="000C645F"/>
    <w:rsid w:val="000C64B0"/>
    <w:rsid w:val="000C64F3"/>
    <w:rsid w:val="000C6515"/>
    <w:rsid w:val="000C653C"/>
    <w:rsid w:val="000C6565"/>
    <w:rsid w:val="000C65B4"/>
    <w:rsid w:val="000C65E3"/>
    <w:rsid w:val="000C65ED"/>
    <w:rsid w:val="000C6626"/>
    <w:rsid w:val="000C66AA"/>
    <w:rsid w:val="000C671B"/>
    <w:rsid w:val="000C67C0"/>
    <w:rsid w:val="000C67FB"/>
    <w:rsid w:val="000C6817"/>
    <w:rsid w:val="000C6855"/>
    <w:rsid w:val="000C6859"/>
    <w:rsid w:val="000C685C"/>
    <w:rsid w:val="000C687E"/>
    <w:rsid w:val="000C68BC"/>
    <w:rsid w:val="000C68C9"/>
    <w:rsid w:val="000C691B"/>
    <w:rsid w:val="000C693A"/>
    <w:rsid w:val="000C69B8"/>
    <w:rsid w:val="000C69C0"/>
    <w:rsid w:val="000C6A78"/>
    <w:rsid w:val="000C6A92"/>
    <w:rsid w:val="000C6A96"/>
    <w:rsid w:val="000C6A9A"/>
    <w:rsid w:val="000C6B6B"/>
    <w:rsid w:val="000C6B7D"/>
    <w:rsid w:val="000C6B92"/>
    <w:rsid w:val="000C6B9D"/>
    <w:rsid w:val="000C6BCC"/>
    <w:rsid w:val="000C6BD1"/>
    <w:rsid w:val="000C6C03"/>
    <w:rsid w:val="000C6C6D"/>
    <w:rsid w:val="000C6CE2"/>
    <w:rsid w:val="000C6D36"/>
    <w:rsid w:val="000C6D69"/>
    <w:rsid w:val="000C6D6B"/>
    <w:rsid w:val="000C6DA1"/>
    <w:rsid w:val="000C6E02"/>
    <w:rsid w:val="000C6E1D"/>
    <w:rsid w:val="000C6E86"/>
    <w:rsid w:val="000C6F03"/>
    <w:rsid w:val="000C6F22"/>
    <w:rsid w:val="000C6F40"/>
    <w:rsid w:val="000C6FE9"/>
    <w:rsid w:val="000C7019"/>
    <w:rsid w:val="000C709C"/>
    <w:rsid w:val="000C70AB"/>
    <w:rsid w:val="000C70E3"/>
    <w:rsid w:val="000C7127"/>
    <w:rsid w:val="000C715A"/>
    <w:rsid w:val="000C72FA"/>
    <w:rsid w:val="000C7307"/>
    <w:rsid w:val="000C7391"/>
    <w:rsid w:val="000C7399"/>
    <w:rsid w:val="000C73BE"/>
    <w:rsid w:val="000C73C9"/>
    <w:rsid w:val="000C743B"/>
    <w:rsid w:val="000C743F"/>
    <w:rsid w:val="000C7463"/>
    <w:rsid w:val="000C7468"/>
    <w:rsid w:val="000C74B4"/>
    <w:rsid w:val="000C74CE"/>
    <w:rsid w:val="000C7529"/>
    <w:rsid w:val="000C7533"/>
    <w:rsid w:val="000C756B"/>
    <w:rsid w:val="000C756D"/>
    <w:rsid w:val="000C7577"/>
    <w:rsid w:val="000C7579"/>
    <w:rsid w:val="000C758A"/>
    <w:rsid w:val="000C75A7"/>
    <w:rsid w:val="000C75B5"/>
    <w:rsid w:val="000C75E4"/>
    <w:rsid w:val="000C7633"/>
    <w:rsid w:val="000C763C"/>
    <w:rsid w:val="000C7659"/>
    <w:rsid w:val="000C76AC"/>
    <w:rsid w:val="000C76DD"/>
    <w:rsid w:val="000C76FB"/>
    <w:rsid w:val="000C76FD"/>
    <w:rsid w:val="000C7716"/>
    <w:rsid w:val="000C7721"/>
    <w:rsid w:val="000C7746"/>
    <w:rsid w:val="000C77D7"/>
    <w:rsid w:val="000C77F3"/>
    <w:rsid w:val="000C780C"/>
    <w:rsid w:val="000C788B"/>
    <w:rsid w:val="000C78F6"/>
    <w:rsid w:val="000C792E"/>
    <w:rsid w:val="000C79B7"/>
    <w:rsid w:val="000C79DF"/>
    <w:rsid w:val="000C7A12"/>
    <w:rsid w:val="000C7A3A"/>
    <w:rsid w:val="000C7ABF"/>
    <w:rsid w:val="000C7ACA"/>
    <w:rsid w:val="000C7AD2"/>
    <w:rsid w:val="000C7AD3"/>
    <w:rsid w:val="000C7AF8"/>
    <w:rsid w:val="000C7B5B"/>
    <w:rsid w:val="000C7BF8"/>
    <w:rsid w:val="000C7C28"/>
    <w:rsid w:val="000C7CFA"/>
    <w:rsid w:val="000C7D3C"/>
    <w:rsid w:val="000C7D85"/>
    <w:rsid w:val="000C7D8A"/>
    <w:rsid w:val="000C7D8E"/>
    <w:rsid w:val="000C7DB6"/>
    <w:rsid w:val="000C7DCB"/>
    <w:rsid w:val="000C7E28"/>
    <w:rsid w:val="000C7E39"/>
    <w:rsid w:val="000C7EB2"/>
    <w:rsid w:val="000C7F37"/>
    <w:rsid w:val="000C7F3D"/>
    <w:rsid w:val="000C7F50"/>
    <w:rsid w:val="000C7F7F"/>
    <w:rsid w:val="000C7FF4"/>
    <w:rsid w:val="000D0024"/>
    <w:rsid w:val="000D00C3"/>
    <w:rsid w:val="000D0119"/>
    <w:rsid w:val="000D013A"/>
    <w:rsid w:val="000D017B"/>
    <w:rsid w:val="000D0182"/>
    <w:rsid w:val="000D0187"/>
    <w:rsid w:val="000D0188"/>
    <w:rsid w:val="000D01C0"/>
    <w:rsid w:val="000D01F1"/>
    <w:rsid w:val="000D01F2"/>
    <w:rsid w:val="000D01FB"/>
    <w:rsid w:val="000D0204"/>
    <w:rsid w:val="000D0240"/>
    <w:rsid w:val="000D028B"/>
    <w:rsid w:val="000D02A4"/>
    <w:rsid w:val="000D0338"/>
    <w:rsid w:val="000D03B4"/>
    <w:rsid w:val="000D03E4"/>
    <w:rsid w:val="000D03F5"/>
    <w:rsid w:val="000D0426"/>
    <w:rsid w:val="000D0428"/>
    <w:rsid w:val="000D0536"/>
    <w:rsid w:val="000D05AD"/>
    <w:rsid w:val="000D05E0"/>
    <w:rsid w:val="000D0668"/>
    <w:rsid w:val="000D068F"/>
    <w:rsid w:val="000D06A9"/>
    <w:rsid w:val="000D06FE"/>
    <w:rsid w:val="000D0708"/>
    <w:rsid w:val="000D071A"/>
    <w:rsid w:val="000D0725"/>
    <w:rsid w:val="000D075E"/>
    <w:rsid w:val="000D0761"/>
    <w:rsid w:val="000D07C2"/>
    <w:rsid w:val="000D080C"/>
    <w:rsid w:val="000D087A"/>
    <w:rsid w:val="000D08FB"/>
    <w:rsid w:val="000D0929"/>
    <w:rsid w:val="000D09C7"/>
    <w:rsid w:val="000D0A2B"/>
    <w:rsid w:val="000D0A37"/>
    <w:rsid w:val="000D0B0E"/>
    <w:rsid w:val="000D0B54"/>
    <w:rsid w:val="000D0BCD"/>
    <w:rsid w:val="000D0C17"/>
    <w:rsid w:val="000D0C21"/>
    <w:rsid w:val="000D0C46"/>
    <w:rsid w:val="000D0CAC"/>
    <w:rsid w:val="000D0CB0"/>
    <w:rsid w:val="000D0CE1"/>
    <w:rsid w:val="000D0DA9"/>
    <w:rsid w:val="000D0DE0"/>
    <w:rsid w:val="000D0DE7"/>
    <w:rsid w:val="000D0E1C"/>
    <w:rsid w:val="000D0E2D"/>
    <w:rsid w:val="000D0E6F"/>
    <w:rsid w:val="000D0EE0"/>
    <w:rsid w:val="000D0EEC"/>
    <w:rsid w:val="000D0F43"/>
    <w:rsid w:val="000D0F52"/>
    <w:rsid w:val="000D0F92"/>
    <w:rsid w:val="000D0F95"/>
    <w:rsid w:val="000D0F9A"/>
    <w:rsid w:val="000D0FAD"/>
    <w:rsid w:val="000D0FD2"/>
    <w:rsid w:val="000D113E"/>
    <w:rsid w:val="000D1181"/>
    <w:rsid w:val="000D119A"/>
    <w:rsid w:val="000D119C"/>
    <w:rsid w:val="000D1215"/>
    <w:rsid w:val="000D1246"/>
    <w:rsid w:val="000D127D"/>
    <w:rsid w:val="000D1294"/>
    <w:rsid w:val="000D12CE"/>
    <w:rsid w:val="000D12EA"/>
    <w:rsid w:val="000D138F"/>
    <w:rsid w:val="000D13F1"/>
    <w:rsid w:val="000D140C"/>
    <w:rsid w:val="000D142A"/>
    <w:rsid w:val="000D1556"/>
    <w:rsid w:val="000D1659"/>
    <w:rsid w:val="000D1771"/>
    <w:rsid w:val="000D178F"/>
    <w:rsid w:val="000D17EC"/>
    <w:rsid w:val="000D18A6"/>
    <w:rsid w:val="000D18C0"/>
    <w:rsid w:val="000D18E6"/>
    <w:rsid w:val="000D1912"/>
    <w:rsid w:val="000D1964"/>
    <w:rsid w:val="000D1982"/>
    <w:rsid w:val="000D19A1"/>
    <w:rsid w:val="000D19C5"/>
    <w:rsid w:val="000D1A12"/>
    <w:rsid w:val="000D1A79"/>
    <w:rsid w:val="000D1AB5"/>
    <w:rsid w:val="000D1ACC"/>
    <w:rsid w:val="000D1B20"/>
    <w:rsid w:val="000D1BF9"/>
    <w:rsid w:val="000D1C64"/>
    <w:rsid w:val="000D1C6B"/>
    <w:rsid w:val="000D1C6F"/>
    <w:rsid w:val="000D1C9B"/>
    <w:rsid w:val="000D1CBA"/>
    <w:rsid w:val="000D1CC3"/>
    <w:rsid w:val="000D1CC5"/>
    <w:rsid w:val="000D1D51"/>
    <w:rsid w:val="000D1D53"/>
    <w:rsid w:val="000D1D7E"/>
    <w:rsid w:val="000D1DCD"/>
    <w:rsid w:val="000D1E10"/>
    <w:rsid w:val="000D1E3C"/>
    <w:rsid w:val="000D1E4D"/>
    <w:rsid w:val="000D1E57"/>
    <w:rsid w:val="000D1E9B"/>
    <w:rsid w:val="000D1EF9"/>
    <w:rsid w:val="000D1EFE"/>
    <w:rsid w:val="000D1F6B"/>
    <w:rsid w:val="000D1FC2"/>
    <w:rsid w:val="000D1FEE"/>
    <w:rsid w:val="000D203F"/>
    <w:rsid w:val="000D2065"/>
    <w:rsid w:val="000D20D5"/>
    <w:rsid w:val="000D20E5"/>
    <w:rsid w:val="000D2136"/>
    <w:rsid w:val="000D21AF"/>
    <w:rsid w:val="000D21FB"/>
    <w:rsid w:val="000D229F"/>
    <w:rsid w:val="000D23E3"/>
    <w:rsid w:val="000D23EF"/>
    <w:rsid w:val="000D240A"/>
    <w:rsid w:val="000D240E"/>
    <w:rsid w:val="000D24FF"/>
    <w:rsid w:val="000D256D"/>
    <w:rsid w:val="000D257C"/>
    <w:rsid w:val="000D25BF"/>
    <w:rsid w:val="000D2615"/>
    <w:rsid w:val="000D2661"/>
    <w:rsid w:val="000D268B"/>
    <w:rsid w:val="000D2696"/>
    <w:rsid w:val="000D26D7"/>
    <w:rsid w:val="000D2759"/>
    <w:rsid w:val="000D277A"/>
    <w:rsid w:val="000D27A7"/>
    <w:rsid w:val="000D27F0"/>
    <w:rsid w:val="000D287D"/>
    <w:rsid w:val="000D28A3"/>
    <w:rsid w:val="000D28AF"/>
    <w:rsid w:val="000D28BA"/>
    <w:rsid w:val="000D28D6"/>
    <w:rsid w:val="000D28F3"/>
    <w:rsid w:val="000D28F4"/>
    <w:rsid w:val="000D2908"/>
    <w:rsid w:val="000D2936"/>
    <w:rsid w:val="000D29CB"/>
    <w:rsid w:val="000D29F7"/>
    <w:rsid w:val="000D29F9"/>
    <w:rsid w:val="000D2A84"/>
    <w:rsid w:val="000D2B36"/>
    <w:rsid w:val="000D2B47"/>
    <w:rsid w:val="000D2B4C"/>
    <w:rsid w:val="000D2BA9"/>
    <w:rsid w:val="000D2BCC"/>
    <w:rsid w:val="000D2C02"/>
    <w:rsid w:val="000D2C0C"/>
    <w:rsid w:val="000D2C67"/>
    <w:rsid w:val="000D2C82"/>
    <w:rsid w:val="000D2CF2"/>
    <w:rsid w:val="000D2D21"/>
    <w:rsid w:val="000D2D98"/>
    <w:rsid w:val="000D2DC6"/>
    <w:rsid w:val="000D2DDB"/>
    <w:rsid w:val="000D2EC7"/>
    <w:rsid w:val="000D2EEE"/>
    <w:rsid w:val="000D2EF6"/>
    <w:rsid w:val="000D2F49"/>
    <w:rsid w:val="000D2FA1"/>
    <w:rsid w:val="000D2FA4"/>
    <w:rsid w:val="000D2FB2"/>
    <w:rsid w:val="000D2FC8"/>
    <w:rsid w:val="000D2FDF"/>
    <w:rsid w:val="000D2FED"/>
    <w:rsid w:val="000D2FF7"/>
    <w:rsid w:val="000D3000"/>
    <w:rsid w:val="000D300B"/>
    <w:rsid w:val="000D3073"/>
    <w:rsid w:val="000D30A3"/>
    <w:rsid w:val="000D30D6"/>
    <w:rsid w:val="000D30D9"/>
    <w:rsid w:val="000D30F8"/>
    <w:rsid w:val="000D317F"/>
    <w:rsid w:val="000D31A5"/>
    <w:rsid w:val="000D3208"/>
    <w:rsid w:val="000D325A"/>
    <w:rsid w:val="000D32B5"/>
    <w:rsid w:val="000D32C5"/>
    <w:rsid w:val="000D32CF"/>
    <w:rsid w:val="000D32F1"/>
    <w:rsid w:val="000D32F6"/>
    <w:rsid w:val="000D3309"/>
    <w:rsid w:val="000D332F"/>
    <w:rsid w:val="000D3433"/>
    <w:rsid w:val="000D34A6"/>
    <w:rsid w:val="000D353E"/>
    <w:rsid w:val="000D355E"/>
    <w:rsid w:val="000D35A0"/>
    <w:rsid w:val="000D35C5"/>
    <w:rsid w:val="000D35DB"/>
    <w:rsid w:val="000D3681"/>
    <w:rsid w:val="000D369B"/>
    <w:rsid w:val="000D36A8"/>
    <w:rsid w:val="000D36CA"/>
    <w:rsid w:val="000D3783"/>
    <w:rsid w:val="000D37E6"/>
    <w:rsid w:val="000D37F4"/>
    <w:rsid w:val="000D37F6"/>
    <w:rsid w:val="000D384D"/>
    <w:rsid w:val="000D3877"/>
    <w:rsid w:val="000D3889"/>
    <w:rsid w:val="000D38A5"/>
    <w:rsid w:val="000D393A"/>
    <w:rsid w:val="000D396D"/>
    <w:rsid w:val="000D3995"/>
    <w:rsid w:val="000D39DC"/>
    <w:rsid w:val="000D39E0"/>
    <w:rsid w:val="000D39FD"/>
    <w:rsid w:val="000D3A2E"/>
    <w:rsid w:val="000D3A66"/>
    <w:rsid w:val="000D3AA2"/>
    <w:rsid w:val="000D3ABB"/>
    <w:rsid w:val="000D3BE6"/>
    <w:rsid w:val="000D3C2D"/>
    <w:rsid w:val="000D3C5B"/>
    <w:rsid w:val="000D3C5E"/>
    <w:rsid w:val="000D3CC3"/>
    <w:rsid w:val="000D3CFF"/>
    <w:rsid w:val="000D3D07"/>
    <w:rsid w:val="000D3D11"/>
    <w:rsid w:val="000D3D4A"/>
    <w:rsid w:val="000D3D84"/>
    <w:rsid w:val="000D3E74"/>
    <w:rsid w:val="000D3F19"/>
    <w:rsid w:val="000D3F42"/>
    <w:rsid w:val="000D3F83"/>
    <w:rsid w:val="000D3F8B"/>
    <w:rsid w:val="000D3FB7"/>
    <w:rsid w:val="000D3FF4"/>
    <w:rsid w:val="000D400B"/>
    <w:rsid w:val="000D400F"/>
    <w:rsid w:val="000D4087"/>
    <w:rsid w:val="000D408E"/>
    <w:rsid w:val="000D409A"/>
    <w:rsid w:val="000D40CD"/>
    <w:rsid w:val="000D40DA"/>
    <w:rsid w:val="000D410C"/>
    <w:rsid w:val="000D4134"/>
    <w:rsid w:val="000D4154"/>
    <w:rsid w:val="000D41DF"/>
    <w:rsid w:val="000D41FA"/>
    <w:rsid w:val="000D4226"/>
    <w:rsid w:val="000D4239"/>
    <w:rsid w:val="000D4279"/>
    <w:rsid w:val="000D4285"/>
    <w:rsid w:val="000D430B"/>
    <w:rsid w:val="000D433E"/>
    <w:rsid w:val="000D4369"/>
    <w:rsid w:val="000D4380"/>
    <w:rsid w:val="000D4401"/>
    <w:rsid w:val="000D4477"/>
    <w:rsid w:val="000D449A"/>
    <w:rsid w:val="000D44A3"/>
    <w:rsid w:val="000D44D8"/>
    <w:rsid w:val="000D452F"/>
    <w:rsid w:val="000D454D"/>
    <w:rsid w:val="000D4570"/>
    <w:rsid w:val="000D45D7"/>
    <w:rsid w:val="000D4636"/>
    <w:rsid w:val="000D4669"/>
    <w:rsid w:val="000D4793"/>
    <w:rsid w:val="000D4794"/>
    <w:rsid w:val="000D4831"/>
    <w:rsid w:val="000D486C"/>
    <w:rsid w:val="000D48DC"/>
    <w:rsid w:val="000D4954"/>
    <w:rsid w:val="000D4969"/>
    <w:rsid w:val="000D4A22"/>
    <w:rsid w:val="000D4A77"/>
    <w:rsid w:val="000D4AC4"/>
    <w:rsid w:val="000D4B09"/>
    <w:rsid w:val="000D4B98"/>
    <w:rsid w:val="000D4BA5"/>
    <w:rsid w:val="000D4C2C"/>
    <w:rsid w:val="000D4C53"/>
    <w:rsid w:val="000D4C99"/>
    <w:rsid w:val="000D4CC4"/>
    <w:rsid w:val="000D4CED"/>
    <w:rsid w:val="000D4D3D"/>
    <w:rsid w:val="000D4D97"/>
    <w:rsid w:val="000D4DAF"/>
    <w:rsid w:val="000D4DE6"/>
    <w:rsid w:val="000D4E16"/>
    <w:rsid w:val="000D4E5F"/>
    <w:rsid w:val="000D4EBC"/>
    <w:rsid w:val="000D4F08"/>
    <w:rsid w:val="000D4F38"/>
    <w:rsid w:val="000D4FAA"/>
    <w:rsid w:val="000D4FD5"/>
    <w:rsid w:val="000D502C"/>
    <w:rsid w:val="000D5042"/>
    <w:rsid w:val="000D50AE"/>
    <w:rsid w:val="000D50D0"/>
    <w:rsid w:val="000D5192"/>
    <w:rsid w:val="000D5218"/>
    <w:rsid w:val="000D5292"/>
    <w:rsid w:val="000D5308"/>
    <w:rsid w:val="000D538D"/>
    <w:rsid w:val="000D53E1"/>
    <w:rsid w:val="000D53FA"/>
    <w:rsid w:val="000D542A"/>
    <w:rsid w:val="000D5437"/>
    <w:rsid w:val="000D547A"/>
    <w:rsid w:val="000D547E"/>
    <w:rsid w:val="000D5541"/>
    <w:rsid w:val="000D5566"/>
    <w:rsid w:val="000D55C4"/>
    <w:rsid w:val="000D55CD"/>
    <w:rsid w:val="000D55D6"/>
    <w:rsid w:val="000D55FB"/>
    <w:rsid w:val="000D5603"/>
    <w:rsid w:val="000D561C"/>
    <w:rsid w:val="000D56FB"/>
    <w:rsid w:val="000D570B"/>
    <w:rsid w:val="000D57B7"/>
    <w:rsid w:val="000D57C0"/>
    <w:rsid w:val="000D57FB"/>
    <w:rsid w:val="000D57FC"/>
    <w:rsid w:val="000D582A"/>
    <w:rsid w:val="000D589B"/>
    <w:rsid w:val="000D5965"/>
    <w:rsid w:val="000D5AA7"/>
    <w:rsid w:val="000D5B17"/>
    <w:rsid w:val="000D5B25"/>
    <w:rsid w:val="000D5B75"/>
    <w:rsid w:val="000D5B8C"/>
    <w:rsid w:val="000D5BC8"/>
    <w:rsid w:val="000D5D1B"/>
    <w:rsid w:val="000D5DBE"/>
    <w:rsid w:val="000D5DDA"/>
    <w:rsid w:val="000D5E54"/>
    <w:rsid w:val="000D5E83"/>
    <w:rsid w:val="000D5EC8"/>
    <w:rsid w:val="000D5EE4"/>
    <w:rsid w:val="000D5F59"/>
    <w:rsid w:val="000D5F80"/>
    <w:rsid w:val="000D5F8B"/>
    <w:rsid w:val="000D5F9C"/>
    <w:rsid w:val="000D5FA5"/>
    <w:rsid w:val="000D5FFB"/>
    <w:rsid w:val="000D600F"/>
    <w:rsid w:val="000D6011"/>
    <w:rsid w:val="000D6016"/>
    <w:rsid w:val="000D603A"/>
    <w:rsid w:val="000D6075"/>
    <w:rsid w:val="000D612D"/>
    <w:rsid w:val="000D6144"/>
    <w:rsid w:val="000D6180"/>
    <w:rsid w:val="000D61FD"/>
    <w:rsid w:val="000D6209"/>
    <w:rsid w:val="000D624E"/>
    <w:rsid w:val="000D62A1"/>
    <w:rsid w:val="000D62A2"/>
    <w:rsid w:val="000D62BD"/>
    <w:rsid w:val="000D62C0"/>
    <w:rsid w:val="000D62C3"/>
    <w:rsid w:val="000D62CB"/>
    <w:rsid w:val="000D6322"/>
    <w:rsid w:val="000D6330"/>
    <w:rsid w:val="000D634F"/>
    <w:rsid w:val="000D638D"/>
    <w:rsid w:val="000D63BF"/>
    <w:rsid w:val="000D63F9"/>
    <w:rsid w:val="000D6451"/>
    <w:rsid w:val="000D6457"/>
    <w:rsid w:val="000D645E"/>
    <w:rsid w:val="000D6471"/>
    <w:rsid w:val="000D6533"/>
    <w:rsid w:val="000D6550"/>
    <w:rsid w:val="000D6568"/>
    <w:rsid w:val="000D658B"/>
    <w:rsid w:val="000D6651"/>
    <w:rsid w:val="000D6664"/>
    <w:rsid w:val="000D66AE"/>
    <w:rsid w:val="000D66D9"/>
    <w:rsid w:val="000D67A5"/>
    <w:rsid w:val="000D67AA"/>
    <w:rsid w:val="000D67AB"/>
    <w:rsid w:val="000D67D0"/>
    <w:rsid w:val="000D6801"/>
    <w:rsid w:val="000D68D8"/>
    <w:rsid w:val="000D68FA"/>
    <w:rsid w:val="000D690B"/>
    <w:rsid w:val="000D692A"/>
    <w:rsid w:val="000D6930"/>
    <w:rsid w:val="000D693E"/>
    <w:rsid w:val="000D698A"/>
    <w:rsid w:val="000D699A"/>
    <w:rsid w:val="000D69DC"/>
    <w:rsid w:val="000D6A28"/>
    <w:rsid w:val="000D6B1A"/>
    <w:rsid w:val="000D6BB2"/>
    <w:rsid w:val="000D6BF2"/>
    <w:rsid w:val="000D6BF7"/>
    <w:rsid w:val="000D6C36"/>
    <w:rsid w:val="000D6C6C"/>
    <w:rsid w:val="000D6D07"/>
    <w:rsid w:val="000D6D4E"/>
    <w:rsid w:val="000D6D74"/>
    <w:rsid w:val="000D6D77"/>
    <w:rsid w:val="000D6E5A"/>
    <w:rsid w:val="000D6E6C"/>
    <w:rsid w:val="000D6F03"/>
    <w:rsid w:val="000D6F71"/>
    <w:rsid w:val="000D6F9A"/>
    <w:rsid w:val="000D6F9C"/>
    <w:rsid w:val="000D701D"/>
    <w:rsid w:val="000D70EA"/>
    <w:rsid w:val="000D7136"/>
    <w:rsid w:val="000D716D"/>
    <w:rsid w:val="000D71A6"/>
    <w:rsid w:val="000D71AC"/>
    <w:rsid w:val="000D7257"/>
    <w:rsid w:val="000D7265"/>
    <w:rsid w:val="000D72C8"/>
    <w:rsid w:val="000D732E"/>
    <w:rsid w:val="000D7339"/>
    <w:rsid w:val="000D73CE"/>
    <w:rsid w:val="000D73ED"/>
    <w:rsid w:val="000D73F7"/>
    <w:rsid w:val="000D740F"/>
    <w:rsid w:val="000D7429"/>
    <w:rsid w:val="000D7484"/>
    <w:rsid w:val="000D74A9"/>
    <w:rsid w:val="000D74C5"/>
    <w:rsid w:val="000D74CB"/>
    <w:rsid w:val="000D7546"/>
    <w:rsid w:val="000D75E4"/>
    <w:rsid w:val="000D75FC"/>
    <w:rsid w:val="000D765A"/>
    <w:rsid w:val="000D7693"/>
    <w:rsid w:val="000D76A4"/>
    <w:rsid w:val="000D76B9"/>
    <w:rsid w:val="000D76D2"/>
    <w:rsid w:val="000D76E1"/>
    <w:rsid w:val="000D76E3"/>
    <w:rsid w:val="000D7706"/>
    <w:rsid w:val="000D7788"/>
    <w:rsid w:val="000D7798"/>
    <w:rsid w:val="000D77A1"/>
    <w:rsid w:val="000D77A7"/>
    <w:rsid w:val="000D77C8"/>
    <w:rsid w:val="000D77D9"/>
    <w:rsid w:val="000D77F9"/>
    <w:rsid w:val="000D783F"/>
    <w:rsid w:val="000D786F"/>
    <w:rsid w:val="000D789E"/>
    <w:rsid w:val="000D78E9"/>
    <w:rsid w:val="000D78F5"/>
    <w:rsid w:val="000D79C9"/>
    <w:rsid w:val="000D79E4"/>
    <w:rsid w:val="000D79F1"/>
    <w:rsid w:val="000D7A18"/>
    <w:rsid w:val="000D7A4D"/>
    <w:rsid w:val="000D7A92"/>
    <w:rsid w:val="000D7A93"/>
    <w:rsid w:val="000D7B25"/>
    <w:rsid w:val="000D7B46"/>
    <w:rsid w:val="000D7B8B"/>
    <w:rsid w:val="000D7BC3"/>
    <w:rsid w:val="000D7C2F"/>
    <w:rsid w:val="000D7C48"/>
    <w:rsid w:val="000D7C85"/>
    <w:rsid w:val="000D7C88"/>
    <w:rsid w:val="000D7C8F"/>
    <w:rsid w:val="000D7CB5"/>
    <w:rsid w:val="000D7CEC"/>
    <w:rsid w:val="000D7CFB"/>
    <w:rsid w:val="000D7D67"/>
    <w:rsid w:val="000D7D7B"/>
    <w:rsid w:val="000D7D7E"/>
    <w:rsid w:val="000D7DF9"/>
    <w:rsid w:val="000D7E42"/>
    <w:rsid w:val="000D7F1C"/>
    <w:rsid w:val="000D7F89"/>
    <w:rsid w:val="000D7F9F"/>
    <w:rsid w:val="000D7FC3"/>
    <w:rsid w:val="000D7FF8"/>
    <w:rsid w:val="000E0017"/>
    <w:rsid w:val="000E002E"/>
    <w:rsid w:val="000E0167"/>
    <w:rsid w:val="000E0175"/>
    <w:rsid w:val="000E018C"/>
    <w:rsid w:val="000E0206"/>
    <w:rsid w:val="000E02AD"/>
    <w:rsid w:val="000E0314"/>
    <w:rsid w:val="000E032C"/>
    <w:rsid w:val="000E0332"/>
    <w:rsid w:val="000E034C"/>
    <w:rsid w:val="000E0384"/>
    <w:rsid w:val="000E0387"/>
    <w:rsid w:val="000E0449"/>
    <w:rsid w:val="000E0471"/>
    <w:rsid w:val="000E04A5"/>
    <w:rsid w:val="000E0503"/>
    <w:rsid w:val="000E0515"/>
    <w:rsid w:val="000E0528"/>
    <w:rsid w:val="000E0557"/>
    <w:rsid w:val="000E05B6"/>
    <w:rsid w:val="000E05C2"/>
    <w:rsid w:val="000E05EA"/>
    <w:rsid w:val="000E0616"/>
    <w:rsid w:val="000E06D5"/>
    <w:rsid w:val="000E076E"/>
    <w:rsid w:val="000E07B6"/>
    <w:rsid w:val="000E080A"/>
    <w:rsid w:val="000E082E"/>
    <w:rsid w:val="000E0872"/>
    <w:rsid w:val="000E0875"/>
    <w:rsid w:val="000E0880"/>
    <w:rsid w:val="000E08ED"/>
    <w:rsid w:val="000E0952"/>
    <w:rsid w:val="000E098F"/>
    <w:rsid w:val="000E0A46"/>
    <w:rsid w:val="000E0A90"/>
    <w:rsid w:val="000E0ACC"/>
    <w:rsid w:val="000E0B6C"/>
    <w:rsid w:val="000E0B73"/>
    <w:rsid w:val="000E0B74"/>
    <w:rsid w:val="000E0BA2"/>
    <w:rsid w:val="000E0BB2"/>
    <w:rsid w:val="000E0CEB"/>
    <w:rsid w:val="000E0CF6"/>
    <w:rsid w:val="000E0D30"/>
    <w:rsid w:val="000E0D86"/>
    <w:rsid w:val="000E0DBB"/>
    <w:rsid w:val="000E0DD1"/>
    <w:rsid w:val="000E0DD4"/>
    <w:rsid w:val="000E0E71"/>
    <w:rsid w:val="000E0E75"/>
    <w:rsid w:val="000E0E8F"/>
    <w:rsid w:val="000E0EC4"/>
    <w:rsid w:val="000E0EC7"/>
    <w:rsid w:val="000E0EEB"/>
    <w:rsid w:val="000E0EEC"/>
    <w:rsid w:val="000E0EF1"/>
    <w:rsid w:val="000E0FF8"/>
    <w:rsid w:val="000E0FF9"/>
    <w:rsid w:val="000E1001"/>
    <w:rsid w:val="000E1002"/>
    <w:rsid w:val="000E1074"/>
    <w:rsid w:val="000E107F"/>
    <w:rsid w:val="000E10D0"/>
    <w:rsid w:val="000E10ED"/>
    <w:rsid w:val="000E1108"/>
    <w:rsid w:val="000E1111"/>
    <w:rsid w:val="000E1166"/>
    <w:rsid w:val="000E1199"/>
    <w:rsid w:val="000E119A"/>
    <w:rsid w:val="000E11D6"/>
    <w:rsid w:val="000E1207"/>
    <w:rsid w:val="000E1240"/>
    <w:rsid w:val="000E126C"/>
    <w:rsid w:val="000E12E6"/>
    <w:rsid w:val="000E1383"/>
    <w:rsid w:val="000E13EC"/>
    <w:rsid w:val="000E13F8"/>
    <w:rsid w:val="000E1408"/>
    <w:rsid w:val="000E1429"/>
    <w:rsid w:val="000E144B"/>
    <w:rsid w:val="000E145C"/>
    <w:rsid w:val="000E146F"/>
    <w:rsid w:val="000E14A2"/>
    <w:rsid w:val="000E152C"/>
    <w:rsid w:val="000E15D8"/>
    <w:rsid w:val="000E15DB"/>
    <w:rsid w:val="000E15F7"/>
    <w:rsid w:val="000E160A"/>
    <w:rsid w:val="000E160E"/>
    <w:rsid w:val="000E165D"/>
    <w:rsid w:val="000E1674"/>
    <w:rsid w:val="000E16DC"/>
    <w:rsid w:val="000E16EC"/>
    <w:rsid w:val="000E16F6"/>
    <w:rsid w:val="000E1756"/>
    <w:rsid w:val="000E175B"/>
    <w:rsid w:val="000E1767"/>
    <w:rsid w:val="000E1790"/>
    <w:rsid w:val="000E179E"/>
    <w:rsid w:val="000E1802"/>
    <w:rsid w:val="000E1807"/>
    <w:rsid w:val="000E1815"/>
    <w:rsid w:val="000E1868"/>
    <w:rsid w:val="000E1882"/>
    <w:rsid w:val="000E1888"/>
    <w:rsid w:val="000E1993"/>
    <w:rsid w:val="000E19B2"/>
    <w:rsid w:val="000E1A82"/>
    <w:rsid w:val="000E1A95"/>
    <w:rsid w:val="000E1AA0"/>
    <w:rsid w:val="000E1ABF"/>
    <w:rsid w:val="000E1B33"/>
    <w:rsid w:val="000E1B7A"/>
    <w:rsid w:val="000E1BA5"/>
    <w:rsid w:val="000E1C30"/>
    <w:rsid w:val="000E1CAB"/>
    <w:rsid w:val="000E1CC4"/>
    <w:rsid w:val="000E1D13"/>
    <w:rsid w:val="000E1D1A"/>
    <w:rsid w:val="000E1D36"/>
    <w:rsid w:val="000E1D40"/>
    <w:rsid w:val="000E1D52"/>
    <w:rsid w:val="000E1DA8"/>
    <w:rsid w:val="000E1DBE"/>
    <w:rsid w:val="000E1DE3"/>
    <w:rsid w:val="000E1E5A"/>
    <w:rsid w:val="000E1E5C"/>
    <w:rsid w:val="000E1EB4"/>
    <w:rsid w:val="000E1EBA"/>
    <w:rsid w:val="000E1F18"/>
    <w:rsid w:val="000E1F48"/>
    <w:rsid w:val="000E1F53"/>
    <w:rsid w:val="000E1F91"/>
    <w:rsid w:val="000E1FAC"/>
    <w:rsid w:val="000E1FE7"/>
    <w:rsid w:val="000E200C"/>
    <w:rsid w:val="000E2046"/>
    <w:rsid w:val="000E206E"/>
    <w:rsid w:val="000E2128"/>
    <w:rsid w:val="000E213D"/>
    <w:rsid w:val="000E2145"/>
    <w:rsid w:val="000E2171"/>
    <w:rsid w:val="000E21A5"/>
    <w:rsid w:val="000E2200"/>
    <w:rsid w:val="000E220B"/>
    <w:rsid w:val="000E2251"/>
    <w:rsid w:val="000E2275"/>
    <w:rsid w:val="000E22A7"/>
    <w:rsid w:val="000E22DA"/>
    <w:rsid w:val="000E2413"/>
    <w:rsid w:val="000E243E"/>
    <w:rsid w:val="000E2476"/>
    <w:rsid w:val="000E24A0"/>
    <w:rsid w:val="000E24B2"/>
    <w:rsid w:val="000E2548"/>
    <w:rsid w:val="000E25D9"/>
    <w:rsid w:val="000E2614"/>
    <w:rsid w:val="000E2689"/>
    <w:rsid w:val="000E26C0"/>
    <w:rsid w:val="000E26CC"/>
    <w:rsid w:val="000E2711"/>
    <w:rsid w:val="000E2726"/>
    <w:rsid w:val="000E2779"/>
    <w:rsid w:val="000E27C1"/>
    <w:rsid w:val="000E27ED"/>
    <w:rsid w:val="000E27F9"/>
    <w:rsid w:val="000E2803"/>
    <w:rsid w:val="000E2880"/>
    <w:rsid w:val="000E290D"/>
    <w:rsid w:val="000E2955"/>
    <w:rsid w:val="000E29E3"/>
    <w:rsid w:val="000E29EC"/>
    <w:rsid w:val="000E2A35"/>
    <w:rsid w:val="000E2A4E"/>
    <w:rsid w:val="000E2A9E"/>
    <w:rsid w:val="000E2B01"/>
    <w:rsid w:val="000E2B5A"/>
    <w:rsid w:val="000E2B92"/>
    <w:rsid w:val="000E2BB4"/>
    <w:rsid w:val="000E2BD5"/>
    <w:rsid w:val="000E2BFC"/>
    <w:rsid w:val="000E2C09"/>
    <w:rsid w:val="000E2C25"/>
    <w:rsid w:val="000E2CD4"/>
    <w:rsid w:val="000E2D19"/>
    <w:rsid w:val="000E2D1C"/>
    <w:rsid w:val="000E2D3D"/>
    <w:rsid w:val="000E2D98"/>
    <w:rsid w:val="000E2EB0"/>
    <w:rsid w:val="000E2EB1"/>
    <w:rsid w:val="000E2EFD"/>
    <w:rsid w:val="000E2F05"/>
    <w:rsid w:val="000E302D"/>
    <w:rsid w:val="000E3039"/>
    <w:rsid w:val="000E3047"/>
    <w:rsid w:val="000E30A6"/>
    <w:rsid w:val="000E315F"/>
    <w:rsid w:val="000E31D3"/>
    <w:rsid w:val="000E322A"/>
    <w:rsid w:val="000E329B"/>
    <w:rsid w:val="000E32DD"/>
    <w:rsid w:val="000E32DF"/>
    <w:rsid w:val="000E3322"/>
    <w:rsid w:val="000E3347"/>
    <w:rsid w:val="000E3368"/>
    <w:rsid w:val="000E3388"/>
    <w:rsid w:val="000E33A8"/>
    <w:rsid w:val="000E33B5"/>
    <w:rsid w:val="000E348D"/>
    <w:rsid w:val="000E34CC"/>
    <w:rsid w:val="000E3528"/>
    <w:rsid w:val="000E35E6"/>
    <w:rsid w:val="000E363C"/>
    <w:rsid w:val="000E363F"/>
    <w:rsid w:val="000E365E"/>
    <w:rsid w:val="000E3678"/>
    <w:rsid w:val="000E36AC"/>
    <w:rsid w:val="000E36C3"/>
    <w:rsid w:val="000E3713"/>
    <w:rsid w:val="000E3740"/>
    <w:rsid w:val="000E37D0"/>
    <w:rsid w:val="000E37ED"/>
    <w:rsid w:val="000E3808"/>
    <w:rsid w:val="000E3872"/>
    <w:rsid w:val="000E3875"/>
    <w:rsid w:val="000E387F"/>
    <w:rsid w:val="000E38DE"/>
    <w:rsid w:val="000E38EF"/>
    <w:rsid w:val="000E3920"/>
    <w:rsid w:val="000E3970"/>
    <w:rsid w:val="000E39E4"/>
    <w:rsid w:val="000E39E8"/>
    <w:rsid w:val="000E3A29"/>
    <w:rsid w:val="000E3A60"/>
    <w:rsid w:val="000E3AE0"/>
    <w:rsid w:val="000E3B06"/>
    <w:rsid w:val="000E3B20"/>
    <w:rsid w:val="000E3B59"/>
    <w:rsid w:val="000E3BF3"/>
    <w:rsid w:val="000E3BFC"/>
    <w:rsid w:val="000E3C3E"/>
    <w:rsid w:val="000E3C9F"/>
    <w:rsid w:val="000E3CAC"/>
    <w:rsid w:val="000E3CF4"/>
    <w:rsid w:val="000E3D1F"/>
    <w:rsid w:val="000E3D65"/>
    <w:rsid w:val="000E3E1A"/>
    <w:rsid w:val="000E3E26"/>
    <w:rsid w:val="000E3E71"/>
    <w:rsid w:val="000E3EBE"/>
    <w:rsid w:val="000E3ECB"/>
    <w:rsid w:val="000E3EF1"/>
    <w:rsid w:val="000E3EF3"/>
    <w:rsid w:val="000E3F10"/>
    <w:rsid w:val="000E3F4C"/>
    <w:rsid w:val="000E4004"/>
    <w:rsid w:val="000E4005"/>
    <w:rsid w:val="000E403B"/>
    <w:rsid w:val="000E4040"/>
    <w:rsid w:val="000E4051"/>
    <w:rsid w:val="000E4066"/>
    <w:rsid w:val="000E40C1"/>
    <w:rsid w:val="000E40D0"/>
    <w:rsid w:val="000E40EB"/>
    <w:rsid w:val="000E410D"/>
    <w:rsid w:val="000E410F"/>
    <w:rsid w:val="000E4179"/>
    <w:rsid w:val="000E419B"/>
    <w:rsid w:val="000E41A8"/>
    <w:rsid w:val="000E41E9"/>
    <w:rsid w:val="000E41F3"/>
    <w:rsid w:val="000E422B"/>
    <w:rsid w:val="000E42F0"/>
    <w:rsid w:val="000E4303"/>
    <w:rsid w:val="000E4319"/>
    <w:rsid w:val="000E4395"/>
    <w:rsid w:val="000E441A"/>
    <w:rsid w:val="000E445E"/>
    <w:rsid w:val="000E44BB"/>
    <w:rsid w:val="000E44E2"/>
    <w:rsid w:val="000E44FD"/>
    <w:rsid w:val="000E4552"/>
    <w:rsid w:val="000E45FE"/>
    <w:rsid w:val="000E4632"/>
    <w:rsid w:val="000E4675"/>
    <w:rsid w:val="000E4735"/>
    <w:rsid w:val="000E4738"/>
    <w:rsid w:val="000E475E"/>
    <w:rsid w:val="000E4803"/>
    <w:rsid w:val="000E4834"/>
    <w:rsid w:val="000E4874"/>
    <w:rsid w:val="000E48CC"/>
    <w:rsid w:val="000E491D"/>
    <w:rsid w:val="000E493E"/>
    <w:rsid w:val="000E497E"/>
    <w:rsid w:val="000E499D"/>
    <w:rsid w:val="000E499F"/>
    <w:rsid w:val="000E49AA"/>
    <w:rsid w:val="000E49E9"/>
    <w:rsid w:val="000E49FC"/>
    <w:rsid w:val="000E4A41"/>
    <w:rsid w:val="000E4A69"/>
    <w:rsid w:val="000E4AE0"/>
    <w:rsid w:val="000E4B1A"/>
    <w:rsid w:val="000E4B29"/>
    <w:rsid w:val="000E4B55"/>
    <w:rsid w:val="000E4BA1"/>
    <w:rsid w:val="000E4BE1"/>
    <w:rsid w:val="000E4BF1"/>
    <w:rsid w:val="000E4C52"/>
    <w:rsid w:val="000E4C97"/>
    <w:rsid w:val="000E4CC4"/>
    <w:rsid w:val="000E4D0D"/>
    <w:rsid w:val="000E4DBF"/>
    <w:rsid w:val="000E4DC2"/>
    <w:rsid w:val="000E4DE2"/>
    <w:rsid w:val="000E4E1E"/>
    <w:rsid w:val="000E4E2A"/>
    <w:rsid w:val="000E4EB3"/>
    <w:rsid w:val="000E4F03"/>
    <w:rsid w:val="000E4F58"/>
    <w:rsid w:val="000E4F99"/>
    <w:rsid w:val="000E4FA1"/>
    <w:rsid w:val="000E4FF7"/>
    <w:rsid w:val="000E5029"/>
    <w:rsid w:val="000E5074"/>
    <w:rsid w:val="000E5095"/>
    <w:rsid w:val="000E50AB"/>
    <w:rsid w:val="000E5110"/>
    <w:rsid w:val="000E5129"/>
    <w:rsid w:val="000E522C"/>
    <w:rsid w:val="000E5281"/>
    <w:rsid w:val="000E52A2"/>
    <w:rsid w:val="000E52A5"/>
    <w:rsid w:val="000E52E6"/>
    <w:rsid w:val="000E52FC"/>
    <w:rsid w:val="000E5353"/>
    <w:rsid w:val="000E5373"/>
    <w:rsid w:val="000E53B4"/>
    <w:rsid w:val="000E53ED"/>
    <w:rsid w:val="000E53FD"/>
    <w:rsid w:val="000E5409"/>
    <w:rsid w:val="000E5414"/>
    <w:rsid w:val="000E541B"/>
    <w:rsid w:val="000E5437"/>
    <w:rsid w:val="000E5463"/>
    <w:rsid w:val="000E5484"/>
    <w:rsid w:val="000E54D7"/>
    <w:rsid w:val="000E54E2"/>
    <w:rsid w:val="000E54EA"/>
    <w:rsid w:val="000E5508"/>
    <w:rsid w:val="000E5521"/>
    <w:rsid w:val="000E5560"/>
    <w:rsid w:val="000E556A"/>
    <w:rsid w:val="000E55BC"/>
    <w:rsid w:val="000E55C3"/>
    <w:rsid w:val="000E55C6"/>
    <w:rsid w:val="000E55DA"/>
    <w:rsid w:val="000E55FE"/>
    <w:rsid w:val="000E562B"/>
    <w:rsid w:val="000E5659"/>
    <w:rsid w:val="000E56D4"/>
    <w:rsid w:val="000E5703"/>
    <w:rsid w:val="000E5781"/>
    <w:rsid w:val="000E57BD"/>
    <w:rsid w:val="000E57C1"/>
    <w:rsid w:val="000E581E"/>
    <w:rsid w:val="000E5842"/>
    <w:rsid w:val="000E5867"/>
    <w:rsid w:val="000E5869"/>
    <w:rsid w:val="000E58AD"/>
    <w:rsid w:val="000E58C2"/>
    <w:rsid w:val="000E5903"/>
    <w:rsid w:val="000E591A"/>
    <w:rsid w:val="000E5944"/>
    <w:rsid w:val="000E5988"/>
    <w:rsid w:val="000E599A"/>
    <w:rsid w:val="000E59CA"/>
    <w:rsid w:val="000E5A08"/>
    <w:rsid w:val="000E5A21"/>
    <w:rsid w:val="000E5A78"/>
    <w:rsid w:val="000E5AA3"/>
    <w:rsid w:val="000E5BEF"/>
    <w:rsid w:val="000E5BF3"/>
    <w:rsid w:val="000E5C46"/>
    <w:rsid w:val="000E5C71"/>
    <w:rsid w:val="000E5C76"/>
    <w:rsid w:val="000E5C80"/>
    <w:rsid w:val="000E5C8B"/>
    <w:rsid w:val="000E5CA8"/>
    <w:rsid w:val="000E5DCE"/>
    <w:rsid w:val="000E5DD3"/>
    <w:rsid w:val="000E5DD6"/>
    <w:rsid w:val="000E5DDF"/>
    <w:rsid w:val="000E5F18"/>
    <w:rsid w:val="000E5F22"/>
    <w:rsid w:val="000E5F42"/>
    <w:rsid w:val="000E5F55"/>
    <w:rsid w:val="000E5F81"/>
    <w:rsid w:val="000E5FAF"/>
    <w:rsid w:val="000E5FB8"/>
    <w:rsid w:val="000E604E"/>
    <w:rsid w:val="000E6069"/>
    <w:rsid w:val="000E6074"/>
    <w:rsid w:val="000E608D"/>
    <w:rsid w:val="000E60F5"/>
    <w:rsid w:val="000E610C"/>
    <w:rsid w:val="000E610F"/>
    <w:rsid w:val="000E612E"/>
    <w:rsid w:val="000E6144"/>
    <w:rsid w:val="000E6154"/>
    <w:rsid w:val="000E620C"/>
    <w:rsid w:val="000E628A"/>
    <w:rsid w:val="000E62C1"/>
    <w:rsid w:val="000E62C4"/>
    <w:rsid w:val="000E62D6"/>
    <w:rsid w:val="000E631F"/>
    <w:rsid w:val="000E632C"/>
    <w:rsid w:val="000E6349"/>
    <w:rsid w:val="000E6369"/>
    <w:rsid w:val="000E63BF"/>
    <w:rsid w:val="000E63C0"/>
    <w:rsid w:val="000E63C6"/>
    <w:rsid w:val="000E63FB"/>
    <w:rsid w:val="000E64B2"/>
    <w:rsid w:val="000E64FE"/>
    <w:rsid w:val="000E6519"/>
    <w:rsid w:val="000E6573"/>
    <w:rsid w:val="000E65BB"/>
    <w:rsid w:val="000E666F"/>
    <w:rsid w:val="000E667E"/>
    <w:rsid w:val="000E66FE"/>
    <w:rsid w:val="000E673B"/>
    <w:rsid w:val="000E679D"/>
    <w:rsid w:val="000E67AE"/>
    <w:rsid w:val="000E6838"/>
    <w:rsid w:val="000E6899"/>
    <w:rsid w:val="000E68D3"/>
    <w:rsid w:val="000E692A"/>
    <w:rsid w:val="000E69CC"/>
    <w:rsid w:val="000E69D4"/>
    <w:rsid w:val="000E6AA9"/>
    <w:rsid w:val="000E6BA2"/>
    <w:rsid w:val="000E6BD4"/>
    <w:rsid w:val="000E6C06"/>
    <w:rsid w:val="000E6C58"/>
    <w:rsid w:val="000E6C81"/>
    <w:rsid w:val="000E6C89"/>
    <w:rsid w:val="000E6CD2"/>
    <w:rsid w:val="000E6D1A"/>
    <w:rsid w:val="000E6D47"/>
    <w:rsid w:val="000E6DDF"/>
    <w:rsid w:val="000E6E14"/>
    <w:rsid w:val="000E6E8E"/>
    <w:rsid w:val="000E6E9F"/>
    <w:rsid w:val="000E6EA7"/>
    <w:rsid w:val="000E6EBD"/>
    <w:rsid w:val="000E6EDE"/>
    <w:rsid w:val="000E6FA2"/>
    <w:rsid w:val="000E7083"/>
    <w:rsid w:val="000E708B"/>
    <w:rsid w:val="000E70B5"/>
    <w:rsid w:val="000E70BD"/>
    <w:rsid w:val="000E70C8"/>
    <w:rsid w:val="000E70F1"/>
    <w:rsid w:val="000E7113"/>
    <w:rsid w:val="000E711C"/>
    <w:rsid w:val="000E7125"/>
    <w:rsid w:val="000E713C"/>
    <w:rsid w:val="000E719A"/>
    <w:rsid w:val="000E71DA"/>
    <w:rsid w:val="000E7221"/>
    <w:rsid w:val="000E7230"/>
    <w:rsid w:val="000E727D"/>
    <w:rsid w:val="000E7295"/>
    <w:rsid w:val="000E72AB"/>
    <w:rsid w:val="000E72B3"/>
    <w:rsid w:val="000E7309"/>
    <w:rsid w:val="000E7317"/>
    <w:rsid w:val="000E731F"/>
    <w:rsid w:val="000E7320"/>
    <w:rsid w:val="000E740E"/>
    <w:rsid w:val="000E7458"/>
    <w:rsid w:val="000E7491"/>
    <w:rsid w:val="000E75EE"/>
    <w:rsid w:val="000E7643"/>
    <w:rsid w:val="000E76C3"/>
    <w:rsid w:val="000E76C8"/>
    <w:rsid w:val="000E76DD"/>
    <w:rsid w:val="000E7700"/>
    <w:rsid w:val="000E771C"/>
    <w:rsid w:val="000E7764"/>
    <w:rsid w:val="000E7828"/>
    <w:rsid w:val="000E7891"/>
    <w:rsid w:val="000E7901"/>
    <w:rsid w:val="000E7907"/>
    <w:rsid w:val="000E7929"/>
    <w:rsid w:val="000E7958"/>
    <w:rsid w:val="000E795E"/>
    <w:rsid w:val="000E7A3C"/>
    <w:rsid w:val="000E7A51"/>
    <w:rsid w:val="000E7A57"/>
    <w:rsid w:val="000E7A78"/>
    <w:rsid w:val="000E7ADE"/>
    <w:rsid w:val="000E7AF7"/>
    <w:rsid w:val="000E7B41"/>
    <w:rsid w:val="000E7B50"/>
    <w:rsid w:val="000E7B5A"/>
    <w:rsid w:val="000E7BD7"/>
    <w:rsid w:val="000E7BE7"/>
    <w:rsid w:val="000E7C66"/>
    <w:rsid w:val="000E7C84"/>
    <w:rsid w:val="000E7CCE"/>
    <w:rsid w:val="000E7D76"/>
    <w:rsid w:val="000E7D82"/>
    <w:rsid w:val="000E7D8C"/>
    <w:rsid w:val="000E7DCF"/>
    <w:rsid w:val="000E7E65"/>
    <w:rsid w:val="000E7E8D"/>
    <w:rsid w:val="000E7F17"/>
    <w:rsid w:val="000E7F3A"/>
    <w:rsid w:val="000E7F56"/>
    <w:rsid w:val="000E7F78"/>
    <w:rsid w:val="000E7FE4"/>
    <w:rsid w:val="000F0020"/>
    <w:rsid w:val="000F0053"/>
    <w:rsid w:val="000F006F"/>
    <w:rsid w:val="000F0099"/>
    <w:rsid w:val="000F00A7"/>
    <w:rsid w:val="000F00B0"/>
    <w:rsid w:val="000F00DB"/>
    <w:rsid w:val="000F010A"/>
    <w:rsid w:val="000F011B"/>
    <w:rsid w:val="000F0167"/>
    <w:rsid w:val="000F018B"/>
    <w:rsid w:val="000F020E"/>
    <w:rsid w:val="000F021A"/>
    <w:rsid w:val="000F02D0"/>
    <w:rsid w:val="000F03A9"/>
    <w:rsid w:val="000F0458"/>
    <w:rsid w:val="000F048F"/>
    <w:rsid w:val="000F0499"/>
    <w:rsid w:val="000F0546"/>
    <w:rsid w:val="000F05CE"/>
    <w:rsid w:val="000F05F3"/>
    <w:rsid w:val="000F06B3"/>
    <w:rsid w:val="000F06F6"/>
    <w:rsid w:val="000F0706"/>
    <w:rsid w:val="000F075B"/>
    <w:rsid w:val="000F076D"/>
    <w:rsid w:val="000F079A"/>
    <w:rsid w:val="000F07A1"/>
    <w:rsid w:val="000F07A4"/>
    <w:rsid w:val="000F07B6"/>
    <w:rsid w:val="000F087A"/>
    <w:rsid w:val="000F08F8"/>
    <w:rsid w:val="000F0969"/>
    <w:rsid w:val="000F0983"/>
    <w:rsid w:val="000F09B6"/>
    <w:rsid w:val="000F09DB"/>
    <w:rsid w:val="000F09EF"/>
    <w:rsid w:val="000F09F0"/>
    <w:rsid w:val="000F0AA2"/>
    <w:rsid w:val="000F0AC7"/>
    <w:rsid w:val="000F0AF3"/>
    <w:rsid w:val="000F0AF5"/>
    <w:rsid w:val="000F0B21"/>
    <w:rsid w:val="000F0B26"/>
    <w:rsid w:val="000F0C8F"/>
    <w:rsid w:val="000F0CB6"/>
    <w:rsid w:val="000F0CD2"/>
    <w:rsid w:val="000F0CDB"/>
    <w:rsid w:val="000F0CEC"/>
    <w:rsid w:val="000F0CF1"/>
    <w:rsid w:val="000F0D0C"/>
    <w:rsid w:val="000F0D35"/>
    <w:rsid w:val="000F0D36"/>
    <w:rsid w:val="000F0D78"/>
    <w:rsid w:val="000F0E45"/>
    <w:rsid w:val="000F0E50"/>
    <w:rsid w:val="000F0E52"/>
    <w:rsid w:val="000F0EFA"/>
    <w:rsid w:val="000F0F12"/>
    <w:rsid w:val="000F0F39"/>
    <w:rsid w:val="000F0F62"/>
    <w:rsid w:val="000F0F6B"/>
    <w:rsid w:val="000F0FCD"/>
    <w:rsid w:val="000F0FFC"/>
    <w:rsid w:val="000F1010"/>
    <w:rsid w:val="000F108E"/>
    <w:rsid w:val="000F1095"/>
    <w:rsid w:val="000F109A"/>
    <w:rsid w:val="000F10A3"/>
    <w:rsid w:val="000F10EE"/>
    <w:rsid w:val="000F1137"/>
    <w:rsid w:val="000F1144"/>
    <w:rsid w:val="000F1149"/>
    <w:rsid w:val="000F116D"/>
    <w:rsid w:val="000F11FF"/>
    <w:rsid w:val="000F12C5"/>
    <w:rsid w:val="000F1301"/>
    <w:rsid w:val="000F1362"/>
    <w:rsid w:val="000F13D2"/>
    <w:rsid w:val="000F13E0"/>
    <w:rsid w:val="000F1436"/>
    <w:rsid w:val="000F1459"/>
    <w:rsid w:val="000F145E"/>
    <w:rsid w:val="000F1491"/>
    <w:rsid w:val="000F154C"/>
    <w:rsid w:val="000F15B0"/>
    <w:rsid w:val="000F15C1"/>
    <w:rsid w:val="000F15DF"/>
    <w:rsid w:val="000F1634"/>
    <w:rsid w:val="000F16AF"/>
    <w:rsid w:val="000F16D7"/>
    <w:rsid w:val="000F1724"/>
    <w:rsid w:val="000F181D"/>
    <w:rsid w:val="000F18D7"/>
    <w:rsid w:val="000F190E"/>
    <w:rsid w:val="000F1919"/>
    <w:rsid w:val="000F1928"/>
    <w:rsid w:val="000F1981"/>
    <w:rsid w:val="000F1A44"/>
    <w:rsid w:val="000F1A52"/>
    <w:rsid w:val="000F1AA9"/>
    <w:rsid w:val="000F1AAF"/>
    <w:rsid w:val="000F1B22"/>
    <w:rsid w:val="000F1B76"/>
    <w:rsid w:val="000F1B7C"/>
    <w:rsid w:val="000F1B8D"/>
    <w:rsid w:val="000F1C27"/>
    <w:rsid w:val="000F1C60"/>
    <w:rsid w:val="000F1C78"/>
    <w:rsid w:val="000F1C84"/>
    <w:rsid w:val="000F1C91"/>
    <w:rsid w:val="000F1C94"/>
    <w:rsid w:val="000F1C98"/>
    <w:rsid w:val="000F1D03"/>
    <w:rsid w:val="000F1D2B"/>
    <w:rsid w:val="000F1D39"/>
    <w:rsid w:val="000F1D51"/>
    <w:rsid w:val="000F1D61"/>
    <w:rsid w:val="000F1D8A"/>
    <w:rsid w:val="000F1E33"/>
    <w:rsid w:val="000F1E7C"/>
    <w:rsid w:val="000F1E92"/>
    <w:rsid w:val="000F1EB8"/>
    <w:rsid w:val="000F1F26"/>
    <w:rsid w:val="000F1F54"/>
    <w:rsid w:val="000F1F96"/>
    <w:rsid w:val="000F200A"/>
    <w:rsid w:val="000F2091"/>
    <w:rsid w:val="000F210A"/>
    <w:rsid w:val="000F2121"/>
    <w:rsid w:val="000F21CB"/>
    <w:rsid w:val="000F21F6"/>
    <w:rsid w:val="000F229E"/>
    <w:rsid w:val="000F22AC"/>
    <w:rsid w:val="000F22E1"/>
    <w:rsid w:val="000F22E6"/>
    <w:rsid w:val="000F230F"/>
    <w:rsid w:val="000F2325"/>
    <w:rsid w:val="000F2347"/>
    <w:rsid w:val="000F241A"/>
    <w:rsid w:val="000F2464"/>
    <w:rsid w:val="000F24BB"/>
    <w:rsid w:val="000F24F1"/>
    <w:rsid w:val="000F24FF"/>
    <w:rsid w:val="000F2572"/>
    <w:rsid w:val="000F2596"/>
    <w:rsid w:val="000F25CC"/>
    <w:rsid w:val="000F265B"/>
    <w:rsid w:val="000F2694"/>
    <w:rsid w:val="000F26D9"/>
    <w:rsid w:val="000F274C"/>
    <w:rsid w:val="000F2757"/>
    <w:rsid w:val="000F2773"/>
    <w:rsid w:val="000F2787"/>
    <w:rsid w:val="000F2835"/>
    <w:rsid w:val="000F2837"/>
    <w:rsid w:val="000F287E"/>
    <w:rsid w:val="000F287F"/>
    <w:rsid w:val="000F289F"/>
    <w:rsid w:val="000F28E8"/>
    <w:rsid w:val="000F297F"/>
    <w:rsid w:val="000F2A33"/>
    <w:rsid w:val="000F2A36"/>
    <w:rsid w:val="000F2A38"/>
    <w:rsid w:val="000F2A86"/>
    <w:rsid w:val="000F2ABE"/>
    <w:rsid w:val="000F2B3E"/>
    <w:rsid w:val="000F2B41"/>
    <w:rsid w:val="000F2B62"/>
    <w:rsid w:val="000F2C8C"/>
    <w:rsid w:val="000F2C97"/>
    <w:rsid w:val="000F2CC8"/>
    <w:rsid w:val="000F2D2E"/>
    <w:rsid w:val="000F2D38"/>
    <w:rsid w:val="000F2D7C"/>
    <w:rsid w:val="000F2E08"/>
    <w:rsid w:val="000F2E12"/>
    <w:rsid w:val="000F2E3A"/>
    <w:rsid w:val="000F2E53"/>
    <w:rsid w:val="000F2E84"/>
    <w:rsid w:val="000F2E9E"/>
    <w:rsid w:val="000F2EC1"/>
    <w:rsid w:val="000F2ED9"/>
    <w:rsid w:val="000F2F12"/>
    <w:rsid w:val="000F2F33"/>
    <w:rsid w:val="000F2F7F"/>
    <w:rsid w:val="000F2FC4"/>
    <w:rsid w:val="000F2FF3"/>
    <w:rsid w:val="000F3001"/>
    <w:rsid w:val="000F303D"/>
    <w:rsid w:val="000F30C3"/>
    <w:rsid w:val="000F3117"/>
    <w:rsid w:val="000F313B"/>
    <w:rsid w:val="000F3141"/>
    <w:rsid w:val="000F315D"/>
    <w:rsid w:val="000F32AB"/>
    <w:rsid w:val="000F32BD"/>
    <w:rsid w:val="000F32D5"/>
    <w:rsid w:val="000F331D"/>
    <w:rsid w:val="000F337C"/>
    <w:rsid w:val="000F33B6"/>
    <w:rsid w:val="000F33B7"/>
    <w:rsid w:val="000F33CD"/>
    <w:rsid w:val="000F33D7"/>
    <w:rsid w:val="000F34B9"/>
    <w:rsid w:val="000F358C"/>
    <w:rsid w:val="000F35A1"/>
    <w:rsid w:val="000F35A3"/>
    <w:rsid w:val="000F35CD"/>
    <w:rsid w:val="000F3665"/>
    <w:rsid w:val="000F369E"/>
    <w:rsid w:val="000F36CA"/>
    <w:rsid w:val="000F381B"/>
    <w:rsid w:val="000F383F"/>
    <w:rsid w:val="000F3850"/>
    <w:rsid w:val="000F3898"/>
    <w:rsid w:val="000F38A2"/>
    <w:rsid w:val="000F38BB"/>
    <w:rsid w:val="000F38CA"/>
    <w:rsid w:val="000F3906"/>
    <w:rsid w:val="000F390A"/>
    <w:rsid w:val="000F392E"/>
    <w:rsid w:val="000F394A"/>
    <w:rsid w:val="000F395F"/>
    <w:rsid w:val="000F3987"/>
    <w:rsid w:val="000F39E1"/>
    <w:rsid w:val="000F39EE"/>
    <w:rsid w:val="000F39FA"/>
    <w:rsid w:val="000F3A55"/>
    <w:rsid w:val="000F3A5A"/>
    <w:rsid w:val="000F3B30"/>
    <w:rsid w:val="000F3B8B"/>
    <w:rsid w:val="000F3C12"/>
    <w:rsid w:val="000F3C82"/>
    <w:rsid w:val="000F3CC9"/>
    <w:rsid w:val="000F3D01"/>
    <w:rsid w:val="000F3D2A"/>
    <w:rsid w:val="000F3D3B"/>
    <w:rsid w:val="000F3D5C"/>
    <w:rsid w:val="000F3DB2"/>
    <w:rsid w:val="000F3DD1"/>
    <w:rsid w:val="000F3DED"/>
    <w:rsid w:val="000F3E95"/>
    <w:rsid w:val="000F3EB3"/>
    <w:rsid w:val="000F3EF4"/>
    <w:rsid w:val="000F3F26"/>
    <w:rsid w:val="000F3FC3"/>
    <w:rsid w:val="000F4002"/>
    <w:rsid w:val="000F40E0"/>
    <w:rsid w:val="000F40FA"/>
    <w:rsid w:val="000F4102"/>
    <w:rsid w:val="000F4151"/>
    <w:rsid w:val="000F4156"/>
    <w:rsid w:val="000F418A"/>
    <w:rsid w:val="000F41A7"/>
    <w:rsid w:val="000F41F0"/>
    <w:rsid w:val="000F4246"/>
    <w:rsid w:val="000F4292"/>
    <w:rsid w:val="000F42B9"/>
    <w:rsid w:val="000F42DD"/>
    <w:rsid w:val="000F4333"/>
    <w:rsid w:val="000F438E"/>
    <w:rsid w:val="000F43EB"/>
    <w:rsid w:val="000F43F2"/>
    <w:rsid w:val="000F44F3"/>
    <w:rsid w:val="000F4551"/>
    <w:rsid w:val="000F4576"/>
    <w:rsid w:val="000F4578"/>
    <w:rsid w:val="000F459E"/>
    <w:rsid w:val="000F45E6"/>
    <w:rsid w:val="000F460D"/>
    <w:rsid w:val="000F461B"/>
    <w:rsid w:val="000F4691"/>
    <w:rsid w:val="000F469F"/>
    <w:rsid w:val="000F46F9"/>
    <w:rsid w:val="000F476B"/>
    <w:rsid w:val="000F478E"/>
    <w:rsid w:val="000F47C6"/>
    <w:rsid w:val="000F47C7"/>
    <w:rsid w:val="000F47CC"/>
    <w:rsid w:val="000F485F"/>
    <w:rsid w:val="000F4863"/>
    <w:rsid w:val="000F48E0"/>
    <w:rsid w:val="000F4957"/>
    <w:rsid w:val="000F4A87"/>
    <w:rsid w:val="000F4A89"/>
    <w:rsid w:val="000F4A9D"/>
    <w:rsid w:val="000F4AA2"/>
    <w:rsid w:val="000F4AA7"/>
    <w:rsid w:val="000F4B37"/>
    <w:rsid w:val="000F4B4D"/>
    <w:rsid w:val="000F4C18"/>
    <w:rsid w:val="000F4C1D"/>
    <w:rsid w:val="000F4C20"/>
    <w:rsid w:val="000F4C6A"/>
    <w:rsid w:val="000F4CBA"/>
    <w:rsid w:val="000F4CE3"/>
    <w:rsid w:val="000F4D34"/>
    <w:rsid w:val="000F4DD9"/>
    <w:rsid w:val="000F4DE0"/>
    <w:rsid w:val="000F4DF0"/>
    <w:rsid w:val="000F4E01"/>
    <w:rsid w:val="000F4EE7"/>
    <w:rsid w:val="000F4F14"/>
    <w:rsid w:val="000F4F18"/>
    <w:rsid w:val="000F4F48"/>
    <w:rsid w:val="000F4F55"/>
    <w:rsid w:val="000F4F75"/>
    <w:rsid w:val="000F4F83"/>
    <w:rsid w:val="000F4FB7"/>
    <w:rsid w:val="000F5005"/>
    <w:rsid w:val="000F5008"/>
    <w:rsid w:val="000F502A"/>
    <w:rsid w:val="000F5040"/>
    <w:rsid w:val="000F50E3"/>
    <w:rsid w:val="000F5129"/>
    <w:rsid w:val="000F515B"/>
    <w:rsid w:val="000F5166"/>
    <w:rsid w:val="000F51D4"/>
    <w:rsid w:val="000F51E6"/>
    <w:rsid w:val="000F52E7"/>
    <w:rsid w:val="000F535D"/>
    <w:rsid w:val="000F535F"/>
    <w:rsid w:val="000F5385"/>
    <w:rsid w:val="000F539B"/>
    <w:rsid w:val="000F539D"/>
    <w:rsid w:val="000F53AA"/>
    <w:rsid w:val="000F53BD"/>
    <w:rsid w:val="000F53F0"/>
    <w:rsid w:val="000F544A"/>
    <w:rsid w:val="000F54ED"/>
    <w:rsid w:val="000F554E"/>
    <w:rsid w:val="000F55A1"/>
    <w:rsid w:val="000F55BA"/>
    <w:rsid w:val="000F55EC"/>
    <w:rsid w:val="000F5622"/>
    <w:rsid w:val="000F562F"/>
    <w:rsid w:val="000F5672"/>
    <w:rsid w:val="000F5673"/>
    <w:rsid w:val="000F5693"/>
    <w:rsid w:val="000F5758"/>
    <w:rsid w:val="000F581F"/>
    <w:rsid w:val="000F5904"/>
    <w:rsid w:val="000F5A2E"/>
    <w:rsid w:val="000F5A40"/>
    <w:rsid w:val="000F5A45"/>
    <w:rsid w:val="000F5A97"/>
    <w:rsid w:val="000F5AA5"/>
    <w:rsid w:val="000F5B63"/>
    <w:rsid w:val="000F5B9D"/>
    <w:rsid w:val="000F5C1E"/>
    <w:rsid w:val="000F5C3D"/>
    <w:rsid w:val="000F5C53"/>
    <w:rsid w:val="000F5C54"/>
    <w:rsid w:val="000F5C99"/>
    <w:rsid w:val="000F5CC7"/>
    <w:rsid w:val="000F5CD6"/>
    <w:rsid w:val="000F5D28"/>
    <w:rsid w:val="000F5D46"/>
    <w:rsid w:val="000F5D47"/>
    <w:rsid w:val="000F5D90"/>
    <w:rsid w:val="000F5D96"/>
    <w:rsid w:val="000F5DD5"/>
    <w:rsid w:val="000F5E8C"/>
    <w:rsid w:val="000F5F5F"/>
    <w:rsid w:val="000F6012"/>
    <w:rsid w:val="000F6026"/>
    <w:rsid w:val="000F603F"/>
    <w:rsid w:val="000F60C6"/>
    <w:rsid w:val="000F60CA"/>
    <w:rsid w:val="000F6131"/>
    <w:rsid w:val="000F6226"/>
    <w:rsid w:val="000F633E"/>
    <w:rsid w:val="000F63CF"/>
    <w:rsid w:val="000F63ED"/>
    <w:rsid w:val="000F642D"/>
    <w:rsid w:val="000F642E"/>
    <w:rsid w:val="000F6459"/>
    <w:rsid w:val="000F64A8"/>
    <w:rsid w:val="000F64E4"/>
    <w:rsid w:val="000F64F4"/>
    <w:rsid w:val="000F654F"/>
    <w:rsid w:val="000F65AB"/>
    <w:rsid w:val="000F6612"/>
    <w:rsid w:val="000F663B"/>
    <w:rsid w:val="000F664A"/>
    <w:rsid w:val="000F6654"/>
    <w:rsid w:val="000F66C4"/>
    <w:rsid w:val="000F673C"/>
    <w:rsid w:val="000F6793"/>
    <w:rsid w:val="000F67BF"/>
    <w:rsid w:val="000F6849"/>
    <w:rsid w:val="000F6867"/>
    <w:rsid w:val="000F68A4"/>
    <w:rsid w:val="000F68BF"/>
    <w:rsid w:val="000F68C7"/>
    <w:rsid w:val="000F68D0"/>
    <w:rsid w:val="000F696A"/>
    <w:rsid w:val="000F698E"/>
    <w:rsid w:val="000F69E7"/>
    <w:rsid w:val="000F69FA"/>
    <w:rsid w:val="000F6A12"/>
    <w:rsid w:val="000F6A36"/>
    <w:rsid w:val="000F6A3B"/>
    <w:rsid w:val="000F6A74"/>
    <w:rsid w:val="000F6AD2"/>
    <w:rsid w:val="000F6B62"/>
    <w:rsid w:val="000F6B97"/>
    <w:rsid w:val="000F6BC1"/>
    <w:rsid w:val="000F6BED"/>
    <w:rsid w:val="000F6C25"/>
    <w:rsid w:val="000F6C63"/>
    <w:rsid w:val="000F6CD8"/>
    <w:rsid w:val="000F6CF0"/>
    <w:rsid w:val="000F6D33"/>
    <w:rsid w:val="000F6D76"/>
    <w:rsid w:val="000F6DB0"/>
    <w:rsid w:val="000F6E1A"/>
    <w:rsid w:val="000F6E3B"/>
    <w:rsid w:val="000F6EF6"/>
    <w:rsid w:val="000F6F17"/>
    <w:rsid w:val="000F7021"/>
    <w:rsid w:val="000F702E"/>
    <w:rsid w:val="000F7033"/>
    <w:rsid w:val="000F705A"/>
    <w:rsid w:val="000F7077"/>
    <w:rsid w:val="000F7088"/>
    <w:rsid w:val="000F7093"/>
    <w:rsid w:val="000F70B9"/>
    <w:rsid w:val="000F712B"/>
    <w:rsid w:val="000F7147"/>
    <w:rsid w:val="000F71CA"/>
    <w:rsid w:val="000F728E"/>
    <w:rsid w:val="000F72A2"/>
    <w:rsid w:val="000F7303"/>
    <w:rsid w:val="000F738B"/>
    <w:rsid w:val="000F7392"/>
    <w:rsid w:val="000F7398"/>
    <w:rsid w:val="000F73CC"/>
    <w:rsid w:val="000F741B"/>
    <w:rsid w:val="000F742E"/>
    <w:rsid w:val="000F7431"/>
    <w:rsid w:val="000F7432"/>
    <w:rsid w:val="000F7479"/>
    <w:rsid w:val="000F74E3"/>
    <w:rsid w:val="000F750D"/>
    <w:rsid w:val="000F7563"/>
    <w:rsid w:val="000F75F6"/>
    <w:rsid w:val="000F764F"/>
    <w:rsid w:val="000F765C"/>
    <w:rsid w:val="000F7676"/>
    <w:rsid w:val="000F7678"/>
    <w:rsid w:val="000F7689"/>
    <w:rsid w:val="000F7749"/>
    <w:rsid w:val="000F7759"/>
    <w:rsid w:val="000F7773"/>
    <w:rsid w:val="000F77AC"/>
    <w:rsid w:val="000F7808"/>
    <w:rsid w:val="000F783C"/>
    <w:rsid w:val="000F7853"/>
    <w:rsid w:val="000F78E9"/>
    <w:rsid w:val="000F7A00"/>
    <w:rsid w:val="000F7A81"/>
    <w:rsid w:val="000F7B3F"/>
    <w:rsid w:val="000F7B8E"/>
    <w:rsid w:val="000F7BD4"/>
    <w:rsid w:val="000F7BD6"/>
    <w:rsid w:val="000F7C0F"/>
    <w:rsid w:val="000F7C33"/>
    <w:rsid w:val="000F7CBB"/>
    <w:rsid w:val="000F7CCF"/>
    <w:rsid w:val="000F7CE8"/>
    <w:rsid w:val="000F7D3E"/>
    <w:rsid w:val="000F7D41"/>
    <w:rsid w:val="000F7D9C"/>
    <w:rsid w:val="000F7DB2"/>
    <w:rsid w:val="000F7DEB"/>
    <w:rsid w:val="000F7E0F"/>
    <w:rsid w:val="000F7EBA"/>
    <w:rsid w:val="000F7ED9"/>
    <w:rsid w:val="000F7F10"/>
    <w:rsid w:val="000F7F5E"/>
    <w:rsid w:val="0010001C"/>
    <w:rsid w:val="00100077"/>
    <w:rsid w:val="00100163"/>
    <w:rsid w:val="0010016D"/>
    <w:rsid w:val="0010017E"/>
    <w:rsid w:val="0010017F"/>
    <w:rsid w:val="001001C4"/>
    <w:rsid w:val="001001E1"/>
    <w:rsid w:val="00100267"/>
    <w:rsid w:val="00100311"/>
    <w:rsid w:val="0010033A"/>
    <w:rsid w:val="00100371"/>
    <w:rsid w:val="001003D5"/>
    <w:rsid w:val="00100445"/>
    <w:rsid w:val="001005AA"/>
    <w:rsid w:val="00100604"/>
    <w:rsid w:val="0010061E"/>
    <w:rsid w:val="00100637"/>
    <w:rsid w:val="0010064A"/>
    <w:rsid w:val="00100671"/>
    <w:rsid w:val="00100700"/>
    <w:rsid w:val="00100731"/>
    <w:rsid w:val="00100733"/>
    <w:rsid w:val="001007B0"/>
    <w:rsid w:val="001007C0"/>
    <w:rsid w:val="00100806"/>
    <w:rsid w:val="00100822"/>
    <w:rsid w:val="0010082E"/>
    <w:rsid w:val="001008CF"/>
    <w:rsid w:val="001008DA"/>
    <w:rsid w:val="001009A0"/>
    <w:rsid w:val="001009C3"/>
    <w:rsid w:val="00100B01"/>
    <w:rsid w:val="00100B67"/>
    <w:rsid w:val="00100B85"/>
    <w:rsid w:val="00100B92"/>
    <w:rsid w:val="00100B9D"/>
    <w:rsid w:val="00100BFB"/>
    <w:rsid w:val="00100C95"/>
    <w:rsid w:val="00100D36"/>
    <w:rsid w:val="00100DA0"/>
    <w:rsid w:val="00100E4E"/>
    <w:rsid w:val="00100E6F"/>
    <w:rsid w:val="00100E71"/>
    <w:rsid w:val="00100E87"/>
    <w:rsid w:val="00100E9E"/>
    <w:rsid w:val="00100EDB"/>
    <w:rsid w:val="00100EEE"/>
    <w:rsid w:val="00100EF9"/>
    <w:rsid w:val="00100F60"/>
    <w:rsid w:val="00100F8B"/>
    <w:rsid w:val="00100FD9"/>
    <w:rsid w:val="00101012"/>
    <w:rsid w:val="0010101D"/>
    <w:rsid w:val="0010102F"/>
    <w:rsid w:val="001010B3"/>
    <w:rsid w:val="001010C7"/>
    <w:rsid w:val="001010EF"/>
    <w:rsid w:val="00101116"/>
    <w:rsid w:val="001011A6"/>
    <w:rsid w:val="001011B4"/>
    <w:rsid w:val="00101224"/>
    <w:rsid w:val="00101271"/>
    <w:rsid w:val="00101285"/>
    <w:rsid w:val="001012C4"/>
    <w:rsid w:val="00101382"/>
    <w:rsid w:val="00101389"/>
    <w:rsid w:val="0010147E"/>
    <w:rsid w:val="001014AE"/>
    <w:rsid w:val="001014E1"/>
    <w:rsid w:val="00101527"/>
    <w:rsid w:val="00101554"/>
    <w:rsid w:val="001015C7"/>
    <w:rsid w:val="001015DD"/>
    <w:rsid w:val="0010164A"/>
    <w:rsid w:val="00101703"/>
    <w:rsid w:val="0010171B"/>
    <w:rsid w:val="00101739"/>
    <w:rsid w:val="001017EA"/>
    <w:rsid w:val="00101806"/>
    <w:rsid w:val="00101876"/>
    <w:rsid w:val="00101892"/>
    <w:rsid w:val="001018BC"/>
    <w:rsid w:val="001018BE"/>
    <w:rsid w:val="001018CD"/>
    <w:rsid w:val="001018D8"/>
    <w:rsid w:val="001018EB"/>
    <w:rsid w:val="001018EE"/>
    <w:rsid w:val="001019C3"/>
    <w:rsid w:val="001019F9"/>
    <w:rsid w:val="00101A67"/>
    <w:rsid w:val="00101BEE"/>
    <w:rsid w:val="00101C21"/>
    <w:rsid w:val="00101C39"/>
    <w:rsid w:val="00101D3B"/>
    <w:rsid w:val="00101D5E"/>
    <w:rsid w:val="00101DB0"/>
    <w:rsid w:val="00101E27"/>
    <w:rsid w:val="00101E89"/>
    <w:rsid w:val="00101EFC"/>
    <w:rsid w:val="00101F1B"/>
    <w:rsid w:val="00101F8C"/>
    <w:rsid w:val="00101FBF"/>
    <w:rsid w:val="00101FE2"/>
    <w:rsid w:val="0010200B"/>
    <w:rsid w:val="0010205A"/>
    <w:rsid w:val="00102087"/>
    <w:rsid w:val="001020C6"/>
    <w:rsid w:val="001020DF"/>
    <w:rsid w:val="0010210F"/>
    <w:rsid w:val="00102145"/>
    <w:rsid w:val="00102155"/>
    <w:rsid w:val="0010218C"/>
    <w:rsid w:val="001021C8"/>
    <w:rsid w:val="00102248"/>
    <w:rsid w:val="001022A4"/>
    <w:rsid w:val="00102323"/>
    <w:rsid w:val="00102343"/>
    <w:rsid w:val="0010234E"/>
    <w:rsid w:val="0010237C"/>
    <w:rsid w:val="001023E6"/>
    <w:rsid w:val="00102439"/>
    <w:rsid w:val="00102475"/>
    <w:rsid w:val="00102486"/>
    <w:rsid w:val="00102517"/>
    <w:rsid w:val="00102622"/>
    <w:rsid w:val="00102626"/>
    <w:rsid w:val="001026E2"/>
    <w:rsid w:val="001026F2"/>
    <w:rsid w:val="001026F7"/>
    <w:rsid w:val="001027AA"/>
    <w:rsid w:val="001027AB"/>
    <w:rsid w:val="001027D6"/>
    <w:rsid w:val="001027D9"/>
    <w:rsid w:val="0010280D"/>
    <w:rsid w:val="0010299A"/>
    <w:rsid w:val="00102A26"/>
    <w:rsid w:val="00102A56"/>
    <w:rsid w:val="00102A69"/>
    <w:rsid w:val="00102A86"/>
    <w:rsid w:val="00102AFD"/>
    <w:rsid w:val="00102BCC"/>
    <w:rsid w:val="00102BE5"/>
    <w:rsid w:val="00102C40"/>
    <w:rsid w:val="00102C47"/>
    <w:rsid w:val="00102C90"/>
    <w:rsid w:val="00102C9F"/>
    <w:rsid w:val="00102CC0"/>
    <w:rsid w:val="00102CDA"/>
    <w:rsid w:val="00102CE8"/>
    <w:rsid w:val="00102D50"/>
    <w:rsid w:val="00102D73"/>
    <w:rsid w:val="00102D99"/>
    <w:rsid w:val="00102DB6"/>
    <w:rsid w:val="00102DC6"/>
    <w:rsid w:val="00102E50"/>
    <w:rsid w:val="00102F5F"/>
    <w:rsid w:val="00102F81"/>
    <w:rsid w:val="0010300E"/>
    <w:rsid w:val="00103025"/>
    <w:rsid w:val="0010306B"/>
    <w:rsid w:val="00103078"/>
    <w:rsid w:val="00103108"/>
    <w:rsid w:val="00103158"/>
    <w:rsid w:val="0010316B"/>
    <w:rsid w:val="0010317B"/>
    <w:rsid w:val="00103224"/>
    <w:rsid w:val="00103237"/>
    <w:rsid w:val="001032BC"/>
    <w:rsid w:val="001032D0"/>
    <w:rsid w:val="00103319"/>
    <w:rsid w:val="0010335F"/>
    <w:rsid w:val="001033B7"/>
    <w:rsid w:val="001033BB"/>
    <w:rsid w:val="001033BF"/>
    <w:rsid w:val="001033D7"/>
    <w:rsid w:val="0010342A"/>
    <w:rsid w:val="0010347C"/>
    <w:rsid w:val="00103482"/>
    <w:rsid w:val="001034DD"/>
    <w:rsid w:val="00103533"/>
    <w:rsid w:val="00103540"/>
    <w:rsid w:val="001035CE"/>
    <w:rsid w:val="0010360A"/>
    <w:rsid w:val="0010360D"/>
    <w:rsid w:val="00103692"/>
    <w:rsid w:val="001036B2"/>
    <w:rsid w:val="0010370D"/>
    <w:rsid w:val="00103724"/>
    <w:rsid w:val="001037AF"/>
    <w:rsid w:val="001037CE"/>
    <w:rsid w:val="001037EE"/>
    <w:rsid w:val="00103800"/>
    <w:rsid w:val="001038A0"/>
    <w:rsid w:val="001038E8"/>
    <w:rsid w:val="0010395C"/>
    <w:rsid w:val="0010398B"/>
    <w:rsid w:val="001039A5"/>
    <w:rsid w:val="00103AB6"/>
    <w:rsid w:val="00103AC6"/>
    <w:rsid w:val="00103AFE"/>
    <w:rsid w:val="00103B05"/>
    <w:rsid w:val="00103B6F"/>
    <w:rsid w:val="00103B8A"/>
    <w:rsid w:val="00103BD3"/>
    <w:rsid w:val="00103C11"/>
    <w:rsid w:val="00103C1B"/>
    <w:rsid w:val="00103C3D"/>
    <w:rsid w:val="00103C3E"/>
    <w:rsid w:val="00103C46"/>
    <w:rsid w:val="00103C7E"/>
    <w:rsid w:val="00103C82"/>
    <w:rsid w:val="00103C94"/>
    <w:rsid w:val="00103C97"/>
    <w:rsid w:val="00103CB2"/>
    <w:rsid w:val="00103CFA"/>
    <w:rsid w:val="00103D53"/>
    <w:rsid w:val="00103D76"/>
    <w:rsid w:val="00103D9F"/>
    <w:rsid w:val="00103DE9"/>
    <w:rsid w:val="00103E04"/>
    <w:rsid w:val="00103E37"/>
    <w:rsid w:val="00103E54"/>
    <w:rsid w:val="00103E68"/>
    <w:rsid w:val="00103E89"/>
    <w:rsid w:val="00103E99"/>
    <w:rsid w:val="00103F01"/>
    <w:rsid w:val="00103F98"/>
    <w:rsid w:val="00103FAB"/>
    <w:rsid w:val="00103FB4"/>
    <w:rsid w:val="00103FDF"/>
    <w:rsid w:val="00104030"/>
    <w:rsid w:val="00104063"/>
    <w:rsid w:val="00104096"/>
    <w:rsid w:val="001040A1"/>
    <w:rsid w:val="00104190"/>
    <w:rsid w:val="00104221"/>
    <w:rsid w:val="00104299"/>
    <w:rsid w:val="001042D5"/>
    <w:rsid w:val="00104348"/>
    <w:rsid w:val="00104361"/>
    <w:rsid w:val="00104406"/>
    <w:rsid w:val="00104435"/>
    <w:rsid w:val="00104438"/>
    <w:rsid w:val="001044BF"/>
    <w:rsid w:val="001044D6"/>
    <w:rsid w:val="0010453B"/>
    <w:rsid w:val="0010454E"/>
    <w:rsid w:val="0010456D"/>
    <w:rsid w:val="001045D3"/>
    <w:rsid w:val="00104638"/>
    <w:rsid w:val="0010465E"/>
    <w:rsid w:val="0010467F"/>
    <w:rsid w:val="001047D1"/>
    <w:rsid w:val="001047D7"/>
    <w:rsid w:val="00104856"/>
    <w:rsid w:val="00104895"/>
    <w:rsid w:val="001048CC"/>
    <w:rsid w:val="00104901"/>
    <w:rsid w:val="00104991"/>
    <w:rsid w:val="001049FE"/>
    <w:rsid w:val="00104A12"/>
    <w:rsid w:val="00104A30"/>
    <w:rsid w:val="00104A32"/>
    <w:rsid w:val="00104A5E"/>
    <w:rsid w:val="00104AD7"/>
    <w:rsid w:val="00104B12"/>
    <w:rsid w:val="00104B28"/>
    <w:rsid w:val="00104B9D"/>
    <w:rsid w:val="00104BC1"/>
    <w:rsid w:val="00104BD1"/>
    <w:rsid w:val="00104C2D"/>
    <w:rsid w:val="00104C98"/>
    <w:rsid w:val="00104CD5"/>
    <w:rsid w:val="00104CDB"/>
    <w:rsid w:val="00104D11"/>
    <w:rsid w:val="00104D3B"/>
    <w:rsid w:val="00104D45"/>
    <w:rsid w:val="00104D57"/>
    <w:rsid w:val="00104D89"/>
    <w:rsid w:val="00104D98"/>
    <w:rsid w:val="00104DD0"/>
    <w:rsid w:val="00104E01"/>
    <w:rsid w:val="00104E08"/>
    <w:rsid w:val="00104E8B"/>
    <w:rsid w:val="00104E96"/>
    <w:rsid w:val="00104EDB"/>
    <w:rsid w:val="00104EEB"/>
    <w:rsid w:val="00104F01"/>
    <w:rsid w:val="00104F16"/>
    <w:rsid w:val="00104F9F"/>
    <w:rsid w:val="00105035"/>
    <w:rsid w:val="0010512B"/>
    <w:rsid w:val="00105159"/>
    <w:rsid w:val="0010515D"/>
    <w:rsid w:val="00105163"/>
    <w:rsid w:val="0010516A"/>
    <w:rsid w:val="001051DA"/>
    <w:rsid w:val="00105213"/>
    <w:rsid w:val="00105245"/>
    <w:rsid w:val="001052CF"/>
    <w:rsid w:val="001052DD"/>
    <w:rsid w:val="001052EE"/>
    <w:rsid w:val="001052FB"/>
    <w:rsid w:val="00105397"/>
    <w:rsid w:val="001053BD"/>
    <w:rsid w:val="001054C1"/>
    <w:rsid w:val="001054CD"/>
    <w:rsid w:val="00105505"/>
    <w:rsid w:val="0010553C"/>
    <w:rsid w:val="0010553E"/>
    <w:rsid w:val="00105554"/>
    <w:rsid w:val="00105577"/>
    <w:rsid w:val="001055BA"/>
    <w:rsid w:val="001055DE"/>
    <w:rsid w:val="00105645"/>
    <w:rsid w:val="00105676"/>
    <w:rsid w:val="001057C2"/>
    <w:rsid w:val="00105818"/>
    <w:rsid w:val="00105839"/>
    <w:rsid w:val="0010583C"/>
    <w:rsid w:val="00105841"/>
    <w:rsid w:val="00105858"/>
    <w:rsid w:val="00105859"/>
    <w:rsid w:val="001058E8"/>
    <w:rsid w:val="001058FD"/>
    <w:rsid w:val="00105916"/>
    <w:rsid w:val="00105932"/>
    <w:rsid w:val="0010593D"/>
    <w:rsid w:val="00105962"/>
    <w:rsid w:val="00105988"/>
    <w:rsid w:val="00105A14"/>
    <w:rsid w:val="00105A4A"/>
    <w:rsid w:val="00105AB0"/>
    <w:rsid w:val="00105ACC"/>
    <w:rsid w:val="00105B13"/>
    <w:rsid w:val="00105B36"/>
    <w:rsid w:val="00105B6E"/>
    <w:rsid w:val="00105BCD"/>
    <w:rsid w:val="00105C70"/>
    <w:rsid w:val="00105C7D"/>
    <w:rsid w:val="00105C9E"/>
    <w:rsid w:val="00105CB7"/>
    <w:rsid w:val="00105CD3"/>
    <w:rsid w:val="00105D0B"/>
    <w:rsid w:val="00105D56"/>
    <w:rsid w:val="00105D67"/>
    <w:rsid w:val="00105E18"/>
    <w:rsid w:val="00105E37"/>
    <w:rsid w:val="00105E83"/>
    <w:rsid w:val="00105F3A"/>
    <w:rsid w:val="00105F8F"/>
    <w:rsid w:val="00105FD1"/>
    <w:rsid w:val="0010613C"/>
    <w:rsid w:val="0010617B"/>
    <w:rsid w:val="0010618A"/>
    <w:rsid w:val="001061DC"/>
    <w:rsid w:val="001061F1"/>
    <w:rsid w:val="001062F1"/>
    <w:rsid w:val="0010636D"/>
    <w:rsid w:val="00106484"/>
    <w:rsid w:val="00106486"/>
    <w:rsid w:val="001064C2"/>
    <w:rsid w:val="001064D7"/>
    <w:rsid w:val="0010656B"/>
    <w:rsid w:val="00106593"/>
    <w:rsid w:val="001065B3"/>
    <w:rsid w:val="001066CE"/>
    <w:rsid w:val="00106726"/>
    <w:rsid w:val="0010676E"/>
    <w:rsid w:val="001067DB"/>
    <w:rsid w:val="00106901"/>
    <w:rsid w:val="00106987"/>
    <w:rsid w:val="00106A1E"/>
    <w:rsid w:val="00106A24"/>
    <w:rsid w:val="00106A84"/>
    <w:rsid w:val="00106B2B"/>
    <w:rsid w:val="00106B54"/>
    <w:rsid w:val="00106B66"/>
    <w:rsid w:val="00106B92"/>
    <w:rsid w:val="00106BB1"/>
    <w:rsid w:val="00106BC0"/>
    <w:rsid w:val="00106C3E"/>
    <w:rsid w:val="00106C5A"/>
    <w:rsid w:val="00106E06"/>
    <w:rsid w:val="00106E23"/>
    <w:rsid w:val="00106E46"/>
    <w:rsid w:val="00106E6D"/>
    <w:rsid w:val="00106E83"/>
    <w:rsid w:val="00106E94"/>
    <w:rsid w:val="00106F09"/>
    <w:rsid w:val="00106F48"/>
    <w:rsid w:val="00106FBF"/>
    <w:rsid w:val="00107020"/>
    <w:rsid w:val="0010707A"/>
    <w:rsid w:val="00107089"/>
    <w:rsid w:val="001070DA"/>
    <w:rsid w:val="0010710C"/>
    <w:rsid w:val="0010712E"/>
    <w:rsid w:val="001071A1"/>
    <w:rsid w:val="001071AD"/>
    <w:rsid w:val="001071C6"/>
    <w:rsid w:val="0010721D"/>
    <w:rsid w:val="0010723E"/>
    <w:rsid w:val="0010725F"/>
    <w:rsid w:val="00107264"/>
    <w:rsid w:val="001072BB"/>
    <w:rsid w:val="001072C5"/>
    <w:rsid w:val="001072D6"/>
    <w:rsid w:val="00107303"/>
    <w:rsid w:val="00107393"/>
    <w:rsid w:val="001073B4"/>
    <w:rsid w:val="001074CF"/>
    <w:rsid w:val="001074EB"/>
    <w:rsid w:val="00107514"/>
    <w:rsid w:val="00107670"/>
    <w:rsid w:val="00107759"/>
    <w:rsid w:val="001077BE"/>
    <w:rsid w:val="001077D9"/>
    <w:rsid w:val="00107836"/>
    <w:rsid w:val="00107887"/>
    <w:rsid w:val="00107897"/>
    <w:rsid w:val="001078B9"/>
    <w:rsid w:val="001078F1"/>
    <w:rsid w:val="001078F6"/>
    <w:rsid w:val="0010790D"/>
    <w:rsid w:val="00107963"/>
    <w:rsid w:val="00107A32"/>
    <w:rsid w:val="00107A7D"/>
    <w:rsid w:val="00107A92"/>
    <w:rsid w:val="00107AAB"/>
    <w:rsid w:val="00107AC2"/>
    <w:rsid w:val="00107ADE"/>
    <w:rsid w:val="00107B2F"/>
    <w:rsid w:val="00107B7E"/>
    <w:rsid w:val="00107BB6"/>
    <w:rsid w:val="00107BBB"/>
    <w:rsid w:val="00107C31"/>
    <w:rsid w:val="00107CAC"/>
    <w:rsid w:val="00107CC4"/>
    <w:rsid w:val="00107D1E"/>
    <w:rsid w:val="00107D5F"/>
    <w:rsid w:val="00107D78"/>
    <w:rsid w:val="00107DB9"/>
    <w:rsid w:val="00107E30"/>
    <w:rsid w:val="00107E88"/>
    <w:rsid w:val="00107E95"/>
    <w:rsid w:val="00107F35"/>
    <w:rsid w:val="00107F62"/>
    <w:rsid w:val="00107FC7"/>
    <w:rsid w:val="00110057"/>
    <w:rsid w:val="00110062"/>
    <w:rsid w:val="00110089"/>
    <w:rsid w:val="001100C1"/>
    <w:rsid w:val="001100F1"/>
    <w:rsid w:val="0011015C"/>
    <w:rsid w:val="00110162"/>
    <w:rsid w:val="001101A0"/>
    <w:rsid w:val="00110200"/>
    <w:rsid w:val="0011022F"/>
    <w:rsid w:val="00110270"/>
    <w:rsid w:val="00110297"/>
    <w:rsid w:val="001102C8"/>
    <w:rsid w:val="0011034F"/>
    <w:rsid w:val="001103BC"/>
    <w:rsid w:val="00110406"/>
    <w:rsid w:val="00110433"/>
    <w:rsid w:val="0011043B"/>
    <w:rsid w:val="00110456"/>
    <w:rsid w:val="00110476"/>
    <w:rsid w:val="0011047D"/>
    <w:rsid w:val="00110487"/>
    <w:rsid w:val="0011049D"/>
    <w:rsid w:val="001104D3"/>
    <w:rsid w:val="00110530"/>
    <w:rsid w:val="00110553"/>
    <w:rsid w:val="001105CA"/>
    <w:rsid w:val="00110638"/>
    <w:rsid w:val="0011064E"/>
    <w:rsid w:val="0011065C"/>
    <w:rsid w:val="00110676"/>
    <w:rsid w:val="0011067B"/>
    <w:rsid w:val="001106B4"/>
    <w:rsid w:val="001106E2"/>
    <w:rsid w:val="00110707"/>
    <w:rsid w:val="00110714"/>
    <w:rsid w:val="001107FF"/>
    <w:rsid w:val="001108D0"/>
    <w:rsid w:val="00110911"/>
    <w:rsid w:val="00110997"/>
    <w:rsid w:val="0011099B"/>
    <w:rsid w:val="001109EE"/>
    <w:rsid w:val="00110A8D"/>
    <w:rsid w:val="00110B2C"/>
    <w:rsid w:val="00110B87"/>
    <w:rsid w:val="00110BBC"/>
    <w:rsid w:val="00110BF0"/>
    <w:rsid w:val="00110C42"/>
    <w:rsid w:val="00110D33"/>
    <w:rsid w:val="00110D71"/>
    <w:rsid w:val="00110DA4"/>
    <w:rsid w:val="00110DBC"/>
    <w:rsid w:val="00110E6D"/>
    <w:rsid w:val="00110EAF"/>
    <w:rsid w:val="00110EB0"/>
    <w:rsid w:val="00110FE5"/>
    <w:rsid w:val="0011108C"/>
    <w:rsid w:val="0011109A"/>
    <w:rsid w:val="00111104"/>
    <w:rsid w:val="00111156"/>
    <w:rsid w:val="001111E7"/>
    <w:rsid w:val="00111229"/>
    <w:rsid w:val="00111277"/>
    <w:rsid w:val="001112A0"/>
    <w:rsid w:val="001112F7"/>
    <w:rsid w:val="00111322"/>
    <w:rsid w:val="00111368"/>
    <w:rsid w:val="0011138B"/>
    <w:rsid w:val="001113B2"/>
    <w:rsid w:val="001113DF"/>
    <w:rsid w:val="0011140D"/>
    <w:rsid w:val="00111411"/>
    <w:rsid w:val="00111418"/>
    <w:rsid w:val="0011146F"/>
    <w:rsid w:val="001114B6"/>
    <w:rsid w:val="001114BD"/>
    <w:rsid w:val="001114DB"/>
    <w:rsid w:val="00111532"/>
    <w:rsid w:val="0011155C"/>
    <w:rsid w:val="00111582"/>
    <w:rsid w:val="001115BE"/>
    <w:rsid w:val="00111634"/>
    <w:rsid w:val="0011166C"/>
    <w:rsid w:val="00111683"/>
    <w:rsid w:val="0011175C"/>
    <w:rsid w:val="00111784"/>
    <w:rsid w:val="0011179D"/>
    <w:rsid w:val="0011179E"/>
    <w:rsid w:val="001117DD"/>
    <w:rsid w:val="001118EC"/>
    <w:rsid w:val="001118FE"/>
    <w:rsid w:val="00111979"/>
    <w:rsid w:val="001119BF"/>
    <w:rsid w:val="001119EE"/>
    <w:rsid w:val="00111A47"/>
    <w:rsid w:val="00111A4C"/>
    <w:rsid w:val="00111A53"/>
    <w:rsid w:val="00111A94"/>
    <w:rsid w:val="00111ADB"/>
    <w:rsid w:val="00111AE6"/>
    <w:rsid w:val="00111AE8"/>
    <w:rsid w:val="00111B6F"/>
    <w:rsid w:val="00111B7F"/>
    <w:rsid w:val="00111C07"/>
    <w:rsid w:val="00111C70"/>
    <w:rsid w:val="00111CD8"/>
    <w:rsid w:val="00111CF1"/>
    <w:rsid w:val="00111CFF"/>
    <w:rsid w:val="00111D22"/>
    <w:rsid w:val="00111D50"/>
    <w:rsid w:val="00111DD8"/>
    <w:rsid w:val="00111E06"/>
    <w:rsid w:val="00111E2E"/>
    <w:rsid w:val="00111E51"/>
    <w:rsid w:val="00111E5F"/>
    <w:rsid w:val="00111E63"/>
    <w:rsid w:val="00111E85"/>
    <w:rsid w:val="00111E94"/>
    <w:rsid w:val="00111F72"/>
    <w:rsid w:val="00111F8F"/>
    <w:rsid w:val="00111F99"/>
    <w:rsid w:val="00111FF8"/>
    <w:rsid w:val="0011201B"/>
    <w:rsid w:val="0011202B"/>
    <w:rsid w:val="0011204C"/>
    <w:rsid w:val="001120BE"/>
    <w:rsid w:val="001120C0"/>
    <w:rsid w:val="001120D3"/>
    <w:rsid w:val="001120E1"/>
    <w:rsid w:val="00112173"/>
    <w:rsid w:val="00112228"/>
    <w:rsid w:val="001122CB"/>
    <w:rsid w:val="001122FB"/>
    <w:rsid w:val="00112376"/>
    <w:rsid w:val="0011237F"/>
    <w:rsid w:val="001123B3"/>
    <w:rsid w:val="001123B7"/>
    <w:rsid w:val="00112433"/>
    <w:rsid w:val="00112523"/>
    <w:rsid w:val="0011259C"/>
    <w:rsid w:val="0011260F"/>
    <w:rsid w:val="00112613"/>
    <w:rsid w:val="00112704"/>
    <w:rsid w:val="00112761"/>
    <w:rsid w:val="001127B3"/>
    <w:rsid w:val="001127F2"/>
    <w:rsid w:val="00112813"/>
    <w:rsid w:val="00112855"/>
    <w:rsid w:val="00112879"/>
    <w:rsid w:val="001128B1"/>
    <w:rsid w:val="00112991"/>
    <w:rsid w:val="00112A93"/>
    <w:rsid w:val="00112A9F"/>
    <w:rsid w:val="00112AEA"/>
    <w:rsid w:val="00112B3C"/>
    <w:rsid w:val="00112B99"/>
    <w:rsid w:val="00112BAE"/>
    <w:rsid w:val="00112C6D"/>
    <w:rsid w:val="00112CAB"/>
    <w:rsid w:val="00112CE5"/>
    <w:rsid w:val="00112D38"/>
    <w:rsid w:val="00112D9C"/>
    <w:rsid w:val="00112DE3"/>
    <w:rsid w:val="00112E6C"/>
    <w:rsid w:val="00112E7B"/>
    <w:rsid w:val="00112ECB"/>
    <w:rsid w:val="00112F5B"/>
    <w:rsid w:val="00112FC9"/>
    <w:rsid w:val="00112FEB"/>
    <w:rsid w:val="0011302B"/>
    <w:rsid w:val="0011303B"/>
    <w:rsid w:val="001130AB"/>
    <w:rsid w:val="001130C9"/>
    <w:rsid w:val="00113107"/>
    <w:rsid w:val="00113123"/>
    <w:rsid w:val="00113185"/>
    <w:rsid w:val="0011319F"/>
    <w:rsid w:val="001132BD"/>
    <w:rsid w:val="001133D9"/>
    <w:rsid w:val="00113422"/>
    <w:rsid w:val="0011345B"/>
    <w:rsid w:val="0011349A"/>
    <w:rsid w:val="001134BA"/>
    <w:rsid w:val="0011359B"/>
    <w:rsid w:val="0011359F"/>
    <w:rsid w:val="001135B3"/>
    <w:rsid w:val="00113690"/>
    <w:rsid w:val="00113692"/>
    <w:rsid w:val="00113729"/>
    <w:rsid w:val="00113740"/>
    <w:rsid w:val="0011376F"/>
    <w:rsid w:val="00113789"/>
    <w:rsid w:val="00113794"/>
    <w:rsid w:val="001137FC"/>
    <w:rsid w:val="00113873"/>
    <w:rsid w:val="001138B2"/>
    <w:rsid w:val="001138ED"/>
    <w:rsid w:val="001138EE"/>
    <w:rsid w:val="001139DD"/>
    <w:rsid w:val="00113A22"/>
    <w:rsid w:val="00113A27"/>
    <w:rsid w:val="00113A2A"/>
    <w:rsid w:val="00113AEC"/>
    <w:rsid w:val="00113B53"/>
    <w:rsid w:val="00113B63"/>
    <w:rsid w:val="00113B7E"/>
    <w:rsid w:val="00113B8D"/>
    <w:rsid w:val="00113C5B"/>
    <w:rsid w:val="00113CAE"/>
    <w:rsid w:val="00113CAF"/>
    <w:rsid w:val="00113CFF"/>
    <w:rsid w:val="00113D60"/>
    <w:rsid w:val="00113D65"/>
    <w:rsid w:val="00113E37"/>
    <w:rsid w:val="00113EC9"/>
    <w:rsid w:val="00113ED9"/>
    <w:rsid w:val="00113EE3"/>
    <w:rsid w:val="00113FB8"/>
    <w:rsid w:val="00113FC7"/>
    <w:rsid w:val="00114039"/>
    <w:rsid w:val="00114054"/>
    <w:rsid w:val="001140B1"/>
    <w:rsid w:val="001140B5"/>
    <w:rsid w:val="001140E9"/>
    <w:rsid w:val="00114108"/>
    <w:rsid w:val="0011416B"/>
    <w:rsid w:val="001141B3"/>
    <w:rsid w:val="001141BB"/>
    <w:rsid w:val="001141E2"/>
    <w:rsid w:val="00114220"/>
    <w:rsid w:val="001142D2"/>
    <w:rsid w:val="001142D4"/>
    <w:rsid w:val="0011439C"/>
    <w:rsid w:val="0011441C"/>
    <w:rsid w:val="00114430"/>
    <w:rsid w:val="001144ED"/>
    <w:rsid w:val="0011450A"/>
    <w:rsid w:val="0011452B"/>
    <w:rsid w:val="00114544"/>
    <w:rsid w:val="0011456A"/>
    <w:rsid w:val="001145F0"/>
    <w:rsid w:val="001145F6"/>
    <w:rsid w:val="0011462D"/>
    <w:rsid w:val="0011465C"/>
    <w:rsid w:val="0011468D"/>
    <w:rsid w:val="0011468F"/>
    <w:rsid w:val="001146D4"/>
    <w:rsid w:val="001146DC"/>
    <w:rsid w:val="0011475C"/>
    <w:rsid w:val="001147A0"/>
    <w:rsid w:val="001147B4"/>
    <w:rsid w:val="001147F0"/>
    <w:rsid w:val="00114813"/>
    <w:rsid w:val="0011484A"/>
    <w:rsid w:val="0011487A"/>
    <w:rsid w:val="00114897"/>
    <w:rsid w:val="001148C7"/>
    <w:rsid w:val="001148E8"/>
    <w:rsid w:val="0011494D"/>
    <w:rsid w:val="00114968"/>
    <w:rsid w:val="001149E0"/>
    <w:rsid w:val="00114A3F"/>
    <w:rsid w:val="00114A51"/>
    <w:rsid w:val="00114AC1"/>
    <w:rsid w:val="00114AE3"/>
    <w:rsid w:val="00114AF2"/>
    <w:rsid w:val="00114B59"/>
    <w:rsid w:val="00114BBF"/>
    <w:rsid w:val="00114BC2"/>
    <w:rsid w:val="00114BE3"/>
    <w:rsid w:val="00114C1F"/>
    <w:rsid w:val="00114C41"/>
    <w:rsid w:val="00114C7E"/>
    <w:rsid w:val="00114D54"/>
    <w:rsid w:val="00114D72"/>
    <w:rsid w:val="00114DB0"/>
    <w:rsid w:val="00114E5C"/>
    <w:rsid w:val="00114E5F"/>
    <w:rsid w:val="00114F65"/>
    <w:rsid w:val="0011504F"/>
    <w:rsid w:val="00115059"/>
    <w:rsid w:val="00115093"/>
    <w:rsid w:val="001150A5"/>
    <w:rsid w:val="001150C4"/>
    <w:rsid w:val="00115163"/>
    <w:rsid w:val="0011516A"/>
    <w:rsid w:val="00115174"/>
    <w:rsid w:val="001151A6"/>
    <w:rsid w:val="001151D4"/>
    <w:rsid w:val="001151D5"/>
    <w:rsid w:val="00115260"/>
    <w:rsid w:val="0011527D"/>
    <w:rsid w:val="001152BC"/>
    <w:rsid w:val="001152FB"/>
    <w:rsid w:val="00115320"/>
    <w:rsid w:val="0011532D"/>
    <w:rsid w:val="0011535F"/>
    <w:rsid w:val="00115390"/>
    <w:rsid w:val="00115440"/>
    <w:rsid w:val="00115445"/>
    <w:rsid w:val="00115455"/>
    <w:rsid w:val="001154CA"/>
    <w:rsid w:val="001154E8"/>
    <w:rsid w:val="001154F6"/>
    <w:rsid w:val="00115508"/>
    <w:rsid w:val="0011557A"/>
    <w:rsid w:val="001155A7"/>
    <w:rsid w:val="001155B9"/>
    <w:rsid w:val="001155C8"/>
    <w:rsid w:val="00115622"/>
    <w:rsid w:val="00115682"/>
    <w:rsid w:val="0011568D"/>
    <w:rsid w:val="001156A9"/>
    <w:rsid w:val="001156AA"/>
    <w:rsid w:val="0011571A"/>
    <w:rsid w:val="00115724"/>
    <w:rsid w:val="00115748"/>
    <w:rsid w:val="0011575B"/>
    <w:rsid w:val="00115762"/>
    <w:rsid w:val="0011578D"/>
    <w:rsid w:val="001157B1"/>
    <w:rsid w:val="001157FF"/>
    <w:rsid w:val="00115853"/>
    <w:rsid w:val="00115860"/>
    <w:rsid w:val="00115881"/>
    <w:rsid w:val="001158CC"/>
    <w:rsid w:val="001158CF"/>
    <w:rsid w:val="001158F7"/>
    <w:rsid w:val="0011594A"/>
    <w:rsid w:val="0011594F"/>
    <w:rsid w:val="001159B7"/>
    <w:rsid w:val="001159C1"/>
    <w:rsid w:val="00115A42"/>
    <w:rsid w:val="00115A9B"/>
    <w:rsid w:val="00115AB5"/>
    <w:rsid w:val="00115AB7"/>
    <w:rsid w:val="00115AD1"/>
    <w:rsid w:val="00115B1E"/>
    <w:rsid w:val="00115B82"/>
    <w:rsid w:val="00115BF7"/>
    <w:rsid w:val="00115C02"/>
    <w:rsid w:val="00115C30"/>
    <w:rsid w:val="00115C72"/>
    <w:rsid w:val="00115C94"/>
    <w:rsid w:val="00115CAE"/>
    <w:rsid w:val="00115CE4"/>
    <w:rsid w:val="00115CF2"/>
    <w:rsid w:val="00115D38"/>
    <w:rsid w:val="00115D39"/>
    <w:rsid w:val="00115D89"/>
    <w:rsid w:val="00115D8A"/>
    <w:rsid w:val="00115DA8"/>
    <w:rsid w:val="00115F4E"/>
    <w:rsid w:val="00115FBF"/>
    <w:rsid w:val="00115FED"/>
    <w:rsid w:val="00116079"/>
    <w:rsid w:val="00116146"/>
    <w:rsid w:val="00116172"/>
    <w:rsid w:val="0011618B"/>
    <w:rsid w:val="001161D2"/>
    <w:rsid w:val="00116219"/>
    <w:rsid w:val="0011622F"/>
    <w:rsid w:val="0011624F"/>
    <w:rsid w:val="0011626C"/>
    <w:rsid w:val="00116278"/>
    <w:rsid w:val="001162B1"/>
    <w:rsid w:val="0011631E"/>
    <w:rsid w:val="0011635F"/>
    <w:rsid w:val="0011647A"/>
    <w:rsid w:val="00116495"/>
    <w:rsid w:val="001164ED"/>
    <w:rsid w:val="001164F4"/>
    <w:rsid w:val="0011656E"/>
    <w:rsid w:val="00116589"/>
    <w:rsid w:val="001165F6"/>
    <w:rsid w:val="001165FB"/>
    <w:rsid w:val="0011663B"/>
    <w:rsid w:val="0011668F"/>
    <w:rsid w:val="001166A4"/>
    <w:rsid w:val="001166B3"/>
    <w:rsid w:val="001166B4"/>
    <w:rsid w:val="00116710"/>
    <w:rsid w:val="0011681F"/>
    <w:rsid w:val="00116860"/>
    <w:rsid w:val="00116885"/>
    <w:rsid w:val="0011694E"/>
    <w:rsid w:val="00116995"/>
    <w:rsid w:val="001169A5"/>
    <w:rsid w:val="001169F5"/>
    <w:rsid w:val="00116A07"/>
    <w:rsid w:val="00116A97"/>
    <w:rsid w:val="00116AE9"/>
    <w:rsid w:val="00116B40"/>
    <w:rsid w:val="00116C50"/>
    <w:rsid w:val="00116C53"/>
    <w:rsid w:val="00116C5D"/>
    <w:rsid w:val="00116CDC"/>
    <w:rsid w:val="00116DC5"/>
    <w:rsid w:val="00116DFE"/>
    <w:rsid w:val="00116E44"/>
    <w:rsid w:val="00116E4E"/>
    <w:rsid w:val="00116E5E"/>
    <w:rsid w:val="00116E7E"/>
    <w:rsid w:val="00116E82"/>
    <w:rsid w:val="00116EC6"/>
    <w:rsid w:val="00116EEA"/>
    <w:rsid w:val="00116F3B"/>
    <w:rsid w:val="00116F83"/>
    <w:rsid w:val="00116F90"/>
    <w:rsid w:val="00116F9D"/>
    <w:rsid w:val="00116FAE"/>
    <w:rsid w:val="0011700B"/>
    <w:rsid w:val="001170D5"/>
    <w:rsid w:val="00117131"/>
    <w:rsid w:val="00117196"/>
    <w:rsid w:val="0011719E"/>
    <w:rsid w:val="001171CE"/>
    <w:rsid w:val="001171E3"/>
    <w:rsid w:val="001171E8"/>
    <w:rsid w:val="00117307"/>
    <w:rsid w:val="0011737D"/>
    <w:rsid w:val="001173E1"/>
    <w:rsid w:val="00117412"/>
    <w:rsid w:val="00117444"/>
    <w:rsid w:val="001174B5"/>
    <w:rsid w:val="001174CF"/>
    <w:rsid w:val="001174FF"/>
    <w:rsid w:val="00117542"/>
    <w:rsid w:val="0011759E"/>
    <w:rsid w:val="001175BD"/>
    <w:rsid w:val="00117613"/>
    <w:rsid w:val="001176D3"/>
    <w:rsid w:val="001176E1"/>
    <w:rsid w:val="0011770D"/>
    <w:rsid w:val="0011773E"/>
    <w:rsid w:val="00117777"/>
    <w:rsid w:val="001177B9"/>
    <w:rsid w:val="001177D2"/>
    <w:rsid w:val="001177DC"/>
    <w:rsid w:val="0011788A"/>
    <w:rsid w:val="0011788C"/>
    <w:rsid w:val="001178CD"/>
    <w:rsid w:val="0011790F"/>
    <w:rsid w:val="0011791F"/>
    <w:rsid w:val="00117963"/>
    <w:rsid w:val="00117994"/>
    <w:rsid w:val="001179F8"/>
    <w:rsid w:val="001179FA"/>
    <w:rsid w:val="00117A00"/>
    <w:rsid w:val="00117A5E"/>
    <w:rsid w:val="00117A7C"/>
    <w:rsid w:val="00117ADB"/>
    <w:rsid w:val="00117B49"/>
    <w:rsid w:val="00117B55"/>
    <w:rsid w:val="00117B6A"/>
    <w:rsid w:val="00117B93"/>
    <w:rsid w:val="00117C05"/>
    <w:rsid w:val="00117D40"/>
    <w:rsid w:val="00117D52"/>
    <w:rsid w:val="00117E25"/>
    <w:rsid w:val="00117E37"/>
    <w:rsid w:val="00117E75"/>
    <w:rsid w:val="00117F59"/>
    <w:rsid w:val="00117FA6"/>
    <w:rsid w:val="00117FB3"/>
    <w:rsid w:val="00117FEF"/>
    <w:rsid w:val="00120000"/>
    <w:rsid w:val="001200AF"/>
    <w:rsid w:val="001200E1"/>
    <w:rsid w:val="001201B0"/>
    <w:rsid w:val="001201F7"/>
    <w:rsid w:val="00120215"/>
    <w:rsid w:val="0012021B"/>
    <w:rsid w:val="00120244"/>
    <w:rsid w:val="001202B1"/>
    <w:rsid w:val="001202D8"/>
    <w:rsid w:val="0012035B"/>
    <w:rsid w:val="0012036F"/>
    <w:rsid w:val="0012040B"/>
    <w:rsid w:val="0012040F"/>
    <w:rsid w:val="00120449"/>
    <w:rsid w:val="001204A7"/>
    <w:rsid w:val="001204C5"/>
    <w:rsid w:val="00120578"/>
    <w:rsid w:val="001205A8"/>
    <w:rsid w:val="001205D0"/>
    <w:rsid w:val="001205E3"/>
    <w:rsid w:val="00120601"/>
    <w:rsid w:val="00120648"/>
    <w:rsid w:val="00120681"/>
    <w:rsid w:val="00120693"/>
    <w:rsid w:val="001206E3"/>
    <w:rsid w:val="00120747"/>
    <w:rsid w:val="00120758"/>
    <w:rsid w:val="00120759"/>
    <w:rsid w:val="00120764"/>
    <w:rsid w:val="0012077E"/>
    <w:rsid w:val="001207C0"/>
    <w:rsid w:val="00120885"/>
    <w:rsid w:val="00120911"/>
    <w:rsid w:val="001209EA"/>
    <w:rsid w:val="00120A73"/>
    <w:rsid w:val="00120A9E"/>
    <w:rsid w:val="00120AD9"/>
    <w:rsid w:val="00120AFC"/>
    <w:rsid w:val="00120B35"/>
    <w:rsid w:val="00120C3F"/>
    <w:rsid w:val="00120C7B"/>
    <w:rsid w:val="00120C88"/>
    <w:rsid w:val="00120CDA"/>
    <w:rsid w:val="00120D2D"/>
    <w:rsid w:val="00120D54"/>
    <w:rsid w:val="00120D9B"/>
    <w:rsid w:val="00120DEE"/>
    <w:rsid w:val="00120E02"/>
    <w:rsid w:val="00120E5C"/>
    <w:rsid w:val="00120EE6"/>
    <w:rsid w:val="00120EF4"/>
    <w:rsid w:val="00120EF7"/>
    <w:rsid w:val="00120EFE"/>
    <w:rsid w:val="00120FB0"/>
    <w:rsid w:val="00120FCB"/>
    <w:rsid w:val="00120FDA"/>
    <w:rsid w:val="00121007"/>
    <w:rsid w:val="00121020"/>
    <w:rsid w:val="00121085"/>
    <w:rsid w:val="001210B8"/>
    <w:rsid w:val="001210D2"/>
    <w:rsid w:val="00121109"/>
    <w:rsid w:val="00121152"/>
    <w:rsid w:val="00121167"/>
    <w:rsid w:val="00121172"/>
    <w:rsid w:val="001211A7"/>
    <w:rsid w:val="001212B6"/>
    <w:rsid w:val="0012138F"/>
    <w:rsid w:val="001213BC"/>
    <w:rsid w:val="001213D4"/>
    <w:rsid w:val="001213EE"/>
    <w:rsid w:val="001213F9"/>
    <w:rsid w:val="00121446"/>
    <w:rsid w:val="00121497"/>
    <w:rsid w:val="001214CB"/>
    <w:rsid w:val="0012158B"/>
    <w:rsid w:val="001215F7"/>
    <w:rsid w:val="00121691"/>
    <w:rsid w:val="00121704"/>
    <w:rsid w:val="00121769"/>
    <w:rsid w:val="001217C4"/>
    <w:rsid w:val="0012188D"/>
    <w:rsid w:val="001218D9"/>
    <w:rsid w:val="001218DE"/>
    <w:rsid w:val="00121940"/>
    <w:rsid w:val="0012196D"/>
    <w:rsid w:val="00121979"/>
    <w:rsid w:val="001219C7"/>
    <w:rsid w:val="001219CB"/>
    <w:rsid w:val="001219EF"/>
    <w:rsid w:val="00121A69"/>
    <w:rsid w:val="00121A7A"/>
    <w:rsid w:val="00121A7C"/>
    <w:rsid w:val="00121A8F"/>
    <w:rsid w:val="00121AD5"/>
    <w:rsid w:val="00121B0C"/>
    <w:rsid w:val="00121B9B"/>
    <w:rsid w:val="00121BD3"/>
    <w:rsid w:val="00121C44"/>
    <w:rsid w:val="00121C55"/>
    <w:rsid w:val="00121C6C"/>
    <w:rsid w:val="00121D27"/>
    <w:rsid w:val="00121D4D"/>
    <w:rsid w:val="00121DAC"/>
    <w:rsid w:val="00121DB5"/>
    <w:rsid w:val="00121DF4"/>
    <w:rsid w:val="00121E9A"/>
    <w:rsid w:val="00121EDE"/>
    <w:rsid w:val="00121F2D"/>
    <w:rsid w:val="00121FC1"/>
    <w:rsid w:val="00121FDA"/>
    <w:rsid w:val="00122024"/>
    <w:rsid w:val="0012206D"/>
    <w:rsid w:val="00122101"/>
    <w:rsid w:val="00122106"/>
    <w:rsid w:val="00122140"/>
    <w:rsid w:val="00122159"/>
    <w:rsid w:val="00122167"/>
    <w:rsid w:val="001221C4"/>
    <w:rsid w:val="001221C7"/>
    <w:rsid w:val="0012221C"/>
    <w:rsid w:val="00122295"/>
    <w:rsid w:val="001222B9"/>
    <w:rsid w:val="00122319"/>
    <w:rsid w:val="00122360"/>
    <w:rsid w:val="001223B4"/>
    <w:rsid w:val="001223C8"/>
    <w:rsid w:val="001223F1"/>
    <w:rsid w:val="0012241C"/>
    <w:rsid w:val="00122436"/>
    <w:rsid w:val="0012252C"/>
    <w:rsid w:val="00122537"/>
    <w:rsid w:val="00122547"/>
    <w:rsid w:val="0012255D"/>
    <w:rsid w:val="00122569"/>
    <w:rsid w:val="00122604"/>
    <w:rsid w:val="0012261A"/>
    <w:rsid w:val="001226DF"/>
    <w:rsid w:val="0012273A"/>
    <w:rsid w:val="0012274D"/>
    <w:rsid w:val="00122750"/>
    <w:rsid w:val="00122770"/>
    <w:rsid w:val="00122817"/>
    <w:rsid w:val="00122841"/>
    <w:rsid w:val="0012296F"/>
    <w:rsid w:val="00122A8D"/>
    <w:rsid w:val="00122B0D"/>
    <w:rsid w:val="00122B28"/>
    <w:rsid w:val="00122B36"/>
    <w:rsid w:val="00122B4F"/>
    <w:rsid w:val="00122BFA"/>
    <w:rsid w:val="00122C7B"/>
    <w:rsid w:val="00122CBB"/>
    <w:rsid w:val="00122D3C"/>
    <w:rsid w:val="00122D5F"/>
    <w:rsid w:val="00122DCD"/>
    <w:rsid w:val="00122E7F"/>
    <w:rsid w:val="00122E88"/>
    <w:rsid w:val="00122EE7"/>
    <w:rsid w:val="00122EF6"/>
    <w:rsid w:val="00122F10"/>
    <w:rsid w:val="00122F37"/>
    <w:rsid w:val="00122F57"/>
    <w:rsid w:val="00122F65"/>
    <w:rsid w:val="00122F9A"/>
    <w:rsid w:val="00122FD6"/>
    <w:rsid w:val="00123068"/>
    <w:rsid w:val="00123072"/>
    <w:rsid w:val="00123074"/>
    <w:rsid w:val="0012308D"/>
    <w:rsid w:val="001230CD"/>
    <w:rsid w:val="001230DC"/>
    <w:rsid w:val="0012310C"/>
    <w:rsid w:val="00123144"/>
    <w:rsid w:val="00123190"/>
    <w:rsid w:val="001231D5"/>
    <w:rsid w:val="0012322D"/>
    <w:rsid w:val="00123263"/>
    <w:rsid w:val="0012329F"/>
    <w:rsid w:val="001232CC"/>
    <w:rsid w:val="0012331C"/>
    <w:rsid w:val="0012339C"/>
    <w:rsid w:val="001233BC"/>
    <w:rsid w:val="00123481"/>
    <w:rsid w:val="001234AF"/>
    <w:rsid w:val="001234C0"/>
    <w:rsid w:val="001234DD"/>
    <w:rsid w:val="001234E7"/>
    <w:rsid w:val="00123520"/>
    <w:rsid w:val="00123534"/>
    <w:rsid w:val="00123536"/>
    <w:rsid w:val="0012354F"/>
    <w:rsid w:val="00123561"/>
    <w:rsid w:val="0012360C"/>
    <w:rsid w:val="0012364C"/>
    <w:rsid w:val="00123652"/>
    <w:rsid w:val="00123696"/>
    <w:rsid w:val="001236B8"/>
    <w:rsid w:val="001236E6"/>
    <w:rsid w:val="0012375F"/>
    <w:rsid w:val="001237C9"/>
    <w:rsid w:val="00123835"/>
    <w:rsid w:val="001238B9"/>
    <w:rsid w:val="001238C0"/>
    <w:rsid w:val="001238F8"/>
    <w:rsid w:val="0012391B"/>
    <w:rsid w:val="0012391E"/>
    <w:rsid w:val="001239D9"/>
    <w:rsid w:val="00123A23"/>
    <w:rsid w:val="00123A5D"/>
    <w:rsid w:val="00123A67"/>
    <w:rsid w:val="00123A78"/>
    <w:rsid w:val="00123A79"/>
    <w:rsid w:val="00123B8C"/>
    <w:rsid w:val="00123BD8"/>
    <w:rsid w:val="00123BE3"/>
    <w:rsid w:val="00123C03"/>
    <w:rsid w:val="00123C17"/>
    <w:rsid w:val="00123C82"/>
    <w:rsid w:val="00123D03"/>
    <w:rsid w:val="00123D47"/>
    <w:rsid w:val="00123D6D"/>
    <w:rsid w:val="00123D8F"/>
    <w:rsid w:val="00123E1B"/>
    <w:rsid w:val="00123E50"/>
    <w:rsid w:val="00123EEC"/>
    <w:rsid w:val="00123F15"/>
    <w:rsid w:val="00123FB6"/>
    <w:rsid w:val="0012400B"/>
    <w:rsid w:val="00124033"/>
    <w:rsid w:val="001240D8"/>
    <w:rsid w:val="001240FB"/>
    <w:rsid w:val="00124190"/>
    <w:rsid w:val="001241A4"/>
    <w:rsid w:val="001241B8"/>
    <w:rsid w:val="001241D5"/>
    <w:rsid w:val="001241DA"/>
    <w:rsid w:val="00124216"/>
    <w:rsid w:val="00124220"/>
    <w:rsid w:val="00124269"/>
    <w:rsid w:val="00124282"/>
    <w:rsid w:val="00124315"/>
    <w:rsid w:val="00124345"/>
    <w:rsid w:val="00124413"/>
    <w:rsid w:val="00124490"/>
    <w:rsid w:val="00124524"/>
    <w:rsid w:val="00124588"/>
    <w:rsid w:val="0012461F"/>
    <w:rsid w:val="001246AB"/>
    <w:rsid w:val="001246B9"/>
    <w:rsid w:val="001246DB"/>
    <w:rsid w:val="001246E3"/>
    <w:rsid w:val="001247F0"/>
    <w:rsid w:val="0012481A"/>
    <w:rsid w:val="00124881"/>
    <w:rsid w:val="0012491A"/>
    <w:rsid w:val="001249A4"/>
    <w:rsid w:val="001249AD"/>
    <w:rsid w:val="001249F8"/>
    <w:rsid w:val="00124A34"/>
    <w:rsid w:val="00124A4C"/>
    <w:rsid w:val="00124B3E"/>
    <w:rsid w:val="00124B4E"/>
    <w:rsid w:val="00124BAF"/>
    <w:rsid w:val="00124BE2"/>
    <w:rsid w:val="00124BFF"/>
    <w:rsid w:val="00124C30"/>
    <w:rsid w:val="00124C42"/>
    <w:rsid w:val="00124C8D"/>
    <w:rsid w:val="00124C99"/>
    <w:rsid w:val="00124CB3"/>
    <w:rsid w:val="00124CB8"/>
    <w:rsid w:val="00124CF2"/>
    <w:rsid w:val="00124CFA"/>
    <w:rsid w:val="00124D0C"/>
    <w:rsid w:val="00124D44"/>
    <w:rsid w:val="00124D7F"/>
    <w:rsid w:val="00124DD7"/>
    <w:rsid w:val="00124F0D"/>
    <w:rsid w:val="00124F3C"/>
    <w:rsid w:val="00125008"/>
    <w:rsid w:val="001250E4"/>
    <w:rsid w:val="0012517D"/>
    <w:rsid w:val="001251CA"/>
    <w:rsid w:val="001251D7"/>
    <w:rsid w:val="001251F5"/>
    <w:rsid w:val="001251FE"/>
    <w:rsid w:val="00125221"/>
    <w:rsid w:val="00125248"/>
    <w:rsid w:val="001252AC"/>
    <w:rsid w:val="00125305"/>
    <w:rsid w:val="00125322"/>
    <w:rsid w:val="00125337"/>
    <w:rsid w:val="0012533B"/>
    <w:rsid w:val="0012533C"/>
    <w:rsid w:val="00125387"/>
    <w:rsid w:val="001253D4"/>
    <w:rsid w:val="0012541D"/>
    <w:rsid w:val="0012542C"/>
    <w:rsid w:val="00125450"/>
    <w:rsid w:val="00125474"/>
    <w:rsid w:val="00125480"/>
    <w:rsid w:val="001254AD"/>
    <w:rsid w:val="001254CE"/>
    <w:rsid w:val="00125522"/>
    <w:rsid w:val="00125537"/>
    <w:rsid w:val="00125546"/>
    <w:rsid w:val="001255A9"/>
    <w:rsid w:val="001255F1"/>
    <w:rsid w:val="001255FB"/>
    <w:rsid w:val="00125654"/>
    <w:rsid w:val="00125667"/>
    <w:rsid w:val="00125696"/>
    <w:rsid w:val="001256BD"/>
    <w:rsid w:val="001256C8"/>
    <w:rsid w:val="001256F7"/>
    <w:rsid w:val="001256F9"/>
    <w:rsid w:val="00125717"/>
    <w:rsid w:val="0012571E"/>
    <w:rsid w:val="00125724"/>
    <w:rsid w:val="001257D7"/>
    <w:rsid w:val="00125820"/>
    <w:rsid w:val="00125891"/>
    <w:rsid w:val="00125951"/>
    <w:rsid w:val="001259A2"/>
    <w:rsid w:val="00125A1B"/>
    <w:rsid w:val="00125A32"/>
    <w:rsid w:val="00125A4A"/>
    <w:rsid w:val="00125A6B"/>
    <w:rsid w:val="00125A79"/>
    <w:rsid w:val="00125B82"/>
    <w:rsid w:val="00125BAF"/>
    <w:rsid w:val="00125BB2"/>
    <w:rsid w:val="00125BF2"/>
    <w:rsid w:val="00125C23"/>
    <w:rsid w:val="00125C3F"/>
    <w:rsid w:val="00125C4E"/>
    <w:rsid w:val="00125D50"/>
    <w:rsid w:val="00125D51"/>
    <w:rsid w:val="00125DF7"/>
    <w:rsid w:val="00125E0D"/>
    <w:rsid w:val="00125E36"/>
    <w:rsid w:val="00125E78"/>
    <w:rsid w:val="00125EC1"/>
    <w:rsid w:val="00125ECC"/>
    <w:rsid w:val="00125EF7"/>
    <w:rsid w:val="00125F8C"/>
    <w:rsid w:val="00126070"/>
    <w:rsid w:val="00126098"/>
    <w:rsid w:val="0012609D"/>
    <w:rsid w:val="0012618B"/>
    <w:rsid w:val="001261FC"/>
    <w:rsid w:val="0012625F"/>
    <w:rsid w:val="00126292"/>
    <w:rsid w:val="001262C4"/>
    <w:rsid w:val="0012636A"/>
    <w:rsid w:val="001264AE"/>
    <w:rsid w:val="001264B2"/>
    <w:rsid w:val="001264CE"/>
    <w:rsid w:val="0012653F"/>
    <w:rsid w:val="00126554"/>
    <w:rsid w:val="001265A4"/>
    <w:rsid w:val="00126603"/>
    <w:rsid w:val="0012662D"/>
    <w:rsid w:val="00126634"/>
    <w:rsid w:val="0012669C"/>
    <w:rsid w:val="001266A6"/>
    <w:rsid w:val="001266C9"/>
    <w:rsid w:val="001266CE"/>
    <w:rsid w:val="00126740"/>
    <w:rsid w:val="0012676E"/>
    <w:rsid w:val="0012677D"/>
    <w:rsid w:val="0012679F"/>
    <w:rsid w:val="001267D0"/>
    <w:rsid w:val="001267D7"/>
    <w:rsid w:val="0012680A"/>
    <w:rsid w:val="0012681D"/>
    <w:rsid w:val="0012684F"/>
    <w:rsid w:val="00126876"/>
    <w:rsid w:val="0012691A"/>
    <w:rsid w:val="00126958"/>
    <w:rsid w:val="00126968"/>
    <w:rsid w:val="0012698F"/>
    <w:rsid w:val="001269C0"/>
    <w:rsid w:val="001269DB"/>
    <w:rsid w:val="00126A64"/>
    <w:rsid w:val="00126A8B"/>
    <w:rsid w:val="00126AC5"/>
    <w:rsid w:val="00126B0E"/>
    <w:rsid w:val="00126B39"/>
    <w:rsid w:val="00126CCC"/>
    <w:rsid w:val="00126CF6"/>
    <w:rsid w:val="00126D6A"/>
    <w:rsid w:val="00126F17"/>
    <w:rsid w:val="00126F41"/>
    <w:rsid w:val="00126F53"/>
    <w:rsid w:val="00126F94"/>
    <w:rsid w:val="00126FB1"/>
    <w:rsid w:val="00126FD0"/>
    <w:rsid w:val="00127001"/>
    <w:rsid w:val="00127032"/>
    <w:rsid w:val="0012709B"/>
    <w:rsid w:val="001270CD"/>
    <w:rsid w:val="001270D2"/>
    <w:rsid w:val="00127140"/>
    <w:rsid w:val="00127174"/>
    <w:rsid w:val="0012721F"/>
    <w:rsid w:val="00127246"/>
    <w:rsid w:val="001272A5"/>
    <w:rsid w:val="001272C2"/>
    <w:rsid w:val="001272CA"/>
    <w:rsid w:val="00127338"/>
    <w:rsid w:val="00127374"/>
    <w:rsid w:val="001273CF"/>
    <w:rsid w:val="00127408"/>
    <w:rsid w:val="0012740A"/>
    <w:rsid w:val="0012740D"/>
    <w:rsid w:val="0012745B"/>
    <w:rsid w:val="0012749C"/>
    <w:rsid w:val="0012753B"/>
    <w:rsid w:val="00127604"/>
    <w:rsid w:val="00127616"/>
    <w:rsid w:val="0012761B"/>
    <w:rsid w:val="00127643"/>
    <w:rsid w:val="00127677"/>
    <w:rsid w:val="001276A3"/>
    <w:rsid w:val="0012776A"/>
    <w:rsid w:val="001277AA"/>
    <w:rsid w:val="001277CB"/>
    <w:rsid w:val="001277F1"/>
    <w:rsid w:val="001277FD"/>
    <w:rsid w:val="00127822"/>
    <w:rsid w:val="001278CE"/>
    <w:rsid w:val="001278D7"/>
    <w:rsid w:val="001278DC"/>
    <w:rsid w:val="001278EC"/>
    <w:rsid w:val="001278F8"/>
    <w:rsid w:val="001279A8"/>
    <w:rsid w:val="001279E7"/>
    <w:rsid w:val="00127A08"/>
    <w:rsid w:val="00127A16"/>
    <w:rsid w:val="00127A4D"/>
    <w:rsid w:val="00127B0C"/>
    <w:rsid w:val="00127B33"/>
    <w:rsid w:val="00127B35"/>
    <w:rsid w:val="00127B88"/>
    <w:rsid w:val="00127BB4"/>
    <w:rsid w:val="00127BE3"/>
    <w:rsid w:val="00127C0E"/>
    <w:rsid w:val="00127C3D"/>
    <w:rsid w:val="00127CA6"/>
    <w:rsid w:val="00127CC0"/>
    <w:rsid w:val="00127CD9"/>
    <w:rsid w:val="00127CDD"/>
    <w:rsid w:val="00127D3F"/>
    <w:rsid w:val="00127D75"/>
    <w:rsid w:val="00127D76"/>
    <w:rsid w:val="00127DA7"/>
    <w:rsid w:val="00127DBB"/>
    <w:rsid w:val="00127DEF"/>
    <w:rsid w:val="00127E43"/>
    <w:rsid w:val="00127F24"/>
    <w:rsid w:val="00127F67"/>
    <w:rsid w:val="00127FC8"/>
    <w:rsid w:val="001300F9"/>
    <w:rsid w:val="00130138"/>
    <w:rsid w:val="0013020B"/>
    <w:rsid w:val="0013029B"/>
    <w:rsid w:val="001302C0"/>
    <w:rsid w:val="001302F5"/>
    <w:rsid w:val="00130304"/>
    <w:rsid w:val="0013031B"/>
    <w:rsid w:val="00130320"/>
    <w:rsid w:val="00130333"/>
    <w:rsid w:val="0013038C"/>
    <w:rsid w:val="001303FE"/>
    <w:rsid w:val="00130420"/>
    <w:rsid w:val="0013048A"/>
    <w:rsid w:val="0013052F"/>
    <w:rsid w:val="00130553"/>
    <w:rsid w:val="00130595"/>
    <w:rsid w:val="001305C4"/>
    <w:rsid w:val="001305CD"/>
    <w:rsid w:val="001305FF"/>
    <w:rsid w:val="00130680"/>
    <w:rsid w:val="001306A1"/>
    <w:rsid w:val="0013070C"/>
    <w:rsid w:val="00130715"/>
    <w:rsid w:val="00130756"/>
    <w:rsid w:val="00130769"/>
    <w:rsid w:val="00130784"/>
    <w:rsid w:val="00130801"/>
    <w:rsid w:val="00130846"/>
    <w:rsid w:val="001308A3"/>
    <w:rsid w:val="00130934"/>
    <w:rsid w:val="0013095D"/>
    <w:rsid w:val="0013099D"/>
    <w:rsid w:val="001309A5"/>
    <w:rsid w:val="00130A22"/>
    <w:rsid w:val="00130A5A"/>
    <w:rsid w:val="00130A77"/>
    <w:rsid w:val="00130A7E"/>
    <w:rsid w:val="00130AC2"/>
    <w:rsid w:val="00130AC4"/>
    <w:rsid w:val="00130B01"/>
    <w:rsid w:val="00130B7B"/>
    <w:rsid w:val="00130B87"/>
    <w:rsid w:val="00130BC8"/>
    <w:rsid w:val="00130C6E"/>
    <w:rsid w:val="00130C79"/>
    <w:rsid w:val="00130C7E"/>
    <w:rsid w:val="00130C80"/>
    <w:rsid w:val="00130CB5"/>
    <w:rsid w:val="00130CC0"/>
    <w:rsid w:val="00130CDC"/>
    <w:rsid w:val="00130CF0"/>
    <w:rsid w:val="00130DC6"/>
    <w:rsid w:val="00130DC7"/>
    <w:rsid w:val="00130E3C"/>
    <w:rsid w:val="00130E3D"/>
    <w:rsid w:val="00130E65"/>
    <w:rsid w:val="00130E88"/>
    <w:rsid w:val="00130EAC"/>
    <w:rsid w:val="00130F0A"/>
    <w:rsid w:val="00130FD1"/>
    <w:rsid w:val="00130FDB"/>
    <w:rsid w:val="00130FF4"/>
    <w:rsid w:val="00131020"/>
    <w:rsid w:val="0013103E"/>
    <w:rsid w:val="0013103F"/>
    <w:rsid w:val="00131064"/>
    <w:rsid w:val="00131068"/>
    <w:rsid w:val="0013106C"/>
    <w:rsid w:val="001310E8"/>
    <w:rsid w:val="001310E9"/>
    <w:rsid w:val="0013110A"/>
    <w:rsid w:val="00131174"/>
    <w:rsid w:val="001311B3"/>
    <w:rsid w:val="0013126F"/>
    <w:rsid w:val="00131276"/>
    <w:rsid w:val="0013129E"/>
    <w:rsid w:val="001312C4"/>
    <w:rsid w:val="00131312"/>
    <w:rsid w:val="001313CB"/>
    <w:rsid w:val="001313ED"/>
    <w:rsid w:val="001313F1"/>
    <w:rsid w:val="0013140E"/>
    <w:rsid w:val="00131478"/>
    <w:rsid w:val="00131486"/>
    <w:rsid w:val="00131512"/>
    <w:rsid w:val="00131540"/>
    <w:rsid w:val="00131588"/>
    <w:rsid w:val="001315B8"/>
    <w:rsid w:val="00131631"/>
    <w:rsid w:val="001316CE"/>
    <w:rsid w:val="001316D8"/>
    <w:rsid w:val="0013173B"/>
    <w:rsid w:val="00131823"/>
    <w:rsid w:val="0013183B"/>
    <w:rsid w:val="00131886"/>
    <w:rsid w:val="001318C8"/>
    <w:rsid w:val="0013190D"/>
    <w:rsid w:val="00131925"/>
    <w:rsid w:val="0013193E"/>
    <w:rsid w:val="00131996"/>
    <w:rsid w:val="00131A20"/>
    <w:rsid w:val="00131A5C"/>
    <w:rsid w:val="00131AA0"/>
    <w:rsid w:val="00131AE2"/>
    <w:rsid w:val="00131AF4"/>
    <w:rsid w:val="00131BFB"/>
    <w:rsid w:val="00131C22"/>
    <w:rsid w:val="00131C62"/>
    <w:rsid w:val="00131C8A"/>
    <w:rsid w:val="00131CE2"/>
    <w:rsid w:val="00131CEC"/>
    <w:rsid w:val="00131D21"/>
    <w:rsid w:val="00131D80"/>
    <w:rsid w:val="00131D9E"/>
    <w:rsid w:val="00131DC3"/>
    <w:rsid w:val="00131DCF"/>
    <w:rsid w:val="00131DFE"/>
    <w:rsid w:val="00131E2C"/>
    <w:rsid w:val="00131E4D"/>
    <w:rsid w:val="00131E5D"/>
    <w:rsid w:val="00131E83"/>
    <w:rsid w:val="00131EB2"/>
    <w:rsid w:val="00131EC6"/>
    <w:rsid w:val="00131EF7"/>
    <w:rsid w:val="00131F00"/>
    <w:rsid w:val="00131F07"/>
    <w:rsid w:val="00131F9D"/>
    <w:rsid w:val="00132012"/>
    <w:rsid w:val="00132050"/>
    <w:rsid w:val="001320C8"/>
    <w:rsid w:val="001320DF"/>
    <w:rsid w:val="0013218C"/>
    <w:rsid w:val="001321D6"/>
    <w:rsid w:val="001321F5"/>
    <w:rsid w:val="0013225D"/>
    <w:rsid w:val="001322B1"/>
    <w:rsid w:val="00132331"/>
    <w:rsid w:val="00132341"/>
    <w:rsid w:val="001324E6"/>
    <w:rsid w:val="00132506"/>
    <w:rsid w:val="0013252F"/>
    <w:rsid w:val="001326E1"/>
    <w:rsid w:val="00132700"/>
    <w:rsid w:val="00132704"/>
    <w:rsid w:val="00132727"/>
    <w:rsid w:val="00132743"/>
    <w:rsid w:val="0013276C"/>
    <w:rsid w:val="00132784"/>
    <w:rsid w:val="001327BC"/>
    <w:rsid w:val="001327E0"/>
    <w:rsid w:val="001327F9"/>
    <w:rsid w:val="00132818"/>
    <w:rsid w:val="00132834"/>
    <w:rsid w:val="001328AC"/>
    <w:rsid w:val="001328FD"/>
    <w:rsid w:val="00132A69"/>
    <w:rsid w:val="00132A96"/>
    <w:rsid w:val="00132B35"/>
    <w:rsid w:val="00132B4A"/>
    <w:rsid w:val="00132B5F"/>
    <w:rsid w:val="00132B95"/>
    <w:rsid w:val="00132B9D"/>
    <w:rsid w:val="00132BB7"/>
    <w:rsid w:val="00132BFE"/>
    <w:rsid w:val="00132C1C"/>
    <w:rsid w:val="00132C91"/>
    <w:rsid w:val="00132CD4"/>
    <w:rsid w:val="00132CE2"/>
    <w:rsid w:val="00132D36"/>
    <w:rsid w:val="00132DAB"/>
    <w:rsid w:val="00132DF2"/>
    <w:rsid w:val="00132E22"/>
    <w:rsid w:val="00132E70"/>
    <w:rsid w:val="00132ED6"/>
    <w:rsid w:val="00132F16"/>
    <w:rsid w:val="00132F36"/>
    <w:rsid w:val="00132F3C"/>
    <w:rsid w:val="00132F47"/>
    <w:rsid w:val="00132F8B"/>
    <w:rsid w:val="00132FEC"/>
    <w:rsid w:val="00133021"/>
    <w:rsid w:val="00133066"/>
    <w:rsid w:val="00133068"/>
    <w:rsid w:val="00133090"/>
    <w:rsid w:val="00133142"/>
    <w:rsid w:val="00133162"/>
    <w:rsid w:val="00133187"/>
    <w:rsid w:val="001331E6"/>
    <w:rsid w:val="001331E9"/>
    <w:rsid w:val="00133220"/>
    <w:rsid w:val="0013327E"/>
    <w:rsid w:val="0013331E"/>
    <w:rsid w:val="00133362"/>
    <w:rsid w:val="001333BB"/>
    <w:rsid w:val="0013342F"/>
    <w:rsid w:val="00133441"/>
    <w:rsid w:val="00133444"/>
    <w:rsid w:val="00133485"/>
    <w:rsid w:val="0013349E"/>
    <w:rsid w:val="001334F5"/>
    <w:rsid w:val="00133565"/>
    <w:rsid w:val="0013358C"/>
    <w:rsid w:val="001335C2"/>
    <w:rsid w:val="00133668"/>
    <w:rsid w:val="0013367C"/>
    <w:rsid w:val="001336BA"/>
    <w:rsid w:val="001337E4"/>
    <w:rsid w:val="001337E5"/>
    <w:rsid w:val="00133809"/>
    <w:rsid w:val="0013382B"/>
    <w:rsid w:val="0013386A"/>
    <w:rsid w:val="00133879"/>
    <w:rsid w:val="0013389C"/>
    <w:rsid w:val="001338B2"/>
    <w:rsid w:val="001338B9"/>
    <w:rsid w:val="001338C1"/>
    <w:rsid w:val="00133901"/>
    <w:rsid w:val="00133904"/>
    <w:rsid w:val="00133969"/>
    <w:rsid w:val="00133989"/>
    <w:rsid w:val="0013399E"/>
    <w:rsid w:val="001339E1"/>
    <w:rsid w:val="00133A01"/>
    <w:rsid w:val="00133A25"/>
    <w:rsid w:val="00133A2E"/>
    <w:rsid w:val="00133AE5"/>
    <w:rsid w:val="00133B1B"/>
    <w:rsid w:val="00133B55"/>
    <w:rsid w:val="00133B77"/>
    <w:rsid w:val="00133BDC"/>
    <w:rsid w:val="00133C2F"/>
    <w:rsid w:val="00133C79"/>
    <w:rsid w:val="00133CA1"/>
    <w:rsid w:val="00133CB6"/>
    <w:rsid w:val="00133CBB"/>
    <w:rsid w:val="00133CF2"/>
    <w:rsid w:val="00133D0D"/>
    <w:rsid w:val="00133D5C"/>
    <w:rsid w:val="00133DFC"/>
    <w:rsid w:val="00133E96"/>
    <w:rsid w:val="00133ED9"/>
    <w:rsid w:val="00133F74"/>
    <w:rsid w:val="00133FA1"/>
    <w:rsid w:val="0013400A"/>
    <w:rsid w:val="0013400F"/>
    <w:rsid w:val="00134015"/>
    <w:rsid w:val="00134055"/>
    <w:rsid w:val="00134057"/>
    <w:rsid w:val="0013407B"/>
    <w:rsid w:val="001340C5"/>
    <w:rsid w:val="00134127"/>
    <w:rsid w:val="00134138"/>
    <w:rsid w:val="0013418E"/>
    <w:rsid w:val="001341C1"/>
    <w:rsid w:val="001341CF"/>
    <w:rsid w:val="00134291"/>
    <w:rsid w:val="001342E0"/>
    <w:rsid w:val="0013439D"/>
    <w:rsid w:val="001343A9"/>
    <w:rsid w:val="001343C1"/>
    <w:rsid w:val="0013443F"/>
    <w:rsid w:val="00134452"/>
    <w:rsid w:val="0013447C"/>
    <w:rsid w:val="001344A9"/>
    <w:rsid w:val="001344DB"/>
    <w:rsid w:val="00134516"/>
    <w:rsid w:val="00134522"/>
    <w:rsid w:val="0013458A"/>
    <w:rsid w:val="0013466D"/>
    <w:rsid w:val="001346A9"/>
    <w:rsid w:val="001346BA"/>
    <w:rsid w:val="00134731"/>
    <w:rsid w:val="001347B2"/>
    <w:rsid w:val="001347DF"/>
    <w:rsid w:val="00134855"/>
    <w:rsid w:val="001348A8"/>
    <w:rsid w:val="001348C3"/>
    <w:rsid w:val="001348FD"/>
    <w:rsid w:val="0013497A"/>
    <w:rsid w:val="001349A4"/>
    <w:rsid w:val="001349AE"/>
    <w:rsid w:val="001349F0"/>
    <w:rsid w:val="00134A12"/>
    <w:rsid w:val="00134A63"/>
    <w:rsid w:val="00134AEF"/>
    <w:rsid w:val="00134B39"/>
    <w:rsid w:val="00134BAC"/>
    <w:rsid w:val="00134BEB"/>
    <w:rsid w:val="00134BEE"/>
    <w:rsid w:val="00134BF2"/>
    <w:rsid w:val="00134C0D"/>
    <w:rsid w:val="00134C18"/>
    <w:rsid w:val="00134C28"/>
    <w:rsid w:val="00134C2A"/>
    <w:rsid w:val="00134C48"/>
    <w:rsid w:val="00134CE2"/>
    <w:rsid w:val="00134D4B"/>
    <w:rsid w:val="00134D60"/>
    <w:rsid w:val="00134DBE"/>
    <w:rsid w:val="00134E37"/>
    <w:rsid w:val="00134E43"/>
    <w:rsid w:val="00134E50"/>
    <w:rsid w:val="00134E5B"/>
    <w:rsid w:val="00134E6D"/>
    <w:rsid w:val="00134EA9"/>
    <w:rsid w:val="00134F42"/>
    <w:rsid w:val="00134F84"/>
    <w:rsid w:val="00134F91"/>
    <w:rsid w:val="00134F9E"/>
    <w:rsid w:val="00135038"/>
    <w:rsid w:val="0013506C"/>
    <w:rsid w:val="001350CF"/>
    <w:rsid w:val="0013510B"/>
    <w:rsid w:val="0013515D"/>
    <w:rsid w:val="00135190"/>
    <w:rsid w:val="001351F0"/>
    <w:rsid w:val="001351F5"/>
    <w:rsid w:val="001351FB"/>
    <w:rsid w:val="00135200"/>
    <w:rsid w:val="00135228"/>
    <w:rsid w:val="001352A4"/>
    <w:rsid w:val="001352AE"/>
    <w:rsid w:val="001352BD"/>
    <w:rsid w:val="001352CB"/>
    <w:rsid w:val="00135394"/>
    <w:rsid w:val="001353F0"/>
    <w:rsid w:val="0013542E"/>
    <w:rsid w:val="001354A5"/>
    <w:rsid w:val="001354EC"/>
    <w:rsid w:val="0013558D"/>
    <w:rsid w:val="0013560F"/>
    <w:rsid w:val="00135652"/>
    <w:rsid w:val="00135680"/>
    <w:rsid w:val="001356F7"/>
    <w:rsid w:val="0013577C"/>
    <w:rsid w:val="001357EE"/>
    <w:rsid w:val="0013586C"/>
    <w:rsid w:val="00135871"/>
    <w:rsid w:val="0013589E"/>
    <w:rsid w:val="001358BE"/>
    <w:rsid w:val="001358CC"/>
    <w:rsid w:val="001358FA"/>
    <w:rsid w:val="00135937"/>
    <w:rsid w:val="00135951"/>
    <w:rsid w:val="0013597F"/>
    <w:rsid w:val="00135A47"/>
    <w:rsid w:val="00135A81"/>
    <w:rsid w:val="00135B03"/>
    <w:rsid w:val="00135B30"/>
    <w:rsid w:val="00135B66"/>
    <w:rsid w:val="00135B8F"/>
    <w:rsid w:val="00135BA9"/>
    <w:rsid w:val="00135BC4"/>
    <w:rsid w:val="00135BCC"/>
    <w:rsid w:val="00135C1E"/>
    <w:rsid w:val="00135D07"/>
    <w:rsid w:val="00135DC5"/>
    <w:rsid w:val="00135E17"/>
    <w:rsid w:val="00135E20"/>
    <w:rsid w:val="00135E35"/>
    <w:rsid w:val="00135E48"/>
    <w:rsid w:val="00135E4C"/>
    <w:rsid w:val="00135E80"/>
    <w:rsid w:val="00135F3A"/>
    <w:rsid w:val="00135F3E"/>
    <w:rsid w:val="00135F41"/>
    <w:rsid w:val="00135F66"/>
    <w:rsid w:val="00136013"/>
    <w:rsid w:val="00136052"/>
    <w:rsid w:val="00136056"/>
    <w:rsid w:val="00136069"/>
    <w:rsid w:val="0013607D"/>
    <w:rsid w:val="001360A1"/>
    <w:rsid w:val="0013610E"/>
    <w:rsid w:val="001361AB"/>
    <w:rsid w:val="001361E7"/>
    <w:rsid w:val="00136207"/>
    <w:rsid w:val="0013621E"/>
    <w:rsid w:val="00136223"/>
    <w:rsid w:val="00136276"/>
    <w:rsid w:val="0013627C"/>
    <w:rsid w:val="00136339"/>
    <w:rsid w:val="00136378"/>
    <w:rsid w:val="00136400"/>
    <w:rsid w:val="00136434"/>
    <w:rsid w:val="001364CB"/>
    <w:rsid w:val="001364D7"/>
    <w:rsid w:val="001364EE"/>
    <w:rsid w:val="00136502"/>
    <w:rsid w:val="001365C5"/>
    <w:rsid w:val="001365DE"/>
    <w:rsid w:val="00136621"/>
    <w:rsid w:val="0013665E"/>
    <w:rsid w:val="00136666"/>
    <w:rsid w:val="0013669C"/>
    <w:rsid w:val="001367A1"/>
    <w:rsid w:val="0013680D"/>
    <w:rsid w:val="0013683D"/>
    <w:rsid w:val="001368D1"/>
    <w:rsid w:val="001368ED"/>
    <w:rsid w:val="00136925"/>
    <w:rsid w:val="0013693B"/>
    <w:rsid w:val="001369D6"/>
    <w:rsid w:val="00136A5F"/>
    <w:rsid w:val="00136A76"/>
    <w:rsid w:val="00136A97"/>
    <w:rsid w:val="00136AFD"/>
    <w:rsid w:val="00136B1D"/>
    <w:rsid w:val="00136B29"/>
    <w:rsid w:val="00136B53"/>
    <w:rsid w:val="00136B59"/>
    <w:rsid w:val="00136B86"/>
    <w:rsid w:val="00136B93"/>
    <w:rsid w:val="00136C72"/>
    <w:rsid w:val="00136C99"/>
    <w:rsid w:val="00136CB5"/>
    <w:rsid w:val="00136CC2"/>
    <w:rsid w:val="00136CF0"/>
    <w:rsid w:val="00136CFD"/>
    <w:rsid w:val="00136D4C"/>
    <w:rsid w:val="00136DA9"/>
    <w:rsid w:val="00136DAE"/>
    <w:rsid w:val="00136DC3"/>
    <w:rsid w:val="00136DD5"/>
    <w:rsid w:val="00136E1E"/>
    <w:rsid w:val="00136E21"/>
    <w:rsid w:val="00136E37"/>
    <w:rsid w:val="00136E9C"/>
    <w:rsid w:val="00136EA8"/>
    <w:rsid w:val="00136EA9"/>
    <w:rsid w:val="00136EB8"/>
    <w:rsid w:val="00136F07"/>
    <w:rsid w:val="00136F16"/>
    <w:rsid w:val="00136F2C"/>
    <w:rsid w:val="00136F3E"/>
    <w:rsid w:val="00136F60"/>
    <w:rsid w:val="00136FBE"/>
    <w:rsid w:val="00136FE1"/>
    <w:rsid w:val="00137097"/>
    <w:rsid w:val="0013716F"/>
    <w:rsid w:val="0013717E"/>
    <w:rsid w:val="001371C7"/>
    <w:rsid w:val="00137206"/>
    <w:rsid w:val="001372AB"/>
    <w:rsid w:val="001372B0"/>
    <w:rsid w:val="001372CE"/>
    <w:rsid w:val="001373A6"/>
    <w:rsid w:val="001373F5"/>
    <w:rsid w:val="00137453"/>
    <w:rsid w:val="00137462"/>
    <w:rsid w:val="001374CF"/>
    <w:rsid w:val="001374D0"/>
    <w:rsid w:val="00137535"/>
    <w:rsid w:val="001375AC"/>
    <w:rsid w:val="001375BB"/>
    <w:rsid w:val="0013764C"/>
    <w:rsid w:val="00137658"/>
    <w:rsid w:val="00137674"/>
    <w:rsid w:val="00137683"/>
    <w:rsid w:val="001376AA"/>
    <w:rsid w:val="001376BF"/>
    <w:rsid w:val="001376ED"/>
    <w:rsid w:val="0013770A"/>
    <w:rsid w:val="00137793"/>
    <w:rsid w:val="001378F0"/>
    <w:rsid w:val="00137909"/>
    <w:rsid w:val="00137953"/>
    <w:rsid w:val="001379AF"/>
    <w:rsid w:val="00137B56"/>
    <w:rsid w:val="00137B6E"/>
    <w:rsid w:val="00137B76"/>
    <w:rsid w:val="00137B8E"/>
    <w:rsid w:val="00137BA9"/>
    <w:rsid w:val="00137C03"/>
    <w:rsid w:val="00137D1F"/>
    <w:rsid w:val="00137D82"/>
    <w:rsid w:val="00137F48"/>
    <w:rsid w:val="00137FA9"/>
    <w:rsid w:val="00137FF5"/>
    <w:rsid w:val="001400F2"/>
    <w:rsid w:val="001401A1"/>
    <w:rsid w:val="001401C9"/>
    <w:rsid w:val="001401F4"/>
    <w:rsid w:val="0014020C"/>
    <w:rsid w:val="00140242"/>
    <w:rsid w:val="00140246"/>
    <w:rsid w:val="00140258"/>
    <w:rsid w:val="0014025C"/>
    <w:rsid w:val="0014027E"/>
    <w:rsid w:val="0014028B"/>
    <w:rsid w:val="00140291"/>
    <w:rsid w:val="00140309"/>
    <w:rsid w:val="0014035C"/>
    <w:rsid w:val="001403AD"/>
    <w:rsid w:val="001403E8"/>
    <w:rsid w:val="001403F0"/>
    <w:rsid w:val="00140423"/>
    <w:rsid w:val="001404A2"/>
    <w:rsid w:val="001404A3"/>
    <w:rsid w:val="00140593"/>
    <w:rsid w:val="001405A6"/>
    <w:rsid w:val="001405E7"/>
    <w:rsid w:val="00140618"/>
    <w:rsid w:val="0014063D"/>
    <w:rsid w:val="0014069A"/>
    <w:rsid w:val="001406BB"/>
    <w:rsid w:val="00140722"/>
    <w:rsid w:val="00140799"/>
    <w:rsid w:val="001407A9"/>
    <w:rsid w:val="001407D6"/>
    <w:rsid w:val="001407FB"/>
    <w:rsid w:val="00140804"/>
    <w:rsid w:val="00140806"/>
    <w:rsid w:val="0014084C"/>
    <w:rsid w:val="00140859"/>
    <w:rsid w:val="0014086B"/>
    <w:rsid w:val="00140900"/>
    <w:rsid w:val="00140920"/>
    <w:rsid w:val="00140938"/>
    <w:rsid w:val="00140952"/>
    <w:rsid w:val="0014097D"/>
    <w:rsid w:val="00140980"/>
    <w:rsid w:val="00140988"/>
    <w:rsid w:val="001409B1"/>
    <w:rsid w:val="00140A2F"/>
    <w:rsid w:val="00140B14"/>
    <w:rsid w:val="00140B58"/>
    <w:rsid w:val="00140B80"/>
    <w:rsid w:val="00140C42"/>
    <w:rsid w:val="00140C66"/>
    <w:rsid w:val="00140C6E"/>
    <w:rsid w:val="00140C7D"/>
    <w:rsid w:val="00140C98"/>
    <w:rsid w:val="00140CAF"/>
    <w:rsid w:val="00140CF7"/>
    <w:rsid w:val="00140D13"/>
    <w:rsid w:val="00140D27"/>
    <w:rsid w:val="00140D52"/>
    <w:rsid w:val="00140D89"/>
    <w:rsid w:val="00140DD7"/>
    <w:rsid w:val="00140DDB"/>
    <w:rsid w:val="00140DF9"/>
    <w:rsid w:val="00140E24"/>
    <w:rsid w:val="00140E56"/>
    <w:rsid w:val="00140F1C"/>
    <w:rsid w:val="00140F86"/>
    <w:rsid w:val="00140F91"/>
    <w:rsid w:val="00140F96"/>
    <w:rsid w:val="00140FD0"/>
    <w:rsid w:val="00141013"/>
    <w:rsid w:val="0014102B"/>
    <w:rsid w:val="00141056"/>
    <w:rsid w:val="00141079"/>
    <w:rsid w:val="001410EE"/>
    <w:rsid w:val="001410EF"/>
    <w:rsid w:val="00141110"/>
    <w:rsid w:val="00141129"/>
    <w:rsid w:val="00141138"/>
    <w:rsid w:val="00141189"/>
    <w:rsid w:val="001411B2"/>
    <w:rsid w:val="001411D0"/>
    <w:rsid w:val="0014128C"/>
    <w:rsid w:val="001412C2"/>
    <w:rsid w:val="001412D1"/>
    <w:rsid w:val="001412E3"/>
    <w:rsid w:val="00141312"/>
    <w:rsid w:val="00141327"/>
    <w:rsid w:val="00141332"/>
    <w:rsid w:val="0014135E"/>
    <w:rsid w:val="00141368"/>
    <w:rsid w:val="00141385"/>
    <w:rsid w:val="00141386"/>
    <w:rsid w:val="001413BD"/>
    <w:rsid w:val="001413D7"/>
    <w:rsid w:val="00141409"/>
    <w:rsid w:val="001414DC"/>
    <w:rsid w:val="0014153D"/>
    <w:rsid w:val="00141569"/>
    <w:rsid w:val="0014156B"/>
    <w:rsid w:val="00141590"/>
    <w:rsid w:val="0014159D"/>
    <w:rsid w:val="001415BE"/>
    <w:rsid w:val="00141667"/>
    <w:rsid w:val="00141676"/>
    <w:rsid w:val="0014169A"/>
    <w:rsid w:val="001416E6"/>
    <w:rsid w:val="0014172B"/>
    <w:rsid w:val="0014175F"/>
    <w:rsid w:val="0014176A"/>
    <w:rsid w:val="00141789"/>
    <w:rsid w:val="001417CB"/>
    <w:rsid w:val="00141883"/>
    <w:rsid w:val="0014188E"/>
    <w:rsid w:val="0014189B"/>
    <w:rsid w:val="00141936"/>
    <w:rsid w:val="0014197A"/>
    <w:rsid w:val="001419FD"/>
    <w:rsid w:val="00141A12"/>
    <w:rsid w:val="00141A35"/>
    <w:rsid w:val="00141A3D"/>
    <w:rsid w:val="00141A4A"/>
    <w:rsid w:val="00141A67"/>
    <w:rsid w:val="00141AA5"/>
    <w:rsid w:val="00141AD9"/>
    <w:rsid w:val="00141BA3"/>
    <w:rsid w:val="00141BAF"/>
    <w:rsid w:val="00141BB2"/>
    <w:rsid w:val="00141BC1"/>
    <w:rsid w:val="00141C75"/>
    <w:rsid w:val="00141CC0"/>
    <w:rsid w:val="00141DA5"/>
    <w:rsid w:val="00141DD6"/>
    <w:rsid w:val="00141DEF"/>
    <w:rsid w:val="00141E1A"/>
    <w:rsid w:val="00141E56"/>
    <w:rsid w:val="00141E58"/>
    <w:rsid w:val="00141EA8"/>
    <w:rsid w:val="00141EE4"/>
    <w:rsid w:val="00141F63"/>
    <w:rsid w:val="00141F7A"/>
    <w:rsid w:val="00141FF2"/>
    <w:rsid w:val="0014204C"/>
    <w:rsid w:val="001420B0"/>
    <w:rsid w:val="00142118"/>
    <w:rsid w:val="00142137"/>
    <w:rsid w:val="00142207"/>
    <w:rsid w:val="00142228"/>
    <w:rsid w:val="00142246"/>
    <w:rsid w:val="001422F1"/>
    <w:rsid w:val="0014233A"/>
    <w:rsid w:val="001423C2"/>
    <w:rsid w:val="0014247F"/>
    <w:rsid w:val="001424C4"/>
    <w:rsid w:val="001424F5"/>
    <w:rsid w:val="00142524"/>
    <w:rsid w:val="0014253A"/>
    <w:rsid w:val="00142550"/>
    <w:rsid w:val="00142589"/>
    <w:rsid w:val="0014262E"/>
    <w:rsid w:val="0014263F"/>
    <w:rsid w:val="0014265C"/>
    <w:rsid w:val="001426E2"/>
    <w:rsid w:val="00142763"/>
    <w:rsid w:val="00142773"/>
    <w:rsid w:val="001427BA"/>
    <w:rsid w:val="001427BD"/>
    <w:rsid w:val="001427E6"/>
    <w:rsid w:val="0014286F"/>
    <w:rsid w:val="00142875"/>
    <w:rsid w:val="00142880"/>
    <w:rsid w:val="001428A7"/>
    <w:rsid w:val="001428BB"/>
    <w:rsid w:val="001428D3"/>
    <w:rsid w:val="001428E4"/>
    <w:rsid w:val="001429AC"/>
    <w:rsid w:val="001429E8"/>
    <w:rsid w:val="00142A75"/>
    <w:rsid w:val="00142A8E"/>
    <w:rsid w:val="00142AA1"/>
    <w:rsid w:val="00142AA9"/>
    <w:rsid w:val="00142AC7"/>
    <w:rsid w:val="00142B5A"/>
    <w:rsid w:val="00142B76"/>
    <w:rsid w:val="00142B9A"/>
    <w:rsid w:val="00142BB1"/>
    <w:rsid w:val="00142BF6"/>
    <w:rsid w:val="00142C1D"/>
    <w:rsid w:val="00142C89"/>
    <w:rsid w:val="00142CEE"/>
    <w:rsid w:val="00142D58"/>
    <w:rsid w:val="00142D91"/>
    <w:rsid w:val="00142E0A"/>
    <w:rsid w:val="00142E37"/>
    <w:rsid w:val="00142EB5"/>
    <w:rsid w:val="00142ED7"/>
    <w:rsid w:val="00142FC3"/>
    <w:rsid w:val="0014301D"/>
    <w:rsid w:val="0014302F"/>
    <w:rsid w:val="0014303C"/>
    <w:rsid w:val="001430DD"/>
    <w:rsid w:val="001430E4"/>
    <w:rsid w:val="0014310C"/>
    <w:rsid w:val="0014320C"/>
    <w:rsid w:val="00143217"/>
    <w:rsid w:val="0014328E"/>
    <w:rsid w:val="001432B3"/>
    <w:rsid w:val="001432C7"/>
    <w:rsid w:val="001432CA"/>
    <w:rsid w:val="001432CC"/>
    <w:rsid w:val="0014330A"/>
    <w:rsid w:val="00143352"/>
    <w:rsid w:val="0014336B"/>
    <w:rsid w:val="0014337E"/>
    <w:rsid w:val="0014344A"/>
    <w:rsid w:val="00143467"/>
    <w:rsid w:val="00143502"/>
    <w:rsid w:val="00143537"/>
    <w:rsid w:val="00143540"/>
    <w:rsid w:val="00143544"/>
    <w:rsid w:val="00143562"/>
    <w:rsid w:val="00143570"/>
    <w:rsid w:val="0014357A"/>
    <w:rsid w:val="00143587"/>
    <w:rsid w:val="00143590"/>
    <w:rsid w:val="001435D5"/>
    <w:rsid w:val="001435EB"/>
    <w:rsid w:val="00143607"/>
    <w:rsid w:val="00143616"/>
    <w:rsid w:val="0014368C"/>
    <w:rsid w:val="001436D5"/>
    <w:rsid w:val="00143730"/>
    <w:rsid w:val="00143738"/>
    <w:rsid w:val="001437F2"/>
    <w:rsid w:val="00143854"/>
    <w:rsid w:val="001438BB"/>
    <w:rsid w:val="001438E0"/>
    <w:rsid w:val="001438F4"/>
    <w:rsid w:val="00143964"/>
    <w:rsid w:val="00143985"/>
    <w:rsid w:val="00143995"/>
    <w:rsid w:val="001439C0"/>
    <w:rsid w:val="001439EC"/>
    <w:rsid w:val="001439F6"/>
    <w:rsid w:val="00143A2B"/>
    <w:rsid w:val="00143A30"/>
    <w:rsid w:val="00143AC5"/>
    <w:rsid w:val="00143B28"/>
    <w:rsid w:val="00143B38"/>
    <w:rsid w:val="00143B42"/>
    <w:rsid w:val="00143BA4"/>
    <w:rsid w:val="00143C0A"/>
    <w:rsid w:val="00143C69"/>
    <w:rsid w:val="00143C87"/>
    <w:rsid w:val="00143CB5"/>
    <w:rsid w:val="00143D09"/>
    <w:rsid w:val="00143D4B"/>
    <w:rsid w:val="00143D6E"/>
    <w:rsid w:val="00143D8C"/>
    <w:rsid w:val="00143DAC"/>
    <w:rsid w:val="00143DBC"/>
    <w:rsid w:val="00143DEE"/>
    <w:rsid w:val="00143E11"/>
    <w:rsid w:val="00143E4A"/>
    <w:rsid w:val="00143E85"/>
    <w:rsid w:val="00143E87"/>
    <w:rsid w:val="00143EF1"/>
    <w:rsid w:val="00143EF2"/>
    <w:rsid w:val="00143F29"/>
    <w:rsid w:val="00143F2D"/>
    <w:rsid w:val="00143F6F"/>
    <w:rsid w:val="00143FAD"/>
    <w:rsid w:val="00143FB0"/>
    <w:rsid w:val="00143FFA"/>
    <w:rsid w:val="0014403A"/>
    <w:rsid w:val="001440BE"/>
    <w:rsid w:val="001440F2"/>
    <w:rsid w:val="0014412E"/>
    <w:rsid w:val="001441B6"/>
    <w:rsid w:val="0014420A"/>
    <w:rsid w:val="00144266"/>
    <w:rsid w:val="00144297"/>
    <w:rsid w:val="001442B4"/>
    <w:rsid w:val="001443DE"/>
    <w:rsid w:val="00144462"/>
    <w:rsid w:val="0014449D"/>
    <w:rsid w:val="001444F5"/>
    <w:rsid w:val="0014451D"/>
    <w:rsid w:val="00144530"/>
    <w:rsid w:val="0014457F"/>
    <w:rsid w:val="001445BD"/>
    <w:rsid w:val="0014468D"/>
    <w:rsid w:val="0014476B"/>
    <w:rsid w:val="00144779"/>
    <w:rsid w:val="00144815"/>
    <w:rsid w:val="00144828"/>
    <w:rsid w:val="00144861"/>
    <w:rsid w:val="00144879"/>
    <w:rsid w:val="001448A5"/>
    <w:rsid w:val="00144925"/>
    <w:rsid w:val="00144977"/>
    <w:rsid w:val="00144A4C"/>
    <w:rsid w:val="00144AA0"/>
    <w:rsid w:val="00144ADC"/>
    <w:rsid w:val="00144C31"/>
    <w:rsid w:val="00144C78"/>
    <w:rsid w:val="00144C88"/>
    <w:rsid w:val="00144D3B"/>
    <w:rsid w:val="00144D9E"/>
    <w:rsid w:val="00144DAE"/>
    <w:rsid w:val="00144E2D"/>
    <w:rsid w:val="00144E45"/>
    <w:rsid w:val="00144E5A"/>
    <w:rsid w:val="00144E91"/>
    <w:rsid w:val="00144E97"/>
    <w:rsid w:val="00144EA8"/>
    <w:rsid w:val="00144EAF"/>
    <w:rsid w:val="00144ED5"/>
    <w:rsid w:val="00144F05"/>
    <w:rsid w:val="00144F23"/>
    <w:rsid w:val="00144F4B"/>
    <w:rsid w:val="00144F9F"/>
    <w:rsid w:val="00144FB8"/>
    <w:rsid w:val="00144FCC"/>
    <w:rsid w:val="00144FEF"/>
    <w:rsid w:val="00145010"/>
    <w:rsid w:val="00145042"/>
    <w:rsid w:val="0014504C"/>
    <w:rsid w:val="0014509E"/>
    <w:rsid w:val="001450B4"/>
    <w:rsid w:val="001450C6"/>
    <w:rsid w:val="00145150"/>
    <w:rsid w:val="0014515C"/>
    <w:rsid w:val="0014517D"/>
    <w:rsid w:val="001451BA"/>
    <w:rsid w:val="001451DB"/>
    <w:rsid w:val="001451DC"/>
    <w:rsid w:val="001451DE"/>
    <w:rsid w:val="00145231"/>
    <w:rsid w:val="00145272"/>
    <w:rsid w:val="001452C3"/>
    <w:rsid w:val="001452DE"/>
    <w:rsid w:val="00145344"/>
    <w:rsid w:val="00145404"/>
    <w:rsid w:val="00145411"/>
    <w:rsid w:val="00145471"/>
    <w:rsid w:val="00145480"/>
    <w:rsid w:val="00145495"/>
    <w:rsid w:val="0014549A"/>
    <w:rsid w:val="001454AD"/>
    <w:rsid w:val="001454E2"/>
    <w:rsid w:val="001454F2"/>
    <w:rsid w:val="0014557D"/>
    <w:rsid w:val="00145587"/>
    <w:rsid w:val="001455AC"/>
    <w:rsid w:val="001455B4"/>
    <w:rsid w:val="001455E6"/>
    <w:rsid w:val="001455FC"/>
    <w:rsid w:val="0014564F"/>
    <w:rsid w:val="001456B8"/>
    <w:rsid w:val="00145704"/>
    <w:rsid w:val="0014577D"/>
    <w:rsid w:val="001457B1"/>
    <w:rsid w:val="00145812"/>
    <w:rsid w:val="0014581C"/>
    <w:rsid w:val="0014586B"/>
    <w:rsid w:val="001458E9"/>
    <w:rsid w:val="0014593C"/>
    <w:rsid w:val="00145969"/>
    <w:rsid w:val="0014599C"/>
    <w:rsid w:val="001459D9"/>
    <w:rsid w:val="00145A1D"/>
    <w:rsid w:val="00145A3C"/>
    <w:rsid w:val="00145A7E"/>
    <w:rsid w:val="00145A92"/>
    <w:rsid w:val="00145B6B"/>
    <w:rsid w:val="00145BEE"/>
    <w:rsid w:val="00145C04"/>
    <w:rsid w:val="00145C49"/>
    <w:rsid w:val="00145C7E"/>
    <w:rsid w:val="00145C8A"/>
    <w:rsid w:val="00145D03"/>
    <w:rsid w:val="00145E20"/>
    <w:rsid w:val="00145E2D"/>
    <w:rsid w:val="00145E47"/>
    <w:rsid w:val="00145E8B"/>
    <w:rsid w:val="00145EB2"/>
    <w:rsid w:val="00145F42"/>
    <w:rsid w:val="0014600F"/>
    <w:rsid w:val="00146027"/>
    <w:rsid w:val="00146034"/>
    <w:rsid w:val="001460F3"/>
    <w:rsid w:val="00146107"/>
    <w:rsid w:val="00146205"/>
    <w:rsid w:val="001462B9"/>
    <w:rsid w:val="00146314"/>
    <w:rsid w:val="0014634E"/>
    <w:rsid w:val="00146377"/>
    <w:rsid w:val="0014638C"/>
    <w:rsid w:val="0014638D"/>
    <w:rsid w:val="001463AD"/>
    <w:rsid w:val="001463F4"/>
    <w:rsid w:val="00146407"/>
    <w:rsid w:val="0014643D"/>
    <w:rsid w:val="0014647F"/>
    <w:rsid w:val="001464C1"/>
    <w:rsid w:val="001464CE"/>
    <w:rsid w:val="001464E5"/>
    <w:rsid w:val="001464F4"/>
    <w:rsid w:val="00146513"/>
    <w:rsid w:val="0014655F"/>
    <w:rsid w:val="001465A8"/>
    <w:rsid w:val="001465DB"/>
    <w:rsid w:val="0014661B"/>
    <w:rsid w:val="00146647"/>
    <w:rsid w:val="00146655"/>
    <w:rsid w:val="0014667A"/>
    <w:rsid w:val="001466AD"/>
    <w:rsid w:val="00146715"/>
    <w:rsid w:val="00146767"/>
    <w:rsid w:val="0014677A"/>
    <w:rsid w:val="0014679A"/>
    <w:rsid w:val="001467B4"/>
    <w:rsid w:val="00146809"/>
    <w:rsid w:val="00146821"/>
    <w:rsid w:val="0014683D"/>
    <w:rsid w:val="0014685D"/>
    <w:rsid w:val="00146862"/>
    <w:rsid w:val="001468AA"/>
    <w:rsid w:val="001468CA"/>
    <w:rsid w:val="001468DC"/>
    <w:rsid w:val="0014692F"/>
    <w:rsid w:val="0014693E"/>
    <w:rsid w:val="001469E5"/>
    <w:rsid w:val="00146A43"/>
    <w:rsid w:val="00146AFC"/>
    <w:rsid w:val="00146C37"/>
    <w:rsid w:val="00146C4D"/>
    <w:rsid w:val="00146C90"/>
    <w:rsid w:val="00146D4B"/>
    <w:rsid w:val="00146D9F"/>
    <w:rsid w:val="00146DB1"/>
    <w:rsid w:val="00146E3F"/>
    <w:rsid w:val="00146E46"/>
    <w:rsid w:val="00146E63"/>
    <w:rsid w:val="00146EC4"/>
    <w:rsid w:val="00146ED9"/>
    <w:rsid w:val="00146F9D"/>
    <w:rsid w:val="00147007"/>
    <w:rsid w:val="0014702D"/>
    <w:rsid w:val="001470C3"/>
    <w:rsid w:val="001470CD"/>
    <w:rsid w:val="0014719E"/>
    <w:rsid w:val="00147203"/>
    <w:rsid w:val="0014724A"/>
    <w:rsid w:val="0014725E"/>
    <w:rsid w:val="001472BA"/>
    <w:rsid w:val="001472BC"/>
    <w:rsid w:val="001472DA"/>
    <w:rsid w:val="00147339"/>
    <w:rsid w:val="0014734B"/>
    <w:rsid w:val="0014735D"/>
    <w:rsid w:val="0014735E"/>
    <w:rsid w:val="00147361"/>
    <w:rsid w:val="00147378"/>
    <w:rsid w:val="0014738D"/>
    <w:rsid w:val="001473D4"/>
    <w:rsid w:val="001473D7"/>
    <w:rsid w:val="00147422"/>
    <w:rsid w:val="00147491"/>
    <w:rsid w:val="00147494"/>
    <w:rsid w:val="001474F8"/>
    <w:rsid w:val="0014752C"/>
    <w:rsid w:val="0014756F"/>
    <w:rsid w:val="00147630"/>
    <w:rsid w:val="00147634"/>
    <w:rsid w:val="00147641"/>
    <w:rsid w:val="00147646"/>
    <w:rsid w:val="00147670"/>
    <w:rsid w:val="00147771"/>
    <w:rsid w:val="0014777B"/>
    <w:rsid w:val="00147781"/>
    <w:rsid w:val="00147792"/>
    <w:rsid w:val="001477D7"/>
    <w:rsid w:val="001477E7"/>
    <w:rsid w:val="00147815"/>
    <w:rsid w:val="0014783B"/>
    <w:rsid w:val="00147848"/>
    <w:rsid w:val="001478D8"/>
    <w:rsid w:val="00147920"/>
    <w:rsid w:val="00147928"/>
    <w:rsid w:val="00147929"/>
    <w:rsid w:val="00147A2E"/>
    <w:rsid w:val="00147A8A"/>
    <w:rsid w:val="00147A92"/>
    <w:rsid w:val="00147B6B"/>
    <w:rsid w:val="00147B88"/>
    <w:rsid w:val="00147BCB"/>
    <w:rsid w:val="00147BE6"/>
    <w:rsid w:val="00147C61"/>
    <w:rsid w:val="00147C69"/>
    <w:rsid w:val="00147C6B"/>
    <w:rsid w:val="00147C8B"/>
    <w:rsid w:val="00147CA5"/>
    <w:rsid w:val="00147CE1"/>
    <w:rsid w:val="00147DC3"/>
    <w:rsid w:val="00147E21"/>
    <w:rsid w:val="00147E46"/>
    <w:rsid w:val="00147E48"/>
    <w:rsid w:val="00147F36"/>
    <w:rsid w:val="00147F82"/>
    <w:rsid w:val="00147F97"/>
    <w:rsid w:val="00147FF7"/>
    <w:rsid w:val="00150041"/>
    <w:rsid w:val="001500B7"/>
    <w:rsid w:val="0015011E"/>
    <w:rsid w:val="00150163"/>
    <w:rsid w:val="0015018C"/>
    <w:rsid w:val="001501D3"/>
    <w:rsid w:val="00150212"/>
    <w:rsid w:val="00150228"/>
    <w:rsid w:val="00150297"/>
    <w:rsid w:val="001502D8"/>
    <w:rsid w:val="0015033A"/>
    <w:rsid w:val="0015033C"/>
    <w:rsid w:val="00150371"/>
    <w:rsid w:val="001503C2"/>
    <w:rsid w:val="001503FE"/>
    <w:rsid w:val="00150416"/>
    <w:rsid w:val="00150437"/>
    <w:rsid w:val="00150440"/>
    <w:rsid w:val="0015049D"/>
    <w:rsid w:val="001504C0"/>
    <w:rsid w:val="00150518"/>
    <w:rsid w:val="0015058B"/>
    <w:rsid w:val="00150625"/>
    <w:rsid w:val="00150689"/>
    <w:rsid w:val="001506CA"/>
    <w:rsid w:val="0015075E"/>
    <w:rsid w:val="001507B0"/>
    <w:rsid w:val="001507DF"/>
    <w:rsid w:val="001507EF"/>
    <w:rsid w:val="0015085B"/>
    <w:rsid w:val="00150877"/>
    <w:rsid w:val="00150884"/>
    <w:rsid w:val="00150895"/>
    <w:rsid w:val="00150900"/>
    <w:rsid w:val="001509C0"/>
    <w:rsid w:val="001509CE"/>
    <w:rsid w:val="001509D1"/>
    <w:rsid w:val="00150ACD"/>
    <w:rsid w:val="00150BA9"/>
    <w:rsid w:val="00150BB7"/>
    <w:rsid w:val="00150BF0"/>
    <w:rsid w:val="00150C71"/>
    <w:rsid w:val="00150C78"/>
    <w:rsid w:val="00150D23"/>
    <w:rsid w:val="00150D6A"/>
    <w:rsid w:val="00150DA3"/>
    <w:rsid w:val="00150DFC"/>
    <w:rsid w:val="00150E34"/>
    <w:rsid w:val="00150E47"/>
    <w:rsid w:val="00150E63"/>
    <w:rsid w:val="00150E7B"/>
    <w:rsid w:val="00150EA5"/>
    <w:rsid w:val="00150EB9"/>
    <w:rsid w:val="00150F08"/>
    <w:rsid w:val="00150FA6"/>
    <w:rsid w:val="00150FC2"/>
    <w:rsid w:val="00151047"/>
    <w:rsid w:val="00151062"/>
    <w:rsid w:val="001510CC"/>
    <w:rsid w:val="0015110E"/>
    <w:rsid w:val="0015110F"/>
    <w:rsid w:val="00151111"/>
    <w:rsid w:val="00151173"/>
    <w:rsid w:val="00151244"/>
    <w:rsid w:val="001512F2"/>
    <w:rsid w:val="00151302"/>
    <w:rsid w:val="00151312"/>
    <w:rsid w:val="00151359"/>
    <w:rsid w:val="0015135E"/>
    <w:rsid w:val="00151361"/>
    <w:rsid w:val="0015137D"/>
    <w:rsid w:val="00151391"/>
    <w:rsid w:val="0015139B"/>
    <w:rsid w:val="001513B3"/>
    <w:rsid w:val="001513BA"/>
    <w:rsid w:val="001513DD"/>
    <w:rsid w:val="00151415"/>
    <w:rsid w:val="00151500"/>
    <w:rsid w:val="0015153F"/>
    <w:rsid w:val="0015156A"/>
    <w:rsid w:val="001515E1"/>
    <w:rsid w:val="00151625"/>
    <w:rsid w:val="00151691"/>
    <w:rsid w:val="00151692"/>
    <w:rsid w:val="001516B5"/>
    <w:rsid w:val="001516C1"/>
    <w:rsid w:val="001516CF"/>
    <w:rsid w:val="001516F4"/>
    <w:rsid w:val="00151796"/>
    <w:rsid w:val="001517AC"/>
    <w:rsid w:val="001517DE"/>
    <w:rsid w:val="001517E8"/>
    <w:rsid w:val="00151804"/>
    <w:rsid w:val="00151832"/>
    <w:rsid w:val="00151841"/>
    <w:rsid w:val="0015187E"/>
    <w:rsid w:val="001518AD"/>
    <w:rsid w:val="001518CF"/>
    <w:rsid w:val="001518F1"/>
    <w:rsid w:val="00151937"/>
    <w:rsid w:val="001519EE"/>
    <w:rsid w:val="00151A21"/>
    <w:rsid w:val="00151A40"/>
    <w:rsid w:val="00151A5C"/>
    <w:rsid w:val="00151B18"/>
    <w:rsid w:val="00151BE2"/>
    <w:rsid w:val="00151C2F"/>
    <w:rsid w:val="00151CA3"/>
    <w:rsid w:val="00151CC4"/>
    <w:rsid w:val="00151CCB"/>
    <w:rsid w:val="00151CF4"/>
    <w:rsid w:val="00151D13"/>
    <w:rsid w:val="00151D51"/>
    <w:rsid w:val="00151D61"/>
    <w:rsid w:val="00151D9C"/>
    <w:rsid w:val="00151E4C"/>
    <w:rsid w:val="00151FAD"/>
    <w:rsid w:val="00151FC3"/>
    <w:rsid w:val="00151FCE"/>
    <w:rsid w:val="0015200C"/>
    <w:rsid w:val="00152050"/>
    <w:rsid w:val="0015209D"/>
    <w:rsid w:val="001520AE"/>
    <w:rsid w:val="00152142"/>
    <w:rsid w:val="0015221C"/>
    <w:rsid w:val="0015229A"/>
    <w:rsid w:val="001522BA"/>
    <w:rsid w:val="00152334"/>
    <w:rsid w:val="00152375"/>
    <w:rsid w:val="001523C7"/>
    <w:rsid w:val="001523D9"/>
    <w:rsid w:val="001523E9"/>
    <w:rsid w:val="0015241C"/>
    <w:rsid w:val="00152427"/>
    <w:rsid w:val="00152447"/>
    <w:rsid w:val="001524AA"/>
    <w:rsid w:val="001524C2"/>
    <w:rsid w:val="001524C4"/>
    <w:rsid w:val="00152518"/>
    <w:rsid w:val="00152536"/>
    <w:rsid w:val="00152562"/>
    <w:rsid w:val="00152582"/>
    <w:rsid w:val="0015258E"/>
    <w:rsid w:val="00152593"/>
    <w:rsid w:val="001525B0"/>
    <w:rsid w:val="001525C4"/>
    <w:rsid w:val="001526FC"/>
    <w:rsid w:val="00152765"/>
    <w:rsid w:val="0015278E"/>
    <w:rsid w:val="001527AC"/>
    <w:rsid w:val="001527F6"/>
    <w:rsid w:val="00152815"/>
    <w:rsid w:val="0015284D"/>
    <w:rsid w:val="001528A2"/>
    <w:rsid w:val="001529E4"/>
    <w:rsid w:val="001529E6"/>
    <w:rsid w:val="00152A29"/>
    <w:rsid w:val="00152A2F"/>
    <w:rsid w:val="00152A69"/>
    <w:rsid w:val="00152B0A"/>
    <w:rsid w:val="00152B49"/>
    <w:rsid w:val="00152B63"/>
    <w:rsid w:val="00152BDD"/>
    <w:rsid w:val="00152BDE"/>
    <w:rsid w:val="00152C30"/>
    <w:rsid w:val="00152C93"/>
    <w:rsid w:val="00152CF4"/>
    <w:rsid w:val="00152D32"/>
    <w:rsid w:val="00152D36"/>
    <w:rsid w:val="00152D46"/>
    <w:rsid w:val="00152D50"/>
    <w:rsid w:val="00152DC0"/>
    <w:rsid w:val="00152E4F"/>
    <w:rsid w:val="00152E53"/>
    <w:rsid w:val="00152E86"/>
    <w:rsid w:val="00152E9D"/>
    <w:rsid w:val="00152ED3"/>
    <w:rsid w:val="00152EF1"/>
    <w:rsid w:val="00152F5B"/>
    <w:rsid w:val="00152FB4"/>
    <w:rsid w:val="00153006"/>
    <w:rsid w:val="0015304C"/>
    <w:rsid w:val="001530C9"/>
    <w:rsid w:val="0015312F"/>
    <w:rsid w:val="00153191"/>
    <w:rsid w:val="001531A4"/>
    <w:rsid w:val="001531BB"/>
    <w:rsid w:val="001531CB"/>
    <w:rsid w:val="001531DA"/>
    <w:rsid w:val="001531F3"/>
    <w:rsid w:val="0015324E"/>
    <w:rsid w:val="0015334A"/>
    <w:rsid w:val="0015334D"/>
    <w:rsid w:val="00153377"/>
    <w:rsid w:val="001533AC"/>
    <w:rsid w:val="001533E1"/>
    <w:rsid w:val="00153403"/>
    <w:rsid w:val="00153445"/>
    <w:rsid w:val="00153489"/>
    <w:rsid w:val="001534F4"/>
    <w:rsid w:val="0015350F"/>
    <w:rsid w:val="00153519"/>
    <w:rsid w:val="0015352C"/>
    <w:rsid w:val="00153541"/>
    <w:rsid w:val="00153578"/>
    <w:rsid w:val="001535CC"/>
    <w:rsid w:val="001536BC"/>
    <w:rsid w:val="001536C2"/>
    <w:rsid w:val="00153708"/>
    <w:rsid w:val="0015370C"/>
    <w:rsid w:val="00153717"/>
    <w:rsid w:val="0015374C"/>
    <w:rsid w:val="001537B2"/>
    <w:rsid w:val="001537B9"/>
    <w:rsid w:val="00153827"/>
    <w:rsid w:val="00153837"/>
    <w:rsid w:val="001538B7"/>
    <w:rsid w:val="0015394C"/>
    <w:rsid w:val="00153961"/>
    <w:rsid w:val="00153991"/>
    <w:rsid w:val="001539EC"/>
    <w:rsid w:val="00153A6D"/>
    <w:rsid w:val="00153A77"/>
    <w:rsid w:val="00153ACC"/>
    <w:rsid w:val="00153ADC"/>
    <w:rsid w:val="00153B3E"/>
    <w:rsid w:val="00153B41"/>
    <w:rsid w:val="00153B89"/>
    <w:rsid w:val="00153C13"/>
    <w:rsid w:val="00153C5D"/>
    <w:rsid w:val="00153C6A"/>
    <w:rsid w:val="00153CA2"/>
    <w:rsid w:val="00153DFC"/>
    <w:rsid w:val="00153E3D"/>
    <w:rsid w:val="00153E6F"/>
    <w:rsid w:val="00153E99"/>
    <w:rsid w:val="00153E9B"/>
    <w:rsid w:val="00153E9E"/>
    <w:rsid w:val="00153EA4"/>
    <w:rsid w:val="00153F10"/>
    <w:rsid w:val="00153F51"/>
    <w:rsid w:val="0015400A"/>
    <w:rsid w:val="00154020"/>
    <w:rsid w:val="0015402E"/>
    <w:rsid w:val="001540AF"/>
    <w:rsid w:val="001540DC"/>
    <w:rsid w:val="001540E8"/>
    <w:rsid w:val="00154117"/>
    <w:rsid w:val="00154163"/>
    <w:rsid w:val="0015417A"/>
    <w:rsid w:val="001541C3"/>
    <w:rsid w:val="00154226"/>
    <w:rsid w:val="00154228"/>
    <w:rsid w:val="001543BE"/>
    <w:rsid w:val="001543D3"/>
    <w:rsid w:val="00154408"/>
    <w:rsid w:val="0015440D"/>
    <w:rsid w:val="00154440"/>
    <w:rsid w:val="00154441"/>
    <w:rsid w:val="00154446"/>
    <w:rsid w:val="00154449"/>
    <w:rsid w:val="001544C4"/>
    <w:rsid w:val="001544D9"/>
    <w:rsid w:val="00154509"/>
    <w:rsid w:val="00154524"/>
    <w:rsid w:val="0015459F"/>
    <w:rsid w:val="001545A0"/>
    <w:rsid w:val="0015461C"/>
    <w:rsid w:val="001546AD"/>
    <w:rsid w:val="001546E2"/>
    <w:rsid w:val="0015470B"/>
    <w:rsid w:val="00154778"/>
    <w:rsid w:val="0015479D"/>
    <w:rsid w:val="00154830"/>
    <w:rsid w:val="00154862"/>
    <w:rsid w:val="0015486A"/>
    <w:rsid w:val="00154875"/>
    <w:rsid w:val="00154876"/>
    <w:rsid w:val="00154883"/>
    <w:rsid w:val="001548D3"/>
    <w:rsid w:val="001548DD"/>
    <w:rsid w:val="00154939"/>
    <w:rsid w:val="001549B0"/>
    <w:rsid w:val="00154A08"/>
    <w:rsid w:val="00154A43"/>
    <w:rsid w:val="00154AE0"/>
    <w:rsid w:val="00154B2D"/>
    <w:rsid w:val="00154B3C"/>
    <w:rsid w:val="00154B55"/>
    <w:rsid w:val="00154B56"/>
    <w:rsid w:val="00154BC9"/>
    <w:rsid w:val="00154BE2"/>
    <w:rsid w:val="00154C1E"/>
    <w:rsid w:val="00154C95"/>
    <w:rsid w:val="00154CA5"/>
    <w:rsid w:val="00154CC6"/>
    <w:rsid w:val="00154CF4"/>
    <w:rsid w:val="00154D26"/>
    <w:rsid w:val="00154D5E"/>
    <w:rsid w:val="00154D6A"/>
    <w:rsid w:val="00154E01"/>
    <w:rsid w:val="00154E4B"/>
    <w:rsid w:val="00154E69"/>
    <w:rsid w:val="00154E8E"/>
    <w:rsid w:val="00154E92"/>
    <w:rsid w:val="00154E9F"/>
    <w:rsid w:val="00154F22"/>
    <w:rsid w:val="00154F30"/>
    <w:rsid w:val="00154FB2"/>
    <w:rsid w:val="00154FBC"/>
    <w:rsid w:val="00154FDC"/>
    <w:rsid w:val="00154FE6"/>
    <w:rsid w:val="00154FE8"/>
    <w:rsid w:val="00155059"/>
    <w:rsid w:val="0015506D"/>
    <w:rsid w:val="001550A1"/>
    <w:rsid w:val="00155142"/>
    <w:rsid w:val="00155152"/>
    <w:rsid w:val="00155190"/>
    <w:rsid w:val="00155197"/>
    <w:rsid w:val="001551AD"/>
    <w:rsid w:val="001551CF"/>
    <w:rsid w:val="001551E3"/>
    <w:rsid w:val="0015522D"/>
    <w:rsid w:val="00155239"/>
    <w:rsid w:val="001552DC"/>
    <w:rsid w:val="00155363"/>
    <w:rsid w:val="00155378"/>
    <w:rsid w:val="00155382"/>
    <w:rsid w:val="0015539B"/>
    <w:rsid w:val="001553B0"/>
    <w:rsid w:val="001553F9"/>
    <w:rsid w:val="0015545A"/>
    <w:rsid w:val="00155511"/>
    <w:rsid w:val="0015557F"/>
    <w:rsid w:val="00155631"/>
    <w:rsid w:val="0015564F"/>
    <w:rsid w:val="00155672"/>
    <w:rsid w:val="00155675"/>
    <w:rsid w:val="001556FF"/>
    <w:rsid w:val="0015573D"/>
    <w:rsid w:val="0015576A"/>
    <w:rsid w:val="0015576B"/>
    <w:rsid w:val="00155777"/>
    <w:rsid w:val="001557A5"/>
    <w:rsid w:val="00155830"/>
    <w:rsid w:val="00155866"/>
    <w:rsid w:val="00155946"/>
    <w:rsid w:val="001559B1"/>
    <w:rsid w:val="00155A00"/>
    <w:rsid w:val="00155A09"/>
    <w:rsid w:val="00155AEE"/>
    <w:rsid w:val="00155B4A"/>
    <w:rsid w:val="00155C63"/>
    <w:rsid w:val="00155C87"/>
    <w:rsid w:val="00155CAA"/>
    <w:rsid w:val="00155CE6"/>
    <w:rsid w:val="00155D30"/>
    <w:rsid w:val="00155D43"/>
    <w:rsid w:val="00155DC5"/>
    <w:rsid w:val="00155E19"/>
    <w:rsid w:val="00155E52"/>
    <w:rsid w:val="00155E5C"/>
    <w:rsid w:val="00155E67"/>
    <w:rsid w:val="00155EBB"/>
    <w:rsid w:val="00155F38"/>
    <w:rsid w:val="00155F39"/>
    <w:rsid w:val="00155F5B"/>
    <w:rsid w:val="00155F8D"/>
    <w:rsid w:val="00155F98"/>
    <w:rsid w:val="00155FB4"/>
    <w:rsid w:val="00155FD8"/>
    <w:rsid w:val="00156024"/>
    <w:rsid w:val="0015602A"/>
    <w:rsid w:val="00156061"/>
    <w:rsid w:val="0015607F"/>
    <w:rsid w:val="001560DD"/>
    <w:rsid w:val="00156183"/>
    <w:rsid w:val="001561C7"/>
    <w:rsid w:val="00156237"/>
    <w:rsid w:val="00156239"/>
    <w:rsid w:val="0015624A"/>
    <w:rsid w:val="0015624F"/>
    <w:rsid w:val="0015627D"/>
    <w:rsid w:val="00156297"/>
    <w:rsid w:val="001562D0"/>
    <w:rsid w:val="001562D6"/>
    <w:rsid w:val="001562F3"/>
    <w:rsid w:val="00156308"/>
    <w:rsid w:val="00156318"/>
    <w:rsid w:val="00156335"/>
    <w:rsid w:val="00156351"/>
    <w:rsid w:val="001563D6"/>
    <w:rsid w:val="00156492"/>
    <w:rsid w:val="00156515"/>
    <w:rsid w:val="0015654D"/>
    <w:rsid w:val="0015656C"/>
    <w:rsid w:val="0015666D"/>
    <w:rsid w:val="001566D6"/>
    <w:rsid w:val="0015673C"/>
    <w:rsid w:val="0015679F"/>
    <w:rsid w:val="001567A5"/>
    <w:rsid w:val="0015684B"/>
    <w:rsid w:val="00156877"/>
    <w:rsid w:val="001568DC"/>
    <w:rsid w:val="0015690F"/>
    <w:rsid w:val="00156939"/>
    <w:rsid w:val="00156957"/>
    <w:rsid w:val="0015697A"/>
    <w:rsid w:val="001569C5"/>
    <w:rsid w:val="001569F1"/>
    <w:rsid w:val="001569F5"/>
    <w:rsid w:val="001569F7"/>
    <w:rsid w:val="00156AA1"/>
    <w:rsid w:val="00156AA8"/>
    <w:rsid w:val="00156AD5"/>
    <w:rsid w:val="00156ADE"/>
    <w:rsid w:val="00156AE5"/>
    <w:rsid w:val="00156B06"/>
    <w:rsid w:val="00156B11"/>
    <w:rsid w:val="00156B88"/>
    <w:rsid w:val="00156C05"/>
    <w:rsid w:val="00156C1F"/>
    <w:rsid w:val="00156C36"/>
    <w:rsid w:val="00156C7D"/>
    <w:rsid w:val="00156CDC"/>
    <w:rsid w:val="00156D4C"/>
    <w:rsid w:val="00156DA0"/>
    <w:rsid w:val="00156DF3"/>
    <w:rsid w:val="00156E15"/>
    <w:rsid w:val="00156E42"/>
    <w:rsid w:val="00156E5B"/>
    <w:rsid w:val="00156E85"/>
    <w:rsid w:val="00156E94"/>
    <w:rsid w:val="00156F15"/>
    <w:rsid w:val="00156F94"/>
    <w:rsid w:val="00156FED"/>
    <w:rsid w:val="00156FF2"/>
    <w:rsid w:val="00157048"/>
    <w:rsid w:val="001570AE"/>
    <w:rsid w:val="001570CF"/>
    <w:rsid w:val="0015711C"/>
    <w:rsid w:val="001571F8"/>
    <w:rsid w:val="0015721C"/>
    <w:rsid w:val="00157230"/>
    <w:rsid w:val="0015729A"/>
    <w:rsid w:val="001572B7"/>
    <w:rsid w:val="00157340"/>
    <w:rsid w:val="001573B1"/>
    <w:rsid w:val="001573EB"/>
    <w:rsid w:val="00157423"/>
    <w:rsid w:val="00157438"/>
    <w:rsid w:val="0015744F"/>
    <w:rsid w:val="00157458"/>
    <w:rsid w:val="0015747B"/>
    <w:rsid w:val="0015748B"/>
    <w:rsid w:val="0015748E"/>
    <w:rsid w:val="001574C0"/>
    <w:rsid w:val="001574DB"/>
    <w:rsid w:val="001574E4"/>
    <w:rsid w:val="00157509"/>
    <w:rsid w:val="00157539"/>
    <w:rsid w:val="00157551"/>
    <w:rsid w:val="0015759F"/>
    <w:rsid w:val="0015761C"/>
    <w:rsid w:val="0015766B"/>
    <w:rsid w:val="00157670"/>
    <w:rsid w:val="00157681"/>
    <w:rsid w:val="00157724"/>
    <w:rsid w:val="00157757"/>
    <w:rsid w:val="001577FF"/>
    <w:rsid w:val="00157948"/>
    <w:rsid w:val="0015796C"/>
    <w:rsid w:val="001579E5"/>
    <w:rsid w:val="00157A90"/>
    <w:rsid w:val="00157A98"/>
    <w:rsid w:val="00157AC0"/>
    <w:rsid w:val="00157ADF"/>
    <w:rsid w:val="00157AED"/>
    <w:rsid w:val="00157AFE"/>
    <w:rsid w:val="00157B61"/>
    <w:rsid w:val="00157B6B"/>
    <w:rsid w:val="00157BBF"/>
    <w:rsid w:val="00157BD4"/>
    <w:rsid w:val="00157C5F"/>
    <w:rsid w:val="00157C70"/>
    <w:rsid w:val="00157CD4"/>
    <w:rsid w:val="00157D1F"/>
    <w:rsid w:val="00157D2F"/>
    <w:rsid w:val="00157DC1"/>
    <w:rsid w:val="00157F1C"/>
    <w:rsid w:val="00157F66"/>
    <w:rsid w:val="00157FEC"/>
    <w:rsid w:val="00160027"/>
    <w:rsid w:val="0016005D"/>
    <w:rsid w:val="0016009E"/>
    <w:rsid w:val="001600A1"/>
    <w:rsid w:val="001600A9"/>
    <w:rsid w:val="001600B8"/>
    <w:rsid w:val="001600DC"/>
    <w:rsid w:val="001600FE"/>
    <w:rsid w:val="001600FF"/>
    <w:rsid w:val="00160166"/>
    <w:rsid w:val="001602B5"/>
    <w:rsid w:val="001602F5"/>
    <w:rsid w:val="001602FA"/>
    <w:rsid w:val="00160342"/>
    <w:rsid w:val="001603C8"/>
    <w:rsid w:val="001603E9"/>
    <w:rsid w:val="001603FA"/>
    <w:rsid w:val="001603FD"/>
    <w:rsid w:val="0016044A"/>
    <w:rsid w:val="00160477"/>
    <w:rsid w:val="00160499"/>
    <w:rsid w:val="00160522"/>
    <w:rsid w:val="0016058E"/>
    <w:rsid w:val="00160614"/>
    <w:rsid w:val="0016062F"/>
    <w:rsid w:val="0016065B"/>
    <w:rsid w:val="00160663"/>
    <w:rsid w:val="001606CF"/>
    <w:rsid w:val="0016075D"/>
    <w:rsid w:val="00160764"/>
    <w:rsid w:val="001607B4"/>
    <w:rsid w:val="001607DF"/>
    <w:rsid w:val="0016082B"/>
    <w:rsid w:val="00160855"/>
    <w:rsid w:val="00160888"/>
    <w:rsid w:val="001608B5"/>
    <w:rsid w:val="001608C4"/>
    <w:rsid w:val="0016093F"/>
    <w:rsid w:val="001609A8"/>
    <w:rsid w:val="001609B5"/>
    <w:rsid w:val="001609DF"/>
    <w:rsid w:val="001609EA"/>
    <w:rsid w:val="00160A0E"/>
    <w:rsid w:val="00160AA2"/>
    <w:rsid w:val="00160B0A"/>
    <w:rsid w:val="00160B5A"/>
    <w:rsid w:val="00160B8E"/>
    <w:rsid w:val="00160BA0"/>
    <w:rsid w:val="00160BF1"/>
    <w:rsid w:val="00160C3B"/>
    <w:rsid w:val="00160C6A"/>
    <w:rsid w:val="00160C74"/>
    <w:rsid w:val="00160CA7"/>
    <w:rsid w:val="00160CD3"/>
    <w:rsid w:val="00160D52"/>
    <w:rsid w:val="00160E4D"/>
    <w:rsid w:val="00160E56"/>
    <w:rsid w:val="00160E9A"/>
    <w:rsid w:val="00160F0B"/>
    <w:rsid w:val="00160F51"/>
    <w:rsid w:val="00160FE3"/>
    <w:rsid w:val="00161000"/>
    <w:rsid w:val="0016101D"/>
    <w:rsid w:val="0016107C"/>
    <w:rsid w:val="0016109F"/>
    <w:rsid w:val="00161116"/>
    <w:rsid w:val="0016113C"/>
    <w:rsid w:val="0016113F"/>
    <w:rsid w:val="001611D1"/>
    <w:rsid w:val="00161249"/>
    <w:rsid w:val="00161263"/>
    <w:rsid w:val="00161272"/>
    <w:rsid w:val="00161285"/>
    <w:rsid w:val="0016128D"/>
    <w:rsid w:val="001612AB"/>
    <w:rsid w:val="0016133B"/>
    <w:rsid w:val="0016133D"/>
    <w:rsid w:val="00161397"/>
    <w:rsid w:val="00161478"/>
    <w:rsid w:val="001614CF"/>
    <w:rsid w:val="001614E3"/>
    <w:rsid w:val="00161502"/>
    <w:rsid w:val="00161571"/>
    <w:rsid w:val="0016157C"/>
    <w:rsid w:val="001615C5"/>
    <w:rsid w:val="001615D1"/>
    <w:rsid w:val="001615D3"/>
    <w:rsid w:val="001615EA"/>
    <w:rsid w:val="001615ED"/>
    <w:rsid w:val="00161682"/>
    <w:rsid w:val="001617C9"/>
    <w:rsid w:val="00161816"/>
    <w:rsid w:val="0016185D"/>
    <w:rsid w:val="00161890"/>
    <w:rsid w:val="00161951"/>
    <w:rsid w:val="00161953"/>
    <w:rsid w:val="00161978"/>
    <w:rsid w:val="00161994"/>
    <w:rsid w:val="001619A0"/>
    <w:rsid w:val="001619C3"/>
    <w:rsid w:val="00161A01"/>
    <w:rsid w:val="00161A17"/>
    <w:rsid w:val="00161A84"/>
    <w:rsid w:val="00161B03"/>
    <w:rsid w:val="00161B1E"/>
    <w:rsid w:val="00161B7E"/>
    <w:rsid w:val="00161BA4"/>
    <w:rsid w:val="00161CBB"/>
    <w:rsid w:val="00161CE0"/>
    <w:rsid w:val="00161CEC"/>
    <w:rsid w:val="00161D0E"/>
    <w:rsid w:val="00161D4B"/>
    <w:rsid w:val="00161D89"/>
    <w:rsid w:val="00161D9A"/>
    <w:rsid w:val="00161DC4"/>
    <w:rsid w:val="00161DE7"/>
    <w:rsid w:val="00161DED"/>
    <w:rsid w:val="00161E2A"/>
    <w:rsid w:val="00161E41"/>
    <w:rsid w:val="00161E7E"/>
    <w:rsid w:val="00161E97"/>
    <w:rsid w:val="0016201F"/>
    <w:rsid w:val="00162077"/>
    <w:rsid w:val="001620A8"/>
    <w:rsid w:val="001620B6"/>
    <w:rsid w:val="001620C7"/>
    <w:rsid w:val="001620E0"/>
    <w:rsid w:val="00162216"/>
    <w:rsid w:val="00162248"/>
    <w:rsid w:val="001622A0"/>
    <w:rsid w:val="00162314"/>
    <w:rsid w:val="00162349"/>
    <w:rsid w:val="001624A1"/>
    <w:rsid w:val="001624F8"/>
    <w:rsid w:val="001625FF"/>
    <w:rsid w:val="0016266F"/>
    <w:rsid w:val="00162675"/>
    <w:rsid w:val="001627E8"/>
    <w:rsid w:val="00162881"/>
    <w:rsid w:val="00162908"/>
    <w:rsid w:val="00162944"/>
    <w:rsid w:val="001629D5"/>
    <w:rsid w:val="00162A3F"/>
    <w:rsid w:val="00162B27"/>
    <w:rsid w:val="00162B56"/>
    <w:rsid w:val="00162B5D"/>
    <w:rsid w:val="00162BEC"/>
    <w:rsid w:val="00162C81"/>
    <w:rsid w:val="00162C8B"/>
    <w:rsid w:val="00162C96"/>
    <w:rsid w:val="00162CA6"/>
    <w:rsid w:val="00162D3D"/>
    <w:rsid w:val="00162D7A"/>
    <w:rsid w:val="00162D80"/>
    <w:rsid w:val="00162D86"/>
    <w:rsid w:val="00162D97"/>
    <w:rsid w:val="00162D9B"/>
    <w:rsid w:val="00162E18"/>
    <w:rsid w:val="00162E69"/>
    <w:rsid w:val="00162E8C"/>
    <w:rsid w:val="00162E9F"/>
    <w:rsid w:val="00162F28"/>
    <w:rsid w:val="00162F3F"/>
    <w:rsid w:val="00162F44"/>
    <w:rsid w:val="00163071"/>
    <w:rsid w:val="0016309C"/>
    <w:rsid w:val="001630AD"/>
    <w:rsid w:val="001630B9"/>
    <w:rsid w:val="001630E5"/>
    <w:rsid w:val="001630E7"/>
    <w:rsid w:val="0016317F"/>
    <w:rsid w:val="001631B5"/>
    <w:rsid w:val="00163264"/>
    <w:rsid w:val="0016328E"/>
    <w:rsid w:val="00163291"/>
    <w:rsid w:val="00163364"/>
    <w:rsid w:val="0016338F"/>
    <w:rsid w:val="001633BF"/>
    <w:rsid w:val="001633FC"/>
    <w:rsid w:val="00163463"/>
    <w:rsid w:val="00163485"/>
    <w:rsid w:val="001634B7"/>
    <w:rsid w:val="001634DE"/>
    <w:rsid w:val="0016350A"/>
    <w:rsid w:val="00163515"/>
    <w:rsid w:val="00163517"/>
    <w:rsid w:val="001635ED"/>
    <w:rsid w:val="0016364D"/>
    <w:rsid w:val="00163653"/>
    <w:rsid w:val="00163677"/>
    <w:rsid w:val="001636BA"/>
    <w:rsid w:val="001636D8"/>
    <w:rsid w:val="001636DE"/>
    <w:rsid w:val="00163714"/>
    <w:rsid w:val="00163733"/>
    <w:rsid w:val="00163752"/>
    <w:rsid w:val="001637A7"/>
    <w:rsid w:val="001637C1"/>
    <w:rsid w:val="001637E3"/>
    <w:rsid w:val="001637F4"/>
    <w:rsid w:val="0016382B"/>
    <w:rsid w:val="00163845"/>
    <w:rsid w:val="00163878"/>
    <w:rsid w:val="00163896"/>
    <w:rsid w:val="00163935"/>
    <w:rsid w:val="00163968"/>
    <w:rsid w:val="0016397C"/>
    <w:rsid w:val="001639D6"/>
    <w:rsid w:val="00163A42"/>
    <w:rsid w:val="00163A83"/>
    <w:rsid w:val="00163A89"/>
    <w:rsid w:val="00163AE9"/>
    <w:rsid w:val="00163B0F"/>
    <w:rsid w:val="00163B6D"/>
    <w:rsid w:val="00163B77"/>
    <w:rsid w:val="00163BC8"/>
    <w:rsid w:val="00163BCA"/>
    <w:rsid w:val="00163BEF"/>
    <w:rsid w:val="00163C31"/>
    <w:rsid w:val="00163C32"/>
    <w:rsid w:val="00163D4C"/>
    <w:rsid w:val="00163DA7"/>
    <w:rsid w:val="00163DD6"/>
    <w:rsid w:val="00163DF0"/>
    <w:rsid w:val="00163E19"/>
    <w:rsid w:val="00163EC4"/>
    <w:rsid w:val="00163F12"/>
    <w:rsid w:val="00163F2D"/>
    <w:rsid w:val="00163F51"/>
    <w:rsid w:val="00163F62"/>
    <w:rsid w:val="00163FA6"/>
    <w:rsid w:val="00163FFB"/>
    <w:rsid w:val="0016403D"/>
    <w:rsid w:val="0016405F"/>
    <w:rsid w:val="00164132"/>
    <w:rsid w:val="00164188"/>
    <w:rsid w:val="001641BB"/>
    <w:rsid w:val="001641EB"/>
    <w:rsid w:val="0016420C"/>
    <w:rsid w:val="00164274"/>
    <w:rsid w:val="00164293"/>
    <w:rsid w:val="0016429F"/>
    <w:rsid w:val="001642A2"/>
    <w:rsid w:val="001642B5"/>
    <w:rsid w:val="001642E4"/>
    <w:rsid w:val="0016430A"/>
    <w:rsid w:val="0016430D"/>
    <w:rsid w:val="00164329"/>
    <w:rsid w:val="00164343"/>
    <w:rsid w:val="0016434F"/>
    <w:rsid w:val="00164369"/>
    <w:rsid w:val="00164370"/>
    <w:rsid w:val="0016438B"/>
    <w:rsid w:val="001643CB"/>
    <w:rsid w:val="0016442F"/>
    <w:rsid w:val="0016445A"/>
    <w:rsid w:val="00164474"/>
    <w:rsid w:val="0016448A"/>
    <w:rsid w:val="00164505"/>
    <w:rsid w:val="00164552"/>
    <w:rsid w:val="001645A0"/>
    <w:rsid w:val="001645F4"/>
    <w:rsid w:val="00164602"/>
    <w:rsid w:val="00164604"/>
    <w:rsid w:val="00164607"/>
    <w:rsid w:val="00164663"/>
    <w:rsid w:val="001646CB"/>
    <w:rsid w:val="0016470B"/>
    <w:rsid w:val="00164712"/>
    <w:rsid w:val="00164737"/>
    <w:rsid w:val="00164772"/>
    <w:rsid w:val="00164792"/>
    <w:rsid w:val="001647A2"/>
    <w:rsid w:val="001647CC"/>
    <w:rsid w:val="001647D2"/>
    <w:rsid w:val="00164813"/>
    <w:rsid w:val="001648A5"/>
    <w:rsid w:val="001648C9"/>
    <w:rsid w:val="00164949"/>
    <w:rsid w:val="00164979"/>
    <w:rsid w:val="001649FD"/>
    <w:rsid w:val="00164A04"/>
    <w:rsid w:val="00164A6C"/>
    <w:rsid w:val="00164BA1"/>
    <w:rsid w:val="00164BB4"/>
    <w:rsid w:val="00164BFF"/>
    <w:rsid w:val="00164C93"/>
    <w:rsid w:val="00164D29"/>
    <w:rsid w:val="00164D59"/>
    <w:rsid w:val="00164D84"/>
    <w:rsid w:val="00164D92"/>
    <w:rsid w:val="00164D9E"/>
    <w:rsid w:val="00164DF6"/>
    <w:rsid w:val="00164E7B"/>
    <w:rsid w:val="00164EF4"/>
    <w:rsid w:val="00164F69"/>
    <w:rsid w:val="00164F82"/>
    <w:rsid w:val="00164FB3"/>
    <w:rsid w:val="0016504B"/>
    <w:rsid w:val="0016509B"/>
    <w:rsid w:val="001650B4"/>
    <w:rsid w:val="0016510B"/>
    <w:rsid w:val="001651E1"/>
    <w:rsid w:val="00165211"/>
    <w:rsid w:val="00165215"/>
    <w:rsid w:val="00165240"/>
    <w:rsid w:val="0016525A"/>
    <w:rsid w:val="0016526A"/>
    <w:rsid w:val="00165286"/>
    <w:rsid w:val="00165346"/>
    <w:rsid w:val="00165378"/>
    <w:rsid w:val="00165389"/>
    <w:rsid w:val="001653C2"/>
    <w:rsid w:val="0016540C"/>
    <w:rsid w:val="0016541B"/>
    <w:rsid w:val="00165452"/>
    <w:rsid w:val="00165484"/>
    <w:rsid w:val="001654C8"/>
    <w:rsid w:val="00165502"/>
    <w:rsid w:val="0016550C"/>
    <w:rsid w:val="00165648"/>
    <w:rsid w:val="001656B1"/>
    <w:rsid w:val="001656B9"/>
    <w:rsid w:val="001656CB"/>
    <w:rsid w:val="001656DD"/>
    <w:rsid w:val="00165751"/>
    <w:rsid w:val="00165758"/>
    <w:rsid w:val="001657E4"/>
    <w:rsid w:val="00165819"/>
    <w:rsid w:val="0016586F"/>
    <w:rsid w:val="0016587E"/>
    <w:rsid w:val="00165960"/>
    <w:rsid w:val="00165985"/>
    <w:rsid w:val="0016598B"/>
    <w:rsid w:val="00165A0B"/>
    <w:rsid w:val="00165A28"/>
    <w:rsid w:val="00165A3A"/>
    <w:rsid w:val="00165A42"/>
    <w:rsid w:val="00165A44"/>
    <w:rsid w:val="00165A79"/>
    <w:rsid w:val="00165AAA"/>
    <w:rsid w:val="00165AC3"/>
    <w:rsid w:val="00165B08"/>
    <w:rsid w:val="00165B29"/>
    <w:rsid w:val="00165B69"/>
    <w:rsid w:val="00165B9C"/>
    <w:rsid w:val="00165BA6"/>
    <w:rsid w:val="00165BB2"/>
    <w:rsid w:val="00165C3E"/>
    <w:rsid w:val="00165CA2"/>
    <w:rsid w:val="00165CCC"/>
    <w:rsid w:val="00165CD2"/>
    <w:rsid w:val="00165CE1"/>
    <w:rsid w:val="00165CEF"/>
    <w:rsid w:val="00165D05"/>
    <w:rsid w:val="00165D16"/>
    <w:rsid w:val="00165D18"/>
    <w:rsid w:val="00165D3F"/>
    <w:rsid w:val="00165DB8"/>
    <w:rsid w:val="00165DD4"/>
    <w:rsid w:val="00165E8C"/>
    <w:rsid w:val="00165E9B"/>
    <w:rsid w:val="00165EBF"/>
    <w:rsid w:val="0016600F"/>
    <w:rsid w:val="00166096"/>
    <w:rsid w:val="001660FD"/>
    <w:rsid w:val="0016610F"/>
    <w:rsid w:val="00166175"/>
    <w:rsid w:val="00166190"/>
    <w:rsid w:val="00166259"/>
    <w:rsid w:val="0016627F"/>
    <w:rsid w:val="0016628E"/>
    <w:rsid w:val="001662B8"/>
    <w:rsid w:val="001662F2"/>
    <w:rsid w:val="00166322"/>
    <w:rsid w:val="00166326"/>
    <w:rsid w:val="00166367"/>
    <w:rsid w:val="001663DF"/>
    <w:rsid w:val="0016643C"/>
    <w:rsid w:val="001664D4"/>
    <w:rsid w:val="0016651A"/>
    <w:rsid w:val="00166576"/>
    <w:rsid w:val="001665A3"/>
    <w:rsid w:val="001665C2"/>
    <w:rsid w:val="00166621"/>
    <w:rsid w:val="0016662E"/>
    <w:rsid w:val="001666C5"/>
    <w:rsid w:val="001666ED"/>
    <w:rsid w:val="0016675A"/>
    <w:rsid w:val="0016676D"/>
    <w:rsid w:val="00166778"/>
    <w:rsid w:val="00166795"/>
    <w:rsid w:val="001667B2"/>
    <w:rsid w:val="00166810"/>
    <w:rsid w:val="00166876"/>
    <w:rsid w:val="0016687C"/>
    <w:rsid w:val="001668B6"/>
    <w:rsid w:val="001668BA"/>
    <w:rsid w:val="001668CC"/>
    <w:rsid w:val="001668CD"/>
    <w:rsid w:val="00166925"/>
    <w:rsid w:val="00166932"/>
    <w:rsid w:val="00166945"/>
    <w:rsid w:val="0016694E"/>
    <w:rsid w:val="00166A07"/>
    <w:rsid w:val="00166A85"/>
    <w:rsid w:val="00166B2C"/>
    <w:rsid w:val="00166BC1"/>
    <w:rsid w:val="00166C65"/>
    <w:rsid w:val="00166C70"/>
    <w:rsid w:val="00166C89"/>
    <w:rsid w:val="00166D1B"/>
    <w:rsid w:val="00166D24"/>
    <w:rsid w:val="00166D2D"/>
    <w:rsid w:val="00166D5F"/>
    <w:rsid w:val="00166D97"/>
    <w:rsid w:val="00166D9D"/>
    <w:rsid w:val="00166DA0"/>
    <w:rsid w:val="00166E25"/>
    <w:rsid w:val="00166E27"/>
    <w:rsid w:val="00166EFD"/>
    <w:rsid w:val="00166F6E"/>
    <w:rsid w:val="00166F9F"/>
    <w:rsid w:val="001671E1"/>
    <w:rsid w:val="001671F6"/>
    <w:rsid w:val="0016722B"/>
    <w:rsid w:val="00167265"/>
    <w:rsid w:val="001672CF"/>
    <w:rsid w:val="001672DA"/>
    <w:rsid w:val="00167324"/>
    <w:rsid w:val="001673A5"/>
    <w:rsid w:val="00167415"/>
    <w:rsid w:val="001674C8"/>
    <w:rsid w:val="001674CD"/>
    <w:rsid w:val="001674D6"/>
    <w:rsid w:val="001674E3"/>
    <w:rsid w:val="0016763C"/>
    <w:rsid w:val="0016765B"/>
    <w:rsid w:val="001676A3"/>
    <w:rsid w:val="001676C5"/>
    <w:rsid w:val="001676C7"/>
    <w:rsid w:val="001676D4"/>
    <w:rsid w:val="001676EF"/>
    <w:rsid w:val="00167742"/>
    <w:rsid w:val="00167747"/>
    <w:rsid w:val="0016778B"/>
    <w:rsid w:val="00167851"/>
    <w:rsid w:val="0016788F"/>
    <w:rsid w:val="001678B7"/>
    <w:rsid w:val="001678DF"/>
    <w:rsid w:val="001678F3"/>
    <w:rsid w:val="0016795F"/>
    <w:rsid w:val="001679D8"/>
    <w:rsid w:val="00167A0F"/>
    <w:rsid w:val="00167A2E"/>
    <w:rsid w:val="00167A66"/>
    <w:rsid w:val="00167A89"/>
    <w:rsid w:val="00167ABA"/>
    <w:rsid w:val="00167AC7"/>
    <w:rsid w:val="00167B1F"/>
    <w:rsid w:val="00167B48"/>
    <w:rsid w:val="00167B52"/>
    <w:rsid w:val="00167C33"/>
    <w:rsid w:val="00167C39"/>
    <w:rsid w:val="00167C55"/>
    <w:rsid w:val="00167D4D"/>
    <w:rsid w:val="00167E22"/>
    <w:rsid w:val="00167E73"/>
    <w:rsid w:val="00167E7F"/>
    <w:rsid w:val="00167F3B"/>
    <w:rsid w:val="00170003"/>
    <w:rsid w:val="00170016"/>
    <w:rsid w:val="0017001B"/>
    <w:rsid w:val="0017001D"/>
    <w:rsid w:val="001700D0"/>
    <w:rsid w:val="001700F4"/>
    <w:rsid w:val="00170107"/>
    <w:rsid w:val="00170124"/>
    <w:rsid w:val="00170175"/>
    <w:rsid w:val="00170234"/>
    <w:rsid w:val="0017023F"/>
    <w:rsid w:val="0017025A"/>
    <w:rsid w:val="00170268"/>
    <w:rsid w:val="0017028D"/>
    <w:rsid w:val="00170297"/>
    <w:rsid w:val="0017029D"/>
    <w:rsid w:val="001702A6"/>
    <w:rsid w:val="001702F6"/>
    <w:rsid w:val="00170308"/>
    <w:rsid w:val="0017035A"/>
    <w:rsid w:val="0017038B"/>
    <w:rsid w:val="0017047F"/>
    <w:rsid w:val="001704C9"/>
    <w:rsid w:val="00170502"/>
    <w:rsid w:val="00170516"/>
    <w:rsid w:val="0017052A"/>
    <w:rsid w:val="001705D1"/>
    <w:rsid w:val="001705DE"/>
    <w:rsid w:val="00170611"/>
    <w:rsid w:val="00170662"/>
    <w:rsid w:val="0017069E"/>
    <w:rsid w:val="0017071A"/>
    <w:rsid w:val="0017076A"/>
    <w:rsid w:val="001707A0"/>
    <w:rsid w:val="001707AC"/>
    <w:rsid w:val="001707E3"/>
    <w:rsid w:val="001707F8"/>
    <w:rsid w:val="0017087C"/>
    <w:rsid w:val="0017089D"/>
    <w:rsid w:val="001708CF"/>
    <w:rsid w:val="001708E0"/>
    <w:rsid w:val="00170A5F"/>
    <w:rsid w:val="00170B1A"/>
    <w:rsid w:val="00170B79"/>
    <w:rsid w:val="00170BFE"/>
    <w:rsid w:val="00170C6C"/>
    <w:rsid w:val="00170CA1"/>
    <w:rsid w:val="00170CE2"/>
    <w:rsid w:val="00170D5E"/>
    <w:rsid w:val="00170D63"/>
    <w:rsid w:val="00170D8F"/>
    <w:rsid w:val="00170DCB"/>
    <w:rsid w:val="00170E1F"/>
    <w:rsid w:val="00170E51"/>
    <w:rsid w:val="00170E69"/>
    <w:rsid w:val="00170EED"/>
    <w:rsid w:val="00170F19"/>
    <w:rsid w:val="00170F33"/>
    <w:rsid w:val="00170F65"/>
    <w:rsid w:val="00170FD4"/>
    <w:rsid w:val="00171016"/>
    <w:rsid w:val="0017105D"/>
    <w:rsid w:val="001710F6"/>
    <w:rsid w:val="00171113"/>
    <w:rsid w:val="00171123"/>
    <w:rsid w:val="0017113C"/>
    <w:rsid w:val="0017117E"/>
    <w:rsid w:val="001711BF"/>
    <w:rsid w:val="00171212"/>
    <w:rsid w:val="00171217"/>
    <w:rsid w:val="0017121A"/>
    <w:rsid w:val="0017121B"/>
    <w:rsid w:val="00171249"/>
    <w:rsid w:val="001712D1"/>
    <w:rsid w:val="00171322"/>
    <w:rsid w:val="00171324"/>
    <w:rsid w:val="00171345"/>
    <w:rsid w:val="001713CC"/>
    <w:rsid w:val="00171430"/>
    <w:rsid w:val="0017146D"/>
    <w:rsid w:val="00171473"/>
    <w:rsid w:val="001714DC"/>
    <w:rsid w:val="00171500"/>
    <w:rsid w:val="00171540"/>
    <w:rsid w:val="0017157E"/>
    <w:rsid w:val="001715BC"/>
    <w:rsid w:val="0017172A"/>
    <w:rsid w:val="001717C8"/>
    <w:rsid w:val="0017186B"/>
    <w:rsid w:val="001718F0"/>
    <w:rsid w:val="001719AA"/>
    <w:rsid w:val="001719C7"/>
    <w:rsid w:val="00171A3D"/>
    <w:rsid w:val="00171A98"/>
    <w:rsid w:val="00171BFA"/>
    <w:rsid w:val="00171BFB"/>
    <w:rsid w:val="00171C77"/>
    <w:rsid w:val="00171C7C"/>
    <w:rsid w:val="00171CAC"/>
    <w:rsid w:val="00171D83"/>
    <w:rsid w:val="00171DBB"/>
    <w:rsid w:val="00171E56"/>
    <w:rsid w:val="00171EA6"/>
    <w:rsid w:val="00172083"/>
    <w:rsid w:val="00172110"/>
    <w:rsid w:val="00172179"/>
    <w:rsid w:val="001721B6"/>
    <w:rsid w:val="001721C4"/>
    <w:rsid w:val="0017220F"/>
    <w:rsid w:val="001722C1"/>
    <w:rsid w:val="001722CC"/>
    <w:rsid w:val="00172311"/>
    <w:rsid w:val="0017239D"/>
    <w:rsid w:val="001723D9"/>
    <w:rsid w:val="001723DC"/>
    <w:rsid w:val="00172432"/>
    <w:rsid w:val="0017243C"/>
    <w:rsid w:val="00172458"/>
    <w:rsid w:val="00172480"/>
    <w:rsid w:val="00172492"/>
    <w:rsid w:val="0017251E"/>
    <w:rsid w:val="00172527"/>
    <w:rsid w:val="00172557"/>
    <w:rsid w:val="00172599"/>
    <w:rsid w:val="001725FF"/>
    <w:rsid w:val="001726E7"/>
    <w:rsid w:val="00172711"/>
    <w:rsid w:val="001727CE"/>
    <w:rsid w:val="001727F1"/>
    <w:rsid w:val="0017280A"/>
    <w:rsid w:val="00172829"/>
    <w:rsid w:val="00172864"/>
    <w:rsid w:val="0017289D"/>
    <w:rsid w:val="001728A7"/>
    <w:rsid w:val="001728D4"/>
    <w:rsid w:val="0017295E"/>
    <w:rsid w:val="00172A3A"/>
    <w:rsid w:val="00172A95"/>
    <w:rsid w:val="00172A9B"/>
    <w:rsid w:val="00172B04"/>
    <w:rsid w:val="00172B7F"/>
    <w:rsid w:val="00172B90"/>
    <w:rsid w:val="00172BB3"/>
    <w:rsid w:val="00172C43"/>
    <w:rsid w:val="00172C70"/>
    <w:rsid w:val="00172D44"/>
    <w:rsid w:val="00172D64"/>
    <w:rsid w:val="00172D75"/>
    <w:rsid w:val="00172D85"/>
    <w:rsid w:val="00172D8F"/>
    <w:rsid w:val="00172E03"/>
    <w:rsid w:val="00172E4B"/>
    <w:rsid w:val="00172E4D"/>
    <w:rsid w:val="00172EA5"/>
    <w:rsid w:val="00172EAC"/>
    <w:rsid w:val="00172F41"/>
    <w:rsid w:val="00172F88"/>
    <w:rsid w:val="00172F9E"/>
    <w:rsid w:val="00172FD8"/>
    <w:rsid w:val="00172FE4"/>
    <w:rsid w:val="00173008"/>
    <w:rsid w:val="00173096"/>
    <w:rsid w:val="001730D0"/>
    <w:rsid w:val="0017310E"/>
    <w:rsid w:val="00173123"/>
    <w:rsid w:val="001731DD"/>
    <w:rsid w:val="001731F1"/>
    <w:rsid w:val="00173227"/>
    <w:rsid w:val="00173237"/>
    <w:rsid w:val="00173253"/>
    <w:rsid w:val="001732FA"/>
    <w:rsid w:val="0017338C"/>
    <w:rsid w:val="0017339B"/>
    <w:rsid w:val="001733A4"/>
    <w:rsid w:val="001733FE"/>
    <w:rsid w:val="00173409"/>
    <w:rsid w:val="0017340C"/>
    <w:rsid w:val="0017343A"/>
    <w:rsid w:val="0017344C"/>
    <w:rsid w:val="00173452"/>
    <w:rsid w:val="00173465"/>
    <w:rsid w:val="00173470"/>
    <w:rsid w:val="001734BE"/>
    <w:rsid w:val="00173506"/>
    <w:rsid w:val="00173561"/>
    <w:rsid w:val="001735F1"/>
    <w:rsid w:val="001736AE"/>
    <w:rsid w:val="001736B0"/>
    <w:rsid w:val="001736B1"/>
    <w:rsid w:val="00173735"/>
    <w:rsid w:val="0017373A"/>
    <w:rsid w:val="001737C6"/>
    <w:rsid w:val="001739A8"/>
    <w:rsid w:val="001739E1"/>
    <w:rsid w:val="00173A10"/>
    <w:rsid w:val="00173A8F"/>
    <w:rsid w:val="00173B02"/>
    <w:rsid w:val="00173B15"/>
    <w:rsid w:val="00173B9A"/>
    <w:rsid w:val="00173BC0"/>
    <w:rsid w:val="00173BC8"/>
    <w:rsid w:val="00173BEC"/>
    <w:rsid w:val="00173BFC"/>
    <w:rsid w:val="00173C4E"/>
    <w:rsid w:val="00173C7E"/>
    <w:rsid w:val="00173CA2"/>
    <w:rsid w:val="00173CB3"/>
    <w:rsid w:val="00173D16"/>
    <w:rsid w:val="00173D35"/>
    <w:rsid w:val="00173D9E"/>
    <w:rsid w:val="00173DB0"/>
    <w:rsid w:val="00173DC2"/>
    <w:rsid w:val="00173E2E"/>
    <w:rsid w:val="00173EB1"/>
    <w:rsid w:val="00173EDA"/>
    <w:rsid w:val="00173EEA"/>
    <w:rsid w:val="00173F3C"/>
    <w:rsid w:val="00173FC8"/>
    <w:rsid w:val="00174044"/>
    <w:rsid w:val="001740C3"/>
    <w:rsid w:val="0017412E"/>
    <w:rsid w:val="00174138"/>
    <w:rsid w:val="00174152"/>
    <w:rsid w:val="00174192"/>
    <w:rsid w:val="001741F7"/>
    <w:rsid w:val="001741F9"/>
    <w:rsid w:val="00174259"/>
    <w:rsid w:val="0017428C"/>
    <w:rsid w:val="001742AB"/>
    <w:rsid w:val="0017434D"/>
    <w:rsid w:val="00174394"/>
    <w:rsid w:val="001743B3"/>
    <w:rsid w:val="001743D4"/>
    <w:rsid w:val="00174473"/>
    <w:rsid w:val="00174486"/>
    <w:rsid w:val="001744B3"/>
    <w:rsid w:val="00174518"/>
    <w:rsid w:val="00174552"/>
    <w:rsid w:val="0017464D"/>
    <w:rsid w:val="0017465C"/>
    <w:rsid w:val="0017467F"/>
    <w:rsid w:val="001746CB"/>
    <w:rsid w:val="001746D7"/>
    <w:rsid w:val="00174737"/>
    <w:rsid w:val="0017474B"/>
    <w:rsid w:val="00174771"/>
    <w:rsid w:val="00174786"/>
    <w:rsid w:val="0017478D"/>
    <w:rsid w:val="001747ED"/>
    <w:rsid w:val="001747F1"/>
    <w:rsid w:val="001747FD"/>
    <w:rsid w:val="00174805"/>
    <w:rsid w:val="00174909"/>
    <w:rsid w:val="00174912"/>
    <w:rsid w:val="0017495B"/>
    <w:rsid w:val="00174961"/>
    <w:rsid w:val="001749A6"/>
    <w:rsid w:val="001749CE"/>
    <w:rsid w:val="001749FD"/>
    <w:rsid w:val="00174A18"/>
    <w:rsid w:val="00174A33"/>
    <w:rsid w:val="00174A98"/>
    <w:rsid w:val="00174AE1"/>
    <w:rsid w:val="00174AFE"/>
    <w:rsid w:val="00174BFD"/>
    <w:rsid w:val="00174C66"/>
    <w:rsid w:val="00174CD4"/>
    <w:rsid w:val="00174D62"/>
    <w:rsid w:val="00174D89"/>
    <w:rsid w:val="00174DAE"/>
    <w:rsid w:val="00174DD2"/>
    <w:rsid w:val="00174EA8"/>
    <w:rsid w:val="00174EFE"/>
    <w:rsid w:val="00174F2D"/>
    <w:rsid w:val="00174FB1"/>
    <w:rsid w:val="00174FBC"/>
    <w:rsid w:val="00174FCA"/>
    <w:rsid w:val="00175010"/>
    <w:rsid w:val="0017501A"/>
    <w:rsid w:val="001750E3"/>
    <w:rsid w:val="001750E9"/>
    <w:rsid w:val="0017511F"/>
    <w:rsid w:val="00175196"/>
    <w:rsid w:val="001751AE"/>
    <w:rsid w:val="00175214"/>
    <w:rsid w:val="00175216"/>
    <w:rsid w:val="0017526E"/>
    <w:rsid w:val="00175278"/>
    <w:rsid w:val="001752A7"/>
    <w:rsid w:val="001752B0"/>
    <w:rsid w:val="00175366"/>
    <w:rsid w:val="001753C0"/>
    <w:rsid w:val="001753FC"/>
    <w:rsid w:val="00175455"/>
    <w:rsid w:val="00175498"/>
    <w:rsid w:val="0017549A"/>
    <w:rsid w:val="0017549C"/>
    <w:rsid w:val="001754B1"/>
    <w:rsid w:val="001754DC"/>
    <w:rsid w:val="001754EB"/>
    <w:rsid w:val="00175599"/>
    <w:rsid w:val="001755D8"/>
    <w:rsid w:val="001755E4"/>
    <w:rsid w:val="001755EB"/>
    <w:rsid w:val="00175616"/>
    <w:rsid w:val="0017569D"/>
    <w:rsid w:val="001756A0"/>
    <w:rsid w:val="001756F7"/>
    <w:rsid w:val="00175748"/>
    <w:rsid w:val="00175794"/>
    <w:rsid w:val="0017582A"/>
    <w:rsid w:val="0017583E"/>
    <w:rsid w:val="0017585D"/>
    <w:rsid w:val="0017595E"/>
    <w:rsid w:val="00175995"/>
    <w:rsid w:val="00175997"/>
    <w:rsid w:val="001759C6"/>
    <w:rsid w:val="00175A35"/>
    <w:rsid w:val="00175ACD"/>
    <w:rsid w:val="00175ADF"/>
    <w:rsid w:val="00175B1A"/>
    <w:rsid w:val="00175B48"/>
    <w:rsid w:val="00175C42"/>
    <w:rsid w:val="00175CB9"/>
    <w:rsid w:val="00175D6A"/>
    <w:rsid w:val="00175D73"/>
    <w:rsid w:val="00175DAD"/>
    <w:rsid w:val="00175DE1"/>
    <w:rsid w:val="00175E3B"/>
    <w:rsid w:val="00175EBD"/>
    <w:rsid w:val="00175EDE"/>
    <w:rsid w:val="00175F24"/>
    <w:rsid w:val="00175F3F"/>
    <w:rsid w:val="00175F5E"/>
    <w:rsid w:val="00175FF5"/>
    <w:rsid w:val="00175FF7"/>
    <w:rsid w:val="00176009"/>
    <w:rsid w:val="00176030"/>
    <w:rsid w:val="00176042"/>
    <w:rsid w:val="0017604D"/>
    <w:rsid w:val="0017610F"/>
    <w:rsid w:val="00176135"/>
    <w:rsid w:val="00176143"/>
    <w:rsid w:val="0017616E"/>
    <w:rsid w:val="00176184"/>
    <w:rsid w:val="001761D9"/>
    <w:rsid w:val="0017625D"/>
    <w:rsid w:val="0017626A"/>
    <w:rsid w:val="001762E0"/>
    <w:rsid w:val="001762F7"/>
    <w:rsid w:val="00176335"/>
    <w:rsid w:val="00176458"/>
    <w:rsid w:val="00176463"/>
    <w:rsid w:val="00176501"/>
    <w:rsid w:val="00176537"/>
    <w:rsid w:val="00176552"/>
    <w:rsid w:val="00176577"/>
    <w:rsid w:val="00176578"/>
    <w:rsid w:val="001765AA"/>
    <w:rsid w:val="001765EA"/>
    <w:rsid w:val="0017664B"/>
    <w:rsid w:val="0017665C"/>
    <w:rsid w:val="001766A4"/>
    <w:rsid w:val="001766BA"/>
    <w:rsid w:val="0017674D"/>
    <w:rsid w:val="0017678A"/>
    <w:rsid w:val="0017678D"/>
    <w:rsid w:val="001767B7"/>
    <w:rsid w:val="00176837"/>
    <w:rsid w:val="00176882"/>
    <w:rsid w:val="001768B6"/>
    <w:rsid w:val="00176966"/>
    <w:rsid w:val="00176971"/>
    <w:rsid w:val="001769B7"/>
    <w:rsid w:val="001769F7"/>
    <w:rsid w:val="001769FF"/>
    <w:rsid w:val="00176A40"/>
    <w:rsid w:val="00176A5C"/>
    <w:rsid w:val="00176B29"/>
    <w:rsid w:val="00176B6E"/>
    <w:rsid w:val="00176CB4"/>
    <w:rsid w:val="00176DF8"/>
    <w:rsid w:val="00176E0A"/>
    <w:rsid w:val="00176E71"/>
    <w:rsid w:val="00176E76"/>
    <w:rsid w:val="00176EB7"/>
    <w:rsid w:val="00176EC0"/>
    <w:rsid w:val="00176EC9"/>
    <w:rsid w:val="00176F78"/>
    <w:rsid w:val="00176FA6"/>
    <w:rsid w:val="00177022"/>
    <w:rsid w:val="00177031"/>
    <w:rsid w:val="0017704D"/>
    <w:rsid w:val="00177086"/>
    <w:rsid w:val="001770BB"/>
    <w:rsid w:val="001770D5"/>
    <w:rsid w:val="001771FE"/>
    <w:rsid w:val="0017724E"/>
    <w:rsid w:val="0017727C"/>
    <w:rsid w:val="00177341"/>
    <w:rsid w:val="00177398"/>
    <w:rsid w:val="001773D7"/>
    <w:rsid w:val="001774DC"/>
    <w:rsid w:val="00177500"/>
    <w:rsid w:val="00177598"/>
    <w:rsid w:val="001775B6"/>
    <w:rsid w:val="00177620"/>
    <w:rsid w:val="0017767E"/>
    <w:rsid w:val="001776BC"/>
    <w:rsid w:val="001776CF"/>
    <w:rsid w:val="001776F2"/>
    <w:rsid w:val="00177707"/>
    <w:rsid w:val="00177738"/>
    <w:rsid w:val="0017773A"/>
    <w:rsid w:val="0017774F"/>
    <w:rsid w:val="00177754"/>
    <w:rsid w:val="00177858"/>
    <w:rsid w:val="0017787B"/>
    <w:rsid w:val="0017788A"/>
    <w:rsid w:val="001778A0"/>
    <w:rsid w:val="001778F0"/>
    <w:rsid w:val="001778F8"/>
    <w:rsid w:val="00177901"/>
    <w:rsid w:val="0017797E"/>
    <w:rsid w:val="001779AD"/>
    <w:rsid w:val="001779D2"/>
    <w:rsid w:val="00177A00"/>
    <w:rsid w:val="00177AD3"/>
    <w:rsid w:val="00177B69"/>
    <w:rsid w:val="00177C24"/>
    <w:rsid w:val="00177CC7"/>
    <w:rsid w:val="00177DEF"/>
    <w:rsid w:val="00177E2E"/>
    <w:rsid w:val="00177E9A"/>
    <w:rsid w:val="00177EF3"/>
    <w:rsid w:val="00177EFC"/>
    <w:rsid w:val="00177F55"/>
    <w:rsid w:val="00177F6C"/>
    <w:rsid w:val="00177F8A"/>
    <w:rsid w:val="00177F8C"/>
    <w:rsid w:val="00177FE0"/>
    <w:rsid w:val="00180007"/>
    <w:rsid w:val="00180119"/>
    <w:rsid w:val="00180187"/>
    <w:rsid w:val="0018023B"/>
    <w:rsid w:val="0018024A"/>
    <w:rsid w:val="00180293"/>
    <w:rsid w:val="00180298"/>
    <w:rsid w:val="001802D0"/>
    <w:rsid w:val="0018034A"/>
    <w:rsid w:val="0018034B"/>
    <w:rsid w:val="001803A6"/>
    <w:rsid w:val="001803A8"/>
    <w:rsid w:val="001803AD"/>
    <w:rsid w:val="001803F8"/>
    <w:rsid w:val="00180412"/>
    <w:rsid w:val="00180420"/>
    <w:rsid w:val="0018044F"/>
    <w:rsid w:val="00180460"/>
    <w:rsid w:val="0018048F"/>
    <w:rsid w:val="00180539"/>
    <w:rsid w:val="0018054E"/>
    <w:rsid w:val="00180562"/>
    <w:rsid w:val="001805A1"/>
    <w:rsid w:val="001805DA"/>
    <w:rsid w:val="001805FA"/>
    <w:rsid w:val="00180630"/>
    <w:rsid w:val="00180634"/>
    <w:rsid w:val="0018066B"/>
    <w:rsid w:val="0018066F"/>
    <w:rsid w:val="0018068B"/>
    <w:rsid w:val="00180693"/>
    <w:rsid w:val="00180696"/>
    <w:rsid w:val="00180738"/>
    <w:rsid w:val="00180739"/>
    <w:rsid w:val="0018073A"/>
    <w:rsid w:val="00180772"/>
    <w:rsid w:val="0018078B"/>
    <w:rsid w:val="001807FD"/>
    <w:rsid w:val="00180803"/>
    <w:rsid w:val="0018082D"/>
    <w:rsid w:val="0018084B"/>
    <w:rsid w:val="001808AE"/>
    <w:rsid w:val="001808B9"/>
    <w:rsid w:val="001808F8"/>
    <w:rsid w:val="00180963"/>
    <w:rsid w:val="001809B5"/>
    <w:rsid w:val="001809E8"/>
    <w:rsid w:val="00180A13"/>
    <w:rsid w:val="00180AAE"/>
    <w:rsid w:val="00180B94"/>
    <w:rsid w:val="00180B98"/>
    <w:rsid w:val="00180BA2"/>
    <w:rsid w:val="00180C89"/>
    <w:rsid w:val="00180CA8"/>
    <w:rsid w:val="00180CE3"/>
    <w:rsid w:val="00180CE9"/>
    <w:rsid w:val="00180D05"/>
    <w:rsid w:val="00180D1D"/>
    <w:rsid w:val="00180D32"/>
    <w:rsid w:val="00180E04"/>
    <w:rsid w:val="00180E0E"/>
    <w:rsid w:val="00180E92"/>
    <w:rsid w:val="00180EF5"/>
    <w:rsid w:val="00180F0A"/>
    <w:rsid w:val="0018101A"/>
    <w:rsid w:val="001810C0"/>
    <w:rsid w:val="001810CC"/>
    <w:rsid w:val="001810E5"/>
    <w:rsid w:val="001810E8"/>
    <w:rsid w:val="00181122"/>
    <w:rsid w:val="0018114E"/>
    <w:rsid w:val="001811EA"/>
    <w:rsid w:val="0018121B"/>
    <w:rsid w:val="00181229"/>
    <w:rsid w:val="00181252"/>
    <w:rsid w:val="00181263"/>
    <w:rsid w:val="00181274"/>
    <w:rsid w:val="001812FA"/>
    <w:rsid w:val="00181322"/>
    <w:rsid w:val="00181342"/>
    <w:rsid w:val="001813A9"/>
    <w:rsid w:val="0018142A"/>
    <w:rsid w:val="00181465"/>
    <w:rsid w:val="00181473"/>
    <w:rsid w:val="0018147C"/>
    <w:rsid w:val="00181491"/>
    <w:rsid w:val="001814B3"/>
    <w:rsid w:val="0018154E"/>
    <w:rsid w:val="00181560"/>
    <w:rsid w:val="0018157C"/>
    <w:rsid w:val="0018158B"/>
    <w:rsid w:val="0018169C"/>
    <w:rsid w:val="001816AF"/>
    <w:rsid w:val="00181769"/>
    <w:rsid w:val="0018176A"/>
    <w:rsid w:val="001817D8"/>
    <w:rsid w:val="001817E3"/>
    <w:rsid w:val="00181878"/>
    <w:rsid w:val="0018188B"/>
    <w:rsid w:val="0018197F"/>
    <w:rsid w:val="00181A32"/>
    <w:rsid w:val="00181A85"/>
    <w:rsid w:val="00181A90"/>
    <w:rsid w:val="00181AAF"/>
    <w:rsid w:val="00181B0E"/>
    <w:rsid w:val="00181B7E"/>
    <w:rsid w:val="00181C2F"/>
    <w:rsid w:val="00181C36"/>
    <w:rsid w:val="00181C7F"/>
    <w:rsid w:val="00181CBD"/>
    <w:rsid w:val="00181CD7"/>
    <w:rsid w:val="00181D13"/>
    <w:rsid w:val="00181D2B"/>
    <w:rsid w:val="00181D55"/>
    <w:rsid w:val="00181E39"/>
    <w:rsid w:val="00181EA1"/>
    <w:rsid w:val="00181EA5"/>
    <w:rsid w:val="00181F21"/>
    <w:rsid w:val="00182024"/>
    <w:rsid w:val="00182029"/>
    <w:rsid w:val="00182115"/>
    <w:rsid w:val="0018214F"/>
    <w:rsid w:val="00182159"/>
    <w:rsid w:val="00182170"/>
    <w:rsid w:val="00182213"/>
    <w:rsid w:val="0018225A"/>
    <w:rsid w:val="001822DA"/>
    <w:rsid w:val="0018232F"/>
    <w:rsid w:val="00182412"/>
    <w:rsid w:val="00182450"/>
    <w:rsid w:val="0018247B"/>
    <w:rsid w:val="001824C5"/>
    <w:rsid w:val="0018257B"/>
    <w:rsid w:val="00182628"/>
    <w:rsid w:val="0018263F"/>
    <w:rsid w:val="001826B9"/>
    <w:rsid w:val="00182708"/>
    <w:rsid w:val="00182774"/>
    <w:rsid w:val="001827A2"/>
    <w:rsid w:val="001827DC"/>
    <w:rsid w:val="0018280C"/>
    <w:rsid w:val="00182823"/>
    <w:rsid w:val="0018284C"/>
    <w:rsid w:val="00182886"/>
    <w:rsid w:val="001828B0"/>
    <w:rsid w:val="001828D5"/>
    <w:rsid w:val="0018290D"/>
    <w:rsid w:val="00182945"/>
    <w:rsid w:val="0018296D"/>
    <w:rsid w:val="00182977"/>
    <w:rsid w:val="001829CD"/>
    <w:rsid w:val="00182A08"/>
    <w:rsid w:val="00182A0A"/>
    <w:rsid w:val="00182A26"/>
    <w:rsid w:val="00182A43"/>
    <w:rsid w:val="00182A94"/>
    <w:rsid w:val="00182A96"/>
    <w:rsid w:val="00182ADD"/>
    <w:rsid w:val="00182B13"/>
    <w:rsid w:val="00182B83"/>
    <w:rsid w:val="00182C01"/>
    <w:rsid w:val="00182C14"/>
    <w:rsid w:val="00182C5B"/>
    <w:rsid w:val="00182C9A"/>
    <w:rsid w:val="00182D3E"/>
    <w:rsid w:val="00182E3D"/>
    <w:rsid w:val="00182E3E"/>
    <w:rsid w:val="00182EAD"/>
    <w:rsid w:val="00182F03"/>
    <w:rsid w:val="00182F3E"/>
    <w:rsid w:val="00182F56"/>
    <w:rsid w:val="00182F7E"/>
    <w:rsid w:val="00182F98"/>
    <w:rsid w:val="00183027"/>
    <w:rsid w:val="00183135"/>
    <w:rsid w:val="00183156"/>
    <w:rsid w:val="0018318A"/>
    <w:rsid w:val="0018318B"/>
    <w:rsid w:val="001831AA"/>
    <w:rsid w:val="00183200"/>
    <w:rsid w:val="0018324D"/>
    <w:rsid w:val="001832F6"/>
    <w:rsid w:val="00183379"/>
    <w:rsid w:val="00183386"/>
    <w:rsid w:val="001833F0"/>
    <w:rsid w:val="00183406"/>
    <w:rsid w:val="00183431"/>
    <w:rsid w:val="00183432"/>
    <w:rsid w:val="0018349F"/>
    <w:rsid w:val="001834BF"/>
    <w:rsid w:val="001834D1"/>
    <w:rsid w:val="00183599"/>
    <w:rsid w:val="001835E1"/>
    <w:rsid w:val="001835E5"/>
    <w:rsid w:val="00183613"/>
    <w:rsid w:val="00183666"/>
    <w:rsid w:val="001836EF"/>
    <w:rsid w:val="00183716"/>
    <w:rsid w:val="00183732"/>
    <w:rsid w:val="00183786"/>
    <w:rsid w:val="00183819"/>
    <w:rsid w:val="0018381D"/>
    <w:rsid w:val="00183856"/>
    <w:rsid w:val="00183893"/>
    <w:rsid w:val="001838A1"/>
    <w:rsid w:val="001838AC"/>
    <w:rsid w:val="001838C8"/>
    <w:rsid w:val="001838F1"/>
    <w:rsid w:val="001838F2"/>
    <w:rsid w:val="00183919"/>
    <w:rsid w:val="00183951"/>
    <w:rsid w:val="00183A2F"/>
    <w:rsid w:val="00183AC5"/>
    <w:rsid w:val="00183AED"/>
    <w:rsid w:val="00183B0F"/>
    <w:rsid w:val="00183B78"/>
    <w:rsid w:val="00183B89"/>
    <w:rsid w:val="00183BBD"/>
    <w:rsid w:val="00183C78"/>
    <w:rsid w:val="00183C88"/>
    <w:rsid w:val="00183E02"/>
    <w:rsid w:val="00183E0C"/>
    <w:rsid w:val="00183E11"/>
    <w:rsid w:val="00183E1B"/>
    <w:rsid w:val="00183E24"/>
    <w:rsid w:val="00183E2A"/>
    <w:rsid w:val="00183E8C"/>
    <w:rsid w:val="00183ED7"/>
    <w:rsid w:val="00183F05"/>
    <w:rsid w:val="00183F51"/>
    <w:rsid w:val="00183FBD"/>
    <w:rsid w:val="00183FED"/>
    <w:rsid w:val="00184073"/>
    <w:rsid w:val="001840FE"/>
    <w:rsid w:val="0018412D"/>
    <w:rsid w:val="0018418D"/>
    <w:rsid w:val="001842E8"/>
    <w:rsid w:val="001842EA"/>
    <w:rsid w:val="00184335"/>
    <w:rsid w:val="001843BA"/>
    <w:rsid w:val="001843CB"/>
    <w:rsid w:val="001843EB"/>
    <w:rsid w:val="0018444E"/>
    <w:rsid w:val="00184451"/>
    <w:rsid w:val="00184462"/>
    <w:rsid w:val="001844FF"/>
    <w:rsid w:val="00184502"/>
    <w:rsid w:val="00184524"/>
    <w:rsid w:val="001845D5"/>
    <w:rsid w:val="00184627"/>
    <w:rsid w:val="0018462B"/>
    <w:rsid w:val="0018462F"/>
    <w:rsid w:val="00184674"/>
    <w:rsid w:val="00184699"/>
    <w:rsid w:val="001846E3"/>
    <w:rsid w:val="00184710"/>
    <w:rsid w:val="0018471B"/>
    <w:rsid w:val="001847D0"/>
    <w:rsid w:val="00184826"/>
    <w:rsid w:val="00184843"/>
    <w:rsid w:val="00184875"/>
    <w:rsid w:val="001848CC"/>
    <w:rsid w:val="00184964"/>
    <w:rsid w:val="00184969"/>
    <w:rsid w:val="0018496A"/>
    <w:rsid w:val="00184983"/>
    <w:rsid w:val="00184A5F"/>
    <w:rsid w:val="00184A6B"/>
    <w:rsid w:val="00184AEC"/>
    <w:rsid w:val="00184B6F"/>
    <w:rsid w:val="00184C50"/>
    <w:rsid w:val="00184C68"/>
    <w:rsid w:val="00184CA1"/>
    <w:rsid w:val="00184CDA"/>
    <w:rsid w:val="00184CF1"/>
    <w:rsid w:val="00184CFF"/>
    <w:rsid w:val="00184D81"/>
    <w:rsid w:val="00184E06"/>
    <w:rsid w:val="00184E3C"/>
    <w:rsid w:val="00184E7C"/>
    <w:rsid w:val="00184E81"/>
    <w:rsid w:val="00184EC3"/>
    <w:rsid w:val="00184F80"/>
    <w:rsid w:val="00184FAB"/>
    <w:rsid w:val="00185074"/>
    <w:rsid w:val="0018515D"/>
    <w:rsid w:val="0018517A"/>
    <w:rsid w:val="001852B7"/>
    <w:rsid w:val="00185349"/>
    <w:rsid w:val="001853BB"/>
    <w:rsid w:val="001853F6"/>
    <w:rsid w:val="00185405"/>
    <w:rsid w:val="0018541F"/>
    <w:rsid w:val="0018542A"/>
    <w:rsid w:val="00185441"/>
    <w:rsid w:val="00185451"/>
    <w:rsid w:val="001854A9"/>
    <w:rsid w:val="001854D8"/>
    <w:rsid w:val="001855D4"/>
    <w:rsid w:val="00185641"/>
    <w:rsid w:val="0018565C"/>
    <w:rsid w:val="00185666"/>
    <w:rsid w:val="00185675"/>
    <w:rsid w:val="0018567A"/>
    <w:rsid w:val="00185789"/>
    <w:rsid w:val="001857C9"/>
    <w:rsid w:val="001857CF"/>
    <w:rsid w:val="001857D7"/>
    <w:rsid w:val="00185836"/>
    <w:rsid w:val="001858C3"/>
    <w:rsid w:val="001858DC"/>
    <w:rsid w:val="0018592E"/>
    <w:rsid w:val="0018597C"/>
    <w:rsid w:val="00185993"/>
    <w:rsid w:val="001859A1"/>
    <w:rsid w:val="001859CF"/>
    <w:rsid w:val="00185AD0"/>
    <w:rsid w:val="00185B19"/>
    <w:rsid w:val="00185B22"/>
    <w:rsid w:val="00185B31"/>
    <w:rsid w:val="00185B68"/>
    <w:rsid w:val="00185B90"/>
    <w:rsid w:val="00185C51"/>
    <w:rsid w:val="00185C69"/>
    <w:rsid w:val="00185C9D"/>
    <w:rsid w:val="00185CB0"/>
    <w:rsid w:val="00185CDA"/>
    <w:rsid w:val="00185D0C"/>
    <w:rsid w:val="00185D11"/>
    <w:rsid w:val="00185D49"/>
    <w:rsid w:val="00185D52"/>
    <w:rsid w:val="00185D7B"/>
    <w:rsid w:val="00185DEB"/>
    <w:rsid w:val="00185E05"/>
    <w:rsid w:val="00185E13"/>
    <w:rsid w:val="00185E25"/>
    <w:rsid w:val="00185E57"/>
    <w:rsid w:val="00185E69"/>
    <w:rsid w:val="00185E84"/>
    <w:rsid w:val="00185F2C"/>
    <w:rsid w:val="00185F35"/>
    <w:rsid w:val="00185F51"/>
    <w:rsid w:val="00185F81"/>
    <w:rsid w:val="00185FCC"/>
    <w:rsid w:val="00185FE0"/>
    <w:rsid w:val="00186039"/>
    <w:rsid w:val="00186056"/>
    <w:rsid w:val="00186063"/>
    <w:rsid w:val="00186075"/>
    <w:rsid w:val="00186083"/>
    <w:rsid w:val="00186139"/>
    <w:rsid w:val="0018615F"/>
    <w:rsid w:val="00186169"/>
    <w:rsid w:val="00186178"/>
    <w:rsid w:val="001861AB"/>
    <w:rsid w:val="001861C3"/>
    <w:rsid w:val="001861FC"/>
    <w:rsid w:val="00186239"/>
    <w:rsid w:val="001862B0"/>
    <w:rsid w:val="001862C3"/>
    <w:rsid w:val="001862C6"/>
    <w:rsid w:val="001862ED"/>
    <w:rsid w:val="00186331"/>
    <w:rsid w:val="0018635B"/>
    <w:rsid w:val="00186394"/>
    <w:rsid w:val="001863A7"/>
    <w:rsid w:val="00186414"/>
    <w:rsid w:val="0018656A"/>
    <w:rsid w:val="001865A5"/>
    <w:rsid w:val="001866EE"/>
    <w:rsid w:val="0018675B"/>
    <w:rsid w:val="001867C8"/>
    <w:rsid w:val="00186803"/>
    <w:rsid w:val="00186826"/>
    <w:rsid w:val="00186844"/>
    <w:rsid w:val="00186866"/>
    <w:rsid w:val="0018694B"/>
    <w:rsid w:val="00186968"/>
    <w:rsid w:val="0018697F"/>
    <w:rsid w:val="001869BB"/>
    <w:rsid w:val="001869EB"/>
    <w:rsid w:val="00186A58"/>
    <w:rsid w:val="00186AB7"/>
    <w:rsid w:val="00186ACB"/>
    <w:rsid w:val="00186B11"/>
    <w:rsid w:val="00186BA5"/>
    <w:rsid w:val="00186C4D"/>
    <w:rsid w:val="00186CB7"/>
    <w:rsid w:val="00186CC5"/>
    <w:rsid w:val="00186D1F"/>
    <w:rsid w:val="00186D36"/>
    <w:rsid w:val="00186D43"/>
    <w:rsid w:val="00186D4B"/>
    <w:rsid w:val="00186D55"/>
    <w:rsid w:val="00186E30"/>
    <w:rsid w:val="00186E88"/>
    <w:rsid w:val="00186E8E"/>
    <w:rsid w:val="00186EF7"/>
    <w:rsid w:val="00186F3D"/>
    <w:rsid w:val="00186F54"/>
    <w:rsid w:val="00186FC3"/>
    <w:rsid w:val="0018701A"/>
    <w:rsid w:val="00187091"/>
    <w:rsid w:val="001871C3"/>
    <w:rsid w:val="00187213"/>
    <w:rsid w:val="00187228"/>
    <w:rsid w:val="00187272"/>
    <w:rsid w:val="00187291"/>
    <w:rsid w:val="001872A1"/>
    <w:rsid w:val="001872FD"/>
    <w:rsid w:val="0018732B"/>
    <w:rsid w:val="00187379"/>
    <w:rsid w:val="001873B0"/>
    <w:rsid w:val="00187467"/>
    <w:rsid w:val="001874E6"/>
    <w:rsid w:val="001874EF"/>
    <w:rsid w:val="00187507"/>
    <w:rsid w:val="00187513"/>
    <w:rsid w:val="0018752C"/>
    <w:rsid w:val="0018756E"/>
    <w:rsid w:val="0018758D"/>
    <w:rsid w:val="001875E6"/>
    <w:rsid w:val="00187693"/>
    <w:rsid w:val="0018769E"/>
    <w:rsid w:val="001876A7"/>
    <w:rsid w:val="001876C6"/>
    <w:rsid w:val="001876EC"/>
    <w:rsid w:val="0018775B"/>
    <w:rsid w:val="001877AC"/>
    <w:rsid w:val="001877B2"/>
    <w:rsid w:val="001877CC"/>
    <w:rsid w:val="00187824"/>
    <w:rsid w:val="0018784D"/>
    <w:rsid w:val="00187860"/>
    <w:rsid w:val="00187917"/>
    <w:rsid w:val="0018796E"/>
    <w:rsid w:val="00187A07"/>
    <w:rsid w:val="00187A5A"/>
    <w:rsid w:val="00187A63"/>
    <w:rsid w:val="00187A9D"/>
    <w:rsid w:val="00187AB9"/>
    <w:rsid w:val="00187B11"/>
    <w:rsid w:val="00187B12"/>
    <w:rsid w:val="00187B14"/>
    <w:rsid w:val="00187B35"/>
    <w:rsid w:val="00187B64"/>
    <w:rsid w:val="00187B79"/>
    <w:rsid w:val="00187BB9"/>
    <w:rsid w:val="00187C4D"/>
    <w:rsid w:val="00187C69"/>
    <w:rsid w:val="00187C79"/>
    <w:rsid w:val="00187C9B"/>
    <w:rsid w:val="00187CB3"/>
    <w:rsid w:val="00187D3C"/>
    <w:rsid w:val="00187DAA"/>
    <w:rsid w:val="00187DD1"/>
    <w:rsid w:val="00187E58"/>
    <w:rsid w:val="00187E95"/>
    <w:rsid w:val="00187EC9"/>
    <w:rsid w:val="00187EFB"/>
    <w:rsid w:val="00187F46"/>
    <w:rsid w:val="00187F8F"/>
    <w:rsid w:val="00187F95"/>
    <w:rsid w:val="00190027"/>
    <w:rsid w:val="0019002C"/>
    <w:rsid w:val="00190058"/>
    <w:rsid w:val="001900AB"/>
    <w:rsid w:val="001900BC"/>
    <w:rsid w:val="0019010C"/>
    <w:rsid w:val="00190134"/>
    <w:rsid w:val="00190142"/>
    <w:rsid w:val="001901A4"/>
    <w:rsid w:val="001901BF"/>
    <w:rsid w:val="001901E1"/>
    <w:rsid w:val="00190205"/>
    <w:rsid w:val="00190206"/>
    <w:rsid w:val="00190236"/>
    <w:rsid w:val="001902C9"/>
    <w:rsid w:val="001902E0"/>
    <w:rsid w:val="00190338"/>
    <w:rsid w:val="00190362"/>
    <w:rsid w:val="00190402"/>
    <w:rsid w:val="00190462"/>
    <w:rsid w:val="00190505"/>
    <w:rsid w:val="00190511"/>
    <w:rsid w:val="001905E3"/>
    <w:rsid w:val="001905FB"/>
    <w:rsid w:val="0019063E"/>
    <w:rsid w:val="00190664"/>
    <w:rsid w:val="001906C2"/>
    <w:rsid w:val="001906E3"/>
    <w:rsid w:val="0019074C"/>
    <w:rsid w:val="001907F6"/>
    <w:rsid w:val="0019082A"/>
    <w:rsid w:val="001908A1"/>
    <w:rsid w:val="0019090C"/>
    <w:rsid w:val="0019091D"/>
    <w:rsid w:val="00190960"/>
    <w:rsid w:val="00190A03"/>
    <w:rsid w:val="00190A58"/>
    <w:rsid w:val="00190AE4"/>
    <w:rsid w:val="00190B07"/>
    <w:rsid w:val="00190B27"/>
    <w:rsid w:val="00190CDF"/>
    <w:rsid w:val="00190D06"/>
    <w:rsid w:val="00190D5D"/>
    <w:rsid w:val="00190DBF"/>
    <w:rsid w:val="00190DE1"/>
    <w:rsid w:val="00190E36"/>
    <w:rsid w:val="00190EAA"/>
    <w:rsid w:val="00190EAC"/>
    <w:rsid w:val="00190EAF"/>
    <w:rsid w:val="00190FA1"/>
    <w:rsid w:val="0019101A"/>
    <w:rsid w:val="0019108F"/>
    <w:rsid w:val="00191159"/>
    <w:rsid w:val="001911B7"/>
    <w:rsid w:val="001911C3"/>
    <w:rsid w:val="00191209"/>
    <w:rsid w:val="00191281"/>
    <w:rsid w:val="00191296"/>
    <w:rsid w:val="001912B7"/>
    <w:rsid w:val="00191328"/>
    <w:rsid w:val="0019137D"/>
    <w:rsid w:val="00191382"/>
    <w:rsid w:val="00191398"/>
    <w:rsid w:val="0019139D"/>
    <w:rsid w:val="00191415"/>
    <w:rsid w:val="00191425"/>
    <w:rsid w:val="00191434"/>
    <w:rsid w:val="00191463"/>
    <w:rsid w:val="0019147C"/>
    <w:rsid w:val="001914A2"/>
    <w:rsid w:val="00191540"/>
    <w:rsid w:val="00191563"/>
    <w:rsid w:val="00191579"/>
    <w:rsid w:val="00191590"/>
    <w:rsid w:val="00191636"/>
    <w:rsid w:val="0019163B"/>
    <w:rsid w:val="0019163F"/>
    <w:rsid w:val="00191652"/>
    <w:rsid w:val="0019169D"/>
    <w:rsid w:val="001916A2"/>
    <w:rsid w:val="001916F5"/>
    <w:rsid w:val="00191735"/>
    <w:rsid w:val="0019175D"/>
    <w:rsid w:val="00191778"/>
    <w:rsid w:val="001917BC"/>
    <w:rsid w:val="001917DE"/>
    <w:rsid w:val="001917E4"/>
    <w:rsid w:val="00191813"/>
    <w:rsid w:val="00191825"/>
    <w:rsid w:val="001918CA"/>
    <w:rsid w:val="001918DE"/>
    <w:rsid w:val="001918FA"/>
    <w:rsid w:val="0019190F"/>
    <w:rsid w:val="001919AD"/>
    <w:rsid w:val="001919B0"/>
    <w:rsid w:val="001919D5"/>
    <w:rsid w:val="001919D9"/>
    <w:rsid w:val="001919DE"/>
    <w:rsid w:val="00191A91"/>
    <w:rsid w:val="00191ADD"/>
    <w:rsid w:val="00191B3C"/>
    <w:rsid w:val="00191B8F"/>
    <w:rsid w:val="00191BEF"/>
    <w:rsid w:val="00191C99"/>
    <w:rsid w:val="00191CC2"/>
    <w:rsid w:val="00191D38"/>
    <w:rsid w:val="00191D5A"/>
    <w:rsid w:val="00191D99"/>
    <w:rsid w:val="00191DC5"/>
    <w:rsid w:val="00191EBE"/>
    <w:rsid w:val="00191EC5"/>
    <w:rsid w:val="00191FCD"/>
    <w:rsid w:val="001920CB"/>
    <w:rsid w:val="001920E2"/>
    <w:rsid w:val="00192173"/>
    <w:rsid w:val="00192198"/>
    <w:rsid w:val="001921E1"/>
    <w:rsid w:val="0019225A"/>
    <w:rsid w:val="001922D3"/>
    <w:rsid w:val="0019230B"/>
    <w:rsid w:val="00192341"/>
    <w:rsid w:val="0019234F"/>
    <w:rsid w:val="00192362"/>
    <w:rsid w:val="00192370"/>
    <w:rsid w:val="00192419"/>
    <w:rsid w:val="00192446"/>
    <w:rsid w:val="001924BA"/>
    <w:rsid w:val="001924EA"/>
    <w:rsid w:val="001925BB"/>
    <w:rsid w:val="001925E7"/>
    <w:rsid w:val="00192673"/>
    <w:rsid w:val="00192682"/>
    <w:rsid w:val="001926C3"/>
    <w:rsid w:val="001926F4"/>
    <w:rsid w:val="00192702"/>
    <w:rsid w:val="00192744"/>
    <w:rsid w:val="0019274C"/>
    <w:rsid w:val="0019278A"/>
    <w:rsid w:val="001927B0"/>
    <w:rsid w:val="001927F7"/>
    <w:rsid w:val="00192806"/>
    <w:rsid w:val="00192819"/>
    <w:rsid w:val="00192872"/>
    <w:rsid w:val="001928A0"/>
    <w:rsid w:val="001928F4"/>
    <w:rsid w:val="00192957"/>
    <w:rsid w:val="00192975"/>
    <w:rsid w:val="0019298A"/>
    <w:rsid w:val="001929DC"/>
    <w:rsid w:val="001929F9"/>
    <w:rsid w:val="00192AC4"/>
    <w:rsid w:val="00192AEF"/>
    <w:rsid w:val="00192AF6"/>
    <w:rsid w:val="00192B3F"/>
    <w:rsid w:val="00192B8D"/>
    <w:rsid w:val="00192BBD"/>
    <w:rsid w:val="00192C31"/>
    <w:rsid w:val="00192C55"/>
    <w:rsid w:val="00192C56"/>
    <w:rsid w:val="00192C92"/>
    <w:rsid w:val="00192C96"/>
    <w:rsid w:val="00192CDF"/>
    <w:rsid w:val="00192CF0"/>
    <w:rsid w:val="00192CF8"/>
    <w:rsid w:val="00192CFD"/>
    <w:rsid w:val="00192D25"/>
    <w:rsid w:val="00192D2C"/>
    <w:rsid w:val="00192E15"/>
    <w:rsid w:val="00192E2E"/>
    <w:rsid w:val="00192E6F"/>
    <w:rsid w:val="00192E8A"/>
    <w:rsid w:val="00192EAB"/>
    <w:rsid w:val="00192ECC"/>
    <w:rsid w:val="00192FA4"/>
    <w:rsid w:val="00192FD6"/>
    <w:rsid w:val="00193009"/>
    <w:rsid w:val="0019300E"/>
    <w:rsid w:val="00193045"/>
    <w:rsid w:val="0019305C"/>
    <w:rsid w:val="00193064"/>
    <w:rsid w:val="00193099"/>
    <w:rsid w:val="001930B0"/>
    <w:rsid w:val="001930D7"/>
    <w:rsid w:val="001931F8"/>
    <w:rsid w:val="00193248"/>
    <w:rsid w:val="001932E6"/>
    <w:rsid w:val="0019331D"/>
    <w:rsid w:val="00193343"/>
    <w:rsid w:val="0019346C"/>
    <w:rsid w:val="00193559"/>
    <w:rsid w:val="001935DB"/>
    <w:rsid w:val="0019366C"/>
    <w:rsid w:val="001936D5"/>
    <w:rsid w:val="0019371A"/>
    <w:rsid w:val="0019376E"/>
    <w:rsid w:val="001937A2"/>
    <w:rsid w:val="00193817"/>
    <w:rsid w:val="00193887"/>
    <w:rsid w:val="00193899"/>
    <w:rsid w:val="001938EC"/>
    <w:rsid w:val="001938FF"/>
    <w:rsid w:val="0019392E"/>
    <w:rsid w:val="0019392F"/>
    <w:rsid w:val="00193970"/>
    <w:rsid w:val="001939EA"/>
    <w:rsid w:val="00193AD6"/>
    <w:rsid w:val="00193AEE"/>
    <w:rsid w:val="00193AF7"/>
    <w:rsid w:val="00193B55"/>
    <w:rsid w:val="00193B68"/>
    <w:rsid w:val="00193BE3"/>
    <w:rsid w:val="00193C60"/>
    <w:rsid w:val="00193C7B"/>
    <w:rsid w:val="00193DA8"/>
    <w:rsid w:val="00193DD3"/>
    <w:rsid w:val="00193E17"/>
    <w:rsid w:val="00193E43"/>
    <w:rsid w:val="00193E4C"/>
    <w:rsid w:val="00193E5C"/>
    <w:rsid w:val="00193E8F"/>
    <w:rsid w:val="00193ED8"/>
    <w:rsid w:val="00193F0F"/>
    <w:rsid w:val="00193F12"/>
    <w:rsid w:val="00193F38"/>
    <w:rsid w:val="00193F7D"/>
    <w:rsid w:val="00193FC2"/>
    <w:rsid w:val="00194054"/>
    <w:rsid w:val="00194055"/>
    <w:rsid w:val="0019406D"/>
    <w:rsid w:val="00194096"/>
    <w:rsid w:val="001940CC"/>
    <w:rsid w:val="00194107"/>
    <w:rsid w:val="00194116"/>
    <w:rsid w:val="0019412B"/>
    <w:rsid w:val="0019412F"/>
    <w:rsid w:val="00194149"/>
    <w:rsid w:val="001941EF"/>
    <w:rsid w:val="00194204"/>
    <w:rsid w:val="00194281"/>
    <w:rsid w:val="00194284"/>
    <w:rsid w:val="001942AB"/>
    <w:rsid w:val="001942AE"/>
    <w:rsid w:val="00194337"/>
    <w:rsid w:val="00194339"/>
    <w:rsid w:val="0019435F"/>
    <w:rsid w:val="0019436D"/>
    <w:rsid w:val="00194392"/>
    <w:rsid w:val="0019440D"/>
    <w:rsid w:val="00194495"/>
    <w:rsid w:val="001944CB"/>
    <w:rsid w:val="0019450F"/>
    <w:rsid w:val="001945CD"/>
    <w:rsid w:val="001945F2"/>
    <w:rsid w:val="00194659"/>
    <w:rsid w:val="001946FE"/>
    <w:rsid w:val="00194785"/>
    <w:rsid w:val="0019479B"/>
    <w:rsid w:val="001947D7"/>
    <w:rsid w:val="001947EA"/>
    <w:rsid w:val="001947FE"/>
    <w:rsid w:val="00194854"/>
    <w:rsid w:val="00194870"/>
    <w:rsid w:val="00194880"/>
    <w:rsid w:val="001948C5"/>
    <w:rsid w:val="001948C8"/>
    <w:rsid w:val="0019493B"/>
    <w:rsid w:val="0019495F"/>
    <w:rsid w:val="0019497C"/>
    <w:rsid w:val="00194A04"/>
    <w:rsid w:val="00194A09"/>
    <w:rsid w:val="00194A5C"/>
    <w:rsid w:val="00194A66"/>
    <w:rsid w:val="00194ABC"/>
    <w:rsid w:val="00194AF0"/>
    <w:rsid w:val="00194BBA"/>
    <w:rsid w:val="00194C04"/>
    <w:rsid w:val="00194C72"/>
    <w:rsid w:val="00194CAE"/>
    <w:rsid w:val="00194CCF"/>
    <w:rsid w:val="00194CD4"/>
    <w:rsid w:val="00194D7B"/>
    <w:rsid w:val="00194DC8"/>
    <w:rsid w:val="00194DE7"/>
    <w:rsid w:val="00194E42"/>
    <w:rsid w:val="00194E4C"/>
    <w:rsid w:val="00194F7E"/>
    <w:rsid w:val="00194F9E"/>
    <w:rsid w:val="00194FA7"/>
    <w:rsid w:val="00195075"/>
    <w:rsid w:val="001950BF"/>
    <w:rsid w:val="00195117"/>
    <w:rsid w:val="0019513F"/>
    <w:rsid w:val="00195177"/>
    <w:rsid w:val="001951BB"/>
    <w:rsid w:val="001951E1"/>
    <w:rsid w:val="00195244"/>
    <w:rsid w:val="00195245"/>
    <w:rsid w:val="0019528D"/>
    <w:rsid w:val="001952CE"/>
    <w:rsid w:val="00195362"/>
    <w:rsid w:val="0019536F"/>
    <w:rsid w:val="001953A6"/>
    <w:rsid w:val="001953F8"/>
    <w:rsid w:val="0019545A"/>
    <w:rsid w:val="001954CF"/>
    <w:rsid w:val="001954D1"/>
    <w:rsid w:val="001954ED"/>
    <w:rsid w:val="00195527"/>
    <w:rsid w:val="00195533"/>
    <w:rsid w:val="00195559"/>
    <w:rsid w:val="0019556C"/>
    <w:rsid w:val="00195583"/>
    <w:rsid w:val="001955AF"/>
    <w:rsid w:val="001955D1"/>
    <w:rsid w:val="0019560B"/>
    <w:rsid w:val="0019561C"/>
    <w:rsid w:val="00195676"/>
    <w:rsid w:val="001956C0"/>
    <w:rsid w:val="001956E2"/>
    <w:rsid w:val="00195701"/>
    <w:rsid w:val="0019571A"/>
    <w:rsid w:val="0019573C"/>
    <w:rsid w:val="001957C7"/>
    <w:rsid w:val="001957D6"/>
    <w:rsid w:val="001957E4"/>
    <w:rsid w:val="00195858"/>
    <w:rsid w:val="00195869"/>
    <w:rsid w:val="001958D0"/>
    <w:rsid w:val="00195918"/>
    <w:rsid w:val="0019594A"/>
    <w:rsid w:val="001959A6"/>
    <w:rsid w:val="001959CC"/>
    <w:rsid w:val="00195A1B"/>
    <w:rsid w:val="00195A98"/>
    <w:rsid w:val="00195AE4"/>
    <w:rsid w:val="00195B1A"/>
    <w:rsid w:val="00195B9C"/>
    <w:rsid w:val="00195C62"/>
    <w:rsid w:val="00195CEF"/>
    <w:rsid w:val="00195D2A"/>
    <w:rsid w:val="00195D77"/>
    <w:rsid w:val="00195DAC"/>
    <w:rsid w:val="00195DBD"/>
    <w:rsid w:val="00195DF4"/>
    <w:rsid w:val="00195F56"/>
    <w:rsid w:val="00195F85"/>
    <w:rsid w:val="0019613D"/>
    <w:rsid w:val="00196165"/>
    <w:rsid w:val="001961A3"/>
    <w:rsid w:val="0019622B"/>
    <w:rsid w:val="00196266"/>
    <w:rsid w:val="001962D9"/>
    <w:rsid w:val="0019633B"/>
    <w:rsid w:val="001963F5"/>
    <w:rsid w:val="00196436"/>
    <w:rsid w:val="0019644B"/>
    <w:rsid w:val="00196463"/>
    <w:rsid w:val="0019646D"/>
    <w:rsid w:val="00196493"/>
    <w:rsid w:val="001964BF"/>
    <w:rsid w:val="001964C4"/>
    <w:rsid w:val="00196506"/>
    <w:rsid w:val="00196563"/>
    <w:rsid w:val="0019656E"/>
    <w:rsid w:val="0019659B"/>
    <w:rsid w:val="001965D5"/>
    <w:rsid w:val="0019662B"/>
    <w:rsid w:val="00196640"/>
    <w:rsid w:val="001966CB"/>
    <w:rsid w:val="001966D9"/>
    <w:rsid w:val="0019673F"/>
    <w:rsid w:val="00196759"/>
    <w:rsid w:val="001968E0"/>
    <w:rsid w:val="00196958"/>
    <w:rsid w:val="001969EF"/>
    <w:rsid w:val="00196A7B"/>
    <w:rsid w:val="00196AD9"/>
    <w:rsid w:val="00196AFA"/>
    <w:rsid w:val="00196B23"/>
    <w:rsid w:val="00196B65"/>
    <w:rsid w:val="00196B95"/>
    <w:rsid w:val="00196BA6"/>
    <w:rsid w:val="00196BD3"/>
    <w:rsid w:val="00196BED"/>
    <w:rsid w:val="00196C63"/>
    <w:rsid w:val="00196C65"/>
    <w:rsid w:val="00196C97"/>
    <w:rsid w:val="00196C9E"/>
    <w:rsid w:val="00196CB1"/>
    <w:rsid w:val="00196D47"/>
    <w:rsid w:val="00196D70"/>
    <w:rsid w:val="00196D72"/>
    <w:rsid w:val="00196D96"/>
    <w:rsid w:val="00196E61"/>
    <w:rsid w:val="00196E68"/>
    <w:rsid w:val="00196EB8"/>
    <w:rsid w:val="00196F43"/>
    <w:rsid w:val="00196F83"/>
    <w:rsid w:val="00196F9D"/>
    <w:rsid w:val="00196FD5"/>
    <w:rsid w:val="0019700F"/>
    <w:rsid w:val="00197059"/>
    <w:rsid w:val="00197083"/>
    <w:rsid w:val="001970CC"/>
    <w:rsid w:val="001970DF"/>
    <w:rsid w:val="001970EB"/>
    <w:rsid w:val="001971F5"/>
    <w:rsid w:val="001971F7"/>
    <w:rsid w:val="00197209"/>
    <w:rsid w:val="00197227"/>
    <w:rsid w:val="00197263"/>
    <w:rsid w:val="00197276"/>
    <w:rsid w:val="0019727D"/>
    <w:rsid w:val="001972C4"/>
    <w:rsid w:val="001972C9"/>
    <w:rsid w:val="001972D2"/>
    <w:rsid w:val="0019733B"/>
    <w:rsid w:val="00197393"/>
    <w:rsid w:val="001973B3"/>
    <w:rsid w:val="001973CD"/>
    <w:rsid w:val="001973DA"/>
    <w:rsid w:val="0019741B"/>
    <w:rsid w:val="00197427"/>
    <w:rsid w:val="00197469"/>
    <w:rsid w:val="00197475"/>
    <w:rsid w:val="0019759E"/>
    <w:rsid w:val="001975FA"/>
    <w:rsid w:val="00197635"/>
    <w:rsid w:val="0019767D"/>
    <w:rsid w:val="00197686"/>
    <w:rsid w:val="00197687"/>
    <w:rsid w:val="00197698"/>
    <w:rsid w:val="001976B1"/>
    <w:rsid w:val="00197783"/>
    <w:rsid w:val="0019778B"/>
    <w:rsid w:val="001977A5"/>
    <w:rsid w:val="001977D9"/>
    <w:rsid w:val="00197827"/>
    <w:rsid w:val="0019787E"/>
    <w:rsid w:val="00197883"/>
    <w:rsid w:val="0019788A"/>
    <w:rsid w:val="001978B5"/>
    <w:rsid w:val="00197918"/>
    <w:rsid w:val="00197926"/>
    <w:rsid w:val="00197A2A"/>
    <w:rsid w:val="00197A55"/>
    <w:rsid w:val="00197AC6"/>
    <w:rsid w:val="00197AD6"/>
    <w:rsid w:val="00197AF7"/>
    <w:rsid w:val="00197B0C"/>
    <w:rsid w:val="00197B20"/>
    <w:rsid w:val="00197CE0"/>
    <w:rsid w:val="00197D43"/>
    <w:rsid w:val="00197D4A"/>
    <w:rsid w:val="00197D5F"/>
    <w:rsid w:val="00197D92"/>
    <w:rsid w:val="00197DA6"/>
    <w:rsid w:val="00197E13"/>
    <w:rsid w:val="00197E7E"/>
    <w:rsid w:val="00197EA7"/>
    <w:rsid w:val="00197EE2"/>
    <w:rsid w:val="00197F2D"/>
    <w:rsid w:val="00197F48"/>
    <w:rsid w:val="00197F55"/>
    <w:rsid w:val="00197F73"/>
    <w:rsid w:val="00197F79"/>
    <w:rsid w:val="00197F82"/>
    <w:rsid w:val="00197FB0"/>
    <w:rsid w:val="00197FE7"/>
    <w:rsid w:val="001A0017"/>
    <w:rsid w:val="001A001B"/>
    <w:rsid w:val="001A002F"/>
    <w:rsid w:val="001A0045"/>
    <w:rsid w:val="001A00B7"/>
    <w:rsid w:val="001A0105"/>
    <w:rsid w:val="001A0120"/>
    <w:rsid w:val="001A0139"/>
    <w:rsid w:val="001A0163"/>
    <w:rsid w:val="001A016F"/>
    <w:rsid w:val="001A019C"/>
    <w:rsid w:val="001A01B8"/>
    <w:rsid w:val="001A01DC"/>
    <w:rsid w:val="001A01FB"/>
    <w:rsid w:val="001A0219"/>
    <w:rsid w:val="001A023D"/>
    <w:rsid w:val="001A025C"/>
    <w:rsid w:val="001A02A9"/>
    <w:rsid w:val="001A02FC"/>
    <w:rsid w:val="001A0371"/>
    <w:rsid w:val="001A039E"/>
    <w:rsid w:val="001A03CC"/>
    <w:rsid w:val="001A041B"/>
    <w:rsid w:val="001A0430"/>
    <w:rsid w:val="001A043A"/>
    <w:rsid w:val="001A0481"/>
    <w:rsid w:val="001A0482"/>
    <w:rsid w:val="001A04C0"/>
    <w:rsid w:val="001A04E9"/>
    <w:rsid w:val="001A04EA"/>
    <w:rsid w:val="001A04F8"/>
    <w:rsid w:val="001A053D"/>
    <w:rsid w:val="001A0578"/>
    <w:rsid w:val="001A05A8"/>
    <w:rsid w:val="001A05C8"/>
    <w:rsid w:val="001A05D8"/>
    <w:rsid w:val="001A05DB"/>
    <w:rsid w:val="001A05EB"/>
    <w:rsid w:val="001A05F1"/>
    <w:rsid w:val="001A062F"/>
    <w:rsid w:val="001A066C"/>
    <w:rsid w:val="001A06D2"/>
    <w:rsid w:val="001A0702"/>
    <w:rsid w:val="001A0719"/>
    <w:rsid w:val="001A0720"/>
    <w:rsid w:val="001A0755"/>
    <w:rsid w:val="001A0768"/>
    <w:rsid w:val="001A07CF"/>
    <w:rsid w:val="001A07D0"/>
    <w:rsid w:val="001A07DB"/>
    <w:rsid w:val="001A07EA"/>
    <w:rsid w:val="001A07FB"/>
    <w:rsid w:val="001A080B"/>
    <w:rsid w:val="001A0811"/>
    <w:rsid w:val="001A0812"/>
    <w:rsid w:val="001A0832"/>
    <w:rsid w:val="001A088A"/>
    <w:rsid w:val="001A08C0"/>
    <w:rsid w:val="001A0929"/>
    <w:rsid w:val="001A0990"/>
    <w:rsid w:val="001A0A63"/>
    <w:rsid w:val="001A0AC7"/>
    <w:rsid w:val="001A0BBD"/>
    <w:rsid w:val="001A0BC2"/>
    <w:rsid w:val="001A0C14"/>
    <w:rsid w:val="001A0C32"/>
    <w:rsid w:val="001A0CA2"/>
    <w:rsid w:val="001A0D19"/>
    <w:rsid w:val="001A0D48"/>
    <w:rsid w:val="001A0DE2"/>
    <w:rsid w:val="001A0E10"/>
    <w:rsid w:val="001A0E5D"/>
    <w:rsid w:val="001A0E8D"/>
    <w:rsid w:val="001A0EFF"/>
    <w:rsid w:val="001A0FF0"/>
    <w:rsid w:val="001A0FF2"/>
    <w:rsid w:val="001A1035"/>
    <w:rsid w:val="001A1070"/>
    <w:rsid w:val="001A1104"/>
    <w:rsid w:val="001A1106"/>
    <w:rsid w:val="001A120B"/>
    <w:rsid w:val="001A124B"/>
    <w:rsid w:val="001A1275"/>
    <w:rsid w:val="001A129D"/>
    <w:rsid w:val="001A12F6"/>
    <w:rsid w:val="001A1306"/>
    <w:rsid w:val="001A131A"/>
    <w:rsid w:val="001A1331"/>
    <w:rsid w:val="001A1366"/>
    <w:rsid w:val="001A13C3"/>
    <w:rsid w:val="001A13E5"/>
    <w:rsid w:val="001A1410"/>
    <w:rsid w:val="001A1530"/>
    <w:rsid w:val="001A1534"/>
    <w:rsid w:val="001A15A8"/>
    <w:rsid w:val="001A167F"/>
    <w:rsid w:val="001A16F6"/>
    <w:rsid w:val="001A1720"/>
    <w:rsid w:val="001A1731"/>
    <w:rsid w:val="001A1779"/>
    <w:rsid w:val="001A17D3"/>
    <w:rsid w:val="001A180B"/>
    <w:rsid w:val="001A1867"/>
    <w:rsid w:val="001A1914"/>
    <w:rsid w:val="001A195B"/>
    <w:rsid w:val="001A19E7"/>
    <w:rsid w:val="001A1A45"/>
    <w:rsid w:val="001A1A96"/>
    <w:rsid w:val="001A1A9B"/>
    <w:rsid w:val="001A1AF0"/>
    <w:rsid w:val="001A1B0E"/>
    <w:rsid w:val="001A1B43"/>
    <w:rsid w:val="001A1BB8"/>
    <w:rsid w:val="001A1BB9"/>
    <w:rsid w:val="001A1BFE"/>
    <w:rsid w:val="001A1C2E"/>
    <w:rsid w:val="001A1C78"/>
    <w:rsid w:val="001A1CB4"/>
    <w:rsid w:val="001A1CD4"/>
    <w:rsid w:val="001A1D08"/>
    <w:rsid w:val="001A1D31"/>
    <w:rsid w:val="001A1D54"/>
    <w:rsid w:val="001A1D68"/>
    <w:rsid w:val="001A1D9E"/>
    <w:rsid w:val="001A1DCE"/>
    <w:rsid w:val="001A1E19"/>
    <w:rsid w:val="001A1E82"/>
    <w:rsid w:val="001A1F59"/>
    <w:rsid w:val="001A1F71"/>
    <w:rsid w:val="001A1F7F"/>
    <w:rsid w:val="001A1FA3"/>
    <w:rsid w:val="001A2068"/>
    <w:rsid w:val="001A207E"/>
    <w:rsid w:val="001A20BC"/>
    <w:rsid w:val="001A212E"/>
    <w:rsid w:val="001A213E"/>
    <w:rsid w:val="001A21F3"/>
    <w:rsid w:val="001A2258"/>
    <w:rsid w:val="001A22CA"/>
    <w:rsid w:val="001A230B"/>
    <w:rsid w:val="001A2320"/>
    <w:rsid w:val="001A2324"/>
    <w:rsid w:val="001A2355"/>
    <w:rsid w:val="001A237C"/>
    <w:rsid w:val="001A2393"/>
    <w:rsid w:val="001A2459"/>
    <w:rsid w:val="001A246A"/>
    <w:rsid w:val="001A24A4"/>
    <w:rsid w:val="001A24C0"/>
    <w:rsid w:val="001A2524"/>
    <w:rsid w:val="001A2541"/>
    <w:rsid w:val="001A2569"/>
    <w:rsid w:val="001A25B1"/>
    <w:rsid w:val="001A260C"/>
    <w:rsid w:val="001A260E"/>
    <w:rsid w:val="001A2613"/>
    <w:rsid w:val="001A264C"/>
    <w:rsid w:val="001A26BD"/>
    <w:rsid w:val="001A27C8"/>
    <w:rsid w:val="001A27EA"/>
    <w:rsid w:val="001A27FE"/>
    <w:rsid w:val="001A27FF"/>
    <w:rsid w:val="001A2816"/>
    <w:rsid w:val="001A287F"/>
    <w:rsid w:val="001A28D9"/>
    <w:rsid w:val="001A291C"/>
    <w:rsid w:val="001A293C"/>
    <w:rsid w:val="001A2957"/>
    <w:rsid w:val="001A2978"/>
    <w:rsid w:val="001A29CA"/>
    <w:rsid w:val="001A2A96"/>
    <w:rsid w:val="001A2ADE"/>
    <w:rsid w:val="001A2AE4"/>
    <w:rsid w:val="001A2BD8"/>
    <w:rsid w:val="001A2BFA"/>
    <w:rsid w:val="001A2C1E"/>
    <w:rsid w:val="001A2D37"/>
    <w:rsid w:val="001A2D5E"/>
    <w:rsid w:val="001A2DA4"/>
    <w:rsid w:val="001A2DD1"/>
    <w:rsid w:val="001A2DFC"/>
    <w:rsid w:val="001A2E69"/>
    <w:rsid w:val="001A2ED9"/>
    <w:rsid w:val="001A2F0E"/>
    <w:rsid w:val="001A2F25"/>
    <w:rsid w:val="001A2F82"/>
    <w:rsid w:val="001A2F8A"/>
    <w:rsid w:val="001A2F99"/>
    <w:rsid w:val="001A2FB0"/>
    <w:rsid w:val="001A2FE9"/>
    <w:rsid w:val="001A307C"/>
    <w:rsid w:val="001A3134"/>
    <w:rsid w:val="001A3196"/>
    <w:rsid w:val="001A31D5"/>
    <w:rsid w:val="001A31DA"/>
    <w:rsid w:val="001A31F1"/>
    <w:rsid w:val="001A3244"/>
    <w:rsid w:val="001A32E5"/>
    <w:rsid w:val="001A32F8"/>
    <w:rsid w:val="001A335E"/>
    <w:rsid w:val="001A3381"/>
    <w:rsid w:val="001A3396"/>
    <w:rsid w:val="001A33F9"/>
    <w:rsid w:val="001A3408"/>
    <w:rsid w:val="001A349B"/>
    <w:rsid w:val="001A34C4"/>
    <w:rsid w:val="001A34DA"/>
    <w:rsid w:val="001A35D6"/>
    <w:rsid w:val="001A365B"/>
    <w:rsid w:val="001A36A4"/>
    <w:rsid w:val="001A36B0"/>
    <w:rsid w:val="001A3720"/>
    <w:rsid w:val="001A3765"/>
    <w:rsid w:val="001A37EC"/>
    <w:rsid w:val="001A383A"/>
    <w:rsid w:val="001A387A"/>
    <w:rsid w:val="001A3894"/>
    <w:rsid w:val="001A38A7"/>
    <w:rsid w:val="001A38B5"/>
    <w:rsid w:val="001A38B7"/>
    <w:rsid w:val="001A38BA"/>
    <w:rsid w:val="001A38F4"/>
    <w:rsid w:val="001A3901"/>
    <w:rsid w:val="001A3929"/>
    <w:rsid w:val="001A394B"/>
    <w:rsid w:val="001A3978"/>
    <w:rsid w:val="001A3984"/>
    <w:rsid w:val="001A39AA"/>
    <w:rsid w:val="001A39C4"/>
    <w:rsid w:val="001A3A44"/>
    <w:rsid w:val="001A3ABE"/>
    <w:rsid w:val="001A3AD8"/>
    <w:rsid w:val="001A3BA1"/>
    <w:rsid w:val="001A3BB8"/>
    <w:rsid w:val="001A3BBA"/>
    <w:rsid w:val="001A3BCD"/>
    <w:rsid w:val="001A3C6A"/>
    <w:rsid w:val="001A3CEF"/>
    <w:rsid w:val="001A3DD5"/>
    <w:rsid w:val="001A3E05"/>
    <w:rsid w:val="001A3E07"/>
    <w:rsid w:val="001A3E3D"/>
    <w:rsid w:val="001A3E6F"/>
    <w:rsid w:val="001A3F41"/>
    <w:rsid w:val="001A3FD6"/>
    <w:rsid w:val="001A402B"/>
    <w:rsid w:val="001A412E"/>
    <w:rsid w:val="001A417E"/>
    <w:rsid w:val="001A4243"/>
    <w:rsid w:val="001A425D"/>
    <w:rsid w:val="001A4269"/>
    <w:rsid w:val="001A430E"/>
    <w:rsid w:val="001A431B"/>
    <w:rsid w:val="001A431E"/>
    <w:rsid w:val="001A4342"/>
    <w:rsid w:val="001A43A0"/>
    <w:rsid w:val="001A4428"/>
    <w:rsid w:val="001A448C"/>
    <w:rsid w:val="001A4495"/>
    <w:rsid w:val="001A4496"/>
    <w:rsid w:val="001A44C3"/>
    <w:rsid w:val="001A44DD"/>
    <w:rsid w:val="001A4553"/>
    <w:rsid w:val="001A4589"/>
    <w:rsid w:val="001A45D3"/>
    <w:rsid w:val="001A4733"/>
    <w:rsid w:val="001A473A"/>
    <w:rsid w:val="001A475F"/>
    <w:rsid w:val="001A4792"/>
    <w:rsid w:val="001A4803"/>
    <w:rsid w:val="001A4820"/>
    <w:rsid w:val="001A486E"/>
    <w:rsid w:val="001A4889"/>
    <w:rsid w:val="001A48B3"/>
    <w:rsid w:val="001A48C8"/>
    <w:rsid w:val="001A4924"/>
    <w:rsid w:val="001A49F8"/>
    <w:rsid w:val="001A4A28"/>
    <w:rsid w:val="001A4A82"/>
    <w:rsid w:val="001A4B4F"/>
    <w:rsid w:val="001A4BCA"/>
    <w:rsid w:val="001A4BFC"/>
    <w:rsid w:val="001A4C15"/>
    <w:rsid w:val="001A4C60"/>
    <w:rsid w:val="001A4C64"/>
    <w:rsid w:val="001A4CB7"/>
    <w:rsid w:val="001A4CD1"/>
    <w:rsid w:val="001A4CE4"/>
    <w:rsid w:val="001A4D76"/>
    <w:rsid w:val="001A4DFA"/>
    <w:rsid w:val="001A4E31"/>
    <w:rsid w:val="001A4E3F"/>
    <w:rsid w:val="001A4EAB"/>
    <w:rsid w:val="001A4EB4"/>
    <w:rsid w:val="001A4EC1"/>
    <w:rsid w:val="001A4F5A"/>
    <w:rsid w:val="001A4FB8"/>
    <w:rsid w:val="001A5031"/>
    <w:rsid w:val="001A50E6"/>
    <w:rsid w:val="001A50E7"/>
    <w:rsid w:val="001A5119"/>
    <w:rsid w:val="001A5159"/>
    <w:rsid w:val="001A5162"/>
    <w:rsid w:val="001A516A"/>
    <w:rsid w:val="001A5182"/>
    <w:rsid w:val="001A520B"/>
    <w:rsid w:val="001A522F"/>
    <w:rsid w:val="001A5277"/>
    <w:rsid w:val="001A5284"/>
    <w:rsid w:val="001A5430"/>
    <w:rsid w:val="001A5473"/>
    <w:rsid w:val="001A54E0"/>
    <w:rsid w:val="001A5568"/>
    <w:rsid w:val="001A558E"/>
    <w:rsid w:val="001A5597"/>
    <w:rsid w:val="001A559D"/>
    <w:rsid w:val="001A55DA"/>
    <w:rsid w:val="001A5624"/>
    <w:rsid w:val="001A567E"/>
    <w:rsid w:val="001A5688"/>
    <w:rsid w:val="001A568F"/>
    <w:rsid w:val="001A56C5"/>
    <w:rsid w:val="001A56CD"/>
    <w:rsid w:val="001A572D"/>
    <w:rsid w:val="001A577A"/>
    <w:rsid w:val="001A5782"/>
    <w:rsid w:val="001A57AE"/>
    <w:rsid w:val="001A57BA"/>
    <w:rsid w:val="001A5806"/>
    <w:rsid w:val="001A580B"/>
    <w:rsid w:val="001A5857"/>
    <w:rsid w:val="001A585E"/>
    <w:rsid w:val="001A5965"/>
    <w:rsid w:val="001A5979"/>
    <w:rsid w:val="001A59BB"/>
    <w:rsid w:val="001A5A3D"/>
    <w:rsid w:val="001A5A80"/>
    <w:rsid w:val="001A5ABF"/>
    <w:rsid w:val="001A5AD0"/>
    <w:rsid w:val="001A5B37"/>
    <w:rsid w:val="001A5B7A"/>
    <w:rsid w:val="001A5C19"/>
    <w:rsid w:val="001A5C3B"/>
    <w:rsid w:val="001A5C54"/>
    <w:rsid w:val="001A5CCB"/>
    <w:rsid w:val="001A5CE7"/>
    <w:rsid w:val="001A5D13"/>
    <w:rsid w:val="001A5D24"/>
    <w:rsid w:val="001A5D95"/>
    <w:rsid w:val="001A5DA2"/>
    <w:rsid w:val="001A5DE6"/>
    <w:rsid w:val="001A5EBA"/>
    <w:rsid w:val="001A5ECC"/>
    <w:rsid w:val="001A5EFA"/>
    <w:rsid w:val="001A5F6D"/>
    <w:rsid w:val="001A5FB4"/>
    <w:rsid w:val="001A5FBC"/>
    <w:rsid w:val="001A6030"/>
    <w:rsid w:val="001A60FD"/>
    <w:rsid w:val="001A6102"/>
    <w:rsid w:val="001A614B"/>
    <w:rsid w:val="001A6160"/>
    <w:rsid w:val="001A619B"/>
    <w:rsid w:val="001A61BE"/>
    <w:rsid w:val="001A61E0"/>
    <w:rsid w:val="001A620F"/>
    <w:rsid w:val="001A6236"/>
    <w:rsid w:val="001A6246"/>
    <w:rsid w:val="001A62E0"/>
    <w:rsid w:val="001A62E4"/>
    <w:rsid w:val="001A657B"/>
    <w:rsid w:val="001A6582"/>
    <w:rsid w:val="001A65D0"/>
    <w:rsid w:val="001A663F"/>
    <w:rsid w:val="001A66A1"/>
    <w:rsid w:val="001A67E4"/>
    <w:rsid w:val="001A67FB"/>
    <w:rsid w:val="001A6822"/>
    <w:rsid w:val="001A6836"/>
    <w:rsid w:val="001A6847"/>
    <w:rsid w:val="001A68D9"/>
    <w:rsid w:val="001A6913"/>
    <w:rsid w:val="001A6922"/>
    <w:rsid w:val="001A6961"/>
    <w:rsid w:val="001A69D9"/>
    <w:rsid w:val="001A69FD"/>
    <w:rsid w:val="001A6A5E"/>
    <w:rsid w:val="001A6A82"/>
    <w:rsid w:val="001A6BA9"/>
    <w:rsid w:val="001A6BC8"/>
    <w:rsid w:val="001A6C0B"/>
    <w:rsid w:val="001A6C72"/>
    <w:rsid w:val="001A6C92"/>
    <w:rsid w:val="001A6D14"/>
    <w:rsid w:val="001A6D48"/>
    <w:rsid w:val="001A6D6A"/>
    <w:rsid w:val="001A6DBF"/>
    <w:rsid w:val="001A6DC9"/>
    <w:rsid w:val="001A6E11"/>
    <w:rsid w:val="001A6E24"/>
    <w:rsid w:val="001A6E37"/>
    <w:rsid w:val="001A6E93"/>
    <w:rsid w:val="001A6EBC"/>
    <w:rsid w:val="001A6EC6"/>
    <w:rsid w:val="001A6EE5"/>
    <w:rsid w:val="001A6EF9"/>
    <w:rsid w:val="001A6F23"/>
    <w:rsid w:val="001A6FBA"/>
    <w:rsid w:val="001A7002"/>
    <w:rsid w:val="001A703E"/>
    <w:rsid w:val="001A7069"/>
    <w:rsid w:val="001A7104"/>
    <w:rsid w:val="001A717C"/>
    <w:rsid w:val="001A7193"/>
    <w:rsid w:val="001A71B4"/>
    <w:rsid w:val="001A71E2"/>
    <w:rsid w:val="001A71FB"/>
    <w:rsid w:val="001A7206"/>
    <w:rsid w:val="001A7243"/>
    <w:rsid w:val="001A7247"/>
    <w:rsid w:val="001A7270"/>
    <w:rsid w:val="001A7290"/>
    <w:rsid w:val="001A7297"/>
    <w:rsid w:val="001A72B2"/>
    <w:rsid w:val="001A730D"/>
    <w:rsid w:val="001A7331"/>
    <w:rsid w:val="001A73AF"/>
    <w:rsid w:val="001A73D7"/>
    <w:rsid w:val="001A73EF"/>
    <w:rsid w:val="001A73FA"/>
    <w:rsid w:val="001A7473"/>
    <w:rsid w:val="001A749D"/>
    <w:rsid w:val="001A7500"/>
    <w:rsid w:val="001A75B0"/>
    <w:rsid w:val="001A761D"/>
    <w:rsid w:val="001A763C"/>
    <w:rsid w:val="001A7643"/>
    <w:rsid w:val="001A76A8"/>
    <w:rsid w:val="001A7709"/>
    <w:rsid w:val="001A77B6"/>
    <w:rsid w:val="001A783D"/>
    <w:rsid w:val="001A7857"/>
    <w:rsid w:val="001A78C8"/>
    <w:rsid w:val="001A7946"/>
    <w:rsid w:val="001A7B34"/>
    <w:rsid w:val="001A7B57"/>
    <w:rsid w:val="001A7BB1"/>
    <w:rsid w:val="001A7C85"/>
    <w:rsid w:val="001A7CBF"/>
    <w:rsid w:val="001A7CDE"/>
    <w:rsid w:val="001A7CE1"/>
    <w:rsid w:val="001A7D3E"/>
    <w:rsid w:val="001A7DB7"/>
    <w:rsid w:val="001A7DC2"/>
    <w:rsid w:val="001A7E32"/>
    <w:rsid w:val="001A7E6E"/>
    <w:rsid w:val="001A7EEE"/>
    <w:rsid w:val="001A7EF5"/>
    <w:rsid w:val="001A7EF6"/>
    <w:rsid w:val="001B00A5"/>
    <w:rsid w:val="001B00EC"/>
    <w:rsid w:val="001B0108"/>
    <w:rsid w:val="001B0225"/>
    <w:rsid w:val="001B0286"/>
    <w:rsid w:val="001B02A1"/>
    <w:rsid w:val="001B02CD"/>
    <w:rsid w:val="001B02EC"/>
    <w:rsid w:val="001B033F"/>
    <w:rsid w:val="001B0349"/>
    <w:rsid w:val="001B0389"/>
    <w:rsid w:val="001B03E2"/>
    <w:rsid w:val="001B050F"/>
    <w:rsid w:val="001B0586"/>
    <w:rsid w:val="001B0598"/>
    <w:rsid w:val="001B05A0"/>
    <w:rsid w:val="001B0679"/>
    <w:rsid w:val="001B071E"/>
    <w:rsid w:val="001B0728"/>
    <w:rsid w:val="001B077C"/>
    <w:rsid w:val="001B078B"/>
    <w:rsid w:val="001B080F"/>
    <w:rsid w:val="001B0836"/>
    <w:rsid w:val="001B0897"/>
    <w:rsid w:val="001B08A9"/>
    <w:rsid w:val="001B08E9"/>
    <w:rsid w:val="001B08FA"/>
    <w:rsid w:val="001B0981"/>
    <w:rsid w:val="001B09A9"/>
    <w:rsid w:val="001B0A11"/>
    <w:rsid w:val="001B0A47"/>
    <w:rsid w:val="001B0A5C"/>
    <w:rsid w:val="001B0A92"/>
    <w:rsid w:val="001B0AAA"/>
    <w:rsid w:val="001B0AC0"/>
    <w:rsid w:val="001B0AF7"/>
    <w:rsid w:val="001B0B1F"/>
    <w:rsid w:val="001B0B99"/>
    <w:rsid w:val="001B0BA8"/>
    <w:rsid w:val="001B0BAB"/>
    <w:rsid w:val="001B0BB4"/>
    <w:rsid w:val="001B0BC7"/>
    <w:rsid w:val="001B0BD6"/>
    <w:rsid w:val="001B0C0D"/>
    <w:rsid w:val="001B0C3A"/>
    <w:rsid w:val="001B0C6F"/>
    <w:rsid w:val="001B0CD8"/>
    <w:rsid w:val="001B0CFF"/>
    <w:rsid w:val="001B0D3C"/>
    <w:rsid w:val="001B0DA0"/>
    <w:rsid w:val="001B0DB3"/>
    <w:rsid w:val="001B0DE5"/>
    <w:rsid w:val="001B0E7D"/>
    <w:rsid w:val="001B0F14"/>
    <w:rsid w:val="001B0F9C"/>
    <w:rsid w:val="001B1066"/>
    <w:rsid w:val="001B10A7"/>
    <w:rsid w:val="001B1166"/>
    <w:rsid w:val="001B11F2"/>
    <w:rsid w:val="001B120D"/>
    <w:rsid w:val="001B1269"/>
    <w:rsid w:val="001B12BE"/>
    <w:rsid w:val="001B12DF"/>
    <w:rsid w:val="001B1313"/>
    <w:rsid w:val="001B1320"/>
    <w:rsid w:val="001B1366"/>
    <w:rsid w:val="001B13D5"/>
    <w:rsid w:val="001B142A"/>
    <w:rsid w:val="001B1480"/>
    <w:rsid w:val="001B14A1"/>
    <w:rsid w:val="001B1529"/>
    <w:rsid w:val="001B152F"/>
    <w:rsid w:val="001B157B"/>
    <w:rsid w:val="001B15A5"/>
    <w:rsid w:val="001B1641"/>
    <w:rsid w:val="001B1676"/>
    <w:rsid w:val="001B1682"/>
    <w:rsid w:val="001B1683"/>
    <w:rsid w:val="001B1702"/>
    <w:rsid w:val="001B1731"/>
    <w:rsid w:val="001B1758"/>
    <w:rsid w:val="001B175C"/>
    <w:rsid w:val="001B17FE"/>
    <w:rsid w:val="001B181D"/>
    <w:rsid w:val="001B1821"/>
    <w:rsid w:val="001B184A"/>
    <w:rsid w:val="001B188D"/>
    <w:rsid w:val="001B18DD"/>
    <w:rsid w:val="001B18E8"/>
    <w:rsid w:val="001B1925"/>
    <w:rsid w:val="001B1948"/>
    <w:rsid w:val="001B195B"/>
    <w:rsid w:val="001B197C"/>
    <w:rsid w:val="001B19C9"/>
    <w:rsid w:val="001B19D1"/>
    <w:rsid w:val="001B19D9"/>
    <w:rsid w:val="001B1A92"/>
    <w:rsid w:val="001B1B06"/>
    <w:rsid w:val="001B1B13"/>
    <w:rsid w:val="001B1B3B"/>
    <w:rsid w:val="001B1C7B"/>
    <w:rsid w:val="001B1CB3"/>
    <w:rsid w:val="001B1CBA"/>
    <w:rsid w:val="001B1CC2"/>
    <w:rsid w:val="001B1D10"/>
    <w:rsid w:val="001B1D1B"/>
    <w:rsid w:val="001B1D7E"/>
    <w:rsid w:val="001B1DC5"/>
    <w:rsid w:val="001B1DFB"/>
    <w:rsid w:val="001B1E08"/>
    <w:rsid w:val="001B1E0C"/>
    <w:rsid w:val="001B1E3A"/>
    <w:rsid w:val="001B1F56"/>
    <w:rsid w:val="001B1F9D"/>
    <w:rsid w:val="001B1F9F"/>
    <w:rsid w:val="001B1FD8"/>
    <w:rsid w:val="001B200E"/>
    <w:rsid w:val="001B21F0"/>
    <w:rsid w:val="001B223C"/>
    <w:rsid w:val="001B22C0"/>
    <w:rsid w:val="001B22D5"/>
    <w:rsid w:val="001B23AC"/>
    <w:rsid w:val="001B23D8"/>
    <w:rsid w:val="001B2427"/>
    <w:rsid w:val="001B2434"/>
    <w:rsid w:val="001B250B"/>
    <w:rsid w:val="001B250F"/>
    <w:rsid w:val="001B2512"/>
    <w:rsid w:val="001B2578"/>
    <w:rsid w:val="001B25C5"/>
    <w:rsid w:val="001B25F9"/>
    <w:rsid w:val="001B2607"/>
    <w:rsid w:val="001B2633"/>
    <w:rsid w:val="001B2747"/>
    <w:rsid w:val="001B275C"/>
    <w:rsid w:val="001B275F"/>
    <w:rsid w:val="001B277E"/>
    <w:rsid w:val="001B27BB"/>
    <w:rsid w:val="001B27D0"/>
    <w:rsid w:val="001B2832"/>
    <w:rsid w:val="001B2835"/>
    <w:rsid w:val="001B2875"/>
    <w:rsid w:val="001B28FC"/>
    <w:rsid w:val="001B2914"/>
    <w:rsid w:val="001B2936"/>
    <w:rsid w:val="001B298E"/>
    <w:rsid w:val="001B29C4"/>
    <w:rsid w:val="001B29EF"/>
    <w:rsid w:val="001B2A08"/>
    <w:rsid w:val="001B2A2B"/>
    <w:rsid w:val="001B2A3A"/>
    <w:rsid w:val="001B2A63"/>
    <w:rsid w:val="001B2A7E"/>
    <w:rsid w:val="001B2A83"/>
    <w:rsid w:val="001B2AED"/>
    <w:rsid w:val="001B2B71"/>
    <w:rsid w:val="001B2BA6"/>
    <w:rsid w:val="001B2BC5"/>
    <w:rsid w:val="001B2BCE"/>
    <w:rsid w:val="001B2C17"/>
    <w:rsid w:val="001B2C32"/>
    <w:rsid w:val="001B2C58"/>
    <w:rsid w:val="001B2CF9"/>
    <w:rsid w:val="001B2CFA"/>
    <w:rsid w:val="001B2D40"/>
    <w:rsid w:val="001B2D50"/>
    <w:rsid w:val="001B2D52"/>
    <w:rsid w:val="001B2DA8"/>
    <w:rsid w:val="001B2E4C"/>
    <w:rsid w:val="001B2F52"/>
    <w:rsid w:val="001B2F73"/>
    <w:rsid w:val="001B2F98"/>
    <w:rsid w:val="001B2FDD"/>
    <w:rsid w:val="001B3000"/>
    <w:rsid w:val="001B305C"/>
    <w:rsid w:val="001B3065"/>
    <w:rsid w:val="001B3069"/>
    <w:rsid w:val="001B3086"/>
    <w:rsid w:val="001B30F7"/>
    <w:rsid w:val="001B3141"/>
    <w:rsid w:val="001B314B"/>
    <w:rsid w:val="001B3167"/>
    <w:rsid w:val="001B3185"/>
    <w:rsid w:val="001B31EA"/>
    <w:rsid w:val="001B32AC"/>
    <w:rsid w:val="001B3322"/>
    <w:rsid w:val="001B3372"/>
    <w:rsid w:val="001B3378"/>
    <w:rsid w:val="001B33BB"/>
    <w:rsid w:val="001B346B"/>
    <w:rsid w:val="001B346C"/>
    <w:rsid w:val="001B34A5"/>
    <w:rsid w:val="001B34A7"/>
    <w:rsid w:val="001B3541"/>
    <w:rsid w:val="001B3549"/>
    <w:rsid w:val="001B35ED"/>
    <w:rsid w:val="001B3635"/>
    <w:rsid w:val="001B367F"/>
    <w:rsid w:val="001B3749"/>
    <w:rsid w:val="001B3803"/>
    <w:rsid w:val="001B3818"/>
    <w:rsid w:val="001B38FA"/>
    <w:rsid w:val="001B3947"/>
    <w:rsid w:val="001B397F"/>
    <w:rsid w:val="001B3A2D"/>
    <w:rsid w:val="001B3A85"/>
    <w:rsid w:val="001B3AB7"/>
    <w:rsid w:val="001B3B08"/>
    <w:rsid w:val="001B3B33"/>
    <w:rsid w:val="001B3B39"/>
    <w:rsid w:val="001B3BC2"/>
    <w:rsid w:val="001B3BF0"/>
    <w:rsid w:val="001B3C1F"/>
    <w:rsid w:val="001B3C37"/>
    <w:rsid w:val="001B3C39"/>
    <w:rsid w:val="001B3C41"/>
    <w:rsid w:val="001B3D01"/>
    <w:rsid w:val="001B3D04"/>
    <w:rsid w:val="001B3D1A"/>
    <w:rsid w:val="001B3D34"/>
    <w:rsid w:val="001B3D49"/>
    <w:rsid w:val="001B3D4D"/>
    <w:rsid w:val="001B3D6A"/>
    <w:rsid w:val="001B3DFD"/>
    <w:rsid w:val="001B3DFF"/>
    <w:rsid w:val="001B3E3A"/>
    <w:rsid w:val="001B3E47"/>
    <w:rsid w:val="001B3E9F"/>
    <w:rsid w:val="001B3EE2"/>
    <w:rsid w:val="001B3F6F"/>
    <w:rsid w:val="001B3F71"/>
    <w:rsid w:val="001B4052"/>
    <w:rsid w:val="001B406A"/>
    <w:rsid w:val="001B4087"/>
    <w:rsid w:val="001B40E6"/>
    <w:rsid w:val="001B4169"/>
    <w:rsid w:val="001B41CD"/>
    <w:rsid w:val="001B41F2"/>
    <w:rsid w:val="001B4247"/>
    <w:rsid w:val="001B428E"/>
    <w:rsid w:val="001B42C0"/>
    <w:rsid w:val="001B42C9"/>
    <w:rsid w:val="001B42CB"/>
    <w:rsid w:val="001B4321"/>
    <w:rsid w:val="001B433C"/>
    <w:rsid w:val="001B4388"/>
    <w:rsid w:val="001B43D5"/>
    <w:rsid w:val="001B4429"/>
    <w:rsid w:val="001B4469"/>
    <w:rsid w:val="001B44FB"/>
    <w:rsid w:val="001B4506"/>
    <w:rsid w:val="001B453E"/>
    <w:rsid w:val="001B457F"/>
    <w:rsid w:val="001B458A"/>
    <w:rsid w:val="001B4732"/>
    <w:rsid w:val="001B47D6"/>
    <w:rsid w:val="001B4803"/>
    <w:rsid w:val="001B4849"/>
    <w:rsid w:val="001B48E0"/>
    <w:rsid w:val="001B491F"/>
    <w:rsid w:val="001B4985"/>
    <w:rsid w:val="001B49AF"/>
    <w:rsid w:val="001B49B3"/>
    <w:rsid w:val="001B4A08"/>
    <w:rsid w:val="001B4A71"/>
    <w:rsid w:val="001B4A83"/>
    <w:rsid w:val="001B4B4E"/>
    <w:rsid w:val="001B4B51"/>
    <w:rsid w:val="001B4BEE"/>
    <w:rsid w:val="001B4BF2"/>
    <w:rsid w:val="001B4C23"/>
    <w:rsid w:val="001B4C25"/>
    <w:rsid w:val="001B4C3F"/>
    <w:rsid w:val="001B4C61"/>
    <w:rsid w:val="001B4CDA"/>
    <w:rsid w:val="001B4CE2"/>
    <w:rsid w:val="001B4CE3"/>
    <w:rsid w:val="001B4D1C"/>
    <w:rsid w:val="001B4D1E"/>
    <w:rsid w:val="001B4D32"/>
    <w:rsid w:val="001B4DA6"/>
    <w:rsid w:val="001B4E3F"/>
    <w:rsid w:val="001B4E6D"/>
    <w:rsid w:val="001B4EAD"/>
    <w:rsid w:val="001B4F0C"/>
    <w:rsid w:val="001B4F1D"/>
    <w:rsid w:val="001B4F74"/>
    <w:rsid w:val="001B4FDF"/>
    <w:rsid w:val="001B4FE0"/>
    <w:rsid w:val="001B5046"/>
    <w:rsid w:val="001B505B"/>
    <w:rsid w:val="001B516A"/>
    <w:rsid w:val="001B5189"/>
    <w:rsid w:val="001B5191"/>
    <w:rsid w:val="001B51DC"/>
    <w:rsid w:val="001B5238"/>
    <w:rsid w:val="001B5276"/>
    <w:rsid w:val="001B52CF"/>
    <w:rsid w:val="001B533F"/>
    <w:rsid w:val="001B537D"/>
    <w:rsid w:val="001B53C9"/>
    <w:rsid w:val="001B5443"/>
    <w:rsid w:val="001B548B"/>
    <w:rsid w:val="001B54E6"/>
    <w:rsid w:val="001B553B"/>
    <w:rsid w:val="001B557B"/>
    <w:rsid w:val="001B55A3"/>
    <w:rsid w:val="001B5659"/>
    <w:rsid w:val="001B565E"/>
    <w:rsid w:val="001B567A"/>
    <w:rsid w:val="001B56A2"/>
    <w:rsid w:val="001B56F8"/>
    <w:rsid w:val="001B57C0"/>
    <w:rsid w:val="001B57D0"/>
    <w:rsid w:val="001B5844"/>
    <w:rsid w:val="001B587E"/>
    <w:rsid w:val="001B58A8"/>
    <w:rsid w:val="001B58F4"/>
    <w:rsid w:val="001B5943"/>
    <w:rsid w:val="001B5A1A"/>
    <w:rsid w:val="001B5A27"/>
    <w:rsid w:val="001B5A93"/>
    <w:rsid w:val="001B5A94"/>
    <w:rsid w:val="001B5B44"/>
    <w:rsid w:val="001B5BEF"/>
    <w:rsid w:val="001B5BF6"/>
    <w:rsid w:val="001B5C47"/>
    <w:rsid w:val="001B5C5E"/>
    <w:rsid w:val="001B5CA5"/>
    <w:rsid w:val="001B5CF9"/>
    <w:rsid w:val="001B5D0B"/>
    <w:rsid w:val="001B5D2E"/>
    <w:rsid w:val="001B5D4F"/>
    <w:rsid w:val="001B5DA8"/>
    <w:rsid w:val="001B5DC2"/>
    <w:rsid w:val="001B5E13"/>
    <w:rsid w:val="001B5E6E"/>
    <w:rsid w:val="001B5EE1"/>
    <w:rsid w:val="001B5F30"/>
    <w:rsid w:val="001B5F34"/>
    <w:rsid w:val="001B5F3F"/>
    <w:rsid w:val="001B5F97"/>
    <w:rsid w:val="001B5FC6"/>
    <w:rsid w:val="001B60AB"/>
    <w:rsid w:val="001B60BF"/>
    <w:rsid w:val="001B60D6"/>
    <w:rsid w:val="001B61D2"/>
    <w:rsid w:val="001B6257"/>
    <w:rsid w:val="001B6265"/>
    <w:rsid w:val="001B6288"/>
    <w:rsid w:val="001B628C"/>
    <w:rsid w:val="001B62AC"/>
    <w:rsid w:val="001B62BB"/>
    <w:rsid w:val="001B62D6"/>
    <w:rsid w:val="001B62E0"/>
    <w:rsid w:val="001B639B"/>
    <w:rsid w:val="001B63B2"/>
    <w:rsid w:val="001B642F"/>
    <w:rsid w:val="001B64BB"/>
    <w:rsid w:val="001B650A"/>
    <w:rsid w:val="001B6552"/>
    <w:rsid w:val="001B658B"/>
    <w:rsid w:val="001B65CE"/>
    <w:rsid w:val="001B6600"/>
    <w:rsid w:val="001B6610"/>
    <w:rsid w:val="001B662F"/>
    <w:rsid w:val="001B668C"/>
    <w:rsid w:val="001B669D"/>
    <w:rsid w:val="001B66FE"/>
    <w:rsid w:val="001B6753"/>
    <w:rsid w:val="001B6770"/>
    <w:rsid w:val="001B679D"/>
    <w:rsid w:val="001B6813"/>
    <w:rsid w:val="001B6820"/>
    <w:rsid w:val="001B68F3"/>
    <w:rsid w:val="001B6951"/>
    <w:rsid w:val="001B696C"/>
    <w:rsid w:val="001B696F"/>
    <w:rsid w:val="001B6971"/>
    <w:rsid w:val="001B6997"/>
    <w:rsid w:val="001B69F8"/>
    <w:rsid w:val="001B6A18"/>
    <w:rsid w:val="001B6A38"/>
    <w:rsid w:val="001B6A3F"/>
    <w:rsid w:val="001B6A67"/>
    <w:rsid w:val="001B6ABD"/>
    <w:rsid w:val="001B6AD6"/>
    <w:rsid w:val="001B6AE2"/>
    <w:rsid w:val="001B6AF6"/>
    <w:rsid w:val="001B6B8E"/>
    <w:rsid w:val="001B6BE0"/>
    <w:rsid w:val="001B6C10"/>
    <w:rsid w:val="001B6C12"/>
    <w:rsid w:val="001B6C1E"/>
    <w:rsid w:val="001B6C9E"/>
    <w:rsid w:val="001B6D70"/>
    <w:rsid w:val="001B6D99"/>
    <w:rsid w:val="001B6E0A"/>
    <w:rsid w:val="001B6E4D"/>
    <w:rsid w:val="001B6E72"/>
    <w:rsid w:val="001B6FA8"/>
    <w:rsid w:val="001B700A"/>
    <w:rsid w:val="001B7012"/>
    <w:rsid w:val="001B7070"/>
    <w:rsid w:val="001B7082"/>
    <w:rsid w:val="001B70B7"/>
    <w:rsid w:val="001B70DD"/>
    <w:rsid w:val="001B7143"/>
    <w:rsid w:val="001B7164"/>
    <w:rsid w:val="001B71A6"/>
    <w:rsid w:val="001B71D5"/>
    <w:rsid w:val="001B73CC"/>
    <w:rsid w:val="001B73E3"/>
    <w:rsid w:val="001B7417"/>
    <w:rsid w:val="001B741C"/>
    <w:rsid w:val="001B74E5"/>
    <w:rsid w:val="001B7559"/>
    <w:rsid w:val="001B7570"/>
    <w:rsid w:val="001B75B4"/>
    <w:rsid w:val="001B7604"/>
    <w:rsid w:val="001B7641"/>
    <w:rsid w:val="001B7644"/>
    <w:rsid w:val="001B7656"/>
    <w:rsid w:val="001B76D8"/>
    <w:rsid w:val="001B7705"/>
    <w:rsid w:val="001B7710"/>
    <w:rsid w:val="001B7733"/>
    <w:rsid w:val="001B77E5"/>
    <w:rsid w:val="001B780F"/>
    <w:rsid w:val="001B7838"/>
    <w:rsid w:val="001B786D"/>
    <w:rsid w:val="001B788E"/>
    <w:rsid w:val="001B7895"/>
    <w:rsid w:val="001B78B0"/>
    <w:rsid w:val="001B7915"/>
    <w:rsid w:val="001B7918"/>
    <w:rsid w:val="001B7928"/>
    <w:rsid w:val="001B793B"/>
    <w:rsid w:val="001B794A"/>
    <w:rsid w:val="001B798E"/>
    <w:rsid w:val="001B7996"/>
    <w:rsid w:val="001B79F8"/>
    <w:rsid w:val="001B7A07"/>
    <w:rsid w:val="001B7A24"/>
    <w:rsid w:val="001B7AA4"/>
    <w:rsid w:val="001B7AB9"/>
    <w:rsid w:val="001B7AD9"/>
    <w:rsid w:val="001B7AE2"/>
    <w:rsid w:val="001B7C27"/>
    <w:rsid w:val="001B7C36"/>
    <w:rsid w:val="001B7C46"/>
    <w:rsid w:val="001B7C76"/>
    <w:rsid w:val="001B7D2F"/>
    <w:rsid w:val="001B7D35"/>
    <w:rsid w:val="001B7D45"/>
    <w:rsid w:val="001B7D47"/>
    <w:rsid w:val="001B7D5A"/>
    <w:rsid w:val="001B7D5E"/>
    <w:rsid w:val="001B7D81"/>
    <w:rsid w:val="001B7DF7"/>
    <w:rsid w:val="001B7E1E"/>
    <w:rsid w:val="001B7E1F"/>
    <w:rsid w:val="001B7E57"/>
    <w:rsid w:val="001B7E73"/>
    <w:rsid w:val="001B7E78"/>
    <w:rsid w:val="001B7EEE"/>
    <w:rsid w:val="001B7F06"/>
    <w:rsid w:val="001B7F95"/>
    <w:rsid w:val="001C0061"/>
    <w:rsid w:val="001C00B2"/>
    <w:rsid w:val="001C00C2"/>
    <w:rsid w:val="001C011C"/>
    <w:rsid w:val="001C016C"/>
    <w:rsid w:val="001C016D"/>
    <w:rsid w:val="001C0184"/>
    <w:rsid w:val="001C0199"/>
    <w:rsid w:val="001C02BC"/>
    <w:rsid w:val="001C0304"/>
    <w:rsid w:val="001C0348"/>
    <w:rsid w:val="001C03CB"/>
    <w:rsid w:val="001C044A"/>
    <w:rsid w:val="001C044D"/>
    <w:rsid w:val="001C04D5"/>
    <w:rsid w:val="001C04F2"/>
    <w:rsid w:val="001C05CA"/>
    <w:rsid w:val="001C063A"/>
    <w:rsid w:val="001C064F"/>
    <w:rsid w:val="001C0651"/>
    <w:rsid w:val="001C06EB"/>
    <w:rsid w:val="001C0717"/>
    <w:rsid w:val="001C0721"/>
    <w:rsid w:val="001C072D"/>
    <w:rsid w:val="001C074E"/>
    <w:rsid w:val="001C07F8"/>
    <w:rsid w:val="001C084C"/>
    <w:rsid w:val="001C0866"/>
    <w:rsid w:val="001C08DC"/>
    <w:rsid w:val="001C08E3"/>
    <w:rsid w:val="001C08EB"/>
    <w:rsid w:val="001C08F8"/>
    <w:rsid w:val="001C0977"/>
    <w:rsid w:val="001C0985"/>
    <w:rsid w:val="001C0990"/>
    <w:rsid w:val="001C0999"/>
    <w:rsid w:val="001C09C1"/>
    <w:rsid w:val="001C0A1F"/>
    <w:rsid w:val="001C0A27"/>
    <w:rsid w:val="001C0A32"/>
    <w:rsid w:val="001C0A76"/>
    <w:rsid w:val="001C0A9A"/>
    <w:rsid w:val="001C0AA8"/>
    <w:rsid w:val="001C0AC7"/>
    <w:rsid w:val="001C0AE7"/>
    <w:rsid w:val="001C0AFD"/>
    <w:rsid w:val="001C0B9D"/>
    <w:rsid w:val="001C0BBF"/>
    <w:rsid w:val="001C0BE2"/>
    <w:rsid w:val="001C0C2B"/>
    <w:rsid w:val="001C0C44"/>
    <w:rsid w:val="001C0C96"/>
    <w:rsid w:val="001C0D01"/>
    <w:rsid w:val="001C0D10"/>
    <w:rsid w:val="001C0D92"/>
    <w:rsid w:val="001C0DB6"/>
    <w:rsid w:val="001C0DCA"/>
    <w:rsid w:val="001C0DFB"/>
    <w:rsid w:val="001C0E21"/>
    <w:rsid w:val="001C0E2A"/>
    <w:rsid w:val="001C0E9F"/>
    <w:rsid w:val="001C0EA8"/>
    <w:rsid w:val="001C0EB4"/>
    <w:rsid w:val="001C0F1B"/>
    <w:rsid w:val="001C102A"/>
    <w:rsid w:val="001C109F"/>
    <w:rsid w:val="001C10CF"/>
    <w:rsid w:val="001C10EE"/>
    <w:rsid w:val="001C1132"/>
    <w:rsid w:val="001C116C"/>
    <w:rsid w:val="001C1182"/>
    <w:rsid w:val="001C11C6"/>
    <w:rsid w:val="001C121A"/>
    <w:rsid w:val="001C1245"/>
    <w:rsid w:val="001C1338"/>
    <w:rsid w:val="001C13E0"/>
    <w:rsid w:val="001C13F7"/>
    <w:rsid w:val="001C148B"/>
    <w:rsid w:val="001C15A4"/>
    <w:rsid w:val="001C15C2"/>
    <w:rsid w:val="001C15F7"/>
    <w:rsid w:val="001C1679"/>
    <w:rsid w:val="001C1729"/>
    <w:rsid w:val="001C177B"/>
    <w:rsid w:val="001C17A6"/>
    <w:rsid w:val="001C17C9"/>
    <w:rsid w:val="001C17D8"/>
    <w:rsid w:val="001C18E8"/>
    <w:rsid w:val="001C190E"/>
    <w:rsid w:val="001C194F"/>
    <w:rsid w:val="001C1960"/>
    <w:rsid w:val="001C19C7"/>
    <w:rsid w:val="001C19F1"/>
    <w:rsid w:val="001C1A28"/>
    <w:rsid w:val="001C1A2E"/>
    <w:rsid w:val="001C1A3D"/>
    <w:rsid w:val="001C1A41"/>
    <w:rsid w:val="001C1A4C"/>
    <w:rsid w:val="001C1A51"/>
    <w:rsid w:val="001C1AB2"/>
    <w:rsid w:val="001C1AE2"/>
    <w:rsid w:val="001C1B28"/>
    <w:rsid w:val="001C1B93"/>
    <w:rsid w:val="001C1BE4"/>
    <w:rsid w:val="001C1BF1"/>
    <w:rsid w:val="001C1C28"/>
    <w:rsid w:val="001C1C60"/>
    <w:rsid w:val="001C1C99"/>
    <w:rsid w:val="001C1C9B"/>
    <w:rsid w:val="001C1CA7"/>
    <w:rsid w:val="001C1CDC"/>
    <w:rsid w:val="001C1CE2"/>
    <w:rsid w:val="001C1CEB"/>
    <w:rsid w:val="001C1D00"/>
    <w:rsid w:val="001C1D03"/>
    <w:rsid w:val="001C1D15"/>
    <w:rsid w:val="001C1D26"/>
    <w:rsid w:val="001C1DBE"/>
    <w:rsid w:val="001C1DE0"/>
    <w:rsid w:val="001C1E5D"/>
    <w:rsid w:val="001C1E5E"/>
    <w:rsid w:val="001C1E6A"/>
    <w:rsid w:val="001C1EC3"/>
    <w:rsid w:val="001C1FE5"/>
    <w:rsid w:val="001C2062"/>
    <w:rsid w:val="001C20D5"/>
    <w:rsid w:val="001C2130"/>
    <w:rsid w:val="001C217B"/>
    <w:rsid w:val="001C2222"/>
    <w:rsid w:val="001C22CE"/>
    <w:rsid w:val="001C22D3"/>
    <w:rsid w:val="001C231A"/>
    <w:rsid w:val="001C2345"/>
    <w:rsid w:val="001C2353"/>
    <w:rsid w:val="001C2405"/>
    <w:rsid w:val="001C2464"/>
    <w:rsid w:val="001C2519"/>
    <w:rsid w:val="001C256C"/>
    <w:rsid w:val="001C25F5"/>
    <w:rsid w:val="001C2627"/>
    <w:rsid w:val="001C2654"/>
    <w:rsid w:val="001C26B1"/>
    <w:rsid w:val="001C2732"/>
    <w:rsid w:val="001C2792"/>
    <w:rsid w:val="001C27D2"/>
    <w:rsid w:val="001C27DE"/>
    <w:rsid w:val="001C281D"/>
    <w:rsid w:val="001C285F"/>
    <w:rsid w:val="001C2879"/>
    <w:rsid w:val="001C28B3"/>
    <w:rsid w:val="001C28C3"/>
    <w:rsid w:val="001C29A0"/>
    <w:rsid w:val="001C29D5"/>
    <w:rsid w:val="001C29F3"/>
    <w:rsid w:val="001C2A88"/>
    <w:rsid w:val="001C2AA1"/>
    <w:rsid w:val="001C2B18"/>
    <w:rsid w:val="001C2B83"/>
    <w:rsid w:val="001C2BA2"/>
    <w:rsid w:val="001C2D29"/>
    <w:rsid w:val="001C2D4C"/>
    <w:rsid w:val="001C2DA7"/>
    <w:rsid w:val="001C2DFC"/>
    <w:rsid w:val="001C2E03"/>
    <w:rsid w:val="001C2E47"/>
    <w:rsid w:val="001C2E76"/>
    <w:rsid w:val="001C2EBB"/>
    <w:rsid w:val="001C2EBC"/>
    <w:rsid w:val="001C2F0D"/>
    <w:rsid w:val="001C2F56"/>
    <w:rsid w:val="001C2F6B"/>
    <w:rsid w:val="001C2F9B"/>
    <w:rsid w:val="001C2FFD"/>
    <w:rsid w:val="001C303B"/>
    <w:rsid w:val="001C30BF"/>
    <w:rsid w:val="001C3173"/>
    <w:rsid w:val="001C3271"/>
    <w:rsid w:val="001C32C8"/>
    <w:rsid w:val="001C3317"/>
    <w:rsid w:val="001C331D"/>
    <w:rsid w:val="001C33C1"/>
    <w:rsid w:val="001C341E"/>
    <w:rsid w:val="001C3422"/>
    <w:rsid w:val="001C3423"/>
    <w:rsid w:val="001C3426"/>
    <w:rsid w:val="001C3492"/>
    <w:rsid w:val="001C34A1"/>
    <w:rsid w:val="001C352F"/>
    <w:rsid w:val="001C3538"/>
    <w:rsid w:val="001C3547"/>
    <w:rsid w:val="001C358D"/>
    <w:rsid w:val="001C35A5"/>
    <w:rsid w:val="001C3616"/>
    <w:rsid w:val="001C3618"/>
    <w:rsid w:val="001C364A"/>
    <w:rsid w:val="001C367A"/>
    <w:rsid w:val="001C36B2"/>
    <w:rsid w:val="001C36F9"/>
    <w:rsid w:val="001C3778"/>
    <w:rsid w:val="001C377C"/>
    <w:rsid w:val="001C37C2"/>
    <w:rsid w:val="001C3816"/>
    <w:rsid w:val="001C3840"/>
    <w:rsid w:val="001C385A"/>
    <w:rsid w:val="001C387F"/>
    <w:rsid w:val="001C3889"/>
    <w:rsid w:val="001C38AB"/>
    <w:rsid w:val="001C38F1"/>
    <w:rsid w:val="001C398A"/>
    <w:rsid w:val="001C39F7"/>
    <w:rsid w:val="001C3A1E"/>
    <w:rsid w:val="001C3A37"/>
    <w:rsid w:val="001C3B29"/>
    <w:rsid w:val="001C3B84"/>
    <w:rsid w:val="001C3B88"/>
    <w:rsid w:val="001C3B9F"/>
    <w:rsid w:val="001C3C35"/>
    <w:rsid w:val="001C3C4B"/>
    <w:rsid w:val="001C3CDE"/>
    <w:rsid w:val="001C3D1E"/>
    <w:rsid w:val="001C3D29"/>
    <w:rsid w:val="001C3D2B"/>
    <w:rsid w:val="001C3D4A"/>
    <w:rsid w:val="001C3DAC"/>
    <w:rsid w:val="001C3E15"/>
    <w:rsid w:val="001C3E49"/>
    <w:rsid w:val="001C3EA9"/>
    <w:rsid w:val="001C3EC3"/>
    <w:rsid w:val="001C3F84"/>
    <w:rsid w:val="001C3F98"/>
    <w:rsid w:val="001C3F9C"/>
    <w:rsid w:val="001C4066"/>
    <w:rsid w:val="001C412B"/>
    <w:rsid w:val="001C412D"/>
    <w:rsid w:val="001C4194"/>
    <w:rsid w:val="001C41B9"/>
    <w:rsid w:val="001C41BF"/>
    <w:rsid w:val="001C4254"/>
    <w:rsid w:val="001C427A"/>
    <w:rsid w:val="001C429A"/>
    <w:rsid w:val="001C42A5"/>
    <w:rsid w:val="001C42D2"/>
    <w:rsid w:val="001C42E4"/>
    <w:rsid w:val="001C4389"/>
    <w:rsid w:val="001C44FB"/>
    <w:rsid w:val="001C4519"/>
    <w:rsid w:val="001C45F5"/>
    <w:rsid w:val="001C4611"/>
    <w:rsid w:val="001C4650"/>
    <w:rsid w:val="001C468A"/>
    <w:rsid w:val="001C46B9"/>
    <w:rsid w:val="001C46EF"/>
    <w:rsid w:val="001C46FF"/>
    <w:rsid w:val="001C4712"/>
    <w:rsid w:val="001C4758"/>
    <w:rsid w:val="001C478E"/>
    <w:rsid w:val="001C4868"/>
    <w:rsid w:val="001C48AC"/>
    <w:rsid w:val="001C4933"/>
    <w:rsid w:val="001C49CC"/>
    <w:rsid w:val="001C4A3A"/>
    <w:rsid w:val="001C4ACB"/>
    <w:rsid w:val="001C4AD5"/>
    <w:rsid w:val="001C4AD6"/>
    <w:rsid w:val="001C4AE2"/>
    <w:rsid w:val="001C4B0F"/>
    <w:rsid w:val="001C4B2D"/>
    <w:rsid w:val="001C4B5C"/>
    <w:rsid w:val="001C4BBC"/>
    <w:rsid w:val="001C4BCC"/>
    <w:rsid w:val="001C4C41"/>
    <w:rsid w:val="001C4C69"/>
    <w:rsid w:val="001C4C82"/>
    <w:rsid w:val="001C4CB0"/>
    <w:rsid w:val="001C4CB8"/>
    <w:rsid w:val="001C4CD4"/>
    <w:rsid w:val="001C4D2B"/>
    <w:rsid w:val="001C4D3A"/>
    <w:rsid w:val="001C4D5B"/>
    <w:rsid w:val="001C4D6C"/>
    <w:rsid w:val="001C4D92"/>
    <w:rsid w:val="001C4DA8"/>
    <w:rsid w:val="001C4DCE"/>
    <w:rsid w:val="001C4E12"/>
    <w:rsid w:val="001C4E27"/>
    <w:rsid w:val="001C4E82"/>
    <w:rsid w:val="001C4F64"/>
    <w:rsid w:val="001C4FE5"/>
    <w:rsid w:val="001C502C"/>
    <w:rsid w:val="001C507A"/>
    <w:rsid w:val="001C507D"/>
    <w:rsid w:val="001C50EA"/>
    <w:rsid w:val="001C5127"/>
    <w:rsid w:val="001C512A"/>
    <w:rsid w:val="001C5151"/>
    <w:rsid w:val="001C515F"/>
    <w:rsid w:val="001C5174"/>
    <w:rsid w:val="001C5178"/>
    <w:rsid w:val="001C51AC"/>
    <w:rsid w:val="001C5278"/>
    <w:rsid w:val="001C52DC"/>
    <w:rsid w:val="001C531A"/>
    <w:rsid w:val="001C531D"/>
    <w:rsid w:val="001C535A"/>
    <w:rsid w:val="001C5394"/>
    <w:rsid w:val="001C539F"/>
    <w:rsid w:val="001C53D6"/>
    <w:rsid w:val="001C544E"/>
    <w:rsid w:val="001C55CD"/>
    <w:rsid w:val="001C563B"/>
    <w:rsid w:val="001C5643"/>
    <w:rsid w:val="001C56F5"/>
    <w:rsid w:val="001C57E1"/>
    <w:rsid w:val="001C57FC"/>
    <w:rsid w:val="001C5816"/>
    <w:rsid w:val="001C5817"/>
    <w:rsid w:val="001C5862"/>
    <w:rsid w:val="001C58A2"/>
    <w:rsid w:val="001C58F4"/>
    <w:rsid w:val="001C592F"/>
    <w:rsid w:val="001C593B"/>
    <w:rsid w:val="001C59B2"/>
    <w:rsid w:val="001C59C0"/>
    <w:rsid w:val="001C59C7"/>
    <w:rsid w:val="001C5A2C"/>
    <w:rsid w:val="001C5A4F"/>
    <w:rsid w:val="001C5A81"/>
    <w:rsid w:val="001C5B00"/>
    <w:rsid w:val="001C5CF5"/>
    <w:rsid w:val="001C5D49"/>
    <w:rsid w:val="001C5DAD"/>
    <w:rsid w:val="001C5DD9"/>
    <w:rsid w:val="001C5DEF"/>
    <w:rsid w:val="001C5E20"/>
    <w:rsid w:val="001C5E88"/>
    <w:rsid w:val="001C5EA7"/>
    <w:rsid w:val="001C5F59"/>
    <w:rsid w:val="001C5FC8"/>
    <w:rsid w:val="001C5FDD"/>
    <w:rsid w:val="001C600D"/>
    <w:rsid w:val="001C6034"/>
    <w:rsid w:val="001C6070"/>
    <w:rsid w:val="001C6098"/>
    <w:rsid w:val="001C6151"/>
    <w:rsid w:val="001C61E6"/>
    <w:rsid w:val="001C6213"/>
    <w:rsid w:val="001C6225"/>
    <w:rsid w:val="001C6245"/>
    <w:rsid w:val="001C6296"/>
    <w:rsid w:val="001C62D0"/>
    <w:rsid w:val="001C632B"/>
    <w:rsid w:val="001C632E"/>
    <w:rsid w:val="001C633E"/>
    <w:rsid w:val="001C637F"/>
    <w:rsid w:val="001C63B5"/>
    <w:rsid w:val="001C63E4"/>
    <w:rsid w:val="001C6420"/>
    <w:rsid w:val="001C645E"/>
    <w:rsid w:val="001C646B"/>
    <w:rsid w:val="001C650C"/>
    <w:rsid w:val="001C6565"/>
    <w:rsid w:val="001C65C6"/>
    <w:rsid w:val="001C65F6"/>
    <w:rsid w:val="001C660F"/>
    <w:rsid w:val="001C6684"/>
    <w:rsid w:val="001C6690"/>
    <w:rsid w:val="001C66E0"/>
    <w:rsid w:val="001C66E5"/>
    <w:rsid w:val="001C6715"/>
    <w:rsid w:val="001C6789"/>
    <w:rsid w:val="001C678D"/>
    <w:rsid w:val="001C67C4"/>
    <w:rsid w:val="001C67E3"/>
    <w:rsid w:val="001C682C"/>
    <w:rsid w:val="001C6838"/>
    <w:rsid w:val="001C688E"/>
    <w:rsid w:val="001C68DA"/>
    <w:rsid w:val="001C68DB"/>
    <w:rsid w:val="001C68DD"/>
    <w:rsid w:val="001C68EA"/>
    <w:rsid w:val="001C6901"/>
    <w:rsid w:val="001C6913"/>
    <w:rsid w:val="001C6919"/>
    <w:rsid w:val="001C6963"/>
    <w:rsid w:val="001C6975"/>
    <w:rsid w:val="001C6A08"/>
    <w:rsid w:val="001C6ACD"/>
    <w:rsid w:val="001C6BE7"/>
    <w:rsid w:val="001C6D03"/>
    <w:rsid w:val="001C6D11"/>
    <w:rsid w:val="001C6D1A"/>
    <w:rsid w:val="001C6D20"/>
    <w:rsid w:val="001C6D6F"/>
    <w:rsid w:val="001C6DB3"/>
    <w:rsid w:val="001C6DDD"/>
    <w:rsid w:val="001C6E46"/>
    <w:rsid w:val="001C6EF1"/>
    <w:rsid w:val="001C6F69"/>
    <w:rsid w:val="001C6FCB"/>
    <w:rsid w:val="001C6FD7"/>
    <w:rsid w:val="001C6FF2"/>
    <w:rsid w:val="001C705C"/>
    <w:rsid w:val="001C70D3"/>
    <w:rsid w:val="001C70FD"/>
    <w:rsid w:val="001C710B"/>
    <w:rsid w:val="001C7132"/>
    <w:rsid w:val="001C7172"/>
    <w:rsid w:val="001C7187"/>
    <w:rsid w:val="001C71B2"/>
    <w:rsid w:val="001C71B3"/>
    <w:rsid w:val="001C71E0"/>
    <w:rsid w:val="001C7273"/>
    <w:rsid w:val="001C7282"/>
    <w:rsid w:val="001C72A4"/>
    <w:rsid w:val="001C72BE"/>
    <w:rsid w:val="001C7361"/>
    <w:rsid w:val="001C741C"/>
    <w:rsid w:val="001C74A6"/>
    <w:rsid w:val="001C74BF"/>
    <w:rsid w:val="001C74F9"/>
    <w:rsid w:val="001C7501"/>
    <w:rsid w:val="001C7531"/>
    <w:rsid w:val="001C75EE"/>
    <w:rsid w:val="001C7667"/>
    <w:rsid w:val="001C76F8"/>
    <w:rsid w:val="001C7721"/>
    <w:rsid w:val="001C77C4"/>
    <w:rsid w:val="001C780F"/>
    <w:rsid w:val="001C783C"/>
    <w:rsid w:val="001C785F"/>
    <w:rsid w:val="001C7886"/>
    <w:rsid w:val="001C7896"/>
    <w:rsid w:val="001C78F8"/>
    <w:rsid w:val="001C795D"/>
    <w:rsid w:val="001C7964"/>
    <w:rsid w:val="001C7971"/>
    <w:rsid w:val="001C7979"/>
    <w:rsid w:val="001C79BE"/>
    <w:rsid w:val="001C7A5B"/>
    <w:rsid w:val="001C7A5D"/>
    <w:rsid w:val="001C7A6D"/>
    <w:rsid w:val="001C7A75"/>
    <w:rsid w:val="001C7A7C"/>
    <w:rsid w:val="001C7B49"/>
    <w:rsid w:val="001C7B94"/>
    <w:rsid w:val="001C7BDC"/>
    <w:rsid w:val="001C7BE8"/>
    <w:rsid w:val="001C7BF3"/>
    <w:rsid w:val="001C7C57"/>
    <w:rsid w:val="001C7C63"/>
    <w:rsid w:val="001C7C78"/>
    <w:rsid w:val="001C7CBB"/>
    <w:rsid w:val="001C7D11"/>
    <w:rsid w:val="001C7D53"/>
    <w:rsid w:val="001C7D91"/>
    <w:rsid w:val="001C7DB7"/>
    <w:rsid w:val="001C7E16"/>
    <w:rsid w:val="001C7E85"/>
    <w:rsid w:val="001C7ED5"/>
    <w:rsid w:val="001C7F3B"/>
    <w:rsid w:val="001C7F73"/>
    <w:rsid w:val="001C7FBA"/>
    <w:rsid w:val="001C7FCF"/>
    <w:rsid w:val="001C7FFD"/>
    <w:rsid w:val="001D00A3"/>
    <w:rsid w:val="001D00AD"/>
    <w:rsid w:val="001D0146"/>
    <w:rsid w:val="001D01C8"/>
    <w:rsid w:val="001D01E1"/>
    <w:rsid w:val="001D0255"/>
    <w:rsid w:val="001D0256"/>
    <w:rsid w:val="001D0290"/>
    <w:rsid w:val="001D02D8"/>
    <w:rsid w:val="001D0317"/>
    <w:rsid w:val="001D0318"/>
    <w:rsid w:val="001D0357"/>
    <w:rsid w:val="001D0399"/>
    <w:rsid w:val="001D03AC"/>
    <w:rsid w:val="001D0407"/>
    <w:rsid w:val="001D041A"/>
    <w:rsid w:val="001D04BE"/>
    <w:rsid w:val="001D04D5"/>
    <w:rsid w:val="001D04EE"/>
    <w:rsid w:val="001D04F0"/>
    <w:rsid w:val="001D051E"/>
    <w:rsid w:val="001D0538"/>
    <w:rsid w:val="001D05C6"/>
    <w:rsid w:val="001D05EE"/>
    <w:rsid w:val="001D060F"/>
    <w:rsid w:val="001D0622"/>
    <w:rsid w:val="001D0623"/>
    <w:rsid w:val="001D0656"/>
    <w:rsid w:val="001D065D"/>
    <w:rsid w:val="001D0687"/>
    <w:rsid w:val="001D069B"/>
    <w:rsid w:val="001D0707"/>
    <w:rsid w:val="001D0772"/>
    <w:rsid w:val="001D0773"/>
    <w:rsid w:val="001D0779"/>
    <w:rsid w:val="001D08A1"/>
    <w:rsid w:val="001D08CD"/>
    <w:rsid w:val="001D08F0"/>
    <w:rsid w:val="001D0902"/>
    <w:rsid w:val="001D09BD"/>
    <w:rsid w:val="001D0A1F"/>
    <w:rsid w:val="001D0ABC"/>
    <w:rsid w:val="001D0AC2"/>
    <w:rsid w:val="001D0B1A"/>
    <w:rsid w:val="001D0B33"/>
    <w:rsid w:val="001D0B34"/>
    <w:rsid w:val="001D0B7B"/>
    <w:rsid w:val="001D0B81"/>
    <w:rsid w:val="001D0BDB"/>
    <w:rsid w:val="001D0BE5"/>
    <w:rsid w:val="001D0C1F"/>
    <w:rsid w:val="001D0C30"/>
    <w:rsid w:val="001D0C78"/>
    <w:rsid w:val="001D0C96"/>
    <w:rsid w:val="001D0CDF"/>
    <w:rsid w:val="001D0D10"/>
    <w:rsid w:val="001D0D1C"/>
    <w:rsid w:val="001D0D2D"/>
    <w:rsid w:val="001D0D5A"/>
    <w:rsid w:val="001D0D5F"/>
    <w:rsid w:val="001D0D72"/>
    <w:rsid w:val="001D0D78"/>
    <w:rsid w:val="001D0D95"/>
    <w:rsid w:val="001D0D9B"/>
    <w:rsid w:val="001D0DA9"/>
    <w:rsid w:val="001D0DC8"/>
    <w:rsid w:val="001D0E30"/>
    <w:rsid w:val="001D0EE3"/>
    <w:rsid w:val="001D0EE6"/>
    <w:rsid w:val="001D0F74"/>
    <w:rsid w:val="001D0F8B"/>
    <w:rsid w:val="001D0F95"/>
    <w:rsid w:val="001D0F9E"/>
    <w:rsid w:val="001D0FE7"/>
    <w:rsid w:val="001D0FFC"/>
    <w:rsid w:val="001D1013"/>
    <w:rsid w:val="001D103E"/>
    <w:rsid w:val="001D104A"/>
    <w:rsid w:val="001D10A2"/>
    <w:rsid w:val="001D10BD"/>
    <w:rsid w:val="001D10C4"/>
    <w:rsid w:val="001D10CE"/>
    <w:rsid w:val="001D1262"/>
    <w:rsid w:val="001D128E"/>
    <w:rsid w:val="001D1362"/>
    <w:rsid w:val="001D13AB"/>
    <w:rsid w:val="001D13C0"/>
    <w:rsid w:val="001D13F1"/>
    <w:rsid w:val="001D140B"/>
    <w:rsid w:val="001D140D"/>
    <w:rsid w:val="001D1562"/>
    <w:rsid w:val="001D1579"/>
    <w:rsid w:val="001D157A"/>
    <w:rsid w:val="001D15D6"/>
    <w:rsid w:val="001D15EA"/>
    <w:rsid w:val="001D169B"/>
    <w:rsid w:val="001D16AC"/>
    <w:rsid w:val="001D16BB"/>
    <w:rsid w:val="001D1719"/>
    <w:rsid w:val="001D1746"/>
    <w:rsid w:val="001D179B"/>
    <w:rsid w:val="001D17BB"/>
    <w:rsid w:val="001D1816"/>
    <w:rsid w:val="001D183C"/>
    <w:rsid w:val="001D1847"/>
    <w:rsid w:val="001D1904"/>
    <w:rsid w:val="001D1954"/>
    <w:rsid w:val="001D1993"/>
    <w:rsid w:val="001D19B4"/>
    <w:rsid w:val="001D1A1C"/>
    <w:rsid w:val="001D1A7C"/>
    <w:rsid w:val="001D1ADA"/>
    <w:rsid w:val="001D1B77"/>
    <w:rsid w:val="001D1B81"/>
    <w:rsid w:val="001D1BEB"/>
    <w:rsid w:val="001D1C22"/>
    <w:rsid w:val="001D1C3C"/>
    <w:rsid w:val="001D1C4B"/>
    <w:rsid w:val="001D1C5A"/>
    <w:rsid w:val="001D1C73"/>
    <w:rsid w:val="001D1CAC"/>
    <w:rsid w:val="001D1D8C"/>
    <w:rsid w:val="001D1D98"/>
    <w:rsid w:val="001D1DA2"/>
    <w:rsid w:val="001D1E0A"/>
    <w:rsid w:val="001D1E6C"/>
    <w:rsid w:val="001D1E7B"/>
    <w:rsid w:val="001D1E95"/>
    <w:rsid w:val="001D1E9F"/>
    <w:rsid w:val="001D1ECA"/>
    <w:rsid w:val="001D1EE7"/>
    <w:rsid w:val="001D1EFB"/>
    <w:rsid w:val="001D1F05"/>
    <w:rsid w:val="001D1F72"/>
    <w:rsid w:val="001D1FC7"/>
    <w:rsid w:val="001D2021"/>
    <w:rsid w:val="001D20C5"/>
    <w:rsid w:val="001D2105"/>
    <w:rsid w:val="001D212E"/>
    <w:rsid w:val="001D21AA"/>
    <w:rsid w:val="001D21AF"/>
    <w:rsid w:val="001D21C9"/>
    <w:rsid w:val="001D2241"/>
    <w:rsid w:val="001D2283"/>
    <w:rsid w:val="001D2301"/>
    <w:rsid w:val="001D235E"/>
    <w:rsid w:val="001D2368"/>
    <w:rsid w:val="001D23C0"/>
    <w:rsid w:val="001D23CD"/>
    <w:rsid w:val="001D23E6"/>
    <w:rsid w:val="001D23E7"/>
    <w:rsid w:val="001D240B"/>
    <w:rsid w:val="001D2423"/>
    <w:rsid w:val="001D2467"/>
    <w:rsid w:val="001D2481"/>
    <w:rsid w:val="001D24D6"/>
    <w:rsid w:val="001D251B"/>
    <w:rsid w:val="001D251E"/>
    <w:rsid w:val="001D2573"/>
    <w:rsid w:val="001D2586"/>
    <w:rsid w:val="001D2594"/>
    <w:rsid w:val="001D2648"/>
    <w:rsid w:val="001D2691"/>
    <w:rsid w:val="001D269B"/>
    <w:rsid w:val="001D269F"/>
    <w:rsid w:val="001D26A2"/>
    <w:rsid w:val="001D2773"/>
    <w:rsid w:val="001D287E"/>
    <w:rsid w:val="001D28BB"/>
    <w:rsid w:val="001D29A3"/>
    <w:rsid w:val="001D29BB"/>
    <w:rsid w:val="001D2A1E"/>
    <w:rsid w:val="001D2A41"/>
    <w:rsid w:val="001D2A4B"/>
    <w:rsid w:val="001D2A57"/>
    <w:rsid w:val="001D2A99"/>
    <w:rsid w:val="001D2B4A"/>
    <w:rsid w:val="001D2B78"/>
    <w:rsid w:val="001D2BC4"/>
    <w:rsid w:val="001D2C0D"/>
    <w:rsid w:val="001D2C57"/>
    <w:rsid w:val="001D2C7E"/>
    <w:rsid w:val="001D2C8A"/>
    <w:rsid w:val="001D2CD3"/>
    <w:rsid w:val="001D2D29"/>
    <w:rsid w:val="001D2DCB"/>
    <w:rsid w:val="001D2E89"/>
    <w:rsid w:val="001D2E9F"/>
    <w:rsid w:val="001D2ED3"/>
    <w:rsid w:val="001D2ED6"/>
    <w:rsid w:val="001D2EE4"/>
    <w:rsid w:val="001D2F17"/>
    <w:rsid w:val="001D2FC6"/>
    <w:rsid w:val="001D3005"/>
    <w:rsid w:val="001D301D"/>
    <w:rsid w:val="001D30A0"/>
    <w:rsid w:val="001D3103"/>
    <w:rsid w:val="001D3173"/>
    <w:rsid w:val="001D319B"/>
    <w:rsid w:val="001D31AD"/>
    <w:rsid w:val="001D3205"/>
    <w:rsid w:val="001D32A9"/>
    <w:rsid w:val="001D32AA"/>
    <w:rsid w:val="001D3368"/>
    <w:rsid w:val="001D340C"/>
    <w:rsid w:val="001D3436"/>
    <w:rsid w:val="001D3479"/>
    <w:rsid w:val="001D349F"/>
    <w:rsid w:val="001D3521"/>
    <w:rsid w:val="001D3529"/>
    <w:rsid w:val="001D3534"/>
    <w:rsid w:val="001D35B9"/>
    <w:rsid w:val="001D35EE"/>
    <w:rsid w:val="001D3624"/>
    <w:rsid w:val="001D362E"/>
    <w:rsid w:val="001D380C"/>
    <w:rsid w:val="001D3847"/>
    <w:rsid w:val="001D384E"/>
    <w:rsid w:val="001D3A6C"/>
    <w:rsid w:val="001D3A7D"/>
    <w:rsid w:val="001D3AA1"/>
    <w:rsid w:val="001D3B01"/>
    <w:rsid w:val="001D3B0C"/>
    <w:rsid w:val="001D3B15"/>
    <w:rsid w:val="001D3B2E"/>
    <w:rsid w:val="001D3B35"/>
    <w:rsid w:val="001D3B4B"/>
    <w:rsid w:val="001D3B75"/>
    <w:rsid w:val="001D3B92"/>
    <w:rsid w:val="001D3BA8"/>
    <w:rsid w:val="001D3BF7"/>
    <w:rsid w:val="001D3C3F"/>
    <w:rsid w:val="001D3C49"/>
    <w:rsid w:val="001D3CBE"/>
    <w:rsid w:val="001D3CD6"/>
    <w:rsid w:val="001D3CE3"/>
    <w:rsid w:val="001D3D3F"/>
    <w:rsid w:val="001D3D64"/>
    <w:rsid w:val="001D3D82"/>
    <w:rsid w:val="001D3DE1"/>
    <w:rsid w:val="001D3DE9"/>
    <w:rsid w:val="001D3E2F"/>
    <w:rsid w:val="001D3E4D"/>
    <w:rsid w:val="001D3E85"/>
    <w:rsid w:val="001D3E8B"/>
    <w:rsid w:val="001D3F4F"/>
    <w:rsid w:val="001D3F9C"/>
    <w:rsid w:val="001D3FA7"/>
    <w:rsid w:val="001D3FF4"/>
    <w:rsid w:val="001D405B"/>
    <w:rsid w:val="001D409E"/>
    <w:rsid w:val="001D4106"/>
    <w:rsid w:val="001D414E"/>
    <w:rsid w:val="001D419B"/>
    <w:rsid w:val="001D4291"/>
    <w:rsid w:val="001D4316"/>
    <w:rsid w:val="001D4336"/>
    <w:rsid w:val="001D4378"/>
    <w:rsid w:val="001D441B"/>
    <w:rsid w:val="001D448D"/>
    <w:rsid w:val="001D449C"/>
    <w:rsid w:val="001D44A2"/>
    <w:rsid w:val="001D44EF"/>
    <w:rsid w:val="001D4521"/>
    <w:rsid w:val="001D4575"/>
    <w:rsid w:val="001D45FA"/>
    <w:rsid w:val="001D4689"/>
    <w:rsid w:val="001D46AF"/>
    <w:rsid w:val="001D46C1"/>
    <w:rsid w:val="001D4746"/>
    <w:rsid w:val="001D475A"/>
    <w:rsid w:val="001D4790"/>
    <w:rsid w:val="001D47AA"/>
    <w:rsid w:val="001D47F9"/>
    <w:rsid w:val="001D481D"/>
    <w:rsid w:val="001D4823"/>
    <w:rsid w:val="001D488E"/>
    <w:rsid w:val="001D489B"/>
    <w:rsid w:val="001D48AA"/>
    <w:rsid w:val="001D48D1"/>
    <w:rsid w:val="001D493F"/>
    <w:rsid w:val="001D4961"/>
    <w:rsid w:val="001D49B7"/>
    <w:rsid w:val="001D49E4"/>
    <w:rsid w:val="001D4A35"/>
    <w:rsid w:val="001D4A45"/>
    <w:rsid w:val="001D4A59"/>
    <w:rsid w:val="001D4A62"/>
    <w:rsid w:val="001D4AFD"/>
    <w:rsid w:val="001D4B0C"/>
    <w:rsid w:val="001D4B72"/>
    <w:rsid w:val="001D4B8F"/>
    <w:rsid w:val="001D4B91"/>
    <w:rsid w:val="001D4BAB"/>
    <w:rsid w:val="001D4BF1"/>
    <w:rsid w:val="001D4C2D"/>
    <w:rsid w:val="001D4CEB"/>
    <w:rsid w:val="001D4DB3"/>
    <w:rsid w:val="001D4DC4"/>
    <w:rsid w:val="001D4E61"/>
    <w:rsid w:val="001D4ECB"/>
    <w:rsid w:val="001D4EF8"/>
    <w:rsid w:val="001D5044"/>
    <w:rsid w:val="001D5061"/>
    <w:rsid w:val="001D5098"/>
    <w:rsid w:val="001D50A4"/>
    <w:rsid w:val="001D50FE"/>
    <w:rsid w:val="001D5103"/>
    <w:rsid w:val="001D511D"/>
    <w:rsid w:val="001D511F"/>
    <w:rsid w:val="001D5126"/>
    <w:rsid w:val="001D5127"/>
    <w:rsid w:val="001D5145"/>
    <w:rsid w:val="001D5179"/>
    <w:rsid w:val="001D5246"/>
    <w:rsid w:val="001D5298"/>
    <w:rsid w:val="001D52ED"/>
    <w:rsid w:val="001D536F"/>
    <w:rsid w:val="001D53B2"/>
    <w:rsid w:val="001D53CF"/>
    <w:rsid w:val="001D541B"/>
    <w:rsid w:val="001D543F"/>
    <w:rsid w:val="001D5457"/>
    <w:rsid w:val="001D5481"/>
    <w:rsid w:val="001D5488"/>
    <w:rsid w:val="001D54B7"/>
    <w:rsid w:val="001D54DF"/>
    <w:rsid w:val="001D54FB"/>
    <w:rsid w:val="001D559C"/>
    <w:rsid w:val="001D55F3"/>
    <w:rsid w:val="001D55F5"/>
    <w:rsid w:val="001D55FB"/>
    <w:rsid w:val="001D55FC"/>
    <w:rsid w:val="001D5660"/>
    <w:rsid w:val="001D569D"/>
    <w:rsid w:val="001D56A3"/>
    <w:rsid w:val="001D56AB"/>
    <w:rsid w:val="001D56B1"/>
    <w:rsid w:val="001D570C"/>
    <w:rsid w:val="001D5758"/>
    <w:rsid w:val="001D577B"/>
    <w:rsid w:val="001D5782"/>
    <w:rsid w:val="001D57DA"/>
    <w:rsid w:val="001D57F9"/>
    <w:rsid w:val="001D5801"/>
    <w:rsid w:val="001D5815"/>
    <w:rsid w:val="001D592B"/>
    <w:rsid w:val="001D5930"/>
    <w:rsid w:val="001D597B"/>
    <w:rsid w:val="001D5987"/>
    <w:rsid w:val="001D5998"/>
    <w:rsid w:val="001D59BA"/>
    <w:rsid w:val="001D59CF"/>
    <w:rsid w:val="001D59D2"/>
    <w:rsid w:val="001D5A0F"/>
    <w:rsid w:val="001D5A2A"/>
    <w:rsid w:val="001D5B14"/>
    <w:rsid w:val="001D5B35"/>
    <w:rsid w:val="001D5B82"/>
    <w:rsid w:val="001D5BAD"/>
    <w:rsid w:val="001D5BD3"/>
    <w:rsid w:val="001D5BDD"/>
    <w:rsid w:val="001D5BE5"/>
    <w:rsid w:val="001D5BE8"/>
    <w:rsid w:val="001D5BF6"/>
    <w:rsid w:val="001D5C14"/>
    <w:rsid w:val="001D5C27"/>
    <w:rsid w:val="001D5C90"/>
    <w:rsid w:val="001D5D94"/>
    <w:rsid w:val="001D5DEB"/>
    <w:rsid w:val="001D5DF2"/>
    <w:rsid w:val="001D5E30"/>
    <w:rsid w:val="001D5E40"/>
    <w:rsid w:val="001D5EA3"/>
    <w:rsid w:val="001D5EB3"/>
    <w:rsid w:val="001D5ECF"/>
    <w:rsid w:val="001D5EED"/>
    <w:rsid w:val="001D5EFB"/>
    <w:rsid w:val="001D5F78"/>
    <w:rsid w:val="001D5FA1"/>
    <w:rsid w:val="001D5FE6"/>
    <w:rsid w:val="001D5FE8"/>
    <w:rsid w:val="001D5FEA"/>
    <w:rsid w:val="001D6003"/>
    <w:rsid w:val="001D6020"/>
    <w:rsid w:val="001D6099"/>
    <w:rsid w:val="001D609A"/>
    <w:rsid w:val="001D60FD"/>
    <w:rsid w:val="001D610E"/>
    <w:rsid w:val="001D6123"/>
    <w:rsid w:val="001D617A"/>
    <w:rsid w:val="001D619F"/>
    <w:rsid w:val="001D61F6"/>
    <w:rsid w:val="001D6200"/>
    <w:rsid w:val="001D624D"/>
    <w:rsid w:val="001D62BF"/>
    <w:rsid w:val="001D62CA"/>
    <w:rsid w:val="001D62D2"/>
    <w:rsid w:val="001D63AB"/>
    <w:rsid w:val="001D63E8"/>
    <w:rsid w:val="001D6460"/>
    <w:rsid w:val="001D646E"/>
    <w:rsid w:val="001D64A8"/>
    <w:rsid w:val="001D651D"/>
    <w:rsid w:val="001D656E"/>
    <w:rsid w:val="001D6605"/>
    <w:rsid w:val="001D6697"/>
    <w:rsid w:val="001D66AF"/>
    <w:rsid w:val="001D66BF"/>
    <w:rsid w:val="001D66DF"/>
    <w:rsid w:val="001D66FC"/>
    <w:rsid w:val="001D6710"/>
    <w:rsid w:val="001D6754"/>
    <w:rsid w:val="001D6759"/>
    <w:rsid w:val="001D679D"/>
    <w:rsid w:val="001D67B2"/>
    <w:rsid w:val="001D67D2"/>
    <w:rsid w:val="001D6800"/>
    <w:rsid w:val="001D684E"/>
    <w:rsid w:val="001D6870"/>
    <w:rsid w:val="001D68C0"/>
    <w:rsid w:val="001D68E3"/>
    <w:rsid w:val="001D6918"/>
    <w:rsid w:val="001D693F"/>
    <w:rsid w:val="001D69DF"/>
    <w:rsid w:val="001D69E4"/>
    <w:rsid w:val="001D6A06"/>
    <w:rsid w:val="001D6A14"/>
    <w:rsid w:val="001D6A30"/>
    <w:rsid w:val="001D6A36"/>
    <w:rsid w:val="001D6A87"/>
    <w:rsid w:val="001D6A9E"/>
    <w:rsid w:val="001D6AC4"/>
    <w:rsid w:val="001D6AE2"/>
    <w:rsid w:val="001D6B15"/>
    <w:rsid w:val="001D6C15"/>
    <w:rsid w:val="001D6C55"/>
    <w:rsid w:val="001D6CA4"/>
    <w:rsid w:val="001D6CC9"/>
    <w:rsid w:val="001D6CF8"/>
    <w:rsid w:val="001D6D17"/>
    <w:rsid w:val="001D6D22"/>
    <w:rsid w:val="001D6D97"/>
    <w:rsid w:val="001D6DC3"/>
    <w:rsid w:val="001D6E6D"/>
    <w:rsid w:val="001D6E9D"/>
    <w:rsid w:val="001D6F09"/>
    <w:rsid w:val="001D6F1F"/>
    <w:rsid w:val="001D6F7B"/>
    <w:rsid w:val="001D6FCC"/>
    <w:rsid w:val="001D6FF1"/>
    <w:rsid w:val="001D6FFB"/>
    <w:rsid w:val="001D701A"/>
    <w:rsid w:val="001D7090"/>
    <w:rsid w:val="001D709F"/>
    <w:rsid w:val="001D711E"/>
    <w:rsid w:val="001D7170"/>
    <w:rsid w:val="001D725A"/>
    <w:rsid w:val="001D72A7"/>
    <w:rsid w:val="001D72B5"/>
    <w:rsid w:val="001D72CA"/>
    <w:rsid w:val="001D7315"/>
    <w:rsid w:val="001D7354"/>
    <w:rsid w:val="001D73B3"/>
    <w:rsid w:val="001D7411"/>
    <w:rsid w:val="001D7456"/>
    <w:rsid w:val="001D747C"/>
    <w:rsid w:val="001D74D1"/>
    <w:rsid w:val="001D7503"/>
    <w:rsid w:val="001D7518"/>
    <w:rsid w:val="001D7583"/>
    <w:rsid w:val="001D75C8"/>
    <w:rsid w:val="001D75CA"/>
    <w:rsid w:val="001D75D1"/>
    <w:rsid w:val="001D7601"/>
    <w:rsid w:val="001D7619"/>
    <w:rsid w:val="001D7628"/>
    <w:rsid w:val="001D762D"/>
    <w:rsid w:val="001D7651"/>
    <w:rsid w:val="001D765E"/>
    <w:rsid w:val="001D7669"/>
    <w:rsid w:val="001D766E"/>
    <w:rsid w:val="001D7684"/>
    <w:rsid w:val="001D76B6"/>
    <w:rsid w:val="001D76BC"/>
    <w:rsid w:val="001D76CF"/>
    <w:rsid w:val="001D76FA"/>
    <w:rsid w:val="001D7740"/>
    <w:rsid w:val="001D7770"/>
    <w:rsid w:val="001D7810"/>
    <w:rsid w:val="001D7828"/>
    <w:rsid w:val="001D7856"/>
    <w:rsid w:val="001D78E4"/>
    <w:rsid w:val="001D78E5"/>
    <w:rsid w:val="001D78FA"/>
    <w:rsid w:val="001D7901"/>
    <w:rsid w:val="001D795F"/>
    <w:rsid w:val="001D7963"/>
    <w:rsid w:val="001D7972"/>
    <w:rsid w:val="001D79A3"/>
    <w:rsid w:val="001D7A15"/>
    <w:rsid w:val="001D7ACA"/>
    <w:rsid w:val="001D7B9B"/>
    <w:rsid w:val="001D7BC5"/>
    <w:rsid w:val="001D7BCB"/>
    <w:rsid w:val="001D7BE1"/>
    <w:rsid w:val="001D7C19"/>
    <w:rsid w:val="001D7C36"/>
    <w:rsid w:val="001D7C59"/>
    <w:rsid w:val="001D7C75"/>
    <w:rsid w:val="001D7C8D"/>
    <w:rsid w:val="001D7C99"/>
    <w:rsid w:val="001D7CE4"/>
    <w:rsid w:val="001D7D43"/>
    <w:rsid w:val="001D7D74"/>
    <w:rsid w:val="001D7D93"/>
    <w:rsid w:val="001D7DA3"/>
    <w:rsid w:val="001D7DC5"/>
    <w:rsid w:val="001D7DDD"/>
    <w:rsid w:val="001D7DEC"/>
    <w:rsid w:val="001D7DF8"/>
    <w:rsid w:val="001D7E11"/>
    <w:rsid w:val="001D7E4A"/>
    <w:rsid w:val="001D7E4D"/>
    <w:rsid w:val="001D7E57"/>
    <w:rsid w:val="001D7E63"/>
    <w:rsid w:val="001D7EA8"/>
    <w:rsid w:val="001D7F0E"/>
    <w:rsid w:val="001D7F21"/>
    <w:rsid w:val="001D7F29"/>
    <w:rsid w:val="001D7F3D"/>
    <w:rsid w:val="001D7F67"/>
    <w:rsid w:val="001D7F75"/>
    <w:rsid w:val="001D7FAB"/>
    <w:rsid w:val="001D7FE4"/>
    <w:rsid w:val="001E001B"/>
    <w:rsid w:val="001E001D"/>
    <w:rsid w:val="001E0020"/>
    <w:rsid w:val="001E0044"/>
    <w:rsid w:val="001E0066"/>
    <w:rsid w:val="001E00B3"/>
    <w:rsid w:val="001E00B8"/>
    <w:rsid w:val="001E00E0"/>
    <w:rsid w:val="001E011E"/>
    <w:rsid w:val="001E012E"/>
    <w:rsid w:val="001E01FE"/>
    <w:rsid w:val="001E0224"/>
    <w:rsid w:val="001E0228"/>
    <w:rsid w:val="001E0283"/>
    <w:rsid w:val="001E034F"/>
    <w:rsid w:val="001E036B"/>
    <w:rsid w:val="001E03DC"/>
    <w:rsid w:val="001E0429"/>
    <w:rsid w:val="001E04E0"/>
    <w:rsid w:val="001E051E"/>
    <w:rsid w:val="001E0526"/>
    <w:rsid w:val="001E052D"/>
    <w:rsid w:val="001E054F"/>
    <w:rsid w:val="001E0588"/>
    <w:rsid w:val="001E0670"/>
    <w:rsid w:val="001E069A"/>
    <w:rsid w:val="001E0738"/>
    <w:rsid w:val="001E0739"/>
    <w:rsid w:val="001E07AC"/>
    <w:rsid w:val="001E07F8"/>
    <w:rsid w:val="001E0824"/>
    <w:rsid w:val="001E0836"/>
    <w:rsid w:val="001E087B"/>
    <w:rsid w:val="001E08BA"/>
    <w:rsid w:val="001E08E5"/>
    <w:rsid w:val="001E08FC"/>
    <w:rsid w:val="001E0912"/>
    <w:rsid w:val="001E0915"/>
    <w:rsid w:val="001E0953"/>
    <w:rsid w:val="001E096B"/>
    <w:rsid w:val="001E09D7"/>
    <w:rsid w:val="001E0A5C"/>
    <w:rsid w:val="001E0B24"/>
    <w:rsid w:val="001E0B62"/>
    <w:rsid w:val="001E0B6A"/>
    <w:rsid w:val="001E0B77"/>
    <w:rsid w:val="001E0BA7"/>
    <w:rsid w:val="001E0BC3"/>
    <w:rsid w:val="001E0CA8"/>
    <w:rsid w:val="001E0CB4"/>
    <w:rsid w:val="001E0D1D"/>
    <w:rsid w:val="001E0D34"/>
    <w:rsid w:val="001E0E7E"/>
    <w:rsid w:val="001E0EBC"/>
    <w:rsid w:val="001E0F04"/>
    <w:rsid w:val="001E0F4F"/>
    <w:rsid w:val="001E0F70"/>
    <w:rsid w:val="001E0FBD"/>
    <w:rsid w:val="001E1000"/>
    <w:rsid w:val="001E10D3"/>
    <w:rsid w:val="001E10E8"/>
    <w:rsid w:val="001E110D"/>
    <w:rsid w:val="001E1141"/>
    <w:rsid w:val="001E1166"/>
    <w:rsid w:val="001E1171"/>
    <w:rsid w:val="001E11C6"/>
    <w:rsid w:val="001E11E7"/>
    <w:rsid w:val="001E1222"/>
    <w:rsid w:val="001E124B"/>
    <w:rsid w:val="001E1279"/>
    <w:rsid w:val="001E12B0"/>
    <w:rsid w:val="001E12B2"/>
    <w:rsid w:val="001E12C3"/>
    <w:rsid w:val="001E12D1"/>
    <w:rsid w:val="001E12DB"/>
    <w:rsid w:val="001E1324"/>
    <w:rsid w:val="001E1330"/>
    <w:rsid w:val="001E13B8"/>
    <w:rsid w:val="001E13EE"/>
    <w:rsid w:val="001E1419"/>
    <w:rsid w:val="001E1438"/>
    <w:rsid w:val="001E148E"/>
    <w:rsid w:val="001E14CB"/>
    <w:rsid w:val="001E153C"/>
    <w:rsid w:val="001E15DF"/>
    <w:rsid w:val="001E1607"/>
    <w:rsid w:val="001E16B5"/>
    <w:rsid w:val="001E16BC"/>
    <w:rsid w:val="001E16CC"/>
    <w:rsid w:val="001E1705"/>
    <w:rsid w:val="001E170F"/>
    <w:rsid w:val="001E1749"/>
    <w:rsid w:val="001E179C"/>
    <w:rsid w:val="001E17A0"/>
    <w:rsid w:val="001E17B0"/>
    <w:rsid w:val="001E17FF"/>
    <w:rsid w:val="001E180A"/>
    <w:rsid w:val="001E1830"/>
    <w:rsid w:val="001E185B"/>
    <w:rsid w:val="001E1863"/>
    <w:rsid w:val="001E18CB"/>
    <w:rsid w:val="001E191C"/>
    <w:rsid w:val="001E1920"/>
    <w:rsid w:val="001E1940"/>
    <w:rsid w:val="001E1949"/>
    <w:rsid w:val="001E196B"/>
    <w:rsid w:val="001E1990"/>
    <w:rsid w:val="001E19CD"/>
    <w:rsid w:val="001E19D1"/>
    <w:rsid w:val="001E19ED"/>
    <w:rsid w:val="001E1A26"/>
    <w:rsid w:val="001E1A46"/>
    <w:rsid w:val="001E1A6E"/>
    <w:rsid w:val="001E1A74"/>
    <w:rsid w:val="001E1AC0"/>
    <w:rsid w:val="001E1B0F"/>
    <w:rsid w:val="001E1B70"/>
    <w:rsid w:val="001E1C64"/>
    <w:rsid w:val="001E1D73"/>
    <w:rsid w:val="001E1D7E"/>
    <w:rsid w:val="001E1D99"/>
    <w:rsid w:val="001E1DC1"/>
    <w:rsid w:val="001E1DED"/>
    <w:rsid w:val="001E1E32"/>
    <w:rsid w:val="001E1EC5"/>
    <w:rsid w:val="001E1EEE"/>
    <w:rsid w:val="001E1F35"/>
    <w:rsid w:val="001E1F7C"/>
    <w:rsid w:val="001E2048"/>
    <w:rsid w:val="001E2062"/>
    <w:rsid w:val="001E2067"/>
    <w:rsid w:val="001E2105"/>
    <w:rsid w:val="001E2162"/>
    <w:rsid w:val="001E2169"/>
    <w:rsid w:val="001E2251"/>
    <w:rsid w:val="001E2254"/>
    <w:rsid w:val="001E227A"/>
    <w:rsid w:val="001E2286"/>
    <w:rsid w:val="001E22AE"/>
    <w:rsid w:val="001E22E3"/>
    <w:rsid w:val="001E22ED"/>
    <w:rsid w:val="001E2310"/>
    <w:rsid w:val="001E23E2"/>
    <w:rsid w:val="001E23FD"/>
    <w:rsid w:val="001E2466"/>
    <w:rsid w:val="001E246C"/>
    <w:rsid w:val="001E24B2"/>
    <w:rsid w:val="001E2505"/>
    <w:rsid w:val="001E253C"/>
    <w:rsid w:val="001E2597"/>
    <w:rsid w:val="001E25D4"/>
    <w:rsid w:val="001E2667"/>
    <w:rsid w:val="001E2677"/>
    <w:rsid w:val="001E2687"/>
    <w:rsid w:val="001E26FE"/>
    <w:rsid w:val="001E278C"/>
    <w:rsid w:val="001E279D"/>
    <w:rsid w:val="001E27DC"/>
    <w:rsid w:val="001E27EF"/>
    <w:rsid w:val="001E27F4"/>
    <w:rsid w:val="001E280A"/>
    <w:rsid w:val="001E2850"/>
    <w:rsid w:val="001E2895"/>
    <w:rsid w:val="001E28A4"/>
    <w:rsid w:val="001E28E5"/>
    <w:rsid w:val="001E28EA"/>
    <w:rsid w:val="001E2915"/>
    <w:rsid w:val="001E2939"/>
    <w:rsid w:val="001E2953"/>
    <w:rsid w:val="001E2989"/>
    <w:rsid w:val="001E299B"/>
    <w:rsid w:val="001E2A22"/>
    <w:rsid w:val="001E2A25"/>
    <w:rsid w:val="001E2A65"/>
    <w:rsid w:val="001E2A84"/>
    <w:rsid w:val="001E2A9C"/>
    <w:rsid w:val="001E2AD1"/>
    <w:rsid w:val="001E2B66"/>
    <w:rsid w:val="001E2BE2"/>
    <w:rsid w:val="001E2BEC"/>
    <w:rsid w:val="001E2CB8"/>
    <w:rsid w:val="001E2CF0"/>
    <w:rsid w:val="001E2DE1"/>
    <w:rsid w:val="001E2F80"/>
    <w:rsid w:val="001E2F93"/>
    <w:rsid w:val="001E3002"/>
    <w:rsid w:val="001E3047"/>
    <w:rsid w:val="001E3049"/>
    <w:rsid w:val="001E304C"/>
    <w:rsid w:val="001E30BE"/>
    <w:rsid w:val="001E30D1"/>
    <w:rsid w:val="001E30D7"/>
    <w:rsid w:val="001E31B5"/>
    <w:rsid w:val="001E3247"/>
    <w:rsid w:val="001E3273"/>
    <w:rsid w:val="001E32AA"/>
    <w:rsid w:val="001E32BD"/>
    <w:rsid w:val="001E32CF"/>
    <w:rsid w:val="001E32EE"/>
    <w:rsid w:val="001E338E"/>
    <w:rsid w:val="001E33AE"/>
    <w:rsid w:val="001E33E2"/>
    <w:rsid w:val="001E3439"/>
    <w:rsid w:val="001E345D"/>
    <w:rsid w:val="001E34C3"/>
    <w:rsid w:val="001E350D"/>
    <w:rsid w:val="001E3541"/>
    <w:rsid w:val="001E3558"/>
    <w:rsid w:val="001E35B0"/>
    <w:rsid w:val="001E35D1"/>
    <w:rsid w:val="001E35D6"/>
    <w:rsid w:val="001E3619"/>
    <w:rsid w:val="001E3660"/>
    <w:rsid w:val="001E36F9"/>
    <w:rsid w:val="001E3794"/>
    <w:rsid w:val="001E37F9"/>
    <w:rsid w:val="001E380E"/>
    <w:rsid w:val="001E3823"/>
    <w:rsid w:val="001E387B"/>
    <w:rsid w:val="001E3899"/>
    <w:rsid w:val="001E389B"/>
    <w:rsid w:val="001E38B3"/>
    <w:rsid w:val="001E38B8"/>
    <w:rsid w:val="001E38C0"/>
    <w:rsid w:val="001E392B"/>
    <w:rsid w:val="001E399E"/>
    <w:rsid w:val="001E3A2B"/>
    <w:rsid w:val="001E3A2C"/>
    <w:rsid w:val="001E3AE3"/>
    <w:rsid w:val="001E3B26"/>
    <w:rsid w:val="001E3BAD"/>
    <w:rsid w:val="001E3BFD"/>
    <w:rsid w:val="001E3C02"/>
    <w:rsid w:val="001E3C06"/>
    <w:rsid w:val="001E3C6D"/>
    <w:rsid w:val="001E3C85"/>
    <w:rsid w:val="001E3C9F"/>
    <w:rsid w:val="001E3E0C"/>
    <w:rsid w:val="001E3E37"/>
    <w:rsid w:val="001E3EF7"/>
    <w:rsid w:val="001E3F04"/>
    <w:rsid w:val="001E3F20"/>
    <w:rsid w:val="001E3F2F"/>
    <w:rsid w:val="001E3F6E"/>
    <w:rsid w:val="001E3F76"/>
    <w:rsid w:val="001E3F87"/>
    <w:rsid w:val="001E400F"/>
    <w:rsid w:val="001E405B"/>
    <w:rsid w:val="001E4114"/>
    <w:rsid w:val="001E4176"/>
    <w:rsid w:val="001E41D0"/>
    <w:rsid w:val="001E4221"/>
    <w:rsid w:val="001E429D"/>
    <w:rsid w:val="001E429E"/>
    <w:rsid w:val="001E42DD"/>
    <w:rsid w:val="001E42ED"/>
    <w:rsid w:val="001E433E"/>
    <w:rsid w:val="001E4359"/>
    <w:rsid w:val="001E436B"/>
    <w:rsid w:val="001E43A9"/>
    <w:rsid w:val="001E43FF"/>
    <w:rsid w:val="001E4403"/>
    <w:rsid w:val="001E44F6"/>
    <w:rsid w:val="001E4553"/>
    <w:rsid w:val="001E455F"/>
    <w:rsid w:val="001E460C"/>
    <w:rsid w:val="001E4617"/>
    <w:rsid w:val="001E463E"/>
    <w:rsid w:val="001E464D"/>
    <w:rsid w:val="001E466E"/>
    <w:rsid w:val="001E4676"/>
    <w:rsid w:val="001E46E6"/>
    <w:rsid w:val="001E46F2"/>
    <w:rsid w:val="001E4725"/>
    <w:rsid w:val="001E4751"/>
    <w:rsid w:val="001E4772"/>
    <w:rsid w:val="001E479B"/>
    <w:rsid w:val="001E47A5"/>
    <w:rsid w:val="001E47CE"/>
    <w:rsid w:val="001E47FE"/>
    <w:rsid w:val="001E480C"/>
    <w:rsid w:val="001E4826"/>
    <w:rsid w:val="001E4849"/>
    <w:rsid w:val="001E486F"/>
    <w:rsid w:val="001E48A5"/>
    <w:rsid w:val="001E4904"/>
    <w:rsid w:val="001E498C"/>
    <w:rsid w:val="001E49E8"/>
    <w:rsid w:val="001E49F3"/>
    <w:rsid w:val="001E4A2B"/>
    <w:rsid w:val="001E4A43"/>
    <w:rsid w:val="001E4A4A"/>
    <w:rsid w:val="001E4A57"/>
    <w:rsid w:val="001E4A5E"/>
    <w:rsid w:val="001E4A6D"/>
    <w:rsid w:val="001E4AAF"/>
    <w:rsid w:val="001E4AD8"/>
    <w:rsid w:val="001E4AED"/>
    <w:rsid w:val="001E4B4C"/>
    <w:rsid w:val="001E4B4F"/>
    <w:rsid w:val="001E4B83"/>
    <w:rsid w:val="001E4BD9"/>
    <w:rsid w:val="001E4BDD"/>
    <w:rsid w:val="001E4BDE"/>
    <w:rsid w:val="001E4C32"/>
    <w:rsid w:val="001E4C5B"/>
    <w:rsid w:val="001E4C61"/>
    <w:rsid w:val="001E4C9C"/>
    <w:rsid w:val="001E4CA4"/>
    <w:rsid w:val="001E4D02"/>
    <w:rsid w:val="001E4D2E"/>
    <w:rsid w:val="001E4D39"/>
    <w:rsid w:val="001E4DE0"/>
    <w:rsid w:val="001E4DE2"/>
    <w:rsid w:val="001E4DEA"/>
    <w:rsid w:val="001E4E61"/>
    <w:rsid w:val="001E4E72"/>
    <w:rsid w:val="001E4F1E"/>
    <w:rsid w:val="001E4F22"/>
    <w:rsid w:val="001E4F39"/>
    <w:rsid w:val="001E4F3B"/>
    <w:rsid w:val="001E4F70"/>
    <w:rsid w:val="001E4FAB"/>
    <w:rsid w:val="001E4FB6"/>
    <w:rsid w:val="001E502E"/>
    <w:rsid w:val="001E5032"/>
    <w:rsid w:val="001E504D"/>
    <w:rsid w:val="001E505C"/>
    <w:rsid w:val="001E50EA"/>
    <w:rsid w:val="001E51CA"/>
    <w:rsid w:val="001E522A"/>
    <w:rsid w:val="001E5255"/>
    <w:rsid w:val="001E5280"/>
    <w:rsid w:val="001E5334"/>
    <w:rsid w:val="001E533B"/>
    <w:rsid w:val="001E5363"/>
    <w:rsid w:val="001E5369"/>
    <w:rsid w:val="001E53A7"/>
    <w:rsid w:val="001E53C9"/>
    <w:rsid w:val="001E53ED"/>
    <w:rsid w:val="001E545C"/>
    <w:rsid w:val="001E5476"/>
    <w:rsid w:val="001E5514"/>
    <w:rsid w:val="001E551B"/>
    <w:rsid w:val="001E5599"/>
    <w:rsid w:val="001E55E8"/>
    <w:rsid w:val="001E55EE"/>
    <w:rsid w:val="001E5611"/>
    <w:rsid w:val="001E56E5"/>
    <w:rsid w:val="001E5744"/>
    <w:rsid w:val="001E5749"/>
    <w:rsid w:val="001E57A6"/>
    <w:rsid w:val="001E57A8"/>
    <w:rsid w:val="001E5839"/>
    <w:rsid w:val="001E588D"/>
    <w:rsid w:val="001E58BE"/>
    <w:rsid w:val="001E58C8"/>
    <w:rsid w:val="001E58D9"/>
    <w:rsid w:val="001E58F8"/>
    <w:rsid w:val="001E593A"/>
    <w:rsid w:val="001E5A02"/>
    <w:rsid w:val="001E5AAC"/>
    <w:rsid w:val="001E5AAE"/>
    <w:rsid w:val="001E5B2D"/>
    <w:rsid w:val="001E5B59"/>
    <w:rsid w:val="001E5B67"/>
    <w:rsid w:val="001E5B80"/>
    <w:rsid w:val="001E5BB4"/>
    <w:rsid w:val="001E5BB6"/>
    <w:rsid w:val="001E5BD9"/>
    <w:rsid w:val="001E5BEC"/>
    <w:rsid w:val="001E5C18"/>
    <w:rsid w:val="001E5C20"/>
    <w:rsid w:val="001E5D79"/>
    <w:rsid w:val="001E5DB2"/>
    <w:rsid w:val="001E5E0B"/>
    <w:rsid w:val="001E5E1E"/>
    <w:rsid w:val="001E5E2B"/>
    <w:rsid w:val="001E5E30"/>
    <w:rsid w:val="001E5E4E"/>
    <w:rsid w:val="001E5E52"/>
    <w:rsid w:val="001E5EC0"/>
    <w:rsid w:val="001E5EC9"/>
    <w:rsid w:val="001E6142"/>
    <w:rsid w:val="001E6157"/>
    <w:rsid w:val="001E6187"/>
    <w:rsid w:val="001E61CA"/>
    <w:rsid w:val="001E628B"/>
    <w:rsid w:val="001E62B3"/>
    <w:rsid w:val="001E62CA"/>
    <w:rsid w:val="001E636B"/>
    <w:rsid w:val="001E6392"/>
    <w:rsid w:val="001E63E4"/>
    <w:rsid w:val="001E6468"/>
    <w:rsid w:val="001E649B"/>
    <w:rsid w:val="001E64C0"/>
    <w:rsid w:val="001E64EE"/>
    <w:rsid w:val="001E6522"/>
    <w:rsid w:val="001E653C"/>
    <w:rsid w:val="001E65A6"/>
    <w:rsid w:val="001E65D3"/>
    <w:rsid w:val="001E65EC"/>
    <w:rsid w:val="001E672E"/>
    <w:rsid w:val="001E6736"/>
    <w:rsid w:val="001E677B"/>
    <w:rsid w:val="001E67CB"/>
    <w:rsid w:val="001E6836"/>
    <w:rsid w:val="001E68A0"/>
    <w:rsid w:val="001E68B2"/>
    <w:rsid w:val="001E68E7"/>
    <w:rsid w:val="001E68ED"/>
    <w:rsid w:val="001E694C"/>
    <w:rsid w:val="001E69D3"/>
    <w:rsid w:val="001E6AAE"/>
    <w:rsid w:val="001E6B6A"/>
    <w:rsid w:val="001E6B81"/>
    <w:rsid w:val="001E6B97"/>
    <w:rsid w:val="001E6B9E"/>
    <w:rsid w:val="001E6BF1"/>
    <w:rsid w:val="001E6C0A"/>
    <w:rsid w:val="001E6C2C"/>
    <w:rsid w:val="001E6D55"/>
    <w:rsid w:val="001E6DAE"/>
    <w:rsid w:val="001E6E9C"/>
    <w:rsid w:val="001E6EAE"/>
    <w:rsid w:val="001E6EAF"/>
    <w:rsid w:val="001E6EC5"/>
    <w:rsid w:val="001E6F57"/>
    <w:rsid w:val="001E6F69"/>
    <w:rsid w:val="001E6F75"/>
    <w:rsid w:val="001E6F77"/>
    <w:rsid w:val="001E6FB0"/>
    <w:rsid w:val="001E6FFB"/>
    <w:rsid w:val="001E7066"/>
    <w:rsid w:val="001E707E"/>
    <w:rsid w:val="001E70B6"/>
    <w:rsid w:val="001E70CA"/>
    <w:rsid w:val="001E71AF"/>
    <w:rsid w:val="001E71DF"/>
    <w:rsid w:val="001E721B"/>
    <w:rsid w:val="001E7258"/>
    <w:rsid w:val="001E72D6"/>
    <w:rsid w:val="001E7342"/>
    <w:rsid w:val="001E7353"/>
    <w:rsid w:val="001E735B"/>
    <w:rsid w:val="001E735F"/>
    <w:rsid w:val="001E7386"/>
    <w:rsid w:val="001E73EE"/>
    <w:rsid w:val="001E7447"/>
    <w:rsid w:val="001E747D"/>
    <w:rsid w:val="001E749C"/>
    <w:rsid w:val="001E74AF"/>
    <w:rsid w:val="001E74CA"/>
    <w:rsid w:val="001E74EA"/>
    <w:rsid w:val="001E7502"/>
    <w:rsid w:val="001E7543"/>
    <w:rsid w:val="001E7549"/>
    <w:rsid w:val="001E75E2"/>
    <w:rsid w:val="001E762A"/>
    <w:rsid w:val="001E765C"/>
    <w:rsid w:val="001E76BA"/>
    <w:rsid w:val="001E76CF"/>
    <w:rsid w:val="001E76D4"/>
    <w:rsid w:val="001E778F"/>
    <w:rsid w:val="001E7790"/>
    <w:rsid w:val="001E779B"/>
    <w:rsid w:val="001E77AC"/>
    <w:rsid w:val="001E7808"/>
    <w:rsid w:val="001E7815"/>
    <w:rsid w:val="001E7846"/>
    <w:rsid w:val="001E78B7"/>
    <w:rsid w:val="001E7958"/>
    <w:rsid w:val="001E7996"/>
    <w:rsid w:val="001E7997"/>
    <w:rsid w:val="001E7A5D"/>
    <w:rsid w:val="001E7A6D"/>
    <w:rsid w:val="001E7AB1"/>
    <w:rsid w:val="001E7AEA"/>
    <w:rsid w:val="001E7AF1"/>
    <w:rsid w:val="001E7B30"/>
    <w:rsid w:val="001E7B4D"/>
    <w:rsid w:val="001E7C07"/>
    <w:rsid w:val="001E7C5B"/>
    <w:rsid w:val="001E7C9F"/>
    <w:rsid w:val="001E7CBB"/>
    <w:rsid w:val="001E7CF4"/>
    <w:rsid w:val="001E7D44"/>
    <w:rsid w:val="001E7D63"/>
    <w:rsid w:val="001E7D7C"/>
    <w:rsid w:val="001E7D81"/>
    <w:rsid w:val="001E7DD3"/>
    <w:rsid w:val="001E7E38"/>
    <w:rsid w:val="001E7E73"/>
    <w:rsid w:val="001E7EBE"/>
    <w:rsid w:val="001E7EFB"/>
    <w:rsid w:val="001E7F4C"/>
    <w:rsid w:val="001E7F97"/>
    <w:rsid w:val="001E7FB4"/>
    <w:rsid w:val="001F002D"/>
    <w:rsid w:val="001F0047"/>
    <w:rsid w:val="001F007B"/>
    <w:rsid w:val="001F00A1"/>
    <w:rsid w:val="001F018B"/>
    <w:rsid w:val="001F01B1"/>
    <w:rsid w:val="001F01CE"/>
    <w:rsid w:val="001F01DE"/>
    <w:rsid w:val="001F01E6"/>
    <w:rsid w:val="001F0279"/>
    <w:rsid w:val="001F027E"/>
    <w:rsid w:val="001F02CB"/>
    <w:rsid w:val="001F02D3"/>
    <w:rsid w:val="001F03B2"/>
    <w:rsid w:val="001F052A"/>
    <w:rsid w:val="001F0540"/>
    <w:rsid w:val="001F054D"/>
    <w:rsid w:val="001F05C6"/>
    <w:rsid w:val="001F05F4"/>
    <w:rsid w:val="001F0671"/>
    <w:rsid w:val="001F067E"/>
    <w:rsid w:val="001F06EB"/>
    <w:rsid w:val="001F079D"/>
    <w:rsid w:val="001F080F"/>
    <w:rsid w:val="001F08CF"/>
    <w:rsid w:val="001F09BE"/>
    <w:rsid w:val="001F09C9"/>
    <w:rsid w:val="001F09FC"/>
    <w:rsid w:val="001F0A15"/>
    <w:rsid w:val="001F0A63"/>
    <w:rsid w:val="001F0A7A"/>
    <w:rsid w:val="001F0B34"/>
    <w:rsid w:val="001F0C24"/>
    <w:rsid w:val="001F0C68"/>
    <w:rsid w:val="001F0CAF"/>
    <w:rsid w:val="001F0D1F"/>
    <w:rsid w:val="001F0D94"/>
    <w:rsid w:val="001F0DA8"/>
    <w:rsid w:val="001F0DAB"/>
    <w:rsid w:val="001F0DB6"/>
    <w:rsid w:val="001F0DE5"/>
    <w:rsid w:val="001F0E1B"/>
    <w:rsid w:val="001F0E26"/>
    <w:rsid w:val="001F0E56"/>
    <w:rsid w:val="001F0E8C"/>
    <w:rsid w:val="001F0E9E"/>
    <w:rsid w:val="001F0EA2"/>
    <w:rsid w:val="001F0EDB"/>
    <w:rsid w:val="001F0FCF"/>
    <w:rsid w:val="001F0FFE"/>
    <w:rsid w:val="001F1026"/>
    <w:rsid w:val="001F106A"/>
    <w:rsid w:val="001F10D5"/>
    <w:rsid w:val="001F1147"/>
    <w:rsid w:val="001F118E"/>
    <w:rsid w:val="001F1195"/>
    <w:rsid w:val="001F11A2"/>
    <w:rsid w:val="001F1276"/>
    <w:rsid w:val="001F13C1"/>
    <w:rsid w:val="001F142B"/>
    <w:rsid w:val="001F145B"/>
    <w:rsid w:val="001F146E"/>
    <w:rsid w:val="001F149F"/>
    <w:rsid w:val="001F153F"/>
    <w:rsid w:val="001F1558"/>
    <w:rsid w:val="001F15B3"/>
    <w:rsid w:val="001F15C4"/>
    <w:rsid w:val="001F1602"/>
    <w:rsid w:val="001F1626"/>
    <w:rsid w:val="001F163B"/>
    <w:rsid w:val="001F166F"/>
    <w:rsid w:val="001F174F"/>
    <w:rsid w:val="001F1856"/>
    <w:rsid w:val="001F185D"/>
    <w:rsid w:val="001F18D2"/>
    <w:rsid w:val="001F1904"/>
    <w:rsid w:val="001F19D8"/>
    <w:rsid w:val="001F1A07"/>
    <w:rsid w:val="001F1A4E"/>
    <w:rsid w:val="001F1A4F"/>
    <w:rsid w:val="001F1AC5"/>
    <w:rsid w:val="001F1AE4"/>
    <w:rsid w:val="001F1AED"/>
    <w:rsid w:val="001F1B27"/>
    <w:rsid w:val="001F1B6A"/>
    <w:rsid w:val="001F1C19"/>
    <w:rsid w:val="001F1C7E"/>
    <w:rsid w:val="001F1CA8"/>
    <w:rsid w:val="001F1CAF"/>
    <w:rsid w:val="001F1CD7"/>
    <w:rsid w:val="001F1D24"/>
    <w:rsid w:val="001F1D2F"/>
    <w:rsid w:val="001F1D50"/>
    <w:rsid w:val="001F1DA3"/>
    <w:rsid w:val="001F1DFB"/>
    <w:rsid w:val="001F1EAE"/>
    <w:rsid w:val="001F1F51"/>
    <w:rsid w:val="001F1F62"/>
    <w:rsid w:val="001F1F74"/>
    <w:rsid w:val="001F1F7F"/>
    <w:rsid w:val="001F1F8D"/>
    <w:rsid w:val="001F1FF9"/>
    <w:rsid w:val="001F200E"/>
    <w:rsid w:val="001F209B"/>
    <w:rsid w:val="001F209D"/>
    <w:rsid w:val="001F20A9"/>
    <w:rsid w:val="001F2110"/>
    <w:rsid w:val="001F211A"/>
    <w:rsid w:val="001F2151"/>
    <w:rsid w:val="001F2185"/>
    <w:rsid w:val="001F21B0"/>
    <w:rsid w:val="001F21BA"/>
    <w:rsid w:val="001F2262"/>
    <w:rsid w:val="001F2268"/>
    <w:rsid w:val="001F2296"/>
    <w:rsid w:val="001F22FB"/>
    <w:rsid w:val="001F2308"/>
    <w:rsid w:val="001F2349"/>
    <w:rsid w:val="001F238A"/>
    <w:rsid w:val="001F2469"/>
    <w:rsid w:val="001F25D3"/>
    <w:rsid w:val="001F25DB"/>
    <w:rsid w:val="001F261F"/>
    <w:rsid w:val="001F264E"/>
    <w:rsid w:val="001F26B0"/>
    <w:rsid w:val="001F277A"/>
    <w:rsid w:val="001F2787"/>
    <w:rsid w:val="001F2809"/>
    <w:rsid w:val="001F2872"/>
    <w:rsid w:val="001F2877"/>
    <w:rsid w:val="001F28AA"/>
    <w:rsid w:val="001F28C7"/>
    <w:rsid w:val="001F292E"/>
    <w:rsid w:val="001F299C"/>
    <w:rsid w:val="001F29CA"/>
    <w:rsid w:val="001F29D0"/>
    <w:rsid w:val="001F29D8"/>
    <w:rsid w:val="001F29EE"/>
    <w:rsid w:val="001F2A7B"/>
    <w:rsid w:val="001F2B11"/>
    <w:rsid w:val="001F2B62"/>
    <w:rsid w:val="001F2B96"/>
    <w:rsid w:val="001F2BCC"/>
    <w:rsid w:val="001F2BCE"/>
    <w:rsid w:val="001F2BDF"/>
    <w:rsid w:val="001F2BE6"/>
    <w:rsid w:val="001F2C1D"/>
    <w:rsid w:val="001F2C40"/>
    <w:rsid w:val="001F2C60"/>
    <w:rsid w:val="001F2C95"/>
    <w:rsid w:val="001F2C9A"/>
    <w:rsid w:val="001F2CA7"/>
    <w:rsid w:val="001F2CAC"/>
    <w:rsid w:val="001F2CBC"/>
    <w:rsid w:val="001F2D1F"/>
    <w:rsid w:val="001F2D22"/>
    <w:rsid w:val="001F2D63"/>
    <w:rsid w:val="001F2D6F"/>
    <w:rsid w:val="001F2DA6"/>
    <w:rsid w:val="001F2DC0"/>
    <w:rsid w:val="001F2DC2"/>
    <w:rsid w:val="001F2DE5"/>
    <w:rsid w:val="001F2DEA"/>
    <w:rsid w:val="001F2E1A"/>
    <w:rsid w:val="001F2E40"/>
    <w:rsid w:val="001F2EDD"/>
    <w:rsid w:val="001F2F4E"/>
    <w:rsid w:val="001F2F83"/>
    <w:rsid w:val="001F2FBE"/>
    <w:rsid w:val="001F3004"/>
    <w:rsid w:val="001F3006"/>
    <w:rsid w:val="001F30A2"/>
    <w:rsid w:val="001F30DA"/>
    <w:rsid w:val="001F30EB"/>
    <w:rsid w:val="001F30F3"/>
    <w:rsid w:val="001F30FF"/>
    <w:rsid w:val="001F310C"/>
    <w:rsid w:val="001F311B"/>
    <w:rsid w:val="001F316D"/>
    <w:rsid w:val="001F317C"/>
    <w:rsid w:val="001F3199"/>
    <w:rsid w:val="001F327D"/>
    <w:rsid w:val="001F3304"/>
    <w:rsid w:val="001F3379"/>
    <w:rsid w:val="001F33B7"/>
    <w:rsid w:val="001F33F2"/>
    <w:rsid w:val="001F340C"/>
    <w:rsid w:val="001F34E5"/>
    <w:rsid w:val="001F34F6"/>
    <w:rsid w:val="001F34F7"/>
    <w:rsid w:val="001F350A"/>
    <w:rsid w:val="001F351B"/>
    <w:rsid w:val="001F35AC"/>
    <w:rsid w:val="001F3609"/>
    <w:rsid w:val="001F360D"/>
    <w:rsid w:val="001F3623"/>
    <w:rsid w:val="001F3645"/>
    <w:rsid w:val="001F369D"/>
    <w:rsid w:val="001F371C"/>
    <w:rsid w:val="001F376D"/>
    <w:rsid w:val="001F3772"/>
    <w:rsid w:val="001F37A1"/>
    <w:rsid w:val="001F37A9"/>
    <w:rsid w:val="001F37DB"/>
    <w:rsid w:val="001F37EC"/>
    <w:rsid w:val="001F380D"/>
    <w:rsid w:val="001F3828"/>
    <w:rsid w:val="001F396F"/>
    <w:rsid w:val="001F3980"/>
    <w:rsid w:val="001F39A4"/>
    <w:rsid w:val="001F39B7"/>
    <w:rsid w:val="001F39CE"/>
    <w:rsid w:val="001F3AB9"/>
    <w:rsid w:val="001F3B06"/>
    <w:rsid w:val="001F3B6F"/>
    <w:rsid w:val="001F3CA1"/>
    <w:rsid w:val="001F3CD8"/>
    <w:rsid w:val="001F3D3A"/>
    <w:rsid w:val="001F3DB6"/>
    <w:rsid w:val="001F3E12"/>
    <w:rsid w:val="001F3E47"/>
    <w:rsid w:val="001F3E84"/>
    <w:rsid w:val="001F3F00"/>
    <w:rsid w:val="001F3FA5"/>
    <w:rsid w:val="001F3FB3"/>
    <w:rsid w:val="001F3FE2"/>
    <w:rsid w:val="001F4010"/>
    <w:rsid w:val="001F401B"/>
    <w:rsid w:val="001F40A9"/>
    <w:rsid w:val="001F40AD"/>
    <w:rsid w:val="001F40BF"/>
    <w:rsid w:val="001F40D3"/>
    <w:rsid w:val="001F4105"/>
    <w:rsid w:val="001F4121"/>
    <w:rsid w:val="001F417D"/>
    <w:rsid w:val="001F41A8"/>
    <w:rsid w:val="001F4219"/>
    <w:rsid w:val="001F4240"/>
    <w:rsid w:val="001F425E"/>
    <w:rsid w:val="001F42E1"/>
    <w:rsid w:val="001F4358"/>
    <w:rsid w:val="001F436C"/>
    <w:rsid w:val="001F43FE"/>
    <w:rsid w:val="001F4412"/>
    <w:rsid w:val="001F443E"/>
    <w:rsid w:val="001F44DF"/>
    <w:rsid w:val="001F4516"/>
    <w:rsid w:val="001F4528"/>
    <w:rsid w:val="001F4536"/>
    <w:rsid w:val="001F4546"/>
    <w:rsid w:val="001F4569"/>
    <w:rsid w:val="001F4592"/>
    <w:rsid w:val="001F45C7"/>
    <w:rsid w:val="001F45C8"/>
    <w:rsid w:val="001F4613"/>
    <w:rsid w:val="001F4650"/>
    <w:rsid w:val="001F474B"/>
    <w:rsid w:val="001F474E"/>
    <w:rsid w:val="001F479F"/>
    <w:rsid w:val="001F4830"/>
    <w:rsid w:val="001F499B"/>
    <w:rsid w:val="001F4A13"/>
    <w:rsid w:val="001F4A43"/>
    <w:rsid w:val="001F4A67"/>
    <w:rsid w:val="001F4A71"/>
    <w:rsid w:val="001F4A7D"/>
    <w:rsid w:val="001F4A84"/>
    <w:rsid w:val="001F4A96"/>
    <w:rsid w:val="001F4AA1"/>
    <w:rsid w:val="001F4AD1"/>
    <w:rsid w:val="001F4AE5"/>
    <w:rsid w:val="001F4BCE"/>
    <w:rsid w:val="001F4C3C"/>
    <w:rsid w:val="001F4CA1"/>
    <w:rsid w:val="001F4CBE"/>
    <w:rsid w:val="001F4CC0"/>
    <w:rsid w:val="001F4CD6"/>
    <w:rsid w:val="001F4D72"/>
    <w:rsid w:val="001F4DCE"/>
    <w:rsid w:val="001F4E3F"/>
    <w:rsid w:val="001F4E51"/>
    <w:rsid w:val="001F4EA4"/>
    <w:rsid w:val="001F4EEF"/>
    <w:rsid w:val="001F4F1E"/>
    <w:rsid w:val="001F4F49"/>
    <w:rsid w:val="001F4F4F"/>
    <w:rsid w:val="001F4F56"/>
    <w:rsid w:val="001F4F6E"/>
    <w:rsid w:val="001F4FA9"/>
    <w:rsid w:val="001F4FBD"/>
    <w:rsid w:val="001F5006"/>
    <w:rsid w:val="001F5023"/>
    <w:rsid w:val="001F5061"/>
    <w:rsid w:val="001F50AC"/>
    <w:rsid w:val="001F5142"/>
    <w:rsid w:val="001F51BE"/>
    <w:rsid w:val="001F51D7"/>
    <w:rsid w:val="001F51F9"/>
    <w:rsid w:val="001F51FA"/>
    <w:rsid w:val="001F5231"/>
    <w:rsid w:val="001F5305"/>
    <w:rsid w:val="001F532E"/>
    <w:rsid w:val="001F5351"/>
    <w:rsid w:val="001F53C0"/>
    <w:rsid w:val="001F53C3"/>
    <w:rsid w:val="001F53DF"/>
    <w:rsid w:val="001F53E6"/>
    <w:rsid w:val="001F54B7"/>
    <w:rsid w:val="001F54CB"/>
    <w:rsid w:val="001F54DC"/>
    <w:rsid w:val="001F5583"/>
    <w:rsid w:val="001F559B"/>
    <w:rsid w:val="001F55B1"/>
    <w:rsid w:val="001F55D1"/>
    <w:rsid w:val="001F562A"/>
    <w:rsid w:val="001F565E"/>
    <w:rsid w:val="001F5684"/>
    <w:rsid w:val="001F568F"/>
    <w:rsid w:val="001F56A5"/>
    <w:rsid w:val="001F5734"/>
    <w:rsid w:val="001F573E"/>
    <w:rsid w:val="001F5842"/>
    <w:rsid w:val="001F584F"/>
    <w:rsid w:val="001F5873"/>
    <w:rsid w:val="001F5895"/>
    <w:rsid w:val="001F59F2"/>
    <w:rsid w:val="001F5A05"/>
    <w:rsid w:val="001F5ABE"/>
    <w:rsid w:val="001F5ABF"/>
    <w:rsid w:val="001F5B25"/>
    <w:rsid w:val="001F5BA5"/>
    <w:rsid w:val="001F5C1E"/>
    <w:rsid w:val="001F5C3D"/>
    <w:rsid w:val="001F5D37"/>
    <w:rsid w:val="001F5D4A"/>
    <w:rsid w:val="001F5D55"/>
    <w:rsid w:val="001F5D67"/>
    <w:rsid w:val="001F5D97"/>
    <w:rsid w:val="001F5DA2"/>
    <w:rsid w:val="001F5E44"/>
    <w:rsid w:val="001F5E9E"/>
    <w:rsid w:val="001F5EC7"/>
    <w:rsid w:val="001F5F04"/>
    <w:rsid w:val="001F5F0A"/>
    <w:rsid w:val="001F5F55"/>
    <w:rsid w:val="001F5F8C"/>
    <w:rsid w:val="001F5FD4"/>
    <w:rsid w:val="001F5FEC"/>
    <w:rsid w:val="001F6012"/>
    <w:rsid w:val="001F6016"/>
    <w:rsid w:val="001F6022"/>
    <w:rsid w:val="001F6026"/>
    <w:rsid w:val="001F608B"/>
    <w:rsid w:val="001F6241"/>
    <w:rsid w:val="001F62B8"/>
    <w:rsid w:val="001F62BB"/>
    <w:rsid w:val="001F62C7"/>
    <w:rsid w:val="001F62DB"/>
    <w:rsid w:val="001F6348"/>
    <w:rsid w:val="001F6453"/>
    <w:rsid w:val="001F6488"/>
    <w:rsid w:val="001F64B1"/>
    <w:rsid w:val="001F64E4"/>
    <w:rsid w:val="001F6575"/>
    <w:rsid w:val="001F6585"/>
    <w:rsid w:val="001F65CD"/>
    <w:rsid w:val="001F662D"/>
    <w:rsid w:val="001F6646"/>
    <w:rsid w:val="001F6682"/>
    <w:rsid w:val="001F669C"/>
    <w:rsid w:val="001F66E9"/>
    <w:rsid w:val="001F66FB"/>
    <w:rsid w:val="001F67BD"/>
    <w:rsid w:val="001F67D7"/>
    <w:rsid w:val="001F68BF"/>
    <w:rsid w:val="001F6974"/>
    <w:rsid w:val="001F6994"/>
    <w:rsid w:val="001F6A18"/>
    <w:rsid w:val="001F6A3F"/>
    <w:rsid w:val="001F6A65"/>
    <w:rsid w:val="001F6A85"/>
    <w:rsid w:val="001F6AAD"/>
    <w:rsid w:val="001F6AEC"/>
    <w:rsid w:val="001F6B6B"/>
    <w:rsid w:val="001F6B85"/>
    <w:rsid w:val="001F6BB0"/>
    <w:rsid w:val="001F6BD9"/>
    <w:rsid w:val="001F6C0F"/>
    <w:rsid w:val="001F6CB9"/>
    <w:rsid w:val="001F6CBE"/>
    <w:rsid w:val="001F6CD3"/>
    <w:rsid w:val="001F6D71"/>
    <w:rsid w:val="001F6D73"/>
    <w:rsid w:val="001F6D8E"/>
    <w:rsid w:val="001F6DA2"/>
    <w:rsid w:val="001F6DEA"/>
    <w:rsid w:val="001F6E28"/>
    <w:rsid w:val="001F6E8F"/>
    <w:rsid w:val="001F6EB8"/>
    <w:rsid w:val="001F6EF1"/>
    <w:rsid w:val="001F6F21"/>
    <w:rsid w:val="001F6FA6"/>
    <w:rsid w:val="001F6FB0"/>
    <w:rsid w:val="001F6FDB"/>
    <w:rsid w:val="001F70B7"/>
    <w:rsid w:val="001F70DD"/>
    <w:rsid w:val="001F7157"/>
    <w:rsid w:val="001F71A0"/>
    <w:rsid w:val="001F723D"/>
    <w:rsid w:val="001F7260"/>
    <w:rsid w:val="001F72D6"/>
    <w:rsid w:val="001F72F7"/>
    <w:rsid w:val="001F7350"/>
    <w:rsid w:val="001F739D"/>
    <w:rsid w:val="001F73AB"/>
    <w:rsid w:val="001F73BF"/>
    <w:rsid w:val="001F7414"/>
    <w:rsid w:val="001F743E"/>
    <w:rsid w:val="001F745B"/>
    <w:rsid w:val="001F74AD"/>
    <w:rsid w:val="001F7541"/>
    <w:rsid w:val="001F757D"/>
    <w:rsid w:val="001F75A1"/>
    <w:rsid w:val="001F75B4"/>
    <w:rsid w:val="001F75BD"/>
    <w:rsid w:val="001F764F"/>
    <w:rsid w:val="001F7675"/>
    <w:rsid w:val="001F7758"/>
    <w:rsid w:val="001F7794"/>
    <w:rsid w:val="001F77B4"/>
    <w:rsid w:val="001F7801"/>
    <w:rsid w:val="001F785E"/>
    <w:rsid w:val="001F78BF"/>
    <w:rsid w:val="001F78C3"/>
    <w:rsid w:val="001F78DD"/>
    <w:rsid w:val="001F78E4"/>
    <w:rsid w:val="001F78EC"/>
    <w:rsid w:val="001F7919"/>
    <w:rsid w:val="001F7994"/>
    <w:rsid w:val="001F7A16"/>
    <w:rsid w:val="001F7A9C"/>
    <w:rsid w:val="001F7B09"/>
    <w:rsid w:val="001F7B72"/>
    <w:rsid w:val="001F7B7E"/>
    <w:rsid w:val="001F7B93"/>
    <w:rsid w:val="001F7C9F"/>
    <w:rsid w:val="001F7CFC"/>
    <w:rsid w:val="001F7D0A"/>
    <w:rsid w:val="001F7D7E"/>
    <w:rsid w:val="001F7D95"/>
    <w:rsid w:val="001F7DBA"/>
    <w:rsid w:val="001F7DF3"/>
    <w:rsid w:val="001F7E0F"/>
    <w:rsid w:val="001F7E39"/>
    <w:rsid w:val="001F7E3F"/>
    <w:rsid w:val="001F7F57"/>
    <w:rsid w:val="00200037"/>
    <w:rsid w:val="00200085"/>
    <w:rsid w:val="00200096"/>
    <w:rsid w:val="0020015C"/>
    <w:rsid w:val="002001A6"/>
    <w:rsid w:val="0020020C"/>
    <w:rsid w:val="00200213"/>
    <w:rsid w:val="0020025F"/>
    <w:rsid w:val="002002EF"/>
    <w:rsid w:val="0020035F"/>
    <w:rsid w:val="002003AC"/>
    <w:rsid w:val="002003AE"/>
    <w:rsid w:val="0020040B"/>
    <w:rsid w:val="002004FE"/>
    <w:rsid w:val="00200514"/>
    <w:rsid w:val="00200522"/>
    <w:rsid w:val="00200544"/>
    <w:rsid w:val="00200562"/>
    <w:rsid w:val="002005B1"/>
    <w:rsid w:val="002005CA"/>
    <w:rsid w:val="0020065D"/>
    <w:rsid w:val="00200660"/>
    <w:rsid w:val="0020067F"/>
    <w:rsid w:val="0020069E"/>
    <w:rsid w:val="002006B2"/>
    <w:rsid w:val="002006D7"/>
    <w:rsid w:val="0020070C"/>
    <w:rsid w:val="0020071A"/>
    <w:rsid w:val="002007C7"/>
    <w:rsid w:val="002007D8"/>
    <w:rsid w:val="00200852"/>
    <w:rsid w:val="0020087E"/>
    <w:rsid w:val="002008DE"/>
    <w:rsid w:val="002008ED"/>
    <w:rsid w:val="00200908"/>
    <w:rsid w:val="00200910"/>
    <w:rsid w:val="00200928"/>
    <w:rsid w:val="00200975"/>
    <w:rsid w:val="002009C4"/>
    <w:rsid w:val="002009D9"/>
    <w:rsid w:val="002009F3"/>
    <w:rsid w:val="00200A2D"/>
    <w:rsid w:val="00200A7B"/>
    <w:rsid w:val="00200AE3"/>
    <w:rsid w:val="00200AEB"/>
    <w:rsid w:val="00200AF7"/>
    <w:rsid w:val="00200B27"/>
    <w:rsid w:val="00200B76"/>
    <w:rsid w:val="00200BCA"/>
    <w:rsid w:val="00200BF7"/>
    <w:rsid w:val="00200C04"/>
    <w:rsid w:val="00200C11"/>
    <w:rsid w:val="00200C18"/>
    <w:rsid w:val="00200C2E"/>
    <w:rsid w:val="00200CC0"/>
    <w:rsid w:val="00200D9C"/>
    <w:rsid w:val="00200DE8"/>
    <w:rsid w:val="00200DF0"/>
    <w:rsid w:val="00200E62"/>
    <w:rsid w:val="0020102D"/>
    <w:rsid w:val="00201116"/>
    <w:rsid w:val="00201118"/>
    <w:rsid w:val="00201198"/>
    <w:rsid w:val="002011EF"/>
    <w:rsid w:val="00201273"/>
    <w:rsid w:val="002012D8"/>
    <w:rsid w:val="0020135C"/>
    <w:rsid w:val="00201375"/>
    <w:rsid w:val="002013C9"/>
    <w:rsid w:val="00201413"/>
    <w:rsid w:val="0020141C"/>
    <w:rsid w:val="0020146C"/>
    <w:rsid w:val="0020146D"/>
    <w:rsid w:val="0020150B"/>
    <w:rsid w:val="00201512"/>
    <w:rsid w:val="0020156D"/>
    <w:rsid w:val="00201598"/>
    <w:rsid w:val="0020159A"/>
    <w:rsid w:val="002015B9"/>
    <w:rsid w:val="00201655"/>
    <w:rsid w:val="00201669"/>
    <w:rsid w:val="002016D4"/>
    <w:rsid w:val="00201726"/>
    <w:rsid w:val="00201798"/>
    <w:rsid w:val="002017E4"/>
    <w:rsid w:val="00201816"/>
    <w:rsid w:val="00201840"/>
    <w:rsid w:val="00201867"/>
    <w:rsid w:val="00201871"/>
    <w:rsid w:val="002018B7"/>
    <w:rsid w:val="002018D2"/>
    <w:rsid w:val="002018DF"/>
    <w:rsid w:val="002018E2"/>
    <w:rsid w:val="00201965"/>
    <w:rsid w:val="0020199B"/>
    <w:rsid w:val="0020199C"/>
    <w:rsid w:val="002019BE"/>
    <w:rsid w:val="00201A4A"/>
    <w:rsid w:val="00201A60"/>
    <w:rsid w:val="00201A66"/>
    <w:rsid w:val="00201A81"/>
    <w:rsid w:val="00201B85"/>
    <w:rsid w:val="00201BE6"/>
    <w:rsid w:val="00201C1D"/>
    <w:rsid w:val="00201CD6"/>
    <w:rsid w:val="00201D6B"/>
    <w:rsid w:val="00201D6C"/>
    <w:rsid w:val="00201E0C"/>
    <w:rsid w:val="00201EA6"/>
    <w:rsid w:val="00201F20"/>
    <w:rsid w:val="00201F39"/>
    <w:rsid w:val="00201F54"/>
    <w:rsid w:val="00201F7B"/>
    <w:rsid w:val="00201FA0"/>
    <w:rsid w:val="00201FA3"/>
    <w:rsid w:val="00201FBC"/>
    <w:rsid w:val="0020205B"/>
    <w:rsid w:val="00202062"/>
    <w:rsid w:val="00202093"/>
    <w:rsid w:val="002020E7"/>
    <w:rsid w:val="002020EE"/>
    <w:rsid w:val="0020211B"/>
    <w:rsid w:val="00202142"/>
    <w:rsid w:val="002021A4"/>
    <w:rsid w:val="002021B3"/>
    <w:rsid w:val="00202288"/>
    <w:rsid w:val="00202290"/>
    <w:rsid w:val="002022E6"/>
    <w:rsid w:val="00202315"/>
    <w:rsid w:val="0020231D"/>
    <w:rsid w:val="00202323"/>
    <w:rsid w:val="002023B3"/>
    <w:rsid w:val="002023C7"/>
    <w:rsid w:val="002023EF"/>
    <w:rsid w:val="002024AE"/>
    <w:rsid w:val="002024EA"/>
    <w:rsid w:val="0020250C"/>
    <w:rsid w:val="0020250E"/>
    <w:rsid w:val="00202583"/>
    <w:rsid w:val="002025A4"/>
    <w:rsid w:val="002025A7"/>
    <w:rsid w:val="002025B6"/>
    <w:rsid w:val="0020262B"/>
    <w:rsid w:val="00202668"/>
    <w:rsid w:val="00202696"/>
    <w:rsid w:val="002026A3"/>
    <w:rsid w:val="002026BE"/>
    <w:rsid w:val="002026DC"/>
    <w:rsid w:val="002026FA"/>
    <w:rsid w:val="00202700"/>
    <w:rsid w:val="002028D5"/>
    <w:rsid w:val="002028EC"/>
    <w:rsid w:val="0020290D"/>
    <w:rsid w:val="0020291C"/>
    <w:rsid w:val="00202927"/>
    <w:rsid w:val="00202936"/>
    <w:rsid w:val="00202949"/>
    <w:rsid w:val="00202995"/>
    <w:rsid w:val="002029FD"/>
    <w:rsid w:val="00202A27"/>
    <w:rsid w:val="00202A3D"/>
    <w:rsid w:val="00202A5F"/>
    <w:rsid w:val="00202ABE"/>
    <w:rsid w:val="00202B06"/>
    <w:rsid w:val="00202BB3"/>
    <w:rsid w:val="00202BCD"/>
    <w:rsid w:val="00202C49"/>
    <w:rsid w:val="00202C4F"/>
    <w:rsid w:val="00202C77"/>
    <w:rsid w:val="00202C7B"/>
    <w:rsid w:val="00202C89"/>
    <w:rsid w:val="00202CA5"/>
    <w:rsid w:val="00202CAC"/>
    <w:rsid w:val="00202D3D"/>
    <w:rsid w:val="00202D57"/>
    <w:rsid w:val="00202E6A"/>
    <w:rsid w:val="00202F67"/>
    <w:rsid w:val="00202FB5"/>
    <w:rsid w:val="00202FDB"/>
    <w:rsid w:val="0020300D"/>
    <w:rsid w:val="00203048"/>
    <w:rsid w:val="00203049"/>
    <w:rsid w:val="00203083"/>
    <w:rsid w:val="002030A5"/>
    <w:rsid w:val="002030AD"/>
    <w:rsid w:val="002030AF"/>
    <w:rsid w:val="00203137"/>
    <w:rsid w:val="00203171"/>
    <w:rsid w:val="002031F1"/>
    <w:rsid w:val="00203235"/>
    <w:rsid w:val="00203237"/>
    <w:rsid w:val="0020324C"/>
    <w:rsid w:val="0020324E"/>
    <w:rsid w:val="00203273"/>
    <w:rsid w:val="002032BE"/>
    <w:rsid w:val="002032E0"/>
    <w:rsid w:val="0020330A"/>
    <w:rsid w:val="00203322"/>
    <w:rsid w:val="00203354"/>
    <w:rsid w:val="00203366"/>
    <w:rsid w:val="00203377"/>
    <w:rsid w:val="002033BA"/>
    <w:rsid w:val="00203585"/>
    <w:rsid w:val="00203618"/>
    <w:rsid w:val="00203622"/>
    <w:rsid w:val="00203662"/>
    <w:rsid w:val="00203669"/>
    <w:rsid w:val="00203692"/>
    <w:rsid w:val="00203746"/>
    <w:rsid w:val="00203751"/>
    <w:rsid w:val="00203760"/>
    <w:rsid w:val="0020377A"/>
    <w:rsid w:val="002037D4"/>
    <w:rsid w:val="00203847"/>
    <w:rsid w:val="0020390C"/>
    <w:rsid w:val="00203937"/>
    <w:rsid w:val="00203975"/>
    <w:rsid w:val="0020397C"/>
    <w:rsid w:val="002039C3"/>
    <w:rsid w:val="002039C7"/>
    <w:rsid w:val="002039F3"/>
    <w:rsid w:val="00203A2F"/>
    <w:rsid w:val="00203A3E"/>
    <w:rsid w:val="00203A48"/>
    <w:rsid w:val="00203A92"/>
    <w:rsid w:val="00203AD5"/>
    <w:rsid w:val="00203AF6"/>
    <w:rsid w:val="00203B1A"/>
    <w:rsid w:val="00203B1B"/>
    <w:rsid w:val="00203B36"/>
    <w:rsid w:val="00203B47"/>
    <w:rsid w:val="00203B88"/>
    <w:rsid w:val="00203B8F"/>
    <w:rsid w:val="00203C14"/>
    <w:rsid w:val="00203C83"/>
    <w:rsid w:val="00203C92"/>
    <w:rsid w:val="00203C9E"/>
    <w:rsid w:val="00203CFF"/>
    <w:rsid w:val="00203D3B"/>
    <w:rsid w:val="00203D98"/>
    <w:rsid w:val="00203D9F"/>
    <w:rsid w:val="00203DCE"/>
    <w:rsid w:val="00203E87"/>
    <w:rsid w:val="00203ED2"/>
    <w:rsid w:val="00203F13"/>
    <w:rsid w:val="00203F18"/>
    <w:rsid w:val="00203F4C"/>
    <w:rsid w:val="00203F74"/>
    <w:rsid w:val="00204030"/>
    <w:rsid w:val="00204047"/>
    <w:rsid w:val="00204146"/>
    <w:rsid w:val="00204147"/>
    <w:rsid w:val="00204174"/>
    <w:rsid w:val="00204184"/>
    <w:rsid w:val="002041F0"/>
    <w:rsid w:val="002041F3"/>
    <w:rsid w:val="00204238"/>
    <w:rsid w:val="00204248"/>
    <w:rsid w:val="0020425C"/>
    <w:rsid w:val="00204266"/>
    <w:rsid w:val="002042C8"/>
    <w:rsid w:val="002042D7"/>
    <w:rsid w:val="00204329"/>
    <w:rsid w:val="00204375"/>
    <w:rsid w:val="0020437F"/>
    <w:rsid w:val="002043A6"/>
    <w:rsid w:val="00204488"/>
    <w:rsid w:val="0020455F"/>
    <w:rsid w:val="002045E4"/>
    <w:rsid w:val="00204612"/>
    <w:rsid w:val="002046B0"/>
    <w:rsid w:val="002046EF"/>
    <w:rsid w:val="002046F3"/>
    <w:rsid w:val="00204709"/>
    <w:rsid w:val="00204757"/>
    <w:rsid w:val="00204789"/>
    <w:rsid w:val="002047A6"/>
    <w:rsid w:val="002047DE"/>
    <w:rsid w:val="002047E7"/>
    <w:rsid w:val="00204877"/>
    <w:rsid w:val="0020487C"/>
    <w:rsid w:val="002048A0"/>
    <w:rsid w:val="0020495B"/>
    <w:rsid w:val="002049BF"/>
    <w:rsid w:val="00204A76"/>
    <w:rsid w:val="00204A96"/>
    <w:rsid w:val="00204AC7"/>
    <w:rsid w:val="00204B38"/>
    <w:rsid w:val="00204B3A"/>
    <w:rsid w:val="00204B82"/>
    <w:rsid w:val="00204BB7"/>
    <w:rsid w:val="00204BD0"/>
    <w:rsid w:val="00204BFD"/>
    <w:rsid w:val="00204C1A"/>
    <w:rsid w:val="00204C51"/>
    <w:rsid w:val="00204C68"/>
    <w:rsid w:val="00204C7D"/>
    <w:rsid w:val="00204CF1"/>
    <w:rsid w:val="00204D4F"/>
    <w:rsid w:val="00204E83"/>
    <w:rsid w:val="00204EE5"/>
    <w:rsid w:val="00204F28"/>
    <w:rsid w:val="00204F39"/>
    <w:rsid w:val="00204FC7"/>
    <w:rsid w:val="002050BC"/>
    <w:rsid w:val="0020515E"/>
    <w:rsid w:val="00205172"/>
    <w:rsid w:val="002051C4"/>
    <w:rsid w:val="0020523B"/>
    <w:rsid w:val="00205285"/>
    <w:rsid w:val="002052B2"/>
    <w:rsid w:val="002052BE"/>
    <w:rsid w:val="0020531E"/>
    <w:rsid w:val="00205381"/>
    <w:rsid w:val="0020538B"/>
    <w:rsid w:val="002053D0"/>
    <w:rsid w:val="00205427"/>
    <w:rsid w:val="00205472"/>
    <w:rsid w:val="002054A2"/>
    <w:rsid w:val="002054B8"/>
    <w:rsid w:val="00205537"/>
    <w:rsid w:val="00205543"/>
    <w:rsid w:val="0020554F"/>
    <w:rsid w:val="00205550"/>
    <w:rsid w:val="00205554"/>
    <w:rsid w:val="00205560"/>
    <w:rsid w:val="0020563E"/>
    <w:rsid w:val="0020565F"/>
    <w:rsid w:val="00205692"/>
    <w:rsid w:val="002056E0"/>
    <w:rsid w:val="0020570A"/>
    <w:rsid w:val="00205754"/>
    <w:rsid w:val="00205777"/>
    <w:rsid w:val="0020577F"/>
    <w:rsid w:val="00205780"/>
    <w:rsid w:val="00205797"/>
    <w:rsid w:val="002058CE"/>
    <w:rsid w:val="002058EF"/>
    <w:rsid w:val="00205931"/>
    <w:rsid w:val="0020593E"/>
    <w:rsid w:val="0020596D"/>
    <w:rsid w:val="00205975"/>
    <w:rsid w:val="002059A9"/>
    <w:rsid w:val="002059AF"/>
    <w:rsid w:val="002059DF"/>
    <w:rsid w:val="002059E3"/>
    <w:rsid w:val="002059F3"/>
    <w:rsid w:val="00205A02"/>
    <w:rsid w:val="00205A25"/>
    <w:rsid w:val="00205A96"/>
    <w:rsid w:val="00205AEC"/>
    <w:rsid w:val="00205AF8"/>
    <w:rsid w:val="00205B57"/>
    <w:rsid w:val="00205BF2"/>
    <w:rsid w:val="00205C40"/>
    <w:rsid w:val="00205DA6"/>
    <w:rsid w:val="00205DA9"/>
    <w:rsid w:val="00205E85"/>
    <w:rsid w:val="00205E97"/>
    <w:rsid w:val="00205E9D"/>
    <w:rsid w:val="00205EA3"/>
    <w:rsid w:val="00205EDC"/>
    <w:rsid w:val="00205F22"/>
    <w:rsid w:val="00206014"/>
    <w:rsid w:val="00206020"/>
    <w:rsid w:val="00206021"/>
    <w:rsid w:val="0020602C"/>
    <w:rsid w:val="00206052"/>
    <w:rsid w:val="00206056"/>
    <w:rsid w:val="00206063"/>
    <w:rsid w:val="002060A1"/>
    <w:rsid w:val="002060DC"/>
    <w:rsid w:val="00206106"/>
    <w:rsid w:val="00206141"/>
    <w:rsid w:val="0020615E"/>
    <w:rsid w:val="00206164"/>
    <w:rsid w:val="00206175"/>
    <w:rsid w:val="0020619D"/>
    <w:rsid w:val="002061A3"/>
    <w:rsid w:val="002061B9"/>
    <w:rsid w:val="002061C4"/>
    <w:rsid w:val="002061D3"/>
    <w:rsid w:val="002061D8"/>
    <w:rsid w:val="002061E0"/>
    <w:rsid w:val="00206274"/>
    <w:rsid w:val="002062DA"/>
    <w:rsid w:val="002062ED"/>
    <w:rsid w:val="0020633B"/>
    <w:rsid w:val="00206351"/>
    <w:rsid w:val="00206359"/>
    <w:rsid w:val="00206366"/>
    <w:rsid w:val="002063C8"/>
    <w:rsid w:val="00206438"/>
    <w:rsid w:val="002064A2"/>
    <w:rsid w:val="00206504"/>
    <w:rsid w:val="0020656D"/>
    <w:rsid w:val="00206598"/>
    <w:rsid w:val="002065AC"/>
    <w:rsid w:val="002065ED"/>
    <w:rsid w:val="0020667C"/>
    <w:rsid w:val="0020677C"/>
    <w:rsid w:val="0020678F"/>
    <w:rsid w:val="002067AE"/>
    <w:rsid w:val="002067B2"/>
    <w:rsid w:val="002067FE"/>
    <w:rsid w:val="00206804"/>
    <w:rsid w:val="00206849"/>
    <w:rsid w:val="0020686E"/>
    <w:rsid w:val="002068C7"/>
    <w:rsid w:val="002068EB"/>
    <w:rsid w:val="0020690A"/>
    <w:rsid w:val="00206923"/>
    <w:rsid w:val="00206924"/>
    <w:rsid w:val="0020692D"/>
    <w:rsid w:val="00206938"/>
    <w:rsid w:val="0020698D"/>
    <w:rsid w:val="00206A02"/>
    <w:rsid w:val="00206A1D"/>
    <w:rsid w:val="00206A55"/>
    <w:rsid w:val="00206A76"/>
    <w:rsid w:val="00206A86"/>
    <w:rsid w:val="00206AD7"/>
    <w:rsid w:val="00206ADC"/>
    <w:rsid w:val="00206AE3"/>
    <w:rsid w:val="00206B51"/>
    <w:rsid w:val="00206BC6"/>
    <w:rsid w:val="00206BEB"/>
    <w:rsid w:val="00206C2D"/>
    <w:rsid w:val="00206C3B"/>
    <w:rsid w:val="00206CE5"/>
    <w:rsid w:val="00206D8C"/>
    <w:rsid w:val="00206D8E"/>
    <w:rsid w:val="00206DB8"/>
    <w:rsid w:val="00206DE5"/>
    <w:rsid w:val="00206DF4"/>
    <w:rsid w:val="00206E20"/>
    <w:rsid w:val="00206EE7"/>
    <w:rsid w:val="00206F95"/>
    <w:rsid w:val="00206FAE"/>
    <w:rsid w:val="00206FCF"/>
    <w:rsid w:val="00206FD9"/>
    <w:rsid w:val="00207054"/>
    <w:rsid w:val="0020705D"/>
    <w:rsid w:val="00207197"/>
    <w:rsid w:val="0020720D"/>
    <w:rsid w:val="00207221"/>
    <w:rsid w:val="00207248"/>
    <w:rsid w:val="0020727C"/>
    <w:rsid w:val="00207290"/>
    <w:rsid w:val="00207298"/>
    <w:rsid w:val="00207348"/>
    <w:rsid w:val="00207365"/>
    <w:rsid w:val="0020737E"/>
    <w:rsid w:val="0020738B"/>
    <w:rsid w:val="0020739A"/>
    <w:rsid w:val="0020744F"/>
    <w:rsid w:val="00207465"/>
    <w:rsid w:val="00207482"/>
    <w:rsid w:val="002074C0"/>
    <w:rsid w:val="0020752E"/>
    <w:rsid w:val="00207580"/>
    <w:rsid w:val="0020759A"/>
    <w:rsid w:val="002075AD"/>
    <w:rsid w:val="002075EB"/>
    <w:rsid w:val="0020769A"/>
    <w:rsid w:val="002076ED"/>
    <w:rsid w:val="00207703"/>
    <w:rsid w:val="0020773A"/>
    <w:rsid w:val="00207775"/>
    <w:rsid w:val="0020778C"/>
    <w:rsid w:val="0020778F"/>
    <w:rsid w:val="002077EF"/>
    <w:rsid w:val="0020786E"/>
    <w:rsid w:val="002078BD"/>
    <w:rsid w:val="002078EC"/>
    <w:rsid w:val="0020794C"/>
    <w:rsid w:val="002079BF"/>
    <w:rsid w:val="002079DB"/>
    <w:rsid w:val="00207A38"/>
    <w:rsid w:val="00207AA6"/>
    <w:rsid w:val="00207AB1"/>
    <w:rsid w:val="00207AF7"/>
    <w:rsid w:val="00207BA6"/>
    <w:rsid w:val="00207C47"/>
    <w:rsid w:val="00207D5F"/>
    <w:rsid w:val="00207D66"/>
    <w:rsid w:val="00207DBB"/>
    <w:rsid w:val="00207E2D"/>
    <w:rsid w:val="00207E8B"/>
    <w:rsid w:val="00207EFD"/>
    <w:rsid w:val="00207F58"/>
    <w:rsid w:val="00207F8B"/>
    <w:rsid w:val="00207FDF"/>
    <w:rsid w:val="00207FEB"/>
    <w:rsid w:val="00210003"/>
    <w:rsid w:val="002100D7"/>
    <w:rsid w:val="0021011C"/>
    <w:rsid w:val="00210124"/>
    <w:rsid w:val="00210163"/>
    <w:rsid w:val="0021021F"/>
    <w:rsid w:val="00210225"/>
    <w:rsid w:val="002102CA"/>
    <w:rsid w:val="00210307"/>
    <w:rsid w:val="00210362"/>
    <w:rsid w:val="002103D1"/>
    <w:rsid w:val="002103DC"/>
    <w:rsid w:val="00210476"/>
    <w:rsid w:val="002104A7"/>
    <w:rsid w:val="002104C9"/>
    <w:rsid w:val="002104F2"/>
    <w:rsid w:val="00210529"/>
    <w:rsid w:val="0021055E"/>
    <w:rsid w:val="00210565"/>
    <w:rsid w:val="00210576"/>
    <w:rsid w:val="0021057D"/>
    <w:rsid w:val="002105DA"/>
    <w:rsid w:val="0021060D"/>
    <w:rsid w:val="00210743"/>
    <w:rsid w:val="0021074E"/>
    <w:rsid w:val="0021075E"/>
    <w:rsid w:val="002107A1"/>
    <w:rsid w:val="002107BA"/>
    <w:rsid w:val="002107C2"/>
    <w:rsid w:val="002108AE"/>
    <w:rsid w:val="002108CF"/>
    <w:rsid w:val="0021091E"/>
    <w:rsid w:val="0021097C"/>
    <w:rsid w:val="002109D0"/>
    <w:rsid w:val="002109E3"/>
    <w:rsid w:val="002109F3"/>
    <w:rsid w:val="00210A16"/>
    <w:rsid w:val="00210A4E"/>
    <w:rsid w:val="00210A80"/>
    <w:rsid w:val="00210A92"/>
    <w:rsid w:val="00210A9C"/>
    <w:rsid w:val="00210AAA"/>
    <w:rsid w:val="00210AAD"/>
    <w:rsid w:val="00210BD4"/>
    <w:rsid w:val="00210BE7"/>
    <w:rsid w:val="00210C53"/>
    <w:rsid w:val="00210C92"/>
    <w:rsid w:val="00210C99"/>
    <w:rsid w:val="00210CD3"/>
    <w:rsid w:val="00210D09"/>
    <w:rsid w:val="00210D0E"/>
    <w:rsid w:val="00210D2B"/>
    <w:rsid w:val="00210DD6"/>
    <w:rsid w:val="00210E4B"/>
    <w:rsid w:val="00210F0C"/>
    <w:rsid w:val="00210F17"/>
    <w:rsid w:val="00210F2F"/>
    <w:rsid w:val="00210F44"/>
    <w:rsid w:val="00210F4B"/>
    <w:rsid w:val="00211066"/>
    <w:rsid w:val="00211129"/>
    <w:rsid w:val="00211142"/>
    <w:rsid w:val="00211211"/>
    <w:rsid w:val="00211248"/>
    <w:rsid w:val="00211250"/>
    <w:rsid w:val="00211273"/>
    <w:rsid w:val="002112A4"/>
    <w:rsid w:val="00211367"/>
    <w:rsid w:val="00211384"/>
    <w:rsid w:val="0021140E"/>
    <w:rsid w:val="0021145D"/>
    <w:rsid w:val="00211475"/>
    <w:rsid w:val="002114EE"/>
    <w:rsid w:val="002114F1"/>
    <w:rsid w:val="0021151E"/>
    <w:rsid w:val="00211565"/>
    <w:rsid w:val="002115E7"/>
    <w:rsid w:val="00211637"/>
    <w:rsid w:val="0021163C"/>
    <w:rsid w:val="00211645"/>
    <w:rsid w:val="0021171E"/>
    <w:rsid w:val="0021175D"/>
    <w:rsid w:val="00211791"/>
    <w:rsid w:val="0021179C"/>
    <w:rsid w:val="002117DF"/>
    <w:rsid w:val="002117F5"/>
    <w:rsid w:val="00211818"/>
    <w:rsid w:val="00211829"/>
    <w:rsid w:val="002118A3"/>
    <w:rsid w:val="002118B5"/>
    <w:rsid w:val="002118C5"/>
    <w:rsid w:val="002118D1"/>
    <w:rsid w:val="002118D2"/>
    <w:rsid w:val="002118E5"/>
    <w:rsid w:val="00211916"/>
    <w:rsid w:val="00211929"/>
    <w:rsid w:val="0021196D"/>
    <w:rsid w:val="002119A6"/>
    <w:rsid w:val="00211A98"/>
    <w:rsid w:val="00211AB3"/>
    <w:rsid w:val="00211B7D"/>
    <w:rsid w:val="00211BA9"/>
    <w:rsid w:val="00211BE6"/>
    <w:rsid w:val="00211BF8"/>
    <w:rsid w:val="00211C88"/>
    <w:rsid w:val="00211C93"/>
    <w:rsid w:val="00211D03"/>
    <w:rsid w:val="00211D77"/>
    <w:rsid w:val="00211E37"/>
    <w:rsid w:val="00211E4D"/>
    <w:rsid w:val="00211F72"/>
    <w:rsid w:val="00211F9A"/>
    <w:rsid w:val="00211FCB"/>
    <w:rsid w:val="00211FDA"/>
    <w:rsid w:val="0021200A"/>
    <w:rsid w:val="00212015"/>
    <w:rsid w:val="00212053"/>
    <w:rsid w:val="0021207E"/>
    <w:rsid w:val="002120BA"/>
    <w:rsid w:val="002120C4"/>
    <w:rsid w:val="00212101"/>
    <w:rsid w:val="00212108"/>
    <w:rsid w:val="00212125"/>
    <w:rsid w:val="00212129"/>
    <w:rsid w:val="0021213D"/>
    <w:rsid w:val="00212145"/>
    <w:rsid w:val="00212149"/>
    <w:rsid w:val="00212169"/>
    <w:rsid w:val="00212283"/>
    <w:rsid w:val="0021236D"/>
    <w:rsid w:val="002124A0"/>
    <w:rsid w:val="0021257A"/>
    <w:rsid w:val="0021259E"/>
    <w:rsid w:val="002125C3"/>
    <w:rsid w:val="002125EB"/>
    <w:rsid w:val="00212686"/>
    <w:rsid w:val="0021268A"/>
    <w:rsid w:val="0021269B"/>
    <w:rsid w:val="00212777"/>
    <w:rsid w:val="002127B5"/>
    <w:rsid w:val="002127D7"/>
    <w:rsid w:val="002127E4"/>
    <w:rsid w:val="0021280E"/>
    <w:rsid w:val="0021281F"/>
    <w:rsid w:val="00212850"/>
    <w:rsid w:val="0021287E"/>
    <w:rsid w:val="0021288B"/>
    <w:rsid w:val="002128B6"/>
    <w:rsid w:val="00212A50"/>
    <w:rsid w:val="00212A7E"/>
    <w:rsid w:val="00212A93"/>
    <w:rsid w:val="00212A9E"/>
    <w:rsid w:val="00212AB8"/>
    <w:rsid w:val="00212AEF"/>
    <w:rsid w:val="00212B78"/>
    <w:rsid w:val="00212BCB"/>
    <w:rsid w:val="00212BCE"/>
    <w:rsid w:val="00212BFD"/>
    <w:rsid w:val="00212C34"/>
    <w:rsid w:val="00212C5D"/>
    <w:rsid w:val="00212C61"/>
    <w:rsid w:val="00212C63"/>
    <w:rsid w:val="00212D02"/>
    <w:rsid w:val="00212D08"/>
    <w:rsid w:val="00212D14"/>
    <w:rsid w:val="00212D64"/>
    <w:rsid w:val="00212D79"/>
    <w:rsid w:val="00212D96"/>
    <w:rsid w:val="00212DB1"/>
    <w:rsid w:val="00212DD5"/>
    <w:rsid w:val="00212DEC"/>
    <w:rsid w:val="00212E08"/>
    <w:rsid w:val="00212E2E"/>
    <w:rsid w:val="00212EDA"/>
    <w:rsid w:val="00212F0D"/>
    <w:rsid w:val="00212F86"/>
    <w:rsid w:val="00212FDF"/>
    <w:rsid w:val="00213008"/>
    <w:rsid w:val="00213011"/>
    <w:rsid w:val="002130A4"/>
    <w:rsid w:val="002130AD"/>
    <w:rsid w:val="002130DD"/>
    <w:rsid w:val="002130E7"/>
    <w:rsid w:val="0021310F"/>
    <w:rsid w:val="00213127"/>
    <w:rsid w:val="00213192"/>
    <w:rsid w:val="002131E2"/>
    <w:rsid w:val="002131E5"/>
    <w:rsid w:val="00213207"/>
    <w:rsid w:val="002132A7"/>
    <w:rsid w:val="002132AD"/>
    <w:rsid w:val="002132E3"/>
    <w:rsid w:val="00213309"/>
    <w:rsid w:val="00213332"/>
    <w:rsid w:val="00213353"/>
    <w:rsid w:val="0021338C"/>
    <w:rsid w:val="002133A4"/>
    <w:rsid w:val="0021344F"/>
    <w:rsid w:val="00213457"/>
    <w:rsid w:val="0021346C"/>
    <w:rsid w:val="00213491"/>
    <w:rsid w:val="002134C9"/>
    <w:rsid w:val="0021350F"/>
    <w:rsid w:val="002135A6"/>
    <w:rsid w:val="00213655"/>
    <w:rsid w:val="00213660"/>
    <w:rsid w:val="0021377C"/>
    <w:rsid w:val="002137A7"/>
    <w:rsid w:val="002137D5"/>
    <w:rsid w:val="00213828"/>
    <w:rsid w:val="00213836"/>
    <w:rsid w:val="00213839"/>
    <w:rsid w:val="002138EA"/>
    <w:rsid w:val="0021392A"/>
    <w:rsid w:val="0021395B"/>
    <w:rsid w:val="0021396E"/>
    <w:rsid w:val="002139FD"/>
    <w:rsid w:val="00213A28"/>
    <w:rsid w:val="00213A7F"/>
    <w:rsid w:val="00213ABC"/>
    <w:rsid w:val="00213B25"/>
    <w:rsid w:val="00213C03"/>
    <w:rsid w:val="00213C10"/>
    <w:rsid w:val="00213C2E"/>
    <w:rsid w:val="00213D1D"/>
    <w:rsid w:val="00213DD3"/>
    <w:rsid w:val="00213DFD"/>
    <w:rsid w:val="00213E64"/>
    <w:rsid w:val="00213E80"/>
    <w:rsid w:val="00213EDD"/>
    <w:rsid w:val="00213F3C"/>
    <w:rsid w:val="00213FC6"/>
    <w:rsid w:val="00214003"/>
    <w:rsid w:val="00214056"/>
    <w:rsid w:val="00214081"/>
    <w:rsid w:val="002140D4"/>
    <w:rsid w:val="002140DC"/>
    <w:rsid w:val="00214148"/>
    <w:rsid w:val="00214174"/>
    <w:rsid w:val="002141A3"/>
    <w:rsid w:val="00214211"/>
    <w:rsid w:val="00214312"/>
    <w:rsid w:val="00214335"/>
    <w:rsid w:val="0021433A"/>
    <w:rsid w:val="00214346"/>
    <w:rsid w:val="0021437E"/>
    <w:rsid w:val="002143D4"/>
    <w:rsid w:val="00214409"/>
    <w:rsid w:val="00214428"/>
    <w:rsid w:val="002144C4"/>
    <w:rsid w:val="002144EC"/>
    <w:rsid w:val="00214523"/>
    <w:rsid w:val="00214546"/>
    <w:rsid w:val="002145D9"/>
    <w:rsid w:val="00214641"/>
    <w:rsid w:val="00214644"/>
    <w:rsid w:val="002147A5"/>
    <w:rsid w:val="0021490A"/>
    <w:rsid w:val="00214967"/>
    <w:rsid w:val="002149B2"/>
    <w:rsid w:val="002149D0"/>
    <w:rsid w:val="002149DC"/>
    <w:rsid w:val="002149DD"/>
    <w:rsid w:val="002149FA"/>
    <w:rsid w:val="00214A14"/>
    <w:rsid w:val="00214A9B"/>
    <w:rsid w:val="00214B21"/>
    <w:rsid w:val="00214B41"/>
    <w:rsid w:val="00214BC2"/>
    <w:rsid w:val="00214BC9"/>
    <w:rsid w:val="00214C15"/>
    <w:rsid w:val="00214C8E"/>
    <w:rsid w:val="00214CB3"/>
    <w:rsid w:val="00214D45"/>
    <w:rsid w:val="00214DE2"/>
    <w:rsid w:val="00214DE9"/>
    <w:rsid w:val="00214DF3"/>
    <w:rsid w:val="00214E19"/>
    <w:rsid w:val="00214E57"/>
    <w:rsid w:val="00214E66"/>
    <w:rsid w:val="00214EAD"/>
    <w:rsid w:val="00214F08"/>
    <w:rsid w:val="00214F1C"/>
    <w:rsid w:val="00214FA9"/>
    <w:rsid w:val="00214FFB"/>
    <w:rsid w:val="00215043"/>
    <w:rsid w:val="002150A2"/>
    <w:rsid w:val="0021511C"/>
    <w:rsid w:val="0021511D"/>
    <w:rsid w:val="00215186"/>
    <w:rsid w:val="00215189"/>
    <w:rsid w:val="002151AF"/>
    <w:rsid w:val="00215212"/>
    <w:rsid w:val="00215282"/>
    <w:rsid w:val="002152A3"/>
    <w:rsid w:val="002152F8"/>
    <w:rsid w:val="00215333"/>
    <w:rsid w:val="00215352"/>
    <w:rsid w:val="002153B8"/>
    <w:rsid w:val="002153F9"/>
    <w:rsid w:val="00215402"/>
    <w:rsid w:val="0021541A"/>
    <w:rsid w:val="002154AA"/>
    <w:rsid w:val="00215515"/>
    <w:rsid w:val="0021551C"/>
    <w:rsid w:val="00215523"/>
    <w:rsid w:val="002155C3"/>
    <w:rsid w:val="002155CD"/>
    <w:rsid w:val="002155E5"/>
    <w:rsid w:val="00215621"/>
    <w:rsid w:val="00215662"/>
    <w:rsid w:val="00215676"/>
    <w:rsid w:val="0021567D"/>
    <w:rsid w:val="00215681"/>
    <w:rsid w:val="002156CE"/>
    <w:rsid w:val="002156D2"/>
    <w:rsid w:val="002156D4"/>
    <w:rsid w:val="002156E3"/>
    <w:rsid w:val="002156E6"/>
    <w:rsid w:val="00215751"/>
    <w:rsid w:val="00215799"/>
    <w:rsid w:val="0021583E"/>
    <w:rsid w:val="00215868"/>
    <w:rsid w:val="00215882"/>
    <w:rsid w:val="0021598B"/>
    <w:rsid w:val="00215A03"/>
    <w:rsid w:val="00215A04"/>
    <w:rsid w:val="00215A1F"/>
    <w:rsid w:val="00215A41"/>
    <w:rsid w:val="00215B0E"/>
    <w:rsid w:val="00215B10"/>
    <w:rsid w:val="00215B61"/>
    <w:rsid w:val="00215BD3"/>
    <w:rsid w:val="00215BD7"/>
    <w:rsid w:val="00215BEC"/>
    <w:rsid w:val="00215BEE"/>
    <w:rsid w:val="00215C19"/>
    <w:rsid w:val="00215C6A"/>
    <w:rsid w:val="00215CB0"/>
    <w:rsid w:val="00215CC3"/>
    <w:rsid w:val="00215CDE"/>
    <w:rsid w:val="00215CEF"/>
    <w:rsid w:val="00215D29"/>
    <w:rsid w:val="00215D37"/>
    <w:rsid w:val="00215DB5"/>
    <w:rsid w:val="00215DC2"/>
    <w:rsid w:val="00215E2D"/>
    <w:rsid w:val="00215E5E"/>
    <w:rsid w:val="00215E60"/>
    <w:rsid w:val="00215E75"/>
    <w:rsid w:val="00215E94"/>
    <w:rsid w:val="00215F35"/>
    <w:rsid w:val="00215F39"/>
    <w:rsid w:val="00215F3C"/>
    <w:rsid w:val="00215F71"/>
    <w:rsid w:val="00215F9B"/>
    <w:rsid w:val="002161A5"/>
    <w:rsid w:val="002161B4"/>
    <w:rsid w:val="002161BD"/>
    <w:rsid w:val="002161F4"/>
    <w:rsid w:val="0021621F"/>
    <w:rsid w:val="00216275"/>
    <w:rsid w:val="0021628A"/>
    <w:rsid w:val="00216310"/>
    <w:rsid w:val="00216324"/>
    <w:rsid w:val="00216347"/>
    <w:rsid w:val="0021636B"/>
    <w:rsid w:val="00216377"/>
    <w:rsid w:val="0021637E"/>
    <w:rsid w:val="002163C9"/>
    <w:rsid w:val="00216423"/>
    <w:rsid w:val="00216433"/>
    <w:rsid w:val="0021651E"/>
    <w:rsid w:val="002165D7"/>
    <w:rsid w:val="002165F9"/>
    <w:rsid w:val="00216601"/>
    <w:rsid w:val="00216676"/>
    <w:rsid w:val="00216760"/>
    <w:rsid w:val="0021680C"/>
    <w:rsid w:val="0021689A"/>
    <w:rsid w:val="00216911"/>
    <w:rsid w:val="0021697E"/>
    <w:rsid w:val="00216A53"/>
    <w:rsid w:val="00216A54"/>
    <w:rsid w:val="00216A93"/>
    <w:rsid w:val="00216AA8"/>
    <w:rsid w:val="00216B0B"/>
    <w:rsid w:val="00216B21"/>
    <w:rsid w:val="00216B56"/>
    <w:rsid w:val="00216BA2"/>
    <w:rsid w:val="00216BC0"/>
    <w:rsid w:val="00216BD6"/>
    <w:rsid w:val="00216BE5"/>
    <w:rsid w:val="00216BF8"/>
    <w:rsid w:val="00216CB5"/>
    <w:rsid w:val="00216CE8"/>
    <w:rsid w:val="00216CEF"/>
    <w:rsid w:val="00216D05"/>
    <w:rsid w:val="00216D13"/>
    <w:rsid w:val="00216D32"/>
    <w:rsid w:val="00216D70"/>
    <w:rsid w:val="00216D8B"/>
    <w:rsid w:val="00216DAB"/>
    <w:rsid w:val="00216DE0"/>
    <w:rsid w:val="00216E0C"/>
    <w:rsid w:val="00216E34"/>
    <w:rsid w:val="00216E48"/>
    <w:rsid w:val="00216E56"/>
    <w:rsid w:val="00216E97"/>
    <w:rsid w:val="00216EC6"/>
    <w:rsid w:val="00216EF3"/>
    <w:rsid w:val="00216F35"/>
    <w:rsid w:val="00216F3A"/>
    <w:rsid w:val="00216F4F"/>
    <w:rsid w:val="00216F53"/>
    <w:rsid w:val="00216F93"/>
    <w:rsid w:val="00216FA3"/>
    <w:rsid w:val="00216FB8"/>
    <w:rsid w:val="00216FD2"/>
    <w:rsid w:val="0021701E"/>
    <w:rsid w:val="00217043"/>
    <w:rsid w:val="00217057"/>
    <w:rsid w:val="0021705B"/>
    <w:rsid w:val="002170D0"/>
    <w:rsid w:val="00217105"/>
    <w:rsid w:val="002171D4"/>
    <w:rsid w:val="00217211"/>
    <w:rsid w:val="002172DD"/>
    <w:rsid w:val="002172E3"/>
    <w:rsid w:val="00217315"/>
    <w:rsid w:val="00217362"/>
    <w:rsid w:val="0021739F"/>
    <w:rsid w:val="002173AD"/>
    <w:rsid w:val="002173F3"/>
    <w:rsid w:val="00217437"/>
    <w:rsid w:val="002174B5"/>
    <w:rsid w:val="002174EA"/>
    <w:rsid w:val="002174EB"/>
    <w:rsid w:val="0021751B"/>
    <w:rsid w:val="0021752E"/>
    <w:rsid w:val="00217558"/>
    <w:rsid w:val="002175BF"/>
    <w:rsid w:val="002175E7"/>
    <w:rsid w:val="0021765D"/>
    <w:rsid w:val="00217677"/>
    <w:rsid w:val="002176CA"/>
    <w:rsid w:val="002177DB"/>
    <w:rsid w:val="002177E4"/>
    <w:rsid w:val="002178B6"/>
    <w:rsid w:val="002178C4"/>
    <w:rsid w:val="002178EE"/>
    <w:rsid w:val="00217928"/>
    <w:rsid w:val="00217990"/>
    <w:rsid w:val="0021799C"/>
    <w:rsid w:val="002179A0"/>
    <w:rsid w:val="002179E3"/>
    <w:rsid w:val="00217A18"/>
    <w:rsid w:val="00217A20"/>
    <w:rsid w:val="00217A6C"/>
    <w:rsid w:val="00217A8E"/>
    <w:rsid w:val="00217ABB"/>
    <w:rsid w:val="00217ACB"/>
    <w:rsid w:val="00217AE0"/>
    <w:rsid w:val="00217B0E"/>
    <w:rsid w:val="00217B2D"/>
    <w:rsid w:val="00217C30"/>
    <w:rsid w:val="00217C78"/>
    <w:rsid w:val="00217C79"/>
    <w:rsid w:val="00217C93"/>
    <w:rsid w:val="00217CA1"/>
    <w:rsid w:val="00217CB3"/>
    <w:rsid w:val="00217CC0"/>
    <w:rsid w:val="00217CCD"/>
    <w:rsid w:val="00217D09"/>
    <w:rsid w:val="00217D1F"/>
    <w:rsid w:val="00217D93"/>
    <w:rsid w:val="00217D9A"/>
    <w:rsid w:val="00217E07"/>
    <w:rsid w:val="00217E65"/>
    <w:rsid w:val="00217E9A"/>
    <w:rsid w:val="00217EDA"/>
    <w:rsid w:val="00217EF3"/>
    <w:rsid w:val="00217F43"/>
    <w:rsid w:val="00217F47"/>
    <w:rsid w:val="00217F75"/>
    <w:rsid w:val="00217F7A"/>
    <w:rsid w:val="002200F5"/>
    <w:rsid w:val="00220102"/>
    <w:rsid w:val="0022010C"/>
    <w:rsid w:val="00220125"/>
    <w:rsid w:val="00220178"/>
    <w:rsid w:val="0022019E"/>
    <w:rsid w:val="002201A4"/>
    <w:rsid w:val="002201E6"/>
    <w:rsid w:val="00220220"/>
    <w:rsid w:val="00220251"/>
    <w:rsid w:val="00220263"/>
    <w:rsid w:val="00220354"/>
    <w:rsid w:val="00220448"/>
    <w:rsid w:val="00220479"/>
    <w:rsid w:val="00220485"/>
    <w:rsid w:val="0022049A"/>
    <w:rsid w:val="002204C5"/>
    <w:rsid w:val="002204D2"/>
    <w:rsid w:val="002204FD"/>
    <w:rsid w:val="0022052D"/>
    <w:rsid w:val="00220554"/>
    <w:rsid w:val="002205C5"/>
    <w:rsid w:val="00220626"/>
    <w:rsid w:val="0022063F"/>
    <w:rsid w:val="002206D1"/>
    <w:rsid w:val="00220731"/>
    <w:rsid w:val="0022087A"/>
    <w:rsid w:val="002208B0"/>
    <w:rsid w:val="002208CD"/>
    <w:rsid w:val="00220A20"/>
    <w:rsid w:val="00220A98"/>
    <w:rsid w:val="00220AE9"/>
    <w:rsid w:val="00220B12"/>
    <w:rsid w:val="00220B3C"/>
    <w:rsid w:val="00220B3D"/>
    <w:rsid w:val="00220B57"/>
    <w:rsid w:val="00220B7C"/>
    <w:rsid w:val="00220B8A"/>
    <w:rsid w:val="00220BAE"/>
    <w:rsid w:val="00220BFA"/>
    <w:rsid w:val="00220C47"/>
    <w:rsid w:val="00220C49"/>
    <w:rsid w:val="00220CA3"/>
    <w:rsid w:val="00220CA6"/>
    <w:rsid w:val="00220CCB"/>
    <w:rsid w:val="00220D64"/>
    <w:rsid w:val="00220D72"/>
    <w:rsid w:val="00220DAE"/>
    <w:rsid w:val="00220DB8"/>
    <w:rsid w:val="00220DC0"/>
    <w:rsid w:val="00220DDC"/>
    <w:rsid w:val="00220DEC"/>
    <w:rsid w:val="00220EC2"/>
    <w:rsid w:val="00220EC8"/>
    <w:rsid w:val="00220F02"/>
    <w:rsid w:val="00220F0A"/>
    <w:rsid w:val="00220F23"/>
    <w:rsid w:val="00220FC3"/>
    <w:rsid w:val="00220FCE"/>
    <w:rsid w:val="00221028"/>
    <w:rsid w:val="00221038"/>
    <w:rsid w:val="002210FF"/>
    <w:rsid w:val="00221168"/>
    <w:rsid w:val="002211AF"/>
    <w:rsid w:val="00221231"/>
    <w:rsid w:val="0022126E"/>
    <w:rsid w:val="002212DF"/>
    <w:rsid w:val="00221332"/>
    <w:rsid w:val="00221338"/>
    <w:rsid w:val="00221391"/>
    <w:rsid w:val="002213A2"/>
    <w:rsid w:val="002213DE"/>
    <w:rsid w:val="00221406"/>
    <w:rsid w:val="00221427"/>
    <w:rsid w:val="0022144B"/>
    <w:rsid w:val="00221507"/>
    <w:rsid w:val="00221558"/>
    <w:rsid w:val="00221579"/>
    <w:rsid w:val="0022157D"/>
    <w:rsid w:val="0022158C"/>
    <w:rsid w:val="002215C8"/>
    <w:rsid w:val="0022162E"/>
    <w:rsid w:val="00221695"/>
    <w:rsid w:val="00221734"/>
    <w:rsid w:val="002217B6"/>
    <w:rsid w:val="0022180E"/>
    <w:rsid w:val="002218B9"/>
    <w:rsid w:val="00221928"/>
    <w:rsid w:val="002219B8"/>
    <w:rsid w:val="00221A3E"/>
    <w:rsid w:val="00221A7F"/>
    <w:rsid w:val="00221AAF"/>
    <w:rsid w:val="00221AB4"/>
    <w:rsid w:val="00221AD8"/>
    <w:rsid w:val="00221B22"/>
    <w:rsid w:val="00221B96"/>
    <w:rsid w:val="00221C7F"/>
    <w:rsid w:val="00221C8E"/>
    <w:rsid w:val="00221D08"/>
    <w:rsid w:val="00221D3B"/>
    <w:rsid w:val="00221D4C"/>
    <w:rsid w:val="00221DD4"/>
    <w:rsid w:val="00221E65"/>
    <w:rsid w:val="00221EBA"/>
    <w:rsid w:val="00221EC0"/>
    <w:rsid w:val="00221EFD"/>
    <w:rsid w:val="00221F0A"/>
    <w:rsid w:val="00221F62"/>
    <w:rsid w:val="00221F89"/>
    <w:rsid w:val="00221FE9"/>
    <w:rsid w:val="00222034"/>
    <w:rsid w:val="0022204F"/>
    <w:rsid w:val="002220A4"/>
    <w:rsid w:val="0022212A"/>
    <w:rsid w:val="002221C8"/>
    <w:rsid w:val="002221DE"/>
    <w:rsid w:val="00222224"/>
    <w:rsid w:val="002222D5"/>
    <w:rsid w:val="002222E7"/>
    <w:rsid w:val="00222310"/>
    <w:rsid w:val="0022233E"/>
    <w:rsid w:val="0022234D"/>
    <w:rsid w:val="00222359"/>
    <w:rsid w:val="00222394"/>
    <w:rsid w:val="002223F5"/>
    <w:rsid w:val="002224A9"/>
    <w:rsid w:val="002224FA"/>
    <w:rsid w:val="00222502"/>
    <w:rsid w:val="00222511"/>
    <w:rsid w:val="00222542"/>
    <w:rsid w:val="00222569"/>
    <w:rsid w:val="002225AD"/>
    <w:rsid w:val="002225CC"/>
    <w:rsid w:val="002225F6"/>
    <w:rsid w:val="00222602"/>
    <w:rsid w:val="00222617"/>
    <w:rsid w:val="00222631"/>
    <w:rsid w:val="00222667"/>
    <w:rsid w:val="002226C2"/>
    <w:rsid w:val="002226F8"/>
    <w:rsid w:val="0022275C"/>
    <w:rsid w:val="00222767"/>
    <w:rsid w:val="0022277B"/>
    <w:rsid w:val="002227F0"/>
    <w:rsid w:val="002227FF"/>
    <w:rsid w:val="00222849"/>
    <w:rsid w:val="002228A1"/>
    <w:rsid w:val="002228D0"/>
    <w:rsid w:val="002229B0"/>
    <w:rsid w:val="002229C7"/>
    <w:rsid w:val="002229CD"/>
    <w:rsid w:val="00222A09"/>
    <w:rsid w:val="00222A0E"/>
    <w:rsid w:val="00222A39"/>
    <w:rsid w:val="00222AC6"/>
    <w:rsid w:val="00222B25"/>
    <w:rsid w:val="00222B4F"/>
    <w:rsid w:val="00222B57"/>
    <w:rsid w:val="00222C11"/>
    <w:rsid w:val="00222C2D"/>
    <w:rsid w:val="00222C4F"/>
    <w:rsid w:val="00222C73"/>
    <w:rsid w:val="00222CAD"/>
    <w:rsid w:val="00222CB9"/>
    <w:rsid w:val="00222CC3"/>
    <w:rsid w:val="00222CC6"/>
    <w:rsid w:val="00222CCD"/>
    <w:rsid w:val="00222D06"/>
    <w:rsid w:val="00222D47"/>
    <w:rsid w:val="00222D4C"/>
    <w:rsid w:val="00222D9E"/>
    <w:rsid w:val="00222DB0"/>
    <w:rsid w:val="00222DBA"/>
    <w:rsid w:val="00222DED"/>
    <w:rsid w:val="00222DF3"/>
    <w:rsid w:val="00222E23"/>
    <w:rsid w:val="00222E25"/>
    <w:rsid w:val="00222F2D"/>
    <w:rsid w:val="00222F38"/>
    <w:rsid w:val="00222F4C"/>
    <w:rsid w:val="00222F5B"/>
    <w:rsid w:val="0022307C"/>
    <w:rsid w:val="002230EC"/>
    <w:rsid w:val="002230F6"/>
    <w:rsid w:val="00223115"/>
    <w:rsid w:val="0022313F"/>
    <w:rsid w:val="0022315C"/>
    <w:rsid w:val="00223189"/>
    <w:rsid w:val="0022323E"/>
    <w:rsid w:val="002232A5"/>
    <w:rsid w:val="0022330E"/>
    <w:rsid w:val="0022331C"/>
    <w:rsid w:val="00223322"/>
    <w:rsid w:val="00223334"/>
    <w:rsid w:val="00223386"/>
    <w:rsid w:val="0022339B"/>
    <w:rsid w:val="0022339D"/>
    <w:rsid w:val="002233A3"/>
    <w:rsid w:val="002233C5"/>
    <w:rsid w:val="002235FE"/>
    <w:rsid w:val="00223636"/>
    <w:rsid w:val="002236FF"/>
    <w:rsid w:val="00223726"/>
    <w:rsid w:val="00223727"/>
    <w:rsid w:val="002237C7"/>
    <w:rsid w:val="002237D7"/>
    <w:rsid w:val="0022385C"/>
    <w:rsid w:val="002238E7"/>
    <w:rsid w:val="002238F1"/>
    <w:rsid w:val="00223936"/>
    <w:rsid w:val="00223985"/>
    <w:rsid w:val="0022398D"/>
    <w:rsid w:val="002239A3"/>
    <w:rsid w:val="002239D3"/>
    <w:rsid w:val="00223A09"/>
    <w:rsid w:val="00223A12"/>
    <w:rsid w:val="00223A3F"/>
    <w:rsid w:val="00223AF6"/>
    <w:rsid w:val="00223B00"/>
    <w:rsid w:val="00223B19"/>
    <w:rsid w:val="00223BEC"/>
    <w:rsid w:val="00223BFD"/>
    <w:rsid w:val="00223C6B"/>
    <w:rsid w:val="00223CD3"/>
    <w:rsid w:val="00223D85"/>
    <w:rsid w:val="00223D86"/>
    <w:rsid w:val="00223D8D"/>
    <w:rsid w:val="00223DD2"/>
    <w:rsid w:val="00223E02"/>
    <w:rsid w:val="00223E19"/>
    <w:rsid w:val="00223E63"/>
    <w:rsid w:val="00223E64"/>
    <w:rsid w:val="00223E78"/>
    <w:rsid w:val="00223F56"/>
    <w:rsid w:val="00223FB3"/>
    <w:rsid w:val="0022405B"/>
    <w:rsid w:val="00224076"/>
    <w:rsid w:val="00224094"/>
    <w:rsid w:val="0022413C"/>
    <w:rsid w:val="002241DF"/>
    <w:rsid w:val="00224234"/>
    <w:rsid w:val="00224237"/>
    <w:rsid w:val="00224320"/>
    <w:rsid w:val="0022436F"/>
    <w:rsid w:val="002243B3"/>
    <w:rsid w:val="002243CA"/>
    <w:rsid w:val="002243D3"/>
    <w:rsid w:val="0022440E"/>
    <w:rsid w:val="00224428"/>
    <w:rsid w:val="00224446"/>
    <w:rsid w:val="00224472"/>
    <w:rsid w:val="00224474"/>
    <w:rsid w:val="00224475"/>
    <w:rsid w:val="002244D0"/>
    <w:rsid w:val="002244EE"/>
    <w:rsid w:val="002244F4"/>
    <w:rsid w:val="002244FC"/>
    <w:rsid w:val="00224537"/>
    <w:rsid w:val="0022455E"/>
    <w:rsid w:val="0022457B"/>
    <w:rsid w:val="002245CC"/>
    <w:rsid w:val="00224611"/>
    <w:rsid w:val="00224615"/>
    <w:rsid w:val="00224618"/>
    <w:rsid w:val="00224629"/>
    <w:rsid w:val="002246BF"/>
    <w:rsid w:val="002246D0"/>
    <w:rsid w:val="002246FF"/>
    <w:rsid w:val="0022479C"/>
    <w:rsid w:val="002247A2"/>
    <w:rsid w:val="0022485D"/>
    <w:rsid w:val="00224872"/>
    <w:rsid w:val="00224882"/>
    <w:rsid w:val="00224888"/>
    <w:rsid w:val="00224894"/>
    <w:rsid w:val="0022498D"/>
    <w:rsid w:val="002249B3"/>
    <w:rsid w:val="002249D2"/>
    <w:rsid w:val="00224A6D"/>
    <w:rsid w:val="00224A71"/>
    <w:rsid w:val="00224AF0"/>
    <w:rsid w:val="00224B34"/>
    <w:rsid w:val="00224B3C"/>
    <w:rsid w:val="00224B76"/>
    <w:rsid w:val="00224B91"/>
    <w:rsid w:val="00224C21"/>
    <w:rsid w:val="00224C26"/>
    <w:rsid w:val="00224C5D"/>
    <w:rsid w:val="00224C68"/>
    <w:rsid w:val="00224CDB"/>
    <w:rsid w:val="00224D42"/>
    <w:rsid w:val="00224E54"/>
    <w:rsid w:val="00224E70"/>
    <w:rsid w:val="00224E86"/>
    <w:rsid w:val="00224E90"/>
    <w:rsid w:val="00224F68"/>
    <w:rsid w:val="00224F88"/>
    <w:rsid w:val="00225007"/>
    <w:rsid w:val="0022501B"/>
    <w:rsid w:val="0022503A"/>
    <w:rsid w:val="00225041"/>
    <w:rsid w:val="00225080"/>
    <w:rsid w:val="002250BE"/>
    <w:rsid w:val="002250C5"/>
    <w:rsid w:val="002250CC"/>
    <w:rsid w:val="002250FD"/>
    <w:rsid w:val="00225107"/>
    <w:rsid w:val="0022515B"/>
    <w:rsid w:val="0022519B"/>
    <w:rsid w:val="002251AB"/>
    <w:rsid w:val="002251F5"/>
    <w:rsid w:val="00225213"/>
    <w:rsid w:val="0022526F"/>
    <w:rsid w:val="0022527F"/>
    <w:rsid w:val="00225281"/>
    <w:rsid w:val="0022528A"/>
    <w:rsid w:val="00225296"/>
    <w:rsid w:val="00225298"/>
    <w:rsid w:val="00225326"/>
    <w:rsid w:val="00225352"/>
    <w:rsid w:val="0022538B"/>
    <w:rsid w:val="002253ED"/>
    <w:rsid w:val="00225408"/>
    <w:rsid w:val="00225430"/>
    <w:rsid w:val="00225468"/>
    <w:rsid w:val="002254EE"/>
    <w:rsid w:val="00225537"/>
    <w:rsid w:val="00225577"/>
    <w:rsid w:val="0022559E"/>
    <w:rsid w:val="002255B2"/>
    <w:rsid w:val="002255B4"/>
    <w:rsid w:val="00225612"/>
    <w:rsid w:val="00225651"/>
    <w:rsid w:val="00225677"/>
    <w:rsid w:val="0022567D"/>
    <w:rsid w:val="002256E1"/>
    <w:rsid w:val="00225708"/>
    <w:rsid w:val="00225757"/>
    <w:rsid w:val="002257E7"/>
    <w:rsid w:val="002257F0"/>
    <w:rsid w:val="002258C3"/>
    <w:rsid w:val="00225950"/>
    <w:rsid w:val="002259C7"/>
    <w:rsid w:val="002259F2"/>
    <w:rsid w:val="00225A3A"/>
    <w:rsid w:val="00225A7F"/>
    <w:rsid w:val="00225ABA"/>
    <w:rsid w:val="00225B0E"/>
    <w:rsid w:val="00225B55"/>
    <w:rsid w:val="00225B77"/>
    <w:rsid w:val="00225B7F"/>
    <w:rsid w:val="00225B92"/>
    <w:rsid w:val="00225BCA"/>
    <w:rsid w:val="00225C18"/>
    <w:rsid w:val="00225CFD"/>
    <w:rsid w:val="00225D10"/>
    <w:rsid w:val="00225D17"/>
    <w:rsid w:val="00225D56"/>
    <w:rsid w:val="00225DAD"/>
    <w:rsid w:val="00225E05"/>
    <w:rsid w:val="00225E08"/>
    <w:rsid w:val="00225ED2"/>
    <w:rsid w:val="00225EE2"/>
    <w:rsid w:val="00225F1C"/>
    <w:rsid w:val="00225F35"/>
    <w:rsid w:val="00225F5F"/>
    <w:rsid w:val="00226016"/>
    <w:rsid w:val="0022602B"/>
    <w:rsid w:val="0022602E"/>
    <w:rsid w:val="0022604B"/>
    <w:rsid w:val="00226055"/>
    <w:rsid w:val="00226084"/>
    <w:rsid w:val="002260CF"/>
    <w:rsid w:val="002260E7"/>
    <w:rsid w:val="0022618B"/>
    <w:rsid w:val="002261C3"/>
    <w:rsid w:val="002261D1"/>
    <w:rsid w:val="00226226"/>
    <w:rsid w:val="0022623A"/>
    <w:rsid w:val="00226392"/>
    <w:rsid w:val="00226414"/>
    <w:rsid w:val="0022642C"/>
    <w:rsid w:val="0022643F"/>
    <w:rsid w:val="002264AB"/>
    <w:rsid w:val="002264BD"/>
    <w:rsid w:val="002264E8"/>
    <w:rsid w:val="00226590"/>
    <w:rsid w:val="002265D6"/>
    <w:rsid w:val="00226600"/>
    <w:rsid w:val="00226607"/>
    <w:rsid w:val="00226636"/>
    <w:rsid w:val="0022665C"/>
    <w:rsid w:val="0022666A"/>
    <w:rsid w:val="00226696"/>
    <w:rsid w:val="002266B6"/>
    <w:rsid w:val="00226714"/>
    <w:rsid w:val="002267D6"/>
    <w:rsid w:val="00226813"/>
    <w:rsid w:val="00226829"/>
    <w:rsid w:val="0022682D"/>
    <w:rsid w:val="00226856"/>
    <w:rsid w:val="002268CC"/>
    <w:rsid w:val="00226906"/>
    <w:rsid w:val="00226908"/>
    <w:rsid w:val="00226941"/>
    <w:rsid w:val="002269BA"/>
    <w:rsid w:val="00226A3B"/>
    <w:rsid w:val="00226A46"/>
    <w:rsid w:val="00226A48"/>
    <w:rsid w:val="00226A4F"/>
    <w:rsid w:val="00226A77"/>
    <w:rsid w:val="00226A7E"/>
    <w:rsid w:val="00226AA4"/>
    <w:rsid w:val="00226B1D"/>
    <w:rsid w:val="00226B55"/>
    <w:rsid w:val="00226B62"/>
    <w:rsid w:val="00226B6F"/>
    <w:rsid w:val="00226B74"/>
    <w:rsid w:val="00226B92"/>
    <w:rsid w:val="00226B96"/>
    <w:rsid w:val="00226BE5"/>
    <w:rsid w:val="00226BF0"/>
    <w:rsid w:val="00226C9B"/>
    <w:rsid w:val="00226CA1"/>
    <w:rsid w:val="00226CE7"/>
    <w:rsid w:val="00226D3A"/>
    <w:rsid w:val="00226D56"/>
    <w:rsid w:val="00226DA9"/>
    <w:rsid w:val="00226DFC"/>
    <w:rsid w:val="00226E1D"/>
    <w:rsid w:val="00226EC4"/>
    <w:rsid w:val="00226EDB"/>
    <w:rsid w:val="00226EFD"/>
    <w:rsid w:val="00226F01"/>
    <w:rsid w:val="00226F0D"/>
    <w:rsid w:val="00226F29"/>
    <w:rsid w:val="00226F68"/>
    <w:rsid w:val="00226F6C"/>
    <w:rsid w:val="00226FC5"/>
    <w:rsid w:val="00226FCC"/>
    <w:rsid w:val="00226FED"/>
    <w:rsid w:val="00227023"/>
    <w:rsid w:val="0022705C"/>
    <w:rsid w:val="002270BF"/>
    <w:rsid w:val="00227131"/>
    <w:rsid w:val="0022714D"/>
    <w:rsid w:val="002271BA"/>
    <w:rsid w:val="0022723D"/>
    <w:rsid w:val="00227256"/>
    <w:rsid w:val="00227267"/>
    <w:rsid w:val="0022729A"/>
    <w:rsid w:val="002272B2"/>
    <w:rsid w:val="002272DB"/>
    <w:rsid w:val="002272E4"/>
    <w:rsid w:val="00227408"/>
    <w:rsid w:val="0022740B"/>
    <w:rsid w:val="00227503"/>
    <w:rsid w:val="00227528"/>
    <w:rsid w:val="00227731"/>
    <w:rsid w:val="0022774C"/>
    <w:rsid w:val="0022775C"/>
    <w:rsid w:val="00227797"/>
    <w:rsid w:val="002277A9"/>
    <w:rsid w:val="002277C1"/>
    <w:rsid w:val="00227816"/>
    <w:rsid w:val="0022781A"/>
    <w:rsid w:val="0022787E"/>
    <w:rsid w:val="0022789D"/>
    <w:rsid w:val="0022795B"/>
    <w:rsid w:val="00227A03"/>
    <w:rsid w:val="00227A0B"/>
    <w:rsid w:val="00227AB4"/>
    <w:rsid w:val="00227B0B"/>
    <w:rsid w:val="00227B29"/>
    <w:rsid w:val="00227B47"/>
    <w:rsid w:val="00227B69"/>
    <w:rsid w:val="00227B85"/>
    <w:rsid w:val="00227BA1"/>
    <w:rsid w:val="00227BED"/>
    <w:rsid w:val="00227BFB"/>
    <w:rsid w:val="00227C39"/>
    <w:rsid w:val="00227CA1"/>
    <w:rsid w:val="00227CBA"/>
    <w:rsid w:val="00227D0E"/>
    <w:rsid w:val="00227D51"/>
    <w:rsid w:val="00227E0E"/>
    <w:rsid w:val="00227E83"/>
    <w:rsid w:val="00227EE8"/>
    <w:rsid w:val="00227F0B"/>
    <w:rsid w:val="00227F7D"/>
    <w:rsid w:val="00227F82"/>
    <w:rsid w:val="00227F99"/>
    <w:rsid w:val="00230009"/>
    <w:rsid w:val="0023001A"/>
    <w:rsid w:val="00230084"/>
    <w:rsid w:val="002300B2"/>
    <w:rsid w:val="00230112"/>
    <w:rsid w:val="00230232"/>
    <w:rsid w:val="00230253"/>
    <w:rsid w:val="002302A0"/>
    <w:rsid w:val="00230335"/>
    <w:rsid w:val="0023038C"/>
    <w:rsid w:val="0023044D"/>
    <w:rsid w:val="002304D8"/>
    <w:rsid w:val="002304E7"/>
    <w:rsid w:val="0023053B"/>
    <w:rsid w:val="002305B0"/>
    <w:rsid w:val="002305D6"/>
    <w:rsid w:val="002305E0"/>
    <w:rsid w:val="002305F8"/>
    <w:rsid w:val="002306F7"/>
    <w:rsid w:val="0023078C"/>
    <w:rsid w:val="002307F9"/>
    <w:rsid w:val="002307FF"/>
    <w:rsid w:val="00230806"/>
    <w:rsid w:val="0023087A"/>
    <w:rsid w:val="0023087D"/>
    <w:rsid w:val="002308A2"/>
    <w:rsid w:val="002308EF"/>
    <w:rsid w:val="0023093A"/>
    <w:rsid w:val="00230951"/>
    <w:rsid w:val="0023099F"/>
    <w:rsid w:val="00230A61"/>
    <w:rsid w:val="00230A80"/>
    <w:rsid w:val="00230AAB"/>
    <w:rsid w:val="00230AB2"/>
    <w:rsid w:val="00230AF6"/>
    <w:rsid w:val="00230AFF"/>
    <w:rsid w:val="00230BA6"/>
    <w:rsid w:val="00230BCE"/>
    <w:rsid w:val="00230C8D"/>
    <w:rsid w:val="00230D37"/>
    <w:rsid w:val="00230D6A"/>
    <w:rsid w:val="00230D88"/>
    <w:rsid w:val="00230D94"/>
    <w:rsid w:val="00230DA0"/>
    <w:rsid w:val="00230DCC"/>
    <w:rsid w:val="00230DD0"/>
    <w:rsid w:val="00230DDA"/>
    <w:rsid w:val="00230E16"/>
    <w:rsid w:val="00230E56"/>
    <w:rsid w:val="00230EB3"/>
    <w:rsid w:val="00230EC0"/>
    <w:rsid w:val="00230F70"/>
    <w:rsid w:val="00230F9B"/>
    <w:rsid w:val="00230FC7"/>
    <w:rsid w:val="00230FF0"/>
    <w:rsid w:val="00231049"/>
    <w:rsid w:val="00231109"/>
    <w:rsid w:val="0023111E"/>
    <w:rsid w:val="00231131"/>
    <w:rsid w:val="00231137"/>
    <w:rsid w:val="00231241"/>
    <w:rsid w:val="00231245"/>
    <w:rsid w:val="00231254"/>
    <w:rsid w:val="002312AB"/>
    <w:rsid w:val="002312EA"/>
    <w:rsid w:val="00231337"/>
    <w:rsid w:val="00231351"/>
    <w:rsid w:val="0023137F"/>
    <w:rsid w:val="0023138B"/>
    <w:rsid w:val="00231394"/>
    <w:rsid w:val="002313C3"/>
    <w:rsid w:val="002313E2"/>
    <w:rsid w:val="00231422"/>
    <w:rsid w:val="00231441"/>
    <w:rsid w:val="002314D2"/>
    <w:rsid w:val="002314EC"/>
    <w:rsid w:val="002314F8"/>
    <w:rsid w:val="0023150E"/>
    <w:rsid w:val="0023153F"/>
    <w:rsid w:val="00231658"/>
    <w:rsid w:val="0023167B"/>
    <w:rsid w:val="00231683"/>
    <w:rsid w:val="002316DC"/>
    <w:rsid w:val="002316FD"/>
    <w:rsid w:val="0023171F"/>
    <w:rsid w:val="00231737"/>
    <w:rsid w:val="0023176C"/>
    <w:rsid w:val="002317B9"/>
    <w:rsid w:val="002317FF"/>
    <w:rsid w:val="00231817"/>
    <w:rsid w:val="00231842"/>
    <w:rsid w:val="00231871"/>
    <w:rsid w:val="00231872"/>
    <w:rsid w:val="0023189F"/>
    <w:rsid w:val="002318AB"/>
    <w:rsid w:val="002318D8"/>
    <w:rsid w:val="002319DC"/>
    <w:rsid w:val="00231A32"/>
    <w:rsid w:val="00231A94"/>
    <w:rsid w:val="00231ADD"/>
    <w:rsid w:val="00231AEA"/>
    <w:rsid w:val="00231B27"/>
    <w:rsid w:val="00231B65"/>
    <w:rsid w:val="00231B8F"/>
    <w:rsid w:val="00231BB3"/>
    <w:rsid w:val="00231D13"/>
    <w:rsid w:val="00231D84"/>
    <w:rsid w:val="00231DA4"/>
    <w:rsid w:val="00231DD2"/>
    <w:rsid w:val="00231DFC"/>
    <w:rsid w:val="00231E0B"/>
    <w:rsid w:val="00231E2A"/>
    <w:rsid w:val="00231E54"/>
    <w:rsid w:val="00231EA3"/>
    <w:rsid w:val="00231ECD"/>
    <w:rsid w:val="00231F18"/>
    <w:rsid w:val="00231F1D"/>
    <w:rsid w:val="00231F31"/>
    <w:rsid w:val="00231F56"/>
    <w:rsid w:val="00231F64"/>
    <w:rsid w:val="00231FEE"/>
    <w:rsid w:val="0023207B"/>
    <w:rsid w:val="002320AD"/>
    <w:rsid w:val="002320B7"/>
    <w:rsid w:val="002320CB"/>
    <w:rsid w:val="002320F4"/>
    <w:rsid w:val="00232155"/>
    <w:rsid w:val="00232197"/>
    <w:rsid w:val="002321B9"/>
    <w:rsid w:val="002321CC"/>
    <w:rsid w:val="002321D2"/>
    <w:rsid w:val="0023222F"/>
    <w:rsid w:val="00232306"/>
    <w:rsid w:val="00232336"/>
    <w:rsid w:val="00232342"/>
    <w:rsid w:val="00232381"/>
    <w:rsid w:val="0023238B"/>
    <w:rsid w:val="002323FD"/>
    <w:rsid w:val="0023250C"/>
    <w:rsid w:val="00232510"/>
    <w:rsid w:val="0023255A"/>
    <w:rsid w:val="0023256B"/>
    <w:rsid w:val="00232670"/>
    <w:rsid w:val="0023267B"/>
    <w:rsid w:val="00232681"/>
    <w:rsid w:val="002326A9"/>
    <w:rsid w:val="002326CA"/>
    <w:rsid w:val="0023279C"/>
    <w:rsid w:val="00232817"/>
    <w:rsid w:val="00232866"/>
    <w:rsid w:val="0023286E"/>
    <w:rsid w:val="002328AA"/>
    <w:rsid w:val="002328E0"/>
    <w:rsid w:val="002328F9"/>
    <w:rsid w:val="00232947"/>
    <w:rsid w:val="00232A7F"/>
    <w:rsid w:val="00232A8E"/>
    <w:rsid w:val="00232ACE"/>
    <w:rsid w:val="00232B0E"/>
    <w:rsid w:val="00232B4C"/>
    <w:rsid w:val="00232BA6"/>
    <w:rsid w:val="00232BC9"/>
    <w:rsid w:val="00232D12"/>
    <w:rsid w:val="00232D16"/>
    <w:rsid w:val="00232D27"/>
    <w:rsid w:val="00232D3B"/>
    <w:rsid w:val="00232D58"/>
    <w:rsid w:val="00232D8E"/>
    <w:rsid w:val="00232D95"/>
    <w:rsid w:val="00232E1D"/>
    <w:rsid w:val="00232E44"/>
    <w:rsid w:val="00232EC6"/>
    <w:rsid w:val="00232EC7"/>
    <w:rsid w:val="00232F48"/>
    <w:rsid w:val="00232F59"/>
    <w:rsid w:val="00233002"/>
    <w:rsid w:val="0023302D"/>
    <w:rsid w:val="00233030"/>
    <w:rsid w:val="00233040"/>
    <w:rsid w:val="0023305C"/>
    <w:rsid w:val="0023306E"/>
    <w:rsid w:val="00233095"/>
    <w:rsid w:val="002330B1"/>
    <w:rsid w:val="002330DF"/>
    <w:rsid w:val="00233117"/>
    <w:rsid w:val="0023314D"/>
    <w:rsid w:val="00233166"/>
    <w:rsid w:val="0023318F"/>
    <w:rsid w:val="00233192"/>
    <w:rsid w:val="002331CA"/>
    <w:rsid w:val="00233203"/>
    <w:rsid w:val="00233216"/>
    <w:rsid w:val="00233260"/>
    <w:rsid w:val="0023333E"/>
    <w:rsid w:val="00233358"/>
    <w:rsid w:val="00233386"/>
    <w:rsid w:val="002333A2"/>
    <w:rsid w:val="002333C2"/>
    <w:rsid w:val="002333C7"/>
    <w:rsid w:val="002333ED"/>
    <w:rsid w:val="00233400"/>
    <w:rsid w:val="00233412"/>
    <w:rsid w:val="00233419"/>
    <w:rsid w:val="00233436"/>
    <w:rsid w:val="00233460"/>
    <w:rsid w:val="00233476"/>
    <w:rsid w:val="00233505"/>
    <w:rsid w:val="00233543"/>
    <w:rsid w:val="002335D2"/>
    <w:rsid w:val="002335D8"/>
    <w:rsid w:val="00233702"/>
    <w:rsid w:val="00233735"/>
    <w:rsid w:val="00233748"/>
    <w:rsid w:val="00233884"/>
    <w:rsid w:val="002338B2"/>
    <w:rsid w:val="002338C9"/>
    <w:rsid w:val="002338EC"/>
    <w:rsid w:val="00233955"/>
    <w:rsid w:val="00233A66"/>
    <w:rsid w:val="00233A80"/>
    <w:rsid w:val="00233A9A"/>
    <w:rsid w:val="00233AA0"/>
    <w:rsid w:val="00233AB0"/>
    <w:rsid w:val="00233AF1"/>
    <w:rsid w:val="00233B6D"/>
    <w:rsid w:val="00233B87"/>
    <w:rsid w:val="00233BB2"/>
    <w:rsid w:val="00233CB5"/>
    <w:rsid w:val="00233CCF"/>
    <w:rsid w:val="00233D4E"/>
    <w:rsid w:val="00233D67"/>
    <w:rsid w:val="00233D77"/>
    <w:rsid w:val="00233DEA"/>
    <w:rsid w:val="00233E0A"/>
    <w:rsid w:val="00233E55"/>
    <w:rsid w:val="00233ED8"/>
    <w:rsid w:val="00233EE4"/>
    <w:rsid w:val="00233EF4"/>
    <w:rsid w:val="00233F07"/>
    <w:rsid w:val="00233F26"/>
    <w:rsid w:val="00233F32"/>
    <w:rsid w:val="00233F6A"/>
    <w:rsid w:val="00234048"/>
    <w:rsid w:val="00234083"/>
    <w:rsid w:val="00234110"/>
    <w:rsid w:val="00234139"/>
    <w:rsid w:val="0023415D"/>
    <w:rsid w:val="00234164"/>
    <w:rsid w:val="002341F4"/>
    <w:rsid w:val="00234259"/>
    <w:rsid w:val="00234273"/>
    <w:rsid w:val="00234309"/>
    <w:rsid w:val="0023436A"/>
    <w:rsid w:val="00234450"/>
    <w:rsid w:val="00234458"/>
    <w:rsid w:val="0023448E"/>
    <w:rsid w:val="00234523"/>
    <w:rsid w:val="0023452E"/>
    <w:rsid w:val="00234552"/>
    <w:rsid w:val="00234593"/>
    <w:rsid w:val="002345D0"/>
    <w:rsid w:val="002345D7"/>
    <w:rsid w:val="002345E2"/>
    <w:rsid w:val="002345ED"/>
    <w:rsid w:val="002345FB"/>
    <w:rsid w:val="0023461F"/>
    <w:rsid w:val="0023463C"/>
    <w:rsid w:val="00234678"/>
    <w:rsid w:val="002346CE"/>
    <w:rsid w:val="0023472F"/>
    <w:rsid w:val="002347F3"/>
    <w:rsid w:val="00234801"/>
    <w:rsid w:val="00234832"/>
    <w:rsid w:val="00234893"/>
    <w:rsid w:val="00234916"/>
    <w:rsid w:val="0023491D"/>
    <w:rsid w:val="00234976"/>
    <w:rsid w:val="002349A1"/>
    <w:rsid w:val="002349F1"/>
    <w:rsid w:val="00234A36"/>
    <w:rsid w:val="00234A50"/>
    <w:rsid w:val="00234A59"/>
    <w:rsid w:val="00234ACC"/>
    <w:rsid w:val="00234AD7"/>
    <w:rsid w:val="00234C0E"/>
    <w:rsid w:val="00234C74"/>
    <w:rsid w:val="00234CDC"/>
    <w:rsid w:val="00234DA4"/>
    <w:rsid w:val="00234EA8"/>
    <w:rsid w:val="00234F31"/>
    <w:rsid w:val="00234F4A"/>
    <w:rsid w:val="00234F8D"/>
    <w:rsid w:val="00234F9B"/>
    <w:rsid w:val="00234FEC"/>
    <w:rsid w:val="00235003"/>
    <w:rsid w:val="00235012"/>
    <w:rsid w:val="0023502C"/>
    <w:rsid w:val="00235050"/>
    <w:rsid w:val="0023505E"/>
    <w:rsid w:val="002350D5"/>
    <w:rsid w:val="0023512C"/>
    <w:rsid w:val="0023516E"/>
    <w:rsid w:val="00235174"/>
    <w:rsid w:val="0023517E"/>
    <w:rsid w:val="002351C8"/>
    <w:rsid w:val="002351CA"/>
    <w:rsid w:val="002351EE"/>
    <w:rsid w:val="00235259"/>
    <w:rsid w:val="00235293"/>
    <w:rsid w:val="002352D0"/>
    <w:rsid w:val="00235360"/>
    <w:rsid w:val="0023538F"/>
    <w:rsid w:val="002353B4"/>
    <w:rsid w:val="002353DF"/>
    <w:rsid w:val="0023541E"/>
    <w:rsid w:val="00235424"/>
    <w:rsid w:val="00235568"/>
    <w:rsid w:val="00235600"/>
    <w:rsid w:val="0023563D"/>
    <w:rsid w:val="00235675"/>
    <w:rsid w:val="0023568F"/>
    <w:rsid w:val="002356A1"/>
    <w:rsid w:val="002356A2"/>
    <w:rsid w:val="002356AC"/>
    <w:rsid w:val="002356F8"/>
    <w:rsid w:val="00235714"/>
    <w:rsid w:val="0023576A"/>
    <w:rsid w:val="002357B1"/>
    <w:rsid w:val="002357DE"/>
    <w:rsid w:val="002357EB"/>
    <w:rsid w:val="00235871"/>
    <w:rsid w:val="0023588D"/>
    <w:rsid w:val="002358A4"/>
    <w:rsid w:val="002358F2"/>
    <w:rsid w:val="002359D4"/>
    <w:rsid w:val="002359DB"/>
    <w:rsid w:val="00235A13"/>
    <w:rsid w:val="00235A17"/>
    <w:rsid w:val="00235A55"/>
    <w:rsid w:val="00235A6E"/>
    <w:rsid w:val="00235AF4"/>
    <w:rsid w:val="00235AFD"/>
    <w:rsid w:val="00235B08"/>
    <w:rsid w:val="00235B34"/>
    <w:rsid w:val="00235B57"/>
    <w:rsid w:val="00235C17"/>
    <w:rsid w:val="00235D73"/>
    <w:rsid w:val="00235DAB"/>
    <w:rsid w:val="00235DFA"/>
    <w:rsid w:val="00235E4E"/>
    <w:rsid w:val="00235EE6"/>
    <w:rsid w:val="00235F6B"/>
    <w:rsid w:val="00235F75"/>
    <w:rsid w:val="00235F8D"/>
    <w:rsid w:val="00235F9C"/>
    <w:rsid w:val="00235FD2"/>
    <w:rsid w:val="00235FEC"/>
    <w:rsid w:val="00235FF9"/>
    <w:rsid w:val="00236009"/>
    <w:rsid w:val="00236028"/>
    <w:rsid w:val="0023603F"/>
    <w:rsid w:val="00236090"/>
    <w:rsid w:val="002360AD"/>
    <w:rsid w:val="002362D7"/>
    <w:rsid w:val="00236366"/>
    <w:rsid w:val="002363A9"/>
    <w:rsid w:val="002363B9"/>
    <w:rsid w:val="00236418"/>
    <w:rsid w:val="00236476"/>
    <w:rsid w:val="00236516"/>
    <w:rsid w:val="0023652D"/>
    <w:rsid w:val="0023657D"/>
    <w:rsid w:val="002365E8"/>
    <w:rsid w:val="0023664E"/>
    <w:rsid w:val="0023666F"/>
    <w:rsid w:val="002366A3"/>
    <w:rsid w:val="002366CF"/>
    <w:rsid w:val="002366FA"/>
    <w:rsid w:val="0023670C"/>
    <w:rsid w:val="0023673E"/>
    <w:rsid w:val="00236756"/>
    <w:rsid w:val="002367DD"/>
    <w:rsid w:val="002367E6"/>
    <w:rsid w:val="00236805"/>
    <w:rsid w:val="00236811"/>
    <w:rsid w:val="0023686F"/>
    <w:rsid w:val="002368A7"/>
    <w:rsid w:val="0023693B"/>
    <w:rsid w:val="002369D1"/>
    <w:rsid w:val="002369E2"/>
    <w:rsid w:val="002369F8"/>
    <w:rsid w:val="00236A6C"/>
    <w:rsid w:val="00236AE0"/>
    <w:rsid w:val="00236B9D"/>
    <w:rsid w:val="00236C09"/>
    <w:rsid w:val="00236C69"/>
    <w:rsid w:val="00236C84"/>
    <w:rsid w:val="00236CFC"/>
    <w:rsid w:val="00236D59"/>
    <w:rsid w:val="00236D5D"/>
    <w:rsid w:val="00236D95"/>
    <w:rsid w:val="00236DB3"/>
    <w:rsid w:val="00236DB6"/>
    <w:rsid w:val="00236DE2"/>
    <w:rsid w:val="00236DEC"/>
    <w:rsid w:val="00236DF6"/>
    <w:rsid w:val="00236DFD"/>
    <w:rsid w:val="00236E1B"/>
    <w:rsid w:val="00236E78"/>
    <w:rsid w:val="00236E79"/>
    <w:rsid w:val="00236EA7"/>
    <w:rsid w:val="00236EDB"/>
    <w:rsid w:val="00236EF8"/>
    <w:rsid w:val="00236F3D"/>
    <w:rsid w:val="00236F76"/>
    <w:rsid w:val="00236F77"/>
    <w:rsid w:val="00236FA7"/>
    <w:rsid w:val="00237006"/>
    <w:rsid w:val="00237007"/>
    <w:rsid w:val="00237025"/>
    <w:rsid w:val="00237071"/>
    <w:rsid w:val="00237096"/>
    <w:rsid w:val="002370A6"/>
    <w:rsid w:val="002370AA"/>
    <w:rsid w:val="002370C4"/>
    <w:rsid w:val="002370DF"/>
    <w:rsid w:val="00237104"/>
    <w:rsid w:val="00237117"/>
    <w:rsid w:val="0023711C"/>
    <w:rsid w:val="002371D6"/>
    <w:rsid w:val="002371F3"/>
    <w:rsid w:val="002371FD"/>
    <w:rsid w:val="00237225"/>
    <w:rsid w:val="00237236"/>
    <w:rsid w:val="00237248"/>
    <w:rsid w:val="002372D2"/>
    <w:rsid w:val="00237317"/>
    <w:rsid w:val="0023732B"/>
    <w:rsid w:val="00237333"/>
    <w:rsid w:val="00237356"/>
    <w:rsid w:val="0023738A"/>
    <w:rsid w:val="002373D6"/>
    <w:rsid w:val="002373DD"/>
    <w:rsid w:val="002373FF"/>
    <w:rsid w:val="0023742B"/>
    <w:rsid w:val="0023742C"/>
    <w:rsid w:val="00237469"/>
    <w:rsid w:val="00237481"/>
    <w:rsid w:val="0023748E"/>
    <w:rsid w:val="0023751E"/>
    <w:rsid w:val="00237545"/>
    <w:rsid w:val="002375F0"/>
    <w:rsid w:val="0023766E"/>
    <w:rsid w:val="002376AF"/>
    <w:rsid w:val="00237710"/>
    <w:rsid w:val="00237713"/>
    <w:rsid w:val="00237726"/>
    <w:rsid w:val="0023772F"/>
    <w:rsid w:val="00237771"/>
    <w:rsid w:val="002377CC"/>
    <w:rsid w:val="00237870"/>
    <w:rsid w:val="002378AF"/>
    <w:rsid w:val="002378C6"/>
    <w:rsid w:val="002378D1"/>
    <w:rsid w:val="0023797B"/>
    <w:rsid w:val="00237992"/>
    <w:rsid w:val="00237A20"/>
    <w:rsid w:val="00237A57"/>
    <w:rsid w:val="00237AA7"/>
    <w:rsid w:val="00237AEB"/>
    <w:rsid w:val="00237B2A"/>
    <w:rsid w:val="00237B3A"/>
    <w:rsid w:val="00237B42"/>
    <w:rsid w:val="00237B83"/>
    <w:rsid w:val="00237B9B"/>
    <w:rsid w:val="00237D12"/>
    <w:rsid w:val="00237D26"/>
    <w:rsid w:val="00237D4F"/>
    <w:rsid w:val="00237D52"/>
    <w:rsid w:val="00237D5B"/>
    <w:rsid w:val="00237E20"/>
    <w:rsid w:val="00237E5E"/>
    <w:rsid w:val="00237F0A"/>
    <w:rsid w:val="00237F20"/>
    <w:rsid w:val="00237F82"/>
    <w:rsid w:val="00237F8E"/>
    <w:rsid w:val="0024013A"/>
    <w:rsid w:val="002401FF"/>
    <w:rsid w:val="00240217"/>
    <w:rsid w:val="00240230"/>
    <w:rsid w:val="00240232"/>
    <w:rsid w:val="00240282"/>
    <w:rsid w:val="0024028A"/>
    <w:rsid w:val="0024028E"/>
    <w:rsid w:val="002402C1"/>
    <w:rsid w:val="002402D7"/>
    <w:rsid w:val="002402E3"/>
    <w:rsid w:val="0024033F"/>
    <w:rsid w:val="00240369"/>
    <w:rsid w:val="002403B3"/>
    <w:rsid w:val="002403B6"/>
    <w:rsid w:val="002403DA"/>
    <w:rsid w:val="002403FC"/>
    <w:rsid w:val="0024040D"/>
    <w:rsid w:val="0024047B"/>
    <w:rsid w:val="002404D9"/>
    <w:rsid w:val="002404FB"/>
    <w:rsid w:val="002405C6"/>
    <w:rsid w:val="00240669"/>
    <w:rsid w:val="00240698"/>
    <w:rsid w:val="002406D2"/>
    <w:rsid w:val="002406EA"/>
    <w:rsid w:val="00240751"/>
    <w:rsid w:val="0024076B"/>
    <w:rsid w:val="0024077C"/>
    <w:rsid w:val="002407A5"/>
    <w:rsid w:val="002407FB"/>
    <w:rsid w:val="00240825"/>
    <w:rsid w:val="0024083E"/>
    <w:rsid w:val="00240861"/>
    <w:rsid w:val="00240899"/>
    <w:rsid w:val="002408C9"/>
    <w:rsid w:val="002408CB"/>
    <w:rsid w:val="002408F3"/>
    <w:rsid w:val="00240972"/>
    <w:rsid w:val="002409F1"/>
    <w:rsid w:val="00240A17"/>
    <w:rsid w:val="00240A28"/>
    <w:rsid w:val="00240A43"/>
    <w:rsid w:val="00240B45"/>
    <w:rsid w:val="00240B53"/>
    <w:rsid w:val="00240B7F"/>
    <w:rsid w:val="00240BAD"/>
    <w:rsid w:val="00240C71"/>
    <w:rsid w:val="00240C7F"/>
    <w:rsid w:val="00240D5B"/>
    <w:rsid w:val="00240DA9"/>
    <w:rsid w:val="00240E9A"/>
    <w:rsid w:val="00240F18"/>
    <w:rsid w:val="00240F4C"/>
    <w:rsid w:val="00240F90"/>
    <w:rsid w:val="00241108"/>
    <w:rsid w:val="002411A0"/>
    <w:rsid w:val="00241221"/>
    <w:rsid w:val="00241316"/>
    <w:rsid w:val="00241320"/>
    <w:rsid w:val="00241364"/>
    <w:rsid w:val="002413CF"/>
    <w:rsid w:val="002413F8"/>
    <w:rsid w:val="00241587"/>
    <w:rsid w:val="00241588"/>
    <w:rsid w:val="002415BA"/>
    <w:rsid w:val="00241637"/>
    <w:rsid w:val="00241685"/>
    <w:rsid w:val="00241686"/>
    <w:rsid w:val="002416A6"/>
    <w:rsid w:val="002416D2"/>
    <w:rsid w:val="0024171F"/>
    <w:rsid w:val="00241737"/>
    <w:rsid w:val="00241740"/>
    <w:rsid w:val="00241747"/>
    <w:rsid w:val="002417C4"/>
    <w:rsid w:val="0024180D"/>
    <w:rsid w:val="00241830"/>
    <w:rsid w:val="0024184B"/>
    <w:rsid w:val="00241881"/>
    <w:rsid w:val="002418CD"/>
    <w:rsid w:val="002418D5"/>
    <w:rsid w:val="002419D3"/>
    <w:rsid w:val="002419E0"/>
    <w:rsid w:val="00241A7D"/>
    <w:rsid w:val="00241AAE"/>
    <w:rsid w:val="00241AB6"/>
    <w:rsid w:val="00241ABF"/>
    <w:rsid w:val="00241B67"/>
    <w:rsid w:val="00241BAA"/>
    <w:rsid w:val="00241BBC"/>
    <w:rsid w:val="00241BFC"/>
    <w:rsid w:val="00241C55"/>
    <w:rsid w:val="00241CAD"/>
    <w:rsid w:val="00241CE3"/>
    <w:rsid w:val="00241D49"/>
    <w:rsid w:val="00241E54"/>
    <w:rsid w:val="00241E65"/>
    <w:rsid w:val="00241ECE"/>
    <w:rsid w:val="00241F3C"/>
    <w:rsid w:val="00241F60"/>
    <w:rsid w:val="00241FA0"/>
    <w:rsid w:val="00241FA6"/>
    <w:rsid w:val="0024213A"/>
    <w:rsid w:val="00242147"/>
    <w:rsid w:val="0024214F"/>
    <w:rsid w:val="00242175"/>
    <w:rsid w:val="002421A9"/>
    <w:rsid w:val="002421DC"/>
    <w:rsid w:val="0024225F"/>
    <w:rsid w:val="0024227F"/>
    <w:rsid w:val="002422A7"/>
    <w:rsid w:val="002423D5"/>
    <w:rsid w:val="0024247A"/>
    <w:rsid w:val="002424B0"/>
    <w:rsid w:val="002424B8"/>
    <w:rsid w:val="0024259A"/>
    <w:rsid w:val="00242608"/>
    <w:rsid w:val="0024260F"/>
    <w:rsid w:val="00242635"/>
    <w:rsid w:val="0024268C"/>
    <w:rsid w:val="002426D8"/>
    <w:rsid w:val="00242716"/>
    <w:rsid w:val="0024273C"/>
    <w:rsid w:val="00242745"/>
    <w:rsid w:val="0024275C"/>
    <w:rsid w:val="00242765"/>
    <w:rsid w:val="0024276E"/>
    <w:rsid w:val="00242799"/>
    <w:rsid w:val="002427DE"/>
    <w:rsid w:val="00242834"/>
    <w:rsid w:val="00242855"/>
    <w:rsid w:val="0024289F"/>
    <w:rsid w:val="002428A9"/>
    <w:rsid w:val="00242900"/>
    <w:rsid w:val="0024294B"/>
    <w:rsid w:val="0024294C"/>
    <w:rsid w:val="00242952"/>
    <w:rsid w:val="00242A0A"/>
    <w:rsid w:val="00242A1A"/>
    <w:rsid w:val="00242A2C"/>
    <w:rsid w:val="00242A80"/>
    <w:rsid w:val="00242AA2"/>
    <w:rsid w:val="00242AC6"/>
    <w:rsid w:val="00242AE5"/>
    <w:rsid w:val="00242B26"/>
    <w:rsid w:val="00242BB9"/>
    <w:rsid w:val="00242BD3"/>
    <w:rsid w:val="00242BFE"/>
    <w:rsid w:val="00242C04"/>
    <w:rsid w:val="00242C33"/>
    <w:rsid w:val="00242C6F"/>
    <w:rsid w:val="00242CA0"/>
    <w:rsid w:val="00242CFF"/>
    <w:rsid w:val="00242D2B"/>
    <w:rsid w:val="00242D2F"/>
    <w:rsid w:val="00242DE0"/>
    <w:rsid w:val="00242E81"/>
    <w:rsid w:val="00242E85"/>
    <w:rsid w:val="00242F65"/>
    <w:rsid w:val="00242F7C"/>
    <w:rsid w:val="00242F97"/>
    <w:rsid w:val="00242FDF"/>
    <w:rsid w:val="00243035"/>
    <w:rsid w:val="0024305C"/>
    <w:rsid w:val="002430AB"/>
    <w:rsid w:val="002430E0"/>
    <w:rsid w:val="002430F8"/>
    <w:rsid w:val="00243164"/>
    <w:rsid w:val="00243179"/>
    <w:rsid w:val="002431B8"/>
    <w:rsid w:val="002431BE"/>
    <w:rsid w:val="002431EA"/>
    <w:rsid w:val="002431EF"/>
    <w:rsid w:val="00243218"/>
    <w:rsid w:val="00243227"/>
    <w:rsid w:val="0024327A"/>
    <w:rsid w:val="002432A3"/>
    <w:rsid w:val="002432A9"/>
    <w:rsid w:val="002432E5"/>
    <w:rsid w:val="0024332E"/>
    <w:rsid w:val="00243374"/>
    <w:rsid w:val="002433C8"/>
    <w:rsid w:val="00243410"/>
    <w:rsid w:val="00243471"/>
    <w:rsid w:val="002434B4"/>
    <w:rsid w:val="00243532"/>
    <w:rsid w:val="0024353E"/>
    <w:rsid w:val="0024356A"/>
    <w:rsid w:val="00243580"/>
    <w:rsid w:val="002435A9"/>
    <w:rsid w:val="00243621"/>
    <w:rsid w:val="0024363E"/>
    <w:rsid w:val="00243649"/>
    <w:rsid w:val="00243652"/>
    <w:rsid w:val="00243669"/>
    <w:rsid w:val="002436AF"/>
    <w:rsid w:val="002436B7"/>
    <w:rsid w:val="00243791"/>
    <w:rsid w:val="002437AA"/>
    <w:rsid w:val="002437C5"/>
    <w:rsid w:val="00243819"/>
    <w:rsid w:val="00243887"/>
    <w:rsid w:val="002438A3"/>
    <w:rsid w:val="002438BC"/>
    <w:rsid w:val="00243905"/>
    <w:rsid w:val="0024391B"/>
    <w:rsid w:val="0024397D"/>
    <w:rsid w:val="00243986"/>
    <w:rsid w:val="0024399F"/>
    <w:rsid w:val="00243ACC"/>
    <w:rsid w:val="00243AE1"/>
    <w:rsid w:val="00243B58"/>
    <w:rsid w:val="00243B6E"/>
    <w:rsid w:val="00243BF4"/>
    <w:rsid w:val="00243C7E"/>
    <w:rsid w:val="00243C90"/>
    <w:rsid w:val="00243CA5"/>
    <w:rsid w:val="00243CEF"/>
    <w:rsid w:val="00243D6B"/>
    <w:rsid w:val="00243E40"/>
    <w:rsid w:val="00243EB0"/>
    <w:rsid w:val="00243ED7"/>
    <w:rsid w:val="00243F11"/>
    <w:rsid w:val="00243F6A"/>
    <w:rsid w:val="00243F79"/>
    <w:rsid w:val="00243F90"/>
    <w:rsid w:val="00243F9F"/>
    <w:rsid w:val="00243FD6"/>
    <w:rsid w:val="0024402D"/>
    <w:rsid w:val="0024402F"/>
    <w:rsid w:val="002440BF"/>
    <w:rsid w:val="002440D6"/>
    <w:rsid w:val="002440F8"/>
    <w:rsid w:val="00244119"/>
    <w:rsid w:val="002441B0"/>
    <w:rsid w:val="002441D6"/>
    <w:rsid w:val="00244203"/>
    <w:rsid w:val="002442B6"/>
    <w:rsid w:val="0024430F"/>
    <w:rsid w:val="00244324"/>
    <w:rsid w:val="0024434D"/>
    <w:rsid w:val="002443DD"/>
    <w:rsid w:val="002443F1"/>
    <w:rsid w:val="00244436"/>
    <w:rsid w:val="0024446F"/>
    <w:rsid w:val="002444A9"/>
    <w:rsid w:val="00244508"/>
    <w:rsid w:val="00244518"/>
    <w:rsid w:val="0024454C"/>
    <w:rsid w:val="00244568"/>
    <w:rsid w:val="002445CA"/>
    <w:rsid w:val="002445CC"/>
    <w:rsid w:val="002445E1"/>
    <w:rsid w:val="0024467F"/>
    <w:rsid w:val="00244699"/>
    <w:rsid w:val="0024472B"/>
    <w:rsid w:val="00244771"/>
    <w:rsid w:val="0024478A"/>
    <w:rsid w:val="0024478C"/>
    <w:rsid w:val="0024480F"/>
    <w:rsid w:val="00244812"/>
    <w:rsid w:val="00244848"/>
    <w:rsid w:val="002448DC"/>
    <w:rsid w:val="002448EE"/>
    <w:rsid w:val="0024490E"/>
    <w:rsid w:val="00244930"/>
    <w:rsid w:val="0024493B"/>
    <w:rsid w:val="00244953"/>
    <w:rsid w:val="002449AB"/>
    <w:rsid w:val="002449FE"/>
    <w:rsid w:val="002449FF"/>
    <w:rsid w:val="00244A15"/>
    <w:rsid w:val="00244A4E"/>
    <w:rsid w:val="00244AA5"/>
    <w:rsid w:val="00244AC2"/>
    <w:rsid w:val="00244B3B"/>
    <w:rsid w:val="00244B3E"/>
    <w:rsid w:val="00244B5D"/>
    <w:rsid w:val="00244BFF"/>
    <w:rsid w:val="00244C34"/>
    <w:rsid w:val="00244C74"/>
    <w:rsid w:val="00244CA2"/>
    <w:rsid w:val="00244CA6"/>
    <w:rsid w:val="00244D94"/>
    <w:rsid w:val="00244DC8"/>
    <w:rsid w:val="00244DDF"/>
    <w:rsid w:val="00244E0B"/>
    <w:rsid w:val="00244E41"/>
    <w:rsid w:val="00244E45"/>
    <w:rsid w:val="00244EA9"/>
    <w:rsid w:val="00244EAE"/>
    <w:rsid w:val="00244EC3"/>
    <w:rsid w:val="00244EC9"/>
    <w:rsid w:val="00244F0C"/>
    <w:rsid w:val="00244F15"/>
    <w:rsid w:val="00244F22"/>
    <w:rsid w:val="00244F3A"/>
    <w:rsid w:val="00244FCB"/>
    <w:rsid w:val="0024501A"/>
    <w:rsid w:val="00245029"/>
    <w:rsid w:val="0024503A"/>
    <w:rsid w:val="0024503D"/>
    <w:rsid w:val="0024508E"/>
    <w:rsid w:val="002450D1"/>
    <w:rsid w:val="00245128"/>
    <w:rsid w:val="002451B4"/>
    <w:rsid w:val="002451F0"/>
    <w:rsid w:val="00245294"/>
    <w:rsid w:val="002452B1"/>
    <w:rsid w:val="00245335"/>
    <w:rsid w:val="00245368"/>
    <w:rsid w:val="0024538C"/>
    <w:rsid w:val="002453E9"/>
    <w:rsid w:val="00245478"/>
    <w:rsid w:val="002454B6"/>
    <w:rsid w:val="002454DE"/>
    <w:rsid w:val="002454F6"/>
    <w:rsid w:val="00245509"/>
    <w:rsid w:val="00245524"/>
    <w:rsid w:val="00245550"/>
    <w:rsid w:val="00245579"/>
    <w:rsid w:val="00245610"/>
    <w:rsid w:val="00245649"/>
    <w:rsid w:val="0024566C"/>
    <w:rsid w:val="002456B8"/>
    <w:rsid w:val="00245700"/>
    <w:rsid w:val="00245766"/>
    <w:rsid w:val="00245836"/>
    <w:rsid w:val="00245879"/>
    <w:rsid w:val="002458BD"/>
    <w:rsid w:val="002458D1"/>
    <w:rsid w:val="00245987"/>
    <w:rsid w:val="0024598F"/>
    <w:rsid w:val="002459A4"/>
    <w:rsid w:val="002459BB"/>
    <w:rsid w:val="00245A1D"/>
    <w:rsid w:val="00245AE0"/>
    <w:rsid w:val="00245B15"/>
    <w:rsid w:val="00245B2C"/>
    <w:rsid w:val="00245B8D"/>
    <w:rsid w:val="00245BA9"/>
    <w:rsid w:val="00245BE9"/>
    <w:rsid w:val="00245BF9"/>
    <w:rsid w:val="00245C14"/>
    <w:rsid w:val="00245C29"/>
    <w:rsid w:val="00245C58"/>
    <w:rsid w:val="00245C76"/>
    <w:rsid w:val="00245CD5"/>
    <w:rsid w:val="00245D00"/>
    <w:rsid w:val="00245D4F"/>
    <w:rsid w:val="00245D71"/>
    <w:rsid w:val="00245E2C"/>
    <w:rsid w:val="00245E65"/>
    <w:rsid w:val="00245EBD"/>
    <w:rsid w:val="00245EDB"/>
    <w:rsid w:val="00245EE2"/>
    <w:rsid w:val="00245EF1"/>
    <w:rsid w:val="00245EFD"/>
    <w:rsid w:val="00245F38"/>
    <w:rsid w:val="00245FE4"/>
    <w:rsid w:val="00246032"/>
    <w:rsid w:val="002460A9"/>
    <w:rsid w:val="00246193"/>
    <w:rsid w:val="002461EA"/>
    <w:rsid w:val="00246244"/>
    <w:rsid w:val="00246259"/>
    <w:rsid w:val="0024638F"/>
    <w:rsid w:val="002463E9"/>
    <w:rsid w:val="002463F7"/>
    <w:rsid w:val="0024640C"/>
    <w:rsid w:val="00246463"/>
    <w:rsid w:val="00246469"/>
    <w:rsid w:val="00246475"/>
    <w:rsid w:val="0024648A"/>
    <w:rsid w:val="00246519"/>
    <w:rsid w:val="00246531"/>
    <w:rsid w:val="00246533"/>
    <w:rsid w:val="00246566"/>
    <w:rsid w:val="00246578"/>
    <w:rsid w:val="00246599"/>
    <w:rsid w:val="002465A5"/>
    <w:rsid w:val="002465BD"/>
    <w:rsid w:val="002465BE"/>
    <w:rsid w:val="00246614"/>
    <w:rsid w:val="0024664E"/>
    <w:rsid w:val="00246668"/>
    <w:rsid w:val="0024675E"/>
    <w:rsid w:val="002467A5"/>
    <w:rsid w:val="002467C7"/>
    <w:rsid w:val="0024688D"/>
    <w:rsid w:val="002468E3"/>
    <w:rsid w:val="00246939"/>
    <w:rsid w:val="00246A20"/>
    <w:rsid w:val="00246A5C"/>
    <w:rsid w:val="00246B57"/>
    <w:rsid w:val="00246B71"/>
    <w:rsid w:val="00246B84"/>
    <w:rsid w:val="00246BE6"/>
    <w:rsid w:val="00246BE8"/>
    <w:rsid w:val="00246C5B"/>
    <w:rsid w:val="00246C72"/>
    <w:rsid w:val="00246C91"/>
    <w:rsid w:val="00246CE6"/>
    <w:rsid w:val="00246D4D"/>
    <w:rsid w:val="00246D97"/>
    <w:rsid w:val="00246D9B"/>
    <w:rsid w:val="00246DA0"/>
    <w:rsid w:val="00246DE2"/>
    <w:rsid w:val="00246E7B"/>
    <w:rsid w:val="00246EB0"/>
    <w:rsid w:val="00246F3D"/>
    <w:rsid w:val="00246F4A"/>
    <w:rsid w:val="00246FEE"/>
    <w:rsid w:val="002470E9"/>
    <w:rsid w:val="00247101"/>
    <w:rsid w:val="0024717C"/>
    <w:rsid w:val="002471F3"/>
    <w:rsid w:val="00247213"/>
    <w:rsid w:val="00247288"/>
    <w:rsid w:val="002472BF"/>
    <w:rsid w:val="002472FE"/>
    <w:rsid w:val="002473A8"/>
    <w:rsid w:val="002473CD"/>
    <w:rsid w:val="002473EF"/>
    <w:rsid w:val="002473F7"/>
    <w:rsid w:val="002473F8"/>
    <w:rsid w:val="0024744D"/>
    <w:rsid w:val="002474A3"/>
    <w:rsid w:val="00247509"/>
    <w:rsid w:val="00247514"/>
    <w:rsid w:val="0024757F"/>
    <w:rsid w:val="00247581"/>
    <w:rsid w:val="002475BA"/>
    <w:rsid w:val="002475ED"/>
    <w:rsid w:val="00247645"/>
    <w:rsid w:val="0024765A"/>
    <w:rsid w:val="00247676"/>
    <w:rsid w:val="00247681"/>
    <w:rsid w:val="002476FD"/>
    <w:rsid w:val="0024777B"/>
    <w:rsid w:val="00247824"/>
    <w:rsid w:val="0024784C"/>
    <w:rsid w:val="00247882"/>
    <w:rsid w:val="002478D2"/>
    <w:rsid w:val="00247956"/>
    <w:rsid w:val="002479A2"/>
    <w:rsid w:val="002479D0"/>
    <w:rsid w:val="002479F3"/>
    <w:rsid w:val="002479FC"/>
    <w:rsid w:val="00247A93"/>
    <w:rsid w:val="00247B0B"/>
    <w:rsid w:val="00247B65"/>
    <w:rsid w:val="00247B91"/>
    <w:rsid w:val="00247BD8"/>
    <w:rsid w:val="00247BFD"/>
    <w:rsid w:val="00247C48"/>
    <w:rsid w:val="00247C7E"/>
    <w:rsid w:val="00247C95"/>
    <w:rsid w:val="00247CD3"/>
    <w:rsid w:val="00247DB1"/>
    <w:rsid w:val="00247DC6"/>
    <w:rsid w:val="00247DC8"/>
    <w:rsid w:val="00247DF8"/>
    <w:rsid w:val="00247E36"/>
    <w:rsid w:val="00247E99"/>
    <w:rsid w:val="00247ECF"/>
    <w:rsid w:val="00247F7E"/>
    <w:rsid w:val="00247FB2"/>
    <w:rsid w:val="00250005"/>
    <w:rsid w:val="00250007"/>
    <w:rsid w:val="00250037"/>
    <w:rsid w:val="00250046"/>
    <w:rsid w:val="002500D5"/>
    <w:rsid w:val="002500E4"/>
    <w:rsid w:val="002501A5"/>
    <w:rsid w:val="002501E9"/>
    <w:rsid w:val="0025021B"/>
    <w:rsid w:val="00250275"/>
    <w:rsid w:val="00250282"/>
    <w:rsid w:val="00250294"/>
    <w:rsid w:val="00250309"/>
    <w:rsid w:val="0025030E"/>
    <w:rsid w:val="0025035E"/>
    <w:rsid w:val="00250384"/>
    <w:rsid w:val="00250438"/>
    <w:rsid w:val="0025048A"/>
    <w:rsid w:val="002504A8"/>
    <w:rsid w:val="0025055A"/>
    <w:rsid w:val="0025055C"/>
    <w:rsid w:val="00250571"/>
    <w:rsid w:val="00250583"/>
    <w:rsid w:val="002505EA"/>
    <w:rsid w:val="002505F7"/>
    <w:rsid w:val="002505FA"/>
    <w:rsid w:val="002506B5"/>
    <w:rsid w:val="002506BD"/>
    <w:rsid w:val="00250719"/>
    <w:rsid w:val="00250746"/>
    <w:rsid w:val="0025079E"/>
    <w:rsid w:val="00250860"/>
    <w:rsid w:val="002508A3"/>
    <w:rsid w:val="002508DD"/>
    <w:rsid w:val="00250949"/>
    <w:rsid w:val="0025094A"/>
    <w:rsid w:val="00250956"/>
    <w:rsid w:val="002509BC"/>
    <w:rsid w:val="00250A09"/>
    <w:rsid w:val="00250A24"/>
    <w:rsid w:val="00250A85"/>
    <w:rsid w:val="00250ADB"/>
    <w:rsid w:val="00250BA1"/>
    <w:rsid w:val="00250BF5"/>
    <w:rsid w:val="00250C46"/>
    <w:rsid w:val="00250D8D"/>
    <w:rsid w:val="00250E62"/>
    <w:rsid w:val="00250E8C"/>
    <w:rsid w:val="00250EDC"/>
    <w:rsid w:val="00250F57"/>
    <w:rsid w:val="00250F7E"/>
    <w:rsid w:val="00250FBA"/>
    <w:rsid w:val="00250FBE"/>
    <w:rsid w:val="00251009"/>
    <w:rsid w:val="0025108B"/>
    <w:rsid w:val="002510C4"/>
    <w:rsid w:val="00251207"/>
    <w:rsid w:val="00251228"/>
    <w:rsid w:val="0025124D"/>
    <w:rsid w:val="00251288"/>
    <w:rsid w:val="0025128A"/>
    <w:rsid w:val="00251299"/>
    <w:rsid w:val="0025129C"/>
    <w:rsid w:val="002512BA"/>
    <w:rsid w:val="00251334"/>
    <w:rsid w:val="0025135C"/>
    <w:rsid w:val="00251387"/>
    <w:rsid w:val="002513E8"/>
    <w:rsid w:val="002513EB"/>
    <w:rsid w:val="00251414"/>
    <w:rsid w:val="00251506"/>
    <w:rsid w:val="00251541"/>
    <w:rsid w:val="0025157A"/>
    <w:rsid w:val="0025157B"/>
    <w:rsid w:val="0025158A"/>
    <w:rsid w:val="0025158B"/>
    <w:rsid w:val="002515AB"/>
    <w:rsid w:val="002515C4"/>
    <w:rsid w:val="00251686"/>
    <w:rsid w:val="00251738"/>
    <w:rsid w:val="0025173A"/>
    <w:rsid w:val="00251762"/>
    <w:rsid w:val="002517C3"/>
    <w:rsid w:val="00251821"/>
    <w:rsid w:val="0025183D"/>
    <w:rsid w:val="0025186E"/>
    <w:rsid w:val="0025190B"/>
    <w:rsid w:val="00251937"/>
    <w:rsid w:val="00251A11"/>
    <w:rsid w:val="00251A85"/>
    <w:rsid w:val="00251B0B"/>
    <w:rsid w:val="00251B26"/>
    <w:rsid w:val="00251B53"/>
    <w:rsid w:val="00251B8D"/>
    <w:rsid w:val="00251C47"/>
    <w:rsid w:val="00251C7A"/>
    <w:rsid w:val="00251C8B"/>
    <w:rsid w:val="00251D0D"/>
    <w:rsid w:val="00251D1C"/>
    <w:rsid w:val="00251D29"/>
    <w:rsid w:val="00251E11"/>
    <w:rsid w:val="00251EA8"/>
    <w:rsid w:val="00251F33"/>
    <w:rsid w:val="00251F6E"/>
    <w:rsid w:val="00251FC9"/>
    <w:rsid w:val="002520BF"/>
    <w:rsid w:val="0025213D"/>
    <w:rsid w:val="00252144"/>
    <w:rsid w:val="0025216E"/>
    <w:rsid w:val="00252178"/>
    <w:rsid w:val="0025223A"/>
    <w:rsid w:val="00252245"/>
    <w:rsid w:val="0025238A"/>
    <w:rsid w:val="002523AF"/>
    <w:rsid w:val="00252421"/>
    <w:rsid w:val="00252422"/>
    <w:rsid w:val="0025242F"/>
    <w:rsid w:val="00252471"/>
    <w:rsid w:val="0025249A"/>
    <w:rsid w:val="002524D6"/>
    <w:rsid w:val="00252565"/>
    <w:rsid w:val="002525B9"/>
    <w:rsid w:val="00252612"/>
    <w:rsid w:val="0025266B"/>
    <w:rsid w:val="00252697"/>
    <w:rsid w:val="0025274E"/>
    <w:rsid w:val="002527A9"/>
    <w:rsid w:val="002527F5"/>
    <w:rsid w:val="00252861"/>
    <w:rsid w:val="002528A9"/>
    <w:rsid w:val="00252955"/>
    <w:rsid w:val="00252A54"/>
    <w:rsid w:val="00252A71"/>
    <w:rsid w:val="00252A98"/>
    <w:rsid w:val="00252B71"/>
    <w:rsid w:val="00252BBF"/>
    <w:rsid w:val="00252BCF"/>
    <w:rsid w:val="00252BF6"/>
    <w:rsid w:val="00252C60"/>
    <w:rsid w:val="00252C65"/>
    <w:rsid w:val="00252CAE"/>
    <w:rsid w:val="00252CDD"/>
    <w:rsid w:val="00252CEE"/>
    <w:rsid w:val="00252DDD"/>
    <w:rsid w:val="00252E21"/>
    <w:rsid w:val="00252E5F"/>
    <w:rsid w:val="00252E91"/>
    <w:rsid w:val="00252E99"/>
    <w:rsid w:val="00252EDC"/>
    <w:rsid w:val="00252F42"/>
    <w:rsid w:val="00252F63"/>
    <w:rsid w:val="00252FA2"/>
    <w:rsid w:val="00252FEF"/>
    <w:rsid w:val="00253046"/>
    <w:rsid w:val="00253079"/>
    <w:rsid w:val="0025315D"/>
    <w:rsid w:val="00253182"/>
    <w:rsid w:val="002531BD"/>
    <w:rsid w:val="00253205"/>
    <w:rsid w:val="00253291"/>
    <w:rsid w:val="0025329E"/>
    <w:rsid w:val="00253326"/>
    <w:rsid w:val="0025332D"/>
    <w:rsid w:val="00253340"/>
    <w:rsid w:val="00253383"/>
    <w:rsid w:val="0025338E"/>
    <w:rsid w:val="00253395"/>
    <w:rsid w:val="00253413"/>
    <w:rsid w:val="00253454"/>
    <w:rsid w:val="00253495"/>
    <w:rsid w:val="002534A2"/>
    <w:rsid w:val="002534C5"/>
    <w:rsid w:val="002534CE"/>
    <w:rsid w:val="00253568"/>
    <w:rsid w:val="00253599"/>
    <w:rsid w:val="00253634"/>
    <w:rsid w:val="00253668"/>
    <w:rsid w:val="00253669"/>
    <w:rsid w:val="00253670"/>
    <w:rsid w:val="00253695"/>
    <w:rsid w:val="002536B8"/>
    <w:rsid w:val="0025375F"/>
    <w:rsid w:val="00253763"/>
    <w:rsid w:val="00253790"/>
    <w:rsid w:val="002537C8"/>
    <w:rsid w:val="00253827"/>
    <w:rsid w:val="00253899"/>
    <w:rsid w:val="00253925"/>
    <w:rsid w:val="00253976"/>
    <w:rsid w:val="002539B1"/>
    <w:rsid w:val="00253A3F"/>
    <w:rsid w:val="00253A57"/>
    <w:rsid w:val="00253A5C"/>
    <w:rsid w:val="00253A7D"/>
    <w:rsid w:val="00253A8A"/>
    <w:rsid w:val="00253A8D"/>
    <w:rsid w:val="00253AC8"/>
    <w:rsid w:val="00253AE6"/>
    <w:rsid w:val="00253AF5"/>
    <w:rsid w:val="00253BC8"/>
    <w:rsid w:val="00253BF5"/>
    <w:rsid w:val="00253C2F"/>
    <w:rsid w:val="00253C77"/>
    <w:rsid w:val="00253C82"/>
    <w:rsid w:val="00253C8F"/>
    <w:rsid w:val="00253CD2"/>
    <w:rsid w:val="00253D25"/>
    <w:rsid w:val="00253D35"/>
    <w:rsid w:val="00253D3D"/>
    <w:rsid w:val="00253D3F"/>
    <w:rsid w:val="00253D89"/>
    <w:rsid w:val="00253DCB"/>
    <w:rsid w:val="00253DD2"/>
    <w:rsid w:val="00253E82"/>
    <w:rsid w:val="00253E86"/>
    <w:rsid w:val="00253EA0"/>
    <w:rsid w:val="00253F21"/>
    <w:rsid w:val="00253F80"/>
    <w:rsid w:val="0025400C"/>
    <w:rsid w:val="0025402C"/>
    <w:rsid w:val="00254054"/>
    <w:rsid w:val="002541EA"/>
    <w:rsid w:val="00254220"/>
    <w:rsid w:val="00254270"/>
    <w:rsid w:val="0025428E"/>
    <w:rsid w:val="002542D2"/>
    <w:rsid w:val="002542E1"/>
    <w:rsid w:val="00254325"/>
    <w:rsid w:val="0025433E"/>
    <w:rsid w:val="00254348"/>
    <w:rsid w:val="00254381"/>
    <w:rsid w:val="00254398"/>
    <w:rsid w:val="0025439B"/>
    <w:rsid w:val="00254446"/>
    <w:rsid w:val="0025445B"/>
    <w:rsid w:val="0025446C"/>
    <w:rsid w:val="002544D0"/>
    <w:rsid w:val="002544E1"/>
    <w:rsid w:val="00254507"/>
    <w:rsid w:val="0025450C"/>
    <w:rsid w:val="00254513"/>
    <w:rsid w:val="0025453E"/>
    <w:rsid w:val="0025454F"/>
    <w:rsid w:val="002545E1"/>
    <w:rsid w:val="0025463C"/>
    <w:rsid w:val="00254642"/>
    <w:rsid w:val="002546EE"/>
    <w:rsid w:val="00254730"/>
    <w:rsid w:val="00254760"/>
    <w:rsid w:val="00254809"/>
    <w:rsid w:val="00254849"/>
    <w:rsid w:val="0025485F"/>
    <w:rsid w:val="00254873"/>
    <w:rsid w:val="00254886"/>
    <w:rsid w:val="00254896"/>
    <w:rsid w:val="002548A6"/>
    <w:rsid w:val="002548D4"/>
    <w:rsid w:val="00254947"/>
    <w:rsid w:val="00254981"/>
    <w:rsid w:val="002549B1"/>
    <w:rsid w:val="00254B3E"/>
    <w:rsid w:val="00254B95"/>
    <w:rsid w:val="00254B9E"/>
    <w:rsid w:val="00254BC8"/>
    <w:rsid w:val="00254BD5"/>
    <w:rsid w:val="00254BE3"/>
    <w:rsid w:val="00254BE4"/>
    <w:rsid w:val="00254BF0"/>
    <w:rsid w:val="00254C09"/>
    <w:rsid w:val="00254C18"/>
    <w:rsid w:val="00254C22"/>
    <w:rsid w:val="00254C3D"/>
    <w:rsid w:val="00254C95"/>
    <w:rsid w:val="00254D09"/>
    <w:rsid w:val="00254D4A"/>
    <w:rsid w:val="00254E53"/>
    <w:rsid w:val="00254E90"/>
    <w:rsid w:val="00254E97"/>
    <w:rsid w:val="00254ED3"/>
    <w:rsid w:val="00254F2C"/>
    <w:rsid w:val="00254F55"/>
    <w:rsid w:val="00254F62"/>
    <w:rsid w:val="00254FA7"/>
    <w:rsid w:val="00255036"/>
    <w:rsid w:val="0025506B"/>
    <w:rsid w:val="002550E7"/>
    <w:rsid w:val="00255181"/>
    <w:rsid w:val="00255246"/>
    <w:rsid w:val="002552FA"/>
    <w:rsid w:val="00255312"/>
    <w:rsid w:val="00255313"/>
    <w:rsid w:val="00255356"/>
    <w:rsid w:val="00255378"/>
    <w:rsid w:val="002553C6"/>
    <w:rsid w:val="00255438"/>
    <w:rsid w:val="0025543B"/>
    <w:rsid w:val="00255455"/>
    <w:rsid w:val="00255463"/>
    <w:rsid w:val="0025546E"/>
    <w:rsid w:val="00255488"/>
    <w:rsid w:val="002554D6"/>
    <w:rsid w:val="002554FC"/>
    <w:rsid w:val="002554FF"/>
    <w:rsid w:val="00255526"/>
    <w:rsid w:val="002555BF"/>
    <w:rsid w:val="0025563B"/>
    <w:rsid w:val="0025568C"/>
    <w:rsid w:val="002556A8"/>
    <w:rsid w:val="002556BA"/>
    <w:rsid w:val="0025574C"/>
    <w:rsid w:val="0025575F"/>
    <w:rsid w:val="0025578B"/>
    <w:rsid w:val="002557E5"/>
    <w:rsid w:val="002557EA"/>
    <w:rsid w:val="00255853"/>
    <w:rsid w:val="0025587C"/>
    <w:rsid w:val="002558A4"/>
    <w:rsid w:val="002558A9"/>
    <w:rsid w:val="002558D9"/>
    <w:rsid w:val="00255939"/>
    <w:rsid w:val="0025593A"/>
    <w:rsid w:val="00255971"/>
    <w:rsid w:val="002559A3"/>
    <w:rsid w:val="002559BA"/>
    <w:rsid w:val="002559C9"/>
    <w:rsid w:val="00255A07"/>
    <w:rsid w:val="00255A0F"/>
    <w:rsid w:val="00255A3E"/>
    <w:rsid w:val="00255AB7"/>
    <w:rsid w:val="00255AC5"/>
    <w:rsid w:val="00255BC6"/>
    <w:rsid w:val="00255C3B"/>
    <w:rsid w:val="00255C59"/>
    <w:rsid w:val="00255D2D"/>
    <w:rsid w:val="00255D2E"/>
    <w:rsid w:val="00255D32"/>
    <w:rsid w:val="00255D6F"/>
    <w:rsid w:val="00255D80"/>
    <w:rsid w:val="00255DD0"/>
    <w:rsid w:val="00255DEE"/>
    <w:rsid w:val="00255E38"/>
    <w:rsid w:val="00255E52"/>
    <w:rsid w:val="00255F4B"/>
    <w:rsid w:val="00255F86"/>
    <w:rsid w:val="00255FAF"/>
    <w:rsid w:val="00255FB3"/>
    <w:rsid w:val="00255FF8"/>
    <w:rsid w:val="0025600E"/>
    <w:rsid w:val="00256021"/>
    <w:rsid w:val="00256082"/>
    <w:rsid w:val="002560B2"/>
    <w:rsid w:val="002560E3"/>
    <w:rsid w:val="00256130"/>
    <w:rsid w:val="00256167"/>
    <w:rsid w:val="0025618F"/>
    <w:rsid w:val="00256197"/>
    <w:rsid w:val="00256205"/>
    <w:rsid w:val="0025621F"/>
    <w:rsid w:val="00256256"/>
    <w:rsid w:val="0025626D"/>
    <w:rsid w:val="002562BC"/>
    <w:rsid w:val="002562F7"/>
    <w:rsid w:val="00256324"/>
    <w:rsid w:val="00256451"/>
    <w:rsid w:val="002564E4"/>
    <w:rsid w:val="0025652F"/>
    <w:rsid w:val="00256549"/>
    <w:rsid w:val="0025659F"/>
    <w:rsid w:val="002565E0"/>
    <w:rsid w:val="002566C6"/>
    <w:rsid w:val="002566DC"/>
    <w:rsid w:val="002567BE"/>
    <w:rsid w:val="00256830"/>
    <w:rsid w:val="00256877"/>
    <w:rsid w:val="0025689B"/>
    <w:rsid w:val="00256927"/>
    <w:rsid w:val="00256968"/>
    <w:rsid w:val="002569A6"/>
    <w:rsid w:val="00256A2D"/>
    <w:rsid w:val="00256A57"/>
    <w:rsid w:val="00256ABC"/>
    <w:rsid w:val="00256B16"/>
    <w:rsid w:val="00256BC8"/>
    <w:rsid w:val="00256CC9"/>
    <w:rsid w:val="00256CF9"/>
    <w:rsid w:val="00256CFE"/>
    <w:rsid w:val="00256D5A"/>
    <w:rsid w:val="00256DCC"/>
    <w:rsid w:val="00256DE0"/>
    <w:rsid w:val="00256EEB"/>
    <w:rsid w:val="00256F07"/>
    <w:rsid w:val="00256F7B"/>
    <w:rsid w:val="00256F83"/>
    <w:rsid w:val="00256F8A"/>
    <w:rsid w:val="00256FCB"/>
    <w:rsid w:val="00256FEC"/>
    <w:rsid w:val="0025700E"/>
    <w:rsid w:val="00257056"/>
    <w:rsid w:val="00257078"/>
    <w:rsid w:val="0025710A"/>
    <w:rsid w:val="00257135"/>
    <w:rsid w:val="0025714D"/>
    <w:rsid w:val="00257178"/>
    <w:rsid w:val="002571FE"/>
    <w:rsid w:val="00257224"/>
    <w:rsid w:val="00257240"/>
    <w:rsid w:val="0025727D"/>
    <w:rsid w:val="0025732F"/>
    <w:rsid w:val="00257330"/>
    <w:rsid w:val="00257552"/>
    <w:rsid w:val="0025755B"/>
    <w:rsid w:val="0025758D"/>
    <w:rsid w:val="002575FD"/>
    <w:rsid w:val="0025761B"/>
    <w:rsid w:val="00257620"/>
    <w:rsid w:val="00257625"/>
    <w:rsid w:val="0025762C"/>
    <w:rsid w:val="00257699"/>
    <w:rsid w:val="00257709"/>
    <w:rsid w:val="00257730"/>
    <w:rsid w:val="00257737"/>
    <w:rsid w:val="00257757"/>
    <w:rsid w:val="002577B3"/>
    <w:rsid w:val="002577C9"/>
    <w:rsid w:val="002577E7"/>
    <w:rsid w:val="002577EB"/>
    <w:rsid w:val="00257825"/>
    <w:rsid w:val="0025787D"/>
    <w:rsid w:val="002578BF"/>
    <w:rsid w:val="002578DA"/>
    <w:rsid w:val="002578F0"/>
    <w:rsid w:val="00257939"/>
    <w:rsid w:val="00257A0F"/>
    <w:rsid w:val="00257A63"/>
    <w:rsid w:val="00257AC9"/>
    <w:rsid w:val="00257AF3"/>
    <w:rsid w:val="00257AF7"/>
    <w:rsid w:val="00257BB8"/>
    <w:rsid w:val="00257BC6"/>
    <w:rsid w:val="00257BD1"/>
    <w:rsid w:val="00257C6D"/>
    <w:rsid w:val="00257C9A"/>
    <w:rsid w:val="00257DD0"/>
    <w:rsid w:val="00257DD5"/>
    <w:rsid w:val="00257DEA"/>
    <w:rsid w:val="00257E44"/>
    <w:rsid w:val="00257E6A"/>
    <w:rsid w:val="00257E71"/>
    <w:rsid w:val="00257E9D"/>
    <w:rsid w:val="00257EA2"/>
    <w:rsid w:val="00257EFC"/>
    <w:rsid w:val="00257EFF"/>
    <w:rsid w:val="00257F8B"/>
    <w:rsid w:val="00257FA8"/>
    <w:rsid w:val="00257FAD"/>
    <w:rsid w:val="00260034"/>
    <w:rsid w:val="00260062"/>
    <w:rsid w:val="0026009C"/>
    <w:rsid w:val="002600DC"/>
    <w:rsid w:val="0026018E"/>
    <w:rsid w:val="0026019C"/>
    <w:rsid w:val="002601BA"/>
    <w:rsid w:val="002601C9"/>
    <w:rsid w:val="00260266"/>
    <w:rsid w:val="0026029C"/>
    <w:rsid w:val="00260368"/>
    <w:rsid w:val="002603A5"/>
    <w:rsid w:val="002603AB"/>
    <w:rsid w:val="002603E8"/>
    <w:rsid w:val="002603ED"/>
    <w:rsid w:val="00260476"/>
    <w:rsid w:val="002604EC"/>
    <w:rsid w:val="002604FD"/>
    <w:rsid w:val="0026051B"/>
    <w:rsid w:val="002605CD"/>
    <w:rsid w:val="002605D9"/>
    <w:rsid w:val="0026060C"/>
    <w:rsid w:val="00260626"/>
    <w:rsid w:val="00260663"/>
    <w:rsid w:val="002606BD"/>
    <w:rsid w:val="002606DE"/>
    <w:rsid w:val="0026071F"/>
    <w:rsid w:val="002607B1"/>
    <w:rsid w:val="002607DA"/>
    <w:rsid w:val="002607FB"/>
    <w:rsid w:val="00260890"/>
    <w:rsid w:val="002608BD"/>
    <w:rsid w:val="002608EF"/>
    <w:rsid w:val="002608FB"/>
    <w:rsid w:val="00260978"/>
    <w:rsid w:val="00260A56"/>
    <w:rsid w:val="00260A70"/>
    <w:rsid w:val="00260A91"/>
    <w:rsid w:val="00260A93"/>
    <w:rsid w:val="00260A9E"/>
    <w:rsid w:val="00260AAB"/>
    <w:rsid w:val="00260AAD"/>
    <w:rsid w:val="00260B23"/>
    <w:rsid w:val="00260B37"/>
    <w:rsid w:val="00260B56"/>
    <w:rsid w:val="00260B64"/>
    <w:rsid w:val="00260B75"/>
    <w:rsid w:val="00260B87"/>
    <w:rsid w:val="00260B95"/>
    <w:rsid w:val="00260BC2"/>
    <w:rsid w:val="00260CA0"/>
    <w:rsid w:val="00260CFA"/>
    <w:rsid w:val="00260D45"/>
    <w:rsid w:val="00260D7C"/>
    <w:rsid w:val="00260DF6"/>
    <w:rsid w:val="00260E17"/>
    <w:rsid w:val="00260E2A"/>
    <w:rsid w:val="00260E76"/>
    <w:rsid w:val="00260EF0"/>
    <w:rsid w:val="00260F62"/>
    <w:rsid w:val="00260FBF"/>
    <w:rsid w:val="00260FEB"/>
    <w:rsid w:val="00260FF7"/>
    <w:rsid w:val="00261022"/>
    <w:rsid w:val="002610E0"/>
    <w:rsid w:val="00261108"/>
    <w:rsid w:val="00261136"/>
    <w:rsid w:val="00261156"/>
    <w:rsid w:val="00261173"/>
    <w:rsid w:val="002611A3"/>
    <w:rsid w:val="002611C4"/>
    <w:rsid w:val="002611EC"/>
    <w:rsid w:val="0026122C"/>
    <w:rsid w:val="00261283"/>
    <w:rsid w:val="002612B5"/>
    <w:rsid w:val="002612D6"/>
    <w:rsid w:val="0026133E"/>
    <w:rsid w:val="00261351"/>
    <w:rsid w:val="002613C9"/>
    <w:rsid w:val="00261406"/>
    <w:rsid w:val="0026141E"/>
    <w:rsid w:val="0026147C"/>
    <w:rsid w:val="00261494"/>
    <w:rsid w:val="002614EB"/>
    <w:rsid w:val="00261540"/>
    <w:rsid w:val="0026155A"/>
    <w:rsid w:val="002615A2"/>
    <w:rsid w:val="002615E5"/>
    <w:rsid w:val="002615E6"/>
    <w:rsid w:val="00261693"/>
    <w:rsid w:val="002616B7"/>
    <w:rsid w:val="002616C7"/>
    <w:rsid w:val="0026170D"/>
    <w:rsid w:val="00261750"/>
    <w:rsid w:val="002617A9"/>
    <w:rsid w:val="002617DC"/>
    <w:rsid w:val="002618E5"/>
    <w:rsid w:val="002618EE"/>
    <w:rsid w:val="0026193B"/>
    <w:rsid w:val="00261983"/>
    <w:rsid w:val="002619EC"/>
    <w:rsid w:val="00261A0E"/>
    <w:rsid w:val="00261A86"/>
    <w:rsid w:val="00261AA9"/>
    <w:rsid w:val="00261AEF"/>
    <w:rsid w:val="00261B21"/>
    <w:rsid w:val="00261B48"/>
    <w:rsid w:val="00261B90"/>
    <w:rsid w:val="00261C5C"/>
    <w:rsid w:val="00261C9A"/>
    <w:rsid w:val="00261CFA"/>
    <w:rsid w:val="00261D02"/>
    <w:rsid w:val="00261DC1"/>
    <w:rsid w:val="00261E13"/>
    <w:rsid w:val="00261E6E"/>
    <w:rsid w:val="00261F24"/>
    <w:rsid w:val="00261FC7"/>
    <w:rsid w:val="00261FEB"/>
    <w:rsid w:val="00262016"/>
    <w:rsid w:val="00262018"/>
    <w:rsid w:val="0026204E"/>
    <w:rsid w:val="0026209B"/>
    <w:rsid w:val="002621D2"/>
    <w:rsid w:val="00262218"/>
    <w:rsid w:val="0026225C"/>
    <w:rsid w:val="0026226A"/>
    <w:rsid w:val="0026227D"/>
    <w:rsid w:val="002622D5"/>
    <w:rsid w:val="002622FA"/>
    <w:rsid w:val="00262490"/>
    <w:rsid w:val="002624A4"/>
    <w:rsid w:val="002624DA"/>
    <w:rsid w:val="002624DB"/>
    <w:rsid w:val="0026250B"/>
    <w:rsid w:val="00262534"/>
    <w:rsid w:val="0026259E"/>
    <w:rsid w:val="002625E7"/>
    <w:rsid w:val="00262612"/>
    <w:rsid w:val="0026263E"/>
    <w:rsid w:val="00262663"/>
    <w:rsid w:val="002626C5"/>
    <w:rsid w:val="00262785"/>
    <w:rsid w:val="002627D5"/>
    <w:rsid w:val="00262804"/>
    <w:rsid w:val="00262840"/>
    <w:rsid w:val="00262852"/>
    <w:rsid w:val="002628A0"/>
    <w:rsid w:val="00262906"/>
    <w:rsid w:val="00262974"/>
    <w:rsid w:val="002629DD"/>
    <w:rsid w:val="00262ABB"/>
    <w:rsid w:val="00262AE6"/>
    <w:rsid w:val="00262B12"/>
    <w:rsid w:val="00262B2F"/>
    <w:rsid w:val="00262B36"/>
    <w:rsid w:val="00262B7F"/>
    <w:rsid w:val="00262BB4"/>
    <w:rsid w:val="00262C6C"/>
    <w:rsid w:val="00262C74"/>
    <w:rsid w:val="00262C85"/>
    <w:rsid w:val="00262D62"/>
    <w:rsid w:val="00262E0F"/>
    <w:rsid w:val="00262E42"/>
    <w:rsid w:val="00262E9A"/>
    <w:rsid w:val="00262EF7"/>
    <w:rsid w:val="00262EFB"/>
    <w:rsid w:val="00262F25"/>
    <w:rsid w:val="00262F6A"/>
    <w:rsid w:val="00262F9B"/>
    <w:rsid w:val="00262FD9"/>
    <w:rsid w:val="00262FE9"/>
    <w:rsid w:val="00262FF5"/>
    <w:rsid w:val="00263038"/>
    <w:rsid w:val="002630A8"/>
    <w:rsid w:val="002630FC"/>
    <w:rsid w:val="00263117"/>
    <w:rsid w:val="0026317F"/>
    <w:rsid w:val="00263212"/>
    <w:rsid w:val="0026323D"/>
    <w:rsid w:val="0026327F"/>
    <w:rsid w:val="002632A7"/>
    <w:rsid w:val="00263338"/>
    <w:rsid w:val="00263363"/>
    <w:rsid w:val="002633F4"/>
    <w:rsid w:val="0026341D"/>
    <w:rsid w:val="00263461"/>
    <w:rsid w:val="00263479"/>
    <w:rsid w:val="002634B0"/>
    <w:rsid w:val="002634C6"/>
    <w:rsid w:val="00263523"/>
    <w:rsid w:val="00263539"/>
    <w:rsid w:val="00263556"/>
    <w:rsid w:val="00263569"/>
    <w:rsid w:val="0026361F"/>
    <w:rsid w:val="0026363C"/>
    <w:rsid w:val="002636E3"/>
    <w:rsid w:val="0026375D"/>
    <w:rsid w:val="002638B0"/>
    <w:rsid w:val="002638FA"/>
    <w:rsid w:val="0026392D"/>
    <w:rsid w:val="00263978"/>
    <w:rsid w:val="002639BB"/>
    <w:rsid w:val="002639C5"/>
    <w:rsid w:val="002639F3"/>
    <w:rsid w:val="00263A7C"/>
    <w:rsid w:val="00263A8B"/>
    <w:rsid w:val="00263AAD"/>
    <w:rsid w:val="00263B2F"/>
    <w:rsid w:val="00263B6C"/>
    <w:rsid w:val="00263B8F"/>
    <w:rsid w:val="00263BA5"/>
    <w:rsid w:val="00263BD4"/>
    <w:rsid w:val="00263BF2"/>
    <w:rsid w:val="00263C02"/>
    <w:rsid w:val="00263C12"/>
    <w:rsid w:val="00263C44"/>
    <w:rsid w:val="00263D3C"/>
    <w:rsid w:val="00263D5E"/>
    <w:rsid w:val="00263DE3"/>
    <w:rsid w:val="00263DFD"/>
    <w:rsid w:val="00263F27"/>
    <w:rsid w:val="00263F45"/>
    <w:rsid w:val="00263F7A"/>
    <w:rsid w:val="00263FD4"/>
    <w:rsid w:val="00264072"/>
    <w:rsid w:val="002640DA"/>
    <w:rsid w:val="0026414C"/>
    <w:rsid w:val="00264168"/>
    <w:rsid w:val="00264194"/>
    <w:rsid w:val="002641A3"/>
    <w:rsid w:val="002641CD"/>
    <w:rsid w:val="0026420A"/>
    <w:rsid w:val="00264256"/>
    <w:rsid w:val="00264265"/>
    <w:rsid w:val="00264269"/>
    <w:rsid w:val="002642BE"/>
    <w:rsid w:val="002642D8"/>
    <w:rsid w:val="002642FA"/>
    <w:rsid w:val="002643D3"/>
    <w:rsid w:val="0026442F"/>
    <w:rsid w:val="0026443E"/>
    <w:rsid w:val="002644C6"/>
    <w:rsid w:val="002644E9"/>
    <w:rsid w:val="002644F1"/>
    <w:rsid w:val="0026452C"/>
    <w:rsid w:val="0026452E"/>
    <w:rsid w:val="002645F5"/>
    <w:rsid w:val="0026462D"/>
    <w:rsid w:val="0026468B"/>
    <w:rsid w:val="0026469C"/>
    <w:rsid w:val="002646BA"/>
    <w:rsid w:val="002647E2"/>
    <w:rsid w:val="002648A3"/>
    <w:rsid w:val="002648C2"/>
    <w:rsid w:val="0026493E"/>
    <w:rsid w:val="002649B5"/>
    <w:rsid w:val="002649BF"/>
    <w:rsid w:val="002649EB"/>
    <w:rsid w:val="00264A1D"/>
    <w:rsid w:val="00264B68"/>
    <w:rsid w:val="00264BCB"/>
    <w:rsid w:val="00264C41"/>
    <w:rsid w:val="00264C4B"/>
    <w:rsid w:val="00264C96"/>
    <w:rsid w:val="00264CB8"/>
    <w:rsid w:val="00264CEB"/>
    <w:rsid w:val="00264D41"/>
    <w:rsid w:val="00264D5C"/>
    <w:rsid w:val="00264D98"/>
    <w:rsid w:val="00264DAC"/>
    <w:rsid w:val="00264E59"/>
    <w:rsid w:val="00264E70"/>
    <w:rsid w:val="00264ECE"/>
    <w:rsid w:val="00264EFE"/>
    <w:rsid w:val="00264F27"/>
    <w:rsid w:val="00264F89"/>
    <w:rsid w:val="00264F8B"/>
    <w:rsid w:val="00264FBD"/>
    <w:rsid w:val="00264FD9"/>
    <w:rsid w:val="0026502B"/>
    <w:rsid w:val="0026503B"/>
    <w:rsid w:val="00265048"/>
    <w:rsid w:val="00265098"/>
    <w:rsid w:val="002650D7"/>
    <w:rsid w:val="0026510F"/>
    <w:rsid w:val="00265140"/>
    <w:rsid w:val="00265154"/>
    <w:rsid w:val="0026516D"/>
    <w:rsid w:val="0026516F"/>
    <w:rsid w:val="002651E7"/>
    <w:rsid w:val="002651F9"/>
    <w:rsid w:val="002652D6"/>
    <w:rsid w:val="0026530C"/>
    <w:rsid w:val="0026535D"/>
    <w:rsid w:val="0026538A"/>
    <w:rsid w:val="00265436"/>
    <w:rsid w:val="00265481"/>
    <w:rsid w:val="0026549A"/>
    <w:rsid w:val="002654CD"/>
    <w:rsid w:val="002654E3"/>
    <w:rsid w:val="00265517"/>
    <w:rsid w:val="00265521"/>
    <w:rsid w:val="00265538"/>
    <w:rsid w:val="0026558E"/>
    <w:rsid w:val="002655CA"/>
    <w:rsid w:val="00265633"/>
    <w:rsid w:val="00265672"/>
    <w:rsid w:val="00265680"/>
    <w:rsid w:val="0026568F"/>
    <w:rsid w:val="00265695"/>
    <w:rsid w:val="002656B1"/>
    <w:rsid w:val="002656BB"/>
    <w:rsid w:val="002656FA"/>
    <w:rsid w:val="00265714"/>
    <w:rsid w:val="00265753"/>
    <w:rsid w:val="00265782"/>
    <w:rsid w:val="0026588C"/>
    <w:rsid w:val="002658C7"/>
    <w:rsid w:val="002658FB"/>
    <w:rsid w:val="00265930"/>
    <w:rsid w:val="00265947"/>
    <w:rsid w:val="00265953"/>
    <w:rsid w:val="002659A5"/>
    <w:rsid w:val="002659D8"/>
    <w:rsid w:val="00265A79"/>
    <w:rsid w:val="00265A97"/>
    <w:rsid w:val="00265AAB"/>
    <w:rsid w:val="00265AE8"/>
    <w:rsid w:val="00265B18"/>
    <w:rsid w:val="00265C94"/>
    <w:rsid w:val="00265CA4"/>
    <w:rsid w:val="00265CE5"/>
    <w:rsid w:val="00265CEA"/>
    <w:rsid w:val="00265DBE"/>
    <w:rsid w:val="00265DCB"/>
    <w:rsid w:val="00265DDE"/>
    <w:rsid w:val="00265E10"/>
    <w:rsid w:val="00265E1E"/>
    <w:rsid w:val="00265ED3"/>
    <w:rsid w:val="00265EE0"/>
    <w:rsid w:val="00265EE4"/>
    <w:rsid w:val="00265F6D"/>
    <w:rsid w:val="00265FEE"/>
    <w:rsid w:val="0026603C"/>
    <w:rsid w:val="00266061"/>
    <w:rsid w:val="0026609B"/>
    <w:rsid w:val="002660BC"/>
    <w:rsid w:val="002660CD"/>
    <w:rsid w:val="0026617C"/>
    <w:rsid w:val="00266187"/>
    <w:rsid w:val="0026619D"/>
    <w:rsid w:val="002661FC"/>
    <w:rsid w:val="00266209"/>
    <w:rsid w:val="0026621E"/>
    <w:rsid w:val="00266245"/>
    <w:rsid w:val="00266273"/>
    <w:rsid w:val="0026627A"/>
    <w:rsid w:val="0026627F"/>
    <w:rsid w:val="00266290"/>
    <w:rsid w:val="002662A3"/>
    <w:rsid w:val="002662B1"/>
    <w:rsid w:val="002662C9"/>
    <w:rsid w:val="002662F3"/>
    <w:rsid w:val="00266303"/>
    <w:rsid w:val="0026631D"/>
    <w:rsid w:val="00266324"/>
    <w:rsid w:val="00266356"/>
    <w:rsid w:val="0026639F"/>
    <w:rsid w:val="00266454"/>
    <w:rsid w:val="00266493"/>
    <w:rsid w:val="002664BC"/>
    <w:rsid w:val="002664C3"/>
    <w:rsid w:val="00266550"/>
    <w:rsid w:val="002665F3"/>
    <w:rsid w:val="00266604"/>
    <w:rsid w:val="0026660B"/>
    <w:rsid w:val="00266714"/>
    <w:rsid w:val="0026672D"/>
    <w:rsid w:val="00266735"/>
    <w:rsid w:val="0026673E"/>
    <w:rsid w:val="00266788"/>
    <w:rsid w:val="00266797"/>
    <w:rsid w:val="002667BB"/>
    <w:rsid w:val="00266809"/>
    <w:rsid w:val="00266829"/>
    <w:rsid w:val="00266897"/>
    <w:rsid w:val="0026690C"/>
    <w:rsid w:val="00266946"/>
    <w:rsid w:val="00266A87"/>
    <w:rsid w:val="00266A8E"/>
    <w:rsid w:val="00266AB4"/>
    <w:rsid w:val="00266AC8"/>
    <w:rsid w:val="00266B30"/>
    <w:rsid w:val="00266BA2"/>
    <w:rsid w:val="00266BA8"/>
    <w:rsid w:val="00266BDF"/>
    <w:rsid w:val="00266BE9"/>
    <w:rsid w:val="00266BEC"/>
    <w:rsid w:val="00266BFC"/>
    <w:rsid w:val="00266C10"/>
    <w:rsid w:val="00266C2C"/>
    <w:rsid w:val="00266C53"/>
    <w:rsid w:val="00266CDB"/>
    <w:rsid w:val="00266D23"/>
    <w:rsid w:val="00266D30"/>
    <w:rsid w:val="00266D8C"/>
    <w:rsid w:val="00266DC4"/>
    <w:rsid w:val="00266E40"/>
    <w:rsid w:val="00266E4C"/>
    <w:rsid w:val="00266E7E"/>
    <w:rsid w:val="00266EA5"/>
    <w:rsid w:val="00266EAE"/>
    <w:rsid w:val="00266EAF"/>
    <w:rsid w:val="00266EB3"/>
    <w:rsid w:val="00266ED8"/>
    <w:rsid w:val="00266F44"/>
    <w:rsid w:val="00266FB1"/>
    <w:rsid w:val="00266FB7"/>
    <w:rsid w:val="00266FC1"/>
    <w:rsid w:val="00266FCD"/>
    <w:rsid w:val="002670D8"/>
    <w:rsid w:val="00267104"/>
    <w:rsid w:val="00267113"/>
    <w:rsid w:val="0026714A"/>
    <w:rsid w:val="00267150"/>
    <w:rsid w:val="002671EA"/>
    <w:rsid w:val="002671EF"/>
    <w:rsid w:val="002671FD"/>
    <w:rsid w:val="0026724D"/>
    <w:rsid w:val="002672C1"/>
    <w:rsid w:val="002672D3"/>
    <w:rsid w:val="002673CB"/>
    <w:rsid w:val="002673E4"/>
    <w:rsid w:val="00267418"/>
    <w:rsid w:val="00267424"/>
    <w:rsid w:val="0026742B"/>
    <w:rsid w:val="00267438"/>
    <w:rsid w:val="00267465"/>
    <w:rsid w:val="00267495"/>
    <w:rsid w:val="002674EE"/>
    <w:rsid w:val="0026755F"/>
    <w:rsid w:val="00267589"/>
    <w:rsid w:val="0026759E"/>
    <w:rsid w:val="002675F4"/>
    <w:rsid w:val="0026769F"/>
    <w:rsid w:val="002676A4"/>
    <w:rsid w:val="00267734"/>
    <w:rsid w:val="002677B8"/>
    <w:rsid w:val="002677C3"/>
    <w:rsid w:val="002677E8"/>
    <w:rsid w:val="002677EF"/>
    <w:rsid w:val="002678FA"/>
    <w:rsid w:val="002678FF"/>
    <w:rsid w:val="00267971"/>
    <w:rsid w:val="002679C2"/>
    <w:rsid w:val="00267AE3"/>
    <w:rsid w:val="00267B00"/>
    <w:rsid w:val="00267B57"/>
    <w:rsid w:val="00267BAA"/>
    <w:rsid w:val="00267C6D"/>
    <w:rsid w:val="00267CA9"/>
    <w:rsid w:val="00267CD9"/>
    <w:rsid w:val="00267D5A"/>
    <w:rsid w:val="00267D76"/>
    <w:rsid w:val="00267DBE"/>
    <w:rsid w:val="00267E09"/>
    <w:rsid w:val="00267E65"/>
    <w:rsid w:val="00267E93"/>
    <w:rsid w:val="00267EB2"/>
    <w:rsid w:val="00267EBF"/>
    <w:rsid w:val="00267F18"/>
    <w:rsid w:val="0027002A"/>
    <w:rsid w:val="00270093"/>
    <w:rsid w:val="0027010F"/>
    <w:rsid w:val="0027013E"/>
    <w:rsid w:val="0027017E"/>
    <w:rsid w:val="002701D8"/>
    <w:rsid w:val="00270210"/>
    <w:rsid w:val="00270245"/>
    <w:rsid w:val="00270264"/>
    <w:rsid w:val="00270265"/>
    <w:rsid w:val="002702A5"/>
    <w:rsid w:val="002702E6"/>
    <w:rsid w:val="0027036B"/>
    <w:rsid w:val="0027045B"/>
    <w:rsid w:val="00270482"/>
    <w:rsid w:val="00270523"/>
    <w:rsid w:val="00270524"/>
    <w:rsid w:val="00270546"/>
    <w:rsid w:val="0027058B"/>
    <w:rsid w:val="002705AF"/>
    <w:rsid w:val="002705E7"/>
    <w:rsid w:val="0027060A"/>
    <w:rsid w:val="00270618"/>
    <w:rsid w:val="00270646"/>
    <w:rsid w:val="0027064F"/>
    <w:rsid w:val="0027066B"/>
    <w:rsid w:val="00270683"/>
    <w:rsid w:val="002706D9"/>
    <w:rsid w:val="00270778"/>
    <w:rsid w:val="00270793"/>
    <w:rsid w:val="002707B9"/>
    <w:rsid w:val="00270805"/>
    <w:rsid w:val="0027080E"/>
    <w:rsid w:val="00270895"/>
    <w:rsid w:val="002708A9"/>
    <w:rsid w:val="00270918"/>
    <w:rsid w:val="0027098A"/>
    <w:rsid w:val="0027098E"/>
    <w:rsid w:val="00270999"/>
    <w:rsid w:val="002709EF"/>
    <w:rsid w:val="00270A1D"/>
    <w:rsid w:val="00270A25"/>
    <w:rsid w:val="00270A48"/>
    <w:rsid w:val="00270AA1"/>
    <w:rsid w:val="00270AE9"/>
    <w:rsid w:val="00270B1A"/>
    <w:rsid w:val="00270C06"/>
    <w:rsid w:val="00270C70"/>
    <w:rsid w:val="00270C7E"/>
    <w:rsid w:val="00270C86"/>
    <w:rsid w:val="00270CA5"/>
    <w:rsid w:val="00270CCC"/>
    <w:rsid w:val="00270CEC"/>
    <w:rsid w:val="00270D03"/>
    <w:rsid w:val="00270D08"/>
    <w:rsid w:val="00270D8E"/>
    <w:rsid w:val="00270D98"/>
    <w:rsid w:val="00270DCB"/>
    <w:rsid w:val="00270E22"/>
    <w:rsid w:val="00270E80"/>
    <w:rsid w:val="00270F19"/>
    <w:rsid w:val="00270FA1"/>
    <w:rsid w:val="00270FA6"/>
    <w:rsid w:val="00270FBF"/>
    <w:rsid w:val="00270FC3"/>
    <w:rsid w:val="00271009"/>
    <w:rsid w:val="0027102B"/>
    <w:rsid w:val="0027106A"/>
    <w:rsid w:val="00271096"/>
    <w:rsid w:val="0027109F"/>
    <w:rsid w:val="002710A7"/>
    <w:rsid w:val="00271117"/>
    <w:rsid w:val="0027115E"/>
    <w:rsid w:val="00271196"/>
    <w:rsid w:val="002711E7"/>
    <w:rsid w:val="0027135C"/>
    <w:rsid w:val="002713BD"/>
    <w:rsid w:val="00271409"/>
    <w:rsid w:val="0027147A"/>
    <w:rsid w:val="002714BD"/>
    <w:rsid w:val="002714D7"/>
    <w:rsid w:val="002714D9"/>
    <w:rsid w:val="002714E4"/>
    <w:rsid w:val="0027153A"/>
    <w:rsid w:val="00271593"/>
    <w:rsid w:val="0027164E"/>
    <w:rsid w:val="00271661"/>
    <w:rsid w:val="00271678"/>
    <w:rsid w:val="002716A0"/>
    <w:rsid w:val="002716AF"/>
    <w:rsid w:val="002716E5"/>
    <w:rsid w:val="002716F4"/>
    <w:rsid w:val="00271727"/>
    <w:rsid w:val="002717DC"/>
    <w:rsid w:val="002718BB"/>
    <w:rsid w:val="00271900"/>
    <w:rsid w:val="00271914"/>
    <w:rsid w:val="00271921"/>
    <w:rsid w:val="00271950"/>
    <w:rsid w:val="0027199E"/>
    <w:rsid w:val="002719F8"/>
    <w:rsid w:val="00271A17"/>
    <w:rsid w:val="00271A28"/>
    <w:rsid w:val="00271A89"/>
    <w:rsid w:val="00271AA1"/>
    <w:rsid w:val="00271ABF"/>
    <w:rsid w:val="00271B85"/>
    <w:rsid w:val="00271C21"/>
    <w:rsid w:val="00271C4C"/>
    <w:rsid w:val="00271D36"/>
    <w:rsid w:val="00271D5E"/>
    <w:rsid w:val="00271DE8"/>
    <w:rsid w:val="00271E1B"/>
    <w:rsid w:val="00271F24"/>
    <w:rsid w:val="00271FB5"/>
    <w:rsid w:val="00271FBC"/>
    <w:rsid w:val="00272022"/>
    <w:rsid w:val="0027203D"/>
    <w:rsid w:val="00272146"/>
    <w:rsid w:val="0027217F"/>
    <w:rsid w:val="0027219D"/>
    <w:rsid w:val="002721B3"/>
    <w:rsid w:val="002722A0"/>
    <w:rsid w:val="002722B9"/>
    <w:rsid w:val="002722E6"/>
    <w:rsid w:val="00272354"/>
    <w:rsid w:val="0027240B"/>
    <w:rsid w:val="0027242B"/>
    <w:rsid w:val="00272473"/>
    <w:rsid w:val="00272491"/>
    <w:rsid w:val="002724C1"/>
    <w:rsid w:val="002724DE"/>
    <w:rsid w:val="002724E0"/>
    <w:rsid w:val="002724F7"/>
    <w:rsid w:val="0027252D"/>
    <w:rsid w:val="00272575"/>
    <w:rsid w:val="00272586"/>
    <w:rsid w:val="0027258C"/>
    <w:rsid w:val="0027264A"/>
    <w:rsid w:val="00272657"/>
    <w:rsid w:val="00272675"/>
    <w:rsid w:val="002726E0"/>
    <w:rsid w:val="0027270C"/>
    <w:rsid w:val="002727D6"/>
    <w:rsid w:val="002727E7"/>
    <w:rsid w:val="002727FB"/>
    <w:rsid w:val="0027288F"/>
    <w:rsid w:val="002728F0"/>
    <w:rsid w:val="00272931"/>
    <w:rsid w:val="00272939"/>
    <w:rsid w:val="00272980"/>
    <w:rsid w:val="00272984"/>
    <w:rsid w:val="002729E1"/>
    <w:rsid w:val="00272A3F"/>
    <w:rsid w:val="00272A52"/>
    <w:rsid w:val="00272A59"/>
    <w:rsid w:val="00272A84"/>
    <w:rsid w:val="00272ADA"/>
    <w:rsid w:val="00272B0D"/>
    <w:rsid w:val="00272B10"/>
    <w:rsid w:val="00272B4D"/>
    <w:rsid w:val="00272B52"/>
    <w:rsid w:val="00272B56"/>
    <w:rsid w:val="00272B71"/>
    <w:rsid w:val="00272B76"/>
    <w:rsid w:val="00272BD7"/>
    <w:rsid w:val="00272BE5"/>
    <w:rsid w:val="00272C1A"/>
    <w:rsid w:val="00272C53"/>
    <w:rsid w:val="00272C68"/>
    <w:rsid w:val="00272C78"/>
    <w:rsid w:val="00272CA1"/>
    <w:rsid w:val="00272DA9"/>
    <w:rsid w:val="00272DE0"/>
    <w:rsid w:val="00272DF2"/>
    <w:rsid w:val="00272E67"/>
    <w:rsid w:val="00272EB6"/>
    <w:rsid w:val="00272F05"/>
    <w:rsid w:val="00272F63"/>
    <w:rsid w:val="00272F70"/>
    <w:rsid w:val="00272F73"/>
    <w:rsid w:val="00272F76"/>
    <w:rsid w:val="00272F79"/>
    <w:rsid w:val="00272F99"/>
    <w:rsid w:val="00272FBD"/>
    <w:rsid w:val="00272FD1"/>
    <w:rsid w:val="00273001"/>
    <w:rsid w:val="00273026"/>
    <w:rsid w:val="0027308E"/>
    <w:rsid w:val="00273099"/>
    <w:rsid w:val="002730FB"/>
    <w:rsid w:val="0027317A"/>
    <w:rsid w:val="002731D2"/>
    <w:rsid w:val="002731DD"/>
    <w:rsid w:val="00273225"/>
    <w:rsid w:val="00273257"/>
    <w:rsid w:val="00273298"/>
    <w:rsid w:val="002732BA"/>
    <w:rsid w:val="002732ED"/>
    <w:rsid w:val="00273306"/>
    <w:rsid w:val="00273423"/>
    <w:rsid w:val="00273427"/>
    <w:rsid w:val="0027342A"/>
    <w:rsid w:val="00273435"/>
    <w:rsid w:val="0027347E"/>
    <w:rsid w:val="002734BE"/>
    <w:rsid w:val="002734EF"/>
    <w:rsid w:val="002734FC"/>
    <w:rsid w:val="00273552"/>
    <w:rsid w:val="0027357F"/>
    <w:rsid w:val="0027359A"/>
    <w:rsid w:val="002735C1"/>
    <w:rsid w:val="0027360D"/>
    <w:rsid w:val="00273616"/>
    <w:rsid w:val="0027367C"/>
    <w:rsid w:val="00273686"/>
    <w:rsid w:val="002736F6"/>
    <w:rsid w:val="002737CB"/>
    <w:rsid w:val="002737FE"/>
    <w:rsid w:val="002737FF"/>
    <w:rsid w:val="00273804"/>
    <w:rsid w:val="0027382B"/>
    <w:rsid w:val="0027388C"/>
    <w:rsid w:val="0027389F"/>
    <w:rsid w:val="0027390F"/>
    <w:rsid w:val="00273974"/>
    <w:rsid w:val="00273979"/>
    <w:rsid w:val="00273A91"/>
    <w:rsid w:val="00273AFC"/>
    <w:rsid w:val="00273B33"/>
    <w:rsid w:val="00273C02"/>
    <w:rsid w:val="00273C50"/>
    <w:rsid w:val="00273C55"/>
    <w:rsid w:val="00273C6B"/>
    <w:rsid w:val="00273CCF"/>
    <w:rsid w:val="00273CD4"/>
    <w:rsid w:val="00273D49"/>
    <w:rsid w:val="00273D6A"/>
    <w:rsid w:val="00273E11"/>
    <w:rsid w:val="00273EAE"/>
    <w:rsid w:val="00273EC6"/>
    <w:rsid w:val="00273EDB"/>
    <w:rsid w:val="00273F97"/>
    <w:rsid w:val="00273FCA"/>
    <w:rsid w:val="00273FE2"/>
    <w:rsid w:val="00273FEB"/>
    <w:rsid w:val="0027402D"/>
    <w:rsid w:val="002740A9"/>
    <w:rsid w:val="0027415B"/>
    <w:rsid w:val="00274163"/>
    <w:rsid w:val="002742A1"/>
    <w:rsid w:val="002742EC"/>
    <w:rsid w:val="0027430A"/>
    <w:rsid w:val="002743AC"/>
    <w:rsid w:val="002743B0"/>
    <w:rsid w:val="002743B3"/>
    <w:rsid w:val="00274467"/>
    <w:rsid w:val="002744B0"/>
    <w:rsid w:val="002744F3"/>
    <w:rsid w:val="00274504"/>
    <w:rsid w:val="00274592"/>
    <w:rsid w:val="002745CD"/>
    <w:rsid w:val="002745FE"/>
    <w:rsid w:val="00274607"/>
    <w:rsid w:val="0027464D"/>
    <w:rsid w:val="00274660"/>
    <w:rsid w:val="002746AD"/>
    <w:rsid w:val="002746C7"/>
    <w:rsid w:val="002746CA"/>
    <w:rsid w:val="002746E7"/>
    <w:rsid w:val="00274717"/>
    <w:rsid w:val="00274726"/>
    <w:rsid w:val="0027474B"/>
    <w:rsid w:val="00274781"/>
    <w:rsid w:val="002748E6"/>
    <w:rsid w:val="002748E8"/>
    <w:rsid w:val="002749A1"/>
    <w:rsid w:val="002749C8"/>
    <w:rsid w:val="00274A08"/>
    <w:rsid w:val="00274A10"/>
    <w:rsid w:val="00274A1B"/>
    <w:rsid w:val="00274ABC"/>
    <w:rsid w:val="00274AC5"/>
    <w:rsid w:val="00274AEF"/>
    <w:rsid w:val="00274B06"/>
    <w:rsid w:val="00274B98"/>
    <w:rsid w:val="00274C0C"/>
    <w:rsid w:val="00274C34"/>
    <w:rsid w:val="00274CB7"/>
    <w:rsid w:val="00274DB6"/>
    <w:rsid w:val="00274DB8"/>
    <w:rsid w:val="00274E8B"/>
    <w:rsid w:val="00274EC9"/>
    <w:rsid w:val="00274EDA"/>
    <w:rsid w:val="00274F11"/>
    <w:rsid w:val="00274F60"/>
    <w:rsid w:val="00274F86"/>
    <w:rsid w:val="00274FC5"/>
    <w:rsid w:val="0027500C"/>
    <w:rsid w:val="00275058"/>
    <w:rsid w:val="002750E3"/>
    <w:rsid w:val="00275197"/>
    <w:rsid w:val="002751AE"/>
    <w:rsid w:val="002751EB"/>
    <w:rsid w:val="002751F7"/>
    <w:rsid w:val="00275203"/>
    <w:rsid w:val="00275206"/>
    <w:rsid w:val="0027520F"/>
    <w:rsid w:val="00275269"/>
    <w:rsid w:val="0027526F"/>
    <w:rsid w:val="0027529F"/>
    <w:rsid w:val="002752DA"/>
    <w:rsid w:val="002753BD"/>
    <w:rsid w:val="002753EC"/>
    <w:rsid w:val="00275454"/>
    <w:rsid w:val="0027546D"/>
    <w:rsid w:val="002754FD"/>
    <w:rsid w:val="00275519"/>
    <w:rsid w:val="00275545"/>
    <w:rsid w:val="0027558D"/>
    <w:rsid w:val="00275605"/>
    <w:rsid w:val="002756B6"/>
    <w:rsid w:val="0027574A"/>
    <w:rsid w:val="002757B9"/>
    <w:rsid w:val="002757D6"/>
    <w:rsid w:val="002757F9"/>
    <w:rsid w:val="0027590B"/>
    <w:rsid w:val="00275960"/>
    <w:rsid w:val="0027598A"/>
    <w:rsid w:val="00275A45"/>
    <w:rsid w:val="00275A7A"/>
    <w:rsid w:val="00275A8B"/>
    <w:rsid w:val="00275AA5"/>
    <w:rsid w:val="00275AAB"/>
    <w:rsid w:val="00275AFE"/>
    <w:rsid w:val="00275B13"/>
    <w:rsid w:val="00275C14"/>
    <w:rsid w:val="00275C35"/>
    <w:rsid w:val="00275C46"/>
    <w:rsid w:val="00275C4A"/>
    <w:rsid w:val="00275C63"/>
    <w:rsid w:val="00275C69"/>
    <w:rsid w:val="00275CB4"/>
    <w:rsid w:val="00275D52"/>
    <w:rsid w:val="00275DAF"/>
    <w:rsid w:val="00275E1A"/>
    <w:rsid w:val="00275E25"/>
    <w:rsid w:val="00275EFE"/>
    <w:rsid w:val="00275F33"/>
    <w:rsid w:val="00275F80"/>
    <w:rsid w:val="00275FCB"/>
    <w:rsid w:val="00275FD0"/>
    <w:rsid w:val="00275FF0"/>
    <w:rsid w:val="0027602D"/>
    <w:rsid w:val="00276055"/>
    <w:rsid w:val="0027610A"/>
    <w:rsid w:val="0027610B"/>
    <w:rsid w:val="00276112"/>
    <w:rsid w:val="0027611B"/>
    <w:rsid w:val="00276149"/>
    <w:rsid w:val="002761E3"/>
    <w:rsid w:val="0027620D"/>
    <w:rsid w:val="002762A9"/>
    <w:rsid w:val="002762EE"/>
    <w:rsid w:val="0027633D"/>
    <w:rsid w:val="002763B2"/>
    <w:rsid w:val="002763D0"/>
    <w:rsid w:val="002763DC"/>
    <w:rsid w:val="002763EC"/>
    <w:rsid w:val="00276420"/>
    <w:rsid w:val="0027646D"/>
    <w:rsid w:val="00276501"/>
    <w:rsid w:val="002765D0"/>
    <w:rsid w:val="002765D7"/>
    <w:rsid w:val="002767D5"/>
    <w:rsid w:val="002767DB"/>
    <w:rsid w:val="0027683A"/>
    <w:rsid w:val="00276840"/>
    <w:rsid w:val="002768F9"/>
    <w:rsid w:val="0027693A"/>
    <w:rsid w:val="0027693F"/>
    <w:rsid w:val="0027696D"/>
    <w:rsid w:val="00276999"/>
    <w:rsid w:val="002769DA"/>
    <w:rsid w:val="00276A2A"/>
    <w:rsid w:val="00276A5A"/>
    <w:rsid w:val="00276A85"/>
    <w:rsid w:val="00276AAB"/>
    <w:rsid w:val="00276B37"/>
    <w:rsid w:val="00276B4B"/>
    <w:rsid w:val="00276B66"/>
    <w:rsid w:val="00276BA5"/>
    <w:rsid w:val="00276C58"/>
    <w:rsid w:val="00276D50"/>
    <w:rsid w:val="00276D87"/>
    <w:rsid w:val="00276DC2"/>
    <w:rsid w:val="00276DCF"/>
    <w:rsid w:val="00276DF6"/>
    <w:rsid w:val="00276E2F"/>
    <w:rsid w:val="00276F08"/>
    <w:rsid w:val="00276F6A"/>
    <w:rsid w:val="00276FB9"/>
    <w:rsid w:val="00277020"/>
    <w:rsid w:val="002770CB"/>
    <w:rsid w:val="0027715D"/>
    <w:rsid w:val="002771BD"/>
    <w:rsid w:val="002772B8"/>
    <w:rsid w:val="002772DC"/>
    <w:rsid w:val="002772F0"/>
    <w:rsid w:val="002772FC"/>
    <w:rsid w:val="00277343"/>
    <w:rsid w:val="002773DF"/>
    <w:rsid w:val="002773E7"/>
    <w:rsid w:val="002773EA"/>
    <w:rsid w:val="00277417"/>
    <w:rsid w:val="0027745C"/>
    <w:rsid w:val="00277494"/>
    <w:rsid w:val="002774BA"/>
    <w:rsid w:val="002774FB"/>
    <w:rsid w:val="0027750D"/>
    <w:rsid w:val="00277541"/>
    <w:rsid w:val="00277587"/>
    <w:rsid w:val="00277588"/>
    <w:rsid w:val="00277590"/>
    <w:rsid w:val="00277637"/>
    <w:rsid w:val="0027768E"/>
    <w:rsid w:val="002776A6"/>
    <w:rsid w:val="0027772A"/>
    <w:rsid w:val="00277734"/>
    <w:rsid w:val="002777FF"/>
    <w:rsid w:val="00277880"/>
    <w:rsid w:val="00277896"/>
    <w:rsid w:val="002778B1"/>
    <w:rsid w:val="00277901"/>
    <w:rsid w:val="0027790A"/>
    <w:rsid w:val="00277955"/>
    <w:rsid w:val="00277A0F"/>
    <w:rsid w:val="00277A84"/>
    <w:rsid w:val="00277AFC"/>
    <w:rsid w:val="00277B43"/>
    <w:rsid w:val="00277BDD"/>
    <w:rsid w:val="00277BEB"/>
    <w:rsid w:val="00277CC9"/>
    <w:rsid w:val="00277D73"/>
    <w:rsid w:val="00277D93"/>
    <w:rsid w:val="00277E1D"/>
    <w:rsid w:val="00277E22"/>
    <w:rsid w:val="00277E54"/>
    <w:rsid w:val="00277E65"/>
    <w:rsid w:val="00277EE6"/>
    <w:rsid w:val="00277EEA"/>
    <w:rsid w:val="00277EEF"/>
    <w:rsid w:val="00277F05"/>
    <w:rsid w:val="00277FC5"/>
    <w:rsid w:val="00277FDF"/>
    <w:rsid w:val="0028004F"/>
    <w:rsid w:val="00280096"/>
    <w:rsid w:val="002800AE"/>
    <w:rsid w:val="002800E0"/>
    <w:rsid w:val="00280105"/>
    <w:rsid w:val="00280125"/>
    <w:rsid w:val="00280163"/>
    <w:rsid w:val="0028016B"/>
    <w:rsid w:val="00280173"/>
    <w:rsid w:val="002801C5"/>
    <w:rsid w:val="002802E5"/>
    <w:rsid w:val="002802F1"/>
    <w:rsid w:val="0028034B"/>
    <w:rsid w:val="00280354"/>
    <w:rsid w:val="0028044C"/>
    <w:rsid w:val="0028054E"/>
    <w:rsid w:val="0028056D"/>
    <w:rsid w:val="00280572"/>
    <w:rsid w:val="00280590"/>
    <w:rsid w:val="002805FE"/>
    <w:rsid w:val="0028060A"/>
    <w:rsid w:val="0028065A"/>
    <w:rsid w:val="002806B4"/>
    <w:rsid w:val="0028071F"/>
    <w:rsid w:val="0028083C"/>
    <w:rsid w:val="0028085C"/>
    <w:rsid w:val="0028085D"/>
    <w:rsid w:val="002808B6"/>
    <w:rsid w:val="002808C6"/>
    <w:rsid w:val="002808D8"/>
    <w:rsid w:val="002808D9"/>
    <w:rsid w:val="002808E4"/>
    <w:rsid w:val="0028090A"/>
    <w:rsid w:val="00280919"/>
    <w:rsid w:val="00280A64"/>
    <w:rsid w:val="00280A75"/>
    <w:rsid w:val="00280A7F"/>
    <w:rsid w:val="00280AB4"/>
    <w:rsid w:val="00280B16"/>
    <w:rsid w:val="00280B4E"/>
    <w:rsid w:val="00280B97"/>
    <w:rsid w:val="00280C56"/>
    <w:rsid w:val="00280C73"/>
    <w:rsid w:val="00280D70"/>
    <w:rsid w:val="00280D72"/>
    <w:rsid w:val="00280DE1"/>
    <w:rsid w:val="00280E17"/>
    <w:rsid w:val="00280E3C"/>
    <w:rsid w:val="00280E8C"/>
    <w:rsid w:val="00280E93"/>
    <w:rsid w:val="00280EDA"/>
    <w:rsid w:val="00280EE2"/>
    <w:rsid w:val="00280F60"/>
    <w:rsid w:val="00280F95"/>
    <w:rsid w:val="00280FBC"/>
    <w:rsid w:val="00280FF4"/>
    <w:rsid w:val="00281051"/>
    <w:rsid w:val="00281059"/>
    <w:rsid w:val="00281083"/>
    <w:rsid w:val="002810A8"/>
    <w:rsid w:val="002810FF"/>
    <w:rsid w:val="00281126"/>
    <w:rsid w:val="0028116D"/>
    <w:rsid w:val="002811F9"/>
    <w:rsid w:val="0028121F"/>
    <w:rsid w:val="0028124A"/>
    <w:rsid w:val="002812D5"/>
    <w:rsid w:val="00281332"/>
    <w:rsid w:val="002813C0"/>
    <w:rsid w:val="0028141F"/>
    <w:rsid w:val="00281443"/>
    <w:rsid w:val="00281472"/>
    <w:rsid w:val="0028151B"/>
    <w:rsid w:val="00281535"/>
    <w:rsid w:val="00281589"/>
    <w:rsid w:val="002815C1"/>
    <w:rsid w:val="002815F0"/>
    <w:rsid w:val="00281691"/>
    <w:rsid w:val="0028170B"/>
    <w:rsid w:val="002817A7"/>
    <w:rsid w:val="002817C7"/>
    <w:rsid w:val="002817EF"/>
    <w:rsid w:val="00281835"/>
    <w:rsid w:val="00281849"/>
    <w:rsid w:val="0028188B"/>
    <w:rsid w:val="00281898"/>
    <w:rsid w:val="00281902"/>
    <w:rsid w:val="00281906"/>
    <w:rsid w:val="0028194D"/>
    <w:rsid w:val="00281970"/>
    <w:rsid w:val="002819BF"/>
    <w:rsid w:val="002819C7"/>
    <w:rsid w:val="00281A54"/>
    <w:rsid w:val="00281AFC"/>
    <w:rsid w:val="00281B52"/>
    <w:rsid w:val="00281B8E"/>
    <w:rsid w:val="00281BA8"/>
    <w:rsid w:val="00281CD7"/>
    <w:rsid w:val="00281DDC"/>
    <w:rsid w:val="00281E49"/>
    <w:rsid w:val="00281E77"/>
    <w:rsid w:val="00281E79"/>
    <w:rsid w:val="00281E8B"/>
    <w:rsid w:val="00281EBF"/>
    <w:rsid w:val="00281EC7"/>
    <w:rsid w:val="0028200B"/>
    <w:rsid w:val="002820B9"/>
    <w:rsid w:val="0028211B"/>
    <w:rsid w:val="0028213D"/>
    <w:rsid w:val="0028214F"/>
    <w:rsid w:val="002821C9"/>
    <w:rsid w:val="00282202"/>
    <w:rsid w:val="0028223B"/>
    <w:rsid w:val="00282282"/>
    <w:rsid w:val="002822B8"/>
    <w:rsid w:val="002822B9"/>
    <w:rsid w:val="002822BB"/>
    <w:rsid w:val="00282332"/>
    <w:rsid w:val="00282346"/>
    <w:rsid w:val="002823A1"/>
    <w:rsid w:val="002823AF"/>
    <w:rsid w:val="00282465"/>
    <w:rsid w:val="002824A7"/>
    <w:rsid w:val="002824AE"/>
    <w:rsid w:val="0028253B"/>
    <w:rsid w:val="00282578"/>
    <w:rsid w:val="00282598"/>
    <w:rsid w:val="002825A7"/>
    <w:rsid w:val="002825D1"/>
    <w:rsid w:val="00282667"/>
    <w:rsid w:val="0028268D"/>
    <w:rsid w:val="002826BE"/>
    <w:rsid w:val="002826E4"/>
    <w:rsid w:val="0028270F"/>
    <w:rsid w:val="0028275F"/>
    <w:rsid w:val="002827C5"/>
    <w:rsid w:val="00282819"/>
    <w:rsid w:val="002828BE"/>
    <w:rsid w:val="00282908"/>
    <w:rsid w:val="00282923"/>
    <w:rsid w:val="00282981"/>
    <w:rsid w:val="00282989"/>
    <w:rsid w:val="002829AA"/>
    <w:rsid w:val="002829B2"/>
    <w:rsid w:val="002829B6"/>
    <w:rsid w:val="002829D8"/>
    <w:rsid w:val="00282A58"/>
    <w:rsid w:val="00282A7D"/>
    <w:rsid w:val="00282AB4"/>
    <w:rsid w:val="00282AF7"/>
    <w:rsid w:val="00282B01"/>
    <w:rsid w:val="00282B12"/>
    <w:rsid w:val="00282B7D"/>
    <w:rsid w:val="00282BC2"/>
    <w:rsid w:val="00282C44"/>
    <w:rsid w:val="00282C95"/>
    <w:rsid w:val="00282CA7"/>
    <w:rsid w:val="00282D02"/>
    <w:rsid w:val="00282D65"/>
    <w:rsid w:val="00282D7B"/>
    <w:rsid w:val="00282D8A"/>
    <w:rsid w:val="00282DB8"/>
    <w:rsid w:val="00282DDD"/>
    <w:rsid w:val="00282DE4"/>
    <w:rsid w:val="00282E12"/>
    <w:rsid w:val="00282E2D"/>
    <w:rsid w:val="00282E40"/>
    <w:rsid w:val="00282E83"/>
    <w:rsid w:val="00282EAA"/>
    <w:rsid w:val="00282ED1"/>
    <w:rsid w:val="00282FAE"/>
    <w:rsid w:val="0028300B"/>
    <w:rsid w:val="0028303F"/>
    <w:rsid w:val="0028304F"/>
    <w:rsid w:val="0028307F"/>
    <w:rsid w:val="00283084"/>
    <w:rsid w:val="0028310D"/>
    <w:rsid w:val="002831BF"/>
    <w:rsid w:val="0028322B"/>
    <w:rsid w:val="00283243"/>
    <w:rsid w:val="00283269"/>
    <w:rsid w:val="00283282"/>
    <w:rsid w:val="0028336B"/>
    <w:rsid w:val="002833E5"/>
    <w:rsid w:val="002833FB"/>
    <w:rsid w:val="00283405"/>
    <w:rsid w:val="00283421"/>
    <w:rsid w:val="00283463"/>
    <w:rsid w:val="002834D5"/>
    <w:rsid w:val="002834E6"/>
    <w:rsid w:val="0028354A"/>
    <w:rsid w:val="00283579"/>
    <w:rsid w:val="00283628"/>
    <w:rsid w:val="002836BB"/>
    <w:rsid w:val="002836FC"/>
    <w:rsid w:val="00283752"/>
    <w:rsid w:val="00283793"/>
    <w:rsid w:val="0028379D"/>
    <w:rsid w:val="0028381F"/>
    <w:rsid w:val="00283853"/>
    <w:rsid w:val="00283870"/>
    <w:rsid w:val="002838E8"/>
    <w:rsid w:val="002838F2"/>
    <w:rsid w:val="0028390F"/>
    <w:rsid w:val="00283919"/>
    <w:rsid w:val="00283949"/>
    <w:rsid w:val="00283997"/>
    <w:rsid w:val="00283999"/>
    <w:rsid w:val="002839B5"/>
    <w:rsid w:val="002839BA"/>
    <w:rsid w:val="002839FC"/>
    <w:rsid w:val="00283A10"/>
    <w:rsid w:val="00283A7F"/>
    <w:rsid w:val="00283AE5"/>
    <w:rsid w:val="00283AED"/>
    <w:rsid w:val="00283B15"/>
    <w:rsid w:val="00283BC8"/>
    <w:rsid w:val="00283BFE"/>
    <w:rsid w:val="00283C16"/>
    <w:rsid w:val="00283C62"/>
    <w:rsid w:val="00283C69"/>
    <w:rsid w:val="00283CA5"/>
    <w:rsid w:val="00283D06"/>
    <w:rsid w:val="00283D72"/>
    <w:rsid w:val="00283DB0"/>
    <w:rsid w:val="00283DB7"/>
    <w:rsid w:val="00283DD1"/>
    <w:rsid w:val="00283E77"/>
    <w:rsid w:val="00283ED4"/>
    <w:rsid w:val="00283EDF"/>
    <w:rsid w:val="00283F9A"/>
    <w:rsid w:val="00283FFB"/>
    <w:rsid w:val="0028400B"/>
    <w:rsid w:val="0028405B"/>
    <w:rsid w:val="00284062"/>
    <w:rsid w:val="002840E4"/>
    <w:rsid w:val="00284106"/>
    <w:rsid w:val="00284184"/>
    <w:rsid w:val="00284223"/>
    <w:rsid w:val="00284254"/>
    <w:rsid w:val="00284272"/>
    <w:rsid w:val="00284368"/>
    <w:rsid w:val="0028442F"/>
    <w:rsid w:val="00284489"/>
    <w:rsid w:val="002844DF"/>
    <w:rsid w:val="0028454A"/>
    <w:rsid w:val="00284578"/>
    <w:rsid w:val="0028460A"/>
    <w:rsid w:val="00284664"/>
    <w:rsid w:val="0028470A"/>
    <w:rsid w:val="002847A3"/>
    <w:rsid w:val="00284860"/>
    <w:rsid w:val="002848A9"/>
    <w:rsid w:val="002848B2"/>
    <w:rsid w:val="002848C3"/>
    <w:rsid w:val="002848C7"/>
    <w:rsid w:val="00284903"/>
    <w:rsid w:val="00284945"/>
    <w:rsid w:val="002849E0"/>
    <w:rsid w:val="002849E8"/>
    <w:rsid w:val="00284A8B"/>
    <w:rsid w:val="00284A92"/>
    <w:rsid w:val="00284AA4"/>
    <w:rsid w:val="00284ACD"/>
    <w:rsid w:val="00284ADE"/>
    <w:rsid w:val="00284B32"/>
    <w:rsid w:val="00284BDF"/>
    <w:rsid w:val="00284C05"/>
    <w:rsid w:val="00284C46"/>
    <w:rsid w:val="00284C67"/>
    <w:rsid w:val="00284C74"/>
    <w:rsid w:val="00284C76"/>
    <w:rsid w:val="00284C89"/>
    <w:rsid w:val="00284CA1"/>
    <w:rsid w:val="00284CDE"/>
    <w:rsid w:val="00284CF0"/>
    <w:rsid w:val="00284D01"/>
    <w:rsid w:val="00284D40"/>
    <w:rsid w:val="00284D7A"/>
    <w:rsid w:val="00284D87"/>
    <w:rsid w:val="00284D90"/>
    <w:rsid w:val="00284DE4"/>
    <w:rsid w:val="00284E63"/>
    <w:rsid w:val="00284E7E"/>
    <w:rsid w:val="00284EA3"/>
    <w:rsid w:val="00284EB5"/>
    <w:rsid w:val="00284EB6"/>
    <w:rsid w:val="00284ED8"/>
    <w:rsid w:val="00284F20"/>
    <w:rsid w:val="00284F22"/>
    <w:rsid w:val="00284F35"/>
    <w:rsid w:val="00284F7A"/>
    <w:rsid w:val="00284F7B"/>
    <w:rsid w:val="00284F9F"/>
    <w:rsid w:val="00284FD6"/>
    <w:rsid w:val="0028503F"/>
    <w:rsid w:val="0028504D"/>
    <w:rsid w:val="002850E2"/>
    <w:rsid w:val="00285134"/>
    <w:rsid w:val="00285160"/>
    <w:rsid w:val="0028520E"/>
    <w:rsid w:val="00285235"/>
    <w:rsid w:val="00285252"/>
    <w:rsid w:val="0028527F"/>
    <w:rsid w:val="0028532B"/>
    <w:rsid w:val="00285331"/>
    <w:rsid w:val="00285493"/>
    <w:rsid w:val="00285494"/>
    <w:rsid w:val="00285557"/>
    <w:rsid w:val="0028558F"/>
    <w:rsid w:val="002855F0"/>
    <w:rsid w:val="00285612"/>
    <w:rsid w:val="002856BF"/>
    <w:rsid w:val="002856C6"/>
    <w:rsid w:val="002856F9"/>
    <w:rsid w:val="002857E7"/>
    <w:rsid w:val="00285802"/>
    <w:rsid w:val="00285813"/>
    <w:rsid w:val="00285850"/>
    <w:rsid w:val="002858AF"/>
    <w:rsid w:val="002858CD"/>
    <w:rsid w:val="002858D3"/>
    <w:rsid w:val="0028591B"/>
    <w:rsid w:val="0028592B"/>
    <w:rsid w:val="0028592C"/>
    <w:rsid w:val="00285969"/>
    <w:rsid w:val="00285975"/>
    <w:rsid w:val="0028598F"/>
    <w:rsid w:val="002859C8"/>
    <w:rsid w:val="002859E3"/>
    <w:rsid w:val="00285A52"/>
    <w:rsid w:val="00285A56"/>
    <w:rsid w:val="00285A5F"/>
    <w:rsid w:val="00285A81"/>
    <w:rsid w:val="00285A9B"/>
    <w:rsid w:val="00285AAF"/>
    <w:rsid w:val="00285B20"/>
    <w:rsid w:val="00285B71"/>
    <w:rsid w:val="00285BBD"/>
    <w:rsid w:val="00285BEF"/>
    <w:rsid w:val="00285C51"/>
    <w:rsid w:val="00285C60"/>
    <w:rsid w:val="00285D31"/>
    <w:rsid w:val="00285D56"/>
    <w:rsid w:val="00285D8B"/>
    <w:rsid w:val="00285DA5"/>
    <w:rsid w:val="00285EEB"/>
    <w:rsid w:val="00285F58"/>
    <w:rsid w:val="00285F79"/>
    <w:rsid w:val="00285F86"/>
    <w:rsid w:val="00285FE3"/>
    <w:rsid w:val="00285FFE"/>
    <w:rsid w:val="00286017"/>
    <w:rsid w:val="00286025"/>
    <w:rsid w:val="00286027"/>
    <w:rsid w:val="00286080"/>
    <w:rsid w:val="00286096"/>
    <w:rsid w:val="002860FF"/>
    <w:rsid w:val="00286127"/>
    <w:rsid w:val="0028613C"/>
    <w:rsid w:val="0028615D"/>
    <w:rsid w:val="0028616F"/>
    <w:rsid w:val="0028622F"/>
    <w:rsid w:val="00286254"/>
    <w:rsid w:val="002862DD"/>
    <w:rsid w:val="002862F2"/>
    <w:rsid w:val="00286389"/>
    <w:rsid w:val="002863BB"/>
    <w:rsid w:val="002863F3"/>
    <w:rsid w:val="0028641A"/>
    <w:rsid w:val="00286431"/>
    <w:rsid w:val="00286461"/>
    <w:rsid w:val="00286481"/>
    <w:rsid w:val="002864B3"/>
    <w:rsid w:val="00286573"/>
    <w:rsid w:val="002865C7"/>
    <w:rsid w:val="002865DB"/>
    <w:rsid w:val="002865E5"/>
    <w:rsid w:val="00286605"/>
    <w:rsid w:val="00286671"/>
    <w:rsid w:val="00286687"/>
    <w:rsid w:val="002866A1"/>
    <w:rsid w:val="002866FD"/>
    <w:rsid w:val="00286895"/>
    <w:rsid w:val="002868EB"/>
    <w:rsid w:val="0028690F"/>
    <w:rsid w:val="00286920"/>
    <w:rsid w:val="0028692A"/>
    <w:rsid w:val="0028694C"/>
    <w:rsid w:val="00286991"/>
    <w:rsid w:val="002869D5"/>
    <w:rsid w:val="00286A09"/>
    <w:rsid w:val="00286A6B"/>
    <w:rsid w:val="00286A71"/>
    <w:rsid w:val="00286ACC"/>
    <w:rsid w:val="00286ADC"/>
    <w:rsid w:val="00286BA8"/>
    <w:rsid w:val="00286BAF"/>
    <w:rsid w:val="00286BE0"/>
    <w:rsid w:val="00286C0A"/>
    <w:rsid w:val="00286C5F"/>
    <w:rsid w:val="00286C73"/>
    <w:rsid w:val="00286C8B"/>
    <w:rsid w:val="00286CBD"/>
    <w:rsid w:val="00286D5C"/>
    <w:rsid w:val="00286D7A"/>
    <w:rsid w:val="00286D9C"/>
    <w:rsid w:val="00286D9F"/>
    <w:rsid w:val="00286DDB"/>
    <w:rsid w:val="00286E43"/>
    <w:rsid w:val="00286EF9"/>
    <w:rsid w:val="00286F1E"/>
    <w:rsid w:val="00286FB1"/>
    <w:rsid w:val="0028705B"/>
    <w:rsid w:val="002870AE"/>
    <w:rsid w:val="002870B1"/>
    <w:rsid w:val="002870D1"/>
    <w:rsid w:val="00287119"/>
    <w:rsid w:val="0028711B"/>
    <w:rsid w:val="002872C7"/>
    <w:rsid w:val="0028733A"/>
    <w:rsid w:val="0028735C"/>
    <w:rsid w:val="002873F8"/>
    <w:rsid w:val="00287490"/>
    <w:rsid w:val="002874FF"/>
    <w:rsid w:val="00287545"/>
    <w:rsid w:val="00287546"/>
    <w:rsid w:val="002875C1"/>
    <w:rsid w:val="002875E6"/>
    <w:rsid w:val="0028761B"/>
    <w:rsid w:val="00287629"/>
    <w:rsid w:val="00287639"/>
    <w:rsid w:val="00287681"/>
    <w:rsid w:val="002876A6"/>
    <w:rsid w:val="002876D9"/>
    <w:rsid w:val="00287744"/>
    <w:rsid w:val="00287796"/>
    <w:rsid w:val="0028784C"/>
    <w:rsid w:val="0028787F"/>
    <w:rsid w:val="002878A9"/>
    <w:rsid w:val="002878CB"/>
    <w:rsid w:val="00287908"/>
    <w:rsid w:val="0028791A"/>
    <w:rsid w:val="0028792B"/>
    <w:rsid w:val="00287969"/>
    <w:rsid w:val="0028799E"/>
    <w:rsid w:val="002879C9"/>
    <w:rsid w:val="00287A3B"/>
    <w:rsid w:val="00287A3F"/>
    <w:rsid w:val="00287A80"/>
    <w:rsid w:val="00287AF7"/>
    <w:rsid w:val="00287B2D"/>
    <w:rsid w:val="00287B5D"/>
    <w:rsid w:val="00287B8F"/>
    <w:rsid w:val="00287BA1"/>
    <w:rsid w:val="00287BCB"/>
    <w:rsid w:val="00287BD1"/>
    <w:rsid w:val="00287BEA"/>
    <w:rsid w:val="00287C02"/>
    <w:rsid w:val="00287C3F"/>
    <w:rsid w:val="00287C51"/>
    <w:rsid w:val="00287C62"/>
    <w:rsid w:val="00287C7D"/>
    <w:rsid w:val="00287C85"/>
    <w:rsid w:val="00287CA9"/>
    <w:rsid w:val="00287D07"/>
    <w:rsid w:val="00287D35"/>
    <w:rsid w:val="00287D4A"/>
    <w:rsid w:val="00287DDD"/>
    <w:rsid w:val="00287DE9"/>
    <w:rsid w:val="00287E00"/>
    <w:rsid w:val="00287E12"/>
    <w:rsid w:val="00287E6A"/>
    <w:rsid w:val="00287F33"/>
    <w:rsid w:val="00287F36"/>
    <w:rsid w:val="00287F85"/>
    <w:rsid w:val="00287FDC"/>
    <w:rsid w:val="00290025"/>
    <w:rsid w:val="002900A0"/>
    <w:rsid w:val="00290105"/>
    <w:rsid w:val="00290146"/>
    <w:rsid w:val="002901CF"/>
    <w:rsid w:val="0029026D"/>
    <w:rsid w:val="0029029A"/>
    <w:rsid w:val="002902A9"/>
    <w:rsid w:val="002902AA"/>
    <w:rsid w:val="002902D6"/>
    <w:rsid w:val="002902FB"/>
    <w:rsid w:val="00290341"/>
    <w:rsid w:val="00290361"/>
    <w:rsid w:val="00290471"/>
    <w:rsid w:val="002904C2"/>
    <w:rsid w:val="00290506"/>
    <w:rsid w:val="0029054B"/>
    <w:rsid w:val="002905AD"/>
    <w:rsid w:val="00290637"/>
    <w:rsid w:val="00290672"/>
    <w:rsid w:val="002906F9"/>
    <w:rsid w:val="00290711"/>
    <w:rsid w:val="002907BF"/>
    <w:rsid w:val="0029089B"/>
    <w:rsid w:val="002908A8"/>
    <w:rsid w:val="00290979"/>
    <w:rsid w:val="00290986"/>
    <w:rsid w:val="002909CC"/>
    <w:rsid w:val="00290A2B"/>
    <w:rsid w:val="00290A6A"/>
    <w:rsid w:val="00290A8C"/>
    <w:rsid w:val="00290B11"/>
    <w:rsid w:val="00290B5D"/>
    <w:rsid w:val="00290BB3"/>
    <w:rsid w:val="00290BCD"/>
    <w:rsid w:val="00290BCE"/>
    <w:rsid w:val="00290BE5"/>
    <w:rsid w:val="00290C24"/>
    <w:rsid w:val="00290C48"/>
    <w:rsid w:val="00290CA7"/>
    <w:rsid w:val="00290CAD"/>
    <w:rsid w:val="00290CE3"/>
    <w:rsid w:val="00290D0A"/>
    <w:rsid w:val="00290D24"/>
    <w:rsid w:val="00290DAA"/>
    <w:rsid w:val="00290E15"/>
    <w:rsid w:val="00290E35"/>
    <w:rsid w:val="00290E63"/>
    <w:rsid w:val="00290E72"/>
    <w:rsid w:val="00290EB3"/>
    <w:rsid w:val="00290F52"/>
    <w:rsid w:val="00290F61"/>
    <w:rsid w:val="00290FC7"/>
    <w:rsid w:val="00290FE4"/>
    <w:rsid w:val="00290FFE"/>
    <w:rsid w:val="00291064"/>
    <w:rsid w:val="00291070"/>
    <w:rsid w:val="0029108E"/>
    <w:rsid w:val="002910BC"/>
    <w:rsid w:val="002910F9"/>
    <w:rsid w:val="0029110D"/>
    <w:rsid w:val="00291195"/>
    <w:rsid w:val="002911FC"/>
    <w:rsid w:val="00291220"/>
    <w:rsid w:val="0029126B"/>
    <w:rsid w:val="0029128F"/>
    <w:rsid w:val="00291291"/>
    <w:rsid w:val="002912C5"/>
    <w:rsid w:val="0029130C"/>
    <w:rsid w:val="00291335"/>
    <w:rsid w:val="00291363"/>
    <w:rsid w:val="0029136B"/>
    <w:rsid w:val="0029137B"/>
    <w:rsid w:val="0029137E"/>
    <w:rsid w:val="0029138B"/>
    <w:rsid w:val="002913A3"/>
    <w:rsid w:val="002913D3"/>
    <w:rsid w:val="002913FB"/>
    <w:rsid w:val="0029147F"/>
    <w:rsid w:val="002914BF"/>
    <w:rsid w:val="002914CD"/>
    <w:rsid w:val="002914CF"/>
    <w:rsid w:val="0029150E"/>
    <w:rsid w:val="00291533"/>
    <w:rsid w:val="00291578"/>
    <w:rsid w:val="002915A2"/>
    <w:rsid w:val="002915AF"/>
    <w:rsid w:val="00291654"/>
    <w:rsid w:val="002916B1"/>
    <w:rsid w:val="00291704"/>
    <w:rsid w:val="00291721"/>
    <w:rsid w:val="00291848"/>
    <w:rsid w:val="00291868"/>
    <w:rsid w:val="0029187B"/>
    <w:rsid w:val="00291880"/>
    <w:rsid w:val="0029189A"/>
    <w:rsid w:val="002918BB"/>
    <w:rsid w:val="002918BC"/>
    <w:rsid w:val="002918CC"/>
    <w:rsid w:val="002918D4"/>
    <w:rsid w:val="00291909"/>
    <w:rsid w:val="00291911"/>
    <w:rsid w:val="00291939"/>
    <w:rsid w:val="00291944"/>
    <w:rsid w:val="0029198B"/>
    <w:rsid w:val="002919D3"/>
    <w:rsid w:val="00291A4C"/>
    <w:rsid w:val="00291A70"/>
    <w:rsid w:val="00291AD0"/>
    <w:rsid w:val="00291B2F"/>
    <w:rsid w:val="00291B3C"/>
    <w:rsid w:val="00291B7F"/>
    <w:rsid w:val="00291BF2"/>
    <w:rsid w:val="00291C11"/>
    <w:rsid w:val="00291CB7"/>
    <w:rsid w:val="00291CCB"/>
    <w:rsid w:val="00291CD2"/>
    <w:rsid w:val="00291E37"/>
    <w:rsid w:val="00291E6D"/>
    <w:rsid w:val="00291E8B"/>
    <w:rsid w:val="00291FBE"/>
    <w:rsid w:val="00291FFF"/>
    <w:rsid w:val="00292090"/>
    <w:rsid w:val="002920AC"/>
    <w:rsid w:val="002920CF"/>
    <w:rsid w:val="0029211D"/>
    <w:rsid w:val="0029215A"/>
    <w:rsid w:val="0029219F"/>
    <w:rsid w:val="002921C2"/>
    <w:rsid w:val="00292297"/>
    <w:rsid w:val="0029229B"/>
    <w:rsid w:val="002922D2"/>
    <w:rsid w:val="00292353"/>
    <w:rsid w:val="002923A4"/>
    <w:rsid w:val="002923AA"/>
    <w:rsid w:val="002923B0"/>
    <w:rsid w:val="002923E0"/>
    <w:rsid w:val="002923FB"/>
    <w:rsid w:val="002923FC"/>
    <w:rsid w:val="00292487"/>
    <w:rsid w:val="00292599"/>
    <w:rsid w:val="002925E3"/>
    <w:rsid w:val="002926F9"/>
    <w:rsid w:val="0029270C"/>
    <w:rsid w:val="0029275D"/>
    <w:rsid w:val="00292781"/>
    <w:rsid w:val="00292794"/>
    <w:rsid w:val="0029279D"/>
    <w:rsid w:val="002927BA"/>
    <w:rsid w:val="002927C1"/>
    <w:rsid w:val="002927D8"/>
    <w:rsid w:val="002927ED"/>
    <w:rsid w:val="0029280F"/>
    <w:rsid w:val="0029284A"/>
    <w:rsid w:val="0029286C"/>
    <w:rsid w:val="00292874"/>
    <w:rsid w:val="002928C9"/>
    <w:rsid w:val="0029290A"/>
    <w:rsid w:val="00292997"/>
    <w:rsid w:val="00292B1B"/>
    <w:rsid w:val="00292B1F"/>
    <w:rsid w:val="00292B62"/>
    <w:rsid w:val="00292B79"/>
    <w:rsid w:val="00292BAA"/>
    <w:rsid w:val="00292BE5"/>
    <w:rsid w:val="00292C10"/>
    <w:rsid w:val="00292C8E"/>
    <w:rsid w:val="00292CF5"/>
    <w:rsid w:val="00292D45"/>
    <w:rsid w:val="00292D68"/>
    <w:rsid w:val="00292D76"/>
    <w:rsid w:val="00292D9B"/>
    <w:rsid w:val="00292E06"/>
    <w:rsid w:val="00292E2B"/>
    <w:rsid w:val="00292E4C"/>
    <w:rsid w:val="00292E84"/>
    <w:rsid w:val="00292EA3"/>
    <w:rsid w:val="00292EF2"/>
    <w:rsid w:val="00292F0C"/>
    <w:rsid w:val="00292F75"/>
    <w:rsid w:val="00292F79"/>
    <w:rsid w:val="00292F89"/>
    <w:rsid w:val="00292FA8"/>
    <w:rsid w:val="00292FAF"/>
    <w:rsid w:val="00293058"/>
    <w:rsid w:val="00293093"/>
    <w:rsid w:val="002930CF"/>
    <w:rsid w:val="0029310A"/>
    <w:rsid w:val="00293112"/>
    <w:rsid w:val="00293142"/>
    <w:rsid w:val="00293174"/>
    <w:rsid w:val="002931A7"/>
    <w:rsid w:val="002931B0"/>
    <w:rsid w:val="00293201"/>
    <w:rsid w:val="0029323D"/>
    <w:rsid w:val="00293246"/>
    <w:rsid w:val="0029329B"/>
    <w:rsid w:val="00293307"/>
    <w:rsid w:val="00293380"/>
    <w:rsid w:val="002933DD"/>
    <w:rsid w:val="0029344C"/>
    <w:rsid w:val="00293457"/>
    <w:rsid w:val="0029348F"/>
    <w:rsid w:val="0029353D"/>
    <w:rsid w:val="00293577"/>
    <w:rsid w:val="002935B6"/>
    <w:rsid w:val="002935BB"/>
    <w:rsid w:val="002935BF"/>
    <w:rsid w:val="00293606"/>
    <w:rsid w:val="00293657"/>
    <w:rsid w:val="00293697"/>
    <w:rsid w:val="002936A8"/>
    <w:rsid w:val="00293708"/>
    <w:rsid w:val="00293780"/>
    <w:rsid w:val="002937B9"/>
    <w:rsid w:val="002937EF"/>
    <w:rsid w:val="00293803"/>
    <w:rsid w:val="00293865"/>
    <w:rsid w:val="002938BF"/>
    <w:rsid w:val="002938D3"/>
    <w:rsid w:val="00293961"/>
    <w:rsid w:val="002939FE"/>
    <w:rsid w:val="00293A34"/>
    <w:rsid w:val="00293A6A"/>
    <w:rsid w:val="00293A6F"/>
    <w:rsid w:val="00293A99"/>
    <w:rsid w:val="00293AB7"/>
    <w:rsid w:val="00293AC9"/>
    <w:rsid w:val="00293B05"/>
    <w:rsid w:val="00293B1A"/>
    <w:rsid w:val="00293B2F"/>
    <w:rsid w:val="00293BEE"/>
    <w:rsid w:val="00293BFD"/>
    <w:rsid w:val="00293C56"/>
    <w:rsid w:val="00293C5C"/>
    <w:rsid w:val="00293C82"/>
    <w:rsid w:val="00293C8D"/>
    <w:rsid w:val="00293D92"/>
    <w:rsid w:val="00293DBE"/>
    <w:rsid w:val="00293DDA"/>
    <w:rsid w:val="00293E3E"/>
    <w:rsid w:val="00293E7A"/>
    <w:rsid w:val="00293EDD"/>
    <w:rsid w:val="00293F2A"/>
    <w:rsid w:val="00293F57"/>
    <w:rsid w:val="00293F67"/>
    <w:rsid w:val="00293F75"/>
    <w:rsid w:val="00293F77"/>
    <w:rsid w:val="00293F7B"/>
    <w:rsid w:val="00293FB1"/>
    <w:rsid w:val="00293FD8"/>
    <w:rsid w:val="002940B7"/>
    <w:rsid w:val="0029415F"/>
    <w:rsid w:val="00294163"/>
    <w:rsid w:val="00294253"/>
    <w:rsid w:val="002942AB"/>
    <w:rsid w:val="002942B5"/>
    <w:rsid w:val="002942E4"/>
    <w:rsid w:val="00294379"/>
    <w:rsid w:val="00294381"/>
    <w:rsid w:val="00294394"/>
    <w:rsid w:val="00294489"/>
    <w:rsid w:val="002944BE"/>
    <w:rsid w:val="00294500"/>
    <w:rsid w:val="0029456F"/>
    <w:rsid w:val="002945AD"/>
    <w:rsid w:val="002945C0"/>
    <w:rsid w:val="00294615"/>
    <w:rsid w:val="00294632"/>
    <w:rsid w:val="00294664"/>
    <w:rsid w:val="002947FD"/>
    <w:rsid w:val="0029482A"/>
    <w:rsid w:val="00294878"/>
    <w:rsid w:val="00294882"/>
    <w:rsid w:val="002948D0"/>
    <w:rsid w:val="00294932"/>
    <w:rsid w:val="00294944"/>
    <w:rsid w:val="002949A5"/>
    <w:rsid w:val="002949E6"/>
    <w:rsid w:val="00294A38"/>
    <w:rsid w:val="00294A4B"/>
    <w:rsid w:val="00294A52"/>
    <w:rsid w:val="00294A64"/>
    <w:rsid w:val="00294A7E"/>
    <w:rsid w:val="00294A96"/>
    <w:rsid w:val="00294B14"/>
    <w:rsid w:val="00294B2F"/>
    <w:rsid w:val="00294C0A"/>
    <w:rsid w:val="00294C29"/>
    <w:rsid w:val="00294C33"/>
    <w:rsid w:val="00294C9A"/>
    <w:rsid w:val="00294CD5"/>
    <w:rsid w:val="00294CEA"/>
    <w:rsid w:val="00294CFD"/>
    <w:rsid w:val="00294D3B"/>
    <w:rsid w:val="00294D6C"/>
    <w:rsid w:val="00294D97"/>
    <w:rsid w:val="00294DB5"/>
    <w:rsid w:val="00294E32"/>
    <w:rsid w:val="00294E56"/>
    <w:rsid w:val="00295005"/>
    <w:rsid w:val="0029500D"/>
    <w:rsid w:val="0029503A"/>
    <w:rsid w:val="002950AD"/>
    <w:rsid w:val="002950CB"/>
    <w:rsid w:val="00295174"/>
    <w:rsid w:val="0029518E"/>
    <w:rsid w:val="002951DD"/>
    <w:rsid w:val="00295207"/>
    <w:rsid w:val="0029520A"/>
    <w:rsid w:val="0029521B"/>
    <w:rsid w:val="00295236"/>
    <w:rsid w:val="0029528E"/>
    <w:rsid w:val="00295327"/>
    <w:rsid w:val="00295342"/>
    <w:rsid w:val="0029537C"/>
    <w:rsid w:val="002953A8"/>
    <w:rsid w:val="002953BA"/>
    <w:rsid w:val="002953D9"/>
    <w:rsid w:val="00295484"/>
    <w:rsid w:val="002954A5"/>
    <w:rsid w:val="002954BB"/>
    <w:rsid w:val="002954C1"/>
    <w:rsid w:val="002954C7"/>
    <w:rsid w:val="0029556B"/>
    <w:rsid w:val="002955C7"/>
    <w:rsid w:val="002955CB"/>
    <w:rsid w:val="00295677"/>
    <w:rsid w:val="0029568C"/>
    <w:rsid w:val="00295713"/>
    <w:rsid w:val="00295716"/>
    <w:rsid w:val="0029573C"/>
    <w:rsid w:val="00295758"/>
    <w:rsid w:val="002957EF"/>
    <w:rsid w:val="0029586C"/>
    <w:rsid w:val="002958A5"/>
    <w:rsid w:val="00295916"/>
    <w:rsid w:val="0029591C"/>
    <w:rsid w:val="00295923"/>
    <w:rsid w:val="002959AE"/>
    <w:rsid w:val="002959EF"/>
    <w:rsid w:val="00295A0B"/>
    <w:rsid w:val="00295A10"/>
    <w:rsid w:val="00295A42"/>
    <w:rsid w:val="00295A47"/>
    <w:rsid w:val="00295A9C"/>
    <w:rsid w:val="00295A9E"/>
    <w:rsid w:val="00295B12"/>
    <w:rsid w:val="00295B19"/>
    <w:rsid w:val="00295B77"/>
    <w:rsid w:val="00295BA2"/>
    <w:rsid w:val="00295C09"/>
    <w:rsid w:val="00295D7C"/>
    <w:rsid w:val="00295D9E"/>
    <w:rsid w:val="00295DC1"/>
    <w:rsid w:val="00295DD4"/>
    <w:rsid w:val="00295E35"/>
    <w:rsid w:val="00295E4B"/>
    <w:rsid w:val="00295EBB"/>
    <w:rsid w:val="00295F13"/>
    <w:rsid w:val="00295F3D"/>
    <w:rsid w:val="00295F9E"/>
    <w:rsid w:val="00295FD6"/>
    <w:rsid w:val="00295FF2"/>
    <w:rsid w:val="00295FFF"/>
    <w:rsid w:val="00296011"/>
    <w:rsid w:val="002960CF"/>
    <w:rsid w:val="00296205"/>
    <w:rsid w:val="00296232"/>
    <w:rsid w:val="00296238"/>
    <w:rsid w:val="00296274"/>
    <w:rsid w:val="002962A5"/>
    <w:rsid w:val="002962A8"/>
    <w:rsid w:val="002962B6"/>
    <w:rsid w:val="002962BC"/>
    <w:rsid w:val="0029635D"/>
    <w:rsid w:val="0029637B"/>
    <w:rsid w:val="0029638B"/>
    <w:rsid w:val="002963B8"/>
    <w:rsid w:val="002963E0"/>
    <w:rsid w:val="00296422"/>
    <w:rsid w:val="00296426"/>
    <w:rsid w:val="00296427"/>
    <w:rsid w:val="00296488"/>
    <w:rsid w:val="002964E4"/>
    <w:rsid w:val="00296524"/>
    <w:rsid w:val="00296551"/>
    <w:rsid w:val="0029655B"/>
    <w:rsid w:val="0029657E"/>
    <w:rsid w:val="00296590"/>
    <w:rsid w:val="0029659E"/>
    <w:rsid w:val="002966C9"/>
    <w:rsid w:val="002966DE"/>
    <w:rsid w:val="0029672F"/>
    <w:rsid w:val="0029674D"/>
    <w:rsid w:val="0029677A"/>
    <w:rsid w:val="002967CE"/>
    <w:rsid w:val="002967F0"/>
    <w:rsid w:val="002967F3"/>
    <w:rsid w:val="0029680D"/>
    <w:rsid w:val="00296863"/>
    <w:rsid w:val="00296892"/>
    <w:rsid w:val="0029690C"/>
    <w:rsid w:val="0029698E"/>
    <w:rsid w:val="00296A1D"/>
    <w:rsid w:val="00296A63"/>
    <w:rsid w:val="00296AE2"/>
    <w:rsid w:val="00296B6E"/>
    <w:rsid w:val="00296BD1"/>
    <w:rsid w:val="00296C34"/>
    <w:rsid w:val="00296C39"/>
    <w:rsid w:val="00296C90"/>
    <w:rsid w:val="00296C9E"/>
    <w:rsid w:val="00296CC6"/>
    <w:rsid w:val="00296CDA"/>
    <w:rsid w:val="00296D0A"/>
    <w:rsid w:val="00296D25"/>
    <w:rsid w:val="00296DB7"/>
    <w:rsid w:val="00296E19"/>
    <w:rsid w:val="00296E71"/>
    <w:rsid w:val="00296EE1"/>
    <w:rsid w:val="00296F84"/>
    <w:rsid w:val="00296F86"/>
    <w:rsid w:val="00296FC2"/>
    <w:rsid w:val="002970EA"/>
    <w:rsid w:val="0029716A"/>
    <w:rsid w:val="0029718F"/>
    <w:rsid w:val="0029722E"/>
    <w:rsid w:val="002972DA"/>
    <w:rsid w:val="002972DE"/>
    <w:rsid w:val="002972E7"/>
    <w:rsid w:val="0029730F"/>
    <w:rsid w:val="00297314"/>
    <w:rsid w:val="0029736B"/>
    <w:rsid w:val="002973F0"/>
    <w:rsid w:val="00297472"/>
    <w:rsid w:val="00297483"/>
    <w:rsid w:val="0029748A"/>
    <w:rsid w:val="0029749A"/>
    <w:rsid w:val="002974C6"/>
    <w:rsid w:val="00297512"/>
    <w:rsid w:val="00297560"/>
    <w:rsid w:val="00297569"/>
    <w:rsid w:val="00297592"/>
    <w:rsid w:val="002975A1"/>
    <w:rsid w:val="002975C4"/>
    <w:rsid w:val="00297620"/>
    <w:rsid w:val="0029764F"/>
    <w:rsid w:val="002976A2"/>
    <w:rsid w:val="002976CF"/>
    <w:rsid w:val="00297771"/>
    <w:rsid w:val="002977B4"/>
    <w:rsid w:val="002977C3"/>
    <w:rsid w:val="0029787B"/>
    <w:rsid w:val="0029794C"/>
    <w:rsid w:val="00297968"/>
    <w:rsid w:val="002979C1"/>
    <w:rsid w:val="00297A1E"/>
    <w:rsid w:val="00297A31"/>
    <w:rsid w:val="00297AA8"/>
    <w:rsid w:val="00297ADC"/>
    <w:rsid w:val="00297B31"/>
    <w:rsid w:val="00297B75"/>
    <w:rsid w:val="00297BBD"/>
    <w:rsid w:val="00297CFA"/>
    <w:rsid w:val="00297D07"/>
    <w:rsid w:val="00297D13"/>
    <w:rsid w:val="00297D70"/>
    <w:rsid w:val="00297D8A"/>
    <w:rsid w:val="00297DA3"/>
    <w:rsid w:val="00297DAB"/>
    <w:rsid w:val="00297E5E"/>
    <w:rsid w:val="00297E98"/>
    <w:rsid w:val="00297ED2"/>
    <w:rsid w:val="00297F45"/>
    <w:rsid w:val="00297FCF"/>
    <w:rsid w:val="00297FDF"/>
    <w:rsid w:val="002A0005"/>
    <w:rsid w:val="002A003E"/>
    <w:rsid w:val="002A00BD"/>
    <w:rsid w:val="002A00E9"/>
    <w:rsid w:val="002A01A8"/>
    <w:rsid w:val="002A0216"/>
    <w:rsid w:val="002A0221"/>
    <w:rsid w:val="002A0322"/>
    <w:rsid w:val="002A035D"/>
    <w:rsid w:val="002A03B3"/>
    <w:rsid w:val="002A03E5"/>
    <w:rsid w:val="002A0402"/>
    <w:rsid w:val="002A042B"/>
    <w:rsid w:val="002A0462"/>
    <w:rsid w:val="002A0474"/>
    <w:rsid w:val="002A04A7"/>
    <w:rsid w:val="002A0514"/>
    <w:rsid w:val="002A059D"/>
    <w:rsid w:val="002A062D"/>
    <w:rsid w:val="002A0646"/>
    <w:rsid w:val="002A06A0"/>
    <w:rsid w:val="002A078C"/>
    <w:rsid w:val="002A07A9"/>
    <w:rsid w:val="002A0829"/>
    <w:rsid w:val="002A0848"/>
    <w:rsid w:val="002A089D"/>
    <w:rsid w:val="002A090A"/>
    <w:rsid w:val="002A097A"/>
    <w:rsid w:val="002A09B5"/>
    <w:rsid w:val="002A09BF"/>
    <w:rsid w:val="002A09CC"/>
    <w:rsid w:val="002A0A21"/>
    <w:rsid w:val="002A0A55"/>
    <w:rsid w:val="002A0ADF"/>
    <w:rsid w:val="002A0AF9"/>
    <w:rsid w:val="002A0B10"/>
    <w:rsid w:val="002A0BAE"/>
    <w:rsid w:val="002A0BD7"/>
    <w:rsid w:val="002A0BE0"/>
    <w:rsid w:val="002A0BED"/>
    <w:rsid w:val="002A0C41"/>
    <w:rsid w:val="002A0C66"/>
    <w:rsid w:val="002A0C9C"/>
    <w:rsid w:val="002A0CD2"/>
    <w:rsid w:val="002A0D06"/>
    <w:rsid w:val="002A0D0C"/>
    <w:rsid w:val="002A0D47"/>
    <w:rsid w:val="002A0D7C"/>
    <w:rsid w:val="002A0DB2"/>
    <w:rsid w:val="002A0DD6"/>
    <w:rsid w:val="002A0DEA"/>
    <w:rsid w:val="002A0E53"/>
    <w:rsid w:val="002A0EC7"/>
    <w:rsid w:val="002A0F17"/>
    <w:rsid w:val="002A0F4E"/>
    <w:rsid w:val="002A1082"/>
    <w:rsid w:val="002A11B5"/>
    <w:rsid w:val="002A11D6"/>
    <w:rsid w:val="002A122B"/>
    <w:rsid w:val="002A123B"/>
    <w:rsid w:val="002A1261"/>
    <w:rsid w:val="002A126B"/>
    <w:rsid w:val="002A12AB"/>
    <w:rsid w:val="002A1339"/>
    <w:rsid w:val="002A139E"/>
    <w:rsid w:val="002A13B1"/>
    <w:rsid w:val="002A13CC"/>
    <w:rsid w:val="002A1424"/>
    <w:rsid w:val="002A1444"/>
    <w:rsid w:val="002A1445"/>
    <w:rsid w:val="002A145A"/>
    <w:rsid w:val="002A16B4"/>
    <w:rsid w:val="002A16FE"/>
    <w:rsid w:val="002A1750"/>
    <w:rsid w:val="002A19B1"/>
    <w:rsid w:val="002A19FE"/>
    <w:rsid w:val="002A1A07"/>
    <w:rsid w:val="002A1A10"/>
    <w:rsid w:val="002A1A50"/>
    <w:rsid w:val="002A1B34"/>
    <w:rsid w:val="002A1B77"/>
    <w:rsid w:val="002A1B96"/>
    <w:rsid w:val="002A1BC5"/>
    <w:rsid w:val="002A1BD5"/>
    <w:rsid w:val="002A1BE4"/>
    <w:rsid w:val="002A1C37"/>
    <w:rsid w:val="002A1C38"/>
    <w:rsid w:val="002A1C6A"/>
    <w:rsid w:val="002A1CAF"/>
    <w:rsid w:val="002A1CC0"/>
    <w:rsid w:val="002A1D00"/>
    <w:rsid w:val="002A1D09"/>
    <w:rsid w:val="002A1D3A"/>
    <w:rsid w:val="002A1DA0"/>
    <w:rsid w:val="002A1DA1"/>
    <w:rsid w:val="002A1E04"/>
    <w:rsid w:val="002A1E29"/>
    <w:rsid w:val="002A1E3D"/>
    <w:rsid w:val="002A1E9B"/>
    <w:rsid w:val="002A1EA6"/>
    <w:rsid w:val="002A1EAC"/>
    <w:rsid w:val="002A1EC0"/>
    <w:rsid w:val="002A1EE4"/>
    <w:rsid w:val="002A1EE7"/>
    <w:rsid w:val="002A1F0D"/>
    <w:rsid w:val="002A1F29"/>
    <w:rsid w:val="002A1F2E"/>
    <w:rsid w:val="002A1F3A"/>
    <w:rsid w:val="002A1F64"/>
    <w:rsid w:val="002A1F7D"/>
    <w:rsid w:val="002A1F7F"/>
    <w:rsid w:val="002A1F82"/>
    <w:rsid w:val="002A1FB9"/>
    <w:rsid w:val="002A20C7"/>
    <w:rsid w:val="002A2178"/>
    <w:rsid w:val="002A219B"/>
    <w:rsid w:val="002A2222"/>
    <w:rsid w:val="002A2258"/>
    <w:rsid w:val="002A22CC"/>
    <w:rsid w:val="002A22D5"/>
    <w:rsid w:val="002A23F4"/>
    <w:rsid w:val="002A2411"/>
    <w:rsid w:val="002A2424"/>
    <w:rsid w:val="002A247A"/>
    <w:rsid w:val="002A2496"/>
    <w:rsid w:val="002A2502"/>
    <w:rsid w:val="002A253A"/>
    <w:rsid w:val="002A255F"/>
    <w:rsid w:val="002A25E1"/>
    <w:rsid w:val="002A2683"/>
    <w:rsid w:val="002A2695"/>
    <w:rsid w:val="002A26BA"/>
    <w:rsid w:val="002A2719"/>
    <w:rsid w:val="002A2752"/>
    <w:rsid w:val="002A2765"/>
    <w:rsid w:val="002A27B6"/>
    <w:rsid w:val="002A2813"/>
    <w:rsid w:val="002A284E"/>
    <w:rsid w:val="002A2885"/>
    <w:rsid w:val="002A2896"/>
    <w:rsid w:val="002A29B1"/>
    <w:rsid w:val="002A29FA"/>
    <w:rsid w:val="002A2A11"/>
    <w:rsid w:val="002A2A2F"/>
    <w:rsid w:val="002A2A32"/>
    <w:rsid w:val="002A2B49"/>
    <w:rsid w:val="002A2B66"/>
    <w:rsid w:val="002A2B69"/>
    <w:rsid w:val="002A2B6D"/>
    <w:rsid w:val="002A2B8C"/>
    <w:rsid w:val="002A2BAD"/>
    <w:rsid w:val="002A2BCD"/>
    <w:rsid w:val="002A2BDA"/>
    <w:rsid w:val="002A2C03"/>
    <w:rsid w:val="002A2C16"/>
    <w:rsid w:val="002A2C19"/>
    <w:rsid w:val="002A2C42"/>
    <w:rsid w:val="002A2C6F"/>
    <w:rsid w:val="002A2C78"/>
    <w:rsid w:val="002A2C7A"/>
    <w:rsid w:val="002A2C8E"/>
    <w:rsid w:val="002A2CC7"/>
    <w:rsid w:val="002A2CDE"/>
    <w:rsid w:val="002A2D12"/>
    <w:rsid w:val="002A2D43"/>
    <w:rsid w:val="002A2D86"/>
    <w:rsid w:val="002A2DA5"/>
    <w:rsid w:val="002A2DBE"/>
    <w:rsid w:val="002A2DCB"/>
    <w:rsid w:val="002A2DF1"/>
    <w:rsid w:val="002A2E5A"/>
    <w:rsid w:val="002A2EA3"/>
    <w:rsid w:val="002A2F13"/>
    <w:rsid w:val="002A2FA9"/>
    <w:rsid w:val="002A2FEE"/>
    <w:rsid w:val="002A3028"/>
    <w:rsid w:val="002A307F"/>
    <w:rsid w:val="002A30AC"/>
    <w:rsid w:val="002A30B1"/>
    <w:rsid w:val="002A30C1"/>
    <w:rsid w:val="002A30EE"/>
    <w:rsid w:val="002A3126"/>
    <w:rsid w:val="002A3131"/>
    <w:rsid w:val="002A3144"/>
    <w:rsid w:val="002A3149"/>
    <w:rsid w:val="002A3160"/>
    <w:rsid w:val="002A3201"/>
    <w:rsid w:val="002A323A"/>
    <w:rsid w:val="002A327C"/>
    <w:rsid w:val="002A32B9"/>
    <w:rsid w:val="002A32EA"/>
    <w:rsid w:val="002A3364"/>
    <w:rsid w:val="002A3369"/>
    <w:rsid w:val="002A3498"/>
    <w:rsid w:val="002A34B1"/>
    <w:rsid w:val="002A34E3"/>
    <w:rsid w:val="002A34F2"/>
    <w:rsid w:val="002A3539"/>
    <w:rsid w:val="002A3543"/>
    <w:rsid w:val="002A357E"/>
    <w:rsid w:val="002A35EE"/>
    <w:rsid w:val="002A3600"/>
    <w:rsid w:val="002A3640"/>
    <w:rsid w:val="002A3692"/>
    <w:rsid w:val="002A36E0"/>
    <w:rsid w:val="002A3726"/>
    <w:rsid w:val="002A374D"/>
    <w:rsid w:val="002A37A0"/>
    <w:rsid w:val="002A37A7"/>
    <w:rsid w:val="002A3809"/>
    <w:rsid w:val="002A38FF"/>
    <w:rsid w:val="002A3905"/>
    <w:rsid w:val="002A393F"/>
    <w:rsid w:val="002A39DD"/>
    <w:rsid w:val="002A3A1F"/>
    <w:rsid w:val="002A3A22"/>
    <w:rsid w:val="002A3A2F"/>
    <w:rsid w:val="002A3A31"/>
    <w:rsid w:val="002A3A7D"/>
    <w:rsid w:val="002A3A90"/>
    <w:rsid w:val="002A3AF3"/>
    <w:rsid w:val="002A3AFF"/>
    <w:rsid w:val="002A3B00"/>
    <w:rsid w:val="002A3B15"/>
    <w:rsid w:val="002A3B22"/>
    <w:rsid w:val="002A3C21"/>
    <w:rsid w:val="002A3C24"/>
    <w:rsid w:val="002A3C68"/>
    <w:rsid w:val="002A3C7C"/>
    <w:rsid w:val="002A3C8D"/>
    <w:rsid w:val="002A3CC6"/>
    <w:rsid w:val="002A3D7B"/>
    <w:rsid w:val="002A3DA2"/>
    <w:rsid w:val="002A3DC5"/>
    <w:rsid w:val="002A3DDF"/>
    <w:rsid w:val="002A3DF0"/>
    <w:rsid w:val="002A3DFA"/>
    <w:rsid w:val="002A3E49"/>
    <w:rsid w:val="002A3E74"/>
    <w:rsid w:val="002A3E8E"/>
    <w:rsid w:val="002A3EDD"/>
    <w:rsid w:val="002A4023"/>
    <w:rsid w:val="002A405C"/>
    <w:rsid w:val="002A40DD"/>
    <w:rsid w:val="002A40E5"/>
    <w:rsid w:val="002A40F7"/>
    <w:rsid w:val="002A410F"/>
    <w:rsid w:val="002A4187"/>
    <w:rsid w:val="002A41F1"/>
    <w:rsid w:val="002A421C"/>
    <w:rsid w:val="002A4224"/>
    <w:rsid w:val="002A4241"/>
    <w:rsid w:val="002A4268"/>
    <w:rsid w:val="002A4287"/>
    <w:rsid w:val="002A42EC"/>
    <w:rsid w:val="002A4397"/>
    <w:rsid w:val="002A43F9"/>
    <w:rsid w:val="002A4482"/>
    <w:rsid w:val="002A44BD"/>
    <w:rsid w:val="002A44E1"/>
    <w:rsid w:val="002A450E"/>
    <w:rsid w:val="002A455F"/>
    <w:rsid w:val="002A4576"/>
    <w:rsid w:val="002A45DD"/>
    <w:rsid w:val="002A467F"/>
    <w:rsid w:val="002A46AE"/>
    <w:rsid w:val="002A46F9"/>
    <w:rsid w:val="002A477E"/>
    <w:rsid w:val="002A47B0"/>
    <w:rsid w:val="002A47B4"/>
    <w:rsid w:val="002A47BF"/>
    <w:rsid w:val="002A47FD"/>
    <w:rsid w:val="002A48A1"/>
    <w:rsid w:val="002A48BA"/>
    <w:rsid w:val="002A4907"/>
    <w:rsid w:val="002A4938"/>
    <w:rsid w:val="002A4939"/>
    <w:rsid w:val="002A4946"/>
    <w:rsid w:val="002A4976"/>
    <w:rsid w:val="002A4A4E"/>
    <w:rsid w:val="002A4AA8"/>
    <w:rsid w:val="002A4B3D"/>
    <w:rsid w:val="002A4B64"/>
    <w:rsid w:val="002A4B83"/>
    <w:rsid w:val="002A4C51"/>
    <w:rsid w:val="002A4C5A"/>
    <w:rsid w:val="002A4D65"/>
    <w:rsid w:val="002A4D93"/>
    <w:rsid w:val="002A4DC1"/>
    <w:rsid w:val="002A4DD0"/>
    <w:rsid w:val="002A4DDD"/>
    <w:rsid w:val="002A4E0F"/>
    <w:rsid w:val="002A4E5E"/>
    <w:rsid w:val="002A4EB6"/>
    <w:rsid w:val="002A4EE3"/>
    <w:rsid w:val="002A4F12"/>
    <w:rsid w:val="002A4F3E"/>
    <w:rsid w:val="002A4F74"/>
    <w:rsid w:val="002A4F99"/>
    <w:rsid w:val="002A4FA1"/>
    <w:rsid w:val="002A4FB4"/>
    <w:rsid w:val="002A4FD2"/>
    <w:rsid w:val="002A5032"/>
    <w:rsid w:val="002A5101"/>
    <w:rsid w:val="002A5106"/>
    <w:rsid w:val="002A514F"/>
    <w:rsid w:val="002A516B"/>
    <w:rsid w:val="002A525A"/>
    <w:rsid w:val="002A52FC"/>
    <w:rsid w:val="002A530A"/>
    <w:rsid w:val="002A530B"/>
    <w:rsid w:val="002A5332"/>
    <w:rsid w:val="002A534C"/>
    <w:rsid w:val="002A5377"/>
    <w:rsid w:val="002A53C7"/>
    <w:rsid w:val="002A53D1"/>
    <w:rsid w:val="002A5436"/>
    <w:rsid w:val="002A5496"/>
    <w:rsid w:val="002A54A0"/>
    <w:rsid w:val="002A54B2"/>
    <w:rsid w:val="002A54E2"/>
    <w:rsid w:val="002A55D4"/>
    <w:rsid w:val="002A5616"/>
    <w:rsid w:val="002A56EC"/>
    <w:rsid w:val="002A5743"/>
    <w:rsid w:val="002A5744"/>
    <w:rsid w:val="002A5789"/>
    <w:rsid w:val="002A57C4"/>
    <w:rsid w:val="002A57F0"/>
    <w:rsid w:val="002A57F1"/>
    <w:rsid w:val="002A580B"/>
    <w:rsid w:val="002A587F"/>
    <w:rsid w:val="002A5882"/>
    <w:rsid w:val="002A588A"/>
    <w:rsid w:val="002A5A4F"/>
    <w:rsid w:val="002A5A6A"/>
    <w:rsid w:val="002A5AA5"/>
    <w:rsid w:val="002A5AED"/>
    <w:rsid w:val="002A5B47"/>
    <w:rsid w:val="002A5B56"/>
    <w:rsid w:val="002A5C1F"/>
    <w:rsid w:val="002A5C35"/>
    <w:rsid w:val="002A5C7F"/>
    <w:rsid w:val="002A5CB9"/>
    <w:rsid w:val="002A5CC6"/>
    <w:rsid w:val="002A5CD2"/>
    <w:rsid w:val="002A5D14"/>
    <w:rsid w:val="002A5D28"/>
    <w:rsid w:val="002A5D61"/>
    <w:rsid w:val="002A5D6D"/>
    <w:rsid w:val="002A5D9A"/>
    <w:rsid w:val="002A5DB9"/>
    <w:rsid w:val="002A5E0B"/>
    <w:rsid w:val="002A5E13"/>
    <w:rsid w:val="002A5E50"/>
    <w:rsid w:val="002A5E5E"/>
    <w:rsid w:val="002A5EB6"/>
    <w:rsid w:val="002A5EBE"/>
    <w:rsid w:val="002A5EF4"/>
    <w:rsid w:val="002A5F13"/>
    <w:rsid w:val="002A5F21"/>
    <w:rsid w:val="002A5F4E"/>
    <w:rsid w:val="002A5F69"/>
    <w:rsid w:val="002A5F7E"/>
    <w:rsid w:val="002A5FA1"/>
    <w:rsid w:val="002A5FA4"/>
    <w:rsid w:val="002A5FB4"/>
    <w:rsid w:val="002A5FD4"/>
    <w:rsid w:val="002A6006"/>
    <w:rsid w:val="002A603F"/>
    <w:rsid w:val="002A6050"/>
    <w:rsid w:val="002A60F0"/>
    <w:rsid w:val="002A6163"/>
    <w:rsid w:val="002A618C"/>
    <w:rsid w:val="002A61A2"/>
    <w:rsid w:val="002A61AD"/>
    <w:rsid w:val="002A61C3"/>
    <w:rsid w:val="002A61CC"/>
    <w:rsid w:val="002A61EF"/>
    <w:rsid w:val="002A6230"/>
    <w:rsid w:val="002A6243"/>
    <w:rsid w:val="002A6270"/>
    <w:rsid w:val="002A6280"/>
    <w:rsid w:val="002A62F1"/>
    <w:rsid w:val="002A62F3"/>
    <w:rsid w:val="002A634F"/>
    <w:rsid w:val="002A6387"/>
    <w:rsid w:val="002A63CC"/>
    <w:rsid w:val="002A63E9"/>
    <w:rsid w:val="002A6430"/>
    <w:rsid w:val="002A6456"/>
    <w:rsid w:val="002A64EA"/>
    <w:rsid w:val="002A654A"/>
    <w:rsid w:val="002A6568"/>
    <w:rsid w:val="002A65E0"/>
    <w:rsid w:val="002A6645"/>
    <w:rsid w:val="002A66D5"/>
    <w:rsid w:val="002A6745"/>
    <w:rsid w:val="002A67F3"/>
    <w:rsid w:val="002A67F6"/>
    <w:rsid w:val="002A6800"/>
    <w:rsid w:val="002A6847"/>
    <w:rsid w:val="002A684A"/>
    <w:rsid w:val="002A6899"/>
    <w:rsid w:val="002A68B8"/>
    <w:rsid w:val="002A6910"/>
    <w:rsid w:val="002A6930"/>
    <w:rsid w:val="002A6968"/>
    <w:rsid w:val="002A69D7"/>
    <w:rsid w:val="002A6A8F"/>
    <w:rsid w:val="002A6B1A"/>
    <w:rsid w:val="002A6B25"/>
    <w:rsid w:val="002A6B9B"/>
    <w:rsid w:val="002A6B9F"/>
    <w:rsid w:val="002A6BFB"/>
    <w:rsid w:val="002A6C04"/>
    <w:rsid w:val="002A6C62"/>
    <w:rsid w:val="002A6C88"/>
    <w:rsid w:val="002A6CAB"/>
    <w:rsid w:val="002A6CC0"/>
    <w:rsid w:val="002A6CEB"/>
    <w:rsid w:val="002A6D5B"/>
    <w:rsid w:val="002A6D6B"/>
    <w:rsid w:val="002A6E1B"/>
    <w:rsid w:val="002A6E3C"/>
    <w:rsid w:val="002A6E7B"/>
    <w:rsid w:val="002A6EAD"/>
    <w:rsid w:val="002A6EB2"/>
    <w:rsid w:val="002A6ECA"/>
    <w:rsid w:val="002A6F16"/>
    <w:rsid w:val="002A6F24"/>
    <w:rsid w:val="002A6F32"/>
    <w:rsid w:val="002A6FA3"/>
    <w:rsid w:val="002A6FE3"/>
    <w:rsid w:val="002A7036"/>
    <w:rsid w:val="002A7049"/>
    <w:rsid w:val="002A7087"/>
    <w:rsid w:val="002A7088"/>
    <w:rsid w:val="002A70AD"/>
    <w:rsid w:val="002A70FA"/>
    <w:rsid w:val="002A710A"/>
    <w:rsid w:val="002A7130"/>
    <w:rsid w:val="002A713D"/>
    <w:rsid w:val="002A7148"/>
    <w:rsid w:val="002A71A2"/>
    <w:rsid w:val="002A71AF"/>
    <w:rsid w:val="002A71D6"/>
    <w:rsid w:val="002A71ED"/>
    <w:rsid w:val="002A7230"/>
    <w:rsid w:val="002A7240"/>
    <w:rsid w:val="002A7252"/>
    <w:rsid w:val="002A72C0"/>
    <w:rsid w:val="002A72C8"/>
    <w:rsid w:val="002A72FB"/>
    <w:rsid w:val="002A7366"/>
    <w:rsid w:val="002A737A"/>
    <w:rsid w:val="002A739B"/>
    <w:rsid w:val="002A73B2"/>
    <w:rsid w:val="002A7414"/>
    <w:rsid w:val="002A742E"/>
    <w:rsid w:val="002A747C"/>
    <w:rsid w:val="002A748E"/>
    <w:rsid w:val="002A74AF"/>
    <w:rsid w:val="002A74EF"/>
    <w:rsid w:val="002A7503"/>
    <w:rsid w:val="002A7540"/>
    <w:rsid w:val="002A75EB"/>
    <w:rsid w:val="002A75F3"/>
    <w:rsid w:val="002A7616"/>
    <w:rsid w:val="002A764E"/>
    <w:rsid w:val="002A7682"/>
    <w:rsid w:val="002A7694"/>
    <w:rsid w:val="002A7782"/>
    <w:rsid w:val="002A77F0"/>
    <w:rsid w:val="002A7806"/>
    <w:rsid w:val="002A7827"/>
    <w:rsid w:val="002A7870"/>
    <w:rsid w:val="002A78C6"/>
    <w:rsid w:val="002A78E7"/>
    <w:rsid w:val="002A7A78"/>
    <w:rsid w:val="002A7B61"/>
    <w:rsid w:val="002A7B8A"/>
    <w:rsid w:val="002A7BDE"/>
    <w:rsid w:val="002A7C0A"/>
    <w:rsid w:val="002A7CAC"/>
    <w:rsid w:val="002A7D93"/>
    <w:rsid w:val="002A7E85"/>
    <w:rsid w:val="002A7EB6"/>
    <w:rsid w:val="002B00A7"/>
    <w:rsid w:val="002B0170"/>
    <w:rsid w:val="002B018E"/>
    <w:rsid w:val="002B0263"/>
    <w:rsid w:val="002B02B6"/>
    <w:rsid w:val="002B02C3"/>
    <w:rsid w:val="002B02E1"/>
    <w:rsid w:val="002B03CF"/>
    <w:rsid w:val="002B03D7"/>
    <w:rsid w:val="002B0409"/>
    <w:rsid w:val="002B0430"/>
    <w:rsid w:val="002B0437"/>
    <w:rsid w:val="002B049B"/>
    <w:rsid w:val="002B04E8"/>
    <w:rsid w:val="002B0547"/>
    <w:rsid w:val="002B0566"/>
    <w:rsid w:val="002B05A3"/>
    <w:rsid w:val="002B064E"/>
    <w:rsid w:val="002B0664"/>
    <w:rsid w:val="002B06E6"/>
    <w:rsid w:val="002B06E7"/>
    <w:rsid w:val="002B07CF"/>
    <w:rsid w:val="002B0838"/>
    <w:rsid w:val="002B0840"/>
    <w:rsid w:val="002B0859"/>
    <w:rsid w:val="002B085D"/>
    <w:rsid w:val="002B098A"/>
    <w:rsid w:val="002B0997"/>
    <w:rsid w:val="002B09CD"/>
    <w:rsid w:val="002B0A0A"/>
    <w:rsid w:val="002B0A85"/>
    <w:rsid w:val="002B0A99"/>
    <w:rsid w:val="002B0B22"/>
    <w:rsid w:val="002B0B70"/>
    <w:rsid w:val="002B0B71"/>
    <w:rsid w:val="002B0BD6"/>
    <w:rsid w:val="002B0BDC"/>
    <w:rsid w:val="002B0BDE"/>
    <w:rsid w:val="002B0CBF"/>
    <w:rsid w:val="002B0D33"/>
    <w:rsid w:val="002B0D3B"/>
    <w:rsid w:val="002B0D5E"/>
    <w:rsid w:val="002B0DE4"/>
    <w:rsid w:val="002B0E05"/>
    <w:rsid w:val="002B0E7B"/>
    <w:rsid w:val="002B0E99"/>
    <w:rsid w:val="002B0EE8"/>
    <w:rsid w:val="002B0EEB"/>
    <w:rsid w:val="002B0F4F"/>
    <w:rsid w:val="002B0F65"/>
    <w:rsid w:val="002B0F71"/>
    <w:rsid w:val="002B0F7A"/>
    <w:rsid w:val="002B0F83"/>
    <w:rsid w:val="002B102A"/>
    <w:rsid w:val="002B1042"/>
    <w:rsid w:val="002B1047"/>
    <w:rsid w:val="002B1080"/>
    <w:rsid w:val="002B1101"/>
    <w:rsid w:val="002B1113"/>
    <w:rsid w:val="002B11B6"/>
    <w:rsid w:val="002B11F3"/>
    <w:rsid w:val="002B11FA"/>
    <w:rsid w:val="002B122F"/>
    <w:rsid w:val="002B1243"/>
    <w:rsid w:val="002B126E"/>
    <w:rsid w:val="002B12EF"/>
    <w:rsid w:val="002B132A"/>
    <w:rsid w:val="002B13DB"/>
    <w:rsid w:val="002B1497"/>
    <w:rsid w:val="002B14A6"/>
    <w:rsid w:val="002B14F4"/>
    <w:rsid w:val="002B1515"/>
    <w:rsid w:val="002B1537"/>
    <w:rsid w:val="002B153B"/>
    <w:rsid w:val="002B1563"/>
    <w:rsid w:val="002B158A"/>
    <w:rsid w:val="002B1606"/>
    <w:rsid w:val="002B1626"/>
    <w:rsid w:val="002B16C7"/>
    <w:rsid w:val="002B16D4"/>
    <w:rsid w:val="002B1714"/>
    <w:rsid w:val="002B174A"/>
    <w:rsid w:val="002B176C"/>
    <w:rsid w:val="002B1829"/>
    <w:rsid w:val="002B1836"/>
    <w:rsid w:val="002B1847"/>
    <w:rsid w:val="002B188A"/>
    <w:rsid w:val="002B188B"/>
    <w:rsid w:val="002B18A1"/>
    <w:rsid w:val="002B18DA"/>
    <w:rsid w:val="002B18F9"/>
    <w:rsid w:val="002B1928"/>
    <w:rsid w:val="002B1948"/>
    <w:rsid w:val="002B194D"/>
    <w:rsid w:val="002B1971"/>
    <w:rsid w:val="002B1978"/>
    <w:rsid w:val="002B1A0A"/>
    <w:rsid w:val="002B1A19"/>
    <w:rsid w:val="002B1A4D"/>
    <w:rsid w:val="002B1A90"/>
    <w:rsid w:val="002B1ACA"/>
    <w:rsid w:val="002B1AFB"/>
    <w:rsid w:val="002B1B2F"/>
    <w:rsid w:val="002B1BAE"/>
    <w:rsid w:val="002B1C26"/>
    <w:rsid w:val="002B1C58"/>
    <w:rsid w:val="002B1CA8"/>
    <w:rsid w:val="002B1CAA"/>
    <w:rsid w:val="002B1CB3"/>
    <w:rsid w:val="002B1D44"/>
    <w:rsid w:val="002B1D83"/>
    <w:rsid w:val="002B1D91"/>
    <w:rsid w:val="002B1D98"/>
    <w:rsid w:val="002B1DA4"/>
    <w:rsid w:val="002B1E11"/>
    <w:rsid w:val="002B1E4C"/>
    <w:rsid w:val="002B1E51"/>
    <w:rsid w:val="002B1E54"/>
    <w:rsid w:val="002B1E59"/>
    <w:rsid w:val="002B1EB9"/>
    <w:rsid w:val="002B1EBB"/>
    <w:rsid w:val="002B1EF7"/>
    <w:rsid w:val="002B1F5A"/>
    <w:rsid w:val="002B1FBE"/>
    <w:rsid w:val="002B1FC5"/>
    <w:rsid w:val="002B1FEB"/>
    <w:rsid w:val="002B2046"/>
    <w:rsid w:val="002B2095"/>
    <w:rsid w:val="002B209E"/>
    <w:rsid w:val="002B20A7"/>
    <w:rsid w:val="002B20B8"/>
    <w:rsid w:val="002B20CB"/>
    <w:rsid w:val="002B210C"/>
    <w:rsid w:val="002B2235"/>
    <w:rsid w:val="002B2259"/>
    <w:rsid w:val="002B2269"/>
    <w:rsid w:val="002B2275"/>
    <w:rsid w:val="002B22AD"/>
    <w:rsid w:val="002B231D"/>
    <w:rsid w:val="002B232B"/>
    <w:rsid w:val="002B2331"/>
    <w:rsid w:val="002B2338"/>
    <w:rsid w:val="002B23AD"/>
    <w:rsid w:val="002B244E"/>
    <w:rsid w:val="002B24BA"/>
    <w:rsid w:val="002B2522"/>
    <w:rsid w:val="002B255D"/>
    <w:rsid w:val="002B2579"/>
    <w:rsid w:val="002B2666"/>
    <w:rsid w:val="002B2688"/>
    <w:rsid w:val="002B26D4"/>
    <w:rsid w:val="002B26D9"/>
    <w:rsid w:val="002B2704"/>
    <w:rsid w:val="002B278B"/>
    <w:rsid w:val="002B27DF"/>
    <w:rsid w:val="002B27F4"/>
    <w:rsid w:val="002B2802"/>
    <w:rsid w:val="002B282F"/>
    <w:rsid w:val="002B284F"/>
    <w:rsid w:val="002B2853"/>
    <w:rsid w:val="002B2877"/>
    <w:rsid w:val="002B2896"/>
    <w:rsid w:val="002B28FC"/>
    <w:rsid w:val="002B2957"/>
    <w:rsid w:val="002B296A"/>
    <w:rsid w:val="002B2993"/>
    <w:rsid w:val="002B29F0"/>
    <w:rsid w:val="002B2A41"/>
    <w:rsid w:val="002B2A93"/>
    <w:rsid w:val="002B2ABD"/>
    <w:rsid w:val="002B2B2D"/>
    <w:rsid w:val="002B2B69"/>
    <w:rsid w:val="002B2BD3"/>
    <w:rsid w:val="002B2BDB"/>
    <w:rsid w:val="002B2C01"/>
    <w:rsid w:val="002B2C6B"/>
    <w:rsid w:val="002B2C72"/>
    <w:rsid w:val="002B2C85"/>
    <w:rsid w:val="002B2CA8"/>
    <w:rsid w:val="002B2CC9"/>
    <w:rsid w:val="002B2CCC"/>
    <w:rsid w:val="002B2CD3"/>
    <w:rsid w:val="002B2D4C"/>
    <w:rsid w:val="002B2D5D"/>
    <w:rsid w:val="002B2DBB"/>
    <w:rsid w:val="002B2DE1"/>
    <w:rsid w:val="002B2E00"/>
    <w:rsid w:val="002B2E6E"/>
    <w:rsid w:val="002B2E9F"/>
    <w:rsid w:val="002B2EB8"/>
    <w:rsid w:val="002B2F14"/>
    <w:rsid w:val="002B2FD7"/>
    <w:rsid w:val="002B302D"/>
    <w:rsid w:val="002B3051"/>
    <w:rsid w:val="002B30AE"/>
    <w:rsid w:val="002B30DD"/>
    <w:rsid w:val="002B318C"/>
    <w:rsid w:val="002B318F"/>
    <w:rsid w:val="002B3216"/>
    <w:rsid w:val="002B3248"/>
    <w:rsid w:val="002B32D7"/>
    <w:rsid w:val="002B32E6"/>
    <w:rsid w:val="002B3351"/>
    <w:rsid w:val="002B3352"/>
    <w:rsid w:val="002B3380"/>
    <w:rsid w:val="002B33C2"/>
    <w:rsid w:val="002B33DC"/>
    <w:rsid w:val="002B33E7"/>
    <w:rsid w:val="002B3405"/>
    <w:rsid w:val="002B341A"/>
    <w:rsid w:val="002B34E6"/>
    <w:rsid w:val="002B3507"/>
    <w:rsid w:val="002B355F"/>
    <w:rsid w:val="002B3691"/>
    <w:rsid w:val="002B36C9"/>
    <w:rsid w:val="002B36D6"/>
    <w:rsid w:val="002B36F2"/>
    <w:rsid w:val="002B36FC"/>
    <w:rsid w:val="002B3747"/>
    <w:rsid w:val="002B3748"/>
    <w:rsid w:val="002B3774"/>
    <w:rsid w:val="002B37B2"/>
    <w:rsid w:val="002B3829"/>
    <w:rsid w:val="002B38A6"/>
    <w:rsid w:val="002B38E4"/>
    <w:rsid w:val="002B38E8"/>
    <w:rsid w:val="002B3946"/>
    <w:rsid w:val="002B3A21"/>
    <w:rsid w:val="002B3A34"/>
    <w:rsid w:val="002B3A77"/>
    <w:rsid w:val="002B3AB7"/>
    <w:rsid w:val="002B3AD7"/>
    <w:rsid w:val="002B3B66"/>
    <w:rsid w:val="002B3BB7"/>
    <w:rsid w:val="002B3BE4"/>
    <w:rsid w:val="002B3C54"/>
    <w:rsid w:val="002B3C57"/>
    <w:rsid w:val="002B3D2B"/>
    <w:rsid w:val="002B3D6E"/>
    <w:rsid w:val="002B3E1A"/>
    <w:rsid w:val="002B3E7C"/>
    <w:rsid w:val="002B3EB3"/>
    <w:rsid w:val="002B3EB6"/>
    <w:rsid w:val="002B3F38"/>
    <w:rsid w:val="002B3F8D"/>
    <w:rsid w:val="002B3FAC"/>
    <w:rsid w:val="002B3FCF"/>
    <w:rsid w:val="002B3FE9"/>
    <w:rsid w:val="002B4062"/>
    <w:rsid w:val="002B406A"/>
    <w:rsid w:val="002B40EC"/>
    <w:rsid w:val="002B4152"/>
    <w:rsid w:val="002B417F"/>
    <w:rsid w:val="002B4195"/>
    <w:rsid w:val="002B41E2"/>
    <w:rsid w:val="002B41E5"/>
    <w:rsid w:val="002B4216"/>
    <w:rsid w:val="002B426B"/>
    <w:rsid w:val="002B4275"/>
    <w:rsid w:val="002B4278"/>
    <w:rsid w:val="002B42D6"/>
    <w:rsid w:val="002B42EF"/>
    <w:rsid w:val="002B42FC"/>
    <w:rsid w:val="002B4319"/>
    <w:rsid w:val="002B4352"/>
    <w:rsid w:val="002B4374"/>
    <w:rsid w:val="002B437D"/>
    <w:rsid w:val="002B4381"/>
    <w:rsid w:val="002B448D"/>
    <w:rsid w:val="002B44A2"/>
    <w:rsid w:val="002B44AF"/>
    <w:rsid w:val="002B452A"/>
    <w:rsid w:val="002B452E"/>
    <w:rsid w:val="002B4543"/>
    <w:rsid w:val="002B4544"/>
    <w:rsid w:val="002B454C"/>
    <w:rsid w:val="002B4576"/>
    <w:rsid w:val="002B4617"/>
    <w:rsid w:val="002B4664"/>
    <w:rsid w:val="002B46E8"/>
    <w:rsid w:val="002B476D"/>
    <w:rsid w:val="002B4776"/>
    <w:rsid w:val="002B47C0"/>
    <w:rsid w:val="002B48AF"/>
    <w:rsid w:val="002B492C"/>
    <w:rsid w:val="002B4934"/>
    <w:rsid w:val="002B4983"/>
    <w:rsid w:val="002B4A4E"/>
    <w:rsid w:val="002B4B4F"/>
    <w:rsid w:val="002B4B92"/>
    <w:rsid w:val="002B4BF4"/>
    <w:rsid w:val="002B4C59"/>
    <w:rsid w:val="002B4CDF"/>
    <w:rsid w:val="002B4CF8"/>
    <w:rsid w:val="002B4D01"/>
    <w:rsid w:val="002B4D33"/>
    <w:rsid w:val="002B4DCC"/>
    <w:rsid w:val="002B4DE2"/>
    <w:rsid w:val="002B4DF6"/>
    <w:rsid w:val="002B4DF7"/>
    <w:rsid w:val="002B4E3B"/>
    <w:rsid w:val="002B4E7E"/>
    <w:rsid w:val="002B4EA0"/>
    <w:rsid w:val="002B4EED"/>
    <w:rsid w:val="002B4EEF"/>
    <w:rsid w:val="002B4F0C"/>
    <w:rsid w:val="002B4F3B"/>
    <w:rsid w:val="002B4FA4"/>
    <w:rsid w:val="002B5017"/>
    <w:rsid w:val="002B501A"/>
    <w:rsid w:val="002B503D"/>
    <w:rsid w:val="002B5080"/>
    <w:rsid w:val="002B508F"/>
    <w:rsid w:val="002B5099"/>
    <w:rsid w:val="002B50A4"/>
    <w:rsid w:val="002B50C7"/>
    <w:rsid w:val="002B50E5"/>
    <w:rsid w:val="002B50F2"/>
    <w:rsid w:val="002B511D"/>
    <w:rsid w:val="002B5121"/>
    <w:rsid w:val="002B5127"/>
    <w:rsid w:val="002B51A4"/>
    <w:rsid w:val="002B51BE"/>
    <w:rsid w:val="002B5202"/>
    <w:rsid w:val="002B526E"/>
    <w:rsid w:val="002B529D"/>
    <w:rsid w:val="002B52EB"/>
    <w:rsid w:val="002B5349"/>
    <w:rsid w:val="002B538C"/>
    <w:rsid w:val="002B540F"/>
    <w:rsid w:val="002B542B"/>
    <w:rsid w:val="002B548F"/>
    <w:rsid w:val="002B5504"/>
    <w:rsid w:val="002B5542"/>
    <w:rsid w:val="002B5577"/>
    <w:rsid w:val="002B55BF"/>
    <w:rsid w:val="002B5610"/>
    <w:rsid w:val="002B5623"/>
    <w:rsid w:val="002B5671"/>
    <w:rsid w:val="002B570C"/>
    <w:rsid w:val="002B5785"/>
    <w:rsid w:val="002B57B8"/>
    <w:rsid w:val="002B57F6"/>
    <w:rsid w:val="002B5836"/>
    <w:rsid w:val="002B5851"/>
    <w:rsid w:val="002B58BF"/>
    <w:rsid w:val="002B5905"/>
    <w:rsid w:val="002B593F"/>
    <w:rsid w:val="002B596B"/>
    <w:rsid w:val="002B5994"/>
    <w:rsid w:val="002B59DD"/>
    <w:rsid w:val="002B59FC"/>
    <w:rsid w:val="002B5A76"/>
    <w:rsid w:val="002B5A93"/>
    <w:rsid w:val="002B5AC4"/>
    <w:rsid w:val="002B5BC1"/>
    <w:rsid w:val="002B5BE9"/>
    <w:rsid w:val="002B5BF3"/>
    <w:rsid w:val="002B5C50"/>
    <w:rsid w:val="002B5C69"/>
    <w:rsid w:val="002B5C6D"/>
    <w:rsid w:val="002B5CA2"/>
    <w:rsid w:val="002B5CAF"/>
    <w:rsid w:val="002B5CFC"/>
    <w:rsid w:val="002B5D03"/>
    <w:rsid w:val="002B5D18"/>
    <w:rsid w:val="002B5D61"/>
    <w:rsid w:val="002B5DB8"/>
    <w:rsid w:val="002B5E40"/>
    <w:rsid w:val="002B5E52"/>
    <w:rsid w:val="002B5E6A"/>
    <w:rsid w:val="002B5E80"/>
    <w:rsid w:val="002B5E8B"/>
    <w:rsid w:val="002B5ED5"/>
    <w:rsid w:val="002B5EF1"/>
    <w:rsid w:val="002B601F"/>
    <w:rsid w:val="002B6033"/>
    <w:rsid w:val="002B606B"/>
    <w:rsid w:val="002B606C"/>
    <w:rsid w:val="002B60F4"/>
    <w:rsid w:val="002B6112"/>
    <w:rsid w:val="002B614B"/>
    <w:rsid w:val="002B61A6"/>
    <w:rsid w:val="002B6216"/>
    <w:rsid w:val="002B621B"/>
    <w:rsid w:val="002B6222"/>
    <w:rsid w:val="002B6234"/>
    <w:rsid w:val="002B623D"/>
    <w:rsid w:val="002B6250"/>
    <w:rsid w:val="002B629C"/>
    <w:rsid w:val="002B6365"/>
    <w:rsid w:val="002B63A3"/>
    <w:rsid w:val="002B63AC"/>
    <w:rsid w:val="002B63E3"/>
    <w:rsid w:val="002B63E7"/>
    <w:rsid w:val="002B6419"/>
    <w:rsid w:val="002B645E"/>
    <w:rsid w:val="002B648E"/>
    <w:rsid w:val="002B64E6"/>
    <w:rsid w:val="002B651C"/>
    <w:rsid w:val="002B6542"/>
    <w:rsid w:val="002B65C6"/>
    <w:rsid w:val="002B65E0"/>
    <w:rsid w:val="002B667E"/>
    <w:rsid w:val="002B66AE"/>
    <w:rsid w:val="002B66FB"/>
    <w:rsid w:val="002B66FE"/>
    <w:rsid w:val="002B6707"/>
    <w:rsid w:val="002B672B"/>
    <w:rsid w:val="002B6760"/>
    <w:rsid w:val="002B6778"/>
    <w:rsid w:val="002B67A0"/>
    <w:rsid w:val="002B67EE"/>
    <w:rsid w:val="002B681E"/>
    <w:rsid w:val="002B6836"/>
    <w:rsid w:val="002B68CF"/>
    <w:rsid w:val="002B68D8"/>
    <w:rsid w:val="002B68EA"/>
    <w:rsid w:val="002B68FA"/>
    <w:rsid w:val="002B6955"/>
    <w:rsid w:val="002B69C2"/>
    <w:rsid w:val="002B6A15"/>
    <w:rsid w:val="002B6A9E"/>
    <w:rsid w:val="002B6AF7"/>
    <w:rsid w:val="002B6B00"/>
    <w:rsid w:val="002B6BCF"/>
    <w:rsid w:val="002B6C07"/>
    <w:rsid w:val="002B6C0B"/>
    <w:rsid w:val="002B6C1D"/>
    <w:rsid w:val="002B6C5D"/>
    <w:rsid w:val="002B6C70"/>
    <w:rsid w:val="002B6CA7"/>
    <w:rsid w:val="002B6CEE"/>
    <w:rsid w:val="002B6D29"/>
    <w:rsid w:val="002B6D6B"/>
    <w:rsid w:val="002B6D72"/>
    <w:rsid w:val="002B6DFE"/>
    <w:rsid w:val="002B6E09"/>
    <w:rsid w:val="002B6E72"/>
    <w:rsid w:val="002B6E90"/>
    <w:rsid w:val="002B6EBE"/>
    <w:rsid w:val="002B6EC9"/>
    <w:rsid w:val="002B6FDA"/>
    <w:rsid w:val="002B7004"/>
    <w:rsid w:val="002B7093"/>
    <w:rsid w:val="002B70C7"/>
    <w:rsid w:val="002B7157"/>
    <w:rsid w:val="002B7187"/>
    <w:rsid w:val="002B7192"/>
    <w:rsid w:val="002B71AA"/>
    <w:rsid w:val="002B7216"/>
    <w:rsid w:val="002B7275"/>
    <w:rsid w:val="002B7299"/>
    <w:rsid w:val="002B72E1"/>
    <w:rsid w:val="002B7308"/>
    <w:rsid w:val="002B731C"/>
    <w:rsid w:val="002B737F"/>
    <w:rsid w:val="002B7393"/>
    <w:rsid w:val="002B748C"/>
    <w:rsid w:val="002B74B5"/>
    <w:rsid w:val="002B752F"/>
    <w:rsid w:val="002B7541"/>
    <w:rsid w:val="002B7650"/>
    <w:rsid w:val="002B766A"/>
    <w:rsid w:val="002B76C7"/>
    <w:rsid w:val="002B76C9"/>
    <w:rsid w:val="002B76E5"/>
    <w:rsid w:val="002B76F4"/>
    <w:rsid w:val="002B7756"/>
    <w:rsid w:val="002B777D"/>
    <w:rsid w:val="002B7784"/>
    <w:rsid w:val="002B7788"/>
    <w:rsid w:val="002B781F"/>
    <w:rsid w:val="002B782C"/>
    <w:rsid w:val="002B7878"/>
    <w:rsid w:val="002B78A9"/>
    <w:rsid w:val="002B78CA"/>
    <w:rsid w:val="002B792D"/>
    <w:rsid w:val="002B7956"/>
    <w:rsid w:val="002B7983"/>
    <w:rsid w:val="002B7989"/>
    <w:rsid w:val="002B79B1"/>
    <w:rsid w:val="002B79CC"/>
    <w:rsid w:val="002B79EA"/>
    <w:rsid w:val="002B79FB"/>
    <w:rsid w:val="002B7A29"/>
    <w:rsid w:val="002B7A75"/>
    <w:rsid w:val="002B7AB0"/>
    <w:rsid w:val="002B7AED"/>
    <w:rsid w:val="002B7B6C"/>
    <w:rsid w:val="002B7BA0"/>
    <w:rsid w:val="002B7BFC"/>
    <w:rsid w:val="002B7C44"/>
    <w:rsid w:val="002B7D59"/>
    <w:rsid w:val="002B7D87"/>
    <w:rsid w:val="002B7D9B"/>
    <w:rsid w:val="002B7DBE"/>
    <w:rsid w:val="002B7F1E"/>
    <w:rsid w:val="002B7F3C"/>
    <w:rsid w:val="002B7F3F"/>
    <w:rsid w:val="002B7F55"/>
    <w:rsid w:val="002B7FAA"/>
    <w:rsid w:val="002C0010"/>
    <w:rsid w:val="002C0059"/>
    <w:rsid w:val="002C0074"/>
    <w:rsid w:val="002C00C5"/>
    <w:rsid w:val="002C00CC"/>
    <w:rsid w:val="002C0110"/>
    <w:rsid w:val="002C0117"/>
    <w:rsid w:val="002C011F"/>
    <w:rsid w:val="002C0177"/>
    <w:rsid w:val="002C018D"/>
    <w:rsid w:val="002C01A8"/>
    <w:rsid w:val="002C01F4"/>
    <w:rsid w:val="002C0220"/>
    <w:rsid w:val="002C022F"/>
    <w:rsid w:val="002C0243"/>
    <w:rsid w:val="002C0251"/>
    <w:rsid w:val="002C0265"/>
    <w:rsid w:val="002C0303"/>
    <w:rsid w:val="002C0339"/>
    <w:rsid w:val="002C039D"/>
    <w:rsid w:val="002C03AC"/>
    <w:rsid w:val="002C03C6"/>
    <w:rsid w:val="002C03EC"/>
    <w:rsid w:val="002C04AD"/>
    <w:rsid w:val="002C04DE"/>
    <w:rsid w:val="002C051A"/>
    <w:rsid w:val="002C0529"/>
    <w:rsid w:val="002C0545"/>
    <w:rsid w:val="002C054A"/>
    <w:rsid w:val="002C0566"/>
    <w:rsid w:val="002C05EB"/>
    <w:rsid w:val="002C0607"/>
    <w:rsid w:val="002C0655"/>
    <w:rsid w:val="002C06CD"/>
    <w:rsid w:val="002C0744"/>
    <w:rsid w:val="002C07C7"/>
    <w:rsid w:val="002C07E7"/>
    <w:rsid w:val="002C0843"/>
    <w:rsid w:val="002C087B"/>
    <w:rsid w:val="002C08B1"/>
    <w:rsid w:val="002C08FC"/>
    <w:rsid w:val="002C0900"/>
    <w:rsid w:val="002C0911"/>
    <w:rsid w:val="002C092F"/>
    <w:rsid w:val="002C09AC"/>
    <w:rsid w:val="002C09C8"/>
    <w:rsid w:val="002C09E7"/>
    <w:rsid w:val="002C0A30"/>
    <w:rsid w:val="002C0A8C"/>
    <w:rsid w:val="002C0AB4"/>
    <w:rsid w:val="002C0ADA"/>
    <w:rsid w:val="002C0AE7"/>
    <w:rsid w:val="002C0AEE"/>
    <w:rsid w:val="002C0B00"/>
    <w:rsid w:val="002C0B0C"/>
    <w:rsid w:val="002C0B0D"/>
    <w:rsid w:val="002C0B4D"/>
    <w:rsid w:val="002C0B6F"/>
    <w:rsid w:val="002C0B88"/>
    <w:rsid w:val="002C0C2A"/>
    <w:rsid w:val="002C0C69"/>
    <w:rsid w:val="002C0C6F"/>
    <w:rsid w:val="002C0CA6"/>
    <w:rsid w:val="002C0CC1"/>
    <w:rsid w:val="002C0CC9"/>
    <w:rsid w:val="002C0D02"/>
    <w:rsid w:val="002C0D6D"/>
    <w:rsid w:val="002C0D9C"/>
    <w:rsid w:val="002C0DC5"/>
    <w:rsid w:val="002C0E17"/>
    <w:rsid w:val="002C0E46"/>
    <w:rsid w:val="002C0EE9"/>
    <w:rsid w:val="002C0EF1"/>
    <w:rsid w:val="002C0F14"/>
    <w:rsid w:val="002C0F23"/>
    <w:rsid w:val="002C0F3E"/>
    <w:rsid w:val="002C0F41"/>
    <w:rsid w:val="002C0F72"/>
    <w:rsid w:val="002C0FBF"/>
    <w:rsid w:val="002C0FC6"/>
    <w:rsid w:val="002C0FE4"/>
    <w:rsid w:val="002C107E"/>
    <w:rsid w:val="002C1083"/>
    <w:rsid w:val="002C10A6"/>
    <w:rsid w:val="002C10E7"/>
    <w:rsid w:val="002C110D"/>
    <w:rsid w:val="002C1135"/>
    <w:rsid w:val="002C1141"/>
    <w:rsid w:val="002C1151"/>
    <w:rsid w:val="002C115E"/>
    <w:rsid w:val="002C11C5"/>
    <w:rsid w:val="002C1358"/>
    <w:rsid w:val="002C13C5"/>
    <w:rsid w:val="002C148A"/>
    <w:rsid w:val="002C150C"/>
    <w:rsid w:val="002C150D"/>
    <w:rsid w:val="002C151F"/>
    <w:rsid w:val="002C158E"/>
    <w:rsid w:val="002C15EE"/>
    <w:rsid w:val="002C1630"/>
    <w:rsid w:val="002C1631"/>
    <w:rsid w:val="002C166E"/>
    <w:rsid w:val="002C16B3"/>
    <w:rsid w:val="002C16D6"/>
    <w:rsid w:val="002C16E6"/>
    <w:rsid w:val="002C1712"/>
    <w:rsid w:val="002C1739"/>
    <w:rsid w:val="002C176F"/>
    <w:rsid w:val="002C1770"/>
    <w:rsid w:val="002C17C2"/>
    <w:rsid w:val="002C17EE"/>
    <w:rsid w:val="002C188A"/>
    <w:rsid w:val="002C18DC"/>
    <w:rsid w:val="002C18FC"/>
    <w:rsid w:val="002C19E5"/>
    <w:rsid w:val="002C1A16"/>
    <w:rsid w:val="002C1A17"/>
    <w:rsid w:val="002C1A7F"/>
    <w:rsid w:val="002C1A86"/>
    <w:rsid w:val="002C1A91"/>
    <w:rsid w:val="002C1AA6"/>
    <w:rsid w:val="002C1AB2"/>
    <w:rsid w:val="002C1AFC"/>
    <w:rsid w:val="002C1B6E"/>
    <w:rsid w:val="002C1B76"/>
    <w:rsid w:val="002C1B83"/>
    <w:rsid w:val="002C1BA4"/>
    <w:rsid w:val="002C1BAF"/>
    <w:rsid w:val="002C1BB7"/>
    <w:rsid w:val="002C1BE0"/>
    <w:rsid w:val="002C1BE8"/>
    <w:rsid w:val="002C1C38"/>
    <w:rsid w:val="002C1CAC"/>
    <w:rsid w:val="002C1CC5"/>
    <w:rsid w:val="002C1D19"/>
    <w:rsid w:val="002C1DA6"/>
    <w:rsid w:val="002C1DE9"/>
    <w:rsid w:val="002C1E0C"/>
    <w:rsid w:val="002C1E4A"/>
    <w:rsid w:val="002C1E6B"/>
    <w:rsid w:val="002C1E96"/>
    <w:rsid w:val="002C1E9F"/>
    <w:rsid w:val="002C1F81"/>
    <w:rsid w:val="002C1FAD"/>
    <w:rsid w:val="002C1FC6"/>
    <w:rsid w:val="002C1FD5"/>
    <w:rsid w:val="002C1FE6"/>
    <w:rsid w:val="002C2143"/>
    <w:rsid w:val="002C218A"/>
    <w:rsid w:val="002C219A"/>
    <w:rsid w:val="002C21DF"/>
    <w:rsid w:val="002C21E0"/>
    <w:rsid w:val="002C21E8"/>
    <w:rsid w:val="002C2201"/>
    <w:rsid w:val="002C225C"/>
    <w:rsid w:val="002C2298"/>
    <w:rsid w:val="002C22A8"/>
    <w:rsid w:val="002C22E1"/>
    <w:rsid w:val="002C22EF"/>
    <w:rsid w:val="002C2315"/>
    <w:rsid w:val="002C239E"/>
    <w:rsid w:val="002C23AA"/>
    <w:rsid w:val="002C23EE"/>
    <w:rsid w:val="002C2431"/>
    <w:rsid w:val="002C248F"/>
    <w:rsid w:val="002C256E"/>
    <w:rsid w:val="002C2595"/>
    <w:rsid w:val="002C25E7"/>
    <w:rsid w:val="002C260B"/>
    <w:rsid w:val="002C2621"/>
    <w:rsid w:val="002C264F"/>
    <w:rsid w:val="002C26D5"/>
    <w:rsid w:val="002C26DD"/>
    <w:rsid w:val="002C271F"/>
    <w:rsid w:val="002C2769"/>
    <w:rsid w:val="002C276C"/>
    <w:rsid w:val="002C2787"/>
    <w:rsid w:val="002C27A0"/>
    <w:rsid w:val="002C27C0"/>
    <w:rsid w:val="002C2833"/>
    <w:rsid w:val="002C284C"/>
    <w:rsid w:val="002C284F"/>
    <w:rsid w:val="002C28A2"/>
    <w:rsid w:val="002C29A1"/>
    <w:rsid w:val="002C2A1F"/>
    <w:rsid w:val="002C2A64"/>
    <w:rsid w:val="002C2AA5"/>
    <w:rsid w:val="002C2AC5"/>
    <w:rsid w:val="002C2ACD"/>
    <w:rsid w:val="002C2ACE"/>
    <w:rsid w:val="002C2B79"/>
    <w:rsid w:val="002C2B9B"/>
    <w:rsid w:val="002C2BCB"/>
    <w:rsid w:val="002C2C9A"/>
    <w:rsid w:val="002C2CAD"/>
    <w:rsid w:val="002C2CD4"/>
    <w:rsid w:val="002C2D14"/>
    <w:rsid w:val="002C2D1B"/>
    <w:rsid w:val="002C2D77"/>
    <w:rsid w:val="002C2D87"/>
    <w:rsid w:val="002C2DD0"/>
    <w:rsid w:val="002C2DD7"/>
    <w:rsid w:val="002C2E53"/>
    <w:rsid w:val="002C2EBE"/>
    <w:rsid w:val="002C2EC0"/>
    <w:rsid w:val="002C2ED5"/>
    <w:rsid w:val="002C2EDB"/>
    <w:rsid w:val="002C2EDE"/>
    <w:rsid w:val="002C2F4F"/>
    <w:rsid w:val="002C2F7C"/>
    <w:rsid w:val="002C2F90"/>
    <w:rsid w:val="002C2FFE"/>
    <w:rsid w:val="002C3054"/>
    <w:rsid w:val="002C309A"/>
    <w:rsid w:val="002C30A5"/>
    <w:rsid w:val="002C30AD"/>
    <w:rsid w:val="002C30CA"/>
    <w:rsid w:val="002C3196"/>
    <w:rsid w:val="002C31A7"/>
    <w:rsid w:val="002C31DB"/>
    <w:rsid w:val="002C31E9"/>
    <w:rsid w:val="002C3208"/>
    <w:rsid w:val="002C32DC"/>
    <w:rsid w:val="002C333F"/>
    <w:rsid w:val="002C3357"/>
    <w:rsid w:val="002C3413"/>
    <w:rsid w:val="002C3483"/>
    <w:rsid w:val="002C34D6"/>
    <w:rsid w:val="002C3507"/>
    <w:rsid w:val="002C3524"/>
    <w:rsid w:val="002C3570"/>
    <w:rsid w:val="002C3574"/>
    <w:rsid w:val="002C357C"/>
    <w:rsid w:val="002C3587"/>
    <w:rsid w:val="002C35CA"/>
    <w:rsid w:val="002C35EF"/>
    <w:rsid w:val="002C3603"/>
    <w:rsid w:val="002C3681"/>
    <w:rsid w:val="002C36A2"/>
    <w:rsid w:val="002C36C5"/>
    <w:rsid w:val="002C36CC"/>
    <w:rsid w:val="002C370D"/>
    <w:rsid w:val="002C375B"/>
    <w:rsid w:val="002C3772"/>
    <w:rsid w:val="002C37B6"/>
    <w:rsid w:val="002C37EA"/>
    <w:rsid w:val="002C3885"/>
    <w:rsid w:val="002C38B9"/>
    <w:rsid w:val="002C38DD"/>
    <w:rsid w:val="002C392A"/>
    <w:rsid w:val="002C39AA"/>
    <w:rsid w:val="002C39AF"/>
    <w:rsid w:val="002C39E3"/>
    <w:rsid w:val="002C3A00"/>
    <w:rsid w:val="002C3A08"/>
    <w:rsid w:val="002C3A81"/>
    <w:rsid w:val="002C3AE0"/>
    <w:rsid w:val="002C3B49"/>
    <w:rsid w:val="002C3B85"/>
    <w:rsid w:val="002C3B9A"/>
    <w:rsid w:val="002C3BE7"/>
    <w:rsid w:val="002C3BF0"/>
    <w:rsid w:val="002C3C0B"/>
    <w:rsid w:val="002C3C18"/>
    <w:rsid w:val="002C3C1D"/>
    <w:rsid w:val="002C3C4B"/>
    <w:rsid w:val="002C3C7E"/>
    <w:rsid w:val="002C3CC1"/>
    <w:rsid w:val="002C3CE3"/>
    <w:rsid w:val="002C3D1D"/>
    <w:rsid w:val="002C3D53"/>
    <w:rsid w:val="002C3D8C"/>
    <w:rsid w:val="002C3DFF"/>
    <w:rsid w:val="002C3E31"/>
    <w:rsid w:val="002C3EC9"/>
    <w:rsid w:val="002C3F05"/>
    <w:rsid w:val="002C3F49"/>
    <w:rsid w:val="002C3F6C"/>
    <w:rsid w:val="002C3F7E"/>
    <w:rsid w:val="002C4017"/>
    <w:rsid w:val="002C401A"/>
    <w:rsid w:val="002C4037"/>
    <w:rsid w:val="002C40B0"/>
    <w:rsid w:val="002C4199"/>
    <w:rsid w:val="002C4222"/>
    <w:rsid w:val="002C4223"/>
    <w:rsid w:val="002C422E"/>
    <w:rsid w:val="002C429B"/>
    <w:rsid w:val="002C42B1"/>
    <w:rsid w:val="002C4307"/>
    <w:rsid w:val="002C432D"/>
    <w:rsid w:val="002C436E"/>
    <w:rsid w:val="002C4393"/>
    <w:rsid w:val="002C43C8"/>
    <w:rsid w:val="002C43E4"/>
    <w:rsid w:val="002C4467"/>
    <w:rsid w:val="002C4475"/>
    <w:rsid w:val="002C44B4"/>
    <w:rsid w:val="002C44E0"/>
    <w:rsid w:val="002C4520"/>
    <w:rsid w:val="002C456B"/>
    <w:rsid w:val="002C45C9"/>
    <w:rsid w:val="002C45EA"/>
    <w:rsid w:val="002C45F0"/>
    <w:rsid w:val="002C4604"/>
    <w:rsid w:val="002C463D"/>
    <w:rsid w:val="002C4654"/>
    <w:rsid w:val="002C46BE"/>
    <w:rsid w:val="002C46DE"/>
    <w:rsid w:val="002C4765"/>
    <w:rsid w:val="002C4792"/>
    <w:rsid w:val="002C4843"/>
    <w:rsid w:val="002C48D7"/>
    <w:rsid w:val="002C48EC"/>
    <w:rsid w:val="002C498E"/>
    <w:rsid w:val="002C49C6"/>
    <w:rsid w:val="002C49D4"/>
    <w:rsid w:val="002C4A3C"/>
    <w:rsid w:val="002C4A51"/>
    <w:rsid w:val="002C4AA7"/>
    <w:rsid w:val="002C4AC8"/>
    <w:rsid w:val="002C4AED"/>
    <w:rsid w:val="002C4B24"/>
    <w:rsid w:val="002C4BC3"/>
    <w:rsid w:val="002C4C06"/>
    <w:rsid w:val="002C4C4E"/>
    <w:rsid w:val="002C4CFD"/>
    <w:rsid w:val="002C4D6F"/>
    <w:rsid w:val="002C4D97"/>
    <w:rsid w:val="002C4DA6"/>
    <w:rsid w:val="002C4DE0"/>
    <w:rsid w:val="002C4EFA"/>
    <w:rsid w:val="002C4F04"/>
    <w:rsid w:val="002C4F0B"/>
    <w:rsid w:val="002C4F8B"/>
    <w:rsid w:val="002C4FA2"/>
    <w:rsid w:val="002C4FFE"/>
    <w:rsid w:val="002C500B"/>
    <w:rsid w:val="002C5098"/>
    <w:rsid w:val="002C50F7"/>
    <w:rsid w:val="002C5113"/>
    <w:rsid w:val="002C517E"/>
    <w:rsid w:val="002C519A"/>
    <w:rsid w:val="002C52A8"/>
    <w:rsid w:val="002C52F9"/>
    <w:rsid w:val="002C532B"/>
    <w:rsid w:val="002C5347"/>
    <w:rsid w:val="002C53A3"/>
    <w:rsid w:val="002C5426"/>
    <w:rsid w:val="002C545B"/>
    <w:rsid w:val="002C558E"/>
    <w:rsid w:val="002C5618"/>
    <w:rsid w:val="002C5642"/>
    <w:rsid w:val="002C5662"/>
    <w:rsid w:val="002C5760"/>
    <w:rsid w:val="002C5767"/>
    <w:rsid w:val="002C5851"/>
    <w:rsid w:val="002C5855"/>
    <w:rsid w:val="002C5892"/>
    <w:rsid w:val="002C5897"/>
    <w:rsid w:val="002C589D"/>
    <w:rsid w:val="002C58EF"/>
    <w:rsid w:val="002C5934"/>
    <w:rsid w:val="002C5956"/>
    <w:rsid w:val="002C59C3"/>
    <w:rsid w:val="002C59D3"/>
    <w:rsid w:val="002C59FE"/>
    <w:rsid w:val="002C5AB5"/>
    <w:rsid w:val="002C5B40"/>
    <w:rsid w:val="002C5B73"/>
    <w:rsid w:val="002C5BF1"/>
    <w:rsid w:val="002C5C4D"/>
    <w:rsid w:val="002C5CCD"/>
    <w:rsid w:val="002C5D28"/>
    <w:rsid w:val="002C5D50"/>
    <w:rsid w:val="002C5D85"/>
    <w:rsid w:val="002C5D92"/>
    <w:rsid w:val="002C5DE0"/>
    <w:rsid w:val="002C5E67"/>
    <w:rsid w:val="002C5E74"/>
    <w:rsid w:val="002C5E9B"/>
    <w:rsid w:val="002C5ED8"/>
    <w:rsid w:val="002C5EE4"/>
    <w:rsid w:val="002C5EE5"/>
    <w:rsid w:val="002C5EF3"/>
    <w:rsid w:val="002C5F50"/>
    <w:rsid w:val="002C5FB7"/>
    <w:rsid w:val="002C6127"/>
    <w:rsid w:val="002C6163"/>
    <w:rsid w:val="002C61C5"/>
    <w:rsid w:val="002C61FB"/>
    <w:rsid w:val="002C6219"/>
    <w:rsid w:val="002C6224"/>
    <w:rsid w:val="002C6284"/>
    <w:rsid w:val="002C62E1"/>
    <w:rsid w:val="002C6361"/>
    <w:rsid w:val="002C637E"/>
    <w:rsid w:val="002C643B"/>
    <w:rsid w:val="002C644A"/>
    <w:rsid w:val="002C644D"/>
    <w:rsid w:val="002C64D1"/>
    <w:rsid w:val="002C6515"/>
    <w:rsid w:val="002C6592"/>
    <w:rsid w:val="002C65FD"/>
    <w:rsid w:val="002C6640"/>
    <w:rsid w:val="002C66C9"/>
    <w:rsid w:val="002C66F5"/>
    <w:rsid w:val="002C6714"/>
    <w:rsid w:val="002C6748"/>
    <w:rsid w:val="002C678D"/>
    <w:rsid w:val="002C67F4"/>
    <w:rsid w:val="002C6820"/>
    <w:rsid w:val="002C68A9"/>
    <w:rsid w:val="002C68CC"/>
    <w:rsid w:val="002C68CD"/>
    <w:rsid w:val="002C68FE"/>
    <w:rsid w:val="002C691A"/>
    <w:rsid w:val="002C6958"/>
    <w:rsid w:val="002C69DE"/>
    <w:rsid w:val="002C69E7"/>
    <w:rsid w:val="002C69F8"/>
    <w:rsid w:val="002C6A43"/>
    <w:rsid w:val="002C6ABF"/>
    <w:rsid w:val="002C6AC9"/>
    <w:rsid w:val="002C6B1E"/>
    <w:rsid w:val="002C6B2B"/>
    <w:rsid w:val="002C6BAF"/>
    <w:rsid w:val="002C6BD9"/>
    <w:rsid w:val="002C6C0A"/>
    <w:rsid w:val="002C6CAD"/>
    <w:rsid w:val="002C6CC1"/>
    <w:rsid w:val="002C6CE5"/>
    <w:rsid w:val="002C6D00"/>
    <w:rsid w:val="002C6D0B"/>
    <w:rsid w:val="002C6D53"/>
    <w:rsid w:val="002C6DEA"/>
    <w:rsid w:val="002C6DF9"/>
    <w:rsid w:val="002C6E3C"/>
    <w:rsid w:val="002C6E3F"/>
    <w:rsid w:val="002C6E54"/>
    <w:rsid w:val="002C6E59"/>
    <w:rsid w:val="002C6EC8"/>
    <w:rsid w:val="002C6F25"/>
    <w:rsid w:val="002C6FD4"/>
    <w:rsid w:val="002C7014"/>
    <w:rsid w:val="002C7081"/>
    <w:rsid w:val="002C70B7"/>
    <w:rsid w:val="002C7120"/>
    <w:rsid w:val="002C7166"/>
    <w:rsid w:val="002C71F2"/>
    <w:rsid w:val="002C725F"/>
    <w:rsid w:val="002C7280"/>
    <w:rsid w:val="002C7281"/>
    <w:rsid w:val="002C72B1"/>
    <w:rsid w:val="002C732E"/>
    <w:rsid w:val="002C73ED"/>
    <w:rsid w:val="002C73FE"/>
    <w:rsid w:val="002C7413"/>
    <w:rsid w:val="002C7435"/>
    <w:rsid w:val="002C74E0"/>
    <w:rsid w:val="002C75AA"/>
    <w:rsid w:val="002C75D8"/>
    <w:rsid w:val="002C763F"/>
    <w:rsid w:val="002C7681"/>
    <w:rsid w:val="002C7682"/>
    <w:rsid w:val="002C7685"/>
    <w:rsid w:val="002C76A0"/>
    <w:rsid w:val="002C76BA"/>
    <w:rsid w:val="002C76CC"/>
    <w:rsid w:val="002C7711"/>
    <w:rsid w:val="002C7718"/>
    <w:rsid w:val="002C771C"/>
    <w:rsid w:val="002C7764"/>
    <w:rsid w:val="002C7767"/>
    <w:rsid w:val="002C7780"/>
    <w:rsid w:val="002C7788"/>
    <w:rsid w:val="002C77BA"/>
    <w:rsid w:val="002C77D2"/>
    <w:rsid w:val="002C7837"/>
    <w:rsid w:val="002C7852"/>
    <w:rsid w:val="002C7858"/>
    <w:rsid w:val="002C78E1"/>
    <w:rsid w:val="002C790F"/>
    <w:rsid w:val="002C7986"/>
    <w:rsid w:val="002C79D1"/>
    <w:rsid w:val="002C7A31"/>
    <w:rsid w:val="002C7A71"/>
    <w:rsid w:val="002C7A86"/>
    <w:rsid w:val="002C7AFA"/>
    <w:rsid w:val="002C7B0D"/>
    <w:rsid w:val="002C7BEA"/>
    <w:rsid w:val="002C7C13"/>
    <w:rsid w:val="002C7C25"/>
    <w:rsid w:val="002C7C40"/>
    <w:rsid w:val="002C7C77"/>
    <w:rsid w:val="002C7C91"/>
    <w:rsid w:val="002C7C97"/>
    <w:rsid w:val="002C7CE6"/>
    <w:rsid w:val="002C7D06"/>
    <w:rsid w:val="002C7D4D"/>
    <w:rsid w:val="002C7D6E"/>
    <w:rsid w:val="002C7D78"/>
    <w:rsid w:val="002C7E1F"/>
    <w:rsid w:val="002C7E55"/>
    <w:rsid w:val="002C7E5B"/>
    <w:rsid w:val="002C7F61"/>
    <w:rsid w:val="002C7F6C"/>
    <w:rsid w:val="002C7F7B"/>
    <w:rsid w:val="002C7FB1"/>
    <w:rsid w:val="002C7FEC"/>
    <w:rsid w:val="002D003B"/>
    <w:rsid w:val="002D009E"/>
    <w:rsid w:val="002D00A5"/>
    <w:rsid w:val="002D01E2"/>
    <w:rsid w:val="002D02D8"/>
    <w:rsid w:val="002D02EE"/>
    <w:rsid w:val="002D0313"/>
    <w:rsid w:val="002D0381"/>
    <w:rsid w:val="002D03A9"/>
    <w:rsid w:val="002D0456"/>
    <w:rsid w:val="002D0459"/>
    <w:rsid w:val="002D04B3"/>
    <w:rsid w:val="002D04BF"/>
    <w:rsid w:val="002D0535"/>
    <w:rsid w:val="002D057E"/>
    <w:rsid w:val="002D05D0"/>
    <w:rsid w:val="002D063B"/>
    <w:rsid w:val="002D0656"/>
    <w:rsid w:val="002D069F"/>
    <w:rsid w:val="002D06A7"/>
    <w:rsid w:val="002D06B5"/>
    <w:rsid w:val="002D06C8"/>
    <w:rsid w:val="002D073A"/>
    <w:rsid w:val="002D074A"/>
    <w:rsid w:val="002D0754"/>
    <w:rsid w:val="002D0758"/>
    <w:rsid w:val="002D0767"/>
    <w:rsid w:val="002D07B1"/>
    <w:rsid w:val="002D082F"/>
    <w:rsid w:val="002D0835"/>
    <w:rsid w:val="002D0886"/>
    <w:rsid w:val="002D08F4"/>
    <w:rsid w:val="002D095E"/>
    <w:rsid w:val="002D09AC"/>
    <w:rsid w:val="002D09D1"/>
    <w:rsid w:val="002D09DC"/>
    <w:rsid w:val="002D09E8"/>
    <w:rsid w:val="002D0A02"/>
    <w:rsid w:val="002D0A4B"/>
    <w:rsid w:val="002D0A61"/>
    <w:rsid w:val="002D0A62"/>
    <w:rsid w:val="002D0A69"/>
    <w:rsid w:val="002D0A97"/>
    <w:rsid w:val="002D0AC8"/>
    <w:rsid w:val="002D0B3D"/>
    <w:rsid w:val="002D0B53"/>
    <w:rsid w:val="002D0B89"/>
    <w:rsid w:val="002D0BCE"/>
    <w:rsid w:val="002D0BF6"/>
    <w:rsid w:val="002D0C00"/>
    <w:rsid w:val="002D0C1E"/>
    <w:rsid w:val="002D0C83"/>
    <w:rsid w:val="002D0CA2"/>
    <w:rsid w:val="002D0D23"/>
    <w:rsid w:val="002D0D4A"/>
    <w:rsid w:val="002D0D69"/>
    <w:rsid w:val="002D0D79"/>
    <w:rsid w:val="002D0D9C"/>
    <w:rsid w:val="002D0DF6"/>
    <w:rsid w:val="002D0E61"/>
    <w:rsid w:val="002D0E6D"/>
    <w:rsid w:val="002D0E6F"/>
    <w:rsid w:val="002D0E75"/>
    <w:rsid w:val="002D0EE9"/>
    <w:rsid w:val="002D0F17"/>
    <w:rsid w:val="002D0F1B"/>
    <w:rsid w:val="002D0F6F"/>
    <w:rsid w:val="002D0F95"/>
    <w:rsid w:val="002D0FD5"/>
    <w:rsid w:val="002D1026"/>
    <w:rsid w:val="002D1042"/>
    <w:rsid w:val="002D106E"/>
    <w:rsid w:val="002D10A8"/>
    <w:rsid w:val="002D1131"/>
    <w:rsid w:val="002D11E9"/>
    <w:rsid w:val="002D11F8"/>
    <w:rsid w:val="002D1278"/>
    <w:rsid w:val="002D1287"/>
    <w:rsid w:val="002D12D1"/>
    <w:rsid w:val="002D12D9"/>
    <w:rsid w:val="002D13A8"/>
    <w:rsid w:val="002D14B0"/>
    <w:rsid w:val="002D14C2"/>
    <w:rsid w:val="002D1503"/>
    <w:rsid w:val="002D1525"/>
    <w:rsid w:val="002D1564"/>
    <w:rsid w:val="002D15A1"/>
    <w:rsid w:val="002D15B6"/>
    <w:rsid w:val="002D15D5"/>
    <w:rsid w:val="002D1695"/>
    <w:rsid w:val="002D16FA"/>
    <w:rsid w:val="002D1703"/>
    <w:rsid w:val="002D174E"/>
    <w:rsid w:val="002D17C6"/>
    <w:rsid w:val="002D180A"/>
    <w:rsid w:val="002D1824"/>
    <w:rsid w:val="002D1856"/>
    <w:rsid w:val="002D18B1"/>
    <w:rsid w:val="002D18DF"/>
    <w:rsid w:val="002D1928"/>
    <w:rsid w:val="002D1930"/>
    <w:rsid w:val="002D194A"/>
    <w:rsid w:val="002D196C"/>
    <w:rsid w:val="002D1A47"/>
    <w:rsid w:val="002D1AA0"/>
    <w:rsid w:val="002D1AB5"/>
    <w:rsid w:val="002D1B06"/>
    <w:rsid w:val="002D1B22"/>
    <w:rsid w:val="002D1B31"/>
    <w:rsid w:val="002D1BCD"/>
    <w:rsid w:val="002D1C47"/>
    <w:rsid w:val="002D1C57"/>
    <w:rsid w:val="002D1C6B"/>
    <w:rsid w:val="002D1C7C"/>
    <w:rsid w:val="002D1C87"/>
    <w:rsid w:val="002D1CB3"/>
    <w:rsid w:val="002D1CBE"/>
    <w:rsid w:val="002D1D11"/>
    <w:rsid w:val="002D1D88"/>
    <w:rsid w:val="002D1DBD"/>
    <w:rsid w:val="002D1DFD"/>
    <w:rsid w:val="002D1DFE"/>
    <w:rsid w:val="002D1E2B"/>
    <w:rsid w:val="002D1E56"/>
    <w:rsid w:val="002D1E66"/>
    <w:rsid w:val="002D1E68"/>
    <w:rsid w:val="002D1F1A"/>
    <w:rsid w:val="002D1F69"/>
    <w:rsid w:val="002D1FA1"/>
    <w:rsid w:val="002D1FFA"/>
    <w:rsid w:val="002D204E"/>
    <w:rsid w:val="002D2058"/>
    <w:rsid w:val="002D205D"/>
    <w:rsid w:val="002D208F"/>
    <w:rsid w:val="002D20BB"/>
    <w:rsid w:val="002D20FA"/>
    <w:rsid w:val="002D212E"/>
    <w:rsid w:val="002D2165"/>
    <w:rsid w:val="002D218F"/>
    <w:rsid w:val="002D2194"/>
    <w:rsid w:val="002D2244"/>
    <w:rsid w:val="002D225B"/>
    <w:rsid w:val="002D22B3"/>
    <w:rsid w:val="002D22D3"/>
    <w:rsid w:val="002D236F"/>
    <w:rsid w:val="002D23CA"/>
    <w:rsid w:val="002D2461"/>
    <w:rsid w:val="002D248E"/>
    <w:rsid w:val="002D2549"/>
    <w:rsid w:val="002D2573"/>
    <w:rsid w:val="002D2595"/>
    <w:rsid w:val="002D259B"/>
    <w:rsid w:val="002D25D6"/>
    <w:rsid w:val="002D2607"/>
    <w:rsid w:val="002D2619"/>
    <w:rsid w:val="002D26A9"/>
    <w:rsid w:val="002D26C5"/>
    <w:rsid w:val="002D2703"/>
    <w:rsid w:val="002D2763"/>
    <w:rsid w:val="002D2770"/>
    <w:rsid w:val="002D27A5"/>
    <w:rsid w:val="002D27C6"/>
    <w:rsid w:val="002D2830"/>
    <w:rsid w:val="002D2847"/>
    <w:rsid w:val="002D286C"/>
    <w:rsid w:val="002D289B"/>
    <w:rsid w:val="002D28F8"/>
    <w:rsid w:val="002D2917"/>
    <w:rsid w:val="002D2930"/>
    <w:rsid w:val="002D2933"/>
    <w:rsid w:val="002D29A3"/>
    <w:rsid w:val="002D29B4"/>
    <w:rsid w:val="002D2A3A"/>
    <w:rsid w:val="002D2A89"/>
    <w:rsid w:val="002D2AE3"/>
    <w:rsid w:val="002D2AEF"/>
    <w:rsid w:val="002D2BA2"/>
    <w:rsid w:val="002D2C35"/>
    <w:rsid w:val="002D2C6A"/>
    <w:rsid w:val="002D2CC2"/>
    <w:rsid w:val="002D2DB2"/>
    <w:rsid w:val="002D2E6B"/>
    <w:rsid w:val="002D2E7D"/>
    <w:rsid w:val="002D2E9C"/>
    <w:rsid w:val="002D2F07"/>
    <w:rsid w:val="002D3028"/>
    <w:rsid w:val="002D304E"/>
    <w:rsid w:val="002D3095"/>
    <w:rsid w:val="002D310B"/>
    <w:rsid w:val="002D312F"/>
    <w:rsid w:val="002D3146"/>
    <w:rsid w:val="002D315E"/>
    <w:rsid w:val="002D316C"/>
    <w:rsid w:val="002D31EB"/>
    <w:rsid w:val="002D3201"/>
    <w:rsid w:val="002D323F"/>
    <w:rsid w:val="002D3244"/>
    <w:rsid w:val="002D3258"/>
    <w:rsid w:val="002D32BF"/>
    <w:rsid w:val="002D32D5"/>
    <w:rsid w:val="002D3328"/>
    <w:rsid w:val="002D337A"/>
    <w:rsid w:val="002D3380"/>
    <w:rsid w:val="002D338A"/>
    <w:rsid w:val="002D338E"/>
    <w:rsid w:val="002D33BE"/>
    <w:rsid w:val="002D3441"/>
    <w:rsid w:val="002D34C4"/>
    <w:rsid w:val="002D3571"/>
    <w:rsid w:val="002D3656"/>
    <w:rsid w:val="002D36D2"/>
    <w:rsid w:val="002D3728"/>
    <w:rsid w:val="002D3744"/>
    <w:rsid w:val="002D3754"/>
    <w:rsid w:val="002D375E"/>
    <w:rsid w:val="002D3768"/>
    <w:rsid w:val="002D376D"/>
    <w:rsid w:val="002D37CA"/>
    <w:rsid w:val="002D37CE"/>
    <w:rsid w:val="002D3820"/>
    <w:rsid w:val="002D3826"/>
    <w:rsid w:val="002D3856"/>
    <w:rsid w:val="002D3859"/>
    <w:rsid w:val="002D3864"/>
    <w:rsid w:val="002D386F"/>
    <w:rsid w:val="002D3876"/>
    <w:rsid w:val="002D38A7"/>
    <w:rsid w:val="002D38CB"/>
    <w:rsid w:val="002D392D"/>
    <w:rsid w:val="002D3954"/>
    <w:rsid w:val="002D3985"/>
    <w:rsid w:val="002D39AF"/>
    <w:rsid w:val="002D3A0A"/>
    <w:rsid w:val="002D3A20"/>
    <w:rsid w:val="002D3A3E"/>
    <w:rsid w:val="002D3A5F"/>
    <w:rsid w:val="002D3A9C"/>
    <w:rsid w:val="002D3AAC"/>
    <w:rsid w:val="002D3B8B"/>
    <w:rsid w:val="002D3BB1"/>
    <w:rsid w:val="002D3BD0"/>
    <w:rsid w:val="002D3C86"/>
    <w:rsid w:val="002D3CAF"/>
    <w:rsid w:val="002D3CD3"/>
    <w:rsid w:val="002D3D43"/>
    <w:rsid w:val="002D3D5D"/>
    <w:rsid w:val="002D3D6A"/>
    <w:rsid w:val="002D3D86"/>
    <w:rsid w:val="002D3E3E"/>
    <w:rsid w:val="002D3E4B"/>
    <w:rsid w:val="002D3E65"/>
    <w:rsid w:val="002D3EAD"/>
    <w:rsid w:val="002D3EE9"/>
    <w:rsid w:val="002D3F06"/>
    <w:rsid w:val="002D3F18"/>
    <w:rsid w:val="002D3F4C"/>
    <w:rsid w:val="002D3FED"/>
    <w:rsid w:val="002D4079"/>
    <w:rsid w:val="002D4091"/>
    <w:rsid w:val="002D40A0"/>
    <w:rsid w:val="002D40AB"/>
    <w:rsid w:val="002D40B6"/>
    <w:rsid w:val="002D4100"/>
    <w:rsid w:val="002D41A8"/>
    <w:rsid w:val="002D42AB"/>
    <w:rsid w:val="002D42DD"/>
    <w:rsid w:val="002D4317"/>
    <w:rsid w:val="002D433F"/>
    <w:rsid w:val="002D43A5"/>
    <w:rsid w:val="002D43E9"/>
    <w:rsid w:val="002D4443"/>
    <w:rsid w:val="002D4446"/>
    <w:rsid w:val="002D4501"/>
    <w:rsid w:val="002D452C"/>
    <w:rsid w:val="002D45B9"/>
    <w:rsid w:val="002D45BD"/>
    <w:rsid w:val="002D45BE"/>
    <w:rsid w:val="002D4605"/>
    <w:rsid w:val="002D46EA"/>
    <w:rsid w:val="002D4736"/>
    <w:rsid w:val="002D4787"/>
    <w:rsid w:val="002D47A1"/>
    <w:rsid w:val="002D47CF"/>
    <w:rsid w:val="002D47E2"/>
    <w:rsid w:val="002D47E5"/>
    <w:rsid w:val="002D4873"/>
    <w:rsid w:val="002D48B2"/>
    <w:rsid w:val="002D4900"/>
    <w:rsid w:val="002D4955"/>
    <w:rsid w:val="002D495C"/>
    <w:rsid w:val="002D4A15"/>
    <w:rsid w:val="002D4ABA"/>
    <w:rsid w:val="002D4B5B"/>
    <w:rsid w:val="002D4B68"/>
    <w:rsid w:val="002D4B9E"/>
    <w:rsid w:val="002D4BEE"/>
    <w:rsid w:val="002D4C23"/>
    <w:rsid w:val="002D4C27"/>
    <w:rsid w:val="002D4C2C"/>
    <w:rsid w:val="002D4C4D"/>
    <w:rsid w:val="002D4CE6"/>
    <w:rsid w:val="002D4DB8"/>
    <w:rsid w:val="002D4E43"/>
    <w:rsid w:val="002D4EA1"/>
    <w:rsid w:val="002D4EAC"/>
    <w:rsid w:val="002D4EB8"/>
    <w:rsid w:val="002D4F05"/>
    <w:rsid w:val="002D4F24"/>
    <w:rsid w:val="002D4F28"/>
    <w:rsid w:val="002D4F55"/>
    <w:rsid w:val="002D4F6C"/>
    <w:rsid w:val="002D4FB3"/>
    <w:rsid w:val="002D4FE8"/>
    <w:rsid w:val="002D4FEF"/>
    <w:rsid w:val="002D5000"/>
    <w:rsid w:val="002D5121"/>
    <w:rsid w:val="002D5157"/>
    <w:rsid w:val="002D515D"/>
    <w:rsid w:val="002D5183"/>
    <w:rsid w:val="002D520B"/>
    <w:rsid w:val="002D5222"/>
    <w:rsid w:val="002D52B9"/>
    <w:rsid w:val="002D52D2"/>
    <w:rsid w:val="002D52E3"/>
    <w:rsid w:val="002D530A"/>
    <w:rsid w:val="002D5336"/>
    <w:rsid w:val="002D534B"/>
    <w:rsid w:val="002D5354"/>
    <w:rsid w:val="002D5396"/>
    <w:rsid w:val="002D53F8"/>
    <w:rsid w:val="002D555C"/>
    <w:rsid w:val="002D558D"/>
    <w:rsid w:val="002D564D"/>
    <w:rsid w:val="002D56BA"/>
    <w:rsid w:val="002D56C3"/>
    <w:rsid w:val="002D56C5"/>
    <w:rsid w:val="002D56DF"/>
    <w:rsid w:val="002D5725"/>
    <w:rsid w:val="002D5835"/>
    <w:rsid w:val="002D585F"/>
    <w:rsid w:val="002D5860"/>
    <w:rsid w:val="002D58AD"/>
    <w:rsid w:val="002D5929"/>
    <w:rsid w:val="002D594F"/>
    <w:rsid w:val="002D5AEF"/>
    <w:rsid w:val="002D5B3E"/>
    <w:rsid w:val="002D5B42"/>
    <w:rsid w:val="002D5B60"/>
    <w:rsid w:val="002D5B66"/>
    <w:rsid w:val="002D5C00"/>
    <w:rsid w:val="002D5C30"/>
    <w:rsid w:val="002D5C70"/>
    <w:rsid w:val="002D5C7F"/>
    <w:rsid w:val="002D5CB0"/>
    <w:rsid w:val="002D5CCC"/>
    <w:rsid w:val="002D5D27"/>
    <w:rsid w:val="002D5D4D"/>
    <w:rsid w:val="002D5DF9"/>
    <w:rsid w:val="002D5E0D"/>
    <w:rsid w:val="002D5E12"/>
    <w:rsid w:val="002D5E20"/>
    <w:rsid w:val="002D5E25"/>
    <w:rsid w:val="002D5E2A"/>
    <w:rsid w:val="002D5EBE"/>
    <w:rsid w:val="002D5EC7"/>
    <w:rsid w:val="002D5F32"/>
    <w:rsid w:val="002D6037"/>
    <w:rsid w:val="002D609C"/>
    <w:rsid w:val="002D60AB"/>
    <w:rsid w:val="002D60AD"/>
    <w:rsid w:val="002D6163"/>
    <w:rsid w:val="002D616E"/>
    <w:rsid w:val="002D6175"/>
    <w:rsid w:val="002D6187"/>
    <w:rsid w:val="002D6199"/>
    <w:rsid w:val="002D61B0"/>
    <w:rsid w:val="002D61E1"/>
    <w:rsid w:val="002D61EA"/>
    <w:rsid w:val="002D6209"/>
    <w:rsid w:val="002D622B"/>
    <w:rsid w:val="002D62A2"/>
    <w:rsid w:val="002D62B3"/>
    <w:rsid w:val="002D62BC"/>
    <w:rsid w:val="002D62F0"/>
    <w:rsid w:val="002D636B"/>
    <w:rsid w:val="002D6370"/>
    <w:rsid w:val="002D637E"/>
    <w:rsid w:val="002D6397"/>
    <w:rsid w:val="002D63AA"/>
    <w:rsid w:val="002D63C6"/>
    <w:rsid w:val="002D63CE"/>
    <w:rsid w:val="002D63D8"/>
    <w:rsid w:val="002D6408"/>
    <w:rsid w:val="002D6409"/>
    <w:rsid w:val="002D6463"/>
    <w:rsid w:val="002D6464"/>
    <w:rsid w:val="002D6478"/>
    <w:rsid w:val="002D64AB"/>
    <w:rsid w:val="002D64C1"/>
    <w:rsid w:val="002D64E3"/>
    <w:rsid w:val="002D6519"/>
    <w:rsid w:val="002D6549"/>
    <w:rsid w:val="002D6552"/>
    <w:rsid w:val="002D655F"/>
    <w:rsid w:val="002D6565"/>
    <w:rsid w:val="002D656D"/>
    <w:rsid w:val="002D6575"/>
    <w:rsid w:val="002D65FC"/>
    <w:rsid w:val="002D6660"/>
    <w:rsid w:val="002D66BB"/>
    <w:rsid w:val="002D671A"/>
    <w:rsid w:val="002D672B"/>
    <w:rsid w:val="002D67D2"/>
    <w:rsid w:val="002D67E7"/>
    <w:rsid w:val="002D6820"/>
    <w:rsid w:val="002D688C"/>
    <w:rsid w:val="002D6940"/>
    <w:rsid w:val="002D695B"/>
    <w:rsid w:val="002D699E"/>
    <w:rsid w:val="002D69F4"/>
    <w:rsid w:val="002D69FD"/>
    <w:rsid w:val="002D6A1A"/>
    <w:rsid w:val="002D6A35"/>
    <w:rsid w:val="002D6A6A"/>
    <w:rsid w:val="002D6A83"/>
    <w:rsid w:val="002D6B73"/>
    <w:rsid w:val="002D6B92"/>
    <w:rsid w:val="002D6BD6"/>
    <w:rsid w:val="002D6C15"/>
    <w:rsid w:val="002D6C6D"/>
    <w:rsid w:val="002D6CF3"/>
    <w:rsid w:val="002D6D2A"/>
    <w:rsid w:val="002D6DBB"/>
    <w:rsid w:val="002D6DE0"/>
    <w:rsid w:val="002D6DE9"/>
    <w:rsid w:val="002D6E61"/>
    <w:rsid w:val="002D6E91"/>
    <w:rsid w:val="002D6EDF"/>
    <w:rsid w:val="002D6EF2"/>
    <w:rsid w:val="002D6EF4"/>
    <w:rsid w:val="002D6FAC"/>
    <w:rsid w:val="002D6FBF"/>
    <w:rsid w:val="002D705D"/>
    <w:rsid w:val="002D7080"/>
    <w:rsid w:val="002D7084"/>
    <w:rsid w:val="002D7108"/>
    <w:rsid w:val="002D710C"/>
    <w:rsid w:val="002D7175"/>
    <w:rsid w:val="002D7253"/>
    <w:rsid w:val="002D7343"/>
    <w:rsid w:val="002D7357"/>
    <w:rsid w:val="002D736E"/>
    <w:rsid w:val="002D737D"/>
    <w:rsid w:val="002D7392"/>
    <w:rsid w:val="002D742C"/>
    <w:rsid w:val="002D7457"/>
    <w:rsid w:val="002D7478"/>
    <w:rsid w:val="002D74C1"/>
    <w:rsid w:val="002D74E3"/>
    <w:rsid w:val="002D74EF"/>
    <w:rsid w:val="002D7566"/>
    <w:rsid w:val="002D7569"/>
    <w:rsid w:val="002D757F"/>
    <w:rsid w:val="002D7640"/>
    <w:rsid w:val="002D764D"/>
    <w:rsid w:val="002D769A"/>
    <w:rsid w:val="002D76CC"/>
    <w:rsid w:val="002D76E6"/>
    <w:rsid w:val="002D7708"/>
    <w:rsid w:val="002D7710"/>
    <w:rsid w:val="002D7718"/>
    <w:rsid w:val="002D7786"/>
    <w:rsid w:val="002D7846"/>
    <w:rsid w:val="002D7862"/>
    <w:rsid w:val="002D7867"/>
    <w:rsid w:val="002D787B"/>
    <w:rsid w:val="002D78C0"/>
    <w:rsid w:val="002D78F8"/>
    <w:rsid w:val="002D7981"/>
    <w:rsid w:val="002D79DC"/>
    <w:rsid w:val="002D7A14"/>
    <w:rsid w:val="002D7A5E"/>
    <w:rsid w:val="002D7B15"/>
    <w:rsid w:val="002D7B48"/>
    <w:rsid w:val="002D7B72"/>
    <w:rsid w:val="002D7BA6"/>
    <w:rsid w:val="002D7C4D"/>
    <w:rsid w:val="002D7C86"/>
    <w:rsid w:val="002D7CD5"/>
    <w:rsid w:val="002D7CDC"/>
    <w:rsid w:val="002D7D65"/>
    <w:rsid w:val="002D7E37"/>
    <w:rsid w:val="002D7E5D"/>
    <w:rsid w:val="002D7E69"/>
    <w:rsid w:val="002D7E87"/>
    <w:rsid w:val="002D7E93"/>
    <w:rsid w:val="002D7F7D"/>
    <w:rsid w:val="002D7F8B"/>
    <w:rsid w:val="002D7FF9"/>
    <w:rsid w:val="002E0030"/>
    <w:rsid w:val="002E00C2"/>
    <w:rsid w:val="002E00F1"/>
    <w:rsid w:val="002E00F4"/>
    <w:rsid w:val="002E011C"/>
    <w:rsid w:val="002E01E9"/>
    <w:rsid w:val="002E02AA"/>
    <w:rsid w:val="002E032D"/>
    <w:rsid w:val="002E036A"/>
    <w:rsid w:val="002E03AF"/>
    <w:rsid w:val="002E03CF"/>
    <w:rsid w:val="002E0431"/>
    <w:rsid w:val="002E0458"/>
    <w:rsid w:val="002E046E"/>
    <w:rsid w:val="002E047C"/>
    <w:rsid w:val="002E0491"/>
    <w:rsid w:val="002E04A9"/>
    <w:rsid w:val="002E04BD"/>
    <w:rsid w:val="002E053F"/>
    <w:rsid w:val="002E0592"/>
    <w:rsid w:val="002E0614"/>
    <w:rsid w:val="002E06F7"/>
    <w:rsid w:val="002E0724"/>
    <w:rsid w:val="002E0781"/>
    <w:rsid w:val="002E0784"/>
    <w:rsid w:val="002E0788"/>
    <w:rsid w:val="002E07DE"/>
    <w:rsid w:val="002E0806"/>
    <w:rsid w:val="002E0836"/>
    <w:rsid w:val="002E084E"/>
    <w:rsid w:val="002E0896"/>
    <w:rsid w:val="002E08D0"/>
    <w:rsid w:val="002E0946"/>
    <w:rsid w:val="002E094A"/>
    <w:rsid w:val="002E0969"/>
    <w:rsid w:val="002E0975"/>
    <w:rsid w:val="002E09A0"/>
    <w:rsid w:val="002E09DF"/>
    <w:rsid w:val="002E09F9"/>
    <w:rsid w:val="002E09FC"/>
    <w:rsid w:val="002E0A0F"/>
    <w:rsid w:val="002E0A28"/>
    <w:rsid w:val="002E0ADF"/>
    <w:rsid w:val="002E0B47"/>
    <w:rsid w:val="002E0BF0"/>
    <w:rsid w:val="002E0C2C"/>
    <w:rsid w:val="002E0C60"/>
    <w:rsid w:val="002E0C7C"/>
    <w:rsid w:val="002E0C80"/>
    <w:rsid w:val="002E0CAA"/>
    <w:rsid w:val="002E0D09"/>
    <w:rsid w:val="002E0D1C"/>
    <w:rsid w:val="002E0D56"/>
    <w:rsid w:val="002E0D69"/>
    <w:rsid w:val="002E0E24"/>
    <w:rsid w:val="002E0E34"/>
    <w:rsid w:val="002E0E42"/>
    <w:rsid w:val="002E0E6C"/>
    <w:rsid w:val="002E0E80"/>
    <w:rsid w:val="002E0ED1"/>
    <w:rsid w:val="002E0F1D"/>
    <w:rsid w:val="002E0F4B"/>
    <w:rsid w:val="002E0F74"/>
    <w:rsid w:val="002E0FB6"/>
    <w:rsid w:val="002E0FE0"/>
    <w:rsid w:val="002E0FF6"/>
    <w:rsid w:val="002E1016"/>
    <w:rsid w:val="002E10A5"/>
    <w:rsid w:val="002E10D4"/>
    <w:rsid w:val="002E10EF"/>
    <w:rsid w:val="002E111D"/>
    <w:rsid w:val="002E1125"/>
    <w:rsid w:val="002E1154"/>
    <w:rsid w:val="002E1183"/>
    <w:rsid w:val="002E1198"/>
    <w:rsid w:val="002E11A0"/>
    <w:rsid w:val="002E11F5"/>
    <w:rsid w:val="002E1216"/>
    <w:rsid w:val="002E1264"/>
    <w:rsid w:val="002E1266"/>
    <w:rsid w:val="002E1276"/>
    <w:rsid w:val="002E130F"/>
    <w:rsid w:val="002E1315"/>
    <w:rsid w:val="002E1383"/>
    <w:rsid w:val="002E138A"/>
    <w:rsid w:val="002E139A"/>
    <w:rsid w:val="002E140A"/>
    <w:rsid w:val="002E1424"/>
    <w:rsid w:val="002E1448"/>
    <w:rsid w:val="002E149D"/>
    <w:rsid w:val="002E159D"/>
    <w:rsid w:val="002E15A5"/>
    <w:rsid w:val="002E15EF"/>
    <w:rsid w:val="002E169F"/>
    <w:rsid w:val="002E16C2"/>
    <w:rsid w:val="002E16C8"/>
    <w:rsid w:val="002E16F3"/>
    <w:rsid w:val="002E1789"/>
    <w:rsid w:val="002E184F"/>
    <w:rsid w:val="002E1878"/>
    <w:rsid w:val="002E18CC"/>
    <w:rsid w:val="002E18EF"/>
    <w:rsid w:val="002E18F4"/>
    <w:rsid w:val="002E1926"/>
    <w:rsid w:val="002E1936"/>
    <w:rsid w:val="002E194F"/>
    <w:rsid w:val="002E19A6"/>
    <w:rsid w:val="002E19F2"/>
    <w:rsid w:val="002E1A76"/>
    <w:rsid w:val="002E1A99"/>
    <w:rsid w:val="002E1B24"/>
    <w:rsid w:val="002E1B56"/>
    <w:rsid w:val="002E1B5F"/>
    <w:rsid w:val="002E1BC4"/>
    <w:rsid w:val="002E1C07"/>
    <w:rsid w:val="002E1C3F"/>
    <w:rsid w:val="002E1C85"/>
    <w:rsid w:val="002E1D2D"/>
    <w:rsid w:val="002E1D64"/>
    <w:rsid w:val="002E1D90"/>
    <w:rsid w:val="002E1E2F"/>
    <w:rsid w:val="002E1E8E"/>
    <w:rsid w:val="002E1E9F"/>
    <w:rsid w:val="002E1EBC"/>
    <w:rsid w:val="002E1ECA"/>
    <w:rsid w:val="002E1F98"/>
    <w:rsid w:val="002E1FB2"/>
    <w:rsid w:val="002E200E"/>
    <w:rsid w:val="002E2027"/>
    <w:rsid w:val="002E2060"/>
    <w:rsid w:val="002E20BC"/>
    <w:rsid w:val="002E20DF"/>
    <w:rsid w:val="002E2182"/>
    <w:rsid w:val="002E218F"/>
    <w:rsid w:val="002E21E5"/>
    <w:rsid w:val="002E2217"/>
    <w:rsid w:val="002E2289"/>
    <w:rsid w:val="002E231F"/>
    <w:rsid w:val="002E2344"/>
    <w:rsid w:val="002E2457"/>
    <w:rsid w:val="002E253F"/>
    <w:rsid w:val="002E2567"/>
    <w:rsid w:val="002E259C"/>
    <w:rsid w:val="002E263D"/>
    <w:rsid w:val="002E2650"/>
    <w:rsid w:val="002E269D"/>
    <w:rsid w:val="002E2707"/>
    <w:rsid w:val="002E2712"/>
    <w:rsid w:val="002E2731"/>
    <w:rsid w:val="002E273B"/>
    <w:rsid w:val="002E2747"/>
    <w:rsid w:val="002E2780"/>
    <w:rsid w:val="002E279D"/>
    <w:rsid w:val="002E2822"/>
    <w:rsid w:val="002E28AA"/>
    <w:rsid w:val="002E2962"/>
    <w:rsid w:val="002E298F"/>
    <w:rsid w:val="002E2999"/>
    <w:rsid w:val="002E29CD"/>
    <w:rsid w:val="002E29FF"/>
    <w:rsid w:val="002E2A1D"/>
    <w:rsid w:val="002E2A50"/>
    <w:rsid w:val="002E2ABD"/>
    <w:rsid w:val="002E2B1C"/>
    <w:rsid w:val="002E2B42"/>
    <w:rsid w:val="002E2B68"/>
    <w:rsid w:val="002E2B96"/>
    <w:rsid w:val="002E2BC4"/>
    <w:rsid w:val="002E2BE6"/>
    <w:rsid w:val="002E2C61"/>
    <w:rsid w:val="002E2C8C"/>
    <w:rsid w:val="002E2C96"/>
    <w:rsid w:val="002E2CB8"/>
    <w:rsid w:val="002E2CC3"/>
    <w:rsid w:val="002E2CD2"/>
    <w:rsid w:val="002E2CE2"/>
    <w:rsid w:val="002E2CEB"/>
    <w:rsid w:val="002E2D10"/>
    <w:rsid w:val="002E2DD7"/>
    <w:rsid w:val="002E2E03"/>
    <w:rsid w:val="002E2E06"/>
    <w:rsid w:val="002E2E2B"/>
    <w:rsid w:val="002E2EC2"/>
    <w:rsid w:val="002E2F01"/>
    <w:rsid w:val="002E2F17"/>
    <w:rsid w:val="002E2F1C"/>
    <w:rsid w:val="002E2F55"/>
    <w:rsid w:val="002E3015"/>
    <w:rsid w:val="002E3074"/>
    <w:rsid w:val="002E3086"/>
    <w:rsid w:val="002E30F8"/>
    <w:rsid w:val="002E311B"/>
    <w:rsid w:val="002E3167"/>
    <w:rsid w:val="002E3170"/>
    <w:rsid w:val="002E3187"/>
    <w:rsid w:val="002E31D6"/>
    <w:rsid w:val="002E3266"/>
    <w:rsid w:val="002E3269"/>
    <w:rsid w:val="002E328F"/>
    <w:rsid w:val="002E329E"/>
    <w:rsid w:val="002E32F5"/>
    <w:rsid w:val="002E3325"/>
    <w:rsid w:val="002E333D"/>
    <w:rsid w:val="002E3340"/>
    <w:rsid w:val="002E334A"/>
    <w:rsid w:val="002E3391"/>
    <w:rsid w:val="002E33DF"/>
    <w:rsid w:val="002E342B"/>
    <w:rsid w:val="002E3481"/>
    <w:rsid w:val="002E34B9"/>
    <w:rsid w:val="002E34E7"/>
    <w:rsid w:val="002E3515"/>
    <w:rsid w:val="002E351A"/>
    <w:rsid w:val="002E352B"/>
    <w:rsid w:val="002E35EF"/>
    <w:rsid w:val="002E3644"/>
    <w:rsid w:val="002E3670"/>
    <w:rsid w:val="002E3716"/>
    <w:rsid w:val="002E373F"/>
    <w:rsid w:val="002E3773"/>
    <w:rsid w:val="002E3806"/>
    <w:rsid w:val="002E3815"/>
    <w:rsid w:val="002E3847"/>
    <w:rsid w:val="002E3851"/>
    <w:rsid w:val="002E38EF"/>
    <w:rsid w:val="002E39A5"/>
    <w:rsid w:val="002E39AA"/>
    <w:rsid w:val="002E39C1"/>
    <w:rsid w:val="002E39E3"/>
    <w:rsid w:val="002E3B0E"/>
    <w:rsid w:val="002E3B5E"/>
    <w:rsid w:val="002E3C37"/>
    <w:rsid w:val="002E3C63"/>
    <w:rsid w:val="002E3CB6"/>
    <w:rsid w:val="002E3CEA"/>
    <w:rsid w:val="002E3CF4"/>
    <w:rsid w:val="002E3D45"/>
    <w:rsid w:val="002E3DB9"/>
    <w:rsid w:val="002E3DBC"/>
    <w:rsid w:val="002E3DC3"/>
    <w:rsid w:val="002E3DF4"/>
    <w:rsid w:val="002E3E03"/>
    <w:rsid w:val="002E3E25"/>
    <w:rsid w:val="002E3E39"/>
    <w:rsid w:val="002E3E3D"/>
    <w:rsid w:val="002E3E74"/>
    <w:rsid w:val="002E3E8D"/>
    <w:rsid w:val="002E3EB3"/>
    <w:rsid w:val="002E3EC2"/>
    <w:rsid w:val="002E3EE5"/>
    <w:rsid w:val="002E3F33"/>
    <w:rsid w:val="002E3F82"/>
    <w:rsid w:val="002E3FD2"/>
    <w:rsid w:val="002E3FD9"/>
    <w:rsid w:val="002E3FF8"/>
    <w:rsid w:val="002E4052"/>
    <w:rsid w:val="002E405B"/>
    <w:rsid w:val="002E40D8"/>
    <w:rsid w:val="002E41ED"/>
    <w:rsid w:val="002E41FB"/>
    <w:rsid w:val="002E4204"/>
    <w:rsid w:val="002E4221"/>
    <w:rsid w:val="002E4269"/>
    <w:rsid w:val="002E428F"/>
    <w:rsid w:val="002E42DE"/>
    <w:rsid w:val="002E4315"/>
    <w:rsid w:val="002E4380"/>
    <w:rsid w:val="002E43DB"/>
    <w:rsid w:val="002E43FC"/>
    <w:rsid w:val="002E4489"/>
    <w:rsid w:val="002E44E5"/>
    <w:rsid w:val="002E454C"/>
    <w:rsid w:val="002E4581"/>
    <w:rsid w:val="002E45E9"/>
    <w:rsid w:val="002E463B"/>
    <w:rsid w:val="002E46C1"/>
    <w:rsid w:val="002E4754"/>
    <w:rsid w:val="002E478D"/>
    <w:rsid w:val="002E4799"/>
    <w:rsid w:val="002E47D0"/>
    <w:rsid w:val="002E4805"/>
    <w:rsid w:val="002E48E5"/>
    <w:rsid w:val="002E48F3"/>
    <w:rsid w:val="002E48FC"/>
    <w:rsid w:val="002E491C"/>
    <w:rsid w:val="002E4936"/>
    <w:rsid w:val="002E497D"/>
    <w:rsid w:val="002E49B9"/>
    <w:rsid w:val="002E49CA"/>
    <w:rsid w:val="002E49D1"/>
    <w:rsid w:val="002E4A79"/>
    <w:rsid w:val="002E4AAA"/>
    <w:rsid w:val="002E4ABF"/>
    <w:rsid w:val="002E4AE6"/>
    <w:rsid w:val="002E4AF8"/>
    <w:rsid w:val="002E4AFA"/>
    <w:rsid w:val="002E4B26"/>
    <w:rsid w:val="002E4B2A"/>
    <w:rsid w:val="002E4B5A"/>
    <w:rsid w:val="002E4B95"/>
    <w:rsid w:val="002E4BE8"/>
    <w:rsid w:val="002E4BFF"/>
    <w:rsid w:val="002E4CDC"/>
    <w:rsid w:val="002E4CDE"/>
    <w:rsid w:val="002E4D0B"/>
    <w:rsid w:val="002E4D1B"/>
    <w:rsid w:val="002E4D7A"/>
    <w:rsid w:val="002E4DD3"/>
    <w:rsid w:val="002E4E25"/>
    <w:rsid w:val="002E4E67"/>
    <w:rsid w:val="002E4E86"/>
    <w:rsid w:val="002E4F10"/>
    <w:rsid w:val="002E4FC0"/>
    <w:rsid w:val="002E5031"/>
    <w:rsid w:val="002E5036"/>
    <w:rsid w:val="002E507D"/>
    <w:rsid w:val="002E50D6"/>
    <w:rsid w:val="002E5129"/>
    <w:rsid w:val="002E5191"/>
    <w:rsid w:val="002E51AA"/>
    <w:rsid w:val="002E51D6"/>
    <w:rsid w:val="002E525B"/>
    <w:rsid w:val="002E528F"/>
    <w:rsid w:val="002E52AA"/>
    <w:rsid w:val="002E52B2"/>
    <w:rsid w:val="002E52D6"/>
    <w:rsid w:val="002E5356"/>
    <w:rsid w:val="002E53DD"/>
    <w:rsid w:val="002E5474"/>
    <w:rsid w:val="002E54A2"/>
    <w:rsid w:val="002E54D1"/>
    <w:rsid w:val="002E54FD"/>
    <w:rsid w:val="002E5537"/>
    <w:rsid w:val="002E556E"/>
    <w:rsid w:val="002E562C"/>
    <w:rsid w:val="002E5659"/>
    <w:rsid w:val="002E566B"/>
    <w:rsid w:val="002E5700"/>
    <w:rsid w:val="002E5758"/>
    <w:rsid w:val="002E5780"/>
    <w:rsid w:val="002E5786"/>
    <w:rsid w:val="002E57CC"/>
    <w:rsid w:val="002E57D4"/>
    <w:rsid w:val="002E57FF"/>
    <w:rsid w:val="002E5803"/>
    <w:rsid w:val="002E5879"/>
    <w:rsid w:val="002E5929"/>
    <w:rsid w:val="002E598A"/>
    <w:rsid w:val="002E59A6"/>
    <w:rsid w:val="002E59B0"/>
    <w:rsid w:val="002E59F5"/>
    <w:rsid w:val="002E5A39"/>
    <w:rsid w:val="002E5A48"/>
    <w:rsid w:val="002E5A8D"/>
    <w:rsid w:val="002E5AA9"/>
    <w:rsid w:val="002E5AF5"/>
    <w:rsid w:val="002E5B32"/>
    <w:rsid w:val="002E5BC0"/>
    <w:rsid w:val="002E5C0C"/>
    <w:rsid w:val="002E5C8D"/>
    <w:rsid w:val="002E5CC2"/>
    <w:rsid w:val="002E5CFB"/>
    <w:rsid w:val="002E5D0A"/>
    <w:rsid w:val="002E5D17"/>
    <w:rsid w:val="002E5D9C"/>
    <w:rsid w:val="002E5DB2"/>
    <w:rsid w:val="002E5DD7"/>
    <w:rsid w:val="002E5E55"/>
    <w:rsid w:val="002E5E83"/>
    <w:rsid w:val="002E5EE0"/>
    <w:rsid w:val="002E5EFD"/>
    <w:rsid w:val="002E5F03"/>
    <w:rsid w:val="002E5F37"/>
    <w:rsid w:val="002E5F74"/>
    <w:rsid w:val="002E5FD1"/>
    <w:rsid w:val="002E5FF4"/>
    <w:rsid w:val="002E600E"/>
    <w:rsid w:val="002E6019"/>
    <w:rsid w:val="002E60D6"/>
    <w:rsid w:val="002E6118"/>
    <w:rsid w:val="002E6159"/>
    <w:rsid w:val="002E615D"/>
    <w:rsid w:val="002E615F"/>
    <w:rsid w:val="002E6180"/>
    <w:rsid w:val="002E6194"/>
    <w:rsid w:val="002E61A7"/>
    <w:rsid w:val="002E61AB"/>
    <w:rsid w:val="002E61AD"/>
    <w:rsid w:val="002E61BE"/>
    <w:rsid w:val="002E6255"/>
    <w:rsid w:val="002E629A"/>
    <w:rsid w:val="002E62B2"/>
    <w:rsid w:val="002E62EE"/>
    <w:rsid w:val="002E6309"/>
    <w:rsid w:val="002E6315"/>
    <w:rsid w:val="002E635F"/>
    <w:rsid w:val="002E640D"/>
    <w:rsid w:val="002E64E7"/>
    <w:rsid w:val="002E64F1"/>
    <w:rsid w:val="002E6534"/>
    <w:rsid w:val="002E6578"/>
    <w:rsid w:val="002E657C"/>
    <w:rsid w:val="002E6591"/>
    <w:rsid w:val="002E65A4"/>
    <w:rsid w:val="002E65AB"/>
    <w:rsid w:val="002E65B8"/>
    <w:rsid w:val="002E65C3"/>
    <w:rsid w:val="002E66E6"/>
    <w:rsid w:val="002E66ED"/>
    <w:rsid w:val="002E66F2"/>
    <w:rsid w:val="002E6736"/>
    <w:rsid w:val="002E67B2"/>
    <w:rsid w:val="002E67D2"/>
    <w:rsid w:val="002E67F0"/>
    <w:rsid w:val="002E6800"/>
    <w:rsid w:val="002E6880"/>
    <w:rsid w:val="002E68A3"/>
    <w:rsid w:val="002E68EA"/>
    <w:rsid w:val="002E691E"/>
    <w:rsid w:val="002E6933"/>
    <w:rsid w:val="002E69AD"/>
    <w:rsid w:val="002E6A01"/>
    <w:rsid w:val="002E6A67"/>
    <w:rsid w:val="002E6A9E"/>
    <w:rsid w:val="002E6AAF"/>
    <w:rsid w:val="002E6AC0"/>
    <w:rsid w:val="002E6B6B"/>
    <w:rsid w:val="002E6BBA"/>
    <w:rsid w:val="002E6C10"/>
    <w:rsid w:val="002E6C6E"/>
    <w:rsid w:val="002E6C7F"/>
    <w:rsid w:val="002E6CA1"/>
    <w:rsid w:val="002E6D19"/>
    <w:rsid w:val="002E6D80"/>
    <w:rsid w:val="002E6D92"/>
    <w:rsid w:val="002E6DD3"/>
    <w:rsid w:val="002E6DE2"/>
    <w:rsid w:val="002E6E13"/>
    <w:rsid w:val="002E6E5B"/>
    <w:rsid w:val="002E6E69"/>
    <w:rsid w:val="002E6EC5"/>
    <w:rsid w:val="002E6EF0"/>
    <w:rsid w:val="002E6EFC"/>
    <w:rsid w:val="002E6F44"/>
    <w:rsid w:val="002E6F6C"/>
    <w:rsid w:val="002E6F9B"/>
    <w:rsid w:val="002E6FAA"/>
    <w:rsid w:val="002E6FCE"/>
    <w:rsid w:val="002E7028"/>
    <w:rsid w:val="002E7072"/>
    <w:rsid w:val="002E70B1"/>
    <w:rsid w:val="002E7125"/>
    <w:rsid w:val="002E7126"/>
    <w:rsid w:val="002E715C"/>
    <w:rsid w:val="002E7193"/>
    <w:rsid w:val="002E7198"/>
    <w:rsid w:val="002E71C3"/>
    <w:rsid w:val="002E71DD"/>
    <w:rsid w:val="002E71EA"/>
    <w:rsid w:val="002E71F2"/>
    <w:rsid w:val="002E71F9"/>
    <w:rsid w:val="002E7210"/>
    <w:rsid w:val="002E7226"/>
    <w:rsid w:val="002E729B"/>
    <w:rsid w:val="002E7304"/>
    <w:rsid w:val="002E73A0"/>
    <w:rsid w:val="002E73A9"/>
    <w:rsid w:val="002E742B"/>
    <w:rsid w:val="002E7502"/>
    <w:rsid w:val="002E754B"/>
    <w:rsid w:val="002E7585"/>
    <w:rsid w:val="002E75E6"/>
    <w:rsid w:val="002E769C"/>
    <w:rsid w:val="002E7712"/>
    <w:rsid w:val="002E771B"/>
    <w:rsid w:val="002E7723"/>
    <w:rsid w:val="002E77BC"/>
    <w:rsid w:val="002E77CC"/>
    <w:rsid w:val="002E77D7"/>
    <w:rsid w:val="002E77EC"/>
    <w:rsid w:val="002E7803"/>
    <w:rsid w:val="002E7804"/>
    <w:rsid w:val="002E781D"/>
    <w:rsid w:val="002E7879"/>
    <w:rsid w:val="002E7883"/>
    <w:rsid w:val="002E789D"/>
    <w:rsid w:val="002E78BB"/>
    <w:rsid w:val="002E7980"/>
    <w:rsid w:val="002E79C0"/>
    <w:rsid w:val="002E79CF"/>
    <w:rsid w:val="002E79D6"/>
    <w:rsid w:val="002E7A52"/>
    <w:rsid w:val="002E7A7C"/>
    <w:rsid w:val="002E7AD7"/>
    <w:rsid w:val="002E7AF7"/>
    <w:rsid w:val="002E7B05"/>
    <w:rsid w:val="002E7B06"/>
    <w:rsid w:val="002E7B1A"/>
    <w:rsid w:val="002E7B61"/>
    <w:rsid w:val="002E7B7F"/>
    <w:rsid w:val="002E7C73"/>
    <w:rsid w:val="002E7CCC"/>
    <w:rsid w:val="002E7CD7"/>
    <w:rsid w:val="002E7CE0"/>
    <w:rsid w:val="002E7CF0"/>
    <w:rsid w:val="002E7CFA"/>
    <w:rsid w:val="002E7D6D"/>
    <w:rsid w:val="002E7D90"/>
    <w:rsid w:val="002E7D94"/>
    <w:rsid w:val="002E7DEF"/>
    <w:rsid w:val="002E7DF4"/>
    <w:rsid w:val="002E7E32"/>
    <w:rsid w:val="002E7E4C"/>
    <w:rsid w:val="002E7E55"/>
    <w:rsid w:val="002E7E59"/>
    <w:rsid w:val="002E7E76"/>
    <w:rsid w:val="002E7EA6"/>
    <w:rsid w:val="002E7EB5"/>
    <w:rsid w:val="002E7EEE"/>
    <w:rsid w:val="002E7F6F"/>
    <w:rsid w:val="002E7F7A"/>
    <w:rsid w:val="002E7FA9"/>
    <w:rsid w:val="002F0014"/>
    <w:rsid w:val="002F0018"/>
    <w:rsid w:val="002F00F0"/>
    <w:rsid w:val="002F00F9"/>
    <w:rsid w:val="002F0137"/>
    <w:rsid w:val="002F0184"/>
    <w:rsid w:val="002F01E7"/>
    <w:rsid w:val="002F0240"/>
    <w:rsid w:val="002F0309"/>
    <w:rsid w:val="002F0318"/>
    <w:rsid w:val="002F032E"/>
    <w:rsid w:val="002F0341"/>
    <w:rsid w:val="002F0368"/>
    <w:rsid w:val="002F0374"/>
    <w:rsid w:val="002F0378"/>
    <w:rsid w:val="002F039C"/>
    <w:rsid w:val="002F03BB"/>
    <w:rsid w:val="002F03D7"/>
    <w:rsid w:val="002F04CD"/>
    <w:rsid w:val="002F04DE"/>
    <w:rsid w:val="002F0538"/>
    <w:rsid w:val="002F0549"/>
    <w:rsid w:val="002F0591"/>
    <w:rsid w:val="002F0677"/>
    <w:rsid w:val="002F0680"/>
    <w:rsid w:val="002F0681"/>
    <w:rsid w:val="002F0721"/>
    <w:rsid w:val="002F073D"/>
    <w:rsid w:val="002F074B"/>
    <w:rsid w:val="002F0756"/>
    <w:rsid w:val="002F076A"/>
    <w:rsid w:val="002F07A5"/>
    <w:rsid w:val="002F083E"/>
    <w:rsid w:val="002F0859"/>
    <w:rsid w:val="002F088E"/>
    <w:rsid w:val="002F08A0"/>
    <w:rsid w:val="002F08A2"/>
    <w:rsid w:val="002F08B4"/>
    <w:rsid w:val="002F0922"/>
    <w:rsid w:val="002F0949"/>
    <w:rsid w:val="002F0972"/>
    <w:rsid w:val="002F09E4"/>
    <w:rsid w:val="002F09F0"/>
    <w:rsid w:val="002F0A03"/>
    <w:rsid w:val="002F0A1B"/>
    <w:rsid w:val="002F0A34"/>
    <w:rsid w:val="002F0A43"/>
    <w:rsid w:val="002F0AB4"/>
    <w:rsid w:val="002F0AB8"/>
    <w:rsid w:val="002F0AD4"/>
    <w:rsid w:val="002F0B05"/>
    <w:rsid w:val="002F0B4D"/>
    <w:rsid w:val="002F0B5A"/>
    <w:rsid w:val="002F0B82"/>
    <w:rsid w:val="002F0BCA"/>
    <w:rsid w:val="002F0BF2"/>
    <w:rsid w:val="002F0C19"/>
    <w:rsid w:val="002F0C7B"/>
    <w:rsid w:val="002F0CDC"/>
    <w:rsid w:val="002F0D45"/>
    <w:rsid w:val="002F0DC9"/>
    <w:rsid w:val="002F0E78"/>
    <w:rsid w:val="002F0E85"/>
    <w:rsid w:val="002F0EC7"/>
    <w:rsid w:val="002F0ECA"/>
    <w:rsid w:val="002F0F2F"/>
    <w:rsid w:val="002F0F43"/>
    <w:rsid w:val="002F0F54"/>
    <w:rsid w:val="002F0FAC"/>
    <w:rsid w:val="002F0FD7"/>
    <w:rsid w:val="002F0FF1"/>
    <w:rsid w:val="002F1069"/>
    <w:rsid w:val="002F10C2"/>
    <w:rsid w:val="002F10F2"/>
    <w:rsid w:val="002F1187"/>
    <w:rsid w:val="002F118C"/>
    <w:rsid w:val="002F11C2"/>
    <w:rsid w:val="002F11DB"/>
    <w:rsid w:val="002F120C"/>
    <w:rsid w:val="002F1226"/>
    <w:rsid w:val="002F127A"/>
    <w:rsid w:val="002F12DF"/>
    <w:rsid w:val="002F12E1"/>
    <w:rsid w:val="002F134E"/>
    <w:rsid w:val="002F135E"/>
    <w:rsid w:val="002F1386"/>
    <w:rsid w:val="002F139C"/>
    <w:rsid w:val="002F13CD"/>
    <w:rsid w:val="002F13F1"/>
    <w:rsid w:val="002F144D"/>
    <w:rsid w:val="002F1480"/>
    <w:rsid w:val="002F1508"/>
    <w:rsid w:val="002F151F"/>
    <w:rsid w:val="002F1592"/>
    <w:rsid w:val="002F15FF"/>
    <w:rsid w:val="002F166C"/>
    <w:rsid w:val="002F1694"/>
    <w:rsid w:val="002F16A5"/>
    <w:rsid w:val="002F182F"/>
    <w:rsid w:val="002F1839"/>
    <w:rsid w:val="002F183F"/>
    <w:rsid w:val="002F18B0"/>
    <w:rsid w:val="002F195A"/>
    <w:rsid w:val="002F1964"/>
    <w:rsid w:val="002F1990"/>
    <w:rsid w:val="002F1996"/>
    <w:rsid w:val="002F19D6"/>
    <w:rsid w:val="002F19FA"/>
    <w:rsid w:val="002F19FF"/>
    <w:rsid w:val="002F1A5E"/>
    <w:rsid w:val="002F1AD7"/>
    <w:rsid w:val="002F1ADB"/>
    <w:rsid w:val="002F1BC9"/>
    <w:rsid w:val="002F1BD0"/>
    <w:rsid w:val="002F1BED"/>
    <w:rsid w:val="002F1C65"/>
    <w:rsid w:val="002F1C8D"/>
    <w:rsid w:val="002F1D1F"/>
    <w:rsid w:val="002F1D3A"/>
    <w:rsid w:val="002F1D81"/>
    <w:rsid w:val="002F1D8B"/>
    <w:rsid w:val="002F1DAD"/>
    <w:rsid w:val="002F1DB5"/>
    <w:rsid w:val="002F1DE0"/>
    <w:rsid w:val="002F1E12"/>
    <w:rsid w:val="002F1E23"/>
    <w:rsid w:val="002F1E27"/>
    <w:rsid w:val="002F1E54"/>
    <w:rsid w:val="002F1E74"/>
    <w:rsid w:val="002F1EAD"/>
    <w:rsid w:val="002F1F25"/>
    <w:rsid w:val="002F1F3F"/>
    <w:rsid w:val="002F1F58"/>
    <w:rsid w:val="002F205D"/>
    <w:rsid w:val="002F2097"/>
    <w:rsid w:val="002F20CD"/>
    <w:rsid w:val="002F20F5"/>
    <w:rsid w:val="002F2130"/>
    <w:rsid w:val="002F2131"/>
    <w:rsid w:val="002F214C"/>
    <w:rsid w:val="002F2179"/>
    <w:rsid w:val="002F21D8"/>
    <w:rsid w:val="002F2201"/>
    <w:rsid w:val="002F225F"/>
    <w:rsid w:val="002F22A6"/>
    <w:rsid w:val="002F22D8"/>
    <w:rsid w:val="002F22FC"/>
    <w:rsid w:val="002F2300"/>
    <w:rsid w:val="002F23E4"/>
    <w:rsid w:val="002F24EC"/>
    <w:rsid w:val="002F2507"/>
    <w:rsid w:val="002F2521"/>
    <w:rsid w:val="002F25B6"/>
    <w:rsid w:val="002F25CA"/>
    <w:rsid w:val="002F25F5"/>
    <w:rsid w:val="002F2638"/>
    <w:rsid w:val="002F2659"/>
    <w:rsid w:val="002F2695"/>
    <w:rsid w:val="002F26A4"/>
    <w:rsid w:val="002F26D0"/>
    <w:rsid w:val="002F26D7"/>
    <w:rsid w:val="002F2707"/>
    <w:rsid w:val="002F2754"/>
    <w:rsid w:val="002F2759"/>
    <w:rsid w:val="002F27C8"/>
    <w:rsid w:val="002F27F7"/>
    <w:rsid w:val="002F281F"/>
    <w:rsid w:val="002F2840"/>
    <w:rsid w:val="002F28EA"/>
    <w:rsid w:val="002F2905"/>
    <w:rsid w:val="002F29F5"/>
    <w:rsid w:val="002F2A79"/>
    <w:rsid w:val="002F2A8D"/>
    <w:rsid w:val="002F2B57"/>
    <w:rsid w:val="002F2B6B"/>
    <w:rsid w:val="002F2B76"/>
    <w:rsid w:val="002F2B7E"/>
    <w:rsid w:val="002F2B85"/>
    <w:rsid w:val="002F2BD5"/>
    <w:rsid w:val="002F2C16"/>
    <w:rsid w:val="002F2C21"/>
    <w:rsid w:val="002F2C39"/>
    <w:rsid w:val="002F2C41"/>
    <w:rsid w:val="002F2C90"/>
    <w:rsid w:val="002F2D0E"/>
    <w:rsid w:val="002F2D25"/>
    <w:rsid w:val="002F2E2D"/>
    <w:rsid w:val="002F2F05"/>
    <w:rsid w:val="002F2F37"/>
    <w:rsid w:val="002F2F54"/>
    <w:rsid w:val="002F2F93"/>
    <w:rsid w:val="002F2FBA"/>
    <w:rsid w:val="002F3005"/>
    <w:rsid w:val="002F3010"/>
    <w:rsid w:val="002F30A6"/>
    <w:rsid w:val="002F30B9"/>
    <w:rsid w:val="002F314D"/>
    <w:rsid w:val="002F3166"/>
    <w:rsid w:val="002F3174"/>
    <w:rsid w:val="002F3245"/>
    <w:rsid w:val="002F32D6"/>
    <w:rsid w:val="002F3332"/>
    <w:rsid w:val="002F3348"/>
    <w:rsid w:val="002F3368"/>
    <w:rsid w:val="002F338B"/>
    <w:rsid w:val="002F338C"/>
    <w:rsid w:val="002F33B2"/>
    <w:rsid w:val="002F33D5"/>
    <w:rsid w:val="002F33F2"/>
    <w:rsid w:val="002F3421"/>
    <w:rsid w:val="002F3430"/>
    <w:rsid w:val="002F3454"/>
    <w:rsid w:val="002F345B"/>
    <w:rsid w:val="002F3508"/>
    <w:rsid w:val="002F3547"/>
    <w:rsid w:val="002F3679"/>
    <w:rsid w:val="002F36D2"/>
    <w:rsid w:val="002F36DD"/>
    <w:rsid w:val="002F3711"/>
    <w:rsid w:val="002F371B"/>
    <w:rsid w:val="002F37B4"/>
    <w:rsid w:val="002F3851"/>
    <w:rsid w:val="002F3865"/>
    <w:rsid w:val="002F38A2"/>
    <w:rsid w:val="002F38C5"/>
    <w:rsid w:val="002F3911"/>
    <w:rsid w:val="002F3937"/>
    <w:rsid w:val="002F399F"/>
    <w:rsid w:val="002F39BB"/>
    <w:rsid w:val="002F39CB"/>
    <w:rsid w:val="002F3A55"/>
    <w:rsid w:val="002F3A8B"/>
    <w:rsid w:val="002F3B1A"/>
    <w:rsid w:val="002F3B89"/>
    <w:rsid w:val="002F3BA3"/>
    <w:rsid w:val="002F3C0A"/>
    <w:rsid w:val="002F3C5F"/>
    <w:rsid w:val="002F3CC4"/>
    <w:rsid w:val="002F3CFD"/>
    <w:rsid w:val="002F3D03"/>
    <w:rsid w:val="002F3D32"/>
    <w:rsid w:val="002F3D51"/>
    <w:rsid w:val="002F3D5C"/>
    <w:rsid w:val="002F3DBC"/>
    <w:rsid w:val="002F3E8E"/>
    <w:rsid w:val="002F3EC6"/>
    <w:rsid w:val="002F3F0E"/>
    <w:rsid w:val="002F3FB0"/>
    <w:rsid w:val="002F3FD2"/>
    <w:rsid w:val="002F3FE1"/>
    <w:rsid w:val="002F3FF5"/>
    <w:rsid w:val="002F4001"/>
    <w:rsid w:val="002F4005"/>
    <w:rsid w:val="002F4011"/>
    <w:rsid w:val="002F410B"/>
    <w:rsid w:val="002F4114"/>
    <w:rsid w:val="002F4163"/>
    <w:rsid w:val="002F41A5"/>
    <w:rsid w:val="002F428A"/>
    <w:rsid w:val="002F4296"/>
    <w:rsid w:val="002F429B"/>
    <w:rsid w:val="002F42D8"/>
    <w:rsid w:val="002F432A"/>
    <w:rsid w:val="002F433C"/>
    <w:rsid w:val="002F4357"/>
    <w:rsid w:val="002F43AA"/>
    <w:rsid w:val="002F43C4"/>
    <w:rsid w:val="002F440F"/>
    <w:rsid w:val="002F4416"/>
    <w:rsid w:val="002F44E6"/>
    <w:rsid w:val="002F44EC"/>
    <w:rsid w:val="002F4554"/>
    <w:rsid w:val="002F45A9"/>
    <w:rsid w:val="002F45F3"/>
    <w:rsid w:val="002F45FA"/>
    <w:rsid w:val="002F464B"/>
    <w:rsid w:val="002F466C"/>
    <w:rsid w:val="002F4689"/>
    <w:rsid w:val="002F469B"/>
    <w:rsid w:val="002F46A5"/>
    <w:rsid w:val="002F46D6"/>
    <w:rsid w:val="002F46F8"/>
    <w:rsid w:val="002F4711"/>
    <w:rsid w:val="002F4824"/>
    <w:rsid w:val="002F4889"/>
    <w:rsid w:val="002F48F2"/>
    <w:rsid w:val="002F48FE"/>
    <w:rsid w:val="002F494E"/>
    <w:rsid w:val="002F4978"/>
    <w:rsid w:val="002F49F6"/>
    <w:rsid w:val="002F4A09"/>
    <w:rsid w:val="002F4A2B"/>
    <w:rsid w:val="002F4A3B"/>
    <w:rsid w:val="002F4A8E"/>
    <w:rsid w:val="002F4A92"/>
    <w:rsid w:val="002F4AAB"/>
    <w:rsid w:val="002F4ABB"/>
    <w:rsid w:val="002F4AF1"/>
    <w:rsid w:val="002F4AF3"/>
    <w:rsid w:val="002F4B4C"/>
    <w:rsid w:val="002F4B5F"/>
    <w:rsid w:val="002F4B64"/>
    <w:rsid w:val="002F4BA3"/>
    <w:rsid w:val="002F4BDF"/>
    <w:rsid w:val="002F4C78"/>
    <w:rsid w:val="002F4C93"/>
    <w:rsid w:val="002F4CFE"/>
    <w:rsid w:val="002F4D00"/>
    <w:rsid w:val="002F4D21"/>
    <w:rsid w:val="002F4DE5"/>
    <w:rsid w:val="002F4DEE"/>
    <w:rsid w:val="002F4DF1"/>
    <w:rsid w:val="002F4DF3"/>
    <w:rsid w:val="002F4E1F"/>
    <w:rsid w:val="002F4E22"/>
    <w:rsid w:val="002F4EC3"/>
    <w:rsid w:val="002F4F05"/>
    <w:rsid w:val="002F4F29"/>
    <w:rsid w:val="002F4F46"/>
    <w:rsid w:val="002F4F8E"/>
    <w:rsid w:val="002F4FA4"/>
    <w:rsid w:val="002F505A"/>
    <w:rsid w:val="002F509E"/>
    <w:rsid w:val="002F5192"/>
    <w:rsid w:val="002F51A3"/>
    <w:rsid w:val="002F51CF"/>
    <w:rsid w:val="002F51D0"/>
    <w:rsid w:val="002F525B"/>
    <w:rsid w:val="002F52CE"/>
    <w:rsid w:val="002F535D"/>
    <w:rsid w:val="002F53A6"/>
    <w:rsid w:val="002F5411"/>
    <w:rsid w:val="002F551A"/>
    <w:rsid w:val="002F5532"/>
    <w:rsid w:val="002F5535"/>
    <w:rsid w:val="002F567A"/>
    <w:rsid w:val="002F5698"/>
    <w:rsid w:val="002F56C4"/>
    <w:rsid w:val="002F56E0"/>
    <w:rsid w:val="002F56F6"/>
    <w:rsid w:val="002F5707"/>
    <w:rsid w:val="002F5713"/>
    <w:rsid w:val="002F5774"/>
    <w:rsid w:val="002F57A5"/>
    <w:rsid w:val="002F57A8"/>
    <w:rsid w:val="002F586A"/>
    <w:rsid w:val="002F5875"/>
    <w:rsid w:val="002F5884"/>
    <w:rsid w:val="002F58A6"/>
    <w:rsid w:val="002F5905"/>
    <w:rsid w:val="002F592C"/>
    <w:rsid w:val="002F594A"/>
    <w:rsid w:val="002F594C"/>
    <w:rsid w:val="002F59FA"/>
    <w:rsid w:val="002F5A66"/>
    <w:rsid w:val="002F5A6C"/>
    <w:rsid w:val="002F5A76"/>
    <w:rsid w:val="002F5A9A"/>
    <w:rsid w:val="002F5AC8"/>
    <w:rsid w:val="002F5AE9"/>
    <w:rsid w:val="002F5B4D"/>
    <w:rsid w:val="002F5B76"/>
    <w:rsid w:val="002F5B8A"/>
    <w:rsid w:val="002F5C0D"/>
    <w:rsid w:val="002F5C24"/>
    <w:rsid w:val="002F5C7E"/>
    <w:rsid w:val="002F5DAD"/>
    <w:rsid w:val="002F5DEF"/>
    <w:rsid w:val="002F5E39"/>
    <w:rsid w:val="002F5E7F"/>
    <w:rsid w:val="002F5EEE"/>
    <w:rsid w:val="002F5EF1"/>
    <w:rsid w:val="002F5F10"/>
    <w:rsid w:val="002F5F1F"/>
    <w:rsid w:val="002F5F52"/>
    <w:rsid w:val="002F5F5B"/>
    <w:rsid w:val="002F5F76"/>
    <w:rsid w:val="002F5F88"/>
    <w:rsid w:val="002F5F8B"/>
    <w:rsid w:val="002F5FF9"/>
    <w:rsid w:val="002F6005"/>
    <w:rsid w:val="002F607E"/>
    <w:rsid w:val="002F60B5"/>
    <w:rsid w:val="002F60E7"/>
    <w:rsid w:val="002F6105"/>
    <w:rsid w:val="002F6137"/>
    <w:rsid w:val="002F617F"/>
    <w:rsid w:val="002F61E3"/>
    <w:rsid w:val="002F6270"/>
    <w:rsid w:val="002F629D"/>
    <w:rsid w:val="002F62C9"/>
    <w:rsid w:val="002F634F"/>
    <w:rsid w:val="002F63B6"/>
    <w:rsid w:val="002F63B9"/>
    <w:rsid w:val="002F63C2"/>
    <w:rsid w:val="002F6428"/>
    <w:rsid w:val="002F64A2"/>
    <w:rsid w:val="002F64F0"/>
    <w:rsid w:val="002F652D"/>
    <w:rsid w:val="002F6580"/>
    <w:rsid w:val="002F65CD"/>
    <w:rsid w:val="002F667D"/>
    <w:rsid w:val="002F6682"/>
    <w:rsid w:val="002F66B1"/>
    <w:rsid w:val="002F66C1"/>
    <w:rsid w:val="002F66C8"/>
    <w:rsid w:val="002F66D9"/>
    <w:rsid w:val="002F66F9"/>
    <w:rsid w:val="002F675E"/>
    <w:rsid w:val="002F67AD"/>
    <w:rsid w:val="002F67E0"/>
    <w:rsid w:val="002F6858"/>
    <w:rsid w:val="002F6876"/>
    <w:rsid w:val="002F6918"/>
    <w:rsid w:val="002F693D"/>
    <w:rsid w:val="002F6B35"/>
    <w:rsid w:val="002F6B5C"/>
    <w:rsid w:val="002F6B5F"/>
    <w:rsid w:val="002F6B87"/>
    <w:rsid w:val="002F6B98"/>
    <w:rsid w:val="002F6BB4"/>
    <w:rsid w:val="002F6BEB"/>
    <w:rsid w:val="002F6D0D"/>
    <w:rsid w:val="002F6D18"/>
    <w:rsid w:val="002F6D2A"/>
    <w:rsid w:val="002F6D5E"/>
    <w:rsid w:val="002F6D88"/>
    <w:rsid w:val="002F6DCD"/>
    <w:rsid w:val="002F6EBE"/>
    <w:rsid w:val="002F6F12"/>
    <w:rsid w:val="002F6FFA"/>
    <w:rsid w:val="002F7003"/>
    <w:rsid w:val="002F7034"/>
    <w:rsid w:val="002F7077"/>
    <w:rsid w:val="002F7099"/>
    <w:rsid w:val="002F7111"/>
    <w:rsid w:val="002F7146"/>
    <w:rsid w:val="002F7181"/>
    <w:rsid w:val="002F7228"/>
    <w:rsid w:val="002F7254"/>
    <w:rsid w:val="002F729F"/>
    <w:rsid w:val="002F72A8"/>
    <w:rsid w:val="002F72EB"/>
    <w:rsid w:val="002F7303"/>
    <w:rsid w:val="002F7328"/>
    <w:rsid w:val="002F7329"/>
    <w:rsid w:val="002F7382"/>
    <w:rsid w:val="002F73EB"/>
    <w:rsid w:val="002F7419"/>
    <w:rsid w:val="002F7427"/>
    <w:rsid w:val="002F7463"/>
    <w:rsid w:val="002F74C2"/>
    <w:rsid w:val="002F74C7"/>
    <w:rsid w:val="002F74D2"/>
    <w:rsid w:val="002F75BB"/>
    <w:rsid w:val="002F760B"/>
    <w:rsid w:val="002F761C"/>
    <w:rsid w:val="002F7646"/>
    <w:rsid w:val="002F768B"/>
    <w:rsid w:val="002F76FC"/>
    <w:rsid w:val="002F773A"/>
    <w:rsid w:val="002F776C"/>
    <w:rsid w:val="002F777C"/>
    <w:rsid w:val="002F7794"/>
    <w:rsid w:val="002F77A4"/>
    <w:rsid w:val="002F7815"/>
    <w:rsid w:val="002F781F"/>
    <w:rsid w:val="002F7849"/>
    <w:rsid w:val="002F7867"/>
    <w:rsid w:val="002F789C"/>
    <w:rsid w:val="002F78EC"/>
    <w:rsid w:val="002F78FE"/>
    <w:rsid w:val="002F7905"/>
    <w:rsid w:val="002F796F"/>
    <w:rsid w:val="002F7984"/>
    <w:rsid w:val="002F79A0"/>
    <w:rsid w:val="002F79F6"/>
    <w:rsid w:val="002F7A14"/>
    <w:rsid w:val="002F7A4D"/>
    <w:rsid w:val="002F7A99"/>
    <w:rsid w:val="002F7B81"/>
    <w:rsid w:val="002F7BCC"/>
    <w:rsid w:val="002F7BD1"/>
    <w:rsid w:val="002F7BF7"/>
    <w:rsid w:val="002F7CA2"/>
    <w:rsid w:val="002F7D4D"/>
    <w:rsid w:val="002F7D5F"/>
    <w:rsid w:val="002F7DB3"/>
    <w:rsid w:val="002F7DDD"/>
    <w:rsid w:val="002F7DFA"/>
    <w:rsid w:val="002F7F19"/>
    <w:rsid w:val="002F7F6C"/>
    <w:rsid w:val="002F7F6D"/>
    <w:rsid w:val="002F7F73"/>
    <w:rsid w:val="002F7F82"/>
    <w:rsid w:val="002F7F94"/>
    <w:rsid w:val="002F7FA9"/>
    <w:rsid w:val="002F7FD6"/>
    <w:rsid w:val="002F7FE1"/>
    <w:rsid w:val="00300034"/>
    <w:rsid w:val="003000C6"/>
    <w:rsid w:val="00300109"/>
    <w:rsid w:val="00300134"/>
    <w:rsid w:val="00300142"/>
    <w:rsid w:val="0030014C"/>
    <w:rsid w:val="00300151"/>
    <w:rsid w:val="00300198"/>
    <w:rsid w:val="003001E4"/>
    <w:rsid w:val="00300243"/>
    <w:rsid w:val="0030025F"/>
    <w:rsid w:val="0030028F"/>
    <w:rsid w:val="003002B3"/>
    <w:rsid w:val="003002D0"/>
    <w:rsid w:val="0030030D"/>
    <w:rsid w:val="00300341"/>
    <w:rsid w:val="0030034F"/>
    <w:rsid w:val="0030037A"/>
    <w:rsid w:val="003003CC"/>
    <w:rsid w:val="003004C9"/>
    <w:rsid w:val="003004CA"/>
    <w:rsid w:val="00300576"/>
    <w:rsid w:val="00300595"/>
    <w:rsid w:val="003005FB"/>
    <w:rsid w:val="0030065E"/>
    <w:rsid w:val="00300672"/>
    <w:rsid w:val="00300688"/>
    <w:rsid w:val="003006F6"/>
    <w:rsid w:val="00300727"/>
    <w:rsid w:val="00300734"/>
    <w:rsid w:val="00300792"/>
    <w:rsid w:val="003008C2"/>
    <w:rsid w:val="00300961"/>
    <w:rsid w:val="00300979"/>
    <w:rsid w:val="00300A1B"/>
    <w:rsid w:val="00300A89"/>
    <w:rsid w:val="00300AC9"/>
    <w:rsid w:val="00300AF1"/>
    <w:rsid w:val="00300B13"/>
    <w:rsid w:val="00300BA0"/>
    <w:rsid w:val="00300BB0"/>
    <w:rsid w:val="00300BB9"/>
    <w:rsid w:val="00300BD8"/>
    <w:rsid w:val="00300C63"/>
    <w:rsid w:val="00300C71"/>
    <w:rsid w:val="00300C91"/>
    <w:rsid w:val="00300CFA"/>
    <w:rsid w:val="00300D1E"/>
    <w:rsid w:val="00300D2A"/>
    <w:rsid w:val="00300D31"/>
    <w:rsid w:val="00300D3E"/>
    <w:rsid w:val="00300D71"/>
    <w:rsid w:val="00300D7E"/>
    <w:rsid w:val="00300D8C"/>
    <w:rsid w:val="00300DA7"/>
    <w:rsid w:val="00300DB6"/>
    <w:rsid w:val="00300E03"/>
    <w:rsid w:val="00300E6D"/>
    <w:rsid w:val="00300ECC"/>
    <w:rsid w:val="00300EEB"/>
    <w:rsid w:val="00300F11"/>
    <w:rsid w:val="00300F91"/>
    <w:rsid w:val="00300FE4"/>
    <w:rsid w:val="00301007"/>
    <w:rsid w:val="00301016"/>
    <w:rsid w:val="0030101E"/>
    <w:rsid w:val="0030105B"/>
    <w:rsid w:val="00301060"/>
    <w:rsid w:val="00301174"/>
    <w:rsid w:val="0030128F"/>
    <w:rsid w:val="003012B2"/>
    <w:rsid w:val="003012C0"/>
    <w:rsid w:val="00301343"/>
    <w:rsid w:val="00301375"/>
    <w:rsid w:val="00301380"/>
    <w:rsid w:val="00301420"/>
    <w:rsid w:val="00301428"/>
    <w:rsid w:val="00301450"/>
    <w:rsid w:val="00301452"/>
    <w:rsid w:val="00301472"/>
    <w:rsid w:val="00301527"/>
    <w:rsid w:val="00301528"/>
    <w:rsid w:val="003015A0"/>
    <w:rsid w:val="003015C0"/>
    <w:rsid w:val="003015FA"/>
    <w:rsid w:val="0030165A"/>
    <w:rsid w:val="00301717"/>
    <w:rsid w:val="00301722"/>
    <w:rsid w:val="00301754"/>
    <w:rsid w:val="00301755"/>
    <w:rsid w:val="00301757"/>
    <w:rsid w:val="003017C8"/>
    <w:rsid w:val="0030180F"/>
    <w:rsid w:val="0030185D"/>
    <w:rsid w:val="0030187E"/>
    <w:rsid w:val="003018C8"/>
    <w:rsid w:val="003018C9"/>
    <w:rsid w:val="003018D1"/>
    <w:rsid w:val="003018DF"/>
    <w:rsid w:val="0030193B"/>
    <w:rsid w:val="00301A95"/>
    <w:rsid w:val="00301AC7"/>
    <w:rsid w:val="00301AFB"/>
    <w:rsid w:val="00301B1E"/>
    <w:rsid w:val="00301B61"/>
    <w:rsid w:val="00301C0D"/>
    <w:rsid w:val="00301CC7"/>
    <w:rsid w:val="00301D24"/>
    <w:rsid w:val="00301D63"/>
    <w:rsid w:val="00301E18"/>
    <w:rsid w:val="00301E42"/>
    <w:rsid w:val="00301F2A"/>
    <w:rsid w:val="00301F96"/>
    <w:rsid w:val="00301FC7"/>
    <w:rsid w:val="0030207F"/>
    <w:rsid w:val="003020A1"/>
    <w:rsid w:val="00302107"/>
    <w:rsid w:val="00302109"/>
    <w:rsid w:val="00302195"/>
    <w:rsid w:val="003021A5"/>
    <w:rsid w:val="003021F3"/>
    <w:rsid w:val="00302206"/>
    <w:rsid w:val="0030227E"/>
    <w:rsid w:val="00302298"/>
    <w:rsid w:val="003022BF"/>
    <w:rsid w:val="003022E5"/>
    <w:rsid w:val="00302301"/>
    <w:rsid w:val="00302363"/>
    <w:rsid w:val="00302393"/>
    <w:rsid w:val="003023C4"/>
    <w:rsid w:val="003023EF"/>
    <w:rsid w:val="0030241F"/>
    <w:rsid w:val="0030245F"/>
    <w:rsid w:val="00302537"/>
    <w:rsid w:val="003025F2"/>
    <w:rsid w:val="003025FA"/>
    <w:rsid w:val="00302614"/>
    <w:rsid w:val="003026BA"/>
    <w:rsid w:val="00302715"/>
    <w:rsid w:val="0030274C"/>
    <w:rsid w:val="003027CB"/>
    <w:rsid w:val="003027EE"/>
    <w:rsid w:val="00302817"/>
    <w:rsid w:val="00302881"/>
    <w:rsid w:val="00302883"/>
    <w:rsid w:val="003028D2"/>
    <w:rsid w:val="0030290D"/>
    <w:rsid w:val="00302934"/>
    <w:rsid w:val="0030295B"/>
    <w:rsid w:val="00302966"/>
    <w:rsid w:val="00302968"/>
    <w:rsid w:val="0030296B"/>
    <w:rsid w:val="003029D0"/>
    <w:rsid w:val="00302A39"/>
    <w:rsid w:val="00302AC9"/>
    <w:rsid w:val="00302AD0"/>
    <w:rsid w:val="00302B2C"/>
    <w:rsid w:val="00302B62"/>
    <w:rsid w:val="00302B9E"/>
    <w:rsid w:val="00302BBB"/>
    <w:rsid w:val="00302BBC"/>
    <w:rsid w:val="00302BDA"/>
    <w:rsid w:val="00302C97"/>
    <w:rsid w:val="00302CBD"/>
    <w:rsid w:val="00302CC6"/>
    <w:rsid w:val="00302E59"/>
    <w:rsid w:val="00302E6E"/>
    <w:rsid w:val="00302F0A"/>
    <w:rsid w:val="00302F27"/>
    <w:rsid w:val="00302F7E"/>
    <w:rsid w:val="00302F91"/>
    <w:rsid w:val="00302FE1"/>
    <w:rsid w:val="00302FF9"/>
    <w:rsid w:val="00303001"/>
    <w:rsid w:val="00303082"/>
    <w:rsid w:val="00303102"/>
    <w:rsid w:val="00303139"/>
    <w:rsid w:val="003031F2"/>
    <w:rsid w:val="00303297"/>
    <w:rsid w:val="003032ED"/>
    <w:rsid w:val="00303349"/>
    <w:rsid w:val="00303383"/>
    <w:rsid w:val="00303444"/>
    <w:rsid w:val="0030346F"/>
    <w:rsid w:val="0030348A"/>
    <w:rsid w:val="003034F2"/>
    <w:rsid w:val="00303527"/>
    <w:rsid w:val="00303562"/>
    <w:rsid w:val="0030358E"/>
    <w:rsid w:val="0030358F"/>
    <w:rsid w:val="003035A6"/>
    <w:rsid w:val="003035A7"/>
    <w:rsid w:val="003035CA"/>
    <w:rsid w:val="00303611"/>
    <w:rsid w:val="00303672"/>
    <w:rsid w:val="003036D4"/>
    <w:rsid w:val="00303705"/>
    <w:rsid w:val="00303710"/>
    <w:rsid w:val="0030371A"/>
    <w:rsid w:val="003037A9"/>
    <w:rsid w:val="00303832"/>
    <w:rsid w:val="00303869"/>
    <w:rsid w:val="00303872"/>
    <w:rsid w:val="00303881"/>
    <w:rsid w:val="0030388E"/>
    <w:rsid w:val="003038BD"/>
    <w:rsid w:val="003038C3"/>
    <w:rsid w:val="003038E6"/>
    <w:rsid w:val="0030392E"/>
    <w:rsid w:val="00303934"/>
    <w:rsid w:val="003039B1"/>
    <w:rsid w:val="003039C8"/>
    <w:rsid w:val="00303A23"/>
    <w:rsid w:val="00303A3E"/>
    <w:rsid w:val="00303A77"/>
    <w:rsid w:val="00303A7C"/>
    <w:rsid w:val="00303A9E"/>
    <w:rsid w:val="00303AD2"/>
    <w:rsid w:val="00303AE5"/>
    <w:rsid w:val="00303B18"/>
    <w:rsid w:val="00303B1F"/>
    <w:rsid w:val="00303B50"/>
    <w:rsid w:val="00303B57"/>
    <w:rsid w:val="00303B98"/>
    <w:rsid w:val="00303BAE"/>
    <w:rsid w:val="00303BE7"/>
    <w:rsid w:val="00303BEB"/>
    <w:rsid w:val="00303C4A"/>
    <w:rsid w:val="00303CA5"/>
    <w:rsid w:val="00303CC2"/>
    <w:rsid w:val="00303CDB"/>
    <w:rsid w:val="00303CE4"/>
    <w:rsid w:val="00303D7D"/>
    <w:rsid w:val="00303DDA"/>
    <w:rsid w:val="00303DE8"/>
    <w:rsid w:val="00303DEB"/>
    <w:rsid w:val="00303E39"/>
    <w:rsid w:val="00303F3B"/>
    <w:rsid w:val="00303FBB"/>
    <w:rsid w:val="00303FD0"/>
    <w:rsid w:val="00303FEC"/>
    <w:rsid w:val="00304097"/>
    <w:rsid w:val="003040E0"/>
    <w:rsid w:val="00304193"/>
    <w:rsid w:val="00304194"/>
    <w:rsid w:val="00304246"/>
    <w:rsid w:val="0030432C"/>
    <w:rsid w:val="0030437E"/>
    <w:rsid w:val="003043CB"/>
    <w:rsid w:val="003043D9"/>
    <w:rsid w:val="0030446F"/>
    <w:rsid w:val="003044D0"/>
    <w:rsid w:val="00304558"/>
    <w:rsid w:val="0030455B"/>
    <w:rsid w:val="0030455F"/>
    <w:rsid w:val="003045A8"/>
    <w:rsid w:val="003045B1"/>
    <w:rsid w:val="003045C8"/>
    <w:rsid w:val="00304691"/>
    <w:rsid w:val="003046A2"/>
    <w:rsid w:val="003046AD"/>
    <w:rsid w:val="003046C8"/>
    <w:rsid w:val="003046E8"/>
    <w:rsid w:val="0030476A"/>
    <w:rsid w:val="00304773"/>
    <w:rsid w:val="00304783"/>
    <w:rsid w:val="0030478D"/>
    <w:rsid w:val="00304803"/>
    <w:rsid w:val="00304811"/>
    <w:rsid w:val="0030485D"/>
    <w:rsid w:val="003048B7"/>
    <w:rsid w:val="003048BC"/>
    <w:rsid w:val="003048CA"/>
    <w:rsid w:val="003048D0"/>
    <w:rsid w:val="003049C6"/>
    <w:rsid w:val="003049CD"/>
    <w:rsid w:val="00304A8D"/>
    <w:rsid w:val="00304A94"/>
    <w:rsid w:val="00304AAE"/>
    <w:rsid w:val="00304AB7"/>
    <w:rsid w:val="00304ABA"/>
    <w:rsid w:val="00304AD0"/>
    <w:rsid w:val="00304B0D"/>
    <w:rsid w:val="00304B43"/>
    <w:rsid w:val="00304B63"/>
    <w:rsid w:val="00304B75"/>
    <w:rsid w:val="00304BC6"/>
    <w:rsid w:val="00304BC7"/>
    <w:rsid w:val="00304BD5"/>
    <w:rsid w:val="00304BE2"/>
    <w:rsid w:val="00304BEF"/>
    <w:rsid w:val="00304C80"/>
    <w:rsid w:val="00304C85"/>
    <w:rsid w:val="00304C8D"/>
    <w:rsid w:val="00304DAC"/>
    <w:rsid w:val="00304DB3"/>
    <w:rsid w:val="00304DC8"/>
    <w:rsid w:val="00304E2C"/>
    <w:rsid w:val="00304E51"/>
    <w:rsid w:val="00304E59"/>
    <w:rsid w:val="00304E71"/>
    <w:rsid w:val="00304FB8"/>
    <w:rsid w:val="003050A1"/>
    <w:rsid w:val="003050AC"/>
    <w:rsid w:val="003050C7"/>
    <w:rsid w:val="003050CC"/>
    <w:rsid w:val="00305137"/>
    <w:rsid w:val="00305169"/>
    <w:rsid w:val="003051D4"/>
    <w:rsid w:val="003051E0"/>
    <w:rsid w:val="003052B3"/>
    <w:rsid w:val="00305319"/>
    <w:rsid w:val="0030535E"/>
    <w:rsid w:val="00305377"/>
    <w:rsid w:val="003053CD"/>
    <w:rsid w:val="003053D4"/>
    <w:rsid w:val="00305440"/>
    <w:rsid w:val="00305441"/>
    <w:rsid w:val="00305515"/>
    <w:rsid w:val="0030553E"/>
    <w:rsid w:val="0030554A"/>
    <w:rsid w:val="0030563E"/>
    <w:rsid w:val="00305660"/>
    <w:rsid w:val="00305665"/>
    <w:rsid w:val="0030568A"/>
    <w:rsid w:val="003056B5"/>
    <w:rsid w:val="003056BC"/>
    <w:rsid w:val="003056CE"/>
    <w:rsid w:val="00305775"/>
    <w:rsid w:val="003057A1"/>
    <w:rsid w:val="003057A5"/>
    <w:rsid w:val="00305802"/>
    <w:rsid w:val="00305827"/>
    <w:rsid w:val="00305912"/>
    <w:rsid w:val="00305959"/>
    <w:rsid w:val="003059E3"/>
    <w:rsid w:val="00305A36"/>
    <w:rsid w:val="00305A46"/>
    <w:rsid w:val="00305A4F"/>
    <w:rsid w:val="00305A97"/>
    <w:rsid w:val="00305AAF"/>
    <w:rsid w:val="00305AB7"/>
    <w:rsid w:val="00305AE0"/>
    <w:rsid w:val="00305AF2"/>
    <w:rsid w:val="00305B2F"/>
    <w:rsid w:val="00305B32"/>
    <w:rsid w:val="00305B4F"/>
    <w:rsid w:val="00305B8E"/>
    <w:rsid w:val="00305BA5"/>
    <w:rsid w:val="00305C0C"/>
    <w:rsid w:val="00305C15"/>
    <w:rsid w:val="00305C69"/>
    <w:rsid w:val="00305CE4"/>
    <w:rsid w:val="00305CF7"/>
    <w:rsid w:val="00305D4D"/>
    <w:rsid w:val="00305DAE"/>
    <w:rsid w:val="00305EEF"/>
    <w:rsid w:val="00305EF5"/>
    <w:rsid w:val="00305F4F"/>
    <w:rsid w:val="0030603F"/>
    <w:rsid w:val="00306054"/>
    <w:rsid w:val="00306099"/>
    <w:rsid w:val="003060E6"/>
    <w:rsid w:val="0030610E"/>
    <w:rsid w:val="00306116"/>
    <w:rsid w:val="003061A7"/>
    <w:rsid w:val="003061CF"/>
    <w:rsid w:val="00306248"/>
    <w:rsid w:val="003062A0"/>
    <w:rsid w:val="003062FB"/>
    <w:rsid w:val="00306316"/>
    <w:rsid w:val="00306337"/>
    <w:rsid w:val="00306384"/>
    <w:rsid w:val="00306385"/>
    <w:rsid w:val="0030638F"/>
    <w:rsid w:val="003063C8"/>
    <w:rsid w:val="003063D2"/>
    <w:rsid w:val="0030640F"/>
    <w:rsid w:val="00306421"/>
    <w:rsid w:val="0030645A"/>
    <w:rsid w:val="0030649B"/>
    <w:rsid w:val="003064E3"/>
    <w:rsid w:val="003064FF"/>
    <w:rsid w:val="00306574"/>
    <w:rsid w:val="003065E7"/>
    <w:rsid w:val="0030665E"/>
    <w:rsid w:val="00306683"/>
    <w:rsid w:val="003066AD"/>
    <w:rsid w:val="0030671E"/>
    <w:rsid w:val="003067B6"/>
    <w:rsid w:val="003067FC"/>
    <w:rsid w:val="00306894"/>
    <w:rsid w:val="003068AE"/>
    <w:rsid w:val="003068F6"/>
    <w:rsid w:val="0030696E"/>
    <w:rsid w:val="00306A02"/>
    <w:rsid w:val="00306A19"/>
    <w:rsid w:val="00306A1D"/>
    <w:rsid w:val="00306A81"/>
    <w:rsid w:val="00306ABF"/>
    <w:rsid w:val="00306AC7"/>
    <w:rsid w:val="00306B69"/>
    <w:rsid w:val="00306B6F"/>
    <w:rsid w:val="00306B7A"/>
    <w:rsid w:val="00306B81"/>
    <w:rsid w:val="00306B9D"/>
    <w:rsid w:val="00306BAB"/>
    <w:rsid w:val="00306C0C"/>
    <w:rsid w:val="00306C59"/>
    <w:rsid w:val="00306C70"/>
    <w:rsid w:val="00306D7D"/>
    <w:rsid w:val="00306EC2"/>
    <w:rsid w:val="00306EF8"/>
    <w:rsid w:val="00306F80"/>
    <w:rsid w:val="00306FB4"/>
    <w:rsid w:val="0030706E"/>
    <w:rsid w:val="003070A2"/>
    <w:rsid w:val="003070F1"/>
    <w:rsid w:val="00307124"/>
    <w:rsid w:val="0030714F"/>
    <w:rsid w:val="00307197"/>
    <w:rsid w:val="003071C1"/>
    <w:rsid w:val="0030724C"/>
    <w:rsid w:val="003072CF"/>
    <w:rsid w:val="0030732E"/>
    <w:rsid w:val="00307339"/>
    <w:rsid w:val="00307366"/>
    <w:rsid w:val="003073C1"/>
    <w:rsid w:val="00307417"/>
    <w:rsid w:val="00307425"/>
    <w:rsid w:val="00307433"/>
    <w:rsid w:val="00307453"/>
    <w:rsid w:val="00307461"/>
    <w:rsid w:val="003074A4"/>
    <w:rsid w:val="00307521"/>
    <w:rsid w:val="00307547"/>
    <w:rsid w:val="0030754B"/>
    <w:rsid w:val="00307585"/>
    <w:rsid w:val="00307588"/>
    <w:rsid w:val="003075AA"/>
    <w:rsid w:val="0030760A"/>
    <w:rsid w:val="00307621"/>
    <w:rsid w:val="003076F3"/>
    <w:rsid w:val="003077C5"/>
    <w:rsid w:val="00307813"/>
    <w:rsid w:val="0030784D"/>
    <w:rsid w:val="0030785F"/>
    <w:rsid w:val="00307882"/>
    <w:rsid w:val="003078F8"/>
    <w:rsid w:val="00307942"/>
    <w:rsid w:val="003079B7"/>
    <w:rsid w:val="003079E4"/>
    <w:rsid w:val="003079EE"/>
    <w:rsid w:val="003079F4"/>
    <w:rsid w:val="003079FC"/>
    <w:rsid w:val="00307ADF"/>
    <w:rsid w:val="00307C1F"/>
    <w:rsid w:val="00307CF3"/>
    <w:rsid w:val="00307D1E"/>
    <w:rsid w:val="00307D44"/>
    <w:rsid w:val="00307D6F"/>
    <w:rsid w:val="00307D9C"/>
    <w:rsid w:val="00307DBA"/>
    <w:rsid w:val="00307E09"/>
    <w:rsid w:val="00307E0F"/>
    <w:rsid w:val="00307E26"/>
    <w:rsid w:val="00307E36"/>
    <w:rsid w:val="00307E53"/>
    <w:rsid w:val="00307EC4"/>
    <w:rsid w:val="00307EEB"/>
    <w:rsid w:val="00307F1F"/>
    <w:rsid w:val="00307F69"/>
    <w:rsid w:val="00307F76"/>
    <w:rsid w:val="00307F7D"/>
    <w:rsid w:val="00307FD9"/>
    <w:rsid w:val="0031002B"/>
    <w:rsid w:val="00310068"/>
    <w:rsid w:val="0031006D"/>
    <w:rsid w:val="00310103"/>
    <w:rsid w:val="003101BD"/>
    <w:rsid w:val="003101C4"/>
    <w:rsid w:val="00310243"/>
    <w:rsid w:val="00310325"/>
    <w:rsid w:val="0031033D"/>
    <w:rsid w:val="00310350"/>
    <w:rsid w:val="00310365"/>
    <w:rsid w:val="00310401"/>
    <w:rsid w:val="0031046E"/>
    <w:rsid w:val="00310492"/>
    <w:rsid w:val="003104E5"/>
    <w:rsid w:val="00310549"/>
    <w:rsid w:val="00310589"/>
    <w:rsid w:val="003105A6"/>
    <w:rsid w:val="00310649"/>
    <w:rsid w:val="0031066F"/>
    <w:rsid w:val="003106E0"/>
    <w:rsid w:val="003106F3"/>
    <w:rsid w:val="003106F8"/>
    <w:rsid w:val="00310749"/>
    <w:rsid w:val="003107C7"/>
    <w:rsid w:val="003107E4"/>
    <w:rsid w:val="0031081E"/>
    <w:rsid w:val="00310835"/>
    <w:rsid w:val="00310849"/>
    <w:rsid w:val="00310862"/>
    <w:rsid w:val="00310890"/>
    <w:rsid w:val="003108AC"/>
    <w:rsid w:val="00310948"/>
    <w:rsid w:val="00310952"/>
    <w:rsid w:val="0031099B"/>
    <w:rsid w:val="0031099D"/>
    <w:rsid w:val="00310A29"/>
    <w:rsid w:val="00310A32"/>
    <w:rsid w:val="00310A62"/>
    <w:rsid w:val="00310A93"/>
    <w:rsid w:val="00310B91"/>
    <w:rsid w:val="00310BC1"/>
    <w:rsid w:val="00310C99"/>
    <w:rsid w:val="00310CA2"/>
    <w:rsid w:val="00310CCB"/>
    <w:rsid w:val="00310D0B"/>
    <w:rsid w:val="00310D25"/>
    <w:rsid w:val="00310D37"/>
    <w:rsid w:val="00310D5E"/>
    <w:rsid w:val="00310D7E"/>
    <w:rsid w:val="00310DD0"/>
    <w:rsid w:val="00310DF6"/>
    <w:rsid w:val="00310E18"/>
    <w:rsid w:val="00310E7C"/>
    <w:rsid w:val="00310E85"/>
    <w:rsid w:val="00310EA4"/>
    <w:rsid w:val="00310EB6"/>
    <w:rsid w:val="00310EDF"/>
    <w:rsid w:val="00310EF1"/>
    <w:rsid w:val="00310F3E"/>
    <w:rsid w:val="00310F77"/>
    <w:rsid w:val="00310F9C"/>
    <w:rsid w:val="00310FB6"/>
    <w:rsid w:val="0031105A"/>
    <w:rsid w:val="0031108B"/>
    <w:rsid w:val="00311097"/>
    <w:rsid w:val="00311123"/>
    <w:rsid w:val="0031117A"/>
    <w:rsid w:val="003111DD"/>
    <w:rsid w:val="003112AF"/>
    <w:rsid w:val="003112B8"/>
    <w:rsid w:val="003112FC"/>
    <w:rsid w:val="003113FF"/>
    <w:rsid w:val="00311445"/>
    <w:rsid w:val="00311446"/>
    <w:rsid w:val="0031146E"/>
    <w:rsid w:val="003114BC"/>
    <w:rsid w:val="003114F6"/>
    <w:rsid w:val="00311539"/>
    <w:rsid w:val="0031158A"/>
    <w:rsid w:val="00311598"/>
    <w:rsid w:val="003115A5"/>
    <w:rsid w:val="003115B7"/>
    <w:rsid w:val="003115EB"/>
    <w:rsid w:val="00311607"/>
    <w:rsid w:val="00311663"/>
    <w:rsid w:val="00311664"/>
    <w:rsid w:val="003116DB"/>
    <w:rsid w:val="00311746"/>
    <w:rsid w:val="00311751"/>
    <w:rsid w:val="003117E8"/>
    <w:rsid w:val="0031182C"/>
    <w:rsid w:val="0031191E"/>
    <w:rsid w:val="003119B4"/>
    <w:rsid w:val="003119B5"/>
    <w:rsid w:val="00311A72"/>
    <w:rsid w:val="00311A87"/>
    <w:rsid w:val="00311A94"/>
    <w:rsid w:val="00311AD3"/>
    <w:rsid w:val="00311BB6"/>
    <w:rsid w:val="00311C39"/>
    <w:rsid w:val="00311CBC"/>
    <w:rsid w:val="00311CF6"/>
    <w:rsid w:val="00311D86"/>
    <w:rsid w:val="00311D9C"/>
    <w:rsid w:val="00311DD0"/>
    <w:rsid w:val="00311E02"/>
    <w:rsid w:val="00311E07"/>
    <w:rsid w:val="00311ED6"/>
    <w:rsid w:val="00311F92"/>
    <w:rsid w:val="00312045"/>
    <w:rsid w:val="0031206C"/>
    <w:rsid w:val="0031208B"/>
    <w:rsid w:val="003120C6"/>
    <w:rsid w:val="00312127"/>
    <w:rsid w:val="0031216E"/>
    <w:rsid w:val="003121E6"/>
    <w:rsid w:val="003122B2"/>
    <w:rsid w:val="003122F4"/>
    <w:rsid w:val="0031234D"/>
    <w:rsid w:val="003123BA"/>
    <w:rsid w:val="00312445"/>
    <w:rsid w:val="0031245F"/>
    <w:rsid w:val="0031248F"/>
    <w:rsid w:val="003124AF"/>
    <w:rsid w:val="003124B0"/>
    <w:rsid w:val="003124C1"/>
    <w:rsid w:val="00312507"/>
    <w:rsid w:val="00312562"/>
    <w:rsid w:val="00312578"/>
    <w:rsid w:val="003125A7"/>
    <w:rsid w:val="003125AD"/>
    <w:rsid w:val="003125C2"/>
    <w:rsid w:val="00312617"/>
    <w:rsid w:val="00312626"/>
    <w:rsid w:val="00312651"/>
    <w:rsid w:val="0031268D"/>
    <w:rsid w:val="003127B1"/>
    <w:rsid w:val="0031280C"/>
    <w:rsid w:val="00312838"/>
    <w:rsid w:val="00312841"/>
    <w:rsid w:val="0031284E"/>
    <w:rsid w:val="0031286D"/>
    <w:rsid w:val="0031289F"/>
    <w:rsid w:val="0031293B"/>
    <w:rsid w:val="00312970"/>
    <w:rsid w:val="003129A6"/>
    <w:rsid w:val="00312A0E"/>
    <w:rsid w:val="00312A10"/>
    <w:rsid w:val="00312A13"/>
    <w:rsid w:val="00312B4F"/>
    <w:rsid w:val="00312B77"/>
    <w:rsid w:val="00312BBC"/>
    <w:rsid w:val="00312C49"/>
    <w:rsid w:val="00312CA3"/>
    <w:rsid w:val="00312CC1"/>
    <w:rsid w:val="00312CE5"/>
    <w:rsid w:val="00312CF0"/>
    <w:rsid w:val="00312D0A"/>
    <w:rsid w:val="00312D41"/>
    <w:rsid w:val="00312D61"/>
    <w:rsid w:val="00312D73"/>
    <w:rsid w:val="00312D7E"/>
    <w:rsid w:val="00312DAB"/>
    <w:rsid w:val="00312DF7"/>
    <w:rsid w:val="00312E0F"/>
    <w:rsid w:val="00312E22"/>
    <w:rsid w:val="00312E78"/>
    <w:rsid w:val="00312F04"/>
    <w:rsid w:val="00312F2B"/>
    <w:rsid w:val="00312FBF"/>
    <w:rsid w:val="00312FD0"/>
    <w:rsid w:val="00312FE9"/>
    <w:rsid w:val="0031307F"/>
    <w:rsid w:val="0031308D"/>
    <w:rsid w:val="003130C5"/>
    <w:rsid w:val="003131AC"/>
    <w:rsid w:val="003131AF"/>
    <w:rsid w:val="00313232"/>
    <w:rsid w:val="00313242"/>
    <w:rsid w:val="003132A6"/>
    <w:rsid w:val="003132C4"/>
    <w:rsid w:val="003132CA"/>
    <w:rsid w:val="003132FC"/>
    <w:rsid w:val="00313308"/>
    <w:rsid w:val="00313322"/>
    <w:rsid w:val="0031339E"/>
    <w:rsid w:val="00313424"/>
    <w:rsid w:val="003134C0"/>
    <w:rsid w:val="003134C2"/>
    <w:rsid w:val="003134F0"/>
    <w:rsid w:val="00313529"/>
    <w:rsid w:val="00313541"/>
    <w:rsid w:val="00313544"/>
    <w:rsid w:val="00313658"/>
    <w:rsid w:val="00313667"/>
    <w:rsid w:val="00313673"/>
    <w:rsid w:val="0031367A"/>
    <w:rsid w:val="00313688"/>
    <w:rsid w:val="003136DD"/>
    <w:rsid w:val="0031372D"/>
    <w:rsid w:val="00313759"/>
    <w:rsid w:val="003137A9"/>
    <w:rsid w:val="003137C3"/>
    <w:rsid w:val="003137F9"/>
    <w:rsid w:val="00313843"/>
    <w:rsid w:val="00313863"/>
    <w:rsid w:val="003138B6"/>
    <w:rsid w:val="003138BC"/>
    <w:rsid w:val="00313996"/>
    <w:rsid w:val="003139DF"/>
    <w:rsid w:val="00313A2A"/>
    <w:rsid w:val="00313A7C"/>
    <w:rsid w:val="00313B0F"/>
    <w:rsid w:val="00313B9C"/>
    <w:rsid w:val="00313BF8"/>
    <w:rsid w:val="00313C64"/>
    <w:rsid w:val="00313CAA"/>
    <w:rsid w:val="00313CBD"/>
    <w:rsid w:val="00313D6E"/>
    <w:rsid w:val="00313E0A"/>
    <w:rsid w:val="00313E46"/>
    <w:rsid w:val="00313E7C"/>
    <w:rsid w:val="00313EAD"/>
    <w:rsid w:val="00313EAE"/>
    <w:rsid w:val="00313EE2"/>
    <w:rsid w:val="00313F0A"/>
    <w:rsid w:val="00313F6C"/>
    <w:rsid w:val="00313F7A"/>
    <w:rsid w:val="00313F9E"/>
    <w:rsid w:val="00314014"/>
    <w:rsid w:val="0031401D"/>
    <w:rsid w:val="0031404C"/>
    <w:rsid w:val="00314053"/>
    <w:rsid w:val="0031406F"/>
    <w:rsid w:val="00314095"/>
    <w:rsid w:val="003140EB"/>
    <w:rsid w:val="003140F5"/>
    <w:rsid w:val="00314119"/>
    <w:rsid w:val="003141ED"/>
    <w:rsid w:val="0031422F"/>
    <w:rsid w:val="00314250"/>
    <w:rsid w:val="00314276"/>
    <w:rsid w:val="00314296"/>
    <w:rsid w:val="003142C7"/>
    <w:rsid w:val="003142F5"/>
    <w:rsid w:val="0031430A"/>
    <w:rsid w:val="00314369"/>
    <w:rsid w:val="003143FF"/>
    <w:rsid w:val="00314479"/>
    <w:rsid w:val="0031447F"/>
    <w:rsid w:val="003144AF"/>
    <w:rsid w:val="003144B3"/>
    <w:rsid w:val="003144CE"/>
    <w:rsid w:val="003144DB"/>
    <w:rsid w:val="0031451E"/>
    <w:rsid w:val="00314579"/>
    <w:rsid w:val="00314667"/>
    <w:rsid w:val="00314685"/>
    <w:rsid w:val="003147A2"/>
    <w:rsid w:val="003147DA"/>
    <w:rsid w:val="0031482C"/>
    <w:rsid w:val="003148FD"/>
    <w:rsid w:val="003149B9"/>
    <w:rsid w:val="003149E7"/>
    <w:rsid w:val="00314A1E"/>
    <w:rsid w:val="00314A5F"/>
    <w:rsid w:val="00314A86"/>
    <w:rsid w:val="00314B41"/>
    <w:rsid w:val="00314C0B"/>
    <w:rsid w:val="00314C4F"/>
    <w:rsid w:val="00314C81"/>
    <w:rsid w:val="00314CFC"/>
    <w:rsid w:val="00314DB5"/>
    <w:rsid w:val="00314DE2"/>
    <w:rsid w:val="00314DE8"/>
    <w:rsid w:val="00314E85"/>
    <w:rsid w:val="00314E8D"/>
    <w:rsid w:val="00314E94"/>
    <w:rsid w:val="00314F1B"/>
    <w:rsid w:val="00314F80"/>
    <w:rsid w:val="00314F92"/>
    <w:rsid w:val="00314FD3"/>
    <w:rsid w:val="00315008"/>
    <w:rsid w:val="00315010"/>
    <w:rsid w:val="00315021"/>
    <w:rsid w:val="003150A6"/>
    <w:rsid w:val="003150FC"/>
    <w:rsid w:val="00315157"/>
    <w:rsid w:val="0031517D"/>
    <w:rsid w:val="003151B8"/>
    <w:rsid w:val="00315267"/>
    <w:rsid w:val="003152C8"/>
    <w:rsid w:val="00315304"/>
    <w:rsid w:val="00315353"/>
    <w:rsid w:val="0031536A"/>
    <w:rsid w:val="00315428"/>
    <w:rsid w:val="003155CA"/>
    <w:rsid w:val="003155E6"/>
    <w:rsid w:val="00315632"/>
    <w:rsid w:val="00315633"/>
    <w:rsid w:val="00315638"/>
    <w:rsid w:val="003156D7"/>
    <w:rsid w:val="0031572E"/>
    <w:rsid w:val="003157BE"/>
    <w:rsid w:val="003157C7"/>
    <w:rsid w:val="003158A0"/>
    <w:rsid w:val="00315A00"/>
    <w:rsid w:val="00315A63"/>
    <w:rsid w:val="00315A8F"/>
    <w:rsid w:val="00315AC2"/>
    <w:rsid w:val="00315AF8"/>
    <w:rsid w:val="00315B09"/>
    <w:rsid w:val="00315B77"/>
    <w:rsid w:val="00315B7A"/>
    <w:rsid w:val="00315C0D"/>
    <w:rsid w:val="00315C32"/>
    <w:rsid w:val="00315CE5"/>
    <w:rsid w:val="00315D14"/>
    <w:rsid w:val="00315D29"/>
    <w:rsid w:val="00315DBA"/>
    <w:rsid w:val="00315DF4"/>
    <w:rsid w:val="00315E1D"/>
    <w:rsid w:val="00315F85"/>
    <w:rsid w:val="00315F9D"/>
    <w:rsid w:val="00315FEE"/>
    <w:rsid w:val="00316007"/>
    <w:rsid w:val="00316019"/>
    <w:rsid w:val="003160BA"/>
    <w:rsid w:val="00316158"/>
    <w:rsid w:val="00316194"/>
    <w:rsid w:val="003161A8"/>
    <w:rsid w:val="003161EB"/>
    <w:rsid w:val="0031620E"/>
    <w:rsid w:val="0031627B"/>
    <w:rsid w:val="0031627D"/>
    <w:rsid w:val="003162EC"/>
    <w:rsid w:val="003163BC"/>
    <w:rsid w:val="00316426"/>
    <w:rsid w:val="00316446"/>
    <w:rsid w:val="00316451"/>
    <w:rsid w:val="0031647B"/>
    <w:rsid w:val="00316489"/>
    <w:rsid w:val="003164CA"/>
    <w:rsid w:val="003164E7"/>
    <w:rsid w:val="003164F3"/>
    <w:rsid w:val="003164FC"/>
    <w:rsid w:val="0031655F"/>
    <w:rsid w:val="0031656C"/>
    <w:rsid w:val="003165E3"/>
    <w:rsid w:val="00316600"/>
    <w:rsid w:val="0031664A"/>
    <w:rsid w:val="00316699"/>
    <w:rsid w:val="00316771"/>
    <w:rsid w:val="0031677E"/>
    <w:rsid w:val="003167A4"/>
    <w:rsid w:val="003167A9"/>
    <w:rsid w:val="003167AF"/>
    <w:rsid w:val="003167CF"/>
    <w:rsid w:val="0031684F"/>
    <w:rsid w:val="00316855"/>
    <w:rsid w:val="003168C5"/>
    <w:rsid w:val="003168EC"/>
    <w:rsid w:val="00316906"/>
    <w:rsid w:val="00316911"/>
    <w:rsid w:val="00316945"/>
    <w:rsid w:val="0031694A"/>
    <w:rsid w:val="0031698B"/>
    <w:rsid w:val="00316B02"/>
    <w:rsid w:val="00316B1F"/>
    <w:rsid w:val="00316B43"/>
    <w:rsid w:val="00316BBA"/>
    <w:rsid w:val="00316C3B"/>
    <w:rsid w:val="00316C3C"/>
    <w:rsid w:val="00316C44"/>
    <w:rsid w:val="00316C89"/>
    <w:rsid w:val="00316CA1"/>
    <w:rsid w:val="00316CDD"/>
    <w:rsid w:val="00316D57"/>
    <w:rsid w:val="00316DA2"/>
    <w:rsid w:val="00316DA5"/>
    <w:rsid w:val="00316E1E"/>
    <w:rsid w:val="00316EAF"/>
    <w:rsid w:val="00316F2D"/>
    <w:rsid w:val="00316F79"/>
    <w:rsid w:val="00316FF0"/>
    <w:rsid w:val="00317098"/>
    <w:rsid w:val="003170C8"/>
    <w:rsid w:val="003170F4"/>
    <w:rsid w:val="0031711A"/>
    <w:rsid w:val="00317130"/>
    <w:rsid w:val="0031718D"/>
    <w:rsid w:val="003171A9"/>
    <w:rsid w:val="003171C0"/>
    <w:rsid w:val="00317277"/>
    <w:rsid w:val="0031727A"/>
    <w:rsid w:val="0031728D"/>
    <w:rsid w:val="00317320"/>
    <w:rsid w:val="00317369"/>
    <w:rsid w:val="00317373"/>
    <w:rsid w:val="00317383"/>
    <w:rsid w:val="003173A6"/>
    <w:rsid w:val="00317415"/>
    <w:rsid w:val="00317417"/>
    <w:rsid w:val="0031741D"/>
    <w:rsid w:val="0031744C"/>
    <w:rsid w:val="00317454"/>
    <w:rsid w:val="0031754A"/>
    <w:rsid w:val="00317592"/>
    <w:rsid w:val="00317601"/>
    <w:rsid w:val="0031764A"/>
    <w:rsid w:val="00317695"/>
    <w:rsid w:val="003176A5"/>
    <w:rsid w:val="003176B3"/>
    <w:rsid w:val="00317703"/>
    <w:rsid w:val="0031773B"/>
    <w:rsid w:val="003177EC"/>
    <w:rsid w:val="00317837"/>
    <w:rsid w:val="00317872"/>
    <w:rsid w:val="003178AB"/>
    <w:rsid w:val="003178DC"/>
    <w:rsid w:val="003178FC"/>
    <w:rsid w:val="00317934"/>
    <w:rsid w:val="00317A01"/>
    <w:rsid w:val="00317A2E"/>
    <w:rsid w:val="00317A5A"/>
    <w:rsid w:val="00317A67"/>
    <w:rsid w:val="00317A9E"/>
    <w:rsid w:val="00317B0A"/>
    <w:rsid w:val="00317B1D"/>
    <w:rsid w:val="00317B4B"/>
    <w:rsid w:val="00317B6D"/>
    <w:rsid w:val="00317BAD"/>
    <w:rsid w:val="00317BAF"/>
    <w:rsid w:val="00317BBE"/>
    <w:rsid w:val="00317BEE"/>
    <w:rsid w:val="00317C09"/>
    <w:rsid w:val="00317C3C"/>
    <w:rsid w:val="00317C7B"/>
    <w:rsid w:val="00317CBA"/>
    <w:rsid w:val="00317CC1"/>
    <w:rsid w:val="00317D3C"/>
    <w:rsid w:val="00317D72"/>
    <w:rsid w:val="00317DDF"/>
    <w:rsid w:val="00317EB9"/>
    <w:rsid w:val="00317ED2"/>
    <w:rsid w:val="00317F22"/>
    <w:rsid w:val="00317F26"/>
    <w:rsid w:val="00317F7A"/>
    <w:rsid w:val="00317F90"/>
    <w:rsid w:val="00317FE2"/>
    <w:rsid w:val="00317FE3"/>
    <w:rsid w:val="00320046"/>
    <w:rsid w:val="00320072"/>
    <w:rsid w:val="00320098"/>
    <w:rsid w:val="003200A7"/>
    <w:rsid w:val="003200EF"/>
    <w:rsid w:val="0032013B"/>
    <w:rsid w:val="00320162"/>
    <w:rsid w:val="00320174"/>
    <w:rsid w:val="0032019C"/>
    <w:rsid w:val="003201C6"/>
    <w:rsid w:val="003201D3"/>
    <w:rsid w:val="00320276"/>
    <w:rsid w:val="0032029D"/>
    <w:rsid w:val="003202B4"/>
    <w:rsid w:val="003202F6"/>
    <w:rsid w:val="00320325"/>
    <w:rsid w:val="0032036A"/>
    <w:rsid w:val="0032038C"/>
    <w:rsid w:val="003203AA"/>
    <w:rsid w:val="003203ED"/>
    <w:rsid w:val="003203F4"/>
    <w:rsid w:val="003203FB"/>
    <w:rsid w:val="0032041D"/>
    <w:rsid w:val="0032041E"/>
    <w:rsid w:val="00320421"/>
    <w:rsid w:val="00320485"/>
    <w:rsid w:val="00320488"/>
    <w:rsid w:val="0032048C"/>
    <w:rsid w:val="003204D6"/>
    <w:rsid w:val="003204F3"/>
    <w:rsid w:val="00320564"/>
    <w:rsid w:val="00320567"/>
    <w:rsid w:val="003205AB"/>
    <w:rsid w:val="00320631"/>
    <w:rsid w:val="00320666"/>
    <w:rsid w:val="0032069A"/>
    <w:rsid w:val="003206AB"/>
    <w:rsid w:val="0032073F"/>
    <w:rsid w:val="0032075C"/>
    <w:rsid w:val="0032077A"/>
    <w:rsid w:val="00320799"/>
    <w:rsid w:val="003207A2"/>
    <w:rsid w:val="003207C3"/>
    <w:rsid w:val="0032080A"/>
    <w:rsid w:val="00320837"/>
    <w:rsid w:val="003208C2"/>
    <w:rsid w:val="003208E8"/>
    <w:rsid w:val="003208F0"/>
    <w:rsid w:val="0032091B"/>
    <w:rsid w:val="00320922"/>
    <w:rsid w:val="003209BE"/>
    <w:rsid w:val="00320A1E"/>
    <w:rsid w:val="00320A29"/>
    <w:rsid w:val="00320B18"/>
    <w:rsid w:val="00320B71"/>
    <w:rsid w:val="00320BC3"/>
    <w:rsid w:val="00320BD5"/>
    <w:rsid w:val="00320BF7"/>
    <w:rsid w:val="00320C3D"/>
    <w:rsid w:val="00320CAE"/>
    <w:rsid w:val="00320CDE"/>
    <w:rsid w:val="00320D08"/>
    <w:rsid w:val="00320DD2"/>
    <w:rsid w:val="00320EED"/>
    <w:rsid w:val="00320F10"/>
    <w:rsid w:val="00320F4D"/>
    <w:rsid w:val="00320F6F"/>
    <w:rsid w:val="00320F95"/>
    <w:rsid w:val="00320FA2"/>
    <w:rsid w:val="00320FAB"/>
    <w:rsid w:val="00320FF6"/>
    <w:rsid w:val="0032100A"/>
    <w:rsid w:val="0032107E"/>
    <w:rsid w:val="003210B2"/>
    <w:rsid w:val="003210BC"/>
    <w:rsid w:val="003212CC"/>
    <w:rsid w:val="00321349"/>
    <w:rsid w:val="003213FD"/>
    <w:rsid w:val="0032148F"/>
    <w:rsid w:val="0032155D"/>
    <w:rsid w:val="0032156A"/>
    <w:rsid w:val="00321589"/>
    <w:rsid w:val="003215F5"/>
    <w:rsid w:val="0032169D"/>
    <w:rsid w:val="00321787"/>
    <w:rsid w:val="0032181D"/>
    <w:rsid w:val="00321850"/>
    <w:rsid w:val="00321889"/>
    <w:rsid w:val="003218C1"/>
    <w:rsid w:val="003218C4"/>
    <w:rsid w:val="0032190F"/>
    <w:rsid w:val="0032196C"/>
    <w:rsid w:val="00321985"/>
    <w:rsid w:val="00321987"/>
    <w:rsid w:val="003219A0"/>
    <w:rsid w:val="003219AA"/>
    <w:rsid w:val="003219AD"/>
    <w:rsid w:val="003219B0"/>
    <w:rsid w:val="003219BE"/>
    <w:rsid w:val="003219C1"/>
    <w:rsid w:val="00321A09"/>
    <w:rsid w:val="00321A28"/>
    <w:rsid w:val="00321A93"/>
    <w:rsid w:val="00321A9B"/>
    <w:rsid w:val="00321AA5"/>
    <w:rsid w:val="00321AD6"/>
    <w:rsid w:val="00321AFC"/>
    <w:rsid w:val="00321B09"/>
    <w:rsid w:val="00321B5D"/>
    <w:rsid w:val="00321B5F"/>
    <w:rsid w:val="00321B62"/>
    <w:rsid w:val="00321BB2"/>
    <w:rsid w:val="00321BB4"/>
    <w:rsid w:val="00321BB7"/>
    <w:rsid w:val="00321BCD"/>
    <w:rsid w:val="00321BD7"/>
    <w:rsid w:val="00321C23"/>
    <w:rsid w:val="00321C42"/>
    <w:rsid w:val="00321C4C"/>
    <w:rsid w:val="00321C9B"/>
    <w:rsid w:val="00321CC0"/>
    <w:rsid w:val="00321CEE"/>
    <w:rsid w:val="00321CFB"/>
    <w:rsid w:val="00321DBA"/>
    <w:rsid w:val="00321E08"/>
    <w:rsid w:val="00321E2D"/>
    <w:rsid w:val="00321E5E"/>
    <w:rsid w:val="00321EE9"/>
    <w:rsid w:val="00321EEC"/>
    <w:rsid w:val="00321F28"/>
    <w:rsid w:val="00321F72"/>
    <w:rsid w:val="00322012"/>
    <w:rsid w:val="00322089"/>
    <w:rsid w:val="0032208D"/>
    <w:rsid w:val="0032212F"/>
    <w:rsid w:val="00322148"/>
    <w:rsid w:val="0032217C"/>
    <w:rsid w:val="003221B6"/>
    <w:rsid w:val="0032224B"/>
    <w:rsid w:val="0032233A"/>
    <w:rsid w:val="003223E0"/>
    <w:rsid w:val="00322423"/>
    <w:rsid w:val="00322541"/>
    <w:rsid w:val="003225B5"/>
    <w:rsid w:val="0032260C"/>
    <w:rsid w:val="00322668"/>
    <w:rsid w:val="0032267A"/>
    <w:rsid w:val="003226A8"/>
    <w:rsid w:val="003226B0"/>
    <w:rsid w:val="00322734"/>
    <w:rsid w:val="003227A7"/>
    <w:rsid w:val="003227C9"/>
    <w:rsid w:val="00322829"/>
    <w:rsid w:val="00322836"/>
    <w:rsid w:val="00322841"/>
    <w:rsid w:val="003228B2"/>
    <w:rsid w:val="003228E5"/>
    <w:rsid w:val="003228F6"/>
    <w:rsid w:val="0032294C"/>
    <w:rsid w:val="003229DF"/>
    <w:rsid w:val="00322A17"/>
    <w:rsid w:val="00322ACD"/>
    <w:rsid w:val="00322B3C"/>
    <w:rsid w:val="00322B48"/>
    <w:rsid w:val="00322B4C"/>
    <w:rsid w:val="00322B75"/>
    <w:rsid w:val="00322B7A"/>
    <w:rsid w:val="00322B85"/>
    <w:rsid w:val="00322B90"/>
    <w:rsid w:val="00322BE4"/>
    <w:rsid w:val="00322C0B"/>
    <w:rsid w:val="00322C2F"/>
    <w:rsid w:val="00322C6F"/>
    <w:rsid w:val="00322CC6"/>
    <w:rsid w:val="00322D21"/>
    <w:rsid w:val="00322D79"/>
    <w:rsid w:val="00322EA0"/>
    <w:rsid w:val="00322EB8"/>
    <w:rsid w:val="00322EDB"/>
    <w:rsid w:val="00322F79"/>
    <w:rsid w:val="00322FA3"/>
    <w:rsid w:val="00322FAC"/>
    <w:rsid w:val="00322FC1"/>
    <w:rsid w:val="00322FCA"/>
    <w:rsid w:val="00322FF4"/>
    <w:rsid w:val="0032301F"/>
    <w:rsid w:val="00323023"/>
    <w:rsid w:val="00323080"/>
    <w:rsid w:val="00323103"/>
    <w:rsid w:val="00323128"/>
    <w:rsid w:val="00323148"/>
    <w:rsid w:val="0032314B"/>
    <w:rsid w:val="003231B6"/>
    <w:rsid w:val="00323275"/>
    <w:rsid w:val="003232B3"/>
    <w:rsid w:val="003232B5"/>
    <w:rsid w:val="003232EC"/>
    <w:rsid w:val="003233E4"/>
    <w:rsid w:val="00323468"/>
    <w:rsid w:val="003234E6"/>
    <w:rsid w:val="00323516"/>
    <w:rsid w:val="0032356E"/>
    <w:rsid w:val="00323582"/>
    <w:rsid w:val="0032358C"/>
    <w:rsid w:val="003235AC"/>
    <w:rsid w:val="003235B6"/>
    <w:rsid w:val="003235EC"/>
    <w:rsid w:val="00323655"/>
    <w:rsid w:val="00323684"/>
    <w:rsid w:val="0032369F"/>
    <w:rsid w:val="003236BA"/>
    <w:rsid w:val="003236CB"/>
    <w:rsid w:val="003236DA"/>
    <w:rsid w:val="003236FF"/>
    <w:rsid w:val="0032378F"/>
    <w:rsid w:val="0032379B"/>
    <w:rsid w:val="0032379E"/>
    <w:rsid w:val="00323812"/>
    <w:rsid w:val="003238AF"/>
    <w:rsid w:val="003238DD"/>
    <w:rsid w:val="003238E2"/>
    <w:rsid w:val="00323904"/>
    <w:rsid w:val="0032393F"/>
    <w:rsid w:val="00323952"/>
    <w:rsid w:val="00323978"/>
    <w:rsid w:val="00323991"/>
    <w:rsid w:val="003239CB"/>
    <w:rsid w:val="003239EE"/>
    <w:rsid w:val="00323A01"/>
    <w:rsid w:val="00323A16"/>
    <w:rsid w:val="00323A28"/>
    <w:rsid w:val="00323A6D"/>
    <w:rsid w:val="00323A89"/>
    <w:rsid w:val="00323A8C"/>
    <w:rsid w:val="00323AA5"/>
    <w:rsid w:val="00323AD4"/>
    <w:rsid w:val="00323AF2"/>
    <w:rsid w:val="00323AF5"/>
    <w:rsid w:val="00323B0F"/>
    <w:rsid w:val="00323B6D"/>
    <w:rsid w:val="00323C19"/>
    <w:rsid w:val="00323D23"/>
    <w:rsid w:val="00323D3D"/>
    <w:rsid w:val="00323D8B"/>
    <w:rsid w:val="00323E36"/>
    <w:rsid w:val="00323EA3"/>
    <w:rsid w:val="00323EB1"/>
    <w:rsid w:val="00323FDF"/>
    <w:rsid w:val="00324086"/>
    <w:rsid w:val="003240B0"/>
    <w:rsid w:val="0032411A"/>
    <w:rsid w:val="00324182"/>
    <w:rsid w:val="00324232"/>
    <w:rsid w:val="0032427D"/>
    <w:rsid w:val="003242AD"/>
    <w:rsid w:val="003242CA"/>
    <w:rsid w:val="0032434C"/>
    <w:rsid w:val="00324379"/>
    <w:rsid w:val="0032437F"/>
    <w:rsid w:val="003243D8"/>
    <w:rsid w:val="003243F9"/>
    <w:rsid w:val="0032442A"/>
    <w:rsid w:val="0032444B"/>
    <w:rsid w:val="00324453"/>
    <w:rsid w:val="003244AA"/>
    <w:rsid w:val="003244DA"/>
    <w:rsid w:val="003244F7"/>
    <w:rsid w:val="0032451C"/>
    <w:rsid w:val="0032453E"/>
    <w:rsid w:val="0032456E"/>
    <w:rsid w:val="003245B0"/>
    <w:rsid w:val="003245B8"/>
    <w:rsid w:val="003245F3"/>
    <w:rsid w:val="003245F9"/>
    <w:rsid w:val="00324619"/>
    <w:rsid w:val="00324687"/>
    <w:rsid w:val="00324689"/>
    <w:rsid w:val="0032471E"/>
    <w:rsid w:val="0032476F"/>
    <w:rsid w:val="0032478F"/>
    <w:rsid w:val="003247A6"/>
    <w:rsid w:val="00324840"/>
    <w:rsid w:val="00324841"/>
    <w:rsid w:val="00324876"/>
    <w:rsid w:val="00324967"/>
    <w:rsid w:val="003249FD"/>
    <w:rsid w:val="00324A05"/>
    <w:rsid w:val="00324A34"/>
    <w:rsid w:val="00324A7E"/>
    <w:rsid w:val="00324ABE"/>
    <w:rsid w:val="00324B1E"/>
    <w:rsid w:val="00324B3E"/>
    <w:rsid w:val="00324B6B"/>
    <w:rsid w:val="00324BBE"/>
    <w:rsid w:val="00324C29"/>
    <w:rsid w:val="00324CFA"/>
    <w:rsid w:val="00324D45"/>
    <w:rsid w:val="00324D53"/>
    <w:rsid w:val="00324DEA"/>
    <w:rsid w:val="00324E2D"/>
    <w:rsid w:val="00324EAC"/>
    <w:rsid w:val="00324F05"/>
    <w:rsid w:val="00324F1B"/>
    <w:rsid w:val="00324F28"/>
    <w:rsid w:val="00324F9B"/>
    <w:rsid w:val="00324FBB"/>
    <w:rsid w:val="0032504A"/>
    <w:rsid w:val="00325054"/>
    <w:rsid w:val="0032505D"/>
    <w:rsid w:val="0032505F"/>
    <w:rsid w:val="00325068"/>
    <w:rsid w:val="00325070"/>
    <w:rsid w:val="0032507A"/>
    <w:rsid w:val="00325094"/>
    <w:rsid w:val="003250F2"/>
    <w:rsid w:val="00325189"/>
    <w:rsid w:val="003251B0"/>
    <w:rsid w:val="003251D5"/>
    <w:rsid w:val="00325208"/>
    <w:rsid w:val="00325298"/>
    <w:rsid w:val="00325332"/>
    <w:rsid w:val="00325378"/>
    <w:rsid w:val="00325397"/>
    <w:rsid w:val="003253DB"/>
    <w:rsid w:val="003253FD"/>
    <w:rsid w:val="0032543D"/>
    <w:rsid w:val="00325477"/>
    <w:rsid w:val="003254B6"/>
    <w:rsid w:val="003254E6"/>
    <w:rsid w:val="003255CC"/>
    <w:rsid w:val="00325652"/>
    <w:rsid w:val="00325668"/>
    <w:rsid w:val="0032566E"/>
    <w:rsid w:val="0032567F"/>
    <w:rsid w:val="0032568E"/>
    <w:rsid w:val="003256AC"/>
    <w:rsid w:val="003256D2"/>
    <w:rsid w:val="003256D6"/>
    <w:rsid w:val="003256DA"/>
    <w:rsid w:val="003256F9"/>
    <w:rsid w:val="00325707"/>
    <w:rsid w:val="00325771"/>
    <w:rsid w:val="003257CC"/>
    <w:rsid w:val="003257D9"/>
    <w:rsid w:val="00325810"/>
    <w:rsid w:val="00325876"/>
    <w:rsid w:val="00325896"/>
    <w:rsid w:val="0032598A"/>
    <w:rsid w:val="003259FE"/>
    <w:rsid w:val="00325A06"/>
    <w:rsid w:val="00325A6A"/>
    <w:rsid w:val="00325A6F"/>
    <w:rsid w:val="00325AD4"/>
    <w:rsid w:val="00325AF8"/>
    <w:rsid w:val="00325C6A"/>
    <w:rsid w:val="00325C95"/>
    <w:rsid w:val="00325CAB"/>
    <w:rsid w:val="00325CAC"/>
    <w:rsid w:val="00325CF5"/>
    <w:rsid w:val="00325D33"/>
    <w:rsid w:val="00325D76"/>
    <w:rsid w:val="00325D8A"/>
    <w:rsid w:val="00325D91"/>
    <w:rsid w:val="00325DB4"/>
    <w:rsid w:val="00325DE0"/>
    <w:rsid w:val="00325E15"/>
    <w:rsid w:val="00325E78"/>
    <w:rsid w:val="00325E7F"/>
    <w:rsid w:val="00325F15"/>
    <w:rsid w:val="00325F6F"/>
    <w:rsid w:val="0032600F"/>
    <w:rsid w:val="00326031"/>
    <w:rsid w:val="00326072"/>
    <w:rsid w:val="00326076"/>
    <w:rsid w:val="003260B6"/>
    <w:rsid w:val="003260C9"/>
    <w:rsid w:val="003260E4"/>
    <w:rsid w:val="00326104"/>
    <w:rsid w:val="0032615D"/>
    <w:rsid w:val="00326181"/>
    <w:rsid w:val="0032619B"/>
    <w:rsid w:val="003261D2"/>
    <w:rsid w:val="0032622B"/>
    <w:rsid w:val="0032629E"/>
    <w:rsid w:val="0032633D"/>
    <w:rsid w:val="00326393"/>
    <w:rsid w:val="00326397"/>
    <w:rsid w:val="003263C1"/>
    <w:rsid w:val="003263D4"/>
    <w:rsid w:val="003264DC"/>
    <w:rsid w:val="00326511"/>
    <w:rsid w:val="00326519"/>
    <w:rsid w:val="003265A3"/>
    <w:rsid w:val="003265DD"/>
    <w:rsid w:val="003265FC"/>
    <w:rsid w:val="00326615"/>
    <w:rsid w:val="00326676"/>
    <w:rsid w:val="003266A7"/>
    <w:rsid w:val="003266B6"/>
    <w:rsid w:val="003266BF"/>
    <w:rsid w:val="0032672E"/>
    <w:rsid w:val="003267E1"/>
    <w:rsid w:val="00326805"/>
    <w:rsid w:val="00326816"/>
    <w:rsid w:val="0032685B"/>
    <w:rsid w:val="003268D5"/>
    <w:rsid w:val="0032690F"/>
    <w:rsid w:val="00326947"/>
    <w:rsid w:val="0032696A"/>
    <w:rsid w:val="0032697B"/>
    <w:rsid w:val="0032697F"/>
    <w:rsid w:val="00326AD5"/>
    <w:rsid w:val="00326AD6"/>
    <w:rsid w:val="00326AF5"/>
    <w:rsid w:val="00326B14"/>
    <w:rsid w:val="00326B16"/>
    <w:rsid w:val="00326B4D"/>
    <w:rsid w:val="00326B96"/>
    <w:rsid w:val="00326BA5"/>
    <w:rsid w:val="00326BD0"/>
    <w:rsid w:val="00326BFD"/>
    <w:rsid w:val="00326C02"/>
    <w:rsid w:val="00326CBA"/>
    <w:rsid w:val="00326D1A"/>
    <w:rsid w:val="00326D67"/>
    <w:rsid w:val="00326E3B"/>
    <w:rsid w:val="00326E51"/>
    <w:rsid w:val="00326E71"/>
    <w:rsid w:val="00326E99"/>
    <w:rsid w:val="00326E9D"/>
    <w:rsid w:val="00326EE0"/>
    <w:rsid w:val="00326FFE"/>
    <w:rsid w:val="00327003"/>
    <w:rsid w:val="00327041"/>
    <w:rsid w:val="00327086"/>
    <w:rsid w:val="003270D1"/>
    <w:rsid w:val="003270DA"/>
    <w:rsid w:val="0032719D"/>
    <w:rsid w:val="00327220"/>
    <w:rsid w:val="003272AD"/>
    <w:rsid w:val="003272C6"/>
    <w:rsid w:val="0032730E"/>
    <w:rsid w:val="00327351"/>
    <w:rsid w:val="00327372"/>
    <w:rsid w:val="00327384"/>
    <w:rsid w:val="003273AD"/>
    <w:rsid w:val="003273E8"/>
    <w:rsid w:val="0032743B"/>
    <w:rsid w:val="0032745E"/>
    <w:rsid w:val="003274D7"/>
    <w:rsid w:val="00327575"/>
    <w:rsid w:val="0032763A"/>
    <w:rsid w:val="0032763E"/>
    <w:rsid w:val="00327677"/>
    <w:rsid w:val="003276E3"/>
    <w:rsid w:val="00327768"/>
    <w:rsid w:val="003277EC"/>
    <w:rsid w:val="00327815"/>
    <w:rsid w:val="00327877"/>
    <w:rsid w:val="00327890"/>
    <w:rsid w:val="003278C2"/>
    <w:rsid w:val="0032794A"/>
    <w:rsid w:val="00327952"/>
    <w:rsid w:val="0032798D"/>
    <w:rsid w:val="003279AF"/>
    <w:rsid w:val="003279C5"/>
    <w:rsid w:val="00327A26"/>
    <w:rsid w:val="00327A39"/>
    <w:rsid w:val="00327A6E"/>
    <w:rsid w:val="00327A80"/>
    <w:rsid w:val="00327A94"/>
    <w:rsid w:val="00327AB5"/>
    <w:rsid w:val="00327AD1"/>
    <w:rsid w:val="00327B11"/>
    <w:rsid w:val="00327C1C"/>
    <w:rsid w:val="00327C2A"/>
    <w:rsid w:val="00327C8F"/>
    <w:rsid w:val="00327CD9"/>
    <w:rsid w:val="00327CDE"/>
    <w:rsid w:val="00327CF4"/>
    <w:rsid w:val="00327D24"/>
    <w:rsid w:val="00327D63"/>
    <w:rsid w:val="00327D6E"/>
    <w:rsid w:val="00327D8E"/>
    <w:rsid w:val="00327D98"/>
    <w:rsid w:val="00327DD7"/>
    <w:rsid w:val="00327E6D"/>
    <w:rsid w:val="00327E78"/>
    <w:rsid w:val="00327ECD"/>
    <w:rsid w:val="00327F45"/>
    <w:rsid w:val="00327FA2"/>
    <w:rsid w:val="00330045"/>
    <w:rsid w:val="00330046"/>
    <w:rsid w:val="00330064"/>
    <w:rsid w:val="003300AC"/>
    <w:rsid w:val="003300B7"/>
    <w:rsid w:val="003300D6"/>
    <w:rsid w:val="00330177"/>
    <w:rsid w:val="003301C8"/>
    <w:rsid w:val="00330204"/>
    <w:rsid w:val="00330217"/>
    <w:rsid w:val="0033027B"/>
    <w:rsid w:val="0033029D"/>
    <w:rsid w:val="0033029F"/>
    <w:rsid w:val="003302BD"/>
    <w:rsid w:val="003302CD"/>
    <w:rsid w:val="0033035B"/>
    <w:rsid w:val="0033035F"/>
    <w:rsid w:val="00330363"/>
    <w:rsid w:val="003303C2"/>
    <w:rsid w:val="003303D9"/>
    <w:rsid w:val="003303F6"/>
    <w:rsid w:val="0033041B"/>
    <w:rsid w:val="00330470"/>
    <w:rsid w:val="00330492"/>
    <w:rsid w:val="0033049C"/>
    <w:rsid w:val="003304B1"/>
    <w:rsid w:val="003304B7"/>
    <w:rsid w:val="003304CF"/>
    <w:rsid w:val="003304DF"/>
    <w:rsid w:val="003304E6"/>
    <w:rsid w:val="00330523"/>
    <w:rsid w:val="00330558"/>
    <w:rsid w:val="003305BF"/>
    <w:rsid w:val="00330626"/>
    <w:rsid w:val="00330655"/>
    <w:rsid w:val="0033065B"/>
    <w:rsid w:val="003306B2"/>
    <w:rsid w:val="00330719"/>
    <w:rsid w:val="0033077B"/>
    <w:rsid w:val="00330799"/>
    <w:rsid w:val="00330829"/>
    <w:rsid w:val="00330836"/>
    <w:rsid w:val="0033084E"/>
    <w:rsid w:val="003308C5"/>
    <w:rsid w:val="003308D8"/>
    <w:rsid w:val="00330914"/>
    <w:rsid w:val="0033091B"/>
    <w:rsid w:val="0033098D"/>
    <w:rsid w:val="00330A2C"/>
    <w:rsid w:val="00330A3E"/>
    <w:rsid w:val="00330A6B"/>
    <w:rsid w:val="00330A7F"/>
    <w:rsid w:val="00330ADD"/>
    <w:rsid w:val="00330AE5"/>
    <w:rsid w:val="00330AF9"/>
    <w:rsid w:val="00330B02"/>
    <w:rsid w:val="00330B1A"/>
    <w:rsid w:val="00330BB9"/>
    <w:rsid w:val="00330BE7"/>
    <w:rsid w:val="00330C4A"/>
    <w:rsid w:val="00330C67"/>
    <w:rsid w:val="00330C92"/>
    <w:rsid w:val="00330CD3"/>
    <w:rsid w:val="00330E16"/>
    <w:rsid w:val="00330E44"/>
    <w:rsid w:val="00330E82"/>
    <w:rsid w:val="00330E97"/>
    <w:rsid w:val="00330EDC"/>
    <w:rsid w:val="00330EF0"/>
    <w:rsid w:val="00330F1A"/>
    <w:rsid w:val="00330FCF"/>
    <w:rsid w:val="00330FD7"/>
    <w:rsid w:val="00331025"/>
    <w:rsid w:val="0033104F"/>
    <w:rsid w:val="00331066"/>
    <w:rsid w:val="003310EE"/>
    <w:rsid w:val="00331117"/>
    <w:rsid w:val="0033114D"/>
    <w:rsid w:val="00331163"/>
    <w:rsid w:val="003311AC"/>
    <w:rsid w:val="003311FC"/>
    <w:rsid w:val="00331236"/>
    <w:rsid w:val="00331283"/>
    <w:rsid w:val="0033129F"/>
    <w:rsid w:val="003312AA"/>
    <w:rsid w:val="0033132E"/>
    <w:rsid w:val="0033133F"/>
    <w:rsid w:val="00331360"/>
    <w:rsid w:val="0033141B"/>
    <w:rsid w:val="00331435"/>
    <w:rsid w:val="003314BC"/>
    <w:rsid w:val="00331515"/>
    <w:rsid w:val="0033156D"/>
    <w:rsid w:val="00331584"/>
    <w:rsid w:val="003315B0"/>
    <w:rsid w:val="00331643"/>
    <w:rsid w:val="0033170B"/>
    <w:rsid w:val="0033175A"/>
    <w:rsid w:val="00331809"/>
    <w:rsid w:val="003318DA"/>
    <w:rsid w:val="00331914"/>
    <w:rsid w:val="0033191C"/>
    <w:rsid w:val="0033192B"/>
    <w:rsid w:val="00331942"/>
    <w:rsid w:val="00331975"/>
    <w:rsid w:val="00331989"/>
    <w:rsid w:val="00331A00"/>
    <w:rsid w:val="00331A66"/>
    <w:rsid w:val="00331A67"/>
    <w:rsid w:val="00331AA7"/>
    <w:rsid w:val="00331AFD"/>
    <w:rsid w:val="00331B04"/>
    <w:rsid w:val="00331B1B"/>
    <w:rsid w:val="00331B88"/>
    <w:rsid w:val="00331BAE"/>
    <w:rsid w:val="00331C21"/>
    <w:rsid w:val="00331C24"/>
    <w:rsid w:val="00331CE6"/>
    <w:rsid w:val="00331CEC"/>
    <w:rsid w:val="00331D07"/>
    <w:rsid w:val="00331DEA"/>
    <w:rsid w:val="00331E14"/>
    <w:rsid w:val="00331E53"/>
    <w:rsid w:val="00331ED6"/>
    <w:rsid w:val="00331F04"/>
    <w:rsid w:val="00331F27"/>
    <w:rsid w:val="00331F2E"/>
    <w:rsid w:val="00331F3A"/>
    <w:rsid w:val="00331FAE"/>
    <w:rsid w:val="00331FB0"/>
    <w:rsid w:val="00331FC9"/>
    <w:rsid w:val="00331FE5"/>
    <w:rsid w:val="00331FED"/>
    <w:rsid w:val="00331FF9"/>
    <w:rsid w:val="00332030"/>
    <w:rsid w:val="00332065"/>
    <w:rsid w:val="00332073"/>
    <w:rsid w:val="00332075"/>
    <w:rsid w:val="00332081"/>
    <w:rsid w:val="00332093"/>
    <w:rsid w:val="00332096"/>
    <w:rsid w:val="003320D4"/>
    <w:rsid w:val="0033212E"/>
    <w:rsid w:val="003321BA"/>
    <w:rsid w:val="003321BF"/>
    <w:rsid w:val="00332210"/>
    <w:rsid w:val="00332311"/>
    <w:rsid w:val="00332314"/>
    <w:rsid w:val="00332333"/>
    <w:rsid w:val="00332373"/>
    <w:rsid w:val="003323E6"/>
    <w:rsid w:val="00332428"/>
    <w:rsid w:val="00332434"/>
    <w:rsid w:val="0033247D"/>
    <w:rsid w:val="0033248A"/>
    <w:rsid w:val="0033249A"/>
    <w:rsid w:val="003324B2"/>
    <w:rsid w:val="003325CA"/>
    <w:rsid w:val="003325EC"/>
    <w:rsid w:val="00332605"/>
    <w:rsid w:val="00332623"/>
    <w:rsid w:val="003326F3"/>
    <w:rsid w:val="00332728"/>
    <w:rsid w:val="00332749"/>
    <w:rsid w:val="0033274E"/>
    <w:rsid w:val="0033276F"/>
    <w:rsid w:val="00332778"/>
    <w:rsid w:val="003327D0"/>
    <w:rsid w:val="003327D3"/>
    <w:rsid w:val="003327EF"/>
    <w:rsid w:val="003327F8"/>
    <w:rsid w:val="00332823"/>
    <w:rsid w:val="00332889"/>
    <w:rsid w:val="0033289A"/>
    <w:rsid w:val="003328DB"/>
    <w:rsid w:val="003328E0"/>
    <w:rsid w:val="003329CE"/>
    <w:rsid w:val="00332A6F"/>
    <w:rsid w:val="00332B51"/>
    <w:rsid w:val="00332B78"/>
    <w:rsid w:val="00332B79"/>
    <w:rsid w:val="00332B91"/>
    <w:rsid w:val="00332BD1"/>
    <w:rsid w:val="00332C23"/>
    <w:rsid w:val="00332C82"/>
    <w:rsid w:val="00332CFF"/>
    <w:rsid w:val="00332D64"/>
    <w:rsid w:val="00332D7A"/>
    <w:rsid w:val="00332DA8"/>
    <w:rsid w:val="00332DDC"/>
    <w:rsid w:val="00332EEF"/>
    <w:rsid w:val="00332EF7"/>
    <w:rsid w:val="00332F64"/>
    <w:rsid w:val="00332FCA"/>
    <w:rsid w:val="00332FDD"/>
    <w:rsid w:val="00333025"/>
    <w:rsid w:val="00333054"/>
    <w:rsid w:val="00333079"/>
    <w:rsid w:val="003330DD"/>
    <w:rsid w:val="003330EB"/>
    <w:rsid w:val="00333126"/>
    <w:rsid w:val="003331BF"/>
    <w:rsid w:val="00333230"/>
    <w:rsid w:val="00333299"/>
    <w:rsid w:val="003332B7"/>
    <w:rsid w:val="00333362"/>
    <w:rsid w:val="003333E9"/>
    <w:rsid w:val="003333FC"/>
    <w:rsid w:val="003333FF"/>
    <w:rsid w:val="00333431"/>
    <w:rsid w:val="0033344B"/>
    <w:rsid w:val="00333482"/>
    <w:rsid w:val="003334B1"/>
    <w:rsid w:val="003334C1"/>
    <w:rsid w:val="003334DF"/>
    <w:rsid w:val="003334E6"/>
    <w:rsid w:val="00333552"/>
    <w:rsid w:val="0033361E"/>
    <w:rsid w:val="0033368D"/>
    <w:rsid w:val="003336AC"/>
    <w:rsid w:val="00333740"/>
    <w:rsid w:val="00333759"/>
    <w:rsid w:val="003337C4"/>
    <w:rsid w:val="003337C5"/>
    <w:rsid w:val="00333817"/>
    <w:rsid w:val="00333820"/>
    <w:rsid w:val="00333859"/>
    <w:rsid w:val="00333891"/>
    <w:rsid w:val="003338B0"/>
    <w:rsid w:val="003338B1"/>
    <w:rsid w:val="00333935"/>
    <w:rsid w:val="00333A0C"/>
    <w:rsid w:val="00333A9A"/>
    <w:rsid w:val="00333A9E"/>
    <w:rsid w:val="00333AD3"/>
    <w:rsid w:val="00333B0C"/>
    <w:rsid w:val="00333B4F"/>
    <w:rsid w:val="00333B6E"/>
    <w:rsid w:val="00333BF1"/>
    <w:rsid w:val="00333C64"/>
    <w:rsid w:val="00333CA2"/>
    <w:rsid w:val="00333D62"/>
    <w:rsid w:val="00333DBC"/>
    <w:rsid w:val="00333DFD"/>
    <w:rsid w:val="00333DFE"/>
    <w:rsid w:val="00333E31"/>
    <w:rsid w:val="00333E51"/>
    <w:rsid w:val="00333E69"/>
    <w:rsid w:val="00333F3C"/>
    <w:rsid w:val="00333F4A"/>
    <w:rsid w:val="00333F92"/>
    <w:rsid w:val="00333F97"/>
    <w:rsid w:val="00333FB3"/>
    <w:rsid w:val="00333FDD"/>
    <w:rsid w:val="00333FFA"/>
    <w:rsid w:val="00334005"/>
    <w:rsid w:val="00334014"/>
    <w:rsid w:val="00334019"/>
    <w:rsid w:val="0033407F"/>
    <w:rsid w:val="00334084"/>
    <w:rsid w:val="003340EC"/>
    <w:rsid w:val="00334182"/>
    <w:rsid w:val="0033418A"/>
    <w:rsid w:val="003341B1"/>
    <w:rsid w:val="003341F1"/>
    <w:rsid w:val="00334209"/>
    <w:rsid w:val="0033422C"/>
    <w:rsid w:val="00334274"/>
    <w:rsid w:val="0033428B"/>
    <w:rsid w:val="003342F6"/>
    <w:rsid w:val="00334308"/>
    <w:rsid w:val="0033431B"/>
    <w:rsid w:val="0033433C"/>
    <w:rsid w:val="0033438F"/>
    <w:rsid w:val="003343C7"/>
    <w:rsid w:val="003343E3"/>
    <w:rsid w:val="00334404"/>
    <w:rsid w:val="00334416"/>
    <w:rsid w:val="0033444B"/>
    <w:rsid w:val="003344B5"/>
    <w:rsid w:val="003344E7"/>
    <w:rsid w:val="00334549"/>
    <w:rsid w:val="00334581"/>
    <w:rsid w:val="003345A1"/>
    <w:rsid w:val="003345D9"/>
    <w:rsid w:val="00334600"/>
    <w:rsid w:val="00334657"/>
    <w:rsid w:val="003346FF"/>
    <w:rsid w:val="00334704"/>
    <w:rsid w:val="00334724"/>
    <w:rsid w:val="003347A2"/>
    <w:rsid w:val="003347C5"/>
    <w:rsid w:val="003347CA"/>
    <w:rsid w:val="003347F4"/>
    <w:rsid w:val="0033482B"/>
    <w:rsid w:val="0033482C"/>
    <w:rsid w:val="0033488C"/>
    <w:rsid w:val="00334952"/>
    <w:rsid w:val="00334964"/>
    <w:rsid w:val="0033497E"/>
    <w:rsid w:val="00334A06"/>
    <w:rsid w:val="00334A42"/>
    <w:rsid w:val="00334A4C"/>
    <w:rsid w:val="00334A95"/>
    <w:rsid w:val="00334B86"/>
    <w:rsid w:val="00334BF3"/>
    <w:rsid w:val="00334C0B"/>
    <w:rsid w:val="00334C55"/>
    <w:rsid w:val="00334D1B"/>
    <w:rsid w:val="00334D1D"/>
    <w:rsid w:val="00334D3A"/>
    <w:rsid w:val="00334D4D"/>
    <w:rsid w:val="00334D4F"/>
    <w:rsid w:val="00334DD2"/>
    <w:rsid w:val="00334E38"/>
    <w:rsid w:val="00334E43"/>
    <w:rsid w:val="00334E72"/>
    <w:rsid w:val="00334E75"/>
    <w:rsid w:val="00334E7B"/>
    <w:rsid w:val="00334E7D"/>
    <w:rsid w:val="00334FC6"/>
    <w:rsid w:val="00334FE7"/>
    <w:rsid w:val="00334FE8"/>
    <w:rsid w:val="00335076"/>
    <w:rsid w:val="0033509E"/>
    <w:rsid w:val="003350A8"/>
    <w:rsid w:val="003350D3"/>
    <w:rsid w:val="003350D7"/>
    <w:rsid w:val="003350E4"/>
    <w:rsid w:val="0033511C"/>
    <w:rsid w:val="00335198"/>
    <w:rsid w:val="003351F6"/>
    <w:rsid w:val="003351FE"/>
    <w:rsid w:val="0033523C"/>
    <w:rsid w:val="00335256"/>
    <w:rsid w:val="003352AD"/>
    <w:rsid w:val="0033532D"/>
    <w:rsid w:val="00335387"/>
    <w:rsid w:val="00335493"/>
    <w:rsid w:val="0033555F"/>
    <w:rsid w:val="00335568"/>
    <w:rsid w:val="00335646"/>
    <w:rsid w:val="0033564F"/>
    <w:rsid w:val="00335686"/>
    <w:rsid w:val="0033573D"/>
    <w:rsid w:val="00335748"/>
    <w:rsid w:val="00335749"/>
    <w:rsid w:val="00335793"/>
    <w:rsid w:val="003357C3"/>
    <w:rsid w:val="003357CD"/>
    <w:rsid w:val="003357D7"/>
    <w:rsid w:val="003357E9"/>
    <w:rsid w:val="00335856"/>
    <w:rsid w:val="00335860"/>
    <w:rsid w:val="003358C4"/>
    <w:rsid w:val="003358EF"/>
    <w:rsid w:val="00335967"/>
    <w:rsid w:val="003359B3"/>
    <w:rsid w:val="00335A21"/>
    <w:rsid w:val="00335AB1"/>
    <w:rsid w:val="00335AD3"/>
    <w:rsid w:val="00335AD7"/>
    <w:rsid w:val="00335B1D"/>
    <w:rsid w:val="00335B63"/>
    <w:rsid w:val="00335B9A"/>
    <w:rsid w:val="00335BA5"/>
    <w:rsid w:val="00335BAB"/>
    <w:rsid w:val="00335BFD"/>
    <w:rsid w:val="00335C3F"/>
    <w:rsid w:val="00335C41"/>
    <w:rsid w:val="00335C47"/>
    <w:rsid w:val="00335C9C"/>
    <w:rsid w:val="00335CF7"/>
    <w:rsid w:val="00335D1C"/>
    <w:rsid w:val="00335D99"/>
    <w:rsid w:val="00335DC5"/>
    <w:rsid w:val="00335DF0"/>
    <w:rsid w:val="00335E60"/>
    <w:rsid w:val="00335E84"/>
    <w:rsid w:val="00335E8B"/>
    <w:rsid w:val="00335EA6"/>
    <w:rsid w:val="00335F64"/>
    <w:rsid w:val="00335F80"/>
    <w:rsid w:val="00335FE1"/>
    <w:rsid w:val="00336005"/>
    <w:rsid w:val="0033603A"/>
    <w:rsid w:val="0033603F"/>
    <w:rsid w:val="00336057"/>
    <w:rsid w:val="003360AA"/>
    <w:rsid w:val="003360C6"/>
    <w:rsid w:val="003360EF"/>
    <w:rsid w:val="00336166"/>
    <w:rsid w:val="00336216"/>
    <w:rsid w:val="00336229"/>
    <w:rsid w:val="00336278"/>
    <w:rsid w:val="003362A9"/>
    <w:rsid w:val="00336331"/>
    <w:rsid w:val="00336334"/>
    <w:rsid w:val="00336364"/>
    <w:rsid w:val="00336394"/>
    <w:rsid w:val="0033649F"/>
    <w:rsid w:val="003364B1"/>
    <w:rsid w:val="003364B9"/>
    <w:rsid w:val="0033658A"/>
    <w:rsid w:val="00336629"/>
    <w:rsid w:val="00336637"/>
    <w:rsid w:val="003366B7"/>
    <w:rsid w:val="003366C4"/>
    <w:rsid w:val="003366D7"/>
    <w:rsid w:val="00336706"/>
    <w:rsid w:val="0033670D"/>
    <w:rsid w:val="003367B3"/>
    <w:rsid w:val="003367C5"/>
    <w:rsid w:val="00336803"/>
    <w:rsid w:val="0033681B"/>
    <w:rsid w:val="0033683D"/>
    <w:rsid w:val="00336879"/>
    <w:rsid w:val="0033694F"/>
    <w:rsid w:val="003369FD"/>
    <w:rsid w:val="00336A85"/>
    <w:rsid w:val="00336AE8"/>
    <w:rsid w:val="00336B28"/>
    <w:rsid w:val="00336BFC"/>
    <w:rsid w:val="00336C14"/>
    <w:rsid w:val="00336C4F"/>
    <w:rsid w:val="00336C77"/>
    <w:rsid w:val="00336C96"/>
    <w:rsid w:val="00336C9B"/>
    <w:rsid w:val="00336CDC"/>
    <w:rsid w:val="00336D31"/>
    <w:rsid w:val="00336D99"/>
    <w:rsid w:val="00336DE0"/>
    <w:rsid w:val="00336E54"/>
    <w:rsid w:val="00336E6C"/>
    <w:rsid w:val="00336EB4"/>
    <w:rsid w:val="00336EF4"/>
    <w:rsid w:val="00336EFF"/>
    <w:rsid w:val="00336F26"/>
    <w:rsid w:val="00336F4E"/>
    <w:rsid w:val="00336F9B"/>
    <w:rsid w:val="0033708C"/>
    <w:rsid w:val="003370A5"/>
    <w:rsid w:val="003370AB"/>
    <w:rsid w:val="003370E2"/>
    <w:rsid w:val="003370F3"/>
    <w:rsid w:val="003370FB"/>
    <w:rsid w:val="0033716C"/>
    <w:rsid w:val="00337172"/>
    <w:rsid w:val="003371B7"/>
    <w:rsid w:val="0033725B"/>
    <w:rsid w:val="00337290"/>
    <w:rsid w:val="003372AE"/>
    <w:rsid w:val="003372EE"/>
    <w:rsid w:val="0033732E"/>
    <w:rsid w:val="00337369"/>
    <w:rsid w:val="00337385"/>
    <w:rsid w:val="003373EF"/>
    <w:rsid w:val="00337436"/>
    <w:rsid w:val="00337454"/>
    <w:rsid w:val="00337474"/>
    <w:rsid w:val="0033748D"/>
    <w:rsid w:val="003374A8"/>
    <w:rsid w:val="0033755B"/>
    <w:rsid w:val="003375A6"/>
    <w:rsid w:val="003375AE"/>
    <w:rsid w:val="003375D2"/>
    <w:rsid w:val="003375D6"/>
    <w:rsid w:val="003375E2"/>
    <w:rsid w:val="00337601"/>
    <w:rsid w:val="0033766C"/>
    <w:rsid w:val="003376AF"/>
    <w:rsid w:val="00337785"/>
    <w:rsid w:val="003377B6"/>
    <w:rsid w:val="003377ED"/>
    <w:rsid w:val="0033788D"/>
    <w:rsid w:val="003378F4"/>
    <w:rsid w:val="00337968"/>
    <w:rsid w:val="0033798A"/>
    <w:rsid w:val="003379B4"/>
    <w:rsid w:val="003379C6"/>
    <w:rsid w:val="00337A16"/>
    <w:rsid w:val="00337A36"/>
    <w:rsid w:val="00337AC7"/>
    <w:rsid w:val="00337B02"/>
    <w:rsid w:val="00337B1A"/>
    <w:rsid w:val="00337BC2"/>
    <w:rsid w:val="00337BF4"/>
    <w:rsid w:val="00337C38"/>
    <w:rsid w:val="00337C42"/>
    <w:rsid w:val="00337C7E"/>
    <w:rsid w:val="00337CA3"/>
    <w:rsid w:val="00337CB2"/>
    <w:rsid w:val="00337D93"/>
    <w:rsid w:val="00337DD4"/>
    <w:rsid w:val="00337E08"/>
    <w:rsid w:val="00337E2E"/>
    <w:rsid w:val="00337E5B"/>
    <w:rsid w:val="00337E7A"/>
    <w:rsid w:val="00337ECB"/>
    <w:rsid w:val="00337EFB"/>
    <w:rsid w:val="00337F2C"/>
    <w:rsid w:val="00337F2E"/>
    <w:rsid w:val="00337F4D"/>
    <w:rsid w:val="00337F6E"/>
    <w:rsid w:val="00337FBE"/>
    <w:rsid w:val="003400D6"/>
    <w:rsid w:val="0034015A"/>
    <w:rsid w:val="00340184"/>
    <w:rsid w:val="003401CB"/>
    <w:rsid w:val="00340248"/>
    <w:rsid w:val="003402E1"/>
    <w:rsid w:val="003403CF"/>
    <w:rsid w:val="003403D0"/>
    <w:rsid w:val="003403FA"/>
    <w:rsid w:val="00340420"/>
    <w:rsid w:val="0034042B"/>
    <w:rsid w:val="0034044D"/>
    <w:rsid w:val="003404E2"/>
    <w:rsid w:val="00340518"/>
    <w:rsid w:val="00340579"/>
    <w:rsid w:val="0034057F"/>
    <w:rsid w:val="00340592"/>
    <w:rsid w:val="00340661"/>
    <w:rsid w:val="003406E0"/>
    <w:rsid w:val="003406F6"/>
    <w:rsid w:val="003406F8"/>
    <w:rsid w:val="0034072A"/>
    <w:rsid w:val="003407A3"/>
    <w:rsid w:val="0034082F"/>
    <w:rsid w:val="00340859"/>
    <w:rsid w:val="0034086F"/>
    <w:rsid w:val="0034093F"/>
    <w:rsid w:val="00340945"/>
    <w:rsid w:val="00340971"/>
    <w:rsid w:val="00340991"/>
    <w:rsid w:val="003409B5"/>
    <w:rsid w:val="003409C3"/>
    <w:rsid w:val="00340A2C"/>
    <w:rsid w:val="00340A32"/>
    <w:rsid w:val="00340AA6"/>
    <w:rsid w:val="00340B33"/>
    <w:rsid w:val="00340BB6"/>
    <w:rsid w:val="00340BD1"/>
    <w:rsid w:val="00340BE3"/>
    <w:rsid w:val="00340C3F"/>
    <w:rsid w:val="00340C8B"/>
    <w:rsid w:val="00340CC5"/>
    <w:rsid w:val="00340D0C"/>
    <w:rsid w:val="00340D62"/>
    <w:rsid w:val="00340D73"/>
    <w:rsid w:val="00340E17"/>
    <w:rsid w:val="00340EBA"/>
    <w:rsid w:val="00340F31"/>
    <w:rsid w:val="00340F5E"/>
    <w:rsid w:val="00340FDD"/>
    <w:rsid w:val="00341088"/>
    <w:rsid w:val="003410EA"/>
    <w:rsid w:val="00341183"/>
    <w:rsid w:val="003411E5"/>
    <w:rsid w:val="003411F7"/>
    <w:rsid w:val="00341228"/>
    <w:rsid w:val="00341230"/>
    <w:rsid w:val="00341293"/>
    <w:rsid w:val="003412B6"/>
    <w:rsid w:val="00341328"/>
    <w:rsid w:val="00341338"/>
    <w:rsid w:val="00341391"/>
    <w:rsid w:val="003413F6"/>
    <w:rsid w:val="003414B1"/>
    <w:rsid w:val="003414BD"/>
    <w:rsid w:val="00341508"/>
    <w:rsid w:val="00341634"/>
    <w:rsid w:val="003417AE"/>
    <w:rsid w:val="0034181C"/>
    <w:rsid w:val="00341861"/>
    <w:rsid w:val="00341935"/>
    <w:rsid w:val="00341943"/>
    <w:rsid w:val="00341973"/>
    <w:rsid w:val="00341994"/>
    <w:rsid w:val="00341A13"/>
    <w:rsid w:val="00341A63"/>
    <w:rsid w:val="00341B04"/>
    <w:rsid w:val="00341CC6"/>
    <w:rsid w:val="00341D1B"/>
    <w:rsid w:val="00341D6C"/>
    <w:rsid w:val="00341DAC"/>
    <w:rsid w:val="00341DD1"/>
    <w:rsid w:val="00341DDC"/>
    <w:rsid w:val="00341E3E"/>
    <w:rsid w:val="00341E77"/>
    <w:rsid w:val="00341E9C"/>
    <w:rsid w:val="00341EE2"/>
    <w:rsid w:val="00341F19"/>
    <w:rsid w:val="00341F54"/>
    <w:rsid w:val="00341F6B"/>
    <w:rsid w:val="00341FA0"/>
    <w:rsid w:val="00341FDB"/>
    <w:rsid w:val="00341FEC"/>
    <w:rsid w:val="00341FF6"/>
    <w:rsid w:val="00342074"/>
    <w:rsid w:val="0034209F"/>
    <w:rsid w:val="003420E1"/>
    <w:rsid w:val="003421A5"/>
    <w:rsid w:val="003421DF"/>
    <w:rsid w:val="003421F9"/>
    <w:rsid w:val="00342202"/>
    <w:rsid w:val="00342246"/>
    <w:rsid w:val="003422E8"/>
    <w:rsid w:val="00342327"/>
    <w:rsid w:val="0034233A"/>
    <w:rsid w:val="0034245A"/>
    <w:rsid w:val="00342471"/>
    <w:rsid w:val="0034247A"/>
    <w:rsid w:val="003424BA"/>
    <w:rsid w:val="003424D4"/>
    <w:rsid w:val="003424D7"/>
    <w:rsid w:val="003425E9"/>
    <w:rsid w:val="003425F2"/>
    <w:rsid w:val="00342616"/>
    <w:rsid w:val="0034262E"/>
    <w:rsid w:val="0034263B"/>
    <w:rsid w:val="00342673"/>
    <w:rsid w:val="00342678"/>
    <w:rsid w:val="0034267F"/>
    <w:rsid w:val="003426D7"/>
    <w:rsid w:val="003427AD"/>
    <w:rsid w:val="0034280B"/>
    <w:rsid w:val="00342829"/>
    <w:rsid w:val="00342876"/>
    <w:rsid w:val="0034289A"/>
    <w:rsid w:val="003428B0"/>
    <w:rsid w:val="003428BA"/>
    <w:rsid w:val="003428EC"/>
    <w:rsid w:val="00342924"/>
    <w:rsid w:val="00342950"/>
    <w:rsid w:val="003429CF"/>
    <w:rsid w:val="003429F4"/>
    <w:rsid w:val="003429F6"/>
    <w:rsid w:val="003429F7"/>
    <w:rsid w:val="00342A6D"/>
    <w:rsid w:val="00342A9C"/>
    <w:rsid w:val="00342AD5"/>
    <w:rsid w:val="00342AEE"/>
    <w:rsid w:val="00342AF4"/>
    <w:rsid w:val="00342AF9"/>
    <w:rsid w:val="00342B6B"/>
    <w:rsid w:val="00342B80"/>
    <w:rsid w:val="00342B82"/>
    <w:rsid w:val="00342C67"/>
    <w:rsid w:val="00342C71"/>
    <w:rsid w:val="00342CCC"/>
    <w:rsid w:val="00342D14"/>
    <w:rsid w:val="00342D57"/>
    <w:rsid w:val="00342D5D"/>
    <w:rsid w:val="00342E63"/>
    <w:rsid w:val="00342E98"/>
    <w:rsid w:val="00342ECE"/>
    <w:rsid w:val="00342EDE"/>
    <w:rsid w:val="00342F0F"/>
    <w:rsid w:val="00342F18"/>
    <w:rsid w:val="00342F67"/>
    <w:rsid w:val="00342F7D"/>
    <w:rsid w:val="00342F81"/>
    <w:rsid w:val="00342FAC"/>
    <w:rsid w:val="00342FCF"/>
    <w:rsid w:val="003430C0"/>
    <w:rsid w:val="003430C2"/>
    <w:rsid w:val="00343106"/>
    <w:rsid w:val="00343196"/>
    <w:rsid w:val="003431A2"/>
    <w:rsid w:val="003431B1"/>
    <w:rsid w:val="003431E9"/>
    <w:rsid w:val="00343200"/>
    <w:rsid w:val="00343258"/>
    <w:rsid w:val="0034327D"/>
    <w:rsid w:val="00343296"/>
    <w:rsid w:val="003432CE"/>
    <w:rsid w:val="00343306"/>
    <w:rsid w:val="00343323"/>
    <w:rsid w:val="003433B5"/>
    <w:rsid w:val="003433BB"/>
    <w:rsid w:val="003433EE"/>
    <w:rsid w:val="003433F0"/>
    <w:rsid w:val="003433F8"/>
    <w:rsid w:val="0034345E"/>
    <w:rsid w:val="00343514"/>
    <w:rsid w:val="0034351A"/>
    <w:rsid w:val="0034352C"/>
    <w:rsid w:val="0034356B"/>
    <w:rsid w:val="00343613"/>
    <w:rsid w:val="00343646"/>
    <w:rsid w:val="0034366C"/>
    <w:rsid w:val="003436A6"/>
    <w:rsid w:val="003436AD"/>
    <w:rsid w:val="003436E4"/>
    <w:rsid w:val="0034373C"/>
    <w:rsid w:val="003437B1"/>
    <w:rsid w:val="003437BC"/>
    <w:rsid w:val="003437D8"/>
    <w:rsid w:val="003437F0"/>
    <w:rsid w:val="003437F7"/>
    <w:rsid w:val="003438F4"/>
    <w:rsid w:val="00343916"/>
    <w:rsid w:val="00343A0A"/>
    <w:rsid w:val="00343A24"/>
    <w:rsid w:val="00343A43"/>
    <w:rsid w:val="00343B22"/>
    <w:rsid w:val="00343C14"/>
    <w:rsid w:val="00343C98"/>
    <w:rsid w:val="00343CA7"/>
    <w:rsid w:val="00343CFC"/>
    <w:rsid w:val="00343D02"/>
    <w:rsid w:val="00343D12"/>
    <w:rsid w:val="00343DF1"/>
    <w:rsid w:val="00343E5B"/>
    <w:rsid w:val="00343E92"/>
    <w:rsid w:val="00343EA6"/>
    <w:rsid w:val="00343EC6"/>
    <w:rsid w:val="00343ECA"/>
    <w:rsid w:val="00343F3E"/>
    <w:rsid w:val="00343F63"/>
    <w:rsid w:val="00343F74"/>
    <w:rsid w:val="00343F8A"/>
    <w:rsid w:val="00343F95"/>
    <w:rsid w:val="00343FA1"/>
    <w:rsid w:val="00343FF1"/>
    <w:rsid w:val="00344072"/>
    <w:rsid w:val="00344088"/>
    <w:rsid w:val="00344093"/>
    <w:rsid w:val="003440C7"/>
    <w:rsid w:val="003440DE"/>
    <w:rsid w:val="0034412D"/>
    <w:rsid w:val="0034418B"/>
    <w:rsid w:val="003441F4"/>
    <w:rsid w:val="0034423D"/>
    <w:rsid w:val="00344277"/>
    <w:rsid w:val="00344290"/>
    <w:rsid w:val="003442A9"/>
    <w:rsid w:val="003442C4"/>
    <w:rsid w:val="003442ED"/>
    <w:rsid w:val="00344309"/>
    <w:rsid w:val="00344341"/>
    <w:rsid w:val="00344344"/>
    <w:rsid w:val="003444B4"/>
    <w:rsid w:val="0034450E"/>
    <w:rsid w:val="00344528"/>
    <w:rsid w:val="0034452B"/>
    <w:rsid w:val="00344565"/>
    <w:rsid w:val="0034456A"/>
    <w:rsid w:val="003445B0"/>
    <w:rsid w:val="003445F3"/>
    <w:rsid w:val="00344624"/>
    <w:rsid w:val="0034469A"/>
    <w:rsid w:val="0034469D"/>
    <w:rsid w:val="003446C6"/>
    <w:rsid w:val="003446FA"/>
    <w:rsid w:val="003447C0"/>
    <w:rsid w:val="003447C2"/>
    <w:rsid w:val="003447E1"/>
    <w:rsid w:val="003447EC"/>
    <w:rsid w:val="0034482C"/>
    <w:rsid w:val="00344849"/>
    <w:rsid w:val="00344897"/>
    <w:rsid w:val="003448F6"/>
    <w:rsid w:val="003448FB"/>
    <w:rsid w:val="00344911"/>
    <w:rsid w:val="00344913"/>
    <w:rsid w:val="00344939"/>
    <w:rsid w:val="0034496E"/>
    <w:rsid w:val="00344986"/>
    <w:rsid w:val="003449A6"/>
    <w:rsid w:val="003449B1"/>
    <w:rsid w:val="003449D3"/>
    <w:rsid w:val="003449DC"/>
    <w:rsid w:val="00344A77"/>
    <w:rsid w:val="00344A85"/>
    <w:rsid w:val="00344A8B"/>
    <w:rsid w:val="00344B21"/>
    <w:rsid w:val="00344B5E"/>
    <w:rsid w:val="00344BB2"/>
    <w:rsid w:val="00344C45"/>
    <w:rsid w:val="00344C96"/>
    <w:rsid w:val="00344D0C"/>
    <w:rsid w:val="00344D57"/>
    <w:rsid w:val="00344D8F"/>
    <w:rsid w:val="00344D91"/>
    <w:rsid w:val="00344DB7"/>
    <w:rsid w:val="00344E15"/>
    <w:rsid w:val="00344E28"/>
    <w:rsid w:val="00344E64"/>
    <w:rsid w:val="00344E6E"/>
    <w:rsid w:val="00344E71"/>
    <w:rsid w:val="00344EF3"/>
    <w:rsid w:val="00344F49"/>
    <w:rsid w:val="00344F81"/>
    <w:rsid w:val="00344FB6"/>
    <w:rsid w:val="00344FBE"/>
    <w:rsid w:val="00344FD7"/>
    <w:rsid w:val="00345086"/>
    <w:rsid w:val="003450B3"/>
    <w:rsid w:val="00345170"/>
    <w:rsid w:val="003451C5"/>
    <w:rsid w:val="00345200"/>
    <w:rsid w:val="00345255"/>
    <w:rsid w:val="003452A0"/>
    <w:rsid w:val="003452A9"/>
    <w:rsid w:val="003452EF"/>
    <w:rsid w:val="0034535B"/>
    <w:rsid w:val="0034539B"/>
    <w:rsid w:val="003453D8"/>
    <w:rsid w:val="003454A2"/>
    <w:rsid w:val="0034552A"/>
    <w:rsid w:val="00345557"/>
    <w:rsid w:val="00345591"/>
    <w:rsid w:val="003455CF"/>
    <w:rsid w:val="00345649"/>
    <w:rsid w:val="00345657"/>
    <w:rsid w:val="003456A6"/>
    <w:rsid w:val="003456FF"/>
    <w:rsid w:val="0034571F"/>
    <w:rsid w:val="0034576C"/>
    <w:rsid w:val="0034579D"/>
    <w:rsid w:val="003457C3"/>
    <w:rsid w:val="00345837"/>
    <w:rsid w:val="0034583E"/>
    <w:rsid w:val="003458B2"/>
    <w:rsid w:val="003459F8"/>
    <w:rsid w:val="00345A25"/>
    <w:rsid w:val="00345A3B"/>
    <w:rsid w:val="00345ABE"/>
    <w:rsid w:val="00345AE6"/>
    <w:rsid w:val="00345B23"/>
    <w:rsid w:val="00345BAD"/>
    <w:rsid w:val="00345BE7"/>
    <w:rsid w:val="00345BEE"/>
    <w:rsid w:val="00345BF2"/>
    <w:rsid w:val="00345BF9"/>
    <w:rsid w:val="00345C17"/>
    <w:rsid w:val="00345CBF"/>
    <w:rsid w:val="00345CE4"/>
    <w:rsid w:val="00345D01"/>
    <w:rsid w:val="00345D0A"/>
    <w:rsid w:val="00345D48"/>
    <w:rsid w:val="00345D80"/>
    <w:rsid w:val="00345DFE"/>
    <w:rsid w:val="00345E37"/>
    <w:rsid w:val="00345E4D"/>
    <w:rsid w:val="00345E4F"/>
    <w:rsid w:val="00345E63"/>
    <w:rsid w:val="00345E9C"/>
    <w:rsid w:val="00345ECE"/>
    <w:rsid w:val="00345F35"/>
    <w:rsid w:val="00345F38"/>
    <w:rsid w:val="00345F5F"/>
    <w:rsid w:val="00345F8E"/>
    <w:rsid w:val="00345F91"/>
    <w:rsid w:val="00345F9F"/>
    <w:rsid w:val="00345FE0"/>
    <w:rsid w:val="00346060"/>
    <w:rsid w:val="0034608A"/>
    <w:rsid w:val="003460E4"/>
    <w:rsid w:val="003460F1"/>
    <w:rsid w:val="00346157"/>
    <w:rsid w:val="00346160"/>
    <w:rsid w:val="0034617B"/>
    <w:rsid w:val="00346191"/>
    <w:rsid w:val="003461E0"/>
    <w:rsid w:val="00346314"/>
    <w:rsid w:val="0034637F"/>
    <w:rsid w:val="00346396"/>
    <w:rsid w:val="00346397"/>
    <w:rsid w:val="00346422"/>
    <w:rsid w:val="0034648A"/>
    <w:rsid w:val="003464A4"/>
    <w:rsid w:val="003464BA"/>
    <w:rsid w:val="003464FA"/>
    <w:rsid w:val="00346531"/>
    <w:rsid w:val="0034653B"/>
    <w:rsid w:val="0034653D"/>
    <w:rsid w:val="00346584"/>
    <w:rsid w:val="003465A0"/>
    <w:rsid w:val="0034663A"/>
    <w:rsid w:val="003466B7"/>
    <w:rsid w:val="003466EF"/>
    <w:rsid w:val="00346746"/>
    <w:rsid w:val="0034677B"/>
    <w:rsid w:val="003467E1"/>
    <w:rsid w:val="00346810"/>
    <w:rsid w:val="00346823"/>
    <w:rsid w:val="00346866"/>
    <w:rsid w:val="003468C6"/>
    <w:rsid w:val="0034692A"/>
    <w:rsid w:val="0034698D"/>
    <w:rsid w:val="003469A0"/>
    <w:rsid w:val="003469AB"/>
    <w:rsid w:val="003469C6"/>
    <w:rsid w:val="003469D7"/>
    <w:rsid w:val="00346A03"/>
    <w:rsid w:val="00346A5A"/>
    <w:rsid w:val="00346A80"/>
    <w:rsid w:val="00346ACD"/>
    <w:rsid w:val="00346B68"/>
    <w:rsid w:val="00346B8F"/>
    <w:rsid w:val="00346BB9"/>
    <w:rsid w:val="00346BC1"/>
    <w:rsid w:val="00346BD5"/>
    <w:rsid w:val="00346BFD"/>
    <w:rsid w:val="00346C03"/>
    <w:rsid w:val="00346C1C"/>
    <w:rsid w:val="00346C3D"/>
    <w:rsid w:val="00346C60"/>
    <w:rsid w:val="00346C73"/>
    <w:rsid w:val="00346C7A"/>
    <w:rsid w:val="00346CFF"/>
    <w:rsid w:val="00346D54"/>
    <w:rsid w:val="00346D96"/>
    <w:rsid w:val="00346F37"/>
    <w:rsid w:val="00346F58"/>
    <w:rsid w:val="00346F62"/>
    <w:rsid w:val="00346FE8"/>
    <w:rsid w:val="00346FFC"/>
    <w:rsid w:val="00347011"/>
    <w:rsid w:val="00347068"/>
    <w:rsid w:val="00347087"/>
    <w:rsid w:val="003470B9"/>
    <w:rsid w:val="003470CC"/>
    <w:rsid w:val="0034715B"/>
    <w:rsid w:val="003471EC"/>
    <w:rsid w:val="00347266"/>
    <w:rsid w:val="0034728F"/>
    <w:rsid w:val="00347295"/>
    <w:rsid w:val="003472A5"/>
    <w:rsid w:val="00347305"/>
    <w:rsid w:val="00347310"/>
    <w:rsid w:val="0034733A"/>
    <w:rsid w:val="00347342"/>
    <w:rsid w:val="00347381"/>
    <w:rsid w:val="003473E4"/>
    <w:rsid w:val="003473F6"/>
    <w:rsid w:val="00347448"/>
    <w:rsid w:val="0034745B"/>
    <w:rsid w:val="00347490"/>
    <w:rsid w:val="003474A7"/>
    <w:rsid w:val="003474B0"/>
    <w:rsid w:val="0034757E"/>
    <w:rsid w:val="00347665"/>
    <w:rsid w:val="003476E8"/>
    <w:rsid w:val="00347748"/>
    <w:rsid w:val="00347753"/>
    <w:rsid w:val="0034778E"/>
    <w:rsid w:val="00347794"/>
    <w:rsid w:val="003477CD"/>
    <w:rsid w:val="003477F4"/>
    <w:rsid w:val="00347819"/>
    <w:rsid w:val="0034783D"/>
    <w:rsid w:val="00347846"/>
    <w:rsid w:val="00347942"/>
    <w:rsid w:val="003479C7"/>
    <w:rsid w:val="003479F0"/>
    <w:rsid w:val="00347A5A"/>
    <w:rsid w:val="00347A5D"/>
    <w:rsid w:val="00347B0F"/>
    <w:rsid w:val="00347B23"/>
    <w:rsid w:val="00347B6E"/>
    <w:rsid w:val="00347B8F"/>
    <w:rsid w:val="00347B98"/>
    <w:rsid w:val="00347BA0"/>
    <w:rsid w:val="00347BF3"/>
    <w:rsid w:val="00347C19"/>
    <w:rsid w:val="00347C45"/>
    <w:rsid w:val="00347CF1"/>
    <w:rsid w:val="00347D10"/>
    <w:rsid w:val="00347D2A"/>
    <w:rsid w:val="00347D49"/>
    <w:rsid w:val="00347DD4"/>
    <w:rsid w:val="00347E12"/>
    <w:rsid w:val="00347E69"/>
    <w:rsid w:val="00347ECF"/>
    <w:rsid w:val="00347EEA"/>
    <w:rsid w:val="00347F84"/>
    <w:rsid w:val="00347F8D"/>
    <w:rsid w:val="00350013"/>
    <w:rsid w:val="00350098"/>
    <w:rsid w:val="003500C1"/>
    <w:rsid w:val="003500E2"/>
    <w:rsid w:val="003500FA"/>
    <w:rsid w:val="00350146"/>
    <w:rsid w:val="00350176"/>
    <w:rsid w:val="00350216"/>
    <w:rsid w:val="00350219"/>
    <w:rsid w:val="003502F2"/>
    <w:rsid w:val="00350303"/>
    <w:rsid w:val="0035031E"/>
    <w:rsid w:val="0035033A"/>
    <w:rsid w:val="00350347"/>
    <w:rsid w:val="003503A2"/>
    <w:rsid w:val="00350408"/>
    <w:rsid w:val="0035044B"/>
    <w:rsid w:val="003504C0"/>
    <w:rsid w:val="003504D4"/>
    <w:rsid w:val="003504DD"/>
    <w:rsid w:val="0035050D"/>
    <w:rsid w:val="0035051D"/>
    <w:rsid w:val="003505B1"/>
    <w:rsid w:val="003505F8"/>
    <w:rsid w:val="00350616"/>
    <w:rsid w:val="00350664"/>
    <w:rsid w:val="00350668"/>
    <w:rsid w:val="003506F8"/>
    <w:rsid w:val="00350714"/>
    <w:rsid w:val="0035073E"/>
    <w:rsid w:val="00350759"/>
    <w:rsid w:val="003507DB"/>
    <w:rsid w:val="003507E2"/>
    <w:rsid w:val="00350820"/>
    <w:rsid w:val="0035084A"/>
    <w:rsid w:val="00350855"/>
    <w:rsid w:val="0035087A"/>
    <w:rsid w:val="00350886"/>
    <w:rsid w:val="003508B1"/>
    <w:rsid w:val="003508D6"/>
    <w:rsid w:val="00350958"/>
    <w:rsid w:val="00350991"/>
    <w:rsid w:val="003509DC"/>
    <w:rsid w:val="003509EF"/>
    <w:rsid w:val="003509F6"/>
    <w:rsid w:val="00350A1C"/>
    <w:rsid w:val="00350AD1"/>
    <w:rsid w:val="00350B5B"/>
    <w:rsid w:val="00350B84"/>
    <w:rsid w:val="00350BDE"/>
    <w:rsid w:val="00350C02"/>
    <w:rsid w:val="00350C38"/>
    <w:rsid w:val="00350C46"/>
    <w:rsid w:val="00350C50"/>
    <w:rsid w:val="00350C81"/>
    <w:rsid w:val="00350D0E"/>
    <w:rsid w:val="00350D44"/>
    <w:rsid w:val="00350D5F"/>
    <w:rsid w:val="00350D6C"/>
    <w:rsid w:val="00350DE5"/>
    <w:rsid w:val="00350E29"/>
    <w:rsid w:val="00350E99"/>
    <w:rsid w:val="00350EA3"/>
    <w:rsid w:val="00350F64"/>
    <w:rsid w:val="00350F77"/>
    <w:rsid w:val="00350FA0"/>
    <w:rsid w:val="00350FE2"/>
    <w:rsid w:val="00351017"/>
    <w:rsid w:val="003510DC"/>
    <w:rsid w:val="00351181"/>
    <w:rsid w:val="003511A2"/>
    <w:rsid w:val="00351261"/>
    <w:rsid w:val="003512C7"/>
    <w:rsid w:val="0035137B"/>
    <w:rsid w:val="00351410"/>
    <w:rsid w:val="00351452"/>
    <w:rsid w:val="00351486"/>
    <w:rsid w:val="00351490"/>
    <w:rsid w:val="003514CB"/>
    <w:rsid w:val="00351520"/>
    <w:rsid w:val="00351552"/>
    <w:rsid w:val="0035155F"/>
    <w:rsid w:val="00351584"/>
    <w:rsid w:val="00351595"/>
    <w:rsid w:val="003515B8"/>
    <w:rsid w:val="003515E8"/>
    <w:rsid w:val="00351718"/>
    <w:rsid w:val="003517AE"/>
    <w:rsid w:val="003517E3"/>
    <w:rsid w:val="003517F3"/>
    <w:rsid w:val="00351860"/>
    <w:rsid w:val="00351872"/>
    <w:rsid w:val="0035187D"/>
    <w:rsid w:val="0035189B"/>
    <w:rsid w:val="003518D2"/>
    <w:rsid w:val="00351A0E"/>
    <w:rsid w:val="00351AE2"/>
    <w:rsid w:val="00351B17"/>
    <w:rsid w:val="00351B40"/>
    <w:rsid w:val="00351B70"/>
    <w:rsid w:val="00351BB3"/>
    <w:rsid w:val="00351BC9"/>
    <w:rsid w:val="00351BCE"/>
    <w:rsid w:val="00351C22"/>
    <w:rsid w:val="00351C30"/>
    <w:rsid w:val="00351C85"/>
    <w:rsid w:val="00351C97"/>
    <w:rsid w:val="00351CBC"/>
    <w:rsid w:val="00351D26"/>
    <w:rsid w:val="00351D8F"/>
    <w:rsid w:val="00351DA0"/>
    <w:rsid w:val="00351DA1"/>
    <w:rsid w:val="00351DA6"/>
    <w:rsid w:val="00351DE1"/>
    <w:rsid w:val="00351DF4"/>
    <w:rsid w:val="00351E3E"/>
    <w:rsid w:val="00351E45"/>
    <w:rsid w:val="00351E5A"/>
    <w:rsid w:val="00351E67"/>
    <w:rsid w:val="00351E71"/>
    <w:rsid w:val="00351EAA"/>
    <w:rsid w:val="00351F2B"/>
    <w:rsid w:val="00351F43"/>
    <w:rsid w:val="00351F60"/>
    <w:rsid w:val="00351FB8"/>
    <w:rsid w:val="00352059"/>
    <w:rsid w:val="0035209C"/>
    <w:rsid w:val="003520A2"/>
    <w:rsid w:val="003520AD"/>
    <w:rsid w:val="00352110"/>
    <w:rsid w:val="00352126"/>
    <w:rsid w:val="0035214B"/>
    <w:rsid w:val="003521F0"/>
    <w:rsid w:val="0035223D"/>
    <w:rsid w:val="003522B9"/>
    <w:rsid w:val="003522BD"/>
    <w:rsid w:val="0035230F"/>
    <w:rsid w:val="0035235A"/>
    <w:rsid w:val="003523D7"/>
    <w:rsid w:val="003523E4"/>
    <w:rsid w:val="003523FD"/>
    <w:rsid w:val="00352407"/>
    <w:rsid w:val="0035247B"/>
    <w:rsid w:val="003524AC"/>
    <w:rsid w:val="00352506"/>
    <w:rsid w:val="0035262A"/>
    <w:rsid w:val="00352640"/>
    <w:rsid w:val="0035266E"/>
    <w:rsid w:val="0035268D"/>
    <w:rsid w:val="003526B4"/>
    <w:rsid w:val="003526D2"/>
    <w:rsid w:val="0035274A"/>
    <w:rsid w:val="0035275F"/>
    <w:rsid w:val="0035276C"/>
    <w:rsid w:val="00352804"/>
    <w:rsid w:val="00352825"/>
    <w:rsid w:val="0035288A"/>
    <w:rsid w:val="003528A8"/>
    <w:rsid w:val="003528EA"/>
    <w:rsid w:val="003528FA"/>
    <w:rsid w:val="003528FB"/>
    <w:rsid w:val="0035291C"/>
    <w:rsid w:val="00352959"/>
    <w:rsid w:val="0035298D"/>
    <w:rsid w:val="00352A3B"/>
    <w:rsid w:val="00352AAA"/>
    <w:rsid w:val="00352AAD"/>
    <w:rsid w:val="00352AC7"/>
    <w:rsid w:val="00352B0C"/>
    <w:rsid w:val="00352BE7"/>
    <w:rsid w:val="00352BED"/>
    <w:rsid w:val="00352C01"/>
    <w:rsid w:val="00352CB9"/>
    <w:rsid w:val="00352D42"/>
    <w:rsid w:val="00352D57"/>
    <w:rsid w:val="00352D9C"/>
    <w:rsid w:val="00352DA3"/>
    <w:rsid w:val="00352DBF"/>
    <w:rsid w:val="00352DD2"/>
    <w:rsid w:val="00352EA8"/>
    <w:rsid w:val="00352F0D"/>
    <w:rsid w:val="00352F22"/>
    <w:rsid w:val="00352F6F"/>
    <w:rsid w:val="00352FA2"/>
    <w:rsid w:val="00353008"/>
    <w:rsid w:val="0035305D"/>
    <w:rsid w:val="00353085"/>
    <w:rsid w:val="00353098"/>
    <w:rsid w:val="003530C9"/>
    <w:rsid w:val="0035314C"/>
    <w:rsid w:val="00353162"/>
    <w:rsid w:val="00353168"/>
    <w:rsid w:val="00353199"/>
    <w:rsid w:val="0035321B"/>
    <w:rsid w:val="00353236"/>
    <w:rsid w:val="003532F1"/>
    <w:rsid w:val="003532FD"/>
    <w:rsid w:val="0035331A"/>
    <w:rsid w:val="00353323"/>
    <w:rsid w:val="003533FD"/>
    <w:rsid w:val="00353469"/>
    <w:rsid w:val="00353497"/>
    <w:rsid w:val="0035349E"/>
    <w:rsid w:val="00353537"/>
    <w:rsid w:val="0035355F"/>
    <w:rsid w:val="0035361F"/>
    <w:rsid w:val="00353638"/>
    <w:rsid w:val="00353687"/>
    <w:rsid w:val="00353747"/>
    <w:rsid w:val="003537A8"/>
    <w:rsid w:val="003537D4"/>
    <w:rsid w:val="0035395E"/>
    <w:rsid w:val="00353A13"/>
    <w:rsid w:val="00353A33"/>
    <w:rsid w:val="00353A36"/>
    <w:rsid w:val="00353AB8"/>
    <w:rsid w:val="00353AC4"/>
    <w:rsid w:val="00353ADB"/>
    <w:rsid w:val="00353AF3"/>
    <w:rsid w:val="00353B2C"/>
    <w:rsid w:val="00353B43"/>
    <w:rsid w:val="00353C00"/>
    <w:rsid w:val="00353C53"/>
    <w:rsid w:val="00353C5D"/>
    <w:rsid w:val="00353C7F"/>
    <w:rsid w:val="00353CBC"/>
    <w:rsid w:val="00353CF4"/>
    <w:rsid w:val="00353D0C"/>
    <w:rsid w:val="00353D9C"/>
    <w:rsid w:val="00353DA2"/>
    <w:rsid w:val="00353DAE"/>
    <w:rsid w:val="00353DBD"/>
    <w:rsid w:val="00353DE2"/>
    <w:rsid w:val="00353DFF"/>
    <w:rsid w:val="00353E44"/>
    <w:rsid w:val="00353E4F"/>
    <w:rsid w:val="00353E61"/>
    <w:rsid w:val="00353E89"/>
    <w:rsid w:val="00353E8D"/>
    <w:rsid w:val="00353EF5"/>
    <w:rsid w:val="00353F7C"/>
    <w:rsid w:val="00353FE7"/>
    <w:rsid w:val="00354007"/>
    <w:rsid w:val="00354092"/>
    <w:rsid w:val="0035409A"/>
    <w:rsid w:val="003540D8"/>
    <w:rsid w:val="00354103"/>
    <w:rsid w:val="00354187"/>
    <w:rsid w:val="0035423B"/>
    <w:rsid w:val="00354248"/>
    <w:rsid w:val="003542D8"/>
    <w:rsid w:val="003542DD"/>
    <w:rsid w:val="00354330"/>
    <w:rsid w:val="0035438F"/>
    <w:rsid w:val="00354391"/>
    <w:rsid w:val="003543BE"/>
    <w:rsid w:val="003543E5"/>
    <w:rsid w:val="003544B1"/>
    <w:rsid w:val="00354520"/>
    <w:rsid w:val="003545F3"/>
    <w:rsid w:val="0035476F"/>
    <w:rsid w:val="00354782"/>
    <w:rsid w:val="0035478A"/>
    <w:rsid w:val="003547AB"/>
    <w:rsid w:val="003547E5"/>
    <w:rsid w:val="003547EB"/>
    <w:rsid w:val="00354816"/>
    <w:rsid w:val="0035495D"/>
    <w:rsid w:val="00354979"/>
    <w:rsid w:val="003549E3"/>
    <w:rsid w:val="003549F6"/>
    <w:rsid w:val="00354BB0"/>
    <w:rsid w:val="00354BCB"/>
    <w:rsid w:val="00354BEF"/>
    <w:rsid w:val="00354C48"/>
    <w:rsid w:val="00354CEF"/>
    <w:rsid w:val="00354D27"/>
    <w:rsid w:val="00354D94"/>
    <w:rsid w:val="00354DBB"/>
    <w:rsid w:val="00354DD8"/>
    <w:rsid w:val="00354EB6"/>
    <w:rsid w:val="00354EB7"/>
    <w:rsid w:val="003550F7"/>
    <w:rsid w:val="00355124"/>
    <w:rsid w:val="00355145"/>
    <w:rsid w:val="0035514B"/>
    <w:rsid w:val="00355170"/>
    <w:rsid w:val="00355195"/>
    <w:rsid w:val="00355198"/>
    <w:rsid w:val="003551B8"/>
    <w:rsid w:val="00355345"/>
    <w:rsid w:val="0035537A"/>
    <w:rsid w:val="0035538C"/>
    <w:rsid w:val="00355429"/>
    <w:rsid w:val="003554CB"/>
    <w:rsid w:val="003554CF"/>
    <w:rsid w:val="0035550E"/>
    <w:rsid w:val="00355557"/>
    <w:rsid w:val="003555EA"/>
    <w:rsid w:val="00355609"/>
    <w:rsid w:val="00355664"/>
    <w:rsid w:val="0035568F"/>
    <w:rsid w:val="00355693"/>
    <w:rsid w:val="003556D6"/>
    <w:rsid w:val="00355711"/>
    <w:rsid w:val="0035579E"/>
    <w:rsid w:val="003557D6"/>
    <w:rsid w:val="003557F6"/>
    <w:rsid w:val="003558D0"/>
    <w:rsid w:val="003558EB"/>
    <w:rsid w:val="003558F5"/>
    <w:rsid w:val="00355904"/>
    <w:rsid w:val="00355905"/>
    <w:rsid w:val="0035592A"/>
    <w:rsid w:val="00355943"/>
    <w:rsid w:val="00355A09"/>
    <w:rsid w:val="00355AF5"/>
    <w:rsid w:val="00355B81"/>
    <w:rsid w:val="00355BA6"/>
    <w:rsid w:val="00355C21"/>
    <w:rsid w:val="00355C80"/>
    <w:rsid w:val="00355CD2"/>
    <w:rsid w:val="00355CE7"/>
    <w:rsid w:val="00355D76"/>
    <w:rsid w:val="00355D8E"/>
    <w:rsid w:val="00355E25"/>
    <w:rsid w:val="00355E31"/>
    <w:rsid w:val="00355E36"/>
    <w:rsid w:val="00355E4F"/>
    <w:rsid w:val="00355EC0"/>
    <w:rsid w:val="00355ED6"/>
    <w:rsid w:val="00355EF4"/>
    <w:rsid w:val="00355FFA"/>
    <w:rsid w:val="0035606D"/>
    <w:rsid w:val="00356086"/>
    <w:rsid w:val="003560D0"/>
    <w:rsid w:val="003560D4"/>
    <w:rsid w:val="003560D8"/>
    <w:rsid w:val="003560E5"/>
    <w:rsid w:val="00356160"/>
    <w:rsid w:val="003561A4"/>
    <w:rsid w:val="003561CE"/>
    <w:rsid w:val="003561DB"/>
    <w:rsid w:val="003561DF"/>
    <w:rsid w:val="003562EF"/>
    <w:rsid w:val="0035633C"/>
    <w:rsid w:val="00356352"/>
    <w:rsid w:val="00356368"/>
    <w:rsid w:val="00356373"/>
    <w:rsid w:val="00356390"/>
    <w:rsid w:val="0035644F"/>
    <w:rsid w:val="00356451"/>
    <w:rsid w:val="00356453"/>
    <w:rsid w:val="003564CD"/>
    <w:rsid w:val="003564D0"/>
    <w:rsid w:val="0035660E"/>
    <w:rsid w:val="00356649"/>
    <w:rsid w:val="003566A3"/>
    <w:rsid w:val="003566B7"/>
    <w:rsid w:val="00356731"/>
    <w:rsid w:val="00356819"/>
    <w:rsid w:val="0035682D"/>
    <w:rsid w:val="00356882"/>
    <w:rsid w:val="003568B5"/>
    <w:rsid w:val="00356916"/>
    <w:rsid w:val="00356920"/>
    <w:rsid w:val="00356932"/>
    <w:rsid w:val="00356937"/>
    <w:rsid w:val="00356939"/>
    <w:rsid w:val="0035697C"/>
    <w:rsid w:val="003569C4"/>
    <w:rsid w:val="00356A61"/>
    <w:rsid w:val="00356A67"/>
    <w:rsid w:val="00356AB0"/>
    <w:rsid w:val="00356B1A"/>
    <w:rsid w:val="00356B5A"/>
    <w:rsid w:val="00356B74"/>
    <w:rsid w:val="00356B93"/>
    <w:rsid w:val="00356BC5"/>
    <w:rsid w:val="00356BCD"/>
    <w:rsid w:val="00356BCE"/>
    <w:rsid w:val="00356BDD"/>
    <w:rsid w:val="00356BF9"/>
    <w:rsid w:val="00356C36"/>
    <w:rsid w:val="00356C65"/>
    <w:rsid w:val="00356CAE"/>
    <w:rsid w:val="00356CD5"/>
    <w:rsid w:val="00356D6C"/>
    <w:rsid w:val="00356D88"/>
    <w:rsid w:val="00356D8D"/>
    <w:rsid w:val="00356DBD"/>
    <w:rsid w:val="00356DFE"/>
    <w:rsid w:val="00356ECC"/>
    <w:rsid w:val="00356F06"/>
    <w:rsid w:val="00356FCA"/>
    <w:rsid w:val="00356FCB"/>
    <w:rsid w:val="00356FE1"/>
    <w:rsid w:val="00356FE8"/>
    <w:rsid w:val="0035702E"/>
    <w:rsid w:val="00357060"/>
    <w:rsid w:val="003570BB"/>
    <w:rsid w:val="003570BF"/>
    <w:rsid w:val="003570DB"/>
    <w:rsid w:val="00357119"/>
    <w:rsid w:val="0035717B"/>
    <w:rsid w:val="0035720F"/>
    <w:rsid w:val="0035730C"/>
    <w:rsid w:val="0035738A"/>
    <w:rsid w:val="003573C7"/>
    <w:rsid w:val="00357406"/>
    <w:rsid w:val="00357454"/>
    <w:rsid w:val="00357462"/>
    <w:rsid w:val="00357484"/>
    <w:rsid w:val="00357485"/>
    <w:rsid w:val="0035748D"/>
    <w:rsid w:val="003574C1"/>
    <w:rsid w:val="003574D4"/>
    <w:rsid w:val="003574DC"/>
    <w:rsid w:val="00357516"/>
    <w:rsid w:val="0035753C"/>
    <w:rsid w:val="0035756C"/>
    <w:rsid w:val="003575B8"/>
    <w:rsid w:val="0035760D"/>
    <w:rsid w:val="0035765D"/>
    <w:rsid w:val="00357743"/>
    <w:rsid w:val="003577A8"/>
    <w:rsid w:val="003577BF"/>
    <w:rsid w:val="003577F5"/>
    <w:rsid w:val="003577F9"/>
    <w:rsid w:val="003577FA"/>
    <w:rsid w:val="0035783E"/>
    <w:rsid w:val="00357843"/>
    <w:rsid w:val="0035788A"/>
    <w:rsid w:val="00357890"/>
    <w:rsid w:val="003578DE"/>
    <w:rsid w:val="0035791B"/>
    <w:rsid w:val="00357929"/>
    <w:rsid w:val="003579C7"/>
    <w:rsid w:val="00357A27"/>
    <w:rsid w:val="00357A87"/>
    <w:rsid w:val="00357ABE"/>
    <w:rsid w:val="00357B04"/>
    <w:rsid w:val="00357B41"/>
    <w:rsid w:val="00357BB6"/>
    <w:rsid w:val="00357C0E"/>
    <w:rsid w:val="00357C3E"/>
    <w:rsid w:val="00357C42"/>
    <w:rsid w:val="00357C88"/>
    <w:rsid w:val="00357C97"/>
    <w:rsid w:val="00357D39"/>
    <w:rsid w:val="00357D78"/>
    <w:rsid w:val="00357D8C"/>
    <w:rsid w:val="00357D92"/>
    <w:rsid w:val="00357E3D"/>
    <w:rsid w:val="00357ED6"/>
    <w:rsid w:val="00357EEF"/>
    <w:rsid w:val="00357F78"/>
    <w:rsid w:val="00357FEC"/>
    <w:rsid w:val="00360020"/>
    <w:rsid w:val="00360058"/>
    <w:rsid w:val="00360084"/>
    <w:rsid w:val="003600C1"/>
    <w:rsid w:val="003600F7"/>
    <w:rsid w:val="00360107"/>
    <w:rsid w:val="0036014F"/>
    <w:rsid w:val="0036015F"/>
    <w:rsid w:val="0036016B"/>
    <w:rsid w:val="003601F9"/>
    <w:rsid w:val="00360226"/>
    <w:rsid w:val="003602E6"/>
    <w:rsid w:val="0036033D"/>
    <w:rsid w:val="0036034D"/>
    <w:rsid w:val="003603DB"/>
    <w:rsid w:val="0036041F"/>
    <w:rsid w:val="00360444"/>
    <w:rsid w:val="00360477"/>
    <w:rsid w:val="003604B6"/>
    <w:rsid w:val="00360513"/>
    <w:rsid w:val="00360525"/>
    <w:rsid w:val="00360552"/>
    <w:rsid w:val="003605AC"/>
    <w:rsid w:val="003605EE"/>
    <w:rsid w:val="003605F9"/>
    <w:rsid w:val="0036066E"/>
    <w:rsid w:val="0036069C"/>
    <w:rsid w:val="003606C4"/>
    <w:rsid w:val="00360702"/>
    <w:rsid w:val="00360718"/>
    <w:rsid w:val="00360755"/>
    <w:rsid w:val="003607DF"/>
    <w:rsid w:val="003607E1"/>
    <w:rsid w:val="00360831"/>
    <w:rsid w:val="0036090C"/>
    <w:rsid w:val="00360A10"/>
    <w:rsid w:val="00360A89"/>
    <w:rsid w:val="00360A9D"/>
    <w:rsid w:val="00360ACF"/>
    <w:rsid w:val="00360B26"/>
    <w:rsid w:val="00360B35"/>
    <w:rsid w:val="00360B44"/>
    <w:rsid w:val="00360B9F"/>
    <w:rsid w:val="00360BCB"/>
    <w:rsid w:val="00360BF1"/>
    <w:rsid w:val="00360C2D"/>
    <w:rsid w:val="00360C4F"/>
    <w:rsid w:val="00360D3D"/>
    <w:rsid w:val="00360DD8"/>
    <w:rsid w:val="00360E09"/>
    <w:rsid w:val="00360F08"/>
    <w:rsid w:val="00360F34"/>
    <w:rsid w:val="00360F41"/>
    <w:rsid w:val="00360F65"/>
    <w:rsid w:val="00360F6D"/>
    <w:rsid w:val="00361002"/>
    <w:rsid w:val="00361073"/>
    <w:rsid w:val="0036107C"/>
    <w:rsid w:val="0036111E"/>
    <w:rsid w:val="0036117B"/>
    <w:rsid w:val="003611FE"/>
    <w:rsid w:val="00361253"/>
    <w:rsid w:val="00361274"/>
    <w:rsid w:val="0036127A"/>
    <w:rsid w:val="003612B8"/>
    <w:rsid w:val="003612E8"/>
    <w:rsid w:val="00361320"/>
    <w:rsid w:val="003613EE"/>
    <w:rsid w:val="003613F1"/>
    <w:rsid w:val="00361433"/>
    <w:rsid w:val="00361456"/>
    <w:rsid w:val="00361518"/>
    <w:rsid w:val="003615B0"/>
    <w:rsid w:val="003615E4"/>
    <w:rsid w:val="003615F4"/>
    <w:rsid w:val="00361615"/>
    <w:rsid w:val="0036162F"/>
    <w:rsid w:val="00361635"/>
    <w:rsid w:val="00361636"/>
    <w:rsid w:val="0036163C"/>
    <w:rsid w:val="00361659"/>
    <w:rsid w:val="00361671"/>
    <w:rsid w:val="003616B2"/>
    <w:rsid w:val="003616C9"/>
    <w:rsid w:val="00361708"/>
    <w:rsid w:val="00361777"/>
    <w:rsid w:val="0036181D"/>
    <w:rsid w:val="0036183C"/>
    <w:rsid w:val="00361880"/>
    <w:rsid w:val="003618D5"/>
    <w:rsid w:val="00361910"/>
    <w:rsid w:val="00361947"/>
    <w:rsid w:val="003619D6"/>
    <w:rsid w:val="003619FA"/>
    <w:rsid w:val="00361A0D"/>
    <w:rsid w:val="00361A1D"/>
    <w:rsid w:val="00361A97"/>
    <w:rsid w:val="00361AFE"/>
    <w:rsid w:val="00361B0B"/>
    <w:rsid w:val="00361B4C"/>
    <w:rsid w:val="00361B69"/>
    <w:rsid w:val="00361C4C"/>
    <w:rsid w:val="00361C96"/>
    <w:rsid w:val="00361CA1"/>
    <w:rsid w:val="00361CDA"/>
    <w:rsid w:val="00361D48"/>
    <w:rsid w:val="00361F38"/>
    <w:rsid w:val="00361F91"/>
    <w:rsid w:val="00361FD1"/>
    <w:rsid w:val="00361FD3"/>
    <w:rsid w:val="00361FD6"/>
    <w:rsid w:val="0036201F"/>
    <w:rsid w:val="003620B0"/>
    <w:rsid w:val="00362122"/>
    <w:rsid w:val="0036212C"/>
    <w:rsid w:val="00362171"/>
    <w:rsid w:val="0036219F"/>
    <w:rsid w:val="003621C5"/>
    <w:rsid w:val="003621ED"/>
    <w:rsid w:val="00362206"/>
    <w:rsid w:val="00362292"/>
    <w:rsid w:val="00362351"/>
    <w:rsid w:val="0036238B"/>
    <w:rsid w:val="003623AF"/>
    <w:rsid w:val="003623B4"/>
    <w:rsid w:val="003623CC"/>
    <w:rsid w:val="00362420"/>
    <w:rsid w:val="0036245C"/>
    <w:rsid w:val="003624E9"/>
    <w:rsid w:val="0036252F"/>
    <w:rsid w:val="00362552"/>
    <w:rsid w:val="00362591"/>
    <w:rsid w:val="003625B0"/>
    <w:rsid w:val="003625B2"/>
    <w:rsid w:val="003625D3"/>
    <w:rsid w:val="00362603"/>
    <w:rsid w:val="0036268E"/>
    <w:rsid w:val="003626F0"/>
    <w:rsid w:val="00362752"/>
    <w:rsid w:val="0036279A"/>
    <w:rsid w:val="003627C0"/>
    <w:rsid w:val="00362804"/>
    <w:rsid w:val="0036280B"/>
    <w:rsid w:val="00362834"/>
    <w:rsid w:val="0036284A"/>
    <w:rsid w:val="003628FD"/>
    <w:rsid w:val="00362A42"/>
    <w:rsid w:val="00362AB2"/>
    <w:rsid w:val="00362B12"/>
    <w:rsid w:val="00362B33"/>
    <w:rsid w:val="00362B6C"/>
    <w:rsid w:val="00362B7F"/>
    <w:rsid w:val="00362BB7"/>
    <w:rsid w:val="00362C41"/>
    <w:rsid w:val="00362C58"/>
    <w:rsid w:val="00362C62"/>
    <w:rsid w:val="00362CB6"/>
    <w:rsid w:val="00362CC9"/>
    <w:rsid w:val="00362D0F"/>
    <w:rsid w:val="00362D95"/>
    <w:rsid w:val="00362E14"/>
    <w:rsid w:val="00362E4F"/>
    <w:rsid w:val="00362E59"/>
    <w:rsid w:val="00362E79"/>
    <w:rsid w:val="00362E83"/>
    <w:rsid w:val="00362EE0"/>
    <w:rsid w:val="00362EFA"/>
    <w:rsid w:val="00362F4B"/>
    <w:rsid w:val="00362F69"/>
    <w:rsid w:val="00362FB3"/>
    <w:rsid w:val="00362FC1"/>
    <w:rsid w:val="00362FD5"/>
    <w:rsid w:val="003630BD"/>
    <w:rsid w:val="0036310D"/>
    <w:rsid w:val="00363142"/>
    <w:rsid w:val="0036319B"/>
    <w:rsid w:val="003631BC"/>
    <w:rsid w:val="00363223"/>
    <w:rsid w:val="00363242"/>
    <w:rsid w:val="003632B0"/>
    <w:rsid w:val="003632B2"/>
    <w:rsid w:val="003632CE"/>
    <w:rsid w:val="003633A0"/>
    <w:rsid w:val="00363450"/>
    <w:rsid w:val="003634AC"/>
    <w:rsid w:val="003635BD"/>
    <w:rsid w:val="0036364F"/>
    <w:rsid w:val="00363653"/>
    <w:rsid w:val="003636AA"/>
    <w:rsid w:val="003636AF"/>
    <w:rsid w:val="003636C2"/>
    <w:rsid w:val="00363708"/>
    <w:rsid w:val="003637E5"/>
    <w:rsid w:val="003637F8"/>
    <w:rsid w:val="003637FA"/>
    <w:rsid w:val="00363891"/>
    <w:rsid w:val="003638EF"/>
    <w:rsid w:val="00363934"/>
    <w:rsid w:val="00363994"/>
    <w:rsid w:val="0036399B"/>
    <w:rsid w:val="003639A4"/>
    <w:rsid w:val="003639B9"/>
    <w:rsid w:val="00363A01"/>
    <w:rsid w:val="00363A7F"/>
    <w:rsid w:val="00363B0C"/>
    <w:rsid w:val="00363B6B"/>
    <w:rsid w:val="00363B6D"/>
    <w:rsid w:val="00363B72"/>
    <w:rsid w:val="00363BAB"/>
    <w:rsid w:val="00363BE8"/>
    <w:rsid w:val="00363C7E"/>
    <w:rsid w:val="00363CD5"/>
    <w:rsid w:val="00363D31"/>
    <w:rsid w:val="00363D3F"/>
    <w:rsid w:val="00363D5A"/>
    <w:rsid w:val="00363D95"/>
    <w:rsid w:val="00363E2F"/>
    <w:rsid w:val="00363EB1"/>
    <w:rsid w:val="00363EB7"/>
    <w:rsid w:val="00363EC3"/>
    <w:rsid w:val="00363F15"/>
    <w:rsid w:val="00363FB2"/>
    <w:rsid w:val="00363FC6"/>
    <w:rsid w:val="00363FC7"/>
    <w:rsid w:val="00363FFE"/>
    <w:rsid w:val="003640B9"/>
    <w:rsid w:val="00364100"/>
    <w:rsid w:val="00364113"/>
    <w:rsid w:val="00364170"/>
    <w:rsid w:val="003641B0"/>
    <w:rsid w:val="003641E3"/>
    <w:rsid w:val="003641F6"/>
    <w:rsid w:val="00364211"/>
    <w:rsid w:val="00364213"/>
    <w:rsid w:val="00364227"/>
    <w:rsid w:val="00364273"/>
    <w:rsid w:val="003642BF"/>
    <w:rsid w:val="00364312"/>
    <w:rsid w:val="00364323"/>
    <w:rsid w:val="00364335"/>
    <w:rsid w:val="0036438A"/>
    <w:rsid w:val="003643A3"/>
    <w:rsid w:val="0036444E"/>
    <w:rsid w:val="0036446A"/>
    <w:rsid w:val="00364486"/>
    <w:rsid w:val="003644DA"/>
    <w:rsid w:val="0036452E"/>
    <w:rsid w:val="00364535"/>
    <w:rsid w:val="003645D3"/>
    <w:rsid w:val="003646BD"/>
    <w:rsid w:val="0036472B"/>
    <w:rsid w:val="00364773"/>
    <w:rsid w:val="003647B8"/>
    <w:rsid w:val="003647F0"/>
    <w:rsid w:val="003647F7"/>
    <w:rsid w:val="00364803"/>
    <w:rsid w:val="00364841"/>
    <w:rsid w:val="003648C3"/>
    <w:rsid w:val="003648DF"/>
    <w:rsid w:val="003648E7"/>
    <w:rsid w:val="00364981"/>
    <w:rsid w:val="00364993"/>
    <w:rsid w:val="00364994"/>
    <w:rsid w:val="003649C9"/>
    <w:rsid w:val="003649F1"/>
    <w:rsid w:val="00364A43"/>
    <w:rsid w:val="00364B4B"/>
    <w:rsid w:val="00364B67"/>
    <w:rsid w:val="00364BE4"/>
    <w:rsid w:val="00364BEC"/>
    <w:rsid w:val="00364C02"/>
    <w:rsid w:val="00364C5F"/>
    <w:rsid w:val="00364D29"/>
    <w:rsid w:val="00364D3A"/>
    <w:rsid w:val="00364D55"/>
    <w:rsid w:val="00364E17"/>
    <w:rsid w:val="00364E36"/>
    <w:rsid w:val="00364EBB"/>
    <w:rsid w:val="00364EBF"/>
    <w:rsid w:val="00364F29"/>
    <w:rsid w:val="00364FC4"/>
    <w:rsid w:val="00364FD4"/>
    <w:rsid w:val="00365023"/>
    <w:rsid w:val="00365064"/>
    <w:rsid w:val="00365121"/>
    <w:rsid w:val="00365196"/>
    <w:rsid w:val="0036519E"/>
    <w:rsid w:val="003651A1"/>
    <w:rsid w:val="003651C2"/>
    <w:rsid w:val="003651D3"/>
    <w:rsid w:val="003651F5"/>
    <w:rsid w:val="0036522A"/>
    <w:rsid w:val="0036524B"/>
    <w:rsid w:val="0036524F"/>
    <w:rsid w:val="0036531A"/>
    <w:rsid w:val="00365380"/>
    <w:rsid w:val="003653CA"/>
    <w:rsid w:val="003653F0"/>
    <w:rsid w:val="003653F9"/>
    <w:rsid w:val="00365458"/>
    <w:rsid w:val="003654D8"/>
    <w:rsid w:val="003655DA"/>
    <w:rsid w:val="00365636"/>
    <w:rsid w:val="003656A2"/>
    <w:rsid w:val="003656AE"/>
    <w:rsid w:val="003656E5"/>
    <w:rsid w:val="003656F1"/>
    <w:rsid w:val="00365702"/>
    <w:rsid w:val="00365759"/>
    <w:rsid w:val="0036578C"/>
    <w:rsid w:val="003657A2"/>
    <w:rsid w:val="00365816"/>
    <w:rsid w:val="0036582F"/>
    <w:rsid w:val="0036585B"/>
    <w:rsid w:val="00365883"/>
    <w:rsid w:val="0036596F"/>
    <w:rsid w:val="003659EB"/>
    <w:rsid w:val="00365A78"/>
    <w:rsid w:val="00365AAC"/>
    <w:rsid w:val="00365AD0"/>
    <w:rsid w:val="00365B07"/>
    <w:rsid w:val="00365B4B"/>
    <w:rsid w:val="00365BA7"/>
    <w:rsid w:val="00365BC9"/>
    <w:rsid w:val="00365BD4"/>
    <w:rsid w:val="00365C0B"/>
    <w:rsid w:val="00365C57"/>
    <w:rsid w:val="00365C88"/>
    <w:rsid w:val="00365CC1"/>
    <w:rsid w:val="00365CCF"/>
    <w:rsid w:val="00365D3B"/>
    <w:rsid w:val="00365D45"/>
    <w:rsid w:val="00365DA3"/>
    <w:rsid w:val="00365DDB"/>
    <w:rsid w:val="00365E16"/>
    <w:rsid w:val="00365E19"/>
    <w:rsid w:val="00365E4D"/>
    <w:rsid w:val="00365EE3"/>
    <w:rsid w:val="00365F1D"/>
    <w:rsid w:val="00365FE6"/>
    <w:rsid w:val="00366033"/>
    <w:rsid w:val="003660BA"/>
    <w:rsid w:val="003660F1"/>
    <w:rsid w:val="00366164"/>
    <w:rsid w:val="00366179"/>
    <w:rsid w:val="00366201"/>
    <w:rsid w:val="00366209"/>
    <w:rsid w:val="00366267"/>
    <w:rsid w:val="00366292"/>
    <w:rsid w:val="003662DA"/>
    <w:rsid w:val="0036633D"/>
    <w:rsid w:val="003663F8"/>
    <w:rsid w:val="0036643D"/>
    <w:rsid w:val="00366446"/>
    <w:rsid w:val="0036647B"/>
    <w:rsid w:val="003664D7"/>
    <w:rsid w:val="003664FC"/>
    <w:rsid w:val="0036652B"/>
    <w:rsid w:val="0036655E"/>
    <w:rsid w:val="00366582"/>
    <w:rsid w:val="0036658D"/>
    <w:rsid w:val="003665D1"/>
    <w:rsid w:val="003665D9"/>
    <w:rsid w:val="003665DB"/>
    <w:rsid w:val="00366630"/>
    <w:rsid w:val="003666A9"/>
    <w:rsid w:val="003666B8"/>
    <w:rsid w:val="003666F2"/>
    <w:rsid w:val="00366786"/>
    <w:rsid w:val="003667B0"/>
    <w:rsid w:val="003667E2"/>
    <w:rsid w:val="003667FC"/>
    <w:rsid w:val="00366805"/>
    <w:rsid w:val="0036680B"/>
    <w:rsid w:val="00366821"/>
    <w:rsid w:val="00366838"/>
    <w:rsid w:val="00366890"/>
    <w:rsid w:val="003668ED"/>
    <w:rsid w:val="003668F4"/>
    <w:rsid w:val="00366962"/>
    <w:rsid w:val="00366966"/>
    <w:rsid w:val="00366967"/>
    <w:rsid w:val="003669AF"/>
    <w:rsid w:val="00366AE1"/>
    <w:rsid w:val="00366B60"/>
    <w:rsid w:val="00366B8B"/>
    <w:rsid w:val="00366BC4"/>
    <w:rsid w:val="00366C36"/>
    <w:rsid w:val="00366CA8"/>
    <w:rsid w:val="00366CCF"/>
    <w:rsid w:val="00366D1D"/>
    <w:rsid w:val="00366D94"/>
    <w:rsid w:val="00366DAD"/>
    <w:rsid w:val="00366DF3"/>
    <w:rsid w:val="00366E10"/>
    <w:rsid w:val="00366E12"/>
    <w:rsid w:val="00366E42"/>
    <w:rsid w:val="00366F68"/>
    <w:rsid w:val="00366F76"/>
    <w:rsid w:val="00366F78"/>
    <w:rsid w:val="00366F89"/>
    <w:rsid w:val="00366F8D"/>
    <w:rsid w:val="00366FD1"/>
    <w:rsid w:val="00367093"/>
    <w:rsid w:val="0036709A"/>
    <w:rsid w:val="003670C7"/>
    <w:rsid w:val="003670D2"/>
    <w:rsid w:val="00367108"/>
    <w:rsid w:val="003671B5"/>
    <w:rsid w:val="003671BA"/>
    <w:rsid w:val="00367203"/>
    <w:rsid w:val="0036720B"/>
    <w:rsid w:val="0036722D"/>
    <w:rsid w:val="00367244"/>
    <w:rsid w:val="0036724B"/>
    <w:rsid w:val="00367263"/>
    <w:rsid w:val="00367276"/>
    <w:rsid w:val="00367289"/>
    <w:rsid w:val="0036736D"/>
    <w:rsid w:val="0036737E"/>
    <w:rsid w:val="00367380"/>
    <w:rsid w:val="00367397"/>
    <w:rsid w:val="00367456"/>
    <w:rsid w:val="003674AC"/>
    <w:rsid w:val="003674CD"/>
    <w:rsid w:val="0036754D"/>
    <w:rsid w:val="003675F7"/>
    <w:rsid w:val="00367630"/>
    <w:rsid w:val="00367657"/>
    <w:rsid w:val="003676A1"/>
    <w:rsid w:val="003676E9"/>
    <w:rsid w:val="00367717"/>
    <w:rsid w:val="0036772B"/>
    <w:rsid w:val="0036777C"/>
    <w:rsid w:val="00367783"/>
    <w:rsid w:val="003677A0"/>
    <w:rsid w:val="003677AD"/>
    <w:rsid w:val="003677EC"/>
    <w:rsid w:val="003677F3"/>
    <w:rsid w:val="003677F9"/>
    <w:rsid w:val="00367804"/>
    <w:rsid w:val="0036788D"/>
    <w:rsid w:val="003678A5"/>
    <w:rsid w:val="0036792A"/>
    <w:rsid w:val="0036794A"/>
    <w:rsid w:val="00367A88"/>
    <w:rsid w:val="00367ABE"/>
    <w:rsid w:val="00367AC5"/>
    <w:rsid w:val="00367AD2"/>
    <w:rsid w:val="00367AFB"/>
    <w:rsid w:val="00367B26"/>
    <w:rsid w:val="00367B50"/>
    <w:rsid w:val="00367B83"/>
    <w:rsid w:val="00367BE1"/>
    <w:rsid w:val="00367C05"/>
    <w:rsid w:val="00367C0F"/>
    <w:rsid w:val="00367C31"/>
    <w:rsid w:val="00367C4D"/>
    <w:rsid w:val="00367CE3"/>
    <w:rsid w:val="00367D39"/>
    <w:rsid w:val="00367D71"/>
    <w:rsid w:val="00367D78"/>
    <w:rsid w:val="00367D87"/>
    <w:rsid w:val="00367D8E"/>
    <w:rsid w:val="00367DAA"/>
    <w:rsid w:val="00367DE3"/>
    <w:rsid w:val="00367DE5"/>
    <w:rsid w:val="00367E20"/>
    <w:rsid w:val="00367E49"/>
    <w:rsid w:val="00367E93"/>
    <w:rsid w:val="00367EBE"/>
    <w:rsid w:val="00367F42"/>
    <w:rsid w:val="00367F57"/>
    <w:rsid w:val="00367F5F"/>
    <w:rsid w:val="00367F95"/>
    <w:rsid w:val="0037001F"/>
    <w:rsid w:val="003700BA"/>
    <w:rsid w:val="00370123"/>
    <w:rsid w:val="00370189"/>
    <w:rsid w:val="0037018E"/>
    <w:rsid w:val="003701FB"/>
    <w:rsid w:val="00370219"/>
    <w:rsid w:val="00370229"/>
    <w:rsid w:val="00370236"/>
    <w:rsid w:val="0037024A"/>
    <w:rsid w:val="003702EE"/>
    <w:rsid w:val="00370333"/>
    <w:rsid w:val="0037037C"/>
    <w:rsid w:val="003703A8"/>
    <w:rsid w:val="00370469"/>
    <w:rsid w:val="0037054F"/>
    <w:rsid w:val="0037056D"/>
    <w:rsid w:val="0037057C"/>
    <w:rsid w:val="00370618"/>
    <w:rsid w:val="0037064D"/>
    <w:rsid w:val="00370651"/>
    <w:rsid w:val="00370668"/>
    <w:rsid w:val="0037078D"/>
    <w:rsid w:val="003707EF"/>
    <w:rsid w:val="0037080D"/>
    <w:rsid w:val="00370843"/>
    <w:rsid w:val="00370869"/>
    <w:rsid w:val="0037088B"/>
    <w:rsid w:val="003708F4"/>
    <w:rsid w:val="0037093C"/>
    <w:rsid w:val="00370951"/>
    <w:rsid w:val="003709F3"/>
    <w:rsid w:val="00370A4C"/>
    <w:rsid w:val="00370A87"/>
    <w:rsid w:val="00370AC0"/>
    <w:rsid w:val="00370AD2"/>
    <w:rsid w:val="00370BBC"/>
    <w:rsid w:val="00370BC3"/>
    <w:rsid w:val="00370C36"/>
    <w:rsid w:val="00370C46"/>
    <w:rsid w:val="00370C6C"/>
    <w:rsid w:val="00370C9E"/>
    <w:rsid w:val="00370CD6"/>
    <w:rsid w:val="00370DA1"/>
    <w:rsid w:val="00370DBB"/>
    <w:rsid w:val="00370DEF"/>
    <w:rsid w:val="00370DFE"/>
    <w:rsid w:val="00370E08"/>
    <w:rsid w:val="00370E11"/>
    <w:rsid w:val="00370E7E"/>
    <w:rsid w:val="00370EA3"/>
    <w:rsid w:val="00370EB8"/>
    <w:rsid w:val="00370F31"/>
    <w:rsid w:val="00370F54"/>
    <w:rsid w:val="00370F6B"/>
    <w:rsid w:val="00370F6E"/>
    <w:rsid w:val="00370F93"/>
    <w:rsid w:val="00370FCF"/>
    <w:rsid w:val="00370FEC"/>
    <w:rsid w:val="00371035"/>
    <w:rsid w:val="00371064"/>
    <w:rsid w:val="003710A8"/>
    <w:rsid w:val="00371190"/>
    <w:rsid w:val="0037119C"/>
    <w:rsid w:val="003711DB"/>
    <w:rsid w:val="003711EA"/>
    <w:rsid w:val="003711EC"/>
    <w:rsid w:val="00371214"/>
    <w:rsid w:val="0037128E"/>
    <w:rsid w:val="0037129E"/>
    <w:rsid w:val="0037139F"/>
    <w:rsid w:val="003713A4"/>
    <w:rsid w:val="003713CB"/>
    <w:rsid w:val="00371463"/>
    <w:rsid w:val="00371464"/>
    <w:rsid w:val="00371474"/>
    <w:rsid w:val="00371490"/>
    <w:rsid w:val="0037156A"/>
    <w:rsid w:val="003715FF"/>
    <w:rsid w:val="00371602"/>
    <w:rsid w:val="00371632"/>
    <w:rsid w:val="0037169A"/>
    <w:rsid w:val="00371720"/>
    <w:rsid w:val="00371754"/>
    <w:rsid w:val="00371759"/>
    <w:rsid w:val="003717B4"/>
    <w:rsid w:val="00371822"/>
    <w:rsid w:val="00371831"/>
    <w:rsid w:val="00371861"/>
    <w:rsid w:val="00371924"/>
    <w:rsid w:val="00371928"/>
    <w:rsid w:val="0037192A"/>
    <w:rsid w:val="003719A6"/>
    <w:rsid w:val="003719AD"/>
    <w:rsid w:val="00371A08"/>
    <w:rsid w:val="00371A7D"/>
    <w:rsid w:val="00371AC6"/>
    <w:rsid w:val="00371ACE"/>
    <w:rsid w:val="00371ADF"/>
    <w:rsid w:val="00371B0F"/>
    <w:rsid w:val="00371B38"/>
    <w:rsid w:val="00371B7B"/>
    <w:rsid w:val="00371B84"/>
    <w:rsid w:val="00371B90"/>
    <w:rsid w:val="00371BA0"/>
    <w:rsid w:val="00371BC4"/>
    <w:rsid w:val="00371BEC"/>
    <w:rsid w:val="00371C26"/>
    <w:rsid w:val="00371C62"/>
    <w:rsid w:val="00371C8B"/>
    <w:rsid w:val="00371CA0"/>
    <w:rsid w:val="00371D35"/>
    <w:rsid w:val="00371D78"/>
    <w:rsid w:val="00371E35"/>
    <w:rsid w:val="00371E5B"/>
    <w:rsid w:val="00371E7C"/>
    <w:rsid w:val="00371EC9"/>
    <w:rsid w:val="00371EE3"/>
    <w:rsid w:val="00371F29"/>
    <w:rsid w:val="00371F43"/>
    <w:rsid w:val="00371F66"/>
    <w:rsid w:val="00371F88"/>
    <w:rsid w:val="00371F98"/>
    <w:rsid w:val="00371FF3"/>
    <w:rsid w:val="003720BA"/>
    <w:rsid w:val="0037213D"/>
    <w:rsid w:val="00372147"/>
    <w:rsid w:val="00372196"/>
    <w:rsid w:val="003721A2"/>
    <w:rsid w:val="003721A9"/>
    <w:rsid w:val="00372238"/>
    <w:rsid w:val="00372250"/>
    <w:rsid w:val="0037230D"/>
    <w:rsid w:val="00372351"/>
    <w:rsid w:val="003723DA"/>
    <w:rsid w:val="00372431"/>
    <w:rsid w:val="0037243C"/>
    <w:rsid w:val="0037248A"/>
    <w:rsid w:val="003724B3"/>
    <w:rsid w:val="003724F8"/>
    <w:rsid w:val="00372562"/>
    <w:rsid w:val="003725A4"/>
    <w:rsid w:val="003725D2"/>
    <w:rsid w:val="00372606"/>
    <w:rsid w:val="003726AF"/>
    <w:rsid w:val="003726E4"/>
    <w:rsid w:val="003726F0"/>
    <w:rsid w:val="0037276E"/>
    <w:rsid w:val="003727A2"/>
    <w:rsid w:val="003727DD"/>
    <w:rsid w:val="003727E3"/>
    <w:rsid w:val="00372865"/>
    <w:rsid w:val="00372883"/>
    <w:rsid w:val="003728DA"/>
    <w:rsid w:val="0037293E"/>
    <w:rsid w:val="00372951"/>
    <w:rsid w:val="00372965"/>
    <w:rsid w:val="003729E9"/>
    <w:rsid w:val="00372A0E"/>
    <w:rsid w:val="00372A75"/>
    <w:rsid w:val="00372A90"/>
    <w:rsid w:val="00372AD8"/>
    <w:rsid w:val="00372ADE"/>
    <w:rsid w:val="00372AFF"/>
    <w:rsid w:val="00372B0D"/>
    <w:rsid w:val="00372B5C"/>
    <w:rsid w:val="00372BAE"/>
    <w:rsid w:val="00372BFF"/>
    <w:rsid w:val="00372C40"/>
    <w:rsid w:val="00372C8A"/>
    <w:rsid w:val="00372C99"/>
    <w:rsid w:val="00372CCF"/>
    <w:rsid w:val="00372CF4"/>
    <w:rsid w:val="00372D6F"/>
    <w:rsid w:val="00372D76"/>
    <w:rsid w:val="00372E20"/>
    <w:rsid w:val="00372E6A"/>
    <w:rsid w:val="00372E78"/>
    <w:rsid w:val="00372F60"/>
    <w:rsid w:val="00372FAF"/>
    <w:rsid w:val="00373068"/>
    <w:rsid w:val="00373090"/>
    <w:rsid w:val="0037309B"/>
    <w:rsid w:val="003730E5"/>
    <w:rsid w:val="0037312F"/>
    <w:rsid w:val="00373140"/>
    <w:rsid w:val="00373168"/>
    <w:rsid w:val="00373178"/>
    <w:rsid w:val="00373180"/>
    <w:rsid w:val="003731CF"/>
    <w:rsid w:val="00373213"/>
    <w:rsid w:val="00373264"/>
    <w:rsid w:val="00373272"/>
    <w:rsid w:val="003732F6"/>
    <w:rsid w:val="0037335B"/>
    <w:rsid w:val="00373399"/>
    <w:rsid w:val="003733A7"/>
    <w:rsid w:val="00373417"/>
    <w:rsid w:val="00373421"/>
    <w:rsid w:val="0037347D"/>
    <w:rsid w:val="003734FE"/>
    <w:rsid w:val="00373515"/>
    <w:rsid w:val="00373559"/>
    <w:rsid w:val="003736F1"/>
    <w:rsid w:val="00373736"/>
    <w:rsid w:val="003737E5"/>
    <w:rsid w:val="003737ED"/>
    <w:rsid w:val="0037385C"/>
    <w:rsid w:val="0037388A"/>
    <w:rsid w:val="0037389D"/>
    <w:rsid w:val="003738A4"/>
    <w:rsid w:val="003738BF"/>
    <w:rsid w:val="003738C7"/>
    <w:rsid w:val="0037393B"/>
    <w:rsid w:val="00373993"/>
    <w:rsid w:val="003739A0"/>
    <w:rsid w:val="003739BD"/>
    <w:rsid w:val="00373A19"/>
    <w:rsid w:val="00373ABA"/>
    <w:rsid w:val="00373AD3"/>
    <w:rsid w:val="00373AE2"/>
    <w:rsid w:val="00373AEE"/>
    <w:rsid w:val="00373B1B"/>
    <w:rsid w:val="00373B86"/>
    <w:rsid w:val="00373BA5"/>
    <w:rsid w:val="00373BBE"/>
    <w:rsid w:val="00373C31"/>
    <w:rsid w:val="00373C7C"/>
    <w:rsid w:val="00373CA2"/>
    <w:rsid w:val="00373CAF"/>
    <w:rsid w:val="00373CCB"/>
    <w:rsid w:val="00373D07"/>
    <w:rsid w:val="00373D5C"/>
    <w:rsid w:val="00373DA4"/>
    <w:rsid w:val="00373DC3"/>
    <w:rsid w:val="00373DD3"/>
    <w:rsid w:val="00373E84"/>
    <w:rsid w:val="00373E89"/>
    <w:rsid w:val="00373E8C"/>
    <w:rsid w:val="00373E8D"/>
    <w:rsid w:val="00373EBA"/>
    <w:rsid w:val="00373EBD"/>
    <w:rsid w:val="00373F4A"/>
    <w:rsid w:val="00373F58"/>
    <w:rsid w:val="00373FEB"/>
    <w:rsid w:val="0037402E"/>
    <w:rsid w:val="00374116"/>
    <w:rsid w:val="00374131"/>
    <w:rsid w:val="003741BC"/>
    <w:rsid w:val="003741C3"/>
    <w:rsid w:val="00374247"/>
    <w:rsid w:val="0037424B"/>
    <w:rsid w:val="00374278"/>
    <w:rsid w:val="00374286"/>
    <w:rsid w:val="0037428C"/>
    <w:rsid w:val="00374319"/>
    <w:rsid w:val="0037432B"/>
    <w:rsid w:val="0037432E"/>
    <w:rsid w:val="0037433C"/>
    <w:rsid w:val="00374397"/>
    <w:rsid w:val="0037444E"/>
    <w:rsid w:val="0037447B"/>
    <w:rsid w:val="003744C9"/>
    <w:rsid w:val="003744F9"/>
    <w:rsid w:val="0037457B"/>
    <w:rsid w:val="00374588"/>
    <w:rsid w:val="003745D5"/>
    <w:rsid w:val="003745FB"/>
    <w:rsid w:val="00374634"/>
    <w:rsid w:val="00374646"/>
    <w:rsid w:val="0037465A"/>
    <w:rsid w:val="0037467F"/>
    <w:rsid w:val="003746A8"/>
    <w:rsid w:val="00374716"/>
    <w:rsid w:val="00374733"/>
    <w:rsid w:val="00374759"/>
    <w:rsid w:val="00374769"/>
    <w:rsid w:val="00374771"/>
    <w:rsid w:val="003747B7"/>
    <w:rsid w:val="00374828"/>
    <w:rsid w:val="0037482A"/>
    <w:rsid w:val="00374861"/>
    <w:rsid w:val="0037487F"/>
    <w:rsid w:val="003748AE"/>
    <w:rsid w:val="003748C7"/>
    <w:rsid w:val="003748F6"/>
    <w:rsid w:val="003748F8"/>
    <w:rsid w:val="0037492D"/>
    <w:rsid w:val="00374936"/>
    <w:rsid w:val="00374982"/>
    <w:rsid w:val="00374983"/>
    <w:rsid w:val="003749A4"/>
    <w:rsid w:val="003749F9"/>
    <w:rsid w:val="00374A47"/>
    <w:rsid w:val="00374B2A"/>
    <w:rsid w:val="00374B8C"/>
    <w:rsid w:val="00374BF6"/>
    <w:rsid w:val="00374C14"/>
    <w:rsid w:val="00374C18"/>
    <w:rsid w:val="00374C2B"/>
    <w:rsid w:val="00374C6E"/>
    <w:rsid w:val="00374C83"/>
    <w:rsid w:val="00374D05"/>
    <w:rsid w:val="00374D3A"/>
    <w:rsid w:val="00374D82"/>
    <w:rsid w:val="00374DA9"/>
    <w:rsid w:val="00374E14"/>
    <w:rsid w:val="00374ECC"/>
    <w:rsid w:val="00374F0E"/>
    <w:rsid w:val="00374F15"/>
    <w:rsid w:val="00374F25"/>
    <w:rsid w:val="00374F34"/>
    <w:rsid w:val="00374F44"/>
    <w:rsid w:val="00374F78"/>
    <w:rsid w:val="00374F8C"/>
    <w:rsid w:val="00374F9C"/>
    <w:rsid w:val="00374FD3"/>
    <w:rsid w:val="00375013"/>
    <w:rsid w:val="00375077"/>
    <w:rsid w:val="00375087"/>
    <w:rsid w:val="003750A7"/>
    <w:rsid w:val="003750B9"/>
    <w:rsid w:val="00375141"/>
    <w:rsid w:val="003751A6"/>
    <w:rsid w:val="003751D7"/>
    <w:rsid w:val="00375249"/>
    <w:rsid w:val="00375264"/>
    <w:rsid w:val="00375269"/>
    <w:rsid w:val="00375372"/>
    <w:rsid w:val="00375385"/>
    <w:rsid w:val="00375448"/>
    <w:rsid w:val="0037548D"/>
    <w:rsid w:val="00375524"/>
    <w:rsid w:val="0037559D"/>
    <w:rsid w:val="003755DD"/>
    <w:rsid w:val="00375611"/>
    <w:rsid w:val="00375687"/>
    <w:rsid w:val="0037570B"/>
    <w:rsid w:val="00375769"/>
    <w:rsid w:val="00375770"/>
    <w:rsid w:val="003757BB"/>
    <w:rsid w:val="003757BF"/>
    <w:rsid w:val="00375826"/>
    <w:rsid w:val="00375852"/>
    <w:rsid w:val="00375881"/>
    <w:rsid w:val="00375899"/>
    <w:rsid w:val="003758D7"/>
    <w:rsid w:val="00375901"/>
    <w:rsid w:val="00375910"/>
    <w:rsid w:val="0037597C"/>
    <w:rsid w:val="003759D5"/>
    <w:rsid w:val="003759D9"/>
    <w:rsid w:val="00375A14"/>
    <w:rsid w:val="00375A7A"/>
    <w:rsid w:val="00375A9E"/>
    <w:rsid w:val="00375AAA"/>
    <w:rsid w:val="00375AFD"/>
    <w:rsid w:val="00375B2F"/>
    <w:rsid w:val="00375B79"/>
    <w:rsid w:val="00375BAC"/>
    <w:rsid w:val="00375C55"/>
    <w:rsid w:val="00375CA7"/>
    <w:rsid w:val="00375CED"/>
    <w:rsid w:val="00375CF4"/>
    <w:rsid w:val="00375CF7"/>
    <w:rsid w:val="00375D42"/>
    <w:rsid w:val="00375D7E"/>
    <w:rsid w:val="00375DC2"/>
    <w:rsid w:val="00375DFD"/>
    <w:rsid w:val="00375E19"/>
    <w:rsid w:val="00375E8E"/>
    <w:rsid w:val="00375E9E"/>
    <w:rsid w:val="00375EC1"/>
    <w:rsid w:val="00375F7E"/>
    <w:rsid w:val="00375F9E"/>
    <w:rsid w:val="00375FDF"/>
    <w:rsid w:val="00376127"/>
    <w:rsid w:val="0037622B"/>
    <w:rsid w:val="003762A0"/>
    <w:rsid w:val="003762FE"/>
    <w:rsid w:val="0037631C"/>
    <w:rsid w:val="00376337"/>
    <w:rsid w:val="0037633A"/>
    <w:rsid w:val="00376351"/>
    <w:rsid w:val="00376362"/>
    <w:rsid w:val="003763A8"/>
    <w:rsid w:val="0037647E"/>
    <w:rsid w:val="00376508"/>
    <w:rsid w:val="00376528"/>
    <w:rsid w:val="00376532"/>
    <w:rsid w:val="003765B5"/>
    <w:rsid w:val="003765B7"/>
    <w:rsid w:val="003765DF"/>
    <w:rsid w:val="00376601"/>
    <w:rsid w:val="00376607"/>
    <w:rsid w:val="0037663A"/>
    <w:rsid w:val="00376677"/>
    <w:rsid w:val="003766DF"/>
    <w:rsid w:val="003767CD"/>
    <w:rsid w:val="00376808"/>
    <w:rsid w:val="00376838"/>
    <w:rsid w:val="00376857"/>
    <w:rsid w:val="00376877"/>
    <w:rsid w:val="003768CE"/>
    <w:rsid w:val="0037695B"/>
    <w:rsid w:val="0037697D"/>
    <w:rsid w:val="00376985"/>
    <w:rsid w:val="0037699E"/>
    <w:rsid w:val="003769A5"/>
    <w:rsid w:val="003769CF"/>
    <w:rsid w:val="00376A54"/>
    <w:rsid w:val="00376A8F"/>
    <w:rsid w:val="00376AB9"/>
    <w:rsid w:val="00376B23"/>
    <w:rsid w:val="00376B47"/>
    <w:rsid w:val="00376B6F"/>
    <w:rsid w:val="00376BB9"/>
    <w:rsid w:val="00376BC1"/>
    <w:rsid w:val="00376C06"/>
    <w:rsid w:val="00376C8B"/>
    <w:rsid w:val="00376D4A"/>
    <w:rsid w:val="00376D62"/>
    <w:rsid w:val="00376DC5"/>
    <w:rsid w:val="00376DC9"/>
    <w:rsid w:val="00376DD4"/>
    <w:rsid w:val="00376E76"/>
    <w:rsid w:val="00376EB9"/>
    <w:rsid w:val="00376F0C"/>
    <w:rsid w:val="00376F26"/>
    <w:rsid w:val="00376F33"/>
    <w:rsid w:val="00376F37"/>
    <w:rsid w:val="00376F4B"/>
    <w:rsid w:val="00376F5B"/>
    <w:rsid w:val="00376F69"/>
    <w:rsid w:val="00376FAE"/>
    <w:rsid w:val="00377019"/>
    <w:rsid w:val="00377062"/>
    <w:rsid w:val="003770E6"/>
    <w:rsid w:val="00377151"/>
    <w:rsid w:val="00377165"/>
    <w:rsid w:val="00377187"/>
    <w:rsid w:val="003771B7"/>
    <w:rsid w:val="003771DC"/>
    <w:rsid w:val="00377222"/>
    <w:rsid w:val="003772C7"/>
    <w:rsid w:val="00377335"/>
    <w:rsid w:val="00377367"/>
    <w:rsid w:val="00377392"/>
    <w:rsid w:val="003773EC"/>
    <w:rsid w:val="00377400"/>
    <w:rsid w:val="00377429"/>
    <w:rsid w:val="0037745F"/>
    <w:rsid w:val="003774D7"/>
    <w:rsid w:val="003774E6"/>
    <w:rsid w:val="00377587"/>
    <w:rsid w:val="0037758F"/>
    <w:rsid w:val="003775A8"/>
    <w:rsid w:val="003775B0"/>
    <w:rsid w:val="00377619"/>
    <w:rsid w:val="00377667"/>
    <w:rsid w:val="00377696"/>
    <w:rsid w:val="00377725"/>
    <w:rsid w:val="0037772E"/>
    <w:rsid w:val="00377740"/>
    <w:rsid w:val="003777A9"/>
    <w:rsid w:val="003777E3"/>
    <w:rsid w:val="00377833"/>
    <w:rsid w:val="003778F5"/>
    <w:rsid w:val="00377976"/>
    <w:rsid w:val="00377984"/>
    <w:rsid w:val="003779A1"/>
    <w:rsid w:val="00377A58"/>
    <w:rsid w:val="00377A6C"/>
    <w:rsid w:val="00377AB2"/>
    <w:rsid w:val="00377AC8"/>
    <w:rsid w:val="00377BFC"/>
    <w:rsid w:val="00377C31"/>
    <w:rsid w:val="00377C96"/>
    <w:rsid w:val="00377CB7"/>
    <w:rsid w:val="00377D0C"/>
    <w:rsid w:val="00377D1B"/>
    <w:rsid w:val="00377D3E"/>
    <w:rsid w:val="00377D48"/>
    <w:rsid w:val="00377D66"/>
    <w:rsid w:val="00377DDC"/>
    <w:rsid w:val="00377E2B"/>
    <w:rsid w:val="00377E5D"/>
    <w:rsid w:val="00377E73"/>
    <w:rsid w:val="00377E80"/>
    <w:rsid w:val="00377E91"/>
    <w:rsid w:val="00377EE5"/>
    <w:rsid w:val="00377F3E"/>
    <w:rsid w:val="0038001A"/>
    <w:rsid w:val="0038001B"/>
    <w:rsid w:val="0038008F"/>
    <w:rsid w:val="003801C4"/>
    <w:rsid w:val="003801F3"/>
    <w:rsid w:val="003801F8"/>
    <w:rsid w:val="00380250"/>
    <w:rsid w:val="0038025F"/>
    <w:rsid w:val="0038026A"/>
    <w:rsid w:val="00380281"/>
    <w:rsid w:val="0038029A"/>
    <w:rsid w:val="003802C4"/>
    <w:rsid w:val="003802DF"/>
    <w:rsid w:val="0038030B"/>
    <w:rsid w:val="00380314"/>
    <w:rsid w:val="00380331"/>
    <w:rsid w:val="00380342"/>
    <w:rsid w:val="00380352"/>
    <w:rsid w:val="003803BB"/>
    <w:rsid w:val="003803D4"/>
    <w:rsid w:val="00380409"/>
    <w:rsid w:val="003804EB"/>
    <w:rsid w:val="00380508"/>
    <w:rsid w:val="00380590"/>
    <w:rsid w:val="003805C9"/>
    <w:rsid w:val="003805E3"/>
    <w:rsid w:val="003805EF"/>
    <w:rsid w:val="003805FD"/>
    <w:rsid w:val="00380688"/>
    <w:rsid w:val="00380716"/>
    <w:rsid w:val="00380727"/>
    <w:rsid w:val="0038080E"/>
    <w:rsid w:val="003808AD"/>
    <w:rsid w:val="003808FE"/>
    <w:rsid w:val="0038091B"/>
    <w:rsid w:val="0038096D"/>
    <w:rsid w:val="0038097C"/>
    <w:rsid w:val="0038098B"/>
    <w:rsid w:val="0038099F"/>
    <w:rsid w:val="003809A0"/>
    <w:rsid w:val="003809AE"/>
    <w:rsid w:val="003809CC"/>
    <w:rsid w:val="003809F0"/>
    <w:rsid w:val="00380A76"/>
    <w:rsid w:val="00380AC1"/>
    <w:rsid w:val="00380ACB"/>
    <w:rsid w:val="00380B10"/>
    <w:rsid w:val="00380BA1"/>
    <w:rsid w:val="00380C2D"/>
    <w:rsid w:val="00380C38"/>
    <w:rsid w:val="00380CBC"/>
    <w:rsid w:val="00380D35"/>
    <w:rsid w:val="00380D37"/>
    <w:rsid w:val="00380EE5"/>
    <w:rsid w:val="00380F70"/>
    <w:rsid w:val="00380FA5"/>
    <w:rsid w:val="00380FE0"/>
    <w:rsid w:val="00381063"/>
    <w:rsid w:val="003810B5"/>
    <w:rsid w:val="003810E7"/>
    <w:rsid w:val="003810FD"/>
    <w:rsid w:val="0038111E"/>
    <w:rsid w:val="0038118C"/>
    <w:rsid w:val="0038120B"/>
    <w:rsid w:val="00381228"/>
    <w:rsid w:val="00381255"/>
    <w:rsid w:val="0038126A"/>
    <w:rsid w:val="00381277"/>
    <w:rsid w:val="0038127A"/>
    <w:rsid w:val="00381306"/>
    <w:rsid w:val="003813B9"/>
    <w:rsid w:val="003813EF"/>
    <w:rsid w:val="00381432"/>
    <w:rsid w:val="003816B9"/>
    <w:rsid w:val="003816D8"/>
    <w:rsid w:val="0038179F"/>
    <w:rsid w:val="003817EB"/>
    <w:rsid w:val="003817F1"/>
    <w:rsid w:val="00381813"/>
    <w:rsid w:val="00381827"/>
    <w:rsid w:val="00381866"/>
    <w:rsid w:val="00381927"/>
    <w:rsid w:val="0038193D"/>
    <w:rsid w:val="003819DA"/>
    <w:rsid w:val="003819E0"/>
    <w:rsid w:val="00381AEE"/>
    <w:rsid w:val="00381B49"/>
    <w:rsid w:val="00381B4E"/>
    <w:rsid w:val="00381BB4"/>
    <w:rsid w:val="00381BD6"/>
    <w:rsid w:val="00381BEE"/>
    <w:rsid w:val="00381C50"/>
    <w:rsid w:val="00381CA0"/>
    <w:rsid w:val="00381CAA"/>
    <w:rsid w:val="00381CC6"/>
    <w:rsid w:val="00381CC8"/>
    <w:rsid w:val="00381CD9"/>
    <w:rsid w:val="00381CE9"/>
    <w:rsid w:val="00381D1D"/>
    <w:rsid w:val="00381D63"/>
    <w:rsid w:val="00381D7E"/>
    <w:rsid w:val="00381D7F"/>
    <w:rsid w:val="00381E11"/>
    <w:rsid w:val="00381E37"/>
    <w:rsid w:val="00381E75"/>
    <w:rsid w:val="00381F0A"/>
    <w:rsid w:val="00381F1C"/>
    <w:rsid w:val="00381F38"/>
    <w:rsid w:val="00381F9B"/>
    <w:rsid w:val="00381FA0"/>
    <w:rsid w:val="00381FE0"/>
    <w:rsid w:val="00381FE8"/>
    <w:rsid w:val="00382022"/>
    <w:rsid w:val="00382032"/>
    <w:rsid w:val="00382071"/>
    <w:rsid w:val="00382089"/>
    <w:rsid w:val="00382107"/>
    <w:rsid w:val="0038214E"/>
    <w:rsid w:val="0038217F"/>
    <w:rsid w:val="0038219E"/>
    <w:rsid w:val="003821FB"/>
    <w:rsid w:val="0038222A"/>
    <w:rsid w:val="00382240"/>
    <w:rsid w:val="00382273"/>
    <w:rsid w:val="003822D6"/>
    <w:rsid w:val="003822F8"/>
    <w:rsid w:val="00382305"/>
    <w:rsid w:val="00382339"/>
    <w:rsid w:val="0038237E"/>
    <w:rsid w:val="00382385"/>
    <w:rsid w:val="003823D6"/>
    <w:rsid w:val="00382421"/>
    <w:rsid w:val="00382444"/>
    <w:rsid w:val="00382494"/>
    <w:rsid w:val="003824C4"/>
    <w:rsid w:val="00382501"/>
    <w:rsid w:val="0038254E"/>
    <w:rsid w:val="0038256E"/>
    <w:rsid w:val="003825AA"/>
    <w:rsid w:val="00382652"/>
    <w:rsid w:val="0038269D"/>
    <w:rsid w:val="003826B8"/>
    <w:rsid w:val="003826E3"/>
    <w:rsid w:val="003826E8"/>
    <w:rsid w:val="00382778"/>
    <w:rsid w:val="0038277B"/>
    <w:rsid w:val="00382787"/>
    <w:rsid w:val="003827A1"/>
    <w:rsid w:val="003827C7"/>
    <w:rsid w:val="003827D2"/>
    <w:rsid w:val="00382815"/>
    <w:rsid w:val="00382854"/>
    <w:rsid w:val="003828BC"/>
    <w:rsid w:val="0038298D"/>
    <w:rsid w:val="003829B4"/>
    <w:rsid w:val="003829D8"/>
    <w:rsid w:val="003829E2"/>
    <w:rsid w:val="00382A05"/>
    <w:rsid w:val="00382A2F"/>
    <w:rsid w:val="00382A56"/>
    <w:rsid w:val="00382A88"/>
    <w:rsid w:val="00382ABF"/>
    <w:rsid w:val="00382AF5"/>
    <w:rsid w:val="00382B93"/>
    <w:rsid w:val="00382BF2"/>
    <w:rsid w:val="00382C0B"/>
    <w:rsid w:val="00382C13"/>
    <w:rsid w:val="00382C7A"/>
    <w:rsid w:val="00382D27"/>
    <w:rsid w:val="00382D3A"/>
    <w:rsid w:val="00382DC2"/>
    <w:rsid w:val="00382E0A"/>
    <w:rsid w:val="00382E16"/>
    <w:rsid w:val="00382E48"/>
    <w:rsid w:val="00382E60"/>
    <w:rsid w:val="00382E67"/>
    <w:rsid w:val="00382E9F"/>
    <w:rsid w:val="00382ED6"/>
    <w:rsid w:val="00382EF7"/>
    <w:rsid w:val="00382F41"/>
    <w:rsid w:val="00382F5D"/>
    <w:rsid w:val="00382F90"/>
    <w:rsid w:val="0038301B"/>
    <w:rsid w:val="0038303E"/>
    <w:rsid w:val="00383048"/>
    <w:rsid w:val="0038305A"/>
    <w:rsid w:val="003830AB"/>
    <w:rsid w:val="003830B7"/>
    <w:rsid w:val="003830E6"/>
    <w:rsid w:val="0038314B"/>
    <w:rsid w:val="003831BB"/>
    <w:rsid w:val="003831E5"/>
    <w:rsid w:val="00383204"/>
    <w:rsid w:val="00383238"/>
    <w:rsid w:val="00383294"/>
    <w:rsid w:val="003832CA"/>
    <w:rsid w:val="003832E3"/>
    <w:rsid w:val="003832F7"/>
    <w:rsid w:val="0038335D"/>
    <w:rsid w:val="0038337C"/>
    <w:rsid w:val="003834E8"/>
    <w:rsid w:val="003835BD"/>
    <w:rsid w:val="003835C4"/>
    <w:rsid w:val="003835E6"/>
    <w:rsid w:val="003836B4"/>
    <w:rsid w:val="0038371D"/>
    <w:rsid w:val="00383722"/>
    <w:rsid w:val="0038373A"/>
    <w:rsid w:val="003838E6"/>
    <w:rsid w:val="0038394E"/>
    <w:rsid w:val="0038395D"/>
    <w:rsid w:val="0038398C"/>
    <w:rsid w:val="0038398E"/>
    <w:rsid w:val="00383994"/>
    <w:rsid w:val="003839D2"/>
    <w:rsid w:val="00383A4C"/>
    <w:rsid w:val="00383B83"/>
    <w:rsid w:val="00383B88"/>
    <w:rsid w:val="00383C19"/>
    <w:rsid w:val="00383C43"/>
    <w:rsid w:val="00383D1F"/>
    <w:rsid w:val="00383D2B"/>
    <w:rsid w:val="00383D41"/>
    <w:rsid w:val="00383D6B"/>
    <w:rsid w:val="00383DBB"/>
    <w:rsid w:val="00383E60"/>
    <w:rsid w:val="00383E8A"/>
    <w:rsid w:val="00383EBF"/>
    <w:rsid w:val="00383F38"/>
    <w:rsid w:val="00383F56"/>
    <w:rsid w:val="00383F5A"/>
    <w:rsid w:val="00383F8F"/>
    <w:rsid w:val="00383FAE"/>
    <w:rsid w:val="00383FBA"/>
    <w:rsid w:val="00383FF4"/>
    <w:rsid w:val="00384091"/>
    <w:rsid w:val="003840A7"/>
    <w:rsid w:val="003840E0"/>
    <w:rsid w:val="00384142"/>
    <w:rsid w:val="00384162"/>
    <w:rsid w:val="003841A0"/>
    <w:rsid w:val="003841B6"/>
    <w:rsid w:val="00384212"/>
    <w:rsid w:val="0038422B"/>
    <w:rsid w:val="003842C2"/>
    <w:rsid w:val="003842DF"/>
    <w:rsid w:val="003842E8"/>
    <w:rsid w:val="003842FA"/>
    <w:rsid w:val="003843EC"/>
    <w:rsid w:val="003843F3"/>
    <w:rsid w:val="0038440E"/>
    <w:rsid w:val="00384435"/>
    <w:rsid w:val="00384446"/>
    <w:rsid w:val="00384461"/>
    <w:rsid w:val="00384474"/>
    <w:rsid w:val="00384501"/>
    <w:rsid w:val="00384570"/>
    <w:rsid w:val="003845A9"/>
    <w:rsid w:val="00384609"/>
    <w:rsid w:val="00384628"/>
    <w:rsid w:val="0038463B"/>
    <w:rsid w:val="00384644"/>
    <w:rsid w:val="00384650"/>
    <w:rsid w:val="0038468C"/>
    <w:rsid w:val="00384728"/>
    <w:rsid w:val="0038475C"/>
    <w:rsid w:val="003847C4"/>
    <w:rsid w:val="003847CC"/>
    <w:rsid w:val="003847D4"/>
    <w:rsid w:val="003847F3"/>
    <w:rsid w:val="00384841"/>
    <w:rsid w:val="003848B1"/>
    <w:rsid w:val="003848C3"/>
    <w:rsid w:val="00384958"/>
    <w:rsid w:val="00384968"/>
    <w:rsid w:val="00384975"/>
    <w:rsid w:val="003849C1"/>
    <w:rsid w:val="00384AE0"/>
    <w:rsid w:val="00384AF5"/>
    <w:rsid w:val="00384B1A"/>
    <w:rsid w:val="00384B84"/>
    <w:rsid w:val="00384C2A"/>
    <w:rsid w:val="00384C86"/>
    <w:rsid w:val="00384D14"/>
    <w:rsid w:val="00384D57"/>
    <w:rsid w:val="00384D5F"/>
    <w:rsid w:val="00384DD9"/>
    <w:rsid w:val="00384E01"/>
    <w:rsid w:val="00384F47"/>
    <w:rsid w:val="00384F83"/>
    <w:rsid w:val="00384F85"/>
    <w:rsid w:val="00384FB3"/>
    <w:rsid w:val="00385009"/>
    <w:rsid w:val="00385018"/>
    <w:rsid w:val="0038504C"/>
    <w:rsid w:val="00385081"/>
    <w:rsid w:val="00385083"/>
    <w:rsid w:val="003850F7"/>
    <w:rsid w:val="0038511F"/>
    <w:rsid w:val="00385143"/>
    <w:rsid w:val="0038514D"/>
    <w:rsid w:val="00385169"/>
    <w:rsid w:val="003851C6"/>
    <w:rsid w:val="003851E1"/>
    <w:rsid w:val="0038520C"/>
    <w:rsid w:val="0038524C"/>
    <w:rsid w:val="0038532D"/>
    <w:rsid w:val="0038533B"/>
    <w:rsid w:val="00385342"/>
    <w:rsid w:val="0038534C"/>
    <w:rsid w:val="00385351"/>
    <w:rsid w:val="003853FE"/>
    <w:rsid w:val="0038547B"/>
    <w:rsid w:val="00385504"/>
    <w:rsid w:val="0038550A"/>
    <w:rsid w:val="00385519"/>
    <w:rsid w:val="00385539"/>
    <w:rsid w:val="0038555A"/>
    <w:rsid w:val="00385576"/>
    <w:rsid w:val="003855BD"/>
    <w:rsid w:val="003855FD"/>
    <w:rsid w:val="00385616"/>
    <w:rsid w:val="00385621"/>
    <w:rsid w:val="0038563B"/>
    <w:rsid w:val="00385646"/>
    <w:rsid w:val="003856AD"/>
    <w:rsid w:val="003856C1"/>
    <w:rsid w:val="00385793"/>
    <w:rsid w:val="00385859"/>
    <w:rsid w:val="0038586A"/>
    <w:rsid w:val="003858A6"/>
    <w:rsid w:val="003858AA"/>
    <w:rsid w:val="003858B8"/>
    <w:rsid w:val="003859B4"/>
    <w:rsid w:val="003859CE"/>
    <w:rsid w:val="003859F0"/>
    <w:rsid w:val="00385A46"/>
    <w:rsid w:val="00385A59"/>
    <w:rsid w:val="00385A9D"/>
    <w:rsid w:val="00385B0E"/>
    <w:rsid w:val="00385B5B"/>
    <w:rsid w:val="00385B77"/>
    <w:rsid w:val="00385B79"/>
    <w:rsid w:val="00385BA3"/>
    <w:rsid w:val="00385C0E"/>
    <w:rsid w:val="00385C37"/>
    <w:rsid w:val="00385D4F"/>
    <w:rsid w:val="00385DC6"/>
    <w:rsid w:val="00385DCA"/>
    <w:rsid w:val="00385E49"/>
    <w:rsid w:val="00385E5A"/>
    <w:rsid w:val="00385EEF"/>
    <w:rsid w:val="00385F45"/>
    <w:rsid w:val="00385F5B"/>
    <w:rsid w:val="00386022"/>
    <w:rsid w:val="00386090"/>
    <w:rsid w:val="003860B6"/>
    <w:rsid w:val="00386141"/>
    <w:rsid w:val="0038614F"/>
    <w:rsid w:val="00386232"/>
    <w:rsid w:val="00386239"/>
    <w:rsid w:val="0038626C"/>
    <w:rsid w:val="003862BF"/>
    <w:rsid w:val="003862C7"/>
    <w:rsid w:val="003862E6"/>
    <w:rsid w:val="0038633C"/>
    <w:rsid w:val="00386355"/>
    <w:rsid w:val="0038637F"/>
    <w:rsid w:val="003863F3"/>
    <w:rsid w:val="00386446"/>
    <w:rsid w:val="00386489"/>
    <w:rsid w:val="00386512"/>
    <w:rsid w:val="00386579"/>
    <w:rsid w:val="003865DA"/>
    <w:rsid w:val="003866AE"/>
    <w:rsid w:val="003866B4"/>
    <w:rsid w:val="00386704"/>
    <w:rsid w:val="00386738"/>
    <w:rsid w:val="00386739"/>
    <w:rsid w:val="00386789"/>
    <w:rsid w:val="00386790"/>
    <w:rsid w:val="003867AC"/>
    <w:rsid w:val="003867EF"/>
    <w:rsid w:val="00386883"/>
    <w:rsid w:val="00386885"/>
    <w:rsid w:val="003868B0"/>
    <w:rsid w:val="003868D1"/>
    <w:rsid w:val="003868D6"/>
    <w:rsid w:val="003868F6"/>
    <w:rsid w:val="00386912"/>
    <w:rsid w:val="0038692A"/>
    <w:rsid w:val="0038695F"/>
    <w:rsid w:val="00386965"/>
    <w:rsid w:val="0038699C"/>
    <w:rsid w:val="003869A4"/>
    <w:rsid w:val="003869C5"/>
    <w:rsid w:val="003869F6"/>
    <w:rsid w:val="00386A6D"/>
    <w:rsid w:val="00386B1F"/>
    <w:rsid w:val="00386B22"/>
    <w:rsid w:val="00386B23"/>
    <w:rsid w:val="00386BE8"/>
    <w:rsid w:val="00386C1E"/>
    <w:rsid w:val="00386C35"/>
    <w:rsid w:val="00386C79"/>
    <w:rsid w:val="00386CC7"/>
    <w:rsid w:val="00386CE3"/>
    <w:rsid w:val="00386D49"/>
    <w:rsid w:val="00386D7A"/>
    <w:rsid w:val="00386D8C"/>
    <w:rsid w:val="00386DAD"/>
    <w:rsid w:val="00386E20"/>
    <w:rsid w:val="00386E9D"/>
    <w:rsid w:val="00386EB2"/>
    <w:rsid w:val="00386EC0"/>
    <w:rsid w:val="00386EFC"/>
    <w:rsid w:val="00386F59"/>
    <w:rsid w:val="00386F97"/>
    <w:rsid w:val="00386FD2"/>
    <w:rsid w:val="00386FE8"/>
    <w:rsid w:val="00387041"/>
    <w:rsid w:val="00387077"/>
    <w:rsid w:val="003870D4"/>
    <w:rsid w:val="003870DA"/>
    <w:rsid w:val="00387121"/>
    <w:rsid w:val="0038716F"/>
    <w:rsid w:val="003871A9"/>
    <w:rsid w:val="00387277"/>
    <w:rsid w:val="0038727F"/>
    <w:rsid w:val="003872A8"/>
    <w:rsid w:val="00387357"/>
    <w:rsid w:val="003873C8"/>
    <w:rsid w:val="00387417"/>
    <w:rsid w:val="0038742B"/>
    <w:rsid w:val="00387608"/>
    <w:rsid w:val="0038760E"/>
    <w:rsid w:val="00387645"/>
    <w:rsid w:val="003876F5"/>
    <w:rsid w:val="00387707"/>
    <w:rsid w:val="00387737"/>
    <w:rsid w:val="00387748"/>
    <w:rsid w:val="00387756"/>
    <w:rsid w:val="0038777A"/>
    <w:rsid w:val="003877D6"/>
    <w:rsid w:val="003877D8"/>
    <w:rsid w:val="0038787C"/>
    <w:rsid w:val="00387891"/>
    <w:rsid w:val="003878EE"/>
    <w:rsid w:val="00387905"/>
    <w:rsid w:val="0038792F"/>
    <w:rsid w:val="0038793C"/>
    <w:rsid w:val="00387A48"/>
    <w:rsid w:val="00387A72"/>
    <w:rsid w:val="00387A78"/>
    <w:rsid w:val="00387A8C"/>
    <w:rsid w:val="00387A97"/>
    <w:rsid w:val="00387ADB"/>
    <w:rsid w:val="00387B0A"/>
    <w:rsid w:val="00387B71"/>
    <w:rsid w:val="00387BB5"/>
    <w:rsid w:val="00387BB7"/>
    <w:rsid w:val="00387BD3"/>
    <w:rsid w:val="00387BF5"/>
    <w:rsid w:val="00387C09"/>
    <w:rsid w:val="00387C1F"/>
    <w:rsid w:val="00387C46"/>
    <w:rsid w:val="00387C85"/>
    <w:rsid w:val="00387C94"/>
    <w:rsid w:val="00387D11"/>
    <w:rsid w:val="00387D97"/>
    <w:rsid w:val="00387D98"/>
    <w:rsid w:val="00387DBA"/>
    <w:rsid w:val="00387DD1"/>
    <w:rsid w:val="00387E9E"/>
    <w:rsid w:val="00387ECC"/>
    <w:rsid w:val="00387F14"/>
    <w:rsid w:val="00387F20"/>
    <w:rsid w:val="00387F25"/>
    <w:rsid w:val="00387F3D"/>
    <w:rsid w:val="00387F51"/>
    <w:rsid w:val="00387F81"/>
    <w:rsid w:val="00387F9E"/>
    <w:rsid w:val="00387FF1"/>
    <w:rsid w:val="00387FFD"/>
    <w:rsid w:val="00390049"/>
    <w:rsid w:val="00390099"/>
    <w:rsid w:val="003900E8"/>
    <w:rsid w:val="00390119"/>
    <w:rsid w:val="00390139"/>
    <w:rsid w:val="0039014B"/>
    <w:rsid w:val="00390178"/>
    <w:rsid w:val="003901AD"/>
    <w:rsid w:val="00390274"/>
    <w:rsid w:val="003902A0"/>
    <w:rsid w:val="003902A8"/>
    <w:rsid w:val="00390329"/>
    <w:rsid w:val="003903A5"/>
    <w:rsid w:val="003903D7"/>
    <w:rsid w:val="003903DC"/>
    <w:rsid w:val="003903FD"/>
    <w:rsid w:val="0039041E"/>
    <w:rsid w:val="003904F9"/>
    <w:rsid w:val="0039050B"/>
    <w:rsid w:val="00390578"/>
    <w:rsid w:val="00390665"/>
    <w:rsid w:val="0039068A"/>
    <w:rsid w:val="003906C1"/>
    <w:rsid w:val="003906E7"/>
    <w:rsid w:val="0039076D"/>
    <w:rsid w:val="00390791"/>
    <w:rsid w:val="003907AD"/>
    <w:rsid w:val="003907C0"/>
    <w:rsid w:val="003908FE"/>
    <w:rsid w:val="00390966"/>
    <w:rsid w:val="003909A8"/>
    <w:rsid w:val="003909CB"/>
    <w:rsid w:val="003909E8"/>
    <w:rsid w:val="00390A23"/>
    <w:rsid w:val="00390A8C"/>
    <w:rsid w:val="00390AA5"/>
    <w:rsid w:val="00390AA6"/>
    <w:rsid w:val="00390ACC"/>
    <w:rsid w:val="00390B53"/>
    <w:rsid w:val="00390B81"/>
    <w:rsid w:val="00390B93"/>
    <w:rsid w:val="00390BD6"/>
    <w:rsid w:val="00390BDE"/>
    <w:rsid w:val="00390BF2"/>
    <w:rsid w:val="00390BFA"/>
    <w:rsid w:val="00390BFC"/>
    <w:rsid w:val="00390D18"/>
    <w:rsid w:val="00390D84"/>
    <w:rsid w:val="00390DAF"/>
    <w:rsid w:val="00390DCB"/>
    <w:rsid w:val="00390E39"/>
    <w:rsid w:val="00390E56"/>
    <w:rsid w:val="00390E7B"/>
    <w:rsid w:val="00390EB1"/>
    <w:rsid w:val="00390ED8"/>
    <w:rsid w:val="00390F15"/>
    <w:rsid w:val="00390FE8"/>
    <w:rsid w:val="0039109A"/>
    <w:rsid w:val="0039111D"/>
    <w:rsid w:val="00391121"/>
    <w:rsid w:val="003911AB"/>
    <w:rsid w:val="003911E2"/>
    <w:rsid w:val="00391254"/>
    <w:rsid w:val="00391265"/>
    <w:rsid w:val="0039129A"/>
    <w:rsid w:val="003912AA"/>
    <w:rsid w:val="003912C9"/>
    <w:rsid w:val="003912D5"/>
    <w:rsid w:val="0039133D"/>
    <w:rsid w:val="0039135B"/>
    <w:rsid w:val="003913E6"/>
    <w:rsid w:val="00391446"/>
    <w:rsid w:val="00391471"/>
    <w:rsid w:val="003914B2"/>
    <w:rsid w:val="0039155C"/>
    <w:rsid w:val="00391595"/>
    <w:rsid w:val="003915D2"/>
    <w:rsid w:val="003915F4"/>
    <w:rsid w:val="003916A7"/>
    <w:rsid w:val="003916B6"/>
    <w:rsid w:val="00391707"/>
    <w:rsid w:val="0039172B"/>
    <w:rsid w:val="00391756"/>
    <w:rsid w:val="003917A6"/>
    <w:rsid w:val="003917C9"/>
    <w:rsid w:val="00391879"/>
    <w:rsid w:val="003918A7"/>
    <w:rsid w:val="003918CC"/>
    <w:rsid w:val="0039198D"/>
    <w:rsid w:val="003919DD"/>
    <w:rsid w:val="00391A05"/>
    <w:rsid w:val="00391A7D"/>
    <w:rsid w:val="00391AA5"/>
    <w:rsid w:val="00391AA8"/>
    <w:rsid w:val="00391AAD"/>
    <w:rsid w:val="00391B31"/>
    <w:rsid w:val="00391B45"/>
    <w:rsid w:val="00391B6E"/>
    <w:rsid w:val="00391B84"/>
    <w:rsid w:val="00391C13"/>
    <w:rsid w:val="00391C2C"/>
    <w:rsid w:val="00391C50"/>
    <w:rsid w:val="00391CB9"/>
    <w:rsid w:val="00391D91"/>
    <w:rsid w:val="00391DC0"/>
    <w:rsid w:val="00391E72"/>
    <w:rsid w:val="00391E82"/>
    <w:rsid w:val="00391F2A"/>
    <w:rsid w:val="0039201A"/>
    <w:rsid w:val="00392049"/>
    <w:rsid w:val="00392098"/>
    <w:rsid w:val="0039209A"/>
    <w:rsid w:val="003920A6"/>
    <w:rsid w:val="003920CB"/>
    <w:rsid w:val="0039214E"/>
    <w:rsid w:val="003921DF"/>
    <w:rsid w:val="00392214"/>
    <w:rsid w:val="003922AF"/>
    <w:rsid w:val="003922BF"/>
    <w:rsid w:val="00392317"/>
    <w:rsid w:val="00392319"/>
    <w:rsid w:val="003923B7"/>
    <w:rsid w:val="003923E3"/>
    <w:rsid w:val="003923EB"/>
    <w:rsid w:val="00392430"/>
    <w:rsid w:val="00392468"/>
    <w:rsid w:val="003924BB"/>
    <w:rsid w:val="00392560"/>
    <w:rsid w:val="003925E6"/>
    <w:rsid w:val="00392600"/>
    <w:rsid w:val="0039272D"/>
    <w:rsid w:val="0039274E"/>
    <w:rsid w:val="0039279A"/>
    <w:rsid w:val="003927A8"/>
    <w:rsid w:val="00392844"/>
    <w:rsid w:val="0039284D"/>
    <w:rsid w:val="00392885"/>
    <w:rsid w:val="0039288F"/>
    <w:rsid w:val="003928D3"/>
    <w:rsid w:val="00392904"/>
    <w:rsid w:val="00392924"/>
    <w:rsid w:val="003929F5"/>
    <w:rsid w:val="00392A0F"/>
    <w:rsid w:val="00392ACA"/>
    <w:rsid w:val="00392AF1"/>
    <w:rsid w:val="00392AF4"/>
    <w:rsid w:val="00392B57"/>
    <w:rsid w:val="00392B67"/>
    <w:rsid w:val="00392BE1"/>
    <w:rsid w:val="00392BF3"/>
    <w:rsid w:val="00392C19"/>
    <w:rsid w:val="00392C20"/>
    <w:rsid w:val="00392C4A"/>
    <w:rsid w:val="00392C75"/>
    <w:rsid w:val="00392C7E"/>
    <w:rsid w:val="00392C90"/>
    <w:rsid w:val="00392C98"/>
    <w:rsid w:val="00392CEF"/>
    <w:rsid w:val="00392D42"/>
    <w:rsid w:val="00392DCC"/>
    <w:rsid w:val="00392DD9"/>
    <w:rsid w:val="00392DE5"/>
    <w:rsid w:val="00392E22"/>
    <w:rsid w:val="00392E32"/>
    <w:rsid w:val="00392F8E"/>
    <w:rsid w:val="00392FEB"/>
    <w:rsid w:val="00392FF4"/>
    <w:rsid w:val="00393019"/>
    <w:rsid w:val="00393035"/>
    <w:rsid w:val="0039306A"/>
    <w:rsid w:val="003930C3"/>
    <w:rsid w:val="003930F4"/>
    <w:rsid w:val="00393165"/>
    <w:rsid w:val="003931A5"/>
    <w:rsid w:val="003931F9"/>
    <w:rsid w:val="003932F0"/>
    <w:rsid w:val="0039332E"/>
    <w:rsid w:val="0039334A"/>
    <w:rsid w:val="00393375"/>
    <w:rsid w:val="0039337E"/>
    <w:rsid w:val="003933AF"/>
    <w:rsid w:val="00393407"/>
    <w:rsid w:val="00393454"/>
    <w:rsid w:val="0039347D"/>
    <w:rsid w:val="003934CA"/>
    <w:rsid w:val="003934CE"/>
    <w:rsid w:val="003935B8"/>
    <w:rsid w:val="00393617"/>
    <w:rsid w:val="00393658"/>
    <w:rsid w:val="0039366B"/>
    <w:rsid w:val="003936AC"/>
    <w:rsid w:val="003936C6"/>
    <w:rsid w:val="003937B3"/>
    <w:rsid w:val="003937D6"/>
    <w:rsid w:val="00393801"/>
    <w:rsid w:val="0039382F"/>
    <w:rsid w:val="0039383C"/>
    <w:rsid w:val="00393841"/>
    <w:rsid w:val="0039387D"/>
    <w:rsid w:val="0039389E"/>
    <w:rsid w:val="003938FB"/>
    <w:rsid w:val="00393942"/>
    <w:rsid w:val="0039396F"/>
    <w:rsid w:val="00393981"/>
    <w:rsid w:val="003939B9"/>
    <w:rsid w:val="003939E3"/>
    <w:rsid w:val="00393A1C"/>
    <w:rsid w:val="00393A30"/>
    <w:rsid w:val="00393A55"/>
    <w:rsid w:val="00393ABF"/>
    <w:rsid w:val="00393B24"/>
    <w:rsid w:val="00393B59"/>
    <w:rsid w:val="00393B62"/>
    <w:rsid w:val="00393B7A"/>
    <w:rsid w:val="00393B95"/>
    <w:rsid w:val="00393C07"/>
    <w:rsid w:val="00393C32"/>
    <w:rsid w:val="00393C5F"/>
    <w:rsid w:val="00393C7D"/>
    <w:rsid w:val="00393CFF"/>
    <w:rsid w:val="00393E07"/>
    <w:rsid w:val="00393E19"/>
    <w:rsid w:val="00393E28"/>
    <w:rsid w:val="00393E39"/>
    <w:rsid w:val="00393E51"/>
    <w:rsid w:val="00393E56"/>
    <w:rsid w:val="00393E7E"/>
    <w:rsid w:val="00393E97"/>
    <w:rsid w:val="00393EA9"/>
    <w:rsid w:val="00393EB3"/>
    <w:rsid w:val="00393EDC"/>
    <w:rsid w:val="00393EF0"/>
    <w:rsid w:val="00393F18"/>
    <w:rsid w:val="00393F30"/>
    <w:rsid w:val="00393F41"/>
    <w:rsid w:val="00393F6D"/>
    <w:rsid w:val="00394070"/>
    <w:rsid w:val="00394095"/>
    <w:rsid w:val="003940E4"/>
    <w:rsid w:val="003940F9"/>
    <w:rsid w:val="0039415F"/>
    <w:rsid w:val="00394170"/>
    <w:rsid w:val="00394194"/>
    <w:rsid w:val="003941D0"/>
    <w:rsid w:val="00394209"/>
    <w:rsid w:val="0039422A"/>
    <w:rsid w:val="0039423D"/>
    <w:rsid w:val="00394272"/>
    <w:rsid w:val="003942A8"/>
    <w:rsid w:val="003942A9"/>
    <w:rsid w:val="003942E3"/>
    <w:rsid w:val="003943A0"/>
    <w:rsid w:val="003943A6"/>
    <w:rsid w:val="00394401"/>
    <w:rsid w:val="00394432"/>
    <w:rsid w:val="0039443B"/>
    <w:rsid w:val="00394456"/>
    <w:rsid w:val="003944C0"/>
    <w:rsid w:val="003944C3"/>
    <w:rsid w:val="003944D7"/>
    <w:rsid w:val="00394552"/>
    <w:rsid w:val="003945D7"/>
    <w:rsid w:val="003945EA"/>
    <w:rsid w:val="00394668"/>
    <w:rsid w:val="0039468B"/>
    <w:rsid w:val="0039474E"/>
    <w:rsid w:val="0039480D"/>
    <w:rsid w:val="00394880"/>
    <w:rsid w:val="00394882"/>
    <w:rsid w:val="003948A5"/>
    <w:rsid w:val="003948B6"/>
    <w:rsid w:val="00394917"/>
    <w:rsid w:val="00394926"/>
    <w:rsid w:val="0039492A"/>
    <w:rsid w:val="003949CD"/>
    <w:rsid w:val="00394A30"/>
    <w:rsid w:val="00394A72"/>
    <w:rsid w:val="00394AF7"/>
    <w:rsid w:val="00394AFA"/>
    <w:rsid w:val="00394B55"/>
    <w:rsid w:val="00394BD3"/>
    <w:rsid w:val="00394BE4"/>
    <w:rsid w:val="00394BE5"/>
    <w:rsid w:val="00394BFE"/>
    <w:rsid w:val="00394C4D"/>
    <w:rsid w:val="00394C5F"/>
    <w:rsid w:val="00394C69"/>
    <w:rsid w:val="00394CED"/>
    <w:rsid w:val="00394D63"/>
    <w:rsid w:val="00394D83"/>
    <w:rsid w:val="00394DC1"/>
    <w:rsid w:val="00394DEE"/>
    <w:rsid w:val="00394E2A"/>
    <w:rsid w:val="00394E7C"/>
    <w:rsid w:val="00394E81"/>
    <w:rsid w:val="00394E9A"/>
    <w:rsid w:val="00394ED1"/>
    <w:rsid w:val="00394F44"/>
    <w:rsid w:val="00394F4E"/>
    <w:rsid w:val="00394F4F"/>
    <w:rsid w:val="00394FB6"/>
    <w:rsid w:val="0039503A"/>
    <w:rsid w:val="00395055"/>
    <w:rsid w:val="003950B7"/>
    <w:rsid w:val="003950C7"/>
    <w:rsid w:val="003950CB"/>
    <w:rsid w:val="003950D5"/>
    <w:rsid w:val="0039511A"/>
    <w:rsid w:val="00395150"/>
    <w:rsid w:val="00395155"/>
    <w:rsid w:val="0039517E"/>
    <w:rsid w:val="003951C4"/>
    <w:rsid w:val="003951C9"/>
    <w:rsid w:val="003951EB"/>
    <w:rsid w:val="00395291"/>
    <w:rsid w:val="003952D1"/>
    <w:rsid w:val="00395319"/>
    <w:rsid w:val="00395331"/>
    <w:rsid w:val="00395344"/>
    <w:rsid w:val="00395348"/>
    <w:rsid w:val="00395372"/>
    <w:rsid w:val="00395380"/>
    <w:rsid w:val="00395398"/>
    <w:rsid w:val="0039541A"/>
    <w:rsid w:val="0039542A"/>
    <w:rsid w:val="00395442"/>
    <w:rsid w:val="00395447"/>
    <w:rsid w:val="00395491"/>
    <w:rsid w:val="0039549A"/>
    <w:rsid w:val="003954C4"/>
    <w:rsid w:val="00395585"/>
    <w:rsid w:val="003955D5"/>
    <w:rsid w:val="003955E9"/>
    <w:rsid w:val="003955EB"/>
    <w:rsid w:val="0039567A"/>
    <w:rsid w:val="00395721"/>
    <w:rsid w:val="0039573C"/>
    <w:rsid w:val="00395759"/>
    <w:rsid w:val="0039576F"/>
    <w:rsid w:val="00395795"/>
    <w:rsid w:val="003957F9"/>
    <w:rsid w:val="003957FF"/>
    <w:rsid w:val="003958AC"/>
    <w:rsid w:val="003958BD"/>
    <w:rsid w:val="003958D9"/>
    <w:rsid w:val="003959D4"/>
    <w:rsid w:val="003959D8"/>
    <w:rsid w:val="003959E5"/>
    <w:rsid w:val="00395A13"/>
    <w:rsid w:val="00395A48"/>
    <w:rsid w:val="00395A54"/>
    <w:rsid w:val="00395A59"/>
    <w:rsid w:val="00395A7E"/>
    <w:rsid w:val="00395AC9"/>
    <w:rsid w:val="00395BB7"/>
    <w:rsid w:val="00395BBE"/>
    <w:rsid w:val="00395C88"/>
    <w:rsid w:val="00395CAF"/>
    <w:rsid w:val="00395D08"/>
    <w:rsid w:val="00395D3C"/>
    <w:rsid w:val="00395D66"/>
    <w:rsid w:val="00395D8D"/>
    <w:rsid w:val="00395DB0"/>
    <w:rsid w:val="00395DD8"/>
    <w:rsid w:val="00395DD9"/>
    <w:rsid w:val="00395F64"/>
    <w:rsid w:val="00395FD7"/>
    <w:rsid w:val="00395FDD"/>
    <w:rsid w:val="00396054"/>
    <w:rsid w:val="00396064"/>
    <w:rsid w:val="00396079"/>
    <w:rsid w:val="00396100"/>
    <w:rsid w:val="00396131"/>
    <w:rsid w:val="00396140"/>
    <w:rsid w:val="00396166"/>
    <w:rsid w:val="0039616E"/>
    <w:rsid w:val="00396172"/>
    <w:rsid w:val="003961AA"/>
    <w:rsid w:val="00396227"/>
    <w:rsid w:val="00396293"/>
    <w:rsid w:val="0039629C"/>
    <w:rsid w:val="003962B8"/>
    <w:rsid w:val="003962BD"/>
    <w:rsid w:val="003962E1"/>
    <w:rsid w:val="00396312"/>
    <w:rsid w:val="00396363"/>
    <w:rsid w:val="003963BA"/>
    <w:rsid w:val="00396473"/>
    <w:rsid w:val="00396516"/>
    <w:rsid w:val="00396527"/>
    <w:rsid w:val="00396537"/>
    <w:rsid w:val="003965D7"/>
    <w:rsid w:val="003965DF"/>
    <w:rsid w:val="003965EA"/>
    <w:rsid w:val="00396629"/>
    <w:rsid w:val="0039670F"/>
    <w:rsid w:val="00396741"/>
    <w:rsid w:val="00396744"/>
    <w:rsid w:val="00396785"/>
    <w:rsid w:val="003967B3"/>
    <w:rsid w:val="00396815"/>
    <w:rsid w:val="003968A2"/>
    <w:rsid w:val="003968AA"/>
    <w:rsid w:val="003968B6"/>
    <w:rsid w:val="00396909"/>
    <w:rsid w:val="00396911"/>
    <w:rsid w:val="00396998"/>
    <w:rsid w:val="003969BB"/>
    <w:rsid w:val="003969C3"/>
    <w:rsid w:val="003969DE"/>
    <w:rsid w:val="003969EB"/>
    <w:rsid w:val="00396A40"/>
    <w:rsid w:val="00396A41"/>
    <w:rsid w:val="00396A9D"/>
    <w:rsid w:val="00396AB6"/>
    <w:rsid w:val="00396B39"/>
    <w:rsid w:val="00396B40"/>
    <w:rsid w:val="00396BB2"/>
    <w:rsid w:val="00396BC7"/>
    <w:rsid w:val="00396BD9"/>
    <w:rsid w:val="00396C3E"/>
    <w:rsid w:val="00396C4B"/>
    <w:rsid w:val="00396C59"/>
    <w:rsid w:val="00396C67"/>
    <w:rsid w:val="00396C71"/>
    <w:rsid w:val="00396CA1"/>
    <w:rsid w:val="00396CA4"/>
    <w:rsid w:val="00396CE6"/>
    <w:rsid w:val="00396D02"/>
    <w:rsid w:val="00396D59"/>
    <w:rsid w:val="00396DA7"/>
    <w:rsid w:val="00396DBD"/>
    <w:rsid w:val="00396DCC"/>
    <w:rsid w:val="00396DE3"/>
    <w:rsid w:val="00396E34"/>
    <w:rsid w:val="00396E64"/>
    <w:rsid w:val="00396EA5"/>
    <w:rsid w:val="00396F1D"/>
    <w:rsid w:val="00396F85"/>
    <w:rsid w:val="00396FBF"/>
    <w:rsid w:val="00396FDF"/>
    <w:rsid w:val="00397014"/>
    <w:rsid w:val="00397116"/>
    <w:rsid w:val="00397146"/>
    <w:rsid w:val="00397162"/>
    <w:rsid w:val="00397170"/>
    <w:rsid w:val="003971BF"/>
    <w:rsid w:val="00397253"/>
    <w:rsid w:val="00397299"/>
    <w:rsid w:val="0039733F"/>
    <w:rsid w:val="003973A8"/>
    <w:rsid w:val="00397473"/>
    <w:rsid w:val="00397493"/>
    <w:rsid w:val="003974AF"/>
    <w:rsid w:val="003974BA"/>
    <w:rsid w:val="003974EC"/>
    <w:rsid w:val="00397527"/>
    <w:rsid w:val="00397533"/>
    <w:rsid w:val="00397618"/>
    <w:rsid w:val="00397632"/>
    <w:rsid w:val="0039763D"/>
    <w:rsid w:val="0039764F"/>
    <w:rsid w:val="00397714"/>
    <w:rsid w:val="003977A5"/>
    <w:rsid w:val="003977BD"/>
    <w:rsid w:val="003977FE"/>
    <w:rsid w:val="00397845"/>
    <w:rsid w:val="00397874"/>
    <w:rsid w:val="00397895"/>
    <w:rsid w:val="0039789C"/>
    <w:rsid w:val="003978C3"/>
    <w:rsid w:val="003978EE"/>
    <w:rsid w:val="0039790E"/>
    <w:rsid w:val="003979A3"/>
    <w:rsid w:val="00397A37"/>
    <w:rsid w:val="00397A71"/>
    <w:rsid w:val="00397A88"/>
    <w:rsid w:val="00397ACC"/>
    <w:rsid w:val="00397AD7"/>
    <w:rsid w:val="00397AE7"/>
    <w:rsid w:val="00397B64"/>
    <w:rsid w:val="00397B8F"/>
    <w:rsid w:val="00397BA1"/>
    <w:rsid w:val="00397C12"/>
    <w:rsid w:val="00397C2C"/>
    <w:rsid w:val="00397C41"/>
    <w:rsid w:val="00397CA5"/>
    <w:rsid w:val="00397CF6"/>
    <w:rsid w:val="00397D20"/>
    <w:rsid w:val="00397D23"/>
    <w:rsid w:val="00397D7D"/>
    <w:rsid w:val="00397D97"/>
    <w:rsid w:val="00397DC0"/>
    <w:rsid w:val="00397DED"/>
    <w:rsid w:val="00397E4F"/>
    <w:rsid w:val="00397E58"/>
    <w:rsid w:val="00397E6B"/>
    <w:rsid w:val="00397EA2"/>
    <w:rsid w:val="00397F25"/>
    <w:rsid w:val="00397F2B"/>
    <w:rsid w:val="00397F7F"/>
    <w:rsid w:val="00397FAC"/>
    <w:rsid w:val="00397FBC"/>
    <w:rsid w:val="00397FFC"/>
    <w:rsid w:val="003A002E"/>
    <w:rsid w:val="003A0077"/>
    <w:rsid w:val="003A00A1"/>
    <w:rsid w:val="003A00DB"/>
    <w:rsid w:val="003A010B"/>
    <w:rsid w:val="003A0113"/>
    <w:rsid w:val="003A0132"/>
    <w:rsid w:val="003A0139"/>
    <w:rsid w:val="003A015D"/>
    <w:rsid w:val="003A0185"/>
    <w:rsid w:val="003A01CF"/>
    <w:rsid w:val="003A021B"/>
    <w:rsid w:val="003A0254"/>
    <w:rsid w:val="003A026C"/>
    <w:rsid w:val="003A029D"/>
    <w:rsid w:val="003A029F"/>
    <w:rsid w:val="003A02E4"/>
    <w:rsid w:val="003A0357"/>
    <w:rsid w:val="003A03DF"/>
    <w:rsid w:val="003A0402"/>
    <w:rsid w:val="003A0427"/>
    <w:rsid w:val="003A043D"/>
    <w:rsid w:val="003A04AC"/>
    <w:rsid w:val="003A0582"/>
    <w:rsid w:val="003A05E8"/>
    <w:rsid w:val="003A0666"/>
    <w:rsid w:val="003A0687"/>
    <w:rsid w:val="003A071B"/>
    <w:rsid w:val="003A072C"/>
    <w:rsid w:val="003A07AB"/>
    <w:rsid w:val="003A0899"/>
    <w:rsid w:val="003A08CF"/>
    <w:rsid w:val="003A0998"/>
    <w:rsid w:val="003A09D0"/>
    <w:rsid w:val="003A09EE"/>
    <w:rsid w:val="003A09FF"/>
    <w:rsid w:val="003A0A07"/>
    <w:rsid w:val="003A0A81"/>
    <w:rsid w:val="003A0A91"/>
    <w:rsid w:val="003A0ADD"/>
    <w:rsid w:val="003A0B61"/>
    <w:rsid w:val="003A0B98"/>
    <w:rsid w:val="003A0BAA"/>
    <w:rsid w:val="003A0BC6"/>
    <w:rsid w:val="003A0C05"/>
    <w:rsid w:val="003A0C86"/>
    <w:rsid w:val="003A0C8A"/>
    <w:rsid w:val="003A0CD4"/>
    <w:rsid w:val="003A0D1D"/>
    <w:rsid w:val="003A0D5D"/>
    <w:rsid w:val="003A0DEC"/>
    <w:rsid w:val="003A0E88"/>
    <w:rsid w:val="003A0EC8"/>
    <w:rsid w:val="003A0ECB"/>
    <w:rsid w:val="003A0F0F"/>
    <w:rsid w:val="003A0F12"/>
    <w:rsid w:val="003A0F38"/>
    <w:rsid w:val="003A0F44"/>
    <w:rsid w:val="003A0F6C"/>
    <w:rsid w:val="003A0FC0"/>
    <w:rsid w:val="003A0FC6"/>
    <w:rsid w:val="003A10E0"/>
    <w:rsid w:val="003A10E1"/>
    <w:rsid w:val="003A112B"/>
    <w:rsid w:val="003A115B"/>
    <w:rsid w:val="003A11A5"/>
    <w:rsid w:val="003A11F4"/>
    <w:rsid w:val="003A1268"/>
    <w:rsid w:val="003A1334"/>
    <w:rsid w:val="003A138F"/>
    <w:rsid w:val="003A13C8"/>
    <w:rsid w:val="003A13EE"/>
    <w:rsid w:val="003A141B"/>
    <w:rsid w:val="003A14C7"/>
    <w:rsid w:val="003A1502"/>
    <w:rsid w:val="003A151C"/>
    <w:rsid w:val="003A152F"/>
    <w:rsid w:val="003A166C"/>
    <w:rsid w:val="003A166E"/>
    <w:rsid w:val="003A16A2"/>
    <w:rsid w:val="003A1709"/>
    <w:rsid w:val="003A1757"/>
    <w:rsid w:val="003A1763"/>
    <w:rsid w:val="003A1792"/>
    <w:rsid w:val="003A1795"/>
    <w:rsid w:val="003A17AD"/>
    <w:rsid w:val="003A181E"/>
    <w:rsid w:val="003A1827"/>
    <w:rsid w:val="003A182B"/>
    <w:rsid w:val="003A1838"/>
    <w:rsid w:val="003A18BD"/>
    <w:rsid w:val="003A18CC"/>
    <w:rsid w:val="003A18CF"/>
    <w:rsid w:val="003A18D5"/>
    <w:rsid w:val="003A191A"/>
    <w:rsid w:val="003A191C"/>
    <w:rsid w:val="003A19CD"/>
    <w:rsid w:val="003A19DB"/>
    <w:rsid w:val="003A1A7F"/>
    <w:rsid w:val="003A1A88"/>
    <w:rsid w:val="003A1A8E"/>
    <w:rsid w:val="003A1AB9"/>
    <w:rsid w:val="003A1AC5"/>
    <w:rsid w:val="003A1AC9"/>
    <w:rsid w:val="003A1AE4"/>
    <w:rsid w:val="003A1AFD"/>
    <w:rsid w:val="003A1B02"/>
    <w:rsid w:val="003A1B03"/>
    <w:rsid w:val="003A1B1A"/>
    <w:rsid w:val="003A1B33"/>
    <w:rsid w:val="003A1B39"/>
    <w:rsid w:val="003A1B85"/>
    <w:rsid w:val="003A1BBD"/>
    <w:rsid w:val="003A1BF8"/>
    <w:rsid w:val="003A1C3E"/>
    <w:rsid w:val="003A1D16"/>
    <w:rsid w:val="003A1D7D"/>
    <w:rsid w:val="003A1D88"/>
    <w:rsid w:val="003A1DE4"/>
    <w:rsid w:val="003A1DE8"/>
    <w:rsid w:val="003A1E48"/>
    <w:rsid w:val="003A1EA3"/>
    <w:rsid w:val="003A1EC7"/>
    <w:rsid w:val="003A1ECA"/>
    <w:rsid w:val="003A1FC1"/>
    <w:rsid w:val="003A2006"/>
    <w:rsid w:val="003A2012"/>
    <w:rsid w:val="003A2025"/>
    <w:rsid w:val="003A2077"/>
    <w:rsid w:val="003A20E3"/>
    <w:rsid w:val="003A2148"/>
    <w:rsid w:val="003A21E7"/>
    <w:rsid w:val="003A21EB"/>
    <w:rsid w:val="003A2200"/>
    <w:rsid w:val="003A2224"/>
    <w:rsid w:val="003A2277"/>
    <w:rsid w:val="003A22A0"/>
    <w:rsid w:val="003A22C8"/>
    <w:rsid w:val="003A22DD"/>
    <w:rsid w:val="003A2328"/>
    <w:rsid w:val="003A2378"/>
    <w:rsid w:val="003A2424"/>
    <w:rsid w:val="003A24F0"/>
    <w:rsid w:val="003A24FD"/>
    <w:rsid w:val="003A258A"/>
    <w:rsid w:val="003A25C7"/>
    <w:rsid w:val="003A2614"/>
    <w:rsid w:val="003A2630"/>
    <w:rsid w:val="003A2645"/>
    <w:rsid w:val="003A264A"/>
    <w:rsid w:val="003A2660"/>
    <w:rsid w:val="003A2691"/>
    <w:rsid w:val="003A26C3"/>
    <w:rsid w:val="003A270B"/>
    <w:rsid w:val="003A2719"/>
    <w:rsid w:val="003A271B"/>
    <w:rsid w:val="003A2724"/>
    <w:rsid w:val="003A2730"/>
    <w:rsid w:val="003A27B9"/>
    <w:rsid w:val="003A2868"/>
    <w:rsid w:val="003A289B"/>
    <w:rsid w:val="003A28EC"/>
    <w:rsid w:val="003A295B"/>
    <w:rsid w:val="003A2A66"/>
    <w:rsid w:val="003A2A76"/>
    <w:rsid w:val="003A2A9C"/>
    <w:rsid w:val="003A2AB4"/>
    <w:rsid w:val="003A2AC7"/>
    <w:rsid w:val="003A2AF6"/>
    <w:rsid w:val="003A2B0B"/>
    <w:rsid w:val="003A2B0E"/>
    <w:rsid w:val="003A2B59"/>
    <w:rsid w:val="003A2B6E"/>
    <w:rsid w:val="003A2B80"/>
    <w:rsid w:val="003A2B99"/>
    <w:rsid w:val="003A2C27"/>
    <w:rsid w:val="003A2C3A"/>
    <w:rsid w:val="003A2C4A"/>
    <w:rsid w:val="003A2C9B"/>
    <w:rsid w:val="003A2CE2"/>
    <w:rsid w:val="003A2E2A"/>
    <w:rsid w:val="003A2E35"/>
    <w:rsid w:val="003A2E45"/>
    <w:rsid w:val="003A2E8C"/>
    <w:rsid w:val="003A2EC1"/>
    <w:rsid w:val="003A2EE0"/>
    <w:rsid w:val="003A2F23"/>
    <w:rsid w:val="003A2F54"/>
    <w:rsid w:val="003A2F89"/>
    <w:rsid w:val="003A2FA8"/>
    <w:rsid w:val="003A306F"/>
    <w:rsid w:val="003A30B4"/>
    <w:rsid w:val="003A3178"/>
    <w:rsid w:val="003A3246"/>
    <w:rsid w:val="003A32A6"/>
    <w:rsid w:val="003A32AF"/>
    <w:rsid w:val="003A32DC"/>
    <w:rsid w:val="003A332A"/>
    <w:rsid w:val="003A3333"/>
    <w:rsid w:val="003A33A3"/>
    <w:rsid w:val="003A33BF"/>
    <w:rsid w:val="003A341F"/>
    <w:rsid w:val="003A3451"/>
    <w:rsid w:val="003A34CD"/>
    <w:rsid w:val="003A3506"/>
    <w:rsid w:val="003A3646"/>
    <w:rsid w:val="003A3697"/>
    <w:rsid w:val="003A3706"/>
    <w:rsid w:val="003A3732"/>
    <w:rsid w:val="003A3792"/>
    <w:rsid w:val="003A37D0"/>
    <w:rsid w:val="003A3864"/>
    <w:rsid w:val="003A386B"/>
    <w:rsid w:val="003A3889"/>
    <w:rsid w:val="003A3892"/>
    <w:rsid w:val="003A39B9"/>
    <w:rsid w:val="003A3A40"/>
    <w:rsid w:val="003A3A5E"/>
    <w:rsid w:val="003A3A86"/>
    <w:rsid w:val="003A3A9B"/>
    <w:rsid w:val="003A3AB7"/>
    <w:rsid w:val="003A3AED"/>
    <w:rsid w:val="003A3B1D"/>
    <w:rsid w:val="003A3B78"/>
    <w:rsid w:val="003A3C8D"/>
    <w:rsid w:val="003A3CDD"/>
    <w:rsid w:val="003A3D03"/>
    <w:rsid w:val="003A3D31"/>
    <w:rsid w:val="003A3D9A"/>
    <w:rsid w:val="003A3DBB"/>
    <w:rsid w:val="003A3DDD"/>
    <w:rsid w:val="003A3DEB"/>
    <w:rsid w:val="003A3DF1"/>
    <w:rsid w:val="003A3E04"/>
    <w:rsid w:val="003A3E1C"/>
    <w:rsid w:val="003A3E74"/>
    <w:rsid w:val="003A3E9E"/>
    <w:rsid w:val="003A3EA4"/>
    <w:rsid w:val="003A3EBF"/>
    <w:rsid w:val="003A3F23"/>
    <w:rsid w:val="003A3F4E"/>
    <w:rsid w:val="003A3F7A"/>
    <w:rsid w:val="003A3FAE"/>
    <w:rsid w:val="003A3FFC"/>
    <w:rsid w:val="003A4026"/>
    <w:rsid w:val="003A40E6"/>
    <w:rsid w:val="003A41CD"/>
    <w:rsid w:val="003A422D"/>
    <w:rsid w:val="003A4259"/>
    <w:rsid w:val="003A4298"/>
    <w:rsid w:val="003A42A7"/>
    <w:rsid w:val="003A43A7"/>
    <w:rsid w:val="003A43B1"/>
    <w:rsid w:val="003A43BF"/>
    <w:rsid w:val="003A443F"/>
    <w:rsid w:val="003A4459"/>
    <w:rsid w:val="003A445D"/>
    <w:rsid w:val="003A448E"/>
    <w:rsid w:val="003A4500"/>
    <w:rsid w:val="003A453E"/>
    <w:rsid w:val="003A4546"/>
    <w:rsid w:val="003A458D"/>
    <w:rsid w:val="003A460F"/>
    <w:rsid w:val="003A461B"/>
    <w:rsid w:val="003A4627"/>
    <w:rsid w:val="003A4636"/>
    <w:rsid w:val="003A4681"/>
    <w:rsid w:val="003A4702"/>
    <w:rsid w:val="003A470F"/>
    <w:rsid w:val="003A47BF"/>
    <w:rsid w:val="003A47F8"/>
    <w:rsid w:val="003A4806"/>
    <w:rsid w:val="003A48A9"/>
    <w:rsid w:val="003A48D2"/>
    <w:rsid w:val="003A4941"/>
    <w:rsid w:val="003A4953"/>
    <w:rsid w:val="003A496D"/>
    <w:rsid w:val="003A49A1"/>
    <w:rsid w:val="003A49D7"/>
    <w:rsid w:val="003A4A58"/>
    <w:rsid w:val="003A4A78"/>
    <w:rsid w:val="003A4B16"/>
    <w:rsid w:val="003A4B2B"/>
    <w:rsid w:val="003A4B36"/>
    <w:rsid w:val="003A4B77"/>
    <w:rsid w:val="003A4B7B"/>
    <w:rsid w:val="003A4BCA"/>
    <w:rsid w:val="003A4BCC"/>
    <w:rsid w:val="003A4C0F"/>
    <w:rsid w:val="003A4C16"/>
    <w:rsid w:val="003A4C1C"/>
    <w:rsid w:val="003A4CC8"/>
    <w:rsid w:val="003A4CCF"/>
    <w:rsid w:val="003A4CD5"/>
    <w:rsid w:val="003A4CE3"/>
    <w:rsid w:val="003A4CFD"/>
    <w:rsid w:val="003A4D77"/>
    <w:rsid w:val="003A4D83"/>
    <w:rsid w:val="003A4D88"/>
    <w:rsid w:val="003A4DA5"/>
    <w:rsid w:val="003A4DA9"/>
    <w:rsid w:val="003A4DEF"/>
    <w:rsid w:val="003A4E23"/>
    <w:rsid w:val="003A4E3B"/>
    <w:rsid w:val="003A4E6F"/>
    <w:rsid w:val="003A4E74"/>
    <w:rsid w:val="003A4E83"/>
    <w:rsid w:val="003A4E9D"/>
    <w:rsid w:val="003A4E9F"/>
    <w:rsid w:val="003A4ED6"/>
    <w:rsid w:val="003A4EE0"/>
    <w:rsid w:val="003A4F2A"/>
    <w:rsid w:val="003A4F68"/>
    <w:rsid w:val="003A4F6D"/>
    <w:rsid w:val="003A4FB7"/>
    <w:rsid w:val="003A4FC2"/>
    <w:rsid w:val="003A5005"/>
    <w:rsid w:val="003A5014"/>
    <w:rsid w:val="003A509C"/>
    <w:rsid w:val="003A50EA"/>
    <w:rsid w:val="003A512A"/>
    <w:rsid w:val="003A513B"/>
    <w:rsid w:val="003A514C"/>
    <w:rsid w:val="003A5160"/>
    <w:rsid w:val="003A5161"/>
    <w:rsid w:val="003A51AD"/>
    <w:rsid w:val="003A51F1"/>
    <w:rsid w:val="003A524F"/>
    <w:rsid w:val="003A5256"/>
    <w:rsid w:val="003A5269"/>
    <w:rsid w:val="003A5271"/>
    <w:rsid w:val="003A52C5"/>
    <w:rsid w:val="003A52E0"/>
    <w:rsid w:val="003A530F"/>
    <w:rsid w:val="003A534C"/>
    <w:rsid w:val="003A535B"/>
    <w:rsid w:val="003A5418"/>
    <w:rsid w:val="003A5497"/>
    <w:rsid w:val="003A54D8"/>
    <w:rsid w:val="003A54DE"/>
    <w:rsid w:val="003A5560"/>
    <w:rsid w:val="003A5572"/>
    <w:rsid w:val="003A55B5"/>
    <w:rsid w:val="003A567F"/>
    <w:rsid w:val="003A5683"/>
    <w:rsid w:val="003A56A4"/>
    <w:rsid w:val="003A570B"/>
    <w:rsid w:val="003A5799"/>
    <w:rsid w:val="003A57A8"/>
    <w:rsid w:val="003A57E0"/>
    <w:rsid w:val="003A57EC"/>
    <w:rsid w:val="003A5855"/>
    <w:rsid w:val="003A5896"/>
    <w:rsid w:val="003A589F"/>
    <w:rsid w:val="003A58C5"/>
    <w:rsid w:val="003A58DA"/>
    <w:rsid w:val="003A58ED"/>
    <w:rsid w:val="003A596C"/>
    <w:rsid w:val="003A597E"/>
    <w:rsid w:val="003A59BF"/>
    <w:rsid w:val="003A59D8"/>
    <w:rsid w:val="003A5AAA"/>
    <w:rsid w:val="003A5AB8"/>
    <w:rsid w:val="003A5AD3"/>
    <w:rsid w:val="003A5B03"/>
    <w:rsid w:val="003A5B0C"/>
    <w:rsid w:val="003A5B36"/>
    <w:rsid w:val="003A5B47"/>
    <w:rsid w:val="003A5BAD"/>
    <w:rsid w:val="003A5C99"/>
    <w:rsid w:val="003A5CC3"/>
    <w:rsid w:val="003A5D00"/>
    <w:rsid w:val="003A5D4E"/>
    <w:rsid w:val="003A5D8A"/>
    <w:rsid w:val="003A5D93"/>
    <w:rsid w:val="003A5DAC"/>
    <w:rsid w:val="003A5DDA"/>
    <w:rsid w:val="003A5DEF"/>
    <w:rsid w:val="003A5E05"/>
    <w:rsid w:val="003A5E94"/>
    <w:rsid w:val="003A5EAF"/>
    <w:rsid w:val="003A5EBA"/>
    <w:rsid w:val="003A5F35"/>
    <w:rsid w:val="003A5FAA"/>
    <w:rsid w:val="003A6070"/>
    <w:rsid w:val="003A607C"/>
    <w:rsid w:val="003A6081"/>
    <w:rsid w:val="003A60A8"/>
    <w:rsid w:val="003A60A9"/>
    <w:rsid w:val="003A610A"/>
    <w:rsid w:val="003A6132"/>
    <w:rsid w:val="003A6135"/>
    <w:rsid w:val="003A6176"/>
    <w:rsid w:val="003A6190"/>
    <w:rsid w:val="003A6193"/>
    <w:rsid w:val="003A61DC"/>
    <w:rsid w:val="003A6205"/>
    <w:rsid w:val="003A620C"/>
    <w:rsid w:val="003A621E"/>
    <w:rsid w:val="003A6223"/>
    <w:rsid w:val="003A6231"/>
    <w:rsid w:val="003A62E0"/>
    <w:rsid w:val="003A6315"/>
    <w:rsid w:val="003A633D"/>
    <w:rsid w:val="003A6350"/>
    <w:rsid w:val="003A6391"/>
    <w:rsid w:val="003A63D8"/>
    <w:rsid w:val="003A649B"/>
    <w:rsid w:val="003A64C1"/>
    <w:rsid w:val="003A657B"/>
    <w:rsid w:val="003A6583"/>
    <w:rsid w:val="003A65D6"/>
    <w:rsid w:val="003A65EA"/>
    <w:rsid w:val="003A660B"/>
    <w:rsid w:val="003A6638"/>
    <w:rsid w:val="003A6688"/>
    <w:rsid w:val="003A66F8"/>
    <w:rsid w:val="003A66FB"/>
    <w:rsid w:val="003A67C1"/>
    <w:rsid w:val="003A6823"/>
    <w:rsid w:val="003A6872"/>
    <w:rsid w:val="003A6895"/>
    <w:rsid w:val="003A689F"/>
    <w:rsid w:val="003A68A4"/>
    <w:rsid w:val="003A68A5"/>
    <w:rsid w:val="003A692E"/>
    <w:rsid w:val="003A69C0"/>
    <w:rsid w:val="003A6A1C"/>
    <w:rsid w:val="003A6A33"/>
    <w:rsid w:val="003A6A90"/>
    <w:rsid w:val="003A6A9C"/>
    <w:rsid w:val="003A6B3A"/>
    <w:rsid w:val="003A6B6E"/>
    <w:rsid w:val="003A6B8C"/>
    <w:rsid w:val="003A6B9E"/>
    <w:rsid w:val="003A6BB6"/>
    <w:rsid w:val="003A6C4B"/>
    <w:rsid w:val="003A6C78"/>
    <w:rsid w:val="003A6C8E"/>
    <w:rsid w:val="003A6CED"/>
    <w:rsid w:val="003A6D2A"/>
    <w:rsid w:val="003A6D82"/>
    <w:rsid w:val="003A6D87"/>
    <w:rsid w:val="003A6DC7"/>
    <w:rsid w:val="003A6DD5"/>
    <w:rsid w:val="003A6DE1"/>
    <w:rsid w:val="003A6DFB"/>
    <w:rsid w:val="003A6EA2"/>
    <w:rsid w:val="003A6EAE"/>
    <w:rsid w:val="003A6EBB"/>
    <w:rsid w:val="003A6EC5"/>
    <w:rsid w:val="003A6F5D"/>
    <w:rsid w:val="003A6F6A"/>
    <w:rsid w:val="003A6FB9"/>
    <w:rsid w:val="003A6FF6"/>
    <w:rsid w:val="003A7018"/>
    <w:rsid w:val="003A7019"/>
    <w:rsid w:val="003A7040"/>
    <w:rsid w:val="003A7051"/>
    <w:rsid w:val="003A70D4"/>
    <w:rsid w:val="003A7128"/>
    <w:rsid w:val="003A7207"/>
    <w:rsid w:val="003A722E"/>
    <w:rsid w:val="003A724D"/>
    <w:rsid w:val="003A72D1"/>
    <w:rsid w:val="003A7301"/>
    <w:rsid w:val="003A7370"/>
    <w:rsid w:val="003A737A"/>
    <w:rsid w:val="003A73EB"/>
    <w:rsid w:val="003A7521"/>
    <w:rsid w:val="003A7547"/>
    <w:rsid w:val="003A7551"/>
    <w:rsid w:val="003A75F3"/>
    <w:rsid w:val="003A76B2"/>
    <w:rsid w:val="003A7769"/>
    <w:rsid w:val="003A77B6"/>
    <w:rsid w:val="003A7824"/>
    <w:rsid w:val="003A783A"/>
    <w:rsid w:val="003A7896"/>
    <w:rsid w:val="003A7928"/>
    <w:rsid w:val="003A793E"/>
    <w:rsid w:val="003A797E"/>
    <w:rsid w:val="003A7A25"/>
    <w:rsid w:val="003A7A5C"/>
    <w:rsid w:val="003A7B0E"/>
    <w:rsid w:val="003A7B50"/>
    <w:rsid w:val="003A7C51"/>
    <w:rsid w:val="003A7C68"/>
    <w:rsid w:val="003A7C91"/>
    <w:rsid w:val="003A7C9F"/>
    <w:rsid w:val="003A7CC1"/>
    <w:rsid w:val="003A7CD5"/>
    <w:rsid w:val="003A7D66"/>
    <w:rsid w:val="003A7DC3"/>
    <w:rsid w:val="003A7DDE"/>
    <w:rsid w:val="003A7E58"/>
    <w:rsid w:val="003A7F36"/>
    <w:rsid w:val="003A7F45"/>
    <w:rsid w:val="003A7F51"/>
    <w:rsid w:val="003B001A"/>
    <w:rsid w:val="003B00BC"/>
    <w:rsid w:val="003B00F5"/>
    <w:rsid w:val="003B00FC"/>
    <w:rsid w:val="003B01A9"/>
    <w:rsid w:val="003B01D0"/>
    <w:rsid w:val="003B0290"/>
    <w:rsid w:val="003B0303"/>
    <w:rsid w:val="003B0317"/>
    <w:rsid w:val="003B0339"/>
    <w:rsid w:val="003B03AD"/>
    <w:rsid w:val="003B05DC"/>
    <w:rsid w:val="003B0636"/>
    <w:rsid w:val="003B06AA"/>
    <w:rsid w:val="003B06E1"/>
    <w:rsid w:val="003B076C"/>
    <w:rsid w:val="003B07B5"/>
    <w:rsid w:val="003B07BF"/>
    <w:rsid w:val="003B07EF"/>
    <w:rsid w:val="003B07FE"/>
    <w:rsid w:val="003B0820"/>
    <w:rsid w:val="003B0827"/>
    <w:rsid w:val="003B0835"/>
    <w:rsid w:val="003B0849"/>
    <w:rsid w:val="003B086A"/>
    <w:rsid w:val="003B0879"/>
    <w:rsid w:val="003B08F2"/>
    <w:rsid w:val="003B0923"/>
    <w:rsid w:val="003B097B"/>
    <w:rsid w:val="003B0A24"/>
    <w:rsid w:val="003B0B2F"/>
    <w:rsid w:val="003B0B7C"/>
    <w:rsid w:val="003B0BC9"/>
    <w:rsid w:val="003B0C4F"/>
    <w:rsid w:val="003B0C52"/>
    <w:rsid w:val="003B0C85"/>
    <w:rsid w:val="003B0D30"/>
    <w:rsid w:val="003B0D45"/>
    <w:rsid w:val="003B0D69"/>
    <w:rsid w:val="003B0DB0"/>
    <w:rsid w:val="003B0DBC"/>
    <w:rsid w:val="003B0DDF"/>
    <w:rsid w:val="003B0E2C"/>
    <w:rsid w:val="003B0F0F"/>
    <w:rsid w:val="003B0F4C"/>
    <w:rsid w:val="003B0FA4"/>
    <w:rsid w:val="003B0FA7"/>
    <w:rsid w:val="003B0FB0"/>
    <w:rsid w:val="003B0FB3"/>
    <w:rsid w:val="003B100A"/>
    <w:rsid w:val="003B1016"/>
    <w:rsid w:val="003B10E0"/>
    <w:rsid w:val="003B1112"/>
    <w:rsid w:val="003B1122"/>
    <w:rsid w:val="003B118D"/>
    <w:rsid w:val="003B1200"/>
    <w:rsid w:val="003B1245"/>
    <w:rsid w:val="003B1288"/>
    <w:rsid w:val="003B12A3"/>
    <w:rsid w:val="003B12E7"/>
    <w:rsid w:val="003B13C9"/>
    <w:rsid w:val="003B140F"/>
    <w:rsid w:val="003B1460"/>
    <w:rsid w:val="003B146A"/>
    <w:rsid w:val="003B1490"/>
    <w:rsid w:val="003B14FF"/>
    <w:rsid w:val="003B1547"/>
    <w:rsid w:val="003B15DC"/>
    <w:rsid w:val="003B160A"/>
    <w:rsid w:val="003B1660"/>
    <w:rsid w:val="003B1662"/>
    <w:rsid w:val="003B169D"/>
    <w:rsid w:val="003B16A9"/>
    <w:rsid w:val="003B16E2"/>
    <w:rsid w:val="003B1713"/>
    <w:rsid w:val="003B1758"/>
    <w:rsid w:val="003B177B"/>
    <w:rsid w:val="003B1812"/>
    <w:rsid w:val="003B1830"/>
    <w:rsid w:val="003B188F"/>
    <w:rsid w:val="003B1896"/>
    <w:rsid w:val="003B189B"/>
    <w:rsid w:val="003B18A7"/>
    <w:rsid w:val="003B1917"/>
    <w:rsid w:val="003B191D"/>
    <w:rsid w:val="003B1942"/>
    <w:rsid w:val="003B196F"/>
    <w:rsid w:val="003B1991"/>
    <w:rsid w:val="003B19BD"/>
    <w:rsid w:val="003B19D5"/>
    <w:rsid w:val="003B1A05"/>
    <w:rsid w:val="003B1AB6"/>
    <w:rsid w:val="003B1B57"/>
    <w:rsid w:val="003B1BA0"/>
    <w:rsid w:val="003B1BE0"/>
    <w:rsid w:val="003B1C60"/>
    <w:rsid w:val="003B1C7D"/>
    <w:rsid w:val="003B1C7E"/>
    <w:rsid w:val="003B1CA9"/>
    <w:rsid w:val="003B1D1F"/>
    <w:rsid w:val="003B1D34"/>
    <w:rsid w:val="003B1D57"/>
    <w:rsid w:val="003B1D8E"/>
    <w:rsid w:val="003B1DA3"/>
    <w:rsid w:val="003B1DF6"/>
    <w:rsid w:val="003B1ED0"/>
    <w:rsid w:val="003B1EE9"/>
    <w:rsid w:val="003B1F0B"/>
    <w:rsid w:val="003B1F0E"/>
    <w:rsid w:val="003B1F5A"/>
    <w:rsid w:val="003B1F85"/>
    <w:rsid w:val="003B2015"/>
    <w:rsid w:val="003B205D"/>
    <w:rsid w:val="003B2090"/>
    <w:rsid w:val="003B2121"/>
    <w:rsid w:val="003B2124"/>
    <w:rsid w:val="003B214F"/>
    <w:rsid w:val="003B220B"/>
    <w:rsid w:val="003B222D"/>
    <w:rsid w:val="003B22C3"/>
    <w:rsid w:val="003B2368"/>
    <w:rsid w:val="003B239F"/>
    <w:rsid w:val="003B23AD"/>
    <w:rsid w:val="003B23C6"/>
    <w:rsid w:val="003B2434"/>
    <w:rsid w:val="003B244A"/>
    <w:rsid w:val="003B24BB"/>
    <w:rsid w:val="003B250E"/>
    <w:rsid w:val="003B2512"/>
    <w:rsid w:val="003B2567"/>
    <w:rsid w:val="003B2572"/>
    <w:rsid w:val="003B2653"/>
    <w:rsid w:val="003B26FA"/>
    <w:rsid w:val="003B2702"/>
    <w:rsid w:val="003B2722"/>
    <w:rsid w:val="003B2751"/>
    <w:rsid w:val="003B2753"/>
    <w:rsid w:val="003B27E5"/>
    <w:rsid w:val="003B2864"/>
    <w:rsid w:val="003B28B7"/>
    <w:rsid w:val="003B291E"/>
    <w:rsid w:val="003B2947"/>
    <w:rsid w:val="003B2962"/>
    <w:rsid w:val="003B29A1"/>
    <w:rsid w:val="003B29C3"/>
    <w:rsid w:val="003B29FC"/>
    <w:rsid w:val="003B2A18"/>
    <w:rsid w:val="003B2A27"/>
    <w:rsid w:val="003B2A8F"/>
    <w:rsid w:val="003B2A9B"/>
    <w:rsid w:val="003B2B0F"/>
    <w:rsid w:val="003B2B1B"/>
    <w:rsid w:val="003B2B20"/>
    <w:rsid w:val="003B2B8A"/>
    <w:rsid w:val="003B2C13"/>
    <w:rsid w:val="003B2C25"/>
    <w:rsid w:val="003B2D04"/>
    <w:rsid w:val="003B2D10"/>
    <w:rsid w:val="003B2D59"/>
    <w:rsid w:val="003B2D60"/>
    <w:rsid w:val="003B2D92"/>
    <w:rsid w:val="003B2DD1"/>
    <w:rsid w:val="003B2DD2"/>
    <w:rsid w:val="003B2E1F"/>
    <w:rsid w:val="003B2E8E"/>
    <w:rsid w:val="003B2EB2"/>
    <w:rsid w:val="003B2F44"/>
    <w:rsid w:val="003B2F4D"/>
    <w:rsid w:val="003B2F9F"/>
    <w:rsid w:val="003B2FF0"/>
    <w:rsid w:val="003B3033"/>
    <w:rsid w:val="003B3072"/>
    <w:rsid w:val="003B311E"/>
    <w:rsid w:val="003B319C"/>
    <w:rsid w:val="003B3213"/>
    <w:rsid w:val="003B3214"/>
    <w:rsid w:val="003B3216"/>
    <w:rsid w:val="003B3243"/>
    <w:rsid w:val="003B3284"/>
    <w:rsid w:val="003B3287"/>
    <w:rsid w:val="003B3432"/>
    <w:rsid w:val="003B3467"/>
    <w:rsid w:val="003B3484"/>
    <w:rsid w:val="003B34DC"/>
    <w:rsid w:val="003B3516"/>
    <w:rsid w:val="003B354A"/>
    <w:rsid w:val="003B357A"/>
    <w:rsid w:val="003B36A6"/>
    <w:rsid w:val="003B3762"/>
    <w:rsid w:val="003B3798"/>
    <w:rsid w:val="003B37F2"/>
    <w:rsid w:val="003B382B"/>
    <w:rsid w:val="003B3890"/>
    <w:rsid w:val="003B38B7"/>
    <w:rsid w:val="003B3913"/>
    <w:rsid w:val="003B396A"/>
    <w:rsid w:val="003B3979"/>
    <w:rsid w:val="003B39A1"/>
    <w:rsid w:val="003B3A36"/>
    <w:rsid w:val="003B3AFB"/>
    <w:rsid w:val="003B3B0D"/>
    <w:rsid w:val="003B3B1A"/>
    <w:rsid w:val="003B3B47"/>
    <w:rsid w:val="003B3B5E"/>
    <w:rsid w:val="003B3BBB"/>
    <w:rsid w:val="003B3C99"/>
    <w:rsid w:val="003B3CA1"/>
    <w:rsid w:val="003B3CFA"/>
    <w:rsid w:val="003B3D43"/>
    <w:rsid w:val="003B3DA6"/>
    <w:rsid w:val="003B3E5F"/>
    <w:rsid w:val="003B3E75"/>
    <w:rsid w:val="003B3E84"/>
    <w:rsid w:val="003B3E99"/>
    <w:rsid w:val="003B3EF4"/>
    <w:rsid w:val="003B3F0A"/>
    <w:rsid w:val="003B3F2F"/>
    <w:rsid w:val="003B3F67"/>
    <w:rsid w:val="003B3F8C"/>
    <w:rsid w:val="003B3FFB"/>
    <w:rsid w:val="003B4002"/>
    <w:rsid w:val="003B406E"/>
    <w:rsid w:val="003B4090"/>
    <w:rsid w:val="003B40DA"/>
    <w:rsid w:val="003B40E3"/>
    <w:rsid w:val="003B415F"/>
    <w:rsid w:val="003B41B0"/>
    <w:rsid w:val="003B41BB"/>
    <w:rsid w:val="003B41D6"/>
    <w:rsid w:val="003B41E7"/>
    <w:rsid w:val="003B41FE"/>
    <w:rsid w:val="003B428E"/>
    <w:rsid w:val="003B4294"/>
    <w:rsid w:val="003B42BF"/>
    <w:rsid w:val="003B42E7"/>
    <w:rsid w:val="003B431E"/>
    <w:rsid w:val="003B43EE"/>
    <w:rsid w:val="003B43FD"/>
    <w:rsid w:val="003B43FE"/>
    <w:rsid w:val="003B440F"/>
    <w:rsid w:val="003B4422"/>
    <w:rsid w:val="003B4436"/>
    <w:rsid w:val="003B445B"/>
    <w:rsid w:val="003B4474"/>
    <w:rsid w:val="003B44D0"/>
    <w:rsid w:val="003B451C"/>
    <w:rsid w:val="003B458D"/>
    <w:rsid w:val="003B4591"/>
    <w:rsid w:val="003B45FE"/>
    <w:rsid w:val="003B4607"/>
    <w:rsid w:val="003B4663"/>
    <w:rsid w:val="003B46D9"/>
    <w:rsid w:val="003B46DE"/>
    <w:rsid w:val="003B470A"/>
    <w:rsid w:val="003B4774"/>
    <w:rsid w:val="003B4784"/>
    <w:rsid w:val="003B4788"/>
    <w:rsid w:val="003B4796"/>
    <w:rsid w:val="003B47CE"/>
    <w:rsid w:val="003B47F8"/>
    <w:rsid w:val="003B4829"/>
    <w:rsid w:val="003B4844"/>
    <w:rsid w:val="003B4846"/>
    <w:rsid w:val="003B4873"/>
    <w:rsid w:val="003B48EA"/>
    <w:rsid w:val="003B4915"/>
    <w:rsid w:val="003B4930"/>
    <w:rsid w:val="003B493F"/>
    <w:rsid w:val="003B4946"/>
    <w:rsid w:val="003B4A1E"/>
    <w:rsid w:val="003B4A8F"/>
    <w:rsid w:val="003B4B3A"/>
    <w:rsid w:val="003B4B3F"/>
    <w:rsid w:val="003B4B46"/>
    <w:rsid w:val="003B4BFB"/>
    <w:rsid w:val="003B4BFD"/>
    <w:rsid w:val="003B4C90"/>
    <w:rsid w:val="003B4CBC"/>
    <w:rsid w:val="003B4CE4"/>
    <w:rsid w:val="003B4CFC"/>
    <w:rsid w:val="003B4D53"/>
    <w:rsid w:val="003B4DA9"/>
    <w:rsid w:val="003B4DB4"/>
    <w:rsid w:val="003B4DFF"/>
    <w:rsid w:val="003B4E30"/>
    <w:rsid w:val="003B4E32"/>
    <w:rsid w:val="003B4E66"/>
    <w:rsid w:val="003B4E87"/>
    <w:rsid w:val="003B4E98"/>
    <w:rsid w:val="003B4ECB"/>
    <w:rsid w:val="003B4F2C"/>
    <w:rsid w:val="003B506E"/>
    <w:rsid w:val="003B5084"/>
    <w:rsid w:val="003B5158"/>
    <w:rsid w:val="003B5162"/>
    <w:rsid w:val="003B516E"/>
    <w:rsid w:val="003B5173"/>
    <w:rsid w:val="003B51D5"/>
    <w:rsid w:val="003B5203"/>
    <w:rsid w:val="003B524F"/>
    <w:rsid w:val="003B5280"/>
    <w:rsid w:val="003B52C6"/>
    <w:rsid w:val="003B530A"/>
    <w:rsid w:val="003B5320"/>
    <w:rsid w:val="003B532D"/>
    <w:rsid w:val="003B5385"/>
    <w:rsid w:val="003B53FB"/>
    <w:rsid w:val="003B540D"/>
    <w:rsid w:val="003B5422"/>
    <w:rsid w:val="003B547B"/>
    <w:rsid w:val="003B548E"/>
    <w:rsid w:val="003B549A"/>
    <w:rsid w:val="003B54A1"/>
    <w:rsid w:val="003B54BE"/>
    <w:rsid w:val="003B557A"/>
    <w:rsid w:val="003B55C5"/>
    <w:rsid w:val="003B55CC"/>
    <w:rsid w:val="003B55FE"/>
    <w:rsid w:val="003B5631"/>
    <w:rsid w:val="003B5647"/>
    <w:rsid w:val="003B5666"/>
    <w:rsid w:val="003B56AF"/>
    <w:rsid w:val="003B56D1"/>
    <w:rsid w:val="003B56FB"/>
    <w:rsid w:val="003B574B"/>
    <w:rsid w:val="003B57E0"/>
    <w:rsid w:val="003B5886"/>
    <w:rsid w:val="003B58BD"/>
    <w:rsid w:val="003B590E"/>
    <w:rsid w:val="003B5966"/>
    <w:rsid w:val="003B59D5"/>
    <w:rsid w:val="003B5A71"/>
    <w:rsid w:val="003B5AF6"/>
    <w:rsid w:val="003B5B42"/>
    <w:rsid w:val="003B5B75"/>
    <w:rsid w:val="003B5C0D"/>
    <w:rsid w:val="003B5C6E"/>
    <w:rsid w:val="003B5C79"/>
    <w:rsid w:val="003B5D0B"/>
    <w:rsid w:val="003B5D7B"/>
    <w:rsid w:val="003B5E02"/>
    <w:rsid w:val="003B5E0D"/>
    <w:rsid w:val="003B5E48"/>
    <w:rsid w:val="003B5E4C"/>
    <w:rsid w:val="003B5E8B"/>
    <w:rsid w:val="003B5E93"/>
    <w:rsid w:val="003B5EA3"/>
    <w:rsid w:val="003B5EBF"/>
    <w:rsid w:val="003B5EC1"/>
    <w:rsid w:val="003B5ED1"/>
    <w:rsid w:val="003B5F3E"/>
    <w:rsid w:val="003B5F53"/>
    <w:rsid w:val="003B5FC1"/>
    <w:rsid w:val="003B607B"/>
    <w:rsid w:val="003B6095"/>
    <w:rsid w:val="003B60BE"/>
    <w:rsid w:val="003B60DD"/>
    <w:rsid w:val="003B60DE"/>
    <w:rsid w:val="003B617D"/>
    <w:rsid w:val="003B6226"/>
    <w:rsid w:val="003B6269"/>
    <w:rsid w:val="003B62A1"/>
    <w:rsid w:val="003B62B9"/>
    <w:rsid w:val="003B62E9"/>
    <w:rsid w:val="003B6395"/>
    <w:rsid w:val="003B63C9"/>
    <w:rsid w:val="003B63CE"/>
    <w:rsid w:val="003B63DE"/>
    <w:rsid w:val="003B63F2"/>
    <w:rsid w:val="003B640E"/>
    <w:rsid w:val="003B6430"/>
    <w:rsid w:val="003B648F"/>
    <w:rsid w:val="003B6491"/>
    <w:rsid w:val="003B64B3"/>
    <w:rsid w:val="003B64CA"/>
    <w:rsid w:val="003B64D8"/>
    <w:rsid w:val="003B6544"/>
    <w:rsid w:val="003B65A5"/>
    <w:rsid w:val="003B661E"/>
    <w:rsid w:val="003B66AF"/>
    <w:rsid w:val="003B66BA"/>
    <w:rsid w:val="003B67D4"/>
    <w:rsid w:val="003B67E7"/>
    <w:rsid w:val="003B6809"/>
    <w:rsid w:val="003B694B"/>
    <w:rsid w:val="003B69F6"/>
    <w:rsid w:val="003B69FA"/>
    <w:rsid w:val="003B6A72"/>
    <w:rsid w:val="003B6B1C"/>
    <w:rsid w:val="003B6B2A"/>
    <w:rsid w:val="003B6B92"/>
    <w:rsid w:val="003B6BDC"/>
    <w:rsid w:val="003B6BF9"/>
    <w:rsid w:val="003B6C23"/>
    <w:rsid w:val="003B6C9B"/>
    <w:rsid w:val="003B6CD8"/>
    <w:rsid w:val="003B6D12"/>
    <w:rsid w:val="003B6D18"/>
    <w:rsid w:val="003B6D27"/>
    <w:rsid w:val="003B6D42"/>
    <w:rsid w:val="003B6D4D"/>
    <w:rsid w:val="003B6DBC"/>
    <w:rsid w:val="003B6E28"/>
    <w:rsid w:val="003B6E77"/>
    <w:rsid w:val="003B6EA4"/>
    <w:rsid w:val="003B6F36"/>
    <w:rsid w:val="003B6F83"/>
    <w:rsid w:val="003B6FA7"/>
    <w:rsid w:val="003B6FB8"/>
    <w:rsid w:val="003B700D"/>
    <w:rsid w:val="003B701C"/>
    <w:rsid w:val="003B704E"/>
    <w:rsid w:val="003B7082"/>
    <w:rsid w:val="003B7088"/>
    <w:rsid w:val="003B715F"/>
    <w:rsid w:val="003B717D"/>
    <w:rsid w:val="003B7184"/>
    <w:rsid w:val="003B7226"/>
    <w:rsid w:val="003B7277"/>
    <w:rsid w:val="003B7280"/>
    <w:rsid w:val="003B72A0"/>
    <w:rsid w:val="003B72CD"/>
    <w:rsid w:val="003B7397"/>
    <w:rsid w:val="003B741E"/>
    <w:rsid w:val="003B7462"/>
    <w:rsid w:val="003B7475"/>
    <w:rsid w:val="003B7478"/>
    <w:rsid w:val="003B74B5"/>
    <w:rsid w:val="003B74CB"/>
    <w:rsid w:val="003B75DC"/>
    <w:rsid w:val="003B761D"/>
    <w:rsid w:val="003B7642"/>
    <w:rsid w:val="003B76EC"/>
    <w:rsid w:val="003B7730"/>
    <w:rsid w:val="003B773C"/>
    <w:rsid w:val="003B7753"/>
    <w:rsid w:val="003B775E"/>
    <w:rsid w:val="003B7767"/>
    <w:rsid w:val="003B777B"/>
    <w:rsid w:val="003B7792"/>
    <w:rsid w:val="003B77A9"/>
    <w:rsid w:val="003B77D8"/>
    <w:rsid w:val="003B7868"/>
    <w:rsid w:val="003B7880"/>
    <w:rsid w:val="003B7884"/>
    <w:rsid w:val="003B78C9"/>
    <w:rsid w:val="003B78CA"/>
    <w:rsid w:val="003B78F4"/>
    <w:rsid w:val="003B7907"/>
    <w:rsid w:val="003B793C"/>
    <w:rsid w:val="003B7A5C"/>
    <w:rsid w:val="003B7A8C"/>
    <w:rsid w:val="003B7AC2"/>
    <w:rsid w:val="003B7B32"/>
    <w:rsid w:val="003B7C43"/>
    <w:rsid w:val="003B7C46"/>
    <w:rsid w:val="003B7C5C"/>
    <w:rsid w:val="003B7C5F"/>
    <w:rsid w:val="003B7C7F"/>
    <w:rsid w:val="003B7D11"/>
    <w:rsid w:val="003B7D94"/>
    <w:rsid w:val="003B7DB0"/>
    <w:rsid w:val="003B7DE3"/>
    <w:rsid w:val="003B7E38"/>
    <w:rsid w:val="003B7E70"/>
    <w:rsid w:val="003B7EBD"/>
    <w:rsid w:val="003B7EE7"/>
    <w:rsid w:val="003B7F28"/>
    <w:rsid w:val="003B7F43"/>
    <w:rsid w:val="003B7F88"/>
    <w:rsid w:val="003B7F8A"/>
    <w:rsid w:val="003B7F8C"/>
    <w:rsid w:val="003C0002"/>
    <w:rsid w:val="003C005D"/>
    <w:rsid w:val="003C0069"/>
    <w:rsid w:val="003C00B8"/>
    <w:rsid w:val="003C00CB"/>
    <w:rsid w:val="003C00E1"/>
    <w:rsid w:val="003C0114"/>
    <w:rsid w:val="003C014B"/>
    <w:rsid w:val="003C019A"/>
    <w:rsid w:val="003C01CE"/>
    <w:rsid w:val="003C01E1"/>
    <w:rsid w:val="003C01F4"/>
    <w:rsid w:val="003C0256"/>
    <w:rsid w:val="003C0266"/>
    <w:rsid w:val="003C027A"/>
    <w:rsid w:val="003C02CF"/>
    <w:rsid w:val="003C02E8"/>
    <w:rsid w:val="003C02F3"/>
    <w:rsid w:val="003C037B"/>
    <w:rsid w:val="003C03A0"/>
    <w:rsid w:val="003C03BD"/>
    <w:rsid w:val="003C03DA"/>
    <w:rsid w:val="003C0464"/>
    <w:rsid w:val="003C0477"/>
    <w:rsid w:val="003C0559"/>
    <w:rsid w:val="003C056E"/>
    <w:rsid w:val="003C05A0"/>
    <w:rsid w:val="003C05AB"/>
    <w:rsid w:val="003C05B7"/>
    <w:rsid w:val="003C05E8"/>
    <w:rsid w:val="003C05FE"/>
    <w:rsid w:val="003C063F"/>
    <w:rsid w:val="003C06C1"/>
    <w:rsid w:val="003C06C3"/>
    <w:rsid w:val="003C071C"/>
    <w:rsid w:val="003C0760"/>
    <w:rsid w:val="003C0782"/>
    <w:rsid w:val="003C078B"/>
    <w:rsid w:val="003C078C"/>
    <w:rsid w:val="003C07AC"/>
    <w:rsid w:val="003C07D6"/>
    <w:rsid w:val="003C07EA"/>
    <w:rsid w:val="003C0885"/>
    <w:rsid w:val="003C08B7"/>
    <w:rsid w:val="003C08F8"/>
    <w:rsid w:val="003C09EA"/>
    <w:rsid w:val="003C0A29"/>
    <w:rsid w:val="003C0A39"/>
    <w:rsid w:val="003C0A5F"/>
    <w:rsid w:val="003C0A80"/>
    <w:rsid w:val="003C0ACD"/>
    <w:rsid w:val="003C0ADC"/>
    <w:rsid w:val="003C0B79"/>
    <w:rsid w:val="003C0B9E"/>
    <w:rsid w:val="003C0BE4"/>
    <w:rsid w:val="003C0C24"/>
    <w:rsid w:val="003C0C2D"/>
    <w:rsid w:val="003C0C33"/>
    <w:rsid w:val="003C0C8D"/>
    <w:rsid w:val="003C0CD0"/>
    <w:rsid w:val="003C0D3A"/>
    <w:rsid w:val="003C0D40"/>
    <w:rsid w:val="003C0D6B"/>
    <w:rsid w:val="003C0D89"/>
    <w:rsid w:val="003C0DC3"/>
    <w:rsid w:val="003C0EC8"/>
    <w:rsid w:val="003C0F42"/>
    <w:rsid w:val="003C0FDC"/>
    <w:rsid w:val="003C0FED"/>
    <w:rsid w:val="003C100C"/>
    <w:rsid w:val="003C110E"/>
    <w:rsid w:val="003C113D"/>
    <w:rsid w:val="003C1168"/>
    <w:rsid w:val="003C1188"/>
    <w:rsid w:val="003C1274"/>
    <w:rsid w:val="003C127C"/>
    <w:rsid w:val="003C12DB"/>
    <w:rsid w:val="003C12FB"/>
    <w:rsid w:val="003C1322"/>
    <w:rsid w:val="003C136F"/>
    <w:rsid w:val="003C14FF"/>
    <w:rsid w:val="003C1539"/>
    <w:rsid w:val="003C156D"/>
    <w:rsid w:val="003C15A9"/>
    <w:rsid w:val="003C15E8"/>
    <w:rsid w:val="003C160D"/>
    <w:rsid w:val="003C168B"/>
    <w:rsid w:val="003C16CD"/>
    <w:rsid w:val="003C16F5"/>
    <w:rsid w:val="003C1746"/>
    <w:rsid w:val="003C1751"/>
    <w:rsid w:val="003C178C"/>
    <w:rsid w:val="003C18A9"/>
    <w:rsid w:val="003C191C"/>
    <w:rsid w:val="003C1947"/>
    <w:rsid w:val="003C1975"/>
    <w:rsid w:val="003C1A5C"/>
    <w:rsid w:val="003C1A78"/>
    <w:rsid w:val="003C1A88"/>
    <w:rsid w:val="003C1AB8"/>
    <w:rsid w:val="003C1B0E"/>
    <w:rsid w:val="003C1B55"/>
    <w:rsid w:val="003C1B9A"/>
    <w:rsid w:val="003C1C7E"/>
    <w:rsid w:val="003C1C9B"/>
    <w:rsid w:val="003C1CF0"/>
    <w:rsid w:val="003C1D03"/>
    <w:rsid w:val="003C1D50"/>
    <w:rsid w:val="003C1D64"/>
    <w:rsid w:val="003C1D96"/>
    <w:rsid w:val="003C1DFD"/>
    <w:rsid w:val="003C1E09"/>
    <w:rsid w:val="003C1E50"/>
    <w:rsid w:val="003C1E52"/>
    <w:rsid w:val="003C1F82"/>
    <w:rsid w:val="003C1F86"/>
    <w:rsid w:val="003C1FA8"/>
    <w:rsid w:val="003C202C"/>
    <w:rsid w:val="003C20C9"/>
    <w:rsid w:val="003C20D8"/>
    <w:rsid w:val="003C213C"/>
    <w:rsid w:val="003C2143"/>
    <w:rsid w:val="003C21B9"/>
    <w:rsid w:val="003C21CD"/>
    <w:rsid w:val="003C226F"/>
    <w:rsid w:val="003C2278"/>
    <w:rsid w:val="003C2336"/>
    <w:rsid w:val="003C237C"/>
    <w:rsid w:val="003C23E9"/>
    <w:rsid w:val="003C23FB"/>
    <w:rsid w:val="003C244E"/>
    <w:rsid w:val="003C2475"/>
    <w:rsid w:val="003C24AF"/>
    <w:rsid w:val="003C24B4"/>
    <w:rsid w:val="003C24F0"/>
    <w:rsid w:val="003C250B"/>
    <w:rsid w:val="003C2553"/>
    <w:rsid w:val="003C2619"/>
    <w:rsid w:val="003C2631"/>
    <w:rsid w:val="003C2640"/>
    <w:rsid w:val="003C2698"/>
    <w:rsid w:val="003C2754"/>
    <w:rsid w:val="003C282F"/>
    <w:rsid w:val="003C286C"/>
    <w:rsid w:val="003C289A"/>
    <w:rsid w:val="003C28F8"/>
    <w:rsid w:val="003C297C"/>
    <w:rsid w:val="003C298F"/>
    <w:rsid w:val="003C29B4"/>
    <w:rsid w:val="003C29FC"/>
    <w:rsid w:val="003C2A01"/>
    <w:rsid w:val="003C2A27"/>
    <w:rsid w:val="003C2A3C"/>
    <w:rsid w:val="003C2A6F"/>
    <w:rsid w:val="003C2A79"/>
    <w:rsid w:val="003C2A98"/>
    <w:rsid w:val="003C2B47"/>
    <w:rsid w:val="003C2B5C"/>
    <w:rsid w:val="003C2BF1"/>
    <w:rsid w:val="003C2C04"/>
    <w:rsid w:val="003C2C79"/>
    <w:rsid w:val="003C2D90"/>
    <w:rsid w:val="003C2DA2"/>
    <w:rsid w:val="003C2DA7"/>
    <w:rsid w:val="003C2E68"/>
    <w:rsid w:val="003C2EDA"/>
    <w:rsid w:val="003C2FFA"/>
    <w:rsid w:val="003C303C"/>
    <w:rsid w:val="003C305E"/>
    <w:rsid w:val="003C3088"/>
    <w:rsid w:val="003C30A7"/>
    <w:rsid w:val="003C30C2"/>
    <w:rsid w:val="003C30CF"/>
    <w:rsid w:val="003C311B"/>
    <w:rsid w:val="003C31C5"/>
    <w:rsid w:val="003C328B"/>
    <w:rsid w:val="003C32BA"/>
    <w:rsid w:val="003C32D9"/>
    <w:rsid w:val="003C3411"/>
    <w:rsid w:val="003C3442"/>
    <w:rsid w:val="003C3499"/>
    <w:rsid w:val="003C34BF"/>
    <w:rsid w:val="003C34C5"/>
    <w:rsid w:val="003C34C6"/>
    <w:rsid w:val="003C3522"/>
    <w:rsid w:val="003C3580"/>
    <w:rsid w:val="003C35AA"/>
    <w:rsid w:val="003C35DA"/>
    <w:rsid w:val="003C35E9"/>
    <w:rsid w:val="003C3614"/>
    <w:rsid w:val="003C3630"/>
    <w:rsid w:val="003C36AD"/>
    <w:rsid w:val="003C375E"/>
    <w:rsid w:val="003C3764"/>
    <w:rsid w:val="003C379B"/>
    <w:rsid w:val="003C37C7"/>
    <w:rsid w:val="003C37E5"/>
    <w:rsid w:val="003C37EF"/>
    <w:rsid w:val="003C3892"/>
    <w:rsid w:val="003C38DB"/>
    <w:rsid w:val="003C39CE"/>
    <w:rsid w:val="003C3A17"/>
    <w:rsid w:val="003C3A59"/>
    <w:rsid w:val="003C3A68"/>
    <w:rsid w:val="003C3B00"/>
    <w:rsid w:val="003C3B14"/>
    <w:rsid w:val="003C3BB5"/>
    <w:rsid w:val="003C3BCF"/>
    <w:rsid w:val="003C3C08"/>
    <w:rsid w:val="003C3C0E"/>
    <w:rsid w:val="003C3C4A"/>
    <w:rsid w:val="003C3C70"/>
    <w:rsid w:val="003C3CD2"/>
    <w:rsid w:val="003C3CE0"/>
    <w:rsid w:val="003C3DC6"/>
    <w:rsid w:val="003C3DF5"/>
    <w:rsid w:val="003C3E1F"/>
    <w:rsid w:val="003C3E78"/>
    <w:rsid w:val="003C3F14"/>
    <w:rsid w:val="003C3F89"/>
    <w:rsid w:val="003C4083"/>
    <w:rsid w:val="003C4125"/>
    <w:rsid w:val="003C4129"/>
    <w:rsid w:val="003C4134"/>
    <w:rsid w:val="003C423A"/>
    <w:rsid w:val="003C4246"/>
    <w:rsid w:val="003C424C"/>
    <w:rsid w:val="003C4281"/>
    <w:rsid w:val="003C4282"/>
    <w:rsid w:val="003C42E1"/>
    <w:rsid w:val="003C42FD"/>
    <w:rsid w:val="003C4372"/>
    <w:rsid w:val="003C4388"/>
    <w:rsid w:val="003C439E"/>
    <w:rsid w:val="003C442A"/>
    <w:rsid w:val="003C4453"/>
    <w:rsid w:val="003C448D"/>
    <w:rsid w:val="003C4506"/>
    <w:rsid w:val="003C4609"/>
    <w:rsid w:val="003C4610"/>
    <w:rsid w:val="003C4644"/>
    <w:rsid w:val="003C4646"/>
    <w:rsid w:val="003C4694"/>
    <w:rsid w:val="003C46FB"/>
    <w:rsid w:val="003C477D"/>
    <w:rsid w:val="003C4812"/>
    <w:rsid w:val="003C489C"/>
    <w:rsid w:val="003C48DC"/>
    <w:rsid w:val="003C4944"/>
    <w:rsid w:val="003C49CB"/>
    <w:rsid w:val="003C49E7"/>
    <w:rsid w:val="003C4AD9"/>
    <w:rsid w:val="003C4B13"/>
    <w:rsid w:val="003C4B42"/>
    <w:rsid w:val="003C4BC9"/>
    <w:rsid w:val="003C4C05"/>
    <w:rsid w:val="003C4C0A"/>
    <w:rsid w:val="003C4C25"/>
    <w:rsid w:val="003C4C66"/>
    <w:rsid w:val="003C4D18"/>
    <w:rsid w:val="003C4D95"/>
    <w:rsid w:val="003C4D9C"/>
    <w:rsid w:val="003C4F00"/>
    <w:rsid w:val="003C4FD5"/>
    <w:rsid w:val="003C5023"/>
    <w:rsid w:val="003C503D"/>
    <w:rsid w:val="003C503F"/>
    <w:rsid w:val="003C512F"/>
    <w:rsid w:val="003C513B"/>
    <w:rsid w:val="003C516B"/>
    <w:rsid w:val="003C517C"/>
    <w:rsid w:val="003C51A3"/>
    <w:rsid w:val="003C51AD"/>
    <w:rsid w:val="003C51D1"/>
    <w:rsid w:val="003C51F8"/>
    <w:rsid w:val="003C520A"/>
    <w:rsid w:val="003C520E"/>
    <w:rsid w:val="003C5236"/>
    <w:rsid w:val="003C52F0"/>
    <w:rsid w:val="003C5368"/>
    <w:rsid w:val="003C5377"/>
    <w:rsid w:val="003C53F3"/>
    <w:rsid w:val="003C546A"/>
    <w:rsid w:val="003C5505"/>
    <w:rsid w:val="003C55DD"/>
    <w:rsid w:val="003C56E4"/>
    <w:rsid w:val="003C573D"/>
    <w:rsid w:val="003C57C9"/>
    <w:rsid w:val="003C582B"/>
    <w:rsid w:val="003C587C"/>
    <w:rsid w:val="003C58C9"/>
    <w:rsid w:val="003C58F8"/>
    <w:rsid w:val="003C5921"/>
    <w:rsid w:val="003C595A"/>
    <w:rsid w:val="003C59A8"/>
    <w:rsid w:val="003C59C4"/>
    <w:rsid w:val="003C5A32"/>
    <w:rsid w:val="003C5ADE"/>
    <w:rsid w:val="003C5B28"/>
    <w:rsid w:val="003C5B7E"/>
    <w:rsid w:val="003C5C83"/>
    <w:rsid w:val="003C5CBB"/>
    <w:rsid w:val="003C5D41"/>
    <w:rsid w:val="003C5E6B"/>
    <w:rsid w:val="003C5E88"/>
    <w:rsid w:val="003C5EAA"/>
    <w:rsid w:val="003C5EF1"/>
    <w:rsid w:val="003C5F12"/>
    <w:rsid w:val="003C5F5C"/>
    <w:rsid w:val="003C5FBD"/>
    <w:rsid w:val="003C605F"/>
    <w:rsid w:val="003C606B"/>
    <w:rsid w:val="003C60F8"/>
    <w:rsid w:val="003C6126"/>
    <w:rsid w:val="003C6150"/>
    <w:rsid w:val="003C615A"/>
    <w:rsid w:val="003C61BF"/>
    <w:rsid w:val="003C61C1"/>
    <w:rsid w:val="003C61C5"/>
    <w:rsid w:val="003C61C7"/>
    <w:rsid w:val="003C6255"/>
    <w:rsid w:val="003C625B"/>
    <w:rsid w:val="003C628E"/>
    <w:rsid w:val="003C631C"/>
    <w:rsid w:val="003C6369"/>
    <w:rsid w:val="003C6380"/>
    <w:rsid w:val="003C64B4"/>
    <w:rsid w:val="003C64CD"/>
    <w:rsid w:val="003C6536"/>
    <w:rsid w:val="003C6566"/>
    <w:rsid w:val="003C65C9"/>
    <w:rsid w:val="003C65D3"/>
    <w:rsid w:val="003C662E"/>
    <w:rsid w:val="003C663A"/>
    <w:rsid w:val="003C663B"/>
    <w:rsid w:val="003C663F"/>
    <w:rsid w:val="003C66A7"/>
    <w:rsid w:val="003C66F4"/>
    <w:rsid w:val="003C67EC"/>
    <w:rsid w:val="003C67EF"/>
    <w:rsid w:val="003C681A"/>
    <w:rsid w:val="003C6822"/>
    <w:rsid w:val="003C683C"/>
    <w:rsid w:val="003C686A"/>
    <w:rsid w:val="003C68C7"/>
    <w:rsid w:val="003C68D1"/>
    <w:rsid w:val="003C68D6"/>
    <w:rsid w:val="003C6919"/>
    <w:rsid w:val="003C6982"/>
    <w:rsid w:val="003C6998"/>
    <w:rsid w:val="003C69C5"/>
    <w:rsid w:val="003C69C7"/>
    <w:rsid w:val="003C69CC"/>
    <w:rsid w:val="003C6A11"/>
    <w:rsid w:val="003C6A45"/>
    <w:rsid w:val="003C6A5B"/>
    <w:rsid w:val="003C6A72"/>
    <w:rsid w:val="003C6AA0"/>
    <w:rsid w:val="003C6AC3"/>
    <w:rsid w:val="003C6AE3"/>
    <w:rsid w:val="003C6B08"/>
    <w:rsid w:val="003C6B54"/>
    <w:rsid w:val="003C6B5C"/>
    <w:rsid w:val="003C6BDA"/>
    <w:rsid w:val="003C6BF7"/>
    <w:rsid w:val="003C6D36"/>
    <w:rsid w:val="003C6D9A"/>
    <w:rsid w:val="003C6DA2"/>
    <w:rsid w:val="003C6DAA"/>
    <w:rsid w:val="003C6DB9"/>
    <w:rsid w:val="003C6E00"/>
    <w:rsid w:val="003C6E03"/>
    <w:rsid w:val="003C6E09"/>
    <w:rsid w:val="003C6E13"/>
    <w:rsid w:val="003C6E2A"/>
    <w:rsid w:val="003C6E32"/>
    <w:rsid w:val="003C6E3A"/>
    <w:rsid w:val="003C6E42"/>
    <w:rsid w:val="003C6F18"/>
    <w:rsid w:val="003C6F36"/>
    <w:rsid w:val="003C6F3F"/>
    <w:rsid w:val="003C6F66"/>
    <w:rsid w:val="003C703D"/>
    <w:rsid w:val="003C704B"/>
    <w:rsid w:val="003C70F0"/>
    <w:rsid w:val="003C70FB"/>
    <w:rsid w:val="003C7135"/>
    <w:rsid w:val="003C714D"/>
    <w:rsid w:val="003C7191"/>
    <w:rsid w:val="003C71A8"/>
    <w:rsid w:val="003C71B1"/>
    <w:rsid w:val="003C71CA"/>
    <w:rsid w:val="003C71E4"/>
    <w:rsid w:val="003C7228"/>
    <w:rsid w:val="003C7233"/>
    <w:rsid w:val="003C7252"/>
    <w:rsid w:val="003C725C"/>
    <w:rsid w:val="003C7270"/>
    <w:rsid w:val="003C72D9"/>
    <w:rsid w:val="003C7311"/>
    <w:rsid w:val="003C73A8"/>
    <w:rsid w:val="003C740F"/>
    <w:rsid w:val="003C741F"/>
    <w:rsid w:val="003C7422"/>
    <w:rsid w:val="003C7444"/>
    <w:rsid w:val="003C74DB"/>
    <w:rsid w:val="003C74F5"/>
    <w:rsid w:val="003C7514"/>
    <w:rsid w:val="003C75CA"/>
    <w:rsid w:val="003C75EF"/>
    <w:rsid w:val="003C762E"/>
    <w:rsid w:val="003C76C6"/>
    <w:rsid w:val="003C7708"/>
    <w:rsid w:val="003C776D"/>
    <w:rsid w:val="003C7784"/>
    <w:rsid w:val="003C77A5"/>
    <w:rsid w:val="003C77AA"/>
    <w:rsid w:val="003C77F7"/>
    <w:rsid w:val="003C781F"/>
    <w:rsid w:val="003C783C"/>
    <w:rsid w:val="003C786C"/>
    <w:rsid w:val="003C78B7"/>
    <w:rsid w:val="003C790C"/>
    <w:rsid w:val="003C792C"/>
    <w:rsid w:val="003C794F"/>
    <w:rsid w:val="003C7979"/>
    <w:rsid w:val="003C79D4"/>
    <w:rsid w:val="003C79EB"/>
    <w:rsid w:val="003C7A14"/>
    <w:rsid w:val="003C7A5B"/>
    <w:rsid w:val="003C7AE2"/>
    <w:rsid w:val="003C7BAF"/>
    <w:rsid w:val="003C7BF9"/>
    <w:rsid w:val="003C7C3E"/>
    <w:rsid w:val="003C7C9E"/>
    <w:rsid w:val="003C7D1A"/>
    <w:rsid w:val="003C7D5C"/>
    <w:rsid w:val="003C7D7C"/>
    <w:rsid w:val="003C7DCE"/>
    <w:rsid w:val="003C7DDE"/>
    <w:rsid w:val="003C7E88"/>
    <w:rsid w:val="003C7EE4"/>
    <w:rsid w:val="003C7F0F"/>
    <w:rsid w:val="003C7F17"/>
    <w:rsid w:val="003C7F23"/>
    <w:rsid w:val="003C7F98"/>
    <w:rsid w:val="003D0011"/>
    <w:rsid w:val="003D00BC"/>
    <w:rsid w:val="003D011D"/>
    <w:rsid w:val="003D0135"/>
    <w:rsid w:val="003D016C"/>
    <w:rsid w:val="003D0177"/>
    <w:rsid w:val="003D018C"/>
    <w:rsid w:val="003D01F8"/>
    <w:rsid w:val="003D024E"/>
    <w:rsid w:val="003D0271"/>
    <w:rsid w:val="003D027B"/>
    <w:rsid w:val="003D02A7"/>
    <w:rsid w:val="003D02E8"/>
    <w:rsid w:val="003D02FA"/>
    <w:rsid w:val="003D0326"/>
    <w:rsid w:val="003D034A"/>
    <w:rsid w:val="003D0351"/>
    <w:rsid w:val="003D0354"/>
    <w:rsid w:val="003D0489"/>
    <w:rsid w:val="003D0521"/>
    <w:rsid w:val="003D055A"/>
    <w:rsid w:val="003D058B"/>
    <w:rsid w:val="003D05D4"/>
    <w:rsid w:val="003D0629"/>
    <w:rsid w:val="003D0644"/>
    <w:rsid w:val="003D06D8"/>
    <w:rsid w:val="003D06DD"/>
    <w:rsid w:val="003D0777"/>
    <w:rsid w:val="003D077E"/>
    <w:rsid w:val="003D0818"/>
    <w:rsid w:val="003D0828"/>
    <w:rsid w:val="003D0884"/>
    <w:rsid w:val="003D08B9"/>
    <w:rsid w:val="003D0951"/>
    <w:rsid w:val="003D0963"/>
    <w:rsid w:val="003D09F3"/>
    <w:rsid w:val="003D0A49"/>
    <w:rsid w:val="003D0A53"/>
    <w:rsid w:val="003D0A63"/>
    <w:rsid w:val="003D0A77"/>
    <w:rsid w:val="003D0B7D"/>
    <w:rsid w:val="003D0B80"/>
    <w:rsid w:val="003D0BDC"/>
    <w:rsid w:val="003D0C7F"/>
    <w:rsid w:val="003D0CC3"/>
    <w:rsid w:val="003D0CC8"/>
    <w:rsid w:val="003D0CFF"/>
    <w:rsid w:val="003D0D57"/>
    <w:rsid w:val="003D0D5C"/>
    <w:rsid w:val="003D0D72"/>
    <w:rsid w:val="003D0D85"/>
    <w:rsid w:val="003D0DE9"/>
    <w:rsid w:val="003D0DF2"/>
    <w:rsid w:val="003D0DF4"/>
    <w:rsid w:val="003D0ED7"/>
    <w:rsid w:val="003D0FCB"/>
    <w:rsid w:val="003D1033"/>
    <w:rsid w:val="003D105A"/>
    <w:rsid w:val="003D1094"/>
    <w:rsid w:val="003D10A2"/>
    <w:rsid w:val="003D10D8"/>
    <w:rsid w:val="003D10E6"/>
    <w:rsid w:val="003D1105"/>
    <w:rsid w:val="003D1172"/>
    <w:rsid w:val="003D11DB"/>
    <w:rsid w:val="003D11FA"/>
    <w:rsid w:val="003D1236"/>
    <w:rsid w:val="003D1266"/>
    <w:rsid w:val="003D1297"/>
    <w:rsid w:val="003D12D2"/>
    <w:rsid w:val="003D1320"/>
    <w:rsid w:val="003D1348"/>
    <w:rsid w:val="003D13A6"/>
    <w:rsid w:val="003D13E4"/>
    <w:rsid w:val="003D13F9"/>
    <w:rsid w:val="003D14BB"/>
    <w:rsid w:val="003D1622"/>
    <w:rsid w:val="003D1633"/>
    <w:rsid w:val="003D165E"/>
    <w:rsid w:val="003D1670"/>
    <w:rsid w:val="003D167E"/>
    <w:rsid w:val="003D1733"/>
    <w:rsid w:val="003D17C3"/>
    <w:rsid w:val="003D17EA"/>
    <w:rsid w:val="003D187D"/>
    <w:rsid w:val="003D1915"/>
    <w:rsid w:val="003D1922"/>
    <w:rsid w:val="003D1985"/>
    <w:rsid w:val="003D1A07"/>
    <w:rsid w:val="003D1A82"/>
    <w:rsid w:val="003D1A8D"/>
    <w:rsid w:val="003D1AB8"/>
    <w:rsid w:val="003D1ABD"/>
    <w:rsid w:val="003D1B19"/>
    <w:rsid w:val="003D1BA8"/>
    <w:rsid w:val="003D1BBA"/>
    <w:rsid w:val="003D1C4B"/>
    <w:rsid w:val="003D1C4F"/>
    <w:rsid w:val="003D1C6C"/>
    <w:rsid w:val="003D1C6E"/>
    <w:rsid w:val="003D1C7D"/>
    <w:rsid w:val="003D1C9F"/>
    <w:rsid w:val="003D1D01"/>
    <w:rsid w:val="003D1D32"/>
    <w:rsid w:val="003D1D3E"/>
    <w:rsid w:val="003D1D91"/>
    <w:rsid w:val="003D1DE7"/>
    <w:rsid w:val="003D1DFF"/>
    <w:rsid w:val="003D1E00"/>
    <w:rsid w:val="003D1E68"/>
    <w:rsid w:val="003D1EB0"/>
    <w:rsid w:val="003D1EC5"/>
    <w:rsid w:val="003D1ECB"/>
    <w:rsid w:val="003D1F4C"/>
    <w:rsid w:val="003D1F66"/>
    <w:rsid w:val="003D1FA9"/>
    <w:rsid w:val="003D1FB3"/>
    <w:rsid w:val="003D1FC6"/>
    <w:rsid w:val="003D1FE0"/>
    <w:rsid w:val="003D202B"/>
    <w:rsid w:val="003D20A6"/>
    <w:rsid w:val="003D20AE"/>
    <w:rsid w:val="003D20C4"/>
    <w:rsid w:val="003D20E1"/>
    <w:rsid w:val="003D20F7"/>
    <w:rsid w:val="003D2106"/>
    <w:rsid w:val="003D211A"/>
    <w:rsid w:val="003D219B"/>
    <w:rsid w:val="003D219E"/>
    <w:rsid w:val="003D21D7"/>
    <w:rsid w:val="003D2237"/>
    <w:rsid w:val="003D2253"/>
    <w:rsid w:val="003D226B"/>
    <w:rsid w:val="003D2322"/>
    <w:rsid w:val="003D236B"/>
    <w:rsid w:val="003D236F"/>
    <w:rsid w:val="003D2385"/>
    <w:rsid w:val="003D23B1"/>
    <w:rsid w:val="003D23D2"/>
    <w:rsid w:val="003D2401"/>
    <w:rsid w:val="003D241F"/>
    <w:rsid w:val="003D242A"/>
    <w:rsid w:val="003D2468"/>
    <w:rsid w:val="003D24A0"/>
    <w:rsid w:val="003D24AA"/>
    <w:rsid w:val="003D24F3"/>
    <w:rsid w:val="003D2516"/>
    <w:rsid w:val="003D2579"/>
    <w:rsid w:val="003D25E5"/>
    <w:rsid w:val="003D2605"/>
    <w:rsid w:val="003D266D"/>
    <w:rsid w:val="003D268E"/>
    <w:rsid w:val="003D26A0"/>
    <w:rsid w:val="003D26C2"/>
    <w:rsid w:val="003D26D6"/>
    <w:rsid w:val="003D272F"/>
    <w:rsid w:val="003D2744"/>
    <w:rsid w:val="003D2754"/>
    <w:rsid w:val="003D2766"/>
    <w:rsid w:val="003D27AD"/>
    <w:rsid w:val="003D27E1"/>
    <w:rsid w:val="003D2811"/>
    <w:rsid w:val="003D2839"/>
    <w:rsid w:val="003D28C4"/>
    <w:rsid w:val="003D28C6"/>
    <w:rsid w:val="003D28FF"/>
    <w:rsid w:val="003D291F"/>
    <w:rsid w:val="003D2923"/>
    <w:rsid w:val="003D2927"/>
    <w:rsid w:val="003D29A7"/>
    <w:rsid w:val="003D29C5"/>
    <w:rsid w:val="003D2A1A"/>
    <w:rsid w:val="003D2A40"/>
    <w:rsid w:val="003D2AD9"/>
    <w:rsid w:val="003D2B1D"/>
    <w:rsid w:val="003D2B7C"/>
    <w:rsid w:val="003D2C03"/>
    <w:rsid w:val="003D2C18"/>
    <w:rsid w:val="003D2CA1"/>
    <w:rsid w:val="003D2CD4"/>
    <w:rsid w:val="003D2CEB"/>
    <w:rsid w:val="003D2CF6"/>
    <w:rsid w:val="003D2D22"/>
    <w:rsid w:val="003D2D47"/>
    <w:rsid w:val="003D2D69"/>
    <w:rsid w:val="003D2D73"/>
    <w:rsid w:val="003D2E1D"/>
    <w:rsid w:val="003D2E5A"/>
    <w:rsid w:val="003D2EA5"/>
    <w:rsid w:val="003D2EDD"/>
    <w:rsid w:val="003D2F14"/>
    <w:rsid w:val="003D2F61"/>
    <w:rsid w:val="003D2F6A"/>
    <w:rsid w:val="003D2F93"/>
    <w:rsid w:val="003D2FCA"/>
    <w:rsid w:val="003D304F"/>
    <w:rsid w:val="003D3054"/>
    <w:rsid w:val="003D3080"/>
    <w:rsid w:val="003D30D2"/>
    <w:rsid w:val="003D312F"/>
    <w:rsid w:val="003D315B"/>
    <w:rsid w:val="003D31EE"/>
    <w:rsid w:val="003D3202"/>
    <w:rsid w:val="003D3230"/>
    <w:rsid w:val="003D3255"/>
    <w:rsid w:val="003D3268"/>
    <w:rsid w:val="003D328C"/>
    <w:rsid w:val="003D32DB"/>
    <w:rsid w:val="003D3316"/>
    <w:rsid w:val="003D3327"/>
    <w:rsid w:val="003D3349"/>
    <w:rsid w:val="003D3394"/>
    <w:rsid w:val="003D3415"/>
    <w:rsid w:val="003D342A"/>
    <w:rsid w:val="003D34A1"/>
    <w:rsid w:val="003D34C4"/>
    <w:rsid w:val="003D3521"/>
    <w:rsid w:val="003D353F"/>
    <w:rsid w:val="003D359F"/>
    <w:rsid w:val="003D36AB"/>
    <w:rsid w:val="003D3745"/>
    <w:rsid w:val="003D379C"/>
    <w:rsid w:val="003D37A9"/>
    <w:rsid w:val="003D37C2"/>
    <w:rsid w:val="003D3809"/>
    <w:rsid w:val="003D3818"/>
    <w:rsid w:val="003D3819"/>
    <w:rsid w:val="003D385E"/>
    <w:rsid w:val="003D3861"/>
    <w:rsid w:val="003D3902"/>
    <w:rsid w:val="003D394C"/>
    <w:rsid w:val="003D3970"/>
    <w:rsid w:val="003D3A06"/>
    <w:rsid w:val="003D3A52"/>
    <w:rsid w:val="003D3A58"/>
    <w:rsid w:val="003D3A66"/>
    <w:rsid w:val="003D3AF2"/>
    <w:rsid w:val="003D3B1E"/>
    <w:rsid w:val="003D3B42"/>
    <w:rsid w:val="003D3B43"/>
    <w:rsid w:val="003D3B5E"/>
    <w:rsid w:val="003D3C50"/>
    <w:rsid w:val="003D3C76"/>
    <w:rsid w:val="003D3CA0"/>
    <w:rsid w:val="003D3CD1"/>
    <w:rsid w:val="003D3D55"/>
    <w:rsid w:val="003D3D5F"/>
    <w:rsid w:val="003D3D63"/>
    <w:rsid w:val="003D3DC2"/>
    <w:rsid w:val="003D3DD4"/>
    <w:rsid w:val="003D3E80"/>
    <w:rsid w:val="003D3E91"/>
    <w:rsid w:val="003D3EC9"/>
    <w:rsid w:val="003D3FBC"/>
    <w:rsid w:val="003D3FDA"/>
    <w:rsid w:val="003D3FDC"/>
    <w:rsid w:val="003D3FE9"/>
    <w:rsid w:val="003D4043"/>
    <w:rsid w:val="003D4097"/>
    <w:rsid w:val="003D409D"/>
    <w:rsid w:val="003D40AB"/>
    <w:rsid w:val="003D40CF"/>
    <w:rsid w:val="003D4111"/>
    <w:rsid w:val="003D4119"/>
    <w:rsid w:val="003D411B"/>
    <w:rsid w:val="003D4125"/>
    <w:rsid w:val="003D417B"/>
    <w:rsid w:val="003D41D2"/>
    <w:rsid w:val="003D4221"/>
    <w:rsid w:val="003D4227"/>
    <w:rsid w:val="003D424B"/>
    <w:rsid w:val="003D424E"/>
    <w:rsid w:val="003D427B"/>
    <w:rsid w:val="003D4295"/>
    <w:rsid w:val="003D42CE"/>
    <w:rsid w:val="003D431B"/>
    <w:rsid w:val="003D4398"/>
    <w:rsid w:val="003D43BD"/>
    <w:rsid w:val="003D4443"/>
    <w:rsid w:val="003D4451"/>
    <w:rsid w:val="003D44C5"/>
    <w:rsid w:val="003D451E"/>
    <w:rsid w:val="003D45DA"/>
    <w:rsid w:val="003D45F1"/>
    <w:rsid w:val="003D4617"/>
    <w:rsid w:val="003D464D"/>
    <w:rsid w:val="003D4678"/>
    <w:rsid w:val="003D4693"/>
    <w:rsid w:val="003D46D9"/>
    <w:rsid w:val="003D46E0"/>
    <w:rsid w:val="003D47DA"/>
    <w:rsid w:val="003D4823"/>
    <w:rsid w:val="003D4826"/>
    <w:rsid w:val="003D486F"/>
    <w:rsid w:val="003D4876"/>
    <w:rsid w:val="003D4898"/>
    <w:rsid w:val="003D48B4"/>
    <w:rsid w:val="003D4911"/>
    <w:rsid w:val="003D4A4F"/>
    <w:rsid w:val="003D4A5E"/>
    <w:rsid w:val="003D4AF6"/>
    <w:rsid w:val="003D4B1F"/>
    <w:rsid w:val="003D4B4F"/>
    <w:rsid w:val="003D4B5D"/>
    <w:rsid w:val="003D4B78"/>
    <w:rsid w:val="003D4C04"/>
    <w:rsid w:val="003D4C39"/>
    <w:rsid w:val="003D4C8F"/>
    <w:rsid w:val="003D4CDB"/>
    <w:rsid w:val="003D4D37"/>
    <w:rsid w:val="003D4D38"/>
    <w:rsid w:val="003D4DBF"/>
    <w:rsid w:val="003D4E2E"/>
    <w:rsid w:val="003D4E73"/>
    <w:rsid w:val="003D4E79"/>
    <w:rsid w:val="003D4EB3"/>
    <w:rsid w:val="003D4EC9"/>
    <w:rsid w:val="003D4ED3"/>
    <w:rsid w:val="003D4F0D"/>
    <w:rsid w:val="003D4F15"/>
    <w:rsid w:val="003D4F76"/>
    <w:rsid w:val="003D4FAA"/>
    <w:rsid w:val="003D5056"/>
    <w:rsid w:val="003D50F4"/>
    <w:rsid w:val="003D5125"/>
    <w:rsid w:val="003D5146"/>
    <w:rsid w:val="003D51B5"/>
    <w:rsid w:val="003D5217"/>
    <w:rsid w:val="003D524C"/>
    <w:rsid w:val="003D530D"/>
    <w:rsid w:val="003D5312"/>
    <w:rsid w:val="003D5326"/>
    <w:rsid w:val="003D5390"/>
    <w:rsid w:val="003D53EF"/>
    <w:rsid w:val="003D5448"/>
    <w:rsid w:val="003D5460"/>
    <w:rsid w:val="003D5486"/>
    <w:rsid w:val="003D54FD"/>
    <w:rsid w:val="003D55C0"/>
    <w:rsid w:val="003D55D1"/>
    <w:rsid w:val="003D55F3"/>
    <w:rsid w:val="003D566A"/>
    <w:rsid w:val="003D5726"/>
    <w:rsid w:val="003D57C9"/>
    <w:rsid w:val="003D57D0"/>
    <w:rsid w:val="003D5801"/>
    <w:rsid w:val="003D5845"/>
    <w:rsid w:val="003D5889"/>
    <w:rsid w:val="003D5891"/>
    <w:rsid w:val="003D589B"/>
    <w:rsid w:val="003D58F5"/>
    <w:rsid w:val="003D58FD"/>
    <w:rsid w:val="003D5A48"/>
    <w:rsid w:val="003D5A4B"/>
    <w:rsid w:val="003D5A68"/>
    <w:rsid w:val="003D5A77"/>
    <w:rsid w:val="003D5A83"/>
    <w:rsid w:val="003D5AAC"/>
    <w:rsid w:val="003D5AAD"/>
    <w:rsid w:val="003D5AC5"/>
    <w:rsid w:val="003D5AD3"/>
    <w:rsid w:val="003D5B09"/>
    <w:rsid w:val="003D5B75"/>
    <w:rsid w:val="003D5C57"/>
    <w:rsid w:val="003D5D1B"/>
    <w:rsid w:val="003D5D3F"/>
    <w:rsid w:val="003D5DB5"/>
    <w:rsid w:val="003D5DE4"/>
    <w:rsid w:val="003D5E17"/>
    <w:rsid w:val="003D5E57"/>
    <w:rsid w:val="003D5E67"/>
    <w:rsid w:val="003D5EB9"/>
    <w:rsid w:val="003D5F42"/>
    <w:rsid w:val="003D5F66"/>
    <w:rsid w:val="003D5F7D"/>
    <w:rsid w:val="003D5FB0"/>
    <w:rsid w:val="003D5FB9"/>
    <w:rsid w:val="003D5FC8"/>
    <w:rsid w:val="003D6027"/>
    <w:rsid w:val="003D6060"/>
    <w:rsid w:val="003D6092"/>
    <w:rsid w:val="003D6097"/>
    <w:rsid w:val="003D611A"/>
    <w:rsid w:val="003D6155"/>
    <w:rsid w:val="003D6209"/>
    <w:rsid w:val="003D620B"/>
    <w:rsid w:val="003D621F"/>
    <w:rsid w:val="003D623D"/>
    <w:rsid w:val="003D627D"/>
    <w:rsid w:val="003D62AD"/>
    <w:rsid w:val="003D635D"/>
    <w:rsid w:val="003D638E"/>
    <w:rsid w:val="003D6407"/>
    <w:rsid w:val="003D6425"/>
    <w:rsid w:val="003D6456"/>
    <w:rsid w:val="003D6475"/>
    <w:rsid w:val="003D6494"/>
    <w:rsid w:val="003D653B"/>
    <w:rsid w:val="003D655F"/>
    <w:rsid w:val="003D656A"/>
    <w:rsid w:val="003D6577"/>
    <w:rsid w:val="003D65A9"/>
    <w:rsid w:val="003D661E"/>
    <w:rsid w:val="003D6647"/>
    <w:rsid w:val="003D6667"/>
    <w:rsid w:val="003D66E7"/>
    <w:rsid w:val="003D672B"/>
    <w:rsid w:val="003D6748"/>
    <w:rsid w:val="003D6817"/>
    <w:rsid w:val="003D6841"/>
    <w:rsid w:val="003D688B"/>
    <w:rsid w:val="003D68A9"/>
    <w:rsid w:val="003D6928"/>
    <w:rsid w:val="003D692C"/>
    <w:rsid w:val="003D6931"/>
    <w:rsid w:val="003D698E"/>
    <w:rsid w:val="003D6990"/>
    <w:rsid w:val="003D699A"/>
    <w:rsid w:val="003D69FB"/>
    <w:rsid w:val="003D6A5E"/>
    <w:rsid w:val="003D6AD6"/>
    <w:rsid w:val="003D6ADF"/>
    <w:rsid w:val="003D6B08"/>
    <w:rsid w:val="003D6B2C"/>
    <w:rsid w:val="003D6B51"/>
    <w:rsid w:val="003D6B63"/>
    <w:rsid w:val="003D6BAF"/>
    <w:rsid w:val="003D6BC3"/>
    <w:rsid w:val="003D6C71"/>
    <w:rsid w:val="003D6CA9"/>
    <w:rsid w:val="003D6CBF"/>
    <w:rsid w:val="003D6CCD"/>
    <w:rsid w:val="003D6D9B"/>
    <w:rsid w:val="003D6DF7"/>
    <w:rsid w:val="003D6E24"/>
    <w:rsid w:val="003D6E48"/>
    <w:rsid w:val="003D6E8B"/>
    <w:rsid w:val="003D6F37"/>
    <w:rsid w:val="003D6F48"/>
    <w:rsid w:val="003D6F5B"/>
    <w:rsid w:val="003D6F73"/>
    <w:rsid w:val="003D6FF0"/>
    <w:rsid w:val="003D6FF5"/>
    <w:rsid w:val="003D7045"/>
    <w:rsid w:val="003D7081"/>
    <w:rsid w:val="003D7175"/>
    <w:rsid w:val="003D7176"/>
    <w:rsid w:val="003D7186"/>
    <w:rsid w:val="003D71A4"/>
    <w:rsid w:val="003D71E0"/>
    <w:rsid w:val="003D7242"/>
    <w:rsid w:val="003D7262"/>
    <w:rsid w:val="003D7269"/>
    <w:rsid w:val="003D72ED"/>
    <w:rsid w:val="003D7353"/>
    <w:rsid w:val="003D7368"/>
    <w:rsid w:val="003D7400"/>
    <w:rsid w:val="003D744F"/>
    <w:rsid w:val="003D74F5"/>
    <w:rsid w:val="003D7505"/>
    <w:rsid w:val="003D7507"/>
    <w:rsid w:val="003D75E9"/>
    <w:rsid w:val="003D760B"/>
    <w:rsid w:val="003D76D6"/>
    <w:rsid w:val="003D76DD"/>
    <w:rsid w:val="003D7762"/>
    <w:rsid w:val="003D785E"/>
    <w:rsid w:val="003D792C"/>
    <w:rsid w:val="003D792D"/>
    <w:rsid w:val="003D7931"/>
    <w:rsid w:val="003D7971"/>
    <w:rsid w:val="003D7997"/>
    <w:rsid w:val="003D79FE"/>
    <w:rsid w:val="003D7A5B"/>
    <w:rsid w:val="003D7A63"/>
    <w:rsid w:val="003D7A6C"/>
    <w:rsid w:val="003D7A72"/>
    <w:rsid w:val="003D7A84"/>
    <w:rsid w:val="003D7A90"/>
    <w:rsid w:val="003D7A9B"/>
    <w:rsid w:val="003D7AB7"/>
    <w:rsid w:val="003D7AC9"/>
    <w:rsid w:val="003D7B81"/>
    <w:rsid w:val="003D7BCA"/>
    <w:rsid w:val="003D7C23"/>
    <w:rsid w:val="003D7CB3"/>
    <w:rsid w:val="003D7CE9"/>
    <w:rsid w:val="003D7DA7"/>
    <w:rsid w:val="003D7F22"/>
    <w:rsid w:val="003D7F5A"/>
    <w:rsid w:val="003D7F5F"/>
    <w:rsid w:val="003D7F72"/>
    <w:rsid w:val="003D7FB9"/>
    <w:rsid w:val="003D7FC9"/>
    <w:rsid w:val="003E0006"/>
    <w:rsid w:val="003E003C"/>
    <w:rsid w:val="003E005C"/>
    <w:rsid w:val="003E00AA"/>
    <w:rsid w:val="003E00AF"/>
    <w:rsid w:val="003E0106"/>
    <w:rsid w:val="003E014C"/>
    <w:rsid w:val="003E0158"/>
    <w:rsid w:val="003E0167"/>
    <w:rsid w:val="003E01B8"/>
    <w:rsid w:val="003E01C2"/>
    <w:rsid w:val="003E020F"/>
    <w:rsid w:val="003E023D"/>
    <w:rsid w:val="003E0275"/>
    <w:rsid w:val="003E0278"/>
    <w:rsid w:val="003E02BC"/>
    <w:rsid w:val="003E0381"/>
    <w:rsid w:val="003E03C0"/>
    <w:rsid w:val="003E0407"/>
    <w:rsid w:val="003E0417"/>
    <w:rsid w:val="003E0477"/>
    <w:rsid w:val="003E04C9"/>
    <w:rsid w:val="003E0511"/>
    <w:rsid w:val="003E051E"/>
    <w:rsid w:val="003E056B"/>
    <w:rsid w:val="003E0574"/>
    <w:rsid w:val="003E06D2"/>
    <w:rsid w:val="003E06EA"/>
    <w:rsid w:val="003E0752"/>
    <w:rsid w:val="003E07A2"/>
    <w:rsid w:val="003E07A5"/>
    <w:rsid w:val="003E07BA"/>
    <w:rsid w:val="003E07D3"/>
    <w:rsid w:val="003E0827"/>
    <w:rsid w:val="003E0884"/>
    <w:rsid w:val="003E0894"/>
    <w:rsid w:val="003E08A4"/>
    <w:rsid w:val="003E092A"/>
    <w:rsid w:val="003E09AD"/>
    <w:rsid w:val="003E0A0E"/>
    <w:rsid w:val="003E0A10"/>
    <w:rsid w:val="003E0B5E"/>
    <w:rsid w:val="003E0B62"/>
    <w:rsid w:val="003E0B86"/>
    <w:rsid w:val="003E0BD8"/>
    <w:rsid w:val="003E0BEB"/>
    <w:rsid w:val="003E0C4C"/>
    <w:rsid w:val="003E0C53"/>
    <w:rsid w:val="003E0C64"/>
    <w:rsid w:val="003E0C67"/>
    <w:rsid w:val="003E0E04"/>
    <w:rsid w:val="003E0E38"/>
    <w:rsid w:val="003E0EEF"/>
    <w:rsid w:val="003E0F1A"/>
    <w:rsid w:val="003E0F5D"/>
    <w:rsid w:val="003E0F63"/>
    <w:rsid w:val="003E0FBB"/>
    <w:rsid w:val="003E0FCF"/>
    <w:rsid w:val="003E0FE3"/>
    <w:rsid w:val="003E104E"/>
    <w:rsid w:val="003E1062"/>
    <w:rsid w:val="003E109E"/>
    <w:rsid w:val="003E111E"/>
    <w:rsid w:val="003E1141"/>
    <w:rsid w:val="003E11F7"/>
    <w:rsid w:val="003E11FB"/>
    <w:rsid w:val="003E1242"/>
    <w:rsid w:val="003E1278"/>
    <w:rsid w:val="003E1299"/>
    <w:rsid w:val="003E1345"/>
    <w:rsid w:val="003E134A"/>
    <w:rsid w:val="003E1370"/>
    <w:rsid w:val="003E13BD"/>
    <w:rsid w:val="003E13EF"/>
    <w:rsid w:val="003E1439"/>
    <w:rsid w:val="003E1449"/>
    <w:rsid w:val="003E144A"/>
    <w:rsid w:val="003E14E4"/>
    <w:rsid w:val="003E1507"/>
    <w:rsid w:val="003E1544"/>
    <w:rsid w:val="003E163F"/>
    <w:rsid w:val="003E167E"/>
    <w:rsid w:val="003E16B6"/>
    <w:rsid w:val="003E176F"/>
    <w:rsid w:val="003E178B"/>
    <w:rsid w:val="003E17B9"/>
    <w:rsid w:val="003E1804"/>
    <w:rsid w:val="003E1818"/>
    <w:rsid w:val="003E18B0"/>
    <w:rsid w:val="003E1948"/>
    <w:rsid w:val="003E19CB"/>
    <w:rsid w:val="003E1AA2"/>
    <w:rsid w:val="003E1B2B"/>
    <w:rsid w:val="003E1B39"/>
    <w:rsid w:val="003E1B98"/>
    <w:rsid w:val="003E1BCF"/>
    <w:rsid w:val="003E1C2E"/>
    <w:rsid w:val="003E1C4A"/>
    <w:rsid w:val="003E1CAE"/>
    <w:rsid w:val="003E1CD7"/>
    <w:rsid w:val="003E1CFE"/>
    <w:rsid w:val="003E1D12"/>
    <w:rsid w:val="003E1D43"/>
    <w:rsid w:val="003E1D50"/>
    <w:rsid w:val="003E1D9D"/>
    <w:rsid w:val="003E1DA3"/>
    <w:rsid w:val="003E1DF5"/>
    <w:rsid w:val="003E1E4A"/>
    <w:rsid w:val="003E1E60"/>
    <w:rsid w:val="003E1EAE"/>
    <w:rsid w:val="003E1EF4"/>
    <w:rsid w:val="003E1F3E"/>
    <w:rsid w:val="003E1F80"/>
    <w:rsid w:val="003E1F93"/>
    <w:rsid w:val="003E1FA7"/>
    <w:rsid w:val="003E1FEA"/>
    <w:rsid w:val="003E207C"/>
    <w:rsid w:val="003E20D6"/>
    <w:rsid w:val="003E20D8"/>
    <w:rsid w:val="003E20EB"/>
    <w:rsid w:val="003E210C"/>
    <w:rsid w:val="003E214A"/>
    <w:rsid w:val="003E2158"/>
    <w:rsid w:val="003E2161"/>
    <w:rsid w:val="003E217E"/>
    <w:rsid w:val="003E218B"/>
    <w:rsid w:val="003E21B3"/>
    <w:rsid w:val="003E21C2"/>
    <w:rsid w:val="003E21DE"/>
    <w:rsid w:val="003E21E2"/>
    <w:rsid w:val="003E2236"/>
    <w:rsid w:val="003E223A"/>
    <w:rsid w:val="003E22BA"/>
    <w:rsid w:val="003E23BB"/>
    <w:rsid w:val="003E24B9"/>
    <w:rsid w:val="003E24EA"/>
    <w:rsid w:val="003E25A1"/>
    <w:rsid w:val="003E25B0"/>
    <w:rsid w:val="003E25D3"/>
    <w:rsid w:val="003E261E"/>
    <w:rsid w:val="003E267A"/>
    <w:rsid w:val="003E26C7"/>
    <w:rsid w:val="003E26D1"/>
    <w:rsid w:val="003E2870"/>
    <w:rsid w:val="003E28CC"/>
    <w:rsid w:val="003E28D2"/>
    <w:rsid w:val="003E29E6"/>
    <w:rsid w:val="003E2A00"/>
    <w:rsid w:val="003E2A1B"/>
    <w:rsid w:val="003E2A44"/>
    <w:rsid w:val="003E2A7E"/>
    <w:rsid w:val="003E2A9F"/>
    <w:rsid w:val="003E2AB4"/>
    <w:rsid w:val="003E2AC5"/>
    <w:rsid w:val="003E2B0A"/>
    <w:rsid w:val="003E2B97"/>
    <w:rsid w:val="003E2BDC"/>
    <w:rsid w:val="003E2C28"/>
    <w:rsid w:val="003E2CF4"/>
    <w:rsid w:val="003E2D3A"/>
    <w:rsid w:val="003E2DBB"/>
    <w:rsid w:val="003E2E1C"/>
    <w:rsid w:val="003E2EC0"/>
    <w:rsid w:val="003E2ED7"/>
    <w:rsid w:val="003E2EDF"/>
    <w:rsid w:val="003E2EEC"/>
    <w:rsid w:val="003E2EF9"/>
    <w:rsid w:val="003E2FAF"/>
    <w:rsid w:val="003E2FBB"/>
    <w:rsid w:val="003E2FD4"/>
    <w:rsid w:val="003E2FDE"/>
    <w:rsid w:val="003E2FFF"/>
    <w:rsid w:val="003E3008"/>
    <w:rsid w:val="003E3011"/>
    <w:rsid w:val="003E30B1"/>
    <w:rsid w:val="003E30C8"/>
    <w:rsid w:val="003E30D5"/>
    <w:rsid w:val="003E30F1"/>
    <w:rsid w:val="003E313E"/>
    <w:rsid w:val="003E31E7"/>
    <w:rsid w:val="003E3217"/>
    <w:rsid w:val="003E3272"/>
    <w:rsid w:val="003E3291"/>
    <w:rsid w:val="003E334A"/>
    <w:rsid w:val="003E341E"/>
    <w:rsid w:val="003E343D"/>
    <w:rsid w:val="003E3497"/>
    <w:rsid w:val="003E355F"/>
    <w:rsid w:val="003E35EA"/>
    <w:rsid w:val="003E3631"/>
    <w:rsid w:val="003E36B1"/>
    <w:rsid w:val="003E3713"/>
    <w:rsid w:val="003E372A"/>
    <w:rsid w:val="003E3778"/>
    <w:rsid w:val="003E3781"/>
    <w:rsid w:val="003E3796"/>
    <w:rsid w:val="003E37C9"/>
    <w:rsid w:val="003E380E"/>
    <w:rsid w:val="003E3813"/>
    <w:rsid w:val="003E3816"/>
    <w:rsid w:val="003E381F"/>
    <w:rsid w:val="003E3829"/>
    <w:rsid w:val="003E3891"/>
    <w:rsid w:val="003E393A"/>
    <w:rsid w:val="003E395C"/>
    <w:rsid w:val="003E39D9"/>
    <w:rsid w:val="003E3A45"/>
    <w:rsid w:val="003E3A6C"/>
    <w:rsid w:val="003E3AC3"/>
    <w:rsid w:val="003E3B18"/>
    <w:rsid w:val="003E3B52"/>
    <w:rsid w:val="003E3B81"/>
    <w:rsid w:val="003E3B87"/>
    <w:rsid w:val="003E3BB2"/>
    <w:rsid w:val="003E3BC6"/>
    <w:rsid w:val="003E3C06"/>
    <w:rsid w:val="003E3C4D"/>
    <w:rsid w:val="003E3DC1"/>
    <w:rsid w:val="003E3E00"/>
    <w:rsid w:val="003E3E39"/>
    <w:rsid w:val="003E3EE6"/>
    <w:rsid w:val="003E3F1B"/>
    <w:rsid w:val="003E3FD9"/>
    <w:rsid w:val="003E4018"/>
    <w:rsid w:val="003E401D"/>
    <w:rsid w:val="003E4090"/>
    <w:rsid w:val="003E40A5"/>
    <w:rsid w:val="003E415D"/>
    <w:rsid w:val="003E416D"/>
    <w:rsid w:val="003E418D"/>
    <w:rsid w:val="003E4216"/>
    <w:rsid w:val="003E4271"/>
    <w:rsid w:val="003E4289"/>
    <w:rsid w:val="003E42AA"/>
    <w:rsid w:val="003E4305"/>
    <w:rsid w:val="003E4353"/>
    <w:rsid w:val="003E43F4"/>
    <w:rsid w:val="003E43F9"/>
    <w:rsid w:val="003E4418"/>
    <w:rsid w:val="003E4433"/>
    <w:rsid w:val="003E4443"/>
    <w:rsid w:val="003E44FE"/>
    <w:rsid w:val="003E4525"/>
    <w:rsid w:val="003E453B"/>
    <w:rsid w:val="003E45BD"/>
    <w:rsid w:val="003E45EB"/>
    <w:rsid w:val="003E465B"/>
    <w:rsid w:val="003E469D"/>
    <w:rsid w:val="003E46B1"/>
    <w:rsid w:val="003E46BF"/>
    <w:rsid w:val="003E46EE"/>
    <w:rsid w:val="003E474C"/>
    <w:rsid w:val="003E4765"/>
    <w:rsid w:val="003E478B"/>
    <w:rsid w:val="003E47B9"/>
    <w:rsid w:val="003E47D5"/>
    <w:rsid w:val="003E47E1"/>
    <w:rsid w:val="003E47EB"/>
    <w:rsid w:val="003E4808"/>
    <w:rsid w:val="003E480A"/>
    <w:rsid w:val="003E480C"/>
    <w:rsid w:val="003E4810"/>
    <w:rsid w:val="003E4865"/>
    <w:rsid w:val="003E491D"/>
    <w:rsid w:val="003E49E2"/>
    <w:rsid w:val="003E49EF"/>
    <w:rsid w:val="003E4A1E"/>
    <w:rsid w:val="003E4A83"/>
    <w:rsid w:val="003E4AF3"/>
    <w:rsid w:val="003E4B7D"/>
    <w:rsid w:val="003E4BBF"/>
    <w:rsid w:val="003E4BC9"/>
    <w:rsid w:val="003E4C28"/>
    <w:rsid w:val="003E4C40"/>
    <w:rsid w:val="003E4C77"/>
    <w:rsid w:val="003E4CBD"/>
    <w:rsid w:val="003E4D87"/>
    <w:rsid w:val="003E4ED6"/>
    <w:rsid w:val="003E4F4A"/>
    <w:rsid w:val="003E4F53"/>
    <w:rsid w:val="003E508A"/>
    <w:rsid w:val="003E509C"/>
    <w:rsid w:val="003E50B7"/>
    <w:rsid w:val="003E511A"/>
    <w:rsid w:val="003E514A"/>
    <w:rsid w:val="003E514F"/>
    <w:rsid w:val="003E515A"/>
    <w:rsid w:val="003E5190"/>
    <w:rsid w:val="003E51DB"/>
    <w:rsid w:val="003E521A"/>
    <w:rsid w:val="003E52A2"/>
    <w:rsid w:val="003E52A9"/>
    <w:rsid w:val="003E52CE"/>
    <w:rsid w:val="003E530D"/>
    <w:rsid w:val="003E530F"/>
    <w:rsid w:val="003E5327"/>
    <w:rsid w:val="003E5329"/>
    <w:rsid w:val="003E5336"/>
    <w:rsid w:val="003E53A4"/>
    <w:rsid w:val="003E53AD"/>
    <w:rsid w:val="003E540C"/>
    <w:rsid w:val="003E54AB"/>
    <w:rsid w:val="003E54D8"/>
    <w:rsid w:val="003E54FC"/>
    <w:rsid w:val="003E5505"/>
    <w:rsid w:val="003E550E"/>
    <w:rsid w:val="003E551C"/>
    <w:rsid w:val="003E5528"/>
    <w:rsid w:val="003E557C"/>
    <w:rsid w:val="003E5635"/>
    <w:rsid w:val="003E5668"/>
    <w:rsid w:val="003E56D7"/>
    <w:rsid w:val="003E571F"/>
    <w:rsid w:val="003E5723"/>
    <w:rsid w:val="003E5752"/>
    <w:rsid w:val="003E576D"/>
    <w:rsid w:val="003E576F"/>
    <w:rsid w:val="003E57AA"/>
    <w:rsid w:val="003E5849"/>
    <w:rsid w:val="003E58CF"/>
    <w:rsid w:val="003E58F4"/>
    <w:rsid w:val="003E597C"/>
    <w:rsid w:val="003E598F"/>
    <w:rsid w:val="003E59AE"/>
    <w:rsid w:val="003E59DF"/>
    <w:rsid w:val="003E59E7"/>
    <w:rsid w:val="003E5A34"/>
    <w:rsid w:val="003E5A3A"/>
    <w:rsid w:val="003E5A3F"/>
    <w:rsid w:val="003E5A82"/>
    <w:rsid w:val="003E5AA5"/>
    <w:rsid w:val="003E5ADE"/>
    <w:rsid w:val="003E5AE9"/>
    <w:rsid w:val="003E5B13"/>
    <w:rsid w:val="003E5B32"/>
    <w:rsid w:val="003E5B3A"/>
    <w:rsid w:val="003E5B4E"/>
    <w:rsid w:val="003E5B76"/>
    <w:rsid w:val="003E5B95"/>
    <w:rsid w:val="003E5BC0"/>
    <w:rsid w:val="003E5C07"/>
    <w:rsid w:val="003E5C1D"/>
    <w:rsid w:val="003E5C49"/>
    <w:rsid w:val="003E5C7E"/>
    <w:rsid w:val="003E5CA2"/>
    <w:rsid w:val="003E5CAE"/>
    <w:rsid w:val="003E5D26"/>
    <w:rsid w:val="003E5D2C"/>
    <w:rsid w:val="003E5D9A"/>
    <w:rsid w:val="003E5DAE"/>
    <w:rsid w:val="003E5DB9"/>
    <w:rsid w:val="003E5E48"/>
    <w:rsid w:val="003E5E68"/>
    <w:rsid w:val="003E5EAD"/>
    <w:rsid w:val="003E5EB1"/>
    <w:rsid w:val="003E5EE5"/>
    <w:rsid w:val="003E5F14"/>
    <w:rsid w:val="003E5F18"/>
    <w:rsid w:val="003E5F3E"/>
    <w:rsid w:val="003E5F66"/>
    <w:rsid w:val="003E5F74"/>
    <w:rsid w:val="003E5FD9"/>
    <w:rsid w:val="003E5FEC"/>
    <w:rsid w:val="003E604B"/>
    <w:rsid w:val="003E6064"/>
    <w:rsid w:val="003E607B"/>
    <w:rsid w:val="003E60AC"/>
    <w:rsid w:val="003E60C7"/>
    <w:rsid w:val="003E6295"/>
    <w:rsid w:val="003E62D5"/>
    <w:rsid w:val="003E6312"/>
    <w:rsid w:val="003E632F"/>
    <w:rsid w:val="003E6415"/>
    <w:rsid w:val="003E641C"/>
    <w:rsid w:val="003E642A"/>
    <w:rsid w:val="003E647C"/>
    <w:rsid w:val="003E6495"/>
    <w:rsid w:val="003E64A6"/>
    <w:rsid w:val="003E64BE"/>
    <w:rsid w:val="003E64F0"/>
    <w:rsid w:val="003E6505"/>
    <w:rsid w:val="003E6546"/>
    <w:rsid w:val="003E65D3"/>
    <w:rsid w:val="003E65E1"/>
    <w:rsid w:val="003E661D"/>
    <w:rsid w:val="003E663E"/>
    <w:rsid w:val="003E6683"/>
    <w:rsid w:val="003E66A8"/>
    <w:rsid w:val="003E66D4"/>
    <w:rsid w:val="003E672E"/>
    <w:rsid w:val="003E6744"/>
    <w:rsid w:val="003E674E"/>
    <w:rsid w:val="003E678B"/>
    <w:rsid w:val="003E679F"/>
    <w:rsid w:val="003E67CF"/>
    <w:rsid w:val="003E67D2"/>
    <w:rsid w:val="003E67F7"/>
    <w:rsid w:val="003E680E"/>
    <w:rsid w:val="003E6811"/>
    <w:rsid w:val="003E6856"/>
    <w:rsid w:val="003E685B"/>
    <w:rsid w:val="003E6898"/>
    <w:rsid w:val="003E6955"/>
    <w:rsid w:val="003E697D"/>
    <w:rsid w:val="003E69E5"/>
    <w:rsid w:val="003E6AC5"/>
    <w:rsid w:val="003E6AE0"/>
    <w:rsid w:val="003E6B67"/>
    <w:rsid w:val="003E6B9F"/>
    <w:rsid w:val="003E6BB1"/>
    <w:rsid w:val="003E6BC4"/>
    <w:rsid w:val="003E6C41"/>
    <w:rsid w:val="003E6CA2"/>
    <w:rsid w:val="003E6CA3"/>
    <w:rsid w:val="003E6D07"/>
    <w:rsid w:val="003E6D25"/>
    <w:rsid w:val="003E6D7C"/>
    <w:rsid w:val="003E6DBF"/>
    <w:rsid w:val="003E6DE0"/>
    <w:rsid w:val="003E6DF3"/>
    <w:rsid w:val="003E6E06"/>
    <w:rsid w:val="003E6E1B"/>
    <w:rsid w:val="003E6F30"/>
    <w:rsid w:val="003E6F42"/>
    <w:rsid w:val="003E6F68"/>
    <w:rsid w:val="003E6F87"/>
    <w:rsid w:val="003E6FFF"/>
    <w:rsid w:val="003E7008"/>
    <w:rsid w:val="003E7047"/>
    <w:rsid w:val="003E7063"/>
    <w:rsid w:val="003E708D"/>
    <w:rsid w:val="003E70B9"/>
    <w:rsid w:val="003E70F6"/>
    <w:rsid w:val="003E7105"/>
    <w:rsid w:val="003E7158"/>
    <w:rsid w:val="003E71BB"/>
    <w:rsid w:val="003E71DF"/>
    <w:rsid w:val="003E7216"/>
    <w:rsid w:val="003E7271"/>
    <w:rsid w:val="003E7288"/>
    <w:rsid w:val="003E7289"/>
    <w:rsid w:val="003E729B"/>
    <w:rsid w:val="003E72CA"/>
    <w:rsid w:val="003E72EF"/>
    <w:rsid w:val="003E7311"/>
    <w:rsid w:val="003E737E"/>
    <w:rsid w:val="003E738C"/>
    <w:rsid w:val="003E7395"/>
    <w:rsid w:val="003E73E0"/>
    <w:rsid w:val="003E73ED"/>
    <w:rsid w:val="003E740A"/>
    <w:rsid w:val="003E741E"/>
    <w:rsid w:val="003E7435"/>
    <w:rsid w:val="003E7437"/>
    <w:rsid w:val="003E7461"/>
    <w:rsid w:val="003E747D"/>
    <w:rsid w:val="003E7496"/>
    <w:rsid w:val="003E750E"/>
    <w:rsid w:val="003E75B0"/>
    <w:rsid w:val="003E75DD"/>
    <w:rsid w:val="003E75E7"/>
    <w:rsid w:val="003E75FB"/>
    <w:rsid w:val="003E7603"/>
    <w:rsid w:val="003E7635"/>
    <w:rsid w:val="003E766A"/>
    <w:rsid w:val="003E76C4"/>
    <w:rsid w:val="003E76C9"/>
    <w:rsid w:val="003E771B"/>
    <w:rsid w:val="003E7744"/>
    <w:rsid w:val="003E7757"/>
    <w:rsid w:val="003E775C"/>
    <w:rsid w:val="003E7777"/>
    <w:rsid w:val="003E77DC"/>
    <w:rsid w:val="003E781D"/>
    <w:rsid w:val="003E7836"/>
    <w:rsid w:val="003E7861"/>
    <w:rsid w:val="003E786D"/>
    <w:rsid w:val="003E787B"/>
    <w:rsid w:val="003E794F"/>
    <w:rsid w:val="003E798D"/>
    <w:rsid w:val="003E79E9"/>
    <w:rsid w:val="003E7A26"/>
    <w:rsid w:val="003E7A76"/>
    <w:rsid w:val="003E7A8C"/>
    <w:rsid w:val="003E7AAA"/>
    <w:rsid w:val="003E7AB9"/>
    <w:rsid w:val="003E7ABE"/>
    <w:rsid w:val="003E7ACB"/>
    <w:rsid w:val="003E7B28"/>
    <w:rsid w:val="003E7B6F"/>
    <w:rsid w:val="003E7B70"/>
    <w:rsid w:val="003E7B8F"/>
    <w:rsid w:val="003E7BE0"/>
    <w:rsid w:val="003E7C09"/>
    <w:rsid w:val="003E7C21"/>
    <w:rsid w:val="003E7CBD"/>
    <w:rsid w:val="003E7D4D"/>
    <w:rsid w:val="003E7EFC"/>
    <w:rsid w:val="003E7F81"/>
    <w:rsid w:val="003E7F88"/>
    <w:rsid w:val="003E7FB2"/>
    <w:rsid w:val="003E7FC7"/>
    <w:rsid w:val="003F0036"/>
    <w:rsid w:val="003F0047"/>
    <w:rsid w:val="003F00AF"/>
    <w:rsid w:val="003F00E6"/>
    <w:rsid w:val="003F0211"/>
    <w:rsid w:val="003F023A"/>
    <w:rsid w:val="003F0262"/>
    <w:rsid w:val="003F0263"/>
    <w:rsid w:val="003F02F4"/>
    <w:rsid w:val="003F02FB"/>
    <w:rsid w:val="003F0330"/>
    <w:rsid w:val="003F034F"/>
    <w:rsid w:val="003F03B9"/>
    <w:rsid w:val="003F03FF"/>
    <w:rsid w:val="003F048E"/>
    <w:rsid w:val="003F04B2"/>
    <w:rsid w:val="003F04D9"/>
    <w:rsid w:val="003F052A"/>
    <w:rsid w:val="003F0572"/>
    <w:rsid w:val="003F05AE"/>
    <w:rsid w:val="003F05B4"/>
    <w:rsid w:val="003F05BA"/>
    <w:rsid w:val="003F05F4"/>
    <w:rsid w:val="003F0636"/>
    <w:rsid w:val="003F0657"/>
    <w:rsid w:val="003F067E"/>
    <w:rsid w:val="003F068A"/>
    <w:rsid w:val="003F068E"/>
    <w:rsid w:val="003F069F"/>
    <w:rsid w:val="003F06B4"/>
    <w:rsid w:val="003F06CE"/>
    <w:rsid w:val="003F070F"/>
    <w:rsid w:val="003F0773"/>
    <w:rsid w:val="003F07D9"/>
    <w:rsid w:val="003F080C"/>
    <w:rsid w:val="003F0816"/>
    <w:rsid w:val="003F0876"/>
    <w:rsid w:val="003F0878"/>
    <w:rsid w:val="003F08B5"/>
    <w:rsid w:val="003F08E3"/>
    <w:rsid w:val="003F09C0"/>
    <w:rsid w:val="003F09F8"/>
    <w:rsid w:val="003F0A43"/>
    <w:rsid w:val="003F0A61"/>
    <w:rsid w:val="003F0AAB"/>
    <w:rsid w:val="003F0ABC"/>
    <w:rsid w:val="003F0B08"/>
    <w:rsid w:val="003F0B8F"/>
    <w:rsid w:val="003F0BF9"/>
    <w:rsid w:val="003F0C0E"/>
    <w:rsid w:val="003F0C15"/>
    <w:rsid w:val="003F0C39"/>
    <w:rsid w:val="003F0D94"/>
    <w:rsid w:val="003F0E2A"/>
    <w:rsid w:val="003F0E45"/>
    <w:rsid w:val="003F0E59"/>
    <w:rsid w:val="003F0EB9"/>
    <w:rsid w:val="003F0F4D"/>
    <w:rsid w:val="003F0F5E"/>
    <w:rsid w:val="003F0FE2"/>
    <w:rsid w:val="003F0FEC"/>
    <w:rsid w:val="003F102F"/>
    <w:rsid w:val="003F1099"/>
    <w:rsid w:val="003F1166"/>
    <w:rsid w:val="003F119E"/>
    <w:rsid w:val="003F11F4"/>
    <w:rsid w:val="003F1299"/>
    <w:rsid w:val="003F129E"/>
    <w:rsid w:val="003F12CD"/>
    <w:rsid w:val="003F137D"/>
    <w:rsid w:val="003F13FA"/>
    <w:rsid w:val="003F144B"/>
    <w:rsid w:val="003F1464"/>
    <w:rsid w:val="003F148C"/>
    <w:rsid w:val="003F1493"/>
    <w:rsid w:val="003F14B0"/>
    <w:rsid w:val="003F14C7"/>
    <w:rsid w:val="003F1503"/>
    <w:rsid w:val="003F151B"/>
    <w:rsid w:val="003F1558"/>
    <w:rsid w:val="003F163F"/>
    <w:rsid w:val="003F166F"/>
    <w:rsid w:val="003F16E9"/>
    <w:rsid w:val="003F170C"/>
    <w:rsid w:val="003F1721"/>
    <w:rsid w:val="003F1758"/>
    <w:rsid w:val="003F175A"/>
    <w:rsid w:val="003F176B"/>
    <w:rsid w:val="003F1789"/>
    <w:rsid w:val="003F17B5"/>
    <w:rsid w:val="003F17B8"/>
    <w:rsid w:val="003F17C0"/>
    <w:rsid w:val="003F17EB"/>
    <w:rsid w:val="003F180F"/>
    <w:rsid w:val="003F1811"/>
    <w:rsid w:val="003F1865"/>
    <w:rsid w:val="003F18D9"/>
    <w:rsid w:val="003F1901"/>
    <w:rsid w:val="003F1928"/>
    <w:rsid w:val="003F192E"/>
    <w:rsid w:val="003F1954"/>
    <w:rsid w:val="003F196B"/>
    <w:rsid w:val="003F1972"/>
    <w:rsid w:val="003F19AC"/>
    <w:rsid w:val="003F19AD"/>
    <w:rsid w:val="003F19C3"/>
    <w:rsid w:val="003F1A98"/>
    <w:rsid w:val="003F1AC3"/>
    <w:rsid w:val="003F1B1A"/>
    <w:rsid w:val="003F1B20"/>
    <w:rsid w:val="003F1B22"/>
    <w:rsid w:val="003F1B30"/>
    <w:rsid w:val="003F1B3B"/>
    <w:rsid w:val="003F1C53"/>
    <w:rsid w:val="003F1C5D"/>
    <w:rsid w:val="003F1C67"/>
    <w:rsid w:val="003F1CAD"/>
    <w:rsid w:val="003F1CD3"/>
    <w:rsid w:val="003F1D05"/>
    <w:rsid w:val="003F1D5A"/>
    <w:rsid w:val="003F1E1B"/>
    <w:rsid w:val="003F1E41"/>
    <w:rsid w:val="003F1E6A"/>
    <w:rsid w:val="003F1E77"/>
    <w:rsid w:val="003F1EB6"/>
    <w:rsid w:val="003F1EF0"/>
    <w:rsid w:val="003F1F09"/>
    <w:rsid w:val="003F1F14"/>
    <w:rsid w:val="003F1F53"/>
    <w:rsid w:val="003F1F86"/>
    <w:rsid w:val="003F1FA5"/>
    <w:rsid w:val="003F20ED"/>
    <w:rsid w:val="003F2104"/>
    <w:rsid w:val="003F2147"/>
    <w:rsid w:val="003F2154"/>
    <w:rsid w:val="003F2166"/>
    <w:rsid w:val="003F21A9"/>
    <w:rsid w:val="003F21C5"/>
    <w:rsid w:val="003F21D6"/>
    <w:rsid w:val="003F21FD"/>
    <w:rsid w:val="003F2223"/>
    <w:rsid w:val="003F222B"/>
    <w:rsid w:val="003F22A4"/>
    <w:rsid w:val="003F2330"/>
    <w:rsid w:val="003F233B"/>
    <w:rsid w:val="003F234F"/>
    <w:rsid w:val="003F2391"/>
    <w:rsid w:val="003F23EE"/>
    <w:rsid w:val="003F2437"/>
    <w:rsid w:val="003F2469"/>
    <w:rsid w:val="003F2489"/>
    <w:rsid w:val="003F24ED"/>
    <w:rsid w:val="003F2500"/>
    <w:rsid w:val="003F25A6"/>
    <w:rsid w:val="003F25B7"/>
    <w:rsid w:val="003F25C5"/>
    <w:rsid w:val="003F25D8"/>
    <w:rsid w:val="003F25D9"/>
    <w:rsid w:val="003F25DD"/>
    <w:rsid w:val="003F2651"/>
    <w:rsid w:val="003F2658"/>
    <w:rsid w:val="003F26AB"/>
    <w:rsid w:val="003F26E0"/>
    <w:rsid w:val="003F2705"/>
    <w:rsid w:val="003F2737"/>
    <w:rsid w:val="003F2798"/>
    <w:rsid w:val="003F27BA"/>
    <w:rsid w:val="003F27DF"/>
    <w:rsid w:val="003F281A"/>
    <w:rsid w:val="003F2918"/>
    <w:rsid w:val="003F298B"/>
    <w:rsid w:val="003F2A6B"/>
    <w:rsid w:val="003F2AAB"/>
    <w:rsid w:val="003F2B26"/>
    <w:rsid w:val="003F2BEE"/>
    <w:rsid w:val="003F2BF0"/>
    <w:rsid w:val="003F2C2C"/>
    <w:rsid w:val="003F2C46"/>
    <w:rsid w:val="003F2C71"/>
    <w:rsid w:val="003F2C8E"/>
    <w:rsid w:val="003F2CF5"/>
    <w:rsid w:val="003F2D1A"/>
    <w:rsid w:val="003F2D9D"/>
    <w:rsid w:val="003F2E27"/>
    <w:rsid w:val="003F2EAF"/>
    <w:rsid w:val="003F2ED2"/>
    <w:rsid w:val="003F2F54"/>
    <w:rsid w:val="003F2F5C"/>
    <w:rsid w:val="003F3013"/>
    <w:rsid w:val="003F3049"/>
    <w:rsid w:val="003F30E2"/>
    <w:rsid w:val="003F30F8"/>
    <w:rsid w:val="003F3143"/>
    <w:rsid w:val="003F319C"/>
    <w:rsid w:val="003F31E0"/>
    <w:rsid w:val="003F31EC"/>
    <w:rsid w:val="003F3282"/>
    <w:rsid w:val="003F3290"/>
    <w:rsid w:val="003F3297"/>
    <w:rsid w:val="003F32F6"/>
    <w:rsid w:val="003F32FB"/>
    <w:rsid w:val="003F331B"/>
    <w:rsid w:val="003F3373"/>
    <w:rsid w:val="003F3436"/>
    <w:rsid w:val="003F344A"/>
    <w:rsid w:val="003F348E"/>
    <w:rsid w:val="003F34C5"/>
    <w:rsid w:val="003F34CA"/>
    <w:rsid w:val="003F34CB"/>
    <w:rsid w:val="003F34D2"/>
    <w:rsid w:val="003F34DF"/>
    <w:rsid w:val="003F3552"/>
    <w:rsid w:val="003F3565"/>
    <w:rsid w:val="003F3581"/>
    <w:rsid w:val="003F3634"/>
    <w:rsid w:val="003F363F"/>
    <w:rsid w:val="003F3763"/>
    <w:rsid w:val="003F376E"/>
    <w:rsid w:val="003F3776"/>
    <w:rsid w:val="003F377E"/>
    <w:rsid w:val="003F37B9"/>
    <w:rsid w:val="003F37D5"/>
    <w:rsid w:val="003F37F2"/>
    <w:rsid w:val="003F3802"/>
    <w:rsid w:val="003F3849"/>
    <w:rsid w:val="003F3869"/>
    <w:rsid w:val="003F3893"/>
    <w:rsid w:val="003F39D0"/>
    <w:rsid w:val="003F39F7"/>
    <w:rsid w:val="003F3A21"/>
    <w:rsid w:val="003F3ABC"/>
    <w:rsid w:val="003F3ADE"/>
    <w:rsid w:val="003F3B3B"/>
    <w:rsid w:val="003F3B50"/>
    <w:rsid w:val="003F3B51"/>
    <w:rsid w:val="003F3BD2"/>
    <w:rsid w:val="003F3BF6"/>
    <w:rsid w:val="003F3BF8"/>
    <w:rsid w:val="003F3CAA"/>
    <w:rsid w:val="003F3CBB"/>
    <w:rsid w:val="003F3D7E"/>
    <w:rsid w:val="003F3D7F"/>
    <w:rsid w:val="003F3DA4"/>
    <w:rsid w:val="003F3DE5"/>
    <w:rsid w:val="003F3E4B"/>
    <w:rsid w:val="003F3E69"/>
    <w:rsid w:val="003F3E83"/>
    <w:rsid w:val="003F3E84"/>
    <w:rsid w:val="003F3EC2"/>
    <w:rsid w:val="003F3ED4"/>
    <w:rsid w:val="003F4067"/>
    <w:rsid w:val="003F406D"/>
    <w:rsid w:val="003F4077"/>
    <w:rsid w:val="003F40EF"/>
    <w:rsid w:val="003F4118"/>
    <w:rsid w:val="003F41A2"/>
    <w:rsid w:val="003F41B6"/>
    <w:rsid w:val="003F41C0"/>
    <w:rsid w:val="003F41C8"/>
    <w:rsid w:val="003F426A"/>
    <w:rsid w:val="003F4351"/>
    <w:rsid w:val="003F4415"/>
    <w:rsid w:val="003F44B1"/>
    <w:rsid w:val="003F4515"/>
    <w:rsid w:val="003F4557"/>
    <w:rsid w:val="003F455B"/>
    <w:rsid w:val="003F4587"/>
    <w:rsid w:val="003F45A6"/>
    <w:rsid w:val="003F45D7"/>
    <w:rsid w:val="003F45FB"/>
    <w:rsid w:val="003F4616"/>
    <w:rsid w:val="003F461C"/>
    <w:rsid w:val="003F46A9"/>
    <w:rsid w:val="003F46D2"/>
    <w:rsid w:val="003F4725"/>
    <w:rsid w:val="003F4759"/>
    <w:rsid w:val="003F4771"/>
    <w:rsid w:val="003F4774"/>
    <w:rsid w:val="003F4795"/>
    <w:rsid w:val="003F47A6"/>
    <w:rsid w:val="003F47F3"/>
    <w:rsid w:val="003F480C"/>
    <w:rsid w:val="003F48B4"/>
    <w:rsid w:val="003F48B6"/>
    <w:rsid w:val="003F48CA"/>
    <w:rsid w:val="003F48FC"/>
    <w:rsid w:val="003F4917"/>
    <w:rsid w:val="003F4982"/>
    <w:rsid w:val="003F4A74"/>
    <w:rsid w:val="003F4AF3"/>
    <w:rsid w:val="003F4B70"/>
    <w:rsid w:val="003F4C60"/>
    <w:rsid w:val="003F4C9A"/>
    <w:rsid w:val="003F4CA0"/>
    <w:rsid w:val="003F4CE9"/>
    <w:rsid w:val="003F4CED"/>
    <w:rsid w:val="003F4D86"/>
    <w:rsid w:val="003F4D98"/>
    <w:rsid w:val="003F4E1E"/>
    <w:rsid w:val="003F4E4B"/>
    <w:rsid w:val="003F4E6C"/>
    <w:rsid w:val="003F4ECF"/>
    <w:rsid w:val="003F4EF8"/>
    <w:rsid w:val="003F4F32"/>
    <w:rsid w:val="003F4FB2"/>
    <w:rsid w:val="003F4FC3"/>
    <w:rsid w:val="003F4FD3"/>
    <w:rsid w:val="003F50F9"/>
    <w:rsid w:val="003F512B"/>
    <w:rsid w:val="003F522C"/>
    <w:rsid w:val="003F525B"/>
    <w:rsid w:val="003F525F"/>
    <w:rsid w:val="003F5293"/>
    <w:rsid w:val="003F531E"/>
    <w:rsid w:val="003F5327"/>
    <w:rsid w:val="003F5383"/>
    <w:rsid w:val="003F5397"/>
    <w:rsid w:val="003F53AE"/>
    <w:rsid w:val="003F543E"/>
    <w:rsid w:val="003F547B"/>
    <w:rsid w:val="003F5490"/>
    <w:rsid w:val="003F54CC"/>
    <w:rsid w:val="003F54F6"/>
    <w:rsid w:val="003F555A"/>
    <w:rsid w:val="003F5566"/>
    <w:rsid w:val="003F557F"/>
    <w:rsid w:val="003F559B"/>
    <w:rsid w:val="003F5623"/>
    <w:rsid w:val="003F563D"/>
    <w:rsid w:val="003F5649"/>
    <w:rsid w:val="003F5683"/>
    <w:rsid w:val="003F5694"/>
    <w:rsid w:val="003F56AE"/>
    <w:rsid w:val="003F5724"/>
    <w:rsid w:val="003F5743"/>
    <w:rsid w:val="003F575D"/>
    <w:rsid w:val="003F577F"/>
    <w:rsid w:val="003F5860"/>
    <w:rsid w:val="003F587E"/>
    <w:rsid w:val="003F58F9"/>
    <w:rsid w:val="003F5964"/>
    <w:rsid w:val="003F597A"/>
    <w:rsid w:val="003F599E"/>
    <w:rsid w:val="003F59F5"/>
    <w:rsid w:val="003F5ABB"/>
    <w:rsid w:val="003F5ABC"/>
    <w:rsid w:val="003F5AE8"/>
    <w:rsid w:val="003F5B74"/>
    <w:rsid w:val="003F5BB8"/>
    <w:rsid w:val="003F5C14"/>
    <w:rsid w:val="003F5C2B"/>
    <w:rsid w:val="003F5C3B"/>
    <w:rsid w:val="003F5CB2"/>
    <w:rsid w:val="003F5D0A"/>
    <w:rsid w:val="003F5D22"/>
    <w:rsid w:val="003F5D2E"/>
    <w:rsid w:val="003F5D30"/>
    <w:rsid w:val="003F5D60"/>
    <w:rsid w:val="003F5DEA"/>
    <w:rsid w:val="003F5E4C"/>
    <w:rsid w:val="003F5E80"/>
    <w:rsid w:val="003F5E8F"/>
    <w:rsid w:val="003F5E99"/>
    <w:rsid w:val="003F5F74"/>
    <w:rsid w:val="003F5F9D"/>
    <w:rsid w:val="003F5FE7"/>
    <w:rsid w:val="003F5FFB"/>
    <w:rsid w:val="003F6048"/>
    <w:rsid w:val="003F6089"/>
    <w:rsid w:val="003F60B2"/>
    <w:rsid w:val="003F60D3"/>
    <w:rsid w:val="003F6100"/>
    <w:rsid w:val="003F6186"/>
    <w:rsid w:val="003F6209"/>
    <w:rsid w:val="003F62B1"/>
    <w:rsid w:val="003F6319"/>
    <w:rsid w:val="003F6394"/>
    <w:rsid w:val="003F6401"/>
    <w:rsid w:val="003F6458"/>
    <w:rsid w:val="003F647B"/>
    <w:rsid w:val="003F64DF"/>
    <w:rsid w:val="003F6510"/>
    <w:rsid w:val="003F6511"/>
    <w:rsid w:val="003F653C"/>
    <w:rsid w:val="003F659B"/>
    <w:rsid w:val="003F65AE"/>
    <w:rsid w:val="003F65C0"/>
    <w:rsid w:val="003F665F"/>
    <w:rsid w:val="003F66BD"/>
    <w:rsid w:val="003F66F4"/>
    <w:rsid w:val="003F66F9"/>
    <w:rsid w:val="003F6756"/>
    <w:rsid w:val="003F675D"/>
    <w:rsid w:val="003F676C"/>
    <w:rsid w:val="003F67CE"/>
    <w:rsid w:val="003F689D"/>
    <w:rsid w:val="003F6921"/>
    <w:rsid w:val="003F6924"/>
    <w:rsid w:val="003F6945"/>
    <w:rsid w:val="003F6956"/>
    <w:rsid w:val="003F696D"/>
    <w:rsid w:val="003F6985"/>
    <w:rsid w:val="003F69B8"/>
    <w:rsid w:val="003F6ABC"/>
    <w:rsid w:val="003F6B6A"/>
    <w:rsid w:val="003F6C3A"/>
    <w:rsid w:val="003F6C88"/>
    <w:rsid w:val="003F6C93"/>
    <w:rsid w:val="003F6CD1"/>
    <w:rsid w:val="003F6CFF"/>
    <w:rsid w:val="003F6D76"/>
    <w:rsid w:val="003F6DB8"/>
    <w:rsid w:val="003F6DCC"/>
    <w:rsid w:val="003F6DF2"/>
    <w:rsid w:val="003F6F07"/>
    <w:rsid w:val="003F6F6A"/>
    <w:rsid w:val="003F701F"/>
    <w:rsid w:val="003F7087"/>
    <w:rsid w:val="003F7095"/>
    <w:rsid w:val="003F70D5"/>
    <w:rsid w:val="003F70E8"/>
    <w:rsid w:val="003F70F7"/>
    <w:rsid w:val="003F710D"/>
    <w:rsid w:val="003F7192"/>
    <w:rsid w:val="003F71C4"/>
    <w:rsid w:val="003F7242"/>
    <w:rsid w:val="003F7251"/>
    <w:rsid w:val="003F72B9"/>
    <w:rsid w:val="003F7340"/>
    <w:rsid w:val="003F7348"/>
    <w:rsid w:val="003F735B"/>
    <w:rsid w:val="003F7376"/>
    <w:rsid w:val="003F73B6"/>
    <w:rsid w:val="003F73B8"/>
    <w:rsid w:val="003F7509"/>
    <w:rsid w:val="003F7513"/>
    <w:rsid w:val="003F753F"/>
    <w:rsid w:val="003F755C"/>
    <w:rsid w:val="003F75B8"/>
    <w:rsid w:val="003F75D5"/>
    <w:rsid w:val="003F75EE"/>
    <w:rsid w:val="003F75FA"/>
    <w:rsid w:val="003F760D"/>
    <w:rsid w:val="003F7648"/>
    <w:rsid w:val="003F7677"/>
    <w:rsid w:val="003F767A"/>
    <w:rsid w:val="003F76D0"/>
    <w:rsid w:val="003F76FF"/>
    <w:rsid w:val="003F7707"/>
    <w:rsid w:val="003F7715"/>
    <w:rsid w:val="003F778F"/>
    <w:rsid w:val="003F77AE"/>
    <w:rsid w:val="003F77EF"/>
    <w:rsid w:val="003F77FD"/>
    <w:rsid w:val="003F7803"/>
    <w:rsid w:val="003F783E"/>
    <w:rsid w:val="003F7893"/>
    <w:rsid w:val="003F78C0"/>
    <w:rsid w:val="003F78CA"/>
    <w:rsid w:val="003F78D1"/>
    <w:rsid w:val="003F796E"/>
    <w:rsid w:val="003F79D2"/>
    <w:rsid w:val="003F79E3"/>
    <w:rsid w:val="003F7ABC"/>
    <w:rsid w:val="003F7B09"/>
    <w:rsid w:val="003F7B26"/>
    <w:rsid w:val="003F7B3A"/>
    <w:rsid w:val="003F7B98"/>
    <w:rsid w:val="003F7BA0"/>
    <w:rsid w:val="003F7D07"/>
    <w:rsid w:val="003F7D3E"/>
    <w:rsid w:val="003F7D77"/>
    <w:rsid w:val="003F7D8F"/>
    <w:rsid w:val="003F7DA6"/>
    <w:rsid w:val="003F7DEC"/>
    <w:rsid w:val="003F7E05"/>
    <w:rsid w:val="003F7E21"/>
    <w:rsid w:val="003F7E98"/>
    <w:rsid w:val="003F7F03"/>
    <w:rsid w:val="003F7F12"/>
    <w:rsid w:val="003F7F15"/>
    <w:rsid w:val="003F7F70"/>
    <w:rsid w:val="003F7F97"/>
    <w:rsid w:val="0040002F"/>
    <w:rsid w:val="00400033"/>
    <w:rsid w:val="00400063"/>
    <w:rsid w:val="0040006C"/>
    <w:rsid w:val="004000A6"/>
    <w:rsid w:val="00400127"/>
    <w:rsid w:val="0040012E"/>
    <w:rsid w:val="00400131"/>
    <w:rsid w:val="00400168"/>
    <w:rsid w:val="0040016E"/>
    <w:rsid w:val="004001FD"/>
    <w:rsid w:val="0040023A"/>
    <w:rsid w:val="004002A1"/>
    <w:rsid w:val="004002B8"/>
    <w:rsid w:val="00400345"/>
    <w:rsid w:val="0040036F"/>
    <w:rsid w:val="0040037B"/>
    <w:rsid w:val="00400383"/>
    <w:rsid w:val="004003FE"/>
    <w:rsid w:val="0040040C"/>
    <w:rsid w:val="00400431"/>
    <w:rsid w:val="0040045A"/>
    <w:rsid w:val="004004B6"/>
    <w:rsid w:val="004004F1"/>
    <w:rsid w:val="00400525"/>
    <w:rsid w:val="0040053D"/>
    <w:rsid w:val="00400618"/>
    <w:rsid w:val="00400697"/>
    <w:rsid w:val="004006D8"/>
    <w:rsid w:val="004006EC"/>
    <w:rsid w:val="0040071D"/>
    <w:rsid w:val="00400750"/>
    <w:rsid w:val="00400772"/>
    <w:rsid w:val="00400776"/>
    <w:rsid w:val="004007A2"/>
    <w:rsid w:val="0040082A"/>
    <w:rsid w:val="00400898"/>
    <w:rsid w:val="004008C5"/>
    <w:rsid w:val="004008C8"/>
    <w:rsid w:val="004008C9"/>
    <w:rsid w:val="00400945"/>
    <w:rsid w:val="00400A24"/>
    <w:rsid w:val="00400AA5"/>
    <w:rsid w:val="00400AB9"/>
    <w:rsid w:val="00400ACC"/>
    <w:rsid w:val="00400B7F"/>
    <w:rsid w:val="00400C54"/>
    <w:rsid w:val="00400C8F"/>
    <w:rsid w:val="00400C96"/>
    <w:rsid w:val="00400CE5"/>
    <w:rsid w:val="00400CFF"/>
    <w:rsid w:val="00400D2E"/>
    <w:rsid w:val="00400D72"/>
    <w:rsid w:val="00400DB4"/>
    <w:rsid w:val="00400E0C"/>
    <w:rsid w:val="00400EB3"/>
    <w:rsid w:val="00400EB9"/>
    <w:rsid w:val="00400EEB"/>
    <w:rsid w:val="00400EF7"/>
    <w:rsid w:val="00400F55"/>
    <w:rsid w:val="00400F6E"/>
    <w:rsid w:val="00400FE1"/>
    <w:rsid w:val="00400FF1"/>
    <w:rsid w:val="00401006"/>
    <w:rsid w:val="00401034"/>
    <w:rsid w:val="00401035"/>
    <w:rsid w:val="00401082"/>
    <w:rsid w:val="004010B8"/>
    <w:rsid w:val="0040112E"/>
    <w:rsid w:val="004011A5"/>
    <w:rsid w:val="004011B5"/>
    <w:rsid w:val="00401209"/>
    <w:rsid w:val="004012DE"/>
    <w:rsid w:val="004012E6"/>
    <w:rsid w:val="004012F9"/>
    <w:rsid w:val="00401301"/>
    <w:rsid w:val="0040130D"/>
    <w:rsid w:val="00401334"/>
    <w:rsid w:val="00401351"/>
    <w:rsid w:val="00401382"/>
    <w:rsid w:val="004013AC"/>
    <w:rsid w:val="004013CA"/>
    <w:rsid w:val="004013D5"/>
    <w:rsid w:val="004013E3"/>
    <w:rsid w:val="00401434"/>
    <w:rsid w:val="0040144E"/>
    <w:rsid w:val="00401456"/>
    <w:rsid w:val="0040145F"/>
    <w:rsid w:val="00401516"/>
    <w:rsid w:val="004015B3"/>
    <w:rsid w:val="0040163D"/>
    <w:rsid w:val="0040164C"/>
    <w:rsid w:val="004016BA"/>
    <w:rsid w:val="004016C9"/>
    <w:rsid w:val="004016FF"/>
    <w:rsid w:val="0040171E"/>
    <w:rsid w:val="004017A6"/>
    <w:rsid w:val="004017B6"/>
    <w:rsid w:val="004017E2"/>
    <w:rsid w:val="0040190A"/>
    <w:rsid w:val="00401926"/>
    <w:rsid w:val="00401981"/>
    <w:rsid w:val="00401A62"/>
    <w:rsid w:val="00401AAD"/>
    <w:rsid w:val="00401B11"/>
    <w:rsid w:val="00401B12"/>
    <w:rsid w:val="00401B50"/>
    <w:rsid w:val="00401B7D"/>
    <w:rsid w:val="00401BA5"/>
    <w:rsid w:val="00401BC3"/>
    <w:rsid w:val="00401C16"/>
    <w:rsid w:val="00401C5C"/>
    <w:rsid w:val="00401D00"/>
    <w:rsid w:val="00401D6E"/>
    <w:rsid w:val="00401DDB"/>
    <w:rsid w:val="00401DFE"/>
    <w:rsid w:val="00401E42"/>
    <w:rsid w:val="00401E43"/>
    <w:rsid w:val="00401F3E"/>
    <w:rsid w:val="00401F6E"/>
    <w:rsid w:val="00401F83"/>
    <w:rsid w:val="00401FF3"/>
    <w:rsid w:val="0040206E"/>
    <w:rsid w:val="004020A5"/>
    <w:rsid w:val="004020AD"/>
    <w:rsid w:val="004020BF"/>
    <w:rsid w:val="00402132"/>
    <w:rsid w:val="00402150"/>
    <w:rsid w:val="004021AA"/>
    <w:rsid w:val="004021D4"/>
    <w:rsid w:val="0040226B"/>
    <w:rsid w:val="0040231F"/>
    <w:rsid w:val="00402328"/>
    <w:rsid w:val="0040239E"/>
    <w:rsid w:val="00402405"/>
    <w:rsid w:val="00402416"/>
    <w:rsid w:val="0040246C"/>
    <w:rsid w:val="00402483"/>
    <w:rsid w:val="00402484"/>
    <w:rsid w:val="004024A2"/>
    <w:rsid w:val="004024B3"/>
    <w:rsid w:val="004024F6"/>
    <w:rsid w:val="0040250C"/>
    <w:rsid w:val="00402551"/>
    <w:rsid w:val="00402573"/>
    <w:rsid w:val="00402585"/>
    <w:rsid w:val="00402590"/>
    <w:rsid w:val="004025D8"/>
    <w:rsid w:val="00402659"/>
    <w:rsid w:val="00402676"/>
    <w:rsid w:val="004026D2"/>
    <w:rsid w:val="004026F4"/>
    <w:rsid w:val="00402707"/>
    <w:rsid w:val="00402719"/>
    <w:rsid w:val="0040279F"/>
    <w:rsid w:val="004027EB"/>
    <w:rsid w:val="004027F8"/>
    <w:rsid w:val="0040282E"/>
    <w:rsid w:val="00402910"/>
    <w:rsid w:val="00402999"/>
    <w:rsid w:val="004029AB"/>
    <w:rsid w:val="004029B9"/>
    <w:rsid w:val="004029F3"/>
    <w:rsid w:val="00402A23"/>
    <w:rsid w:val="00402A7C"/>
    <w:rsid w:val="00402ACE"/>
    <w:rsid w:val="00402AE5"/>
    <w:rsid w:val="00402AF6"/>
    <w:rsid w:val="00402B5C"/>
    <w:rsid w:val="00402B97"/>
    <w:rsid w:val="00402C5E"/>
    <w:rsid w:val="00402C81"/>
    <w:rsid w:val="00402CAF"/>
    <w:rsid w:val="00402CCB"/>
    <w:rsid w:val="00402D10"/>
    <w:rsid w:val="00402DC1"/>
    <w:rsid w:val="00402DF6"/>
    <w:rsid w:val="00402E42"/>
    <w:rsid w:val="00402E6A"/>
    <w:rsid w:val="00402EA9"/>
    <w:rsid w:val="00402EB9"/>
    <w:rsid w:val="00402EE3"/>
    <w:rsid w:val="00402EF1"/>
    <w:rsid w:val="00402F33"/>
    <w:rsid w:val="00402FF7"/>
    <w:rsid w:val="0040302F"/>
    <w:rsid w:val="0040306C"/>
    <w:rsid w:val="00403097"/>
    <w:rsid w:val="00403131"/>
    <w:rsid w:val="00403177"/>
    <w:rsid w:val="00403223"/>
    <w:rsid w:val="004032E2"/>
    <w:rsid w:val="0040333B"/>
    <w:rsid w:val="00403378"/>
    <w:rsid w:val="00403379"/>
    <w:rsid w:val="004033B0"/>
    <w:rsid w:val="004033DA"/>
    <w:rsid w:val="00403435"/>
    <w:rsid w:val="0040343E"/>
    <w:rsid w:val="004034B7"/>
    <w:rsid w:val="00403535"/>
    <w:rsid w:val="0040353B"/>
    <w:rsid w:val="0040353E"/>
    <w:rsid w:val="0040356D"/>
    <w:rsid w:val="004035C1"/>
    <w:rsid w:val="0040362A"/>
    <w:rsid w:val="004036B7"/>
    <w:rsid w:val="004036C3"/>
    <w:rsid w:val="00403776"/>
    <w:rsid w:val="0040381B"/>
    <w:rsid w:val="00403832"/>
    <w:rsid w:val="00403861"/>
    <w:rsid w:val="0040388C"/>
    <w:rsid w:val="00403894"/>
    <w:rsid w:val="00403900"/>
    <w:rsid w:val="00403913"/>
    <w:rsid w:val="00403914"/>
    <w:rsid w:val="00403918"/>
    <w:rsid w:val="00403928"/>
    <w:rsid w:val="0040393B"/>
    <w:rsid w:val="00403960"/>
    <w:rsid w:val="0040396E"/>
    <w:rsid w:val="0040397B"/>
    <w:rsid w:val="004039A0"/>
    <w:rsid w:val="004039B0"/>
    <w:rsid w:val="004039F1"/>
    <w:rsid w:val="00403A15"/>
    <w:rsid w:val="00403AAD"/>
    <w:rsid w:val="00403B0B"/>
    <w:rsid w:val="00403B70"/>
    <w:rsid w:val="00403BEE"/>
    <w:rsid w:val="00403C7D"/>
    <w:rsid w:val="00403CB8"/>
    <w:rsid w:val="00403CD2"/>
    <w:rsid w:val="00403D4C"/>
    <w:rsid w:val="00403D59"/>
    <w:rsid w:val="00403D93"/>
    <w:rsid w:val="00403DFB"/>
    <w:rsid w:val="00403E5A"/>
    <w:rsid w:val="00403E5D"/>
    <w:rsid w:val="00403E62"/>
    <w:rsid w:val="00403E79"/>
    <w:rsid w:val="00403E93"/>
    <w:rsid w:val="00403F55"/>
    <w:rsid w:val="00403F6B"/>
    <w:rsid w:val="00403FAA"/>
    <w:rsid w:val="0040404E"/>
    <w:rsid w:val="00404059"/>
    <w:rsid w:val="004040B1"/>
    <w:rsid w:val="004040BD"/>
    <w:rsid w:val="004040DF"/>
    <w:rsid w:val="004040E9"/>
    <w:rsid w:val="0040411E"/>
    <w:rsid w:val="00404169"/>
    <w:rsid w:val="0040416F"/>
    <w:rsid w:val="00404277"/>
    <w:rsid w:val="0040427D"/>
    <w:rsid w:val="004042AF"/>
    <w:rsid w:val="004042C9"/>
    <w:rsid w:val="00404313"/>
    <w:rsid w:val="00404328"/>
    <w:rsid w:val="00404359"/>
    <w:rsid w:val="00404373"/>
    <w:rsid w:val="004043DD"/>
    <w:rsid w:val="00404406"/>
    <w:rsid w:val="00404431"/>
    <w:rsid w:val="00404433"/>
    <w:rsid w:val="0040446E"/>
    <w:rsid w:val="004044B8"/>
    <w:rsid w:val="004044E9"/>
    <w:rsid w:val="0040451B"/>
    <w:rsid w:val="0040452D"/>
    <w:rsid w:val="0040452E"/>
    <w:rsid w:val="00404557"/>
    <w:rsid w:val="0040455C"/>
    <w:rsid w:val="00404577"/>
    <w:rsid w:val="00404608"/>
    <w:rsid w:val="0040464F"/>
    <w:rsid w:val="00404651"/>
    <w:rsid w:val="00404655"/>
    <w:rsid w:val="004046E6"/>
    <w:rsid w:val="0040474C"/>
    <w:rsid w:val="00404779"/>
    <w:rsid w:val="004047C5"/>
    <w:rsid w:val="004047F8"/>
    <w:rsid w:val="00404816"/>
    <w:rsid w:val="0040481A"/>
    <w:rsid w:val="0040488D"/>
    <w:rsid w:val="004048DE"/>
    <w:rsid w:val="00404915"/>
    <w:rsid w:val="00404973"/>
    <w:rsid w:val="004049D9"/>
    <w:rsid w:val="004049EE"/>
    <w:rsid w:val="00404A4D"/>
    <w:rsid w:val="00404AC3"/>
    <w:rsid w:val="00404AE0"/>
    <w:rsid w:val="00404B0D"/>
    <w:rsid w:val="00404B5C"/>
    <w:rsid w:val="00404B99"/>
    <w:rsid w:val="00404BC1"/>
    <w:rsid w:val="00404C15"/>
    <w:rsid w:val="00404C19"/>
    <w:rsid w:val="00404C57"/>
    <w:rsid w:val="00404C89"/>
    <w:rsid w:val="00404CC9"/>
    <w:rsid w:val="00404CDA"/>
    <w:rsid w:val="00404CE3"/>
    <w:rsid w:val="00404D42"/>
    <w:rsid w:val="00404D4B"/>
    <w:rsid w:val="00404D60"/>
    <w:rsid w:val="00404D79"/>
    <w:rsid w:val="00404DA6"/>
    <w:rsid w:val="00404DC9"/>
    <w:rsid w:val="00404E37"/>
    <w:rsid w:val="00404FE5"/>
    <w:rsid w:val="0040502B"/>
    <w:rsid w:val="00405061"/>
    <w:rsid w:val="0040506B"/>
    <w:rsid w:val="004050A3"/>
    <w:rsid w:val="004050AE"/>
    <w:rsid w:val="004050C4"/>
    <w:rsid w:val="0040517A"/>
    <w:rsid w:val="0040518E"/>
    <w:rsid w:val="004051BF"/>
    <w:rsid w:val="004051CC"/>
    <w:rsid w:val="004051DC"/>
    <w:rsid w:val="00405213"/>
    <w:rsid w:val="00405237"/>
    <w:rsid w:val="00405279"/>
    <w:rsid w:val="0040529B"/>
    <w:rsid w:val="004052C0"/>
    <w:rsid w:val="00405359"/>
    <w:rsid w:val="00405383"/>
    <w:rsid w:val="004053D1"/>
    <w:rsid w:val="0040546B"/>
    <w:rsid w:val="004054B1"/>
    <w:rsid w:val="004054D0"/>
    <w:rsid w:val="004054D1"/>
    <w:rsid w:val="004054F4"/>
    <w:rsid w:val="00405545"/>
    <w:rsid w:val="00405733"/>
    <w:rsid w:val="0040579D"/>
    <w:rsid w:val="004057C6"/>
    <w:rsid w:val="00405819"/>
    <w:rsid w:val="0040587D"/>
    <w:rsid w:val="00405886"/>
    <w:rsid w:val="00405899"/>
    <w:rsid w:val="004058FA"/>
    <w:rsid w:val="0040590D"/>
    <w:rsid w:val="0040592A"/>
    <w:rsid w:val="004059E3"/>
    <w:rsid w:val="00405A63"/>
    <w:rsid w:val="00405AB5"/>
    <w:rsid w:val="00405B0C"/>
    <w:rsid w:val="00405B26"/>
    <w:rsid w:val="00405B59"/>
    <w:rsid w:val="00405B77"/>
    <w:rsid w:val="00405C4F"/>
    <w:rsid w:val="00405CB0"/>
    <w:rsid w:val="00405CF1"/>
    <w:rsid w:val="00405CF7"/>
    <w:rsid w:val="00405D38"/>
    <w:rsid w:val="00405E9E"/>
    <w:rsid w:val="00405EBA"/>
    <w:rsid w:val="00405EBF"/>
    <w:rsid w:val="00405EF0"/>
    <w:rsid w:val="00405F2C"/>
    <w:rsid w:val="00405F3D"/>
    <w:rsid w:val="00405F69"/>
    <w:rsid w:val="00405F8D"/>
    <w:rsid w:val="00406023"/>
    <w:rsid w:val="00406052"/>
    <w:rsid w:val="00406062"/>
    <w:rsid w:val="00406069"/>
    <w:rsid w:val="004060D8"/>
    <w:rsid w:val="00406115"/>
    <w:rsid w:val="00406162"/>
    <w:rsid w:val="00406194"/>
    <w:rsid w:val="004061B6"/>
    <w:rsid w:val="004061D9"/>
    <w:rsid w:val="0040625A"/>
    <w:rsid w:val="00406292"/>
    <w:rsid w:val="004062B4"/>
    <w:rsid w:val="004062B5"/>
    <w:rsid w:val="004062D5"/>
    <w:rsid w:val="004062E3"/>
    <w:rsid w:val="00406325"/>
    <w:rsid w:val="00406340"/>
    <w:rsid w:val="00406366"/>
    <w:rsid w:val="004063C0"/>
    <w:rsid w:val="0040642E"/>
    <w:rsid w:val="00406433"/>
    <w:rsid w:val="0040643F"/>
    <w:rsid w:val="00406484"/>
    <w:rsid w:val="004064E5"/>
    <w:rsid w:val="0040650F"/>
    <w:rsid w:val="00406539"/>
    <w:rsid w:val="00406641"/>
    <w:rsid w:val="004066C9"/>
    <w:rsid w:val="00406730"/>
    <w:rsid w:val="00406734"/>
    <w:rsid w:val="0040674D"/>
    <w:rsid w:val="00406761"/>
    <w:rsid w:val="00406789"/>
    <w:rsid w:val="0040679C"/>
    <w:rsid w:val="004067FB"/>
    <w:rsid w:val="0040682A"/>
    <w:rsid w:val="00406863"/>
    <w:rsid w:val="0040686D"/>
    <w:rsid w:val="0040688E"/>
    <w:rsid w:val="004069C8"/>
    <w:rsid w:val="004069D5"/>
    <w:rsid w:val="00406A77"/>
    <w:rsid w:val="00406A81"/>
    <w:rsid w:val="00406B11"/>
    <w:rsid w:val="00406B1B"/>
    <w:rsid w:val="00406B31"/>
    <w:rsid w:val="00406B60"/>
    <w:rsid w:val="00406BEC"/>
    <w:rsid w:val="00406C8F"/>
    <w:rsid w:val="00406C9A"/>
    <w:rsid w:val="00406CB7"/>
    <w:rsid w:val="00406CD9"/>
    <w:rsid w:val="00406CF7"/>
    <w:rsid w:val="00406D38"/>
    <w:rsid w:val="00406D49"/>
    <w:rsid w:val="00406D4B"/>
    <w:rsid w:val="00406D5C"/>
    <w:rsid w:val="00406DD4"/>
    <w:rsid w:val="00406E61"/>
    <w:rsid w:val="00406EEC"/>
    <w:rsid w:val="00406F54"/>
    <w:rsid w:val="00406F5B"/>
    <w:rsid w:val="00406FFE"/>
    <w:rsid w:val="0040701E"/>
    <w:rsid w:val="00407041"/>
    <w:rsid w:val="0040705D"/>
    <w:rsid w:val="004070ED"/>
    <w:rsid w:val="004071E0"/>
    <w:rsid w:val="00407228"/>
    <w:rsid w:val="004072E1"/>
    <w:rsid w:val="00407321"/>
    <w:rsid w:val="00407460"/>
    <w:rsid w:val="00407492"/>
    <w:rsid w:val="0040750A"/>
    <w:rsid w:val="0040755E"/>
    <w:rsid w:val="00407567"/>
    <w:rsid w:val="00407584"/>
    <w:rsid w:val="00407588"/>
    <w:rsid w:val="0040758C"/>
    <w:rsid w:val="00407604"/>
    <w:rsid w:val="0040762D"/>
    <w:rsid w:val="004076EC"/>
    <w:rsid w:val="0040776B"/>
    <w:rsid w:val="004077A5"/>
    <w:rsid w:val="0040783E"/>
    <w:rsid w:val="00407880"/>
    <w:rsid w:val="00407893"/>
    <w:rsid w:val="004078AA"/>
    <w:rsid w:val="00407945"/>
    <w:rsid w:val="0040799D"/>
    <w:rsid w:val="00407A08"/>
    <w:rsid w:val="00407A63"/>
    <w:rsid w:val="00407A66"/>
    <w:rsid w:val="00407A8A"/>
    <w:rsid w:val="00407A90"/>
    <w:rsid w:val="00407A95"/>
    <w:rsid w:val="00407A9C"/>
    <w:rsid w:val="00407B13"/>
    <w:rsid w:val="00407B26"/>
    <w:rsid w:val="00407B33"/>
    <w:rsid w:val="00407B3A"/>
    <w:rsid w:val="00407B70"/>
    <w:rsid w:val="00407BBA"/>
    <w:rsid w:val="00407BFC"/>
    <w:rsid w:val="00407C2F"/>
    <w:rsid w:val="00407CC8"/>
    <w:rsid w:val="00407CCF"/>
    <w:rsid w:val="00407D60"/>
    <w:rsid w:val="00407DCF"/>
    <w:rsid w:val="00407DEC"/>
    <w:rsid w:val="00407E37"/>
    <w:rsid w:val="00407EB2"/>
    <w:rsid w:val="00407EF2"/>
    <w:rsid w:val="00407F01"/>
    <w:rsid w:val="00407F41"/>
    <w:rsid w:val="00407F77"/>
    <w:rsid w:val="00407F7E"/>
    <w:rsid w:val="00407FA1"/>
    <w:rsid w:val="00407FDB"/>
    <w:rsid w:val="00407FE7"/>
    <w:rsid w:val="0041004A"/>
    <w:rsid w:val="004100B6"/>
    <w:rsid w:val="00410105"/>
    <w:rsid w:val="00410163"/>
    <w:rsid w:val="0041017F"/>
    <w:rsid w:val="0041023B"/>
    <w:rsid w:val="00410319"/>
    <w:rsid w:val="0041037B"/>
    <w:rsid w:val="00410388"/>
    <w:rsid w:val="004103A4"/>
    <w:rsid w:val="004103B1"/>
    <w:rsid w:val="0041042B"/>
    <w:rsid w:val="00410454"/>
    <w:rsid w:val="00410469"/>
    <w:rsid w:val="004104BF"/>
    <w:rsid w:val="004104D8"/>
    <w:rsid w:val="004104FD"/>
    <w:rsid w:val="00410517"/>
    <w:rsid w:val="00410564"/>
    <w:rsid w:val="00410581"/>
    <w:rsid w:val="00410650"/>
    <w:rsid w:val="00410656"/>
    <w:rsid w:val="00410673"/>
    <w:rsid w:val="00410687"/>
    <w:rsid w:val="00410693"/>
    <w:rsid w:val="004106A3"/>
    <w:rsid w:val="0041070D"/>
    <w:rsid w:val="004107D7"/>
    <w:rsid w:val="004107DE"/>
    <w:rsid w:val="0041087E"/>
    <w:rsid w:val="004108F1"/>
    <w:rsid w:val="004108FA"/>
    <w:rsid w:val="00410972"/>
    <w:rsid w:val="00410981"/>
    <w:rsid w:val="004109C2"/>
    <w:rsid w:val="00410A27"/>
    <w:rsid w:val="00410AAA"/>
    <w:rsid w:val="00410B0E"/>
    <w:rsid w:val="00410B30"/>
    <w:rsid w:val="00410B64"/>
    <w:rsid w:val="00410BB4"/>
    <w:rsid w:val="00410C03"/>
    <w:rsid w:val="00410C3F"/>
    <w:rsid w:val="00410C5F"/>
    <w:rsid w:val="00410C8C"/>
    <w:rsid w:val="00410CA8"/>
    <w:rsid w:val="00410CB5"/>
    <w:rsid w:val="00410CE6"/>
    <w:rsid w:val="00410D15"/>
    <w:rsid w:val="00410D4F"/>
    <w:rsid w:val="00410DCA"/>
    <w:rsid w:val="00410E62"/>
    <w:rsid w:val="00410E80"/>
    <w:rsid w:val="00410E98"/>
    <w:rsid w:val="00410E9B"/>
    <w:rsid w:val="00410F72"/>
    <w:rsid w:val="00410F8A"/>
    <w:rsid w:val="00410F95"/>
    <w:rsid w:val="00410FA6"/>
    <w:rsid w:val="00411080"/>
    <w:rsid w:val="004110A7"/>
    <w:rsid w:val="004110AA"/>
    <w:rsid w:val="004110B8"/>
    <w:rsid w:val="004110BF"/>
    <w:rsid w:val="004110E1"/>
    <w:rsid w:val="00411113"/>
    <w:rsid w:val="00411140"/>
    <w:rsid w:val="00411144"/>
    <w:rsid w:val="00411226"/>
    <w:rsid w:val="004112BE"/>
    <w:rsid w:val="004112E5"/>
    <w:rsid w:val="004112F5"/>
    <w:rsid w:val="0041136E"/>
    <w:rsid w:val="00411378"/>
    <w:rsid w:val="00411382"/>
    <w:rsid w:val="00411412"/>
    <w:rsid w:val="00411438"/>
    <w:rsid w:val="00411439"/>
    <w:rsid w:val="0041143C"/>
    <w:rsid w:val="00411502"/>
    <w:rsid w:val="00411568"/>
    <w:rsid w:val="00411580"/>
    <w:rsid w:val="00411585"/>
    <w:rsid w:val="004115AD"/>
    <w:rsid w:val="004115B0"/>
    <w:rsid w:val="00411600"/>
    <w:rsid w:val="0041166A"/>
    <w:rsid w:val="0041166B"/>
    <w:rsid w:val="00411671"/>
    <w:rsid w:val="004117CF"/>
    <w:rsid w:val="00411836"/>
    <w:rsid w:val="00411874"/>
    <w:rsid w:val="0041187C"/>
    <w:rsid w:val="004118B4"/>
    <w:rsid w:val="004118D3"/>
    <w:rsid w:val="00411950"/>
    <w:rsid w:val="004119A2"/>
    <w:rsid w:val="00411A4C"/>
    <w:rsid w:val="00411A4F"/>
    <w:rsid w:val="00411B28"/>
    <w:rsid w:val="00411BF0"/>
    <w:rsid w:val="00411C2A"/>
    <w:rsid w:val="00411C32"/>
    <w:rsid w:val="00411CCF"/>
    <w:rsid w:val="00411CE2"/>
    <w:rsid w:val="00411D52"/>
    <w:rsid w:val="00411D60"/>
    <w:rsid w:val="00411D6E"/>
    <w:rsid w:val="00411DA9"/>
    <w:rsid w:val="00411DC7"/>
    <w:rsid w:val="00411DF3"/>
    <w:rsid w:val="00411E3A"/>
    <w:rsid w:val="00411EC4"/>
    <w:rsid w:val="00411EDB"/>
    <w:rsid w:val="00411F56"/>
    <w:rsid w:val="00411F98"/>
    <w:rsid w:val="00411FA0"/>
    <w:rsid w:val="00411FC0"/>
    <w:rsid w:val="00412003"/>
    <w:rsid w:val="0041206F"/>
    <w:rsid w:val="00412094"/>
    <w:rsid w:val="004120CB"/>
    <w:rsid w:val="00412143"/>
    <w:rsid w:val="00412147"/>
    <w:rsid w:val="00412149"/>
    <w:rsid w:val="004121B1"/>
    <w:rsid w:val="004121BD"/>
    <w:rsid w:val="004121BE"/>
    <w:rsid w:val="00412203"/>
    <w:rsid w:val="00412221"/>
    <w:rsid w:val="00412223"/>
    <w:rsid w:val="004122F4"/>
    <w:rsid w:val="00412306"/>
    <w:rsid w:val="00412347"/>
    <w:rsid w:val="00412349"/>
    <w:rsid w:val="004123B1"/>
    <w:rsid w:val="004123BE"/>
    <w:rsid w:val="004123D7"/>
    <w:rsid w:val="00412469"/>
    <w:rsid w:val="0041247F"/>
    <w:rsid w:val="004124C9"/>
    <w:rsid w:val="004124EC"/>
    <w:rsid w:val="00412554"/>
    <w:rsid w:val="0041255D"/>
    <w:rsid w:val="0041255F"/>
    <w:rsid w:val="00412654"/>
    <w:rsid w:val="0041265A"/>
    <w:rsid w:val="004127A2"/>
    <w:rsid w:val="00412812"/>
    <w:rsid w:val="00412814"/>
    <w:rsid w:val="00412867"/>
    <w:rsid w:val="004128BE"/>
    <w:rsid w:val="004129D0"/>
    <w:rsid w:val="004129E8"/>
    <w:rsid w:val="00412A51"/>
    <w:rsid w:val="00412AAF"/>
    <w:rsid w:val="00412AB9"/>
    <w:rsid w:val="00412AEB"/>
    <w:rsid w:val="00412B3D"/>
    <w:rsid w:val="00412B6C"/>
    <w:rsid w:val="00412B74"/>
    <w:rsid w:val="00412B77"/>
    <w:rsid w:val="00412BD6"/>
    <w:rsid w:val="00412C86"/>
    <w:rsid w:val="00412CBC"/>
    <w:rsid w:val="00412CC4"/>
    <w:rsid w:val="00412CD2"/>
    <w:rsid w:val="00412CE1"/>
    <w:rsid w:val="00412D7D"/>
    <w:rsid w:val="00412DAB"/>
    <w:rsid w:val="00412DDA"/>
    <w:rsid w:val="00412E09"/>
    <w:rsid w:val="00412E5A"/>
    <w:rsid w:val="00412E72"/>
    <w:rsid w:val="00412EB7"/>
    <w:rsid w:val="00412ECE"/>
    <w:rsid w:val="00412F0A"/>
    <w:rsid w:val="00412F57"/>
    <w:rsid w:val="00412F5B"/>
    <w:rsid w:val="00412F9F"/>
    <w:rsid w:val="00412FA9"/>
    <w:rsid w:val="0041301E"/>
    <w:rsid w:val="00413078"/>
    <w:rsid w:val="0041312A"/>
    <w:rsid w:val="00413137"/>
    <w:rsid w:val="00413138"/>
    <w:rsid w:val="00413165"/>
    <w:rsid w:val="00413167"/>
    <w:rsid w:val="004131A5"/>
    <w:rsid w:val="004131E0"/>
    <w:rsid w:val="00413210"/>
    <w:rsid w:val="0041321B"/>
    <w:rsid w:val="00413233"/>
    <w:rsid w:val="0041324F"/>
    <w:rsid w:val="00413281"/>
    <w:rsid w:val="004132A7"/>
    <w:rsid w:val="004132C3"/>
    <w:rsid w:val="004133C9"/>
    <w:rsid w:val="00413440"/>
    <w:rsid w:val="00413454"/>
    <w:rsid w:val="00413461"/>
    <w:rsid w:val="00413469"/>
    <w:rsid w:val="00413525"/>
    <w:rsid w:val="0041355B"/>
    <w:rsid w:val="004135D3"/>
    <w:rsid w:val="004135E6"/>
    <w:rsid w:val="00413626"/>
    <w:rsid w:val="0041363E"/>
    <w:rsid w:val="004136DC"/>
    <w:rsid w:val="004136E7"/>
    <w:rsid w:val="0041370F"/>
    <w:rsid w:val="00413719"/>
    <w:rsid w:val="00413738"/>
    <w:rsid w:val="00413754"/>
    <w:rsid w:val="004137EA"/>
    <w:rsid w:val="004137EB"/>
    <w:rsid w:val="004137F8"/>
    <w:rsid w:val="00413822"/>
    <w:rsid w:val="0041382A"/>
    <w:rsid w:val="0041388B"/>
    <w:rsid w:val="00413893"/>
    <w:rsid w:val="004138ED"/>
    <w:rsid w:val="0041396B"/>
    <w:rsid w:val="004139AB"/>
    <w:rsid w:val="00413A06"/>
    <w:rsid w:val="00413B1A"/>
    <w:rsid w:val="00413B22"/>
    <w:rsid w:val="00413B2D"/>
    <w:rsid w:val="00413C37"/>
    <w:rsid w:val="00413C82"/>
    <w:rsid w:val="00413C9C"/>
    <w:rsid w:val="00413CA3"/>
    <w:rsid w:val="00413CD5"/>
    <w:rsid w:val="00413D0E"/>
    <w:rsid w:val="00413D72"/>
    <w:rsid w:val="00413DDB"/>
    <w:rsid w:val="00413E01"/>
    <w:rsid w:val="00413E02"/>
    <w:rsid w:val="00413E32"/>
    <w:rsid w:val="00413E53"/>
    <w:rsid w:val="00413E5C"/>
    <w:rsid w:val="00413EC3"/>
    <w:rsid w:val="00413F0E"/>
    <w:rsid w:val="00413F27"/>
    <w:rsid w:val="00413F2E"/>
    <w:rsid w:val="00413F3E"/>
    <w:rsid w:val="00413F72"/>
    <w:rsid w:val="00413F80"/>
    <w:rsid w:val="00413FB7"/>
    <w:rsid w:val="00413FE4"/>
    <w:rsid w:val="00414012"/>
    <w:rsid w:val="00414065"/>
    <w:rsid w:val="004140C6"/>
    <w:rsid w:val="0041410F"/>
    <w:rsid w:val="00414172"/>
    <w:rsid w:val="00414180"/>
    <w:rsid w:val="00414187"/>
    <w:rsid w:val="00414193"/>
    <w:rsid w:val="004141D9"/>
    <w:rsid w:val="0041420F"/>
    <w:rsid w:val="0041421B"/>
    <w:rsid w:val="0041429D"/>
    <w:rsid w:val="004142AE"/>
    <w:rsid w:val="004142D2"/>
    <w:rsid w:val="0041432F"/>
    <w:rsid w:val="0041437D"/>
    <w:rsid w:val="004143CE"/>
    <w:rsid w:val="004143DE"/>
    <w:rsid w:val="004143F5"/>
    <w:rsid w:val="00414437"/>
    <w:rsid w:val="00414440"/>
    <w:rsid w:val="00414442"/>
    <w:rsid w:val="00414481"/>
    <w:rsid w:val="0041463F"/>
    <w:rsid w:val="0041464B"/>
    <w:rsid w:val="00414672"/>
    <w:rsid w:val="004146B6"/>
    <w:rsid w:val="004146F7"/>
    <w:rsid w:val="00414714"/>
    <w:rsid w:val="00414715"/>
    <w:rsid w:val="0041476F"/>
    <w:rsid w:val="004147A3"/>
    <w:rsid w:val="004147BB"/>
    <w:rsid w:val="00414898"/>
    <w:rsid w:val="004148CF"/>
    <w:rsid w:val="0041491B"/>
    <w:rsid w:val="00414953"/>
    <w:rsid w:val="0041498C"/>
    <w:rsid w:val="0041499D"/>
    <w:rsid w:val="004149FF"/>
    <w:rsid w:val="00414A22"/>
    <w:rsid w:val="00414A71"/>
    <w:rsid w:val="00414A79"/>
    <w:rsid w:val="00414AC0"/>
    <w:rsid w:val="00414B59"/>
    <w:rsid w:val="00414BA9"/>
    <w:rsid w:val="00414C01"/>
    <w:rsid w:val="00414C63"/>
    <w:rsid w:val="00414C6B"/>
    <w:rsid w:val="00414CEC"/>
    <w:rsid w:val="00414D30"/>
    <w:rsid w:val="00414D3F"/>
    <w:rsid w:val="00414D56"/>
    <w:rsid w:val="00414D74"/>
    <w:rsid w:val="00414DCD"/>
    <w:rsid w:val="00414DF9"/>
    <w:rsid w:val="00414E16"/>
    <w:rsid w:val="00414E69"/>
    <w:rsid w:val="00414E7B"/>
    <w:rsid w:val="00414F12"/>
    <w:rsid w:val="00414F3B"/>
    <w:rsid w:val="00414F47"/>
    <w:rsid w:val="00414F91"/>
    <w:rsid w:val="00414FA5"/>
    <w:rsid w:val="00414FF8"/>
    <w:rsid w:val="00415000"/>
    <w:rsid w:val="00415006"/>
    <w:rsid w:val="0041502F"/>
    <w:rsid w:val="00415040"/>
    <w:rsid w:val="00415071"/>
    <w:rsid w:val="0041509C"/>
    <w:rsid w:val="00415135"/>
    <w:rsid w:val="0041516C"/>
    <w:rsid w:val="004151DC"/>
    <w:rsid w:val="00415248"/>
    <w:rsid w:val="00415272"/>
    <w:rsid w:val="004152B8"/>
    <w:rsid w:val="00415317"/>
    <w:rsid w:val="004153A8"/>
    <w:rsid w:val="004153E7"/>
    <w:rsid w:val="004153E9"/>
    <w:rsid w:val="004153F6"/>
    <w:rsid w:val="00415404"/>
    <w:rsid w:val="0041548E"/>
    <w:rsid w:val="00415569"/>
    <w:rsid w:val="004155B8"/>
    <w:rsid w:val="004155C1"/>
    <w:rsid w:val="00415605"/>
    <w:rsid w:val="0041561A"/>
    <w:rsid w:val="00415654"/>
    <w:rsid w:val="0041565C"/>
    <w:rsid w:val="00415680"/>
    <w:rsid w:val="004156A8"/>
    <w:rsid w:val="00415714"/>
    <w:rsid w:val="00415754"/>
    <w:rsid w:val="00415776"/>
    <w:rsid w:val="004157A5"/>
    <w:rsid w:val="004157D5"/>
    <w:rsid w:val="004157EA"/>
    <w:rsid w:val="00415813"/>
    <w:rsid w:val="00415826"/>
    <w:rsid w:val="00415879"/>
    <w:rsid w:val="004158C5"/>
    <w:rsid w:val="004158C8"/>
    <w:rsid w:val="004158E7"/>
    <w:rsid w:val="0041594A"/>
    <w:rsid w:val="00415976"/>
    <w:rsid w:val="00415977"/>
    <w:rsid w:val="00415AD7"/>
    <w:rsid w:val="00415AD8"/>
    <w:rsid w:val="00415B16"/>
    <w:rsid w:val="00415B1D"/>
    <w:rsid w:val="00415B6E"/>
    <w:rsid w:val="00415B70"/>
    <w:rsid w:val="00415B9B"/>
    <w:rsid w:val="00415BB1"/>
    <w:rsid w:val="00415BBE"/>
    <w:rsid w:val="00415BBF"/>
    <w:rsid w:val="00415BF7"/>
    <w:rsid w:val="00415BF9"/>
    <w:rsid w:val="00415C27"/>
    <w:rsid w:val="00415CB8"/>
    <w:rsid w:val="00415CDB"/>
    <w:rsid w:val="00415CED"/>
    <w:rsid w:val="00415CFB"/>
    <w:rsid w:val="00415D29"/>
    <w:rsid w:val="00415D46"/>
    <w:rsid w:val="00415D7C"/>
    <w:rsid w:val="00415DBE"/>
    <w:rsid w:val="00415DD6"/>
    <w:rsid w:val="00415E21"/>
    <w:rsid w:val="00415E7B"/>
    <w:rsid w:val="00415E9C"/>
    <w:rsid w:val="00415EDE"/>
    <w:rsid w:val="00415F11"/>
    <w:rsid w:val="00415F1E"/>
    <w:rsid w:val="00415F44"/>
    <w:rsid w:val="00415F72"/>
    <w:rsid w:val="00415F8C"/>
    <w:rsid w:val="00416052"/>
    <w:rsid w:val="00416063"/>
    <w:rsid w:val="0041609E"/>
    <w:rsid w:val="0041615B"/>
    <w:rsid w:val="00416258"/>
    <w:rsid w:val="00416287"/>
    <w:rsid w:val="0041639E"/>
    <w:rsid w:val="004163A9"/>
    <w:rsid w:val="004163D7"/>
    <w:rsid w:val="00416535"/>
    <w:rsid w:val="00416597"/>
    <w:rsid w:val="00416613"/>
    <w:rsid w:val="0041661F"/>
    <w:rsid w:val="00416636"/>
    <w:rsid w:val="00416679"/>
    <w:rsid w:val="004166A8"/>
    <w:rsid w:val="0041670D"/>
    <w:rsid w:val="00416762"/>
    <w:rsid w:val="00416768"/>
    <w:rsid w:val="0041678B"/>
    <w:rsid w:val="0041681A"/>
    <w:rsid w:val="00416850"/>
    <w:rsid w:val="004168DD"/>
    <w:rsid w:val="004168FB"/>
    <w:rsid w:val="00416974"/>
    <w:rsid w:val="004169A0"/>
    <w:rsid w:val="004169EB"/>
    <w:rsid w:val="004169EE"/>
    <w:rsid w:val="00416A13"/>
    <w:rsid w:val="00416A97"/>
    <w:rsid w:val="00416AFA"/>
    <w:rsid w:val="00416B13"/>
    <w:rsid w:val="00416B2D"/>
    <w:rsid w:val="00416C4B"/>
    <w:rsid w:val="00416CA2"/>
    <w:rsid w:val="00416CAC"/>
    <w:rsid w:val="00416D2B"/>
    <w:rsid w:val="00416D7B"/>
    <w:rsid w:val="00416DEC"/>
    <w:rsid w:val="00416E23"/>
    <w:rsid w:val="00416E50"/>
    <w:rsid w:val="00416E55"/>
    <w:rsid w:val="00416E9B"/>
    <w:rsid w:val="00416EB9"/>
    <w:rsid w:val="00416EBE"/>
    <w:rsid w:val="00416EFD"/>
    <w:rsid w:val="00416F18"/>
    <w:rsid w:val="00416F2E"/>
    <w:rsid w:val="00416F44"/>
    <w:rsid w:val="00416F5C"/>
    <w:rsid w:val="00416F6F"/>
    <w:rsid w:val="00417017"/>
    <w:rsid w:val="0041703B"/>
    <w:rsid w:val="00417059"/>
    <w:rsid w:val="0041705C"/>
    <w:rsid w:val="00417073"/>
    <w:rsid w:val="004170D9"/>
    <w:rsid w:val="004170F5"/>
    <w:rsid w:val="0041710F"/>
    <w:rsid w:val="00417116"/>
    <w:rsid w:val="004171AD"/>
    <w:rsid w:val="004171E1"/>
    <w:rsid w:val="004171F7"/>
    <w:rsid w:val="0041723D"/>
    <w:rsid w:val="004172C6"/>
    <w:rsid w:val="0041730A"/>
    <w:rsid w:val="0041733B"/>
    <w:rsid w:val="0041733F"/>
    <w:rsid w:val="004173E3"/>
    <w:rsid w:val="00417454"/>
    <w:rsid w:val="00417466"/>
    <w:rsid w:val="00417471"/>
    <w:rsid w:val="0041748C"/>
    <w:rsid w:val="0041748E"/>
    <w:rsid w:val="004174C5"/>
    <w:rsid w:val="004174CD"/>
    <w:rsid w:val="004174D0"/>
    <w:rsid w:val="00417503"/>
    <w:rsid w:val="00417547"/>
    <w:rsid w:val="00417575"/>
    <w:rsid w:val="0041761F"/>
    <w:rsid w:val="00417661"/>
    <w:rsid w:val="00417664"/>
    <w:rsid w:val="00417685"/>
    <w:rsid w:val="004176D0"/>
    <w:rsid w:val="00417704"/>
    <w:rsid w:val="00417763"/>
    <w:rsid w:val="0041780A"/>
    <w:rsid w:val="00417813"/>
    <w:rsid w:val="004178AB"/>
    <w:rsid w:val="004178CA"/>
    <w:rsid w:val="004178D0"/>
    <w:rsid w:val="0041797E"/>
    <w:rsid w:val="00417986"/>
    <w:rsid w:val="00417A1C"/>
    <w:rsid w:val="00417AA4"/>
    <w:rsid w:val="00417ACC"/>
    <w:rsid w:val="00417ADF"/>
    <w:rsid w:val="00417AEE"/>
    <w:rsid w:val="00417B2F"/>
    <w:rsid w:val="00417B72"/>
    <w:rsid w:val="00417BDF"/>
    <w:rsid w:val="00417C35"/>
    <w:rsid w:val="00417CB1"/>
    <w:rsid w:val="00417D21"/>
    <w:rsid w:val="00417DE4"/>
    <w:rsid w:val="00417DE7"/>
    <w:rsid w:val="00417E3C"/>
    <w:rsid w:val="00417EC3"/>
    <w:rsid w:val="00417EC8"/>
    <w:rsid w:val="00417ED1"/>
    <w:rsid w:val="00417ED9"/>
    <w:rsid w:val="00417EFB"/>
    <w:rsid w:val="00417EFC"/>
    <w:rsid w:val="00417F36"/>
    <w:rsid w:val="00417FF4"/>
    <w:rsid w:val="00420004"/>
    <w:rsid w:val="0042002A"/>
    <w:rsid w:val="00420051"/>
    <w:rsid w:val="0042006F"/>
    <w:rsid w:val="004200E8"/>
    <w:rsid w:val="004200FA"/>
    <w:rsid w:val="00420123"/>
    <w:rsid w:val="0042017A"/>
    <w:rsid w:val="00420196"/>
    <w:rsid w:val="0042019F"/>
    <w:rsid w:val="004201AB"/>
    <w:rsid w:val="00420213"/>
    <w:rsid w:val="00420248"/>
    <w:rsid w:val="004202AD"/>
    <w:rsid w:val="00420304"/>
    <w:rsid w:val="00420331"/>
    <w:rsid w:val="0042033A"/>
    <w:rsid w:val="00420393"/>
    <w:rsid w:val="004203ED"/>
    <w:rsid w:val="00420423"/>
    <w:rsid w:val="00420478"/>
    <w:rsid w:val="004204A9"/>
    <w:rsid w:val="004204B5"/>
    <w:rsid w:val="004204B7"/>
    <w:rsid w:val="004204BE"/>
    <w:rsid w:val="004204D7"/>
    <w:rsid w:val="004204EB"/>
    <w:rsid w:val="004204FB"/>
    <w:rsid w:val="00420536"/>
    <w:rsid w:val="00420553"/>
    <w:rsid w:val="00420586"/>
    <w:rsid w:val="0042061C"/>
    <w:rsid w:val="004206A8"/>
    <w:rsid w:val="004206B1"/>
    <w:rsid w:val="0042070C"/>
    <w:rsid w:val="0042071F"/>
    <w:rsid w:val="00420740"/>
    <w:rsid w:val="00420791"/>
    <w:rsid w:val="0042079B"/>
    <w:rsid w:val="004207B8"/>
    <w:rsid w:val="00420807"/>
    <w:rsid w:val="00420812"/>
    <w:rsid w:val="0042085B"/>
    <w:rsid w:val="004208BA"/>
    <w:rsid w:val="004208DD"/>
    <w:rsid w:val="004208F6"/>
    <w:rsid w:val="0042094A"/>
    <w:rsid w:val="00420998"/>
    <w:rsid w:val="004209C0"/>
    <w:rsid w:val="004209FB"/>
    <w:rsid w:val="00420A93"/>
    <w:rsid w:val="00420AE6"/>
    <w:rsid w:val="00420B0B"/>
    <w:rsid w:val="00420BDE"/>
    <w:rsid w:val="00420C13"/>
    <w:rsid w:val="00420C25"/>
    <w:rsid w:val="00420C28"/>
    <w:rsid w:val="00420C3D"/>
    <w:rsid w:val="00420C48"/>
    <w:rsid w:val="00420D50"/>
    <w:rsid w:val="00420D5E"/>
    <w:rsid w:val="00420D77"/>
    <w:rsid w:val="00420DD6"/>
    <w:rsid w:val="00420DED"/>
    <w:rsid w:val="00420EFC"/>
    <w:rsid w:val="00420F47"/>
    <w:rsid w:val="00420F49"/>
    <w:rsid w:val="00420FE7"/>
    <w:rsid w:val="0042106B"/>
    <w:rsid w:val="00421135"/>
    <w:rsid w:val="0042113D"/>
    <w:rsid w:val="00421148"/>
    <w:rsid w:val="0042119B"/>
    <w:rsid w:val="004211A8"/>
    <w:rsid w:val="00421248"/>
    <w:rsid w:val="0042124A"/>
    <w:rsid w:val="0042124C"/>
    <w:rsid w:val="0042126A"/>
    <w:rsid w:val="00421289"/>
    <w:rsid w:val="00421315"/>
    <w:rsid w:val="00421380"/>
    <w:rsid w:val="0042139E"/>
    <w:rsid w:val="004213AE"/>
    <w:rsid w:val="004213E8"/>
    <w:rsid w:val="00421415"/>
    <w:rsid w:val="00421449"/>
    <w:rsid w:val="00421462"/>
    <w:rsid w:val="004214A1"/>
    <w:rsid w:val="004214C3"/>
    <w:rsid w:val="004214C6"/>
    <w:rsid w:val="004214E3"/>
    <w:rsid w:val="0042150C"/>
    <w:rsid w:val="00421512"/>
    <w:rsid w:val="0042152C"/>
    <w:rsid w:val="00421571"/>
    <w:rsid w:val="00421605"/>
    <w:rsid w:val="00421612"/>
    <w:rsid w:val="0042161A"/>
    <w:rsid w:val="0042161C"/>
    <w:rsid w:val="00421651"/>
    <w:rsid w:val="00421673"/>
    <w:rsid w:val="0042167B"/>
    <w:rsid w:val="004216B3"/>
    <w:rsid w:val="004216C4"/>
    <w:rsid w:val="00421708"/>
    <w:rsid w:val="00421746"/>
    <w:rsid w:val="00421759"/>
    <w:rsid w:val="0042186D"/>
    <w:rsid w:val="004218BD"/>
    <w:rsid w:val="004218D2"/>
    <w:rsid w:val="004218F1"/>
    <w:rsid w:val="00421980"/>
    <w:rsid w:val="00421A26"/>
    <w:rsid w:val="00421A50"/>
    <w:rsid w:val="00421A54"/>
    <w:rsid w:val="00421A8A"/>
    <w:rsid w:val="00421AEA"/>
    <w:rsid w:val="00421B00"/>
    <w:rsid w:val="00421B3B"/>
    <w:rsid w:val="00421B76"/>
    <w:rsid w:val="00421BAC"/>
    <w:rsid w:val="00421C2F"/>
    <w:rsid w:val="00421C8C"/>
    <w:rsid w:val="00421C98"/>
    <w:rsid w:val="00421CD8"/>
    <w:rsid w:val="00421D0F"/>
    <w:rsid w:val="00421D4D"/>
    <w:rsid w:val="00421E00"/>
    <w:rsid w:val="00421E60"/>
    <w:rsid w:val="00421ED1"/>
    <w:rsid w:val="00421EEE"/>
    <w:rsid w:val="00421F40"/>
    <w:rsid w:val="00421F9C"/>
    <w:rsid w:val="0042206A"/>
    <w:rsid w:val="004220C0"/>
    <w:rsid w:val="004220C5"/>
    <w:rsid w:val="004220D5"/>
    <w:rsid w:val="004220E1"/>
    <w:rsid w:val="00422121"/>
    <w:rsid w:val="00422144"/>
    <w:rsid w:val="00422255"/>
    <w:rsid w:val="00422321"/>
    <w:rsid w:val="00422322"/>
    <w:rsid w:val="0042237E"/>
    <w:rsid w:val="00422397"/>
    <w:rsid w:val="0042244C"/>
    <w:rsid w:val="00422468"/>
    <w:rsid w:val="00422489"/>
    <w:rsid w:val="00422490"/>
    <w:rsid w:val="0042249A"/>
    <w:rsid w:val="004224CC"/>
    <w:rsid w:val="0042255A"/>
    <w:rsid w:val="00422583"/>
    <w:rsid w:val="00422672"/>
    <w:rsid w:val="00422698"/>
    <w:rsid w:val="004226C4"/>
    <w:rsid w:val="004226C5"/>
    <w:rsid w:val="004226E0"/>
    <w:rsid w:val="00422743"/>
    <w:rsid w:val="00422774"/>
    <w:rsid w:val="0042278A"/>
    <w:rsid w:val="004227A0"/>
    <w:rsid w:val="004227F0"/>
    <w:rsid w:val="004228A4"/>
    <w:rsid w:val="004228C5"/>
    <w:rsid w:val="004228E7"/>
    <w:rsid w:val="004228FC"/>
    <w:rsid w:val="00422976"/>
    <w:rsid w:val="004229DE"/>
    <w:rsid w:val="004229FD"/>
    <w:rsid w:val="00422A19"/>
    <w:rsid w:val="00422A74"/>
    <w:rsid w:val="00422A7B"/>
    <w:rsid w:val="00422A8F"/>
    <w:rsid w:val="00422AC6"/>
    <w:rsid w:val="00422AC7"/>
    <w:rsid w:val="00422AEE"/>
    <w:rsid w:val="00422B06"/>
    <w:rsid w:val="00422B58"/>
    <w:rsid w:val="00422C06"/>
    <w:rsid w:val="00422C3C"/>
    <w:rsid w:val="00422CB2"/>
    <w:rsid w:val="00422D17"/>
    <w:rsid w:val="00422D37"/>
    <w:rsid w:val="00422D63"/>
    <w:rsid w:val="00422DA9"/>
    <w:rsid w:val="00422DE2"/>
    <w:rsid w:val="00422E39"/>
    <w:rsid w:val="00422EF5"/>
    <w:rsid w:val="00422F20"/>
    <w:rsid w:val="00422F86"/>
    <w:rsid w:val="00422FD4"/>
    <w:rsid w:val="00422FFE"/>
    <w:rsid w:val="00423049"/>
    <w:rsid w:val="00423075"/>
    <w:rsid w:val="0042308F"/>
    <w:rsid w:val="00423168"/>
    <w:rsid w:val="004231AF"/>
    <w:rsid w:val="00423269"/>
    <w:rsid w:val="0042328A"/>
    <w:rsid w:val="004232E9"/>
    <w:rsid w:val="004232EF"/>
    <w:rsid w:val="004233AF"/>
    <w:rsid w:val="004233B3"/>
    <w:rsid w:val="004233F4"/>
    <w:rsid w:val="00423434"/>
    <w:rsid w:val="004234CF"/>
    <w:rsid w:val="0042355B"/>
    <w:rsid w:val="0042359D"/>
    <w:rsid w:val="004235C9"/>
    <w:rsid w:val="004235ED"/>
    <w:rsid w:val="00423642"/>
    <w:rsid w:val="00423649"/>
    <w:rsid w:val="004236C1"/>
    <w:rsid w:val="004236C8"/>
    <w:rsid w:val="00423708"/>
    <w:rsid w:val="004237B0"/>
    <w:rsid w:val="004237B6"/>
    <w:rsid w:val="00423824"/>
    <w:rsid w:val="0042386D"/>
    <w:rsid w:val="0042390D"/>
    <w:rsid w:val="00423920"/>
    <w:rsid w:val="0042397B"/>
    <w:rsid w:val="004239A1"/>
    <w:rsid w:val="00423A19"/>
    <w:rsid w:val="00423A22"/>
    <w:rsid w:val="00423A63"/>
    <w:rsid w:val="00423A95"/>
    <w:rsid w:val="00423AFA"/>
    <w:rsid w:val="00423B09"/>
    <w:rsid w:val="00423B9A"/>
    <w:rsid w:val="00423BF1"/>
    <w:rsid w:val="00423D52"/>
    <w:rsid w:val="00423D7A"/>
    <w:rsid w:val="00423D9C"/>
    <w:rsid w:val="00423D9F"/>
    <w:rsid w:val="00423DD8"/>
    <w:rsid w:val="00423DEE"/>
    <w:rsid w:val="00423E4C"/>
    <w:rsid w:val="00423E9F"/>
    <w:rsid w:val="00423EB3"/>
    <w:rsid w:val="00424052"/>
    <w:rsid w:val="00424091"/>
    <w:rsid w:val="00424177"/>
    <w:rsid w:val="004241BF"/>
    <w:rsid w:val="0042420C"/>
    <w:rsid w:val="0042420E"/>
    <w:rsid w:val="0042421D"/>
    <w:rsid w:val="004242C5"/>
    <w:rsid w:val="004242C9"/>
    <w:rsid w:val="004242D2"/>
    <w:rsid w:val="00424381"/>
    <w:rsid w:val="004243AB"/>
    <w:rsid w:val="004244D6"/>
    <w:rsid w:val="00424537"/>
    <w:rsid w:val="00424545"/>
    <w:rsid w:val="00424576"/>
    <w:rsid w:val="00424588"/>
    <w:rsid w:val="00424597"/>
    <w:rsid w:val="004245A1"/>
    <w:rsid w:val="00424620"/>
    <w:rsid w:val="0042464E"/>
    <w:rsid w:val="00424650"/>
    <w:rsid w:val="00424654"/>
    <w:rsid w:val="0042468B"/>
    <w:rsid w:val="00424748"/>
    <w:rsid w:val="004247CA"/>
    <w:rsid w:val="004247D3"/>
    <w:rsid w:val="004247F5"/>
    <w:rsid w:val="00424839"/>
    <w:rsid w:val="00424849"/>
    <w:rsid w:val="00424853"/>
    <w:rsid w:val="0042485E"/>
    <w:rsid w:val="00424884"/>
    <w:rsid w:val="004248E9"/>
    <w:rsid w:val="004248EF"/>
    <w:rsid w:val="00424962"/>
    <w:rsid w:val="0042498B"/>
    <w:rsid w:val="00424AA4"/>
    <w:rsid w:val="00424B2B"/>
    <w:rsid w:val="00424B48"/>
    <w:rsid w:val="00424B89"/>
    <w:rsid w:val="00424BC1"/>
    <w:rsid w:val="00424BC2"/>
    <w:rsid w:val="00424BD3"/>
    <w:rsid w:val="00424BD4"/>
    <w:rsid w:val="00424C19"/>
    <w:rsid w:val="00424CA0"/>
    <w:rsid w:val="00424CC8"/>
    <w:rsid w:val="00424CE8"/>
    <w:rsid w:val="00424D64"/>
    <w:rsid w:val="00424DB2"/>
    <w:rsid w:val="00424DCA"/>
    <w:rsid w:val="00424E11"/>
    <w:rsid w:val="00424E54"/>
    <w:rsid w:val="00424E5A"/>
    <w:rsid w:val="00424EAE"/>
    <w:rsid w:val="00424F12"/>
    <w:rsid w:val="00424F4D"/>
    <w:rsid w:val="00424F81"/>
    <w:rsid w:val="00425011"/>
    <w:rsid w:val="00425032"/>
    <w:rsid w:val="00425071"/>
    <w:rsid w:val="004250CA"/>
    <w:rsid w:val="004250CC"/>
    <w:rsid w:val="004250F3"/>
    <w:rsid w:val="00425100"/>
    <w:rsid w:val="0042518A"/>
    <w:rsid w:val="004251C7"/>
    <w:rsid w:val="004251FC"/>
    <w:rsid w:val="00425270"/>
    <w:rsid w:val="004252F3"/>
    <w:rsid w:val="00425311"/>
    <w:rsid w:val="0042532F"/>
    <w:rsid w:val="00425368"/>
    <w:rsid w:val="004253FC"/>
    <w:rsid w:val="004254AE"/>
    <w:rsid w:val="004254B9"/>
    <w:rsid w:val="00425562"/>
    <w:rsid w:val="00425569"/>
    <w:rsid w:val="0042556D"/>
    <w:rsid w:val="004255A2"/>
    <w:rsid w:val="00425640"/>
    <w:rsid w:val="00425652"/>
    <w:rsid w:val="00425653"/>
    <w:rsid w:val="00425683"/>
    <w:rsid w:val="004256AB"/>
    <w:rsid w:val="004256B2"/>
    <w:rsid w:val="004256D2"/>
    <w:rsid w:val="0042578D"/>
    <w:rsid w:val="0042588E"/>
    <w:rsid w:val="004258A0"/>
    <w:rsid w:val="004258A7"/>
    <w:rsid w:val="0042597F"/>
    <w:rsid w:val="00425988"/>
    <w:rsid w:val="004259A9"/>
    <w:rsid w:val="004259BD"/>
    <w:rsid w:val="00425A22"/>
    <w:rsid w:val="00425A59"/>
    <w:rsid w:val="00425AA1"/>
    <w:rsid w:val="00425B12"/>
    <w:rsid w:val="00425B20"/>
    <w:rsid w:val="00425B29"/>
    <w:rsid w:val="00425B42"/>
    <w:rsid w:val="00425B48"/>
    <w:rsid w:val="00425BB7"/>
    <w:rsid w:val="00425BD7"/>
    <w:rsid w:val="00425C33"/>
    <w:rsid w:val="00425C40"/>
    <w:rsid w:val="00425C90"/>
    <w:rsid w:val="00425CB2"/>
    <w:rsid w:val="00425D48"/>
    <w:rsid w:val="00425D5F"/>
    <w:rsid w:val="00425E08"/>
    <w:rsid w:val="00425E29"/>
    <w:rsid w:val="00425E9E"/>
    <w:rsid w:val="00425EF4"/>
    <w:rsid w:val="00425F42"/>
    <w:rsid w:val="00425F82"/>
    <w:rsid w:val="00425FC5"/>
    <w:rsid w:val="00426026"/>
    <w:rsid w:val="00426080"/>
    <w:rsid w:val="004261A1"/>
    <w:rsid w:val="004261CE"/>
    <w:rsid w:val="00426205"/>
    <w:rsid w:val="00426214"/>
    <w:rsid w:val="0042621D"/>
    <w:rsid w:val="00426251"/>
    <w:rsid w:val="00426307"/>
    <w:rsid w:val="004263B8"/>
    <w:rsid w:val="004263BD"/>
    <w:rsid w:val="004263BF"/>
    <w:rsid w:val="004263F3"/>
    <w:rsid w:val="00426461"/>
    <w:rsid w:val="0042648E"/>
    <w:rsid w:val="004264BF"/>
    <w:rsid w:val="004264F7"/>
    <w:rsid w:val="0042657E"/>
    <w:rsid w:val="00426617"/>
    <w:rsid w:val="00426657"/>
    <w:rsid w:val="00426676"/>
    <w:rsid w:val="004266E3"/>
    <w:rsid w:val="004266EB"/>
    <w:rsid w:val="0042670C"/>
    <w:rsid w:val="004267DD"/>
    <w:rsid w:val="00426850"/>
    <w:rsid w:val="004268CE"/>
    <w:rsid w:val="004268D7"/>
    <w:rsid w:val="004268DB"/>
    <w:rsid w:val="0042694B"/>
    <w:rsid w:val="00426991"/>
    <w:rsid w:val="004269A1"/>
    <w:rsid w:val="004269AE"/>
    <w:rsid w:val="00426A28"/>
    <w:rsid w:val="00426A3B"/>
    <w:rsid w:val="00426AAF"/>
    <w:rsid w:val="00426AB7"/>
    <w:rsid w:val="00426B16"/>
    <w:rsid w:val="00426B50"/>
    <w:rsid w:val="00426BA3"/>
    <w:rsid w:val="00426BB1"/>
    <w:rsid w:val="00426BD3"/>
    <w:rsid w:val="00426BEF"/>
    <w:rsid w:val="00426C18"/>
    <w:rsid w:val="00426CA3"/>
    <w:rsid w:val="00426CAA"/>
    <w:rsid w:val="00426CB3"/>
    <w:rsid w:val="00426CB8"/>
    <w:rsid w:val="00426D03"/>
    <w:rsid w:val="00426D28"/>
    <w:rsid w:val="00426D5C"/>
    <w:rsid w:val="00426DE8"/>
    <w:rsid w:val="00426DEA"/>
    <w:rsid w:val="00426DED"/>
    <w:rsid w:val="00426DFE"/>
    <w:rsid w:val="00426E12"/>
    <w:rsid w:val="00426E70"/>
    <w:rsid w:val="00426F80"/>
    <w:rsid w:val="00426F88"/>
    <w:rsid w:val="00426F8B"/>
    <w:rsid w:val="00426FA1"/>
    <w:rsid w:val="00426FFB"/>
    <w:rsid w:val="0042701B"/>
    <w:rsid w:val="0042702D"/>
    <w:rsid w:val="00427035"/>
    <w:rsid w:val="00427060"/>
    <w:rsid w:val="0042706F"/>
    <w:rsid w:val="004270BC"/>
    <w:rsid w:val="004270D3"/>
    <w:rsid w:val="004270E1"/>
    <w:rsid w:val="00427142"/>
    <w:rsid w:val="00427196"/>
    <w:rsid w:val="00427198"/>
    <w:rsid w:val="004271A0"/>
    <w:rsid w:val="00427213"/>
    <w:rsid w:val="00427266"/>
    <w:rsid w:val="0042726F"/>
    <w:rsid w:val="0042730C"/>
    <w:rsid w:val="0042730F"/>
    <w:rsid w:val="00427342"/>
    <w:rsid w:val="0042734B"/>
    <w:rsid w:val="0042738D"/>
    <w:rsid w:val="004273A1"/>
    <w:rsid w:val="004273A4"/>
    <w:rsid w:val="004273E7"/>
    <w:rsid w:val="004273FB"/>
    <w:rsid w:val="0042744A"/>
    <w:rsid w:val="00427466"/>
    <w:rsid w:val="0042749E"/>
    <w:rsid w:val="004274E3"/>
    <w:rsid w:val="004274ED"/>
    <w:rsid w:val="00427508"/>
    <w:rsid w:val="0042758C"/>
    <w:rsid w:val="004275C7"/>
    <w:rsid w:val="00427600"/>
    <w:rsid w:val="0042760A"/>
    <w:rsid w:val="004276A0"/>
    <w:rsid w:val="004276AD"/>
    <w:rsid w:val="004276AE"/>
    <w:rsid w:val="004276FA"/>
    <w:rsid w:val="0042771C"/>
    <w:rsid w:val="00427735"/>
    <w:rsid w:val="00427763"/>
    <w:rsid w:val="004277E4"/>
    <w:rsid w:val="00427814"/>
    <w:rsid w:val="00427892"/>
    <w:rsid w:val="004278AE"/>
    <w:rsid w:val="00427907"/>
    <w:rsid w:val="0042792E"/>
    <w:rsid w:val="004279BA"/>
    <w:rsid w:val="004279E5"/>
    <w:rsid w:val="004279E7"/>
    <w:rsid w:val="00427A3C"/>
    <w:rsid w:val="00427A49"/>
    <w:rsid w:val="00427A60"/>
    <w:rsid w:val="00427B16"/>
    <w:rsid w:val="00427B1E"/>
    <w:rsid w:val="00427B80"/>
    <w:rsid w:val="00427B93"/>
    <w:rsid w:val="00427BE5"/>
    <w:rsid w:val="00427BF0"/>
    <w:rsid w:val="00427BFC"/>
    <w:rsid w:val="00427C04"/>
    <w:rsid w:val="00427C0E"/>
    <w:rsid w:val="00427C27"/>
    <w:rsid w:val="00427C40"/>
    <w:rsid w:val="00427C98"/>
    <w:rsid w:val="00427CDD"/>
    <w:rsid w:val="00427CFD"/>
    <w:rsid w:val="00427D15"/>
    <w:rsid w:val="00427D59"/>
    <w:rsid w:val="00427D5B"/>
    <w:rsid w:val="00427DB3"/>
    <w:rsid w:val="00427DE6"/>
    <w:rsid w:val="00427E03"/>
    <w:rsid w:val="00427E9D"/>
    <w:rsid w:val="00427ED1"/>
    <w:rsid w:val="00427F61"/>
    <w:rsid w:val="00427FA8"/>
    <w:rsid w:val="00427FF6"/>
    <w:rsid w:val="00430083"/>
    <w:rsid w:val="00430101"/>
    <w:rsid w:val="00430137"/>
    <w:rsid w:val="00430174"/>
    <w:rsid w:val="004301BD"/>
    <w:rsid w:val="004301FC"/>
    <w:rsid w:val="00430287"/>
    <w:rsid w:val="004302A9"/>
    <w:rsid w:val="00430345"/>
    <w:rsid w:val="00430364"/>
    <w:rsid w:val="004303FA"/>
    <w:rsid w:val="0043045F"/>
    <w:rsid w:val="00430535"/>
    <w:rsid w:val="00430545"/>
    <w:rsid w:val="00430658"/>
    <w:rsid w:val="0043068F"/>
    <w:rsid w:val="0043069F"/>
    <w:rsid w:val="004306B5"/>
    <w:rsid w:val="004306B8"/>
    <w:rsid w:val="0043078F"/>
    <w:rsid w:val="004307AB"/>
    <w:rsid w:val="004307AE"/>
    <w:rsid w:val="0043084E"/>
    <w:rsid w:val="0043084F"/>
    <w:rsid w:val="0043088B"/>
    <w:rsid w:val="00430890"/>
    <w:rsid w:val="004309BD"/>
    <w:rsid w:val="004309DB"/>
    <w:rsid w:val="00430A9D"/>
    <w:rsid w:val="00430B06"/>
    <w:rsid w:val="00430B3C"/>
    <w:rsid w:val="00430B66"/>
    <w:rsid w:val="00430C70"/>
    <w:rsid w:val="00430C9D"/>
    <w:rsid w:val="00430CB9"/>
    <w:rsid w:val="00430CDD"/>
    <w:rsid w:val="00430DB2"/>
    <w:rsid w:val="00430DD3"/>
    <w:rsid w:val="00430DFA"/>
    <w:rsid w:val="00430E38"/>
    <w:rsid w:val="00430E90"/>
    <w:rsid w:val="00430F07"/>
    <w:rsid w:val="00430F0E"/>
    <w:rsid w:val="00430F80"/>
    <w:rsid w:val="004310E7"/>
    <w:rsid w:val="004311B9"/>
    <w:rsid w:val="00431274"/>
    <w:rsid w:val="00431277"/>
    <w:rsid w:val="00431291"/>
    <w:rsid w:val="004312B4"/>
    <w:rsid w:val="00431323"/>
    <w:rsid w:val="00431329"/>
    <w:rsid w:val="00431334"/>
    <w:rsid w:val="00431364"/>
    <w:rsid w:val="004313AB"/>
    <w:rsid w:val="004313E0"/>
    <w:rsid w:val="0043144C"/>
    <w:rsid w:val="0043146D"/>
    <w:rsid w:val="004314CD"/>
    <w:rsid w:val="004314D3"/>
    <w:rsid w:val="004314F7"/>
    <w:rsid w:val="00431547"/>
    <w:rsid w:val="00431575"/>
    <w:rsid w:val="00431699"/>
    <w:rsid w:val="0043170E"/>
    <w:rsid w:val="00431715"/>
    <w:rsid w:val="0043172C"/>
    <w:rsid w:val="00431767"/>
    <w:rsid w:val="0043179D"/>
    <w:rsid w:val="00431815"/>
    <w:rsid w:val="00431816"/>
    <w:rsid w:val="0043182E"/>
    <w:rsid w:val="00431890"/>
    <w:rsid w:val="004318F1"/>
    <w:rsid w:val="004318FE"/>
    <w:rsid w:val="00431925"/>
    <w:rsid w:val="00431951"/>
    <w:rsid w:val="00431957"/>
    <w:rsid w:val="0043195C"/>
    <w:rsid w:val="0043198C"/>
    <w:rsid w:val="00431A04"/>
    <w:rsid w:val="00431A20"/>
    <w:rsid w:val="00431A34"/>
    <w:rsid w:val="00431A4E"/>
    <w:rsid w:val="00431A82"/>
    <w:rsid w:val="00431AAC"/>
    <w:rsid w:val="00431AB6"/>
    <w:rsid w:val="00431AFA"/>
    <w:rsid w:val="00431B6E"/>
    <w:rsid w:val="00431B87"/>
    <w:rsid w:val="00431BA2"/>
    <w:rsid w:val="00431BD7"/>
    <w:rsid w:val="00431BE1"/>
    <w:rsid w:val="00431C0A"/>
    <w:rsid w:val="00431C39"/>
    <w:rsid w:val="00431CF0"/>
    <w:rsid w:val="00431D24"/>
    <w:rsid w:val="00431D32"/>
    <w:rsid w:val="00431D78"/>
    <w:rsid w:val="00431DB2"/>
    <w:rsid w:val="00431DBF"/>
    <w:rsid w:val="00431DC9"/>
    <w:rsid w:val="00431EAA"/>
    <w:rsid w:val="00431F0C"/>
    <w:rsid w:val="00431F12"/>
    <w:rsid w:val="00431F34"/>
    <w:rsid w:val="00431F6B"/>
    <w:rsid w:val="00431F77"/>
    <w:rsid w:val="00431FAF"/>
    <w:rsid w:val="00431FB0"/>
    <w:rsid w:val="00431FBC"/>
    <w:rsid w:val="00432024"/>
    <w:rsid w:val="00432099"/>
    <w:rsid w:val="004320EE"/>
    <w:rsid w:val="0043212A"/>
    <w:rsid w:val="00432153"/>
    <w:rsid w:val="0043219A"/>
    <w:rsid w:val="004321B7"/>
    <w:rsid w:val="004321D8"/>
    <w:rsid w:val="004321FB"/>
    <w:rsid w:val="0043220A"/>
    <w:rsid w:val="00432239"/>
    <w:rsid w:val="0043223B"/>
    <w:rsid w:val="0043234F"/>
    <w:rsid w:val="004323AB"/>
    <w:rsid w:val="004323C9"/>
    <w:rsid w:val="004323D3"/>
    <w:rsid w:val="0043243F"/>
    <w:rsid w:val="0043244D"/>
    <w:rsid w:val="004324A4"/>
    <w:rsid w:val="00432539"/>
    <w:rsid w:val="00432562"/>
    <w:rsid w:val="004325AA"/>
    <w:rsid w:val="004325E4"/>
    <w:rsid w:val="004325F1"/>
    <w:rsid w:val="0043262D"/>
    <w:rsid w:val="0043263F"/>
    <w:rsid w:val="004326B5"/>
    <w:rsid w:val="004326C2"/>
    <w:rsid w:val="0043277F"/>
    <w:rsid w:val="00432798"/>
    <w:rsid w:val="0043279B"/>
    <w:rsid w:val="004327CC"/>
    <w:rsid w:val="00432860"/>
    <w:rsid w:val="00432867"/>
    <w:rsid w:val="004328A9"/>
    <w:rsid w:val="004328BD"/>
    <w:rsid w:val="004329A5"/>
    <w:rsid w:val="004329AC"/>
    <w:rsid w:val="004329B5"/>
    <w:rsid w:val="004329CD"/>
    <w:rsid w:val="00432A04"/>
    <w:rsid w:val="00432ACE"/>
    <w:rsid w:val="00432B64"/>
    <w:rsid w:val="00432B6D"/>
    <w:rsid w:val="00432B88"/>
    <w:rsid w:val="00432B8B"/>
    <w:rsid w:val="00432BB5"/>
    <w:rsid w:val="00432BCD"/>
    <w:rsid w:val="00432BD5"/>
    <w:rsid w:val="00432C20"/>
    <w:rsid w:val="00432C33"/>
    <w:rsid w:val="00432C3F"/>
    <w:rsid w:val="00432CE9"/>
    <w:rsid w:val="00432D6B"/>
    <w:rsid w:val="00432D90"/>
    <w:rsid w:val="00432E88"/>
    <w:rsid w:val="00432EAD"/>
    <w:rsid w:val="00432ECF"/>
    <w:rsid w:val="00432EE8"/>
    <w:rsid w:val="00432F36"/>
    <w:rsid w:val="00432FD2"/>
    <w:rsid w:val="00433110"/>
    <w:rsid w:val="004331C6"/>
    <w:rsid w:val="0043324A"/>
    <w:rsid w:val="004332AB"/>
    <w:rsid w:val="004332AD"/>
    <w:rsid w:val="004332BA"/>
    <w:rsid w:val="0043332D"/>
    <w:rsid w:val="0043333E"/>
    <w:rsid w:val="0043342D"/>
    <w:rsid w:val="0043345A"/>
    <w:rsid w:val="004334CE"/>
    <w:rsid w:val="0043355C"/>
    <w:rsid w:val="00433590"/>
    <w:rsid w:val="00433614"/>
    <w:rsid w:val="0043361D"/>
    <w:rsid w:val="00433646"/>
    <w:rsid w:val="00433648"/>
    <w:rsid w:val="00433665"/>
    <w:rsid w:val="004336A0"/>
    <w:rsid w:val="004336A2"/>
    <w:rsid w:val="004336BE"/>
    <w:rsid w:val="004336E3"/>
    <w:rsid w:val="0043370D"/>
    <w:rsid w:val="004337A0"/>
    <w:rsid w:val="0043385B"/>
    <w:rsid w:val="0043385F"/>
    <w:rsid w:val="00433869"/>
    <w:rsid w:val="004338BE"/>
    <w:rsid w:val="00433977"/>
    <w:rsid w:val="004339A6"/>
    <w:rsid w:val="004339AB"/>
    <w:rsid w:val="004339EA"/>
    <w:rsid w:val="00433A0B"/>
    <w:rsid w:val="00433A58"/>
    <w:rsid w:val="00433A76"/>
    <w:rsid w:val="00433AEA"/>
    <w:rsid w:val="00433AFB"/>
    <w:rsid w:val="00433B05"/>
    <w:rsid w:val="00433B41"/>
    <w:rsid w:val="00433B59"/>
    <w:rsid w:val="00433B93"/>
    <w:rsid w:val="00433BBC"/>
    <w:rsid w:val="00433BC6"/>
    <w:rsid w:val="00433C51"/>
    <w:rsid w:val="00433C61"/>
    <w:rsid w:val="00433CAA"/>
    <w:rsid w:val="00433CC6"/>
    <w:rsid w:val="00433D22"/>
    <w:rsid w:val="00433D34"/>
    <w:rsid w:val="00433D91"/>
    <w:rsid w:val="00433D99"/>
    <w:rsid w:val="00433E4B"/>
    <w:rsid w:val="00433E6E"/>
    <w:rsid w:val="00433E73"/>
    <w:rsid w:val="00433EA7"/>
    <w:rsid w:val="00433EBF"/>
    <w:rsid w:val="00433EF2"/>
    <w:rsid w:val="00433F3F"/>
    <w:rsid w:val="0043401E"/>
    <w:rsid w:val="0043402F"/>
    <w:rsid w:val="0043403A"/>
    <w:rsid w:val="0043405D"/>
    <w:rsid w:val="0043408F"/>
    <w:rsid w:val="004340ED"/>
    <w:rsid w:val="004340F2"/>
    <w:rsid w:val="00434101"/>
    <w:rsid w:val="00434120"/>
    <w:rsid w:val="00434124"/>
    <w:rsid w:val="0043414F"/>
    <w:rsid w:val="00434215"/>
    <w:rsid w:val="0043421C"/>
    <w:rsid w:val="00434225"/>
    <w:rsid w:val="004342B4"/>
    <w:rsid w:val="004342C6"/>
    <w:rsid w:val="00434303"/>
    <w:rsid w:val="00434305"/>
    <w:rsid w:val="0043430F"/>
    <w:rsid w:val="00434344"/>
    <w:rsid w:val="004343BF"/>
    <w:rsid w:val="00434444"/>
    <w:rsid w:val="00434492"/>
    <w:rsid w:val="0043449E"/>
    <w:rsid w:val="004344E4"/>
    <w:rsid w:val="004344F8"/>
    <w:rsid w:val="004344FE"/>
    <w:rsid w:val="00434541"/>
    <w:rsid w:val="0043457E"/>
    <w:rsid w:val="004345A9"/>
    <w:rsid w:val="004345F1"/>
    <w:rsid w:val="004345FB"/>
    <w:rsid w:val="00434643"/>
    <w:rsid w:val="004346B4"/>
    <w:rsid w:val="004346BC"/>
    <w:rsid w:val="0043475E"/>
    <w:rsid w:val="004347C9"/>
    <w:rsid w:val="00434806"/>
    <w:rsid w:val="004348AA"/>
    <w:rsid w:val="004348AF"/>
    <w:rsid w:val="004348B3"/>
    <w:rsid w:val="00434900"/>
    <w:rsid w:val="00434921"/>
    <w:rsid w:val="00434923"/>
    <w:rsid w:val="00434926"/>
    <w:rsid w:val="00434973"/>
    <w:rsid w:val="004349D5"/>
    <w:rsid w:val="004349E0"/>
    <w:rsid w:val="00434A95"/>
    <w:rsid w:val="00434B3A"/>
    <w:rsid w:val="00434C7B"/>
    <w:rsid w:val="00434CBE"/>
    <w:rsid w:val="00434CC1"/>
    <w:rsid w:val="00434D7F"/>
    <w:rsid w:val="00434D88"/>
    <w:rsid w:val="00434DEE"/>
    <w:rsid w:val="00434DEF"/>
    <w:rsid w:val="00434E11"/>
    <w:rsid w:val="00434E75"/>
    <w:rsid w:val="00434E9C"/>
    <w:rsid w:val="00434EBE"/>
    <w:rsid w:val="00434F18"/>
    <w:rsid w:val="00434F72"/>
    <w:rsid w:val="00434FBF"/>
    <w:rsid w:val="00434FC2"/>
    <w:rsid w:val="00434FF5"/>
    <w:rsid w:val="00434FF9"/>
    <w:rsid w:val="004351A0"/>
    <w:rsid w:val="004352BF"/>
    <w:rsid w:val="004352E2"/>
    <w:rsid w:val="00435341"/>
    <w:rsid w:val="0043536D"/>
    <w:rsid w:val="00435385"/>
    <w:rsid w:val="00435399"/>
    <w:rsid w:val="004353A8"/>
    <w:rsid w:val="004353FD"/>
    <w:rsid w:val="00435429"/>
    <w:rsid w:val="00435438"/>
    <w:rsid w:val="0043543A"/>
    <w:rsid w:val="0043548F"/>
    <w:rsid w:val="0043549E"/>
    <w:rsid w:val="004354B8"/>
    <w:rsid w:val="00435564"/>
    <w:rsid w:val="004355AB"/>
    <w:rsid w:val="004355E7"/>
    <w:rsid w:val="004355F7"/>
    <w:rsid w:val="00435623"/>
    <w:rsid w:val="00435632"/>
    <w:rsid w:val="00435652"/>
    <w:rsid w:val="00435673"/>
    <w:rsid w:val="004356D1"/>
    <w:rsid w:val="004356F6"/>
    <w:rsid w:val="00435810"/>
    <w:rsid w:val="0043583F"/>
    <w:rsid w:val="00435852"/>
    <w:rsid w:val="00435861"/>
    <w:rsid w:val="004358A4"/>
    <w:rsid w:val="004358C4"/>
    <w:rsid w:val="004358D7"/>
    <w:rsid w:val="004358E5"/>
    <w:rsid w:val="0043591E"/>
    <w:rsid w:val="00435958"/>
    <w:rsid w:val="00435996"/>
    <w:rsid w:val="004359D0"/>
    <w:rsid w:val="004359E5"/>
    <w:rsid w:val="00435A06"/>
    <w:rsid w:val="00435A52"/>
    <w:rsid w:val="00435AC9"/>
    <w:rsid w:val="00435AEE"/>
    <w:rsid w:val="00435B88"/>
    <w:rsid w:val="00435BA1"/>
    <w:rsid w:val="00435BD9"/>
    <w:rsid w:val="00435C0D"/>
    <w:rsid w:val="00435C7A"/>
    <w:rsid w:val="00435C9F"/>
    <w:rsid w:val="00435CB5"/>
    <w:rsid w:val="00435CE7"/>
    <w:rsid w:val="00435D27"/>
    <w:rsid w:val="00435D8B"/>
    <w:rsid w:val="00435E9B"/>
    <w:rsid w:val="00435F12"/>
    <w:rsid w:val="00435F69"/>
    <w:rsid w:val="00435FA7"/>
    <w:rsid w:val="00435FF9"/>
    <w:rsid w:val="00436052"/>
    <w:rsid w:val="00436063"/>
    <w:rsid w:val="004360A2"/>
    <w:rsid w:val="004360B3"/>
    <w:rsid w:val="004360DD"/>
    <w:rsid w:val="004360EC"/>
    <w:rsid w:val="00436128"/>
    <w:rsid w:val="0043613B"/>
    <w:rsid w:val="00436195"/>
    <w:rsid w:val="00436197"/>
    <w:rsid w:val="00436291"/>
    <w:rsid w:val="00436316"/>
    <w:rsid w:val="0043631E"/>
    <w:rsid w:val="004363B6"/>
    <w:rsid w:val="004363D5"/>
    <w:rsid w:val="004363F1"/>
    <w:rsid w:val="00436402"/>
    <w:rsid w:val="004364D5"/>
    <w:rsid w:val="004364F3"/>
    <w:rsid w:val="004364F5"/>
    <w:rsid w:val="00436528"/>
    <w:rsid w:val="004365B3"/>
    <w:rsid w:val="004365BF"/>
    <w:rsid w:val="0043660F"/>
    <w:rsid w:val="0043663B"/>
    <w:rsid w:val="0043666B"/>
    <w:rsid w:val="004366A2"/>
    <w:rsid w:val="00436718"/>
    <w:rsid w:val="00436728"/>
    <w:rsid w:val="00436734"/>
    <w:rsid w:val="00436745"/>
    <w:rsid w:val="00436799"/>
    <w:rsid w:val="00436859"/>
    <w:rsid w:val="0043687E"/>
    <w:rsid w:val="00436887"/>
    <w:rsid w:val="004368C9"/>
    <w:rsid w:val="00436908"/>
    <w:rsid w:val="0043697B"/>
    <w:rsid w:val="0043699B"/>
    <w:rsid w:val="004369A5"/>
    <w:rsid w:val="004369D6"/>
    <w:rsid w:val="00436A1D"/>
    <w:rsid w:val="00436AB4"/>
    <w:rsid w:val="00436ABD"/>
    <w:rsid w:val="00436AF8"/>
    <w:rsid w:val="00436B02"/>
    <w:rsid w:val="00436B7B"/>
    <w:rsid w:val="00436BA1"/>
    <w:rsid w:val="00436C00"/>
    <w:rsid w:val="00436C0E"/>
    <w:rsid w:val="00436C55"/>
    <w:rsid w:val="00436C5C"/>
    <w:rsid w:val="00436C72"/>
    <w:rsid w:val="00436C83"/>
    <w:rsid w:val="00436C9C"/>
    <w:rsid w:val="00436C9F"/>
    <w:rsid w:val="00436CA8"/>
    <w:rsid w:val="00436D32"/>
    <w:rsid w:val="00436D4B"/>
    <w:rsid w:val="00436D9A"/>
    <w:rsid w:val="00436DC7"/>
    <w:rsid w:val="00436E0C"/>
    <w:rsid w:val="00436E21"/>
    <w:rsid w:val="00436EAA"/>
    <w:rsid w:val="00436EFD"/>
    <w:rsid w:val="00436EFF"/>
    <w:rsid w:val="00436F09"/>
    <w:rsid w:val="0043705A"/>
    <w:rsid w:val="004370A1"/>
    <w:rsid w:val="004370D3"/>
    <w:rsid w:val="0043710E"/>
    <w:rsid w:val="00437128"/>
    <w:rsid w:val="0043714F"/>
    <w:rsid w:val="00437160"/>
    <w:rsid w:val="00437175"/>
    <w:rsid w:val="004371AF"/>
    <w:rsid w:val="004371E6"/>
    <w:rsid w:val="0043723E"/>
    <w:rsid w:val="00437245"/>
    <w:rsid w:val="004372CD"/>
    <w:rsid w:val="0043736F"/>
    <w:rsid w:val="0043737A"/>
    <w:rsid w:val="00437441"/>
    <w:rsid w:val="0043745E"/>
    <w:rsid w:val="004374B8"/>
    <w:rsid w:val="00437511"/>
    <w:rsid w:val="00437517"/>
    <w:rsid w:val="0043751A"/>
    <w:rsid w:val="0043755D"/>
    <w:rsid w:val="004375E8"/>
    <w:rsid w:val="00437638"/>
    <w:rsid w:val="004376C5"/>
    <w:rsid w:val="004376CF"/>
    <w:rsid w:val="0043771B"/>
    <w:rsid w:val="00437742"/>
    <w:rsid w:val="004377FE"/>
    <w:rsid w:val="004378E3"/>
    <w:rsid w:val="00437942"/>
    <w:rsid w:val="0043795C"/>
    <w:rsid w:val="004379B5"/>
    <w:rsid w:val="004379C0"/>
    <w:rsid w:val="00437A1E"/>
    <w:rsid w:val="00437A59"/>
    <w:rsid w:val="00437A8A"/>
    <w:rsid w:val="00437AA0"/>
    <w:rsid w:val="00437AA6"/>
    <w:rsid w:val="00437B22"/>
    <w:rsid w:val="00437BB1"/>
    <w:rsid w:val="00437C17"/>
    <w:rsid w:val="00437C23"/>
    <w:rsid w:val="00437C56"/>
    <w:rsid w:val="00437C7F"/>
    <w:rsid w:val="00437CD9"/>
    <w:rsid w:val="00437D43"/>
    <w:rsid w:val="00437DAE"/>
    <w:rsid w:val="00437DB4"/>
    <w:rsid w:val="00437E6A"/>
    <w:rsid w:val="00437E79"/>
    <w:rsid w:val="00437ECC"/>
    <w:rsid w:val="00437EE3"/>
    <w:rsid w:val="00437F3B"/>
    <w:rsid w:val="00437F72"/>
    <w:rsid w:val="0044005D"/>
    <w:rsid w:val="0044009B"/>
    <w:rsid w:val="004400B9"/>
    <w:rsid w:val="004400D5"/>
    <w:rsid w:val="00440157"/>
    <w:rsid w:val="0044019F"/>
    <w:rsid w:val="004401CA"/>
    <w:rsid w:val="0044024D"/>
    <w:rsid w:val="00440275"/>
    <w:rsid w:val="0044028B"/>
    <w:rsid w:val="004402D7"/>
    <w:rsid w:val="0044031A"/>
    <w:rsid w:val="00440449"/>
    <w:rsid w:val="00440491"/>
    <w:rsid w:val="004404A4"/>
    <w:rsid w:val="004404DF"/>
    <w:rsid w:val="004404EC"/>
    <w:rsid w:val="0044050C"/>
    <w:rsid w:val="0044053E"/>
    <w:rsid w:val="004405B1"/>
    <w:rsid w:val="004405F4"/>
    <w:rsid w:val="0044064F"/>
    <w:rsid w:val="00440694"/>
    <w:rsid w:val="004406B4"/>
    <w:rsid w:val="0044072E"/>
    <w:rsid w:val="00440741"/>
    <w:rsid w:val="00440745"/>
    <w:rsid w:val="00440798"/>
    <w:rsid w:val="004407EF"/>
    <w:rsid w:val="004407F9"/>
    <w:rsid w:val="0044087B"/>
    <w:rsid w:val="00440882"/>
    <w:rsid w:val="004408B7"/>
    <w:rsid w:val="004408EA"/>
    <w:rsid w:val="00440926"/>
    <w:rsid w:val="0044096B"/>
    <w:rsid w:val="004409DC"/>
    <w:rsid w:val="00440A68"/>
    <w:rsid w:val="00440A7B"/>
    <w:rsid w:val="00440ACB"/>
    <w:rsid w:val="00440AD0"/>
    <w:rsid w:val="00440ADC"/>
    <w:rsid w:val="00440B46"/>
    <w:rsid w:val="00440B7E"/>
    <w:rsid w:val="00440BDC"/>
    <w:rsid w:val="00440C02"/>
    <w:rsid w:val="00440D55"/>
    <w:rsid w:val="00440D89"/>
    <w:rsid w:val="00440DBB"/>
    <w:rsid w:val="00440DFD"/>
    <w:rsid w:val="00440E01"/>
    <w:rsid w:val="00440E6A"/>
    <w:rsid w:val="00440FEF"/>
    <w:rsid w:val="00441036"/>
    <w:rsid w:val="00441086"/>
    <w:rsid w:val="004410BA"/>
    <w:rsid w:val="004410CA"/>
    <w:rsid w:val="00441124"/>
    <w:rsid w:val="0044112F"/>
    <w:rsid w:val="00441131"/>
    <w:rsid w:val="00441175"/>
    <w:rsid w:val="00441189"/>
    <w:rsid w:val="004411CC"/>
    <w:rsid w:val="004411D4"/>
    <w:rsid w:val="004411DE"/>
    <w:rsid w:val="004411F3"/>
    <w:rsid w:val="004412BC"/>
    <w:rsid w:val="004412E5"/>
    <w:rsid w:val="004412F6"/>
    <w:rsid w:val="0044137C"/>
    <w:rsid w:val="00441397"/>
    <w:rsid w:val="00441454"/>
    <w:rsid w:val="0044158A"/>
    <w:rsid w:val="004415D3"/>
    <w:rsid w:val="004415D4"/>
    <w:rsid w:val="00441614"/>
    <w:rsid w:val="0044162B"/>
    <w:rsid w:val="00441697"/>
    <w:rsid w:val="00441773"/>
    <w:rsid w:val="0044181D"/>
    <w:rsid w:val="0044182D"/>
    <w:rsid w:val="00441840"/>
    <w:rsid w:val="00441848"/>
    <w:rsid w:val="00441859"/>
    <w:rsid w:val="004418F5"/>
    <w:rsid w:val="004418FE"/>
    <w:rsid w:val="00441903"/>
    <w:rsid w:val="00441A87"/>
    <w:rsid w:val="00441A89"/>
    <w:rsid w:val="00441AE6"/>
    <w:rsid w:val="00441AEF"/>
    <w:rsid w:val="00441B03"/>
    <w:rsid w:val="00441B3C"/>
    <w:rsid w:val="00441B67"/>
    <w:rsid w:val="00441B7B"/>
    <w:rsid w:val="00441BA1"/>
    <w:rsid w:val="00441BAE"/>
    <w:rsid w:val="00441BCE"/>
    <w:rsid w:val="00441C0D"/>
    <w:rsid w:val="00441C2B"/>
    <w:rsid w:val="00441C4F"/>
    <w:rsid w:val="00441C8A"/>
    <w:rsid w:val="00441CAF"/>
    <w:rsid w:val="00441CBE"/>
    <w:rsid w:val="00441CEF"/>
    <w:rsid w:val="00441D4C"/>
    <w:rsid w:val="00441D75"/>
    <w:rsid w:val="00441DE1"/>
    <w:rsid w:val="00441EA0"/>
    <w:rsid w:val="00441F43"/>
    <w:rsid w:val="00441F46"/>
    <w:rsid w:val="00441F56"/>
    <w:rsid w:val="00441F94"/>
    <w:rsid w:val="00441FA2"/>
    <w:rsid w:val="00441FB8"/>
    <w:rsid w:val="00441FF6"/>
    <w:rsid w:val="0044202C"/>
    <w:rsid w:val="0044206C"/>
    <w:rsid w:val="00442089"/>
    <w:rsid w:val="00442094"/>
    <w:rsid w:val="004420E0"/>
    <w:rsid w:val="004420FA"/>
    <w:rsid w:val="00442137"/>
    <w:rsid w:val="0044214E"/>
    <w:rsid w:val="0044216E"/>
    <w:rsid w:val="004421C2"/>
    <w:rsid w:val="0044227E"/>
    <w:rsid w:val="00442295"/>
    <w:rsid w:val="00442297"/>
    <w:rsid w:val="004422FE"/>
    <w:rsid w:val="00442307"/>
    <w:rsid w:val="00442344"/>
    <w:rsid w:val="004423D1"/>
    <w:rsid w:val="004423D8"/>
    <w:rsid w:val="00442465"/>
    <w:rsid w:val="00442490"/>
    <w:rsid w:val="004424C3"/>
    <w:rsid w:val="004424CA"/>
    <w:rsid w:val="00442534"/>
    <w:rsid w:val="00442566"/>
    <w:rsid w:val="004425A3"/>
    <w:rsid w:val="004425D9"/>
    <w:rsid w:val="004425E9"/>
    <w:rsid w:val="004426DC"/>
    <w:rsid w:val="0044273F"/>
    <w:rsid w:val="00442748"/>
    <w:rsid w:val="0044278B"/>
    <w:rsid w:val="0044284F"/>
    <w:rsid w:val="0044286C"/>
    <w:rsid w:val="00442882"/>
    <w:rsid w:val="00442902"/>
    <w:rsid w:val="0044292F"/>
    <w:rsid w:val="0044294A"/>
    <w:rsid w:val="004429DB"/>
    <w:rsid w:val="00442A2C"/>
    <w:rsid w:val="00442A32"/>
    <w:rsid w:val="00442A35"/>
    <w:rsid w:val="00442A8E"/>
    <w:rsid w:val="00442AE3"/>
    <w:rsid w:val="00442B0E"/>
    <w:rsid w:val="00442B30"/>
    <w:rsid w:val="00442B7B"/>
    <w:rsid w:val="00442B95"/>
    <w:rsid w:val="00442BD5"/>
    <w:rsid w:val="00442C7A"/>
    <w:rsid w:val="00442C99"/>
    <w:rsid w:val="00442CB1"/>
    <w:rsid w:val="00442CBD"/>
    <w:rsid w:val="00442CD9"/>
    <w:rsid w:val="00442CE1"/>
    <w:rsid w:val="00442DE8"/>
    <w:rsid w:val="00442DF9"/>
    <w:rsid w:val="00442E07"/>
    <w:rsid w:val="00442E49"/>
    <w:rsid w:val="00442EA8"/>
    <w:rsid w:val="00442ECB"/>
    <w:rsid w:val="00442ECC"/>
    <w:rsid w:val="00442EF8"/>
    <w:rsid w:val="00442F4D"/>
    <w:rsid w:val="00442FA3"/>
    <w:rsid w:val="00442FB1"/>
    <w:rsid w:val="00442FE9"/>
    <w:rsid w:val="0044302B"/>
    <w:rsid w:val="0044304A"/>
    <w:rsid w:val="0044307A"/>
    <w:rsid w:val="004430B5"/>
    <w:rsid w:val="004430F9"/>
    <w:rsid w:val="00443142"/>
    <w:rsid w:val="00443147"/>
    <w:rsid w:val="00443190"/>
    <w:rsid w:val="004431A9"/>
    <w:rsid w:val="004431B4"/>
    <w:rsid w:val="004431B5"/>
    <w:rsid w:val="00443243"/>
    <w:rsid w:val="0044327F"/>
    <w:rsid w:val="004432BD"/>
    <w:rsid w:val="00443302"/>
    <w:rsid w:val="0044332F"/>
    <w:rsid w:val="00443360"/>
    <w:rsid w:val="00443362"/>
    <w:rsid w:val="004433AE"/>
    <w:rsid w:val="00443411"/>
    <w:rsid w:val="00443432"/>
    <w:rsid w:val="00443458"/>
    <w:rsid w:val="00443593"/>
    <w:rsid w:val="00443598"/>
    <w:rsid w:val="004435AD"/>
    <w:rsid w:val="004435B3"/>
    <w:rsid w:val="00443622"/>
    <w:rsid w:val="0044366A"/>
    <w:rsid w:val="00443674"/>
    <w:rsid w:val="00443684"/>
    <w:rsid w:val="004436DE"/>
    <w:rsid w:val="0044373B"/>
    <w:rsid w:val="004437B1"/>
    <w:rsid w:val="0044381A"/>
    <w:rsid w:val="00443834"/>
    <w:rsid w:val="0044385C"/>
    <w:rsid w:val="004438B8"/>
    <w:rsid w:val="004438BC"/>
    <w:rsid w:val="004438C6"/>
    <w:rsid w:val="004438D5"/>
    <w:rsid w:val="004438D7"/>
    <w:rsid w:val="00443953"/>
    <w:rsid w:val="0044396D"/>
    <w:rsid w:val="004439E1"/>
    <w:rsid w:val="004439E5"/>
    <w:rsid w:val="00443A2C"/>
    <w:rsid w:val="00443A2E"/>
    <w:rsid w:val="00443AAF"/>
    <w:rsid w:val="00443B00"/>
    <w:rsid w:val="00443B10"/>
    <w:rsid w:val="00443B49"/>
    <w:rsid w:val="00443B5C"/>
    <w:rsid w:val="00443BBA"/>
    <w:rsid w:val="00443BE6"/>
    <w:rsid w:val="00443C0E"/>
    <w:rsid w:val="00443CAF"/>
    <w:rsid w:val="00443CB8"/>
    <w:rsid w:val="00443D2B"/>
    <w:rsid w:val="00443D41"/>
    <w:rsid w:val="00443DCA"/>
    <w:rsid w:val="00443DD2"/>
    <w:rsid w:val="00443DF1"/>
    <w:rsid w:val="00443E37"/>
    <w:rsid w:val="00443E3F"/>
    <w:rsid w:val="00443E95"/>
    <w:rsid w:val="00443FA8"/>
    <w:rsid w:val="00443FC9"/>
    <w:rsid w:val="00443FD7"/>
    <w:rsid w:val="00444023"/>
    <w:rsid w:val="00444074"/>
    <w:rsid w:val="0044407B"/>
    <w:rsid w:val="004440A3"/>
    <w:rsid w:val="004440A6"/>
    <w:rsid w:val="004440D3"/>
    <w:rsid w:val="004440D8"/>
    <w:rsid w:val="0044412E"/>
    <w:rsid w:val="0044419A"/>
    <w:rsid w:val="004441C8"/>
    <w:rsid w:val="004441D9"/>
    <w:rsid w:val="004441E3"/>
    <w:rsid w:val="00444215"/>
    <w:rsid w:val="0044423A"/>
    <w:rsid w:val="00444256"/>
    <w:rsid w:val="00444385"/>
    <w:rsid w:val="0044438E"/>
    <w:rsid w:val="00444394"/>
    <w:rsid w:val="004443BD"/>
    <w:rsid w:val="004443D0"/>
    <w:rsid w:val="004443FD"/>
    <w:rsid w:val="0044445C"/>
    <w:rsid w:val="0044446D"/>
    <w:rsid w:val="004444C1"/>
    <w:rsid w:val="004444E3"/>
    <w:rsid w:val="00444522"/>
    <w:rsid w:val="0044456B"/>
    <w:rsid w:val="004445AC"/>
    <w:rsid w:val="004445D4"/>
    <w:rsid w:val="0044466F"/>
    <w:rsid w:val="00444671"/>
    <w:rsid w:val="00444699"/>
    <w:rsid w:val="004446EC"/>
    <w:rsid w:val="00444719"/>
    <w:rsid w:val="0044472C"/>
    <w:rsid w:val="0044478B"/>
    <w:rsid w:val="004447FE"/>
    <w:rsid w:val="00444825"/>
    <w:rsid w:val="00444828"/>
    <w:rsid w:val="0044482C"/>
    <w:rsid w:val="00444879"/>
    <w:rsid w:val="00444889"/>
    <w:rsid w:val="00444896"/>
    <w:rsid w:val="004448A3"/>
    <w:rsid w:val="0044490C"/>
    <w:rsid w:val="0044497E"/>
    <w:rsid w:val="004449F1"/>
    <w:rsid w:val="00444A18"/>
    <w:rsid w:val="00444A6C"/>
    <w:rsid w:val="00444AE1"/>
    <w:rsid w:val="00444AEF"/>
    <w:rsid w:val="00444B0B"/>
    <w:rsid w:val="00444B55"/>
    <w:rsid w:val="00444B95"/>
    <w:rsid w:val="00444BB6"/>
    <w:rsid w:val="00444C33"/>
    <w:rsid w:val="00444C7D"/>
    <w:rsid w:val="00444CEF"/>
    <w:rsid w:val="00444CF3"/>
    <w:rsid w:val="00444D2A"/>
    <w:rsid w:val="00444D69"/>
    <w:rsid w:val="00444D7F"/>
    <w:rsid w:val="00444DCF"/>
    <w:rsid w:val="00444E37"/>
    <w:rsid w:val="00444E8C"/>
    <w:rsid w:val="00444F8C"/>
    <w:rsid w:val="00444F92"/>
    <w:rsid w:val="00444FEB"/>
    <w:rsid w:val="00444FFB"/>
    <w:rsid w:val="0044504B"/>
    <w:rsid w:val="00445050"/>
    <w:rsid w:val="004450CF"/>
    <w:rsid w:val="004450DE"/>
    <w:rsid w:val="0044513F"/>
    <w:rsid w:val="00445166"/>
    <w:rsid w:val="004451B5"/>
    <w:rsid w:val="004451DD"/>
    <w:rsid w:val="00445200"/>
    <w:rsid w:val="00445214"/>
    <w:rsid w:val="00445265"/>
    <w:rsid w:val="00445270"/>
    <w:rsid w:val="0044528E"/>
    <w:rsid w:val="00445331"/>
    <w:rsid w:val="0044534F"/>
    <w:rsid w:val="004453BA"/>
    <w:rsid w:val="004453CA"/>
    <w:rsid w:val="004453D6"/>
    <w:rsid w:val="00445484"/>
    <w:rsid w:val="0044548A"/>
    <w:rsid w:val="0044559D"/>
    <w:rsid w:val="004455E0"/>
    <w:rsid w:val="004455F4"/>
    <w:rsid w:val="004456A9"/>
    <w:rsid w:val="004456F2"/>
    <w:rsid w:val="00445729"/>
    <w:rsid w:val="00445777"/>
    <w:rsid w:val="00445784"/>
    <w:rsid w:val="004457DF"/>
    <w:rsid w:val="0044580D"/>
    <w:rsid w:val="00445813"/>
    <w:rsid w:val="00445843"/>
    <w:rsid w:val="00445881"/>
    <w:rsid w:val="00445899"/>
    <w:rsid w:val="004458B7"/>
    <w:rsid w:val="004458DC"/>
    <w:rsid w:val="004458F3"/>
    <w:rsid w:val="00445917"/>
    <w:rsid w:val="0044591B"/>
    <w:rsid w:val="00445955"/>
    <w:rsid w:val="004459AD"/>
    <w:rsid w:val="004459E9"/>
    <w:rsid w:val="00445A00"/>
    <w:rsid w:val="00445A53"/>
    <w:rsid w:val="00445A7B"/>
    <w:rsid w:val="00445AF1"/>
    <w:rsid w:val="00445B0D"/>
    <w:rsid w:val="00445B20"/>
    <w:rsid w:val="00445B3B"/>
    <w:rsid w:val="00445B40"/>
    <w:rsid w:val="00445BA4"/>
    <w:rsid w:val="00445C94"/>
    <w:rsid w:val="00445CEA"/>
    <w:rsid w:val="00445D77"/>
    <w:rsid w:val="00445D80"/>
    <w:rsid w:val="00445E23"/>
    <w:rsid w:val="00445E37"/>
    <w:rsid w:val="00445E9E"/>
    <w:rsid w:val="00445F1C"/>
    <w:rsid w:val="00445F76"/>
    <w:rsid w:val="00445F9B"/>
    <w:rsid w:val="00445FF0"/>
    <w:rsid w:val="00446022"/>
    <w:rsid w:val="00446048"/>
    <w:rsid w:val="00446056"/>
    <w:rsid w:val="004460B7"/>
    <w:rsid w:val="004460F2"/>
    <w:rsid w:val="00446122"/>
    <w:rsid w:val="00446239"/>
    <w:rsid w:val="00446259"/>
    <w:rsid w:val="004462A9"/>
    <w:rsid w:val="004463AA"/>
    <w:rsid w:val="0044640A"/>
    <w:rsid w:val="00446456"/>
    <w:rsid w:val="0044648D"/>
    <w:rsid w:val="004464B0"/>
    <w:rsid w:val="004464B2"/>
    <w:rsid w:val="0044651D"/>
    <w:rsid w:val="00446530"/>
    <w:rsid w:val="0044658C"/>
    <w:rsid w:val="00446652"/>
    <w:rsid w:val="0044668C"/>
    <w:rsid w:val="0044669C"/>
    <w:rsid w:val="00446712"/>
    <w:rsid w:val="00446719"/>
    <w:rsid w:val="00446788"/>
    <w:rsid w:val="00446789"/>
    <w:rsid w:val="004467E5"/>
    <w:rsid w:val="00446830"/>
    <w:rsid w:val="0044684B"/>
    <w:rsid w:val="0044684D"/>
    <w:rsid w:val="004468AD"/>
    <w:rsid w:val="004468EC"/>
    <w:rsid w:val="00446917"/>
    <w:rsid w:val="0044696C"/>
    <w:rsid w:val="004469A4"/>
    <w:rsid w:val="004469F6"/>
    <w:rsid w:val="00446A29"/>
    <w:rsid w:val="00446A44"/>
    <w:rsid w:val="00446A99"/>
    <w:rsid w:val="00446AAF"/>
    <w:rsid w:val="00446AC3"/>
    <w:rsid w:val="00446B0E"/>
    <w:rsid w:val="00446B21"/>
    <w:rsid w:val="00446B98"/>
    <w:rsid w:val="00446BF5"/>
    <w:rsid w:val="00446C38"/>
    <w:rsid w:val="00446C44"/>
    <w:rsid w:val="00446C67"/>
    <w:rsid w:val="00446CDC"/>
    <w:rsid w:val="00446D1E"/>
    <w:rsid w:val="00446D47"/>
    <w:rsid w:val="00446D50"/>
    <w:rsid w:val="00446D70"/>
    <w:rsid w:val="00446D80"/>
    <w:rsid w:val="00446DAC"/>
    <w:rsid w:val="00446DCE"/>
    <w:rsid w:val="00446E09"/>
    <w:rsid w:val="00446E70"/>
    <w:rsid w:val="00446E78"/>
    <w:rsid w:val="00446E89"/>
    <w:rsid w:val="00446EB1"/>
    <w:rsid w:val="00446F85"/>
    <w:rsid w:val="00446F86"/>
    <w:rsid w:val="00447025"/>
    <w:rsid w:val="0044712B"/>
    <w:rsid w:val="00447146"/>
    <w:rsid w:val="004471A1"/>
    <w:rsid w:val="004471A3"/>
    <w:rsid w:val="004471A6"/>
    <w:rsid w:val="00447232"/>
    <w:rsid w:val="00447265"/>
    <w:rsid w:val="004472B1"/>
    <w:rsid w:val="004472DB"/>
    <w:rsid w:val="00447344"/>
    <w:rsid w:val="004473BB"/>
    <w:rsid w:val="004473C0"/>
    <w:rsid w:val="004473E5"/>
    <w:rsid w:val="0044746C"/>
    <w:rsid w:val="004474B1"/>
    <w:rsid w:val="004474E2"/>
    <w:rsid w:val="0044757D"/>
    <w:rsid w:val="0044758D"/>
    <w:rsid w:val="00447695"/>
    <w:rsid w:val="0044769F"/>
    <w:rsid w:val="0044775F"/>
    <w:rsid w:val="004477A6"/>
    <w:rsid w:val="00447829"/>
    <w:rsid w:val="00447955"/>
    <w:rsid w:val="00447963"/>
    <w:rsid w:val="00447A38"/>
    <w:rsid w:val="00447A9F"/>
    <w:rsid w:val="00447AF7"/>
    <w:rsid w:val="00447B97"/>
    <w:rsid w:val="00447BDE"/>
    <w:rsid w:val="00447BE4"/>
    <w:rsid w:val="00447C04"/>
    <w:rsid w:val="00447C5F"/>
    <w:rsid w:val="00447C90"/>
    <w:rsid w:val="00447CBA"/>
    <w:rsid w:val="00447D8A"/>
    <w:rsid w:val="00447D96"/>
    <w:rsid w:val="00447DF2"/>
    <w:rsid w:val="00447DF9"/>
    <w:rsid w:val="00447E17"/>
    <w:rsid w:val="00447E2E"/>
    <w:rsid w:val="00447E8A"/>
    <w:rsid w:val="00447F68"/>
    <w:rsid w:val="00447F9E"/>
    <w:rsid w:val="00450022"/>
    <w:rsid w:val="0045004B"/>
    <w:rsid w:val="0045012C"/>
    <w:rsid w:val="004501A2"/>
    <w:rsid w:val="00450209"/>
    <w:rsid w:val="00450246"/>
    <w:rsid w:val="00450286"/>
    <w:rsid w:val="00450293"/>
    <w:rsid w:val="004502A1"/>
    <w:rsid w:val="004502F3"/>
    <w:rsid w:val="00450381"/>
    <w:rsid w:val="0045038D"/>
    <w:rsid w:val="004503CB"/>
    <w:rsid w:val="0045040C"/>
    <w:rsid w:val="00450416"/>
    <w:rsid w:val="0045042E"/>
    <w:rsid w:val="004504FD"/>
    <w:rsid w:val="004504FF"/>
    <w:rsid w:val="00450508"/>
    <w:rsid w:val="0045056F"/>
    <w:rsid w:val="00450636"/>
    <w:rsid w:val="00450661"/>
    <w:rsid w:val="0045069E"/>
    <w:rsid w:val="00450725"/>
    <w:rsid w:val="00450743"/>
    <w:rsid w:val="004507B3"/>
    <w:rsid w:val="004507BA"/>
    <w:rsid w:val="004507E0"/>
    <w:rsid w:val="0045084D"/>
    <w:rsid w:val="004508B3"/>
    <w:rsid w:val="004508FD"/>
    <w:rsid w:val="00450A0E"/>
    <w:rsid w:val="00450A7E"/>
    <w:rsid w:val="00450B37"/>
    <w:rsid w:val="00450C41"/>
    <w:rsid w:val="00450D2B"/>
    <w:rsid w:val="00450D36"/>
    <w:rsid w:val="00450DD3"/>
    <w:rsid w:val="00450DDB"/>
    <w:rsid w:val="00450DE2"/>
    <w:rsid w:val="00450E32"/>
    <w:rsid w:val="00450E84"/>
    <w:rsid w:val="00450EC2"/>
    <w:rsid w:val="00450ECA"/>
    <w:rsid w:val="00450ED3"/>
    <w:rsid w:val="00450EE5"/>
    <w:rsid w:val="00450F3A"/>
    <w:rsid w:val="00450F59"/>
    <w:rsid w:val="00451017"/>
    <w:rsid w:val="00451028"/>
    <w:rsid w:val="00451041"/>
    <w:rsid w:val="004510D8"/>
    <w:rsid w:val="00451123"/>
    <w:rsid w:val="0045114E"/>
    <w:rsid w:val="00451169"/>
    <w:rsid w:val="004511AA"/>
    <w:rsid w:val="004511AD"/>
    <w:rsid w:val="004511B6"/>
    <w:rsid w:val="004511D6"/>
    <w:rsid w:val="004511DB"/>
    <w:rsid w:val="00451210"/>
    <w:rsid w:val="0045132F"/>
    <w:rsid w:val="00451366"/>
    <w:rsid w:val="0045138B"/>
    <w:rsid w:val="004513CB"/>
    <w:rsid w:val="00451472"/>
    <w:rsid w:val="00451473"/>
    <w:rsid w:val="004515A0"/>
    <w:rsid w:val="004515C0"/>
    <w:rsid w:val="0045166D"/>
    <w:rsid w:val="0045166E"/>
    <w:rsid w:val="00451697"/>
    <w:rsid w:val="004516A0"/>
    <w:rsid w:val="004516FF"/>
    <w:rsid w:val="00451759"/>
    <w:rsid w:val="0045175B"/>
    <w:rsid w:val="004517B6"/>
    <w:rsid w:val="004517DD"/>
    <w:rsid w:val="0045181C"/>
    <w:rsid w:val="00451975"/>
    <w:rsid w:val="004519E1"/>
    <w:rsid w:val="004519E3"/>
    <w:rsid w:val="004519EB"/>
    <w:rsid w:val="00451A08"/>
    <w:rsid w:val="00451A47"/>
    <w:rsid w:val="00451AA4"/>
    <w:rsid w:val="00451B27"/>
    <w:rsid w:val="00451B2D"/>
    <w:rsid w:val="00451B89"/>
    <w:rsid w:val="00451B8B"/>
    <w:rsid w:val="00451BBB"/>
    <w:rsid w:val="00451BCE"/>
    <w:rsid w:val="00451BFA"/>
    <w:rsid w:val="00451C64"/>
    <w:rsid w:val="00451CE1"/>
    <w:rsid w:val="00451D0A"/>
    <w:rsid w:val="00451D58"/>
    <w:rsid w:val="00451D5E"/>
    <w:rsid w:val="00451DB1"/>
    <w:rsid w:val="00451E43"/>
    <w:rsid w:val="00451E4D"/>
    <w:rsid w:val="00451EA7"/>
    <w:rsid w:val="00451ECB"/>
    <w:rsid w:val="00451EE3"/>
    <w:rsid w:val="00451EE7"/>
    <w:rsid w:val="00451EF3"/>
    <w:rsid w:val="00451FDB"/>
    <w:rsid w:val="00452002"/>
    <w:rsid w:val="00452027"/>
    <w:rsid w:val="0045202C"/>
    <w:rsid w:val="0045202F"/>
    <w:rsid w:val="0045208B"/>
    <w:rsid w:val="0045209E"/>
    <w:rsid w:val="004521E9"/>
    <w:rsid w:val="00452217"/>
    <w:rsid w:val="0045221D"/>
    <w:rsid w:val="00452272"/>
    <w:rsid w:val="00452281"/>
    <w:rsid w:val="00452284"/>
    <w:rsid w:val="00452288"/>
    <w:rsid w:val="0045229A"/>
    <w:rsid w:val="004522AB"/>
    <w:rsid w:val="004522BF"/>
    <w:rsid w:val="004522DA"/>
    <w:rsid w:val="00452317"/>
    <w:rsid w:val="00452338"/>
    <w:rsid w:val="00452393"/>
    <w:rsid w:val="0045239D"/>
    <w:rsid w:val="004523B7"/>
    <w:rsid w:val="00452415"/>
    <w:rsid w:val="0045241B"/>
    <w:rsid w:val="0045242B"/>
    <w:rsid w:val="00452454"/>
    <w:rsid w:val="00452461"/>
    <w:rsid w:val="00452571"/>
    <w:rsid w:val="00452572"/>
    <w:rsid w:val="004525A6"/>
    <w:rsid w:val="004525F9"/>
    <w:rsid w:val="00452614"/>
    <w:rsid w:val="00452647"/>
    <w:rsid w:val="00452659"/>
    <w:rsid w:val="00452682"/>
    <w:rsid w:val="00452687"/>
    <w:rsid w:val="00452769"/>
    <w:rsid w:val="0045276A"/>
    <w:rsid w:val="0045278E"/>
    <w:rsid w:val="004527B1"/>
    <w:rsid w:val="00452820"/>
    <w:rsid w:val="0045282C"/>
    <w:rsid w:val="00452834"/>
    <w:rsid w:val="0045286E"/>
    <w:rsid w:val="004528C1"/>
    <w:rsid w:val="004528C2"/>
    <w:rsid w:val="004528D9"/>
    <w:rsid w:val="00452A83"/>
    <w:rsid w:val="00452A93"/>
    <w:rsid w:val="00452A96"/>
    <w:rsid w:val="00452A9C"/>
    <w:rsid w:val="00452ABC"/>
    <w:rsid w:val="00452AE3"/>
    <w:rsid w:val="00452B4E"/>
    <w:rsid w:val="00452B71"/>
    <w:rsid w:val="00452B9E"/>
    <w:rsid w:val="00452BAC"/>
    <w:rsid w:val="00452C63"/>
    <w:rsid w:val="00452D63"/>
    <w:rsid w:val="00452E2A"/>
    <w:rsid w:val="00452E40"/>
    <w:rsid w:val="00452E61"/>
    <w:rsid w:val="00452FB6"/>
    <w:rsid w:val="004530DE"/>
    <w:rsid w:val="004531A7"/>
    <w:rsid w:val="004531FF"/>
    <w:rsid w:val="00453227"/>
    <w:rsid w:val="0045324F"/>
    <w:rsid w:val="00453259"/>
    <w:rsid w:val="00453260"/>
    <w:rsid w:val="00453359"/>
    <w:rsid w:val="004533B2"/>
    <w:rsid w:val="004533BD"/>
    <w:rsid w:val="004533F9"/>
    <w:rsid w:val="004533FE"/>
    <w:rsid w:val="00453430"/>
    <w:rsid w:val="00453469"/>
    <w:rsid w:val="0045349F"/>
    <w:rsid w:val="00453525"/>
    <w:rsid w:val="00453588"/>
    <w:rsid w:val="004535E6"/>
    <w:rsid w:val="00453629"/>
    <w:rsid w:val="00453631"/>
    <w:rsid w:val="0045363B"/>
    <w:rsid w:val="00453680"/>
    <w:rsid w:val="0045368E"/>
    <w:rsid w:val="004536AC"/>
    <w:rsid w:val="004536B9"/>
    <w:rsid w:val="0045378C"/>
    <w:rsid w:val="004538D6"/>
    <w:rsid w:val="0045390F"/>
    <w:rsid w:val="00453947"/>
    <w:rsid w:val="004539CE"/>
    <w:rsid w:val="004539EF"/>
    <w:rsid w:val="00453A15"/>
    <w:rsid w:val="00453A1B"/>
    <w:rsid w:val="00453A21"/>
    <w:rsid w:val="00453B44"/>
    <w:rsid w:val="00453B5B"/>
    <w:rsid w:val="00453B94"/>
    <w:rsid w:val="00453BDD"/>
    <w:rsid w:val="00453C05"/>
    <w:rsid w:val="00453C07"/>
    <w:rsid w:val="00453CA9"/>
    <w:rsid w:val="00453D0B"/>
    <w:rsid w:val="00453D3A"/>
    <w:rsid w:val="00453D44"/>
    <w:rsid w:val="00453D70"/>
    <w:rsid w:val="00453DCE"/>
    <w:rsid w:val="00453EC1"/>
    <w:rsid w:val="00453F3C"/>
    <w:rsid w:val="00453F5E"/>
    <w:rsid w:val="00453F77"/>
    <w:rsid w:val="00453FB8"/>
    <w:rsid w:val="0045406F"/>
    <w:rsid w:val="0045409E"/>
    <w:rsid w:val="004540B3"/>
    <w:rsid w:val="00454117"/>
    <w:rsid w:val="00454123"/>
    <w:rsid w:val="0045413A"/>
    <w:rsid w:val="0045413F"/>
    <w:rsid w:val="00454142"/>
    <w:rsid w:val="0045415C"/>
    <w:rsid w:val="00454196"/>
    <w:rsid w:val="004541B5"/>
    <w:rsid w:val="004541E5"/>
    <w:rsid w:val="004541FA"/>
    <w:rsid w:val="00454225"/>
    <w:rsid w:val="004542B9"/>
    <w:rsid w:val="004542D4"/>
    <w:rsid w:val="004543AF"/>
    <w:rsid w:val="00454409"/>
    <w:rsid w:val="00454411"/>
    <w:rsid w:val="00454476"/>
    <w:rsid w:val="004544BF"/>
    <w:rsid w:val="004544C3"/>
    <w:rsid w:val="00454512"/>
    <w:rsid w:val="0045454A"/>
    <w:rsid w:val="004545CC"/>
    <w:rsid w:val="004545E7"/>
    <w:rsid w:val="00454677"/>
    <w:rsid w:val="00454694"/>
    <w:rsid w:val="0045469A"/>
    <w:rsid w:val="004546FA"/>
    <w:rsid w:val="00454734"/>
    <w:rsid w:val="00454748"/>
    <w:rsid w:val="00454796"/>
    <w:rsid w:val="004547ED"/>
    <w:rsid w:val="004547FA"/>
    <w:rsid w:val="00454801"/>
    <w:rsid w:val="00454842"/>
    <w:rsid w:val="00454888"/>
    <w:rsid w:val="004548B6"/>
    <w:rsid w:val="00454906"/>
    <w:rsid w:val="00454965"/>
    <w:rsid w:val="00454984"/>
    <w:rsid w:val="00454A9F"/>
    <w:rsid w:val="00454AE0"/>
    <w:rsid w:val="00454AE6"/>
    <w:rsid w:val="00454B59"/>
    <w:rsid w:val="00454BF6"/>
    <w:rsid w:val="00454C44"/>
    <w:rsid w:val="00454C49"/>
    <w:rsid w:val="00454C7A"/>
    <w:rsid w:val="00454C8E"/>
    <w:rsid w:val="00454C9D"/>
    <w:rsid w:val="00454D0D"/>
    <w:rsid w:val="00454D44"/>
    <w:rsid w:val="00454D72"/>
    <w:rsid w:val="00454D97"/>
    <w:rsid w:val="00454DB2"/>
    <w:rsid w:val="00454DB7"/>
    <w:rsid w:val="00454DC8"/>
    <w:rsid w:val="00454E07"/>
    <w:rsid w:val="00454E2A"/>
    <w:rsid w:val="00454E80"/>
    <w:rsid w:val="00454EB9"/>
    <w:rsid w:val="00454ED2"/>
    <w:rsid w:val="00454F9E"/>
    <w:rsid w:val="00455008"/>
    <w:rsid w:val="00455016"/>
    <w:rsid w:val="00455036"/>
    <w:rsid w:val="00455096"/>
    <w:rsid w:val="004550BC"/>
    <w:rsid w:val="004550C5"/>
    <w:rsid w:val="004551DB"/>
    <w:rsid w:val="004551FD"/>
    <w:rsid w:val="0045522E"/>
    <w:rsid w:val="00455244"/>
    <w:rsid w:val="0045524C"/>
    <w:rsid w:val="00455278"/>
    <w:rsid w:val="00455284"/>
    <w:rsid w:val="00455329"/>
    <w:rsid w:val="0045533D"/>
    <w:rsid w:val="00455344"/>
    <w:rsid w:val="0045538E"/>
    <w:rsid w:val="004553C1"/>
    <w:rsid w:val="004553D9"/>
    <w:rsid w:val="004553DC"/>
    <w:rsid w:val="004553F9"/>
    <w:rsid w:val="00455452"/>
    <w:rsid w:val="0045547E"/>
    <w:rsid w:val="004555AC"/>
    <w:rsid w:val="004555E5"/>
    <w:rsid w:val="004555FB"/>
    <w:rsid w:val="00455615"/>
    <w:rsid w:val="0045563C"/>
    <w:rsid w:val="00455667"/>
    <w:rsid w:val="00455670"/>
    <w:rsid w:val="0045567A"/>
    <w:rsid w:val="004556BF"/>
    <w:rsid w:val="00455783"/>
    <w:rsid w:val="0045578E"/>
    <w:rsid w:val="004557D6"/>
    <w:rsid w:val="00455818"/>
    <w:rsid w:val="0045586E"/>
    <w:rsid w:val="0045590B"/>
    <w:rsid w:val="00455946"/>
    <w:rsid w:val="0045594F"/>
    <w:rsid w:val="00455980"/>
    <w:rsid w:val="004559A2"/>
    <w:rsid w:val="004559CE"/>
    <w:rsid w:val="00455A17"/>
    <w:rsid w:val="00455A3B"/>
    <w:rsid w:val="00455A69"/>
    <w:rsid w:val="00455A8F"/>
    <w:rsid w:val="00455AF5"/>
    <w:rsid w:val="00455B24"/>
    <w:rsid w:val="00455C33"/>
    <w:rsid w:val="00455C50"/>
    <w:rsid w:val="00455CC4"/>
    <w:rsid w:val="00455DB4"/>
    <w:rsid w:val="00455DDF"/>
    <w:rsid w:val="00455DF4"/>
    <w:rsid w:val="00455E89"/>
    <w:rsid w:val="00455ECA"/>
    <w:rsid w:val="00455F0D"/>
    <w:rsid w:val="00455F2B"/>
    <w:rsid w:val="00455F40"/>
    <w:rsid w:val="004560C9"/>
    <w:rsid w:val="0045611E"/>
    <w:rsid w:val="00456141"/>
    <w:rsid w:val="00456184"/>
    <w:rsid w:val="00456191"/>
    <w:rsid w:val="004561A8"/>
    <w:rsid w:val="004562AC"/>
    <w:rsid w:val="004562B9"/>
    <w:rsid w:val="004562E9"/>
    <w:rsid w:val="004562FD"/>
    <w:rsid w:val="0045631E"/>
    <w:rsid w:val="0045631F"/>
    <w:rsid w:val="004563B4"/>
    <w:rsid w:val="00456403"/>
    <w:rsid w:val="0045642E"/>
    <w:rsid w:val="0045643C"/>
    <w:rsid w:val="00456489"/>
    <w:rsid w:val="00456493"/>
    <w:rsid w:val="004565D4"/>
    <w:rsid w:val="004565DB"/>
    <w:rsid w:val="004565F1"/>
    <w:rsid w:val="0045660C"/>
    <w:rsid w:val="00456653"/>
    <w:rsid w:val="00456658"/>
    <w:rsid w:val="0045665E"/>
    <w:rsid w:val="0045668F"/>
    <w:rsid w:val="0045669E"/>
    <w:rsid w:val="004566C7"/>
    <w:rsid w:val="004566E1"/>
    <w:rsid w:val="004566EA"/>
    <w:rsid w:val="00456722"/>
    <w:rsid w:val="0045673E"/>
    <w:rsid w:val="00456758"/>
    <w:rsid w:val="00456762"/>
    <w:rsid w:val="0045676E"/>
    <w:rsid w:val="00456775"/>
    <w:rsid w:val="00456793"/>
    <w:rsid w:val="004568C2"/>
    <w:rsid w:val="00456938"/>
    <w:rsid w:val="004569DD"/>
    <w:rsid w:val="00456A22"/>
    <w:rsid w:val="00456AFB"/>
    <w:rsid w:val="00456B43"/>
    <w:rsid w:val="00456B66"/>
    <w:rsid w:val="00456BF3"/>
    <w:rsid w:val="00456C98"/>
    <w:rsid w:val="00456CAD"/>
    <w:rsid w:val="00456CB0"/>
    <w:rsid w:val="00456CB3"/>
    <w:rsid w:val="00456CB6"/>
    <w:rsid w:val="00456CC9"/>
    <w:rsid w:val="00456D1B"/>
    <w:rsid w:val="00456D69"/>
    <w:rsid w:val="00456E00"/>
    <w:rsid w:val="00456E12"/>
    <w:rsid w:val="00456E5F"/>
    <w:rsid w:val="00456F28"/>
    <w:rsid w:val="00457023"/>
    <w:rsid w:val="00457053"/>
    <w:rsid w:val="004570B0"/>
    <w:rsid w:val="004570D9"/>
    <w:rsid w:val="00457104"/>
    <w:rsid w:val="00457107"/>
    <w:rsid w:val="00457141"/>
    <w:rsid w:val="0045715A"/>
    <w:rsid w:val="00457201"/>
    <w:rsid w:val="0045724A"/>
    <w:rsid w:val="00457291"/>
    <w:rsid w:val="0045731E"/>
    <w:rsid w:val="00457377"/>
    <w:rsid w:val="00457405"/>
    <w:rsid w:val="00457418"/>
    <w:rsid w:val="004574F6"/>
    <w:rsid w:val="0045751B"/>
    <w:rsid w:val="0045751C"/>
    <w:rsid w:val="00457546"/>
    <w:rsid w:val="0045756F"/>
    <w:rsid w:val="00457579"/>
    <w:rsid w:val="004575C8"/>
    <w:rsid w:val="004575D5"/>
    <w:rsid w:val="00457637"/>
    <w:rsid w:val="00457688"/>
    <w:rsid w:val="004576AB"/>
    <w:rsid w:val="004576FD"/>
    <w:rsid w:val="004577C8"/>
    <w:rsid w:val="00457814"/>
    <w:rsid w:val="004578AA"/>
    <w:rsid w:val="00457902"/>
    <w:rsid w:val="00457918"/>
    <w:rsid w:val="00457947"/>
    <w:rsid w:val="00457956"/>
    <w:rsid w:val="00457975"/>
    <w:rsid w:val="00457A99"/>
    <w:rsid w:val="00457AE6"/>
    <w:rsid w:val="00457AFB"/>
    <w:rsid w:val="00457B13"/>
    <w:rsid w:val="00457B3D"/>
    <w:rsid w:val="00457B5F"/>
    <w:rsid w:val="00457BC6"/>
    <w:rsid w:val="00457C12"/>
    <w:rsid w:val="00457C1F"/>
    <w:rsid w:val="00457C3E"/>
    <w:rsid w:val="00457C5C"/>
    <w:rsid w:val="00457C6B"/>
    <w:rsid w:val="00457C87"/>
    <w:rsid w:val="00457CE1"/>
    <w:rsid w:val="00457D0C"/>
    <w:rsid w:val="00457D12"/>
    <w:rsid w:val="00457DD9"/>
    <w:rsid w:val="00457DFE"/>
    <w:rsid w:val="00457E1E"/>
    <w:rsid w:val="00457E26"/>
    <w:rsid w:val="00457EA0"/>
    <w:rsid w:val="00457EFB"/>
    <w:rsid w:val="00457F29"/>
    <w:rsid w:val="0046002A"/>
    <w:rsid w:val="00460063"/>
    <w:rsid w:val="004600C7"/>
    <w:rsid w:val="00460102"/>
    <w:rsid w:val="00460104"/>
    <w:rsid w:val="00460143"/>
    <w:rsid w:val="0046017C"/>
    <w:rsid w:val="004601AD"/>
    <w:rsid w:val="004601B5"/>
    <w:rsid w:val="004601EB"/>
    <w:rsid w:val="00460212"/>
    <w:rsid w:val="00460262"/>
    <w:rsid w:val="00460296"/>
    <w:rsid w:val="004602DB"/>
    <w:rsid w:val="00460360"/>
    <w:rsid w:val="00460385"/>
    <w:rsid w:val="004603B5"/>
    <w:rsid w:val="00460493"/>
    <w:rsid w:val="004604AF"/>
    <w:rsid w:val="004604C4"/>
    <w:rsid w:val="004604F3"/>
    <w:rsid w:val="00460506"/>
    <w:rsid w:val="00460546"/>
    <w:rsid w:val="004605D4"/>
    <w:rsid w:val="0046066D"/>
    <w:rsid w:val="00460695"/>
    <w:rsid w:val="004606CF"/>
    <w:rsid w:val="00460719"/>
    <w:rsid w:val="00460726"/>
    <w:rsid w:val="00460768"/>
    <w:rsid w:val="0046083E"/>
    <w:rsid w:val="004608DD"/>
    <w:rsid w:val="0046095B"/>
    <w:rsid w:val="0046097D"/>
    <w:rsid w:val="00460999"/>
    <w:rsid w:val="00460A2F"/>
    <w:rsid w:val="00460A81"/>
    <w:rsid w:val="00460A83"/>
    <w:rsid w:val="00460AA0"/>
    <w:rsid w:val="00460AD0"/>
    <w:rsid w:val="00460AE9"/>
    <w:rsid w:val="00460BCC"/>
    <w:rsid w:val="00460BDB"/>
    <w:rsid w:val="00460C00"/>
    <w:rsid w:val="00460CC7"/>
    <w:rsid w:val="00460E1A"/>
    <w:rsid w:val="00460EA1"/>
    <w:rsid w:val="00460EDC"/>
    <w:rsid w:val="00460F24"/>
    <w:rsid w:val="00460F58"/>
    <w:rsid w:val="00460F62"/>
    <w:rsid w:val="00460F77"/>
    <w:rsid w:val="00460F79"/>
    <w:rsid w:val="00460FA4"/>
    <w:rsid w:val="00461049"/>
    <w:rsid w:val="00461051"/>
    <w:rsid w:val="00461105"/>
    <w:rsid w:val="00461118"/>
    <w:rsid w:val="00461125"/>
    <w:rsid w:val="00461193"/>
    <w:rsid w:val="00461232"/>
    <w:rsid w:val="0046124D"/>
    <w:rsid w:val="00461281"/>
    <w:rsid w:val="004612DB"/>
    <w:rsid w:val="004612EB"/>
    <w:rsid w:val="004612F8"/>
    <w:rsid w:val="004613A2"/>
    <w:rsid w:val="0046149C"/>
    <w:rsid w:val="004614F0"/>
    <w:rsid w:val="00461507"/>
    <w:rsid w:val="004615D2"/>
    <w:rsid w:val="004616A5"/>
    <w:rsid w:val="004616B2"/>
    <w:rsid w:val="004616B5"/>
    <w:rsid w:val="004616BC"/>
    <w:rsid w:val="0046173F"/>
    <w:rsid w:val="00461779"/>
    <w:rsid w:val="00461874"/>
    <w:rsid w:val="004618AB"/>
    <w:rsid w:val="004618B7"/>
    <w:rsid w:val="004618E3"/>
    <w:rsid w:val="00461916"/>
    <w:rsid w:val="00461924"/>
    <w:rsid w:val="0046197C"/>
    <w:rsid w:val="0046199F"/>
    <w:rsid w:val="004619B7"/>
    <w:rsid w:val="00461A06"/>
    <w:rsid w:val="00461A40"/>
    <w:rsid w:val="00461A4C"/>
    <w:rsid w:val="00461A60"/>
    <w:rsid w:val="00461AEA"/>
    <w:rsid w:val="00461AF2"/>
    <w:rsid w:val="00461B2A"/>
    <w:rsid w:val="00461BED"/>
    <w:rsid w:val="00461C0E"/>
    <w:rsid w:val="00461CA5"/>
    <w:rsid w:val="00461CC7"/>
    <w:rsid w:val="00461D38"/>
    <w:rsid w:val="00461D54"/>
    <w:rsid w:val="00461DC3"/>
    <w:rsid w:val="00461DEA"/>
    <w:rsid w:val="00461E1C"/>
    <w:rsid w:val="00461EC7"/>
    <w:rsid w:val="00461EDC"/>
    <w:rsid w:val="00461F99"/>
    <w:rsid w:val="00461FB6"/>
    <w:rsid w:val="00462005"/>
    <w:rsid w:val="00462011"/>
    <w:rsid w:val="00462038"/>
    <w:rsid w:val="0046203B"/>
    <w:rsid w:val="00462043"/>
    <w:rsid w:val="00462047"/>
    <w:rsid w:val="00462049"/>
    <w:rsid w:val="0046204F"/>
    <w:rsid w:val="0046214A"/>
    <w:rsid w:val="004622A8"/>
    <w:rsid w:val="004622F6"/>
    <w:rsid w:val="004622FF"/>
    <w:rsid w:val="00462326"/>
    <w:rsid w:val="0046239B"/>
    <w:rsid w:val="0046239C"/>
    <w:rsid w:val="004623A0"/>
    <w:rsid w:val="004623EF"/>
    <w:rsid w:val="004623F4"/>
    <w:rsid w:val="004624E0"/>
    <w:rsid w:val="00462544"/>
    <w:rsid w:val="00462551"/>
    <w:rsid w:val="00462569"/>
    <w:rsid w:val="0046259C"/>
    <w:rsid w:val="004625A3"/>
    <w:rsid w:val="004625C2"/>
    <w:rsid w:val="004625F9"/>
    <w:rsid w:val="0046263D"/>
    <w:rsid w:val="00462659"/>
    <w:rsid w:val="0046265F"/>
    <w:rsid w:val="0046268E"/>
    <w:rsid w:val="00462694"/>
    <w:rsid w:val="004626A0"/>
    <w:rsid w:val="004626C6"/>
    <w:rsid w:val="00462726"/>
    <w:rsid w:val="0046275D"/>
    <w:rsid w:val="004627AA"/>
    <w:rsid w:val="00462814"/>
    <w:rsid w:val="0046283F"/>
    <w:rsid w:val="00462858"/>
    <w:rsid w:val="00462949"/>
    <w:rsid w:val="004629C6"/>
    <w:rsid w:val="00462A32"/>
    <w:rsid w:val="00462A64"/>
    <w:rsid w:val="00462A91"/>
    <w:rsid w:val="00462AF5"/>
    <w:rsid w:val="00462B21"/>
    <w:rsid w:val="00462B73"/>
    <w:rsid w:val="00462B7E"/>
    <w:rsid w:val="00462BF6"/>
    <w:rsid w:val="00462C2A"/>
    <w:rsid w:val="00462C83"/>
    <w:rsid w:val="00462C99"/>
    <w:rsid w:val="00462CC9"/>
    <w:rsid w:val="00462D10"/>
    <w:rsid w:val="00462D4E"/>
    <w:rsid w:val="00462DC3"/>
    <w:rsid w:val="00462DCA"/>
    <w:rsid w:val="00462DCF"/>
    <w:rsid w:val="00462E26"/>
    <w:rsid w:val="00462E93"/>
    <w:rsid w:val="00462EA2"/>
    <w:rsid w:val="00462F29"/>
    <w:rsid w:val="00462F2E"/>
    <w:rsid w:val="00462F8C"/>
    <w:rsid w:val="00462FEB"/>
    <w:rsid w:val="004631E1"/>
    <w:rsid w:val="004631F9"/>
    <w:rsid w:val="00463244"/>
    <w:rsid w:val="00463274"/>
    <w:rsid w:val="004632E8"/>
    <w:rsid w:val="0046335C"/>
    <w:rsid w:val="0046339D"/>
    <w:rsid w:val="00463504"/>
    <w:rsid w:val="00463515"/>
    <w:rsid w:val="00463598"/>
    <w:rsid w:val="004635E6"/>
    <w:rsid w:val="004635F6"/>
    <w:rsid w:val="0046365E"/>
    <w:rsid w:val="0046366A"/>
    <w:rsid w:val="004636B8"/>
    <w:rsid w:val="004636DC"/>
    <w:rsid w:val="0046376D"/>
    <w:rsid w:val="0046379D"/>
    <w:rsid w:val="004637EA"/>
    <w:rsid w:val="004637F4"/>
    <w:rsid w:val="004638FB"/>
    <w:rsid w:val="00463909"/>
    <w:rsid w:val="00463924"/>
    <w:rsid w:val="00463934"/>
    <w:rsid w:val="0046393B"/>
    <w:rsid w:val="0046394E"/>
    <w:rsid w:val="004639C3"/>
    <w:rsid w:val="004639F5"/>
    <w:rsid w:val="00463A08"/>
    <w:rsid w:val="00463A12"/>
    <w:rsid w:val="00463A39"/>
    <w:rsid w:val="00463A51"/>
    <w:rsid w:val="00463A61"/>
    <w:rsid w:val="00463AD3"/>
    <w:rsid w:val="00463BBF"/>
    <w:rsid w:val="00463BE6"/>
    <w:rsid w:val="00463BEB"/>
    <w:rsid w:val="00463CEB"/>
    <w:rsid w:val="00463D3F"/>
    <w:rsid w:val="00463D42"/>
    <w:rsid w:val="00463D4A"/>
    <w:rsid w:val="00463D5B"/>
    <w:rsid w:val="00463D7B"/>
    <w:rsid w:val="00463D7E"/>
    <w:rsid w:val="00463DAB"/>
    <w:rsid w:val="00463DF8"/>
    <w:rsid w:val="00463E10"/>
    <w:rsid w:val="00463E6E"/>
    <w:rsid w:val="00463EAD"/>
    <w:rsid w:val="00463F5C"/>
    <w:rsid w:val="00463F70"/>
    <w:rsid w:val="00463F82"/>
    <w:rsid w:val="00463FE8"/>
    <w:rsid w:val="00464018"/>
    <w:rsid w:val="00464044"/>
    <w:rsid w:val="0046405A"/>
    <w:rsid w:val="0046405F"/>
    <w:rsid w:val="0046407F"/>
    <w:rsid w:val="00464092"/>
    <w:rsid w:val="00464154"/>
    <w:rsid w:val="0046417F"/>
    <w:rsid w:val="0046419B"/>
    <w:rsid w:val="004641CB"/>
    <w:rsid w:val="004641E6"/>
    <w:rsid w:val="0046420C"/>
    <w:rsid w:val="004642D2"/>
    <w:rsid w:val="00464305"/>
    <w:rsid w:val="00464329"/>
    <w:rsid w:val="00464392"/>
    <w:rsid w:val="0046442A"/>
    <w:rsid w:val="0046444C"/>
    <w:rsid w:val="004644E5"/>
    <w:rsid w:val="00464501"/>
    <w:rsid w:val="00464520"/>
    <w:rsid w:val="0046454C"/>
    <w:rsid w:val="0046454D"/>
    <w:rsid w:val="00464554"/>
    <w:rsid w:val="004645DB"/>
    <w:rsid w:val="004645FC"/>
    <w:rsid w:val="00464633"/>
    <w:rsid w:val="0046464A"/>
    <w:rsid w:val="00464662"/>
    <w:rsid w:val="004646AF"/>
    <w:rsid w:val="004646B8"/>
    <w:rsid w:val="004646EC"/>
    <w:rsid w:val="00464754"/>
    <w:rsid w:val="004647A2"/>
    <w:rsid w:val="004647BE"/>
    <w:rsid w:val="004647D0"/>
    <w:rsid w:val="004647E7"/>
    <w:rsid w:val="0046483B"/>
    <w:rsid w:val="00464840"/>
    <w:rsid w:val="00464909"/>
    <w:rsid w:val="00464963"/>
    <w:rsid w:val="00464985"/>
    <w:rsid w:val="004649D1"/>
    <w:rsid w:val="00464A55"/>
    <w:rsid w:val="00464AA4"/>
    <w:rsid w:val="00464B76"/>
    <w:rsid w:val="00464BED"/>
    <w:rsid w:val="00464C75"/>
    <w:rsid w:val="00464CD1"/>
    <w:rsid w:val="00464D20"/>
    <w:rsid w:val="00464D35"/>
    <w:rsid w:val="00464EB1"/>
    <w:rsid w:val="00464ECD"/>
    <w:rsid w:val="00464F97"/>
    <w:rsid w:val="00464F9E"/>
    <w:rsid w:val="00464FA3"/>
    <w:rsid w:val="00464FD1"/>
    <w:rsid w:val="00465036"/>
    <w:rsid w:val="0046503A"/>
    <w:rsid w:val="0046507C"/>
    <w:rsid w:val="00465116"/>
    <w:rsid w:val="00465144"/>
    <w:rsid w:val="0046515E"/>
    <w:rsid w:val="00465174"/>
    <w:rsid w:val="00465194"/>
    <w:rsid w:val="0046519A"/>
    <w:rsid w:val="004651E7"/>
    <w:rsid w:val="0046522E"/>
    <w:rsid w:val="00465287"/>
    <w:rsid w:val="004652A0"/>
    <w:rsid w:val="004652CD"/>
    <w:rsid w:val="004652F4"/>
    <w:rsid w:val="0046534B"/>
    <w:rsid w:val="0046539B"/>
    <w:rsid w:val="004653D0"/>
    <w:rsid w:val="00465424"/>
    <w:rsid w:val="004655C4"/>
    <w:rsid w:val="00465614"/>
    <w:rsid w:val="0046563A"/>
    <w:rsid w:val="00465691"/>
    <w:rsid w:val="004656B2"/>
    <w:rsid w:val="00465700"/>
    <w:rsid w:val="0046570B"/>
    <w:rsid w:val="00465750"/>
    <w:rsid w:val="00465767"/>
    <w:rsid w:val="004657B8"/>
    <w:rsid w:val="00465824"/>
    <w:rsid w:val="0046583F"/>
    <w:rsid w:val="0046584B"/>
    <w:rsid w:val="004658A3"/>
    <w:rsid w:val="004658DA"/>
    <w:rsid w:val="00465963"/>
    <w:rsid w:val="00465990"/>
    <w:rsid w:val="004659C7"/>
    <w:rsid w:val="004659D8"/>
    <w:rsid w:val="004659E6"/>
    <w:rsid w:val="004659EE"/>
    <w:rsid w:val="00465A17"/>
    <w:rsid w:val="00465A33"/>
    <w:rsid w:val="00465A41"/>
    <w:rsid w:val="00465A56"/>
    <w:rsid w:val="00465ACC"/>
    <w:rsid w:val="00465ADD"/>
    <w:rsid w:val="00465B71"/>
    <w:rsid w:val="00465BF7"/>
    <w:rsid w:val="00465C8F"/>
    <w:rsid w:val="00465C9D"/>
    <w:rsid w:val="00465CA3"/>
    <w:rsid w:val="00465D04"/>
    <w:rsid w:val="00465D09"/>
    <w:rsid w:val="00465D88"/>
    <w:rsid w:val="00465DCA"/>
    <w:rsid w:val="00465DDA"/>
    <w:rsid w:val="00465E95"/>
    <w:rsid w:val="00465E9A"/>
    <w:rsid w:val="00465EDB"/>
    <w:rsid w:val="00465F00"/>
    <w:rsid w:val="00465FAE"/>
    <w:rsid w:val="00466039"/>
    <w:rsid w:val="00466058"/>
    <w:rsid w:val="0046605F"/>
    <w:rsid w:val="00466076"/>
    <w:rsid w:val="004660CD"/>
    <w:rsid w:val="004660ED"/>
    <w:rsid w:val="00466112"/>
    <w:rsid w:val="00466168"/>
    <w:rsid w:val="0046621D"/>
    <w:rsid w:val="0046622D"/>
    <w:rsid w:val="004662A6"/>
    <w:rsid w:val="00466308"/>
    <w:rsid w:val="00466313"/>
    <w:rsid w:val="00466371"/>
    <w:rsid w:val="00466374"/>
    <w:rsid w:val="00466383"/>
    <w:rsid w:val="0046638D"/>
    <w:rsid w:val="004663D3"/>
    <w:rsid w:val="00466427"/>
    <w:rsid w:val="00466431"/>
    <w:rsid w:val="00466456"/>
    <w:rsid w:val="00466490"/>
    <w:rsid w:val="004664BB"/>
    <w:rsid w:val="004664CD"/>
    <w:rsid w:val="004665E1"/>
    <w:rsid w:val="004665E6"/>
    <w:rsid w:val="004666D2"/>
    <w:rsid w:val="004667A2"/>
    <w:rsid w:val="004667D1"/>
    <w:rsid w:val="004667ED"/>
    <w:rsid w:val="00466821"/>
    <w:rsid w:val="00466825"/>
    <w:rsid w:val="00466836"/>
    <w:rsid w:val="00466842"/>
    <w:rsid w:val="00466858"/>
    <w:rsid w:val="004668DB"/>
    <w:rsid w:val="00466911"/>
    <w:rsid w:val="00466963"/>
    <w:rsid w:val="00466972"/>
    <w:rsid w:val="004669C8"/>
    <w:rsid w:val="004669ED"/>
    <w:rsid w:val="004669EF"/>
    <w:rsid w:val="00466A9D"/>
    <w:rsid w:val="00466B02"/>
    <w:rsid w:val="00466B85"/>
    <w:rsid w:val="00466BF1"/>
    <w:rsid w:val="00466C03"/>
    <w:rsid w:val="00466C79"/>
    <w:rsid w:val="00466CAF"/>
    <w:rsid w:val="00466CB6"/>
    <w:rsid w:val="00466CEE"/>
    <w:rsid w:val="00466D2B"/>
    <w:rsid w:val="00466D4F"/>
    <w:rsid w:val="00466DED"/>
    <w:rsid w:val="00466E5D"/>
    <w:rsid w:val="00466EA3"/>
    <w:rsid w:val="00466EC3"/>
    <w:rsid w:val="00466EFC"/>
    <w:rsid w:val="00466F07"/>
    <w:rsid w:val="00466F72"/>
    <w:rsid w:val="00466FFA"/>
    <w:rsid w:val="0046709E"/>
    <w:rsid w:val="004670A0"/>
    <w:rsid w:val="004670F7"/>
    <w:rsid w:val="0046712C"/>
    <w:rsid w:val="00467197"/>
    <w:rsid w:val="004671C0"/>
    <w:rsid w:val="0046721A"/>
    <w:rsid w:val="0046723F"/>
    <w:rsid w:val="0046726D"/>
    <w:rsid w:val="004672F3"/>
    <w:rsid w:val="00467341"/>
    <w:rsid w:val="00467366"/>
    <w:rsid w:val="004673B5"/>
    <w:rsid w:val="004673FD"/>
    <w:rsid w:val="004674EA"/>
    <w:rsid w:val="0046754B"/>
    <w:rsid w:val="00467571"/>
    <w:rsid w:val="00467598"/>
    <w:rsid w:val="004675A7"/>
    <w:rsid w:val="004675F0"/>
    <w:rsid w:val="00467654"/>
    <w:rsid w:val="004676D7"/>
    <w:rsid w:val="004676FC"/>
    <w:rsid w:val="00467719"/>
    <w:rsid w:val="00467727"/>
    <w:rsid w:val="00467729"/>
    <w:rsid w:val="00467779"/>
    <w:rsid w:val="00467807"/>
    <w:rsid w:val="00467815"/>
    <w:rsid w:val="0046781F"/>
    <w:rsid w:val="0046787D"/>
    <w:rsid w:val="00467882"/>
    <w:rsid w:val="00467887"/>
    <w:rsid w:val="004678E5"/>
    <w:rsid w:val="004678FA"/>
    <w:rsid w:val="0046791D"/>
    <w:rsid w:val="00467A5A"/>
    <w:rsid w:val="00467A69"/>
    <w:rsid w:val="00467A92"/>
    <w:rsid w:val="00467ACF"/>
    <w:rsid w:val="00467B4C"/>
    <w:rsid w:val="00467B66"/>
    <w:rsid w:val="00467B76"/>
    <w:rsid w:val="00467BD5"/>
    <w:rsid w:val="00467BF7"/>
    <w:rsid w:val="00467C59"/>
    <w:rsid w:val="00467C81"/>
    <w:rsid w:val="00467C96"/>
    <w:rsid w:val="00467CC2"/>
    <w:rsid w:val="00467CCA"/>
    <w:rsid w:val="00467D16"/>
    <w:rsid w:val="00467D60"/>
    <w:rsid w:val="00467DB7"/>
    <w:rsid w:val="00467DD2"/>
    <w:rsid w:val="00467DEA"/>
    <w:rsid w:val="00467E88"/>
    <w:rsid w:val="00467E91"/>
    <w:rsid w:val="00467F03"/>
    <w:rsid w:val="00467F76"/>
    <w:rsid w:val="00467F7D"/>
    <w:rsid w:val="00467FBD"/>
    <w:rsid w:val="00467FDE"/>
    <w:rsid w:val="00467FEF"/>
    <w:rsid w:val="00467FF9"/>
    <w:rsid w:val="0047003F"/>
    <w:rsid w:val="004700DE"/>
    <w:rsid w:val="004700F5"/>
    <w:rsid w:val="00470127"/>
    <w:rsid w:val="00470134"/>
    <w:rsid w:val="0047014C"/>
    <w:rsid w:val="004701B1"/>
    <w:rsid w:val="004701BA"/>
    <w:rsid w:val="004701CC"/>
    <w:rsid w:val="00470218"/>
    <w:rsid w:val="004702A1"/>
    <w:rsid w:val="004702DD"/>
    <w:rsid w:val="00470327"/>
    <w:rsid w:val="00470352"/>
    <w:rsid w:val="00470423"/>
    <w:rsid w:val="0047046F"/>
    <w:rsid w:val="004704CF"/>
    <w:rsid w:val="004704E0"/>
    <w:rsid w:val="004705A4"/>
    <w:rsid w:val="004706A1"/>
    <w:rsid w:val="004706B3"/>
    <w:rsid w:val="004706B5"/>
    <w:rsid w:val="0047070A"/>
    <w:rsid w:val="0047072C"/>
    <w:rsid w:val="00470769"/>
    <w:rsid w:val="0047076E"/>
    <w:rsid w:val="004707A4"/>
    <w:rsid w:val="004707DA"/>
    <w:rsid w:val="004707F6"/>
    <w:rsid w:val="00470854"/>
    <w:rsid w:val="004708E1"/>
    <w:rsid w:val="0047090B"/>
    <w:rsid w:val="00470911"/>
    <w:rsid w:val="0047095F"/>
    <w:rsid w:val="00470A20"/>
    <w:rsid w:val="00470A29"/>
    <w:rsid w:val="00470A7F"/>
    <w:rsid w:val="00470ABF"/>
    <w:rsid w:val="00470AE7"/>
    <w:rsid w:val="00470B88"/>
    <w:rsid w:val="00470BA3"/>
    <w:rsid w:val="00470BA6"/>
    <w:rsid w:val="00470C4E"/>
    <w:rsid w:val="00470C59"/>
    <w:rsid w:val="00470C6C"/>
    <w:rsid w:val="00470C98"/>
    <w:rsid w:val="00470CD9"/>
    <w:rsid w:val="00470D4A"/>
    <w:rsid w:val="00470E1D"/>
    <w:rsid w:val="00470EC1"/>
    <w:rsid w:val="00470EC5"/>
    <w:rsid w:val="00470EC6"/>
    <w:rsid w:val="00470EDD"/>
    <w:rsid w:val="00470F2B"/>
    <w:rsid w:val="00470F88"/>
    <w:rsid w:val="00470F94"/>
    <w:rsid w:val="00471085"/>
    <w:rsid w:val="00471087"/>
    <w:rsid w:val="00471153"/>
    <w:rsid w:val="00471179"/>
    <w:rsid w:val="0047123B"/>
    <w:rsid w:val="00471265"/>
    <w:rsid w:val="0047129B"/>
    <w:rsid w:val="0047137A"/>
    <w:rsid w:val="0047139C"/>
    <w:rsid w:val="0047139F"/>
    <w:rsid w:val="0047148B"/>
    <w:rsid w:val="004714DC"/>
    <w:rsid w:val="004714DE"/>
    <w:rsid w:val="004714F9"/>
    <w:rsid w:val="0047153F"/>
    <w:rsid w:val="0047154B"/>
    <w:rsid w:val="00471593"/>
    <w:rsid w:val="004715A9"/>
    <w:rsid w:val="004715CB"/>
    <w:rsid w:val="004715FD"/>
    <w:rsid w:val="0047172D"/>
    <w:rsid w:val="00471746"/>
    <w:rsid w:val="00471796"/>
    <w:rsid w:val="004717E0"/>
    <w:rsid w:val="00471834"/>
    <w:rsid w:val="00471879"/>
    <w:rsid w:val="004718AF"/>
    <w:rsid w:val="004718F8"/>
    <w:rsid w:val="004718FC"/>
    <w:rsid w:val="00471913"/>
    <w:rsid w:val="0047197F"/>
    <w:rsid w:val="00471986"/>
    <w:rsid w:val="004719A2"/>
    <w:rsid w:val="004719BB"/>
    <w:rsid w:val="004719DE"/>
    <w:rsid w:val="00471A69"/>
    <w:rsid w:val="00471ABF"/>
    <w:rsid w:val="00471AD3"/>
    <w:rsid w:val="00471AFA"/>
    <w:rsid w:val="00471B3C"/>
    <w:rsid w:val="00471B3D"/>
    <w:rsid w:val="00471B6D"/>
    <w:rsid w:val="00471B9A"/>
    <w:rsid w:val="00471BEE"/>
    <w:rsid w:val="00471CC9"/>
    <w:rsid w:val="00471D20"/>
    <w:rsid w:val="00471D2D"/>
    <w:rsid w:val="00471D50"/>
    <w:rsid w:val="00471D7A"/>
    <w:rsid w:val="00471E40"/>
    <w:rsid w:val="00471E9F"/>
    <w:rsid w:val="00471EA8"/>
    <w:rsid w:val="00471ED9"/>
    <w:rsid w:val="00471EFE"/>
    <w:rsid w:val="00471F43"/>
    <w:rsid w:val="00471F4E"/>
    <w:rsid w:val="00471F54"/>
    <w:rsid w:val="00471F55"/>
    <w:rsid w:val="00472060"/>
    <w:rsid w:val="004720A0"/>
    <w:rsid w:val="004720AB"/>
    <w:rsid w:val="004720B7"/>
    <w:rsid w:val="00472158"/>
    <w:rsid w:val="0047221B"/>
    <w:rsid w:val="00472263"/>
    <w:rsid w:val="00472298"/>
    <w:rsid w:val="0047229A"/>
    <w:rsid w:val="004722C7"/>
    <w:rsid w:val="00472336"/>
    <w:rsid w:val="0047233A"/>
    <w:rsid w:val="0047233E"/>
    <w:rsid w:val="00472371"/>
    <w:rsid w:val="00472436"/>
    <w:rsid w:val="0047243C"/>
    <w:rsid w:val="0047248A"/>
    <w:rsid w:val="004724A5"/>
    <w:rsid w:val="004724AD"/>
    <w:rsid w:val="0047251C"/>
    <w:rsid w:val="0047252D"/>
    <w:rsid w:val="00472568"/>
    <w:rsid w:val="0047257B"/>
    <w:rsid w:val="004725C0"/>
    <w:rsid w:val="00472629"/>
    <w:rsid w:val="00472641"/>
    <w:rsid w:val="00472684"/>
    <w:rsid w:val="004726C3"/>
    <w:rsid w:val="00472731"/>
    <w:rsid w:val="00472790"/>
    <w:rsid w:val="004727AE"/>
    <w:rsid w:val="004727CF"/>
    <w:rsid w:val="00472819"/>
    <w:rsid w:val="00472825"/>
    <w:rsid w:val="00472851"/>
    <w:rsid w:val="00472883"/>
    <w:rsid w:val="004728A4"/>
    <w:rsid w:val="004728F5"/>
    <w:rsid w:val="00472910"/>
    <w:rsid w:val="00472952"/>
    <w:rsid w:val="0047295E"/>
    <w:rsid w:val="00472975"/>
    <w:rsid w:val="004729C5"/>
    <w:rsid w:val="00472A9D"/>
    <w:rsid w:val="00472AA9"/>
    <w:rsid w:val="00472ACC"/>
    <w:rsid w:val="00472AD6"/>
    <w:rsid w:val="00472B58"/>
    <w:rsid w:val="00472B61"/>
    <w:rsid w:val="00472B81"/>
    <w:rsid w:val="00472B9D"/>
    <w:rsid w:val="00472BA6"/>
    <w:rsid w:val="00472BBB"/>
    <w:rsid w:val="00472C01"/>
    <w:rsid w:val="00472C42"/>
    <w:rsid w:val="00472C4A"/>
    <w:rsid w:val="00472C9A"/>
    <w:rsid w:val="00472CB8"/>
    <w:rsid w:val="00472CE4"/>
    <w:rsid w:val="00472D50"/>
    <w:rsid w:val="00472D92"/>
    <w:rsid w:val="00472DFE"/>
    <w:rsid w:val="00472E1C"/>
    <w:rsid w:val="00472E22"/>
    <w:rsid w:val="00472E5E"/>
    <w:rsid w:val="00472E66"/>
    <w:rsid w:val="00472E88"/>
    <w:rsid w:val="00472EB2"/>
    <w:rsid w:val="00472F3A"/>
    <w:rsid w:val="00472F44"/>
    <w:rsid w:val="00472F48"/>
    <w:rsid w:val="00472FDC"/>
    <w:rsid w:val="00472FF3"/>
    <w:rsid w:val="00473079"/>
    <w:rsid w:val="00473087"/>
    <w:rsid w:val="00473098"/>
    <w:rsid w:val="004730C0"/>
    <w:rsid w:val="00473103"/>
    <w:rsid w:val="00473181"/>
    <w:rsid w:val="00473183"/>
    <w:rsid w:val="004731EA"/>
    <w:rsid w:val="004731F1"/>
    <w:rsid w:val="004731F3"/>
    <w:rsid w:val="004732AF"/>
    <w:rsid w:val="00473326"/>
    <w:rsid w:val="0047333D"/>
    <w:rsid w:val="004733ED"/>
    <w:rsid w:val="0047343F"/>
    <w:rsid w:val="00473460"/>
    <w:rsid w:val="004734E7"/>
    <w:rsid w:val="00473501"/>
    <w:rsid w:val="0047350B"/>
    <w:rsid w:val="004735F0"/>
    <w:rsid w:val="00473617"/>
    <w:rsid w:val="004736D5"/>
    <w:rsid w:val="00473786"/>
    <w:rsid w:val="004737CE"/>
    <w:rsid w:val="00473803"/>
    <w:rsid w:val="00473820"/>
    <w:rsid w:val="0047385E"/>
    <w:rsid w:val="004738C1"/>
    <w:rsid w:val="00473961"/>
    <w:rsid w:val="0047396D"/>
    <w:rsid w:val="00473972"/>
    <w:rsid w:val="0047399C"/>
    <w:rsid w:val="004739BA"/>
    <w:rsid w:val="00473A08"/>
    <w:rsid w:val="00473A53"/>
    <w:rsid w:val="00473A6A"/>
    <w:rsid w:val="00473A6F"/>
    <w:rsid w:val="00473ACE"/>
    <w:rsid w:val="00473AF1"/>
    <w:rsid w:val="00473B2D"/>
    <w:rsid w:val="00473B6B"/>
    <w:rsid w:val="00473B7F"/>
    <w:rsid w:val="00473BA0"/>
    <w:rsid w:val="00473BD5"/>
    <w:rsid w:val="00473C19"/>
    <w:rsid w:val="00473C5D"/>
    <w:rsid w:val="00473CB2"/>
    <w:rsid w:val="00473DAF"/>
    <w:rsid w:val="00473E5A"/>
    <w:rsid w:val="00473EB2"/>
    <w:rsid w:val="00473F36"/>
    <w:rsid w:val="00473F38"/>
    <w:rsid w:val="00473F6B"/>
    <w:rsid w:val="00473F70"/>
    <w:rsid w:val="00473F97"/>
    <w:rsid w:val="00473FD1"/>
    <w:rsid w:val="0047400C"/>
    <w:rsid w:val="00474047"/>
    <w:rsid w:val="004740D0"/>
    <w:rsid w:val="00474111"/>
    <w:rsid w:val="00474128"/>
    <w:rsid w:val="0047413B"/>
    <w:rsid w:val="00474222"/>
    <w:rsid w:val="004742B0"/>
    <w:rsid w:val="004742EA"/>
    <w:rsid w:val="0047430D"/>
    <w:rsid w:val="004743ED"/>
    <w:rsid w:val="004743F4"/>
    <w:rsid w:val="004743F8"/>
    <w:rsid w:val="00474404"/>
    <w:rsid w:val="0047444D"/>
    <w:rsid w:val="00474450"/>
    <w:rsid w:val="004744A8"/>
    <w:rsid w:val="0047452B"/>
    <w:rsid w:val="00474530"/>
    <w:rsid w:val="00474542"/>
    <w:rsid w:val="004745B9"/>
    <w:rsid w:val="004745FD"/>
    <w:rsid w:val="00474603"/>
    <w:rsid w:val="0047462B"/>
    <w:rsid w:val="0047462D"/>
    <w:rsid w:val="00474634"/>
    <w:rsid w:val="0047467E"/>
    <w:rsid w:val="004746B3"/>
    <w:rsid w:val="004746D0"/>
    <w:rsid w:val="004746E3"/>
    <w:rsid w:val="00474789"/>
    <w:rsid w:val="0047478D"/>
    <w:rsid w:val="00474849"/>
    <w:rsid w:val="004748A3"/>
    <w:rsid w:val="004748F1"/>
    <w:rsid w:val="00474918"/>
    <w:rsid w:val="00474948"/>
    <w:rsid w:val="0047499A"/>
    <w:rsid w:val="004749A2"/>
    <w:rsid w:val="00474A05"/>
    <w:rsid w:val="00474A3A"/>
    <w:rsid w:val="00474A5B"/>
    <w:rsid w:val="00474AF1"/>
    <w:rsid w:val="00474B4A"/>
    <w:rsid w:val="00474B4C"/>
    <w:rsid w:val="00474C18"/>
    <w:rsid w:val="00474C88"/>
    <w:rsid w:val="00474CD7"/>
    <w:rsid w:val="00474CE3"/>
    <w:rsid w:val="00474D41"/>
    <w:rsid w:val="00474D45"/>
    <w:rsid w:val="00474D6F"/>
    <w:rsid w:val="00474D9E"/>
    <w:rsid w:val="00474DB5"/>
    <w:rsid w:val="00474DCF"/>
    <w:rsid w:val="00474DEA"/>
    <w:rsid w:val="00474DF5"/>
    <w:rsid w:val="00474E24"/>
    <w:rsid w:val="00474E52"/>
    <w:rsid w:val="00474EC2"/>
    <w:rsid w:val="00474EED"/>
    <w:rsid w:val="00474EEE"/>
    <w:rsid w:val="00474F0B"/>
    <w:rsid w:val="00474F13"/>
    <w:rsid w:val="00474F4E"/>
    <w:rsid w:val="00474F6F"/>
    <w:rsid w:val="00474FBB"/>
    <w:rsid w:val="00474FBF"/>
    <w:rsid w:val="00474FEE"/>
    <w:rsid w:val="00474FF2"/>
    <w:rsid w:val="0047502A"/>
    <w:rsid w:val="00475085"/>
    <w:rsid w:val="004750AA"/>
    <w:rsid w:val="004750CC"/>
    <w:rsid w:val="004750D4"/>
    <w:rsid w:val="0047518F"/>
    <w:rsid w:val="0047520F"/>
    <w:rsid w:val="0047521B"/>
    <w:rsid w:val="00475239"/>
    <w:rsid w:val="00475288"/>
    <w:rsid w:val="004752A6"/>
    <w:rsid w:val="004752A9"/>
    <w:rsid w:val="004752F4"/>
    <w:rsid w:val="00475316"/>
    <w:rsid w:val="00475423"/>
    <w:rsid w:val="00475443"/>
    <w:rsid w:val="004754D2"/>
    <w:rsid w:val="004754D9"/>
    <w:rsid w:val="00475528"/>
    <w:rsid w:val="00475550"/>
    <w:rsid w:val="00475564"/>
    <w:rsid w:val="00475579"/>
    <w:rsid w:val="004755B1"/>
    <w:rsid w:val="004756C1"/>
    <w:rsid w:val="004756EF"/>
    <w:rsid w:val="00475708"/>
    <w:rsid w:val="0047574E"/>
    <w:rsid w:val="00475772"/>
    <w:rsid w:val="004757DF"/>
    <w:rsid w:val="004758A6"/>
    <w:rsid w:val="004758AD"/>
    <w:rsid w:val="004759B1"/>
    <w:rsid w:val="00475A6E"/>
    <w:rsid w:val="00475ABF"/>
    <w:rsid w:val="00475BB2"/>
    <w:rsid w:val="00475BC0"/>
    <w:rsid w:val="00475C39"/>
    <w:rsid w:val="00475C9D"/>
    <w:rsid w:val="00475CE9"/>
    <w:rsid w:val="00475D04"/>
    <w:rsid w:val="00475D4B"/>
    <w:rsid w:val="00475D89"/>
    <w:rsid w:val="00475E80"/>
    <w:rsid w:val="00475F09"/>
    <w:rsid w:val="00475F32"/>
    <w:rsid w:val="00475FA7"/>
    <w:rsid w:val="00475FDC"/>
    <w:rsid w:val="0047601F"/>
    <w:rsid w:val="00476070"/>
    <w:rsid w:val="004760F1"/>
    <w:rsid w:val="004760F5"/>
    <w:rsid w:val="00476108"/>
    <w:rsid w:val="0047610F"/>
    <w:rsid w:val="00476121"/>
    <w:rsid w:val="00476163"/>
    <w:rsid w:val="004761A6"/>
    <w:rsid w:val="00476235"/>
    <w:rsid w:val="00476242"/>
    <w:rsid w:val="00476250"/>
    <w:rsid w:val="004762EC"/>
    <w:rsid w:val="00476304"/>
    <w:rsid w:val="00476314"/>
    <w:rsid w:val="00476319"/>
    <w:rsid w:val="00476326"/>
    <w:rsid w:val="00476328"/>
    <w:rsid w:val="00476351"/>
    <w:rsid w:val="00476399"/>
    <w:rsid w:val="004763B0"/>
    <w:rsid w:val="004763B3"/>
    <w:rsid w:val="004763C2"/>
    <w:rsid w:val="004763E3"/>
    <w:rsid w:val="00476417"/>
    <w:rsid w:val="00476420"/>
    <w:rsid w:val="00476436"/>
    <w:rsid w:val="00476437"/>
    <w:rsid w:val="00476531"/>
    <w:rsid w:val="00476590"/>
    <w:rsid w:val="004765B6"/>
    <w:rsid w:val="004765D3"/>
    <w:rsid w:val="00476634"/>
    <w:rsid w:val="00476646"/>
    <w:rsid w:val="00476699"/>
    <w:rsid w:val="004766E7"/>
    <w:rsid w:val="004766F0"/>
    <w:rsid w:val="004766F7"/>
    <w:rsid w:val="0047675D"/>
    <w:rsid w:val="004767CC"/>
    <w:rsid w:val="00476870"/>
    <w:rsid w:val="004768D0"/>
    <w:rsid w:val="004768FF"/>
    <w:rsid w:val="0047690B"/>
    <w:rsid w:val="00476916"/>
    <w:rsid w:val="00476940"/>
    <w:rsid w:val="0047694F"/>
    <w:rsid w:val="00476993"/>
    <w:rsid w:val="00476A0D"/>
    <w:rsid w:val="00476A68"/>
    <w:rsid w:val="00476AD5"/>
    <w:rsid w:val="00476ADC"/>
    <w:rsid w:val="00476B52"/>
    <w:rsid w:val="00476B53"/>
    <w:rsid w:val="00476B62"/>
    <w:rsid w:val="00476B8E"/>
    <w:rsid w:val="00476C02"/>
    <w:rsid w:val="00476C13"/>
    <w:rsid w:val="00476C92"/>
    <w:rsid w:val="00476CF6"/>
    <w:rsid w:val="00476D03"/>
    <w:rsid w:val="00476D0D"/>
    <w:rsid w:val="00476D45"/>
    <w:rsid w:val="00476D78"/>
    <w:rsid w:val="00476E7F"/>
    <w:rsid w:val="00476EB6"/>
    <w:rsid w:val="00476EC1"/>
    <w:rsid w:val="00476F67"/>
    <w:rsid w:val="00476F6D"/>
    <w:rsid w:val="00476FA5"/>
    <w:rsid w:val="00476FAA"/>
    <w:rsid w:val="00476FD9"/>
    <w:rsid w:val="00476FF0"/>
    <w:rsid w:val="00477013"/>
    <w:rsid w:val="00477047"/>
    <w:rsid w:val="0047709F"/>
    <w:rsid w:val="0047714B"/>
    <w:rsid w:val="00477150"/>
    <w:rsid w:val="00477162"/>
    <w:rsid w:val="004771A3"/>
    <w:rsid w:val="004771D2"/>
    <w:rsid w:val="004771D4"/>
    <w:rsid w:val="004771F9"/>
    <w:rsid w:val="004771FC"/>
    <w:rsid w:val="0047722F"/>
    <w:rsid w:val="00477231"/>
    <w:rsid w:val="00477263"/>
    <w:rsid w:val="0047728B"/>
    <w:rsid w:val="004772A9"/>
    <w:rsid w:val="004772BE"/>
    <w:rsid w:val="004772C8"/>
    <w:rsid w:val="004773C9"/>
    <w:rsid w:val="004773FF"/>
    <w:rsid w:val="00477404"/>
    <w:rsid w:val="0047740E"/>
    <w:rsid w:val="0047748A"/>
    <w:rsid w:val="00477490"/>
    <w:rsid w:val="004774BC"/>
    <w:rsid w:val="004774CE"/>
    <w:rsid w:val="004774D0"/>
    <w:rsid w:val="00477560"/>
    <w:rsid w:val="004775E2"/>
    <w:rsid w:val="0047766D"/>
    <w:rsid w:val="0047768C"/>
    <w:rsid w:val="00477694"/>
    <w:rsid w:val="00477781"/>
    <w:rsid w:val="004778B8"/>
    <w:rsid w:val="004778E0"/>
    <w:rsid w:val="00477905"/>
    <w:rsid w:val="00477932"/>
    <w:rsid w:val="0047798A"/>
    <w:rsid w:val="00477990"/>
    <w:rsid w:val="00477999"/>
    <w:rsid w:val="00477A37"/>
    <w:rsid w:val="00477A66"/>
    <w:rsid w:val="00477A9D"/>
    <w:rsid w:val="00477AA5"/>
    <w:rsid w:val="00477AA8"/>
    <w:rsid w:val="00477B31"/>
    <w:rsid w:val="00477C27"/>
    <w:rsid w:val="00477C3A"/>
    <w:rsid w:val="00477C55"/>
    <w:rsid w:val="00477C66"/>
    <w:rsid w:val="00477CF8"/>
    <w:rsid w:val="00477D2E"/>
    <w:rsid w:val="00477E3C"/>
    <w:rsid w:val="00477E3D"/>
    <w:rsid w:val="00477EEF"/>
    <w:rsid w:val="00477F03"/>
    <w:rsid w:val="00477F43"/>
    <w:rsid w:val="00477FEF"/>
    <w:rsid w:val="0048001B"/>
    <w:rsid w:val="0048004C"/>
    <w:rsid w:val="00480051"/>
    <w:rsid w:val="00480053"/>
    <w:rsid w:val="00480094"/>
    <w:rsid w:val="004800E1"/>
    <w:rsid w:val="00480139"/>
    <w:rsid w:val="004801AD"/>
    <w:rsid w:val="004801BC"/>
    <w:rsid w:val="00480204"/>
    <w:rsid w:val="00480254"/>
    <w:rsid w:val="0048039D"/>
    <w:rsid w:val="004803B6"/>
    <w:rsid w:val="004803BC"/>
    <w:rsid w:val="004803D7"/>
    <w:rsid w:val="00480417"/>
    <w:rsid w:val="00480424"/>
    <w:rsid w:val="0048049E"/>
    <w:rsid w:val="004804B0"/>
    <w:rsid w:val="004804B2"/>
    <w:rsid w:val="004804C4"/>
    <w:rsid w:val="004804D1"/>
    <w:rsid w:val="00480507"/>
    <w:rsid w:val="00480509"/>
    <w:rsid w:val="0048057A"/>
    <w:rsid w:val="0048057D"/>
    <w:rsid w:val="0048059B"/>
    <w:rsid w:val="004805D5"/>
    <w:rsid w:val="0048062F"/>
    <w:rsid w:val="0048065D"/>
    <w:rsid w:val="00480690"/>
    <w:rsid w:val="004806AB"/>
    <w:rsid w:val="004806CD"/>
    <w:rsid w:val="0048070D"/>
    <w:rsid w:val="0048074D"/>
    <w:rsid w:val="004807CE"/>
    <w:rsid w:val="00480844"/>
    <w:rsid w:val="00480879"/>
    <w:rsid w:val="00480892"/>
    <w:rsid w:val="004808B8"/>
    <w:rsid w:val="004808CA"/>
    <w:rsid w:val="004808F5"/>
    <w:rsid w:val="0048096A"/>
    <w:rsid w:val="004809A8"/>
    <w:rsid w:val="004809BD"/>
    <w:rsid w:val="00480AB9"/>
    <w:rsid w:val="00480B06"/>
    <w:rsid w:val="00480B22"/>
    <w:rsid w:val="00480B3C"/>
    <w:rsid w:val="00480B5B"/>
    <w:rsid w:val="00480B99"/>
    <w:rsid w:val="00480BE0"/>
    <w:rsid w:val="00480BF0"/>
    <w:rsid w:val="00480C0C"/>
    <w:rsid w:val="00480C26"/>
    <w:rsid w:val="00480C41"/>
    <w:rsid w:val="00480C76"/>
    <w:rsid w:val="00480CC1"/>
    <w:rsid w:val="00480D43"/>
    <w:rsid w:val="00480D62"/>
    <w:rsid w:val="00480D7A"/>
    <w:rsid w:val="00480E12"/>
    <w:rsid w:val="00480E2B"/>
    <w:rsid w:val="00480E2C"/>
    <w:rsid w:val="00480E45"/>
    <w:rsid w:val="00480E57"/>
    <w:rsid w:val="00480EFC"/>
    <w:rsid w:val="00480F30"/>
    <w:rsid w:val="00480F71"/>
    <w:rsid w:val="00480FB4"/>
    <w:rsid w:val="00481020"/>
    <w:rsid w:val="00481032"/>
    <w:rsid w:val="00481046"/>
    <w:rsid w:val="00481077"/>
    <w:rsid w:val="0048109F"/>
    <w:rsid w:val="004810A5"/>
    <w:rsid w:val="004811C2"/>
    <w:rsid w:val="004811F2"/>
    <w:rsid w:val="004811F8"/>
    <w:rsid w:val="00481295"/>
    <w:rsid w:val="004812B2"/>
    <w:rsid w:val="004812E2"/>
    <w:rsid w:val="0048132D"/>
    <w:rsid w:val="004813C8"/>
    <w:rsid w:val="004813D4"/>
    <w:rsid w:val="00481426"/>
    <w:rsid w:val="0048142A"/>
    <w:rsid w:val="00481449"/>
    <w:rsid w:val="00481461"/>
    <w:rsid w:val="004814B8"/>
    <w:rsid w:val="0048152A"/>
    <w:rsid w:val="00481535"/>
    <w:rsid w:val="00481558"/>
    <w:rsid w:val="00481570"/>
    <w:rsid w:val="0048159C"/>
    <w:rsid w:val="0048166F"/>
    <w:rsid w:val="00481679"/>
    <w:rsid w:val="00481691"/>
    <w:rsid w:val="00481702"/>
    <w:rsid w:val="00481704"/>
    <w:rsid w:val="004817F8"/>
    <w:rsid w:val="0048189F"/>
    <w:rsid w:val="004818C6"/>
    <w:rsid w:val="0048190A"/>
    <w:rsid w:val="00481999"/>
    <w:rsid w:val="00481A5C"/>
    <w:rsid w:val="00481A85"/>
    <w:rsid w:val="00481B0E"/>
    <w:rsid w:val="00481B32"/>
    <w:rsid w:val="00481B47"/>
    <w:rsid w:val="00481B51"/>
    <w:rsid w:val="00481C13"/>
    <w:rsid w:val="00481CA4"/>
    <w:rsid w:val="00481CD3"/>
    <w:rsid w:val="00481CE6"/>
    <w:rsid w:val="00481CFC"/>
    <w:rsid w:val="00481D53"/>
    <w:rsid w:val="00481D61"/>
    <w:rsid w:val="00481D64"/>
    <w:rsid w:val="00481D87"/>
    <w:rsid w:val="00481E3B"/>
    <w:rsid w:val="00481E66"/>
    <w:rsid w:val="00481E88"/>
    <w:rsid w:val="00481EBC"/>
    <w:rsid w:val="00481EBD"/>
    <w:rsid w:val="00481F78"/>
    <w:rsid w:val="00481FA0"/>
    <w:rsid w:val="00481FBC"/>
    <w:rsid w:val="00482029"/>
    <w:rsid w:val="0048208E"/>
    <w:rsid w:val="0048209D"/>
    <w:rsid w:val="004820AA"/>
    <w:rsid w:val="00482121"/>
    <w:rsid w:val="00482140"/>
    <w:rsid w:val="004821C3"/>
    <w:rsid w:val="00482244"/>
    <w:rsid w:val="0048226B"/>
    <w:rsid w:val="00482313"/>
    <w:rsid w:val="0048234B"/>
    <w:rsid w:val="0048235B"/>
    <w:rsid w:val="00482397"/>
    <w:rsid w:val="004823DC"/>
    <w:rsid w:val="00482447"/>
    <w:rsid w:val="00482465"/>
    <w:rsid w:val="00482485"/>
    <w:rsid w:val="0048248B"/>
    <w:rsid w:val="00482497"/>
    <w:rsid w:val="004824A7"/>
    <w:rsid w:val="004824BE"/>
    <w:rsid w:val="004824DC"/>
    <w:rsid w:val="00482583"/>
    <w:rsid w:val="0048258D"/>
    <w:rsid w:val="004825F5"/>
    <w:rsid w:val="00482618"/>
    <w:rsid w:val="004826DD"/>
    <w:rsid w:val="004827E4"/>
    <w:rsid w:val="004827E5"/>
    <w:rsid w:val="004827F4"/>
    <w:rsid w:val="004827FC"/>
    <w:rsid w:val="0048285C"/>
    <w:rsid w:val="00482865"/>
    <w:rsid w:val="0048286B"/>
    <w:rsid w:val="0048289C"/>
    <w:rsid w:val="004828D8"/>
    <w:rsid w:val="004828DA"/>
    <w:rsid w:val="004829AA"/>
    <w:rsid w:val="00482ACF"/>
    <w:rsid w:val="00482AF8"/>
    <w:rsid w:val="00482AFE"/>
    <w:rsid w:val="00482B2F"/>
    <w:rsid w:val="00482B3B"/>
    <w:rsid w:val="00482B6D"/>
    <w:rsid w:val="00482B6E"/>
    <w:rsid w:val="00482BCA"/>
    <w:rsid w:val="00482BF4"/>
    <w:rsid w:val="00482C90"/>
    <w:rsid w:val="00482D91"/>
    <w:rsid w:val="00482E25"/>
    <w:rsid w:val="00482E28"/>
    <w:rsid w:val="00482E6F"/>
    <w:rsid w:val="00482E98"/>
    <w:rsid w:val="00482EB9"/>
    <w:rsid w:val="00482F6B"/>
    <w:rsid w:val="00482F70"/>
    <w:rsid w:val="00482F86"/>
    <w:rsid w:val="0048300D"/>
    <w:rsid w:val="00483047"/>
    <w:rsid w:val="0048307A"/>
    <w:rsid w:val="00483103"/>
    <w:rsid w:val="00483169"/>
    <w:rsid w:val="004831AB"/>
    <w:rsid w:val="004831AF"/>
    <w:rsid w:val="004831B4"/>
    <w:rsid w:val="00483224"/>
    <w:rsid w:val="00483251"/>
    <w:rsid w:val="00483269"/>
    <w:rsid w:val="004832E7"/>
    <w:rsid w:val="004832EA"/>
    <w:rsid w:val="004832ED"/>
    <w:rsid w:val="004832F6"/>
    <w:rsid w:val="0048330A"/>
    <w:rsid w:val="00483315"/>
    <w:rsid w:val="00483391"/>
    <w:rsid w:val="00483416"/>
    <w:rsid w:val="0048346B"/>
    <w:rsid w:val="004834F4"/>
    <w:rsid w:val="0048350E"/>
    <w:rsid w:val="00483559"/>
    <w:rsid w:val="00483590"/>
    <w:rsid w:val="004835F2"/>
    <w:rsid w:val="004836A2"/>
    <w:rsid w:val="004836DB"/>
    <w:rsid w:val="004837B8"/>
    <w:rsid w:val="004837CF"/>
    <w:rsid w:val="0048380E"/>
    <w:rsid w:val="00483811"/>
    <w:rsid w:val="004838BE"/>
    <w:rsid w:val="004838EB"/>
    <w:rsid w:val="004838F5"/>
    <w:rsid w:val="00483906"/>
    <w:rsid w:val="00483A02"/>
    <w:rsid w:val="00483BC9"/>
    <w:rsid w:val="00483BEB"/>
    <w:rsid w:val="00483BFE"/>
    <w:rsid w:val="00483C26"/>
    <w:rsid w:val="00483C31"/>
    <w:rsid w:val="00483C4A"/>
    <w:rsid w:val="00483C67"/>
    <w:rsid w:val="00483C6F"/>
    <w:rsid w:val="00483CA8"/>
    <w:rsid w:val="00483DC6"/>
    <w:rsid w:val="00483DFD"/>
    <w:rsid w:val="00483E31"/>
    <w:rsid w:val="00483F3F"/>
    <w:rsid w:val="00483F63"/>
    <w:rsid w:val="00483F64"/>
    <w:rsid w:val="00483FBD"/>
    <w:rsid w:val="00483FFB"/>
    <w:rsid w:val="00484055"/>
    <w:rsid w:val="00484073"/>
    <w:rsid w:val="0048409E"/>
    <w:rsid w:val="004840CA"/>
    <w:rsid w:val="0048410C"/>
    <w:rsid w:val="00484126"/>
    <w:rsid w:val="0048412B"/>
    <w:rsid w:val="00484143"/>
    <w:rsid w:val="004841DC"/>
    <w:rsid w:val="00484208"/>
    <w:rsid w:val="004842A3"/>
    <w:rsid w:val="004842D3"/>
    <w:rsid w:val="004842EB"/>
    <w:rsid w:val="0048432B"/>
    <w:rsid w:val="004843AE"/>
    <w:rsid w:val="004844D6"/>
    <w:rsid w:val="0048452B"/>
    <w:rsid w:val="00484541"/>
    <w:rsid w:val="00484550"/>
    <w:rsid w:val="004845D3"/>
    <w:rsid w:val="00484619"/>
    <w:rsid w:val="00484684"/>
    <w:rsid w:val="004846EF"/>
    <w:rsid w:val="0048470E"/>
    <w:rsid w:val="0048474E"/>
    <w:rsid w:val="00484752"/>
    <w:rsid w:val="00484782"/>
    <w:rsid w:val="004847A7"/>
    <w:rsid w:val="004847D3"/>
    <w:rsid w:val="004847D4"/>
    <w:rsid w:val="00484820"/>
    <w:rsid w:val="00484834"/>
    <w:rsid w:val="004848DC"/>
    <w:rsid w:val="00484995"/>
    <w:rsid w:val="0048499C"/>
    <w:rsid w:val="004849B6"/>
    <w:rsid w:val="004849CC"/>
    <w:rsid w:val="004849D0"/>
    <w:rsid w:val="00484A1A"/>
    <w:rsid w:val="00484A71"/>
    <w:rsid w:val="00484A7F"/>
    <w:rsid w:val="00484B1F"/>
    <w:rsid w:val="00484B28"/>
    <w:rsid w:val="00484B87"/>
    <w:rsid w:val="00484BA7"/>
    <w:rsid w:val="00484BB6"/>
    <w:rsid w:val="00484BEE"/>
    <w:rsid w:val="00484C17"/>
    <w:rsid w:val="00484C32"/>
    <w:rsid w:val="00484C3A"/>
    <w:rsid w:val="00484C48"/>
    <w:rsid w:val="00484C54"/>
    <w:rsid w:val="00484C7D"/>
    <w:rsid w:val="00484CB5"/>
    <w:rsid w:val="00484CCD"/>
    <w:rsid w:val="00484CEC"/>
    <w:rsid w:val="00484D48"/>
    <w:rsid w:val="00484DAF"/>
    <w:rsid w:val="00484DB7"/>
    <w:rsid w:val="00484DBB"/>
    <w:rsid w:val="00484E05"/>
    <w:rsid w:val="00484E06"/>
    <w:rsid w:val="00484E68"/>
    <w:rsid w:val="00484E83"/>
    <w:rsid w:val="00484EA9"/>
    <w:rsid w:val="00484EE2"/>
    <w:rsid w:val="00484EE4"/>
    <w:rsid w:val="00484EEC"/>
    <w:rsid w:val="00484F6C"/>
    <w:rsid w:val="00484FC4"/>
    <w:rsid w:val="00485063"/>
    <w:rsid w:val="0048508D"/>
    <w:rsid w:val="00485090"/>
    <w:rsid w:val="0048509A"/>
    <w:rsid w:val="00485113"/>
    <w:rsid w:val="00485152"/>
    <w:rsid w:val="00485180"/>
    <w:rsid w:val="004851B2"/>
    <w:rsid w:val="004851FE"/>
    <w:rsid w:val="004852CA"/>
    <w:rsid w:val="00485363"/>
    <w:rsid w:val="0048540D"/>
    <w:rsid w:val="00485460"/>
    <w:rsid w:val="00485463"/>
    <w:rsid w:val="004854FD"/>
    <w:rsid w:val="0048552C"/>
    <w:rsid w:val="00485531"/>
    <w:rsid w:val="00485572"/>
    <w:rsid w:val="004855B0"/>
    <w:rsid w:val="00485660"/>
    <w:rsid w:val="0048568D"/>
    <w:rsid w:val="004856D0"/>
    <w:rsid w:val="004856DA"/>
    <w:rsid w:val="004857FB"/>
    <w:rsid w:val="00485806"/>
    <w:rsid w:val="00485818"/>
    <w:rsid w:val="0048583B"/>
    <w:rsid w:val="00485848"/>
    <w:rsid w:val="004858AC"/>
    <w:rsid w:val="004858FC"/>
    <w:rsid w:val="00485927"/>
    <w:rsid w:val="0048592A"/>
    <w:rsid w:val="00485931"/>
    <w:rsid w:val="0048594F"/>
    <w:rsid w:val="0048595C"/>
    <w:rsid w:val="0048597F"/>
    <w:rsid w:val="004859AC"/>
    <w:rsid w:val="004859B6"/>
    <w:rsid w:val="004859BB"/>
    <w:rsid w:val="004859CC"/>
    <w:rsid w:val="00485A7A"/>
    <w:rsid w:val="00485B7C"/>
    <w:rsid w:val="00485B7F"/>
    <w:rsid w:val="00485C08"/>
    <w:rsid w:val="00485C21"/>
    <w:rsid w:val="00485C99"/>
    <w:rsid w:val="00485CC0"/>
    <w:rsid w:val="00485D7B"/>
    <w:rsid w:val="00485E5E"/>
    <w:rsid w:val="00485E6F"/>
    <w:rsid w:val="00485EE4"/>
    <w:rsid w:val="00485EF2"/>
    <w:rsid w:val="00485F06"/>
    <w:rsid w:val="00485F3A"/>
    <w:rsid w:val="00485F81"/>
    <w:rsid w:val="00485FB6"/>
    <w:rsid w:val="00485FC6"/>
    <w:rsid w:val="0048601C"/>
    <w:rsid w:val="00486026"/>
    <w:rsid w:val="00486032"/>
    <w:rsid w:val="00486075"/>
    <w:rsid w:val="00486076"/>
    <w:rsid w:val="004860A8"/>
    <w:rsid w:val="004860DD"/>
    <w:rsid w:val="004860F2"/>
    <w:rsid w:val="0048610D"/>
    <w:rsid w:val="00486120"/>
    <w:rsid w:val="004861B4"/>
    <w:rsid w:val="004861BB"/>
    <w:rsid w:val="004861F5"/>
    <w:rsid w:val="00486202"/>
    <w:rsid w:val="00486217"/>
    <w:rsid w:val="00486229"/>
    <w:rsid w:val="00486251"/>
    <w:rsid w:val="00486279"/>
    <w:rsid w:val="00486281"/>
    <w:rsid w:val="0048628D"/>
    <w:rsid w:val="0048637B"/>
    <w:rsid w:val="00486396"/>
    <w:rsid w:val="004863A4"/>
    <w:rsid w:val="004863A9"/>
    <w:rsid w:val="004863AF"/>
    <w:rsid w:val="004863B8"/>
    <w:rsid w:val="004863DE"/>
    <w:rsid w:val="004863F5"/>
    <w:rsid w:val="00486402"/>
    <w:rsid w:val="00486408"/>
    <w:rsid w:val="0048641D"/>
    <w:rsid w:val="00486452"/>
    <w:rsid w:val="00486481"/>
    <w:rsid w:val="00486496"/>
    <w:rsid w:val="004864E7"/>
    <w:rsid w:val="004864EA"/>
    <w:rsid w:val="004864FA"/>
    <w:rsid w:val="00486572"/>
    <w:rsid w:val="004865E3"/>
    <w:rsid w:val="004865EF"/>
    <w:rsid w:val="00486609"/>
    <w:rsid w:val="0048660F"/>
    <w:rsid w:val="00486625"/>
    <w:rsid w:val="0048662C"/>
    <w:rsid w:val="004866B8"/>
    <w:rsid w:val="004866C5"/>
    <w:rsid w:val="004866E3"/>
    <w:rsid w:val="00486781"/>
    <w:rsid w:val="004867B1"/>
    <w:rsid w:val="004867D6"/>
    <w:rsid w:val="004867F3"/>
    <w:rsid w:val="00486830"/>
    <w:rsid w:val="0048684A"/>
    <w:rsid w:val="0048687D"/>
    <w:rsid w:val="004868BC"/>
    <w:rsid w:val="004868C2"/>
    <w:rsid w:val="004869E2"/>
    <w:rsid w:val="004869E6"/>
    <w:rsid w:val="00486A84"/>
    <w:rsid w:val="00486AC3"/>
    <w:rsid w:val="00486ACF"/>
    <w:rsid w:val="00486AE1"/>
    <w:rsid w:val="00486B01"/>
    <w:rsid w:val="00486B40"/>
    <w:rsid w:val="00486B4C"/>
    <w:rsid w:val="00486C1E"/>
    <w:rsid w:val="00486C45"/>
    <w:rsid w:val="00486C6E"/>
    <w:rsid w:val="00486C9D"/>
    <w:rsid w:val="00486D14"/>
    <w:rsid w:val="00486D23"/>
    <w:rsid w:val="00486D2C"/>
    <w:rsid w:val="00486D6A"/>
    <w:rsid w:val="00486D8C"/>
    <w:rsid w:val="00486EA4"/>
    <w:rsid w:val="00486F6B"/>
    <w:rsid w:val="00486FA5"/>
    <w:rsid w:val="00486FCB"/>
    <w:rsid w:val="00487076"/>
    <w:rsid w:val="004870C7"/>
    <w:rsid w:val="00487135"/>
    <w:rsid w:val="00487160"/>
    <w:rsid w:val="00487163"/>
    <w:rsid w:val="00487216"/>
    <w:rsid w:val="0048721D"/>
    <w:rsid w:val="00487230"/>
    <w:rsid w:val="00487243"/>
    <w:rsid w:val="0048724D"/>
    <w:rsid w:val="0048726C"/>
    <w:rsid w:val="004872B4"/>
    <w:rsid w:val="004872C5"/>
    <w:rsid w:val="00487382"/>
    <w:rsid w:val="0048738F"/>
    <w:rsid w:val="004873EB"/>
    <w:rsid w:val="0048746A"/>
    <w:rsid w:val="00487485"/>
    <w:rsid w:val="004874AD"/>
    <w:rsid w:val="004874F8"/>
    <w:rsid w:val="00487569"/>
    <w:rsid w:val="004875D6"/>
    <w:rsid w:val="00487611"/>
    <w:rsid w:val="00487636"/>
    <w:rsid w:val="004876F1"/>
    <w:rsid w:val="00487713"/>
    <w:rsid w:val="00487737"/>
    <w:rsid w:val="0048773A"/>
    <w:rsid w:val="00487740"/>
    <w:rsid w:val="00487752"/>
    <w:rsid w:val="00487766"/>
    <w:rsid w:val="004877B6"/>
    <w:rsid w:val="004877D7"/>
    <w:rsid w:val="004877E5"/>
    <w:rsid w:val="004877F1"/>
    <w:rsid w:val="00487847"/>
    <w:rsid w:val="00487882"/>
    <w:rsid w:val="004878EA"/>
    <w:rsid w:val="00487986"/>
    <w:rsid w:val="0048798D"/>
    <w:rsid w:val="004879D4"/>
    <w:rsid w:val="004879DB"/>
    <w:rsid w:val="004879EB"/>
    <w:rsid w:val="00487A3A"/>
    <w:rsid w:val="00487A5C"/>
    <w:rsid w:val="00487AA6"/>
    <w:rsid w:val="00487B3D"/>
    <w:rsid w:val="00487B5E"/>
    <w:rsid w:val="00487C07"/>
    <w:rsid w:val="00487C2E"/>
    <w:rsid w:val="00487C4B"/>
    <w:rsid w:val="00487C4D"/>
    <w:rsid w:val="00487C5E"/>
    <w:rsid w:val="00487CC8"/>
    <w:rsid w:val="00487CD0"/>
    <w:rsid w:val="00487DBB"/>
    <w:rsid w:val="00487DDF"/>
    <w:rsid w:val="00487DEC"/>
    <w:rsid w:val="00487E0F"/>
    <w:rsid w:val="00487E70"/>
    <w:rsid w:val="00487EE0"/>
    <w:rsid w:val="00487F78"/>
    <w:rsid w:val="00487FA5"/>
    <w:rsid w:val="00487FC8"/>
    <w:rsid w:val="00490035"/>
    <w:rsid w:val="0049006A"/>
    <w:rsid w:val="0049007D"/>
    <w:rsid w:val="004900E3"/>
    <w:rsid w:val="00490124"/>
    <w:rsid w:val="0049012B"/>
    <w:rsid w:val="00490157"/>
    <w:rsid w:val="00490250"/>
    <w:rsid w:val="0049025D"/>
    <w:rsid w:val="0049026A"/>
    <w:rsid w:val="004902D4"/>
    <w:rsid w:val="00490304"/>
    <w:rsid w:val="00490416"/>
    <w:rsid w:val="00490421"/>
    <w:rsid w:val="00490448"/>
    <w:rsid w:val="0049044F"/>
    <w:rsid w:val="0049047F"/>
    <w:rsid w:val="0049048D"/>
    <w:rsid w:val="004904DF"/>
    <w:rsid w:val="00490533"/>
    <w:rsid w:val="0049057E"/>
    <w:rsid w:val="00490592"/>
    <w:rsid w:val="004905AF"/>
    <w:rsid w:val="00490626"/>
    <w:rsid w:val="0049068A"/>
    <w:rsid w:val="004906E2"/>
    <w:rsid w:val="00490743"/>
    <w:rsid w:val="004907E5"/>
    <w:rsid w:val="00490811"/>
    <w:rsid w:val="00490814"/>
    <w:rsid w:val="00490842"/>
    <w:rsid w:val="00490866"/>
    <w:rsid w:val="004908AA"/>
    <w:rsid w:val="004908C7"/>
    <w:rsid w:val="004908D1"/>
    <w:rsid w:val="004908E7"/>
    <w:rsid w:val="004908E9"/>
    <w:rsid w:val="0049098D"/>
    <w:rsid w:val="00490A3C"/>
    <w:rsid w:val="00490AFC"/>
    <w:rsid w:val="00490AFF"/>
    <w:rsid w:val="00490B17"/>
    <w:rsid w:val="00490B98"/>
    <w:rsid w:val="00490BC1"/>
    <w:rsid w:val="00490BC5"/>
    <w:rsid w:val="00490BDC"/>
    <w:rsid w:val="00490C1A"/>
    <w:rsid w:val="00490C7F"/>
    <w:rsid w:val="00490CFB"/>
    <w:rsid w:val="00490D35"/>
    <w:rsid w:val="00490D53"/>
    <w:rsid w:val="00490D71"/>
    <w:rsid w:val="00490D82"/>
    <w:rsid w:val="00490E01"/>
    <w:rsid w:val="00490E47"/>
    <w:rsid w:val="00490EA4"/>
    <w:rsid w:val="00490EAE"/>
    <w:rsid w:val="00490EB1"/>
    <w:rsid w:val="00490EF4"/>
    <w:rsid w:val="00490F0C"/>
    <w:rsid w:val="00490F63"/>
    <w:rsid w:val="00490FCD"/>
    <w:rsid w:val="00491079"/>
    <w:rsid w:val="00491088"/>
    <w:rsid w:val="004910BF"/>
    <w:rsid w:val="004910EA"/>
    <w:rsid w:val="0049110F"/>
    <w:rsid w:val="00491176"/>
    <w:rsid w:val="004911E3"/>
    <w:rsid w:val="00491281"/>
    <w:rsid w:val="0049129D"/>
    <w:rsid w:val="00491396"/>
    <w:rsid w:val="0049139F"/>
    <w:rsid w:val="004913B0"/>
    <w:rsid w:val="004913FD"/>
    <w:rsid w:val="00491404"/>
    <w:rsid w:val="00491427"/>
    <w:rsid w:val="00491485"/>
    <w:rsid w:val="0049149A"/>
    <w:rsid w:val="004914BE"/>
    <w:rsid w:val="004915BF"/>
    <w:rsid w:val="0049161B"/>
    <w:rsid w:val="00491634"/>
    <w:rsid w:val="0049164E"/>
    <w:rsid w:val="004916B8"/>
    <w:rsid w:val="004916BC"/>
    <w:rsid w:val="004916C6"/>
    <w:rsid w:val="004916CE"/>
    <w:rsid w:val="004916D7"/>
    <w:rsid w:val="004916F6"/>
    <w:rsid w:val="0049172D"/>
    <w:rsid w:val="00491792"/>
    <w:rsid w:val="004917C2"/>
    <w:rsid w:val="004917DF"/>
    <w:rsid w:val="00491855"/>
    <w:rsid w:val="004918C8"/>
    <w:rsid w:val="004918D7"/>
    <w:rsid w:val="004918E4"/>
    <w:rsid w:val="00491910"/>
    <w:rsid w:val="00491922"/>
    <w:rsid w:val="004919D8"/>
    <w:rsid w:val="004919E0"/>
    <w:rsid w:val="00491A70"/>
    <w:rsid w:val="00491B00"/>
    <w:rsid w:val="00491BA4"/>
    <w:rsid w:val="00491BE8"/>
    <w:rsid w:val="00491C18"/>
    <w:rsid w:val="00491C23"/>
    <w:rsid w:val="00491C92"/>
    <w:rsid w:val="00491C96"/>
    <w:rsid w:val="00491CAF"/>
    <w:rsid w:val="00491CDF"/>
    <w:rsid w:val="00491D39"/>
    <w:rsid w:val="00491D53"/>
    <w:rsid w:val="00491D5A"/>
    <w:rsid w:val="00491D68"/>
    <w:rsid w:val="00491D69"/>
    <w:rsid w:val="00491D8C"/>
    <w:rsid w:val="00491DD2"/>
    <w:rsid w:val="00491E10"/>
    <w:rsid w:val="00491E38"/>
    <w:rsid w:val="00491E3F"/>
    <w:rsid w:val="00491E58"/>
    <w:rsid w:val="00491EBE"/>
    <w:rsid w:val="00491F20"/>
    <w:rsid w:val="00491F53"/>
    <w:rsid w:val="00491F81"/>
    <w:rsid w:val="00491F8D"/>
    <w:rsid w:val="00491FB8"/>
    <w:rsid w:val="00491FFD"/>
    <w:rsid w:val="0049201C"/>
    <w:rsid w:val="0049205C"/>
    <w:rsid w:val="00492077"/>
    <w:rsid w:val="004920CD"/>
    <w:rsid w:val="0049210B"/>
    <w:rsid w:val="0049213F"/>
    <w:rsid w:val="00492142"/>
    <w:rsid w:val="00492169"/>
    <w:rsid w:val="004921DD"/>
    <w:rsid w:val="0049221F"/>
    <w:rsid w:val="00492278"/>
    <w:rsid w:val="0049231A"/>
    <w:rsid w:val="00492379"/>
    <w:rsid w:val="00492382"/>
    <w:rsid w:val="004923C1"/>
    <w:rsid w:val="004923FF"/>
    <w:rsid w:val="00492476"/>
    <w:rsid w:val="0049247F"/>
    <w:rsid w:val="004924C6"/>
    <w:rsid w:val="00492536"/>
    <w:rsid w:val="00492574"/>
    <w:rsid w:val="0049258C"/>
    <w:rsid w:val="004925A8"/>
    <w:rsid w:val="0049260C"/>
    <w:rsid w:val="00492622"/>
    <w:rsid w:val="0049264E"/>
    <w:rsid w:val="00492651"/>
    <w:rsid w:val="00492658"/>
    <w:rsid w:val="00492691"/>
    <w:rsid w:val="0049269C"/>
    <w:rsid w:val="00492730"/>
    <w:rsid w:val="00492763"/>
    <w:rsid w:val="004927DE"/>
    <w:rsid w:val="0049280F"/>
    <w:rsid w:val="00492820"/>
    <w:rsid w:val="00492870"/>
    <w:rsid w:val="00492888"/>
    <w:rsid w:val="0049288A"/>
    <w:rsid w:val="00492897"/>
    <w:rsid w:val="004928C8"/>
    <w:rsid w:val="004928FD"/>
    <w:rsid w:val="0049290F"/>
    <w:rsid w:val="004929CD"/>
    <w:rsid w:val="004929D8"/>
    <w:rsid w:val="004929E9"/>
    <w:rsid w:val="004929EC"/>
    <w:rsid w:val="00492A1C"/>
    <w:rsid w:val="00492AD6"/>
    <w:rsid w:val="00492ADD"/>
    <w:rsid w:val="00492BAF"/>
    <w:rsid w:val="00492BD6"/>
    <w:rsid w:val="00492BE0"/>
    <w:rsid w:val="00492C4E"/>
    <w:rsid w:val="00492D0D"/>
    <w:rsid w:val="00492D29"/>
    <w:rsid w:val="00492D7E"/>
    <w:rsid w:val="00492D8E"/>
    <w:rsid w:val="00492E68"/>
    <w:rsid w:val="00492EFB"/>
    <w:rsid w:val="00492FCB"/>
    <w:rsid w:val="00492FD5"/>
    <w:rsid w:val="00492FF4"/>
    <w:rsid w:val="0049302A"/>
    <w:rsid w:val="00493053"/>
    <w:rsid w:val="00493064"/>
    <w:rsid w:val="004930CC"/>
    <w:rsid w:val="0049310B"/>
    <w:rsid w:val="00493151"/>
    <w:rsid w:val="00493171"/>
    <w:rsid w:val="0049319E"/>
    <w:rsid w:val="004931A8"/>
    <w:rsid w:val="004931B8"/>
    <w:rsid w:val="00493247"/>
    <w:rsid w:val="00493290"/>
    <w:rsid w:val="004932A7"/>
    <w:rsid w:val="00493331"/>
    <w:rsid w:val="0049339D"/>
    <w:rsid w:val="004933BB"/>
    <w:rsid w:val="004933BD"/>
    <w:rsid w:val="00493445"/>
    <w:rsid w:val="00493486"/>
    <w:rsid w:val="004934CB"/>
    <w:rsid w:val="004934D9"/>
    <w:rsid w:val="0049352D"/>
    <w:rsid w:val="0049354A"/>
    <w:rsid w:val="00493578"/>
    <w:rsid w:val="004935B9"/>
    <w:rsid w:val="00493603"/>
    <w:rsid w:val="00493611"/>
    <w:rsid w:val="00493629"/>
    <w:rsid w:val="00493632"/>
    <w:rsid w:val="00493679"/>
    <w:rsid w:val="00493681"/>
    <w:rsid w:val="004936AF"/>
    <w:rsid w:val="004936CB"/>
    <w:rsid w:val="004937A0"/>
    <w:rsid w:val="004937A5"/>
    <w:rsid w:val="0049383A"/>
    <w:rsid w:val="0049388A"/>
    <w:rsid w:val="004938FC"/>
    <w:rsid w:val="0049393A"/>
    <w:rsid w:val="004939C1"/>
    <w:rsid w:val="00493A36"/>
    <w:rsid w:val="00493A58"/>
    <w:rsid w:val="00493A6F"/>
    <w:rsid w:val="00493A8C"/>
    <w:rsid w:val="00493AC3"/>
    <w:rsid w:val="00493BEF"/>
    <w:rsid w:val="00493C0F"/>
    <w:rsid w:val="00493C21"/>
    <w:rsid w:val="00493CAF"/>
    <w:rsid w:val="00493CEB"/>
    <w:rsid w:val="00493D37"/>
    <w:rsid w:val="00493D38"/>
    <w:rsid w:val="00493D4F"/>
    <w:rsid w:val="00493D62"/>
    <w:rsid w:val="00493D80"/>
    <w:rsid w:val="00493E20"/>
    <w:rsid w:val="00493E2B"/>
    <w:rsid w:val="00493E33"/>
    <w:rsid w:val="00493E40"/>
    <w:rsid w:val="00493E57"/>
    <w:rsid w:val="00493EEA"/>
    <w:rsid w:val="00493EFA"/>
    <w:rsid w:val="00493F0C"/>
    <w:rsid w:val="00493F40"/>
    <w:rsid w:val="00493F45"/>
    <w:rsid w:val="00493F54"/>
    <w:rsid w:val="00493FCC"/>
    <w:rsid w:val="00493FD9"/>
    <w:rsid w:val="00494001"/>
    <w:rsid w:val="004940FC"/>
    <w:rsid w:val="00494101"/>
    <w:rsid w:val="00494150"/>
    <w:rsid w:val="00494228"/>
    <w:rsid w:val="00494272"/>
    <w:rsid w:val="004942B8"/>
    <w:rsid w:val="004942EB"/>
    <w:rsid w:val="00494305"/>
    <w:rsid w:val="00494341"/>
    <w:rsid w:val="0049436E"/>
    <w:rsid w:val="00494376"/>
    <w:rsid w:val="00494416"/>
    <w:rsid w:val="00494434"/>
    <w:rsid w:val="00494452"/>
    <w:rsid w:val="0049446C"/>
    <w:rsid w:val="0049451E"/>
    <w:rsid w:val="0049454A"/>
    <w:rsid w:val="00494550"/>
    <w:rsid w:val="00494564"/>
    <w:rsid w:val="00494566"/>
    <w:rsid w:val="0049458F"/>
    <w:rsid w:val="004945DD"/>
    <w:rsid w:val="00494641"/>
    <w:rsid w:val="00494659"/>
    <w:rsid w:val="0049467A"/>
    <w:rsid w:val="00494697"/>
    <w:rsid w:val="004946F1"/>
    <w:rsid w:val="004946FA"/>
    <w:rsid w:val="004946FB"/>
    <w:rsid w:val="00494780"/>
    <w:rsid w:val="004947B4"/>
    <w:rsid w:val="00494807"/>
    <w:rsid w:val="004948EF"/>
    <w:rsid w:val="004948FF"/>
    <w:rsid w:val="00494996"/>
    <w:rsid w:val="0049499E"/>
    <w:rsid w:val="004949CE"/>
    <w:rsid w:val="00494A61"/>
    <w:rsid w:val="00494A8D"/>
    <w:rsid w:val="00494AB2"/>
    <w:rsid w:val="00494AC6"/>
    <w:rsid w:val="00494B24"/>
    <w:rsid w:val="00494B87"/>
    <w:rsid w:val="00494C43"/>
    <w:rsid w:val="00494C54"/>
    <w:rsid w:val="00494CA5"/>
    <w:rsid w:val="00494CBE"/>
    <w:rsid w:val="00494D7D"/>
    <w:rsid w:val="00494D80"/>
    <w:rsid w:val="00494E12"/>
    <w:rsid w:val="00494E57"/>
    <w:rsid w:val="00494E9C"/>
    <w:rsid w:val="00494EBB"/>
    <w:rsid w:val="00494ED4"/>
    <w:rsid w:val="00494EDF"/>
    <w:rsid w:val="00494EEC"/>
    <w:rsid w:val="00494F14"/>
    <w:rsid w:val="00494F26"/>
    <w:rsid w:val="00494F3D"/>
    <w:rsid w:val="00494F68"/>
    <w:rsid w:val="00494FCA"/>
    <w:rsid w:val="00495040"/>
    <w:rsid w:val="004950B8"/>
    <w:rsid w:val="00495166"/>
    <w:rsid w:val="00495168"/>
    <w:rsid w:val="0049516F"/>
    <w:rsid w:val="00495176"/>
    <w:rsid w:val="004951EA"/>
    <w:rsid w:val="0049526B"/>
    <w:rsid w:val="00495319"/>
    <w:rsid w:val="00495398"/>
    <w:rsid w:val="004953AC"/>
    <w:rsid w:val="004953BE"/>
    <w:rsid w:val="00495402"/>
    <w:rsid w:val="00495480"/>
    <w:rsid w:val="004954A9"/>
    <w:rsid w:val="004954E3"/>
    <w:rsid w:val="00495599"/>
    <w:rsid w:val="004955C1"/>
    <w:rsid w:val="004955CD"/>
    <w:rsid w:val="004955D0"/>
    <w:rsid w:val="00495648"/>
    <w:rsid w:val="0049565C"/>
    <w:rsid w:val="00495663"/>
    <w:rsid w:val="00495683"/>
    <w:rsid w:val="00495698"/>
    <w:rsid w:val="004956A6"/>
    <w:rsid w:val="004956B0"/>
    <w:rsid w:val="004956B8"/>
    <w:rsid w:val="0049571C"/>
    <w:rsid w:val="0049574C"/>
    <w:rsid w:val="00495794"/>
    <w:rsid w:val="0049579C"/>
    <w:rsid w:val="004957BA"/>
    <w:rsid w:val="004958BF"/>
    <w:rsid w:val="004958D4"/>
    <w:rsid w:val="00495922"/>
    <w:rsid w:val="00495945"/>
    <w:rsid w:val="0049596C"/>
    <w:rsid w:val="00495992"/>
    <w:rsid w:val="004959D7"/>
    <w:rsid w:val="00495A28"/>
    <w:rsid w:val="00495A3F"/>
    <w:rsid w:val="00495AD8"/>
    <w:rsid w:val="00495B06"/>
    <w:rsid w:val="00495B15"/>
    <w:rsid w:val="00495B70"/>
    <w:rsid w:val="00495B72"/>
    <w:rsid w:val="00495BF0"/>
    <w:rsid w:val="00495C3E"/>
    <w:rsid w:val="00495CDC"/>
    <w:rsid w:val="00495D03"/>
    <w:rsid w:val="00495D10"/>
    <w:rsid w:val="00495D3B"/>
    <w:rsid w:val="00495D49"/>
    <w:rsid w:val="00495D4E"/>
    <w:rsid w:val="00495DAA"/>
    <w:rsid w:val="00495DDC"/>
    <w:rsid w:val="00495E0B"/>
    <w:rsid w:val="00495E7D"/>
    <w:rsid w:val="00495F69"/>
    <w:rsid w:val="00495FF0"/>
    <w:rsid w:val="00496000"/>
    <w:rsid w:val="0049603B"/>
    <w:rsid w:val="0049608A"/>
    <w:rsid w:val="00496093"/>
    <w:rsid w:val="004960C2"/>
    <w:rsid w:val="0049610F"/>
    <w:rsid w:val="004961B8"/>
    <w:rsid w:val="004961C6"/>
    <w:rsid w:val="00496210"/>
    <w:rsid w:val="00496363"/>
    <w:rsid w:val="0049641A"/>
    <w:rsid w:val="00496454"/>
    <w:rsid w:val="00496469"/>
    <w:rsid w:val="0049649D"/>
    <w:rsid w:val="0049658B"/>
    <w:rsid w:val="004965A4"/>
    <w:rsid w:val="004965AC"/>
    <w:rsid w:val="004965B1"/>
    <w:rsid w:val="0049663D"/>
    <w:rsid w:val="00496658"/>
    <w:rsid w:val="0049667F"/>
    <w:rsid w:val="004966DB"/>
    <w:rsid w:val="0049671C"/>
    <w:rsid w:val="0049672D"/>
    <w:rsid w:val="004967C0"/>
    <w:rsid w:val="004967EB"/>
    <w:rsid w:val="00496837"/>
    <w:rsid w:val="0049684C"/>
    <w:rsid w:val="004968A2"/>
    <w:rsid w:val="004968E4"/>
    <w:rsid w:val="0049692F"/>
    <w:rsid w:val="00496A09"/>
    <w:rsid w:val="00496A10"/>
    <w:rsid w:val="00496A2F"/>
    <w:rsid w:val="00496ACD"/>
    <w:rsid w:val="00496B17"/>
    <w:rsid w:val="00496B3C"/>
    <w:rsid w:val="00496B74"/>
    <w:rsid w:val="00496B9D"/>
    <w:rsid w:val="00496BF0"/>
    <w:rsid w:val="00496C03"/>
    <w:rsid w:val="00496C24"/>
    <w:rsid w:val="00496CCB"/>
    <w:rsid w:val="00496D11"/>
    <w:rsid w:val="00496D14"/>
    <w:rsid w:val="00496D37"/>
    <w:rsid w:val="00496D44"/>
    <w:rsid w:val="00496D58"/>
    <w:rsid w:val="00496D72"/>
    <w:rsid w:val="00496DBB"/>
    <w:rsid w:val="00496DFE"/>
    <w:rsid w:val="00496F42"/>
    <w:rsid w:val="00496F5E"/>
    <w:rsid w:val="00496F72"/>
    <w:rsid w:val="00496F79"/>
    <w:rsid w:val="00496FF5"/>
    <w:rsid w:val="00497045"/>
    <w:rsid w:val="0049704C"/>
    <w:rsid w:val="00497050"/>
    <w:rsid w:val="00497080"/>
    <w:rsid w:val="00497095"/>
    <w:rsid w:val="004970D7"/>
    <w:rsid w:val="00497131"/>
    <w:rsid w:val="00497194"/>
    <w:rsid w:val="0049723C"/>
    <w:rsid w:val="00497255"/>
    <w:rsid w:val="00497268"/>
    <w:rsid w:val="00497280"/>
    <w:rsid w:val="0049737A"/>
    <w:rsid w:val="00497403"/>
    <w:rsid w:val="0049740D"/>
    <w:rsid w:val="0049748A"/>
    <w:rsid w:val="004974B0"/>
    <w:rsid w:val="004974D7"/>
    <w:rsid w:val="004974D9"/>
    <w:rsid w:val="004974F9"/>
    <w:rsid w:val="00497531"/>
    <w:rsid w:val="004975C6"/>
    <w:rsid w:val="00497600"/>
    <w:rsid w:val="00497630"/>
    <w:rsid w:val="00497634"/>
    <w:rsid w:val="0049764D"/>
    <w:rsid w:val="004976D9"/>
    <w:rsid w:val="00497739"/>
    <w:rsid w:val="0049775F"/>
    <w:rsid w:val="004977A2"/>
    <w:rsid w:val="004977E1"/>
    <w:rsid w:val="00497816"/>
    <w:rsid w:val="004978B8"/>
    <w:rsid w:val="004978E2"/>
    <w:rsid w:val="00497941"/>
    <w:rsid w:val="0049795A"/>
    <w:rsid w:val="0049798A"/>
    <w:rsid w:val="00497991"/>
    <w:rsid w:val="004979BF"/>
    <w:rsid w:val="004979F3"/>
    <w:rsid w:val="00497A23"/>
    <w:rsid w:val="00497A70"/>
    <w:rsid w:val="00497A73"/>
    <w:rsid w:val="00497AAA"/>
    <w:rsid w:val="00497AF8"/>
    <w:rsid w:val="00497B2B"/>
    <w:rsid w:val="00497B44"/>
    <w:rsid w:val="00497B97"/>
    <w:rsid w:val="00497B98"/>
    <w:rsid w:val="00497BB4"/>
    <w:rsid w:val="00497C33"/>
    <w:rsid w:val="00497C38"/>
    <w:rsid w:val="00497C7D"/>
    <w:rsid w:val="00497C89"/>
    <w:rsid w:val="00497CAB"/>
    <w:rsid w:val="00497CEF"/>
    <w:rsid w:val="00497CF8"/>
    <w:rsid w:val="00497D8F"/>
    <w:rsid w:val="00497DFF"/>
    <w:rsid w:val="00497EE8"/>
    <w:rsid w:val="00497F09"/>
    <w:rsid w:val="00497F12"/>
    <w:rsid w:val="00497FC0"/>
    <w:rsid w:val="004A0023"/>
    <w:rsid w:val="004A0055"/>
    <w:rsid w:val="004A0076"/>
    <w:rsid w:val="004A00E2"/>
    <w:rsid w:val="004A010D"/>
    <w:rsid w:val="004A0167"/>
    <w:rsid w:val="004A016B"/>
    <w:rsid w:val="004A019D"/>
    <w:rsid w:val="004A01A2"/>
    <w:rsid w:val="004A01A7"/>
    <w:rsid w:val="004A0202"/>
    <w:rsid w:val="004A0240"/>
    <w:rsid w:val="004A0298"/>
    <w:rsid w:val="004A0299"/>
    <w:rsid w:val="004A0335"/>
    <w:rsid w:val="004A0349"/>
    <w:rsid w:val="004A0367"/>
    <w:rsid w:val="004A0401"/>
    <w:rsid w:val="004A0407"/>
    <w:rsid w:val="004A04C9"/>
    <w:rsid w:val="004A0545"/>
    <w:rsid w:val="004A05B0"/>
    <w:rsid w:val="004A05CC"/>
    <w:rsid w:val="004A0623"/>
    <w:rsid w:val="004A06FC"/>
    <w:rsid w:val="004A070E"/>
    <w:rsid w:val="004A0720"/>
    <w:rsid w:val="004A0761"/>
    <w:rsid w:val="004A07A7"/>
    <w:rsid w:val="004A07CA"/>
    <w:rsid w:val="004A07D3"/>
    <w:rsid w:val="004A08B5"/>
    <w:rsid w:val="004A0A6A"/>
    <w:rsid w:val="004A0A84"/>
    <w:rsid w:val="004A0ADB"/>
    <w:rsid w:val="004A0B2E"/>
    <w:rsid w:val="004A0B75"/>
    <w:rsid w:val="004A0B7A"/>
    <w:rsid w:val="004A0BEF"/>
    <w:rsid w:val="004A0C0A"/>
    <w:rsid w:val="004A0C18"/>
    <w:rsid w:val="004A0C8E"/>
    <w:rsid w:val="004A0C99"/>
    <w:rsid w:val="004A0D1A"/>
    <w:rsid w:val="004A0D31"/>
    <w:rsid w:val="004A0D40"/>
    <w:rsid w:val="004A0D55"/>
    <w:rsid w:val="004A0D78"/>
    <w:rsid w:val="004A0DAF"/>
    <w:rsid w:val="004A0DBB"/>
    <w:rsid w:val="004A0E25"/>
    <w:rsid w:val="004A0E37"/>
    <w:rsid w:val="004A0EAB"/>
    <w:rsid w:val="004A0EC2"/>
    <w:rsid w:val="004A0EC3"/>
    <w:rsid w:val="004A0F0F"/>
    <w:rsid w:val="004A0F11"/>
    <w:rsid w:val="004A0F76"/>
    <w:rsid w:val="004A0F98"/>
    <w:rsid w:val="004A0FA0"/>
    <w:rsid w:val="004A0FA6"/>
    <w:rsid w:val="004A0FE7"/>
    <w:rsid w:val="004A0FEB"/>
    <w:rsid w:val="004A100A"/>
    <w:rsid w:val="004A1012"/>
    <w:rsid w:val="004A1029"/>
    <w:rsid w:val="004A103B"/>
    <w:rsid w:val="004A103E"/>
    <w:rsid w:val="004A1160"/>
    <w:rsid w:val="004A116E"/>
    <w:rsid w:val="004A11AD"/>
    <w:rsid w:val="004A11C2"/>
    <w:rsid w:val="004A1210"/>
    <w:rsid w:val="004A12FD"/>
    <w:rsid w:val="004A1328"/>
    <w:rsid w:val="004A1419"/>
    <w:rsid w:val="004A148D"/>
    <w:rsid w:val="004A14BD"/>
    <w:rsid w:val="004A14F8"/>
    <w:rsid w:val="004A1534"/>
    <w:rsid w:val="004A153C"/>
    <w:rsid w:val="004A1544"/>
    <w:rsid w:val="004A15D1"/>
    <w:rsid w:val="004A15E9"/>
    <w:rsid w:val="004A1611"/>
    <w:rsid w:val="004A1630"/>
    <w:rsid w:val="004A164B"/>
    <w:rsid w:val="004A1667"/>
    <w:rsid w:val="004A1671"/>
    <w:rsid w:val="004A168A"/>
    <w:rsid w:val="004A16F3"/>
    <w:rsid w:val="004A1704"/>
    <w:rsid w:val="004A1706"/>
    <w:rsid w:val="004A1710"/>
    <w:rsid w:val="004A173F"/>
    <w:rsid w:val="004A175A"/>
    <w:rsid w:val="004A1785"/>
    <w:rsid w:val="004A17B0"/>
    <w:rsid w:val="004A17EB"/>
    <w:rsid w:val="004A184B"/>
    <w:rsid w:val="004A1893"/>
    <w:rsid w:val="004A18CD"/>
    <w:rsid w:val="004A1917"/>
    <w:rsid w:val="004A1980"/>
    <w:rsid w:val="004A1A0F"/>
    <w:rsid w:val="004A1A57"/>
    <w:rsid w:val="004A1AFA"/>
    <w:rsid w:val="004A1B04"/>
    <w:rsid w:val="004A1B8E"/>
    <w:rsid w:val="004A1B93"/>
    <w:rsid w:val="004A1BBC"/>
    <w:rsid w:val="004A1BD0"/>
    <w:rsid w:val="004A1C09"/>
    <w:rsid w:val="004A1C3A"/>
    <w:rsid w:val="004A1CB2"/>
    <w:rsid w:val="004A1CB9"/>
    <w:rsid w:val="004A1CD1"/>
    <w:rsid w:val="004A1CEF"/>
    <w:rsid w:val="004A1D00"/>
    <w:rsid w:val="004A1D0B"/>
    <w:rsid w:val="004A1D33"/>
    <w:rsid w:val="004A1D3A"/>
    <w:rsid w:val="004A1DB9"/>
    <w:rsid w:val="004A1DC6"/>
    <w:rsid w:val="004A1E02"/>
    <w:rsid w:val="004A1E2E"/>
    <w:rsid w:val="004A1E3A"/>
    <w:rsid w:val="004A1E9E"/>
    <w:rsid w:val="004A1F1C"/>
    <w:rsid w:val="004A1F5B"/>
    <w:rsid w:val="004A1FA6"/>
    <w:rsid w:val="004A2010"/>
    <w:rsid w:val="004A201B"/>
    <w:rsid w:val="004A2057"/>
    <w:rsid w:val="004A20A6"/>
    <w:rsid w:val="004A20E3"/>
    <w:rsid w:val="004A21EC"/>
    <w:rsid w:val="004A221F"/>
    <w:rsid w:val="004A223E"/>
    <w:rsid w:val="004A2252"/>
    <w:rsid w:val="004A22F7"/>
    <w:rsid w:val="004A2361"/>
    <w:rsid w:val="004A23F9"/>
    <w:rsid w:val="004A2417"/>
    <w:rsid w:val="004A2431"/>
    <w:rsid w:val="004A2452"/>
    <w:rsid w:val="004A24BB"/>
    <w:rsid w:val="004A250F"/>
    <w:rsid w:val="004A2547"/>
    <w:rsid w:val="004A2599"/>
    <w:rsid w:val="004A2608"/>
    <w:rsid w:val="004A2689"/>
    <w:rsid w:val="004A2695"/>
    <w:rsid w:val="004A26C2"/>
    <w:rsid w:val="004A2706"/>
    <w:rsid w:val="004A2733"/>
    <w:rsid w:val="004A2770"/>
    <w:rsid w:val="004A2777"/>
    <w:rsid w:val="004A279A"/>
    <w:rsid w:val="004A27D6"/>
    <w:rsid w:val="004A2815"/>
    <w:rsid w:val="004A2843"/>
    <w:rsid w:val="004A2897"/>
    <w:rsid w:val="004A28A9"/>
    <w:rsid w:val="004A28DC"/>
    <w:rsid w:val="004A2906"/>
    <w:rsid w:val="004A2B00"/>
    <w:rsid w:val="004A2B07"/>
    <w:rsid w:val="004A2B79"/>
    <w:rsid w:val="004A2B92"/>
    <w:rsid w:val="004A2C03"/>
    <w:rsid w:val="004A2C0B"/>
    <w:rsid w:val="004A2C21"/>
    <w:rsid w:val="004A2C42"/>
    <w:rsid w:val="004A2C49"/>
    <w:rsid w:val="004A2C4F"/>
    <w:rsid w:val="004A2CA4"/>
    <w:rsid w:val="004A2CB5"/>
    <w:rsid w:val="004A2CBE"/>
    <w:rsid w:val="004A2D4F"/>
    <w:rsid w:val="004A2D58"/>
    <w:rsid w:val="004A2D65"/>
    <w:rsid w:val="004A2D83"/>
    <w:rsid w:val="004A2DB3"/>
    <w:rsid w:val="004A2DE5"/>
    <w:rsid w:val="004A2E28"/>
    <w:rsid w:val="004A2E44"/>
    <w:rsid w:val="004A2F44"/>
    <w:rsid w:val="004A2FB2"/>
    <w:rsid w:val="004A2FB3"/>
    <w:rsid w:val="004A2FB6"/>
    <w:rsid w:val="004A300A"/>
    <w:rsid w:val="004A3052"/>
    <w:rsid w:val="004A30E4"/>
    <w:rsid w:val="004A3117"/>
    <w:rsid w:val="004A3150"/>
    <w:rsid w:val="004A3156"/>
    <w:rsid w:val="004A31C5"/>
    <w:rsid w:val="004A324A"/>
    <w:rsid w:val="004A3282"/>
    <w:rsid w:val="004A32B1"/>
    <w:rsid w:val="004A338D"/>
    <w:rsid w:val="004A3393"/>
    <w:rsid w:val="004A33AA"/>
    <w:rsid w:val="004A33D4"/>
    <w:rsid w:val="004A3408"/>
    <w:rsid w:val="004A343D"/>
    <w:rsid w:val="004A34BE"/>
    <w:rsid w:val="004A34F1"/>
    <w:rsid w:val="004A3547"/>
    <w:rsid w:val="004A3569"/>
    <w:rsid w:val="004A35EB"/>
    <w:rsid w:val="004A3612"/>
    <w:rsid w:val="004A362D"/>
    <w:rsid w:val="004A3662"/>
    <w:rsid w:val="004A366C"/>
    <w:rsid w:val="004A36B3"/>
    <w:rsid w:val="004A36BD"/>
    <w:rsid w:val="004A36DA"/>
    <w:rsid w:val="004A36DF"/>
    <w:rsid w:val="004A37A9"/>
    <w:rsid w:val="004A3826"/>
    <w:rsid w:val="004A384D"/>
    <w:rsid w:val="004A3885"/>
    <w:rsid w:val="004A38B1"/>
    <w:rsid w:val="004A38FA"/>
    <w:rsid w:val="004A3982"/>
    <w:rsid w:val="004A3A02"/>
    <w:rsid w:val="004A3A0F"/>
    <w:rsid w:val="004A3A19"/>
    <w:rsid w:val="004A3A1B"/>
    <w:rsid w:val="004A3A6D"/>
    <w:rsid w:val="004A3AC9"/>
    <w:rsid w:val="004A3B53"/>
    <w:rsid w:val="004A3B6F"/>
    <w:rsid w:val="004A3B8C"/>
    <w:rsid w:val="004A3BCA"/>
    <w:rsid w:val="004A3CA5"/>
    <w:rsid w:val="004A3D06"/>
    <w:rsid w:val="004A3D1B"/>
    <w:rsid w:val="004A3D3E"/>
    <w:rsid w:val="004A3D7D"/>
    <w:rsid w:val="004A3DA9"/>
    <w:rsid w:val="004A3DCD"/>
    <w:rsid w:val="004A3DD2"/>
    <w:rsid w:val="004A3DE9"/>
    <w:rsid w:val="004A3DFB"/>
    <w:rsid w:val="004A3E06"/>
    <w:rsid w:val="004A3E59"/>
    <w:rsid w:val="004A3E77"/>
    <w:rsid w:val="004A3EAA"/>
    <w:rsid w:val="004A3EFC"/>
    <w:rsid w:val="004A3F17"/>
    <w:rsid w:val="004A3F28"/>
    <w:rsid w:val="004A3F5D"/>
    <w:rsid w:val="004A3F78"/>
    <w:rsid w:val="004A3F8F"/>
    <w:rsid w:val="004A3FA8"/>
    <w:rsid w:val="004A405F"/>
    <w:rsid w:val="004A40AB"/>
    <w:rsid w:val="004A40B0"/>
    <w:rsid w:val="004A40BA"/>
    <w:rsid w:val="004A40F3"/>
    <w:rsid w:val="004A4179"/>
    <w:rsid w:val="004A41A4"/>
    <w:rsid w:val="004A41F4"/>
    <w:rsid w:val="004A426B"/>
    <w:rsid w:val="004A4308"/>
    <w:rsid w:val="004A430A"/>
    <w:rsid w:val="004A4311"/>
    <w:rsid w:val="004A4359"/>
    <w:rsid w:val="004A4360"/>
    <w:rsid w:val="004A43C6"/>
    <w:rsid w:val="004A43CA"/>
    <w:rsid w:val="004A4416"/>
    <w:rsid w:val="004A442F"/>
    <w:rsid w:val="004A444C"/>
    <w:rsid w:val="004A4479"/>
    <w:rsid w:val="004A447D"/>
    <w:rsid w:val="004A4497"/>
    <w:rsid w:val="004A44B3"/>
    <w:rsid w:val="004A457F"/>
    <w:rsid w:val="004A4584"/>
    <w:rsid w:val="004A45EA"/>
    <w:rsid w:val="004A467F"/>
    <w:rsid w:val="004A46AE"/>
    <w:rsid w:val="004A46C5"/>
    <w:rsid w:val="004A46F1"/>
    <w:rsid w:val="004A46FA"/>
    <w:rsid w:val="004A4733"/>
    <w:rsid w:val="004A4736"/>
    <w:rsid w:val="004A4796"/>
    <w:rsid w:val="004A47E8"/>
    <w:rsid w:val="004A47F4"/>
    <w:rsid w:val="004A4873"/>
    <w:rsid w:val="004A48A5"/>
    <w:rsid w:val="004A490D"/>
    <w:rsid w:val="004A4929"/>
    <w:rsid w:val="004A4941"/>
    <w:rsid w:val="004A4A1B"/>
    <w:rsid w:val="004A4A38"/>
    <w:rsid w:val="004A4A55"/>
    <w:rsid w:val="004A4A5F"/>
    <w:rsid w:val="004A4A70"/>
    <w:rsid w:val="004A4A95"/>
    <w:rsid w:val="004A4AB7"/>
    <w:rsid w:val="004A4AE5"/>
    <w:rsid w:val="004A4B13"/>
    <w:rsid w:val="004A4B50"/>
    <w:rsid w:val="004A4B98"/>
    <w:rsid w:val="004A4C2B"/>
    <w:rsid w:val="004A4C9E"/>
    <w:rsid w:val="004A4CDD"/>
    <w:rsid w:val="004A4D05"/>
    <w:rsid w:val="004A4DC2"/>
    <w:rsid w:val="004A4DF1"/>
    <w:rsid w:val="004A4E10"/>
    <w:rsid w:val="004A4E1F"/>
    <w:rsid w:val="004A4E43"/>
    <w:rsid w:val="004A4E68"/>
    <w:rsid w:val="004A4E80"/>
    <w:rsid w:val="004A4E88"/>
    <w:rsid w:val="004A4E8B"/>
    <w:rsid w:val="004A4F0A"/>
    <w:rsid w:val="004A4F34"/>
    <w:rsid w:val="004A4FAB"/>
    <w:rsid w:val="004A500B"/>
    <w:rsid w:val="004A500D"/>
    <w:rsid w:val="004A5096"/>
    <w:rsid w:val="004A50EA"/>
    <w:rsid w:val="004A5117"/>
    <w:rsid w:val="004A5121"/>
    <w:rsid w:val="004A5172"/>
    <w:rsid w:val="004A51A7"/>
    <w:rsid w:val="004A51BD"/>
    <w:rsid w:val="004A51F5"/>
    <w:rsid w:val="004A5283"/>
    <w:rsid w:val="004A5284"/>
    <w:rsid w:val="004A5319"/>
    <w:rsid w:val="004A535F"/>
    <w:rsid w:val="004A536A"/>
    <w:rsid w:val="004A5377"/>
    <w:rsid w:val="004A5408"/>
    <w:rsid w:val="004A544F"/>
    <w:rsid w:val="004A549A"/>
    <w:rsid w:val="004A54B0"/>
    <w:rsid w:val="004A54E7"/>
    <w:rsid w:val="004A554A"/>
    <w:rsid w:val="004A557A"/>
    <w:rsid w:val="004A55FE"/>
    <w:rsid w:val="004A56EB"/>
    <w:rsid w:val="004A570B"/>
    <w:rsid w:val="004A5718"/>
    <w:rsid w:val="004A572E"/>
    <w:rsid w:val="004A573D"/>
    <w:rsid w:val="004A5771"/>
    <w:rsid w:val="004A577E"/>
    <w:rsid w:val="004A5829"/>
    <w:rsid w:val="004A5842"/>
    <w:rsid w:val="004A58B0"/>
    <w:rsid w:val="004A5902"/>
    <w:rsid w:val="004A593F"/>
    <w:rsid w:val="004A598D"/>
    <w:rsid w:val="004A5990"/>
    <w:rsid w:val="004A5A53"/>
    <w:rsid w:val="004A5B3D"/>
    <w:rsid w:val="004A5B58"/>
    <w:rsid w:val="004A5B78"/>
    <w:rsid w:val="004A5BA6"/>
    <w:rsid w:val="004A5BBF"/>
    <w:rsid w:val="004A5C18"/>
    <w:rsid w:val="004A5C39"/>
    <w:rsid w:val="004A5C41"/>
    <w:rsid w:val="004A5C62"/>
    <w:rsid w:val="004A5C6B"/>
    <w:rsid w:val="004A5CA4"/>
    <w:rsid w:val="004A5D03"/>
    <w:rsid w:val="004A5E12"/>
    <w:rsid w:val="004A5E1F"/>
    <w:rsid w:val="004A5E2B"/>
    <w:rsid w:val="004A5E9A"/>
    <w:rsid w:val="004A5E9D"/>
    <w:rsid w:val="004A5EAB"/>
    <w:rsid w:val="004A5F0F"/>
    <w:rsid w:val="004A5F59"/>
    <w:rsid w:val="004A5F5B"/>
    <w:rsid w:val="004A5F76"/>
    <w:rsid w:val="004A5F9C"/>
    <w:rsid w:val="004A5F9E"/>
    <w:rsid w:val="004A5FBE"/>
    <w:rsid w:val="004A5FF0"/>
    <w:rsid w:val="004A601C"/>
    <w:rsid w:val="004A6020"/>
    <w:rsid w:val="004A6088"/>
    <w:rsid w:val="004A60C7"/>
    <w:rsid w:val="004A6245"/>
    <w:rsid w:val="004A6252"/>
    <w:rsid w:val="004A6266"/>
    <w:rsid w:val="004A62CF"/>
    <w:rsid w:val="004A632E"/>
    <w:rsid w:val="004A63C6"/>
    <w:rsid w:val="004A63E8"/>
    <w:rsid w:val="004A640E"/>
    <w:rsid w:val="004A6493"/>
    <w:rsid w:val="004A64C2"/>
    <w:rsid w:val="004A6554"/>
    <w:rsid w:val="004A65B4"/>
    <w:rsid w:val="004A6606"/>
    <w:rsid w:val="004A6697"/>
    <w:rsid w:val="004A66AE"/>
    <w:rsid w:val="004A66B5"/>
    <w:rsid w:val="004A6784"/>
    <w:rsid w:val="004A6799"/>
    <w:rsid w:val="004A6800"/>
    <w:rsid w:val="004A680D"/>
    <w:rsid w:val="004A6858"/>
    <w:rsid w:val="004A687D"/>
    <w:rsid w:val="004A68DF"/>
    <w:rsid w:val="004A68ED"/>
    <w:rsid w:val="004A694F"/>
    <w:rsid w:val="004A695E"/>
    <w:rsid w:val="004A69B3"/>
    <w:rsid w:val="004A6A4F"/>
    <w:rsid w:val="004A6A53"/>
    <w:rsid w:val="004A6A65"/>
    <w:rsid w:val="004A6A96"/>
    <w:rsid w:val="004A6B06"/>
    <w:rsid w:val="004A6B22"/>
    <w:rsid w:val="004A6B43"/>
    <w:rsid w:val="004A6B85"/>
    <w:rsid w:val="004A6BE0"/>
    <w:rsid w:val="004A6C88"/>
    <w:rsid w:val="004A6CA2"/>
    <w:rsid w:val="004A6CAD"/>
    <w:rsid w:val="004A6D08"/>
    <w:rsid w:val="004A6D91"/>
    <w:rsid w:val="004A6D9A"/>
    <w:rsid w:val="004A6DF0"/>
    <w:rsid w:val="004A6E00"/>
    <w:rsid w:val="004A6E1E"/>
    <w:rsid w:val="004A6E3A"/>
    <w:rsid w:val="004A6E5A"/>
    <w:rsid w:val="004A6EAB"/>
    <w:rsid w:val="004A6F00"/>
    <w:rsid w:val="004A6F19"/>
    <w:rsid w:val="004A6F9A"/>
    <w:rsid w:val="004A6FC1"/>
    <w:rsid w:val="004A6FCF"/>
    <w:rsid w:val="004A707C"/>
    <w:rsid w:val="004A70C0"/>
    <w:rsid w:val="004A70FF"/>
    <w:rsid w:val="004A7109"/>
    <w:rsid w:val="004A71CC"/>
    <w:rsid w:val="004A7342"/>
    <w:rsid w:val="004A744C"/>
    <w:rsid w:val="004A7467"/>
    <w:rsid w:val="004A74AB"/>
    <w:rsid w:val="004A74B5"/>
    <w:rsid w:val="004A74C6"/>
    <w:rsid w:val="004A74F6"/>
    <w:rsid w:val="004A7515"/>
    <w:rsid w:val="004A751E"/>
    <w:rsid w:val="004A752D"/>
    <w:rsid w:val="004A75C7"/>
    <w:rsid w:val="004A7608"/>
    <w:rsid w:val="004A7628"/>
    <w:rsid w:val="004A762F"/>
    <w:rsid w:val="004A7654"/>
    <w:rsid w:val="004A7731"/>
    <w:rsid w:val="004A7766"/>
    <w:rsid w:val="004A778D"/>
    <w:rsid w:val="004A77A6"/>
    <w:rsid w:val="004A787E"/>
    <w:rsid w:val="004A7896"/>
    <w:rsid w:val="004A78EC"/>
    <w:rsid w:val="004A792D"/>
    <w:rsid w:val="004A7944"/>
    <w:rsid w:val="004A7A0E"/>
    <w:rsid w:val="004A7A15"/>
    <w:rsid w:val="004A7A28"/>
    <w:rsid w:val="004A7AE7"/>
    <w:rsid w:val="004A7AF7"/>
    <w:rsid w:val="004A7B66"/>
    <w:rsid w:val="004A7B9D"/>
    <w:rsid w:val="004A7C17"/>
    <w:rsid w:val="004A7C1F"/>
    <w:rsid w:val="004A7C22"/>
    <w:rsid w:val="004A7C35"/>
    <w:rsid w:val="004A7C55"/>
    <w:rsid w:val="004A7CCA"/>
    <w:rsid w:val="004A7D14"/>
    <w:rsid w:val="004A7D97"/>
    <w:rsid w:val="004A7DA7"/>
    <w:rsid w:val="004A7DB1"/>
    <w:rsid w:val="004A7E41"/>
    <w:rsid w:val="004A7E4E"/>
    <w:rsid w:val="004A7EA1"/>
    <w:rsid w:val="004A7EEF"/>
    <w:rsid w:val="004A7F34"/>
    <w:rsid w:val="004A7F71"/>
    <w:rsid w:val="004A7F76"/>
    <w:rsid w:val="004A7FBF"/>
    <w:rsid w:val="004B000D"/>
    <w:rsid w:val="004B00F5"/>
    <w:rsid w:val="004B00F7"/>
    <w:rsid w:val="004B0117"/>
    <w:rsid w:val="004B011B"/>
    <w:rsid w:val="004B012F"/>
    <w:rsid w:val="004B0142"/>
    <w:rsid w:val="004B0145"/>
    <w:rsid w:val="004B0159"/>
    <w:rsid w:val="004B0236"/>
    <w:rsid w:val="004B02CD"/>
    <w:rsid w:val="004B030D"/>
    <w:rsid w:val="004B0330"/>
    <w:rsid w:val="004B03CC"/>
    <w:rsid w:val="004B0400"/>
    <w:rsid w:val="004B042B"/>
    <w:rsid w:val="004B0438"/>
    <w:rsid w:val="004B0458"/>
    <w:rsid w:val="004B0461"/>
    <w:rsid w:val="004B049E"/>
    <w:rsid w:val="004B0505"/>
    <w:rsid w:val="004B0574"/>
    <w:rsid w:val="004B060C"/>
    <w:rsid w:val="004B064A"/>
    <w:rsid w:val="004B0681"/>
    <w:rsid w:val="004B069E"/>
    <w:rsid w:val="004B06DD"/>
    <w:rsid w:val="004B0715"/>
    <w:rsid w:val="004B0743"/>
    <w:rsid w:val="004B0774"/>
    <w:rsid w:val="004B07AB"/>
    <w:rsid w:val="004B07DE"/>
    <w:rsid w:val="004B0847"/>
    <w:rsid w:val="004B0851"/>
    <w:rsid w:val="004B0903"/>
    <w:rsid w:val="004B090B"/>
    <w:rsid w:val="004B09C1"/>
    <w:rsid w:val="004B09E9"/>
    <w:rsid w:val="004B0A19"/>
    <w:rsid w:val="004B0AC1"/>
    <w:rsid w:val="004B0B27"/>
    <w:rsid w:val="004B0BB0"/>
    <w:rsid w:val="004B0C43"/>
    <w:rsid w:val="004B0D3A"/>
    <w:rsid w:val="004B0DD3"/>
    <w:rsid w:val="004B0E0D"/>
    <w:rsid w:val="004B0E1C"/>
    <w:rsid w:val="004B0E99"/>
    <w:rsid w:val="004B0EDE"/>
    <w:rsid w:val="004B0F17"/>
    <w:rsid w:val="004B0F5C"/>
    <w:rsid w:val="004B0F99"/>
    <w:rsid w:val="004B0FF8"/>
    <w:rsid w:val="004B1044"/>
    <w:rsid w:val="004B10AF"/>
    <w:rsid w:val="004B10BB"/>
    <w:rsid w:val="004B10D5"/>
    <w:rsid w:val="004B110A"/>
    <w:rsid w:val="004B112F"/>
    <w:rsid w:val="004B114C"/>
    <w:rsid w:val="004B1153"/>
    <w:rsid w:val="004B11CA"/>
    <w:rsid w:val="004B1202"/>
    <w:rsid w:val="004B120A"/>
    <w:rsid w:val="004B1238"/>
    <w:rsid w:val="004B127A"/>
    <w:rsid w:val="004B12B4"/>
    <w:rsid w:val="004B13EB"/>
    <w:rsid w:val="004B13F8"/>
    <w:rsid w:val="004B1406"/>
    <w:rsid w:val="004B141A"/>
    <w:rsid w:val="004B143A"/>
    <w:rsid w:val="004B14AB"/>
    <w:rsid w:val="004B14AF"/>
    <w:rsid w:val="004B14BD"/>
    <w:rsid w:val="004B14BF"/>
    <w:rsid w:val="004B15A0"/>
    <w:rsid w:val="004B15A8"/>
    <w:rsid w:val="004B15FA"/>
    <w:rsid w:val="004B1670"/>
    <w:rsid w:val="004B16CC"/>
    <w:rsid w:val="004B16D3"/>
    <w:rsid w:val="004B1757"/>
    <w:rsid w:val="004B17AC"/>
    <w:rsid w:val="004B17B5"/>
    <w:rsid w:val="004B17F0"/>
    <w:rsid w:val="004B1889"/>
    <w:rsid w:val="004B18B6"/>
    <w:rsid w:val="004B18D4"/>
    <w:rsid w:val="004B191C"/>
    <w:rsid w:val="004B192B"/>
    <w:rsid w:val="004B1A2C"/>
    <w:rsid w:val="004B1AAF"/>
    <w:rsid w:val="004B1ADD"/>
    <w:rsid w:val="004B1AE2"/>
    <w:rsid w:val="004B1B19"/>
    <w:rsid w:val="004B1B38"/>
    <w:rsid w:val="004B1B67"/>
    <w:rsid w:val="004B1BAE"/>
    <w:rsid w:val="004B1BD1"/>
    <w:rsid w:val="004B1C09"/>
    <w:rsid w:val="004B1C20"/>
    <w:rsid w:val="004B1C70"/>
    <w:rsid w:val="004B1CF7"/>
    <w:rsid w:val="004B1CF8"/>
    <w:rsid w:val="004B1D69"/>
    <w:rsid w:val="004B1DA7"/>
    <w:rsid w:val="004B1DC8"/>
    <w:rsid w:val="004B1E26"/>
    <w:rsid w:val="004B1EC3"/>
    <w:rsid w:val="004B1ECA"/>
    <w:rsid w:val="004B1EDB"/>
    <w:rsid w:val="004B1EDC"/>
    <w:rsid w:val="004B1EFC"/>
    <w:rsid w:val="004B1F16"/>
    <w:rsid w:val="004B1F5A"/>
    <w:rsid w:val="004B2020"/>
    <w:rsid w:val="004B2023"/>
    <w:rsid w:val="004B2090"/>
    <w:rsid w:val="004B2108"/>
    <w:rsid w:val="004B2132"/>
    <w:rsid w:val="004B215F"/>
    <w:rsid w:val="004B21AB"/>
    <w:rsid w:val="004B2223"/>
    <w:rsid w:val="004B22E3"/>
    <w:rsid w:val="004B2356"/>
    <w:rsid w:val="004B235B"/>
    <w:rsid w:val="004B23D9"/>
    <w:rsid w:val="004B23DC"/>
    <w:rsid w:val="004B23E4"/>
    <w:rsid w:val="004B2443"/>
    <w:rsid w:val="004B2451"/>
    <w:rsid w:val="004B24A5"/>
    <w:rsid w:val="004B24A6"/>
    <w:rsid w:val="004B24AB"/>
    <w:rsid w:val="004B24AC"/>
    <w:rsid w:val="004B24B6"/>
    <w:rsid w:val="004B24CC"/>
    <w:rsid w:val="004B24D0"/>
    <w:rsid w:val="004B24F2"/>
    <w:rsid w:val="004B254F"/>
    <w:rsid w:val="004B2560"/>
    <w:rsid w:val="004B258D"/>
    <w:rsid w:val="004B25DE"/>
    <w:rsid w:val="004B25EE"/>
    <w:rsid w:val="004B25F3"/>
    <w:rsid w:val="004B261B"/>
    <w:rsid w:val="004B26D0"/>
    <w:rsid w:val="004B270B"/>
    <w:rsid w:val="004B2732"/>
    <w:rsid w:val="004B273F"/>
    <w:rsid w:val="004B2762"/>
    <w:rsid w:val="004B2790"/>
    <w:rsid w:val="004B283C"/>
    <w:rsid w:val="004B284C"/>
    <w:rsid w:val="004B2859"/>
    <w:rsid w:val="004B2935"/>
    <w:rsid w:val="004B2952"/>
    <w:rsid w:val="004B2976"/>
    <w:rsid w:val="004B29F5"/>
    <w:rsid w:val="004B29FC"/>
    <w:rsid w:val="004B2A59"/>
    <w:rsid w:val="004B2A7E"/>
    <w:rsid w:val="004B2AD4"/>
    <w:rsid w:val="004B2B3E"/>
    <w:rsid w:val="004B2BC1"/>
    <w:rsid w:val="004B2C22"/>
    <w:rsid w:val="004B2C7F"/>
    <w:rsid w:val="004B2D0B"/>
    <w:rsid w:val="004B2D1F"/>
    <w:rsid w:val="004B2D6D"/>
    <w:rsid w:val="004B2D78"/>
    <w:rsid w:val="004B2D97"/>
    <w:rsid w:val="004B2DBD"/>
    <w:rsid w:val="004B2DCC"/>
    <w:rsid w:val="004B2E18"/>
    <w:rsid w:val="004B2E3C"/>
    <w:rsid w:val="004B2E6A"/>
    <w:rsid w:val="004B2E70"/>
    <w:rsid w:val="004B2EA1"/>
    <w:rsid w:val="004B2EBE"/>
    <w:rsid w:val="004B2F2C"/>
    <w:rsid w:val="004B2F76"/>
    <w:rsid w:val="004B2F84"/>
    <w:rsid w:val="004B301F"/>
    <w:rsid w:val="004B3055"/>
    <w:rsid w:val="004B3130"/>
    <w:rsid w:val="004B313F"/>
    <w:rsid w:val="004B316F"/>
    <w:rsid w:val="004B3223"/>
    <w:rsid w:val="004B32E2"/>
    <w:rsid w:val="004B332B"/>
    <w:rsid w:val="004B33A6"/>
    <w:rsid w:val="004B33CB"/>
    <w:rsid w:val="004B33EF"/>
    <w:rsid w:val="004B3413"/>
    <w:rsid w:val="004B3489"/>
    <w:rsid w:val="004B34E2"/>
    <w:rsid w:val="004B3544"/>
    <w:rsid w:val="004B358A"/>
    <w:rsid w:val="004B359D"/>
    <w:rsid w:val="004B35EB"/>
    <w:rsid w:val="004B35FA"/>
    <w:rsid w:val="004B35FB"/>
    <w:rsid w:val="004B3638"/>
    <w:rsid w:val="004B371F"/>
    <w:rsid w:val="004B372F"/>
    <w:rsid w:val="004B3765"/>
    <w:rsid w:val="004B37C5"/>
    <w:rsid w:val="004B37D2"/>
    <w:rsid w:val="004B3820"/>
    <w:rsid w:val="004B3824"/>
    <w:rsid w:val="004B384B"/>
    <w:rsid w:val="004B384E"/>
    <w:rsid w:val="004B38A9"/>
    <w:rsid w:val="004B3A0E"/>
    <w:rsid w:val="004B3A41"/>
    <w:rsid w:val="004B3A4D"/>
    <w:rsid w:val="004B3A6A"/>
    <w:rsid w:val="004B3A96"/>
    <w:rsid w:val="004B3A9C"/>
    <w:rsid w:val="004B3ADB"/>
    <w:rsid w:val="004B3B3B"/>
    <w:rsid w:val="004B3B67"/>
    <w:rsid w:val="004B3B7C"/>
    <w:rsid w:val="004B3BD5"/>
    <w:rsid w:val="004B3BD7"/>
    <w:rsid w:val="004B3BE1"/>
    <w:rsid w:val="004B3C4D"/>
    <w:rsid w:val="004B3C63"/>
    <w:rsid w:val="004B3CA3"/>
    <w:rsid w:val="004B3D23"/>
    <w:rsid w:val="004B3D40"/>
    <w:rsid w:val="004B3D75"/>
    <w:rsid w:val="004B3DC5"/>
    <w:rsid w:val="004B3E43"/>
    <w:rsid w:val="004B3E73"/>
    <w:rsid w:val="004B3E98"/>
    <w:rsid w:val="004B3F19"/>
    <w:rsid w:val="004B3FA7"/>
    <w:rsid w:val="004B3FDF"/>
    <w:rsid w:val="004B4013"/>
    <w:rsid w:val="004B4030"/>
    <w:rsid w:val="004B403C"/>
    <w:rsid w:val="004B406E"/>
    <w:rsid w:val="004B4078"/>
    <w:rsid w:val="004B40AA"/>
    <w:rsid w:val="004B40E8"/>
    <w:rsid w:val="004B4105"/>
    <w:rsid w:val="004B41C7"/>
    <w:rsid w:val="004B41D3"/>
    <w:rsid w:val="004B423D"/>
    <w:rsid w:val="004B4284"/>
    <w:rsid w:val="004B428B"/>
    <w:rsid w:val="004B42A7"/>
    <w:rsid w:val="004B42F7"/>
    <w:rsid w:val="004B435B"/>
    <w:rsid w:val="004B43D0"/>
    <w:rsid w:val="004B441A"/>
    <w:rsid w:val="004B443D"/>
    <w:rsid w:val="004B4490"/>
    <w:rsid w:val="004B44EC"/>
    <w:rsid w:val="004B45E8"/>
    <w:rsid w:val="004B461C"/>
    <w:rsid w:val="004B462B"/>
    <w:rsid w:val="004B4639"/>
    <w:rsid w:val="004B466D"/>
    <w:rsid w:val="004B467E"/>
    <w:rsid w:val="004B4694"/>
    <w:rsid w:val="004B472B"/>
    <w:rsid w:val="004B4757"/>
    <w:rsid w:val="004B475F"/>
    <w:rsid w:val="004B4762"/>
    <w:rsid w:val="004B4769"/>
    <w:rsid w:val="004B47C8"/>
    <w:rsid w:val="004B482C"/>
    <w:rsid w:val="004B4854"/>
    <w:rsid w:val="004B48CE"/>
    <w:rsid w:val="004B4954"/>
    <w:rsid w:val="004B4981"/>
    <w:rsid w:val="004B49F6"/>
    <w:rsid w:val="004B49FE"/>
    <w:rsid w:val="004B4A4B"/>
    <w:rsid w:val="004B4A70"/>
    <w:rsid w:val="004B4A89"/>
    <w:rsid w:val="004B4AF6"/>
    <w:rsid w:val="004B4B29"/>
    <w:rsid w:val="004B4B4A"/>
    <w:rsid w:val="004B4B6E"/>
    <w:rsid w:val="004B4BB1"/>
    <w:rsid w:val="004B4BEB"/>
    <w:rsid w:val="004B4CDB"/>
    <w:rsid w:val="004B4D09"/>
    <w:rsid w:val="004B4E03"/>
    <w:rsid w:val="004B4E04"/>
    <w:rsid w:val="004B4E17"/>
    <w:rsid w:val="004B4E1B"/>
    <w:rsid w:val="004B4E37"/>
    <w:rsid w:val="004B4E3E"/>
    <w:rsid w:val="004B4E55"/>
    <w:rsid w:val="004B4ECC"/>
    <w:rsid w:val="004B4F05"/>
    <w:rsid w:val="004B4F65"/>
    <w:rsid w:val="004B4F6C"/>
    <w:rsid w:val="004B4F8A"/>
    <w:rsid w:val="004B4FAC"/>
    <w:rsid w:val="004B4FDB"/>
    <w:rsid w:val="004B4FEC"/>
    <w:rsid w:val="004B4FF0"/>
    <w:rsid w:val="004B5018"/>
    <w:rsid w:val="004B5040"/>
    <w:rsid w:val="004B5078"/>
    <w:rsid w:val="004B5090"/>
    <w:rsid w:val="004B50C4"/>
    <w:rsid w:val="004B512D"/>
    <w:rsid w:val="004B5131"/>
    <w:rsid w:val="004B5133"/>
    <w:rsid w:val="004B5156"/>
    <w:rsid w:val="004B5167"/>
    <w:rsid w:val="004B519E"/>
    <w:rsid w:val="004B51B1"/>
    <w:rsid w:val="004B51D1"/>
    <w:rsid w:val="004B522D"/>
    <w:rsid w:val="004B5255"/>
    <w:rsid w:val="004B5287"/>
    <w:rsid w:val="004B52C8"/>
    <w:rsid w:val="004B52D9"/>
    <w:rsid w:val="004B531E"/>
    <w:rsid w:val="004B5369"/>
    <w:rsid w:val="004B5374"/>
    <w:rsid w:val="004B5387"/>
    <w:rsid w:val="004B53F8"/>
    <w:rsid w:val="004B5408"/>
    <w:rsid w:val="004B547A"/>
    <w:rsid w:val="004B547F"/>
    <w:rsid w:val="004B54B2"/>
    <w:rsid w:val="004B54D1"/>
    <w:rsid w:val="004B54D3"/>
    <w:rsid w:val="004B5512"/>
    <w:rsid w:val="004B552D"/>
    <w:rsid w:val="004B5556"/>
    <w:rsid w:val="004B555F"/>
    <w:rsid w:val="004B556A"/>
    <w:rsid w:val="004B55EF"/>
    <w:rsid w:val="004B5658"/>
    <w:rsid w:val="004B56B6"/>
    <w:rsid w:val="004B572E"/>
    <w:rsid w:val="004B57AD"/>
    <w:rsid w:val="004B57F6"/>
    <w:rsid w:val="004B57F8"/>
    <w:rsid w:val="004B57FD"/>
    <w:rsid w:val="004B584E"/>
    <w:rsid w:val="004B587F"/>
    <w:rsid w:val="004B5881"/>
    <w:rsid w:val="004B58D1"/>
    <w:rsid w:val="004B58DE"/>
    <w:rsid w:val="004B593C"/>
    <w:rsid w:val="004B599F"/>
    <w:rsid w:val="004B5A1B"/>
    <w:rsid w:val="004B5A65"/>
    <w:rsid w:val="004B5AAE"/>
    <w:rsid w:val="004B5ADB"/>
    <w:rsid w:val="004B5ADD"/>
    <w:rsid w:val="004B5B2F"/>
    <w:rsid w:val="004B5B7B"/>
    <w:rsid w:val="004B5C14"/>
    <w:rsid w:val="004B5CA3"/>
    <w:rsid w:val="004B5D19"/>
    <w:rsid w:val="004B5D53"/>
    <w:rsid w:val="004B5D66"/>
    <w:rsid w:val="004B5E3F"/>
    <w:rsid w:val="004B5E82"/>
    <w:rsid w:val="004B5EB1"/>
    <w:rsid w:val="004B5EB5"/>
    <w:rsid w:val="004B5EC8"/>
    <w:rsid w:val="004B5EF7"/>
    <w:rsid w:val="004B5EF8"/>
    <w:rsid w:val="004B5F4F"/>
    <w:rsid w:val="004B5F5E"/>
    <w:rsid w:val="004B5FDD"/>
    <w:rsid w:val="004B601C"/>
    <w:rsid w:val="004B6071"/>
    <w:rsid w:val="004B6078"/>
    <w:rsid w:val="004B607C"/>
    <w:rsid w:val="004B60E9"/>
    <w:rsid w:val="004B61C2"/>
    <w:rsid w:val="004B61E8"/>
    <w:rsid w:val="004B61EA"/>
    <w:rsid w:val="004B61F2"/>
    <w:rsid w:val="004B6255"/>
    <w:rsid w:val="004B6262"/>
    <w:rsid w:val="004B6296"/>
    <w:rsid w:val="004B62F0"/>
    <w:rsid w:val="004B62F3"/>
    <w:rsid w:val="004B6311"/>
    <w:rsid w:val="004B6324"/>
    <w:rsid w:val="004B6370"/>
    <w:rsid w:val="004B6416"/>
    <w:rsid w:val="004B6417"/>
    <w:rsid w:val="004B6426"/>
    <w:rsid w:val="004B6444"/>
    <w:rsid w:val="004B64B8"/>
    <w:rsid w:val="004B64BE"/>
    <w:rsid w:val="004B6518"/>
    <w:rsid w:val="004B652D"/>
    <w:rsid w:val="004B655C"/>
    <w:rsid w:val="004B656E"/>
    <w:rsid w:val="004B663E"/>
    <w:rsid w:val="004B6643"/>
    <w:rsid w:val="004B6662"/>
    <w:rsid w:val="004B66A4"/>
    <w:rsid w:val="004B66B6"/>
    <w:rsid w:val="004B66CA"/>
    <w:rsid w:val="004B6728"/>
    <w:rsid w:val="004B6759"/>
    <w:rsid w:val="004B6778"/>
    <w:rsid w:val="004B679B"/>
    <w:rsid w:val="004B67CF"/>
    <w:rsid w:val="004B67EE"/>
    <w:rsid w:val="004B6827"/>
    <w:rsid w:val="004B6848"/>
    <w:rsid w:val="004B686D"/>
    <w:rsid w:val="004B68E9"/>
    <w:rsid w:val="004B6925"/>
    <w:rsid w:val="004B6944"/>
    <w:rsid w:val="004B6A39"/>
    <w:rsid w:val="004B6A8B"/>
    <w:rsid w:val="004B6AAB"/>
    <w:rsid w:val="004B6AD1"/>
    <w:rsid w:val="004B6B42"/>
    <w:rsid w:val="004B6B9A"/>
    <w:rsid w:val="004B6BE8"/>
    <w:rsid w:val="004B6C84"/>
    <w:rsid w:val="004B6C90"/>
    <w:rsid w:val="004B6C9E"/>
    <w:rsid w:val="004B6CE3"/>
    <w:rsid w:val="004B6CEB"/>
    <w:rsid w:val="004B6D03"/>
    <w:rsid w:val="004B6D68"/>
    <w:rsid w:val="004B6D9C"/>
    <w:rsid w:val="004B6DFD"/>
    <w:rsid w:val="004B6E18"/>
    <w:rsid w:val="004B6E44"/>
    <w:rsid w:val="004B6ECF"/>
    <w:rsid w:val="004B6ED4"/>
    <w:rsid w:val="004B6EE0"/>
    <w:rsid w:val="004B6F07"/>
    <w:rsid w:val="004B6F16"/>
    <w:rsid w:val="004B6F38"/>
    <w:rsid w:val="004B6F3B"/>
    <w:rsid w:val="004B6F7D"/>
    <w:rsid w:val="004B6F9B"/>
    <w:rsid w:val="004B7023"/>
    <w:rsid w:val="004B705D"/>
    <w:rsid w:val="004B7068"/>
    <w:rsid w:val="004B708C"/>
    <w:rsid w:val="004B70EB"/>
    <w:rsid w:val="004B7174"/>
    <w:rsid w:val="004B71FA"/>
    <w:rsid w:val="004B721E"/>
    <w:rsid w:val="004B723C"/>
    <w:rsid w:val="004B7250"/>
    <w:rsid w:val="004B72FB"/>
    <w:rsid w:val="004B7322"/>
    <w:rsid w:val="004B7333"/>
    <w:rsid w:val="004B7392"/>
    <w:rsid w:val="004B739B"/>
    <w:rsid w:val="004B73F0"/>
    <w:rsid w:val="004B73FB"/>
    <w:rsid w:val="004B741A"/>
    <w:rsid w:val="004B746C"/>
    <w:rsid w:val="004B746F"/>
    <w:rsid w:val="004B752D"/>
    <w:rsid w:val="004B7530"/>
    <w:rsid w:val="004B753E"/>
    <w:rsid w:val="004B7567"/>
    <w:rsid w:val="004B75F6"/>
    <w:rsid w:val="004B7617"/>
    <w:rsid w:val="004B767E"/>
    <w:rsid w:val="004B76C9"/>
    <w:rsid w:val="004B76D6"/>
    <w:rsid w:val="004B7787"/>
    <w:rsid w:val="004B77A4"/>
    <w:rsid w:val="004B77BC"/>
    <w:rsid w:val="004B77E4"/>
    <w:rsid w:val="004B7843"/>
    <w:rsid w:val="004B7858"/>
    <w:rsid w:val="004B786B"/>
    <w:rsid w:val="004B78D5"/>
    <w:rsid w:val="004B7981"/>
    <w:rsid w:val="004B79C8"/>
    <w:rsid w:val="004B7A66"/>
    <w:rsid w:val="004B7AE2"/>
    <w:rsid w:val="004B7B46"/>
    <w:rsid w:val="004B7BB8"/>
    <w:rsid w:val="004B7C0F"/>
    <w:rsid w:val="004B7C46"/>
    <w:rsid w:val="004B7C4B"/>
    <w:rsid w:val="004B7CAE"/>
    <w:rsid w:val="004B7CD0"/>
    <w:rsid w:val="004B7D19"/>
    <w:rsid w:val="004B7D26"/>
    <w:rsid w:val="004B7D30"/>
    <w:rsid w:val="004B7E1F"/>
    <w:rsid w:val="004B7E37"/>
    <w:rsid w:val="004B7EAF"/>
    <w:rsid w:val="004B7F7B"/>
    <w:rsid w:val="004C002E"/>
    <w:rsid w:val="004C003B"/>
    <w:rsid w:val="004C0079"/>
    <w:rsid w:val="004C0088"/>
    <w:rsid w:val="004C0123"/>
    <w:rsid w:val="004C0128"/>
    <w:rsid w:val="004C0143"/>
    <w:rsid w:val="004C01EF"/>
    <w:rsid w:val="004C023E"/>
    <w:rsid w:val="004C0388"/>
    <w:rsid w:val="004C03DA"/>
    <w:rsid w:val="004C0458"/>
    <w:rsid w:val="004C0475"/>
    <w:rsid w:val="004C04E0"/>
    <w:rsid w:val="004C0583"/>
    <w:rsid w:val="004C05E9"/>
    <w:rsid w:val="004C06A9"/>
    <w:rsid w:val="004C06AB"/>
    <w:rsid w:val="004C06B5"/>
    <w:rsid w:val="004C06BC"/>
    <w:rsid w:val="004C06F9"/>
    <w:rsid w:val="004C0711"/>
    <w:rsid w:val="004C0719"/>
    <w:rsid w:val="004C074D"/>
    <w:rsid w:val="004C07B7"/>
    <w:rsid w:val="004C084B"/>
    <w:rsid w:val="004C089E"/>
    <w:rsid w:val="004C08AB"/>
    <w:rsid w:val="004C08E8"/>
    <w:rsid w:val="004C0918"/>
    <w:rsid w:val="004C0925"/>
    <w:rsid w:val="004C0983"/>
    <w:rsid w:val="004C09A9"/>
    <w:rsid w:val="004C09BB"/>
    <w:rsid w:val="004C09D9"/>
    <w:rsid w:val="004C09E5"/>
    <w:rsid w:val="004C0A08"/>
    <w:rsid w:val="004C0A49"/>
    <w:rsid w:val="004C0A76"/>
    <w:rsid w:val="004C0ADD"/>
    <w:rsid w:val="004C0B00"/>
    <w:rsid w:val="004C0B09"/>
    <w:rsid w:val="004C0B64"/>
    <w:rsid w:val="004C0BD1"/>
    <w:rsid w:val="004C0BD5"/>
    <w:rsid w:val="004C0BD7"/>
    <w:rsid w:val="004C0BF5"/>
    <w:rsid w:val="004C0C0F"/>
    <w:rsid w:val="004C0C12"/>
    <w:rsid w:val="004C0CA0"/>
    <w:rsid w:val="004C0CF7"/>
    <w:rsid w:val="004C0D0C"/>
    <w:rsid w:val="004C0D34"/>
    <w:rsid w:val="004C0D5F"/>
    <w:rsid w:val="004C0D60"/>
    <w:rsid w:val="004C0D96"/>
    <w:rsid w:val="004C0D9F"/>
    <w:rsid w:val="004C0DFD"/>
    <w:rsid w:val="004C0E3E"/>
    <w:rsid w:val="004C0E42"/>
    <w:rsid w:val="004C0E59"/>
    <w:rsid w:val="004C0E7B"/>
    <w:rsid w:val="004C0ED7"/>
    <w:rsid w:val="004C0EFF"/>
    <w:rsid w:val="004C0F44"/>
    <w:rsid w:val="004C0F55"/>
    <w:rsid w:val="004C0FB0"/>
    <w:rsid w:val="004C0FDD"/>
    <w:rsid w:val="004C1007"/>
    <w:rsid w:val="004C103E"/>
    <w:rsid w:val="004C104A"/>
    <w:rsid w:val="004C1066"/>
    <w:rsid w:val="004C1086"/>
    <w:rsid w:val="004C10EB"/>
    <w:rsid w:val="004C115E"/>
    <w:rsid w:val="004C1172"/>
    <w:rsid w:val="004C11DB"/>
    <w:rsid w:val="004C11FE"/>
    <w:rsid w:val="004C1201"/>
    <w:rsid w:val="004C1261"/>
    <w:rsid w:val="004C1276"/>
    <w:rsid w:val="004C132B"/>
    <w:rsid w:val="004C139C"/>
    <w:rsid w:val="004C13B2"/>
    <w:rsid w:val="004C1433"/>
    <w:rsid w:val="004C14A9"/>
    <w:rsid w:val="004C14BA"/>
    <w:rsid w:val="004C14CB"/>
    <w:rsid w:val="004C1541"/>
    <w:rsid w:val="004C1586"/>
    <w:rsid w:val="004C15C2"/>
    <w:rsid w:val="004C1648"/>
    <w:rsid w:val="004C16E9"/>
    <w:rsid w:val="004C178D"/>
    <w:rsid w:val="004C17E8"/>
    <w:rsid w:val="004C17F5"/>
    <w:rsid w:val="004C17FB"/>
    <w:rsid w:val="004C183E"/>
    <w:rsid w:val="004C188F"/>
    <w:rsid w:val="004C1897"/>
    <w:rsid w:val="004C1973"/>
    <w:rsid w:val="004C199B"/>
    <w:rsid w:val="004C19C4"/>
    <w:rsid w:val="004C19CF"/>
    <w:rsid w:val="004C19D0"/>
    <w:rsid w:val="004C19E0"/>
    <w:rsid w:val="004C1A9D"/>
    <w:rsid w:val="004C1ACD"/>
    <w:rsid w:val="004C1B03"/>
    <w:rsid w:val="004C1B37"/>
    <w:rsid w:val="004C1BA8"/>
    <w:rsid w:val="004C1BBE"/>
    <w:rsid w:val="004C1C6E"/>
    <w:rsid w:val="004C1CAB"/>
    <w:rsid w:val="004C1D28"/>
    <w:rsid w:val="004C1D2D"/>
    <w:rsid w:val="004C1DF0"/>
    <w:rsid w:val="004C1E55"/>
    <w:rsid w:val="004C1E59"/>
    <w:rsid w:val="004C1E69"/>
    <w:rsid w:val="004C1E77"/>
    <w:rsid w:val="004C1E9C"/>
    <w:rsid w:val="004C1F22"/>
    <w:rsid w:val="004C1F24"/>
    <w:rsid w:val="004C1F4D"/>
    <w:rsid w:val="004C1F56"/>
    <w:rsid w:val="004C1F84"/>
    <w:rsid w:val="004C203E"/>
    <w:rsid w:val="004C214D"/>
    <w:rsid w:val="004C215A"/>
    <w:rsid w:val="004C2160"/>
    <w:rsid w:val="004C2192"/>
    <w:rsid w:val="004C21D9"/>
    <w:rsid w:val="004C2276"/>
    <w:rsid w:val="004C22BB"/>
    <w:rsid w:val="004C22E6"/>
    <w:rsid w:val="004C22EB"/>
    <w:rsid w:val="004C22FD"/>
    <w:rsid w:val="004C2300"/>
    <w:rsid w:val="004C233E"/>
    <w:rsid w:val="004C2350"/>
    <w:rsid w:val="004C235A"/>
    <w:rsid w:val="004C23CE"/>
    <w:rsid w:val="004C2458"/>
    <w:rsid w:val="004C2464"/>
    <w:rsid w:val="004C248C"/>
    <w:rsid w:val="004C24A6"/>
    <w:rsid w:val="004C24C1"/>
    <w:rsid w:val="004C24F0"/>
    <w:rsid w:val="004C24FF"/>
    <w:rsid w:val="004C2542"/>
    <w:rsid w:val="004C2548"/>
    <w:rsid w:val="004C26AD"/>
    <w:rsid w:val="004C26E8"/>
    <w:rsid w:val="004C26F9"/>
    <w:rsid w:val="004C2772"/>
    <w:rsid w:val="004C27B2"/>
    <w:rsid w:val="004C27B6"/>
    <w:rsid w:val="004C27D2"/>
    <w:rsid w:val="004C2802"/>
    <w:rsid w:val="004C2833"/>
    <w:rsid w:val="004C296A"/>
    <w:rsid w:val="004C2976"/>
    <w:rsid w:val="004C29D1"/>
    <w:rsid w:val="004C2A36"/>
    <w:rsid w:val="004C2A3F"/>
    <w:rsid w:val="004C2A86"/>
    <w:rsid w:val="004C2A9D"/>
    <w:rsid w:val="004C2B24"/>
    <w:rsid w:val="004C2B26"/>
    <w:rsid w:val="004C2B39"/>
    <w:rsid w:val="004C2B66"/>
    <w:rsid w:val="004C2B6D"/>
    <w:rsid w:val="004C2C5A"/>
    <w:rsid w:val="004C2CA8"/>
    <w:rsid w:val="004C2CC2"/>
    <w:rsid w:val="004C2D76"/>
    <w:rsid w:val="004C2D8C"/>
    <w:rsid w:val="004C2E19"/>
    <w:rsid w:val="004C2E20"/>
    <w:rsid w:val="004C2E5F"/>
    <w:rsid w:val="004C2E94"/>
    <w:rsid w:val="004C2EB8"/>
    <w:rsid w:val="004C2ED6"/>
    <w:rsid w:val="004C2F42"/>
    <w:rsid w:val="004C2F5B"/>
    <w:rsid w:val="004C2F75"/>
    <w:rsid w:val="004C2FC0"/>
    <w:rsid w:val="004C2FDC"/>
    <w:rsid w:val="004C2FF6"/>
    <w:rsid w:val="004C300E"/>
    <w:rsid w:val="004C3030"/>
    <w:rsid w:val="004C3073"/>
    <w:rsid w:val="004C308F"/>
    <w:rsid w:val="004C319A"/>
    <w:rsid w:val="004C319F"/>
    <w:rsid w:val="004C31C7"/>
    <w:rsid w:val="004C31F6"/>
    <w:rsid w:val="004C3204"/>
    <w:rsid w:val="004C323A"/>
    <w:rsid w:val="004C3333"/>
    <w:rsid w:val="004C3383"/>
    <w:rsid w:val="004C33A9"/>
    <w:rsid w:val="004C33DC"/>
    <w:rsid w:val="004C33E0"/>
    <w:rsid w:val="004C33EE"/>
    <w:rsid w:val="004C3461"/>
    <w:rsid w:val="004C3499"/>
    <w:rsid w:val="004C349F"/>
    <w:rsid w:val="004C34E0"/>
    <w:rsid w:val="004C3543"/>
    <w:rsid w:val="004C35B7"/>
    <w:rsid w:val="004C35F4"/>
    <w:rsid w:val="004C35FF"/>
    <w:rsid w:val="004C3628"/>
    <w:rsid w:val="004C3637"/>
    <w:rsid w:val="004C3646"/>
    <w:rsid w:val="004C364B"/>
    <w:rsid w:val="004C36E0"/>
    <w:rsid w:val="004C3731"/>
    <w:rsid w:val="004C3770"/>
    <w:rsid w:val="004C37F2"/>
    <w:rsid w:val="004C3805"/>
    <w:rsid w:val="004C3832"/>
    <w:rsid w:val="004C384B"/>
    <w:rsid w:val="004C38EA"/>
    <w:rsid w:val="004C3995"/>
    <w:rsid w:val="004C3AEF"/>
    <w:rsid w:val="004C3B3D"/>
    <w:rsid w:val="004C3B68"/>
    <w:rsid w:val="004C3BD8"/>
    <w:rsid w:val="004C3BFF"/>
    <w:rsid w:val="004C3C1E"/>
    <w:rsid w:val="004C3C2C"/>
    <w:rsid w:val="004C3C95"/>
    <w:rsid w:val="004C3CA4"/>
    <w:rsid w:val="004C3CF0"/>
    <w:rsid w:val="004C3D48"/>
    <w:rsid w:val="004C3DB9"/>
    <w:rsid w:val="004C3DC9"/>
    <w:rsid w:val="004C3E1A"/>
    <w:rsid w:val="004C3EBC"/>
    <w:rsid w:val="004C3F0A"/>
    <w:rsid w:val="004C3F10"/>
    <w:rsid w:val="004C3F5E"/>
    <w:rsid w:val="004C3F76"/>
    <w:rsid w:val="004C3F98"/>
    <w:rsid w:val="004C401F"/>
    <w:rsid w:val="004C4030"/>
    <w:rsid w:val="004C409A"/>
    <w:rsid w:val="004C40A6"/>
    <w:rsid w:val="004C40DD"/>
    <w:rsid w:val="004C40E6"/>
    <w:rsid w:val="004C4103"/>
    <w:rsid w:val="004C4104"/>
    <w:rsid w:val="004C41B4"/>
    <w:rsid w:val="004C41B6"/>
    <w:rsid w:val="004C41B7"/>
    <w:rsid w:val="004C423F"/>
    <w:rsid w:val="004C430D"/>
    <w:rsid w:val="004C444C"/>
    <w:rsid w:val="004C445D"/>
    <w:rsid w:val="004C4460"/>
    <w:rsid w:val="004C4465"/>
    <w:rsid w:val="004C4550"/>
    <w:rsid w:val="004C4556"/>
    <w:rsid w:val="004C45DF"/>
    <w:rsid w:val="004C45E7"/>
    <w:rsid w:val="004C4616"/>
    <w:rsid w:val="004C461B"/>
    <w:rsid w:val="004C462D"/>
    <w:rsid w:val="004C4633"/>
    <w:rsid w:val="004C4650"/>
    <w:rsid w:val="004C4661"/>
    <w:rsid w:val="004C4670"/>
    <w:rsid w:val="004C4741"/>
    <w:rsid w:val="004C4777"/>
    <w:rsid w:val="004C4789"/>
    <w:rsid w:val="004C4812"/>
    <w:rsid w:val="004C4843"/>
    <w:rsid w:val="004C4906"/>
    <w:rsid w:val="004C490A"/>
    <w:rsid w:val="004C4992"/>
    <w:rsid w:val="004C49E8"/>
    <w:rsid w:val="004C4A53"/>
    <w:rsid w:val="004C4B60"/>
    <w:rsid w:val="004C4B7A"/>
    <w:rsid w:val="004C4BB4"/>
    <w:rsid w:val="004C4BBE"/>
    <w:rsid w:val="004C4BD0"/>
    <w:rsid w:val="004C4BF5"/>
    <w:rsid w:val="004C4C08"/>
    <w:rsid w:val="004C4D2B"/>
    <w:rsid w:val="004C4D54"/>
    <w:rsid w:val="004C4D66"/>
    <w:rsid w:val="004C4DC0"/>
    <w:rsid w:val="004C4DE6"/>
    <w:rsid w:val="004C4E4D"/>
    <w:rsid w:val="004C4E62"/>
    <w:rsid w:val="004C4E70"/>
    <w:rsid w:val="004C4ED6"/>
    <w:rsid w:val="004C4EDF"/>
    <w:rsid w:val="004C4F11"/>
    <w:rsid w:val="004C4F5B"/>
    <w:rsid w:val="004C4F70"/>
    <w:rsid w:val="004C5056"/>
    <w:rsid w:val="004C508E"/>
    <w:rsid w:val="004C50E4"/>
    <w:rsid w:val="004C5129"/>
    <w:rsid w:val="004C5177"/>
    <w:rsid w:val="004C518E"/>
    <w:rsid w:val="004C51AE"/>
    <w:rsid w:val="004C51E2"/>
    <w:rsid w:val="004C52D2"/>
    <w:rsid w:val="004C536F"/>
    <w:rsid w:val="004C538A"/>
    <w:rsid w:val="004C538E"/>
    <w:rsid w:val="004C540E"/>
    <w:rsid w:val="004C543E"/>
    <w:rsid w:val="004C5440"/>
    <w:rsid w:val="004C548B"/>
    <w:rsid w:val="004C550E"/>
    <w:rsid w:val="004C558E"/>
    <w:rsid w:val="004C55C3"/>
    <w:rsid w:val="004C55D1"/>
    <w:rsid w:val="004C563A"/>
    <w:rsid w:val="004C5656"/>
    <w:rsid w:val="004C567F"/>
    <w:rsid w:val="004C569A"/>
    <w:rsid w:val="004C56B2"/>
    <w:rsid w:val="004C56CC"/>
    <w:rsid w:val="004C56FA"/>
    <w:rsid w:val="004C5722"/>
    <w:rsid w:val="004C577F"/>
    <w:rsid w:val="004C57D6"/>
    <w:rsid w:val="004C57EA"/>
    <w:rsid w:val="004C57F3"/>
    <w:rsid w:val="004C57F9"/>
    <w:rsid w:val="004C5827"/>
    <w:rsid w:val="004C588D"/>
    <w:rsid w:val="004C58A9"/>
    <w:rsid w:val="004C5941"/>
    <w:rsid w:val="004C5951"/>
    <w:rsid w:val="004C5980"/>
    <w:rsid w:val="004C59C0"/>
    <w:rsid w:val="004C5A44"/>
    <w:rsid w:val="004C5AA3"/>
    <w:rsid w:val="004C5AFB"/>
    <w:rsid w:val="004C5B2A"/>
    <w:rsid w:val="004C5B31"/>
    <w:rsid w:val="004C5B88"/>
    <w:rsid w:val="004C5C16"/>
    <w:rsid w:val="004C5C47"/>
    <w:rsid w:val="004C5CA4"/>
    <w:rsid w:val="004C5CC5"/>
    <w:rsid w:val="004C5CDE"/>
    <w:rsid w:val="004C5CEB"/>
    <w:rsid w:val="004C5D71"/>
    <w:rsid w:val="004C5D7F"/>
    <w:rsid w:val="004C5DBC"/>
    <w:rsid w:val="004C5E0B"/>
    <w:rsid w:val="004C5E0F"/>
    <w:rsid w:val="004C5E10"/>
    <w:rsid w:val="004C5E4A"/>
    <w:rsid w:val="004C5E55"/>
    <w:rsid w:val="004C5E6D"/>
    <w:rsid w:val="004C5ED0"/>
    <w:rsid w:val="004C5F08"/>
    <w:rsid w:val="004C5F82"/>
    <w:rsid w:val="004C5F94"/>
    <w:rsid w:val="004C602A"/>
    <w:rsid w:val="004C6075"/>
    <w:rsid w:val="004C60C2"/>
    <w:rsid w:val="004C60CE"/>
    <w:rsid w:val="004C60D0"/>
    <w:rsid w:val="004C614D"/>
    <w:rsid w:val="004C6199"/>
    <w:rsid w:val="004C61BD"/>
    <w:rsid w:val="004C6288"/>
    <w:rsid w:val="004C62C9"/>
    <w:rsid w:val="004C6315"/>
    <w:rsid w:val="004C63B0"/>
    <w:rsid w:val="004C63C0"/>
    <w:rsid w:val="004C63FA"/>
    <w:rsid w:val="004C641C"/>
    <w:rsid w:val="004C644C"/>
    <w:rsid w:val="004C6467"/>
    <w:rsid w:val="004C64BE"/>
    <w:rsid w:val="004C650A"/>
    <w:rsid w:val="004C6597"/>
    <w:rsid w:val="004C65A7"/>
    <w:rsid w:val="004C669C"/>
    <w:rsid w:val="004C66E4"/>
    <w:rsid w:val="004C66EA"/>
    <w:rsid w:val="004C66F0"/>
    <w:rsid w:val="004C674E"/>
    <w:rsid w:val="004C67D9"/>
    <w:rsid w:val="004C687F"/>
    <w:rsid w:val="004C68EC"/>
    <w:rsid w:val="004C6901"/>
    <w:rsid w:val="004C693C"/>
    <w:rsid w:val="004C697C"/>
    <w:rsid w:val="004C69A5"/>
    <w:rsid w:val="004C69B3"/>
    <w:rsid w:val="004C69D8"/>
    <w:rsid w:val="004C69E8"/>
    <w:rsid w:val="004C6A28"/>
    <w:rsid w:val="004C6AAD"/>
    <w:rsid w:val="004C6AB8"/>
    <w:rsid w:val="004C6B13"/>
    <w:rsid w:val="004C6C59"/>
    <w:rsid w:val="004C6CD4"/>
    <w:rsid w:val="004C6CFD"/>
    <w:rsid w:val="004C6D2D"/>
    <w:rsid w:val="004C6DCF"/>
    <w:rsid w:val="004C6DD9"/>
    <w:rsid w:val="004C6DFA"/>
    <w:rsid w:val="004C6DFD"/>
    <w:rsid w:val="004C6E11"/>
    <w:rsid w:val="004C6E46"/>
    <w:rsid w:val="004C6E8F"/>
    <w:rsid w:val="004C6EF6"/>
    <w:rsid w:val="004C6F7E"/>
    <w:rsid w:val="004C6F90"/>
    <w:rsid w:val="004C7033"/>
    <w:rsid w:val="004C709B"/>
    <w:rsid w:val="004C70D5"/>
    <w:rsid w:val="004C70F8"/>
    <w:rsid w:val="004C7108"/>
    <w:rsid w:val="004C7109"/>
    <w:rsid w:val="004C7112"/>
    <w:rsid w:val="004C7141"/>
    <w:rsid w:val="004C7176"/>
    <w:rsid w:val="004C71A2"/>
    <w:rsid w:val="004C727A"/>
    <w:rsid w:val="004C72DA"/>
    <w:rsid w:val="004C7314"/>
    <w:rsid w:val="004C7353"/>
    <w:rsid w:val="004C73B2"/>
    <w:rsid w:val="004C74A5"/>
    <w:rsid w:val="004C74A6"/>
    <w:rsid w:val="004C74D8"/>
    <w:rsid w:val="004C74DC"/>
    <w:rsid w:val="004C74FC"/>
    <w:rsid w:val="004C7501"/>
    <w:rsid w:val="004C7506"/>
    <w:rsid w:val="004C7568"/>
    <w:rsid w:val="004C760A"/>
    <w:rsid w:val="004C763B"/>
    <w:rsid w:val="004C7658"/>
    <w:rsid w:val="004C76A7"/>
    <w:rsid w:val="004C76D8"/>
    <w:rsid w:val="004C76E3"/>
    <w:rsid w:val="004C76E9"/>
    <w:rsid w:val="004C76F4"/>
    <w:rsid w:val="004C76F5"/>
    <w:rsid w:val="004C7727"/>
    <w:rsid w:val="004C773C"/>
    <w:rsid w:val="004C7780"/>
    <w:rsid w:val="004C77D0"/>
    <w:rsid w:val="004C7871"/>
    <w:rsid w:val="004C78B8"/>
    <w:rsid w:val="004C790F"/>
    <w:rsid w:val="004C791C"/>
    <w:rsid w:val="004C79D2"/>
    <w:rsid w:val="004C7A13"/>
    <w:rsid w:val="004C7A31"/>
    <w:rsid w:val="004C7A44"/>
    <w:rsid w:val="004C7A5F"/>
    <w:rsid w:val="004C7A67"/>
    <w:rsid w:val="004C7A80"/>
    <w:rsid w:val="004C7AE7"/>
    <w:rsid w:val="004C7B26"/>
    <w:rsid w:val="004C7BE7"/>
    <w:rsid w:val="004C7C23"/>
    <w:rsid w:val="004C7C53"/>
    <w:rsid w:val="004C7C7C"/>
    <w:rsid w:val="004C7C82"/>
    <w:rsid w:val="004C7C8D"/>
    <w:rsid w:val="004C7C9B"/>
    <w:rsid w:val="004C7CBA"/>
    <w:rsid w:val="004C7D2F"/>
    <w:rsid w:val="004C7D66"/>
    <w:rsid w:val="004C7D9C"/>
    <w:rsid w:val="004C7DB7"/>
    <w:rsid w:val="004C7DBC"/>
    <w:rsid w:val="004C7DC5"/>
    <w:rsid w:val="004C7E1C"/>
    <w:rsid w:val="004C7E60"/>
    <w:rsid w:val="004C7E6F"/>
    <w:rsid w:val="004C7EF0"/>
    <w:rsid w:val="004C7EF7"/>
    <w:rsid w:val="004C7F1F"/>
    <w:rsid w:val="004C7F3B"/>
    <w:rsid w:val="004C7FBB"/>
    <w:rsid w:val="004C7FE9"/>
    <w:rsid w:val="004C7FF2"/>
    <w:rsid w:val="004D006D"/>
    <w:rsid w:val="004D0072"/>
    <w:rsid w:val="004D0084"/>
    <w:rsid w:val="004D0098"/>
    <w:rsid w:val="004D01F2"/>
    <w:rsid w:val="004D021C"/>
    <w:rsid w:val="004D029B"/>
    <w:rsid w:val="004D02B1"/>
    <w:rsid w:val="004D02CF"/>
    <w:rsid w:val="004D037D"/>
    <w:rsid w:val="004D03CD"/>
    <w:rsid w:val="004D03FB"/>
    <w:rsid w:val="004D043B"/>
    <w:rsid w:val="004D043F"/>
    <w:rsid w:val="004D0442"/>
    <w:rsid w:val="004D0469"/>
    <w:rsid w:val="004D04BA"/>
    <w:rsid w:val="004D04C0"/>
    <w:rsid w:val="004D0509"/>
    <w:rsid w:val="004D0529"/>
    <w:rsid w:val="004D0539"/>
    <w:rsid w:val="004D0548"/>
    <w:rsid w:val="004D05A4"/>
    <w:rsid w:val="004D05C1"/>
    <w:rsid w:val="004D05C3"/>
    <w:rsid w:val="004D05CA"/>
    <w:rsid w:val="004D0615"/>
    <w:rsid w:val="004D061F"/>
    <w:rsid w:val="004D0631"/>
    <w:rsid w:val="004D0659"/>
    <w:rsid w:val="004D066C"/>
    <w:rsid w:val="004D06B8"/>
    <w:rsid w:val="004D072D"/>
    <w:rsid w:val="004D0780"/>
    <w:rsid w:val="004D07CE"/>
    <w:rsid w:val="004D0830"/>
    <w:rsid w:val="004D0889"/>
    <w:rsid w:val="004D08EC"/>
    <w:rsid w:val="004D090D"/>
    <w:rsid w:val="004D0965"/>
    <w:rsid w:val="004D0982"/>
    <w:rsid w:val="004D09B3"/>
    <w:rsid w:val="004D0A12"/>
    <w:rsid w:val="004D0A40"/>
    <w:rsid w:val="004D0AB9"/>
    <w:rsid w:val="004D0B0F"/>
    <w:rsid w:val="004D0B13"/>
    <w:rsid w:val="004D0B16"/>
    <w:rsid w:val="004D0B3F"/>
    <w:rsid w:val="004D0B42"/>
    <w:rsid w:val="004D0B69"/>
    <w:rsid w:val="004D0BA8"/>
    <w:rsid w:val="004D0BC5"/>
    <w:rsid w:val="004D0C4F"/>
    <w:rsid w:val="004D0C70"/>
    <w:rsid w:val="004D0C7C"/>
    <w:rsid w:val="004D0CAF"/>
    <w:rsid w:val="004D0CBF"/>
    <w:rsid w:val="004D0CCE"/>
    <w:rsid w:val="004D0D0E"/>
    <w:rsid w:val="004D0D55"/>
    <w:rsid w:val="004D0D65"/>
    <w:rsid w:val="004D0DEF"/>
    <w:rsid w:val="004D0E43"/>
    <w:rsid w:val="004D0F41"/>
    <w:rsid w:val="004D0FA6"/>
    <w:rsid w:val="004D1149"/>
    <w:rsid w:val="004D1178"/>
    <w:rsid w:val="004D117F"/>
    <w:rsid w:val="004D1182"/>
    <w:rsid w:val="004D118E"/>
    <w:rsid w:val="004D11A8"/>
    <w:rsid w:val="004D11DB"/>
    <w:rsid w:val="004D11F4"/>
    <w:rsid w:val="004D1224"/>
    <w:rsid w:val="004D125A"/>
    <w:rsid w:val="004D128F"/>
    <w:rsid w:val="004D1290"/>
    <w:rsid w:val="004D12A5"/>
    <w:rsid w:val="004D12E8"/>
    <w:rsid w:val="004D133A"/>
    <w:rsid w:val="004D133C"/>
    <w:rsid w:val="004D1368"/>
    <w:rsid w:val="004D13FE"/>
    <w:rsid w:val="004D153E"/>
    <w:rsid w:val="004D155F"/>
    <w:rsid w:val="004D1641"/>
    <w:rsid w:val="004D1693"/>
    <w:rsid w:val="004D16A8"/>
    <w:rsid w:val="004D16E4"/>
    <w:rsid w:val="004D1720"/>
    <w:rsid w:val="004D179A"/>
    <w:rsid w:val="004D181F"/>
    <w:rsid w:val="004D187E"/>
    <w:rsid w:val="004D188C"/>
    <w:rsid w:val="004D18E1"/>
    <w:rsid w:val="004D194D"/>
    <w:rsid w:val="004D198F"/>
    <w:rsid w:val="004D19C2"/>
    <w:rsid w:val="004D19CD"/>
    <w:rsid w:val="004D19E9"/>
    <w:rsid w:val="004D1A10"/>
    <w:rsid w:val="004D1A68"/>
    <w:rsid w:val="004D1AAE"/>
    <w:rsid w:val="004D1B47"/>
    <w:rsid w:val="004D1B65"/>
    <w:rsid w:val="004D1C4B"/>
    <w:rsid w:val="004D1C80"/>
    <w:rsid w:val="004D1C87"/>
    <w:rsid w:val="004D1CD7"/>
    <w:rsid w:val="004D1D00"/>
    <w:rsid w:val="004D1D1B"/>
    <w:rsid w:val="004D1D3C"/>
    <w:rsid w:val="004D1D52"/>
    <w:rsid w:val="004D1D60"/>
    <w:rsid w:val="004D1DA8"/>
    <w:rsid w:val="004D1DB1"/>
    <w:rsid w:val="004D1E13"/>
    <w:rsid w:val="004D1F3F"/>
    <w:rsid w:val="004D1F57"/>
    <w:rsid w:val="004D1F87"/>
    <w:rsid w:val="004D1FA1"/>
    <w:rsid w:val="004D1FBD"/>
    <w:rsid w:val="004D1FBF"/>
    <w:rsid w:val="004D1FF0"/>
    <w:rsid w:val="004D202C"/>
    <w:rsid w:val="004D2034"/>
    <w:rsid w:val="004D2067"/>
    <w:rsid w:val="004D20A4"/>
    <w:rsid w:val="004D20D4"/>
    <w:rsid w:val="004D20F1"/>
    <w:rsid w:val="004D21AC"/>
    <w:rsid w:val="004D2229"/>
    <w:rsid w:val="004D2292"/>
    <w:rsid w:val="004D2305"/>
    <w:rsid w:val="004D233E"/>
    <w:rsid w:val="004D2352"/>
    <w:rsid w:val="004D238D"/>
    <w:rsid w:val="004D2399"/>
    <w:rsid w:val="004D240B"/>
    <w:rsid w:val="004D241D"/>
    <w:rsid w:val="004D2494"/>
    <w:rsid w:val="004D2588"/>
    <w:rsid w:val="004D25B4"/>
    <w:rsid w:val="004D260C"/>
    <w:rsid w:val="004D26CE"/>
    <w:rsid w:val="004D26D5"/>
    <w:rsid w:val="004D2722"/>
    <w:rsid w:val="004D27FA"/>
    <w:rsid w:val="004D28EA"/>
    <w:rsid w:val="004D28EC"/>
    <w:rsid w:val="004D28F0"/>
    <w:rsid w:val="004D290D"/>
    <w:rsid w:val="004D2927"/>
    <w:rsid w:val="004D2995"/>
    <w:rsid w:val="004D2998"/>
    <w:rsid w:val="004D2A16"/>
    <w:rsid w:val="004D2B05"/>
    <w:rsid w:val="004D2B17"/>
    <w:rsid w:val="004D2B24"/>
    <w:rsid w:val="004D2B3E"/>
    <w:rsid w:val="004D2B46"/>
    <w:rsid w:val="004D2BD5"/>
    <w:rsid w:val="004D2C22"/>
    <w:rsid w:val="004D2C2B"/>
    <w:rsid w:val="004D2C5D"/>
    <w:rsid w:val="004D2C96"/>
    <w:rsid w:val="004D2CA8"/>
    <w:rsid w:val="004D2D3D"/>
    <w:rsid w:val="004D2D6E"/>
    <w:rsid w:val="004D2D92"/>
    <w:rsid w:val="004D2E0A"/>
    <w:rsid w:val="004D2E3C"/>
    <w:rsid w:val="004D2E40"/>
    <w:rsid w:val="004D2E49"/>
    <w:rsid w:val="004D2E98"/>
    <w:rsid w:val="004D2EDA"/>
    <w:rsid w:val="004D2F17"/>
    <w:rsid w:val="004D2F4C"/>
    <w:rsid w:val="004D2F67"/>
    <w:rsid w:val="004D2F89"/>
    <w:rsid w:val="004D300D"/>
    <w:rsid w:val="004D31E1"/>
    <w:rsid w:val="004D3241"/>
    <w:rsid w:val="004D3310"/>
    <w:rsid w:val="004D337E"/>
    <w:rsid w:val="004D338E"/>
    <w:rsid w:val="004D3438"/>
    <w:rsid w:val="004D3455"/>
    <w:rsid w:val="004D34D3"/>
    <w:rsid w:val="004D34F7"/>
    <w:rsid w:val="004D3562"/>
    <w:rsid w:val="004D35C4"/>
    <w:rsid w:val="004D35D1"/>
    <w:rsid w:val="004D3665"/>
    <w:rsid w:val="004D36A5"/>
    <w:rsid w:val="004D36BE"/>
    <w:rsid w:val="004D3731"/>
    <w:rsid w:val="004D374A"/>
    <w:rsid w:val="004D376B"/>
    <w:rsid w:val="004D37E7"/>
    <w:rsid w:val="004D37F1"/>
    <w:rsid w:val="004D3841"/>
    <w:rsid w:val="004D3914"/>
    <w:rsid w:val="004D391C"/>
    <w:rsid w:val="004D39A2"/>
    <w:rsid w:val="004D39BC"/>
    <w:rsid w:val="004D3A0F"/>
    <w:rsid w:val="004D3AC6"/>
    <w:rsid w:val="004D3B0B"/>
    <w:rsid w:val="004D3B61"/>
    <w:rsid w:val="004D3C6B"/>
    <w:rsid w:val="004D3C73"/>
    <w:rsid w:val="004D3C93"/>
    <w:rsid w:val="004D3CF9"/>
    <w:rsid w:val="004D3DCB"/>
    <w:rsid w:val="004D3DED"/>
    <w:rsid w:val="004D3E24"/>
    <w:rsid w:val="004D3E86"/>
    <w:rsid w:val="004D3EFD"/>
    <w:rsid w:val="004D3F1D"/>
    <w:rsid w:val="004D3F1E"/>
    <w:rsid w:val="004D3F97"/>
    <w:rsid w:val="004D3FB2"/>
    <w:rsid w:val="004D4059"/>
    <w:rsid w:val="004D406E"/>
    <w:rsid w:val="004D4070"/>
    <w:rsid w:val="004D4077"/>
    <w:rsid w:val="004D4099"/>
    <w:rsid w:val="004D411E"/>
    <w:rsid w:val="004D4123"/>
    <w:rsid w:val="004D4152"/>
    <w:rsid w:val="004D415C"/>
    <w:rsid w:val="004D419D"/>
    <w:rsid w:val="004D41EE"/>
    <w:rsid w:val="004D41EF"/>
    <w:rsid w:val="004D4278"/>
    <w:rsid w:val="004D429A"/>
    <w:rsid w:val="004D42B3"/>
    <w:rsid w:val="004D42B4"/>
    <w:rsid w:val="004D42BD"/>
    <w:rsid w:val="004D42D9"/>
    <w:rsid w:val="004D42E7"/>
    <w:rsid w:val="004D4318"/>
    <w:rsid w:val="004D4361"/>
    <w:rsid w:val="004D4364"/>
    <w:rsid w:val="004D4399"/>
    <w:rsid w:val="004D43C1"/>
    <w:rsid w:val="004D4499"/>
    <w:rsid w:val="004D449A"/>
    <w:rsid w:val="004D44EB"/>
    <w:rsid w:val="004D44F4"/>
    <w:rsid w:val="004D450E"/>
    <w:rsid w:val="004D4567"/>
    <w:rsid w:val="004D467E"/>
    <w:rsid w:val="004D4684"/>
    <w:rsid w:val="004D4691"/>
    <w:rsid w:val="004D4692"/>
    <w:rsid w:val="004D469E"/>
    <w:rsid w:val="004D47AF"/>
    <w:rsid w:val="004D4924"/>
    <w:rsid w:val="004D4935"/>
    <w:rsid w:val="004D49F2"/>
    <w:rsid w:val="004D4AA9"/>
    <w:rsid w:val="004D4B6A"/>
    <w:rsid w:val="004D4BA1"/>
    <w:rsid w:val="004D4BC5"/>
    <w:rsid w:val="004D4BDA"/>
    <w:rsid w:val="004D4BE8"/>
    <w:rsid w:val="004D4C3D"/>
    <w:rsid w:val="004D4C80"/>
    <w:rsid w:val="004D4D0A"/>
    <w:rsid w:val="004D4D2B"/>
    <w:rsid w:val="004D4D40"/>
    <w:rsid w:val="004D4D47"/>
    <w:rsid w:val="004D4D48"/>
    <w:rsid w:val="004D4D79"/>
    <w:rsid w:val="004D4E1F"/>
    <w:rsid w:val="004D4E36"/>
    <w:rsid w:val="004D4E3A"/>
    <w:rsid w:val="004D4F2F"/>
    <w:rsid w:val="004D4F3A"/>
    <w:rsid w:val="004D4F47"/>
    <w:rsid w:val="004D4F76"/>
    <w:rsid w:val="004D4F99"/>
    <w:rsid w:val="004D4FA8"/>
    <w:rsid w:val="004D502A"/>
    <w:rsid w:val="004D502B"/>
    <w:rsid w:val="004D5085"/>
    <w:rsid w:val="004D5087"/>
    <w:rsid w:val="004D50ED"/>
    <w:rsid w:val="004D51CA"/>
    <w:rsid w:val="004D51F4"/>
    <w:rsid w:val="004D522D"/>
    <w:rsid w:val="004D524E"/>
    <w:rsid w:val="004D52DA"/>
    <w:rsid w:val="004D52ED"/>
    <w:rsid w:val="004D532E"/>
    <w:rsid w:val="004D5353"/>
    <w:rsid w:val="004D539A"/>
    <w:rsid w:val="004D5468"/>
    <w:rsid w:val="004D5473"/>
    <w:rsid w:val="004D547F"/>
    <w:rsid w:val="004D54B3"/>
    <w:rsid w:val="004D54CC"/>
    <w:rsid w:val="004D54F2"/>
    <w:rsid w:val="004D5506"/>
    <w:rsid w:val="004D5552"/>
    <w:rsid w:val="004D55E1"/>
    <w:rsid w:val="004D5627"/>
    <w:rsid w:val="004D562E"/>
    <w:rsid w:val="004D569B"/>
    <w:rsid w:val="004D56BD"/>
    <w:rsid w:val="004D577C"/>
    <w:rsid w:val="004D57B1"/>
    <w:rsid w:val="004D57FF"/>
    <w:rsid w:val="004D584D"/>
    <w:rsid w:val="004D5868"/>
    <w:rsid w:val="004D586B"/>
    <w:rsid w:val="004D58A5"/>
    <w:rsid w:val="004D5924"/>
    <w:rsid w:val="004D59B9"/>
    <w:rsid w:val="004D5B0D"/>
    <w:rsid w:val="004D5B4A"/>
    <w:rsid w:val="004D5B51"/>
    <w:rsid w:val="004D5BFF"/>
    <w:rsid w:val="004D5C40"/>
    <w:rsid w:val="004D5C54"/>
    <w:rsid w:val="004D5C84"/>
    <w:rsid w:val="004D5CEC"/>
    <w:rsid w:val="004D5D0E"/>
    <w:rsid w:val="004D5D2D"/>
    <w:rsid w:val="004D5D41"/>
    <w:rsid w:val="004D5D44"/>
    <w:rsid w:val="004D5DB1"/>
    <w:rsid w:val="004D5DD2"/>
    <w:rsid w:val="004D5DD6"/>
    <w:rsid w:val="004D5EA3"/>
    <w:rsid w:val="004D5ECF"/>
    <w:rsid w:val="004D5F35"/>
    <w:rsid w:val="004D5F8C"/>
    <w:rsid w:val="004D604A"/>
    <w:rsid w:val="004D60AE"/>
    <w:rsid w:val="004D60DA"/>
    <w:rsid w:val="004D6119"/>
    <w:rsid w:val="004D612A"/>
    <w:rsid w:val="004D6213"/>
    <w:rsid w:val="004D623B"/>
    <w:rsid w:val="004D6276"/>
    <w:rsid w:val="004D627B"/>
    <w:rsid w:val="004D62C9"/>
    <w:rsid w:val="004D631F"/>
    <w:rsid w:val="004D641E"/>
    <w:rsid w:val="004D6451"/>
    <w:rsid w:val="004D6476"/>
    <w:rsid w:val="004D6489"/>
    <w:rsid w:val="004D65A9"/>
    <w:rsid w:val="004D65D8"/>
    <w:rsid w:val="004D660B"/>
    <w:rsid w:val="004D6642"/>
    <w:rsid w:val="004D6656"/>
    <w:rsid w:val="004D6681"/>
    <w:rsid w:val="004D668A"/>
    <w:rsid w:val="004D6807"/>
    <w:rsid w:val="004D6885"/>
    <w:rsid w:val="004D689A"/>
    <w:rsid w:val="004D690E"/>
    <w:rsid w:val="004D6950"/>
    <w:rsid w:val="004D698E"/>
    <w:rsid w:val="004D69C8"/>
    <w:rsid w:val="004D6A12"/>
    <w:rsid w:val="004D6A13"/>
    <w:rsid w:val="004D6B31"/>
    <w:rsid w:val="004D6B33"/>
    <w:rsid w:val="004D6BAF"/>
    <w:rsid w:val="004D6BBA"/>
    <w:rsid w:val="004D6BCC"/>
    <w:rsid w:val="004D6C8D"/>
    <w:rsid w:val="004D6D56"/>
    <w:rsid w:val="004D6D6C"/>
    <w:rsid w:val="004D6DBE"/>
    <w:rsid w:val="004D6DF1"/>
    <w:rsid w:val="004D6E37"/>
    <w:rsid w:val="004D6E6F"/>
    <w:rsid w:val="004D6E86"/>
    <w:rsid w:val="004D6EA5"/>
    <w:rsid w:val="004D6EB3"/>
    <w:rsid w:val="004D6ECD"/>
    <w:rsid w:val="004D6EDD"/>
    <w:rsid w:val="004D6EE9"/>
    <w:rsid w:val="004D6F47"/>
    <w:rsid w:val="004D6FCB"/>
    <w:rsid w:val="004D6FE4"/>
    <w:rsid w:val="004D70E9"/>
    <w:rsid w:val="004D7178"/>
    <w:rsid w:val="004D718A"/>
    <w:rsid w:val="004D718D"/>
    <w:rsid w:val="004D71DA"/>
    <w:rsid w:val="004D7214"/>
    <w:rsid w:val="004D722D"/>
    <w:rsid w:val="004D7239"/>
    <w:rsid w:val="004D7245"/>
    <w:rsid w:val="004D725B"/>
    <w:rsid w:val="004D72AB"/>
    <w:rsid w:val="004D72AF"/>
    <w:rsid w:val="004D72EE"/>
    <w:rsid w:val="004D7309"/>
    <w:rsid w:val="004D7361"/>
    <w:rsid w:val="004D7403"/>
    <w:rsid w:val="004D7475"/>
    <w:rsid w:val="004D747E"/>
    <w:rsid w:val="004D7484"/>
    <w:rsid w:val="004D762F"/>
    <w:rsid w:val="004D7698"/>
    <w:rsid w:val="004D76C8"/>
    <w:rsid w:val="004D76DA"/>
    <w:rsid w:val="004D76F5"/>
    <w:rsid w:val="004D7731"/>
    <w:rsid w:val="004D7789"/>
    <w:rsid w:val="004D7797"/>
    <w:rsid w:val="004D7813"/>
    <w:rsid w:val="004D7876"/>
    <w:rsid w:val="004D78AB"/>
    <w:rsid w:val="004D7913"/>
    <w:rsid w:val="004D7951"/>
    <w:rsid w:val="004D799B"/>
    <w:rsid w:val="004D79B7"/>
    <w:rsid w:val="004D79BA"/>
    <w:rsid w:val="004D79BC"/>
    <w:rsid w:val="004D79D2"/>
    <w:rsid w:val="004D79D4"/>
    <w:rsid w:val="004D7A07"/>
    <w:rsid w:val="004D7A90"/>
    <w:rsid w:val="004D7AF6"/>
    <w:rsid w:val="004D7AFB"/>
    <w:rsid w:val="004D7B07"/>
    <w:rsid w:val="004D7B82"/>
    <w:rsid w:val="004D7BCF"/>
    <w:rsid w:val="004D7C06"/>
    <w:rsid w:val="004D7C40"/>
    <w:rsid w:val="004D7CEC"/>
    <w:rsid w:val="004D7D54"/>
    <w:rsid w:val="004D7D80"/>
    <w:rsid w:val="004D7D86"/>
    <w:rsid w:val="004D7D8D"/>
    <w:rsid w:val="004D7E71"/>
    <w:rsid w:val="004D7E78"/>
    <w:rsid w:val="004D7EC1"/>
    <w:rsid w:val="004D7F06"/>
    <w:rsid w:val="004D7F64"/>
    <w:rsid w:val="004D7F77"/>
    <w:rsid w:val="004D7F8D"/>
    <w:rsid w:val="004D7FA8"/>
    <w:rsid w:val="004D7FC5"/>
    <w:rsid w:val="004D7FF7"/>
    <w:rsid w:val="004D7FFE"/>
    <w:rsid w:val="004E0016"/>
    <w:rsid w:val="004E0018"/>
    <w:rsid w:val="004E0021"/>
    <w:rsid w:val="004E007E"/>
    <w:rsid w:val="004E007F"/>
    <w:rsid w:val="004E00EA"/>
    <w:rsid w:val="004E0113"/>
    <w:rsid w:val="004E0149"/>
    <w:rsid w:val="004E0152"/>
    <w:rsid w:val="004E0197"/>
    <w:rsid w:val="004E0216"/>
    <w:rsid w:val="004E02CD"/>
    <w:rsid w:val="004E0315"/>
    <w:rsid w:val="004E0345"/>
    <w:rsid w:val="004E0365"/>
    <w:rsid w:val="004E0376"/>
    <w:rsid w:val="004E0456"/>
    <w:rsid w:val="004E045A"/>
    <w:rsid w:val="004E04AE"/>
    <w:rsid w:val="004E04C5"/>
    <w:rsid w:val="004E057E"/>
    <w:rsid w:val="004E05BE"/>
    <w:rsid w:val="004E0635"/>
    <w:rsid w:val="004E0672"/>
    <w:rsid w:val="004E06AA"/>
    <w:rsid w:val="004E06F2"/>
    <w:rsid w:val="004E0701"/>
    <w:rsid w:val="004E0737"/>
    <w:rsid w:val="004E0779"/>
    <w:rsid w:val="004E0794"/>
    <w:rsid w:val="004E0819"/>
    <w:rsid w:val="004E0839"/>
    <w:rsid w:val="004E0931"/>
    <w:rsid w:val="004E0951"/>
    <w:rsid w:val="004E0A05"/>
    <w:rsid w:val="004E0A31"/>
    <w:rsid w:val="004E0ABA"/>
    <w:rsid w:val="004E0AD4"/>
    <w:rsid w:val="004E0B09"/>
    <w:rsid w:val="004E0B1F"/>
    <w:rsid w:val="004E0BF4"/>
    <w:rsid w:val="004E0C6D"/>
    <w:rsid w:val="004E0C7F"/>
    <w:rsid w:val="004E0C8E"/>
    <w:rsid w:val="004E0C9C"/>
    <w:rsid w:val="004E0CFF"/>
    <w:rsid w:val="004E0D44"/>
    <w:rsid w:val="004E0D65"/>
    <w:rsid w:val="004E0D6A"/>
    <w:rsid w:val="004E0D70"/>
    <w:rsid w:val="004E0DAF"/>
    <w:rsid w:val="004E0DB8"/>
    <w:rsid w:val="004E0E3E"/>
    <w:rsid w:val="004E0EF6"/>
    <w:rsid w:val="004E0EF7"/>
    <w:rsid w:val="004E0F8E"/>
    <w:rsid w:val="004E0FB9"/>
    <w:rsid w:val="004E1089"/>
    <w:rsid w:val="004E10AB"/>
    <w:rsid w:val="004E1202"/>
    <w:rsid w:val="004E1232"/>
    <w:rsid w:val="004E126A"/>
    <w:rsid w:val="004E126C"/>
    <w:rsid w:val="004E12D3"/>
    <w:rsid w:val="004E12D7"/>
    <w:rsid w:val="004E131A"/>
    <w:rsid w:val="004E13A1"/>
    <w:rsid w:val="004E1415"/>
    <w:rsid w:val="004E1428"/>
    <w:rsid w:val="004E148A"/>
    <w:rsid w:val="004E148C"/>
    <w:rsid w:val="004E14BF"/>
    <w:rsid w:val="004E14D5"/>
    <w:rsid w:val="004E14DF"/>
    <w:rsid w:val="004E1506"/>
    <w:rsid w:val="004E15B5"/>
    <w:rsid w:val="004E15CB"/>
    <w:rsid w:val="004E1631"/>
    <w:rsid w:val="004E1659"/>
    <w:rsid w:val="004E1662"/>
    <w:rsid w:val="004E166F"/>
    <w:rsid w:val="004E1685"/>
    <w:rsid w:val="004E16C4"/>
    <w:rsid w:val="004E1796"/>
    <w:rsid w:val="004E17BE"/>
    <w:rsid w:val="004E1804"/>
    <w:rsid w:val="004E1809"/>
    <w:rsid w:val="004E1841"/>
    <w:rsid w:val="004E187D"/>
    <w:rsid w:val="004E188A"/>
    <w:rsid w:val="004E189A"/>
    <w:rsid w:val="004E18AD"/>
    <w:rsid w:val="004E192C"/>
    <w:rsid w:val="004E192E"/>
    <w:rsid w:val="004E192F"/>
    <w:rsid w:val="004E1968"/>
    <w:rsid w:val="004E1A29"/>
    <w:rsid w:val="004E1A2A"/>
    <w:rsid w:val="004E1A5B"/>
    <w:rsid w:val="004E1AD9"/>
    <w:rsid w:val="004E1B10"/>
    <w:rsid w:val="004E1B3F"/>
    <w:rsid w:val="004E1B43"/>
    <w:rsid w:val="004E1BB2"/>
    <w:rsid w:val="004E1C47"/>
    <w:rsid w:val="004E1C53"/>
    <w:rsid w:val="004E1CA0"/>
    <w:rsid w:val="004E1D3C"/>
    <w:rsid w:val="004E1DD2"/>
    <w:rsid w:val="004E1DD4"/>
    <w:rsid w:val="004E1DF8"/>
    <w:rsid w:val="004E1E94"/>
    <w:rsid w:val="004E1EB3"/>
    <w:rsid w:val="004E1ED0"/>
    <w:rsid w:val="004E1F0F"/>
    <w:rsid w:val="004E1F1F"/>
    <w:rsid w:val="004E1F2B"/>
    <w:rsid w:val="004E1FAB"/>
    <w:rsid w:val="004E1FBF"/>
    <w:rsid w:val="004E20DE"/>
    <w:rsid w:val="004E20F0"/>
    <w:rsid w:val="004E2107"/>
    <w:rsid w:val="004E2115"/>
    <w:rsid w:val="004E211D"/>
    <w:rsid w:val="004E21F8"/>
    <w:rsid w:val="004E2217"/>
    <w:rsid w:val="004E22A1"/>
    <w:rsid w:val="004E22C9"/>
    <w:rsid w:val="004E22FC"/>
    <w:rsid w:val="004E2350"/>
    <w:rsid w:val="004E2371"/>
    <w:rsid w:val="004E238F"/>
    <w:rsid w:val="004E23AF"/>
    <w:rsid w:val="004E23BE"/>
    <w:rsid w:val="004E2404"/>
    <w:rsid w:val="004E2417"/>
    <w:rsid w:val="004E2464"/>
    <w:rsid w:val="004E24AD"/>
    <w:rsid w:val="004E24F4"/>
    <w:rsid w:val="004E2571"/>
    <w:rsid w:val="004E2574"/>
    <w:rsid w:val="004E25E9"/>
    <w:rsid w:val="004E262B"/>
    <w:rsid w:val="004E2699"/>
    <w:rsid w:val="004E26EF"/>
    <w:rsid w:val="004E279B"/>
    <w:rsid w:val="004E27AA"/>
    <w:rsid w:val="004E27E7"/>
    <w:rsid w:val="004E27F3"/>
    <w:rsid w:val="004E27FF"/>
    <w:rsid w:val="004E2839"/>
    <w:rsid w:val="004E2857"/>
    <w:rsid w:val="004E2878"/>
    <w:rsid w:val="004E2882"/>
    <w:rsid w:val="004E28D4"/>
    <w:rsid w:val="004E28E6"/>
    <w:rsid w:val="004E28F2"/>
    <w:rsid w:val="004E2978"/>
    <w:rsid w:val="004E29AF"/>
    <w:rsid w:val="004E29DA"/>
    <w:rsid w:val="004E2A00"/>
    <w:rsid w:val="004E2AAC"/>
    <w:rsid w:val="004E2ACC"/>
    <w:rsid w:val="004E2AF1"/>
    <w:rsid w:val="004E2B02"/>
    <w:rsid w:val="004E2B25"/>
    <w:rsid w:val="004E2B42"/>
    <w:rsid w:val="004E2BBF"/>
    <w:rsid w:val="004E2BF7"/>
    <w:rsid w:val="004E2BFB"/>
    <w:rsid w:val="004E2C0B"/>
    <w:rsid w:val="004E2C99"/>
    <w:rsid w:val="004E2D08"/>
    <w:rsid w:val="004E2D27"/>
    <w:rsid w:val="004E2E90"/>
    <w:rsid w:val="004E2F31"/>
    <w:rsid w:val="004E2F3C"/>
    <w:rsid w:val="004E2F41"/>
    <w:rsid w:val="004E2F55"/>
    <w:rsid w:val="004E2F69"/>
    <w:rsid w:val="004E2FA2"/>
    <w:rsid w:val="004E303B"/>
    <w:rsid w:val="004E3084"/>
    <w:rsid w:val="004E30A1"/>
    <w:rsid w:val="004E30A8"/>
    <w:rsid w:val="004E30CD"/>
    <w:rsid w:val="004E3145"/>
    <w:rsid w:val="004E319A"/>
    <w:rsid w:val="004E31A6"/>
    <w:rsid w:val="004E3210"/>
    <w:rsid w:val="004E329D"/>
    <w:rsid w:val="004E3304"/>
    <w:rsid w:val="004E331D"/>
    <w:rsid w:val="004E3348"/>
    <w:rsid w:val="004E3360"/>
    <w:rsid w:val="004E339D"/>
    <w:rsid w:val="004E33EB"/>
    <w:rsid w:val="004E3441"/>
    <w:rsid w:val="004E344A"/>
    <w:rsid w:val="004E34AC"/>
    <w:rsid w:val="004E34EC"/>
    <w:rsid w:val="004E3502"/>
    <w:rsid w:val="004E3503"/>
    <w:rsid w:val="004E3506"/>
    <w:rsid w:val="004E3552"/>
    <w:rsid w:val="004E355D"/>
    <w:rsid w:val="004E3588"/>
    <w:rsid w:val="004E35F2"/>
    <w:rsid w:val="004E360E"/>
    <w:rsid w:val="004E366A"/>
    <w:rsid w:val="004E368E"/>
    <w:rsid w:val="004E3698"/>
    <w:rsid w:val="004E36D2"/>
    <w:rsid w:val="004E3787"/>
    <w:rsid w:val="004E3834"/>
    <w:rsid w:val="004E38D6"/>
    <w:rsid w:val="004E38E1"/>
    <w:rsid w:val="004E3906"/>
    <w:rsid w:val="004E3973"/>
    <w:rsid w:val="004E3982"/>
    <w:rsid w:val="004E39EA"/>
    <w:rsid w:val="004E3A88"/>
    <w:rsid w:val="004E3B37"/>
    <w:rsid w:val="004E3B3D"/>
    <w:rsid w:val="004E3B52"/>
    <w:rsid w:val="004E3BF1"/>
    <w:rsid w:val="004E3BF6"/>
    <w:rsid w:val="004E3C1B"/>
    <w:rsid w:val="004E3C48"/>
    <w:rsid w:val="004E3C84"/>
    <w:rsid w:val="004E3CA1"/>
    <w:rsid w:val="004E3CAA"/>
    <w:rsid w:val="004E3CBE"/>
    <w:rsid w:val="004E3CCA"/>
    <w:rsid w:val="004E3CCF"/>
    <w:rsid w:val="004E3D8D"/>
    <w:rsid w:val="004E3DBF"/>
    <w:rsid w:val="004E3DCA"/>
    <w:rsid w:val="004E3E26"/>
    <w:rsid w:val="004E3E2E"/>
    <w:rsid w:val="004E3E92"/>
    <w:rsid w:val="004E3E95"/>
    <w:rsid w:val="004E3E98"/>
    <w:rsid w:val="004E3E9A"/>
    <w:rsid w:val="004E3EED"/>
    <w:rsid w:val="004E3F28"/>
    <w:rsid w:val="004E3F59"/>
    <w:rsid w:val="004E3F5B"/>
    <w:rsid w:val="004E3FAE"/>
    <w:rsid w:val="004E3FE8"/>
    <w:rsid w:val="004E4007"/>
    <w:rsid w:val="004E40D7"/>
    <w:rsid w:val="004E40F7"/>
    <w:rsid w:val="004E41CF"/>
    <w:rsid w:val="004E41E2"/>
    <w:rsid w:val="004E4229"/>
    <w:rsid w:val="004E4253"/>
    <w:rsid w:val="004E42C8"/>
    <w:rsid w:val="004E43D4"/>
    <w:rsid w:val="004E4452"/>
    <w:rsid w:val="004E44A3"/>
    <w:rsid w:val="004E4559"/>
    <w:rsid w:val="004E456F"/>
    <w:rsid w:val="004E459C"/>
    <w:rsid w:val="004E45B0"/>
    <w:rsid w:val="004E45E7"/>
    <w:rsid w:val="004E4634"/>
    <w:rsid w:val="004E465F"/>
    <w:rsid w:val="004E4666"/>
    <w:rsid w:val="004E4669"/>
    <w:rsid w:val="004E4695"/>
    <w:rsid w:val="004E46AE"/>
    <w:rsid w:val="004E46DF"/>
    <w:rsid w:val="004E46FB"/>
    <w:rsid w:val="004E474F"/>
    <w:rsid w:val="004E4761"/>
    <w:rsid w:val="004E4767"/>
    <w:rsid w:val="004E476A"/>
    <w:rsid w:val="004E47CF"/>
    <w:rsid w:val="004E47FF"/>
    <w:rsid w:val="004E4882"/>
    <w:rsid w:val="004E48B5"/>
    <w:rsid w:val="004E48C9"/>
    <w:rsid w:val="004E48E4"/>
    <w:rsid w:val="004E4973"/>
    <w:rsid w:val="004E4991"/>
    <w:rsid w:val="004E4A6E"/>
    <w:rsid w:val="004E4AFC"/>
    <w:rsid w:val="004E4B2F"/>
    <w:rsid w:val="004E4B3F"/>
    <w:rsid w:val="004E4B9A"/>
    <w:rsid w:val="004E4BCC"/>
    <w:rsid w:val="004E4C3B"/>
    <w:rsid w:val="004E4C5B"/>
    <w:rsid w:val="004E4C61"/>
    <w:rsid w:val="004E4C6D"/>
    <w:rsid w:val="004E4C93"/>
    <w:rsid w:val="004E4D6B"/>
    <w:rsid w:val="004E4D86"/>
    <w:rsid w:val="004E4DA5"/>
    <w:rsid w:val="004E4DE4"/>
    <w:rsid w:val="004E4E51"/>
    <w:rsid w:val="004E4E6E"/>
    <w:rsid w:val="004E4EA0"/>
    <w:rsid w:val="004E4EB7"/>
    <w:rsid w:val="004E4F11"/>
    <w:rsid w:val="004E4FA1"/>
    <w:rsid w:val="004E4FF6"/>
    <w:rsid w:val="004E50B3"/>
    <w:rsid w:val="004E50BF"/>
    <w:rsid w:val="004E5125"/>
    <w:rsid w:val="004E5174"/>
    <w:rsid w:val="004E5185"/>
    <w:rsid w:val="004E51B0"/>
    <w:rsid w:val="004E51E3"/>
    <w:rsid w:val="004E52A7"/>
    <w:rsid w:val="004E531B"/>
    <w:rsid w:val="004E544D"/>
    <w:rsid w:val="004E5467"/>
    <w:rsid w:val="004E54E3"/>
    <w:rsid w:val="004E5528"/>
    <w:rsid w:val="004E5559"/>
    <w:rsid w:val="004E55DB"/>
    <w:rsid w:val="004E5723"/>
    <w:rsid w:val="004E573E"/>
    <w:rsid w:val="004E57C8"/>
    <w:rsid w:val="004E57E4"/>
    <w:rsid w:val="004E5814"/>
    <w:rsid w:val="004E584F"/>
    <w:rsid w:val="004E5865"/>
    <w:rsid w:val="004E588B"/>
    <w:rsid w:val="004E58D6"/>
    <w:rsid w:val="004E58DA"/>
    <w:rsid w:val="004E5907"/>
    <w:rsid w:val="004E5908"/>
    <w:rsid w:val="004E5986"/>
    <w:rsid w:val="004E59B0"/>
    <w:rsid w:val="004E59D7"/>
    <w:rsid w:val="004E5A15"/>
    <w:rsid w:val="004E5B72"/>
    <w:rsid w:val="004E5B97"/>
    <w:rsid w:val="004E5B98"/>
    <w:rsid w:val="004E5BA0"/>
    <w:rsid w:val="004E5BD5"/>
    <w:rsid w:val="004E5C31"/>
    <w:rsid w:val="004E5C5A"/>
    <w:rsid w:val="004E5CA8"/>
    <w:rsid w:val="004E5DAB"/>
    <w:rsid w:val="004E5DCE"/>
    <w:rsid w:val="004E5E52"/>
    <w:rsid w:val="004E5E7E"/>
    <w:rsid w:val="004E5EEE"/>
    <w:rsid w:val="004E5F20"/>
    <w:rsid w:val="004E5F2C"/>
    <w:rsid w:val="004E5F4B"/>
    <w:rsid w:val="004E5F95"/>
    <w:rsid w:val="004E5F97"/>
    <w:rsid w:val="004E6005"/>
    <w:rsid w:val="004E604E"/>
    <w:rsid w:val="004E6078"/>
    <w:rsid w:val="004E60B5"/>
    <w:rsid w:val="004E60C1"/>
    <w:rsid w:val="004E611F"/>
    <w:rsid w:val="004E6199"/>
    <w:rsid w:val="004E61BA"/>
    <w:rsid w:val="004E61E1"/>
    <w:rsid w:val="004E61F8"/>
    <w:rsid w:val="004E6230"/>
    <w:rsid w:val="004E627F"/>
    <w:rsid w:val="004E6376"/>
    <w:rsid w:val="004E6385"/>
    <w:rsid w:val="004E642F"/>
    <w:rsid w:val="004E643A"/>
    <w:rsid w:val="004E6479"/>
    <w:rsid w:val="004E6481"/>
    <w:rsid w:val="004E64C5"/>
    <w:rsid w:val="004E64D9"/>
    <w:rsid w:val="004E64F4"/>
    <w:rsid w:val="004E65AD"/>
    <w:rsid w:val="004E65F3"/>
    <w:rsid w:val="004E6627"/>
    <w:rsid w:val="004E6664"/>
    <w:rsid w:val="004E6694"/>
    <w:rsid w:val="004E66A4"/>
    <w:rsid w:val="004E66BF"/>
    <w:rsid w:val="004E66CA"/>
    <w:rsid w:val="004E671B"/>
    <w:rsid w:val="004E677F"/>
    <w:rsid w:val="004E681E"/>
    <w:rsid w:val="004E6822"/>
    <w:rsid w:val="004E6850"/>
    <w:rsid w:val="004E68CA"/>
    <w:rsid w:val="004E68D0"/>
    <w:rsid w:val="004E6913"/>
    <w:rsid w:val="004E6931"/>
    <w:rsid w:val="004E6A15"/>
    <w:rsid w:val="004E6A1D"/>
    <w:rsid w:val="004E6A85"/>
    <w:rsid w:val="004E6AD0"/>
    <w:rsid w:val="004E6AE1"/>
    <w:rsid w:val="004E6B11"/>
    <w:rsid w:val="004E6BCF"/>
    <w:rsid w:val="004E6C51"/>
    <w:rsid w:val="004E6CBE"/>
    <w:rsid w:val="004E6CEE"/>
    <w:rsid w:val="004E6D42"/>
    <w:rsid w:val="004E6D7E"/>
    <w:rsid w:val="004E6D80"/>
    <w:rsid w:val="004E6FD4"/>
    <w:rsid w:val="004E704A"/>
    <w:rsid w:val="004E704E"/>
    <w:rsid w:val="004E70E7"/>
    <w:rsid w:val="004E7123"/>
    <w:rsid w:val="004E71B7"/>
    <w:rsid w:val="004E7215"/>
    <w:rsid w:val="004E7219"/>
    <w:rsid w:val="004E7229"/>
    <w:rsid w:val="004E72A0"/>
    <w:rsid w:val="004E72F8"/>
    <w:rsid w:val="004E7308"/>
    <w:rsid w:val="004E7323"/>
    <w:rsid w:val="004E73CE"/>
    <w:rsid w:val="004E73E0"/>
    <w:rsid w:val="004E73F4"/>
    <w:rsid w:val="004E740B"/>
    <w:rsid w:val="004E7420"/>
    <w:rsid w:val="004E7429"/>
    <w:rsid w:val="004E7496"/>
    <w:rsid w:val="004E74EF"/>
    <w:rsid w:val="004E75A1"/>
    <w:rsid w:val="004E75D6"/>
    <w:rsid w:val="004E7604"/>
    <w:rsid w:val="004E7632"/>
    <w:rsid w:val="004E766A"/>
    <w:rsid w:val="004E767B"/>
    <w:rsid w:val="004E76BD"/>
    <w:rsid w:val="004E76F0"/>
    <w:rsid w:val="004E7738"/>
    <w:rsid w:val="004E777D"/>
    <w:rsid w:val="004E7842"/>
    <w:rsid w:val="004E787A"/>
    <w:rsid w:val="004E78CB"/>
    <w:rsid w:val="004E7928"/>
    <w:rsid w:val="004E79AA"/>
    <w:rsid w:val="004E7A98"/>
    <w:rsid w:val="004E7B24"/>
    <w:rsid w:val="004E7B31"/>
    <w:rsid w:val="004E7B7C"/>
    <w:rsid w:val="004E7BB0"/>
    <w:rsid w:val="004E7BE7"/>
    <w:rsid w:val="004E7BE9"/>
    <w:rsid w:val="004E7C28"/>
    <w:rsid w:val="004E7C32"/>
    <w:rsid w:val="004E7C55"/>
    <w:rsid w:val="004E7CAB"/>
    <w:rsid w:val="004E7CAE"/>
    <w:rsid w:val="004E7CF9"/>
    <w:rsid w:val="004E7D25"/>
    <w:rsid w:val="004E7D2F"/>
    <w:rsid w:val="004E7D44"/>
    <w:rsid w:val="004E7D73"/>
    <w:rsid w:val="004E7D7C"/>
    <w:rsid w:val="004E7DD4"/>
    <w:rsid w:val="004E7E01"/>
    <w:rsid w:val="004E7E4B"/>
    <w:rsid w:val="004E7E7C"/>
    <w:rsid w:val="004E7ECB"/>
    <w:rsid w:val="004E7F06"/>
    <w:rsid w:val="004E7F35"/>
    <w:rsid w:val="004F000F"/>
    <w:rsid w:val="004F00F2"/>
    <w:rsid w:val="004F018D"/>
    <w:rsid w:val="004F01A7"/>
    <w:rsid w:val="004F01A8"/>
    <w:rsid w:val="004F0213"/>
    <w:rsid w:val="004F026A"/>
    <w:rsid w:val="004F02D1"/>
    <w:rsid w:val="004F0300"/>
    <w:rsid w:val="004F0332"/>
    <w:rsid w:val="004F034C"/>
    <w:rsid w:val="004F03BF"/>
    <w:rsid w:val="004F03D1"/>
    <w:rsid w:val="004F03EF"/>
    <w:rsid w:val="004F04AE"/>
    <w:rsid w:val="004F04DE"/>
    <w:rsid w:val="004F04F4"/>
    <w:rsid w:val="004F054B"/>
    <w:rsid w:val="004F0570"/>
    <w:rsid w:val="004F0581"/>
    <w:rsid w:val="004F05D0"/>
    <w:rsid w:val="004F063B"/>
    <w:rsid w:val="004F0694"/>
    <w:rsid w:val="004F06D2"/>
    <w:rsid w:val="004F0711"/>
    <w:rsid w:val="004F0756"/>
    <w:rsid w:val="004F0778"/>
    <w:rsid w:val="004F0814"/>
    <w:rsid w:val="004F082E"/>
    <w:rsid w:val="004F085B"/>
    <w:rsid w:val="004F0860"/>
    <w:rsid w:val="004F08A8"/>
    <w:rsid w:val="004F092C"/>
    <w:rsid w:val="004F09AB"/>
    <w:rsid w:val="004F09BC"/>
    <w:rsid w:val="004F0A57"/>
    <w:rsid w:val="004F0AAF"/>
    <w:rsid w:val="004F0AD0"/>
    <w:rsid w:val="004F0ADE"/>
    <w:rsid w:val="004F0AE6"/>
    <w:rsid w:val="004F0B28"/>
    <w:rsid w:val="004F0B75"/>
    <w:rsid w:val="004F0C35"/>
    <w:rsid w:val="004F0C3B"/>
    <w:rsid w:val="004F0C50"/>
    <w:rsid w:val="004F0C51"/>
    <w:rsid w:val="004F0C63"/>
    <w:rsid w:val="004F0C7D"/>
    <w:rsid w:val="004F0CB1"/>
    <w:rsid w:val="004F0EA9"/>
    <w:rsid w:val="004F0EBF"/>
    <w:rsid w:val="004F0F55"/>
    <w:rsid w:val="004F0F66"/>
    <w:rsid w:val="004F0F95"/>
    <w:rsid w:val="004F105C"/>
    <w:rsid w:val="004F10CC"/>
    <w:rsid w:val="004F1120"/>
    <w:rsid w:val="004F114D"/>
    <w:rsid w:val="004F117B"/>
    <w:rsid w:val="004F11AA"/>
    <w:rsid w:val="004F11BD"/>
    <w:rsid w:val="004F123B"/>
    <w:rsid w:val="004F129A"/>
    <w:rsid w:val="004F1334"/>
    <w:rsid w:val="004F1349"/>
    <w:rsid w:val="004F13E2"/>
    <w:rsid w:val="004F1450"/>
    <w:rsid w:val="004F1484"/>
    <w:rsid w:val="004F1485"/>
    <w:rsid w:val="004F1516"/>
    <w:rsid w:val="004F1520"/>
    <w:rsid w:val="004F1550"/>
    <w:rsid w:val="004F15B1"/>
    <w:rsid w:val="004F15F8"/>
    <w:rsid w:val="004F15FB"/>
    <w:rsid w:val="004F1661"/>
    <w:rsid w:val="004F177E"/>
    <w:rsid w:val="004F17FA"/>
    <w:rsid w:val="004F1825"/>
    <w:rsid w:val="004F184B"/>
    <w:rsid w:val="004F1866"/>
    <w:rsid w:val="004F18C8"/>
    <w:rsid w:val="004F18E0"/>
    <w:rsid w:val="004F1932"/>
    <w:rsid w:val="004F19D3"/>
    <w:rsid w:val="004F1A1B"/>
    <w:rsid w:val="004F1A2A"/>
    <w:rsid w:val="004F1ACB"/>
    <w:rsid w:val="004F1B42"/>
    <w:rsid w:val="004F1BED"/>
    <w:rsid w:val="004F1BEF"/>
    <w:rsid w:val="004F1BFB"/>
    <w:rsid w:val="004F1C51"/>
    <w:rsid w:val="004F1C9C"/>
    <w:rsid w:val="004F1CD8"/>
    <w:rsid w:val="004F1D3E"/>
    <w:rsid w:val="004F1D3F"/>
    <w:rsid w:val="004F1D7D"/>
    <w:rsid w:val="004F1D85"/>
    <w:rsid w:val="004F1D95"/>
    <w:rsid w:val="004F1DF2"/>
    <w:rsid w:val="004F1E24"/>
    <w:rsid w:val="004F1E89"/>
    <w:rsid w:val="004F1EB4"/>
    <w:rsid w:val="004F1ECB"/>
    <w:rsid w:val="004F1FC0"/>
    <w:rsid w:val="004F1FCA"/>
    <w:rsid w:val="004F1FEA"/>
    <w:rsid w:val="004F2013"/>
    <w:rsid w:val="004F205C"/>
    <w:rsid w:val="004F206F"/>
    <w:rsid w:val="004F20B3"/>
    <w:rsid w:val="004F2120"/>
    <w:rsid w:val="004F2124"/>
    <w:rsid w:val="004F214F"/>
    <w:rsid w:val="004F218E"/>
    <w:rsid w:val="004F21AB"/>
    <w:rsid w:val="004F21E6"/>
    <w:rsid w:val="004F2203"/>
    <w:rsid w:val="004F2293"/>
    <w:rsid w:val="004F230C"/>
    <w:rsid w:val="004F23D5"/>
    <w:rsid w:val="004F241E"/>
    <w:rsid w:val="004F2458"/>
    <w:rsid w:val="004F2476"/>
    <w:rsid w:val="004F250E"/>
    <w:rsid w:val="004F25C2"/>
    <w:rsid w:val="004F25EB"/>
    <w:rsid w:val="004F2641"/>
    <w:rsid w:val="004F267E"/>
    <w:rsid w:val="004F26EF"/>
    <w:rsid w:val="004F2756"/>
    <w:rsid w:val="004F277E"/>
    <w:rsid w:val="004F27A9"/>
    <w:rsid w:val="004F27AA"/>
    <w:rsid w:val="004F27FE"/>
    <w:rsid w:val="004F2880"/>
    <w:rsid w:val="004F2999"/>
    <w:rsid w:val="004F2B52"/>
    <w:rsid w:val="004F2B76"/>
    <w:rsid w:val="004F2B94"/>
    <w:rsid w:val="004F2B9E"/>
    <w:rsid w:val="004F2C65"/>
    <w:rsid w:val="004F2CDA"/>
    <w:rsid w:val="004F2CF9"/>
    <w:rsid w:val="004F2D7F"/>
    <w:rsid w:val="004F2D8A"/>
    <w:rsid w:val="004F2E08"/>
    <w:rsid w:val="004F2E3B"/>
    <w:rsid w:val="004F2E65"/>
    <w:rsid w:val="004F2EAC"/>
    <w:rsid w:val="004F2ECC"/>
    <w:rsid w:val="004F2EF1"/>
    <w:rsid w:val="004F2F1D"/>
    <w:rsid w:val="004F2F35"/>
    <w:rsid w:val="004F2FD0"/>
    <w:rsid w:val="004F3028"/>
    <w:rsid w:val="004F302E"/>
    <w:rsid w:val="004F3058"/>
    <w:rsid w:val="004F305F"/>
    <w:rsid w:val="004F3081"/>
    <w:rsid w:val="004F30F5"/>
    <w:rsid w:val="004F30FA"/>
    <w:rsid w:val="004F3111"/>
    <w:rsid w:val="004F3140"/>
    <w:rsid w:val="004F31E9"/>
    <w:rsid w:val="004F323A"/>
    <w:rsid w:val="004F327E"/>
    <w:rsid w:val="004F32AF"/>
    <w:rsid w:val="004F32BB"/>
    <w:rsid w:val="004F331F"/>
    <w:rsid w:val="004F338E"/>
    <w:rsid w:val="004F33AF"/>
    <w:rsid w:val="004F33B9"/>
    <w:rsid w:val="004F33BD"/>
    <w:rsid w:val="004F340E"/>
    <w:rsid w:val="004F3433"/>
    <w:rsid w:val="004F343B"/>
    <w:rsid w:val="004F343C"/>
    <w:rsid w:val="004F35FA"/>
    <w:rsid w:val="004F36E7"/>
    <w:rsid w:val="004F372A"/>
    <w:rsid w:val="004F3752"/>
    <w:rsid w:val="004F376A"/>
    <w:rsid w:val="004F376C"/>
    <w:rsid w:val="004F3796"/>
    <w:rsid w:val="004F37B8"/>
    <w:rsid w:val="004F37C8"/>
    <w:rsid w:val="004F37CB"/>
    <w:rsid w:val="004F37FF"/>
    <w:rsid w:val="004F3807"/>
    <w:rsid w:val="004F3814"/>
    <w:rsid w:val="004F38B0"/>
    <w:rsid w:val="004F38D5"/>
    <w:rsid w:val="004F39A9"/>
    <w:rsid w:val="004F39B6"/>
    <w:rsid w:val="004F39B9"/>
    <w:rsid w:val="004F3A74"/>
    <w:rsid w:val="004F3A7C"/>
    <w:rsid w:val="004F3B8A"/>
    <w:rsid w:val="004F3BB6"/>
    <w:rsid w:val="004F3BB9"/>
    <w:rsid w:val="004F3BFA"/>
    <w:rsid w:val="004F3C06"/>
    <w:rsid w:val="004F3C42"/>
    <w:rsid w:val="004F3C76"/>
    <w:rsid w:val="004F3CDB"/>
    <w:rsid w:val="004F3CF1"/>
    <w:rsid w:val="004F3D36"/>
    <w:rsid w:val="004F3D51"/>
    <w:rsid w:val="004F3D54"/>
    <w:rsid w:val="004F3D84"/>
    <w:rsid w:val="004F3D8F"/>
    <w:rsid w:val="004F3D9B"/>
    <w:rsid w:val="004F3E29"/>
    <w:rsid w:val="004F3E51"/>
    <w:rsid w:val="004F3E6C"/>
    <w:rsid w:val="004F3EC5"/>
    <w:rsid w:val="004F3EF1"/>
    <w:rsid w:val="004F3EFF"/>
    <w:rsid w:val="004F3F56"/>
    <w:rsid w:val="004F3F76"/>
    <w:rsid w:val="004F3FD6"/>
    <w:rsid w:val="004F4087"/>
    <w:rsid w:val="004F4094"/>
    <w:rsid w:val="004F40BD"/>
    <w:rsid w:val="004F41C8"/>
    <w:rsid w:val="004F41E2"/>
    <w:rsid w:val="004F423E"/>
    <w:rsid w:val="004F424C"/>
    <w:rsid w:val="004F4257"/>
    <w:rsid w:val="004F428F"/>
    <w:rsid w:val="004F42E4"/>
    <w:rsid w:val="004F433B"/>
    <w:rsid w:val="004F43E1"/>
    <w:rsid w:val="004F43F9"/>
    <w:rsid w:val="004F444C"/>
    <w:rsid w:val="004F450F"/>
    <w:rsid w:val="004F4568"/>
    <w:rsid w:val="004F4624"/>
    <w:rsid w:val="004F471A"/>
    <w:rsid w:val="004F4732"/>
    <w:rsid w:val="004F4797"/>
    <w:rsid w:val="004F47BF"/>
    <w:rsid w:val="004F47EA"/>
    <w:rsid w:val="004F47EB"/>
    <w:rsid w:val="004F4868"/>
    <w:rsid w:val="004F4869"/>
    <w:rsid w:val="004F486E"/>
    <w:rsid w:val="004F4893"/>
    <w:rsid w:val="004F4944"/>
    <w:rsid w:val="004F4966"/>
    <w:rsid w:val="004F499B"/>
    <w:rsid w:val="004F49C6"/>
    <w:rsid w:val="004F4A4B"/>
    <w:rsid w:val="004F4A8E"/>
    <w:rsid w:val="004F4AB7"/>
    <w:rsid w:val="004F4ADA"/>
    <w:rsid w:val="004F4B10"/>
    <w:rsid w:val="004F4B31"/>
    <w:rsid w:val="004F4B49"/>
    <w:rsid w:val="004F4B6E"/>
    <w:rsid w:val="004F4B92"/>
    <w:rsid w:val="004F4C04"/>
    <w:rsid w:val="004F4C98"/>
    <w:rsid w:val="004F4CAF"/>
    <w:rsid w:val="004F4CDA"/>
    <w:rsid w:val="004F4CDB"/>
    <w:rsid w:val="004F4CE4"/>
    <w:rsid w:val="004F4D31"/>
    <w:rsid w:val="004F4D33"/>
    <w:rsid w:val="004F4D44"/>
    <w:rsid w:val="004F4DC8"/>
    <w:rsid w:val="004F4DCE"/>
    <w:rsid w:val="004F4DCF"/>
    <w:rsid w:val="004F4DEF"/>
    <w:rsid w:val="004F4E27"/>
    <w:rsid w:val="004F4E5E"/>
    <w:rsid w:val="004F4EBE"/>
    <w:rsid w:val="004F4F56"/>
    <w:rsid w:val="004F4FA4"/>
    <w:rsid w:val="004F4FA5"/>
    <w:rsid w:val="004F5030"/>
    <w:rsid w:val="004F5066"/>
    <w:rsid w:val="004F50B5"/>
    <w:rsid w:val="004F5118"/>
    <w:rsid w:val="004F5125"/>
    <w:rsid w:val="004F513F"/>
    <w:rsid w:val="004F51AC"/>
    <w:rsid w:val="004F51CC"/>
    <w:rsid w:val="004F5211"/>
    <w:rsid w:val="004F5222"/>
    <w:rsid w:val="004F5313"/>
    <w:rsid w:val="004F5329"/>
    <w:rsid w:val="004F53C6"/>
    <w:rsid w:val="004F549A"/>
    <w:rsid w:val="004F54AE"/>
    <w:rsid w:val="004F54B5"/>
    <w:rsid w:val="004F54C4"/>
    <w:rsid w:val="004F553E"/>
    <w:rsid w:val="004F560E"/>
    <w:rsid w:val="004F565B"/>
    <w:rsid w:val="004F567D"/>
    <w:rsid w:val="004F57CB"/>
    <w:rsid w:val="004F5827"/>
    <w:rsid w:val="004F588F"/>
    <w:rsid w:val="004F593F"/>
    <w:rsid w:val="004F597E"/>
    <w:rsid w:val="004F599E"/>
    <w:rsid w:val="004F59C8"/>
    <w:rsid w:val="004F5A76"/>
    <w:rsid w:val="004F5AA6"/>
    <w:rsid w:val="004F5AB6"/>
    <w:rsid w:val="004F5B05"/>
    <w:rsid w:val="004F5B2E"/>
    <w:rsid w:val="004F5B77"/>
    <w:rsid w:val="004F5BAE"/>
    <w:rsid w:val="004F5C0C"/>
    <w:rsid w:val="004F5CE4"/>
    <w:rsid w:val="004F5CF1"/>
    <w:rsid w:val="004F5D31"/>
    <w:rsid w:val="004F5D46"/>
    <w:rsid w:val="004F5DAD"/>
    <w:rsid w:val="004F5DBD"/>
    <w:rsid w:val="004F5DCA"/>
    <w:rsid w:val="004F5E1C"/>
    <w:rsid w:val="004F5E45"/>
    <w:rsid w:val="004F5E98"/>
    <w:rsid w:val="004F5F3A"/>
    <w:rsid w:val="004F5F83"/>
    <w:rsid w:val="004F5FC2"/>
    <w:rsid w:val="004F5FC6"/>
    <w:rsid w:val="004F6053"/>
    <w:rsid w:val="004F6070"/>
    <w:rsid w:val="004F60BA"/>
    <w:rsid w:val="004F61AD"/>
    <w:rsid w:val="004F6234"/>
    <w:rsid w:val="004F628F"/>
    <w:rsid w:val="004F62B0"/>
    <w:rsid w:val="004F62CC"/>
    <w:rsid w:val="004F6300"/>
    <w:rsid w:val="004F6364"/>
    <w:rsid w:val="004F6487"/>
    <w:rsid w:val="004F64AE"/>
    <w:rsid w:val="004F64C5"/>
    <w:rsid w:val="004F64CB"/>
    <w:rsid w:val="004F650E"/>
    <w:rsid w:val="004F6529"/>
    <w:rsid w:val="004F65D6"/>
    <w:rsid w:val="004F65EB"/>
    <w:rsid w:val="004F6634"/>
    <w:rsid w:val="004F66D8"/>
    <w:rsid w:val="004F66F6"/>
    <w:rsid w:val="004F6743"/>
    <w:rsid w:val="004F67F3"/>
    <w:rsid w:val="004F6852"/>
    <w:rsid w:val="004F687D"/>
    <w:rsid w:val="004F688B"/>
    <w:rsid w:val="004F68A7"/>
    <w:rsid w:val="004F68C3"/>
    <w:rsid w:val="004F68E2"/>
    <w:rsid w:val="004F6921"/>
    <w:rsid w:val="004F692C"/>
    <w:rsid w:val="004F694E"/>
    <w:rsid w:val="004F6990"/>
    <w:rsid w:val="004F69D4"/>
    <w:rsid w:val="004F6A1B"/>
    <w:rsid w:val="004F6A1C"/>
    <w:rsid w:val="004F6A4B"/>
    <w:rsid w:val="004F6A56"/>
    <w:rsid w:val="004F6A82"/>
    <w:rsid w:val="004F6A8C"/>
    <w:rsid w:val="004F6A92"/>
    <w:rsid w:val="004F6ABE"/>
    <w:rsid w:val="004F6AC1"/>
    <w:rsid w:val="004F6B04"/>
    <w:rsid w:val="004F6B06"/>
    <w:rsid w:val="004F6B4B"/>
    <w:rsid w:val="004F6B75"/>
    <w:rsid w:val="004F6B80"/>
    <w:rsid w:val="004F6B94"/>
    <w:rsid w:val="004F6BEB"/>
    <w:rsid w:val="004F6BFC"/>
    <w:rsid w:val="004F6C60"/>
    <w:rsid w:val="004F6D82"/>
    <w:rsid w:val="004F6DCF"/>
    <w:rsid w:val="004F6E8F"/>
    <w:rsid w:val="004F6EC9"/>
    <w:rsid w:val="004F6EEA"/>
    <w:rsid w:val="004F6F60"/>
    <w:rsid w:val="004F6F8A"/>
    <w:rsid w:val="004F6FA7"/>
    <w:rsid w:val="004F7016"/>
    <w:rsid w:val="004F704F"/>
    <w:rsid w:val="004F7104"/>
    <w:rsid w:val="004F716F"/>
    <w:rsid w:val="004F7171"/>
    <w:rsid w:val="004F71F7"/>
    <w:rsid w:val="004F722C"/>
    <w:rsid w:val="004F723E"/>
    <w:rsid w:val="004F7264"/>
    <w:rsid w:val="004F7272"/>
    <w:rsid w:val="004F72B7"/>
    <w:rsid w:val="004F72F8"/>
    <w:rsid w:val="004F7349"/>
    <w:rsid w:val="004F7392"/>
    <w:rsid w:val="004F73A5"/>
    <w:rsid w:val="004F74A6"/>
    <w:rsid w:val="004F74D9"/>
    <w:rsid w:val="004F7569"/>
    <w:rsid w:val="004F760C"/>
    <w:rsid w:val="004F764E"/>
    <w:rsid w:val="004F76A9"/>
    <w:rsid w:val="004F76CD"/>
    <w:rsid w:val="004F7785"/>
    <w:rsid w:val="004F7821"/>
    <w:rsid w:val="004F7865"/>
    <w:rsid w:val="004F78E8"/>
    <w:rsid w:val="004F793A"/>
    <w:rsid w:val="004F793D"/>
    <w:rsid w:val="004F7977"/>
    <w:rsid w:val="004F7A7A"/>
    <w:rsid w:val="004F7AA3"/>
    <w:rsid w:val="004F7AAF"/>
    <w:rsid w:val="004F7B16"/>
    <w:rsid w:val="004F7B2F"/>
    <w:rsid w:val="004F7B41"/>
    <w:rsid w:val="004F7BC7"/>
    <w:rsid w:val="004F7BE3"/>
    <w:rsid w:val="004F7C66"/>
    <w:rsid w:val="004F7C99"/>
    <w:rsid w:val="004F7CF0"/>
    <w:rsid w:val="004F7CFE"/>
    <w:rsid w:val="004F7D9E"/>
    <w:rsid w:val="004F7DDD"/>
    <w:rsid w:val="004F7DE4"/>
    <w:rsid w:val="004F7E01"/>
    <w:rsid w:val="004F7E49"/>
    <w:rsid w:val="004F7E6C"/>
    <w:rsid w:val="004F7F03"/>
    <w:rsid w:val="004F7FB3"/>
    <w:rsid w:val="005000F8"/>
    <w:rsid w:val="00500172"/>
    <w:rsid w:val="005001B3"/>
    <w:rsid w:val="00500220"/>
    <w:rsid w:val="00500243"/>
    <w:rsid w:val="005002D7"/>
    <w:rsid w:val="005002DD"/>
    <w:rsid w:val="00500357"/>
    <w:rsid w:val="005003A3"/>
    <w:rsid w:val="005003E6"/>
    <w:rsid w:val="005003F7"/>
    <w:rsid w:val="0050040C"/>
    <w:rsid w:val="0050040F"/>
    <w:rsid w:val="00500420"/>
    <w:rsid w:val="00500433"/>
    <w:rsid w:val="0050044A"/>
    <w:rsid w:val="00500482"/>
    <w:rsid w:val="005004EC"/>
    <w:rsid w:val="005004F9"/>
    <w:rsid w:val="005004FA"/>
    <w:rsid w:val="00500584"/>
    <w:rsid w:val="005005F0"/>
    <w:rsid w:val="00500612"/>
    <w:rsid w:val="00500650"/>
    <w:rsid w:val="00500688"/>
    <w:rsid w:val="00500692"/>
    <w:rsid w:val="005006DC"/>
    <w:rsid w:val="00500733"/>
    <w:rsid w:val="0050073C"/>
    <w:rsid w:val="00500777"/>
    <w:rsid w:val="00500780"/>
    <w:rsid w:val="005007B0"/>
    <w:rsid w:val="005007D2"/>
    <w:rsid w:val="005007E3"/>
    <w:rsid w:val="005007E9"/>
    <w:rsid w:val="0050083C"/>
    <w:rsid w:val="00500857"/>
    <w:rsid w:val="00500898"/>
    <w:rsid w:val="005008EF"/>
    <w:rsid w:val="005009F8"/>
    <w:rsid w:val="00500A83"/>
    <w:rsid w:val="00500BEB"/>
    <w:rsid w:val="00500C89"/>
    <w:rsid w:val="00500CA2"/>
    <w:rsid w:val="00500CA5"/>
    <w:rsid w:val="00500D44"/>
    <w:rsid w:val="00500D86"/>
    <w:rsid w:val="00500DC0"/>
    <w:rsid w:val="00500E47"/>
    <w:rsid w:val="00500EA6"/>
    <w:rsid w:val="00500F2B"/>
    <w:rsid w:val="00500F6A"/>
    <w:rsid w:val="00500F99"/>
    <w:rsid w:val="00500FF1"/>
    <w:rsid w:val="00501028"/>
    <w:rsid w:val="00501052"/>
    <w:rsid w:val="00501058"/>
    <w:rsid w:val="00501087"/>
    <w:rsid w:val="005011C9"/>
    <w:rsid w:val="0050123A"/>
    <w:rsid w:val="005012DE"/>
    <w:rsid w:val="005012E8"/>
    <w:rsid w:val="0050130F"/>
    <w:rsid w:val="005013F5"/>
    <w:rsid w:val="00501409"/>
    <w:rsid w:val="00501477"/>
    <w:rsid w:val="005014F3"/>
    <w:rsid w:val="00501507"/>
    <w:rsid w:val="00501513"/>
    <w:rsid w:val="0050157D"/>
    <w:rsid w:val="00501596"/>
    <w:rsid w:val="00501621"/>
    <w:rsid w:val="0050163F"/>
    <w:rsid w:val="0050165F"/>
    <w:rsid w:val="00501671"/>
    <w:rsid w:val="0050167A"/>
    <w:rsid w:val="0050168D"/>
    <w:rsid w:val="005016B4"/>
    <w:rsid w:val="005016B9"/>
    <w:rsid w:val="005016CD"/>
    <w:rsid w:val="00501778"/>
    <w:rsid w:val="0050178E"/>
    <w:rsid w:val="0050179C"/>
    <w:rsid w:val="005017A9"/>
    <w:rsid w:val="005017ED"/>
    <w:rsid w:val="005017F2"/>
    <w:rsid w:val="0050180C"/>
    <w:rsid w:val="005018B0"/>
    <w:rsid w:val="005018D2"/>
    <w:rsid w:val="005018F5"/>
    <w:rsid w:val="00501900"/>
    <w:rsid w:val="00501994"/>
    <w:rsid w:val="005019B3"/>
    <w:rsid w:val="005019FD"/>
    <w:rsid w:val="00501A19"/>
    <w:rsid w:val="00501A24"/>
    <w:rsid w:val="00501A27"/>
    <w:rsid w:val="00501A2B"/>
    <w:rsid w:val="00501A31"/>
    <w:rsid w:val="00501A82"/>
    <w:rsid w:val="00501AA8"/>
    <w:rsid w:val="00501B2B"/>
    <w:rsid w:val="00501B44"/>
    <w:rsid w:val="00501B57"/>
    <w:rsid w:val="00501B7E"/>
    <w:rsid w:val="00501B8B"/>
    <w:rsid w:val="00501B8D"/>
    <w:rsid w:val="00501BD6"/>
    <w:rsid w:val="00501BE3"/>
    <w:rsid w:val="00501C3F"/>
    <w:rsid w:val="00501C5D"/>
    <w:rsid w:val="00501C6B"/>
    <w:rsid w:val="00501C81"/>
    <w:rsid w:val="00501D84"/>
    <w:rsid w:val="00501DDB"/>
    <w:rsid w:val="00501DF1"/>
    <w:rsid w:val="00501E43"/>
    <w:rsid w:val="00501E7E"/>
    <w:rsid w:val="00501E88"/>
    <w:rsid w:val="00501E99"/>
    <w:rsid w:val="00501EED"/>
    <w:rsid w:val="00501F2B"/>
    <w:rsid w:val="00501F7B"/>
    <w:rsid w:val="00501FA4"/>
    <w:rsid w:val="00501FA6"/>
    <w:rsid w:val="0050205B"/>
    <w:rsid w:val="005020CE"/>
    <w:rsid w:val="005020D4"/>
    <w:rsid w:val="005020EF"/>
    <w:rsid w:val="0050215D"/>
    <w:rsid w:val="00502179"/>
    <w:rsid w:val="00502195"/>
    <w:rsid w:val="00502213"/>
    <w:rsid w:val="00502353"/>
    <w:rsid w:val="00502391"/>
    <w:rsid w:val="005023E7"/>
    <w:rsid w:val="005023EC"/>
    <w:rsid w:val="0050248A"/>
    <w:rsid w:val="005024AE"/>
    <w:rsid w:val="005024F8"/>
    <w:rsid w:val="00502502"/>
    <w:rsid w:val="0050251B"/>
    <w:rsid w:val="00502535"/>
    <w:rsid w:val="00502557"/>
    <w:rsid w:val="0050257E"/>
    <w:rsid w:val="0050259C"/>
    <w:rsid w:val="005025A5"/>
    <w:rsid w:val="00502739"/>
    <w:rsid w:val="00502758"/>
    <w:rsid w:val="0050275D"/>
    <w:rsid w:val="00502796"/>
    <w:rsid w:val="005027BA"/>
    <w:rsid w:val="005027C6"/>
    <w:rsid w:val="00502826"/>
    <w:rsid w:val="00502890"/>
    <w:rsid w:val="005028B1"/>
    <w:rsid w:val="005028BA"/>
    <w:rsid w:val="005028DF"/>
    <w:rsid w:val="00502950"/>
    <w:rsid w:val="00502976"/>
    <w:rsid w:val="005029E5"/>
    <w:rsid w:val="005029E8"/>
    <w:rsid w:val="005029FF"/>
    <w:rsid w:val="00502A3E"/>
    <w:rsid w:val="00502A4E"/>
    <w:rsid w:val="00502A82"/>
    <w:rsid w:val="00502A8A"/>
    <w:rsid w:val="00502A8F"/>
    <w:rsid w:val="00502AA7"/>
    <w:rsid w:val="00502AAF"/>
    <w:rsid w:val="00502B0F"/>
    <w:rsid w:val="00502B21"/>
    <w:rsid w:val="00502B6C"/>
    <w:rsid w:val="00502B6F"/>
    <w:rsid w:val="00502BAE"/>
    <w:rsid w:val="00502BF9"/>
    <w:rsid w:val="00502C12"/>
    <w:rsid w:val="00502C66"/>
    <w:rsid w:val="00502C99"/>
    <w:rsid w:val="00502CA7"/>
    <w:rsid w:val="00502D37"/>
    <w:rsid w:val="00502DDB"/>
    <w:rsid w:val="00502E27"/>
    <w:rsid w:val="00502F39"/>
    <w:rsid w:val="00502F45"/>
    <w:rsid w:val="00502F4A"/>
    <w:rsid w:val="00502F72"/>
    <w:rsid w:val="00502F7B"/>
    <w:rsid w:val="00502FAD"/>
    <w:rsid w:val="00502FEF"/>
    <w:rsid w:val="00503006"/>
    <w:rsid w:val="0050304A"/>
    <w:rsid w:val="0050306C"/>
    <w:rsid w:val="00503096"/>
    <w:rsid w:val="0050313C"/>
    <w:rsid w:val="005031BC"/>
    <w:rsid w:val="00503226"/>
    <w:rsid w:val="0050325F"/>
    <w:rsid w:val="005032AE"/>
    <w:rsid w:val="005032AF"/>
    <w:rsid w:val="005032DF"/>
    <w:rsid w:val="005032E2"/>
    <w:rsid w:val="005032F6"/>
    <w:rsid w:val="005032FB"/>
    <w:rsid w:val="00503318"/>
    <w:rsid w:val="0050336E"/>
    <w:rsid w:val="0050338A"/>
    <w:rsid w:val="005033E0"/>
    <w:rsid w:val="00503437"/>
    <w:rsid w:val="0050346E"/>
    <w:rsid w:val="0050351A"/>
    <w:rsid w:val="00503578"/>
    <w:rsid w:val="00503596"/>
    <w:rsid w:val="00503685"/>
    <w:rsid w:val="005036B3"/>
    <w:rsid w:val="005036B8"/>
    <w:rsid w:val="005036C8"/>
    <w:rsid w:val="0050374D"/>
    <w:rsid w:val="00503752"/>
    <w:rsid w:val="0050376D"/>
    <w:rsid w:val="0050378C"/>
    <w:rsid w:val="0050379C"/>
    <w:rsid w:val="005037D6"/>
    <w:rsid w:val="005037F1"/>
    <w:rsid w:val="0050380D"/>
    <w:rsid w:val="00503812"/>
    <w:rsid w:val="00503827"/>
    <w:rsid w:val="0050388A"/>
    <w:rsid w:val="0050393F"/>
    <w:rsid w:val="0050395C"/>
    <w:rsid w:val="00503A20"/>
    <w:rsid w:val="00503B14"/>
    <w:rsid w:val="00503B2A"/>
    <w:rsid w:val="00503B65"/>
    <w:rsid w:val="00503BEE"/>
    <w:rsid w:val="00503C41"/>
    <w:rsid w:val="00503C4E"/>
    <w:rsid w:val="00503CA8"/>
    <w:rsid w:val="00503CCC"/>
    <w:rsid w:val="00503CE8"/>
    <w:rsid w:val="00503CFE"/>
    <w:rsid w:val="00503D00"/>
    <w:rsid w:val="00503D0D"/>
    <w:rsid w:val="00503D8D"/>
    <w:rsid w:val="00503D90"/>
    <w:rsid w:val="00503DBC"/>
    <w:rsid w:val="00503DD0"/>
    <w:rsid w:val="00503E01"/>
    <w:rsid w:val="00503E10"/>
    <w:rsid w:val="00503E55"/>
    <w:rsid w:val="00503EAF"/>
    <w:rsid w:val="00503EC8"/>
    <w:rsid w:val="00503EE9"/>
    <w:rsid w:val="00503EF1"/>
    <w:rsid w:val="00503EFE"/>
    <w:rsid w:val="00503F47"/>
    <w:rsid w:val="00503FB5"/>
    <w:rsid w:val="005040DF"/>
    <w:rsid w:val="005041AD"/>
    <w:rsid w:val="005041D9"/>
    <w:rsid w:val="00504259"/>
    <w:rsid w:val="00504271"/>
    <w:rsid w:val="005042B3"/>
    <w:rsid w:val="005042E5"/>
    <w:rsid w:val="005042FA"/>
    <w:rsid w:val="0050436E"/>
    <w:rsid w:val="005043B7"/>
    <w:rsid w:val="005043C1"/>
    <w:rsid w:val="00504478"/>
    <w:rsid w:val="0050449F"/>
    <w:rsid w:val="005044BB"/>
    <w:rsid w:val="005044CA"/>
    <w:rsid w:val="0050450F"/>
    <w:rsid w:val="00504530"/>
    <w:rsid w:val="0050454A"/>
    <w:rsid w:val="0050457D"/>
    <w:rsid w:val="005045D0"/>
    <w:rsid w:val="005046AC"/>
    <w:rsid w:val="005046BA"/>
    <w:rsid w:val="0050473E"/>
    <w:rsid w:val="00504747"/>
    <w:rsid w:val="00504764"/>
    <w:rsid w:val="0050478A"/>
    <w:rsid w:val="005047A7"/>
    <w:rsid w:val="005047CD"/>
    <w:rsid w:val="00504863"/>
    <w:rsid w:val="00504866"/>
    <w:rsid w:val="00504893"/>
    <w:rsid w:val="00504945"/>
    <w:rsid w:val="0050496F"/>
    <w:rsid w:val="00504A8C"/>
    <w:rsid w:val="00504AB7"/>
    <w:rsid w:val="00504B59"/>
    <w:rsid w:val="00504BC0"/>
    <w:rsid w:val="00504BE0"/>
    <w:rsid w:val="00504BED"/>
    <w:rsid w:val="00504C14"/>
    <w:rsid w:val="00504C4B"/>
    <w:rsid w:val="00504C85"/>
    <w:rsid w:val="00504D39"/>
    <w:rsid w:val="00504F56"/>
    <w:rsid w:val="00504FAB"/>
    <w:rsid w:val="00504FB6"/>
    <w:rsid w:val="00504FC7"/>
    <w:rsid w:val="00505006"/>
    <w:rsid w:val="00505049"/>
    <w:rsid w:val="0050505F"/>
    <w:rsid w:val="0050507E"/>
    <w:rsid w:val="005050D6"/>
    <w:rsid w:val="00505124"/>
    <w:rsid w:val="00505138"/>
    <w:rsid w:val="0050517F"/>
    <w:rsid w:val="00505194"/>
    <w:rsid w:val="005051E7"/>
    <w:rsid w:val="00505260"/>
    <w:rsid w:val="00505274"/>
    <w:rsid w:val="005052FC"/>
    <w:rsid w:val="0050531E"/>
    <w:rsid w:val="00505325"/>
    <w:rsid w:val="00505342"/>
    <w:rsid w:val="00505345"/>
    <w:rsid w:val="005053BD"/>
    <w:rsid w:val="00505440"/>
    <w:rsid w:val="00505478"/>
    <w:rsid w:val="005054A1"/>
    <w:rsid w:val="005054F6"/>
    <w:rsid w:val="0050551E"/>
    <w:rsid w:val="0050557C"/>
    <w:rsid w:val="005055E1"/>
    <w:rsid w:val="005055ED"/>
    <w:rsid w:val="00505662"/>
    <w:rsid w:val="0050566A"/>
    <w:rsid w:val="00505685"/>
    <w:rsid w:val="0050573E"/>
    <w:rsid w:val="00505758"/>
    <w:rsid w:val="005057CA"/>
    <w:rsid w:val="0050580A"/>
    <w:rsid w:val="005058AF"/>
    <w:rsid w:val="005058F9"/>
    <w:rsid w:val="00505966"/>
    <w:rsid w:val="005059A2"/>
    <w:rsid w:val="005059B2"/>
    <w:rsid w:val="00505A4E"/>
    <w:rsid w:val="00505A53"/>
    <w:rsid w:val="00505A67"/>
    <w:rsid w:val="00505A80"/>
    <w:rsid w:val="00505A87"/>
    <w:rsid w:val="00505A90"/>
    <w:rsid w:val="00505B39"/>
    <w:rsid w:val="00505B5E"/>
    <w:rsid w:val="00505B98"/>
    <w:rsid w:val="00505BC5"/>
    <w:rsid w:val="00505BD9"/>
    <w:rsid w:val="00505BF3"/>
    <w:rsid w:val="00505C6D"/>
    <w:rsid w:val="00505D08"/>
    <w:rsid w:val="00505D1D"/>
    <w:rsid w:val="00505D40"/>
    <w:rsid w:val="00505D4F"/>
    <w:rsid w:val="00505D51"/>
    <w:rsid w:val="00505DD0"/>
    <w:rsid w:val="00505E57"/>
    <w:rsid w:val="00505FC5"/>
    <w:rsid w:val="00505FDD"/>
    <w:rsid w:val="00506001"/>
    <w:rsid w:val="0050600F"/>
    <w:rsid w:val="00506031"/>
    <w:rsid w:val="005060F1"/>
    <w:rsid w:val="0050612A"/>
    <w:rsid w:val="00506157"/>
    <w:rsid w:val="00506180"/>
    <w:rsid w:val="00506199"/>
    <w:rsid w:val="005061FF"/>
    <w:rsid w:val="00506253"/>
    <w:rsid w:val="0050625A"/>
    <w:rsid w:val="0050625D"/>
    <w:rsid w:val="00506292"/>
    <w:rsid w:val="005062D6"/>
    <w:rsid w:val="005062F4"/>
    <w:rsid w:val="00506311"/>
    <w:rsid w:val="0050633C"/>
    <w:rsid w:val="0050641A"/>
    <w:rsid w:val="00506509"/>
    <w:rsid w:val="0050650C"/>
    <w:rsid w:val="00506516"/>
    <w:rsid w:val="00506696"/>
    <w:rsid w:val="005066DA"/>
    <w:rsid w:val="0050674F"/>
    <w:rsid w:val="00506753"/>
    <w:rsid w:val="00506757"/>
    <w:rsid w:val="005067A4"/>
    <w:rsid w:val="005067C1"/>
    <w:rsid w:val="005067C9"/>
    <w:rsid w:val="005067DF"/>
    <w:rsid w:val="00506807"/>
    <w:rsid w:val="005068D6"/>
    <w:rsid w:val="0050690B"/>
    <w:rsid w:val="00506945"/>
    <w:rsid w:val="00506948"/>
    <w:rsid w:val="005069DC"/>
    <w:rsid w:val="00506A83"/>
    <w:rsid w:val="00506ACA"/>
    <w:rsid w:val="00506ACC"/>
    <w:rsid w:val="00506AEA"/>
    <w:rsid w:val="00506B08"/>
    <w:rsid w:val="00506BAE"/>
    <w:rsid w:val="00506BBB"/>
    <w:rsid w:val="00506C04"/>
    <w:rsid w:val="00506CB9"/>
    <w:rsid w:val="00506D04"/>
    <w:rsid w:val="00506D9B"/>
    <w:rsid w:val="00506DA0"/>
    <w:rsid w:val="00506DC0"/>
    <w:rsid w:val="00506EA3"/>
    <w:rsid w:val="00506F47"/>
    <w:rsid w:val="00506F9A"/>
    <w:rsid w:val="00506FAB"/>
    <w:rsid w:val="00507043"/>
    <w:rsid w:val="005070EF"/>
    <w:rsid w:val="00507138"/>
    <w:rsid w:val="0050719D"/>
    <w:rsid w:val="00507259"/>
    <w:rsid w:val="0050725D"/>
    <w:rsid w:val="00507287"/>
    <w:rsid w:val="005072B6"/>
    <w:rsid w:val="00507304"/>
    <w:rsid w:val="00507322"/>
    <w:rsid w:val="00507359"/>
    <w:rsid w:val="005073B7"/>
    <w:rsid w:val="0050741C"/>
    <w:rsid w:val="00507423"/>
    <w:rsid w:val="0050744E"/>
    <w:rsid w:val="005074A6"/>
    <w:rsid w:val="005074CD"/>
    <w:rsid w:val="00507514"/>
    <w:rsid w:val="00507534"/>
    <w:rsid w:val="0050758F"/>
    <w:rsid w:val="005075D1"/>
    <w:rsid w:val="00507604"/>
    <w:rsid w:val="00507606"/>
    <w:rsid w:val="005076A5"/>
    <w:rsid w:val="005076CA"/>
    <w:rsid w:val="0050775F"/>
    <w:rsid w:val="005077D8"/>
    <w:rsid w:val="005077F7"/>
    <w:rsid w:val="00507868"/>
    <w:rsid w:val="0050786A"/>
    <w:rsid w:val="0050789D"/>
    <w:rsid w:val="005078BD"/>
    <w:rsid w:val="005078E4"/>
    <w:rsid w:val="00507911"/>
    <w:rsid w:val="00507917"/>
    <w:rsid w:val="00507926"/>
    <w:rsid w:val="00507942"/>
    <w:rsid w:val="00507A5A"/>
    <w:rsid w:val="00507A62"/>
    <w:rsid w:val="00507A78"/>
    <w:rsid w:val="00507BB4"/>
    <w:rsid w:val="00507C00"/>
    <w:rsid w:val="00507C12"/>
    <w:rsid w:val="00507C8F"/>
    <w:rsid w:val="00507CA1"/>
    <w:rsid w:val="00507DC2"/>
    <w:rsid w:val="00507DCE"/>
    <w:rsid w:val="00507E13"/>
    <w:rsid w:val="00507E1D"/>
    <w:rsid w:val="00507E37"/>
    <w:rsid w:val="00507E4E"/>
    <w:rsid w:val="00507E68"/>
    <w:rsid w:val="00507EA5"/>
    <w:rsid w:val="00507F3E"/>
    <w:rsid w:val="00507F7C"/>
    <w:rsid w:val="00507FAA"/>
    <w:rsid w:val="00507FC8"/>
    <w:rsid w:val="00507FE7"/>
    <w:rsid w:val="00507FF8"/>
    <w:rsid w:val="0051005A"/>
    <w:rsid w:val="0051005E"/>
    <w:rsid w:val="00510069"/>
    <w:rsid w:val="00510099"/>
    <w:rsid w:val="005100C0"/>
    <w:rsid w:val="005100D3"/>
    <w:rsid w:val="005100F3"/>
    <w:rsid w:val="00510172"/>
    <w:rsid w:val="005101E3"/>
    <w:rsid w:val="0051027A"/>
    <w:rsid w:val="005102F2"/>
    <w:rsid w:val="0051034B"/>
    <w:rsid w:val="00510436"/>
    <w:rsid w:val="005104AC"/>
    <w:rsid w:val="00510510"/>
    <w:rsid w:val="00510547"/>
    <w:rsid w:val="0051058E"/>
    <w:rsid w:val="005105FE"/>
    <w:rsid w:val="00510640"/>
    <w:rsid w:val="005106AA"/>
    <w:rsid w:val="005106B6"/>
    <w:rsid w:val="005106E6"/>
    <w:rsid w:val="00510771"/>
    <w:rsid w:val="005107A1"/>
    <w:rsid w:val="005107BD"/>
    <w:rsid w:val="005107C9"/>
    <w:rsid w:val="00510819"/>
    <w:rsid w:val="0051083D"/>
    <w:rsid w:val="0051089A"/>
    <w:rsid w:val="005108A7"/>
    <w:rsid w:val="005108DF"/>
    <w:rsid w:val="00510919"/>
    <w:rsid w:val="0051094E"/>
    <w:rsid w:val="00510951"/>
    <w:rsid w:val="0051097E"/>
    <w:rsid w:val="0051098A"/>
    <w:rsid w:val="005109A4"/>
    <w:rsid w:val="005109A9"/>
    <w:rsid w:val="00510AA6"/>
    <w:rsid w:val="00510AB4"/>
    <w:rsid w:val="00510ADC"/>
    <w:rsid w:val="00510B17"/>
    <w:rsid w:val="00510B3D"/>
    <w:rsid w:val="00510B4E"/>
    <w:rsid w:val="00510BB7"/>
    <w:rsid w:val="00510BBC"/>
    <w:rsid w:val="00510C84"/>
    <w:rsid w:val="00510C8F"/>
    <w:rsid w:val="00510CB4"/>
    <w:rsid w:val="00510D77"/>
    <w:rsid w:val="00510D98"/>
    <w:rsid w:val="00510DCD"/>
    <w:rsid w:val="00510DD3"/>
    <w:rsid w:val="00510DD8"/>
    <w:rsid w:val="00510DF8"/>
    <w:rsid w:val="00510E13"/>
    <w:rsid w:val="00510E2B"/>
    <w:rsid w:val="00510E39"/>
    <w:rsid w:val="00510E68"/>
    <w:rsid w:val="00510EC7"/>
    <w:rsid w:val="00510FA5"/>
    <w:rsid w:val="00510FB6"/>
    <w:rsid w:val="00510FE2"/>
    <w:rsid w:val="00511084"/>
    <w:rsid w:val="0051113F"/>
    <w:rsid w:val="005111A9"/>
    <w:rsid w:val="005111B1"/>
    <w:rsid w:val="005111D0"/>
    <w:rsid w:val="005111E2"/>
    <w:rsid w:val="005111F0"/>
    <w:rsid w:val="00511216"/>
    <w:rsid w:val="00511259"/>
    <w:rsid w:val="005112B3"/>
    <w:rsid w:val="005112B7"/>
    <w:rsid w:val="005112C5"/>
    <w:rsid w:val="005112D5"/>
    <w:rsid w:val="005112F3"/>
    <w:rsid w:val="005112F7"/>
    <w:rsid w:val="00511384"/>
    <w:rsid w:val="005113CF"/>
    <w:rsid w:val="00511413"/>
    <w:rsid w:val="00511427"/>
    <w:rsid w:val="00511433"/>
    <w:rsid w:val="00511439"/>
    <w:rsid w:val="0051154B"/>
    <w:rsid w:val="00511558"/>
    <w:rsid w:val="005115F5"/>
    <w:rsid w:val="00511601"/>
    <w:rsid w:val="005116A7"/>
    <w:rsid w:val="005116CE"/>
    <w:rsid w:val="00511705"/>
    <w:rsid w:val="0051170F"/>
    <w:rsid w:val="005117A3"/>
    <w:rsid w:val="005117D1"/>
    <w:rsid w:val="005117E1"/>
    <w:rsid w:val="00511814"/>
    <w:rsid w:val="00511834"/>
    <w:rsid w:val="0051186D"/>
    <w:rsid w:val="00511877"/>
    <w:rsid w:val="00511890"/>
    <w:rsid w:val="005118AE"/>
    <w:rsid w:val="005118BB"/>
    <w:rsid w:val="005118EB"/>
    <w:rsid w:val="005118F4"/>
    <w:rsid w:val="00511914"/>
    <w:rsid w:val="00511934"/>
    <w:rsid w:val="0051197F"/>
    <w:rsid w:val="005119A4"/>
    <w:rsid w:val="00511A1A"/>
    <w:rsid w:val="00511A52"/>
    <w:rsid w:val="00511A6C"/>
    <w:rsid w:val="00511B17"/>
    <w:rsid w:val="00511B1D"/>
    <w:rsid w:val="00511B99"/>
    <w:rsid w:val="00511B9B"/>
    <w:rsid w:val="00511BAC"/>
    <w:rsid w:val="00511BB4"/>
    <w:rsid w:val="00511BEB"/>
    <w:rsid w:val="00511BFB"/>
    <w:rsid w:val="00511BFC"/>
    <w:rsid w:val="00511C35"/>
    <w:rsid w:val="00511CD8"/>
    <w:rsid w:val="00511CF5"/>
    <w:rsid w:val="00511D30"/>
    <w:rsid w:val="00511D56"/>
    <w:rsid w:val="00511DDC"/>
    <w:rsid w:val="00511E48"/>
    <w:rsid w:val="00511F55"/>
    <w:rsid w:val="00511FD1"/>
    <w:rsid w:val="00511FD4"/>
    <w:rsid w:val="00511FE8"/>
    <w:rsid w:val="00512023"/>
    <w:rsid w:val="0051203E"/>
    <w:rsid w:val="00512098"/>
    <w:rsid w:val="0051209C"/>
    <w:rsid w:val="00512101"/>
    <w:rsid w:val="00512132"/>
    <w:rsid w:val="00512187"/>
    <w:rsid w:val="005121D3"/>
    <w:rsid w:val="005121DC"/>
    <w:rsid w:val="00512200"/>
    <w:rsid w:val="0051222E"/>
    <w:rsid w:val="00512246"/>
    <w:rsid w:val="0051225A"/>
    <w:rsid w:val="00512275"/>
    <w:rsid w:val="005122BA"/>
    <w:rsid w:val="005122FE"/>
    <w:rsid w:val="0051236D"/>
    <w:rsid w:val="00512379"/>
    <w:rsid w:val="0051237D"/>
    <w:rsid w:val="005123A3"/>
    <w:rsid w:val="005123B3"/>
    <w:rsid w:val="00512468"/>
    <w:rsid w:val="00512478"/>
    <w:rsid w:val="0051247E"/>
    <w:rsid w:val="005124F1"/>
    <w:rsid w:val="0051250D"/>
    <w:rsid w:val="00512529"/>
    <w:rsid w:val="00512557"/>
    <w:rsid w:val="00512561"/>
    <w:rsid w:val="00512571"/>
    <w:rsid w:val="00512634"/>
    <w:rsid w:val="0051265B"/>
    <w:rsid w:val="0051269D"/>
    <w:rsid w:val="00512753"/>
    <w:rsid w:val="0051276E"/>
    <w:rsid w:val="00512820"/>
    <w:rsid w:val="00512822"/>
    <w:rsid w:val="00512910"/>
    <w:rsid w:val="0051292B"/>
    <w:rsid w:val="005129C0"/>
    <w:rsid w:val="00512A38"/>
    <w:rsid w:val="00512A4A"/>
    <w:rsid w:val="00512A5D"/>
    <w:rsid w:val="00512ABB"/>
    <w:rsid w:val="00512B5E"/>
    <w:rsid w:val="00512B74"/>
    <w:rsid w:val="00512B94"/>
    <w:rsid w:val="00512B99"/>
    <w:rsid w:val="00512BB4"/>
    <w:rsid w:val="00512BBC"/>
    <w:rsid w:val="00512C1A"/>
    <w:rsid w:val="00512CBA"/>
    <w:rsid w:val="00512D2E"/>
    <w:rsid w:val="00512D5D"/>
    <w:rsid w:val="00512D68"/>
    <w:rsid w:val="00512D72"/>
    <w:rsid w:val="00512DC5"/>
    <w:rsid w:val="00512E0C"/>
    <w:rsid w:val="00512E45"/>
    <w:rsid w:val="00512E5D"/>
    <w:rsid w:val="00512EBF"/>
    <w:rsid w:val="0051306B"/>
    <w:rsid w:val="00513092"/>
    <w:rsid w:val="005130D6"/>
    <w:rsid w:val="00513113"/>
    <w:rsid w:val="00513124"/>
    <w:rsid w:val="00513171"/>
    <w:rsid w:val="0051317B"/>
    <w:rsid w:val="00513181"/>
    <w:rsid w:val="005131AC"/>
    <w:rsid w:val="00513232"/>
    <w:rsid w:val="005132C3"/>
    <w:rsid w:val="00513305"/>
    <w:rsid w:val="00513330"/>
    <w:rsid w:val="0051333E"/>
    <w:rsid w:val="005134CA"/>
    <w:rsid w:val="00513558"/>
    <w:rsid w:val="00513621"/>
    <w:rsid w:val="00513641"/>
    <w:rsid w:val="0051365D"/>
    <w:rsid w:val="00513686"/>
    <w:rsid w:val="0051368D"/>
    <w:rsid w:val="00513776"/>
    <w:rsid w:val="00513778"/>
    <w:rsid w:val="005137B2"/>
    <w:rsid w:val="005137B7"/>
    <w:rsid w:val="0051385D"/>
    <w:rsid w:val="0051388B"/>
    <w:rsid w:val="00513899"/>
    <w:rsid w:val="00513937"/>
    <w:rsid w:val="00513947"/>
    <w:rsid w:val="0051394D"/>
    <w:rsid w:val="005139A4"/>
    <w:rsid w:val="005139E8"/>
    <w:rsid w:val="00513A45"/>
    <w:rsid w:val="00513A65"/>
    <w:rsid w:val="00513AC6"/>
    <w:rsid w:val="00513AF9"/>
    <w:rsid w:val="00513B6D"/>
    <w:rsid w:val="00513B7B"/>
    <w:rsid w:val="00513BC9"/>
    <w:rsid w:val="00513C5B"/>
    <w:rsid w:val="00513C5F"/>
    <w:rsid w:val="00513C79"/>
    <w:rsid w:val="00513C80"/>
    <w:rsid w:val="00513C83"/>
    <w:rsid w:val="00513C8C"/>
    <w:rsid w:val="00513C90"/>
    <w:rsid w:val="00513CD9"/>
    <w:rsid w:val="00513CFD"/>
    <w:rsid w:val="00513D12"/>
    <w:rsid w:val="00513D31"/>
    <w:rsid w:val="00513D3F"/>
    <w:rsid w:val="00513D48"/>
    <w:rsid w:val="00513E3D"/>
    <w:rsid w:val="00513ED7"/>
    <w:rsid w:val="00513EDE"/>
    <w:rsid w:val="00513EE6"/>
    <w:rsid w:val="00514052"/>
    <w:rsid w:val="00514069"/>
    <w:rsid w:val="0051411A"/>
    <w:rsid w:val="0051411E"/>
    <w:rsid w:val="0051413C"/>
    <w:rsid w:val="00514143"/>
    <w:rsid w:val="005141B9"/>
    <w:rsid w:val="00514226"/>
    <w:rsid w:val="00514363"/>
    <w:rsid w:val="00514383"/>
    <w:rsid w:val="00514386"/>
    <w:rsid w:val="0051438B"/>
    <w:rsid w:val="005143E7"/>
    <w:rsid w:val="005143EA"/>
    <w:rsid w:val="0051443C"/>
    <w:rsid w:val="00514469"/>
    <w:rsid w:val="0051449A"/>
    <w:rsid w:val="005144C9"/>
    <w:rsid w:val="005144DB"/>
    <w:rsid w:val="005144E5"/>
    <w:rsid w:val="0051450D"/>
    <w:rsid w:val="00514536"/>
    <w:rsid w:val="00514577"/>
    <w:rsid w:val="00514584"/>
    <w:rsid w:val="00514597"/>
    <w:rsid w:val="005145AF"/>
    <w:rsid w:val="00514659"/>
    <w:rsid w:val="00514691"/>
    <w:rsid w:val="005146A1"/>
    <w:rsid w:val="005146F3"/>
    <w:rsid w:val="00514734"/>
    <w:rsid w:val="005147DF"/>
    <w:rsid w:val="005147E9"/>
    <w:rsid w:val="0051482C"/>
    <w:rsid w:val="00514841"/>
    <w:rsid w:val="0051497B"/>
    <w:rsid w:val="0051497C"/>
    <w:rsid w:val="00514992"/>
    <w:rsid w:val="00514998"/>
    <w:rsid w:val="005149CB"/>
    <w:rsid w:val="00514A27"/>
    <w:rsid w:val="00514A73"/>
    <w:rsid w:val="00514AAB"/>
    <w:rsid w:val="00514B0E"/>
    <w:rsid w:val="00514B36"/>
    <w:rsid w:val="00514B41"/>
    <w:rsid w:val="00514B7A"/>
    <w:rsid w:val="00514C2C"/>
    <w:rsid w:val="00514C88"/>
    <w:rsid w:val="00514C90"/>
    <w:rsid w:val="00514CAC"/>
    <w:rsid w:val="00514D17"/>
    <w:rsid w:val="00514E38"/>
    <w:rsid w:val="00514E4B"/>
    <w:rsid w:val="00514E8F"/>
    <w:rsid w:val="00514E91"/>
    <w:rsid w:val="00514E97"/>
    <w:rsid w:val="00514EC0"/>
    <w:rsid w:val="00514F24"/>
    <w:rsid w:val="00514F41"/>
    <w:rsid w:val="00514F95"/>
    <w:rsid w:val="0051512F"/>
    <w:rsid w:val="0051515B"/>
    <w:rsid w:val="00515198"/>
    <w:rsid w:val="005151C6"/>
    <w:rsid w:val="0051520D"/>
    <w:rsid w:val="0051523E"/>
    <w:rsid w:val="00515259"/>
    <w:rsid w:val="0051529A"/>
    <w:rsid w:val="005152ED"/>
    <w:rsid w:val="00515340"/>
    <w:rsid w:val="00515362"/>
    <w:rsid w:val="00515388"/>
    <w:rsid w:val="005153D3"/>
    <w:rsid w:val="005153EC"/>
    <w:rsid w:val="0051541C"/>
    <w:rsid w:val="00515485"/>
    <w:rsid w:val="005154B9"/>
    <w:rsid w:val="005154DC"/>
    <w:rsid w:val="0051556F"/>
    <w:rsid w:val="00515575"/>
    <w:rsid w:val="00515607"/>
    <w:rsid w:val="00515616"/>
    <w:rsid w:val="005156B3"/>
    <w:rsid w:val="005156DA"/>
    <w:rsid w:val="00515714"/>
    <w:rsid w:val="00515757"/>
    <w:rsid w:val="00515775"/>
    <w:rsid w:val="00515779"/>
    <w:rsid w:val="005157BA"/>
    <w:rsid w:val="005157C4"/>
    <w:rsid w:val="005157C5"/>
    <w:rsid w:val="005157FB"/>
    <w:rsid w:val="00515875"/>
    <w:rsid w:val="0051594B"/>
    <w:rsid w:val="0051595E"/>
    <w:rsid w:val="0051597A"/>
    <w:rsid w:val="00515983"/>
    <w:rsid w:val="005159E5"/>
    <w:rsid w:val="00515A02"/>
    <w:rsid w:val="00515A06"/>
    <w:rsid w:val="00515A56"/>
    <w:rsid w:val="00515B0A"/>
    <w:rsid w:val="00515B30"/>
    <w:rsid w:val="00515BBA"/>
    <w:rsid w:val="00515BD0"/>
    <w:rsid w:val="00515BE7"/>
    <w:rsid w:val="00515BFE"/>
    <w:rsid w:val="00515C59"/>
    <w:rsid w:val="00515C70"/>
    <w:rsid w:val="00515C9E"/>
    <w:rsid w:val="00515CBE"/>
    <w:rsid w:val="00515CD8"/>
    <w:rsid w:val="00515D01"/>
    <w:rsid w:val="00515DDB"/>
    <w:rsid w:val="00515E23"/>
    <w:rsid w:val="00515EB3"/>
    <w:rsid w:val="00515ED3"/>
    <w:rsid w:val="00515F10"/>
    <w:rsid w:val="00515F31"/>
    <w:rsid w:val="00515FCF"/>
    <w:rsid w:val="0051608E"/>
    <w:rsid w:val="00516154"/>
    <w:rsid w:val="00516171"/>
    <w:rsid w:val="00516194"/>
    <w:rsid w:val="005161C6"/>
    <w:rsid w:val="005161D4"/>
    <w:rsid w:val="005161E0"/>
    <w:rsid w:val="00516226"/>
    <w:rsid w:val="00516238"/>
    <w:rsid w:val="00516259"/>
    <w:rsid w:val="00516262"/>
    <w:rsid w:val="00516297"/>
    <w:rsid w:val="00516398"/>
    <w:rsid w:val="00516488"/>
    <w:rsid w:val="005164CF"/>
    <w:rsid w:val="00516500"/>
    <w:rsid w:val="00516527"/>
    <w:rsid w:val="0051655D"/>
    <w:rsid w:val="00516568"/>
    <w:rsid w:val="005165DF"/>
    <w:rsid w:val="005165FB"/>
    <w:rsid w:val="00516600"/>
    <w:rsid w:val="00516614"/>
    <w:rsid w:val="00516692"/>
    <w:rsid w:val="005166C6"/>
    <w:rsid w:val="005166F4"/>
    <w:rsid w:val="00516705"/>
    <w:rsid w:val="00516785"/>
    <w:rsid w:val="0051683E"/>
    <w:rsid w:val="00516843"/>
    <w:rsid w:val="005168D0"/>
    <w:rsid w:val="005168DE"/>
    <w:rsid w:val="005168F5"/>
    <w:rsid w:val="0051693C"/>
    <w:rsid w:val="00516992"/>
    <w:rsid w:val="00516A1C"/>
    <w:rsid w:val="00516A41"/>
    <w:rsid w:val="00516A6B"/>
    <w:rsid w:val="00516AB0"/>
    <w:rsid w:val="00516AC2"/>
    <w:rsid w:val="00516AD1"/>
    <w:rsid w:val="00516B5F"/>
    <w:rsid w:val="00516BB0"/>
    <w:rsid w:val="00516BE2"/>
    <w:rsid w:val="00516BE7"/>
    <w:rsid w:val="00516BF6"/>
    <w:rsid w:val="00516C00"/>
    <w:rsid w:val="00516C78"/>
    <w:rsid w:val="00516D19"/>
    <w:rsid w:val="00516D7D"/>
    <w:rsid w:val="00516E2A"/>
    <w:rsid w:val="00516E8D"/>
    <w:rsid w:val="00516EA4"/>
    <w:rsid w:val="00516F4E"/>
    <w:rsid w:val="00516F52"/>
    <w:rsid w:val="00516F54"/>
    <w:rsid w:val="00516F8D"/>
    <w:rsid w:val="00517021"/>
    <w:rsid w:val="00517082"/>
    <w:rsid w:val="00517088"/>
    <w:rsid w:val="005170E0"/>
    <w:rsid w:val="005170F6"/>
    <w:rsid w:val="00517179"/>
    <w:rsid w:val="0051717C"/>
    <w:rsid w:val="005171C5"/>
    <w:rsid w:val="0051722E"/>
    <w:rsid w:val="00517257"/>
    <w:rsid w:val="00517300"/>
    <w:rsid w:val="0051732A"/>
    <w:rsid w:val="005173AD"/>
    <w:rsid w:val="005173C3"/>
    <w:rsid w:val="005173FE"/>
    <w:rsid w:val="00517419"/>
    <w:rsid w:val="005174FA"/>
    <w:rsid w:val="005174FD"/>
    <w:rsid w:val="005175A4"/>
    <w:rsid w:val="005175A5"/>
    <w:rsid w:val="005175AB"/>
    <w:rsid w:val="005175E4"/>
    <w:rsid w:val="00517602"/>
    <w:rsid w:val="00517608"/>
    <w:rsid w:val="00517617"/>
    <w:rsid w:val="00517657"/>
    <w:rsid w:val="00517659"/>
    <w:rsid w:val="005176B6"/>
    <w:rsid w:val="005176F1"/>
    <w:rsid w:val="0051774E"/>
    <w:rsid w:val="005177A8"/>
    <w:rsid w:val="005177CC"/>
    <w:rsid w:val="005177EE"/>
    <w:rsid w:val="00517896"/>
    <w:rsid w:val="005178E4"/>
    <w:rsid w:val="0051793B"/>
    <w:rsid w:val="0051794F"/>
    <w:rsid w:val="005179E2"/>
    <w:rsid w:val="005179F5"/>
    <w:rsid w:val="00517A07"/>
    <w:rsid w:val="00517A12"/>
    <w:rsid w:val="00517A2C"/>
    <w:rsid w:val="00517A3F"/>
    <w:rsid w:val="00517A44"/>
    <w:rsid w:val="00517A82"/>
    <w:rsid w:val="00517AAB"/>
    <w:rsid w:val="00517B1E"/>
    <w:rsid w:val="00517B22"/>
    <w:rsid w:val="00517B4F"/>
    <w:rsid w:val="00517B60"/>
    <w:rsid w:val="00517B66"/>
    <w:rsid w:val="00517BA0"/>
    <w:rsid w:val="00517BE6"/>
    <w:rsid w:val="00517BE7"/>
    <w:rsid w:val="00517BEF"/>
    <w:rsid w:val="00517C8C"/>
    <w:rsid w:val="00517CA0"/>
    <w:rsid w:val="00517CA5"/>
    <w:rsid w:val="00517CDF"/>
    <w:rsid w:val="00517CE5"/>
    <w:rsid w:val="00517CF3"/>
    <w:rsid w:val="00517CFB"/>
    <w:rsid w:val="00517D0B"/>
    <w:rsid w:val="00517D25"/>
    <w:rsid w:val="00517D99"/>
    <w:rsid w:val="00517DC4"/>
    <w:rsid w:val="00517DC8"/>
    <w:rsid w:val="00517E8D"/>
    <w:rsid w:val="00517ED9"/>
    <w:rsid w:val="00517F42"/>
    <w:rsid w:val="00517F8F"/>
    <w:rsid w:val="00520002"/>
    <w:rsid w:val="00520070"/>
    <w:rsid w:val="00520071"/>
    <w:rsid w:val="005200E6"/>
    <w:rsid w:val="0052014B"/>
    <w:rsid w:val="005201B2"/>
    <w:rsid w:val="0052021D"/>
    <w:rsid w:val="00520247"/>
    <w:rsid w:val="005202D1"/>
    <w:rsid w:val="00520310"/>
    <w:rsid w:val="0052039A"/>
    <w:rsid w:val="00520424"/>
    <w:rsid w:val="0052047F"/>
    <w:rsid w:val="00520519"/>
    <w:rsid w:val="0052051A"/>
    <w:rsid w:val="00520526"/>
    <w:rsid w:val="00520544"/>
    <w:rsid w:val="005205A2"/>
    <w:rsid w:val="0052068D"/>
    <w:rsid w:val="00520788"/>
    <w:rsid w:val="005207E8"/>
    <w:rsid w:val="005208C4"/>
    <w:rsid w:val="005208EE"/>
    <w:rsid w:val="00520926"/>
    <w:rsid w:val="0052096C"/>
    <w:rsid w:val="0052098A"/>
    <w:rsid w:val="00520A95"/>
    <w:rsid w:val="00520AE9"/>
    <w:rsid w:val="00520B40"/>
    <w:rsid w:val="00520B79"/>
    <w:rsid w:val="00520B88"/>
    <w:rsid w:val="00520BEF"/>
    <w:rsid w:val="00520C2B"/>
    <w:rsid w:val="00520C32"/>
    <w:rsid w:val="00520C6C"/>
    <w:rsid w:val="00520CAD"/>
    <w:rsid w:val="00520CFE"/>
    <w:rsid w:val="00520D38"/>
    <w:rsid w:val="00520D44"/>
    <w:rsid w:val="00520D7E"/>
    <w:rsid w:val="00520DA5"/>
    <w:rsid w:val="00520DD0"/>
    <w:rsid w:val="00520DEE"/>
    <w:rsid w:val="00520DFC"/>
    <w:rsid w:val="00520E05"/>
    <w:rsid w:val="00520E58"/>
    <w:rsid w:val="00520E6E"/>
    <w:rsid w:val="00520E80"/>
    <w:rsid w:val="00520E8D"/>
    <w:rsid w:val="00520EAB"/>
    <w:rsid w:val="00520FD7"/>
    <w:rsid w:val="00520FEB"/>
    <w:rsid w:val="00521022"/>
    <w:rsid w:val="0052105A"/>
    <w:rsid w:val="0052106C"/>
    <w:rsid w:val="00521115"/>
    <w:rsid w:val="005211A3"/>
    <w:rsid w:val="005211D8"/>
    <w:rsid w:val="0052121D"/>
    <w:rsid w:val="00521276"/>
    <w:rsid w:val="00521286"/>
    <w:rsid w:val="005212C6"/>
    <w:rsid w:val="005212EB"/>
    <w:rsid w:val="005212F7"/>
    <w:rsid w:val="0052131E"/>
    <w:rsid w:val="005213B4"/>
    <w:rsid w:val="005213E1"/>
    <w:rsid w:val="005213E2"/>
    <w:rsid w:val="005213FD"/>
    <w:rsid w:val="0052141C"/>
    <w:rsid w:val="0052141D"/>
    <w:rsid w:val="00521458"/>
    <w:rsid w:val="00521468"/>
    <w:rsid w:val="00521474"/>
    <w:rsid w:val="0052147B"/>
    <w:rsid w:val="005214E0"/>
    <w:rsid w:val="005214EE"/>
    <w:rsid w:val="005214FE"/>
    <w:rsid w:val="00521512"/>
    <w:rsid w:val="00521563"/>
    <w:rsid w:val="005215DC"/>
    <w:rsid w:val="00521660"/>
    <w:rsid w:val="0052169E"/>
    <w:rsid w:val="005216A0"/>
    <w:rsid w:val="00521741"/>
    <w:rsid w:val="0052177F"/>
    <w:rsid w:val="005218CC"/>
    <w:rsid w:val="005218E2"/>
    <w:rsid w:val="00521958"/>
    <w:rsid w:val="00521A3D"/>
    <w:rsid w:val="00521B0B"/>
    <w:rsid w:val="00521B2B"/>
    <w:rsid w:val="00521B69"/>
    <w:rsid w:val="00521B88"/>
    <w:rsid w:val="00521B92"/>
    <w:rsid w:val="00521BD8"/>
    <w:rsid w:val="00521C81"/>
    <w:rsid w:val="00521CB1"/>
    <w:rsid w:val="00521CD9"/>
    <w:rsid w:val="00521D0D"/>
    <w:rsid w:val="00521D24"/>
    <w:rsid w:val="00521D42"/>
    <w:rsid w:val="00521D71"/>
    <w:rsid w:val="00521D81"/>
    <w:rsid w:val="00521DAF"/>
    <w:rsid w:val="00521DDB"/>
    <w:rsid w:val="00521E27"/>
    <w:rsid w:val="00521E8F"/>
    <w:rsid w:val="00521EA6"/>
    <w:rsid w:val="00521EB4"/>
    <w:rsid w:val="00521F1C"/>
    <w:rsid w:val="00521F29"/>
    <w:rsid w:val="00521F8E"/>
    <w:rsid w:val="00521FC0"/>
    <w:rsid w:val="00521FCC"/>
    <w:rsid w:val="00521FD5"/>
    <w:rsid w:val="0052205B"/>
    <w:rsid w:val="00522080"/>
    <w:rsid w:val="0052208C"/>
    <w:rsid w:val="005220FE"/>
    <w:rsid w:val="0052210E"/>
    <w:rsid w:val="005221BC"/>
    <w:rsid w:val="005221E2"/>
    <w:rsid w:val="00522297"/>
    <w:rsid w:val="0052229D"/>
    <w:rsid w:val="005222F9"/>
    <w:rsid w:val="005222FB"/>
    <w:rsid w:val="005222FD"/>
    <w:rsid w:val="0052232D"/>
    <w:rsid w:val="00522358"/>
    <w:rsid w:val="0052235D"/>
    <w:rsid w:val="00522381"/>
    <w:rsid w:val="0052239B"/>
    <w:rsid w:val="005223EC"/>
    <w:rsid w:val="005223FE"/>
    <w:rsid w:val="00522462"/>
    <w:rsid w:val="0052249B"/>
    <w:rsid w:val="005224FD"/>
    <w:rsid w:val="00522529"/>
    <w:rsid w:val="005225D2"/>
    <w:rsid w:val="0052260F"/>
    <w:rsid w:val="0052263F"/>
    <w:rsid w:val="00522719"/>
    <w:rsid w:val="0052276D"/>
    <w:rsid w:val="0052277D"/>
    <w:rsid w:val="005227AA"/>
    <w:rsid w:val="005228CE"/>
    <w:rsid w:val="00522903"/>
    <w:rsid w:val="00522977"/>
    <w:rsid w:val="00522982"/>
    <w:rsid w:val="00522991"/>
    <w:rsid w:val="005229CD"/>
    <w:rsid w:val="00522A5A"/>
    <w:rsid w:val="00522A73"/>
    <w:rsid w:val="00522A7A"/>
    <w:rsid w:val="00522A83"/>
    <w:rsid w:val="00522AC9"/>
    <w:rsid w:val="00522AD6"/>
    <w:rsid w:val="00522B1F"/>
    <w:rsid w:val="00522B52"/>
    <w:rsid w:val="00522B74"/>
    <w:rsid w:val="00522BAC"/>
    <w:rsid w:val="00522BB5"/>
    <w:rsid w:val="00522BC3"/>
    <w:rsid w:val="00522BC6"/>
    <w:rsid w:val="00522BCC"/>
    <w:rsid w:val="00522C71"/>
    <w:rsid w:val="00522CB0"/>
    <w:rsid w:val="00522D40"/>
    <w:rsid w:val="00522D82"/>
    <w:rsid w:val="00522E25"/>
    <w:rsid w:val="00522E26"/>
    <w:rsid w:val="00522EC0"/>
    <w:rsid w:val="00522F60"/>
    <w:rsid w:val="00522F7B"/>
    <w:rsid w:val="00522F94"/>
    <w:rsid w:val="00522FF9"/>
    <w:rsid w:val="00523054"/>
    <w:rsid w:val="005230F4"/>
    <w:rsid w:val="005230FA"/>
    <w:rsid w:val="00523105"/>
    <w:rsid w:val="00523134"/>
    <w:rsid w:val="00523146"/>
    <w:rsid w:val="0052314C"/>
    <w:rsid w:val="005231B2"/>
    <w:rsid w:val="005231D4"/>
    <w:rsid w:val="00523245"/>
    <w:rsid w:val="00523246"/>
    <w:rsid w:val="0052326B"/>
    <w:rsid w:val="00523286"/>
    <w:rsid w:val="00523297"/>
    <w:rsid w:val="0052333B"/>
    <w:rsid w:val="00523358"/>
    <w:rsid w:val="0052336F"/>
    <w:rsid w:val="0052337E"/>
    <w:rsid w:val="0052339D"/>
    <w:rsid w:val="005233A1"/>
    <w:rsid w:val="005233A3"/>
    <w:rsid w:val="005233AF"/>
    <w:rsid w:val="005233B2"/>
    <w:rsid w:val="00523410"/>
    <w:rsid w:val="00523437"/>
    <w:rsid w:val="00523468"/>
    <w:rsid w:val="005234A9"/>
    <w:rsid w:val="00523587"/>
    <w:rsid w:val="00523590"/>
    <w:rsid w:val="005235FE"/>
    <w:rsid w:val="00523653"/>
    <w:rsid w:val="005236C1"/>
    <w:rsid w:val="005236D8"/>
    <w:rsid w:val="00523708"/>
    <w:rsid w:val="0052375D"/>
    <w:rsid w:val="005237A5"/>
    <w:rsid w:val="005237F8"/>
    <w:rsid w:val="0052382A"/>
    <w:rsid w:val="00523873"/>
    <w:rsid w:val="00523875"/>
    <w:rsid w:val="005238B6"/>
    <w:rsid w:val="005238BB"/>
    <w:rsid w:val="005238CF"/>
    <w:rsid w:val="0052393C"/>
    <w:rsid w:val="00523948"/>
    <w:rsid w:val="00523988"/>
    <w:rsid w:val="00523A33"/>
    <w:rsid w:val="00523A51"/>
    <w:rsid w:val="00523B16"/>
    <w:rsid w:val="00523B24"/>
    <w:rsid w:val="00523B70"/>
    <w:rsid w:val="00523BC9"/>
    <w:rsid w:val="00523BDA"/>
    <w:rsid w:val="00523C04"/>
    <w:rsid w:val="00523CEA"/>
    <w:rsid w:val="00523CF8"/>
    <w:rsid w:val="00523D1D"/>
    <w:rsid w:val="00523D3C"/>
    <w:rsid w:val="00523D43"/>
    <w:rsid w:val="00523DB5"/>
    <w:rsid w:val="00523E3C"/>
    <w:rsid w:val="00523E53"/>
    <w:rsid w:val="00523ED4"/>
    <w:rsid w:val="00523F2A"/>
    <w:rsid w:val="00523F52"/>
    <w:rsid w:val="00523F6D"/>
    <w:rsid w:val="00523F92"/>
    <w:rsid w:val="00523FDC"/>
    <w:rsid w:val="00524009"/>
    <w:rsid w:val="0052400C"/>
    <w:rsid w:val="0052409E"/>
    <w:rsid w:val="005240A8"/>
    <w:rsid w:val="005240BA"/>
    <w:rsid w:val="005240E6"/>
    <w:rsid w:val="005240F2"/>
    <w:rsid w:val="00524157"/>
    <w:rsid w:val="00524194"/>
    <w:rsid w:val="00524195"/>
    <w:rsid w:val="0052419D"/>
    <w:rsid w:val="005241D6"/>
    <w:rsid w:val="00524211"/>
    <w:rsid w:val="0052429B"/>
    <w:rsid w:val="005242C1"/>
    <w:rsid w:val="00524386"/>
    <w:rsid w:val="00524483"/>
    <w:rsid w:val="0052449E"/>
    <w:rsid w:val="005244D2"/>
    <w:rsid w:val="005244EB"/>
    <w:rsid w:val="00524533"/>
    <w:rsid w:val="00524572"/>
    <w:rsid w:val="00524587"/>
    <w:rsid w:val="00524590"/>
    <w:rsid w:val="005246C1"/>
    <w:rsid w:val="005246D3"/>
    <w:rsid w:val="00524740"/>
    <w:rsid w:val="005247BE"/>
    <w:rsid w:val="005247F8"/>
    <w:rsid w:val="005247FE"/>
    <w:rsid w:val="00524848"/>
    <w:rsid w:val="00524883"/>
    <w:rsid w:val="00524897"/>
    <w:rsid w:val="005248AF"/>
    <w:rsid w:val="005248C9"/>
    <w:rsid w:val="005248E6"/>
    <w:rsid w:val="00524944"/>
    <w:rsid w:val="00524952"/>
    <w:rsid w:val="00524977"/>
    <w:rsid w:val="00524987"/>
    <w:rsid w:val="00524994"/>
    <w:rsid w:val="005249A3"/>
    <w:rsid w:val="00524A9D"/>
    <w:rsid w:val="00524AFF"/>
    <w:rsid w:val="00524B09"/>
    <w:rsid w:val="00524B9A"/>
    <w:rsid w:val="00524D17"/>
    <w:rsid w:val="00524D2D"/>
    <w:rsid w:val="00524D5D"/>
    <w:rsid w:val="00524DDA"/>
    <w:rsid w:val="00524E83"/>
    <w:rsid w:val="00524E8F"/>
    <w:rsid w:val="00524ED2"/>
    <w:rsid w:val="00524ED3"/>
    <w:rsid w:val="00524EDF"/>
    <w:rsid w:val="00524EE6"/>
    <w:rsid w:val="00524F46"/>
    <w:rsid w:val="00524F64"/>
    <w:rsid w:val="00524F95"/>
    <w:rsid w:val="00525018"/>
    <w:rsid w:val="00525098"/>
    <w:rsid w:val="005250B0"/>
    <w:rsid w:val="005250E1"/>
    <w:rsid w:val="00525104"/>
    <w:rsid w:val="0052510D"/>
    <w:rsid w:val="00525129"/>
    <w:rsid w:val="005251E3"/>
    <w:rsid w:val="0052521E"/>
    <w:rsid w:val="0052528B"/>
    <w:rsid w:val="005252BE"/>
    <w:rsid w:val="005252EA"/>
    <w:rsid w:val="00525312"/>
    <w:rsid w:val="0052532E"/>
    <w:rsid w:val="00525370"/>
    <w:rsid w:val="0052538D"/>
    <w:rsid w:val="005253FB"/>
    <w:rsid w:val="00525437"/>
    <w:rsid w:val="00525446"/>
    <w:rsid w:val="00525451"/>
    <w:rsid w:val="00525526"/>
    <w:rsid w:val="00525572"/>
    <w:rsid w:val="00525605"/>
    <w:rsid w:val="00525629"/>
    <w:rsid w:val="005256A5"/>
    <w:rsid w:val="0052575C"/>
    <w:rsid w:val="005257B0"/>
    <w:rsid w:val="005257D0"/>
    <w:rsid w:val="00525846"/>
    <w:rsid w:val="005258A2"/>
    <w:rsid w:val="005258BB"/>
    <w:rsid w:val="00525966"/>
    <w:rsid w:val="005259C8"/>
    <w:rsid w:val="00525A14"/>
    <w:rsid w:val="00525A2E"/>
    <w:rsid w:val="00525ACB"/>
    <w:rsid w:val="00525AD1"/>
    <w:rsid w:val="00525B26"/>
    <w:rsid w:val="00525B78"/>
    <w:rsid w:val="00525B7D"/>
    <w:rsid w:val="00525B8B"/>
    <w:rsid w:val="00525BD0"/>
    <w:rsid w:val="00525BDF"/>
    <w:rsid w:val="00525BFF"/>
    <w:rsid w:val="00525C74"/>
    <w:rsid w:val="00525D50"/>
    <w:rsid w:val="00525DAD"/>
    <w:rsid w:val="00525DE3"/>
    <w:rsid w:val="00525DF4"/>
    <w:rsid w:val="00525E1A"/>
    <w:rsid w:val="00525E3E"/>
    <w:rsid w:val="00525E87"/>
    <w:rsid w:val="00525E90"/>
    <w:rsid w:val="00525EC2"/>
    <w:rsid w:val="00525EE8"/>
    <w:rsid w:val="00525FC8"/>
    <w:rsid w:val="0052607C"/>
    <w:rsid w:val="00526099"/>
    <w:rsid w:val="005260E8"/>
    <w:rsid w:val="005260EC"/>
    <w:rsid w:val="0052612F"/>
    <w:rsid w:val="00526149"/>
    <w:rsid w:val="005261BA"/>
    <w:rsid w:val="005261FC"/>
    <w:rsid w:val="0052621E"/>
    <w:rsid w:val="00526281"/>
    <w:rsid w:val="00526285"/>
    <w:rsid w:val="005262B5"/>
    <w:rsid w:val="005262E5"/>
    <w:rsid w:val="0052632F"/>
    <w:rsid w:val="00526337"/>
    <w:rsid w:val="0052635A"/>
    <w:rsid w:val="0052635D"/>
    <w:rsid w:val="005263B6"/>
    <w:rsid w:val="005263D6"/>
    <w:rsid w:val="00526444"/>
    <w:rsid w:val="0052645B"/>
    <w:rsid w:val="005264D2"/>
    <w:rsid w:val="005264DA"/>
    <w:rsid w:val="0052656B"/>
    <w:rsid w:val="00526592"/>
    <w:rsid w:val="005265B8"/>
    <w:rsid w:val="005265C9"/>
    <w:rsid w:val="005265EB"/>
    <w:rsid w:val="005265F7"/>
    <w:rsid w:val="00526623"/>
    <w:rsid w:val="00526642"/>
    <w:rsid w:val="00526645"/>
    <w:rsid w:val="0052667D"/>
    <w:rsid w:val="0052668D"/>
    <w:rsid w:val="005266F5"/>
    <w:rsid w:val="0052671C"/>
    <w:rsid w:val="0052681C"/>
    <w:rsid w:val="0052683C"/>
    <w:rsid w:val="00526858"/>
    <w:rsid w:val="00526889"/>
    <w:rsid w:val="0052694B"/>
    <w:rsid w:val="00526986"/>
    <w:rsid w:val="005269C2"/>
    <w:rsid w:val="005269FE"/>
    <w:rsid w:val="00526A14"/>
    <w:rsid w:val="00526A95"/>
    <w:rsid w:val="00526B3F"/>
    <w:rsid w:val="00526BCC"/>
    <w:rsid w:val="00526BDD"/>
    <w:rsid w:val="00526C08"/>
    <w:rsid w:val="00526C30"/>
    <w:rsid w:val="00526CA9"/>
    <w:rsid w:val="00526CFD"/>
    <w:rsid w:val="00526D24"/>
    <w:rsid w:val="00526D6C"/>
    <w:rsid w:val="00526DCF"/>
    <w:rsid w:val="00526E1F"/>
    <w:rsid w:val="00526E2E"/>
    <w:rsid w:val="00526E85"/>
    <w:rsid w:val="00526E90"/>
    <w:rsid w:val="00526E9A"/>
    <w:rsid w:val="00526EE0"/>
    <w:rsid w:val="00526F15"/>
    <w:rsid w:val="00526F2F"/>
    <w:rsid w:val="00526F9E"/>
    <w:rsid w:val="00526FBE"/>
    <w:rsid w:val="00527009"/>
    <w:rsid w:val="0052709E"/>
    <w:rsid w:val="005270A5"/>
    <w:rsid w:val="00527105"/>
    <w:rsid w:val="00527197"/>
    <w:rsid w:val="005271C0"/>
    <w:rsid w:val="005271E8"/>
    <w:rsid w:val="005271F0"/>
    <w:rsid w:val="0052725A"/>
    <w:rsid w:val="005272BB"/>
    <w:rsid w:val="0052730D"/>
    <w:rsid w:val="00527315"/>
    <w:rsid w:val="00527339"/>
    <w:rsid w:val="005273AE"/>
    <w:rsid w:val="005273B7"/>
    <w:rsid w:val="005273CE"/>
    <w:rsid w:val="0052747F"/>
    <w:rsid w:val="0052748C"/>
    <w:rsid w:val="00527525"/>
    <w:rsid w:val="005275F0"/>
    <w:rsid w:val="00527628"/>
    <w:rsid w:val="00527662"/>
    <w:rsid w:val="0052767D"/>
    <w:rsid w:val="0052768A"/>
    <w:rsid w:val="005276A9"/>
    <w:rsid w:val="005276C6"/>
    <w:rsid w:val="00527749"/>
    <w:rsid w:val="0052779D"/>
    <w:rsid w:val="0052779E"/>
    <w:rsid w:val="005277F0"/>
    <w:rsid w:val="00527825"/>
    <w:rsid w:val="00527839"/>
    <w:rsid w:val="0052783A"/>
    <w:rsid w:val="0052784D"/>
    <w:rsid w:val="005278CB"/>
    <w:rsid w:val="00527964"/>
    <w:rsid w:val="00527975"/>
    <w:rsid w:val="005279A1"/>
    <w:rsid w:val="005279CE"/>
    <w:rsid w:val="00527A1B"/>
    <w:rsid w:val="00527A78"/>
    <w:rsid w:val="00527AB5"/>
    <w:rsid w:val="00527ACB"/>
    <w:rsid w:val="00527ACE"/>
    <w:rsid w:val="00527AD6"/>
    <w:rsid w:val="00527AFF"/>
    <w:rsid w:val="00527BA8"/>
    <w:rsid w:val="00527BD0"/>
    <w:rsid w:val="00527C68"/>
    <w:rsid w:val="00527CCA"/>
    <w:rsid w:val="00527CEB"/>
    <w:rsid w:val="00527D06"/>
    <w:rsid w:val="00527D1F"/>
    <w:rsid w:val="00527D3B"/>
    <w:rsid w:val="00527D52"/>
    <w:rsid w:val="00527D67"/>
    <w:rsid w:val="00527D87"/>
    <w:rsid w:val="00527DDD"/>
    <w:rsid w:val="00527E08"/>
    <w:rsid w:val="00527E84"/>
    <w:rsid w:val="00527F40"/>
    <w:rsid w:val="00527F5D"/>
    <w:rsid w:val="00527F6C"/>
    <w:rsid w:val="00527FAC"/>
    <w:rsid w:val="00527FD9"/>
    <w:rsid w:val="00530029"/>
    <w:rsid w:val="0053005B"/>
    <w:rsid w:val="00530087"/>
    <w:rsid w:val="005300D9"/>
    <w:rsid w:val="005300FC"/>
    <w:rsid w:val="00530110"/>
    <w:rsid w:val="00530131"/>
    <w:rsid w:val="00530153"/>
    <w:rsid w:val="005301F8"/>
    <w:rsid w:val="00530236"/>
    <w:rsid w:val="005302D9"/>
    <w:rsid w:val="0053032F"/>
    <w:rsid w:val="0053034D"/>
    <w:rsid w:val="00530387"/>
    <w:rsid w:val="00530415"/>
    <w:rsid w:val="0053058C"/>
    <w:rsid w:val="005305E7"/>
    <w:rsid w:val="0053062E"/>
    <w:rsid w:val="00530635"/>
    <w:rsid w:val="005306AC"/>
    <w:rsid w:val="005306BB"/>
    <w:rsid w:val="005306C3"/>
    <w:rsid w:val="005306CC"/>
    <w:rsid w:val="005307F2"/>
    <w:rsid w:val="00530805"/>
    <w:rsid w:val="00530899"/>
    <w:rsid w:val="005308EC"/>
    <w:rsid w:val="005308FE"/>
    <w:rsid w:val="0053095A"/>
    <w:rsid w:val="00530991"/>
    <w:rsid w:val="00530A0E"/>
    <w:rsid w:val="00530A22"/>
    <w:rsid w:val="00530A6E"/>
    <w:rsid w:val="00530AC4"/>
    <w:rsid w:val="00530B57"/>
    <w:rsid w:val="00530B5B"/>
    <w:rsid w:val="00530B69"/>
    <w:rsid w:val="00530BDA"/>
    <w:rsid w:val="00530BE2"/>
    <w:rsid w:val="00530BEF"/>
    <w:rsid w:val="00530CA4"/>
    <w:rsid w:val="00530CE6"/>
    <w:rsid w:val="00530D64"/>
    <w:rsid w:val="00530D70"/>
    <w:rsid w:val="00530D75"/>
    <w:rsid w:val="00530D91"/>
    <w:rsid w:val="00530DBF"/>
    <w:rsid w:val="00530DCB"/>
    <w:rsid w:val="00530DF7"/>
    <w:rsid w:val="00530E0A"/>
    <w:rsid w:val="00530E4A"/>
    <w:rsid w:val="00530E9A"/>
    <w:rsid w:val="00530F25"/>
    <w:rsid w:val="00530F76"/>
    <w:rsid w:val="00530F97"/>
    <w:rsid w:val="00530FDB"/>
    <w:rsid w:val="0053102C"/>
    <w:rsid w:val="00531069"/>
    <w:rsid w:val="005310B6"/>
    <w:rsid w:val="0053117D"/>
    <w:rsid w:val="005311B3"/>
    <w:rsid w:val="005311C0"/>
    <w:rsid w:val="005311E9"/>
    <w:rsid w:val="0053129F"/>
    <w:rsid w:val="005312AC"/>
    <w:rsid w:val="005312B4"/>
    <w:rsid w:val="005312FA"/>
    <w:rsid w:val="005312FC"/>
    <w:rsid w:val="00531358"/>
    <w:rsid w:val="0053136D"/>
    <w:rsid w:val="00531381"/>
    <w:rsid w:val="005313C0"/>
    <w:rsid w:val="00531405"/>
    <w:rsid w:val="00531465"/>
    <w:rsid w:val="005314EF"/>
    <w:rsid w:val="0053152C"/>
    <w:rsid w:val="0053156B"/>
    <w:rsid w:val="005315D9"/>
    <w:rsid w:val="005315EB"/>
    <w:rsid w:val="005316AE"/>
    <w:rsid w:val="005316B8"/>
    <w:rsid w:val="00531749"/>
    <w:rsid w:val="00531853"/>
    <w:rsid w:val="00531872"/>
    <w:rsid w:val="005318DA"/>
    <w:rsid w:val="00531910"/>
    <w:rsid w:val="00531911"/>
    <w:rsid w:val="00531951"/>
    <w:rsid w:val="0053195B"/>
    <w:rsid w:val="00531982"/>
    <w:rsid w:val="00531A10"/>
    <w:rsid w:val="00531A63"/>
    <w:rsid w:val="00531B0D"/>
    <w:rsid w:val="00531BA0"/>
    <w:rsid w:val="00531BC2"/>
    <w:rsid w:val="00531BD5"/>
    <w:rsid w:val="00531BFD"/>
    <w:rsid w:val="00531C37"/>
    <w:rsid w:val="00531C47"/>
    <w:rsid w:val="00531C71"/>
    <w:rsid w:val="00531CC2"/>
    <w:rsid w:val="00531D5A"/>
    <w:rsid w:val="00531D7A"/>
    <w:rsid w:val="00531D99"/>
    <w:rsid w:val="00531DA8"/>
    <w:rsid w:val="00531DB8"/>
    <w:rsid w:val="00531E19"/>
    <w:rsid w:val="00531EBC"/>
    <w:rsid w:val="00531F0A"/>
    <w:rsid w:val="00531F51"/>
    <w:rsid w:val="00531F84"/>
    <w:rsid w:val="00531FEA"/>
    <w:rsid w:val="0053202C"/>
    <w:rsid w:val="005320B0"/>
    <w:rsid w:val="0053217E"/>
    <w:rsid w:val="005321A2"/>
    <w:rsid w:val="005321AE"/>
    <w:rsid w:val="005321E3"/>
    <w:rsid w:val="005321F8"/>
    <w:rsid w:val="005322BE"/>
    <w:rsid w:val="005322C3"/>
    <w:rsid w:val="005323EB"/>
    <w:rsid w:val="005323F8"/>
    <w:rsid w:val="005324CB"/>
    <w:rsid w:val="005324D2"/>
    <w:rsid w:val="0053254D"/>
    <w:rsid w:val="0053257A"/>
    <w:rsid w:val="00532591"/>
    <w:rsid w:val="005325DC"/>
    <w:rsid w:val="005326D5"/>
    <w:rsid w:val="005326DC"/>
    <w:rsid w:val="00532742"/>
    <w:rsid w:val="005327F8"/>
    <w:rsid w:val="00532848"/>
    <w:rsid w:val="00532872"/>
    <w:rsid w:val="00532938"/>
    <w:rsid w:val="005329D7"/>
    <w:rsid w:val="005329F8"/>
    <w:rsid w:val="00532A2C"/>
    <w:rsid w:val="00532AEF"/>
    <w:rsid w:val="00532B92"/>
    <w:rsid w:val="00532BEA"/>
    <w:rsid w:val="00532CAF"/>
    <w:rsid w:val="00532CFF"/>
    <w:rsid w:val="00532D0D"/>
    <w:rsid w:val="00532D62"/>
    <w:rsid w:val="00532DF9"/>
    <w:rsid w:val="00532DFA"/>
    <w:rsid w:val="00532E47"/>
    <w:rsid w:val="00532E69"/>
    <w:rsid w:val="00532EFD"/>
    <w:rsid w:val="00532F5D"/>
    <w:rsid w:val="00532F7F"/>
    <w:rsid w:val="005330B4"/>
    <w:rsid w:val="005330C5"/>
    <w:rsid w:val="00533107"/>
    <w:rsid w:val="0053311F"/>
    <w:rsid w:val="00533196"/>
    <w:rsid w:val="00533198"/>
    <w:rsid w:val="0053319C"/>
    <w:rsid w:val="00533209"/>
    <w:rsid w:val="00533250"/>
    <w:rsid w:val="005332A7"/>
    <w:rsid w:val="005332AF"/>
    <w:rsid w:val="005332FD"/>
    <w:rsid w:val="00533311"/>
    <w:rsid w:val="00533399"/>
    <w:rsid w:val="00533426"/>
    <w:rsid w:val="0053342C"/>
    <w:rsid w:val="00533437"/>
    <w:rsid w:val="00533504"/>
    <w:rsid w:val="00533531"/>
    <w:rsid w:val="00533534"/>
    <w:rsid w:val="00533536"/>
    <w:rsid w:val="00533565"/>
    <w:rsid w:val="0053359C"/>
    <w:rsid w:val="005335C0"/>
    <w:rsid w:val="005335E8"/>
    <w:rsid w:val="005335ED"/>
    <w:rsid w:val="00533602"/>
    <w:rsid w:val="005336A3"/>
    <w:rsid w:val="005336AD"/>
    <w:rsid w:val="0053374F"/>
    <w:rsid w:val="00533799"/>
    <w:rsid w:val="005337BF"/>
    <w:rsid w:val="005337E2"/>
    <w:rsid w:val="00533841"/>
    <w:rsid w:val="00533885"/>
    <w:rsid w:val="005338A3"/>
    <w:rsid w:val="00533905"/>
    <w:rsid w:val="005339DF"/>
    <w:rsid w:val="00533A21"/>
    <w:rsid w:val="00533AB1"/>
    <w:rsid w:val="00533AF2"/>
    <w:rsid w:val="00533B15"/>
    <w:rsid w:val="00533B51"/>
    <w:rsid w:val="00533B86"/>
    <w:rsid w:val="00533BFB"/>
    <w:rsid w:val="00533C57"/>
    <w:rsid w:val="00533CDE"/>
    <w:rsid w:val="00533D00"/>
    <w:rsid w:val="00533DD4"/>
    <w:rsid w:val="00533DF3"/>
    <w:rsid w:val="00533E10"/>
    <w:rsid w:val="00533E42"/>
    <w:rsid w:val="00533E54"/>
    <w:rsid w:val="00533EAC"/>
    <w:rsid w:val="00533F46"/>
    <w:rsid w:val="00533F93"/>
    <w:rsid w:val="005340BB"/>
    <w:rsid w:val="005340CE"/>
    <w:rsid w:val="005340FB"/>
    <w:rsid w:val="00534133"/>
    <w:rsid w:val="00534211"/>
    <w:rsid w:val="00534236"/>
    <w:rsid w:val="005342A0"/>
    <w:rsid w:val="005342B4"/>
    <w:rsid w:val="005342B8"/>
    <w:rsid w:val="005342BF"/>
    <w:rsid w:val="005342C7"/>
    <w:rsid w:val="00534357"/>
    <w:rsid w:val="0053437B"/>
    <w:rsid w:val="005343C8"/>
    <w:rsid w:val="005343E9"/>
    <w:rsid w:val="005343F0"/>
    <w:rsid w:val="00534416"/>
    <w:rsid w:val="0053444A"/>
    <w:rsid w:val="0053448F"/>
    <w:rsid w:val="0053449A"/>
    <w:rsid w:val="005344A7"/>
    <w:rsid w:val="005344D1"/>
    <w:rsid w:val="005344FC"/>
    <w:rsid w:val="00534510"/>
    <w:rsid w:val="00534523"/>
    <w:rsid w:val="00534539"/>
    <w:rsid w:val="0053463C"/>
    <w:rsid w:val="00534652"/>
    <w:rsid w:val="00534694"/>
    <w:rsid w:val="00534695"/>
    <w:rsid w:val="005346AF"/>
    <w:rsid w:val="005346B0"/>
    <w:rsid w:val="005346B6"/>
    <w:rsid w:val="005346C1"/>
    <w:rsid w:val="005346ED"/>
    <w:rsid w:val="00534716"/>
    <w:rsid w:val="0053473C"/>
    <w:rsid w:val="00534786"/>
    <w:rsid w:val="0053487F"/>
    <w:rsid w:val="00534891"/>
    <w:rsid w:val="00534895"/>
    <w:rsid w:val="005348A0"/>
    <w:rsid w:val="005348B2"/>
    <w:rsid w:val="005348B8"/>
    <w:rsid w:val="005348BF"/>
    <w:rsid w:val="00534969"/>
    <w:rsid w:val="0053496B"/>
    <w:rsid w:val="00534ACA"/>
    <w:rsid w:val="00534AD4"/>
    <w:rsid w:val="00534AE9"/>
    <w:rsid w:val="00534AF2"/>
    <w:rsid w:val="00534B1E"/>
    <w:rsid w:val="00534B41"/>
    <w:rsid w:val="00534BA9"/>
    <w:rsid w:val="00534BB5"/>
    <w:rsid w:val="00534C55"/>
    <w:rsid w:val="00534CD4"/>
    <w:rsid w:val="00534D7C"/>
    <w:rsid w:val="00534D7F"/>
    <w:rsid w:val="00534DAE"/>
    <w:rsid w:val="00534DE0"/>
    <w:rsid w:val="00534E14"/>
    <w:rsid w:val="00534E16"/>
    <w:rsid w:val="00534E32"/>
    <w:rsid w:val="00534E33"/>
    <w:rsid w:val="00534E63"/>
    <w:rsid w:val="00534EAA"/>
    <w:rsid w:val="00534EED"/>
    <w:rsid w:val="00534F18"/>
    <w:rsid w:val="00534F19"/>
    <w:rsid w:val="00534F26"/>
    <w:rsid w:val="00534F8A"/>
    <w:rsid w:val="00534FEC"/>
    <w:rsid w:val="00535008"/>
    <w:rsid w:val="00535015"/>
    <w:rsid w:val="00535065"/>
    <w:rsid w:val="00535068"/>
    <w:rsid w:val="0053508A"/>
    <w:rsid w:val="005350AB"/>
    <w:rsid w:val="005350DA"/>
    <w:rsid w:val="00535157"/>
    <w:rsid w:val="00535180"/>
    <w:rsid w:val="0053518D"/>
    <w:rsid w:val="005351AF"/>
    <w:rsid w:val="005351D0"/>
    <w:rsid w:val="005352B2"/>
    <w:rsid w:val="005352B9"/>
    <w:rsid w:val="005352BF"/>
    <w:rsid w:val="005352C9"/>
    <w:rsid w:val="00535326"/>
    <w:rsid w:val="00535376"/>
    <w:rsid w:val="005353BC"/>
    <w:rsid w:val="00535405"/>
    <w:rsid w:val="00535411"/>
    <w:rsid w:val="0053547E"/>
    <w:rsid w:val="005354B8"/>
    <w:rsid w:val="005354C0"/>
    <w:rsid w:val="005354CE"/>
    <w:rsid w:val="005354E1"/>
    <w:rsid w:val="005354E7"/>
    <w:rsid w:val="005354E9"/>
    <w:rsid w:val="00535509"/>
    <w:rsid w:val="00535578"/>
    <w:rsid w:val="005355A1"/>
    <w:rsid w:val="005355C8"/>
    <w:rsid w:val="005355DD"/>
    <w:rsid w:val="0053560F"/>
    <w:rsid w:val="00535623"/>
    <w:rsid w:val="00535659"/>
    <w:rsid w:val="0053565A"/>
    <w:rsid w:val="0053565F"/>
    <w:rsid w:val="00535663"/>
    <w:rsid w:val="00535671"/>
    <w:rsid w:val="00535697"/>
    <w:rsid w:val="0053569E"/>
    <w:rsid w:val="00535787"/>
    <w:rsid w:val="005357AD"/>
    <w:rsid w:val="005357F6"/>
    <w:rsid w:val="0053583F"/>
    <w:rsid w:val="00535859"/>
    <w:rsid w:val="00535899"/>
    <w:rsid w:val="005358B8"/>
    <w:rsid w:val="0053590B"/>
    <w:rsid w:val="0053590D"/>
    <w:rsid w:val="00535946"/>
    <w:rsid w:val="00535948"/>
    <w:rsid w:val="00535949"/>
    <w:rsid w:val="00535958"/>
    <w:rsid w:val="00535AA0"/>
    <w:rsid w:val="00535AD0"/>
    <w:rsid w:val="00535AFD"/>
    <w:rsid w:val="00535B36"/>
    <w:rsid w:val="00535B39"/>
    <w:rsid w:val="00535B66"/>
    <w:rsid w:val="00535C21"/>
    <w:rsid w:val="00535CD4"/>
    <w:rsid w:val="00535D0E"/>
    <w:rsid w:val="00535D4D"/>
    <w:rsid w:val="00535D56"/>
    <w:rsid w:val="00535D5B"/>
    <w:rsid w:val="00535D68"/>
    <w:rsid w:val="00535E87"/>
    <w:rsid w:val="00535E8C"/>
    <w:rsid w:val="00535E93"/>
    <w:rsid w:val="00535EB2"/>
    <w:rsid w:val="00535F69"/>
    <w:rsid w:val="00535F7A"/>
    <w:rsid w:val="00535F93"/>
    <w:rsid w:val="00536004"/>
    <w:rsid w:val="0053602A"/>
    <w:rsid w:val="0053603D"/>
    <w:rsid w:val="00536089"/>
    <w:rsid w:val="005360CC"/>
    <w:rsid w:val="00536106"/>
    <w:rsid w:val="00536153"/>
    <w:rsid w:val="00536200"/>
    <w:rsid w:val="00536205"/>
    <w:rsid w:val="00536220"/>
    <w:rsid w:val="0053624F"/>
    <w:rsid w:val="00536269"/>
    <w:rsid w:val="0053627C"/>
    <w:rsid w:val="005362B4"/>
    <w:rsid w:val="005362FA"/>
    <w:rsid w:val="0053631F"/>
    <w:rsid w:val="00536353"/>
    <w:rsid w:val="005363A9"/>
    <w:rsid w:val="005363DC"/>
    <w:rsid w:val="00536409"/>
    <w:rsid w:val="00536424"/>
    <w:rsid w:val="0053644C"/>
    <w:rsid w:val="00536485"/>
    <w:rsid w:val="005364EB"/>
    <w:rsid w:val="005365AB"/>
    <w:rsid w:val="00536624"/>
    <w:rsid w:val="0053662C"/>
    <w:rsid w:val="00536657"/>
    <w:rsid w:val="00536676"/>
    <w:rsid w:val="00536696"/>
    <w:rsid w:val="00536750"/>
    <w:rsid w:val="00536761"/>
    <w:rsid w:val="005367A7"/>
    <w:rsid w:val="005367D6"/>
    <w:rsid w:val="005367ED"/>
    <w:rsid w:val="005367EE"/>
    <w:rsid w:val="0053689E"/>
    <w:rsid w:val="005368B0"/>
    <w:rsid w:val="005368CA"/>
    <w:rsid w:val="005368EB"/>
    <w:rsid w:val="00536919"/>
    <w:rsid w:val="00536963"/>
    <w:rsid w:val="00536983"/>
    <w:rsid w:val="005369B2"/>
    <w:rsid w:val="005369D7"/>
    <w:rsid w:val="00536A2B"/>
    <w:rsid w:val="00536A31"/>
    <w:rsid w:val="00536A38"/>
    <w:rsid w:val="00536AE7"/>
    <w:rsid w:val="00536B0C"/>
    <w:rsid w:val="00536B2B"/>
    <w:rsid w:val="00536B62"/>
    <w:rsid w:val="00536BC4"/>
    <w:rsid w:val="00536BD4"/>
    <w:rsid w:val="00536BFD"/>
    <w:rsid w:val="00536C2A"/>
    <w:rsid w:val="00536C2F"/>
    <w:rsid w:val="00536C37"/>
    <w:rsid w:val="00536CB2"/>
    <w:rsid w:val="00536D76"/>
    <w:rsid w:val="00536DBE"/>
    <w:rsid w:val="00536E27"/>
    <w:rsid w:val="00536E37"/>
    <w:rsid w:val="00536F1C"/>
    <w:rsid w:val="00536FD4"/>
    <w:rsid w:val="00536FE1"/>
    <w:rsid w:val="00537026"/>
    <w:rsid w:val="00537028"/>
    <w:rsid w:val="00537037"/>
    <w:rsid w:val="005370AF"/>
    <w:rsid w:val="0053710B"/>
    <w:rsid w:val="00537154"/>
    <w:rsid w:val="0053718B"/>
    <w:rsid w:val="005371C5"/>
    <w:rsid w:val="0053724B"/>
    <w:rsid w:val="00537264"/>
    <w:rsid w:val="005372A4"/>
    <w:rsid w:val="00537331"/>
    <w:rsid w:val="0053734A"/>
    <w:rsid w:val="0053736F"/>
    <w:rsid w:val="00537393"/>
    <w:rsid w:val="005373BA"/>
    <w:rsid w:val="0053742A"/>
    <w:rsid w:val="00537431"/>
    <w:rsid w:val="00537515"/>
    <w:rsid w:val="0053763D"/>
    <w:rsid w:val="00537648"/>
    <w:rsid w:val="005376C2"/>
    <w:rsid w:val="005376DB"/>
    <w:rsid w:val="0053774A"/>
    <w:rsid w:val="005377A9"/>
    <w:rsid w:val="005377BF"/>
    <w:rsid w:val="005377FA"/>
    <w:rsid w:val="00537818"/>
    <w:rsid w:val="005378A1"/>
    <w:rsid w:val="00537903"/>
    <w:rsid w:val="0053796C"/>
    <w:rsid w:val="005379C4"/>
    <w:rsid w:val="005379C5"/>
    <w:rsid w:val="005379F5"/>
    <w:rsid w:val="00537A01"/>
    <w:rsid w:val="00537A7B"/>
    <w:rsid w:val="00537A7C"/>
    <w:rsid w:val="00537AD6"/>
    <w:rsid w:val="00537AF7"/>
    <w:rsid w:val="00537BE2"/>
    <w:rsid w:val="00537C4A"/>
    <w:rsid w:val="00537C5B"/>
    <w:rsid w:val="00537C85"/>
    <w:rsid w:val="00537C98"/>
    <w:rsid w:val="00537CE6"/>
    <w:rsid w:val="00537CED"/>
    <w:rsid w:val="00537D2B"/>
    <w:rsid w:val="00537D38"/>
    <w:rsid w:val="00537D47"/>
    <w:rsid w:val="00537D4E"/>
    <w:rsid w:val="00537D69"/>
    <w:rsid w:val="00537D98"/>
    <w:rsid w:val="00537E03"/>
    <w:rsid w:val="00537E24"/>
    <w:rsid w:val="00537E2A"/>
    <w:rsid w:val="00537E8C"/>
    <w:rsid w:val="00537ECD"/>
    <w:rsid w:val="00537EF4"/>
    <w:rsid w:val="00537F23"/>
    <w:rsid w:val="00537FB8"/>
    <w:rsid w:val="0054003B"/>
    <w:rsid w:val="0054007F"/>
    <w:rsid w:val="005400D2"/>
    <w:rsid w:val="005400DB"/>
    <w:rsid w:val="005400F1"/>
    <w:rsid w:val="005401A2"/>
    <w:rsid w:val="005401D5"/>
    <w:rsid w:val="0054023C"/>
    <w:rsid w:val="00540263"/>
    <w:rsid w:val="00540291"/>
    <w:rsid w:val="005402B6"/>
    <w:rsid w:val="005402DC"/>
    <w:rsid w:val="0054031E"/>
    <w:rsid w:val="00540365"/>
    <w:rsid w:val="005403ED"/>
    <w:rsid w:val="00540461"/>
    <w:rsid w:val="00540482"/>
    <w:rsid w:val="005404F9"/>
    <w:rsid w:val="005405BE"/>
    <w:rsid w:val="005405C9"/>
    <w:rsid w:val="005405E1"/>
    <w:rsid w:val="005406EE"/>
    <w:rsid w:val="00540711"/>
    <w:rsid w:val="00540739"/>
    <w:rsid w:val="00540764"/>
    <w:rsid w:val="00540773"/>
    <w:rsid w:val="005407BC"/>
    <w:rsid w:val="005407CA"/>
    <w:rsid w:val="0054089F"/>
    <w:rsid w:val="005408BE"/>
    <w:rsid w:val="005408E0"/>
    <w:rsid w:val="005408EB"/>
    <w:rsid w:val="0054094E"/>
    <w:rsid w:val="0054095F"/>
    <w:rsid w:val="00540997"/>
    <w:rsid w:val="005409AA"/>
    <w:rsid w:val="005409CA"/>
    <w:rsid w:val="005409F6"/>
    <w:rsid w:val="00540A12"/>
    <w:rsid w:val="00540A4F"/>
    <w:rsid w:val="00540A92"/>
    <w:rsid w:val="00540AE1"/>
    <w:rsid w:val="00540AF9"/>
    <w:rsid w:val="00540B14"/>
    <w:rsid w:val="00540C0F"/>
    <w:rsid w:val="00540C59"/>
    <w:rsid w:val="00540CD5"/>
    <w:rsid w:val="00540D47"/>
    <w:rsid w:val="00540D52"/>
    <w:rsid w:val="00540DBA"/>
    <w:rsid w:val="00540DEE"/>
    <w:rsid w:val="00540E62"/>
    <w:rsid w:val="00540E85"/>
    <w:rsid w:val="00540EB9"/>
    <w:rsid w:val="00540F19"/>
    <w:rsid w:val="00540F4D"/>
    <w:rsid w:val="00540F58"/>
    <w:rsid w:val="00540FBD"/>
    <w:rsid w:val="0054102F"/>
    <w:rsid w:val="00541056"/>
    <w:rsid w:val="00541068"/>
    <w:rsid w:val="00541076"/>
    <w:rsid w:val="0054119A"/>
    <w:rsid w:val="005411A9"/>
    <w:rsid w:val="00541231"/>
    <w:rsid w:val="0054128C"/>
    <w:rsid w:val="005412CB"/>
    <w:rsid w:val="005412DD"/>
    <w:rsid w:val="005412E0"/>
    <w:rsid w:val="00541362"/>
    <w:rsid w:val="00541379"/>
    <w:rsid w:val="00541442"/>
    <w:rsid w:val="005414F1"/>
    <w:rsid w:val="005414FD"/>
    <w:rsid w:val="0054150B"/>
    <w:rsid w:val="005415CC"/>
    <w:rsid w:val="0054162C"/>
    <w:rsid w:val="00541654"/>
    <w:rsid w:val="005416C1"/>
    <w:rsid w:val="005416D8"/>
    <w:rsid w:val="00541735"/>
    <w:rsid w:val="005417B4"/>
    <w:rsid w:val="00541840"/>
    <w:rsid w:val="0054188F"/>
    <w:rsid w:val="005419B8"/>
    <w:rsid w:val="00541A1E"/>
    <w:rsid w:val="00541AC4"/>
    <w:rsid w:val="00541AD6"/>
    <w:rsid w:val="00541B09"/>
    <w:rsid w:val="00541B2D"/>
    <w:rsid w:val="00541B44"/>
    <w:rsid w:val="00541B98"/>
    <w:rsid w:val="00541C42"/>
    <w:rsid w:val="00541CAB"/>
    <w:rsid w:val="00541D28"/>
    <w:rsid w:val="00541D29"/>
    <w:rsid w:val="00541D43"/>
    <w:rsid w:val="00541D69"/>
    <w:rsid w:val="00541DEB"/>
    <w:rsid w:val="00541E1A"/>
    <w:rsid w:val="00541E29"/>
    <w:rsid w:val="00541E6E"/>
    <w:rsid w:val="00541E74"/>
    <w:rsid w:val="00541EE3"/>
    <w:rsid w:val="00541F04"/>
    <w:rsid w:val="00541F23"/>
    <w:rsid w:val="00541FD2"/>
    <w:rsid w:val="00541FE8"/>
    <w:rsid w:val="00542017"/>
    <w:rsid w:val="0054205D"/>
    <w:rsid w:val="00542088"/>
    <w:rsid w:val="0054208E"/>
    <w:rsid w:val="005420A9"/>
    <w:rsid w:val="005420BC"/>
    <w:rsid w:val="00542137"/>
    <w:rsid w:val="00542139"/>
    <w:rsid w:val="0054213A"/>
    <w:rsid w:val="0054217B"/>
    <w:rsid w:val="00542192"/>
    <w:rsid w:val="005421A1"/>
    <w:rsid w:val="005421A3"/>
    <w:rsid w:val="00542241"/>
    <w:rsid w:val="00542309"/>
    <w:rsid w:val="00542322"/>
    <w:rsid w:val="0054233F"/>
    <w:rsid w:val="00542354"/>
    <w:rsid w:val="005423A4"/>
    <w:rsid w:val="005423B5"/>
    <w:rsid w:val="005423EF"/>
    <w:rsid w:val="0054240A"/>
    <w:rsid w:val="00542445"/>
    <w:rsid w:val="005424B2"/>
    <w:rsid w:val="00542522"/>
    <w:rsid w:val="0054253A"/>
    <w:rsid w:val="00542610"/>
    <w:rsid w:val="00542627"/>
    <w:rsid w:val="00542676"/>
    <w:rsid w:val="00542745"/>
    <w:rsid w:val="0054281E"/>
    <w:rsid w:val="005428AF"/>
    <w:rsid w:val="005428CD"/>
    <w:rsid w:val="005428EF"/>
    <w:rsid w:val="0054291A"/>
    <w:rsid w:val="00542933"/>
    <w:rsid w:val="00542956"/>
    <w:rsid w:val="00542A00"/>
    <w:rsid w:val="00542A20"/>
    <w:rsid w:val="00542AC4"/>
    <w:rsid w:val="00542ADB"/>
    <w:rsid w:val="00542AEC"/>
    <w:rsid w:val="00542B1C"/>
    <w:rsid w:val="00542B75"/>
    <w:rsid w:val="00542BCC"/>
    <w:rsid w:val="00542C04"/>
    <w:rsid w:val="00542C2D"/>
    <w:rsid w:val="00542C31"/>
    <w:rsid w:val="00542C91"/>
    <w:rsid w:val="00542CCD"/>
    <w:rsid w:val="00542CE3"/>
    <w:rsid w:val="00542CEF"/>
    <w:rsid w:val="00542D23"/>
    <w:rsid w:val="00542D6B"/>
    <w:rsid w:val="00542D92"/>
    <w:rsid w:val="00542DEF"/>
    <w:rsid w:val="00542E01"/>
    <w:rsid w:val="00542E8E"/>
    <w:rsid w:val="00542ECB"/>
    <w:rsid w:val="00542EE0"/>
    <w:rsid w:val="00542F1E"/>
    <w:rsid w:val="00542F22"/>
    <w:rsid w:val="00542F29"/>
    <w:rsid w:val="00542F66"/>
    <w:rsid w:val="00542F73"/>
    <w:rsid w:val="00542FCB"/>
    <w:rsid w:val="0054300E"/>
    <w:rsid w:val="005430C2"/>
    <w:rsid w:val="00543138"/>
    <w:rsid w:val="00543147"/>
    <w:rsid w:val="0054315F"/>
    <w:rsid w:val="00543187"/>
    <w:rsid w:val="0054328D"/>
    <w:rsid w:val="0054330A"/>
    <w:rsid w:val="0054334D"/>
    <w:rsid w:val="00543350"/>
    <w:rsid w:val="0054335A"/>
    <w:rsid w:val="00543422"/>
    <w:rsid w:val="00543426"/>
    <w:rsid w:val="0054343B"/>
    <w:rsid w:val="00543449"/>
    <w:rsid w:val="00543495"/>
    <w:rsid w:val="005434A0"/>
    <w:rsid w:val="005434B1"/>
    <w:rsid w:val="005434E2"/>
    <w:rsid w:val="0054350C"/>
    <w:rsid w:val="0054351B"/>
    <w:rsid w:val="00543554"/>
    <w:rsid w:val="0054357E"/>
    <w:rsid w:val="00543587"/>
    <w:rsid w:val="005435E6"/>
    <w:rsid w:val="005435ED"/>
    <w:rsid w:val="00543602"/>
    <w:rsid w:val="00543627"/>
    <w:rsid w:val="005436A6"/>
    <w:rsid w:val="00543713"/>
    <w:rsid w:val="00543743"/>
    <w:rsid w:val="0054374A"/>
    <w:rsid w:val="005437BE"/>
    <w:rsid w:val="005437C4"/>
    <w:rsid w:val="005437F6"/>
    <w:rsid w:val="0054380C"/>
    <w:rsid w:val="00543811"/>
    <w:rsid w:val="0054389A"/>
    <w:rsid w:val="0054399C"/>
    <w:rsid w:val="005439AB"/>
    <w:rsid w:val="00543A30"/>
    <w:rsid w:val="00543A3A"/>
    <w:rsid w:val="00543A5A"/>
    <w:rsid w:val="00543A88"/>
    <w:rsid w:val="00543AF5"/>
    <w:rsid w:val="00543B26"/>
    <w:rsid w:val="00543B92"/>
    <w:rsid w:val="00543BA1"/>
    <w:rsid w:val="00543BDA"/>
    <w:rsid w:val="00543BDD"/>
    <w:rsid w:val="00543C12"/>
    <w:rsid w:val="00543C18"/>
    <w:rsid w:val="00543CE2"/>
    <w:rsid w:val="00543D0E"/>
    <w:rsid w:val="00543D18"/>
    <w:rsid w:val="00543D1A"/>
    <w:rsid w:val="00543D3A"/>
    <w:rsid w:val="00543DD0"/>
    <w:rsid w:val="00543DD3"/>
    <w:rsid w:val="00543DE5"/>
    <w:rsid w:val="00543E55"/>
    <w:rsid w:val="00543E62"/>
    <w:rsid w:val="00543E6A"/>
    <w:rsid w:val="00543FB5"/>
    <w:rsid w:val="00543FCC"/>
    <w:rsid w:val="00543FEA"/>
    <w:rsid w:val="005440BA"/>
    <w:rsid w:val="00544100"/>
    <w:rsid w:val="0054412D"/>
    <w:rsid w:val="00544136"/>
    <w:rsid w:val="00544156"/>
    <w:rsid w:val="005441A6"/>
    <w:rsid w:val="005441B0"/>
    <w:rsid w:val="005441F6"/>
    <w:rsid w:val="00544213"/>
    <w:rsid w:val="00544215"/>
    <w:rsid w:val="00544223"/>
    <w:rsid w:val="0054424D"/>
    <w:rsid w:val="005442D9"/>
    <w:rsid w:val="005442E8"/>
    <w:rsid w:val="00544334"/>
    <w:rsid w:val="00544382"/>
    <w:rsid w:val="005443B0"/>
    <w:rsid w:val="005444D4"/>
    <w:rsid w:val="005444ED"/>
    <w:rsid w:val="0054454B"/>
    <w:rsid w:val="00544565"/>
    <w:rsid w:val="00544591"/>
    <w:rsid w:val="005445B1"/>
    <w:rsid w:val="005445B5"/>
    <w:rsid w:val="005445E7"/>
    <w:rsid w:val="0054461E"/>
    <w:rsid w:val="0054465A"/>
    <w:rsid w:val="005446CC"/>
    <w:rsid w:val="00544774"/>
    <w:rsid w:val="00544798"/>
    <w:rsid w:val="005447B9"/>
    <w:rsid w:val="005447DE"/>
    <w:rsid w:val="00544909"/>
    <w:rsid w:val="0054495E"/>
    <w:rsid w:val="005449B6"/>
    <w:rsid w:val="00544A6B"/>
    <w:rsid w:val="00544A7A"/>
    <w:rsid w:val="00544A90"/>
    <w:rsid w:val="00544A9D"/>
    <w:rsid w:val="00544AFB"/>
    <w:rsid w:val="00544B6D"/>
    <w:rsid w:val="00544BA7"/>
    <w:rsid w:val="00544BDE"/>
    <w:rsid w:val="00544C08"/>
    <w:rsid w:val="00544C38"/>
    <w:rsid w:val="00544C48"/>
    <w:rsid w:val="00544CAB"/>
    <w:rsid w:val="00544CB9"/>
    <w:rsid w:val="00544CC8"/>
    <w:rsid w:val="00544D0A"/>
    <w:rsid w:val="00544D57"/>
    <w:rsid w:val="00544D79"/>
    <w:rsid w:val="00544DA8"/>
    <w:rsid w:val="00544DAF"/>
    <w:rsid w:val="00544DB0"/>
    <w:rsid w:val="00544DC1"/>
    <w:rsid w:val="00544DCC"/>
    <w:rsid w:val="00544DDF"/>
    <w:rsid w:val="00544E28"/>
    <w:rsid w:val="00544E66"/>
    <w:rsid w:val="00544E8D"/>
    <w:rsid w:val="00544EEB"/>
    <w:rsid w:val="00544F0A"/>
    <w:rsid w:val="00544F18"/>
    <w:rsid w:val="00544F78"/>
    <w:rsid w:val="00544FBB"/>
    <w:rsid w:val="00544FDA"/>
    <w:rsid w:val="00544FEA"/>
    <w:rsid w:val="0054502A"/>
    <w:rsid w:val="005450B0"/>
    <w:rsid w:val="00545181"/>
    <w:rsid w:val="0054518B"/>
    <w:rsid w:val="005451C5"/>
    <w:rsid w:val="005451C8"/>
    <w:rsid w:val="0054522E"/>
    <w:rsid w:val="00545257"/>
    <w:rsid w:val="00545259"/>
    <w:rsid w:val="00545271"/>
    <w:rsid w:val="00545292"/>
    <w:rsid w:val="005452A4"/>
    <w:rsid w:val="005452AF"/>
    <w:rsid w:val="005452DC"/>
    <w:rsid w:val="00545318"/>
    <w:rsid w:val="00545348"/>
    <w:rsid w:val="005453C3"/>
    <w:rsid w:val="005453DB"/>
    <w:rsid w:val="00545401"/>
    <w:rsid w:val="0054544A"/>
    <w:rsid w:val="00545465"/>
    <w:rsid w:val="005454C0"/>
    <w:rsid w:val="005454F0"/>
    <w:rsid w:val="00545522"/>
    <w:rsid w:val="0054552E"/>
    <w:rsid w:val="00545570"/>
    <w:rsid w:val="00545683"/>
    <w:rsid w:val="00545692"/>
    <w:rsid w:val="005456DE"/>
    <w:rsid w:val="005456F8"/>
    <w:rsid w:val="0054575B"/>
    <w:rsid w:val="00545767"/>
    <w:rsid w:val="0054577E"/>
    <w:rsid w:val="005457A8"/>
    <w:rsid w:val="00545816"/>
    <w:rsid w:val="00545825"/>
    <w:rsid w:val="00545841"/>
    <w:rsid w:val="00545846"/>
    <w:rsid w:val="00545869"/>
    <w:rsid w:val="0054588A"/>
    <w:rsid w:val="005458A3"/>
    <w:rsid w:val="005458D0"/>
    <w:rsid w:val="005458EC"/>
    <w:rsid w:val="00545920"/>
    <w:rsid w:val="005459FD"/>
    <w:rsid w:val="00545AC2"/>
    <w:rsid w:val="00545AFF"/>
    <w:rsid w:val="00545B10"/>
    <w:rsid w:val="00545BEB"/>
    <w:rsid w:val="00545BF3"/>
    <w:rsid w:val="00545C2E"/>
    <w:rsid w:val="00545CC6"/>
    <w:rsid w:val="00545CFC"/>
    <w:rsid w:val="00545D4F"/>
    <w:rsid w:val="00545DBB"/>
    <w:rsid w:val="00545E50"/>
    <w:rsid w:val="00545E5B"/>
    <w:rsid w:val="00545E97"/>
    <w:rsid w:val="00545EBC"/>
    <w:rsid w:val="00545ED8"/>
    <w:rsid w:val="00545EE6"/>
    <w:rsid w:val="00545F24"/>
    <w:rsid w:val="00546029"/>
    <w:rsid w:val="0054604E"/>
    <w:rsid w:val="005460C7"/>
    <w:rsid w:val="00546132"/>
    <w:rsid w:val="00546143"/>
    <w:rsid w:val="0054615C"/>
    <w:rsid w:val="00546193"/>
    <w:rsid w:val="005461C6"/>
    <w:rsid w:val="00546293"/>
    <w:rsid w:val="005462A5"/>
    <w:rsid w:val="0054636E"/>
    <w:rsid w:val="005463B2"/>
    <w:rsid w:val="00546487"/>
    <w:rsid w:val="00546488"/>
    <w:rsid w:val="005464CC"/>
    <w:rsid w:val="005464D3"/>
    <w:rsid w:val="00546530"/>
    <w:rsid w:val="00546569"/>
    <w:rsid w:val="00546633"/>
    <w:rsid w:val="00546735"/>
    <w:rsid w:val="0054673C"/>
    <w:rsid w:val="00546761"/>
    <w:rsid w:val="00546777"/>
    <w:rsid w:val="005467DD"/>
    <w:rsid w:val="00546847"/>
    <w:rsid w:val="00546877"/>
    <w:rsid w:val="0054687A"/>
    <w:rsid w:val="005468EC"/>
    <w:rsid w:val="005468FA"/>
    <w:rsid w:val="0054690B"/>
    <w:rsid w:val="00546995"/>
    <w:rsid w:val="0054699C"/>
    <w:rsid w:val="005469C3"/>
    <w:rsid w:val="00546A23"/>
    <w:rsid w:val="00546A62"/>
    <w:rsid w:val="00546AFA"/>
    <w:rsid w:val="00546B8C"/>
    <w:rsid w:val="00546BB4"/>
    <w:rsid w:val="00546BC5"/>
    <w:rsid w:val="00546C05"/>
    <w:rsid w:val="00546C39"/>
    <w:rsid w:val="00546C40"/>
    <w:rsid w:val="00546C9A"/>
    <w:rsid w:val="00546CA3"/>
    <w:rsid w:val="00546D04"/>
    <w:rsid w:val="00546DD4"/>
    <w:rsid w:val="00546E4C"/>
    <w:rsid w:val="00546E62"/>
    <w:rsid w:val="00546E7D"/>
    <w:rsid w:val="00546EC0"/>
    <w:rsid w:val="00546EE2"/>
    <w:rsid w:val="00546F40"/>
    <w:rsid w:val="00546FB4"/>
    <w:rsid w:val="00546FF8"/>
    <w:rsid w:val="00547044"/>
    <w:rsid w:val="005470A4"/>
    <w:rsid w:val="00547157"/>
    <w:rsid w:val="0054719F"/>
    <w:rsid w:val="005471A1"/>
    <w:rsid w:val="005471C8"/>
    <w:rsid w:val="00547221"/>
    <w:rsid w:val="0054722E"/>
    <w:rsid w:val="00547277"/>
    <w:rsid w:val="00547352"/>
    <w:rsid w:val="00547395"/>
    <w:rsid w:val="005473C0"/>
    <w:rsid w:val="0054740B"/>
    <w:rsid w:val="00547466"/>
    <w:rsid w:val="005474C0"/>
    <w:rsid w:val="005474D4"/>
    <w:rsid w:val="00547500"/>
    <w:rsid w:val="00547507"/>
    <w:rsid w:val="00547539"/>
    <w:rsid w:val="00547547"/>
    <w:rsid w:val="0054754D"/>
    <w:rsid w:val="005475A3"/>
    <w:rsid w:val="00547623"/>
    <w:rsid w:val="00547630"/>
    <w:rsid w:val="005476A2"/>
    <w:rsid w:val="005476AF"/>
    <w:rsid w:val="005476C0"/>
    <w:rsid w:val="00547720"/>
    <w:rsid w:val="00547802"/>
    <w:rsid w:val="00547821"/>
    <w:rsid w:val="00547875"/>
    <w:rsid w:val="005478B0"/>
    <w:rsid w:val="005478BE"/>
    <w:rsid w:val="005478F8"/>
    <w:rsid w:val="00547939"/>
    <w:rsid w:val="00547956"/>
    <w:rsid w:val="0054797C"/>
    <w:rsid w:val="00547A15"/>
    <w:rsid w:val="00547A5F"/>
    <w:rsid w:val="00547A60"/>
    <w:rsid w:val="00547A75"/>
    <w:rsid w:val="00547AE8"/>
    <w:rsid w:val="00547B45"/>
    <w:rsid w:val="00547B55"/>
    <w:rsid w:val="00547B99"/>
    <w:rsid w:val="00547BAC"/>
    <w:rsid w:val="00547BF1"/>
    <w:rsid w:val="00547BF4"/>
    <w:rsid w:val="00547C51"/>
    <w:rsid w:val="00547C89"/>
    <w:rsid w:val="00547CAF"/>
    <w:rsid w:val="00547CCE"/>
    <w:rsid w:val="00547CEA"/>
    <w:rsid w:val="00547CFB"/>
    <w:rsid w:val="00547D56"/>
    <w:rsid w:val="00547D76"/>
    <w:rsid w:val="00547DFE"/>
    <w:rsid w:val="00547E23"/>
    <w:rsid w:val="00547E5D"/>
    <w:rsid w:val="00547E62"/>
    <w:rsid w:val="00547E92"/>
    <w:rsid w:val="00547EB4"/>
    <w:rsid w:val="00547F1D"/>
    <w:rsid w:val="00547F80"/>
    <w:rsid w:val="00547FD1"/>
    <w:rsid w:val="00547FE9"/>
    <w:rsid w:val="00547FF6"/>
    <w:rsid w:val="0055006D"/>
    <w:rsid w:val="00550102"/>
    <w:rsid w:val="00550108"/>
    <w:rsid w:val="005501AC"/>
    <w:rsid w:val="005501D7"/>
    <w:rsid w:val="005501D8"/>
    <w:rsid w:val="005501E1"/>
    <w:rsid w:val="00550241"/>
    <w:rsid w:val="0055025D"/>
    <w:rsid w:val="00550267"/>
    <w:rsid w:val="005502C7"/>
    <w:rsid w:val="00550308"/>
    <w:rsid w:val="00550312"/>
    <w:rsid w:val="00550316"/>
    <w:rsid w:val="0055032C"/>
    <w:rsid w:val="0055033B"/>
    <w:rsid w:val="0055037F"/>
    <w:rsid w:val="005503B7"/>
    <w:rsid w:val="005503CF"/>
    <w:rsid w:val="005503DD"/>
    <w:rsid w:val="00550407"/>
    <w:rsid w:val="00550419"/>
    <w:rsid w:val="005504A2"/>
    <w:rsid w:val="00550514"/>
    <w:rsid w:val="00550515"/>
    <w:rsid w:val="0055056E"/>
    <w:rsid w:val="00550577"/>
    <w:rsid w:val="005505A6"/>
    <w:rsid w:val="00550640"/>
    <w:rsid w:val="005506BF"/>
    <w:rsid w:val="005507A8"/>
    <w:rsid w:val="00550825"/>
    <w:rsid w:val="00550866"/>
    <w:rsid w:val="0055087C"/>
    <w:rsid w:val="005508B8"/>
    <w:rsid w:val="0055091A"/>
    <w:rsid w:val="00550927"/>
    <w:rsid w:val="0055094E"/>
    <w:rsid w:val="005509BF"/>
    <w:rsid w:val="00550A68"/>
    <w:rsid w:val="00550A69"/>
    <w:rsid w:val="00550A8D"/>
    <w:rsid w:val="00550A9D"/>
    <w:rsid w:val="00550AD3"/>
    <w:rsid w:val="00550B54"/>
    <w:rsid w:val="00550B9A"/>
    <w:rsid w:val="00550BAE"/>
    <w:rsid w:val="00550BB1"/>
    <w:rsid w:val="00550C03"/>
    <w:rsid w:val="00550C04"/>
    <w:rsid w:val="00550C1E"/>
    <w:rsid w:val="00550C21"/>
    <w:rsid w:val="00550C49"/>
    <w:rsid w:val="00550C87"/>
    <w:rsid w:val="00550C8A"/>
    <w:rsid w:val="00550D1A"/>
    <w:rsid w:val="00550DBE"/>
    <w:rsid w:val="00550DD9"/>
    <w:rsid w:val="00550DE6"/>
    <w:rsid w:val="00550DFD"/>
    <w:rsid w:val="00550E84"/>
    <w:rsid w:val="00550EAA"/>
    <w:rsid w:val="00550EAB"/>
    <w:rsid w:val="00550EB0"/>
    <w:rsid w:val="00550EBB"/>
    <w:rsid w:val="00550ECF"/>
    <w:rsid w:val="00550F12"/>
    <w:rsid w:val="00550F48"/>
    <w:rsid w:val="00550F65"/>
    <w:rsid w:val="00550F94"/>
    <w:rsid w:val="00550FA7"/>
    <w:rsid w:val="00550FD8"/>
    <w:rsid w:val="00550FF5"/>
    <w:rsid w:val="005510A8"/>
    <w:rsid w:val="00551101"/>
    <w:rsid w:val="00551109"/>
    <w:rsid w:val="0055113E"/>
    <w:rsid w:val="00551141"/>
    <w:rsid w:val="005511F0"/>
    <w:rsid w:val="0055122F"/>
    <w:rsid w:val="0055123E"/>
    <w:rsid w:val="00551264"/>
    <w:rsid w:val="005512AB"/>
    <w:rsid w:val="005512D4"/>
    <w:rsid w:val="005512F2"/>
    <w:rsid w:val="00551329"/>
    <w:rsid w:val="00551397"/>
    <w:rsid w:val="00551454"/>
    <w:rsid w:val="0055145B"/>
    <w:rsid w:val="00551468"/>
    <w:rsid w:val="00551477"/>
    <w:rsid w:val="00551485"/>
    <w:rsid w:val="005514A5"/>
    <w:rsid w:val="00551529"/>
    <w:rsid w:val="00551535"/>
    <w:rsid w:val="00551582"/>
    <w:rsid w:val="0055165F"/>
    <w:rsid w:val="00551756"/>
    <w:rsid w:val="005517C6"/>
    <w:rsid w:val="0055180E"/>
    <w:rsid w:val="0055186F"/>
    <w:rsid w:val="00551888"/>
    <w:rsid w:val="0055188F"/>
    <w:rsid w:val="005518C1"/>
    <w:rsid w:val="00551940"/>
    <w:rsid w:val="00551955"/>
    <w:rsid w:val="005519D7"/>
    <w:rsid w:val="005519E4"/>
    <w:rsid w:val="00551A56"/>
    <w:rsid w:val="00551A67"/>
    <w:rsid w:val="00551A69"/>
    <w:rsid w:val="00551A6A"/>
    <w:rsid w:val="00551A76"/>
    <w:rsid w:val="00551B09"/>
    <w:rsid w:val="00551B4B"/>
    <w:rsid w:val="00551B56"/>
    <w:rsid w:val="00551B5F"/>
    <w:rsid w:val="00551B8D"/>
    <w:rsid w:val="00551C14"/>
    <w:rsid w:val="00551C51"/>
    <w:rsid w:val="00551CAE"/>
    <w:rsid w:val="00551CB1"/>
    <w:rsid w:val="00551CCD"/>
    <w:rsid w:val="00551D0B"/>
    <w:rsid w:val="00551D34"/>
    <w:rsid w:val="00551DAB"/>
    <w:rsid w:val="00551E25"/>
    <w:rsid w:val="00551E38"/>
    <w:rsid w:val="00551EC6"/>
    <w:rsid w:val="00551EFD"/>
    <w:rsid w:val="00551F27"/>
    <w:rsid w:val="00551F4B"/>
    <w:rsid w:val="00551FB5"/>
    <w:rsid w:val="0055208C"/>
    <w:rsid w:val="005520D9"/>
    <w:rsid w:val="00552151"/>
    <w:rsid w:val="005521A9"/>
    <w:rsid w:val="005521BA"/>
    <w:rsid w:val="005521C6"/>
    <w:rsid w:val="0055220D"/>
    <w:rsid w:val="00552258"/>
    <w:rsid w:val="00552342"/>
    <w:rsid w:val="00552346"/>
    <w:rsid w:val="00552378"/>
    <w:rsid w:val="00552382"/>
    <w:rsid w:val="00552425"/>
    <w:rsid w:val="0055243F"/>
    <w:rsid w:val="005524BE"/>
    <w:rsid w:val="005524EA"/>
    <w:rsid w:val="005524EF"/>
    <w:rsid w:val="00552513"/>
    <w:rsid w:val="0055255B"/>
    <w:rsid w:val="005526EE"/>
    <w:rsid w:val="0055277C"/>
    <w:rsid w:val="00552797"/>
    <w:rsid w:val="005527CB"/>
    <w:rsid w:val="00552841"/>
    <w:rsid w:val="00552875"/>
    <w:rsid w:val="005528CA"/>
    <w:rsid w:val="0055290A"/>
    <w:rsid w:val="005529D3"/>
    <w:rsid w:val="005529E1"/>
    <w:rsid w:val="005529F4"/>
    <w:rsid w:val="00552AA9"/>
    <w:rsid w:val="00552ABB"/>
    <w:rsid w:val="00552ACC"/>
    <w:rsid w:val="00552B19"/>
    <w:rsid w:val="00552B59"/>
    <w:rsid w:val="00552B97"/>
    <w:rsid w:val="00552C86"/>
    <w:rsid w:val="00552CB6"/>
    <w:rsid w:val="00552CB9"/>
    <w:rsid w:val="00552CBB"/>
    <w:rsid w:val="00552CF5"/>
    <w:rsid w:val="00552D4A"/>
    <w:rsid w:val="00552D4D"/>
    <w:rsid w:val="00552D5D"/>
    <w:rsid w:val="00552D5E"/>
    <w:rsid w:val="00552D8C"/>
    <w:rsid w:val="00552D90"/>
    <w:rsid w:val="00552DA4"/>
    <w:rsid w:val="00552DB3"/>
    <w:rsid w:val="00552DE0"/>
    <w:rsid w:val="00552E47"/>
    <w:rsid w:val="00552E59"/>
    <w:rsid w:val="00552E7F"/>
    <w:rsid w:val="00552E90"/>
    <w:rsid w:val="00552EA6"/>
    <w:rsid w:val="00552EDE"/>
    <w:rsid w:val="00552EEC"/>
    <w:rsid w:val="00552F58"/>
    <w:rsid w:val="00552F7B"/>
    <w:rsid w:val="00552FA7"/>
    <w:rsid w:val="00552FD9"/>
    <w:rsid w:val="0055304D"/>
    <w:rsid w:val="0055309C"/>
    <w:rsid w:val="005530D5"/>
    <w:rsid w:val="005530F9"/>
    <w:rsid w:val="00553156"/>
    <w:rsid w:val="00553158"/>
    <w:rsid w:val="0055315C"/>
    <w:rsid w:val="005531FF"/>
    <w:rsid w:val="0055322F"/>
    <w:rsid w:val="005532A7"/>
    <w:rsid w:val="00553309"/>
    <w:rsid w:val="00553369"/>
    <w:rsid w:val="0055337E"/>
    <w:rsid w:val="005533AF"/>
    <w:rsid w:val="00553431"/>
    <w:rsid w:val="00553460"/>
    <w:rsid w:val="0055349E"/>
    <w:rsid w:val="005534E9"/>
    <w:rsid w:val="00553513"/>
    <w:rsid w:val="0055358B"/>
    <w:rsid w:val="005535A0"/>
    <w:rsid w:val="00553669"/>
    <w:rsid w:val="00553683"/>
    <w:rsid w:val="005536C0"/>
    <w:rsid w:val="005536D7"/>
    <w:rsid w:val="00553766"/>
    <w:rsid w:val="0055376C"/>
    <w:rsid w:val="005537E3"/>
    <w:rsid w:val="00553828"/>
    <w:rsid w:val="005538AB"/>
    <w:rsid w:val="005538CA"/>
    <w:rsid w:val="005538F7"/>
    <w:rsid w:val="005538FC"/>
    <w:rsid w:val="0055398D"/>
    <w:rsid w:val="005539CD"/>
    <w:rsid w:val="00553A35"/>
    <w:rsid w:val="00553B3D"/>
    <w:rsid w:val="00553BF9"/>
    <w:rsid w:val="00553C3A"/>
    <w:rsid w:val="00553C70"/>
    <w:rsid w:val="00553D01"/>
    <w:rsid w:val="00553D36"/>
    <w:rsid w:val="00553D37"/>
    <w:rsid w:val="00553D9E"/>
    <w:rsid w:val="00553DB5"/>
    <w:rsid w:val="00553DB9"/>
    <w:rsid w:val="00553DFD"/>
    <w:rsid w:val="00553DFE"/>
    <w:rsid w:val="00553E1F"/>
    <w:rsid w:val="00553F2E"/>
    <w:rsid w:val="00553F54"/>
    <w:rsid w:val="00553F5A"/>
    <w:rsid w:val="00553F8D"/>
    <w:rsid w:val="00553F93"/>
    <w:rsid w:val="00553FA1"/>
    <w:rsid w:val="00553FC2"/>
    <w:rsid w:val="00553FE8"/>
    <w:rsid w:val="0055402D"/>
    <w:rsid w:val="00554056"/>
    <w:rsid w:val="0055405E"/>
    <w:rsid w:val="00554066"/>
    <w:rsid w:val="005540C4"/>
    <w:rsid w:val="005540E1"/>
    <w:rsid w:val="005541CD"/>
    <w:rsid w:val="00554239"/>
    <w:rsid w:val="0055423D"/>
    <w:rsid w:val="00554269"/>
    <w:rsid w:val="00554317"/>
    <w:rsid w:val="0055435F"/>
    <w:rsid w:val="00554368"/>
    <w:rsid w:val="005543AF"/>
    <w:rsid w:val="005543C8"/>
    <w:rsid w:val="005543D8"/>
    <w:rsid w:val="005544A3"/>
    <w:rsid w:val="005544B7"/>
    <w:rsid w:val="005544D3"/>
    <w:rsid w:val="00554550"/>
    <w:rsid w:val="00554554"/>
    <w:rsid w:val="00554610"/>
    <w:rsid w:val="00554664"/>
    <w:rsid w:val="0055468A"/>
    <w:rsid w:val="00554698"/>
    <w:rsid w:val="005546D3"/>
    <w:rsid w:val="0055475A"/>
    <w:rsid w:val="005547B9"/>
    <w:rsid w:val="005547F2"/>
    <w:rsid w:val="00554802"/>
    <w:rsid w:val="00554810"/>
    <w:rsid w:val="00554891"/>
    <w:rsid w:val="005548BA"/>
    <w:rsid w:val="005548F7"/>
    <w:rsid w:val="0055492A"/>
    <w:rsid w:val="00554957"/>
    <w:rsid w:val="00554980"/>
    <w:rsid w:val="00554991"/>
    <w:rsid w:val="005549A0"/>
    <w:rsid w:val="005549AC"/>
    <w:rsid w:val="005549B7"/>
    <w:rsid w:val="00554A00"/>
    <w:rsid w:val="00554A27"/>
    <w:rsid w:val="00554A54"/>
    <w:rsid w:val="00554A93"/>
    <w:rsid w:val="00554B6B"/>
    <w:rsid w:val="00554BEA"/>
    <w:rsid w:val="00554C75"/>
    <w:rsid w:val="00554CD0"/>
    <w:rsid w:val="00554D08"/>
    <w:rsid w:val="00554D31"/>
    <w:rsid w:val="00554E89"/>
    <w:rsid w:val="00554EA8"/>
    <w:rsid w:val="00554F34"/>
    <w:rsid w:val="00554F39"/>
    <w:rsid w:val="00554F60"/>
    <w:rsid w:val="00555000"/>
    <w:rsid w:val="00555005"/>
    <w:rsid w:val="0055506E"/>
    <w:rsid w:val="00555090"/>
    <w:rsid w:val="005550F2"/>
    <w:rsid w:val="00555102"/>
    <w:rsid w:val="0055510C"/>
    <w:rsid w:val="0055511E"/>
    <w:rsid w:val="005551E3"/>
    <w:rsid w:val="00555265"/>
    <w:rsid w:val="005552D7"/>
    <w:rsid w:val="00555325"/>
    <w:rsid w:val="0055532E"/>
    <w:rsid w:val="00555403"/>
    <w:rsid w:val="00555488"/>
    <w:rsid w:val="005554DB"/>
    <w:rsid w:val="0055558E"/>
    <w:rsid w:val="005555C1"/>
    <w:rsid w:val="0055561E"/>
    <w:rsid w:val="005556BA"/>
    <w:rsid w:val="005556CE"/>
    <w:rsid w:val="005556E7"/>
    <w:rsid w:val="00555729"/>
    <w:rsid w:val="00555736"/>
    <w:rsid w:val="005557B4"/>
    <w:rsid w:val="005557BA"/>
    <w:rsid w:val="005557CA"/>
    <w:rsid w:val="00555855"/>
    <w:rsid w:val="00555862"/>
    <w:rsid w:val="00555917"/>
    <w:rsid w:val="00555969"/>
    <w:rsid w:val="005559B7"/>
    <w:rsid w:val="005559ED"/>
    <w:rsid w:val="00555A06"/>
    <w:rsid w:val="00555B01"/>
    <w:rsid w:val="00555B07"/>
    <w:rsid w:val="00555B1B"/>
    <w:rsid w:val="00555B24"/>
    <w:rsid w:val="00555C05"/>
    <w:rsid w:val="00555C0B"/>
    <w:rsid w:val="00555C31"/>
    <w:rsid w:val="00555CEB"/>
    <w:rsid w:val="00555E13"/>
    <w:rsid w:val="00555E74"/>
    <w:rsid w:val="00555EA1"/>
    <w:rsid w:val="00555EC1"/>
    <w:rsid w:val="00555EF2"/>
    <w:rsid w:val="00555F0D"/>
    <w:rsid w:val="00555F51"/>
    <w:rsid w:val="00555F90"/>
    <w:rsid w:val="00555FA1"/>
    <w:rsid w:val="00555FA9"/>
    <w:rsid w:val="00555FD2"/>
    <w:rsid w:val="00556083"/>
    <w:rsid w:val="0055619B"/>
    <w:rsid w:val="005561BC"/>
    <w:rsid w:val="005561C9"/>
    <w:rsid w:val="005562D5"/>
    <w:rsid w:val="005562E8"/>
    <w:rsid w:val="00556331"/>
    <w:rsid w:val="0055634A"/>
    <w:rsid w:val="005563D0"/>
    <w:rsid w:val="00556497"/>
    <w:rsid w:val="005564BE"/>
    <w:rsid w:val="005564DB"/>
    <w:rsid w:val="0055652F"/>
    <w:rsid w:val="00556534"/>
    <w:rsid w:val="0055654D"/>
    <w:rsid w:val="00556553"/>
    <w:rsid w:val="00556613"/>
    <w:rsid w:val="005566C1"/>
    <w:rsid w:val="005566DA"/>
    <w:rsid w:val="0055677F"/>
    <w:rsid w:val="00556821"/>
    <w:rsid w:val="00556822"/>
    <w:rsid w:val="00556832"/>
    <w:rsid w:val="00556848"/>
    <w:rsid w:val="005568FA"/>
    <w:rsid w:val="005568FC"/>
    <w:rsid w:val="00556904"/>
    <w:rsid w:val="005569DD"/>
    <w:rsid w:val="005569DE"/>
    <w:rsid w:val="00556A5C"/>
    <w:rsid w:val="00556A92"/>
    <w:rsid w:val="00556B85"/>
    <w:rsid w:val="00556B94"/>
    <w:rsid w:val="00556BF9"/>
    <w:rsid w:val="00556C60"/>
    <w:rsid w:val="00556CD3"/>
    <w:rsid w:val="00556D18"/>
    <w:rsid w:val="00556D47"/>
    <w:rsid w:val="00556D89"/>
    <w:rsid w:val="00556DCC"/>
    <w:rsid w:val="00556DEF"/>
    <w:rsid w:val="00556EBA"/>
    <w:rsid w:val="00556EE8"/>
    <w:rsid w:val="00556F2A"/>
    <w:rsid w:val="00556FD6"/>
    <w:rsid w:val="00556FE2"/>
    <w:rsid w:val="00556FF9"/>
    <w:rsid w:val="00556FFB"/>
    <w:rsid w:val="00556FFD"/>
    <w:rsid w:val="00557016"/>
    <w:rsid w:val="00557031"/>
    <w:rsid w:val="00557080"/>
    <w:rsid w:val="005570D9"/>
    <w:rsid w:val="005570F5"/>
    <w:rsid w:val="00557113"/>
    <w:rsid w:val="00557138"/>
    <w:rsid w:val="005571A9"/>
    <w:rsid w:val="005571FF"/>
    <w:rsid w:val="00557207"/>
    <w:rsid w:val="00557219"/>
    <w:rsid w:val="00557250"/>
    <w:rsid w:val="0055727D"/>
    <w:rsid w:val="005572A8"/>
    <w:rsid w:val="005572BF"/>
    <w:rsid w:val="005572EA"/>
    <w:rsid w:val="0055734E"/>
    <w:rsid w:val="0055735D"/>
    <w:rsid w:val="00557395"/>
    <w:rsid w:val="005573BA"/>
    <w:rsid w:val="005573C9"/>
    <w:rsid w:val="005573D3"/>
    <w:rsid w:val="0055748D"/>
    <w:rsid w:val="005574CB"/>
    <w:rsid w:val="005574E8"/>
    <w:rsid w:val="005574EA"/>
    <w:rsid w:val="00557554"/>
    <w:rsid w:val="00557555"/>
    <w:rsid w:val="00557558"/>
    <w:rsid w:val="00557598"/>
    <w:rsid w:val="005575D3"/>
    <w:rsid w:val="0055762A"/>
    <w:rsid w:val="005576C2"/>
    <w:rsid w:val="005576ED"/>
    <w:rsid w:val="00557751"/>
    <w:rsid w:val="0055777D"/>
    <w:rsid w:val="0055781D"/>
    <w:rsid w:val="00557826"/>
    <w:rsid w:val="00557885"/>
    <w:rsid w:val="00557907"/>
    <w:rsid w:val="00557927"/>
    <w:rsid w:val="00557983"/>
    <w:rsid w:val="005579DC"/>
    <w:rsid w:val="005579E9"/>
    <w:rsid w:val="00557A04"/>
    <w:rsid w:val="00557A56"/>
    <w:rsid w:val="00557A7E"/>
    <w:rsid w:val="00557B15"/>
    <w:rsid w:val="00557B51"/>
    <w:rsid w:val="00557B6E"/>
    <w:rsid w:val="00557B8F"/>
    <w:rsid w:val="00557BBC"/>
    <w:rsid w:val="00557C23"/>
    <w:rsid w:val="00557C2C"/>
    <w:rsid w:val="00557C5E"/>
    <w:rsid w:val="00557CFD"/>
    <w:rsid w:val="00557D17"/>
    <w:rsid w:val="00557D91"/>
    <w:rsid w:val="00557DA3"/>
    <w:rsid w:val="00557E0A"/>
    <w:rsid w:val="00557E55"/>
    <w:rsid w:val="00557E5F"/>
    <w:rsid w:val="00557E76"/>
    <w:rsid w:val="00557E7D"/>
    <w:rsid w:val="00557E80"/>
    <w:rsid w:val="00557EA5"/>
    <w:rsid w:val="00557ECA"/>
    <w:rsid w:val="00557F2B"/>
    <w:rsid w:val="00557F34"/>
    <w:rsid w:val="00557F41"/>
    <w:rsid w:val="00557F5E"/>
    <w:rsid w:val="00557FF8"/>
    <w:rsid w:val="00560071"/>
    <w:rsid w:val="00560095"/>
    <w:rsid w:val="005600CE"/>
    <w:rsid w:val="0056011B"/>
    <w:rsid w:val="00560147"/>
    <w:rsid w:val="0056016C"/>
    <w:rsid w:val="0056016D"/>
    <w:rsid w:val="005601AE"/>
    <w:rsid w:val="00560247"/>
    <w:rsid w:val="0056024D"/>
    <w:rsid w:val="005602DE"/>
    <w:rsid w:val="005602F5"/>
    <w:rsid w:val="0056034C"/>
    <w:rsid w:val="00560351"/>
    <w:rsid w:val="00560383"/>
    <w:rsid w:val="00560404"/>
    <w:rsid w:val="005604C0"/>
    <w:rsid w:val="005604EA"/>
    <w:rsid w:val="005604F1"/>
    <w:rsid w:val="005604FE"/>
    <w:rsid w:val="00560554"/>
    <w:rsid w:val="0056055E"/>
    <w:rsid w:val="0056055F"/>
    <w:rsid w:val="00560592"/>
    <w:rsid w:val="005605FE"/>
    <w:rsid w:val="00560652"/>
    <w:rsid w:val="00560667"/>
    <w:rsid w:val="005606A8"/>
    <w:rsid w:val="005606E9"/>
    <w:rsid w:val="00560717"/>
    <w:rsid w:val="00560759"/>
    <w:rsid w:val="00560790"/>
    <w:rsid w:val="0056079B"/>
    <w:rsid w:val="005607B4"/>
    <w:rsid w:val="005607BC"/>
    <w:rsid w:val="005607C2"/>
    <w:rsid w:val="00560837"/>
    <w:rsid w:val="00560886"/>
    <w:rsid w:val="005608F1"/>
    <w:rsid w:val="00560900"/>
    <w:rsid w:val="00560943"/>
    <w:rsid w:val="00560949"/>
    <w:rsid w:val="005609B0"/>
    <w:rsid w:val="005609B9"/>
    <w:rsid w:val="00560AFF"/>
    <w:rsid w:val="00560B30"/>
    <w:rsid w:val="00560BDF"/>
    <w:rsid w:val="00560C21"/>
    <w:rsid w:val="00560C54"/>
    <w:rsid w:val="00560C5E"/>
    <w:rsid w:val="00560C99"/>
    <w:rsid w:val="00560CBD"/>
    <w:rsid w:val="00560CF3"/>
    <w:rsid w:val="00560D41"/>
    <w:rsid w:val="00560D4B"/>
    <w:rsid w:val="00560D5E"/>
    <w:rsid w:val="00560DB1"/>
    <w:rsid w:val="00560DC6"/>
    <w:rsid w:val="00560E66"/>
    <w:rsid w:val="00560EAA"/>
    <w:rsid w:val="00560EB8"/>
    <w:rsid w:val="00560ED5"/>
    <w:rsid w:val="00560F0E"/>
    <w:rsid w:val="00560F10"/>
    <w:rsid w:val="00560F13"/>
    <w:rsid w:val="0056105E"/>
    <w:rsid w:val="005610C5"/>
    <w:rsid w:val="00561135"/>
    <w:rsid w:val="00561153"/>
    <w:rsid w:val="0056115D"/>
    <w:rsid w:val="0056119D"/>
    <w:rsid w:val="005611BB"/>
    <w:rsid w:val="005611CD"/>
    <w:rsid w:val="005611E3"/>
    <w:rsid w:val="00561259"/>
    <w:rsid w:val="0056127A"/>
    <w:rsid w:val="005612A8"/>
    <w:rsid w:val="005612ED"/>
    <w:rsid w:val="00561312"/>
    <w:rsid w:val="00561355"/>
    <w:rsid w:val="00561451"/>
    <w:rsid w:val="00561497"/>
    <w:rsid w:val="005614F6"/>
    <w:rsid w:val="0056154A"/>
    <w:rsid w:val="00561596"/>
    <w:rsid w:val="0056161A"/>
    <w:rsid w:val="00561633"/>
    <w:rsid w:val="00561642"/>
    <w:rsid w:val="00561688"/>
    <w:rsid w:val="005616DB"/>
    <w:rsid w:val="0056173E"/>
    <w:rsid w:val="00561742"/>
    <w:rsid w:val="00561754"/>
    <w:rsid w:val="00561759"/>
    <w:rsid w:val="005617E2"/>
    <w:rsid w:val="005617F8"/>
    <w:rsid w:val="00561874"/>
    <w:rsid w:val="00561940"/>
    <w:rsid w:val="005619BA"/>
    <w:rsid w:val="00561A31"/>
    <w:rsid w:val="00561AC2"/>
    <w:rsid w:val="00561AD9"/>
    <w:rsid w:val="00561AFE"/>
    <w:rsid w:val="00561B5A"/>
    <w:rsid w:val="00561B72"/>
    <w:rsid w:val="00561BA3"/>
    <w:rsid w:val="00561C10"/>
    <w:rsid w:val="00561C2C"/>
    <w:rsid w:val="00561C31"/>
    <w:rsid w:val="00561C3D"/>
    <w:rsid w:val="00561C61"/>
    <w:rsid w:val="00561C83"/>
    <w:rsid w:val="00561CB0"/>
    <w:rsid w:val="00561D94"/>
    <w:rsid w:val="00561E55"/>
    <w:rsid w:val="00561E5A"/>
    <w:rsid w:val="00561E6F"/>
    <w:rsid w:val="00561E81"/>
    <w:rsid w:val="00561E94"/>
    <w:rsid w:val="00561ED0"/>
    <w:rsid w:val="00561F11"/>
    <w:rsid w:val="00561F2D"/>
    <w:rsid w:val="00561FA1"/>
    <w:rsid w:val="00561FFD"/>
    <w:rsid w:val="0056200A"/>
    <w:rsid w:val="00562061"/>
    <w:rsid w:val="005620BB"/>
    <w:rsid w:val="005620E3"/>
    <w:rsid w:val="005620F6"/>
    <w:rsid w:val="00562149"/>
    <w:rsid w:val="00562155"/>
    <w:rsid w:val="0056215D"/>
    <w:rsid w:val="00562199"/>
    <w:rsid w:val="005621C3"/>
    <w:rsid w:val="005621E5"/>
    <w:rsid w:val="00562221"/>
    <w:rsid w:val="0056223F"/>
    <w:rsid w:val="00562252"/>
    <w:rsid w:val="00562283"/>
    <w:rsid w:val="00562295"/>
    <w:rsid w:val="005622CD"/>
    <w:rsid w:val="00562321"/>
    <w:rsid w:val="005623BE"/>
    <w:rsid w:val="005623C8"/>
    <w:rsid w:val="005623EC"/>
    <w:rsid w:val="005623FD"/>
    <w:rsid w:val="00562412"/>
    <w:rsid w:val="005624A7"/>
    <w:rsid w:val="005624D9"/>
    <w:rsid w:val="00562503"/>
    <w:rsid w:val="0056250F"/>
    <w:rsid w:val="005625C2"/>
    <w:rsid w:val="005625DA"/>
    <w:rsid w:val="00562632"/>
    <w:rsid w:val="00562671"/>
    <w:rsid w:val="005626AF"/>
    <w:rsid w:val="005626FC"/>
    <w:rsid w:val="005627BE"/>
    <w:rsid w:val="005627E7"/>
    <w:rsid w:val="00562843"/>
    <w:rsid w:val="00562863"/>
    <w:rsid w:val="005628C3"/>
    <w:rsid w:val="00562944"/>
    <w:rsid w:val="00562986"/>
    <w:rsid w:val="005629A2"/>
    <w:rsid w:val="005629C6"/>
    <w:rsid w:val="005629CE"/>
    <w:rsid w:val="005629FF"/>
    <w:rsid w:val="00562A07"/>
    <w:rsid w:val="00562A53"/>
    <w:rsid w:val="00562A58"/>
    <w:rsid w:val="00562A93"/>
    <w:rsid w:val="00562AB8"/>
    <w:rsid w:val="00562AC4"/>
    <w:rsid w:val="00562AD0"/>
    <w:rsid w:val="00562AD9"/>
    <w:rsid w:val="00562B09"/>
    <w:rsid w:val="00562B99"/>
    <w:rsid w:val="00562BE5"/>
    <w:rsid w:val="00562C05"/>
    <w:rsid w:val="00562C16"/>
    <w:rsid w:val="00562C55"/>
    <w:rsid w:val="00562C5C"/>
    <w:rsid w:val="00562C6B"/>
    <w:rsid w:val="00562C77"/>
    <w:rsid w:val="00562CA0"/>
    <w:rsid w:val="00562D1E"/>
    <w:rsid w:val="00562D44"/>
    <w:rsid w:val="00562D4D"/>
    <w:rsid w:val="00562D85"/>
    <w:rsid w:val="00562E12"/>
    <w:rsid w:val="00562E57"/>
    <w:rsid w:val="00562E83"/>
    <w:rsid w:val="00562E94"/>
    <w:rsid w:val="00562ECE"/>
    <w:rsid w:val="00562EDC"/>
    <w:rsid w:val="00562F17"/>
    <w:rsid w:val="00562F18"/>
    <w:rsid w:val="00562F86"/>
    <w:rsid w:val="00563064"/>
    <w:rsid w:val="005630DE"/>
    <w:rsid w:val="005630E6"/>
    <w:rsid w:val="00563139"/>
    <w:rsid w:val="00563152"/>
    <w:rsid w:val="00563190"/>
    <w:rsid w:val="005631A2"/>
    <w:rsid w:val="005631CB"/>
    <w:rsid w:val="00563209"/>
    <w:rsid w:val="00563219"/>
    <w:rsid w:val="00563246"/>
    <w:rsid w:val="0056326D"/>
    <w:rsid w:val="00563337"/>
    <w:rsid w:val="0056334A"/>
    <w:rsid w:val="005633D2"/>
    <w:rsid w:val="005633EE"/>
    <w:rsid w:val="00563426"/>
    <w:rsid w:val="00563474"/>
    <w:rsid w:val="00563508"/>
    <w:rsid w:val="0056350B"/>
    <w:rsid w:val="0056352F"/>
    <w:rsid w:val="005635B9"/>
    <w:rsid w:val="0056364D"/>
    <w:rsid w:val="00563663"/>
    <w:rsid w:val="005636AD"/>
    <w:rsid w:val="005636BB"/>
    <w:rsid w:val="005636F8"/>
    <w:rsid w:val="0056374F"/>
    <w:rsid w:val="0056383E"/>
    <w:rsid w:val="0056388B"/>
    <w:rsid w:val="0056388C"/>
    <w:rsid w:val="0056388E"/>
    <w:rsid w:val="00563984"/>
    <w:rsid w:val="005639B5"/>
    <w:rsid w:val="005639BD"/>
    <w:rsid w:val="00563ABD"/>
    <w:rsid w:val="00563B43"/>
    <w:rsid w:val="00563B54"/>
    <w:rsid w:val="00563B66"/>
    <w:rsid w:val="00563B90"/>
    <w:rsid w:val="00563BAA"/>
    <w:rsid w:val="00563BCB"/>
    <w:rsid w:val="00563BED"/>
    <w:rsid w:val="00563C11"/>
    <w:rsid w:val="00563CC9"/>
    <w:rsid w:val="00563CD1"/>
    <w:rsid w:val="00563D0F"/>
    <w:rsid w:val="00563D46"/>
    <w:rsid w:val="00563D83"/>
    <w:rsid w:val="00563D8C"/>
    <w:rsid w:val="00563D9D"/>
    <w:rsid w:val="00563DA7"/>
    <w:rsid w:val="00563E23"/>
    <w:rsid w:val="00563E24"/>
    <w:rsid w:val="00563E6D"/>
    <w:rsid w:val="00563E80"/>
    <w:rsid w:val="00563F4E"/>
    <w:rsid w:val="00563F66"/>
    <w:rsid w:val="00563F69"/>
    <w:rsid w:val="00563F8E"/>
    <w:rsid w:val="00563F9A"/>
    <w:rsid w:val="0056402A"/>
    <w:rsid w:val="00564079"/>
    <w:rsid w:val="0056409D"/>
    <w:rsid w:val="005640BC"/>
    <w:rsid w:val="00564102"/>
    <w:rsid w:val="00564121"/>
    <w:rsid w:val="00564156"/>
    <w:rsid w:val="00564162"/>
    <w:rsid w:val="005641A2"/>
    <w:rsid w:val="0056425A"/>
    <w:rsid w:val="00564266"/>
    <w:rsid w:val="005642B4"/>
    <w:rsid w:val="0056434B"/>
    <w:rsid w:val="005643BF"/>
    <w:rsid w:val="0056440D"/>
    <w:rsid w:val="0056445C"/>
    <w:rsid w:val="00564470"/>
    <w:rsid w:val="00564487"/>
    <w:rsid w:val="005644AC"/>
    <w:rsid w:val="00564512"/>
    <w:rsid w:val="0056456E"/>
    <w:rsid w:val="005645D1"/>
    <w:rsid w:val="005645D5"/>
    <w:rsid w:val="0056466D"/>
    <w:rsid w:val="00564682"/>
    <w:rsid w:val="005646A5"/>
    <w:rsid w:val="005646D5"/>
    <w:rsid w:val="00564701"/>
    <w:rsid w:val="00564708"/>
    <w:rsid w:val="00564719"/>
    <w:rsid w:val="0056471E"/>
    <w:rsid w:val="00564760"/>
    <w:rsid w:val="00564786"/>
    <w:rsid w:val="0056478A"/>
    <w:rsid w:val="00564793"/>
    <w:rsid w:val="005647E2"/>
    <w:rsid w:val="00564905"/>
    <w:rsid w:val="0056493E"/>
    <w:rsid w:val="0056495E"/>
    <w:rsid w:val="00564966"/>
    <w:rsid w:val="005649E3"/>
    <w:rsid w:val="00564A03"/>
    <w:rsid w:val="00564A1E"/>
    <w:rsid w:val="00564A53"/>
    <w:rsid w:val="00564AAD"/>
    <w:rsid w:val="00564AE7"/>
    <w:rsid w:val="00564AE9"/>
    <w:rsid w:val="00564AF3"/>
    <w:rsid w:val="00564B07"/>
    <w:rsid w:val="00564B31"/>
    <w:rsid w:val="00564B53"/>
    <w:rsid w:val="00564B64"/>
    <w:rsid w:val="00564B92"/>
    <w:rsid w:val="00564B94"/>
    <w:rsid w:val="00564C4F"/>
    <w:rsid w:val="00564C56"/>
    <w:rsid w:val="00564C8B"/>
    <w:rsid w:val="00564CAD"/>
    <w:rsid w:val="00564CCA"/>
    <w:rsid w:val="00564D36"/>
    <w:rsid w:val="00564D3B"/>
    <w:rsid w:val="00564D92"/>
    <w:rsid w:val="00564DCC"/>
    <w:rsid w:val="00564DD3"/>
    <w:rsid w:val="00564DF6"/>
    <w:rsid w:val="00564E99"/>
    <w:rsid w:val="00564EA9"/>
    <w:rsid w:val="00564EDB"/>
    <w:rsid w:val="00564EE0"/>
    <w:rsid w:val="00564F86"/>
    <w:rsid w:val="00564FBF"/>
    <w:rsid w:val="00565012"/>
    <w:rsid w:val="00565074"/>
    <w:rsid w:val="005650FE"/>
    <w:rsid w:val="0056515B"/>
    <w:rsid w:val="0056515E"/>
    <w:rsid w:val="00565184"/>
    <w:rsid w:val="005651A3"/>
    <w:rsid w:val="005651BF"/>
    <w:rsid w:val="00565249"/>
    <w:rsid w:val="00565288"/>
    <w:rsid w:val="005652D7"/>
    <w:rsid w:val="005652E2"/>
    <w:rsid w:val="005653A2"/>
    <w:rsid w:val="005653B0"/>
    <w:rsid w:val="005653BA"/>
    <w:rsid w:val="005653D4"/>
    <w:rsid w:val="005653F1"/>
    <w:rsid w:val="00565427"/>
    <w:rsid w:val="00565456"/>
    <w:rsid w:val="0056547A"/>
    <w:rsid w:val="005654F4"/>
    <w:rsid w:val="005654F8"/>
    <w:rsid w:val="00565502"/>
    <w:rsid w:val="00565660"/>
    <w:rsid w:val="005656B0"/>
    <w:rsid w:val="005656C7"/>
    <w:rsid w:val="005656EA"/>
    <w:rsid w:val="00565779"/>
    <w:rsid w:val="0056578D"/>
    <w:rsid w:val="005657B4"/>
    <w:rsid w:val="0056582C"/>
    <w:rsid w:val="00565848"/>
    <w:rsid w:val="005658B4"/>
    <w:rsid w:val="005658FB"/>
    <w:rsid w:val="00565959"/>
    <w:rsid w:val="005659E1"/>
    <w:rsid w:val="005659F4"/>
    <w:rsid w:val="00565A33"/>
    <w:rsid w:val="00565A6E"/>
    <w:rsid w:val="00565A95"/>
    <w:rsid w:val="00565AF5"/>
    <w:rsid w:val="00565B8F"/>
    <w:rsid w:val="00565C03"/>
    <w:rsid w:val="00565C25"/>
    <w:rsid w:val="00565C3B"/>
    <w:rsid w:val="00565C4E"/>
    <w:rsid w:val="00565C68"/>
    <w:rsid w:val="00565C91"/>
    <w:rsid w:val="00565C92"/>
    <w:rsid w:val="00565CC4"/>
    <w:rsid w:val="00565D57"/>
    <w:rsid w:val="00565DD0"/>
    <w:rsid w:val="00565DE6"/>
    <w:rsid w:val="00565E8A"/>
    <w:rsid w:val="00565E8E"/>
    <w:rsid w:val="00565EF3"/>
    <w:rsid w:val="00565F83"/>
    <w:rsid w:val="00565FA9"/>
    <w:rsid w:val="00565FC8"/>
    <w:rsid w:val="00565FEF"/>
    <w:rsid w:val="00566019"/>
    <w:rsid w:val="00566041"/>
    <w:rsid w:val="00566075"/>
    <w:rsid w:val="00566078"/>
    <w:rsid w:val="00566087"/>
    <w:rsid w:val="005660C6"/>
    <w:rsid w:val="005660E0"/>
    <w:rsid w:val="005660EE"/>
    <w:rsid w:val="005660FA"/>
    <w:rsid w:val="0056613C"/>
    <w:rsid w:val="00566205"/>
    <w:rsid w:val="00566218"/>
    <w:rsid w:val="0056622F"/>
    <w:rsid w:val="0056626C"/>
    <w:rsid w:val="005662EE"/>
    <w:rsid w:val="00566448"/>
    <w:rsid w:val="00566474"/>
    <w:rsid w:val="0056649E"/>
    <w:rsid w:val="0056651C"/>
    <w:rsid w:val="005665CB"/>
    <w:rsid w:val="005665FB"/>
    <w:rsid w:val="00566616"/>
    <w:rsid w:val="00566627"/>
    <w:rsid w:val="00566631"/>
    <w:rsid w:val="00566641"/>
    <w:rsid w:val="005666A6"/>
    <w:rsid w:val="005666BB"/>
    <w:rsid w:val="005666F2"/>
    <w:rsid w:val="00566705"/>
    <w:rsid w:val="0056671F"/>
    <w:rsid w:val="00566760"/>
    <w:rsid w:val="005667F3"/>
    <w:rsid w:val="0056683A"/>
    <w:rsid w:val="00566864"/>
    <w:rsid w:val="00566882"/>
    <w:rsid w:val="00566889"/>
    <w:rsid w:val="005668BB"/>
    <w:rsid w:val="00566905"/>
    <w:rsid w:val="00566936"/>
    <w:rsid w:val="00566956"/>
    <w:rsid w:val="005669B4"/>
    <w:rsid w:val="005669D2"/>
    <w:rsid w:val="00566AB9"/>
    <w:rsid w:val="00566B8A"/>
    <w:rsid w:val="00566B92"/>
    <w:rsid w:val="00566BC7"/>
    <w:rsid w:val="00566BCB"/>
    <w:rsid w:val="00566BDE"/>
    <w:rsid w:val="00566C05"/>
    <w:rsid w:val="00566C17"/>
    <w:rsid w:val="00566CA7"/>
    <w:rsid w:val="00566D80"/>
    <w:rsid w:val="00566E3E"/>
    <w:rsid w:val="00566E46"/>
    <w:rsid w:val="00566E4E"/>
    <w:rsid w:val="00566E52"/>
    <w:rsid w:val="00566E55"/>
    <w:rsid w:val="00566E70"/>
    <w:rsid w:val="00566ECC"/>
    <w:rsid w:val="005670AF"/>
    <w:rsid w:val="00567125"/>
    <w:rsid w:val="00567151"/>
    <w:rsid w:val="00567166"/>
    <w:rsid w:val="00567170"/>
    <w:rsid w:val="005671D4"/>
    <w:rsid w:val="005671E6"/>
    <w:rsid w:val="005671F2"/>
    <w:rsid w:val="00567204"/>
    <w:rsid w:val="00567226"/>
    <w:rsid w:val="00567232"/>
    <w:rsid w:val="0056723C"/>
    <w:rsid w:val="00567271"/>
    <w:rsid w:val="00567274"/>
    <w:rsid w:val="0056730A"/>
    <w:rsid w:val="00567319"/>
    <w:rsid w:val="00567343"/>
    <w:rsid w:val="005673CA"/>
    <w:rsid w:val="005673FE"/>
    <w:rsid w:val="00567413"/>
    <w:rsid w:val="00567425"/>
    <w:rsid w:val="0056746E"/>
    <w:rsid w:val="00567475"/>
    <w:rsid w:val="0056747A"/>
    <w:rsid w:val="005674CB"/>
    <w:rsid w:val="005674D5"/>
    <w:rsid w:val="005674E2"/>
    <w:rsid w:val="00567537"/>
    <w:rsid w:val="0056753E"/>
    <w:rsid w:val="0056759B"/>
    <w:rsid w:val="005675D1"/>
    <w:rsid w:val="005675D9"/>
    <w:rsid w:val="005675E9"/>
    <w:rsid w:val="0056769D"/>
    <w:rsid w:val="005676EE"/>
    <w:rsid w:val="00567707"/>
    <w:rsid w:val="0056771D"/>
    <w:rsid w:val="00567724"/>
    <w:rsid w:val="0056773E"/>
    <w:rsid w:val="00567743"/>
    <w:rsid w:val="00567768"/>
    <w:rsid w:val="00567789"/>
    <w:rsid w:val="005677F7"/>
    <w:rsid w:val="005677F9"/>
    <w:rsid w:val="00567825"/>
    <w:rsid w:val="0056785D"/>
    <w:rsid w:val="00567925"/>
    <w:rsid w:val="0056798B"/>
    <w:rsid w:val="005679F2"/>
    <w:rsid w:val="005679FA"/>
    <w:rsid w:val="00567A6C"/>
    <w:rsid w:val="00567A7C"/>
    <w:rsid w:val="00567A90"/>
    <w:rsid w:val="00567AF1"/>
    <w:rsid w:val="00567BAD"/>
    <w:rsid w:val="00567D43"/>
    <w:rsid w:val="00567D8E"/>
    <w:rsid w:val="00567D97"/>
    <w:rsid w:val="00567EF3"/>
    <w:rsid w:val="00567F01"/>
    <w:rsid w:val="00567F8A"/>
    <w:rsid w:val="00567FAD"/>
    <w:rsid w:val="00567FF8"/>
    <w:rsid w:val="00570033"/>
    <w:rsid w:val="00570058"/>
    <w:rsid w:val="00570062"/>
    <w:rsid w:val="0057007F"/>
    <w:rsid w:val="00570138"/>
    <w:rsid w:val="0057014D"/>
    <w:rsid w:val="0057019A"/>
    <w:rsid w:val="005701AA"/>
    <w:rsid w:val="005701BC"/>
    <w:rsid w:val="00570209"/>
    <w:rsid w:val="00570216"/>
    <w:rsid w:val="00570232"/>
    <w:rsid w:val="005702C2"/>
    <w:rsid w:val="00570352"/>
    <w:rsid w:val="005703E2"/>
    <w:rsid w:val="00570400"/>
    <w:rsid w:val="0057041F"/>
    <w:rsid w:val="00570446"/>
    <w:rsid w:val="00570473"/>
    <w:rsid w:val="005704BF"/>
    <w:rsid w:val="005704CD"/>
    <w:rsid w:val="005704E2"/>
    <w:rsid w:val="00570537"/>
    <w:rsid w:val="00570558"/>
    <w:rsid w:val="0057074C"/>
    <w:rsid w:val="0057076D"/>
    <w:rsid w:val="00570771"/>
    <w:rsid w:val="0057077D"/>
    <w:rsid w:val="0057086C"/>
    <w:rsid w:val="0057095C"/>
    <w:rsid w:val="0057099D"/>
    <w:rsid w:val="005709B0"/>
    <w:rsid w:val="005709EA"/>
    <w:rsid w:val="00570A1B"/>
    <w:rsid w:val="00570A43"/>
    <w:rsid w:val="00570A7C"/>
    <w:rsid w:val="00570AA1"/>
    <w:rsid w:val="00570ACB"/>
    <w:rsid w:val="00570B2D"/>
    <w:rsid w:val="00570B68"/>
    <w:rsid w:val="00570B6D"/>
    <w:rsid w:val="00570BFA"/>
    <w:rsid w:val="00570C18"/>
    <w:rsid w:val="00570C49"/>
    <w:rsid w:val="00570C4C"/>
    <w:rsid w:val="00570C52"/>
    <w:rsid w:val="00570C90"/>
    <w:rsid w:val="00570CC6"/>
    <w:rsid w:val="00570D6E"/>
    <w:rsid w:val="00570DBF"/>
    <w:rsid w:val="00570DD1"/>
    <w:rsid w:val="00570E13"/>
    <w:rsid w:val="00570E2E"/>
    <w:rsid w:val="00570E79"/>
    <w:rsid w:val="00570EAC"/>
    <w:rsid w:val="00570EB1"/>
    <w:rsid w:val="00570EBB"/>
    <w:rsid w:val="00570EDF"/>
    <w:rsid w:val="00570F64"/>
    <w:rsid w:val="00570FA2"/>
    <w:rsid w:val="00570FBC"/>
    <w:rsid w:val="00570FEC"/>
    <w:rsid w:val="0057101D"/>
    <w:rsid w:val="00571079"/>
    <w:rsid w:val="0057108E"/>
    <w:rsid w:val="00571099"/>
    <w:rsid w:val="005710FD"/>
    <w:rsid w:val="0057115D"/>
    <w:rsid w:val="0057117C"/>
    <w:rsid w:val="005711B6"/>
    <w:rsid w:val="005711CB"/>
    <w:rsid w:val="0057121A"/>
    <w:rsid w:val="00571236"/>
    <w:rsid w:val="00571254"/>
    <w:rsid w:val="0057126D"/>
    <w:rsid w:val="0057127A"/>
    <w:rsid w:val="00571290"/>
    <w:rsid w:val="00571292"/>
    <w:rsid w:val="005713D1"/>
    <w:rsid w:val="005714AD"/>
    <w:rsid w:val="0057151C"/>
    <w:rsid w:val="00571540"/>
    <w:rsid w:val="0057156B"/>
    <w:rsid w:val="005715BB"/>
    <w:rsid w:val="005715C2"/>
    <w:rsid w:val="005715C6"/>
    <w:rsid w:val="00571647"/>
    <w:rsid w:val="0057164E"/>
    <w:rsid w:val="005716A4"/>
    <w:rsid w:val="005716C1"/>
    <w:rsid w:val="00571771"/>
    <w:rsid w:val="00571774"/>
    <w:rsid w:val="005717BA"/>
    <w:rsid w:val="005717BB"/>
    <w:rsid w:val="005717C1"/>
    <w:rsid w:val="005717D3"/>
    <w:rsid w:val="005717D5"/>
    <w:rsid w:val="00571811"/>
    <w:rsid w:val="00571814"/>
    <w:rsid w:val="00571837"/>
    <w:rsid w:val="0057184C"/>
    <w:rsid w:val="00571887"/>
    <w:rsid w:val="0057196E"/>
    <w:rsid w:val="00571990"/>
    <w:rsid w:val="005719A9"/>
    <w:rsid w:val="005719C4"/>
    <w:rsid w:val="005719CA"/>
    <w:rsid w:val="005719CC"/>
    <w:rsid w:val="005719E4"/>
    <w:rsid w:val="005719F4"/>
    <w:rsid w:val="005719FA"/>
    <w:rsid w:val="00571A04"/>
    <w:rsid w:val="00571A9E"/>
    <w:rsid w:val="00571B3E"/>
    <w:rsid w:val="00571BBA"/>
    <w:rsid w:val="00571BF2"/>
    <w:rsid w:val="00571C30"/>
    <w:rsid w:val="00571C51"/>
    <w:rsid w:val="00571CBA"/>
    <w:rsid w:val="00571CD8"/>
    <w:rsid w:val="00571CF0"/>
    <w:rsid w:val="00571CF2"/>
    <w:rsid w:val="00571D07"/>
    <w:rsid w:val="00571D0D"/>
    <w:rsid w:val="00571D20"/>
    <w:rsid w:val="00571D30"/>
    <w:rsid w:val="00571D60"/>
    <w:rsid w:val="00571E21"/>
    <w:rsid w:val="00571EC1"/>
    <w:rsid w:val="00571EFE"/>
    <w:rsid w:val="00571F25"/>
    <w:rsid w:val="00571F52"/>
    <w:rsid w:val="00571FC8"/>
    <w:rsid w:val="00571FCF"/>
    <w:rsid w:val="00572048"/>
    <w:rsid w:val="0057204E"/>
    <w:rsid w:val="00572068"/>
    <w:rsid w:val="00572094"/>
    <w:rsid w:val="005720DE"/>
    <w:rsid w:val="005720FC"/>
    <w:rsid w:val="0057212D"/>
    <w:rsid w:val="00572145"/>
    <w:rsid w:val="00572166"/>
    <w:rsid w:val="00572195"/>
    <w:rsid w:val="005721FF"/>
    <w:rsid w:val="00572258"/>
    <w:rsid w:val="00572266"/>
    <w:rsid w:val="00572273"/>
    <w:rsid w:val="005722AC"/>
    <w:rsid w:val="005722B3"/>
    <w:rsid w:val="005722B6"/>
    <w:rsid w:val="005722CE"/>
    <w:rsid w:val="005722E2"/>
    <w:rsid w:val="0057232F"/>
    <w:rsid w:val="00572362"/>
    <w:rsid w:val="0057236B"/>
    <w:rsid w:val="005723AA"/>
    <w:rsid w:val="005723CC"/>
    <w:rsid w:val="0057249E"/>
    <w:rsid w:val="005724B4"/>
    <w:rsid w:val="005725B1"/>
    <w:rsid w:val="00572664"/>
    <w:rsid w:val="00572684"/>
    <w:rsid w:val="005726DF"/>
    <w:rsid w:val="005726EC"/>
    <w:rsid w:val="005726EF"/>
    <w:rsid w:val="005726FB"/>
    <w:rsid w:val="005726FE"/>
    <w:rsid w:val="00572705"/>
    <w:rsid w:val="00572710"/>
    <w:rsid w:val="0057272B"/>
    <w:rsid w:val="0057272D"/>
    <w:rsid w:val="0057274B"/>
    <w:rsid w:val="00572782"/>
    <w:rsid w:val="00572794"/>
    <w:rsid w:val="005727AB"/>
    <w:rsid w:val="005727FA"/>
    <w:rsid w:val="0057289F"/>
    <w:rsid w:val="005728BC"/>
    <w:rsid w:val="005729B5"/>
    <w:rsid w:val="005729E5"/>
    <w:rsid w:val="005729E8"/>
    <w:rsid w:val="00572A18"/>
    <w:rsid w:val="00572A39"/>
    <w:rsid w:val="00572A71"/>
    <w:rsid w:val="00572A95"/>
    <w:rsid w:val="00572A9A"/>
    <w:rsid w:val="00572AB5"/>
    <w:rsid w:val="00572B04"/>
    <w:rsid w:val="00572B86"/>
    <w:rsid w:val="00572BF8"/>
    <w:rsid w:val="00572C24"/>
    <w:rsid w:val="00572C38"/>
    <w:rsid w:val="00572C3D"/>
    <w:rsid w:val="00572C3F"/>
    <w:rsid w:val="00572CB7"/>
    <w:rsid w:val="00572CD7"/>
    <w:rsid w:val="00572D59"/>
    <w:rsid w:val="00572D69"/>
    <w:rsid w:val="00572D70"/>
    <w:rsid w:val="00572D9F"/>
    <w:rsid w:val="00572DD9"/>
    <w:rsid w:val="00572E80"/>
    <w:rsid w:val="00572EA6"/>
    <w:rsid w:val="00572F0D"/>
    <w:rsid w:val="00572F21"/>
    <w:rsid w:val="00572F45"/>
    <w:rsid w:val="00572FD0"/>
    <w:rsid w:val="0057300D"/>
    <w:rsid w:val="00573028"/>
    <w:rsid w:val="00573029"/>
    <w:rsid w:val="0057309D"/>
    <w:rsid w:val="005730E1"/>
    <w:rsid w:val="005730FA"/>
    <w:rsid w:val="005730FF"/>
    <w:rsid w:val="005731A0"/>
    <w:rsid w:val="005731D0"/>
    <w:rsid w:val="005731F1"/>
    <w:rsid w:val="0057320B"/>
    <w:rsid w:val="005732A5"/>
    <w:rsid w:val="005732CB"/>
    <w:rsid w:val="005732D0"/>
    <w:rsid w:val="005732F5"/>
    <w:rsid w:val="005732F9"/>
    <w:rsid w:val="0057330A"/>
    <w:rsid w:val="0057331D"/>
    <w:rsid w:val="0057332C"/>
    <w:rsid w:val="00573369"/>
    <w:rsid w:val="0057337B"/>
    <w:rsid w:val="00573380"/>
    <w:rsid w:val="00573386"/>
    <w:rsid w:val="0057339B"/>
    <w:rsid w:val="005733E9"/>
    <w:rsid w:val="0057343F"/>
    <w:rsid w:val="005734AE"/>
    <w:rsid w:val="00573511"/>
    <w:rsid w:val="00573528"/>
    <w:rsid w:val="00573539"/>
    <w:rsid w:val="0057354F"/>
    <w:rsid w:val="0057357A"/>
    <w:rsid w:val="005735C3"/>
    <w:rsid w:val="005735CF"/>
    <w:rsid w:val="00573605"/>
    <w:rsid w:val="0057365C"/>
    <w:rsid w:val="0057367B"/>
    <w:rsid w:val="005737EB"/>
    <w:rsid w:val="0057381C"/>
    <w:rsid w:val="00573848"/>
    <w:rsid w:val="0057387D"/>
    <w:rsid w:val="005738C3"/>
    <w:rsid w:val="005738C4"/>
    <w:rsid w:val="0057397B"/>
    <w:rsid w:val="005739DB"/>
    <w:rsid w:val="00573A2F"/>
    <w:rsid w:val="00573A47"/>
    <w:rsid w:val="00573A81"/>
    <w:rsid w:val="00573AAD"/>
    <w:rsid w:val="00573AC6"/>
    <w:rsid w:val="00573B0E"/>
    <w:rsid w:val="00573B1E"/>
    <w:rsid w:val="00573B63"/>
    <w:rsid w:val="00573BB9"/>
    <w:rsid w:val="00573C23"/>
    <w:rsid w:val="00573C37"/>
    <w:rsid w:val="00573C9E"/>
    <w:rsid w:val="00573D04"/>
    <w:rsid w:val="00573D58"/>
    <w:rsid w:val="00573E40"/>
    <w:rsid w:val="00573E5B"/>
    <w:rsid w:val="00573E60"/>
    <w:rsid w:val="00573E76"/>
    <w:rsid w:val="00573EBC"/>
    <w:rsid w:val="00573F05"/>
    <w:rsid w:val="00573F4F"/>
    <w:rsid w:val="00573F53"/>
    <w:rsid w:val="00573F6B"/>
    <w:rsid w:val="00573FED"/>
    <w:rsid w:val="00573FFC"/>
    <w:rsid w:val="00574020"/>
    <w:rsid w:val="0057404C"/>
    <w:rsid w:val="00574064"/>
    <w:rsid w:val="005740B5"/>
    <w:rsid w:val="005740EB"/>
    <w:rsid w:val="00574140"/>
    <w:rsid w:val="00574143"/>
    <w:rsid w:val="005741CB"/>
    <w:rsid w:val="0057423B"/>
    <w:rsid w:val="0057423E"/>
    <w:rsid w:val="00574245"/>
    <w:rsid w:val="0057424F"/>
    <w:rsid w:val="00574286"/>
    <w:rsid w:val="005742E0"/>
    <w:rsid w:val="005742F3"/>
    <w:rsid w:val="00574304"/>
    <w:rsid w:val="00574312"/>
    <w:rsid w:val="0057433D"/>
    <w:rsid w:val="00574391"/>
    <w:rsid w:val="005743A7"/>
    <w:rsid w:val="005743DD"/>
    <w:rsid w:val="00574440"/>
    <w:rsid w:val="0057445F"/>
    <w:rsid w:val="0057449A"/>
    <w:rsid w:val="005744B7"/>
    <w:rsid w:val="0057453D"/>
    <w:rsid w:val="0057457D"/>
    <w:rsid w:val="00574590"/>
    <w:rsid w:val="005745CA"/>
    <w:rsid w:val="0057460C"/>
    <w:rsid w:val="0057463B"/>
    <w:rsid w:val="00574665"/>
    <w:rsid w:val="005746B8"/>
    <w:rsid w:val="00574827"/>
    <w:rsid w:val="0057482C"/>
    <w:rsid w:val="00574864"/>
    <w:rsid w:val="00574873"/>
    <w:rsid w:val="00574927"/>
    <w:rsid w:val="00574947"/>
    <w:rsid w:val="00574AA9"/>
    <w:rsid w:val="00574BA9"/>
    <w:rsid w:val="00574BC7"/>
    <w:rsid w:val="00574BCC"/>
    <w:rsid w:val="00574C29"/>
    <w:rsid w:val="00574CBD"/>
    <w:rsid w:val="00574CDE"/>
    <w:rsid w:val="00574CF8"/>
    <w:rsid w:val="00574D0C"/>
    <w:rsid w:val="00574D4E"/>
    <w:rsid w:val="00574DFA"/>
    <w:rsid w:val="00574F3F"/>
    <w:rsid w:val="00574F66"/>
    <w:rsid w:val="00574F7A"/>
    <w:rsid w:val="00575056"/>
    <w:rsid w:val="0057515F"/>
    <w:rsid w:val="00575179"/>
    <w:rsid w:val="005751B6"/>
    <w:rsid w:val="00575209"/>
    <w:rsid w:val="00575279"/>
    <w:rsid w:val="00575286"/>
    <w:rsid w:val="005752B0"/>
    <w:rsid w:val="005752BA"/>
    <w:rsid w:val="0057536F"/>
    <w:rsid w:val="005754C1"/>
    <w:rsid w:val="005754F0"/>
    <w:rsid w:val="00575509"/>
    <w:rsid w:val="00575523"/>
    <w:rsid w:val="005755FA"/>
    <w:rsid w:val="00575674"/>
    <w:rsid w:val="005756F3"/>
    <w:rsid w:val="0057571A"/>
    <w:rsid w:val="00575762"/>
    <w:rsid w:val="00575799"/>
    <w:rsid w:val="005757CD"/>
    <w:rsid w:val="005757D7"/>
    <w:rsid w:val="00575801"/>
    <w:rsid w:val="00575876"/>
    <w:rsid w:val="005758B5"/>
    <w:rsid w:val="005758D5"/>
    <w:rsid w:val="00575918"/>
    <w:rsid w:val="00575956"/>
    <w:rsid w:val="0057596E"/>
    <w:rsid w:val="00575A80"/>
    <w:rsid w:val="00575A95"/>
    <w:rsid w:val="00575AC3"/>
    <w:rsid w:val="00575BC9"/>
    <w:rsid w:val="00575C15"/>
    <w:rsid w:val="00575CDF"/>
    <w:rsid w:val="00575D02"/>
    <w:rsid w:val="00575D0C"/>
    <w:rsid w:val="00575D51"/>
    <w:rsid w:val="00575D5A"/>
    <w:rsid w:val="00575D90"/>
    <w:rsid w:val="00575DF5"/>
    <w:rsid w:val="00575E05"/>
    <w:rsid w:val="00575E40"/>
    <w:rsid w:val="00575EAF"/>
    <w:rsid w:val="00575EB7"/>
    <w:rsid w:val="00575EF1"/>
    <w:rsid w:val="00575F3A"/>
    <w:rsid w:val="00575F49"/>
    <w:rsid w:val="00575F93"/>
    <w:rsid w:val="00575FBB"/>
    <w:rsid w:val="00575FBF"/>
    <w:rsid w:val="00575FD2"/>
    <w:rsid w:val="00575FD4"/>
    <w:rsid w:val="0057601B"/>
    <w:rsid w:val="0057601E"/>
    <w:rsid w:val="00576031"/>
    <w:rsid w:val="0057603D"/>
    <w:rsid w:val="00576086"/>
    <w:rsid w:val="0057609C"/>
    <w:rsid w:val="005760BC"/>
    <w:rsid w:val="005760D2"/>
    <w:rsid w:val="005760F4"/>
    <w:rsid w:val="005760FA"/>
    <w:rsid w:val="00576121"/>
    <w:rsid w:val="00576131"/>
    <w:rsid w:val="00576143"/>
    <w:rsid w:val="0057617E"/>
    <w:rsid w:val="005761A6"/>
    <w:rsid w:val="005761A7"/>
    <w:rsid w:val="00576261"/>
    <w:rsid w:val="005762AC"/>
    <w:rsid w:val="005762AE"/>
    <w:rsid w:val="005762C5"/>
    <w:rsid w:val="005762CE"/>
    <w:rsid w:val="005762ED"/>
    <w:rsid w:val="005762F0"/>
    <w:rsid w:val="00576340"/>
    <w:rsid w:val="00576350"/>
    <w:rsid w:val="005763DE"/>
    <w:rsid w:val="00576404"/>
    <w:rsid w:val="00576427"/>
    <w:rsid w:val="0057642F"/>
    <w:rsid w:val="00576446"/>
    <w:rsid w:val="005764B0"/>
    <w:rsid w:val="005764ED"/>
    <w:rsid w:val="0057650A"/>
    <w:rsid w:val="00576575"/>
    <w:rsid w:val="0057658F"/>
    <w:rsid w:val="00576618"/>
    <w:rsid w:val="0057663F"/>
    <w:rsid w:val="0057670F"/>
    <w:rsid w:val="00576728"/>
    <w:rsid w:val="00576736"/>
    <w:rsid w:val="005767C9"/>
    <w:rsid w:val="00576828"/>
    <w:rsid w:val="0057685F"/>
    <w:rsid w:val="0057688D"/>
    <w:rsid w:val="005768E8"/>
    <w:rsid w:val="00576924"/>
    <w:rsid w:val="0057693B"/>
    <w:rsid w:val="0057693E"/>
    <w:rsid w:val="00576955"/>
    <w:rsid w:val="0057699F"/>
    <w:rsid w:val="00576A7E"/>
    <w:rsid w:val="00576A86"/>
    <w:rsid w:val="00576AB8"/>
    <w:rsid w:val="00576BA0"/>
    <w:rsid w:val="00576BB3"/>
    <w:rsid w:val="00576BBE"/>
    <w:rsid w:val="00576BC6"/>
    <w:rsid w:val="00576BEB"/>
    <w:rsid w:val="00576C1A"/>
    <w:rsid w:val="00576C33"/>
    <w:rsid w:val="00576C57"/>
    <w:rsid w:val="00576C62"/>
    <w:rsid w:val="00576CCF"/>
    <w:rsid w:val="00576CD9"/>
    <w:rsid w:val="00576D0F"/>
    <w:rsid w:val="00576D9D"/>
    <w:rsid w:val="00576DB0"/>
    <w:rsid w:val="00576DE4"/>
    <w:rsid w:val="00576E19"/>
    <w:rsid w:val="00576E98"/>
    <w:rsid w:val="00576EC8"/>
    <w:rsid w:val="00576F07"/>
    <w:rsid w:val="00576F0B"/>
    <w:rsid w:val="00576F0D"/>
    <w:rsid w:val="00576FE0"/>
    <w:rsid w:val="0057702C"/>
    <w:rsid w:val="0057704B"/>
    <w:rsid w:val="00577059"/>
    <w:rsid w:val="005770EC"/>
    <w:rsid w:val="00577106"/>
    <w:rsid w:val="00577113"/>
    <w:rsid w:val="00577136"/>
    <w:rsid w:val="005771B3"/>
    <w:rsid w:val="005771F6"/>
    <w:rsid w:val="00577217"/>
    <w:rsid w:val="00577277"/>
    <w:rsid w:val="005772A1"/>
    <w:rsid w:val="005773E8"/>
    <w:rsid w:val="00577436"/>
    <w:rsid w:val="00577479"/>
    <w:rsid w:val="00577487"/>
    <w:rsid w:val="005774EE"/>
    <w:rsid w:val="00577593"/>
    <w:rsid w:val="0057759C"/>
    <w:rsid w:val="005775B2"/>
    <w:rsid w:val="005775B3"/>
    <w:rsid w:val="005775B4"/>
    <w:rsid w:val="005775C1"/>
    <w:rsid w:val="00577616"/>
    <w:rsid w:val="005776DD"/>
    <w:rsid w:val="00577716"/>
    <w:rsid w:val="00577787"/>
    <w:rsid w:val="005777AB"/>
    <w:rsid w:val="005777B0"/>
    <w:rsid w:val="005777BD"/>
    <w:rsid w:val="00577849"/>
    <w:rsid w:val="005778CB"/>
    <w:rsid w:val="005778E7"/>
    <w:rsid w:val="00577929"/>
    <w:rsid w:val="00577957"/>
    <w:rsid w:val="005779BC"/>
    <w:rsid w:val="00577A17"/>
    <w:rsid w:val="00577AC8"/>
    <w:rsid w:val="00577AD5"/>
    <w:rsid w:val="00577B3B"/>
    <w:rsid w:val="00577B7B"/>
    <w:rsid w:val="00577B82"/>
    <w:rsid w:val="00577B96"/>
    <w:rsid w:val="00577BB0"/>
    <w:rsid w:val="00577BC2"/>
    <w:rsid w:val="00577C29"/>
    <w:rsid w:val="00577D0D"/>
    <w:rsid w:val="00577D4B"/>
    <w:rsid w:val="00577D5D"/>
    <w:rsid w:val="00577DFF"/>
    <w:rsid w:val="00577E00"/>
    <w:rsid w:val="00577E7F"/>
    <w:rsid w:val="00577E84"/>
    <w:rsid w:val="00577F6F"/>
    <w:rsid w:val="00577F70"/>
    <w:rsid w:val="00577FEE"/>
    <w:rsid w:val="0058005A"/>
    <w:rsid w:val="005800D2"/>
    <w:rsid w:val="005800FB"/>
    <w:rsid w:val="00580120"/>
    <w:rsid w:val="005801EF"/>
    <w:rsid w:val="00580223"/>
    <w:rsid w:val="00580269"/>
    <w:rsid w:val="00580293"/>
    <w:rsid w:val="005802F9"/>
    <w:rsid w:val="00580365"/>
    <w:rsid w:val="005803B9"/>
    <w:rsid w:val="005803F4"/>
    <w:rsid w:val="0058040D"/>
    <w:rsid w:val="0058040F"/>
    <w:rsid w:val="005804EA"/>
    <w:rsid w:val="00580528"/>
    <w:rsid w:val="00580544"/>
    <w:rsid w:val="00580575"/>
    <w:rsid w:val="00580614"/>
    <w:rsid w:val="0058066D"/>
    <w:rsid w:val="00580688"/>
    <w:rsid w:val="005806BF"/>
    <w:rsid w:val="005806C9"/>
    <w:rsid w:val="005806DF"/>
    <w:rsid w:val="0058073A"/>
    <w:rsid w:val="00580811"/>
    <w:rsid w:val="00580817"/>
    <w:rsid w:val="0058083E"/>
    <w:rsid w:val="0058088A"/>
    <w:rsid w:val="005808CB"/>
    <w:rsid w:val="005808D4"/>
    <w:rsid w:val="00580905"/>
    <w:rsid w:val="0058091E"/>
    <w:rsid w:val="00580944"/>
    <w:rsid w:val="0058096B"/>
    <w:rsid w:val="005809BF"/>
    <w:rsid w:val="00580A24"/>
    <w:rsid w:val="00580A49"/>
    <w:rsid w:val="00580B6C"/>
    <w:rsid w:val="00580B6D"/>
    <w:rsid w:val="00580C4F"/>
    <w:rsid w:val="00580CAC"/>
    <w:rsid w:val="00580CFB"/>
    <w:rsid w:val="00580D27"/>
    <w:rsid w:val="00580D78"/>
    <w:rsid w:val="00580D8D"/>
    <w:rsid w:val="00580DD1"/>
    <w:rsid w:val="00580DFA"/>
    <w:rsid w:val="00580E27"/>
    <w:rsid w:val="00580E4F"/>
    <w:rsid w:val="00580E8A"/>
    <w:rsid w:val="00580ED0"/>
    <w:rsid w:val="00580F15"/>
    <w:rsid w:val="00580FA9"/>
    <w:rsid w:val="00580FAD"/>
    <w:rsid w:val="00580FE9"/>
    <w:rsid w:val="00581014"/>
    <w:rsid w:val="00581025"/>
    <w:rsid w:val="0058105A"/>
    <w:rsid w:val="0058110C"/>
    <w:rsid w:val="00581113"/>
    <w:rsid w:val="00581120"/>
    <w:rsid w:val="0058112F"/>
    <w:rsid w:val="0058113F"/>
    <w:rsid w:val="00581175"/>
    <w:rsid w:val="00581195"/>
    <w:rsid w:val="005811D3"/>
    <w:rsid w:val="0058121E"/>
    <w:rsid w:val="00581281"/>
    <w:rsid w:val="00581285"/>
    <w:rsid w:val="005812AB"/>
    <w:rsid w:val="005812D1"/>
    <w:rsid w:val="005812E2"/>
    <w:rsid w:val="00581357"/>
    <w:rsid w:val="005813E4"/>
    <w:rsid w:val="005813E8"/>
    <w:rsid w:val="00581409"/>
    <w:rsid w:val="0058141C"/>
    <w:rsid w:val="00581449"/>
    <w:rsid w:val="00581464"/>
    <w:rsid w:val="00581469"/>
    <w:rsid w:val="005814DE"/>
    <w:rsid w:val="00581529"/>
    <w:rsid w:val="00581530"/>
    <w:rsid w:val="00581581"/>
    <w:rsid w:val="0058159A"/>
    <w:rsid w:val="005815B9"/>
    <w:rsid w:val="005815C5"/>
    <w:rsid w:val="0058162F"/>
    <w:rsid w:val="005816C0"/>
    <w:rsid w:val="005816F1"/>
    <w:rsid w:val="005816F4"/>
    <w:rsid w:val="0058171A"/>
    <w:rsid w:val="005817D8"/>
    <w:rsid w:val="005818BD"/>
    <w:rsid w:val="0058195B"/>
    <w:rsid w:val="0058198A"/>
    <w:rsid w:val="005819D8"/>
    <w:rsid w:val="00581A3C"/>
    <w:rsid w:val="00581A95"/>
    <w:rsid w:val="00581B51"/>
    <w:rsid w:val="00581B68"/>
    <w:rsid w:val="00581B75"/>
    <w:rsid w:val="00581BBE"/>
    <w:rsid w:val="00581C2B"/>
    <w:rsid w:val="00581C3E"/>
    <w:rsid w:val="00581C90"/>
    <w:rsid w:val="00581CA8"/>
    <w:rsid w:val="00581CB9"/>
    <w:rsid w:val="00581CE4"/>
    <w:rsid w:val="00581CF6"/>
    <w:rsid w:val="00581D76"/>
    <w:rsid w:val="00581DD1"/>
    <w:rsid w:val="00581DEF"/>
    <w:rsid w:val="00581E9B"/>
    <w:rsid w:val="00581F14"/>
    <w:rsid w:val="00581FDD"/>
    <w:rsid w:val="0058202A"/>
    <w:rsid w:val="00582039"/>
    <w:rsid w:val="00582044"/>
    <w:rsid w:val="005820BA"/>
    <w:rsid w:val="0058210C"/>
    <w:rsid w:val="00582120"/>
    <w:rsid w:val="0058212C"/>
    <w:rsid w:val="00582130"/>
    <w:rsid w:val="005821D5"/>
    <w:rsid w:val="005821E0"/>
    <w:rsid w:val="005821E6"/>
    <w:rsid w:val="0058222F"/>
    <w:rsid w:val="00582278"/>
    <w:rsid w:val="005822A5"/>
    <w:rsid w:val="005823B0"/>
    <w:rsid w:val="005823DD"/>
    <w:rsid w:val="00582417"/>
    <w:rsid w:val="005824EE"/>
    <w:rsid w:val="00582510"/>
    <w:rsid w:val="005826B2"/>
    <w:rsid w:val="005826FB"/>
    <w:rsid w:val="0058274A"/>
    <w:rsid w:val="0058278E"/>
    <w:rsid w:val="0058279E"/>
    <w:rsid w:val="005827C3"/>
    <w:rsid w:val="005827C9"/>
    <w:rsid w:val="005827CE"/>
    <w:rsid w:val="005827F8"/>
    <w:rsid w:val="005829C7"/>
    <w:rsid w:val="00582A1A"/>
    <w:rsid w:val="00582A41"/>
    <w:rsid w:val="00582A61"/>
    <w:rsid w:val="00582A7C"/>
    <w:rsid w:val="00582BC6"/>
    <w:rsid w:val="00582BE5"/>
    <w:rsid w:val="00582C3F"/>
    <w:rsid w:val="00582C65"/>
    <w:rsid w:val="00582C75"/>
    <w:rsid w:val="00582C97"/>
    <w:rsid w:val="00582CD8"/>
    <w:rsid w:val="00582D09"/>
    <w:rsid w:val="00582D10"/>
    <w:rsid w:val="00582DBE"/>
    <w:rsid w:val="00582DCA"/>
    <w:rsid w:val="00582DDA"/>
    <w:rsid w:val="00582E29"/>
    <w:rsid w:val="00582E35"/>
    <w:rsid w:val="00582E9C"/>
    <w:rsid w:val="00582EB1"/>
    <w:rsid w:val="00582EBC"/>
    <w:rsid w:val="00582F1C"/>
    <w:rsid w:val="00582F3C"/>
    <w:rsid w:val="00582F51"/>
    <w:rsid w:val="00582F5A"/>
    <w:rsid w:val="00582F7D"/>
    <w:rsid w:val="00582FAB"/>
    <w:rsid w:val="00582FBA"/>
    <w:rsid w:val="0058300A"/>
    <w:rsid w:val="0058301D"/>
    <w:rsid w:val="00583040"/>
    <w:rsid w:val="0058304B"/>
    <w:rsid w:val="00583060"/>
    <w:rsid w:val="0058306E"/>
    <w:rsid w:val="005830F2"/>
    <w:rsid w:val="00583123"/>
    <w:rsid w:val="00583125"/>
    <w:rsid w:val="0058312C"/>
    <w:rsid w:val="00583198"/>
    <w:rsid w:val="0058319E"/>
    <w:rsid w:val="005831B8"/>
    <w:rsid w:val="005831C2"/>
    <w:rsid w:val="005831D2"/>
    <w:rsid w:val="005831E8"/>
    <w:rsid w:val="00583210"/>
    <w:rsid w:val="00583216"/>
    <w:rsid w:val="0058322B"/>
    <w:rsid w:val="00583250"/>
    <w:rsid w:val="00583260"/>
    <w:rsid w:val="00583323"/>
    <w:rsid w:val="00583343"/>
    <w:rsid w:val="0058339B"/>
    <w:rsid w:val="005833A9"/>
    <w:rsid w:val="00583408"/>
    <w:rsid w:val="00583456"/>
    <w:rsid w:val="005834E2"/>
    <w:rsid w:val="00583519"/>
    <w:rsid w:val="00583543"/>
    <w:rsid w:val="005835B5"/>
    <w:rsid w:val="005835D6"/>
    <w:rsid w:val="0058361D"/>
    <w:rsid w:val="00583691"/>
    <w:rsid w:val="005836D5"/>
    <w:rsid w:val="005836E9"/>
    <w:rsid w:val="0058370D"/>
    <w:rsid w:val="00583719"/>
    <w:rsid w:val="0058373A"/>
    <w:rsid w:val="0058377C"/>
    <w:rsid w:val="00583790"/>
    <w:rsid w:val="0058379A"/>
    <w:rsid w:val="00583866"/>
    <w:rsid w:val="0058388A"/>
    <w:rsid w:val="00583943"/>
    <w:rsid w:val="00583946"/>
    <w:rsid w:val="00583969"/>
    <w:rsid w:val="00583975"/>
    <w:rsid w:val="0058397E"/>
    <w:rsid w:val="0058399D"/>
    <w:rsid w:val="00583A13"/>
    <w:rsid w:val="00583A27"/>
    <w:rsid w:val="00583A64"/>
    <w:rsid w:val="00583A6D"/>
    <w:rsid w:val="00583A8D"/>
    <w:rsid w:val="00583A94"/>
    <w:rsid w:val="00583AC0"/>
    <w:rsid w:val="00583AD5"/>
    <w:rsid w:val="00583B38"/>
    <w:rsid w:val="00583B48"/>
    <w:rsid w:val="00583B54"/>
    <w:rsid w:val="00583B8A"/>
    <w:rsid w:val="00583BAE"/>
    <w:rsid w:val="00583CE5"/>
    <w:rsid w:val="00583CE8"/>
    <w:rsid w:val="00583E1E"/>
    <w:rsid w:val="00583E32"/>
    <w:rsid w:val="00583E35"/>
    <w:rsid w:val="00583E4C"/>
    <w:rsid w:val="00583E66"/>
    <w:rsid w:val="00583E6E"/>
    <w:rsid w:val="00583E89"/>
    <w:rsid w:val="00583F56"/>
    <w:rsid w:val="00583F5B"/>
    <w:rsid w:val="00583FD3"/>
    <w:rsid w:val="0058404C"/>
    <w:rsid w:val="0058406A"/>
    <w:rsid w:val="005840CF"/>
    <w:rsid w:val="005840FB"/>
    <w:rsid w:val="00584192"/>
    <w:rsid w:val="005841FC"/>
    <w:rsid w:val="0058420B"/>
    <w:rsid w:val="0058424D"/>
    <w:rsid w:val="0058424F"/>
    <w:rsid w:val="00584295"/>
    <w:rsid w:val="005842A6"/>
    <w:rsid w:val="005842A9"/>
    <w:rsid w:val="005842AA"/>
    <w:rsid w:val="005842BD"/>
    <w:rsid w:val="005842C3"/>
    <w:rsid w:val="00584378"/>
    <w:rsid w:val="0058439E"/>
    <w:rsid w:val="005843A0"/>
    <w:rsid w:val="005843A5"/>
    <w:rsid w:val="005843BB"/>
    <w:rsid w:val="005843D4"/>
    <w:rsid w:val="005843DD"/>
    <w:rsid w:val="005843FF"/>
    <w:rsid w:val="0058444B"/>
    <w:rsid w:val="00584466"/>
    <w:rsid w:val="00584474"/>
    <w:rsid w:val="005844D1"/>
    <w:rsid w:val="00584515"/>
    <w:rsid w:val="00584530"/>
    <w:rsid w:val="005845C8"/>
    <w:rsid w:val="005845EA"/>
    <w:rsid w:val="005845F8"/>
    <w:rsid w:val="00584611"/>
    <w:rsid w:val="00584777"/>
    <w:rsid w:val="005847E0"/>
    <w:rsid w:val="005847F7"/>
    <w:rsid w:val="0058485B"/>
    <w:rsid w:val="0058487E"/>
    <w:rsid w:val="005848F5"/>
    <w:rsid w:val="00584A0F"/>
    <w:rsid w:val="00584ACF"/>
    <w:rsid w:val="00584B4E"/>
    <w:rsid w:val="00584BEC"/>
    <w:rsid w:val="00584BFB"/>
    <w:rsid w:val="00584BFD"/>
    <w:rsid w:val="00584C09"/>
    <w:rsid w:val="00584C84"/>
    <w:rsid w:val="00584CC2"/>
    <w:rsid w:val="00584CD0"/>
    <w:rsid w:val="00584CEA"/>
    <w:rsid w:val="00584CEC"/>
    <w:rsid w:val="00584D10"/>
    <w:rsid w:val="00584D11"/>
    <w:rsid w:val="00584D25"/>
    <w:rsid w:val="00584D65"/>
    <w:rsid w:val="00584D6E"/>
    <w:rsid w:val="00584DBE"/>
    <w:rsid w:val="00584DC4"/>
    <w:rsid w:val="00584E20"/>
    <w:rsid w:val="00584E2E"/>
    <w:rsid w:val="00584EC7"/>
    <w:rsid w:val="00584FDD"/>
    <w:rsid w:val="0058502C"/>
    <w:rsid w:val="0058502F"/>
    <w:rsid w:val="00585136"/>
    <w:rsid w:val="005851CD"/>
    <w:rsid w:val="00585210"/>
    <w:rsid w:val="0058523F"/>
    <w:rsid w:val="0058524A"/>
    <w:rsid w:val="00585289"/>
    <w:rsid w:val="00585291"/>
    <w:rsid w:val="005852A5"/>
    <w:rsid w:val="00585334"/>
    <w:rsid w:val="0058534A"/>
    <w:rsid w:val="00585352"/>
    <w:rsid w:val="0058537C"/>
    <w:rsid w:val="005853B6"/>
    <w:rsid w:val="00585410"/>
    <w:rsid w:val="005854A3"/>
    <w:rsid w:val="005854CE"/>
    <w:rsid w:val="005854FE"/>
    <w:rsid w:val="0058550A"/>
    <w:rsid w:val="00585544"/>
    <w:rsid w:val="00585546"/>
    <w:rsid w:val="00585632"/>
    <w:rsid w:val="00585639"/>
    <w:rsid w:val="0058563B"/>
    <w:rsid w:val="00585668"/>
    <w:rsid w:val="0058572B"/>
    <w:rsid w:val="00585766"/>
    <w:rsid w:val="005857A4"/>
    <w:rsid w:val="005857C4"/>
    <w:rsid w:val="005857C7"/>
    <w:rsid w:val="005857FF"/>
    <w:rsid w:val="0058581A"/>
    <w:rsid w:val="0058586A"/>
    <w:rsid w:val="00585877"/>
    <w:rsid w:val="005858F6"/>
    <w:rsid w:val="00585953"/>
    <w:rsid w:val="0058599F"/>
    <w:rsid w:val="005859E4"/>
    <w:rsid w:val="005859FA"/>
    <w:rsid w:val="00585A1E"/>
    <w:rsid w:val="00585ABE"/>
    <w:rsid w:val="00585AF8"/>
    <w:rsid w:val="00585B06"/>
    <w:rsid w:val="00585B95"/>
    <w:rsid w:val="00585C48"/>
    <w:rsid w:val="00585C91"/>
    <w:rsid w:val="00585CAE"/>
    <w:rsid w:val="00585CD1"/>
    <w:rsid w:val="00585D18"/>
    <w:rsid w:val="00585D36"/>
    <w:rsid w:val="00585D49"/>
    <w:rsid w:val="00585DAB"/>
    <w:rsid w:val="00585DDC"/>
    <w:rsid w:val="00585E6D"/>
    <w:rsid w:val="00585E70"/>
    <w:rsid w:val="00585F91"/>
    <w:rsid w:val="00586000"/>
    <w:rsid w:val="0058600D"/>
    <w:rsid w:val="0058602E"/>
    <w:rsid w:val="00586037"/>
    <w:rsid w:val="00586051"/>
    <w:rsid w:val="00586090"/>
    <w:rsid w:val="00586095"/>
    <w:rsid w:val="005860A6"/>
    <w:rsid w:val="00586166"/>
    <w:rsid w:val="0058616F"/>
    <w:rsid w:val="005862B2"/>
    <w:rsid w:val="005862C2"/>
    <w:rsid w:val="00586308"/>
    <w:rsid w:val="00586423"/>
    <w:rsid w:val="00586431"/>
    <w:rsid w:val="005864A7"/>
    <w:rsid w:val="00586509"/>
    <w:rsid w:val="00586548"/>
    <w:rsid w:val="00586561"/>
    <w:rsid w:val="00586596"/>
    <w:rsid w:val="005865AE"/>
    <w:rsid w:val="005865FA"/>
    <w:rsid w:val="00586634"/>
    <w:rsid w:val="00586665"/>
    <w:rsid w:val="00586687"/>
    <w:rsid w:val="00586700"/>
    <w:rsid w:val="00586741"/>
    <w:rsid w:val="0058677B"/>
    <w:rsid w:val="005867B6"/>
    <w:rsid w:val="005867FD"/>
    <w:rsid w:val="00586809"/>
    <w:rsid w:val="00586897"/>
    <w:rsid w:val="005868B1"/>
    <w:rsid w:val="005868DE"/>
    <w:rsid w:val="00586923"/>
    <w:rsid w:val="00586981"/>
    <w:rsid w:val="00586A1A"/>
    <w:rsid w:val="00586A3C"/>
    <w:rsid w:val="00586A5F"/>
    <w:rsid w:val="00586A78"/>
    <w:rsid w:val="00586A7F"/>
    <w:rsid w:val="00586AD4"/>
    <w:rsid w:val="00586B09"/>
    <w:rsid w:val="00586B2D"/>
    <w:rsid w:val="00586B71"/>
    <w:rsid w:val="00586B7A"/>
    <w:rsid w:val="00586B84"/>
    <w:rsid w:val="00586BB2"/>
    <w:rsid w:val="00586C4E"/>
    <w:rsid w:val="00586CFB"/>
    <w:rsid w:val="00586D00"/>
    <w:rsid w:val="00586D1E"/>
    <w:rsid w:val="00586D6C"/>
    <w:rsid w:val="00586E59"/>
    <w:rsid w:val="00586EC1"/>
    <w:rsid w:val="00586EDE"/>
    <w:rsid w:val="00586F2F"/>
    <w:rsid w:val="00586F4E"/>
    <w:rsid w:val="00586F5B"/>
    <w:rsid w:val="00586F8A"/>
    <w:rsid w:val="00586F93"/>
    <w:rsid w:val="00586FBD"/>
    <w:rsid w:val="0058700A"/>
    <w:rsid w:val="00587021"/>
    <w:rsid w:val="0058704A"/>
    <w:rsid w:val="0058705E"/>
    <w:rsid w:val="00587098"/>
    <w:rsid w:val="00587122"/>
    <w:rsid w:val="00587168"/>
    <w:rsid w:val="00587181"/>
    <w:rsid w:val="00587292"/>
    <w:rsid w:val="00587319"/>
    <w:rsid w:val="00587373"/>
    <w:rsid w:val="0058741F"/>
    <w:rsid w:val="0058743B"/>
    <w:rsid w:val="00587442"/>
    <w:rsid w:val="00587460"/>
    <w:rsid w:val="00587488"/>
    <w:rsid w:val="0058749D"/>
    <w:rsid w:val="0058749E"/>
    <w:rsid w:val="005874CD"/>
    <w:rsid w:val="00587528"/>
    <w:rsid w:val="00587572"/>
    <w:rsid w:val="00587596"/>
    <w:rsid w:val="005875A9"/>
    <w:rsid w:val="005875E5"/>
    <w:rsid w:val="0058767A"/>
    <w:rsid w:val="0058770D"/>
    <w:rsid w:val="00587741"/>
    <w:rsid w:val="005877AC"/>
    <w:rsid w:val="005877B5"/>
    <w:rsid w:val="005877C5"/>
    <w:rsid w:val="00587806"/>
    <w:rsid w:val="00587826"/>
    <w:rsid w:val="00587846"/>
    <w:rsid w:val="00587885"/>
    <w:rsid w:val="005878A6"/>
    <w:rsid w:val="005878CE"/>
    <w:rsid w:val="005879A0"/>
    <w:rsid w:val="005879C5"/>
    <w:rsid w:val="005879E3"/>
    <w:rsid w:val="00587A29"/>
    <w:rsid w:val="00587A4C"/>
    <w:rsid w:val="00587A69"/>
    <w:rsid w:val="00587B1D"/>
    <w:rsid w:val="00587C9D"/>
    <w:rsid w:val="00587CB0"/>
    <w:rsid w:val="00587CC8"/>
    <w:rsid w:val="00587CD9"/>
    <w:rsid w:val="00587D12"/>
    <w:rsid w:val="00587D16"/>
    <w:rsid w:val="00587D39"/>
    <w:rsid w:val="00587D9B"/>
    <w:rsid w:val="00587DA0"/>
    <w:rsid w:val="00587DB5"/>
    <w:rsid w:val="00587DBC"/>
    <w:rsid w:val="00587DE1"/>
    <w:rsid w:val="00587E2F"/>
    <w:rsid w:val="00587EB4"/>
    <w:rsid w:val="00587EBA"/>
    <w:rsid w:val="00587EEA"/>
    <w:rsid w:val="00587F97"/>
    <w:rsid w:val="00587FB4"/>
    <w:rsid w:val="00590011"/>
    <w:rsid w:val="00590060"/>
    <w:rsid w:val="005900A8"/>
    <w:rsid w:val="005900C9"/>
    <w:rsid w:val="005900F2"/>
    <w:rsid w:val="0059011B"/>
    <w:rsid w:val="00590141"/>
    <w:rsid w:val="005901FB"/>
    <w:rsid w:val="005902B7"/>
    <w:rsid w:val="005902C7"/>
    <w:rsid w:val="005903A2"/>
    <w:rsid w:val="005903E9"/>
    <w:rsid w:val="00590455"/>
    <w:rsid w:val="00590463"/>
    <w:rsid w:val="0059046D"/>
    <w:rsid w:val="00590517"/>
    <w:rsid w:val="00590544"/>
    <w:rsid w:val="0059054B"/>
    <w:rsid w:val="0059056D"/>
    <w:rsid w:val="0059057B"/>
    <w:rsid w:val="005905A8"/>
    <w:rsid w:val="0059061B"/>
    <w:rsid w:val="005906E2"/>
    <w:rsid w:val="0059071D"/>
    <w:rsid w:val="00590759"/>
    <w:rsid w:val="005907C9"/>
    <w:rsid w:val="005907FB"/>
    <w:rsid w:val="005907FD"/>
    <w:rsid w:val="00590862"/>
    <w:rsid w:val="005908A3"/>
    <w:rsid w:val="005908D5"/>
    <w:rsid w:val="00590964"/>
    <w:rsid w:val="0059099B"/>
    <w:rsid w:val="005909B6"/>
    <w:rsid w:val="005909CD"/>
    <w:rsid w:val="00590A55"/>
    <w:rsid w:val="00590A5C"/>
    <w:rsid w:val="00590AC1"/>
    <w:rsid w:val="00590B8D"/>
    <w:rsid w:val="00590BA2"/>
    <w:rsid w:val="00590BBB"/>
    <w:rsid w:val="00590BBD"/>
    <w:rsid w:val="00590C2D"/>
    <w:rsid w:val="00590C39"/>
    <w:rsid w:val="00590C8D"/>
    <w:rsid w:val="00590CA7"/>
    <w:rsid w:val="00590CD9"/>
    <w:rsid w:val="00590D27"/>
    <w:rsid w:val="00590D30"/>
    <w:rsid w:val="00590D97"/>
    <w:rsid w:val="00590D9B"/>
    <w:rsid w:val="00590D9F"/>
    <w:rsid w:val="00590E14"/>
    <w:rsid w:val="00590E7F"/>
    <w:rsid w:val="00590E93"/>
    <w:rsid w:val="00590F1D"/>
    <w:rsid w:val="00590F24"/>
    <w:rsid w:val="00590F26"/>
    <w:rsid w:val="00590F4A"/>
    <w:rsid w:val="00590F64"/>
    <w:rsid w:val="00591021"/>
    <w:rsid w:val="0059106C"/>
    <w:rsid w:val="005910D3"/>
    <w:rsid w:val="00591131"/>
    <w:rsid w:val="005911A9"/>
    <w:rsid w:val="005911C3"/>
    <w:rsid w:val="005912CA"/>
    <w:rsid w:val="005912D9"/>
    <w:rsid w:val="00591330"/>
    <w:rsid w:val="0059134D"/>
    <w:rsid w:val="00591359"/>
    <w:rsid w:val="0059138F"/>
    <w:rsid w:val="005913BF"/>
    <w:rsid w:val="005913CE"/>
    <w:rsid w:val="00591453"/>
    <w:rsid w:val="00591491"/>
    <w:rsid w:val="0059149D"/>
    <w:rsid w:val="005914CC"/>
    <w:rsid w:val="005914EC"/>
    <w:rsid w:val="00591563"/>
    <w:rsid w:val="0059157E"/>
    <w:rsid w:val="0059162F"/>
    <w:rsid w:val="0059168F"/>
    <w:rsid w:val="00591732"/>
    <w:rsid w:val="00591738"/>
    <w:rsid w:val="00591745"/>
    <w:rsid w:val="00591749"/>
    <w:rsid w:val="00591763"/>
    <w:rsid w:val="00591781"/>
    <w:rsid w:val="005917D4"/>
    <w:rsid w:val="005917F3"/>
    <w:rsid w:val="00591843"/>
    <w:rsid w:val="00591855"/>
    <w:rsid w:val="0059189C"/>
    <w:rsid w:val="005918BD"/>
    <w:rsid w:val="005918C8"/>
    <w:rsid w:val="005918D4"/>
    <w:rsid w:val="00591904"/>
    <w:rsid w:val="0059190E"/>
    <w:rsid w:val="00591AC7"/>
    <w:rsid w:val="00591AF0"/>
    <w:rsid w:val="00591BB3"/>
    <w:rsid w:val="00591C08"/>
    <w:rsid w:val="00591C36"/>
    <w:rsid w:val="00591C66"/>
    <w:rsid w:val="00591CB1"/>
    <w:rsid w:val="00591CB9"/>
    <w:rsid w:val="00591D2E"/>
    <w:rsid w:val="00591DD6"/>
    <w:rsid w:val="00591DDF"/>
    <w:rsid w:val="00591DFC"/>
    <w:rsid w:val="00591E41"/>
    <w:rsid w:val="00591E78"/>
    <w:rsid w:val="00591EC1"/>
    <w:rsid w:val="00591EE3"/>
    <w:rsid w:val="00591F08"/>
    <w:rsid w:val="00591F54"/>
    <w:rsid w:val="00591FCE"/>
    <w:rsid w:val="00591FD8"/>
    <w:rsid w:val="00591FF3"/>
    <w:rsid w:val="00591FFD"/>
    <w:rsid w:val="00592038"/>
    <w:rsid w:val="00592058"/>
    <w:rsid w:val="0059209B"/>
    <w:rsid w:val="005920F0"/>
    <w:rsid w:val="0059210A"/>
    <w:rsid w:val="00592140"/>
    <w:rsid w:val="00592240"/>
    <w:rsid w:val="0059228E"/>
    <w:rsid w:val="005922AF"/>
    <w:rsid w:val="005922CE"/>
    <w:rsid w:val="005922EB"/>
    <w:rsid w:val="005922EE"/>
    <w:rsid w:val="00592310"/>
    <w:rsid w:val="00592315"/>
    <w:rsid w:val="00592348"/>
    <w:rsid w:val="0059234B"/>
    <w:rsid w:val="00592366"/>
    <w:rsid w:val="00592367"/>
    <w:rsid w:val="0059238A"/>
    <w:rsid w:val="005923B5"/>
    <w:rsid w:val="005923C0"/>
    <w:rsid w:val="005923D7"/>
    <w:rsid w:val="00592408"/>
    <w:rsid w:val="00592484"/>
    <w:rsid w:val="0059251B"/>
    <w:rsid w:val="00592598"/>
    <w:rsid w:val="005925C1"/>
    <w:rsid w:val="005925CD"/>
    <w:rsid w:val="005925D2"/>
    <w:rsid w:val="00592675"/>
    <w:rsid w:val="005926E1"/>
    <w:rsid w:val="00592715"/>
    <w:rsid w:val="00592725"/>
    <w:rsid w:val="00592766"/>
    <w:rsid w:val="005927CF"/>
    <w:rsid w:val="005927E0"/>
    <w:rsid w:val="00592834"/>
    <w:rsid w:val="005928F6"/>
    <w:rsid w:val="0059291B"/>
    <w:rsid w:val="0059293F"/>
    <w:rsid w:val="00592989"/>
    <w:rsid w:val="005929B4"/>
    <w:rsid w:val="00592A04"/>
    <w:rsid w:val="00592A55"/>
    <w:rsid w:val="00592A5A"/>
    <w:rsid w:val="00592B3D"/>
    <w:rsid w:val="00592B5A"/>
    <w:rsid w:val="00592B6D"/>
    <w:rsid w:val="00592BAE"/>
    <w:rsid w:val="00592C16"/>
    <w:rsid w:val="00592C86"/>
    <w:rsid w:val="00592CB1"/>
    <w:rsid w:val="00592CED"/>
    <w:rsid w:val="00592CFB"/>
    <w:rsid w:val="00592D19"/>
    <w:rsid w:val="00592DA2"/>
    <w:rsid w:val="00592DB7"/>
    <w:rsid w:val="00592DBD"/>
    <w:rsid w:val="00592DEB"/>
    <w:rsid w:val="00592E0A"/>
    <w:rsid w:val="00592E69"/>
    <w:rsid w:val="00592F47"/>
    <w:rsid w:val="00592F8F"/>
    <w:rsid w:val="00592FF9"/>
    <w:rsid w:val="005930B0"/>
    <w:rsid w:val="00593184"/>
    <w:rsid w:val="005931BA"/>
    <w:rsid w:val="005931CC"/>
    <w:rsid w:val="005931F8"/>
    <w:rsid w:val="00593216"/>
    <w:rsid w:val="0059321F"/>
    <w:rsid w:val="00593256"/>
    <w:rsid w:val="00593281"/>
    <w:rsid w:val="00593288"/>
    <w:rsid w:val="00593322"/>
    <w:rsid w:val="0059332B"/>
    <w:rsid w:val="00593353"/>
    <w:rsid w:val="00593354"/>
    <w:rsid w:val="005933AC"/>
    <w:rsid w:val="00593435"/>
    <w:rsid w:val="00593474"/>
    <w:rsid w:val="00593488"/>
    <w:rsid w:val="0059348E"/>
    <w:rsid w:val="005934F3"/>
    <w:rsid w:val="00593604"/>
    <w:rsid w:val="00593624"/>
    <w:rsid w:val="005936E1"/>
    <w:rsid w:val="00593768"/>
    <w:rsid w:val="00593851"/>
    <w:rsid w:val="0059388E"/>
    <w:rsid w:val="00593897"/>
    <w:rsid w:val="005938F5"/>
    <w:rsid w:val="00593921"/>
    <w:rsid w:val="00593990"/>
    <w:rsid w:val="005939E9"/>
    <w:rsid w:val="005939F0"/>
    <w:rsid w:val="00593A1C"/>
    <w:rsid w:val="00593A8F"/>
    <w:rsid w:val="00593AC8"/>
    <w:rsid w:val="00593BB2"/>
    <w:rsid w:val="00593BD2"/>
    <w:rsid w:val="00593BE7"/>
    <w:rsid w:val="00593C17"/>
    <w:rsid w:val="00593CA8"/>
    <w:rsid w:val="00593CF0"/>
    <w:rsid w:val="00593D6E"/>
    <w:rsid w:val="00593D7D"/>
    <w:rsid w:val="00593D86"/>
    <w:rsid w:val="00593E0B"/>
    <w:rsid w:val="00593E25"/>
    <w:rsid w:val="00593E9B"/>
    <w:rsid w:val="00593F1F"/>
    <w:rsid w:val="00593F65"/>
    <w:rsid w:val="00593F84"/>
    <w:rsid w:val="00593FA0"/>
    <w:rsid w:val="00593FB1"/>
    <w:rsid w:val="0059400D"/>
    <w:rsid w:val="00594024"/>
    <w:rsid w:val="00594053"/>
    <w:rsid w:val="0059405F"/>
    <w:rsid w:val="00594068"/>
    <w:rsid w:val="005940B5"/>
    <w:rsid w:val="00594105"/>
    <w:rsid w:val="0059414F"/>
    <w:rsid w:val="00594186"/>
    <w:rsid w:val="00594187"/>
    <w:rsid w:val="005941DF"/>
    <w:rsid w:val="005942A3"/>
    <w:rsid w:val="005942B0"/>
    <w:rsid w:val="005942CA"/>
    <w:rsid w:val="005942CD"/>
    <w:rsid w:val="005942F8"/>
    <w:rsid w:val="00594347"/>
    <w:rsid w:val="005943F5"/>
    <w:rsid w:val="00594439"/>
    <w:rsid w:val="0059445B"/>
    <w:rsid w:val="00594492"/>
    <w:rsid w:val="005944AC"/>
    <w:rsid w:val="0059450F"/>
    <w:rsid w:val="00594526"/>
    <w:rsid w:val="005945A0"/>
    <w:rsid w:val="005945CC"/>
    <w:rsid w:val="005945F9"/>
    <w:rsid w:val="00594655"/>
    <w:rsid w:val="00594692"/>
    <w:rsid w:val="00594696"/>
    <w:rsid w:val="005946BF"/>
    <w:rsid w:val="005946DB"/>
    <w:rsid w:val="0059479F"/>
    <w:rsid w:val="005947A7"/>
    <w:rsid w:val="00594818"/>
    <w:rsid w:val="005948B5"/>
    <w:rsid w:val="005948C8"/>
    <w:rsid w:val="005948DA"/>
    <w:rsid w:val="00594927"/>
    <w:rsid w:val="00594995"/>
    <w:rsid w:val="00594997"/>
    <w:rsid w:val="005949DE"/>
    <w:rsid w:val="00594A66"/>
    <w:rsid w:val="00594B17"/>
    <w:rsid w:val="00594B3A"/>
    <w:rsid w:val="00594B60"/>
    <w:rsid w:val="00594BD2"/>
    <w:rsid w:val="00594BF1"/>
    <w:rsid w:val="00594BFD"/>
    <w:rsid w:val="00594CA7"/>
    <w:rsid w:val="00594CFE"/>
    <w:rsid w:val="00594D2A"/>
    <w:rsid w:val="00594D79"/>
    <w:rsid w:val="00594DC9"/>
    <w:rsid w:val="00594DE8"/>
    <w:rsid w:val="00594DF6"/>
    <w:rsid w:val="00594E47"/>
    <w:rsid w:val="00594E58"/>
    <w:rsid w:val="00594E5E"/>
    <w:rsid w:val="00594E96"/>
    <w:rsid w:val="00594EDB"/>
    <w:rsid w:val="00594F5E"/>
    <w:rsid w:val="00594FF6"/>
    <w:rsid w:val="00595049"/>
    <w:rsid w:val="00595075"/>
    <w:rsid w:val="00595084"/>
    <w:rsid w:val="0059508A"/>
    <w:rsid w:val="00595179"/>
    <w:rsid w:val="0059518D"/>
    <w:rsid w:val="00595265"/>
    <w:rsid w:val="00595384"/>
    <w:rsid w:val="005953E6"/>
    <w:rsid w:val="005953E7"/>
    <w:rsid w:val="005953FE"/>
    <w:rsid w:val="0059541F"/>
    <w:rsid w:val="00595480"/>
    <w:rsid w:val="005954C9"/>
    <w:rsid w:val="005954DC"/>
    <w:rsid w:val="005954E7"/>
    <w:rsid w:val="00595521"/>
    <w:rsid w:val="0059556C"/>
    <w:rsid w:val="0059556D"/>
    <w:rsid w:val="005956B7"/>
    <w:rsid w:val="005956DC"/>
    <w:rsid w:val="00595715"/>
    <w:rsid w:val="0059572D"/>
    <w:rsid w:val="0059578A"/>
    <w:rsid w:val="0059585E"/>
    <w:rsid w:val="00595866"/>
    <w:rsid w:val="00595913"/>
    <w:rsid w:val="0059593C"/>
    <w:rsid w:val="00595945"/>
    <w:rsid w:val="0059595D"/>
    <w:rsid w:val="00595993"/>
    <w:rsid w:val="00595999"/>
    <w:rsid w:val="005959B1"/>
    <w:rsid w:val="005959D8"/>
    <w:rsid w:val="00595A62"/>
    <w:rsid w:val="00595A6E"/>
    <w:rsid w:val="00595AF2"/>
    <w:rsid w:val="00595BFA"/>
    <w:rsid w:val="00595C18"/>
    <w:rsid w:val="00595D18"/>
    <w:rsid w:val="00595D7D"/>
    <w:rsid w:val="00595D9D"/>
    <w:rsid w:val="00595DA0"/>
    <w:rsid w:val="00595DEF"/>
    <w:rsid w:val="00595E14"/>
    <w:rsid w:val="00595E41"/>
    <w:rsid w:val="00595E46"/>
    <w:rsid w:val="00595F4F"/>
    <w:rsid w:val="00595F52"/>
    <w:rsid w:val="00595F5B"/>
    <w:rsid w:val="00595F6A"/>
    <w:rsid w:val="00595F6B"/>
    <w:rsid w:val="00595F7C"/>
    <w:rsid w:val="00595F83"/>
    <w:rsid w:val="00595FF5"/>
    <w:rsid w:val="00596025"/>
    <w:rsid w:val="0059606E"/>
    <w:rsid w:val="0059608F"/>
    <w:rsid w:val="00596119"/>
    <w:rsid w:val="00596152"/>
    <w:rsid w:val="00596176"/>
    <w:rsid w:val="005961A9"/>
    <w:rsid w:val="00596206"/>
    <w:rsid w:val="0059620E"/>
    <w:rsid w:val="00596251"/>
    <w:rsid w:val="005962A6"/>
    <w:rsid w:val="00596317"/>
    <w:rsid w:val="00596336"/>
    <w:rsid w:val="005963C2"/>
    <w:rsid w:val="005963E1"/>
    <w:rsid w:val="00596406"/>
    <w:rsid w:val="00596427"/>
    <w:rsid w:val="0059644D"/>
    <w:rsid w:val="0059645F"/>
    <w:rsid w:val="005964A9"/>
    <w:rsid w:val="005964AA"/>
    <w:rsid w:val="00596514"/>
    <w:rsid w:val="00596566"/>
    <w:rsid w:val="00596608"/>
    <w:rsid w:val="00596631"/>
    <w:rsid w:val="0059666C"/>
    <w:rsid w:val="005966B7"/>
    <w:rsid w:val="005966B9"/>
    <w:rsid w:val="00596732"/>
    <w:rsid w:val="005967DB"/>
    <w:rsid w:val="005968A0"/>
    <w:rsid w:val="0059692E"/>
    <w:rsid w:val="0059694C"/>
    <w:rsid w:val="0059698B"/>
    <w:rsid w:val="0059699D"/>
    <w:rsid w:val="005969E8"/>
    <w:rsid w:val="00596A25"/>
    <w:rsid w:val="00596A33"/>
    <w:rsid w:val="00596A9F"/>
    <w:rsid w:val="00596AE4"/>
    <w:rsid w:val="00596AF1"/>
    <w:rsid w:val="00596AF3"/>
    <w:rsid w:val="00596B09"/>
    <w:rsid w:val="00596B38"/>
    <w:rsid w:val="00596B48"/>
    <w:rsid w:val="00596B5B"/>
    <w:rsid w:val="00596B93"/>
    <w:rsid w:val="00596B9E"/>
    <w:rsid w:val="00596BD9"/>
    <w:rsid w:val="00596BF1"/>
    <w:rsid w:val="00596BFE"/>
    <w:rsid w:val="00596CDF"/>
    <w:rsid w:val="00596CE0"/>
    <w:rsid w:val="00596CFA"/>
    <w:rsid w:val="00596DE0"/>
    <w:rsid w:val="00596DF3"/>
    <w:rsid w:val="00596E1E"/>
    <w:rsid w:val="00596E50"/>
    <w:rsid w:val="00596E6B"/>
    <w:rsid w:val="00596F33"/>
    <w:rsid w:val="00596F7B"/>
    <w:rsid w:val="00596FF5"/>
    <w:rsid w:val="00597023"/>
    <w:rsid w:val="0059704E"/>
    <w:rsid w:val="0059707A"/>
    <w:rsid w:val="005970AC"/>
    <w:rsid w:val="0059715B"/>
    <w:rsid w:val="005971A3"/>
    <w:rsid w:val="005971D3"/>
    <w:rsid w:val="005971FB"/>
    <w:rsid w:val="00597212"/>
    <w:rsid w:val="00597214"/>
    <w:rsid w:val="0059721C"/>
    <w:rsid w:val="0059725B"/>
    <w:rsid w:val="0059728A"/>
    <w:rsid w:val="005972A3"/>
    <w:rsid w:val="005972F7"/>
    <w:rsid w:val="00597307"/>
    <w:rsid w:val="00597313"/>
    <w:rsid w:val="0059736A"/>
    <w:rsid w:val="005973BD"/>
    <w:rsid w:val="00597402"/>
    <w:rsid w:val="0059744A"/>
    <w:rsid w:val="005974A8"/>
    <w:rsid w:val="005974EC"/>
    <w:rsid w:val="00597554"/>
    <w:rsid w:val="00597564"/>
    <w:rsid w:val="00597602"/>
    <w:rsid w:val="005976B8"/>
    <w:rsid w:val="005977DF"/>
    <w:rsid w:val="005977FA"/>
    <w:rsid w:val="00597834"/>
    <w:rsid w:val="0059789B"/>
    <w:rsid w:val="005978D2"/>
    <w:rsid w:val="005978D3"/>
    <w:rsid w:val="005978F1"/>
    <w:rsid w:val="0059799C"/>
    <w:rsid w:val="005979A1"/>
    <w:rsid w:val="00597A11"/>
    <w:rsid w:val="00597A2E"/>
    <w:rsid w:val="00597A38"/>
    <w:rsid w:val="00597A6C"/>
    <w:rsid w:val="00597A8B"/>
    <w:rsid w:val="00597B77"/>
    <w:rsid w:val="00597B8F"/>
    <w:rsid w:val="00597B96"/>
    <w:rsid w:val="00597BAD"/>
    <w:rsid w:val="00597C62"/>
    <w:rsid w:val="00597C8E"/>
    <w:rsid w:val="00597CA2"/>
    <w:rsid w:val="00597D62"/>
    <w:rsid w:val="00597D8A"/>
    <w:rsid w:val="00597D8B"/>
    <w:rsid w:val="00597DA4"/>
    <w:rsid w:val="00597DA7"/>
    <w:rsid w:val="00597E07"/>
    <w:rsid w:val="00597E68"/>
    <w:rsid w:val="00597E95"/>
    <w:rsid w:val="00597F6E"/>
    <w:rsid w:val="00597F71"/>
    <w:rsid w:val="005A007A"/>
    <w:rsid w:val="005A0087"/>
    <w:rsid w:val="005A0094"/>
    <w:rsid w:val="005A00CD"/>
    <w:rsid w:val="005A0106"/>
    <w:rsid w:val="005A0120"/>
    <w:rsid w:val="005A0133"/>
    <w:rsid w:val="005A0148"/>
    <w:rsid w:val="005A016A"/>
    <w:rsid w:val="005A018E"/>
    <w:rsid w:val="005A024F"/>
    <w:rsid w:val="005A0269"/>
    <w:rsid w:val="005A02DA"/>
    <w:rsid w:val="005A02FF"/>
    <w:rsid w:val="005A03B6"/>
    <w:rsid w:val="005A045F"/>
    <w:rsid w:val="005A0465"/>
    <w:rsid w:val="005A0498"/>
    <w:rsid w:val="005A04A9"/>
    <w:rsid w:val="005A04B3"/>
    <w:rsid w:val="005A04B8"/>
    <w:rsid w:val="005A0504"/>
    <w:rsid w:val="005A0511"/>
    <w:rsid w:val="005A0571"/>
    <w:rsid w:val="005A0587"/>
    <w:rsid w:val="005A05EF"/>
    <w:rsid w:val="005A05FE"/>
    <w:rsid w:val="005A063D"/>
    <w:rsid w:val="005A068D"/>
    <w:rsid w:val="005A06E6"/>
    <w:rsid w:val="005A0703"/>
    <w:rsid w:val="005A07AF"/>
    <w:rsid w:val="005A07B1"/>
    <w:rsid w:val="005A07E7"/>
    <w:rsid w:val="005A0818"/>
    <w:rsid w:val="005A0876"/>
    <w:rsid w:val="005A08AC"/>
    <w:rsid w:val="005A08E0"/>
    <w:rsid w:val="005A08F4"/>
    <w:rsid w:val="005A096D"/>
    <w:rsid w:val="005A09CB"/>
    <w:rsid w:val="005A09D3"/>
    <w:rsid w:val="005A09E8"/>
    <w:rsid w:val="005A0A16"/>
    <w:rsid w:val="005A0A25"/>
    <w:rsid w:val="005A0AD8"/>
    <w:rsid w:val="005A0B71"/>
    <w:rsid w:val="005A0B97"/>
    <w:rsid w:val="005A0C02"/>
    <w:rsid w:val="005A0C14"/>
    <w:rsid w:val="005A0C25"/>
    <w:rsid w:val="005A0C5A"/>
    <w:rsid w:val="005A0C7B"/>
    <w:rsid w:val="005A0C8B"/>
    <w:rsid w:val="005A0CDE"/>
    <w:rsid w:val="005A0D27"/>
    <w:rsid w:val="005A0DBA"/>
    <w:rsid w:val="005A0DBD"/>
    <w:rsid w:val="005A0EAD"/>
    <w:rsid w:val="005A0F78"/>
    <w:rsid w:val="005A0F7D"/>
    <w:rsid w:val="005A0F9A"/>
    <w:rsid w:val="005A0FFC"/>
    <w:rsid w:val="005A1003"/>
    <w:rsid w:val="005A100B"/>
    <w:rsid w:val="005A108C"/>
    <w:rsid w:val="005A10B9"/>
    <w:rsid w:val="005A10D6"/>
    <w:rsid w:val="005A10DC"/>
    <w:rsid w:val="005A10EC"/>
    <w:rsid w:val="005A1129"/>
    <w:rsid w:val="005A113C"/>
    <w:rsid w:val="005A11A1"/>
    <w:rsid w:val="005A1274"/>
    <w:rsid w:val="005A1281"/>
    <w:rsid w:val="005A128A"/>
    <w:rsid w:val="005A12DF"/>
    <w:rsid w:val="005A12ED"/>
    <w:rsid w:val="005A1369"/>
    <w:rsid w:val="005A13A7"/>
    <w:rsid w:val="005A13CF"/>
    <w:rsid w:val="005A13E8"/>
    <w:rsid w:val="005A1405"/>
    <w:rsid w:val="005A141E"/>
    <w:rsid w:val="005A142F"/>
    <w:rsid w:val="005A1446"/>
    <w:rsid w:val="005A1448"/>
    <w:rsid w:val="005A1458"/>
    <w:rsid w:val="005A1593"/>
    <w:rsid w:val="005A160B"/>
    <w:rsid w:val="005A1610"/>
    <w:rsid w:val="005A1646"/>
    <w:rsid w:val="005A1689"/>
    <w:rsid w:val="005A16A9"/>
    <w:rsid w:val="005A1703"/>
    <w:rsid w:val="005A1743"/>
    <w:rsid w:val="005A1774"/>
    <w:rsid w:val="005A178E"/>
    <w:rsid w:val="005A1857"/>
    <w:rsid w:val="005A185F"/>
    <w:rsid w:val="005A1863"/>
    <w:rsid w:val="005A189A"/>
    <w:rsid w:val="005A18C2"/>
    <w:rsid w:val="005A18CD"/>
    <w:rsid w:val="005A1916"/>
    <w:rsid w:val="005A194D"/>
    <w:rsid w:val="005A1994"/>
    <w:rsid w:val="005A199B"/>
    <w:rsid w:val="005A1A8A"/>
    <w:rsid w:val="005A1AF1"/>
    <w:rsid w:val="005A1BAA"/>
    <w:rsid w:val="005A1BAD"/>
    <w:rsid w:val="005A1C0F"/>
    <w:rsid w:val="005A1C19"/>
    <w:rsid w:val="005A1C2C"/>
    <w:rsid w:val="005A1C30"/>
    <w:rsid w:val="005A1C94"/>
    <w:rsid w:val="005A1CCA"/>
    <w:rsid w:val="005A1CF3"/>
    <w:rsid w:val="005A1D2B"/>
    <w:rsid w:val="005A1E2D"/>
    <w:rsid w:val="005A1E36"/>
    <w:rsid w:val="005A1E7B"/>
    <w:rsid w:val="005A1E94"/>
    <w:rsid w:val="005A1ED4"/>
    <w:rsid w:val="005A1EF2"/>
    <w:rsid w:val="005A1F04"/>
    <w:rsid w:val="005A1F4D"/>
    <w:rsid w:val="005A1F7B"/>
    <w:rsid w:val="005A2010"/>
    <w:rsid w:val="005A2099"/>
    <w:rsid w:val="005A20C1"/>
    <w:rsid w:val="005A213C"/>
    <w:rsid w:val="005A2167"/>
    <w:rsid w:val="005A21A7"/>
    <w:rsid w:val="005A2222"/>
    <w:rsid w:val="005A2290"/>
    <w:rsid w:val="005A2296"/>
    <w:rsid w:val="005A22E3"/>
    <w:rsid w:val="005A22F1"/>
    <w:rsid w:val="005A22F4"/>
    <w:rsid w:val="005A2444"/>
    <w:rsid w:val="005A24B7"/>
    <w:rsid w:val="005A254E"/>
    <w:rsid w:val="005A2569"/>
    <w:rsid w:val="005A25F1"/>
    <w:rsid w:val="005A2617"/>
    <w:rsid w:val="005A2626"/>
    <w:rsid w:val="005A264C"/>
    <w:rsid w:val="005A2688"/>
    <w:rsid w:val="005A2691"/>
    <w:rsid w:val="005A2693"/>
    <w:rsid w:val="005A2712"/>
    <w:rsid w:val="005A2775"/>
    <w:rsid w:val="005A2787"/>
    <w:rsid w:val="005A283A"/>
    <w:rsid w:val="005A2841"/>
    <w:rsid w:val="005A287E"/>
    <w:rsid w:val="005A2890"/>
    <w:rsid w:val="005A28A2"/>
    <w:rsid w:val="005A28DB"/>
    <w:rsid w:val="005A2951"/>
    <w:rsid w:val="005A2959"/>
    <w:rsid w:val="005A2967"/>
    <w:rsid w:val="005A2992"/>
    <w:rsid w:val="005A29C3"/>
    <w:rsid w:val="005A2A29"/>
    <w:rsid w:val="005A2A2A"/>
    <w:rsid w:val="005A2A9F"/>
    <w:rsid w:val="005A2ABE"/>
    <w:rsid w:val="005A2B44"/>
    <w:rsid w:val="005A2B67"/>
    <w:rsid w:val="005A2B6C"/>
    <w:rsid w:val="005A2B81"/>
    <w:rsid w:val="005A2BAE"/>
    <w:rsid w:val="005A2BF0"/>
    <w:rsid w:val="005A2C7B"/>
    <w:rsid w:val="005A2D84"/>
    <w:rsid w:val="005A2DFB"/>
    <w:rsid w:val="005A2E17"/>
    <w:rsid w:val="005A2EA2"/>
    <w:rsid w:val="005A2F4E"/>
    <w:rsid w:val="005A301B"/>
    <w:rsid w:val="005A302D"/>
    <w:rsid w:val="005A304A"/>
    <w:rsid w:val="005A304F"/>
    <w:rsid w:val="005A307F"/>
    <w:rsid w:val="005A309B"/>
    <w:rsid w:val="005A30D1"/>
    <w:rsid w:val="005A3168"/>
    <w:rsid w:val="005A3184"/>
    <w:rsid w:val="005A31F9"/>
    <w:rsid w:val="005A3211"/>
    <w:rsid w:val="005A3235"/>
    <w:rsid w:val="005A3239"/>
    <w:rsid w:val="005A3255"/>
    <w:rsid w:val="005A3257"/>
    <w:rsid w:val="005A32C7"/>
    <w:rsid w:val="005A32EB"/>
    <w:rsid w:val="005A3376"/>
    <w:rsid w:val="005A339E"/>
    <w:rsid w:val="005A342F"/>
    <w:rsid w:val="005A346A"/>
    <w:rsid w:val="005A3473"/>
    <w:rsid w:val="005A3507"/>
    <w:rsid w:val="005A3517"/>
    <w:rsid w:val="005A3568"/>
    <w:rsid w:val="005A359F"/>
    <w:rsid w:val="005A35E4"/>
    <w:rsid w:val="005A3636"/>
    <w:rsid w:val="005A368E"/>
    <w:rsid w:val="005A3699"/>
    <w:rsid w:val="005A3721"/>
    <w:rsid w:val="005A37A1"/>
    <w:rsid w:val="005A37D7"/>
    <w:rsid w:val="005A3880"/>
    <w:rsid w:val="005A38B4"/>
    <w:rsid w:val="005A38B7"/>
    <w:rsid w:val="005A391E"/>
    <w:rsid w:val="005A3948"/>
    <w:rsid w:val="005A3953"/>
    <w:rsid w:val="005A3A22"/>
    <w:rsid w:val="005A3A42"/>
    <w:rsid w:val="005A3A55"/>
    <w:rsid w:val="005A3A5C"/>
    <w:rsid w:val="005A3A9A"/>
    <w:rsid w:val="005A3BC8"/>
    <w:rsid w:val="005A3C1E"/>
    <w:rsid w:val="005A3C5E"/>
    <w:rsid w:val="005A3D16"/>
    <w:rsid w:val="005A3D18"/>
    <w:rsid w:val="005A3D39"/>
    <w:rsid w:val="005A3D97"/>
    <w:rsid w:val="005A3DBD"/>
    <w:rsid w:val="005A3DE8"/>
    <w:rsid w:val="005A3DF8"/>
    <w:rsid w:val="005A3E35"/>
    <w:rsid w:val="005A3E42"/>
    <w:rsid w:val="005A3E56"/>
    <w:rsid w:val="005A3E58"/>
    <w:rsid w:val="005A3EC6"/>
    <w:rsid w:val="005A3EE7"/>
    <w:rsid w:val="005A3F5F"/>
    <w:rsid w:val="005A3FE1"/>
    <w:rsid w:val="005A3FE5"/>
    <w:rsid w:val="005A4009"/>
    <w:rsid w:val="005A4013"/>
    <w:rsid w:val="005A4045"/>
    <w:rsid w:val="005A40A8"/>
    <w:rsid w:val="005A40BC"/>
    <w:rsid w:val="005A40C4"/>
    <w:rsid w:val="005A40DD"/>
    <w:rsid w:val="005A40FA"/>
    <w:rsid w:val="005A41A3"/>
    <w:rsid w:val="005A41DA"/>
    <w:rsid w:val="005A420A"/>
    <w:rsid w:val="005A4258"/>
    <w:rsid w:val="005A42ED"/>
    <w:rsid w:val="005A42F4"/>
    <w:rsid w:val="005A42FB"/>
    <w:rsid w:val="005A4308"/>
    <w:rsid w:val="005A4345"/>
    <w:rsid w:val="005A439B"/>
    <w:rsid w:val="005A43D7"/>
    <w:rsid w:val="005A43EB"/>
    <w:rsid w:val="005A4403"/>
    <w:rsid w:val="005A440E"/>
    <w:rsid w:val="005A4450"/>
    <w:rsid w:val="005A4548"/>
    <w:rsid w:val="005A4560"/>
    <w:rsid w:val="005A45AD"/>
    <w:rsid w:val="005A45C7"/>
    <w:rsid w:val="005A4618"/>
    <w:rsid w:val="005A4637"/>
    <w:rsid w:val="005A4740"/>
    <w:rsid w:val="005A4747"/>
    <w:rsid w:val="005A4748"/>
    <w:rsid w:val="005A4764"/>
    <w:rsid w:val="005A479B"/>
    <w:rsid w:val="005A483A"/>
    <w:rsid w:val="005A484F"/>
    <w:rsid w:val="005A485B"/>
    <w:rsid w:val="005A4865"/>
    <w:rsid w:val="005A48B2"/>
    <w:rsid w:val="005A48BE"/>
    <w:rsid w:val="005A4991"/>
    <w:rsid w:val="005A49E6"/>
    <w:rsid w:val="005A4AAE"/>
    <w:rsid w:val="005A4AB3"/>
    <w:rsid w:val="005A4ACD"/>
    <w:rsid w:val="005A4AE5"/>
    <w:rsid w:val="005A4B0B"/>
    <w:rsid w:val="005A4BEF"/>
    <w:rsid w:val="005A4CA2"/>
    <w:rsid w:val="005A4CAB"/>
    <w:rsid w:val="005A4D40"/>
    <w:rsid w:val="005A4D82"/>
    <w:rsid w:val="005A4DB9"/>
    <w:rsid w:val="005A4DBD"/>
    <w:rsid w:val="005A4DC8"/>
    <w:rsid w:val="005A4E0C"/>
    <w:rsid w:val="005A4E12"/>
    <w:rsid w:val="005A4E1B"/>
    <w:rsid w:val="005A4F50"/>
    <w:rsid w:val="005A507A"/>
    <w:rsid w:val="005A511B"/>
    <w:rsid w:val="005A511C"/>
    <w:rsid w:val="005A511D"/>
    <w:rsid w:val="005A51A2"/>
    <w:rsid w:val="005A51C9"/>
    <w:rsid w:val="005A51CC"/>
    <w:rsid w:val="005A52A9"/>
    <w:rsid w:val="005A52AC"/>
    <w:rsid w:val="005A531C"/>
    <w:rsid w:val="005A53D2"/>
    <w:rsid w:val="005A5415"/>
    <w:rsid w:val="005A541A"/>
    <w:rsid w:val="005A544C"/>
    <w:rsid w:val="005A5476"/>
    <w:rsid w:val="005A54AE"/>
    <w:rsid w:val="005A54C8"/>
    <w:rsid w:val="005A554E"/>
    <w:rsid w:val="005A55DD"/>
    <w:rsid w:val="005A5637"/>
    <w:rsid w:val="005A5642"/>
    <w:rsid w:val="005A5656"/>
    <w:rsid w:val="005A566D"/>
    <w:rsid w:val="005A56D3"/>
    <w:rsid w:val="005A5721"/>
    <w:rsid w:val="005A573E"/>
    <w:rsid w:val="005A577B"/>
    <w:rsid w:val="005A5787"/>
    <w:rsid w:val="005A57C7"/>
    <w:rsid w:val="005A5807"/>
    <w:rsid w:val="005A5810"/>
    <w:rsid w:val="005A584A"/>
    <w:rsid w:val="005A5866"/>
    <w:rsid w:val="005A5879"/>
    <w:rsid w:val="005A5880"/>
    <w:rsid w:val="005A5897"/>
    <w:rsid w:val="005A58B4"/>
    <w:rsid w:val="005A590E"/>
    <w:rsid w:val="005A59E5"/>
    <w:rsid w:val="005A5A64"/>
    <w:rsid w:val="005A5AB1"/>
    <w:rsid w:val="005A5B20"/>
    <w:rsid w:val="005A5B21"/>
    <w:rsid w:val="005A5B31"/>
    <w:rsid w:val="005A5BC1"/>
    <w:rsid w:val="005A5C78"/>
    <w:rsid w:val="005A5CBA"/>
    <w:rsid w:val="005A5CF7"/>
    <w:rsid w:val="005A5D10"/>
    <w:rsid w:val="005A5D9F"/>
    <w:rsid w:val="005A5DBB"/>
    <w:rsid w:val="005A5E39"/>
    <w:rsid w:val="005A5E96"/>
    <w:rsid w:val="005A5EA3"/>
    <w:rsid w:val="005A5F40"/>
    <w:rsid w:val="005A5F61"/>
    <w:rsid w:val="005A5F6A"/>
    <w:rsid w:val="005A5F72"/>
    <w:rsid w:val="005A6070"/>
    <w:rsid w:val="005A6079"/>
    <w:rsid w:val="005A616B"/>
    <w:rsid w:val="005A61F1"/>
    <w:rsid w:val="005A61FA"/>
    <w:rsid w:val="005A623F"/>
    <w:rsid w:val="005A62AC"/>
    <w:rsid w:val="005A63DB"/>
    <w:rsid w:val="005A6416"/>
    <w:rsid w:val="005A6462"/>
    <w:rsid w:val="005A646C"/>
    <w:rsid w:val="005A646F"/>
    <w:rsid w:val="005A6476"/>
    <w:rsid w:val="005A64C1"/>
    <w:rsid w:val="005A64D3"/>
    <w:rsid w:val="005A657A"/>
    <w:rsid w:val="005A65B9"/>
    <w:rsid w:val="005A6607"/>
    <w:rsid w:val="005A663A"/>
    <w:rsid w:val="005A66E6"/>
    <w:rsid w:val="005A66E7"/>
    <w:rsid w:val="005A6730"/>
    <w:rsid w:val="005A6742"/>
    <w:rsid w:val="005A6752"/>
    <w:rsid w:val="005A677B"/>
    <w:rsid w:val="005A6784"/>
    <w:rsid w:val="005A67EA"/>
    <w:rsid w:val="005A6849"/>
    <w:rsid w:val="005A6861"/>
    <w:rsid w:val="005A6947"/>
    <w:rsid w:val="005A694A"/>
    <w:rsid w:val="005A69A6"/>
    <w:rsid w:val="005A69C8"/>
    <w:rsid w:val="005A69F1"/>
    <w:rsid w:val="005A6A15"/>
    <w:rsid w:val="005A6A4C"/>
    <w:rsid w:val="005A6AE8"/>
    <w:rsid w:val="005A6AF0"/>
    <w:rsid w:val="005A6AFE"/>
    <w:rsid w:val="005A6B0E"/>
    <w:rsid w:val="005A6B32"/>
    <w:rsid w:val="005A6BB5"/>
    <w:rsid w:val="005A6BF1"/>
    <w:rsid w:val="005A6BF6"/>
    <w:rsid w:val="005A6CAA"/>
    <w:rsid w:val="005A6D16"/>
    <w:rsid w:val="005A6D62"/>
    <w:rsid w:val="005A6DBB"/>
    <w:rsid w:val="005A6E8E"/>
    <w:rsid w:val="005A6EB6"/>
    <w:rsid w:val="005A6F48"/>
    <w:rsid w:val="005A6FDF"/>
    <w:rsid w:val="005A7044"/>
    <w:rsid w:val="005A7071"/>
    <w:rsid w:val="005A70B0"/>
    <w:rsid w:val="005A70BC"/>
    <w:rsid w:val="005A7157"/>
    <w:rsid w:val="005A722B"/>
    <w:rsid w:val="005A727F"/>
    <w:rsid w:val="005A7289"/>
    <w:rsid w:val="005A72BF"/>
    <w:rsid w:val="005A7310"/>
    <w:rsid w:val="005A7388"/>
    <w:rsid w:val="005A73F4"/>
    <w:rsid w:val="005A73FE"/>
    <w:rsid w:val="005A745B"/>
    <w:rsid w:val="005A7482"/>
    <w:rsid w:val="005A7520"/>
    <w:rsid w:val="005A752F"/>
    <w:rsid w:val="005A753E"/>
    <w:rsid w:val="005A7578"/>
    <w:rsid w:val="005A75D1"/>
    <w:rsid w:val="005A761A"/>
    <w:rsid w:val="005A7620"/>
    <w:rsid w:val="005A765B"/>
    <w:rsid w:val="005A766E"/>
    <w:rsid w:val="005A76C0"/>
    <w:rsid w:val="005A7703"/>
    <w:rsid w:val="005A778B"/>
    <w:rsid w:val="005A7793"/>
    <w:rsid w:val="005A779D"/>
    <w:rsid w:val="005A781D"/>
    <w:rsid w:val="005A7827"/>
    <w:rsid w:val="005A7834"/>
    <w:rsid w:val="005A783B"/>
    <w:rsid w:val="005A784B"/>
    <w:rsid w:val="005A7865"/>
    <w:rsid w:val="005A786C"/>
    <w:rsid w:val="005A787D"/>
    <w:rsid w:val="005A7991"/>
    <w:rsid w:val="005A7A3B"/>
    <w:rsid w:val="005A7A68"/>
    <w:rsid w:val="005A7A88"/>
    <w:rsid w:val="005A7AFA"/>
    <w:rsid w:val="005A7BE2"/>
    <w:rsid w:val="005A7C01"/>
    <w:rsid w:val="005A7C26"/>
    <w:rsid w:val="005A7C29"/>
    <w:rsid w:val="005A7C81"/>
    <w:rsid w:val="005A7D01"/>
    <w:rsid w:val="005A7D0E"/>
    <w:rsid w:val="005A7D4E"/>
    <w:rsid w:val="005A7EBA"/>
    <w:rsid w:val="005A7F60"/>
    <w:rsid w:val="005A7F68"/>
    <w:rsid w:val="005A7F6C"/>
    <w:rsid w:val="005A7F6D"/>
    <w:rsid w:val="005A7F96"/>
    <w:rsid w:val="005A7FFC"/>
    <w:rsid w:val="005A7FFD"/>
    <w:rsid w:val="005B003A"/>
    <w:rsid w:val="005B0084"/>
    <w:rsid w:val="005B0114"/>
    <w:rsid w:val="005B0173"/>
    <w:rsid w:val="005B0186"/>
    <w:rsid w:val="005B0210"/>
    <w:rsid w:val="005B027A"/>
    <w:rsid w:val="005B0290"/>
    <w:rsid w:val="005B02A4"/>
    <w:rsid w:val="005B02B7"/>
    <w:rsid w:val="005B02EE"/>
    <w:rsid w:val="005B0302"/>
    <w:rsid w:val="005B0306"/>
    <w:rsid w:val="005B03C6"/>
    <w:rsid w:val="005B03E8"/>
    <w:rsid w:val="005B0471"/>
    <w:rsid w:val="005B04CD"/>
    <w:rsid w:val="005B0558"/>
    <w:rsid w:val="005B0611"/>
    <w:rsid w:val="005B061F"/>
    <w:rsid w:val="005B0651"/>
    <w:rsid w:val="005B066E"/>
    <w:rsid w:val="005B06E9"/>
    <w:rsid w:val="005B072E"/>
    <w:rsid w:val="005B076B"/>
    <w:rsid w:val="005B07D1"/>
    <w:rsid w:val="005B07F0"/>
    <w:rsid w:val="005B084D"/>
    <w:rsid w:val="005B0863"/>
    <w:rsid w:val="005B08A6"/>
    <w:rsid w:val="005B095D"/>
    <w:rsid w:val="005B09D7"/>
    <w:rsid w:val="005B0A54"/>
    <w:rsid w:val="005B0A5B"/>
    <w:rsid w:val="005B0AA0"/>
    <w:rsid w:val="005B0AB7"/>
    <w:rsid w:val="005B0B11"/>
    <w:rsid w:val="005B0B74"/>
    <w:rsid w:val="005B0B7F"/>
    <w:rsid w:val="005B0BB8"/>
    <w:rsid w:val="005B0C85"/>
    <w:rsid w:val="005B0C93"/>
    <w:rsid w:val="005B0CB8"/>
    <w:rsid w:val="005B0CFE"/>
    <w:rsid w:val="005B0D02"/>
    <w:rsid w:val="005B0D0D"/>
    <w:rsid w:val="005B0D86"/>
    <w:rsid w:val="005B0D95"/>
    <w:rsid w:val="005B0DC7"/>
    <w:rsid w:val="005B0E60"/>
    <w:rsid w:val="005B0EA4"/>
    <w:rsid w:val="005B0ED6"/>
    <w:rsid w:val="005B0F22"/>
    <w:rsid w:val="005B0F34"/>
    <w:rsid w:val="005B0F7E"/>
    <w:rsid w:val="005B0FF7"/>
    <w:rsid w:val="005B1019"/>
    <w:rsid w:val="005B102A"/>
    <w:rsid w:val="005B1070"/>
    <w:rsid w:val="005B1091"/>
    <w:rsid w:val="005B1112"/>
    <w:rsid w:val="005B1176"/>
    <w:rsid w:val="005B11D9"/>
    <w:rsid w:val="005B11DB"/>
    <w:rsid w:val="005B1254"/>
    <w:rsid w:val="005B126B"/>
    <w:rsid w:val="005B12C3"/>
    <w:rsid w:val="005B12D2"/>
    <w:rsid w:val="005B12E8"/>
    <w:rsid w:val="005B1321"/>
    <w:rsid w:val="005B134F"/>
    <w:rsid w:val="005B1368"/>
    <w:rsid w:val="005B137F"/>
    <w:rsid w:val="005B1380"/>
    <w:rsid w:val="005B13B9"/>
    <w:rsid w:val="005B15B0"/>
    <w:rsid w:val="005B15E4"/>
    <w:rsid w:val="005B1627"/>
    <w:rsid w:val="005B163E"/>
    <w:rsid w:val="005B1648"/>
    <w:rsid w:val="005B16A9"/>
    <w:rsid w:val="005B16EC"/>
    <w:rsid w:val="005B175F"/>
    <w:rsid w:val="005B176B"/>
    <w:rsid w:val="005B1789"/>
    <w:rsid w:val="005B17A8"/>
    <w:rsid w:val="005B17F8"/>
    <w:rsid w:val="005B1813"/>
    <w:rsid w:val="005B18C1"/>
    <w:rsid w:val="005B1917"/>
    <w:rsid w:val="005B191B"/>
    <w:rsid w:val="005B193A"/>
    <w:rsid w:val="005B199A"/>
    <w:rsid w:val="005B19A2"/>
    <w:rsid w:val="005B19B4"/>
    <w:rsid w:val="005B19D7"/>
    <w:rsid w:val="005B1A2A"/>
    <w:rsid w:val="005B1A75"/>
    <w:rsid w:val="005B1A7E"/>
    <w:rsid w:val="005B1A9B"/>
    <w:rsid w:val="005B1A9E"/>
    <w:rsid w:val="005B1AF3"/>
    <w:rsid w:val="005B1AF8"/>
    <w:rsid w:val="005B1B0A"/>
    <w:rsid w:val="005B1B17"/>
    <w:rsid w:val="005B1C1F"/>
    <w:rsid w:val="005B1C3D"/>
    <w:rsid w:val="005B1C59"/>
    <w:rsid w:val="005B1C67"/>
    <w:rsid w:val="005B1CAE"/>
    <w:rsid w:val="005B1CC0"/>
    <w:rsid w:val="005B1CE3"/>
    <w:rsid w:val="005B1CF6"/>
    <w:rsid w:val="005B1D67"/>
    <w:rsid w:val="005B1D9E"/>
    <w:rsid w:val="005B1DBD"/>
    <w:rsid w:val="005B1DD2"/>
    <w:rsid w:val="005B1DDE"/>
    <w:rsid w:val="005B1DF4"/>
    <w:rsid w:val="005B1DFA"/>
    <w:rsid w:val="005B1E62"/>
    <w:rsid w:val="005B1E8A"/>
    <w:rsid w:val="005B1EF3"/>
    <w:rsid w:val="005B1F25"/>
    <w:rsid w:val="005B1F45"/>
    <w:rsid w:val="005B1F57"/>
    <w:rsid w:val="005B2039"/>
    <w:rsid w:val="005B206C"/>
    <w:rsid w:val="005B2075"/>
    <w:rsid w:val="005B20B1"/>
    <w:rsid w:val="005B2129"/>
    <w:rsid w:val="005B2156"/>
    <w:rsid w:val="005B2171"/>
    <w:rsid w:val="005B218B"/>
    <w:rsid w:val="005B21E8"/>
    <w:rsid w:val="005B22BC"/>
    <w:rsid w:val="005B22CA"/>
    <w:rsid w:val="005B22D7"/>
    <w:rsid w:val="005B245A"/>
    <w:rsid w:val="005B2466"/>
    <w:rsid w:val="005B248F"/>
    <w:rsid w:val="005B24AD"/>
    <w:rsid w:val="005B251D"/>
    <w:rsid w:val="005B2525"/>
    <w:rsid w:val="005B253C"/>
    <w:rsid w:val="005B25FB"/>
    <w:rsid w:val="005B2620"/>
    <w:rsid w:val="005B262C"/>
    <w:rsid w:val="005B264B"/>
    <w:rsid w:val="005B2655"/>
    <w:rsid w:val="005B2681"/>
    <w:rsid w:val="005B26AB"/>
    <w:rsid w:val="005B27FB"/>
    <w:rsid w:val="005B2823"/>
    <w:rsid w:val="005B2852"/>
    <w:rsid w:val="005B2877"/>
    <w:rsid w:val="005B2880"/>
    <w:rsid w:val="005B28D6"/>
    <w:rsid w:val="005B294B"/>
    <w:rsid w:val="005B2998"/>
    <w:rsid w:val="005B29E7"/>
    <w:rsid w:val="005B2A0D"/>
    <w:rsid w:val="005B2A2F"/>
    <w:rsid w:val="005B2AA3"/>
    <w:rsid w:val="005B2AE1"/>
    <w:rsid w:val="005B2AE6"/>
    <w:rsid w:val="005B2B46"/>
    <w:rsid w:val="005B2B67"/>
    <w:rsid w:val="005B2C06"/>
    <w:rsid w:val="005B2C1A"/>
    <w:rsid w:val="005B2C28"/>
    <w:rsid w:val="005B2C6F"/>
    <w:rsid w:val="005B2CAB"/>
    <w:rsid w:val="005B2CF7"/>
    <w:rsid w:val="005B2E95"/>
    <w:rsid w:val="005B2EB9"/>
    <w:rsid w:val="005B2EBD"/>
    <w:rsid w:val="005B2F10"/>
    <w:rsid w:val="005B2F18"/>
    <w:rsid w:val="005B2F4A"/>
    <w:rsid w:val="005B2FA7"/>
    <w:rsid w:val="005B300D"/>
    <w:rsid w:val="005B303E"/>
    <w:rsid w:val="005B30A7"/>
    <w:rsid w:val="005B3135"/>
    <w:rsid w:val="005B3161"/>
    <w:rsid w:val="005B31A3"/>
    <w:rsid w:val="005B31C2"/>
    <w:rsid w:val="005B31E3"/>
    <w:rsid w:val="005B3205"/>
    <w:rsid w:val="005B320E"/>
    <w:rsid w:val="005B3226"/>
    <w:rsid w:val="005B324A"/>
    <w:rsid w:val="005B3279"/>
    <w:rsid w:val="005B32A3"/>
    <w:rsid w:val="005B32FE"/>
    <w:rsid w:val="005B333E"/>
    <w:rsid w:val="005B337A"/>
    <w:rsid w:val="005B33C4"/>
    <w:rsid w:val="005B3435"/>
    <w:rsid w:val="005B3525"/>
    <w:rsid w:val="005B3548"/>
    <w:rsid w:val="005B35E9"/>
    <w:rsid w:val="005B3688"/>
    <w:rsid w:val="005B36C6"/>
    <w:rsid w:val="005B36DE"/>
    <w:rsid w:val="005B3753"/>
    <w:rsid w:val="005B3772"/>
    <w:rsid w:val="005B37AF"/>
    <w:rsid w:val="005B37B3"/>
    <w:rsid w:val="005B387C"/>
    <w:rsid w:val="005B38CF"/>
    <w:rsid w:val="005B39B7"/>
    <w:rsid w:val="005B39E5"/>
    <w:rsid w:val="005B3A47"/>
    <w:rsid w:val="005B3A4C"/>
    <w:rsid w:val="005B3AB1"/>
    <w:rsid w:val="005B3AC9"/>
    <w:rsid w:val="005B3B4D"/>
    <w:rsid w:val="005B3B54"/>
    <w:rsid w:val="005B3BA9"/>
    <w:rsid w:val="005B3C01"/>
    <w:rsid w:val="005B3C0B"/>
    <w:rsid w:val="005B3C40"/>
    <w:rsid w:val="005B3C41"/>
    <w:rsid w:val="005B3C64"/>
    <w:rsid w:val="005B3C6F"/>
    <w:rsid w:val="005B3CA6"/>
    <w:rsid w:val="005B3D7E"/>
    <w:rsid w:val="005B3DFF"/>
    <w:rsid w:val="005B3E0F"/>
    <w:rsid w:val="005B3EC3"/>
    <w:rsid w:val="005B3F1F"/>
    <w:rsid w:val="005B3F2E"/>
    <w:rsid w:val="005B3F3F"/>
    <w:rsid w:val="005B3F46"/>
    <w:rsid w:val="005B3F55"/>
    <w:rsid w:val="005B3F7B"/>
    <w:rsid w:val="005B3FDD"/>
    <w:rsid w:val="005B403B"/>
    <w:rsid w:val="005B4047"/>
    <w:rsid w:val="005B407B"/>
    <w:rsid w:val="005B4104"/>
    <w:rsid w:val="005B417D"/>
    <w:rsid w:val="005B41AA"/>
    <w:rsid w:val="005B41F2"/>
    <w:rsid w:val="005B422D"/>
    <w:rsid w:val="005B4234"/>
    <w:rsid w:val="005B423A"/>
    <w:rsid w:val="005B424A"/>
    <w:rsid w:val="005B4250"/>
    <w:rsid w:val="005B42BE"/>
    <w:rsid w:val="005B4390"/>
    <w:rsid w:val="005B4405"/>
    <w:rsid w:val="005B4435"/>
    <w:rsid w:val="005B4467"/>
    <w:rsid w:val="005B453F"/>
    <w:rsid w:val="005B456D"/>
    <w:rsid w:val="005B457A"/>
    <w:rsid w:val="005B45B6"/>
    <w:rsid w:val="005B4602"/>
    <w:rsid w:val="005B4627"/>
    <w:rsid w:val="005B46D3"/>
    <w:rsid w:val="005B4714"/>
    <w:rsid w:val="005B4729"/>
    <w:rsid w:val="005B476C"/>
    <w:rsid w:val="005B47BD"/>
    <w:rsid w:val="005B48C8"/>
    <w:rsid w:val="005B48F2"/>
    <w:rsid w:val="005B4910"/>
    <w:rsid w:val="005B491A"/>
    <w:rsid w:val="005B496F"/>
    <w:rsid w:val="005B4973"/>
    <w:rsid w:val="005B49B1"/>
    <w:rsid w:val="005B49B9"/>
    <w:rsid w:val="005B49C5"/>
    <w:rsid w:val="005B4A05"/>
    <w:rsid w:val="005B4A21"/>
    <w:rsid w:val="005B4A67"/>
    <w:rsid w:val="005B4B0F"/>
    <w:rsid w:val="005B4B52"/>
    <w:rsid w:val="005B4B5C"/>
    <w:rsid w:val="005B4B87"/>
    <w:rsid w:val="005B4B8B"/>
    <w:rsid w:val="005B4BDC"/>
    <w:rsid w:val="005B4BFA"/>
    <w:rsid w:val="005B4C46"/>
    <w:rsid w:val="005B4C93"/>
    <w:rsid w:val="005B4D03"/>
    <w:rsid w:val="005B4D19"/>
    <w:rsid w:val="005B4D1E"/>
    <w:rsid w:val="005B4D32"/>
    <w:rsid w:val="005B4D7D"/>
    <w:rsid w:val="005B4EDE"/>
    <w:rsid w:val="005B4EF2"/>
    <w:rsid w:val="005B4F51"/>
    <w:rsid w:val="005B4F6E"/>
    <w:rsid w:val="005B4F7D"/>
    <w:rsid w:val="005B4FAC"/>
    <w:rsid w:val="005B4FAD"/>
    <w:rsid w:val="005B4FF1"/>
    <w:rsid w:val="005B504D"/>
    <w:rsid w:val="005B505A"/>
    <w:rsid w:val="005B5083"/>
    <w:rsid w:val="005B50B2"/>
    <w:rsid w:val="005B50C2"/>
    <w:rsid w:val="005B50D5"/>
    <w:rsid w:val="005B51A0"/>
    <w:rsid w:val="005B51B0"/>
    <w:rsid w:val="005B51D3"/>
    <w:rsid w:val="005B51E8"/>
    <w:rsid w:val="005B51EF"/>
    <w:rsid w:val="005B52B0"/>
    <w:rsid w:val="005B52C5"/>
    <w:rsid w:val="005B5389"/>
    <w:rsid w:val="005B53DE"/>
    <w:rsid w:val="005B53F1"/>
    <w:rsid w:val="005B5411"/>
    <w:rsid w:val="005B5414"/>
    <w:rsid w:val="005B5488"/>
    <w:rsid w:val="005B554F"/>
    <w:rsid w:val="005B55ED"/>
    <w:rsid w:val="005B5742"/>
    <w:rsid w:val="005B576A"/>
    <w:rsid w:val="005B5790"/>
    <w:rsid w:val="005B5797"/>
    <w:rsid w:val="005B5799"/>
    <w:rsid w:val="005B57E1"/>
    <w:rsid w:val="005B57ED"/>
    <w:rsid w:val="005B5824"/>
    <w:rsid w:val="005B5838"/>
    <w:rsid w:val="005B5865"/>
    <w:rsid w:val="005B5871"/>
    <w:rsid w:val="005B587D"/>
    <w:rsid w:val="005B5892"/>
    <w:rsid w:val="005B58B7"/>
    <w:rsid w:val="005B5915"/>
    <w:rsid w:val="005B592A"/>
    <w:rsid w:val="005B5938"/>
    <w:rsid w:val="005B5945"/>
    <w:rsid w:val="005B59C3"/>
    <w:rsid w:val="005B59D8"/>
    <w:rsid w:val="005B59EF"/>
    <w:rsid w:val="005B5A0F"/>
    <w:rsid w:val="005B5A14"/>
    <w:rsid w:val="005B5A26"/>
    <w:rsid w:val="005B5A29"/>
    <w:rsid w:val="005B5A7B"/>
    <w:rsid w:val="005B5A99"/>
    <w:rsid w:val="005B5AEC"/>
    <w:rsid w:val="005B5B24"/>
    <w:rsid w:val="005B5BEF"/>
    <w:rsid w:val="005B5C1E"/>
    <w:rsid w:val="005B5C21"/>
    <w:rsid w:val="005B5CBB"/>
    <w:rsid w:val="005B5DF4"/>
    <w:rsid w:val="005B5E2A"/>
    <w:rsid w:val="005B5E90"/>
    <w:rsid w:val="005B5EA0"/>
    <w:rsid w:val="005B5EF8"/>
    <w:rsid w:val="005B5F35"/>
    <w:rsid w:val="005B5F5A"/>
    <w:rsid w:val="005B5F88"/>
    <w:rsid w:val="005B5F9E"/>
    <w:rsid w:val="005B5FA0"/>
    <w:rsid w:val="005B5FBE"/>
    <w:rsid w:val="005B5FD2"/>
    <w:rsid w:val="005B601E"/>
    <w:rsid w:val="005B6038"/>
    <w:rsid w:val="005B6040"/>
    <w:rsid w:val="005B608C"/>
    <w:rsid w:val="005B60A1"/>
    <w:rsid w:val="005B60C0"/>
    <w:rsid w:val="005B60E7"/>
    <w:rsid w:val="005B6115"/>
    <w:rsid w:val="005B611B"/>
    <w:rsid w:val="005B6174"/>
    <w:rsid w:val="005B6176"/>
    <w:rsid w:val="005B61F6"/>
    <w:rsid w:val="005B61F7"/>
    <w:rsid w:val="005B6273"/>
    <w:rsid w:val="005B62A7"/>
    <w:rsid w:val="005B62AE"/>
    <w:rsid w:val="005B633C"/>
    <w:rsid w:val="005B633F"/>
    <w:rsid w:val="005B6398"/>
    <w:rsid w:val="005B63AD"/>
    <w:rsid w:val="005B63B2"/>
    <w:rsid w:val="005B63BD"/>
    <w:rsid w:val="005B63E2"/>
    <w:rsid w:val="005B6476"/>
    <w:rsid w:val="005B64BC"/>
    <w:rsid w:val="005B6517"/>
    <w:rsid w:val="005B6519"/>
    <w:rsid w:val="005B651B"/>
    <w:rsid w:val="005B65F3"/>
    <w:rsid w:val="005B6624"/>
    <w:rsid w:val="005B669E"/>
    <w:rsid w:val="005B66B0"/>
    <w:rsid w:val="005B6740"/>
    <w:rsid w:val="005B676C"/>
    <w:rsid w:val="005B6809"/>
    <w:rsid w:val="005B681D"/>
    <w:rsid w:val="005B687C"/>
    <w:rsid w:val="005B68FE"/>
    <w:rsid w:val="005B6957"/>
    <w:rsid w:val="005B6A57"/>
    <w:rsid w:val="005B6A82"/>
    <w:rsid w:val="005B6AFE"/>
    <w:rsid w:val="005B6B1C"/>
    <w:rsid w:val="005B6BC1"/>
    <w:rsid w:val="005B6C46"/>
    <w:rsid w:val="005B6C66"/>
    <w:rsid w:val="005B6CC7"/>
    <w:rsid w:val="005B6CD7"/>
    <w:rsid w:val="005B6D05"/>
    <w:rsid w:val="005B6D14"/>
    <w:rsid w:val="005B6E47"/>
    <w:rsid w:val="005B6E5C"/>
    <w:rsid w:val="005B6F07"/>
    <w:rsid w:val="005B6F38"/>
    <w:rsid w:val="005B6F80"/>
    <w:rsid w:val="005B6F98"/>
    <w:rsid w:val="005B6FAC"/>
    <w:rsid w:val="005B6FAD"/>
    <w:rsid w:val="005B6FBB"/>
    <w:rsid w:val="005B6FDF"/>
    <w:rsid w:val="005B6FE9"/>
    <w:rsid w:val="005B70BC"/>
    <w:rsid w:val="005B70CC"/>
    <w:rsid w:val="005B7116"/>
    <w:rsid w:val="005B7128"/>
    <w:rsid w:val="005B7226"/>
    <w:rsid w:val="005B722E"/>
    <w:rsid w:val="005B728C"/>
    <w:rsid w:val="005B72F2"/>
    <w:rsid w:val="005B7351"/>
    <w:rsid w:val="005B736F"/>
    <w:rsid w:val="005B7385"/>
    <w:rsid w:val="005B7394"/>
    <w:rsid w:val="005B73CB"/>
    <w:rsid w:val="005B73F8"/>
    <w:rsid w:val="005B742D"/>
    <w:rsid w:val="005B7437"/>
    <w:rsid w:val="005B744F"/>
    <w:rsid w:val="005B745C"/>
    <w:rsid w:val="005B74A0"/>
    <w:rsid w:val="005B74B9"/>
    <w:rsid w:val="005B74E6"/>
    <w:rsid w:val="005B7517"/>
    <w:rsid w:val="005B756E"/>
    <w:rsid w:val="005B7586"/>
    <w:rsid w:val="005B75AA"/>
    <w:rsid w:val="005B75FB"/>
    <w:rsid w:val="005B763E"/>
    <w:rsid w:val="005B7657"/>
    <w:rsid w:val="005B766A"/>
    <w:rsid w:val="005B7688"/>
    <w:rsid w:val="005B769B"/>
    <w:rsid w:val="005B76A3"/>
    <w:rsid w:val="005B76B6"/>
    <w:rsid w:val="005B7700"/>
    <w:rsid w:val="005B773D"/>
    <w:rsid w:val="005B774D"/>
    <w:rsid w:val="005B77A1"/>
    <w:rsid w:val="005B77B2"/>
    <w:rsid w:val="005B780F"/>
    <w:rsid w:val="005B7838"/>
    <w:rsid w:val="005B78C3"/>
    <w:rsid w:val="005B79A1"/>
    <w:rsid w:val="005B79AF"/>
    <w:rsid w:val="005B79EA"/>
    <w:rsid w:val="005B79EC"/>
    <w:rsid w:val="005B79F3"/>
    <w:rsid w:val="005B7A1E"/>
    <w:rsid w:val="005B7A4D"/>
    <w:rsid w:val="005B7A70"/>
    <w:rsid w:val="005B7A77"/>
    <w:rsid w:val="005B7BD4"/>
    <w:rsid w:val="005B7BE4"/>
    <w:rsid w:val="005B7BF5"/>
    <w:rsid w:val="005B7C28"/>
    <w:rsid w:val="005B7CE7"/>
    <w:rsid w:val="005B7DAE"/>
    <w:rsid w:val="005B7DF4"/>
    <w:rsid w:val="005B7EC9"/>
    <w:rsid w:val="005B7ECA"/>
    <w:rsid w:val="005B7ED8"/>
    <w:rsid w:val="005B7F10"/>
    <w:rsid w:val="005B7F7F"/>
    <w:rsid w:val="005B7F95"/>
    <w:rsid w:val="005C003C"/>
    <w:rsid w:val="005C0052"/>
    <w:rsid w:val="005C0053"/>
    <w:rsid w:val="005C0082"/>
    <w:rsid w:val="005C0166"/>
    <w:rsid w:val="005C0179"/>
    <w:rsid w:val="005C01EB"/>
    <w:rsid w:val="005C0237"/>
    <w:rsid w:val="005C025D"/>
    <w:rsid w:val="005C02A4"/>
    <w:rsid w:val="005C0397"/>
    <w:rsid w:val="005C03B4"/>
    <w:rsid w:val="005C03DB"/>
    <w:rsid w:val="005C044F"/>
    <w:rsid w:val="005C049C"/>
    <w:rsid w:val="005C04AA"/>
    <w:rsid w:val="005C04B2"/>
    <w:rsid w:val="005C04EC"/>
    <w:rsid w:val="005C0536"/>
    <w:rsid w:val="005C0538"/>
    <w:rsid w:val="005C058A"/>
    <w:rsid w:val="005C0615"/>
    <w:rsid w:val="005C06A1"/>
    <w:rsid w:val="005C06E8"/>
    <w:rsid w:val="005C076A"/>
    <w:rsid w:val="005C07BB"/>
    <w:rsid w:val="005C07D9"/>
    <w:rsid w:val="005C086B"/>
    <w:rsid w:val="005C087C"/>
    <w:rsid w:val="005C0890"/>
    <w:rsid w:val="005C0897"/>
    <w:rsid w:val="005C089B"/>
    <w:rsid w:val="005C08C9"/>
    <w:rsid w:val="005C08FA"/>
    <w:rsid w:val="005C0A28"/>
    <w:rsid w:val="005C0A63"/>
    <w:rsid w:val="005C0AD1"/>
    <w:rsid w:val="005C0B43"/>
    <w:rsid w:val="005C0B55"/>
    <w:rsid w:val="005C0B9F"/>
    <w:rsid w:val="005C0BC7"/>
    <w:rsid w:val="005C0C52"/>
    <w:rsid w:val="005C0C6E"/>
    <w:rsid w:val="005C0CA0"/>
    <w:rsid w:val="005C0CDD"/>
    <w:rsid w:val="005C0CFF"/>
    <w:rsid w:val="005C0D1C"/>
    <w:rsid w:val="005C0D99"/>
    <w:rsid w:val="005C0DE5"/>
    <w:rsid w:val="005C0E55"/>
    <w:rsid w:val="005C0E63"/>
    <w:rsid w:val="005C0E68"/>
    <w:rsid w:val="005C0E87"/>
    <w:rsid w:val="005C0EE3"/>
    <w:rsid w:val="005C0F35"/>
    <w:rsid w:val="005C0FBE"/>
    <w:rsid w:val="005C0FCD"/>
    <w:rsid w:val="005C0FD2"/>
    <w:rsid w:val="005C104E"/>
    <w:rsid w:val="005C106B"/>
    <w:rsid w:val="005C10B8"/>
    <w:rsid w:val="005C10DC"/>
    <w:rsid w:val="005C10E5"/>
    <w:rsid w:val="005C10EB"/>
    <w:rsid w:val="005C1100"/>
    <w:rsid w:val="005C1108"/>
    <w:rsid w:val="005C114F"/>
    <w:rsid w:val="005C11A1"/>
    <w:rsid w:val="005C11D2"/>
    <w:rsid w:val="005C1222"/>
    <w:rsid w:val="005C124F"/>
    <w:rsid w:val="005C127E"/>
    <w:rsid w:val="005C12B1"/>
    <w:rsid w:val="005C135C"/>
    <w:rsid w:val="005C1386"/>
    <w:rsid w:val="005C1395"/>
    <w:rsid w:val="005C13A7"/>
    <w:rsid w:val="005C13A8"/>
    <w:rsid w:val="005C13BC"/>
    <w:rsid w:val="005C13D5"/>
    <w:rsid w:val="005C1412"/>
    <w:rsid w:val="005C151C"/>
    <w:rsid w:val="005C1573"/>
    <w:rsid w:val="005C1583"/>
    <w:rsid w:val="005C15FF"/>
    <w:rsid w:val="005C160A"/>
    <w:rsid w:val="005C1628"/>
    <w:rsid w:val="005C166E"/>
    <w:rsid w:val="005C16CD"/>
    <w:rsid w:val="005C1740"/>
    <w:rsid w:val="005C176C"/>
    <w:rsid w:val="005C1788"/>
    <w:rsid w:val="005C178A"/>
    <w:rsid w:val="005C178F"/>
    <w:rsid w:val="005C17B2"/>
    <w:rsid w:val="005C186E"/>
    <w:rsid w:val="005C1870"/>
    <w:rsid w:val="005C188B"/>
    <w:rsid w:val="005C1906"/>
    <w:rsid w:val="005C1945"/>
    <w:rsid w:val="005C1995"/>
    <w:rsid w:val="005C19CF"/>
    <w:rsid w:val="005C1A5E"/>
    <w:rsid w:val="005C1AE2"/>
    <w:rsid w:val="005C1B92"/>
    <w:rsid w:val="005C1BD1"/>
    <w:rsid w:val="005C1C39"/>
    <w:rsid w:val="005C1C41"/>
    <w:rsid w:val="005C1C6E"/>
    <w:rsid w:val="005C1CA3"/>
    <w:rsid w:val="005C1CE1"/>
    <w:rsid w:val="005C1D31"/>
    <w:rsid w:val="005C1DC3"/>
    <w:rsid w:val="005C1E46"/>
    <w:rsid w:val="005C1E47"/>
    <w:rsid w:val="005C1E48"/>
    <w:rsid w:val="005C1E86"/>
    <w:rsid w:val="005C1E8A"/>
    <w:rsid w:val="005C1EB0"/>
    <w:rsid w:val="005C1EC2"/>
    <w:rsid w:val="005C1EE9"/>
    <w:rsid w:val="005C1F0F"/>
    <w:rsid w:val="005C1F20"/>
    <w:rsid w:val="005C1F2C"/>
    <w:rsid w:val="005C1F31"/>
    <w:rsid w:val="005C1F5F"/>
    <w:rsid w:val="005C1F7B"/>
    <w:rsid w:val="005C2018"/>
    <w:rsid w:val="005C203B"/>
    <w:rsid w:val="005C20A2"/>
    <w:rsid w:val="005C20BD"/>
    <w:rsid w:val="005C20D2"/>
    <w:rsid w:val="005C20EE"/>
    <w:rsid w:val="005C20F5"/>
    <w:rsid w:val="005C2102"/>
    <w:rsid w:val="005C214F"/>
    <w:rsid w:val="005C216D"/>
    <w:rsid w:val="005C22F3"/>
    <w:rsid w:val="005C23E1"/>
    <w:rsid w:val="005C24A3"/>
    <w:rsid w:val="005C253D"/>
    <w:rsid w:val="005C2554"/>
    <w:rsid w:val="005C25B5"/>
    <w:rsid w:val="005C265E"/>
    <w:rsid w:val="005C268E"/>
    <w:rsid w:val="005C26B0"/>
    <w:rsid w:val="005C26C5"/>
    <w:rsid w:val="005C26E4"/>
    <w:rsid w:val="005C2712"/>
    <w:rsid w:val="005C275A"/>
    <w:rsid w:val="005C2789"/>
    <w:rsid w:val="005C27BD"/>
    <w:rsid w:val="005C280E"/>
    <w:rsid w:val="005C2875"/>
    <w:rsid w:val="005C2891"/>
    <w:rsid w:val="005C28AD"/>
    <w:rsid w:val="005C28CB"/>
    <w:rsid w:val="005C28D2"/>
    <w:rsid w:val="005C294E"/>
    <w:rsid w:val="005C296E"/>
    <w:rsid w:val="005C2A0F"/>
    <w:rsid w:val="005C2A17"/>
    <w:rsid w:val="005C2B3B"/>
    <w:rsid w:val="005C2B62"/>
    <w:rsid w:val="005C2CE3"/>
    <w:rsid w:val="005C2CFB"/>
    <w:rsid w:val="005C2D34"/>
    <w:rsid w:val="005C2EF9"/>
    <w:rsid w:val="005C2F24"/>
    <w:rsid w:val="005C2F34"/>
    <w:rsid w:val="005C2FDE"/>
    <w:rsid w:val="005C2FE1"/>
    <w:rsid w:val="005C3017"/>
    <w:rsid w:val="005C3057"/>
    <w:rsid w:val="005C3058"/>
    <w:rsid w:val="005C30AC"/>
    <w:rsid w:val="005C30BE"/>
    <w:rsid w:val="005C30D7"/>
    <w:rsid w:val="005C312E"/>
    <w:rsid w:val="005C3132"/>
    <w:rsid w:val="005C316F"/>
    <w:rsid w:val="005C317A"/>
    <w:rsid w:val="005C31B6"/>
    <w:rsid w:val="005C31D0"/>
    <w:rsid w:val="005C31FC"/>
    <w:rsid w:val="005C325F"/>
    <w:rsid w:val="005C326D"/>
    <w:rsid w:val="005C3274"/>
    <w:rsid w:val="005C3278"/>
    <w:rsid w:val="005C3292"/>
    <w:rsid w:val="005C32FE"/>
    <w:rsid w:val="005C330C"/>
    <w:rsid w:val="005C3359"/>
    <w:rsid w:val="005C33E7"/>
    <w:rsid w:val="005C34A7"/>
    <w:rsid w:val="005C34B6"/>
    <w:rsid w:val="005C352E"/>
    <w:rsid w:val="005C35D3"/>
    <w:rsid w:val="005C361E"/>
    <w:rsid w:val="005C3667"/>
    <w:rsid w:val="005C366A"/>
    <w:rsid w:val="005C369D"/>
    <w:rsid w:val="005C3711"/>
    <w:rsid w:val="005C3731"/>
    <w:rsid w:val="005C3776"/>
    <w:rsid w:val="005C377B"/>
    <w:rsid w:val="005C37A8"/>
    <w:rsid w:val="005C37D5"/>
    <w:rsid w:val="005C3825"/>
    <w:rsid w:val="005C3857"/>
    <w:rsid w:val="005C38A3"/>
    <w:rsid w:val="005C38E9"/>
    <w:rsid w:val="005C38EE"/>
    <w:rsid w:val="005C3951"/>
    <w:rsid w:val="005C398D"/>
    <w:rsid w:val="005C39F6"/>
    <w:rsid w:val="005C39F7"/>
    <w:rsid w:val="005C3A05"/>
    <w:rsid w:val="005C3AF7"/>
    <w:rsid w:val="005C3B12"/>
    <w:rsid w:val="005C3B33"/>
    <w:rsid w:val="005C3BB1"/>
    <w:rsid w:val="005C3BFD"/>
    <w:rsid w:val="005C3C00"/>
    <w:rsid w:val="005C3C24"/>
    <w:rsid w:val="005C3C82"/>
    <w:rsid w:val="005C3CB8"/>
    <w:rsid w:val="005C3CE1"/>
    <w:rsid w:val="005C3D3D"/>
    <w:rsid w:val="005C3D41"/>
    <w:rsid w:val="005C3D71"/>
    <w:rsid w:val="005C3D9F"/>
    <w:rsid w:val="005C3DED"/>
    <w:rsid w:val="005C3E0F"/>
    <w:rsid w:val="005C3E26"/>
    <w:rsid w:val="005C3E29"/>
    <w:rsid w:val="005C3E31"/>
    <w:rsid w:val="005C3E32"/>
    <w:rsid w:val="005C3E6D"/>
    <w:rsid w:val="005C3EAF"/>
    <w:rsid w:val="005C3EE3"/>
    <w:rsid w:val="005C3F6C"/>
    <w:rsid w:val="005C3FCB"/>
    <w:rsid w:val="005C4008"/>
    <w:rsid w:val="005C4067"/>
    <w:rsid w:val="005C4077"/>
    <w:rsid w:val="005C4136"/>
    <w:rsid w:val="005C414D"/>
    <w:rsid w:val="005C41AA"/>
    <w:rsid w:val="005C41C3"/>
    <w:rsid w:val="005C41E6"/>
    <w:rsid w:val="005C41EA"/>
    <w:rsid w:val="005C4276"/>
    <w:rsid w:val="005C4319"/>
    <w:rsid w:val="005C431A"/>
    <w:rsid w:val="005C4324"/>
    <w:rsid w:val="005C4331"/>
    <w:rsid w:val="005C4372"/>
    <w:rsid w:val="005C438E"/>
    <w:rsid w:val="005C43BD"/>
    <w:rsid w:val="005C4460"/>
    <w:rsid w:val="005C450A"/>
    <w:rsid w:val="005C450F"/>
    <w:rsid w:val="005C4582"/>
    <w:rsid w:val="005C4583"/>
    <w:rsid w:val="005C45FD"/>
    <w:rsid w:val="005C4621"/>
    <w:rsid w:val="005C4642"/>
    <w:rsid w:val="005C46D6"/>
    <w:rsid w:val="005C4711"/>
    <w:rsid w:val="005C472D"/>
    <w:rsid w:val="005C475D"/>
    <w:rsid w:val="005C4797"/>
    <w:rsid w:val="005C47BD"/>
    <w:rsid w:val="005C482F"/>
    <w:rsid w:val="005C4852"/>
    <w:rsid w:val="005C48A9"/>
    <w:rsid w:val="005C48D2"/>
    <w:rsid w:val="005C4960"/>
    <w:rsid w:val="005C4AC1"/>
    <w:rsid w:val="005C4ACA"/>
    <w:rsid w:val="005C4B14"/>
    <w:rsid w:val="005C4BA5"/>
    <w:rsid w:val="005C4C07"/>
    <w:rsid w:val="005C4C10"/>
    <w:rsid w:val="005C4DA6"/>
    <w:rsid w:val="005C4E0D"/>
    <w:rsid w:val="005C4E6E"/>
    <w:rsid w:val="005C4E78"/>
    <w:rsid w:val="005C4EA6"/>
    <w:rsid w:val="005C4F2C"/>
    <w:rsid w:val="005C4F95"/>
    <w:rsid w:val="005C4FC3"/>
    <w:rsid w:val="005C4FD8"/>
    <w:rsid w:val="005C4FED"/>
    <w:rsid w:val="005C5004"/>
    <w:rsid w:val="005C5007"/>
    <w:rsid w:val="005C5028"/>
    <w:rsid w:val="005C503A"/>
    <w:rsid w:val="005C5061"/>
    <w:rsid w:val="005C5072"/>
    <w:rsid w:val="005C5081"/>
    <w:rsid w:val="005C5085"/>
    <w:rsid w:val="005C50AD"/>
    <w:rsid w:val="005C50C8"/>
    <w:rsid w:val="005C50E6"/>
    <w:rsid w:val="005C50EB"/>
    <w:rsid w:val="005C5118"/>
    <w:rsid w:val="005C5140"/>
    <w:rsid w:val="005C5253"/>
    <w:rsid w:val="005C5265"/>
    <w:rsid w:val="005C52FB"/>
    <w:rsid w:val="005C5335"/>
    <w:rsid w:val="005C5353"/>
    <w:rsid w:val="005C536B"/>
    <w:rsid w:val="005C53BA"/>
    <w:rsid w:val="005C53EC"/>
    <w:rsid w:val="005C5423"/>
    <w:rsid w:val="005C543E"/>
    <w:rsid w:val="005C5461"/>
    <w:rsid w:val="005C54A1"/>
    <w:rsid w:val="005C54BA"/>
    <w:rsid w:val="005C54E7"/>
    <w:rsid w:val="005C54F3"/>
    <w:rsid w:val="005C554E"/>
    <w:rsid w:val="005C55B6"/>
    <w:rsid w:val="005C5606"/>
    <w:rsid w:val="005C5630"/>
    <w:rsid w:val="005C563A"/>
    <w:rsid w:val="005C56BC"/>
    <w:rsid w:val="005C56C1"/>
    <w:rsid w:val="005C570D"/>
    <w:rsid w:val="005C573A"/>
    <w:rsid w:val="005C5746"/>
    <w:rsid w:val="005C574C"/>
    <w:rsid w:val="005C577B"/>
    <w:rsid w:val="005C57C7"/>
    <w:rsid w:val="005C57D6"/>
    <w:rsid w:val="005C57E3"/>
    <w:rsid w:val="005C57F9"/>
    <w:rsid w:val="005C5809"/>
    <w:rsid w:val="005C58B9"/>
    <w:rsid w:val="005C5954"/>
    <w:rsid w:val="005C5959"/>
    <w:rsid w:val="005C5A25"/>
    <w:rsid w:val="005C5A35"/>
    <w:rsid w:val="005C5A3E"/>
    <w:rsid w:val="005C5B29"/>
    <w:rsid w:val="005C5B64"/>
    <w:rsid w:val="005C5C31"/>
    <w:rsid w:val="005C5C5E"/>
    <w:rsid w:val="005C5CE4"/>
    <w:rsid w:val="005C5D48"/>
    <w:rsid w:val="005C5D9E"/>
    <w:rsid w:val="005C5E33"/>
    <w:rsid w:val="005C5E9B"/>
    <w:rsid w:val="005C5EBA"/>
    <w:rsid w:val="005C5EDE"/>
    <w:rsid w:val="005C5F8B"/>
    <w:rsid w:val="005C5FAD"/>
    <w:rsid w:val="005C5FE8"/>
    <w:rsid w:val="005C5FE9"/>
    <w:rsid w:val="005C5FFE"/>
    <w:rsid w:val="005C605D"/>
    <w:rsid w:val="005C606F"/>
    <w:rsid w:val="005C608B"/>
    <w:rsid w:val="005C6095"/>
    <w:rsid w:val="005C60A3"/>
    <w:rsid w:val="005C60AE"/>
    <w:rsid w:val="005C60CB"/>
    <w:rsid w:val="005C60F7"/>
    <w:rsid w:val="005C612E"/>
    <w:rsid w:val="005C6161"/>
    <w:rsid w:val="005C61B2"/>
    <w:rsid w:val="005C6232"/>
    <w:rsid w:val="005C62C7"/>
    <w:rsid w:val="005C6352"/>
    <w:rsid w:val="005C6396"/>
    <w:rsid w:val="005C63AA"/>
    <w:rsid w:val="005C656C"/>
    <w:rsid w:val="005C6570"/>
    <w:rsid w:val="005C658B"/>
    <w:rsid w:val="005C65C7"/>
    <w:rsid w:val="005C65FF"/>
    <w:rsid w:val="005C6603"/>
    <w:rsid w:val="005C661C"/>
    <w:rsid w:val="005C6640"/>
    <w:rsid w:val="005C667C"/>
    <w:rsid w:val="005C66F2"/>
    <w:rsid w:val="005C6719"/>
    <w:rsid w:val="005C6740"/>
    <w:rsid w:val="005C6774"/>
    <w:rsid w:val="005C67CB"/>
    <w:rsid w:val="005C67E4"/>
    <w:rsid w:val="005C68D3"/>
    <w:rsid w:val="005C68D4"/>
    <w:rsid w:val="005C6907"/>
    <w:rsid w:val="005C690E"/>
    <w:rsid w:val="005C6A11"/>
    <w:rsid w:val="005C6AB2"/>
    <w:rsid w:val="005C6AC1"/>
    <w:rsid w:val="005C6AE3"/>
    <w:rsid w:val="005C6AF6"/>
    <w:rsid w:val="005C6B55"/>
    <w:rsid w:val="005C6C2C"/>
    <w:rsid w:val="005C6C59"/>
    <w:rsid w:val="005C6C9B"/>
    <w:rsid w:val="005C6CFE"/>
    <w:rsid w:val="005C6D2B"/>
    <w:rsid w:val="005C6D43"/>
    <w:rsid w:val="005C6DCD"/>
    <w:rsid w:val="005C6DEA"/>
    <w:rsid w:val="005C6E20"/>
    <w:rsid w:val="005C6E2F"/>
    <w:rsid w:val="005C6E77"/>
    <w:rsid w:val="005C6EAA"/>
    <w:rsid w:val="005C6F26"/>
    <w:rsid w:val="005C6F52"/>
    <w:rsid w:val="005C6F80"/>
    <w:rsid w:val="005C709B"/>
    <w:rsid w:val="005C7144"/>
    <w:rsid w:val="005C7151"/>
    <w:rsid w:val="005C71BD"/>
    <w:rsid w:val="005C720B"/>
    <w:rsid w:val="005C7277"/>
    <w:rsid w:val="005C730D"/>
    <w:rsid w:val="005C731B"/>
    <w:rsid w:val="005C737B"/>
    <w:rsid w:val="005C7383"/>
    <w:rsid w:val="005C7386"/>
    <w:rsid w:val="005C73CE"/>
    <w:rsid w:val="005C743B"/>
    <w:rsid w:val="005C7476"/>
    <w:rsid w:val="005C74C6"/>
    <w:rsid w:val="005C74DA"/>
    <w:rsid w:val="005C7511"/>
    <w:rsid w:val="005C7512"/>
    <w:rsid w:val="005C7563"/>
    <w:rsid w:val="005C764B"/>
    <w:rsid w:val="005C76A7"/>
    <w:rsid w:val="005C76F0"/>
    <w:rsid w:val="005C7723"/>
    <w:rsid w:val="005C7758"/>
    <w:rsid w:val="005C7796"/>
    <w:rsid w:val="005C788B"/>
    <w:rsid w:val="005C7967"/>
    <w:rsid w:val="005C7989"/>
    <w:rsid w:val="005C79B5"/>
    <w:rsid w:val="005C79CD"/>
    <w:rsid w:val="005C79DA"/>
    <w:rsid w:val="005C7A32"/>
    <w:rsid w:val="005C7AB1"/>
    <w:rsid w:val="005C7AC9"/>
    <w:rsid w:val="005C7B93"/>
    <w:rsid w:val="005C7C50"/>
    <w:rsid w:val="005C7C51"/>
    <w:rsid w:val="005C7CCB"/>
    <w:rsid w:val="005C7CE3"/>
    <w:rsid w:val="005C7D62"/>
    <w:rsid w:val="005C7D99"/>
    <w:rsid w:val="005C7D9D"/>
    <w:rsid w:val="005C7DB7"/>
    <w:rsid w:val="005C7DD8"/>
    <w:rsid w:val="005C7DFF"/>
    <w:rsid w:val="005C7E85"/>
    <w:rsid w:val="005C7EA1"/>
    <w:rsid w:val="005C7EBD"/>
    <w:rsid w:val="005C7EEB"/>
    <w:rsid w:val="005C7F84"/>
    <w:rsid w:val="005C7FCF"/>
    <w:rsid w:val="005C7FD0"/>
    <w:rsid w:val="005D000A"/>
    <w:rsid w:val="005D003F"/>
    <w:rsid w:val="005D00DF"/>
    <w:rsid w:val="005D00E2"/>
    <w:rsid w:val="005D0129"/>
    <w:rsid w:val="005D01A2"/>
    <w:rsid w:val="005D024A"/>
    <w:rsid w:val="005D025A"/>
    <w:rsid w:val="005D029D"/>
    <w:rsid w:val="005D02A2"/>
    <w:rsid w:val="005D02DD"/>
    <w:rsid w:val="005D0318"/>
    <w:rsid w:val="005D0393"/>
    <w:rsid w:val="005D03CA"/>
    <w:rsid w:val="005D03ED"/>
    <w:rsid w:val="005D04B7"/>
    <w:rsid w:val="005D04FF"/>
    <w:rsid w:val="005D0539"/>
    <w:rsid w:val="005D054E"/>
    <w:rsid w:val="005D057B"/>
    <w:rsid w:val="005D059A"/>
    <w:rsid w:val="005D05C5"/>
    <w:rsid w:val="005D05F3"/>
    <w:rsid w:val="005D0656"/>
    <w:rsid w:val="005D0696"/>
    <w:rsid w:val="005D0732"/>
    <w:rsid w:val="005D073A"/>
    <w:rsid w:val="005D07BC"/>
    <w:rsid w:val="005D07D6"/>
    <w:rsid w:val="005D0811"/>
    <w:rsid w:val="005D082C"/>
    <w:rsid w:val="005D0844"/>
    <w:rsid w:val="005D0852"/>
    <w:rsid w:val="005D086B"/>
    <w:rsid w:val="005D0877"/>
    <w:rsid w:val="005D08AE"/>
    <w:rsid w:val="005D08CE"/>
    <w:rsid w:val="005D08F5"/>
    <w:rsid w:val="005D0925"/>
    <w:rsid w:val="005D0936"/>
    <w:rsid w:val="005D0943"/>
    <w:rsid w:val="005D0A16"/>
    <w:rsid w:val="005D0A20"/>
    <w:rsid w:val="005D0A27"/>
    <w:rsid w:val="005D0A53"/>
    <w:rsid w:val="005D0A76"/>
    <w:rsid w:val="005D0AC2"/>
    <w:rsid w:val="005D0AEF"/>
    <w:rsid w:val="005D0AFF"/>
    <w:rsid w:val="005D0B09"/>
    <w:rsid w:val="005D0B0A"/>
    <w:rsid w:val="005D0B66"/>
    <w:rsid w:val="005D0B6B"/>
    <w:rsid w:val="005D0BF4"/>
    <w:rsid w:val="005D0C63"/>
    <w:rsid w:val="005D0CA8"/>
    <w:rsid w:val="005D0CF2"/>
    <w:rsid w:val="005D0D53"/>
    <w:rsid w:val="005D0DB4"/>
    <w:rsid w:val="005D0DF1"/>
    <w:rsid w:val="005D0DF6"/>
    <w:rsid w:val="005D0E4D"/>
    <w:rsid w:val="005D0E93"/>
    <w:rsid w:val="005D0EC4"/>
    <w:rsid w:val="005D0F00"/>
    <w:rsid w:val="005D0F2F"/>
    <w:rsid w:val="005D0FAA"/>
    <w:rsid w:val="005D0FAD"/>
    <w:rsid w:val="005D0FD2"/>
    <w:rsid w:val="005D0FE9"/>
    <w:rsid w:val="005D0FEB"/>
    <w:rsid w:val="005D100A"/>
    <w:rsid w:val="005D103B"/>
    <w:rsid w:val="005D106C"/>
    <w:rsid w:val="005D1089"/>
    <w:rsid w:val="005D1092"/>
    <w:rsid w:val="005D116C"/>
    <w:rsid w:val="005D11FC"/>
    <w:rsid w:val="005D1202"/>
    <w:rsid w:val="005D121D"/>
    <w:rsid w:val="005D124A"/>
    <w:rsid w:val="005D129A"/>
    <w:rsid w:val="005D12BD"/>
    <w:rsid w:val="005D12DA"/>
    <w:rsid w:val="005D12DC"/>
    <w:rsid w:val="005D1324"/>
    <w:rsid w:val="005D1335"/>
    <w:rsid w:val="005D13D0"/>
    <w:rsid w:val="005D1418"/>
    <w:rsid w:val="005D1482"/>
    <w:rsid w:val="005D14A5"/>
    <w:rsid w:val="005D14CB"/>
    <w:rsid w:val="005D14EC"/>
    <w:rsid w:val="005D1509"/>
    <w:rsid w:val="005D154B"/>
    <w:rsid w:val="005D155A"/>
    <w:rsid w:val="005D1604"/>
    <w:rsid w:val="005D1614"/>
    <w:rsid w:val="005D1620"/>
    <w:rsid w:val="005D1626"/>
    <w:rsid w:val="005D1658"/>
    <w:rsid w:val="005D1691"/>
    <w:rsid w:val="005D16B7"/>
    <w:rsid w:val="005D16F9"/>
    <w:rsid w:val="005D1723"/>
    <w:rsid w:val="005D1766"/>
    <w:rsid w:val="005D176D"/>
    <w:rsid w:val="005D1770"/>
    <w:rsid w:val="005D178B"/>
    <w:rsid w:val="005D17B7"/>
    <w:rsid w:val="005D17BC"/>
    <w:rsid w:val="005D17D7"/>
    <w:rsid w:val="005D1802"/>
    <w:rsid w:val="005D195D"/>
    <w:rsid w:val="005D19F6"/>
    <w:rsid w:val="005D1AA6"/>
    <w:rsid w:val="005D1B4D"/>
    <w:rsid w:val="005D1BC4"/>
    <w:rsid w:val="005D1BE2"/>
    <w:rsid w:val="005D1BE9"/>
    <w:rsid w:val="005D1C15"/>
    <w:rsid w:val="005D1C59"/>
    <w:rsid w:val="005D1C6F"/>
    <w:rsid w:val="005D1CDD"/>
    <w:rsid w:val="005D1DD5"/>
    <w:rsid w:val="005D1E23"/>
    <w:rsid w:val="005D1E69"/>
    <w:rsid w:val="005D1E73"/>
    <w:rsid w:val="005D1E8A"/>
    <w:rsid w:val="005D1E92"/>
    <w:rsid w:val="005D1F17"/>
    <w:rsid w:val="005D1F27"/>
    <w:rsid w:val="005D1F33"/>
    <w:rsid w:val="005D1F3A"/>
    <w:rsid w:val="005D1F5A"/>
    <w:rsid w:val="005D1F60"/>
    <w:rsid w:val="005D1FB6"/>
    <w:rsid w:val="005D2001"/>
    <w:rsid w:val="005D206E"/>
    <w:rsid w:val="005D2097"/>
    <w:rsid w:val="005D20DA"/>
    <w:rsid w:val="005D2140"/>
    <w:rsid w:val="005D2177"/>
    <w:rsid w:val="005D219E"/>
    <w:rsid w:val="005D21A1"/>
    <w:rsid w:val="005D21A7"/>
    <w:rsid w:val="005D21DB"/>
    <w:rsid w:val="005D21FE"/>
    <w:rsid w:val="005D2253"/>
    <w:rsid w:val="005D2254"/>
    <w:rsid w:val="005D2277"/>
    <w:rsid w:val="005D2318"/>
    <w:rsid w:val="005D23B9"/>
    <w:rsid w:val="005D23CA"/>
    <w:rsid w:val="005D23F6"/>
    <w:rsid w:val="005D2427"/>
    <w:rsid w:val="005D243C"/>
    <w:rsid w:val="005D24A2"/>
    <w:rsid w:val="005D24AB"/>
    <w:rsid w:val="005D24D9"/>
    <w:rsid w:val="005D24F2"/>
    <w:rsid w:val="005D2524"/>
    <w:rsid w:val="005D259C"/>
    <w:rsid w:val="005D25A6"/>
    <w:rsid w:val="005D25F1"/>
    <w:rsid w:val="005D260A"/>
    <w:rsid w:val="005D2620"/>
    <w:rsid w:val="005D2635"/>
    <w:rsid w:val="005D2642"/>
    <w:rsid w:val="005D2675"/>
    <w:rsid w:val="005D269A"/>
    <w:rsid w:val="005D26FB"/>
    <w:rsid w:val="005D270E"/>
    <w:rsid w:val="005D276E"/>
    <w:rsid w:val="005D27C1"/>
    <w:rsid w:val="005D27F5"/>
    <w:rsid w:val="005D2816"/>
    <w:rsid w:val="005D2851"/>
    <w:rsid w:val="005D296B"/>
    <w:rsid w:val="005D29AF"/>
    <w:rsid w:val="005D29C6"/>
    <w:rsid w:val="005D29FC"/>
    <w:rsid w:val="005D2A56"/>
    <w:rsid w:val="005D2AD5"/>
    <w:rsid w:val="005D2B37"/>
    <w:rsid w:val="005D2B51"/>
    <w:rsid w:val="005D2B58"/>
    <w:rsid w:val="005D2B5B"/>
    <w:rsid w:val="005D2B97"/>
    <w:rsid w:val="005D2BE2"/>
    <w:rsid w:val="005D2C1F"/>
    <w:rsid w:val="005D2C7E"/>
    <w:rsid w:val="005D2CB8"/>
    <w:rsid w:val="005D2CEC"/>
    <w:rsid w:val="005D2CF1"/>
    <w:rsid w:val="005D2D2C"/>
    <w:rsid w:val="005D2D4F"/>
    <w:rsid w:val="005D2D5E"/>
    <w:rsid w:val="005D2ECF"/>
    <w:rsid w:val="005D2ED4"/>
    <w:rsid w:val="005D2EEB"/>
    <w:rsid w:val="005D2EF6"/>
    <w:rsid w:val="005D2F0E"/>
    <w:rsid w:val="005D2F17"/>
    <w:rsid w:val="005D2F23"/>
    <w:rsid w:val="005D2F34"/>
    <w:rsid w:val="005D2F69"/>
    <w:rsid w:val="005D2FFB"/>
    <w:rsid w:val="005D306D"/>
    <w:rsid w:val="005D30D9"/>
    <w:rsid w:val="005D30EB"/>
    <w:rsid w:val="005D3111"/>
    <w:rsid w:val="005D312F"/>
    <w:rsid w:val="005D3146"/>
    <w:rsid w:val="005D3183"/>
    <w:rsid w:val="005D3263"/>
    <w:rsid w:val="005D32F5"/>
    <w:rsid w:val="005D332F"/>
    <w:rsid w:val="005D33A3"/>
    <w:rsid w:val="005D33D7"/>
    <w:rsid w:val="005D33D8"/>
    <w:rsid w:val="005D33FB"/>
    <w:rsid w:val="005D3460"/>
    <w:rsid w:val="005D34D6"/>
    <w:rsid w:val="005D34F2"/>
    <w:rsid w:val="005D3512"/>
    <w:rsid w:val="005D351F"/>
    <w:rsid w:val="005D352A"/>
    <w:rsid w:val="005D3530"/>
    <w:rsid w:val="005D3537"/>
    <w:rsid w:val="005D35BA"/>
    <w:rsid w:val="005D35E5"/>
    <w:rsid w:val="005D3603"/>
    <w:rsid w:val="005D3628"/>
    <w:rsid w:val="005D3633"/>
    <w:rsid w:val="005D365D"/>
    <w:rsid w:val="005D3664"/>
    <w:rsid w:val="005D369F"/>
    <w:rsid w:val="005D36D3"/>
    <w:rsid w:val="005D36DC"/>
    <w:rsid w:val="005D3762"/>
    <w:rsid w:val="005D37CA"/>
    <w:rsid w:val="005D3880"/>
    <w:rsid w:val="005D3892"/>
    <w:rsid w:val="005D3893"/>
    <w:rsid w:val="005D38E0"/>
    <w:rsid w:val="005D38F5"/>
    <w:rsid w:val="005D391E"/>
    <w:rsid w:val="005D3960"/>
    <w:rsid w:val="005D399C"/>
    <w:rsid w:val="005D39A9"/>
    <w:rsid w:val="005D39AE"/>
    <w:rsid w:val="005D39D9"/>
    <w:rsid w:val="005D3A69"/>
    <w:rsid w:val="005D3AE4"/>
    <w:rsid w:val="005D3B24"/>
    <w:rsid w:val="005D3B43"/>
    <w:rsid w:val="005D3B4B"/>
    <w:rsid w:val="005D3BA3"/>
    <w:rsid w:val="005D3BF3"/>
    <w:rsid w:val="005D3C42"/>
    <w:rsid w:val="005D3C6B"/>
    <w:rsid w:val="005D3C94"/>
    <w:rsid w:val="005D3CD1"/>
    <w:rsid w:val="005D3CF3"/>
    <w:rsid w:val="005D3D3D"/>
    <w:rsid w:val="005D3DA5"/>
    <w:rsid w:val="005D3DBC"/>
    <w:rsid w:val="005D3DCC"/>
    <w:rsid w:val="005D3DD6"/>
    <w:rsid w:val="005D3DF0"/>
    <w:rsid w:val="005D3E28"/>
    <w:rsid w:val="005D3E2F"/>
    <w:rsid w:val="005D3E7D"/>
    <w:rsid w:val="005D3E9C"/>
    <w:rsid w:val="005D3F46"/>
    <w:rsid w:val="005D3F8D"/>
    <w:rsid w:val="005D3FC7"/>
    <w:rsid w:val="005D401B"/>
    <w:rsid w:val="005D40E4"/>
    <w:rsid w:val="005D412B"/>
    <w:rsid w:val="005D4137"/>
    <w:rsid w:val="005D4149"/>
    <w:rsid w:val="005D4157"/>
    <w:rsid w:val="005D415F"/>
    <w:rsid w:val="005D41D4"/>
    <w:rsid w:val="005D41D5"/>
    <w:rsid w:val="005D41DF"/>
    <w:rsid w:val="005D4245"/>
    <w:rsid w:val="005D4290"/>
    <w:rsid w:val="005D42C6"/>
    <w:rsid w:val="005D4309"/>
    <w:rsid w:val="005D430F"/>
    <w:rsid w:val="005D439F"/>
    <w:rsid w:val="005D44B2"/>
    <w:rsid w:val="005D44CD"/>
    <w:rsid w:val="005D44E4"/>
    <w:rsid w:val="005D44F2"/>
    <w:rsid w:val="005D44FD"/>
    <w:rsid w:val="005D4503"/>
    <w:rsid w:val="005D4531"/>
    <w:rsid w:val="005D4547"/>
    <w:rsid w:val="005D4559"/>
    <w:rsid w:val="005D45FD"/>
    <w:rsid w:val="005D4622"/>
    <w:rsid w:val="005D46DB"/>
    <w:rsid w:val="005D46F6"/>
    <w:rsid w:val="005D4735"/>
    <w:rsid w:val="005D475C"/>
    <w:rsid w:val="005D4779"/>
    <w:rsid w:val="005D481E"/>
    <w:rsid w:val="005D4839"/>
    <w:rsid w:val="005D48A5"/>
    <w:rsid w:val="005D48AE"/>
    <w:rsid w:val="005D4943"/>
    <w:rsid w:val="005D494D"/>
    <w:rsid w:val="005D494E"/>
    <w:rsid w:val="005D4986"/>
    <w:rsid w:val="005D49BA"/>
    <w:rsid w:val="005D4A29"/>
    <w:rsid w:val="005D4A5E"/>
    <w:rsid w:val="005D4A6B"/>
    <w:rsid w:val="005D4A7D"/>
    <w:rsid w:val="005D4AE7"/>
    <w:rsid w:val="005D4BB7"/>
    <w:rsid w:val="005D4BC2"/>
    <w:rsid w:val="005D4C36"/>
    <w:rsid w:val="005D4CE8"/>
    <w:rsid w:val="005D4CF6"/>
    <w:rsid w:val="005D4DE3"/>
    <w:rsid w:val="005D4DF2"/>
    <w:rsid w:val="005D4E0B"/>
    <w:rsid w:val="005D4E13"/>
    <w:rsid w:val="005D4E20"/>
    <w:rsid w:val="005D4E2D"/>
    <w:rsid w:val="005D4E31"/>
    <w:rsid w:val="005D4E4E"/>
    <w:rsid w:val="005D4EFD"/>
    <w:rsid w:val="005D4F54"/>
    <w:rsid w:val="005D4F70"/>
    <w:rsid w:val="005D4FCF"/>
    <w:rsid w:val="005D4FD4"/>
    <w:rsid w:val="005D4FFB"/>
    <w:rsid w:val="005D5013"/>
    <w:rsid w:val="005D50B3"/>
    <w:rsid w:val="005D50D4"/>
    <w:rsid w:val="005D50F8"/>
    <w:rsid w:val="005D5117"/>
    <w:rsid w:val="005D5156"/>
    <w:rsid w:val="005D5168"/>
    <w:rsid w:val="005D5176"/>
    <w:rsid w:val="005D51E3"/>
    <w:rsid w:val="005D51F2"/>
    <w:rsid w:val="005D51F8"/>
    <w:rsid w:val="005D52BA"/>
    <w:rsid w:val="005D5314"/>
    <w:rsid w:val="005D5397"/>
    <w:rsid w:val="005D53A1"/>
    <w:rsid w:val="005D53A5"/>
    <w:rsid w:val="005D53C2"/>
    <w:rsid w:val="005D5419"/>
    <w:rsid w:val="005D5441"/>
    <w:rsid w:val="005D5455"/>
    <w:rsid w:val="005D548E"/>
    <w:rsid w:val="005D54C5"/>
    <w:rsid w:val="005D5548"/>
    <w:rsid w:val="005D559E"/>
    <w:rsid w:val="005D55BF"/>
    <w:rsid w:val="005D56D7"/>
    <w:rsid w:val="005D5701"/>
    <w:rsid w:val="005D57CB"/>
    <w:rsid w:val="005D58A3"/>
    <w:rsid w:val="005D58DC"/>
    <w:rsid w:val="005D58E7"/>
    <w:rsid w:val="005D591B"/>
    <w:rsid w:val="005D5968"/>
    <w:rsid w:val="005D5972"/>
    <w:rsid w:val="005D59BB"/>
    <w:rsid w:val="005D59D9"/>
    <w:rsid w:val="005D5A06"/>
    <w:rsid w:val="005D5A21"/>
    <w:rsid w:val="005D5ADE"/>
    <w:rsid w:val="005D5AE6"/>
    <w:rsid w:val="005D5B1D"/>
    <w:rsid w:val="005D5B20"/>
    <w:rsid w:val="005D5BAD"/>
    <w:rsid w:val="005D5BB5"/>
    <w:rsid w:val="005D5BB6"/>
    <w:rsid w:val="005D5C04"/>
    <w:rsid w:val="005D5C4A"/>
    <w:rsid w:val="005D5C5F"/>
    <w:rsid w:val="005D5C69"/>
    <w:rsid w:val="005D5CFA"/>
    <w:rsid w:val="005D5D03"/>
    <w:rsid w:val="005D5D4C"/>
    <w:rsid w:val="005D5D76"/>
    <w:rsid w:val="005D5DE7"/>
    <w:rsid w:val="005D5E9B"/>
    <w:rsid w:val="005D5F78"/>
    <w:rsid w:val="005D5FEA"/>
    <w:rsid w:val="005D601B"/>
    <w:rsid w:val="005D6061"/>
    <w:rsid w:val="005D60C9"/>
    <w:rsid w:val="005D60CF"/>
    <w:rsid w:val="005D60EC"/>
    <w:rsid w:val="005D6139"/>
    <w:rsid w:val="005D61C2"/>
    <w:rsid w:val="005D620E"/>
    <w:rsid w:val="005D6225"/>
    <w:rsid w:val="005D6250"/>
    <w:rsid w:val="005D625F"/>
    <w:rsid w:val="005D6290"/>
    <w:rsid w:val="005D629A"/>
    <w:rsid w:val="005D62BE"/>
    <w:rsid w:val="005D62F2"/>
    <w:rsid w:val="005D630B"/>
    <w:rsid w:val="005D6324"/>
    <w:rsid w:val="005D6354"/>
    <w:rsid w:val="005D6358"/>
    <w:rsid w:val="005D636E"/>
    <w:rsid w:val="005D636F"/>
    <w:rsid w:val="005D6397"/>
    <w:rsid w:val="005D63BD"/>
    <w:rsid w:val="005D63E5"/>
    <w:rsid w:val="005D63E6"/>
    <w:rsid w:val="005D6440"/>
    <w:rsid w:val="005D6467"/>
    <w:rsid w:val="005D64A9"/>
    <w:rsid w:val="005D64F4"/>
    <w:rsid w:val="005D6551"/>
    <w:rsid w:val="005D656A"/>
    <w:rsid w:val="005D65F1"/>
    <w:rsid w:val="005D6653"/>
    <w:rsid w:val="005D666A"/>
    <w:rsid w:val="005D6674"/>
    <w:rsid w:val="005D669B"/>
    <w:rsid w:val="005D66FE"/>
    <w:rsid w:val="005D672D"/>
    <w:rsid w:val="005D6763"/>
    <w:rsid w:val="005D6767"/>
    <w:rsid w:val="005D6780"/>
    <w:rsid w:val="005D6788"/>
    <w:rsid w:val="005D67E6"/>
    <w:rsid w:val="005D684C"/>
    <w:rsid w:val="005D6882"/>
    <w:rsid w:val="005D68A9"/>
    <w:rsid w:val="005D68ED"/>
    <w:rsid w:val="005D68FC"/>
    <w:rsid w:val="005D692B"/>
    <w:rsid w:val="005D692C"/>
    <w:rsid w:val="005D69AA"/>
    <w:rsid w:val="005D69F0"/>
    <w:rsid w:val="005D6A12"/>
    <w:rsid w:val="005D6B0A"/>
    <w:rsid w:val="005D6B91"/>
    <w:rsid w:val="005D6BE1"/>
    <w:rsid w:val="005D6BEA"/>
    <w:rsid w:val="005D6C00"/>
    <w:rsid w:val="005D6C23"/>
    <w:rsid w:val="005D6C5F"/>
    <w:rsid w:val="005D6C88"/>
    <w:rsid w:val="005D6CF1"/>
    <w:rsid w:val="005D6D0F"/>
    <w:rsid w:val="005D6D64"/>
    <w:rsid w:val="005D6DD6"/>
    <w:rsid w:val="005D6E02"/>
    <w:rsid w:val="005D6EAA"/>
    <w:rsid w:val="005D6F38"/>
    <w:rsid w:val="005D6FB1"/>
    <w:rsid w:val="005D6FCC"/>
    <w:rsid w:val="005D7088"/>
    <w:rsid w:val="005D708F"/>
    <w:rsid w:val="005D7092"/>
    <w:rsid w:val="005D70C9"/>
    <w:rsid w:val="005D70D1"/>
    <w:rsid w:val="005D7148"/>
    <w:rsid w:val="005D71E7"/>
    <w:rsid w:val="005D7225"/>
    <w:rsid w:val="005D72AA"/>
    <w:rsid w:val="005D737B"/>
    <w:rsid w:val="005D7387"/>
    <w:rsid w:val="005D7391"/>
    <w:rsid w:val="005D73CD"/>
    <w:rsid w:val="005D74C7"/>
    <w:rsid w:val="005D74F7"/>
    <w:rsid w:val="005D7529"/>
    <w:rsid w:val="005D75BD"/>
    <w:rsid w:val="005D75E5"/>
    <w:rsid w:val="005D761A"/>
    <w:rsid w:val="005D7635"/>
    <w:rsid w:val="005D7655"/>
    <w:rsid w:val="005D769C"/>
    <w:rsid w:val="005D76AE"/>
    <w:rsid w:val="005D76BF"/>
    <w:rsid w:val="005D76EE"/>
    <w:rsid w:val="005D7799"/>
    <w:rsid w:val="005D77C6"/>
    <w:rsid w:val="005D77CA"/>
    <w:rsid w:val="005D77E6"/>
    <w:rsid w:val="005D7847"/>
    <w:rsid w:val="005D78C2"/>
    <w:rsid w:val="005D790C"/>
    <w:rsid w:val="005D7945"/>
    <w:rsid w:val="005D796E"/>
    <w:rsid w:val="005D7A6C"/>
    <w:rsid w:val="005D7A9E"/>
    <w:rsid w:val="005D7A9F"/>
    <w:rsid w:val="005D7AA1"/>
    <w:rsid w:val="005D7AB6"/>
    <w:rsid w:val="005D7AD0"/>
    <w:rsid w:val="005D7B2B"/>
    <w:rsid w:val="005D7B55"/>
    <w:rsid w:val="005D7B57"/>
    <w:rsid w:val="005D7B6F"/>
    <w:rsid w:val="005D7BBF"/>
    <w:rsid w:val="005D7C20"/>
    <w:rsid w:val="005D7C56"/>
    <w:rsid w:val="005D7CF5"/>
    <w:rsid w:val="005D7CF8"/>
    <w:rsid w:val="005D7DB2"/>
    <w:rsid w:val="005D7DD6"/>
    <w:rsid w:val="005D7DF4"/>
    <w:rsid w:val="005D7E41"/>
    <w:rsid w:val="005D7EC6"/>
    <w:rsid w:val="005D7F7A"/>
    <w:rsid w:val="005D7FC4"/>
    <w:rsid w:val="005D7FDB"/>
    <w:rsid w:val="005D7FE5"/>
    <w:rsid w:val="005E002E"/>
    <w:rsid w:val="005E0041"/>
    <w:rsid w:val="005E00BB"/>
    <w:rsid w:val="005E00C1"/>
    <w:rsid w:val="005E00E3"/>
    <w:rsid w:val="005E0136"/>
    <w:rsid w:val="005E0170"/>
    <w:rsid w:val="005E018F"/>
    <w:rsid w:val="005E01C6"/>
    <w:rsid w:val="005E01D0"/>
    <w:rsid w:val="005E0209"/>
    <w:rsid w:val="005E02AC"/>
    <w:rsid w:val="005E02AF"/>
    <w:rsid w:val="005E030E"/>
    <w:rsid w:val="005E0349"/>
    <w:rsid w:val="005E0367"/>
    <w:rsid w:val="005E03AE"/>
    <w:rsid w:val="005E03B5"/>
    <w:rsid w:val="005E0408"/>
    <w:rsid w:val="005E043F"/>
    <w:rsid w:val="005E0546"/>
    <w:rsid w:val="005E0580"/>
    <w:rsid w:val="005E05B3"/>
    <w:rsid w:val="005E06B2"/>
    <w:rsid w:val="005E06F5"/>
    <w:rsid w:val="005E074E"/>
    <w:rsid w:val="005E0774"/>
    <w:rsid w:val="005E07C7"/>
    <w:rsid w:val="005E0809"/>
    <w:rsid w:val="005E0814"/>
    <w:rsid w:val="005E083B"/>
    <w:rsid w:val="005E08D6"/>
    <w:rsid w:val="005E0933"/>
    <w:rsid w:val="005E0953"/>
    <w:rsid w:val="005E09B0"/>
    <w:rsid w:val="005E0A5F"/>
    <w:rsid w:val="005E0B45"/>
    <w:rsid w:val="005E0B6A"/>
    <w:rsid w:val="005E0B72"/>
    <w:rsid w:val="005E0B9B"/>
    <w:rsid w:val="005E0C36"/>
    <w:rsid w:val="005E0C66"/>
    <w:rsid w:val="005E0DD6"/>
    <w:rsid w:val="005E0DFE"/>
    <w:rsid w:val="005E0E0D"/>
    <w:rsid w:val="005E0E33"/>
    <w:rsid w:val="005E0E86"/>
    <w:rsid w:val="005E0EE8"/>
    <w:rsid w:val="005E0EEB"/>
    <w:rsid w:val="005E0F42"/>
    <w:rsid w:val="005E0FC2"/>
    <w:rsid w:val="005E0FD8"/>
    <w:rsid w:val="005E104A"/>
    <w:rsid w:val="005E106E"/>
    <w:rsid w:val="005E10D6"/>
    <w:rsid w:val="005E111C"/>
    <w:rsid w:val="005E1145"/>
    <w:rsid w:val="005E12F1"/>
    <w:rsid w:val="005E144E"/>
    <w:rsid w:val="005E145B"/>
    <w:rsid w:val="005E152E"/>
    <w:rsid w:val="005E1558"/>
    <w:rsid w:val="005E155E"/>
    <w:rsid w:val="005E15E9"/>
    <w:rsid w:val="005E16AB"/>
    <w:rsid w:val="005E16AE"/>
    <w:rsid w:val="005E16B0"/>
    <w:rsid w:val="005E16D0"/>
    <w:rsid w:val="005E16EC"/>
    <w:rsid w:val="005E176C"/>
    <w:rsid w:val="005E18BB"/>
    <w:rsid w:val="005E18CC"/>
    <w:rsid w:val="005E18CD"/>
    <w:rsid w:val="005E1928"/>
    <w:rsid w:val="005E1988"/>
    <w:rsid w:val="005E199C"/>
    <w:rsid w:val="005E19AE"/>
    <w:rsid w:val="005E1A12"/>
    <w:rsid w:val="005E1A70"/>
    <w:rsid w:val="005E1A78"/>
    <w:rsid w:val="005E1AF5"/>
    <w:rsid w:val="005E1B06"/>
    <w:rsid w:val="005E1BBB"/>
    <w:rsid w:val="005E1BFD"/>
    <w:rsid w:val="005E1CAF"/>
    <w:rsid w:val="005E1D63"/>
    <w:rsid w:val="005E1D94"/>
    <w:rsid w:val="005E1D95"/>
    <w:rsid w:val="005E1DD9"/>
    <w:rsid w:val="005E1E06"/>
    <w:rsid w:val="005E1E28"/>
    <w:rsid w:val="005E1ED1"/>
    <w:rsid w:val="005E1F5A"/>
    <w:rsid w:val="005E201F"/>
    <w:rsid w:val="005E20C1"/>
    <w:rsid w:val="005E2112"/>
    <w:rsid w:val="005E211C"/>
    <w:rsid w:val="005E216F"/>
    <w:rsid w:val="005E2215"/>
    <w:rsid w:val="005E223C"/>
    <w:rsid w:val="005E225C"/>
    <w:rsid w:val="005E2281"/>
    <w:rsid w:val="005E2293"/>
    <w:rsid w:val="005E22B6"/>
    <w:rsid w:val="005E22C3"/>
    <w:rsid w:val="005E22CA"/>
    <w:rsid w:val="005E22CD"/>
    <w:rsid w:val="005E22CE"/>
    <w:rsid w:val="005E22DF"/>
    <w:rsid w:val="005E231B"/>
    <w:rsid w:val="005E2335"/>
    <w:rsid w:val="005E2352"/>
    <w:rsid w:val="005E243F"/>
    <w:rsid w:val="005E2466"/>
    <w:rsid w:val="005E2535"/>
    <w:rsid w:val="005E2537"/>
    <w:rsid w:val="005E25E2"/>
    <w:rsid w:val="005E2605"/>
    <w:rsid w:val="005E2614"/>
    <w:rsid w:val="005E26B7"/>
    <w:rsid w:val="005E2782"/>
    <w:rsid w:val="005E27E6"/>
    <w:rsid w:val="005E2880"/>
    <w:rsid w:val="005E297C"/>
    <w:rsid w:val="005E298B"/>
    <w:rsid w:val="005E29B3"/>
    <w:rsid w:val="005E2A24"/>
    <w:rsid w:val="005E2A40"/>
    <w:rsid w:val="005E2A67"/>
    <w:rsid w:val="005E2A7B"/>
    <w:rsid w:val="005E2A85"/>
    <w:rsid w:val="005E2AD0"/>
    <w:rsid w:val="005E2B1F"/>
    <w:rsid w:val="005E2B64"/>
    <w:rsid w:val="005E2BE3"/>
    <w:rsid w:val="005E2BF1"/>
    <w:rsid w:val="005E2C28"/>
    <w:rsid w:val="005E2C39"/>
    <w:rsid w:val="005E2C3E"/>
    <w:rsid w:val="005E2C5A"/>
    <w:rsid w:val="005E2E16"/>
    <w:rsid w:val="005E2F0A"/>
    <w:rsid w:val="005E2F71"/>
    <w:rsid w:val="005E2FA9"/>
    <w:rsid w:val="005E2FDE"/>
    <w:rsid w:val="005E3091"/>
    <w:rsid w:val="005E30B6"/>
    <w:rsid w:val="005E30BB"/>
    <w:rsid w:val="005E3146"/>
    <w:rsid w:val="005E3157"/>
    <w:rsid w:val="005E315A"/>
    <w:rsid w:val="005E316A"/>
    <w:rsid w:val="005E31BE"/>
    <w:rsid w:val="005E31D3"/>
    <w:rsid w:val="005E31E4"/>
    <w:rsid w:val="005E3224"/>
    <w:rsid w:val="005E3231"/>
    <w:rsid w:val="005E32E9"/>
    <w:rsid w:val="005E332D"/>
    <w:rsid w:val="005E3334"/>
    <w:rsid w:val="005E3346"/>
    <w:rsid w:val="005E3347"/>
    <w:rsid w:val="005E347A"/>
    <w:rsid w:val="005E3489"/>
    <w:rsid w:val="005E3491"/>
    <w:rsid w:val="005E34B4"/>
    <w:rsid w:val="005E34BA"/>
    <w:rsid w:val="005E35CB"/>
    <w:rsid w:val="005E3683"/>
    <w:rsid w:val="005E3750"/>
    <w:rsid w:val="005E3753"/>
    <w:rsid w:val="005E3759"/>
    <w:rsid w:val="005E37C1"/>
    <w:rsid w:val="005E37E9"/>
    <w:rsid w:val="005E3820"/>
    <w:rsid w:val="005E3823"/>
    <w:rsid w:val="005E3882"/>
    <w:rsid w:val="005E39C0"/>
    <w:rsid w:val="005E3A6A"/>
    <w:rsid w:val="005E3AEB"/>
    <w:rsid w:val="005E3AF9"/>
    <w:rsid w:val="005E3B2A"/>
    <w:rsid w:val="005E3B6A"/>
    <w:rsid w:val="005E3B91"/>
    <w:rsid w:val="005E3BC3"/>
    <w:rsid w:val="005E3BD9"/>
    <w:rsid w:val="005E3C33"/>
    <w:rsid w:val="005E3C71"/>
    <w:rsid w:val="005E3CE4"/>
    <w:rsid w:val="005E3D67"/>
    <w:rsid w:val="005E3DF4"/>
    <w:rsid w:val="005E3E7C"/>
    <w:rsid w:val="005E3EA2"/>
    <w:rsid w:val="005E3EA9"/>
    <w:rsid w:val="005E3EC1"/>
    <w:rsid w:val="005E3EC6"/>
    <w:rsid w:val="005E3F8A"/>
    <w:rsid w:val="005E3FAB"/>
    <w:rsid w:val="005E4013"/>
    <w:rsid w:val="005E402E"/>
    <w:rsid w:val="005E404D"/>
    <w:rsid w:val="005E40E6"/>
    <w:rsid w:val="005E40FF"/>
    <w:rsid w:val="005E4116"/>
    <w:rsid w:val="005E4124"/>
    <w:rsid w:val="005E4202"/>
    <w:rsid w:val="005E422C"/>
    <w:rsid w:val="005E4284"/>
    <w:rsid w:val="005E42A5"/>
    <w:rsid w:val="005E4342"/>
    <w:rsid w:val="005E436E"/>
    <w:rsid w:val="005E4372"/>
    <w:rsid w:val="005E437D"/>
    <w:rsid w:val="005E43A7"/>
    <w:rsid w:val="005E43D3"/>
    <w:rsid w:val="005E43E7"/>
    <w:rsid w:val="005E4417"/>
    <w:rsid w:val="005E444E"/>
    <w:rsid w:val="005E4461"/>
    <w:rsid w:val="005E44BA"/>
    <w:rsid w:val="005E4522"/>
    <w:rsid w:val="005E4546"/>
    <w:rsid w:val="005E454B"/>
    <w:rsid w:val="005E4659"/>
    <w:rsid w:val="005E465A"/>
    <w:rsid w:val="005E465E"/>
    <w:rsid w:val="005E4696"/>
    <w:rsid w:val="005E46AF"/>
    <w:rsid w:val="005E46B1"/>
    <w:rsid w:val="005E46F4"/>
    <w:rsid w:val="005E46FF"/>
    <w:rsid w:val="005E476E"/>
    <w:rsid w:val="005E4805"/>
    <w:rsid w:val="005E480C"/>
    <w:rsid w:val="005E4822"/>
    <w:rsid w:val="005E48D8"/>
    <w:rsid w:val="005E48DC"/>
    <w:rsid w:val="005E4914"/>
    <w:rsid w:val="005E4962"/>
    <w:rsid w:val="005E49AB"/>
    <w:rsid w:val="005E49E6"/>
    <w:rsid w:val="005E4A16"/>
    <w:rsid w:val="005E4AB4"/>
    <w:rsid w:val="005E4B18"/>
    <w:rsid w:val="005E4B1C"/>
    <w:rsid w:val="005E4B3A"/>
    <w:rsid w:val="005E4B9B"/>
    <w:rsid w:val="005E4BAF"/>
    <w:rsid w:val="005E4BBD"/>
    <w:rsid w:val="005E4BF9"/>
    <w:rsid w:val="005E4C83"/>
    <w:rsid w:val="005E4C92"/>
    <w:rsid w:val="005E4CDE"/>
    <w:rsid w:val="005E4CE5"/>
    <w:rsid w:val="005E4CEC"/>
    <w:rsid w:val="005E4D34"/>
    <w:rsid w:val="005E4D55"/>
    <w:rsid w:val="005E4DDA"/>
    <w:rsid w:val="005E4EC3"/>
    <w:rsid w:val="005E4ECD"/>
    <w:rsid w:val="005E4ED6"/>
    <w:rsid w:val="005E4EE6"/>
    <w:rsid w:val="005E4F11"/>
    <w:rsid w:val="005E4F41"/>
    <w:rsid w:val="005E5001"/>
    <w:rsid w:val="005E5090"/>
    <w:rsid w:val="005E5091"/>
    <w:rsid w:val="005E510C"/>
    <w:rsid w:val="005E511C"/>
    <w:rsid w:val="005E5120"/>
    <w:rsid w:val="005E514D"/>
    <w:rsid w:val="005E5158"/>
    <w:rsid w:val="005E5180"/>
    <w:rsid w:val="005E5190"/>
    <w:rsid w:val="005E51BF"/>
    <w:rsid w:val="005E51C2"/>
    <w:rsid w:val="005E51E0"/>
    <w:rsid w:val="005E51E5"/>
    <w:rsid w:val="005E51EF"/>
    <w:rsid w:val="005E5291"/>
    <w:rsid w:val="005E529B"/>
    <w:rsid w:val="005E52F1"/>
    <w:rsid w:val="005E5305"/>
    <w:rsid w:val="005E5351"/>
    <w:rsid w:val="005E5370"/>
    <w:rsid w:val="005E5404"/>
    <w:rsid w:val="005E5449"/>
    <w:rsid w:val="005E5499"/>
    <w:rsid w:val="005E549D"/>
    <w:rsid w:val="005E549F"/>
    <w:rsid w:val="005E54C9"/>
    <w:rsid w:val="005E5537"/>
    <w:rsid w:val="005E5587"/>
    <w:rsid w:val="005E561D"/>
    <w:rsid w:val="005E5632"/>
    <w:rsid w:val="005E5676"/>
    <w:rsid w:val="005E56AA"/>
    <w:rsid w:val="005E56DC"/>
    <w:rsid w:val="005E5719"/>
    <w:rsid w:val="005E5732"/>
    <w:rsid w:val="005E573E"/>
    <w:rsid w:val="005E5742"/>
    <w:rsid w:val="005E5756"/>
    <w:rsid w:val="005E579A"/>
    <w:rsid w:val="005E5803"/>
    <w:rsid w:val="005E5839"/>
    <w:rsid w:val="005E5851"/>
    <w:rsid w:val="005E588F"/>
    <w:rsid w:val="005E5896"/>
    <w:rsid w:val="005E5918"/>
    <w:rsid w:val="005E591B"/>
    <w:rsid w:val="005E5921"/>
    <w:rsid w:val="005E59B7"/>
    <w:rsid w:val="005E59F6"/>
    <w:rsid w:val="005E59F7"/>
    <w:rsid w:val="005E5A06"/>
    <w:rsid w:val="005E5A50"/>
    <w:rsid w:val="005E5AA7"/>
    <w:rsid w:val="005E5B10"/>
    <w:rsid w:val="005E5B1E"/>
    <w:rsid w:val="005E5B20"/>
    <w:rsid w:val="005E5B2F"/>
    <w:rsid w:val="005E5B63"/>
    <w:rsid w:val="005E5B9C"/>
    <w:rsid w:val="005E5BA9"/>
    <w:rsid w:val="005E5BED"/>
    <w:rsid w:val="005E5BFF"/>
    <w:rsid w:val="005E5C5A"/>
    <w:rsid w:val="005E5CDD"/>
    <w:rsid w:val="005E5D1B"/>
    <w:rsid w:val="005E5D25"/>
    <w:rsid w:val="005E5D86"/>
    <w:rsid w:val="005E5D8E"/>
    <w:rsid w:val="005E5E68"/>
    <w:rsid w:val="005E5E8A"/>
    <w:rsid w:val="005E5EA7"/>
    <w:rsid w:val="005E5EA8"/>
    <w:rsid w:val="005E5ED7"/>
    <w:rsid w:val="005E5F3B"/>
    <w:rsid w:val="005E5F4B"/>
    <w:rsid w:val="005E5F68"/>
    <w:rsid w:val="005E6047"/>
    <w:rsid w:val="005E6054"/>
    <w:rsid w:val="005E6095"/>
    <w:rsid w:val="005E609B"/>
    <w:rsid w:val="005E60A1"/>
    <w:rsid w:val="005E60B6"/>
    <w:rsid w:val="005E610D"/>
    <w:rsid w:val="005E612A"/>
    <w:rsid w:val="005E6137"/>
    <w:rsid w:val="005E619D"/>
    <w:rsid w:val="005E61FB"/>
    <w:rsid w:val="005E628C"/>
    <w:rsid w:val="005E629D"/>
    <w:rsid w:val="005E62A0"/>
    <w:rsid w:val="005E630A"/>
    <w:rsid w:val="005E6324"/>
    <w:rsid w:val="005E632D"/>
    <w:rsid w:val="005E63C3"/>
    <w:rsid w:val="005E63D9"/>
    <w:rsid w:val="005E641B"/>
    <w:rsid w:val="005E64CB"/>
    <w:rsid w:val="005E64CC"/>
    <w:rsid w:val="005E6514"/>
    <w:rsid w:val="005E651A"/>
    <w:rsid w:val="005E65B6"/>
    <w:rsid w:val="005E663A"/>
    <w:rsid w:val="005E664B"/>
    <w:rsid w:val="005E665C"/>
    <w:rsid w:val="005E6670"/>
    <w:rsid w:val="005E667F"/>
    <w:rsid w:val="005E66DC"/>
    <w:rsid w:val="005E66F0"/>
    <w:rsid w:val="005E6861"/>
    <w:rsid w:val="005E6886"/>
    <w:rsid w:val="005E68F0"/>
    <w:rsid w:val="005E6914"/>
    <w:rsid w:val="005E6922"/>
    <w:rsid w:val="005E693B"/>
    <w:rsid w:val="005E69F8"/>
    <w:rsid w:val="005E69FF"/>
    <w:rsid w:val="005E6A1C"/>
    <w:rsid w:val="005E6A7C"/>
    <w:rsid w:val="005E6A9C"/>
    <w:rsid w:val="005E6B81"/>
    <w:rsid w:val="005E6BAA"/>
    <w:rsid w:val="005E6BB1"/>
    <w:rsid w:val="005E6BC6"/>
    <w:rsid w:val="005E6BCD"/>
    <w:rsid w:val="005E6BDB"/>
    <w:rsid w:val="005E6C03"/>
    <w:rsid w:val="005E6CCB"/>
    <w:rsid w:val="005E6CFD"/>
    <w:rsid w:val="005E6D4A"/>
    <w:rsid w:val="005E6D61"/>
    <w:rsid w:val="005E6D86"/>
    <w:rsid w:val="005E6DC0"/>
    <w:rsid w:val="005E6EAC"/>
    <w:rsid w:val="005E6EB2"/>
    <w:rsid w:val="005E6EC0"/>
    <w:rsid w:val="005E6EE7"/>
    <w:rsid w:val="005E6F66"/>
    <w:rsid w:val="005E6F84"/>
    <w:rsid w:val="005E7030"/>
    <w:rsid w:val="005E7034"/>
    <w:rsid w:val="005E703D"/>
    <w:rsid w:val="005E7045"/>
    <w:rsid w:val="005E706C"/>
    <w:rsid w:val="005E709E"/>
    <w:rsid w:val="005E70B3"/>
    <w:rsid w:val="005E70BC"/>
    <w:rsid w:val="005E7109"/>
    <w:rsid w:val="005E710B"/>
    <w:rsid w:val="005E71B2"/>
    <w:rsid w:val="005E71B5"/>
    <w:rsid w:val="005E71D2"/>
    <w:rsid w:val="005E7206"/>
    <w:rsid w:val="005E727E"/>
    <w:rsid w:val="005E7306"/>
    <w:rsid w:val="005E735A"/>
    <w:rsid w:val="005E73B0"/>
    <w:rsid w:val="005E73B4"/>
    <w:rsid w:val="005E73CF"/>
    <w:rsid w:val="005E746D"/>
    <w:rsid w:val="005E74A2"/>
    <w:rsid w:val="005E74B6"/>
    <w:rsid w:val="005E74D7"/>
    <w:rsid w:val="005E7512"/>
    <w:rsid w:val="005E756D"/>
    <w:rsid w:val="005E758C"/>
    <w:rsid w:val="005E75B7"/>
    <w:rsid w:val="005E75C3"/>
    <w:rsid w:val="005E7607"/>
    <w:rsid w:val="005E766A"/>
    <w:rsid w:val="005E7674"/>
    <w:rsid w:val="005E767D"/>
    <w:rsid w:val="005E7682"/>
    <w:rsid w:val="005E7689"/>
    <w:rsid w:val="005E76F2"/>
    <w:rsid w:val="005E7730"/>
    <w:rsid w:val="005E7771"/>
    <w:rsid w:val="005E77D0"/>
    <w:rsid w:val="005E7847"/>
    <w:rsid w:val="005E7883"/>
    <w:rsid w:val="005E78B2"/>
    <w:rsid w:val="005E7918"/>
    <w:rsid w:val="005E793C"/>
    <w:rsid w:val="005E7943"/>
    <w:rsid w:val="005E7A1C"/>
    <w:rsid w:val="005E7A38"/>
    <w:rsid w:val="005E7A80"/>
    <w:rsid w:val="005E7B0D"/>
    <w:rsid w:val="005E7B3A"/>
    <w:rsid w:val="005E7B49"/>
    <w:rsid w:val="005E7B5B"/>
    <w:rsid w:val="005E7B6A"/>
    <w:rsid w:val="005E7C1C"/>
    <w:rsid w:val="005E7C48"/>
    <w:rsid w:val="005E7CB2"/>
    <w:rsid w:val="005E7D23"/>
    <w:rsid w:val="005E7D47"/>
    <w:rsid w:val="005E7D53"/>
    <w:rsid w:val="005E7D77"/>
    <w:rsid w:val="005E7D7E"/>
    <w:rsid w:val="005E7DAD"/>
    <w:rsid w:val="005E7E46"/>
    <w:rsid w:val="005E7E72"/>
    <w:rsid w:val="005E7EA2"/>
    <w:rsid w:val="005E7EAF"/>
    <w:rsid w:val="005E7EDC"/>
    <w:rsid w:val="005E7EF4"/>
    <w:rsid w:val="005E7EF9"/>
    <w:rsid w:val="005E7F3E"/>
    <w:rsid w:val="005E7F85"/>
    <w:rsid w:val="005E7FF3"/>
    <w:rsid w:val="005E7FF8"/>
    <w:rsid w:val="005F0098"/>
    <w:rsid w:val="005F009C"/>
    <w:rsid w:val="005F00AE"/>
    <w:rsid w:val="005F0158"/>
    <w:rsid w:val="005F0166"/>
    <w:rsid w:val="005F017B"/>
    <w:rsid w:val="005F01D0"/>
    <w:rsid w:val="005F0201"/>
    <w:rsid w:val="005F02A4"/>
    <w:rsid w:val="005F02B8"/>
    <w:rsid w:val="005F02BC"/>
    <w:rsid w:val="005F02CF"/>
    <w:rsid w:val="005F02D0"/>
    <w:rsid w:val="005F036A"/>
    <w:rsid w:val="005F03F2"/>
    <w:rsid w:val="005F042B"/>
    <w:rsid w:val="005F0454"/>
    <w:rsid w:val="005F0480"/>
    <w:rsid w:val="005F05D4"/>
    <w:rsid w:val="005F05E1"/>
    <w:rsid w:val="005F0626"/>
    <w:rsid w:val="005F0686"/>
    <w:rsid w:val="005F071F"/>
    <w:rsid w:val="005F0784"/>
    <w:rsid w:val="005F08FF"/>
    <w:rsid w:val="005F0906"/>
    <w:rsid w:val="005F0908"/>
    <w:rsid w:val="005F095D"/>
    <w:rsid w:val="005F09BF"/>
    <w:rsid w:val="005F09E2"/>
    <w:rsid w:val="005F0A05"/>
    <w:rsid w:val="005F0A08"/>
    <w:rsid w:val="005F0A28"/>
    <w:rsid w:val="005F0A4C"/>
    <w:rsid w:val="005F0B1F"/>
    <w:rsid w:val="005F0C0B"/>
    <w:rsid w:val="005F0C0F"/>
    <w:rsid w:val="005F0C8B"/>
    <w:rsid w:val="005F0CD6"/>
    <w:rsid w:val="005F0CE4"/>
    <w:rsid w:val="005F0D0E"/>
    <w:rsid w:val="005F0D2B"/>
    <w:rsid w:val="005F0D32"/>
    <w:rsid w:val="005F0E4B"/>
    <w:rsid w:val="005F0E5C"/>
    <w:rsid w:val="005F0EA3"/>
    <w:rsid w:val="005F0EB8"/>
    <w:rsid w:val="005F0EE7"/>
    <w:rsid w:val="005F0F24"/>
    <w:rsid w:val="005F0F44"/>
    <w:rsid w:val="005F0F4A"/>
    <w:rsid w:val="005F0FC4"/>
    <w:rsid w:val="005F104B"/>
    <w:rsid w:val="005F107A"/>
    <w:rsid w:val="005F10A1"/>
    <w:rsid w:val="005F10BC"/>
    <w:rsid w:val="005F10CE"/>
    <w:rsid w:val="005F1124"/>
    <w:rsid w:val="005F118A"/>
    <w:rsid w:val="005F11B0"/>
    <w:rsid w:val="005F1209"/>
    <w:rsid w:val="005F127F"/>
    <w:rsid w:val="005F131B"/>
    <w:rsid w:val="005F13C0"/>
    <w:rsid w:val="005F13F2"/>
    <w:rsid w:val="005F13FC"/>
    <w:rsid w:val="005F1425"/>
    <w:rsid w:val="005F1474"/>
    <w:rsid w:val="005F14E0"/>
    <w:rsid w:val="005F14FF"/>
    <w:rsid w:val="005F1525"/>
    <w:rsid w:val="005F155B"/>
    <w:rsid w:val="005F158D"/>
    <w:rsid w:val="005F160A"/>
    <w:rsid w:val="005F1641"/>
    <w:rsid w:val="005F165B"/>
    <w:rsid w:val="005F1707"/>
    <w:rsid w:val="005F171B"/>
    <w:rsid w:val="005F1770"/>
    <w:rsid w:val="005F17A7"/>
    <w:rsid w:val="005F17D8"/>
    <w:rsid w:val="005F188B"/>
    <w:rsid w:val="005F1897"/>
    <w:rsid w:val="005F18A5"/>
    <w:rsid w:val="005F18FC"/>
    <w:rsid w:val="005F1900"/>
    <w:rsid w:val="005F1943"/>
    <w:rsid w:val="005F196F"/>
    <w:rsid w:val="005F1978"/>
    <w:rsid w:val="005F199E"/>
    <w:rsid w:val="005F19B0"/>
    <w:rsid w:val="005F19C1"/>
    <w:rsid w:val="005F19F9"/>
    <w:rsid w:val="005F1A34"/>
    <w:rsid w:val="005F1A4C"/>
    <w:rsid w:val="005F1A59"/>
    <w:rsid w:val="005F1A82"/>
    <w:rsid w:val="005F1A84"/>
    <w:rsid w:val="005F1AD3"/>
    <w:rsid w:val="005F1B33"/>
    <w:rsid w:val="005F1B69"/>
    <w:rsid w:val="005F1B99"/>
    <w:rsid w:val="005F1BA9"/>
    <w:rsid w:val="005F1BB0"/>
    <w:rsid w:val="005F1BB2"/>
    <w:rsid w:val="005F1BDB"/>
    <w:rsid w:val="005F1BE4"/>
    <w:rsid w:val="005F1C6A"/>
    <w:rsid w:val="005F1C72"/>
    <w:rsid w:val="005F1CA2"/>
    <w:rsid w:val="005F1CC5"/>
    <w:rsid w:val="005F1D1A"/>
    <w:rsid w:val="005F1D57"/>
    <w:rsid w:val="005F1E2F"/>
    <w:rsid w:val="005F1E3D"/>
    <w:rsid w:val="005F1E67"/>
    <w:rsid w:val="005F1F97"/>
    <w:rsid w:val="005F1FA2"/>
    <w:rsid w:val="005F1FA3"/>
    <w:rsid w:val="005F1FFF"/>
    <w:rsid w:val="005F2028"/>
    <w:rsid w:val="005F205D"/>
    <w:rsid w:val="005F205F"/>
    <w:rsid w:val="005F2122"/>
    <w:rsid w:val="005F21C3"/>
    <w:rsid w:val="005F2246"/>
    <w:rsid w:val="005F224E"/>
    <w:rsid w:val="005F22CB"/>
    <w:rsid w:val="005F22DB"/>
    <w:rsid w:val="005F234B"/>
    <w:rsid w:val="005F2354"/>
    <w:rsid w:val="005F2417"/>
    <w:rsid w:val="005F2434"/>
    <w:rsid w:val="005F24DD"/>
    <w:rsid w:val="005F255E"/>
    <w:rsid w:val="005F2572"/>
    <w:rsid w:val="005F257F"/>
    <w:rsid w:val="005F25EE"/>
    <w:rsid w:val="005F26AF"/>
    <w:rsid w:val="005F274F"/>
    <w:rsid w:val="005F27EF"/>
    <w:rsid w:val="005F2843"/>
    <w:rsid w:val="005F28B8"/>
    <w:rsid w:val="005F28BB"/>
    <w:rsid w:val="005F28D4"/>
    <w:rsid w:val="005F294B"/>
    <w:rsid w:val="005F2968"/>
    <w:rsid w:val="005F2984"/>
    <w:rsid w:val="005F29B1"/>
    <w:rsid w:val="005F2A7E"/>
    <w:rsid w:val="005F2ABE"/>
    <w:rsid w:val="005F2B16"/>
    <w:rsid w:val="005F2B2D"/>
    <w:rsid w:val="005F2B52"/>
    <w:rsid w:val="005F2B78"/>
    <w:rsid w:val="005F2BC2"/>
    <w:rsid w:val="005F2C41"/>
    <w:rsid w:val="005F2C46"/>
    <w:rsid w:val="005F2C99"/>
    <w:rsid w:val="005F2D6F"/>
    <w:rsid w:val="005F2D76"/>
    <w:rsid w:val="005F2D9D"/>
    <w:rsid w:val="005F2DA5"/>
    <w:rsid w:val="005F2E05"/>
    <w:rsid w:val="005F2E16"/>
    <w:rsid w:val="005F2E3B"/>
    <w:rsid w:val="005F2E79"/>
    <w:rsid w:val="005F2E8D"/>
    <w:rsid w:val="005F2EE8"/>
    <w:rsid w:val="005F2F05"/>
    <w:rsid w:val="005F2F10"/>
    <w:rsid w:val="005F2F47"/>
    <w:rsid w:val="005F2FBA"/>
    <w:rsid w:val="005F3059"/>
    <w:rsid w:val="005F305A"/>
    <w:rsid w:val="005F305F"/>
    <w:rsid w:val="005F30C0"/>
    <w:rsid w:val="005F3173"/>
    <w:rsid w:val="005F31AF"/>
    <w:rsid w:val="005F320C"/>
    <w:rsid w:val="005F3265"/>
    <w:rsid w:val="005F3278"/>
    <w:rsid w:val="005F332F"/>
    <w:rsid w:val="005F33ED"/>
    <w:rsid w:val="005F3416"/>
    <w:rsid w:val="005F3425"/>
    <w:rsid w:val="005F353D"/>
    <w:rsid w:val="005F3574"/>
    <w:rsid w:val="005F358B"/>
    <w:rsid w:val="005F35E2"/>
    <w:rsid w:val="005F3605"/>
    <w:rsid w:val="005F3616"/>
    <w:rsid w:val="005F36BA"/>
    <w:rsid w:val="005F36DF"/>
    <w:rsid w:val="005F3700"/>
    <w:rsid w:val="005F373F"/>
    <w:rsid w:val="005F3757"/>
    <w:rsid w:val="005F3766"/>
    <w:rsid w:val="005F37E2"/>
    <w:rsid w:val="005F37E8"/>
    <w:rsid w:val="005F37F1"/>
    <w:rsid w:val="005F3802"/>
    <w:rsid w:val="005F3849"/>
    <w:rsid w:val="005F3883"/>
    <w:rsid w:val="005F38C2"/>
    <w:rsid w:val="005F38C3"/>
    <w:rsid w:val="005F38F0"/>
    <w:rsid w:val="005F38F6"/>
    <w:rsid w:val="005F3917"/>
    <w:rsid w:val="005F39AA"/>
    <w:rsid w:val="005F39BE"/>
    <w:rsid w:val="005F39FE"/>
    <w:rsid w:val="005F3A1A"/>
    <w:rsid w:val="005F3AF8"/>
    <w:rsid w:val="005F3B03"/>
    <w:rsid w:val="005F3B4B"/>
    <w:rsid w:val="005F3B71"/>
    <w:rsid w:val="005F3B82"/>
    <w:rsid w:val="005F3B8E"/>
    <w:rsid w:val="005F3BB6"/>
    <w:rsid w:val="005F3C1C"/>
    <w:rsid w:val="005F3CF0"/>
    <w:rsid w:val="005F3D7D"/>
    <w:rsid w:val="005F3DAF"/>
    <w:rsid w:val="005F3DC9"/>
    <w:rsid w:val="005F3E43"/>
    <w:rsid w:val="005F3E4C"/>
    <w:rsid w:val="005F3E7B"/>
    <w:rsid w:val="005F3EB5"/>
    <w:rsid w:val="005F3F39"/>
    <w:rsid w:val="005F3F3C"/>
    <w:rsid w:val="005F3FA6"/>
    <w:rsid w:val="005F3FAA"/>
    <w:rsid w:val="005F4022"/>
    <w:rsid w:val="005F40CF"/>
    <w:rsid w:val="005F4169"/>
    <w:rsid w:val="005F418D"/>
    <w:rsid w:val="005F4196"/>
    <w:rsid w:val="005F41A2"/>
    <w:rsid w:val="005F423F"/>
    <w:rsid w:val="005F42C4"/>
    <w:rsid w:val="005F433B"/>
    <w:rsid w:val="005F4357"/>
    <w:rsid w:val="005F437D"/>
    <w:rsid w:val="005F440A"/>
    <w:rsid w:val="005F440C"/>
    <w:rsid w:val="005F4455"/>
    <w:rsid w:val="005F4482"/>
    <w:rsid w:val="005F4496"/>
    <w:rsid w:val="005F44D9"/>
    <w:rsid w:val="005F4515"/>
    <w:rsid w:val="005F4585"/>
    <w:rsid w:val="005F45E3"/>
    <w:rsid w:val="005F45FD"/>
    <w:rsid w:val="005F4624"/>
    <w:rsid w:val="005F4647"/>
    <w:rsid w:val="005F4652"/>
    <w:rsid w:val="005F4667"/>
    <w:rsid w:val="005F46E5"/>
    <w:rsid w:val="005F4796"/>
    <w:rsid w:val="005F480B"/>
    <w:rsid w:val="005F4820"/>
    <w:rsid w:val="005F4830"/>
    <w:rsid w:val="005F4870"/>
    <w:rsid w:val="005F488A"/>
    <w:rsid w:val="005F48DF"/>
    <w:rsid w:val="005F48ED"/>
    <w:rsid w:val="005F4986"/>
    <w:rsid w:val="005F49B1"/>
    <w:rsid w:val="005F4A2D"/>
    <w:rsid w:val="005F4A39"/>
    <w:rsid w:val="005F4A8B"/>
    <w:rsid w:val="005F4A9E"/>
    <w:rsid w:val="005F4AB2"/>
    <w:rsid w:val="005F4AD6"/>
    <w:rsid w:val="005F4AF1"/>
    <w:rsid w:val="005F4B5D"/>
    <w:rsid w:val="005F4B64"/>
    <w:rsid w:val="005F4B84"/>
    <w:rsid w:val="005F4BC6"/>
    <w:rsid w:val="005F4C0C"/>
    <w:rsid w:val="005F4C81"/>
    <w:rsid w:val="005F4C86"/>
    <w:rsid w:val="005F4CF6"/>
    <w:rsid w:val="005F4D02"/>
    <w:rsid w:val="005F4DA5"/>
    <w:rsid w:val="005F4E00"/>
    <w:rsid w:val="005F4E18"/>
    <w:rsid w:val="005F4EB2"/>
    <w:rsid w:val="005F4F28"/>
    <w:rsid w:val="005F4F96"/>
    <w:rsid w:val="005F5029"/>
    <w:rsid w:val="005F50A7"/>
    <w:rsid w:val="005F50B6"/>
    <w:rsid w:val="005F50BB"/>
    <w:rsid w:val="005F50E8"/>
    <w:rsid w:val="005F511A"/>
    <w:rsid w:val="005F5183"/>
    <w:rsid w:val="005F5192"/>
    <w:rsid w:val="005F51BB"/>
    <w:rsid w:val="005F51C9"/>
    <w:rsid w:val="005F51CC"/>
    <w:rsid w:val="005F52E0"/>
    <w:rsid w:val="005F53FC"/>
    <w:rsid w:val="005F5435"/>
    <w:rsid w:val="005F5438"/>
    <w:rsid w:val="005F5454"/>
    <w:rsid w:val="005F5458"/>
    <w:rsid w:val="005F5460"/>
    <w:rsid w:val="005F54A7"/>
    <w:rsid w:val="005F54B4"/>
    <w:rsid w:val="005F5550"/>
    <w:rsid w:val="005F557E"/>
    <w:rsid w:val="005F55CA"/>
    <w:rsid w:val="005F5630"/>
    <w:rsid w:val="005F565B"/>
    <w:rsid w:val="005F569C"/>
    <w:rsid w:val="005F56BB"/>
    <w:rsid w:val="005F56EB"/>
    <w:rsid w:val="005F5716"/>
    <w:rsid w:val="005F574D"/>
    <w:rsid w:val="005F5755"/>
    <w:rsid w:val="005F579C"/>
    <w:rsid w:val="005F579D"/>
    <w:rsid w:val="005F584B"/>
    <w:rsid w:val="005F5853"/>
    <w:rsid w:val="005F585C"/>
    <w:rsid w:val="005F58A4"/>
    <w:rsid w:val="005F58DA"/>
    <w:rsid w:val="005F58EF"/>
    <w:rsid w:val="005F5914"/>
    <w:rsid w:val="005F5989"/>
    <w:rsid w:val="005F5A2E"/>
    <w:rsid w:val="005F5A48"/>
    <w:rsid w:val="005F5A57"/>
    <w:rsid w:val="005F5A6D"/>
    <w:rsid w:val="005F5A92"/>
    <w:rsid w:val="005F5A93"/>
    <w:rsid w:val="005F5A95"/>
    <w:rsid w:val="005F5B3F"/>
    <w:rsid w:val="005F5B49"/>
    <w:rsid w:val="005F5B69"/>
    <w:rsid w:val="005F5B9B"/>
    <w:rsid w:val="005F5BBE"/>
    <w:rsid w:val="005F5BFD"/>
    <w:rsid w:val="005F5C5E"/>
    <w:rsid w:val="005F5CE9"/>
    <w:rsid w:val="005F5D14"/>
    <w:rsid w:val="005F5D85"/>
    <w:rsid w:val="005F5DDB"/>
    <w:rsid w:val="005F5E40"/>
    <w:rsid w:val="005F5E46"/>
    <w:rsid w:val="005F5E66"/>
    <w:rsid w:val="005F5EE7"/>
    <w:rsid w:val="005F5F42"/>
    <w:rsid w:val="005F5F46"/>
    <w:rsid w:val="005F5F66"/>
    <w:rsid w:val="005F5F68"/>
    <w:rsid w:val="005F5F74"/>
    <w:rsid w:val="005F5FAE"/>
    <w:rsid w:val="005F5FB3"/>
    <w:rsid w:val="005F6023"/>
    <w:rsid w:val="005F6076"/>
    <w:rsid w:val="005F609E"/>
    <w:rsid w:val="005F60D3"/>
    <w:rsid w:val="005F6121"/>
    <w:rsid w:val="005F6126"/>
    <w:rsid w:val="005F6127"/>
    <w:rsid w:val="005F613E"/>
    <w:rsid w:val="005F61A8"/>
    <w:rsid w:val="005F61EB"/>
    <w:rsid w:val="005F6210"/>
    <w:rsid w:val="005F6219"/>
    <w:rsid w:val="005F621A"/>
    <w:rsid w:val="005F6272"/>
    <w:rsid w:val="005F6276"/>
    <w:rsid w:val="005F628E"/>
    <w:rsid w:val="005F62A5"/>
    <w:rsid w:val="005F62BD"/>
    <w:rsid w:val="005F62DA"/>
    <w:rsid w:val="005F6343"/>
    <w:rsid w:val="005F63B0"/>
    <w:rsid w:val="005F642D"/>
    <w:rsid w:val="005F6461"/>
    <w:rsid w:val="005F64D5"/>
    <w:rsid w:val="005F64D7"/>
    <w:rsid w:val="005F64E4"/>
    <w:rsid w:val="005F6504"/>
    <w:rsid w:val="005F6506"/>
    <w:rsid w:val="005F6571"/>
    <w:rsid w:val="005F658F"/>
    <w:rsid w:val="005F65AE"/>
    <w:rsid w:val="005F65B8"/>
    <w:rsid w:val="005F65C0"/>
    <w:rsid w:val="005F65E7"/>
    <w:rsid w:val="005F6645"/>
    <w:rsid w:val="005F6694"/>
    <w:rsid w:val="005F66AF"/>
    <w:rsid w:val="005F66BC"/>
    <w:rsid w:val="005F6778"/>
    <w:rsid w:val="005F67D2"/>
    <w:rsid w:val="005F67EA"/>
    <w:rsid w:val="005F684C"/>
    <w:rsid w:val="005F6857"/>
    <w:rsid w:val="005F686C"/>
    <w:rsid w:val="005F6893"/>
    <w:rsid w:val="005F6932"/>
    <w:rsid w:val="005F6959"/>
    <w:rsid w:val="005F695B"/>
    <w:rsid w:val="005F6963"/>
    <w:rsid w:val="005F6991"/>
    <w:rsid w:val="005F6996"/>
    <w:rsid w:val="005F69CF"/>
    <w:rsid w:val="005F6A21"/>
    <w:rsid w:val="005F6A40"/>
    <w:rsid w:val="005F6A43"/>
    <w:rsid w:val="005F6A6E"/>
    <w:rsid w:val="005F6AA2"/>
    <w:rsid w:val="005F6B3D"/>
    <w:rsid w:val="005F6BEE"/>
    <w:rsid w:val="005F6C04"/>
    <w:rsid w:val="005F6C37"/>
    <w:rsid w:val="005F6C53"/>
    <w:rsid w:val="005F6D76"/>
    <w:rsid w:val="005F6DDA"/>
    <w:rsid w:val="005F6E18"/>
    <w:rsid w:val="005F6E4A"/>
    <w:rsid w:val="005F6EB8"/>
    <w:rsid w:val="005F6F21"/>
    <w:rsid w:val="005F6F3D"/>
    <w:rsid w:val="005F6FAF"/>
    <w:rsid w:val="005F6FB6"/>
    <w:rsid w:val="005F6FB7"/>
    <w:rsid w:val="005F6FC6"/>
    <w:rsid w:val="005F7038"/>
    <w:rsid w:val="005F70CB"/>
    <w:rsid w:val="005F7136"/>
    <w:rsid w:val="005F7182"/>
    <w:rsid w:val="005F71C3"/>
    <w:rsid w:val="005F71EA"/>
    <w:rsid w:val="005F71EF"/>
    <w:rsid w:val="005F7240"/>
    <w:rsid w:val="005F7250"/>
    <w:rsid w:val="005F727B"/>
    <w:rsid w:val="005F72B3"/>
    <w:rsid w:val="005F7344"/>
    <w:rsid w:val="005F7372"/>
    <w:rsid w:val="005F7399"/>
    <w:rsid w:val="005F73BA"/>
    <w:rsid w:val="005F73C4"/>
    <w:rsid w:val="005F73E5"/>
    <w:rsid w:val="005F73E8"/>
    <w:rsid w:val="005F740A"/>
    <w:rsid w:val="005F740B"/>
    <w:rsid w:val="005F74AC"/>
    <w:rsid w:val="005F7513"/>
    <w:rsid w:val="005F7533"/>
    <w:rsid w:val="005F7549"/>
    <w:rsid w:val="005F7611"/>
    <w:rsid w:val="005F7652"/>
    <w:rsid w:val="005F7658"/>
    <w:rsid w:val="005F7661"/>
    <w:rsid w:val="005F76A5"/>
    <w:rsid w:val="005F76CD"/>
    <w:rsid w:val="005F76E5"/>
    <w:rsid w:val="005F7766"/>
    <w:rsid w:val="005F7781"/>
    <w:rsid w:val="005F77D0"/>
    <w:rsid w:val="005F77DE"/>
    <w:rsid w:val="005F789F"/>
    <w:rsid w:val="005F78BC"/>
    <w:rsid w:val="005F78C2"/>
    <w:rsid w:val="005F78C8"/>
    <w:rsid w:val="005F78DC"/>
    <w:rsid w:val="005F78ED"/>
    <w:rsid w:val="005F7906"/>
    <w:rsid w:val="005F79BB"/>
    <w:rsid w:val="005F7A8B"/>
    <w:rsid w:val="005F7AD8"/>
    <w:rsid w:val="005F7B02"/>
    <w:rsid w:val="005F7B1A"/>
    <w:rsid w:val="005F7B21"/>
    <w:rsid w:val="005F7B69"/>
    <w:rsid w:val="005F7B6B"/>
    <w:rsid w:val="005F7B79"/>
    <w:rsid w:val="005F7BB4"/>
    <w:rsid w:val="005F7BCE"/>
    <w:rsid w:val="005F7BD0"/>
    <w:rsid w:val="005F7BF5"/>
    <w:rsid w:val="005F7C51"/>
    <w:rsid w:val="005F7D28"/>
    <w:rsid w:val="005F7D58"/>
    <w:rsid w:val="005F7DB3"/>
    <w:rsid w:val="005F7DB9"/>
    <w:rsid w:val="005F7DBB"/>
    <w:rsid w:val="005F7DDF"/>
    <w:rsid w:val="005F7E02"/>
    <w:rsid w:val="005F7E3B"/>
    <w:rsid w:val="005F7ECF"/>
    <w:rsid w:val="005F7ED9"/>
    <w:rsid w:val="005F7F62"/>
    <w:rsid w:val="005F7F6A"/>
    <w:rsid w:val="005F7FCB"/>
    <w:rsid w:val="005F7FD1"/>
    <w:rsid w:val="005F7FF5"/>
    <w:rsid w:val="006000AA"/>
    <w:rsid w:val="006000C3"/>
    <w:rsid w:val="006000D2"/>
    <w:rsid w:val="0060012B"/>
    <w:rsid w:val="0060014C"/>
    <w:rsid w:val="006001B6"/>
    <w:rsid w:val="006001D3"/>
    <w:rsid w:val="006001F0"/>
    <w:rsid w:val="00600200"/>
    <w:rsid w:val="00600214"/>
    <w:rsid w:val="00600264"/>
    <w:rsid w:val="00600274"/>
    <w:rsid w:val="00600278"/>
    <w:rsid w:val="00600286"/>
    <w:rsid w:val="006002AA"/>
    <w:rsid w:val="006002CF"/>
    <w:rsid w:val="006002F3"/>
    <w:rsid w:val="006002FB"/>
    <w:rsid w:val="00600365"/>
    <w:rsid w:val="00600375"/>
    <w:rsid w:val="0060037E"/>
    <w:rsid w:val="006003BC"/>
    <w:rsid w:val="006003C6"/>
    <w:rsid w:val="00600539"/>
    <w:rsid w:val="0060056D"/>
    <w:rsid w:val="006005AE"/>
    <w:rsid w:val="006005DE"/>
    <w:rsid w:val="006005E8"/>
    <w:rsid w:val="00600609"/>
    <w:rsid w:val="006006C6"/>
    <w:rsid w:val="0060072D"/>
    <w:rsid w:val="0060077E"/>
    <w:rsid w:val="00600787"/>
    <w:rsid w:val="00600788"/>
    <w:rsid w:val="006007FC"/>
    <w:rsid w:val="00600852"/>
    <w:rsid w:val="00600866"/>
    <w:rsid w:val="00600873"/>
    <w:rsid w:val="006009E3"/>
    <w:rsid w:val="006009F1"/>
    <w:rsid w:val="00600A2C"/>
    <w:rsid w:val="00600A63"/>
    <w:rsid w:val="00600A74"/>
    <w:rsid w:val="00600AB2"/>
    <w:rsid w:val="00600AF8"/>
    <w:rsid w:val="00600B41"/>
    <w:rsid w:val="00600B47"/>
    <w:rsid w:val="00600B69"/>
    <w:rsid w:val="00600BA0"/>
    <w:rsid w:val="00600BA8"/>
    <w:rsid w:val="00600BD8"/>
    <w:rsid w:val="00600BF6"/>
    <w:rsid w:val="00600C99"/>
    <w:rsid w:val="00600CA1"/>
    <w:rsid w:val="00600CF9"/>
    <w:rsid w:val="00600D03"/>
    <w:rsid w:val="00600D53"/>
    <w:rsid w:val="00600D59"/>
    <w:rsid w:val="00600DBB"/>
    <w:rsid w:val="00600DF6"/>
    <w:rsid w:val="00600E05"/>
    <w:rsid w:val="00600E07"/>
    <w:rsid w:val="00600E27"/>
    <w:rsid w:val="00600F01"/>
    <w:rsid w:val="00600F27"/>
    <w:rsid w:val="00600F5E"/>
    <w:rsid w:val="00600F78"/>
    <w:rsid w:val="00600F95"/>
    <w:rsid w:val="00601005"/>
    <w:rsid w:val="00601039"/>
    <w:rsid w:val="00601094"/>
    <w:rsid w:val="00601125"/>
    <w:rsid w:val="006011AF"/>
    <w:rsid w:val="0060120F"/>
    <w:rsid w:val="00601215"/>
    <w:rsid w:val="0060121E"/>
    <w:rsid w:val="00601264"/>
    <w:rsid w:val="00601332"/>
    <w:rsid w:val="00601333"/>
    <w:rsid w:val="0060133C"/>
    <w:rsid w:val="00601390"/>
    <w:rsid w:val="006013AD"/>
    <w:rsid w:val="006013B5"/>
    <w:rsid w:val="006013DE"/>
    <w:rsid w:val="006013F3"/>
    <w:rsid w:val="006014D5"/>
    <w:rsid w:val="0060152F"/>
    <w:rsid w:val="00601587"/>
    <w:rsid w:val="00601597"/>
    <w:rsid w:val="0060159C"/>
    <w:rsid w:val="00601614"/>
    <w:rsid w:val="00601650"/>
    <w:rsid w:val="0060177A"/>
    <w:rsid w:val="00601783"/>
    <w:rsid w:val="006017E2"/>
    <w:rsid w:val="00601802"/>
    <w:rsid w:val="00601880"/>
    <w:rsid w:val="0060188B"/>
    <w:rsid w:val="006018AE"/>
    <w:rsid w:val="006018E8"/>
    <w:rsid w:val="00601975"/>
    <w:rsid w:val="00601982"/>
    <w:rsid w:val="00601A29"/>
    <w:rsid w:val="00601A8F"/>
    <w:rsid w:val="00601AC0"/>
    <w:rsid w:val="00601B95"/>
    <w:rsid w:val="00601C24"/>
    <w:rsid w:val="00601C71"/>
    <w:rsid w:val="00601D45"/>
    <w:rsid w:val="00601D5B"/>
    <w:rsid w:val="00601DAF"/>
    <w:rsid w:val="00601E11"/>
    <w:rsid w:val="00601E64"/>
    <w:rsid w:val="00601E6B"/>
    <w:rsid w:val="00601EFA"/>
    <w:rsid w:val="00601F13"/>
    <w:rsid w:val="00601FBF"/>
    <w:rsid w:val="00601FC8"/>
    <w:rsid w:val="00601FF9"/>
    <w:rsid w:val="00602006"/>
    <w:rsid w:val="00602042"/>
    <w:rsid w:val="0060204E"/>
    <w:rsid w:val="006020AD"/>
    <w:rsid w:val="006020CC"/>
    <w:rsid w:val="0060214A"/>
    <w:rsid w:val="00602161"/>
    <w:rsid w:val="006021BB"/>
    <w:rsid w:val="00602221"/>
    <w:rsid w:val="0060225A"/>
    <w:rsid w:val="0060227B"/>
    <w:rsid w:val="006022E8"/>
    <w:rsid w:val="006022F6"/>
    <w:rsid w:val="0060236F"/>
    <w:rsid w:val="00602462"/>
    <w:rsid w:val="00602473"/>
    <w:rsid w:val="00602498"/>
    <w:rsid w:val="006024BC"/>
    <w:rsid w:val="00602512"/>
    <w:rsid w:val="006025CC"/>
    <w:rsid w:val="00602611"/>
    <w:rsid w:val="006026A5"/>
    <w:rsid w:val="006026D4"/>
    <w:rsid w:val="0060277C"/>
    <w:rsid w:val="006027D7"/>
    <w:rsid w:val="0060282D"/>
    <w:rsid w:val="006028EB"/>
    <w:rsid w:val="006028EF"/>
    <w:rsid w:val="00602930"/>
    <w:rsid w:val="00602931"/>
    <w:rsid w:val="00602984"/>
    <w:rsid w:val="006029FD"/>
    <w:rsid w:val="00602A1D"/>
    <w:rsid w:val="00602A39"/>
    <w:rsid w:val="00602B82"/>
    <w:rsid w:val="00602C29"/>
    <w:rsid w:val="00602C82"/>
    <w:rsid w:val="00602C9A"/>
    <w:rsid w:val="00602CB7"/>
    <w:rsid w:val="00602D37"/>
    <w:rsid w:val="00602D43"/>
    <w:rsid w:val="00602D83"/>
    <w:rsid w:val="00602D86"/>
    <w:rsid w:val="00602D96"/>
    <w:rsid w:val="00602DA9"/>
    <w:rsid w:val="00602E09"/>
    <w:rsid w:val="00602E59"/>
    <w:rsid w:val="00602EA0"/>
    <w:rsid w:val="00602EC7"/>
    <w:rsid w:val="00602ECB"/>
    <w:rsid w:val="00602ECE"/>
    <w:rsid w:val="00602F39"/>
    <w:rsid w:val="00602FCA"/>
    <w:rsid w:val="00602FCC"/>
    <w:rsid w:val="00602FE5"/>
    <w:rsid w:val="00603025"/>
    <w:rsid w:val="00603069"/>
    <w:rsid w:val="006030B2"/>
    <w:rsid w:val="006030B6"/>
    <w:rsid w:val="006030BD"/>
    <w:rsid w:val="00603127"/>
    <w:rsid w:val="0060312E"/>
    <w:rsid w:val="006031BD"/>
    <w:rsid w:val="006031CA"/>
    <w:rsid w:val="006031F0"/>
    <w:rsid w:val="006031FF"/>
    <w:rsid w:val="00603213"/>
    <w:rsid w:val="006032D0"/>
    <w:rsid w:val="0060334D"/>
    <w:rsid w:val="006033E1"/>
    <w:rsid w:val="006033FA"/>
    <w:rsid w:val="00603461"/>
    <w:rsid w:val="0060346F"/>
    <w:rsid w:val="006034E1"/>
    <w:rsid w:val="006034FB"/>
    <w:rsid w:val="006035C4"/>
    <w:rsid w:val="006035DE"/>
    <w:rsid w:val="00603628"/>
    <w:rsid w:val="00603694"/>
    <w:rsid w:val="0060369C"/>
    <w:rsid w:val="006036A5"/>
    <w:rsid w:val="0060372E"/>
    <w:rsid w:val="006037B6"/>
    <w:rsid w:val="006037FB"/>
    <w:rsid w:val="00603839"/>
    <w:rsid w:val="00603861"/>
    <w:rsid w:val="0060386A"/>
    <w:rsid w:val="006038F2"/>
    <w:rsid w:val="006038F8"/>
    <w:rsid w:val="0060390F"/>
    <w:rsid w:val="0060394C"/>
    <w:rsid w:val="00603965"/>
    <w:rsid w:val="006039C7"/>
    <w:rsid w:val="00603A7A"/>
    <w:rsid w:val="00603ACA"/>
    <w:rsid w:val="00603B36"/>
    <w:rsid w:val="00603B5C"/>
    <w:rsid w:val="00603BB2"/>
    <w:rsid w:val="00603BC2"/>
    <w:rsid w:val="00603BD8"/>
    <w:rsid w:val="00603C0A"/>
    <w:rsid w:val="00603CBB"/>
    <w:rsid w:val="00603CF5"/>
    <w:rsid w:val="00603D20"/>
    <w:rsid w:val="00603D6A"/>
    <w:rsid w:val="00603DF2"/>
    <w:rsid w:val="00603EBD"/>
    <w:rsid w:val="00603EDB"/>
    <w:rsid w:val="00603F11"/>
    <w:rsid w:val="00603F25"/>
    <w:rsid w:val="00604098"/>
    <w:rsid w:val="006040A3"/>
    <w:rsid w:val="00604150"/>
    <w:rsid w:val="0060420B"/>
    <w:rsid w:val="00604258"/>
    <w:rsid w:val="00604276"/>
    <w:rsid w:val="006042B0"/>
    <w:rsid w:val="006042BC"/>
    <w:rsid w:val="006042F7"/>
    <w:rsid w:val="00604307"/>
    <w:rsid w:val="0060435A"/>
    <w:rsid w:val="00604383"/>
    <w:rsid w:val="006043CF"/>
    <w:rsid w:val="0060440B"/>
    <w:rsid w:val="0060441C"/>
    <w:rsid w:val="00604429"/>
    <w:rsid w:val="0060442A"/>
    <w:rsid w:val="0060450B"/>
    <w:rsid w:val="0060454A"/>
    <w:rsid w:val="00604569"/>
    <w:rsid w:val="00604577"/>
    <w:rsid w:val="006045A5"/>
    <w:rsid w:val="00604601"/>
    <w:rsid w:val="0060465F"/>
    <w:rsid w:val="006046EC"/>
    <w:rsid w:val="00604716"/>
    <w:rsid w:val="00604758"/>
    <w:rsid w:val="0060479C"/>
    <w:rsid w:val="006047AA"/>
    <w:rsid w:val="00604810"/>
    <w:rsid w:val="00604814"/>
    <w:rsid w:val="0060483C"/>
    <w:rsid w:val="00604850"/>
    <w:rsid w:val="00604885"/>
    <w:rsid w:val="006048C2"/>
    <w:rsid w:val="006048E6"/>
    <w:rsid w:val="006048F1"/>
    <w:rsid w:val="00604986"/>
    <w:rsid w:val="0060498B"/>
    <w:rsid w:val="006049F2"/>
    <w:rsid w:val="006049F9"/>
    <w:rsid w:val="00604A25"/>
    <w:rsid w:val="00604A4D"/>
    <w:rsid w:val="00604A6A"/>
    <w:rsid w:val="00604ABE"/>
    <w:rsid w:val="00604AD5"/>
    <w:rsid w:val="00604AF5"/>
    <w:rsid w:val="00604B0C"/>
    <w:rsid w:val="00604B63"/>
    <w:rsid w:val="00604B99"/>
    <w:rsid w:val="00604C3B"/>
    <w:rsid w:val="00604C87"/>
    <w:rsid w:val="00604CA3"/>
    <w:rsid w:val="00604CC1"/>
    <w:rsid w:val="00604CD8"/>
    <w:rsid w:val="00604D1C"/>
    <w:rsid w:val="00604D2B"/>
    <w:rsid w:val="00604D2F"/>
    <w:rsid w:val="00604D40"/>
    <w:rsid w:val="00604D48"/>
    <w:rsid w:val="00604D5B"/>
    <w:rsid w:val="00604DAF"/>
    <w:rsid w:val="00604DB6"/>
    <w:rsid w:val="00604DFC"/>
    <w:rsid w:val="00604E12"/>
    <w:rsid w:val="00604E15"/>
    <w:rsid w:val="00604E73"/>
    <w:rsid w:val="00604EB5"/>
    <w:rsid w:val="00604EC2"/>
    <w:rsid w:val="00604EEF"/>
    <w:rsid w:val="00604F83"/>
    <w:rsid w:val="00605041"/>
    <w:rsid w:val="00605057"/>
    <w:rsid w:val="00605079"/>
    <w:rsid w:val="006050A3"/>
    <w:rsid w:val="006050A5"/>
    <w:rsid w:val="006050A7"/>
    <w:rsid w:val="0060513E"/>
    <w:rsid w:val="00605178"/>
    <w:rsid w:val="0060519C"/>
    <w:rsid w:val="006051B7"/>
    <w:rsid w:val="006051F5"/>
    <w:rsid w:val="00605220"/>
    <w:rsid w:val="00605227"/>
    <w:rsid w:val="00605294"/>
    <w:rsid w:val="006052CA"/>
    <w:rsid w:val="00605351"/>
    <w:rsid w:val="00605392"/>
    <w:rsid w:val="0060539E"/>
    <w:rsid w:val="006053FE"/>
    <w:rsid w:val="00605414"/>
    <w:rsid w:val="00605415"/>
    <w:rsid w:val="00605429"/>
    <w:rsid w:val="0060547D"/>
    <w:rsid w:val="0060548D"/>
    <w:rsid w:val="0060550D"/>
    <w:rsid w:val="00605531"/>
    <w:rsid w:val="006055FF"/>
    <w:rsid w:val="00605607"/>
    <w:rsid w:val="00605613"/>
    <w:rsid w:val="00605629"/>
    <w:rsid w:val="00605642"/>
    <w:rsid w:val="00605688"/>
    <w:rsid w:val="0060579A"/>
    <w:rsid w:val="006057DD"/>
    <w:rsid w:val="006057F8"/>
    <w:rsid w:val="0060589B"/>
    <w:rsid w:val="006058C4"/>
    <w:rsid w:val="006058EE"/>
    <w:rsid w:val="00605934"/>
    <w:rsid w:val="0060595B"/>
    <w:rsid w:val="00605978"/>
    <w:rsid w:val="00605992"/>
    <w:rsid w:val="006059A6"/>
    <w:rsid w:val="006059E0"/>
    <w:rsid w:val="00605A0A"/>
    <w:rsid w:val="00605A54"/>
    <w:rsid w:val="00605A5E"/>
    <w:rsid w:val="00605ACE"/>
    <w:rsid w:val="00605AFD"/>
    <w:rsid w:val="00605B1C"/>
    <w:rsid w:val="00605B63"/>
    <w:rsid w:val="00605B6F"/>
    <w:rsid w:val="00605B72"/>
    <w:rsid w:val="00605C07"/>
    <w:rsid w:val="00605C3C"/>
    <w:rsid w:val="00605CF4"/>
    <w:rsid w:val="00605CF9"/>
    <w:rsid w:val="00605D24"/>
    <w:rsid w:val="00605D29"/>
    <w:rsid w:val="00605DDD"/>
    <w:rsid w:val="00605E06"/>
    <w:rsid w:val="00605E73"/>
    <w:rsid w:val="00605E85"/>
    <w:rsid w:val="00605E9E"/>
    <w:rsid w:val="00605EF1"/>
    <w:rsid w:val="00605F30"/>
    <w:rsid w:val="00605F67"/>
    <w:rsid w:val="00605FC7"/>
    <w:rsid w:val="00605FE1"/>
    <w:rsid w:val="006060C1"/>
    <w:rsid w:val="006060C3"/>
    <w:rsid w:val="0060610C"/>
    <w:rsid w:val="0060612F"/>
    <w:rsid w:val="0060615B"/>
    <w:rsid w:val="006061A5"/>
    <w:rsid w:val="006061FE"/>
    <w:rsid w:val="0060625E"/>
    <w:rsid w:val="00606296"/>
    <w:rsid w:val="0060630F"/>
    <w:rsid w:val="006063B4"/>
    <w:rsid w:val="00606401"/>
    <w:rsid w:val="0060644C"/>
    <w:rsid w:val="006064C1"/>
    <w:rsid w:val="006064C3"/>
    <w:rsid w:val="0060650C"/>
    <w:rsid w:val="00606523"/>
    <w:rsid w:val="006065AB"/>
    <w:rsid w:val="006065D8"/>
    <w:rsid w:val="006065F4"/>
    <w:rsid w:val="00606650"/>
    <w:rsid w:val="0060666A"/>
    <w:rsid w:val="006066B0"/>
    <w:rsid w:val="0060671B"/>
    <w:rsid w:val="006067E2"/>
    <w:rsid w:val="0060687A"/>
    <w:rsid w:val="0060692E"/>
    <w:rsid w:val="0060694C"/>
    <w:rsid w:val="00606952"/>
    <w:rsid w:val="006069BE"/>
    <w:rsid w:val="006069EB"/>
    <w:rsid w:val="00606A23"/>
    <w:rsid w:val="00606A8F"/>
    <w:rsid w:val="00606A94"/>
    <w:rsid w:val="00606AF7"/>
    <w:rsid w:val="00606B05"/>
    <w:rsid w:val="00606B23"/>
    <w:rsid w:val="00606BCE"/>
    <w:rsid w:val="00606C3B"/>
    <w:rsid w:val="00606C85"/>
    <w:rsid w:val="00606D04"/>
    <w:rsid w:val="00606D3D"/>
    <w:rsid w:val="00606DBC"/>
    <w:rsid w:val="00606DC4"/>
    <w:rsid w:val="00606DFC"/>
    <w:rsid w:val="00606E77"/>
    <w:rsid w:val="00606E8C"/>
    <w:rsid w:val="00606F87"/>
    <w:rsid w:val="0060704B"/>
    <w:rsid w:val="00607057"/>
    <w:rsid w:val="006070AE"/>
    <w:rsid w:val="0060712D"/>
    <w:rsid w:val="00607187"/>
    <w:rsid w:val="006071EE"/>
    <w:rsid w:val="00607231"/>
    <w:rsid w:val="00607248"/>
    <w:rsid w:val="00607253"/>
    <w:rsid w:val="0060726A"/>
    <w:rsid w:val="0060726D"/>
    <w:rsid w:val="00607275"/>
    <w:rsid w:val="006072CF"/>
    <w:rsid w:val="00607307"/>
    <w:rsid w:val="0060730C"/>
    <w:rsid w:val="006073E0"/>
    <w:rsid w:val="00607498"/>
    <w:rsid w:val="006074C1"/>
    <w:rsid w:val="006074CC"/>
    <w:rsid w:val="006074ED"/>
    <w:rsid w:val="0060760F"/>
    <w:rsid w:val="0060761A"/>
    <w:rsid w:val="00607633"/>
    <w:rsid w:val="00607639"/>
    <w:rsid w:val="0060763A"/>
    <w:rsid w:val="00607651"/>
    <w:rsid w:val="00607695"/>
    <w:rsid w:val="006076A5"/>
    <w:rsid w:val="006076AD"/>
    <w:rsid w:val="006076CC"/>
    <w:rsid w:val="006076EF"/>
    <w:rsid w:val="006076F1"/>
    <w:rsid w:val="00607715"/>
    <w:rsid w:val="0060773C"/>
    <w:rsid w:val="00607781"/>
    <w:rsid w:val="0060779E"/>
    <w:rsid w:val="006077BC"/>
    <w:rsid w:val="00607842"/>
    <w:rsid w:val="00607864"/>
    <w:rsid w:val="006078ED"/>
    <w:rsid w:val="006078F0"/>
    <w:rsid w:val="00607908"/>
    <w:rsid w:val="00607A34"/>
    <w:rsid w:val="00607A4E"/>
    <w:rsid w:val="00607A9D"/>
    <w:rsid w:val="00607AB5"/>
    <w:rsid w:val="00607B13"/>
    <w:rsid w:val="00607B1C"/>
    <w:rsid w:val="00607B3C"/>
    <w:rsid w:val="00607BD4"/>
    <w:rsid w:val="00607BDD"/>
    <w:rsid w:val="00607BE0"/>
    <w:rsid w:val="00607C38"/>
    <w:rsid w:val="00607CBA"/>
    <w:rsid w:val="00607CC5"/>
    <w:rsid w:val="00607CE0"/>
    <w:rsid w:val="00607CF7"/>
    <w:rsid w:val="00607D1A"/>
    <w:rsid w:val="00607DA5"/>
    <w:rsid w:val="00607DAC"/>
    <w:rsid w:val="00607DB3"/>
    <w:rsid w:val="00607E1C"/>
    <w:rsid w:val="00607EA3"/>
    <w:rsid w:val="00607EAF"/>
    <w:rsid w:val="00607EBA"/>
    <w:rsid w:val="00607EC4"/>
    <w:rsid w:val="00607EC7"/>
    <w:rsid w:val="00607F02"/>
    <w:rsid w:val="00607F07"/>
    <w:rsid w:val="00607F10"/>
    <w:rsid w:val="00607F34"/>
    <w:rsid w:val="00607F4C"/>
    <w:rsid w:val="0061002D"/>
    <w:rsid w:val="0061011E"/>
    <w:rsid w:val="00610122"/>
    <w:rsid w:val="00610146"/>
    <w:rsid w:val="00610150"/>
    <w:rsid w:val="0061020B"/>
    <w:rsid w:val="0061024A"/>
    <w:rsid w:val="0061025A"/>
    <w:rsid w:val="00610279"/>
    <w:rsid w:val="006102CD"/>
    <w:rsid w:val="0061031D"/>
    <w:rsid w:val="00610324"/>
    <w:rsid w:val="00610327"/>
    <w:rsid w:val="0061034D"/>
    <w:rsid w:val="0061037A"/>
    <w:rsid w:val="006103C2"/>
    <w:rsid w:val="006103C7"/>
    <w:rsid w:val="006103DA"/>
    <w:rsid w:val="006103F4"/>
    <w:rsid w:val="00610449"/>
    <w:rsid w:val="00610469"/>
    <w:rsid w:val="00610476"/>
    <w:rsid w:val="006104C0"/>
    <w:rsid w:val="00610519"/>
    <w:rsid w:val="00610545"/>
    <w:rsid w:val="0061056D"/>
    <w:rsid w:val="0061069A"/>
    <w:rsid w:val="006106C7"/>
    <w:rsid w:val="006106E2"/>
    <w:rsid w:val="00610704"/>
    <w:rsid w:val="00610830"/>
    <w:rsid w:val="006108B0"/>
    <w:rsid w:val="006108C5"/>
    <w:rsid w:val="006108DA"/>
    <w:rsid w:val="00610905"/>
    <w:rsid w:val="00610926"/>
    <w:rsid w:val="00610936"/>
    <w:rsid w:val="00610960"/>
    <w:rsid w:val="0061098C"/>
    <w:rsid w:val="006109EB"/>
    <w:rsid w:val="00610A52"/>
    <w:rsid w:val="00610A93"/>
    <w:rsid w:val="00610AAD"/>
    <w:rsid w:val="00610AD9"/>
    <w:rsid w:val="00610ADF"/>
    <w:rsid w:val="00610B4F"/>
    <w:rsid w:val="00610B5D"/>
    <w:rsid w:val="00610B95"/>
    <w:rsid w:val="00610B97"/>
    <w:rsid w:val="00610BCF"/>
    <w:rsid w:val="00610C5D"/>
    <w:rsid w:val="00610CBD"/>
    <w:rsid w:val="00610CCC"/>
    <w:rsid w:val="00610CD3"/>
    <w:rsid w:val="00610CE7"/>
    <w:rsid w:val="00610D50"/>
    <w:rsid w:val="00610D64"/>
    <w:rsid w:val="00610DAC"/>
    <w:rsid w:val="00610DBB"/>
    <w:rsid w:val="00610DEB"/>
    <w:rsid w:val="00610E25"/>
    <w:rsid w:val="00610E33"/>
    <w:rsid w:val="00610E5A"/>
    <w:rsid w:val="00610E94"/>
    <w:rsid w:val="00610EF1"/>
    <w:rsid w:val="00610F51"/>
    <w:rsid w:val="00610F84"/>
    <w:rsid w:val="00610FEB"/>
    <w:rsid w:val="00611016"/>
    <w:rsid w:val="00611055"/>
    <w:rsid w:val="00611120"/>
    <w:rsid w:val="00611163"/>
    <w:rsid w:val="0061118E"/>
    <w:rsid w:val="006111F2"/>
    <w:rsid w:val="0061120A"/>
    <w:rsid w:val="006112E6"/>
    <w:rsid w:val="0061131B"/>
    <w:rsid w:val="0061132D"/>
    <w:rsid w:val="006113AB"/>
    <w:rsid w:val="006113F3"/>
    <w:rsid w:val="006113F6"/>
    <w:rsid w:val="00611497"/>
    <w:rsid w:val="006114D9"/>
    <w:rsid w:val="006114E7"/>
    <w:rsid w:val="00611504"/>
    <w:rsid w:val="00611524"/>
    <w:rsid w:val="00611566"/>
    <w:rsid w:val="006115C0"/>
    <w:rsid w:val="00611644"/>
    <w:rsid w:val="006116C4"/>
    <w:rsid w:val="006116CB"/>
    <w:rsid w:val="006116D6"/>
    <w:rsid w:val="006116F9"/>
    <w:rsid w:val="006116FE"/>
    <w:rsid w:val="0061171D"/>
    <w:rsid w:val="0061172F"/>
    <w:rsid w:val="0061173D"/>
    <w:rsid w:val="006117D1"/>
    <w:rsid w:val="0061180C"/>
    <w:rsid w:val="0061182C"/>
    <w:rsid w:val="0061188D"/>
    <w:rsid w:val="006118AF"/>
    <w:rsid w:val="006118CB"/>
    <w:rsid w:val="006118DC"/>
    <w:rsid w:val="00611937"/>
    <w:rsid w:val="00611978"/>
    <w:rsid w:val="0061198F"/>
    <w:rsid w:val="006119AA"/>
    <w:rsid w:val="006119C8"/>
    <w:rsid w:val="00611A4D"/>
    <w:rsid w:val="00611A9C"/>
    <w:rsid w:val="00611C4D"/>
    <w:rsid w:val="00611C50"/>
    <w:rsid w:val="00611C8B"/>
    <w:rsid w:val="00611C9F"/>
    <w:rsid w:val="00611CC0"/>
    <w:rsid w:val="00611CCA"/>
    <w:rsid w:val="00611D83"/>
    <w:rsid w:val="00611DE3"/>
    <w:rsid w:val="00611DF7"/>
    <w:rsid w:val="00611E49"/>
    <w:rsid w:val="00611F1F"/>
    <w:rsid w:val="00611F2A"/>
    <w:rsid w:val="00611F3E"/>
    <w:rsid w:val="00611F41"/>
    <w:rsid w:val="00611F4F"/>
    <w:rsid w:val="00611F66"/>
    <w:rsid w:val="00611F71"/>
    <w:rsid w:val="00611F7E"/>
    <w:rsid w:val="00611F9E"/>
    <w:rsid w:val="00611FBF"/>
    <w:rsid w:val="0061208A"/>
    <w:rsid w:val="0061209E"/>
    <w:rsid w:val="006121A6"/>
    <w:rsid w:val="006121E5"/>
    <w:rsid w:val="006121FF"/>
    <w:rsid w:val="0061220A"/>
    <w:rsid w:val="00612223"/>
    <w:rsid w:val="006122AB"/>
    <w:rsid w:val="006122BA"/>
    <w:rsid w:val="006122F9"/>
    <w:rsid w:val="006122FE"/>
    <w:rsid w:val="00612301"/>
    <w:rsid w:val="0061231A"/>
    <w:rsid w:val="0061233E"/>
    <w:rsid w:val="00612362"/>
    <w:rsid w:val="006123C8"/>
    <w:rsid w:val="006123D4"/>
    <w:rsid w:val="006123FE"/>
    <w:rsid w:val="00612418"/>
    <w:rsid w:val="00612437"/>
    <w:rsid w:val="00612444"/>
    <w:rsid w:val="006124A1"/>
    <w:rsid w:val="006124B4"/>
    <w:rsid w:val="006124EC"/>
    <w:rsid w:val="006125B1"/>
    <w:rsid w:val="00612602"/>
    <w:rsid w:val="00612663"/>
    <w:rsid w:val="006126A5"/>
    <w:rsid w:val="006126AB"/>
    <w:rsid w:val="0061270E"/>
    <w:rsid w:val="0061271B"/>
    <w:rsid w:val="0061275A"/>
    <w:rsid w:val="006127AF"/>
    <w:rsid w:val="006127B8"/>
    <w:rsid w:val="006127C2"/>
    <w:rsid w:val="00612816"/>
    <w:rsid w:val="006128AA"/>
    <w:rsid w:val="006128D0"/>
    <w:rsid w:val="006128FC"/>
    <w:rsid w:val="00612934"/>
    <w:rsid w:val="00612936"/>
    <w:rsid w:val="00612943"/>
    <w:rsid w:val="006129AA"/>
    <w:rsid w:val="00612A10"/>
    <w:rsid w:val="00612A14"/>
    <w:rsid w:val="00612A7F"/>
    <w:rsid w:val="00612AB3"/>
    <w:rsid w:val="00612AE9"/>
    <w:rsid w:val="00612BB9"/>
    <w:rsid w:val="00612C1C"/>
    <w:rsid w:val="00612C3F"/>
    <w:rsid w:val="00612CCC"/>
    <w:rsid w:val="00612CD3"/>
    <w:rsid w:val="00612CEB"/>
    <w:rsid w:val="00612D14"/>
    <w:rsid w:val="00612D34"/>
    <w:rsid w:val="00612D7E"/>
    <w:rsid w:val="00612DF7"/>
    <w:rsid w:val="00612DFD"/>
    <w:rsid w:val="00612E95"/>
    <w:rsid w:val="00612EE8"/>
    <w:rsid w:val="00612F03"/>
    <w:rsid w:val="00612F24"/>
    <w:rsid w:val="00612F2C"/>
    <w:rsid w:val="00612F79"/>
    <w:rsid w:val="00612FF6"/>
    <w:rsid w:val="00613003"/>
    <w:rsid w:val="00613094"/>
    <w:rsid w:val="006131C8"/>
    <w:rsid w:val="00613240"/>
    <w:rsid w:val="00613340"/>
    <w:rsid w:val="00613341"/>
    <w:rsid w:val="00613398"/>
    <w:rsid w:val="006133AE"/>
    <w:rsid w:val="00613407"/>
    <w:rsid w:val="00613424"/>
    <w:rsid w:val="00613431"/>
    <w:rsid w:val="0061346C"/>
    <w:rsid w:val="006134B9"/>
    <w:rsid w:val="006134BB"/>
    <w:rsid w:val="006134C3"/>
    <w:rsid w:val="006134F0"/>
    <w:rsid w:val="0061353A"/>
    <w:rsid w:val="006135AE"/>
    <w:rsid w:val="006135C6"/>
    <w:rsid w:val="006135FA"/>
    <w:rsid w:val="006136C7"/>
    <w:rsid w:val="00613767"/>
    <w:rsid w:val="00613817"/>
    <w:rsid w:val="0061382E"/>
    <w:rsid w:val="006138AD"/>
    <w:rsid w:val="006138E8"/>
    <w:rsid w:val="006139A4"/>
    <w:rsid w:val="006139A6"/>
    <w:rsid w:val="00613A0E"/>
    <w:rsid w:val="00613A48"/>
    <w:rsid w:val="00613A5A"/>
    <w:rsid w:val="00613AE0"/>
    <w:rsid w:val="00613AEA"/>
    <w:rsid w:val="00613AF1"/>
    <w:rsid w:val="00613B03"/>
    <w:rsid w:val="00613B22"/>
    <w:rsid w:val="00613B3B"/>
    <w:rsid w:val="00613B44"/>
    <w:rsid w:val="00613B71"/>
    <w:rsid w:val="00613BD9"/>
    <w:rsid w:val="00613BE5"/>
    <w:rsid w:val="00613C03"/>
    <w:rsid w:val="00613CDA"/>
    <w:rsid w:val="00613CF1"/>
    <w:rsid w:val="00613CFA"/>
    <w:rsid w:val="00613D13"/>
    <w:rsid w:val="00613D27"/>
    <w:rsid w:val="00613DEE"/>
    <w:rsid w:val="00613DFD"/>
    <w:rsid w:val="00613E4D"/>
    <w:rsid w:val="00613E6C"/>
    <w:rsid w:val="00613E6F"/>
    <w:rsid w:val="00613E86"/>
    <w:rsid w:val="00613E90"/>
    <w:rsid w:val="00613EA9"/>
    <w:rsid w:val="00613EE8"/>
    <w:rsid w:val="00613EF0"/>
    <w:rsid w:val="00613F1C"/>
    <w:rsid w:val="00613FC5"/>
    <w:rsid w:val="00614002"/>
    <w:rsid w:val="00614013"/>
    <w:rsid w:val="0061405F"/>
    <w:rsid w:val="006140C2"/>
    <w:rsid w:val="006140DF"/>
    <w:rsid w:val="00614172"/>
    <w:rsid w:val="006141B0"/>
    <w:rsid w:val="006141D4"/>
    <w:rsid w:val="006141F6"/>
    <w:rsid w:val="006141FE"/>
    <w:rsid w:val="0061420B"/>
    <w:rsid w:val="0061420C"/>
    <w:rsid w:val="00614230"/>
    <w:rsid w:val="0061424F"/>
    <w:rsid w:val="006142A7"/>
    <w:rsid w:val="006142C1"/>
    <w:rsid w:val="00614304"/>
    <w:rsid w:val="0061432D"/>
    <w:rsid w:val="00614367"/>
    <w:rsid w:val="00614393"/>
    <w:rsid w:val="006143E2"/>
    <w:rsid w:val="00614409"/>
    <w:rsid w:val="00614419"/>
    <w:rsid w:val="00614437"/>
    <w:rsid w:val="0061443B"/>
    <w:rsid w:val="0061445B"/>
    <w:rsid w:val="00614476"/>
    <w:rsid w:val="006144FC"/>
    <w:rsid w:val="006145BC"/>
    <w:rsid w:val="00614605"/>
    <w:rsid w:val="0061463E"/>
    <w:rsid w:val="00614662"/>
    <w:rsid w:val="00614681"/>
    <w:rsid w:val="00614698"/>
    <w:rsid w:val="0061471E"/>
    <w:rsid w:val="00614720"/>
    <w:rsid w:val="0061476A"/>
    <w:rsid w:val="00614793"/>
    <w:rsid w:val="006147B0"/>
    <w:rsid w:val="006147CD"/>
    <w:rsid w:val="00614809"/>
    <w:rsid w:val="00614865"/>
    <w:rsid w:val="006148EC"/>
    <w:rsid w:val="006148F2"/>
    <w:rsid w:val="00614937"/>
    <w:rsid w:val="0061499B"/>
    <w:rsid w:val="006149A4"/>
    <w:rsid w:val="006149A5"/>
    <w:rsid w:val="00614A58"/>
    <w:rsid w:val="00614A59"/>
    <w:rsid w:val="00614A60"/>
    <w:rsid w:val="00614A86"/>
    <w:rsid w:val="00614AC5"/>
    <w:rsid w:val="00614AEE"/>
    <w:rsid w:val="00614AF8"/>
    <w:rsid w:val="00614B26"/>
    <w:rsid w:val="00614B32"/>
    <w:rsid w:val="00614B3B"/>
    <w:rsid w:val="00614B55"/>
    <w:rsid w:val="00614C0D"/>
    <w:rsid w:val="00614C33"/>
    <w:rsid w:val="00614C3C"/>
    <w:rsid w:val="00614C9A"/>
    <w:rsid w:val="00614CE0"/>
    <w:rsid w:val="00614CF7"/>
    <w:rsid w:val="00614CFF"/>
    <w:rsid w:val="00614D02"/>
    <w:rsid w:val="00614D0B"/>
    <w:rsid w:val="00614D86"/>
    <w:rsid w:val="00614DD3"/>
    <w:rsid w:val="00614E05"/>
    <w:rsid w:val="00614E5C"/>
    <w:rsid w:val="00614E90"/>
    <w:rsid w:val="00614E9B"/>
    <w:rsid w:val="00614EA9"/>
    <w:rsid w:val="00614ED0"/>
    <w:rsid w:val="00614F31"/>
    <w:rsid w:val="00614F4B"/>
    <w:rsid w:val="00614F61"/>
    <w:rsid w:val="00614F98"/>
    <w:rsid w:val="00614FC3"/>
    <w:rsid w:val="00614FC7"/>
    <w:rsid w:val="006150C1"/>
    <w:rsid w:val="00615116"/>
    <w:rsid w:val="0061511A"/>
    <w:rsid w:val="0061513F"/>
    <w:rsid w:val="00615166"/>
    <w:rsid w:val="00615227"/>
    <w:rsid w:val="00615247"/>
    <w:rsid w:val="0061529A"/>
    <w:rsid w:val="006153C8"/>
    <w:rsid w:val="0061545D"/>
    <w:rsid w:val="00615552"/>
    <w:rsid w:val="00615591"/>
    <w:rsid w:val="006155E0"/>
    <w:rsid w:val="0061563E"/>
    <w:rsid w:val="0061569F"/>
    <w:rsid w:val="006156C3"/>
    <w:rsid w:val="00615770"/>
    <w:rsid w:val="006157A6"/>
    <w:rsid w:val="006157B2"/>
    <w:rsid w:val="006157C7"/>
    <w:rsid w:val="0061580D"/>
    <w:rsid w:val="00615924"/>
    <w:rsid w:val="00615931"/>
    <w:rsid w:val="00615962"/>
    <w:rsid w:val="006159CD"/>
    <w:rsid w:val="006159F1"/>
    <w:rsid w:val="00615A11"/>
    <w:rsid w:val="00615AC3"/>
    <w:rsid w:val="00615AD0"/>
    <w:rsid w:val="00615AD3"/>
    <w:rsid w:val="00615B30"/>
    <w:rsid w:val="00615B63"/>
    <w:rsid w:val="00615BD4"/>
    <w:rsid w:val="00615CB9"/>
    <w:rsid w:val="00615CCC"/>
    <w:rsid w:val="00615CD2"/>
    <w:rsid w:val="00615CE8"/>
    <w:rsid w:val="00615D21"/>
    <w:rsid w:val="00615DC0"/>
    <w:rsid w:val="00615E24"/>
    <w:rsid w:val="00615E8D"/>
    <w:rsid w:val="00615EDD"/>
    <w:rsid w:val="00615F12"/>
    <w:rsid w:val="00615F48"/>
    <w:rsid w:val="00615F66"/>
    <w:rsid w:val="00615F9B"/>
    <w:rsid w:val="00615FB3"/>
    <w:rsid w:val="00615FBF"/>
    <w:rsid w:val="00615FC9"/>
    <w:rsid w:val="00615FDD"/>
    <w:rsid w:val="00616009"/>
    <w:rsid w:val="00616034"/>
    <w:rsid w:val="00616039"/>
    <w:rsid w:val="00616073"/>
    <w:rsid w:val="00616097"/>
    <w:rsid w:val="006160A0"/>
    <w:rsid w:val="006160A7"/>
    <w:rsid w:val="006161A6"/>
    <w:rsid w:val="006161A7"/>
    <w:rsid w:val="0061621C"/>
    <w:rsid w:val="00616275"/>
    <w:rsid w:val="006162A8"/>
    <w:rsid w:val="00616338"/>
    <w:rsid w:val="00616385"/>
    <w:rsid w:val="00616460"/>
    <w:rsid w:val="006164B7"/>
    <w:rsid w:val="006164C2"/>
    <w:rsid w:val="006164F9"/>
    <w:rsid w:val="00616526"/>
    <w:rsid w:val="00616560"/>
    <w:rsid w:val="0061659E"/>
    <w:rsid w:val="006165B5"/>
    <w:rsid w:val="00616614"/>
    <w:rsid w:val="0061663A"/>
    <w:rsid w:val="00616641"/>
    <w:rsid w:val="00616683"/>
    <w:rsid w:val="00616720"/>
    <w:rsid w:val="00616759"/>
    <w:rsid w:val="00616787"/>
    <w:rsid w:val="00616796"/>
    <w:rsid w:val="00616875"/>
    <w:rsid w:val="00616877"/>
    <w:rsid w:val="006168FF"/>
    <w:rsid w:val="00616907"/>
    <w:rsid w:val="00616931"/>
    <w:rsid w:val="00616953"/>
    <w:rsid w:val="00616965"/>
    <w:rsid w:val="00616997"/>
    <w:rsid w:val="006169D9"/>
    <w:rsid w:val="006169DB"/>
    <w:rsid w:val="00616A0A"/>
    <w:rsid w:val="00616A17"/>
    <w:rsid w:val="00616A41"/>
    <w:rsid w:val="00616AA3"/>
    <w:rsid w:val="00616C80"/>
    <w:rsid w:val="00616CF7"/>
    <w:rsid w:val="00616D57"/>
    <w:rsid w:val="00616D76"/>
    <w:rsid w:val="00616D80"/>
    <w:rsid w:val="00616E16"/>
    <w:rsid w:val="00616E31"/>
    <w:rsid w:val="00616EB2"/>
    <w:rsid w:val="00616EBC"/>
    <w:rsid w:val="00616F02"/>
    <w:rsid w:val="00616F31"/>
    <w:rsid w:val="00616F3A"/>
    <w:rsid w:val="00616F88"/>
    <w:rsid w:val="00616FF1"/>
    <w:rsid w:val="00616FF4"/>
    <w:rsid w:val="00617061"/>
    <w:rsid w:val="00617082"/>
    <w:rsid w:val="006170CE"/>
    <w:rsid w:val="006171D3"/>
    <w:rsid w:val="006171E8"/>
    <w:rsid w:val="00617242"/>
    <w:rsid w:val="0061729F"/>
    <w:rsid w:val="006172C5"/>
    <w:rsid w:val="006172F0"/>
    <w:rsid w:val="0061730F"/>
    <w:rsid w:val="00617318"/>
    <w:rsid w:val="00617353"/>
    <w:rsid w:val="00617381"/>
    <w:rsid w:val="0061738C"/>
    <w:rsid w:val="006173C7"/>
    <w:rsid w:val="00617401"/>
    <w:rsid w:val="00617524"/>
    <w:rsid w:val="00617549"/>
    <w:rsid w:val="006175D0"/>
    <w:rsid w:val="00617613"/>
    <w:rsid w:val="00617750"/>
    <w:rsid w:val="00617783"/>
    <w:rsid w:val="006177BF"/>
    <w:rsid w:val="006177F6"/>
    <w:rsid w:val="00617875"/>
    <w:rsid w:val="00617887"/>
    <w:rsid w:val="00617891"/>
    <w:rsid w:val="006178E4"/>
    <w:rsid w:val="006178F7"/>
    <w:rsid w:val="00617923"/>
    <w:rsid w:val="0061797A"/>
    <w:rsid w:val="0061797B"/>
    <w:rsid w:val="00617998"/>
    <w:rsid w:val="00617999"/>
    <w:rsid w:val="006179A6"/>
    <w:rsid w:val="006179CC"/>
    <w:rsid w:val="00617A90"/>
    <w:rsid w:val="00617AEC"/>
    <w:rsid w:val="00617B1F"/>
    <w:rsid w:val="00617B25"/>
    <w:rsid w:val="00617B99"/>
    <w:rsid w:val="00617BBF"/>
    <w:rsid w:val="00617BCD"/>
    <w:rsid w:val="00617CC7"/>
    <w:rsid w:val="00617D35"/>
    <w:rsid w:val="00617D3A"/>
    <w:rsid w:val="00617D46"/>
    <w:rsid w:val="00617DAD"/>
    <w:rsid w:val="00617DBE"/>
    <w:rsid w:val="00617E18"/>
    <w:rsid w:val="00617E95"/>
    <w:rsid w:val="00617EB5"/>
    <w:rsid w:val="00617F5B"/>
    <w:rsid w:val="00617FB3"/>
    <w:rsid w:val="0062001E"/>
    <w:rsid w:val="00620027"/>
    <w:rsid w:val="00620061"/>
    <w:rsid w:val="006200B4"/>
    <w:rsid w:val="006200BC"/>
    <w:rsid w:val="00620111"/>
    <w:rsid w:val="00620162"/>
    <w:rsid w:val="00620172"/>
    <w:rsid w:val="00620178"/>
    <w:rsid w:val="006201A2"/>
    <w:rsid w:val="006201D2"/>
    <w:rsid w:val="006201E0"/>
    <w:rsid w:val="006201F7"/>
    <w:rsid w:val="0062027E"/>
    <w:rsid w:val="006202A7"/>
    <w:rsid w:val="00620314"/>
    <w:rsid w:val="00620365"/>
    <w:rsid w:val="00620374"/>
    <w:rsid w:val="006203B2"/>
    <w:rsid w:val="006203CB"/>
    <w:rsid w:val="00620425"/>
    <w:rsid w:val="006204B5"/>
    <w:rsid w:val="006204DF"/>
    <w:rsid w:val="006204EB"/>
    <w:rsid w:val="00620536"/>
    <w:rsid w:val="0062059E"/>
    <w:rsid w:val="00620628"/>
    <w:rsid w:val="006206A7"/>
    <w:rsid w:val="006206C2"/>
    <w:rsid w:val="006206CC"/>
    <w:rsid w:val="006206D4"/>
    <w:rsid w:val="0062072C"/>
    <w:rsid w:val="0062075C"/>
    <w:rsid w:val="0062075D"/>
    <w:rsid w:val="00620786"/>
    <w:rsid w:val="006207A4"/>
    <w:rsid w:val="00620811"/>
    <w:rsid w:val="00620829"/>
    <w:rsid w:val="00620834"/>
    <w:rsid w:val="00620853"/>
    <w:rsid w:val="00620858"/>
    <w:rsid w:val="006208A4"/>
    <w:rsid w:val="006208E9"/>
    <w:rsid w:val="006208F0"/>
    <w:rsid w:val="00620908"/>
    <w:rsid w:val="0062090D"/>
    <w:rsid w:val="00620911"/>
    <w:rsid w:val="00620919"/>
    <w:rsid w:val="0062096D"/>
    <w:rsid w:val="006209BA"/>
    <w:rsid w:val="00620AC5"/>
    <w:rsid w:val="00620B71"/>
    <w:rsid w:val="00620BA5"/>
    <w:rsid w:val="00620BAE"/>
    <w:rsid w:val="00620C78"/>
    <w:rsid w:val="00620C89"/>
    <w:rsid w:val="00620CA6"/>
    <w:rsid w:val="00620D23"/>
    <w:rsid w:val="00620DA1"/>
    <w:rsid w:val="00620E14"/>
    <w:rsid w:val="00620E7B"/>
    <w:rsid w:val="00620EAF"/>
    <w:rsid w:val="00620F04"/>
    <w:rsid w:val="00620F6E"/>
    <w:rsid w:val="00620F7C"/>
    <w:rsid w:val="00620FC6"/>
    <w:rsid w:val="00620FD9"/>
    <w:rsid w:val="00621118"/>
    <w:rsid w:val="0062114C"/>
    <w:rsid w:val="00621150"/>
    <w:rsid w:val="00621190"/>
    <w:rsid w:val="006211A2"/>
    <w:rsid w:val="006211C8"/>
    <w:rsid w:val="006211DB"/>
    <w:rsid w:val="00621246"/>
    <w:rsid w:val="0062127B"/>
    <w:rsid w:val="00621290"/>
    <w:rsid w:val="006212EE"/>
    <w:rsid w:val="00621318"/>
    <w:rsid w:val="0062132F"/>
    <w:rsid w:val="006213A3"/>
    <w:rsid w:val="006213AA"/>
    <w:rsid w:val="006213B5"/>
    <w:rsid w:val="006213DA"/>
    <w:rsid w:val="006213EF"/>
    <w:rsid w:val="00621458"/>
    <w:rsid w:val="0062146C"/>
    <w:rsid w:val="0062149F"/>
    <w:rsid w:val="006214BE"/>
    <w:rsid w:val="0062152C"/>
    <w:rsid w:val="006215B7"/>
    <w:rsid w:val="006215D4"/>
    <w:rsid w:val="006215F0"/>
    <w:rsid w:val="006215F9"/>
    <w:rsid w:val="00621684"/>
    <w:rsid w:val="00621697"/>
    <w:rsid w:val="006216AC"/>
    <w:rsid w:val="006216BE"/>
    <w:rsid w:val="0062173C"/>
    <w:rsid w:val="0062178C"/>
    <w:rsid w:val="0062178D"/>
    <w:rsid w:val="006217A1"/>
    <w:rsid w:val="006217B6"/>
    <w:rsid w:val="00621820"/>
    <w:rsid w:val="00621860"/>
    <w:rsid w:val="00621869"/>
    <w:rsid w:val="0062188D"/>
    <w:rsid w:val="006218C5"/>
    <w:rsid w:val="00621992"/>
    <w:rsid w:val="006219B5"/>
    <w:rsid w:val="006219D5"/>
    <w:rsid w:val="00621A57"/>
    <w:rsid w:val="00621AC0"/>
    <w:rsid w:val="00621B08"/>
    <w:rsid w:val="00621B15"/>
    <w:rsid w:val="00621B4A"/>
    <w:rsid w:val="00621B6C"/>
    <w:rsid w:val="00621BB1"/>
    <w:rsid w:val="00621BFA"/>
    <w:rsid w:val="00621C16"/>
    <w:rsid w:val="00621C1C"/>
    <w:rsid w:val="00621C2D"/>
    <w:rsid w:val="00621C3C"/>
    <w:rsid w:val="00621C69"/>
    <w:rsid w:val="00621CD9"/>
    <w:rsid w:val="00621CF5"/>
    <w:rsid w:val="00621CF6"/>
    <w:rsid w:val="00621D56"/>
    <w:rsid w:val="00621DA6"/>
    <w:rsid w:val="00621DF5"/>
    <w:rsid w:val="00621E0B"/>
    <w:rsid w:val="00621E82"/>
    <w:rsid w:val="00621ECC"/>
    <w:rsid w:val="00621F12"/>
    <w:rsid w:val="00621F16"/>
    <w:rsid w:val="00621F18"/>
    <w:rsid w:val="00621F36"/>
    <w:rsid w:val="00621F52"/>
    <w:rsid w:val="00621F9A"/>
    <w:rsid w:val="00621FD5"/>
    <w:rsid w:val="0062201A"/>
    <w:rsid w:val="0062204D"/>
    <w:rsid w:val="00622074"/>
    <w:rsid w:val="006220E8"/>
    <w:rsid w:val="00622104"/>
    <w:rsid w:val="00622153"/>
    <w:rsid w:val="0062219C"/>
    <w:rsid w:val="006221A8"/>
    <w:rsid w:val="006221C3"/>
    <w:rsid w:val="006221EA"/>
    <w:rsid w:val="00622208"/>
    <w:rsid w:val="00622225"/>
    <w:rsid w:val="0062228C"/>
    <w:rsid w:val="006222A4"/>
    <w:rsid w:val="006222BA"/>
    <w:rsid w:val="006222F4"/>
    <w:rsid w:val="006223D7"/>
    <w:rsid w:val="006223F7"/>
    <w:rsid w:val="00622420"/>
    <w:rsid w:val="00622456"/>
    <w:rsid w:val="00622510"/>
    <w:rsid w:val="006225EA"/>
    <w:rsid w:val="00622690"/>
    <w:rsid w:val="006226A4"/>
    <w:rsid w:val="006226C6"/>
    <w:rsid w:val="006226EE"/>
    <w:rsid w:val="006227A1"/>
    <w:rsid w:val="006227D8"/>
    <w:rsid w:val="00622818"/>
    <w:rsid w:val="00622839"/>
    <w:rsid w:val="00622845"/>
    <w:rsid w:val="00622877"/>
    <w:rsid w:val="006228AE"/>
    <w:rsid w:val="006229AB"/>
    <w:rsid w:val="006229F5"/>
    <w:rsid w:val="00622A06"/>
    <w:rsid w:val="00622A63"/>
    <w:rsid w:val="00622A8F"/>
    <w:rsid w:val="00622ACC"/>
    <w:rsid w:val="00622AF6"/>
    <w:rsid w:val="00622B00"/>
    <w:rsid w:val="00622B15"/>
    <w:rsid w:val="00622B37"/>
    <w:rsid w:val="00622BA1"/>
    <w:rsid w:val="00622BED"/>
    <w:rsid w:val="00622C25"/>
    <w:rsid w:val="00622C88"/>
    <w:rsid w:val="00622CBA"/>
    <w:rsid w:val="00622CDC"/>
    <w:rsid w:val="00622D1F"/>
    <w:rsid w:val="00622D75"/>
    <w:rsid w:val="00622D8C"/>
    <w:rsid w:val="00622DEF"/>
    <w:rsid w:val="00622DF5"/>
    <w:rsid w:val="00622E1B"/>
    <w:rsid w:val="00622E58"/>
    <w:rsid w:val="00622E8E"/>
    <w:rsid w:val="00622EA8"/>
    <w:rsid w:val="00622EBA"/>
    <w:rsid w:val="00622F13"/>
    <w:rsid w:val="00622F70"/>
    <w:rsid w:val="00622FA1"/>
    <w:rsid w:val="00623028"/>
    <w:rsid w:val="0062308C"/>
    <w:rsid w:val="0062310C"/>
    <w:rsid w:val="0062316B"/>
    <w:rsid w:val="0062318B"/>
    <w:rsid w:val="006231BE"/>
    <w:rsid w:val="006231D9"/>
    <w:rsid w:val="00623268"/>
    <w:rsid w:val="00623275"/>
    <w:rsid w:val="00623283"/>
    <w:rsid w:val="006232B1"/>
    <w:rsid w:val="006232F0"/>
    <w:rsid w:val="00623303"/>
    <w:rsid w:val="00623321"/>
    <w:rsid w:val="0062338E"/>
    <w:rsid w:val="006233B2"/>
    <w:rsid w:val="0062341F"/>
    <w:rsid w:val="00623491"/>
    <w:rsid w:val="006234CC"/>
    <w:rsid w:val="006234F5"/>
    <w:rsid w:val="0062357A"/>
    <w:rsid w:val="006235C0"/>
    <w:rsid w:val="006236A0"/>
    <w:rsid w:val="006236CD"/>
    <w:rsid w:val="00623737"/>
    <w:rsid w:val="00623825"/>
    <w:rsid w:val="00623835"/>
    <w:rsid w:val="00623836"/>
    <w:rsid w:val="006238A0"/>
    <w:rsid w:val="006238B0"/>
    <w:rsid w:val="00623912"/>
    <w:rsid w:val="00623949"/>
    <w:rsid w:val="00623953"/>
    <w:rsid w:val="00623969"/>
    <w:rsid w:val="0062397D"/>
    <w:rsid w:val="00623987"/>
    <w:rsid w:val="006239AD"/>
    <w:rsid w:val="006239FD"/>
    <w:rsid w:val="00623A1B"/>
    <w:rsid w:val="00623A83"/>
    <w:rsid w:val="00623A8A"/>
    <w:rsid w:val="00623B00"/>
    <w:rsid w:val="00623B23"/>
    <w:rsid w:val="00623B60"/>
    <w:rsid w:val="00623B84"/>
    <w:rsid w:val="00623BCB"/>
    <w:rsid w:val="00623C2B"/>
    <w:rsid w:val="00623C42"/>
    <w:rsid w:val="00623C61"/>
    <w:rsid w:val="00623D56"/>
    <w:rsid w:val="00623D57"/>
    <w:rsid w:val="00623DA1"/>
    <w:rsid w:val="00623DD7"/>
    <w:rsid w:val="00623E86"/>
    <w:rsid w:val="00623E9C"/>
    <w:rsid w:val="00623F19"/>
    <w:rsid w:val="00623F6F"/>
    <w:rsid w:val="00623FE7"/>
    <w:rsid w:val="0062402A"/>
    <w:rsid w:val="006240A1"/>
    <w:rsid w:val="006240BD"/>
    <w:rsid w:val="00624110"/>
    <w:rsid w:val="00624116"/>
    <w:rsid w:val="00624145"/>
    <w:rsid w:val="00624156"/>
    <w:rsid w:val="00624164"/>
    <w:rsid w:val="006241B3"/>
    <w:rsid w:val="00624216"/>
    <w:rsid w:val="0062422E"/>
    <w:rsid w:val="0062424A"/>
    <w:rsid w:val="0062426C"/>
    <w:rsid w:val="00624339"/>
    <w:rsid w:val="00624340"/>
    <w:rsid w:val="00624356"/>
    <w:rsid w:val="006243B8"/>
    <w:rsid w:val="006243F9"/>
    <w:rsid w:val="00624412"/>
    <w:rsid w:val="00624474"/>
    <w:rsid w:val="006244B8"/>
    <w:rsid w:val="006244EF"/>
    <w:rsid w:val="00624530"/>
    <w:rsid w:val="00624578"/>
    <w:rsid w:val="0062457D"/>
    <w:rsid w:val="00624588"/>
    <w:rsid w:val="006245A7"/>
    <w:rsid w:val="006245CF"/>
    <w:rsid w:val="0062460E"/>
    <w:rsid w:val="00624639"/>
    <w:rsid w:val="006246DD"/>
    <w:rsid w:val="00624704"/>
    <w:rsid w:val="0062476C"/>
    <w:rsid w:val="00624787"/>
    <w:rsid w:val="006247AD"/>
    <w:rsid w:val="0062484B"/>
    <w:rsid w:val="0062486C"/>
    <w:rsid w:val="006248C6"/>
    <w:rsid w:val="006248F3"/>
    <w:rsid w:val="00624913"/>
    <w:rsid w:val="0062491A"/>
    <w:rsid w:val="00624976"/>
    <w:rsid w:val="00624979"/>
    <w:rsid w:val="006249AC"/>
    <w:rsid w:val="006249DA"/>
    <w:rsid w:val="006249DF"/>
    <w:rsid w:val="006249E6"/>
    <w:rsid w:val="00624A4E"/>
    <w:rsid w:val="00624A4F"/>
    <w:rsid w:val="00624A89"/>
    <w:rsid w:val="00624ABE"/>
    <w:rsid w:val="00624B02"/>
    <w:rsid w:val="00624B14"/>
    <w:rsid w:val="00624B4A"/>
    <w:rsid w:val="00624BCD"/>
    <w:rsid w:val="00624BE0"/>
    <w:rsid w:val="00624C14"/>
    <w:rsid w:val="00624C4B"/>
    <w:rsid w:val="00624CDE"/>
    <w:rsid w:val="00624CF7"/>
    <w:rsid w:val="00624D13"/>
    <w:rsid w:val="00624D23"/>
    <w:rsid w:val="00624D84"/>
    <w:rsid w:val="00624E82"/>
    <w:rsid w:val="00624E8E"/>
    <w:rsid w:val="00624EA1"/>
    <w:rsid w:val="00624F12"/>
    <w:rsid w:val="00624F48"/>
    <w:rsid w:val="00624F4F"/>
    <w:rsid w:val="0062502A"/>
    <w:rsid w:val="0062509D"/>
    <w:rsid w:val="00625150"/>
    <w:rsid w:val="00625185"/>
    <w:rsid w:val="0062524A"/>
    <w:rsid w:val="006252D1"/>
    <w:rsid w:val="00625322"/>
    <w:rsid w:val="0062533A"/>
    <w:rsid w:val="00625354"/>
    <w:rsid w:val="00625370"/>
    <w:rsid w:val="00625437"/>
    <w:rsid w:val="006254D3"/>
    <w:rsid w:val="00625581"/>
    <w:rsid w:val="006255A7"/>
    <w:rsid w:val="006255F6"/>
    <w:rsid w:val="006255F7"/>
    <w:rsid w:val="00625653"/>
    <w:rsid w:val="00625686"/>
    <w:rsid w:val="006256F1"/>
    <w:rsid w:val="00625707"/>
    <w:rsid w:val="006257C8"/>
    <w:rsid w:val="006257DA"/>
    <w:rsid w:val="00625872"/>
    <w:rsid w:val="00625896"/>
    <w:rsid w:val="006258D7"/>
    <w:rsid w:val="0062599B"/>
    <w:rsid w:val="006259A2"/>
    <w:rsid w:val="006259A5"/>
    <w:rsid w:val="00625A25"/>
    <w:rsid w:val="00625A36"/>
    <w:rsid w:val="00625A62"/>
    <w:rsid w:val="00625AA3"/>
    <w:rsid w:val="00625AC7"/>
    <w:rsid w:val="00625AD7"/>
    <w:rsid w:val="00625B00"/>
    <w:rsid w:val="00625B28"/>
    <w:rsid w:val="00625C6D"/>
    <w:rsid w:val="00625C88"/>
    <w:rsid w:val="00625CEA"/>
    <w:rsid w:val="00625CF8"/>
    <w:rsid w:val="00625CFC"/>
    <w:rsid w:val="00625D31"/>
    <w:rsid w:val="00625D3F"/>
    <w:rsid w:val="00625D72"/>
    <w:rsid w:val="00625DD1"/>
    <w:rsid w:val="00625E27"/>
    <w:rsid w:val="00625E48"/>
    <w:rsid w:val="00625EA3"/>
    <w:rsid w:val="00625EE0"/>
    <w:rsid w:val="00625F20"/>
    <w:rsid w:val="0062605B"/>
    <w:rsid w:val="00626096"/>
    <w:rsid w:val="006260F5"/>
    <w:rsid w:val="00626112"/>
    <w:rsid w:val="00626156"/>
    <w:rsid w:val="00626165"/>
    <w:rsid w:val="00626185"/>
    <w:rsid w:val="00626195"/>
    <w:rsid w:val="006261FF"/>
    <w:rsid w:val="00626278"/>
    <w:rsid w:val="006262C9"/>
    <w:rsid w:val="00626345"/>
    <w:rsid w:val="00626348"/>
    <w:rsid w:val="00626363"/>
    <w:rsid w:val="0062638C"/>
    <w:rsid w:val="006263EC"/>
    <w:rsid w:val="0062641E"/>
    <w:rsid w:val="00626438"/>
    <w:rsid w:val="00626441"/>
    <w:rsid w:val="00626483"/>
    <w:rsid w:val="006264DC"/>
    <w:rsid w:val="00626532"/>
    <w:rsid w:val="00626567"/>
    <w:rsid w:val="006265AC"/>
    <w:rsid w:val="00626634"/>
    <w:rsid w:val="00626721"/>
    <w:rsid w:val="0062672C"/>
    <w:rsid w:val="00626734"/>
    <w:rsid w:val="006267CA"/>
    <w:rsid w:val="00626850"/>
    <w:rsid w:val="00626865"/>
    <w:rsid w:val="006268BC"/>
    <w:rsid w:val="006268E9"/>
    <w:rsid w:val="0062691B"/>
    <w:rsid w:val="0062697B"/>
    <w:rsid w:val="00626988"/>
    <w:rsid w:val="00626990"/>
    <w:rsid w:val="006269DD"/>
    <w:rsid w:val="006269E8"/>
    <w:rsid w:val="006269EB"/>
    <w:rsid w:val="00626ADE"/>
    <w:rsid w:val="00626B3B"/>
    <w:rsid w:val="00626B67"/>
    <w:rsid w:val="00626B86"/>
    <w:rsid w:val="00626BCE"/>
    <w:rsid w:val="00626BD0"/>
    <w:rsid w:val="00626BD8"/>
    <w:rsid w:val="00626C19"/>
    <w:rsid w:val="00626C52"/>
    <w:rsid w:val="00626C6B"/>
    <w:rsid w:val="00626CC9"/>
    <w:rsid w:val="00626CD2"/>
    <w:rsid w:val="00626CD8"/>
    <w:rsid w:val="00626D33"/>
    <w:rsid w:val="00626D47"/>
    <w:rsid w:val="00626D8F"/>
    <w:rsid w:val="00626D9F"/>
    <w:rsid w:val="00626E2B"/>
    <w:rsid w:val="00626E82"/>
    <w:rsid w:val="00626E9B"/>
    <w:rsid w:val="00626F0E"/>
    <w:rsid w:val="00626F4C"/>
    <w:rsid w:val="00626F77"/>
    <w:rsid w:val="00626FB0"/>
    <w:rsid w:val="00626FBD"/>
    <w:rsid w:val="0062701A"/>
    <w:rsid w:val="00627036"/>
    <w:rsid w:val="0062706A"/>
    <w:rsid w:val="0062706B"/>
    <w:rsid w:val="00627126"/>
    <w:rsid w:val="006271AA"/>
    <w:rsid w:val="006271F3"/>
    <w:rsid w:val="00627201"/>
    <w:rsid w:val="00627208"/>
    <w:rsid w:val="00627212"/>
    <w:rsid w:val="00627241"/>
    <w:rsid w:val="00627274"/>
    <w:rsid w:val="006272FB"/>
    <w:rsid w:val="00627312"/>
    <w:rsid w:val="00627339"/>
    <w:rsid w:val="0062737A"/>
    <w:rsid w:val="00627395"/>
    <w:rsid w:val="0062739D"/>
    <w:rsid w:val="00627505"/>
    <w:rsid w:val="00627513"/>
    <w:rsid w:val="0062751F"/>
    <w:rsid w:val="006275DB"/>
    <w:rsid w:val="00627653"/>
    <w:rsid w:val="00627687"/>
    <w:rsid w:val="00627718"/>
    <w:rsid w:val="0062771B"/>
    <w:rsid w:val="0062772F"/>
    <w:rsid w:val="0062774C"/>
    <w:rsid w:val="00627758"/>
    <w:rsid w:val="00627799"/>
    <w:rsid w:val="006277B4"/>
    <w:rsid w:val="006277F2"/>
    <w:rsid w:val="0062785A"/>
    <w:rsid w:val="00627900"/>
    <w:rsid w:val="0062790E"/>
    <w:rsid w:val="00627933"/>
    <w:rsid w:val="00627999"/>
    <w:rsid w:val="006279AD"/>
    <w:rsid w:val="006279F1"/>
    <w:rsid w:val="006279FC"/>
    <w:rsid w:val="00627A4A"/>
    <w:rsid w:val="00627A7B"/>
    <w:rsid w:val="00627A7D"/>
    <w:rsid w:val="00627AAE"/>
    <w:rsid w:val="00627AB4"/>
    <w:rsid w:val="00627AE0"/>
    <w:rsid w:val="00627B08"/>
    <w:rsid w:val="00627B0A"/>
    <w:rsid w:val="00627B1F"/>
    <w:rsid w:val="00627BE6"/>
    <w:rsid w:val="00627C29"/>
    <w:rsid w:val="00627CDD"/>
    <w:rsid w:val="00627CF4"/>
    <w:rsid w:val="00627D09"/>
    <w:rsid w:val="00627D8B"/>
    <w:rsid w:val="00627DC9"/>
    <w:rsid w:val="00627E17"/>
    <w:rsid w:val="00627E3A"/>
    <w:rsid w:val="00627E66"/>
    <w:rsid w:val="00627F18"/>
    <w:rsid w:val="00627F19"/>
    <w:rsid w:val="00627F77"/>
    <w:rsid w:val="00627FD6"/>
    <w:rsid w:val="0063002A"/>
    <w:rsid w:val="006300CF"/>
    <w:rsid w:val="00630198"/>
    <w:rsid w:val="006301BB"/>
    <w:rsid w:val="006301FD"/>
    <w:rsid w:val="006302BC"/>
    <w:rsid w:val="006302C1"/>
    <w:rsid w:val="00630386"/>
    <w:rsid w:val="0063039C"/>
    <w:rsid w:val="006303D8"/>
    <w:rsid w:val="006303FB"/>
    <w:rsid w:val="0063040A"/>
    <w:rsid w:val="00630444"/>
    <w:rsid w:val="006304FE"/>
    <w:rsid w:val="00630509"/>
    <w:rsid w:val="00630517"/>
    <w:rsid w:val="006305CC"/>
    <w:rsid w:val="006306B9"/>
    <w:rsid w:val="006306BC"/>
    <w:rsid w:val="006306BD"/>
    <w:rsid w:val="0063070B"/>
    <w:rsid w:val="0063073A"/>
    <w:rsid w:val="0063076D"/>
    <w:rsid w:val="006307FE"/>
    <w:rsid w:val="00630886"/>
    <w:rsid w:val="00630890"/>
    <w:rsid w:val="006308A9"/>
    <w:rsid w:val="006308C9"/>
    <w:rsid w:val="006309A9"/>
    <w:rsid w:val="00630B3E"/>
    <w:rsid w:val="00630B75"/>
    <w:rsid w:val="00630B88"/>
    <w:rsid w:val="00630B9D"/>
    <w:rsid w:val="00630C1C"/>
    <w:rsid w:val="00630C4A"/>
    <w:rsid w:val="00630C4E"/>
    <w:rsid w:val="00630C64"/>
    <w:rsid w:val="00630C69"/>
    <w:rsid w:val="00630C7E"/>
    <w:rsid w:val="00630C80"/>
    <w:rsid w:val="00630D06"/>
    <w:rsid w:val="00630D82"/>
    <w:rsid w:val="00630F5B"/>
    <w:rsid w:val="00630F9C"/>
    <w:rsid w:val="00630F9D"/>
    <w:rsid w:val="0063100C"/>
    <w:rsid w:val="00631023"/>
    <w:rsid w:val="00631030"/>
    <w:rsid w:val="0063103F"/>
    <w:rsid w:val="00631179"/>
    <w:rsid w:val="006311AB"/>
    <w:rsid w:val="006311CD"/>
    <w:rsid w:val="00631226"/>
    <w:rsid w:val="00631283"/>
    <w:rsid w:val="006312FC"/>
    <w:rsid w:val="006312FD"/>
    <w:rsid w:val="0063134B"/>
    <w:rsid w:val="006313C8"/>
    <w:rsid w:val="00631419"/>
    <w:rsid w:val="00631422"/>
    <w:rsid w:val="00631464"/>
    <w:rsid w:val="006314D0"/>
    <w:rsid w:val="006314D4"/>
    <w:rsid w:val="006314E4"/>
    <w:rsid w:val="00631522"/>
    <w:rsid w:val="00631535"/>
    <w:rsid w:val="00631583"/>
    <w:rsid w:val="006315E3"/>
    <w:rsid w:val="006315E8"/>
    <w:rsid w:val="006315F0"/>
    <w:rsid w:val="00631676"/>
    <w:rsid w:val="0063170D"/>
    <w:rsid w:val="0063171D"/>
    <w:rsid w:val="0063179F"/>
    <w:rsid w:val="006317BA"/>
    <w:rsid w:val="006317E7"/>
    <w:rsid w:val="00631818"/>
    <w:rsid w:val="0063184D"/>
    <w:rsid w:val="006318AF"/>
    <w:rsid w:val="006318BF"/>
    <w:rsid w:val="00631929"/>
    <w:rsid w:val="00631941"/>
    <w:rsid w:val="00631995"/>
    <w:rsid w:val="006319E6"/>
    <w:rsid w:val="00631A12"/>
    <w:rsid w:val="00631A36"/>
    <w:rsid w:val="00631A37"/>
    <w:rsid w:val="00631A38"/>
    <w:rsid w:val="00631A8A"/>
    <w:rsid w:val="00631B54"/>
    <w:rsid w:val="00631B7E"/>
    <w:rsid w:val="00631C24"/>
    <w:rsid w:val="00631D4A"/>
    <w:rsid w:val="00631D68"/>
    <w:rsid w:val="00631D74"/>
    <w:rsid w:val="00631E58"/>
    <w:rsid w:val="00631F7F"/>
    <w:rsid w:val="00632016"/>
    <w:rsid w:val="00632023"/>
    <w:rsid w:val="00632025"/>
    <w:rsid w:val="0063207B"/>
    <w:rsid w:val="006320D9"/>
    <w:rsid w:val="006320E4"/>
    <w:rsid w:val="006320FF"/>
    <w:rsid w:val="00632121"/>
    <w:rsid w:val="00632173"/>
    <w:rsid w:val="00632187"/>
    <w:rsid w:val="006321C5"/>
    <w:rsid w:val="006321DF"/>
    <w:rsid w:val="00632217"/>
    <w:rsid w:val="00632225"/>
    <w:rsid w:val="0063224F"/>
    <w:rsid w:val="00632284"/>
    <w:rsid w:val="006322D6"/>
    <w:rsid w:val="00632309"/>
    <w:rsid w:val="0063235D"/>
    <w:rsid w:val="006323A3"/>
    <w:rsid w:val="006323B1"/>
    <w:rsid w:val="006323B7"/>
    <w:rsid w:val="006323CD"/>
    <w:rsid w:val="00632514"/>
    <w:rsid w:val="00632520"/>
    <w:rsid w:val="0063252B"/>
    <w:rsid w:val="00632539"/>
    <w:rsid w:val="0063253F"/>
    <w:rsid w:val="0063255A"/>
    <w:rsid w:val="0063255D"/>
    <w:rsid w:val="006325AD"/>
    <w:rsid w:val="006325E8"/>
    <w:rsid w:val="00632621"/>
    <w:rsid w:val="00632635"/>
    <w:rsid w:val="00632683"/>
    <w:rsid w:val="006326F7"/>
    <w:rsid w:val="00632730"/>
    <w:rsid w:val="00632742"/>
    <w:rsid w:val="0063275E"/>
    <w:rsid w:val="006327AC"/>
    <w:rsid w:val="006327B9"/>
    <w:rsid w:val="006327D3"/>
    <w:rsid w:val="006327FA"/>
    <w:rsid w:val="00632865"/>
    <w:rsid w:val="00632880"/>
    <w:rsid w:val="006328DE"/>
    <w:rsid w:val="00632918"/>
    <w:rsid w:val="0063299D"/>
    <w:rsid w:val="0063299E"/>
    <w:rsid w:val="006329D8"/>
    <w:rsid w:val="006329ED"/>
    <w:rsid w:val="006329F3"/>
    <w:rsid w:val="00632A0E"/>
    <w:rsid w:val="00632A45"/>
    <w:rsid w:val="00632AA2"/>
    <w:rsid w:val="00632B13"/>
    <w:rsid w:val="00632B1C"/>
    <w:rsid w:val="00632C4E"/>
    <w:rsid w:val="00632C7E"/>
    <w:rsid w:val="00632CBD"/>
    <w:rsid w:val="00632CC8"/>
    <w:rsid w:val="00632CD3"/>
    <w:rsid w:val="00632D42"/>
    <w:rsid w:val="00632DCB"/>
    <w:rsid w:val="00632EC9"/>
    <w:rsid w:val="00632F0D"/>
    <w:rsid w:val="00632F11"/>
    <w:rsid w:val="00632FA0"/>
    <w:rsid w:val="0063306B"/>
    <w:rsid w:val="006330D3"/>
    <w:rsid w:val="00633106"/>
    <w:rsid w:val="00633120"/>
    <w:rsid w:val="00633145"/>
    <w:rsid w:val="0063318C"/>
    <w:rsid w:val="006331C2"/>
    <w:rsid w:val="00633211"/>
    <w:rsid w:val="00633212"/>
    <w:rsid w:val="00633239"/>
    <w:rsid w:val="00633247"/>
    <w:rsid w:val="0063325C"/>
    <w:rsid w:val="0063327F"/>
    <w:rsid w:val="0063329E"/>
    <w:rsid w:val="00633385"/>
    <w:rsid w:val="006333C2"/>
    <w:rsid w:val="00633441"/>
    <w:rsid w:val="0063348C"/>
    <w:rsid w:val="006334EE"/>
    <w:rsid w:val="0063354E"/>
    <w:rsid w:val="006335FE"/>
    <w:rsid w:val="00633645"/>
    <w:rsid w:val="00633653"/>
    <w:rsid w:val="006336CA"/>
    <w:rsid w:val="006336F2"/>
    <w:rsid w:val="0063370A"/>
    <w:rsid w:val="00633710"/>
    <w:rsid w:val="0063371F"/>
    <w:rsid w:val="00633759"/>
    <w:rsid w:val="006337D4"/>
    <w:rsid w:val="00633805"/>
    <w:rsid w:val="006338A7"/>
    <w:rsid w:val="0063390E"/>
    <w:rsid w:val="00633924"/>
    <w:rsid w:val="00633979"/>
    <w:rsid w:val="006339A8"/>
    <w:rsid w:val="006339D6"/>
    <w:rsid w:val="006339EE"/>
    <w:rsid w:val="00633A73"/>
    <w:rsid w:val="00633AB5"/>
    <w:rsid w:val="00633AD1"/>
    <w:rsid w:val="00633AD7"/>
    <w:rsid w:val="00633B0F"/>
    <w:rsid w:val="00633B34"/>
    <w:rsid w:val="00633BB0"/>
    <w:rsid w:val="00633BD7"/>
    <w:rsid w:val="00633BDD"/>
    <w:rsid w:val="00633C31"/>
    <w:rsid w:val="00633C5C"/>
    <w:rsid w:val="00633C88"/>
    <w:rsid w:val="00633D07"/>
    <w:rsid w:val="00633D45"/>
    <w:rsid w:val="00633DD2"/>
    <w:rsid w:val="00633DF1"/>
    <w:rsid w:val="00633E08"/>
    <w:rsid w:val="00633E85"/>
    <w:rsid w:val="00633ED3"/>
    <w:rsid w:val="00633EF8"/>
    <w:rsid w:val="00633F19"/>
    <w:rsid w:val="00633F47"/>
    <w:rsid w:val="00633F93"/>
    <w:rsid w:val="00633FA8"/>
    <w:rsid w:val="00634020"/>
    <w:rsid w:val="0063403A"/>
    <w:rsid w:val="0063404A"/>
    <w:rsid w:val="0063404B"/>
    <w:rsid w:val="006340C1"/>
    <w:rsid w:val="006340D3"/>
    <w:rsid w:val="00634119"/>
    <w:rsid w:val="006341E7"/>
    <w:rsid w:val="00634256"/>
    <w:rsid w:val="006342D7"/>
    <w:rsid w:val="0063430E"/>
    <w:rsid w:val="00634311"/>
    <w:rsid w:val="00634336"/>
    <w:rsid w:val="00634339"/>
    <w:rsid w:val="0063437A"/>
    <w:rsid w:val="006343A3"/>
    <w:rsid w:val="006343BC"/>
    <w:rsid w:val="00634412"/>
    <w:rsid w:val="00634419"/>
    <w:rsid w:val="00634423"/>
    <w:rsid w:val="0063444F"/>
    <w:rsid w:val="0063449D"/>
    <w:rsid w:val="006344B3"/>
    <w:rsid w:val="006344DA"/>
    <w:rsid w:val="006344E2"/>
    <w:rsid w:val="00634526"/>
    <w:rsid w:val="00634534"/>
    <w:rsid w:val="0063454B"/>
    <w:rsid w:val="006345A5"/>
    <w:rsid w:val="006345BB"/>
    <w:rsid w:val="006345D3"/>
    <w:rsid w:val="00634693"/>
    <w:rsid w:val="006347A3"/>
    <w:rsid w:val="006347E5"/>
    <w:rsid w:val="0063483D"/>
    <w:rsid w:val="0063486D"/>
    <w:rsid w:val="0063489B"/>
    <w:rsid w:val="00634948"/>
    <w:rsid w:val="006349C1"/>
    <w:rsid w:val="006349C6"/>
    <w:rsid w:val="006349D3"/>
    <w:rsid w:val="006349F0"/>
    <w:rsid w:val="00634A01"/>
    <w:rsid w:val="00634A2B"/>
    <w:rsid w:val="00634A77"/>
    <w:rsid w:val="00634B2F"/>
    <w:rsid w:val="00634B46"/>
    <w:rsid w:val="00634B8B"/>
    <w:rsid w:val="00634BA2"/>
    <w:rsid w:val="00634BFA"/>
    <w:rsid w:val="00634C02"/>
    <w:rsid w:val="00634C82"/>
    <w:rsid w:val="00634CA6"/>
    <w:rsid w:val="00634CEC"/>
    <w:rsid w:val="00634CFE"/>
    <w:rsid w:val="00634D3F"/>
    <w:rsid w:val="00634E1B"/>
    <w:rsid w:val="00634E44"/>
    <w:rsid w:val="00634E64"/>
    <w:rsid w:val="00634EAD"/>
    <w:rsid w:val="00634F23"/>
    <w:rsid w:val="00634F2C"/>
    <w:rsid w:val="00634F42"/>
    <w:rsid w:val="00634F66"/>
    <w:rsid w:val="00634FE3"/>
    <w:rsid w:val="00635016"/>
    <w:rsid w:val="0063505D"/>
    <w:rsid w:val="006350B6"/>
    <w:rsid w:val="00635116"/>
    <w:rsid w:val="00635165"/>
    <w:rsid w:val="0063516B"/>
    <w:rsid w:val="0063518A"/>
    <w:rsid w:val="00635214"/>
    <w:rsid w:val="00635269"/>
    <w:rsid w:val="006352E0"/>
    <w:rsid w:val="006352E6"/>
    <w:rsid w:val="00635366"/>
    <w:rsid w:val="00635374"/>
    <w:rsid w:val="0063540B"/>
    <w:rsid w:val="0063541A"/>
    <w:rsid w:val="00635447"/>
    <w:rsid w:val="0063546D"/>
    <w:rsid w:val="006354A8"/>
    <w:rsid w:val="006354B2"/>
    <w:rsid w:val="006354D8"/>
    <w:rsid w:val="006354FC"/>
    <w:rsid w:val="00635556"/>
    <w:rsid w:val="006355AD"/>
    <w:rsid w:val="006355B5"/>
    <w:rsid w:val="006356F7"/>
    <w:rsid w:val="00635859"/>
    <w:rsid w:val="00635874"/>
    <w:rsid w:val="006358E0"/>
    <w:rsid w:val="006358F0"/>
    <w:rsid w:val="006359A7"/>
    <w:rsid w:val="006359F6"/>
    <w:rsid w:val="00635A7E"/>
    <w:rsid w:val="00635ABB"/>
    <w:rsid w:val="00635B1A"/>
    <w:rsid w:val="00635BB1"/>
    <w:rsid w:val="00635C4A"/>
    <w:rsid w:val="00635C5E"/>
    <w:rsid w:val="00635C81"/>
    <w:rsid w:val="00635D2C"/>
    <w:rsid w:val="00635D3B"/>
    <w:rsid w:val="00635D81"/>
    <w:rsid w:val="00635DBC"/>
    <w:rsid w:val="00635DC3"/>
    <w:rsid w:val="00635DCB"/>
    <w:rsid w:val="00635E78"/>
    <w:rsid w:val="00635EA6"/>
    <w:rsid w:val="00635EA7"/>
    <w:rsid w:val="00635F20"/>
    <w:rsid w:val="00635F2F"/>
    <w:rsid w:val="00635F42"/>
    <w:rsid w:val="00635F6C"/>
    <w:rsid w:val="00635FA4"/>
    <w:rsid w:val="00635FB3"/>
    <w:rsid w:val="00635FCA"/>
    <w:rsid w:val="00636064"/>
    <w:rsid w:val="006360AF"/>
    <w:rsid w:val="006360B2"/>
    <w:rsid w:val="00636134"/>
    <w:rsid w:val="006362B8"/>
    <w:rsid w:val="00636357"/>
    <w:rsid w:val="00636389"/>
    <w:rsid w:val="006363A1"/>
    <w:rsid w:val="00636459"/>
    <w:rsid w:val="0063645E"/>
    <w:rsid w:val="00636514"/>
    <w:rsid w:val="0063654B"/>
    <w:rsid w:val="00636567"/>
    <w:rsid w:val="006365E2"/>
    <w:rsid w:val="00636621"/>
    <w:rsid w:val="00636638"/>
    <w:rsid w:val="006367B2"/>
    <w:rsid w:val="00636851"/>
    <w:rsid w:val="00636898"/>
    <w:rsid w:val="006368A7"/>
    <w:rsid w:val="00636949"/>
    <w:rsid w:val="0063694C"/>
    <w:rsid w:val="00636952"/>
    <w:rsid w:val="00636A4F"/>
    <w:rsid w:val="00636AB6"/>
    <w:rsid w:val="00636AC8"/>
    <w:rsid w:val="00636ACD"/>
    <w:rsid w:val="00636B51"/>
    <w:rsid w:val="00636B74"/>
    <w:rsid w:val="00636C79"/>
    <w:rsid w:val="00636CC1"/>
    <w:rsid w:val="00636D17"/>
    <w:rsid w:val="00636D26"/>
    <w:rsid w:val="00636D3B"/>
    <w:rsid w:val="00636D63"/>
    <w:rsid w:val="00636DA7"/>
    <w:rsid w:val="00636DC0"/>
    <w:rsid w:val="00636E1F"/>
    <w:rsid w:val="00636F29"/>
    <w:rsid w:val="00636F3B"/>
    <w:rsid w:val="00636F54"/>
    <w:rsid w:val="00636F6F"/>
    <w:rsid w:val="00636F9B"/>
    <w:rsid w:val="00636FB7"/>
    <w:rsid w:val="00636FD2"/>
    <w:rsid w:val="00636FF7"/>
    <w:rsid w:val="0063702D"/>
    <w:rsid w:val="00637042"/>
    <w:rsid w:val="006370B6"/>
    <w:rsid w:val="00637147"/>
    <w:rsid w:val="00637154"/>
    <w:rsid w:val="006371BF"/>
    <w:rsid w:val="0063724B"/>
    <w:rsid w:val="00637252"/>
    <w:rsid w:val="0063728E"/>
    <w:rsid w:val="00637310"/>
    <w:rsid w:val="00637330"/>
    <w:rsid w:val="0063733B"/>
    <w:rsid w:val="00637415"/>
    <w:rsid w:val="0063746A"/>
    <w:rsid w:val="00637481"/>
    <w:rsid w:val="00637553"/>
    <w:rsid w:val="00637589"/>
    <w:rsid w:val="0063758C"/>
    <w:rsid w:val="006375AB"/>
    <w:rsid w:val="006375CF"/>
    <w:rsid w:val="0063764E"/>
    <w:rsid w:val="00637668"/>
    <w:rsid w:val="006376C3"/>
    <w:rsid w:val="0063770D"/>
    <w:rsid w:val="00637741"/>
    <w:rsid w:val="00637746"/>
    <w:rsid w:val="0063776C"/>
    <w:rsid w:val="006377A1"/>
    <w:rsid w:val="006377BA"/>
    <w:rsid w:val="00637866"/>
    <w:rsid w:val="006378AF"/>
    <w:rsid w:val="006378BB"/>
    <w:rsid w:val="006378C9"/>
    <w:rsid w:val="006378DD"/>
    <w:rsid w:val="00637905"/>
    <w:rsid w:val="00637923"/>
    <w:rsid w:val="00637A1F"/>
    <w:rsid w:val="00637A44"/>
    <w:rsid w:val="00637A48"/>
    <w:rsid w:val="00637A6E"/>
    <w:rsid w:val="00637A79"/>
    <w:rsid w:val="00637AA9"/>
    <w:rsid w:val="00637AEA"/>
    <w:rsid w:val="00637B2F"/>
    <w:rsid w:val="00637B3F"/>
    <w:rsid w:val="00637B81"/>
    <w:rsid w:val="00637BA9"/>
    <w:rsid w:val="00637CC0"/>
    <w:rsid w:val="00637D8C"/>
    <w:rsid w:val="00637D95"/>
    <w:rsid w:val="00637DC1"/>
    <w:rsid w:val="00637E38"/>
    <w:rsid w:val="00637E50"/>
    <w:rsid w:val="00637E62"/>
    <w:rsid w:val="00637E93"/>
    <w:rsid w:val="00637E98"/>
    <w:rsid w:val="00637EA0"/>
    <w:rsid w:val="00637EA8"/>
    <w:rsid w:val="00637F47"/>
    <w:rsid w:val="00637F75"/>
    <w:rsid w:val="00637F99"/>
    <w:rsid w:val="00637FC6"/>
    <w:rsid w:val="006400DE"/>
    <w:rsid w:val="0064014B"/>
    <w:rsid w:val="006401AC"/>
    <w:rsid w:val="00640319"/>
    <w:rsid w:val="0064032C"/>
    <w:rsid w:val="006403DA"/>
    <w:rsid w:val="00640401"/>
    <w:rsid w:val="00640416"/>
    <w:rsid w:val="00640418"/>
    <w:rsid w:val="00640428"/>
    <w:rsid w:val="00640436"/>
    <w:rsid w:val="0064048E"/>
    <w:rsid w:val="006404A7"/>
    <w:rsid w:val="0064050D"/>
    <w:rsid w:val="0064051A"/>
    <w:rsid w:val="00640570"/>
    <w:rsid w:val="006405B2"/>
    <w:rsid w:val="006405C5"/>
    <w:rsid w:val="0064062C"/>
    <w:rsid w:val="006406A6"/>
    <w:rsid w:val="006406D2"/>
    <w:rsid w:val="006407D5"/>
    <w:rsid w:val="00640801"/>
    <w:rsid w:val="00640845"/>
    <w:rsid w:val="0064086E"/>
    <w:rsid w:val="0064087B"/>
    <w:rsid w:val="006408FB"/>
    <w:rsid w:val="00640A87"/>
    <w:rsid w:val="00640AA4"/>
    <w:rsid w:val="00640ABD"/>
    <w:rsid w:val="00640AEF"/>
    <w:rsid w:val="00640B1B"/>
    <w:rsid w:val="00640B25"/>
    <w:rsid w:val="00640B4D"/>
    <w:rsid w:val="00640B4E"/>
    <w:rsid w:val="00640B68"/>
    <w:rsid w:val="00640B79"/>
    <w:rsid w:val="00640B86"/>
    <w:rsid w:val="00640BD0"/>
    <w:rsid w:val="00640BEE"/>
    <w:rsid w:val="00640C20"/>
    <w:rsid w:val="00640C63"/>
    <w:rsid w:val="00640C6F"/>
    <w:rsid w:val="00640C7E"/>
    <w:rsid w:val="00640CD9"/>
    <w:rsid w:val="00640D14"/>
    <w:rsid w:val="00640D7F"/>
    <w:rsid w:val="00640D83"/>
    <w:rsid w:val="00640D94"/>
    <w:rsid w:val="00640E0F"/>
    <w:rsid w:val="00640E37"/>
    <w:rsid w:val="00640E44"/>
    <w:rsid w:val="00640E4F"/>
    <w:rsid w:val="00640E82"/>
    <w:rsid w:val="00640E99"/>
    <w:rsid w:val="00640F45"/>
    <w:rsid w:val="00640F48"/>
    <w:rsid w:val="00640F6C"/>
    <w:rsid w:val="00640FA8"/>
    <w:rsid w:val="00640FFB"/>
    <w:rsid w:val="00640FFC"/>
    <w:rsid w:val="006410E6"/>
    <w:rsid w:val="006410F7"/>
    <w:rsid w:val="0064110D"/>
    <w:rsid w:val="0064116E"/>
    <w:rsid w:val="00641197"/>
    <w:rsid w:val="00641241"/>
    <w:rsid w:val="006412FC"/>
    <w:rsid w:val="006413A1"/>
    <w:rsid w:val="006413C0"/>
    <w:rsid w:val="00641445"/>
    <w:rsid w:val="0064146A"/>
    <w:rsid w:val="00641488"/>
    <w:rsid w:val="00641491"/>
    <w:rsid w:val="006414D1"/>
    <w:rsid w:val="006414F7"/>
    <w:rsid w:val="0064150C"/>
    <w:rsid w:val="00641518"/>
    <w:rsid w:val="00641564"/>
    <w:rsid w:val="0064156A"/>
    <w:rsid w:val="006415AA"/>
    <w:rsid w:val="006415AC"/>
    <w:rsid w:val="006415BD"/>
    <w:rsid w:val="006415E0"/>
    <w:rsid w:val="006415E2"/>
    <w:rsid w:val="0064161D"/>
    <w:rsid w:val="0064169E"/>
    <w:rsid w:val="00641708"/>
    <w:rsid w:val="00641750"/>
    <w:rsid w:val="0064175F"/>
    <w:rsid w:val="00641839"/>
    <w:rsid w:val="00641895"/>
    <w:rsid w:val="00641899"/>
    <w:rsid w:val="00641963"/>
    <w:rsid w:val="00641998"/>
    <w:rsid w:val="006419DB"/>
    <w:rsid w:val="006419F1"/>
    <w:rsid w:val="00641A0A"/>
    <w:rsid w:val="00641A11"/>
    <w:rsid w:val="00641A25"/>
    <w:rsid w:val="00641A40"/>
    <w:rsid w:val="00641AD3"/>
    <w:rsid w:val="00641AEF"/>
    <w:rsid w:val="00641B33"/>
    <w:rsid w:val="00641B4E"/>
    <w:rsid w:val="00641B61"/>
    <w:rsid w:val="00641BB5"/>
    <w:rsid w:val="00641BE6"/>
    <w:rsid w:val="00641C09"/>
    <w:rsid w:val="00641C48"/>
    <w:rsid w:val="00641CCB"/>
    <w:rsid w:val="00641D35"/>
    <w:rsid w:val="00641D58"/>
    <w:rsid w:val="00641D82"/>
    <w:rsid w:val="00641DB1"/>
    <w:rsid w:val="00641DE3"/>
    <w:rsid w:val="00641E36"/>
    <w:rsid w:val="00641E46"/>
    <w:rsid w:val="00641E52"/>
    <w:rsid w:val="00641E7E"/>
    <w:rsid w:val="00641E8F"/>
    <w:rsid w:val="00641EA4"/>
    <w:rsid w:val="00641F43"/>
    <w:rsid w:val="00641F46"/>
    <w:rsid w:val="00642049"/>
    <w:rsid w:val="006420CC"/>
    <w:rsid w:val="006420CE"/>
    <w:rsid w:val="00642119"/>
    <w:rsid w:val="00642138"/>
    <w:rsid w:val="0064220C"/>
    <w:rsid w:val="006422A4"/>
    <w:rsid w:val="006422C3"/>
    <w:rsid w:val="006422FA"/>
    <w:rsid w:val="00642344"/>
    <w:rsid w:val="00642357"/>
    <w:rsid w:val="00642385"/>
    <w:rsid w:val="0064239A"/>
    <w:rsid w:val="0064239E"/>
    <w:rsid w:val="006423AB"/>
    <w:rsid w:val="0064240C"/>
    <w:rsid w:val="00642418"/>
    <w:rsid w:val="0064249B"/>
    <w:rsid w:val="006424EE"/>
    <w:rsid w:val="00642530"/>
    <w:rsid w:val="00642615"/>
    <w:rsid w:val="006426D5"/>
    <w:rsid w:val="0064278E"/>
    <w:rsid w:val="006427A5"/>
    <w:rsid w:val="006428A5"/>
    <w:rsid w:val="006428B5"/>
    <w:rsid w:val="0064290B"/>
    <w:rsid w:val="00642969"/>
    <w:rsid w:val="00642970"/>
    <w:rsid w:val="006429B3"/>
    <w:rsid w:val="006429C5"/>
    <w:rsid w:val="006429EF"/>
    <w:rsid w:val="00642A33"/>
    <w:rsid w:val="00642ACC"/>
    <w:rsid w:val="00642AEA"/>
    <w:rsid w:val="00642AEC"/>
    <w:rsid w:val="00642B4C"/>
    <w:rsid w:val="00642BD8"/>
    <w:rsid w:val="00642C45"/>
    <w:rsid w:val="00642D44"/>
    <w:rsid w:val="00642D71"/>
    <w:rsid w:val="00642D94"/>
    <w:rsid w:val="00642DBC"/>
    <w:rsid w:val="00642DD5"/>
    <w:rsid w:val="00642E41"/>
    <w:rsid w:val="00642E51"/>
    <w:rsid w:val="00642E5F"/>
    <w:rsid w:val="00642E77"/>
    <w:rsid w:val="00642ECF"/>
    <w:rsid w:val="00642EF0"/>
    <w:rsid w:val="00642F22"/>
    <w:rsid w:val="00642F36"/>
    <w:rsid w:val="00642F9C"/>
    <w:rsid w:val="00642FF0"/>
    <w:rsid w:val="0064302F"/>
    <w:rsid w:val="006430E8"/>
    <w:rsid w:val="006430F2"/>
    <w:rsid w:val="00643144"/>
    <w:rsid w:val="006431BE"/>
    <w:rsid w:val="006431CA"/>
    <w:rsid w:val="00643205"/>
    <w:rsid w:val="0064323E"/>
    <w:rsid w:val="00643269"/>
    <w:rsid w:val="006432EC"/>
    <w:rsid w:val="00643307"/>
    <w:rsid w:val="00643328"/>
    <w:rsid w:val="0064335C"/>
    <w:rsid w:val="006433A2"/>
    <w:rsid w:val="006433E6"/>
    <w:rsid w:val="00643409"/>
    <w:rsid w:val="00643446"/>
    <w:rsid w:val="0064345F"/>
    <w:rsid w:val="00643479"/>
    <w:rsid w:val="0064348C"/>
    <w:rsid w:val="00643490"/>
    <w:rsid w:val="0064352A"/>
    <w:rsid w:val="00643579"/>
    <w:rsid w:val="006435AA"/>
    <w:rsid w:val="00643610"/>
    <w:rsid w:val="00643616"/>
    <w:rsid w:val="0064361B"/>
    <w:rsid w:val="00643653"/>
    <w:rsid w:val="006436CC"/>
    <w:rsid w:val="006436EF"/>
    <w:rsid w:val="0064372D"/>
    <w:rsid w:val="00643764"/>
    <w:rsid w:val="00643776"/>
    <w:rsid w:val="00643785"/>
    <w:rsid w:val="00643786"/>
    <w:rsid w:val="006437B1"/>
    <w:rsid w:val="006437C1"/>
    <w:rsid w:val="00643838"/>
    <w:rsid w:val="006438B7"/>
    <w:rsid w:val="0064394C"/>
    <w:rsid w:val="0064394E"/>
    <w:rsid w:val="0064397F"/>
    <w:rsid w:val="0064399F"/>
    <w:rsid w:val="006439BA"/>
    <w:rsid w:val="006439E3"/>
    <w:rsid w:val="00643A1B"/>
    <w:rsid w:val="00643A1E"/>
    <w:rsid w:val="00643A6E"/>
    <w:rsid w:val="00643B14"/>
    <w:rsid w:val="00643B3E"/>
    <w:rsid w:val="00643B42"/>
    <w:rsid w:val="00643B5D"/>
    <w:rsid w:val="00643B90"/>
    <w:rsid w:val="00643BBC"/>
    <w:rsid w:val="00643C2B"/>
    <w:rsid w:val="00643C36"/>
    <w:rsid w:val="00643C54"/>
    <w:rsid w:val="00643C8C"/>
    <w:rsid w:val="00643C9D"/>
    <w:rsid w:val="00643CD7"/>
    <w:rsid w:val="00643D6C"/>
    <w:rsid w:val="00643D96"/>
    <w:rsid w:val="00643DE4"/>
    <w:rsid w:val="00643DEE"/>
    <w:rsid w:val="00643DFA"/>
    <w:rsid w:val="00643E63"/>
    <w:rsid w:val="00643ED4"/>
    <w:rsid w:val="00643FDC"/>
    <w:rsid w:val="00643FE4"/>
    <w:rsid w:val="00643FEC"/>
    <w:rsid w:val="00644063"/>
    <w:rsid w:val="00644084"/>
    <w:rsid w:val="00644094"/>
    <w:rsid w:val="006440C1"/>
    <w:rsid w:val="006440E2"/>
    <w:rsid w:val="006440E6"/>
    <w:rsid w:val="00644145"/>
    <w:rsid w:val="006441D0"/>
    <w:rsid w:val="0064420F"/>
    <w:rsid w:val="00644249"/>
    <w:rsid w:val="0064427F"/>
    <w:rsid w:val="006442C8"/>
    <w:rsid w:val="00644356"/>
    <w:rsid w:val="00644371"/>
    <w:rsid w:val="006443D0"/>
    <w:rsid w:val="006444F2"/>
    <w:rsid w:val="0064450E"/>
    <w:rsid w:val="0064452B"/>
    <w:rsid w:val="0064453A"/>
    <w:rsid w:val="0064455A"/>
    <w:rsid w:val="006445B7"/>
    <w:rsid w:val="006445F2"/>
    <w:rsid w:val="00644632"/>
    <w:rsid w:val="00644641"/>
    <w:rsid w:val="0064465C"/>
    <w:rsid w:val="0064469E"/>
    <w:rsid w:val="0064474E"/>
    <w:rsid w:val="006447C6"/>
    <w:rsid w:val="006447D6"/>
    <w:rsid w:val="006448BB"/>
    <w:rsid w:val="006448C0"/>
    <w:rsid w:val="006448CE"/>
    <w:rsid w:val="006448ED"/>
    <w:rsid w:val="00644948"/>
    <w:rsid w:val="00644978"/>
    <w:rsid w:val="00644994"/>
    <w:rsid w:val="00644A86"/>
    <w:rsid w:val="00644AAD"/>
    <w:rsid w:val="00644AB7"/>
    <w:rsid w:val="00644B09"/>
    <w:rsid w:val="00644B0D"/>
    <w:rsid w:val="00644BBE"/>
    <w:rsid w:val="00644BFB"/>
    <w:rsid w:val="00644C15"/>
    <w:rsid w:val="00644C1A"/>
    <w:rsid w:val="00644C8F"/>
    <w:rsid w:val="00644C9B"/>
    <w:rsid w:val="00644DB8"/>
    <w:rsid w:val="00644E72"/>
    <w:rsid w:val="00644E73"/>
    <w:rsid w:val="00644E93"/>
    <w:rsid w:val="00644EF6"/>
    <w:rsid w:val="00644F7D"/>
    <w:rsid w:val="00644F7E"/>
    <w:rsid w:val="00644FDE"/>
    <w:rsid w:val="00644FEE"/>
    <w:rsid w:val="00645008"/>
    <w:rsid w:val="00645016"/>
    <w:rsid w:val="0064502A"/>
    <w:rsid w:val="00645031"/>
    <w:rsid w:val="0064509F"/>
    <w:rsid w:val="006450A9"/>
    <w:rsid w:val="006450B5"/>
    <w:rsid w:val="006450C7"/>
    <w:rsid w:val="0064517D"/>
    <w:rsid w:val="00645198"/>
    <w:rsid w:val="006451A6"/>
    <w:rsid w:val="006451CC"/>
    <w:rsid w:val="006451E8"/>
    <w:rsid w:val="006451EF"/>
    <w:rsid w:val="006451FE"/>
    <w:rsid w:val="00645207"/>
    <w:rsid w:val="006452C6"/>
    <w:rsid w:val="0064530B"/>
    <w:rsid w:val="00645340"/>
    <w:rsid w:val="0064534B"/>
    <w:rsid w:val="006453C8"/>
    <w:rsid w:val="00645401"/>
    <w:rsid w:val="00645403"/>
    <w:rsid w:val="00645414"/>
    <w:rsid w:val="006454A6"/>
    <w:rsid w:val="006454C7"/>
    <w:rsid w:val="006454FD"/>
    <w:rsid w:val="0064551B"/>
    <w:rsid w:val="0064558A"/>
    <w:rsid w:val="0064558B"/>
    <w:rsid w:val="0064558C"/>
    <w:rsid w:val="006455B0"/>
    <w:rsid w:val="006455B9"/>
    <w:rsid w:val="006455E9"/>
    <w:rsid w:val="006455EA"/>
    <w:rsid w:val="006455FA"/>
    <w:rsid w:val="0064560D"/>
    <w:rsid w:val="006456D4"/>
    <w:rsid w:val="0064574E"/>
    <w:rsid w:val="006457B4"/>
    <w:rsid w:val="00645837"/>
    <w:rsid w:val="00645842"/>
    <w:rsid w:val="0064584E"/>
    <w:rsid w:val="00645920"/>
    <w:rsid w:val="00645941"/>
    <w:rsid w:val="0064594E"/>
    <w:rsid w:val="006459E1"/>
    <w:rsid w:val="00645A1C"/>
    <w:rsid w:val="00645A44"/>
    <w:rsid w:val="00645B10"/>
    <w:rsid w:val="00645B30"/>
    <w:rsid w:val="00645B42"/>
    <w:rsid w:val="00645BB3"/>
    <w:rsid w:val="00645BE5"/>
    <w:rsid w:val="00645BFA"/>
    <w:rsid w:val="00645C93"/>
    <w:rsid w:val="00645CCA"/>
    <w:rsid w:val="00645CF5"/>
    <w:rsid w:val="00645D21"/>
    <w:rsid w:val="00645D7F"/>
    <w:rsid w:val="00645D8D"/>
    <w:rsid w:val="00645DF1"/>
    <w:rsid w:val="00645E42"/>
    <w:rsid w:val="00645E75"/>
    <w:rsid w:val="00645F78"/>
    <w:rsid w:val="00645F9F"/>
    <w:rsid w:val="00645FEA"/>
    <w:rsid w:val="00646025"/>
    <w:rsid w:val="00646027"/>
    <w:rsid w:val="00646063"/>
    <w:rsid w:val="0064607E"/>
    <w:rsid w:val="00646089"/>
    <w:rsid w:val="006460D2"/>
    <w:rsid w:val="006460E7"/>
    <w:rsid w:val="006460F2"/>
    <w:rsid w:val="00646120"/>
    <w:rsid w:val="0064614C"/>
    <w:rsid w:val="00646197"/>
    <w:rsid w:val="006461CA"/>
    <w:rsid w:val="006461EA"/>
    <w:rsid w:val="00646254"/>
    <w:rsid w:val="00646272"/>
    <w:rsid w:val="006462A2"/>
    <w:rsid w:val="006462B7"/>
    <w:rsid w:val="006462EE"/>
    <w:rsid w:val="0064631A"/>
    <w:rsid w:val="00646494"/>
    <w:rsid w:val="006464BA"/>
    <w:rsid w:val="006464E7"/>
    <w:rsid w:val="006464FB"/>
    <w:rsid w:val="006464FD"/>
    <w:rsid w:val="006464FE"/>
    <w:rsid w:val="00646557"/>
    <w:rsid w:val="00646558"/>
    <w:rsid w:val="006465BF"/>
    <w:rsid w:val="006465C5"/>
    <w:rsid w:val="0064663A"/>
    <w:rsid w:val="006466B7"/>
    <w:rsid w:val="006466CD"/>
    <w:rsid w:val="006466D6"/>
    <w:rsid w:val="0064673B"/>
    <w:rsid w:val="006467BD"/>
    <w:rsid w:val="006467D9"/>
    <w:rsid w:val="00646807"/>
    <w:rsid w:val="0064681A"/>
    <w:rsid w:val="00646850"/>
    <w:rsid w:val="006468E6"/>
    <w:rsid w:val="0064699E"/>
    <w:rsid w:val="006469DB"/>
    <w:rsid w:val="006469E1"/>
    <w:rsid w:val="006469F6"/>
    <w:rsid w:val="00646A4F"/>
    <w:rsid w:val="00646AF0"/>
    <w:rsid w:val="00646B64"/>
    <w:rsid w:val="00646B8F"/>
    <w:rsid w:val="00646BAA"/>
    <w:rsid w:val="00646BAE"/>
    <w:rsid w:val="00646BBC"/>
    <w:rsid w:val="00646BD5"/>
    <w:rsid w:val="00646BF0"/>
    <w:rsid w:val="00646C2A"/>
    <w:rsid w:val="00646C8D"/>
    <w:rsid w:val="00646CFD"/>
    <w:rsid w:val="00646D38"/>
    <w:rsid w:val="00646D68"/>
    <w:rsid w:val="00646D77"/>
    <w:rsid w:val="00646DA5"/>
    <w:rsid w:val="00646DC4"/>
    <w:rsid w:val="00646E18"/>
    <w:rsid w:val="00646E2D"/>
    <w:rsid w:val="00646E6E"/>
    <w:rsid w:val="00646E7B"/>
    <w:rsid w:val="00646E9B"/>
    <w:rsid w:val="00646EA8"/>
    <w:rsid w:val="00646EE5"/>
    <w:rsid w:val="00646F21"/>
    <w:rsid w:val="00647255"/>
    <w:rsid w:val="00647285"/>
    <w:rsid w:val="006472D0"/>
    <w:rsid w:val="006472E7"/>
    <w:rsid w:val="006472EB"/>
    <w:rsid w:val="00647304"/>
    <w:rsid w:val="0064730F"/>
    <w:rsid w:val="00647311"/>
    <w:rsid w:val="00647322"/>
    <w:rsid w:val="0064732B"/>
    <w:rsid w:val="00647359"/>
    <w:rsid w:val="00647380"/>
    <w:rsid w:val="00647454"/>
    <w:rsid w:val="0064747B"/>
    <w:rsid w:val="006474BE"/>
    <w:rsid w:val="0064753E"/>
    <w:rsid w:val="00647607"/>
    <w:rsid w:val="00647617"/>
    <w:rsid w:val="00647657"/>
    <w:rsid w:val="00647670"/>
    <w:rsid w:val="0064769F"/>
    <w:rsid w:val="006476D7"/>
    <w:rsid w:val="006476F7"/>
    <w:rsid w:val="0064776D"/>
    <w:rsid w:val="00647801"/>
    <w:rsid w:val="00647872"/>
    <w:rsid w:val="00647896"/>
    <w:rsid w:val="006478C0"/>
    <w:rsid w:val="00647905"/>
    <w:rsid w:val="00647949"/>
    <w:rsid w:val="00647992"/>
    <w:rsid w:val="006479FA"/>
    <w:rsid w:val="00647A13"/>
    <w:rsid w:val="00647A29"/>
    <w:rsid w:val="00647A7C"/>
    <w:rsid w:val="00647AAC"/>
    <w:rsid w:val="00647B0D"/>
    <w:rsid w:val="00647B14"/>
    <w:rsid w:val="00647B41"/>
    <w:rsid w:val="00647B8C"/>
    <w:rsid w:val="00647B98"/>
    <w:rsid w:val="00647BF1"/>
    <w:rsid w:val="00647C1A"/>
    <w:rsid w:val="00647C5E"/>
    <w:rsid w:val="00647C5F"/>
    <w:rsid w:val="00647D81"/>
    <w:rsid w:val="00647DC6"/>
    <w:rsid w:val="00647DEE"/>
    <w:rsid w:val="00647DFE"/>
    <w:rsid w:val="00647E20"/>
    <w:rsid w:val="00647E23"/>
    <w:rsid w:val="00647E38"/>
    <w:rsid w:val="00647E3F"/>
    <w:rsid w:val="00647E47"/>
    <w:rsid w:val="00647E6F"/>
    <w:rsid w:val="00647EC0"/>
    <w:rsid w:val="00647ED7"/>
    <w:rsid w:val="00647F0A"/>
    <w:rsid w:val="00647F54"/>
    <w:rsid w:val="00647F79"/>
    <w:rsid w:val="00647FAF"/>
    <w:rsid w:val="00647FF8"/>
    <w:rsid w:val="00650006"/>
    <w:rsid w:val="00650047"/>
    <w:rsid w:val="00650098"/>
    <w:rsid w:val="006500BE"/>
    <w:rsid w:val="006500DF"/>
    <w:rsid w:val="0065010D"/>
    <w:rsid w:val="00650113"/>
    <w:rsid w:val="00650134"/>
    <w:rsid w:val="00650183"/>
    <w:rsid w:val="006501C4"/>
    <w:rsid w:val="00650217"/>
    <w:rsid w:val="00650234"/>
    <w:rsid w:val="0065024B"/>
    <w:rsid w:val="00650264"/>
    <w:rsid w:val="006502E3"/>
    <w:rsid w:val="00650373"/>
    <w:rsid w:val="0065037C"/>
    <w:rsid w:val="006503B9"/>
    <w:rsid w:val="006503C5"/>
    <w:rsid w:val="00650438"/>
    <w:rsid w:val="00650446"/>
    <w:rsid w:val="0065044B"/>
    <w:rsid w:val="006504C0"/>
    <w:rsid w:val="006504F8"/>
    <w:rsid w:val="0065050A"/>
    <w:rsid w:val="00650743"/>
    <w:rsid w:val="00650750"/>
    <w:rsid w:val="00650758"/>
    <w:rsid w:val="0065082C"/>
    <w:rsid w:val="00650843"/>
    <w:rsid w:val="0065084E"/>
    <w:rsid w:val="0065085F"/>
    <w:rsid w:val="006508EE"/>
    <w:rsid w:val="00650946"/>
    <w:rsid w:val="00650994"/>
    <w:rsid w:val="006509DC"/>
    <w:rsid w:val="00650A28"/>
    <w:rsid w:val="00650AD4"/>
    <w:rsid w:val="00650B02"/>
    <w:rsid w:val="00650B05"/>
    <w:rsid w:val="00650B7D"/>
    <w:rsid w:val="00650B96"/>
    <w:rsid w:val="00650BD6"/>
    <w:rsid w:val="00650C14"/>
    <w:rsid w:val="00650C3E"/>
    <w:rsid w:val="00650C68"/>
    <w:rsid w:val="00650CA2"/>
    <w:rsid w:val="00650D02"/>
    <w:rsid w:val="00650D32"/>
    <w:rsid w:val="00650DC2"/>
    <w:rsid w:val="00650DC9"/>
    <w:rsid w:val="00650DF7"/>
    <w:rsid w:val="00650E13"/>
    <w:rsid w:val="00650EA9"/>
    <w:rsid w:val="00650EB7"/>
    <w:rsid w:val="00650ECF"/>
    <w:rsid w:val="00650ED8"/>
    <w:rsid w:val="00650F2A"/>
    <w:rsid w:val="00650F39"/>
    <w:rsid w:val="00650F43"/>
    <w:rsid w:val="00650F7F"/>
    <w:rsid w:val="00650FFD"/>
    <w:rsid w:val="006510DD"/>
    <w:rsid w:val="0065121F"/>
    <w:rsid w:val="00651223"/>
    <w:rsid w:val="00651233"/>
    <w:rsid w:val="00651307"/>
    <w:rsid w:val="00651386"/>
    <w:rsid w:val="0065141A"/>
    <w:rsid w:val="00651447"/>
    <w:rsid w:val="0065146C"/>
    <w:rsid w:val="00651482"/>
    <w:rsid w:val="006514D5"/>
    <w:rsid w:val="0065155F"/>
    <w:rsid w:val="00651582"/>
    <w:rsid w:val="006515A7"/>
    <w:rsid w:val="00651661"/>
    <w:rsid w:val="006516F5"/>
    <w:rsid w:val="00651722"/>
    <w:rsid w:val="00651753"/>
    <w:rsid w:val="006517B5"/>
    <w:rsid w:val="006517BC"/>
    <w:rsid w:val="006517CC"/>
    <w:rsid w:val="00651835"/>
    <w:rsid w:val="006518F2"/>
    <w:rsid w:val="00651929"/>
    <w:rsid w:val="00651947"/>
    <w:rsid w:val="0065195C"/>
    <w:rsid w:val="0065197C"/>
    <w:rsid w:val="006519E2"/>
    <w:rsid w:val="00651A06"/>
    <w:rsid w:val="00651A3C"/>
    <w:rsid w:val="00651A54"/>
    <w:rsid w:val="00651A78"/>
    <w:rsid w:val="00651A8D"/>
    <w:rsid w:val="00651A9E"/>
    <w:rsid w:val="00651AB1"/>
    <w:rsid w:val="00651AD9"/>
    <w:rsid w:val="00651B90"/>
    <w:rsid w:val="00651C2D"/>
    <w:rsid w:val="00651C81"/>
    <w:rsid w:val="00651D96"/>
    <w:rsid w:val="00651DC7"/>
    <w:rsid w:val="00651DE3"/>
    <w:rsid w:val="00651E0C"/>
    <w:rsid w:val="00651F0A"/>
    <w:rsid w:val="00651F2E"/>
    <w:rsid w:val="00651F47"/>
    <w:rsid w:val="00651FFF"/>
    <w:rsid w:val="00652003"/>
    <w:rsid w:val="00652051"/>
    <w:rsid w:val="0065209E"/>
    <w:rsid w:val="006520C6"/>
    <w:rsid w:val="006520FA"/>
    <w:rsid w:val="00652102"/>
    <w:rsid w:val="00652121"/>
    <w:rsid w:val="00652157"/>
    <w:rsid w:val="0065215D"/>
    <w:rsid w:val="00652185"/>
    <w:rsid w:val="006521D9"/>
    <w:rsid w:val="0065222C"/>
    <w:rsid w:val="0065226E"/>
    <w:rsid w:val="006522F4"/>
    <w:rsid w:val="00652338"/>
    <w:rsid w:val="00652463"/>
    <w:rsid w:val="006524CE"/>
    <w:rsid w:val="006524FA"/>
    <w:rsid w:val="0065258C"/>
    <w:rsid w:val="006525F1"/>
    <w:rsid w:val="00652666"/>
    <w:rsid w:val="006526BA"/>
    <w:rsid w:val="006526F8"/>
    <w:rsid w:val="00652750"/>
    <w:rsid w:val="006527CB"/>
    <w:rsid w:val="0065282B"/>
    <w:rsid w:val="00652864"/>
    <w:rsid w:val="00652874"/>
    <w:rsid w:val="00652880"/>
    <w:rsid w:val="006528A9"/>
    <w:rsid w:val="0065294C"/>
    <w:rsid w:val="006529BE"/>
    <w:rsid w:val="006529C7"/>
    <w:rsid w:val="006529EC"/>
    <w:rsid w:val="00652A34"/>
    <w:rsid w:val="00652AC9"/>
    <w:rsid w:val="00652B01"/>
    <w:rsid w:val="00652B09"/>
    <w:rsid w:val="00652B94"/>
    <w:rsid w:val="00652BDB"/>
    <w:rsid w:val="00652C00"/>
    <w:rsid w:val="00652CB3"/>
    <w:rsid w:val="00652CB4"/>
    <w:rsid w:val="00652CCE"/>
    <w:rsid w:val="00652D01"/>
    <w:rsid w:val="00652D5C"/>
    <w:rsid w:val="00652E08"/>
    <w:rsid w:val="00652E0A"/>
    <w:rsid w:val="00652E11"/>
    <w:rsid w:val="00652E1F"/>
    <w:rsid w:val="00652E3A"/>
    <w:rsid w:val="00652E5F"/>
    <w:rsid w:val="00652EA0"/>
    <w:rsid w:val="00652EB6"/>
    <w:rsid w:val="00652EBE"/>
    <w:rsid w:val="00652ECF"/>
    <w:rsid w:val="00652EE5"/>
    <w:rsid w:val="00652EF8"/>
    <w:rsid w:val="00652F12"/>
    <w:rsid w:val="00652F72"/>
    <w:rsid w:val="00652F7F"/>
    <w:rsid w:val="00652F94"/>
    <w:rsid w:val="00652FA8"/>
    <w:rsid w:val="00652FE0"/>
    <w:rsid w:val="006530A9"/>
    <w:rsid w:val="006530B0"/>
    <w:rsid w:val="006530B4"/>
    <w:rsid w:val="006530D5"/>
    <w:rsid w:val="006530EF"/>
    <w:rsid w:val="00653143"/>
    <w:rsid w:val="00653181"/>
    <w:rsid w:val="0065319C"/>
    <w:rsid w:val="006531B8"/>
    <w:rsid w:val="00653220"/>
    <w:rsid w:val="00653278"/>
    <w:rsid w:val="006532DE"/>
    <w:rsid w:val="00653314"/>
    <w:rsid w:val="00653371"/>
    <w:rsid w:val="00653379"/>
    <w:rsid w:val="006533A9"/>
    <w:rsid w:val="00653417"/>
    <w:rsid w:val="0065341D"/>
    <w:rsid w:val="0065344B"/>
    <w:rsid w:val="00653456"/>
    <w:rsid w:val="006534E3"/>
    <w:rsid w:val="006534F1"/>
    <w:rsid w:val="006534F2"/>
    <w:rsid w:val="00653512"/>
    <w:rsid w:val="00653540"/>
    <w:rsid w:val="0065356C"/>
    <w:rsid w:val="00653577"/>
    <w:rsid w:val="0065357E"/>
    <w:rsid w:val="00653604"/>
    <w:rsid w:val="0065366E"/>
    <w:rsid w:val="006536B5"/>
    <w:rsid w:val="0065371A"/>
    <w:rsid w:val="0065377A"/>
    <w:rsid w:val="006537C4"/>
    <w:rsid w:val="006537D8"/>
    <w:rsid w:val="006537E5"/>
    <w:rsid w:val="006537E6"/>
    <w:rsid w:val="006537F2"/>
    <w:rsid w:val="006537F7"/>
    <w:rsid w:val="00653865"/>
    <w:rsid w:val="00653923"/>
    <w:rsid w:val="006539E9"/>
    <w:rsid w:val="006539F5"/>
    <w:rsid w:val="00653AE0"/>
    <w:rsid w:val="00653B2C"/>
    <w:rsid w:val="00653B83"/>
    <w:rsid w:val="00653BD3"/>
    <w:rsid w:val="00653BE5"/>
    <w:rsid w:val="00653C1A"/>
    <w:rsid w:val="00653C51"/>
    <w:rsid w:val="00653C89"/>
    <w:rsid w:val="00653CBD"/>
    <w:rsid w:val="00653CF1"/>
    <w:rsid w:val="00653CF6"/>
    <w:rsid w:val="00653D8B"/>
    <w:rsid w:val="00653EBD"/>
    <w:rsid w:val="00653F3C"/>
    <w:rsid w:val="00653F40"/>
    <w:rsid w:val="00653F44"/>
    <w:rsid w:val="00653F53"/>
    <w:rsid w:val="00653F6C"/>
    <w:rsid w:val="00653F88"/>
    <w:rsid w:val="00653FB6"/>
    <w:rsid w:val="00653FEE"/>
    <w:rsid w:val="00653FF7"/>
    <w:rsid w:val="0065401C"/>
    <w:rsid w:val="00654065"/>
    <w:rsid w:val="00654080"/>
    <w:rsid w:val="006540EA"/>
    <w:rsid w:val="00654167"/>
    <w:rsid w:val="006541DB"/>
    <w:rsid w:val="006541E7"/>
    <w:rsid w:val="00654202"/>
    <w:rsid w:val="0065420A"/>
    <w:rsid w:val="0065427E"/>
    <w:rsid w:val="0065431A"/>
    <w:rsid w:val="0065433C"/>
    <w:rsid w:val="0065435B"/>
    <w:rsid w:val="00654395"/>
    <w:rsid w:val="0065439E"/>
    <w:rsid w:val="006543A0"/>
    <w:rsid w:val="006543BD"/>
    <w:rsid w:val="006543E7"/>
    <w:rsid w:val="00654480"/>
    <w:rsid w:val="006544D4"/>
    <w:rsid w:val="006544D9"/>
    <w:rsid w:val="00654500"/>
    <w:rsid w:val="00654510"/>
    <w:rsid w:val="00654587"/>
    <w:rsid w:val="006546DB"/>
    <w:rsid w:val="006546ED"/>
    <w:rsid w:val="00654716"/>
    <w:rsid w:val="0065474F"/>
    <w:rsid w:val="00654755"/>
    <w:rsid w:val="00654770"/>
    <w:rsid w:val="0065478E"/>
    <w:rsid w:val="006547AA"/>
    <w:rsid w:val="0065481A"/>
    <w:rsid w:val="0065481D"/>
    <w:rsid w:val="00654820"/>
    <w:rsid w:val="00654835"/>
    <w:rsid w:val="00654845"/>
    <w:rsid w:val="0065484C"/>
    <w:rsid w:val="006548E8"/>
    <w:rsid w:val="00654915"/>
    <w:rsid w:val="00654936"/>
    <w:rsid w:val="0065493A"/>
    <w:rsid w:val="0065493B"/>
    <w:rsid w:val="006549FB"/>
    <w:rsid w:val="00654A1E"/>
    <w:rsid w:val="00654A78"/>
    <w:rsid w:val="00654AFC"/>
    <w:rsid w:val="00654B62"/>
    <w:rsid w:val="00654B92"/>
    <w:rsid w:val="00654C68"/>
    <w:rsid w:val="00654C69"/>
    <w:rsid w:val="00654C82"/>
    <w:rsid w:val="00654C92"/>
    <w:rsid w:val="00654CB5"/>
    <w:rsid w:val="00654CB6"/>
    <w:rsid w:val="00654DAE"/>
    <w:rsid w:val="00654DDA"/>
    <w:rsid w:val="00654E4C"/>
    <w:rsid w:val="00654EA5"/>
    <w:rsid w:val="00654EAF"/>
    <w:rsid w:val="00654EFE"/>
    <w:rsid w:val="00654F87"/>
    <w:rsid w:val="00654F88"/>
    <w:rsid w:val="00654FB1"/>
    <w:rsid w:val="00654FC6"/>
    <w:rsid w:val="0065503F"/>
    <w:rsid w:val="0065509C"/>
    <w:rsid w:val="006551F8"/>
    <w:rsid w:val="006552B6"/>
    <w:rsid w:val="006552EC"/>
    <w:rsid w:val="00655306"/>
    <w:rsid w:val="00655396"/>
    <w:rsid w:val="006553B7"/>
    <w:rsid w:val="006553D9"/>
    <w:rsid w:val="006553F6"/>
    <w:rsid w:val="0065541E"/>
    <w:rsid w:val="0065543D"/>
    <w:rsid w:val="00655482"/>
    <w:rsid w:val="006554D5"/>
    <w:rsid w:val="006554EC"/>
    <w:rsid w:val="006554EE"/>
    <w:rsid w:val="006554F1"/>
    <w:rsid w:val="00655530"/>
    <w:rsid w:val="006555E7"/>
    <w:rsid w:val="006556C8"/>
    <w:rsid w:val="00655805"/>
    <w:rsid w:val="00655869"/>
    <w:rsid w:val="00655927"/>
    <w:rsid w:val="00655928"/>
    <w:rsid w:val="00655969"/>
    <w:rsid w:val="00655984"/>
    <w:rsid w:val="006559C8"/>
    <w:rsid w:val="006559D9"/>
    <w:rsid w:val="006559E2"/>
    <w:rsid w:val="006559EC"/>
    <w:rsid w:val="00655A0F"/>
    <w:rsid w:val="00655A4A"/>
    <w:rsid w:val="00655A58"/>
    <w:rsid w:val="00655ADF"/>
    <w:rsid w:val="00655B20"/>
    <w:rsid w:val="00655C34"/>
    <w:rsid w:val="00655C35"/>
    <w:rsid w:val="00655C6A"/>
    <w:rsid w:val="00655D06"/>
    <w:rsid w:val="00655D35"/>
    <w:rsid w:val="00655DBC"/>
    <w:rsid w:val="00655DFF"/>
    <w:rsid w:val="00655E56"/>
    <w:rsid w:val="00655E76"/>
    <w:rsid w:val="00655F0B"/>
    <w:rsid w:val="00655F37"/>
    <w:rsid w:val="00655F40"/>
    <w:rsid w:val="00655F65"/>
    <w:rsid w:val="00655F6D"/>
    <w:rsid w:val="00655FD7"/>
    <w:rsid w:val="00655FDF"/>
    <w:rsid w:val="0065606F"/>
    <w:rsid w:val="0065608A"/>
    <w:rsid w:val="006560A8"/>
    <w:rsid w:val="006560D9"/>
    <w:rsid w:val="006560DB"/>
    <w:rsid w:val="00656123"/>
    <w:rsid w:val="00656175"/>
    <w:rsid w:val="006561A0"/>
    <w:rsid w:val="00656219"/>
    <w:rsid w:val="00656276"/>
    <w:rsid w:val="006563C3"/>
    <w:rsid w:val="00656449"/>
    <w:rsid w:val="0065655C"/>
    <w:rsid w:val="00656585"/>
    <w:rsid w:val="0065658D"/>
    <w:rsid w:val="006565B3"/>
    <w:rsid w:val="006565D1"/>
    <w:rsid w:val="006566CC"/>
    <w:rsid w:val="0065671B"/>
    <w:rsid w:val="00656726"/>
    <w:rsid w:val="006567A8"/>
    <w:rsid w:val="0065686C"/>
    <w:rsid w:val="006568AB"/>
    <w:rsid w:val="00656932"/>
    <w:rsid w:val="00656945"/>
    <w:rsid w:val="0065699A"/>
    <w:rsid w:val="00656A71"/>
    <w:rsid w:val="00656AE5"/>
    <w:rsid w:val="00656AF5"/>
    <w:rsid w:val="00656B1E"/>
    <w:rsid w:val="00656B1F"/>
    <w:rsid w:val="00656B2D"/>
    <w:rsid w:val="00656B3B"/>
    <w:rsid w:val="00656C1E"/>
    <w:rsid w:val="00656C62"/>
    <w:rsid w:val="00656CB8"/>
    <w:rsid w:val="00656D4F"/>
    <w:rsid w:val="00656E7D"/>
    <w:rsid w:val="00656EAA"/>
    <w:rsid w:val="00656F0A"/>
    <w:rsid w:val="00656F72"/>
    <w:rsid w:val="00656F88"/>
    <w:rsid w:val="00656F99"/>
    <w:rsid w:val="00656FD6"/>
    <w:rsid w:val="00656FE5"/>
    <w:rsid w:val="0065701C"/>
    <w:rsid w:val="006570F4"/>
    <w:rsid w:val="00657123"/>
    <w:rsid w:val="00657160"/>
    <w:rsid w:val="0065719F"/>
    <w:rsid w:val="006571F0"/>
    <w:rsid w:val="0065722F"/>
    <w:rsid w:val="00657247"/>
    <w:rsid w:val="0065724D"/>
    <w:rsid w:val="00657284"/>
    <w:rsid w:val="006572BE"/>
    <w:rsid w:val="006572C9"/>
    <w:rsid w:val="006572E8"/>
    <w:rsid w:val="00657321"/>
    <w:rsid w:val="0065737C"/>
    <w:rsid w:val="0065738E"/>
    <w:rsid w:val="00657395"/>
    <w:rsid w:val="006573A3"/>
    <w:rsid w:val="006573C1"/>
    <w:rsid w:val="006573F0"/>
    <w:rsid w:val="00657439"/>
    <w:rsid w:val="00657447"/>
    <w:rsid w:val="0065749A"/>
    <w:rsid w:val="0065749F"/>
    <w:rsid w:val="006574D6"/>
    <w:rsid w:val="00657516"/>
    <w:rsid w:val="0065753C"/>
    <w:rsid w:val="0065755C"/>
    <w:rsid w:val="00657598"/>
    <w:rsid w:val="006575F7"/>
    <w:rsid w:val="00657641"/>
    <w:rsid w:val="00657648"/>
    <w:rsid w:val="0065765C"/>
    <w:rsid w:val="00657687"/>
    <w:rsid w:val="006576C1"/>
    <w:rsid w:val="006576FA"/>
    <w:rsid w:val="00657739"/>
    <w:rsid w:val="0065778A"/>
    <w:rsid w:val="006577C7"/>
    <w:rsid w:val="006577E2"/>
    <w:rsid w:val="00657814"/>
    <w:rsid w:val="0065784C"/>
    <w:rsid w:val="006578E1"/>
    <w:rsid w:val="0065796E"/>
    <w:rsid w:val="00657994"/>
    <w:rsid w:val="006579E4"/>
    <w:rsid w:val="00657A45"/>
    <w:rsid w:val="00657A6C"/>
    <w:rsid w:val="00657AC9"/>
    <w:rsid w:val="00657AF9"/>
    <w:rsid w:val="00657AFE"/>
    <w:rsid w:val="00657B04"/>
    <w:rsid w:val="00657B59"/>
    <w:rsid w:val="00657B75"/>
    <w:rsid w:val="00657BA5"/>
    <w:rsid w:val="00657BB4"/>
    <w:rsid w:val="00657BC2"/>
    <w:rsid w:val="00657C1F"/>
    <w:rsid w:val="00657C6C"/>
    <w:rsid w:val="00657C88"/>
    <w:rsid w:val="00657CB1"/>
    <w:rsid w:val="00657CBD"/>
    <w:rsid w:val="00657CE8"/>
    <w:rsid w:val="00657D12"/>
    <w:rsid w:val="00657DB2"/>
    <w:rsid w:val="00657ECF"/>
    <w:rsid w:val="00657F30"/>
    <w:rsid w:val="006600D0"/>
    <w:rsid w:val="006600E4"/>
    <w:rsid w:val="00660151"/>
    <w:rsid w:val="00660190"/>
    <w:rsid w:val="006601A3"/>
    <w:rsid w:val="006601B2"/>
    <w:rsid w:val="0066024A"/>
    <w:rsid w:val="00660273"/>
    <w:rsid w:val="00660361"/>
    <w:rsid w:val="0066037C"/>
    <w:rsid w:val="006603BD"/>
    <w:rsid w:val="006603E6"/>
    <w:rsid w:val="0066040E"/>
    <w:rsid w:val="0066041A"/>
    <w:rsid w:val="00660439"/>
    <w:rsid w:val="00660536"/>
    <w:rsid w:val="00660584"/>
    <w:rsid w:val="006605E1"/>
    <w:rsid w:val="00660656"/>
    <w:rsid w:val="0066065E"/>
    <w:rsid w:val="00660674"/>
    <w:rsid w:val="006606AD"/>
    <w:rsid w:val="0066072F"/>
    <w:rsid w:val="0066077E"/>
    <w:rsid w:val="00660812"/>
    <w:rsid w:val="0066081D"/>
    <w:rsid w:val="0066085E"/>
    <w:rsid w:val="006608F1"/>
    <w:rsid w:val="00660923"/>
    <w:rsid w:val="0066092B"/>
    <w:rsid w:val="00660930"/>
    <w:rsid w:val="0066094F"/>
    <w:rsid w:val="00660969"/>
    <w:rsid w:val="006609BA"/>
    <w:rsid w:val="006609F4"/>
    <w:rsid w:val="00660A11"/>
    <w:rsid w:val="00660A6B"/>
    <w:rsid w:val="00660A86"/>
    <w:rsid w:val="00660A9E"/>
    <w:rsid w:val="00660AB2"/>
    <w:rsid w:val="00660AEB"/>
    <w:rsid w:val="00660B0A"/>
    <w:rsid w:val="00660BEC"/>
    <w:rsid w:val="00660C5B"/>
    <w:rsid w:val="00660C85"/>
    <w:rsid w:val="00660C95"/>
    <w:rsid w:val="00660CBC"/>
    <w:rsid w:val="00660D16"/>
    <w:rsid w:val="00660D9B"/>
    <w:rsid w:val="00660DB2"/>
    <w:rsid w:val="00660E15"/>
    <w:rsid w:val="00660E25"/>
    <w:rsid w:val="00660E2F"/>
    <w:rsid w:val="00660E3E"/>
    <w:rsid w:val="00660E82"/>
    <w:rsid w:val="00660EF4"/>
    <w:rsid w:val="00660F1C"/>
    <w:rsid w:val="00660F82"/>
    <w:rsid w:val="00660FA9"/>
    <w:rsid w:val="00661027"/>
    <w:rsid w:val="006610A0"/>
    <w:rsid w:val="006610A1"/>
    <w:rsid w:val="006610AD"/>
    <w:rsid w:val="006610B4"/>
    <w:rsid w:val="006610BE"/>
    <w:rsid w:val="006611BB"/>
    <w:rsid w:val="00661211"/>
    <w:rsid w:val="0066122C"/>
    <w:rsid w:val="00661230"/>
    <w:rsid w:val="00661294"/>
    <w:rsid w:val="006612A7"/>
    <w:rsid w:val="006612AC"/>
    <w:rsid w:val="006612E0"/>
    <w:rsid w:val="00661362"/>
    <w:rsid w:val="00661368"/>
    <w:rsid w:val="006613C2"/>
    <w:rsid w:val="00661432"/>
    <w:rsid w:val="00661455"/>
    <w:rsid w:val="00661558"/>
    <w:rsid w:val="00661575"/>
    <w:rsid w:val="006615BA"/>
    <w:rsid w:val="006615E1"/>
    <w:rsid w:val="006615FC"/>
    <w:rsid w:val="00661644"/>
    <w:rsid w:val="00661665"/>
    <w:rsid w:val="00661679"/>
    <w:rsid w:val="006616AB"/>
    <w:rsid w:val="006617B7"/>
    <w:rsid w:val="006618B0"/>
    <w:rsid w:val="00661935"/>
    <w:rsid w:val="00661942"/>
    <w:rsid w:val="0066195E"/>
    <w:rsid w:val="00661960"/>
    <w:rsid w:val="00661969"/>
    <w:rsid w:val="00661987"/>
    <w:rsid w:val="00661998"/>
    <w:rsid w:val="006619C7"/>
    <w:rsid w:val="00661A8B"/>
    <w:rsid w:val="00661AB1"/>
    <w:rsid w:val="00661AC7"/>
    <w:rsid w:val="00661B06"/>
    <w:rsid w:val="00661BCA"/>
    <w:rsid w:val="00661C5A"/>
    <w:rsid w:val="00661CB1"/>
    <w:rsid w:val="00661CDA"/>
    <w:rsid w:val="00661D55"/>
    <w:rsid w:val="00661D69"/>
    <w:rsid w:val="00661DB7"/>
    <w:rsid w:val="00661DB8"/>
    <w:rsid w:val="00661DF0"/>
    <w:rsid w:val="00661E2C"/>
    <w:rsid w:val="00661E5D"/>
    <w:rsid w:val="00661E74"/>
    <w:rsid w:val="00661E89"/>
    <w:rsid w:val="00661F11"/>
    <w:rsid w:val="00661FB4"/>
    <w:rsid w:val="00661FD7"/>
    <w:rsid w:val="00661FDB"/>
    <w:rsid w:val="00662085"/>
    <w:rsid w:val="006620CE"/>
    <w:rsid w:val="00662131"/>
    <w:rsid w:val="006621D4"/>
    <w:rsid w:val="006621DA"/>
    <w:rsid w:val="00662210"/>
    <w:rsid w:val="0066227B"/>
    <w:rsid w:val="0066234D"/>
    <w:rsid w:val="00662384"/>
    <w:rsid w:val="006623A3"/>
    <w:rsid w:val="006623BF"/>
    <w:rsid w:val="006623C5"/>
    <w:rsid w:val="00662432"/>
    <w:rsid w:val="0066245E"/>
    <w:rsid w:val="0066249F"/>
    <w:rsid w:val="00662595"/>
    <w:rsid w:val="006625F7"/>
    <w:rsid w:val="00662692"/>
    <w:rsid w:val="006626C8"/>
    <w:rsid w:val="00662711"/>
    <w:rsid w:val="00662785"/>
    <w:rsid w:val="0066279B"/>
    <w:rsid w:val="0066279E"/>
    <w:rsid w:val="006627A6"/>
    <w:rsid w:val="00662829"/>
    <w:rsid w:val="006628D1"/>
    <w:rsid w:val="0066295F"/>
    <w:rsid w:val="00662993"/>
    <w:rsid w:val="006629BD"/>
    <w:rsid w:val="00662A12"/>
    <w:rsid w:val="00662A22"/>
    <w:rsid w:val="00662A28"/>
    <w:rsid w:val="00662B44"/>
    <w:rsid w:val="00662B69"/>
    <w:rsid w:val="00662B75"/>
    <w:rsid w:val="00662CC6"/>
    <w:rsid w:val="00662D49"/>
    <w:rsid w:val="00662E15"/>
    <w:rsid w:val="00662E23"/>
    <w:rsid w:val="00662E84"/>
    <w:rsid w:val="00662EA7"/>
    <w:rsid w:val="00662EEA"/>
    <w:rsid w:val="00662EEC"/>
    <w:rsid w:val="00662EFA"/>
    <w:rsid w:val="00663086"/>
    <w:rsid w:val="006630E6"/>
    <w:rsid w:val="00663118"/>
    <w:rsid w:val="0066314C"/>
    <w:rsid w:val="0066314D"/>
    <w:rsid w:val="0066317B"/>
    <w:rsid w:val="006631BF"/>
    <w:rsid w:val="0066320D"/>
    <w:rsid w:val="00663219"/>
    <w:rsid w:val="00663235"/>
    <w:rsid w:val="0066329E"/>
    <w:rsid w:val="006632F0"/>
    <w:rsid w:val="0066331F"/>
    <w:rsid w:val="00663321"/>
    <w:rsid w:val="00663393"/>
    <w:rsid w:val="006633EA"/>
    <w:rsid w:val="0066342C"/>
    <w:rsid w:val="00663465"/>
    <w:rsid w:val="0066348A"/>
    <w:rsid w:val="0066348F"/>
    <w:rsid w:val="00663571"/>
    <w:rsid w:val="006635AB"/>
    <w:rsid w:val="006635D1"/>
    <w:rsid w:val="006635E7"/>
    <w:rsid w:val="00663604"/>
    <w:rsid w:val="0066364A"/>
    <w:rsid w:val="00663656"/>
    <w:rsid w:val="00663697"/>
    <w:rsid w:val="006636F3"/>
    <w:rsid w:val="00663711"/>
    <w:rsid w:val="00663712"/>
    <w:rsid w:val="00663732"/>
    <w:rsid w:val="00663734"/>
    <w:rsid w:val="006637B9"/>
    <w:rsid w:val="006637DC"/>
    <w:rsid w:val="006637ED"/>
    <w:rsid w:val="00663854"/>
    <w:rsid w:val="00663946"/>
    <w:rsid w:val="00663996"/>
    <w:rsid w:val="00663997"/>
    <w:rsid w:val="006639A1"/>
    <w:rsid w:val="006639C8"/>
    <w:rsid w:val="006639DE"/>
    <w:rsid w:val="00663A23"/>
    <w:rsid w:val="00663A26"/>
    <w:rsid w:val="00663A5C"/>
    <w:rsid w:val="00663A7F"/>
    <w:rsid w:val="00663A95"/>
    <w:rsid w:val="00663ABD"/>
    <w:rsid w:val="00663AC1"/>
    <w:rsid w:val="00663ACE"/>
    <w:rsid w:val="00663AF3"/>
    <w:rsid w:val="00663AFE"/>
    <w:rsid w:val="00663B05"/>
    <w:rsid w:val="00663B6D"/>
    <w:rsid w:val="00663C09"/>
    <w:rsid w:val="00663C3D"/>
    <w:rsid w:val="00663C46"/>
    <w:rsid w:val="00663CE7"/>
    <w:rsid w:val="00663D1C"/>
    <w:rsid w:val="00663D75"/>
    <w:rsid w:val="00663DAC"/>
    <w:rsid w:val="00663DAE"/>
    <w:rsid w:val="00663E33"/>
    <w:rsid w:val="00663E45"/>
    <w:rsid w:val="00663EE9"/>
    <w:rsid w:val="00663FB7"/>
    <w:rsid w:val="006640C9"/>
    <w:rsid w:val="0066410A"/>
    <w:rsid w:val="006641C2"/>
    <w:rsid w:val="006641DB"/>
    <w:rsid w:val="006641E2"/>
    <w:rsid w:val="0066423E"/>
    <w:rsid w:val="00664293"/>
    <w:rsid w:val="0066432B"/>
    <w:rsid w:val="006643C7"/>
    <w:rsid w:val="006643D7"/>
    <w:rsid w:val="006643F1"/>
    <w:rsid w:val="0066441C"/>
    <w:rsid w:val="006644ED"/>
    <w:rsid w:val="00664507"/>
    <w:rsid w:val="00664521"/>
    <w:rsid w:val="0066453A"/>
    <w:rsid w:val="00664587"/>
    <w:rsid w:val="00664588"/>
    <w:rsid w:val="0066459D"/>
    <w:rsid w:val="006645B0"/>
    <w:rsid w:val="00664653"/>
    <w:rsid w:val="00664673"/>
    <w:rsid w:val="0066467D"/>
    <w:rsid w:val="006646BA"/>
    <w:rsid w:val="006646F1"/>
    <w:rsid w:val="00664749"/>
    <w:rsid w:val="00664759"/>
    <w:rsid w:val="00664794"/>
    <w:rsid w:val="0066486A"/>
    <w:rsid w:val="0066487D"/>
    <w:rsid w:val="00664888"/>
    <w:rsid w:val="006648FE"/>
    <w:rsid w:val="0066492C"/>
    <w:rsid w:val="00664933"/>
    <w:rsid w:val="00664938"/>
    <w:rsid w:val="00664946"/>
    <w:rsid w:val="00664976"/>
    <w:rsid w:val="006649A8"/>
    <w:rsid w:val="00664A35"/>
    <w:rsid w:val="00664A50"/>
    <w:rsid w:val="00664AC8"/>
    <w:rsid w:val="00664B4D"/>
    <w:rsid w:val="00664C3C"/>
    <w:rsid w:val="00664CAE"/>
    <w:rsid w:val="00664CF6"/>
    <w:rsid w:val="00664D1F"/>
    <w:rsid w:val="00664D28"/>
    <w:rsid w:val="00664D2D"/>
    <w:rsid w:val="00664D55"/>
    <w:rsid w:val="00664E1A"/>
    <w:rsid w:val="00664E59"/>
    <w:rsid w:val="00664EF4"/>
    <w:rsid w:val="00664F3C"/>
    <w:rsid w:val="00664FED"/>
    <w:rsid w:val="0066504B"/>
    <w:rsid w:val="006650C3"/>
    <w:rsid w:val="0066512F"/>
    <w:rsid w:val="00665136"/>
    <w:rsid w:val="00665156"/>
    <w:rsid w:val="0066527C"/>
    <w:rsid w:val="00665280"/>
    <w:rsid w:val="006652DC"/>
    <w:rsid w:val="00665318"/>
    <w:rsid w:val="0066533B"/>
    <w:rsid w:val="0066534D"/>
    <w:rsid w:val="0066537A"/>
    <w:rsid w:val="0066539D"/>
    <w:rsid w:val="006653BD"/>
    <w:rsid w:val="006654A0"/>
    <w:rsid w:val="00665525"/>
    <w:rsid w:val="00665596"/>
    <w:rsid w:val="006655A7"/>
    <w:rsid w:val="006655D4"/>
    <w:rsid w:val="006655F0"/>
    <w:rsid w:val="006655FC"/>
    <w:rsid w:val="00665620"/>
    <w:rsid w:val="006656B9"/>
    <w:rsid w:val="0066575F"/>
    <w:rsid w:val="00665851"/>
    <w:rsid w:val="00665953"/>
    <w:rsid w:val="006659A2"/>
    <w:rsid w:val="006659C1"/>
    <w:rsid w:val="006659D4"/>
    <w:rsid w:val="00665A49"/>
    <w:rsid w:val="00665AB3"/>
    <w:rsid w:val="00665AC1"/>
    <w:rsid w:val="00665B9F"/>
    <w:rsid w:val="00665BA1"/>
    <w:rsid w:val="00665BDF"/>
    <w:rsid w:val="00665C02"/>
    <w:rsid w:val="00665C6C"/>
    <w:rsid w:val="00665D1C"/>
    <w:rsid w:val="00665D4B"/>
    <w:rsid w:val="00665D6C"/>
    <w:rsid w:val="00665D85"/>
    <w:rsid w:val="00665E25"/>
    <w:rsid w:val="00665E58"/>
    <w:rsid w:val="00665E6D"/>
    <w:rsid w:val="00665ECF"/>
    <w:rsid w:val="00665EF8"/>
    <w:rsid w:val="00665FA8"/>
    <w:rsid w:val="00665FB4"/>
    <w:rsid w:val="00666049"/>
    <w:rsid w:val="00666059"/>
    <w:rsid w:val="0066605F"/>
    <w:rsid w:val="00666089"/>
    <w:rsid w:val="00666093"/>
    <w:rsid w:val="006660ED"/>
    <w:rsid w:val="0066619D"/>
    <w:rsid w:val="006661C0"/>
    <w:rsid w:val="006661F5"/>
    <w:rsid w:val="0066624D"/>
    <w:rsid w:val="00666310"/>
    <w:rsid w:val="0066637F"/>
    <w:rsid w:val="00666386"/>
    <w:rsid w:val="00666409"/>
    <w:rsid w:val="0066640B"/>
    <w:rsid w:val="006664CE"/>
    <w:rsid w:val="0066655D"/>
    <w:rsid w:val="006665A4"/>
    <w:rsid w:val="006665C3"/>
    <w:rsid w:val="00666747"/>
    <w:rsid w:val="00666783"/>
    <w:rsid w:val="00666788"/>
    <w:rsid w:val="006668B4"/>
    <w:rsid w:val="00666919"/>
    <w:rsid w:val="00666920"/>
    <w:rsid w:val="0066692A"/>
    <w:rsid w:val="00666A4C"/>
    <w:rsid w:val="00666A6D"/>
    <w:rsid w:val="00666AEA"/>
    <w:rsid w:val="00666B26"/>
    <w:rsid w:val="00666B86"/>
    <w:rsid w:val="00666BB5"/>
    <w:rsid w:val="00666BD1"/>
    <w:rsid w:val="00666BDA"/>
    <w:rsid w:val="00666C00"/>
    <w:rsid w:val="00666CC4"/>
    <w:rsid w:val="00666D17"/>
    <w:rsid w:val="00666D87"/>
    <w:rsid w:val="00666D88"/>
    <w:rsid w:val="00666E22"/>
    <w:rsid w:val="00666E88"/>
    <w:rsid w:val="00666E9F"/>
    <w:rsid w:val="00666EA0"/>
    <w:rsid w:val="00666EDC"/>
    <w:rsid w:val="00666F1B"/>
    <w:rsid w:val="00666F3D"/>
    <w:rsid w:val="00666FD3"/>
    <w:rsid w:val="00667008"/>
    <w:rsid w:val="00667030"/>
    <w:rsid w:val="00667094"/>
    <w:rsid w:val="006670A6"/>
    <w:rsid w:val="0066715D"/>
    <w:rsid w:val="00667166"/>
    <w:rsid w:val="00667254"/>
    <w:rsid w:val="00667264"/>
    <w:rsid w:val="006672E1"/>
    <w:rsid w:val="006672FF"/>
    <w:rsid w:val="00667362"/>
    <w:rsid w:val="00667364"/>
    <w:rsid w:val="00667378"/>
    <w:rsid w:val="00667381"/>
    <w:rsid w:val="006673EB"/>
    <w:rsid w:val="006674CE"/>
    <w:rsid w:val="0066752B"/>
    <w:rsid w:val="00667570"/>
    <w:rsid w:val="006675C9"/>
    <w:rsid w:val="006675F0"/>
    <w:rsid w:val="00667644"/>
    <w:rsid w:val="0066765B"/>
    <w:rsid w:val="0066768E"/>
    <w:rsid w:val="006676C6"/>
    <w:rsid w:val="00667709"/>
    <w:rsid w:val="00667736"/>
    <w:rsid w:val="00667737"/>
    <w:rsid w:val="0066773B"/>
    <w:rsid w:val="00667753"/>
    <w:rsid w:val="00667789"/>
    <w:rsid w:val="006677B5"/>
    <w:rsid w:val="006677B8"/>
    <w:rsid w:val="006677C5"/>
    <w:rsid w:val="0066788B"/>
    <w:rsid w:val="006678AA"/>
    <w:rsid w:val="006678CA"/>
    <w:rsid w:val="0066795F"/>
    <w:rsid w:val="00667989"/>
    <w:rsid w:val="006679AE"/>
    <w:rsid w:val="00667A5E"/>
    <w:rsid w:val="00667A94"/>
    <w:rsid w:val="00667AA4"/>
    <w:rsid w:val="00667AAC"/>
    <w:rsid w:val="00667B06"/>
    <w:rsid w:val="00667B3B"/>
    <w:rsid w:val="00667BD8"/>
    <w:rsid w:val="00667BEB"/>
    <w:rsid w:val="00667BF9"/>
    <w:rsid w:val="00667C47"/>
    <w:rsid w:val="00667C5B"/>
    <w:rsid w:val="00667C84"/>
    <w:rsid w:val="00667C9E"/>
    <w:rsid w:val="00667CB9"/>
    <w:rsid w:val="00667D30"/>
    <w:rsid w:val="00667D50"/>
    <w:rsid w:val="00667D87"/>
    <w:rsid w:val="00667DA7"/>
    <w:rsid w:val="00667DBA"/>
    <w:rsid w:val="00667E30"/>
    <w:rsid w:val="00667EBB"/>
    <w:rsid w:val="00667F49"/>
    <w:rsid w:val="00667F66"/>
    <w:rsid w:val="00667F98"/>
    <w:rsid w:val="00667FE4"/>
    <w:rsid w:val="00670010"/>
    <w:rsid w:val="00670083"/>
    <w:rsid w:val="00670088"/>
    <w:rsid w:val="00670165"/>
    <w:rsid w:val="006701BD"/>
    <w:rsid w:val="006701CE"/>
    <w:rsid w:val="00670230"/>
    <w:rsid w:val="006702D6"/>
    <w:rsid w:val="0067038F"/>
    <w:rsid w:val="006703E6"/>
    <w:rsid w:val="006703FA"/>
    <w:rsid w:val="00670407"/>
    <w:rsid w:val="0067042D"/>
    <w:rsid w:val="0067043C"/>
    <w:rsid w:val="0067045A"/>
    <w:rsid w:val="00670493"/>
    <w:rsid w:val="006704DB"/>
    <w:rsid w:val="00670539"/>
    <w:rsid w:val="006705A2"/>
    <w:rsid w:val="006705CD"/>
    <w:rsid w:val="00670625"/>
    <w:rsid w:val="0067063C"/>
    <w:rsid w:val="00670649"/>
    <w:rsid w:val="00670713"/>
    <w:rsid w:val="0067074E"/>
    <w:rsid w:val="006707F1"/>
    <w:rsid w:val="00670837"/>
    <w:rsid w:val="00670839"/>
    <w:rsid w:val="00670916"/>
    <w:rsid w:val="0067093D"/>
    <w:rsid w:val="00670952"/>
    <w:rsid w:val="006709A8"/>
    <w:rsid w:val="00670A2E"/>
    <w:rsid w:val="00670A3F"/>
    <w:rsid w:val="00670AD1"/>
    <w:rsid w:val="00670B86"/>
    <w:rsid w:val="00670BAB"/>
    <w:rsid w:val="00670BC5"/>
    <w:rsid w:val="00670BFE"/>
    <w:rsid w:val="00670C3E"/>
    <w:rsid w:val="00670C4A"/>
    <w:rsid w:val="00670CD6"/>
    <w:rsid w:val="00670CF5"/>
    <w:rsid w:val="00670D37"/>
    <w:rsid w:val="00670D4B"/>
    <w:rsid w:val="00670D7D"/>
    <w:rsid w:val="00670D93"/>
    <w:rsid w:val="00670DF4"/>
    <w:rsid w:val="00670E00"/>
    <w:rsid w:val="00670E53"/>
    <w:rsid w:val="00670F2E"/>
    <w:rsid w:val="00670F49"/>
    <w:rsid w:val="00670F54"/>
    <w:rsid w:val="00671048"/>
    <w:rsid w:val="00671050"/>
    <w:rsid w:val="006710E4"/>
    <w:rsid w:val="0067111D"/>
    <w:rsid w:val="0067119C"/>
    <w:rsid w:val="006711CC"/>
    <w:rsid w:val="006711F7"/>
    <w:rsid w:val="006711FA"/>
    <w:rsid w:val="00671281"/>
    <w:rsid w:val="006712D4"/>
    <w:rsid w:val="006713B9"/>
    <w:rsid w:val="0067142A"/>
    <w:rsid w:val="00671439"/>
    <w:rsid w:val="0067145F"/>
    <w:rsid w:val="006714B3"/>
    <w:rsid w:val="00671505"/>
    <w:rsid w:val="00671538"/>
    <w:rsid w:val="00671546"/>
    <w:rsid w:val="0067157D"/>
    <w:rsid w:val="006715B2"/>
    <w:rsid w:val="0067165C"/>
    <w:rsid w:val="00671670"/>
    <w:rsid w:val="00671716"/>
    <w:rsid w:val="006717D4"/>
    <w:rsid w:val="0067184C"/>
    <w:rsid w:val="00671851"/>
    <w:rsid w:val="006718FB"/>
    <w:rsid w:val="0067191A"/>
    <w:rsid w:val="00671979"/>
    <w:rsid w:val="006719B1"/>
    <w:rsid w:val="006719B5"/>
    <w:rsid w:val="006719D4"/>
    <w:rsid w:val="006719F2"/>
    <w:rsid w:val="00671A7D"/>
    <w:rsid w:val="00671AA7"/>
    <w:rsid w:val="00671B33"/>
    <w:rsid w:val="00671B44"/>
    <w:rsid w:val="00671B4C"/>
    <w:rsid w:val="00671B67"/>
    <w:rsid w:val="00671B8C"/>
    <w:rsid w:val="00671BF0"/>
    <w:rsid w:val="00671BF4"/>
    <w:rsid w:val="00671C0B"/>
    <w:rsid w:val="00671C37"/>
    <w:rsid w:val="00671C5B"/>
    <w:rsid w:val="00671CE6"/>
    <w:rsid w:val="00671D97"/>
    <w:rsid w:val="00671DA1"/>
    <w:rsid w:val="00671E63"/>
    <w:rsid w:val="00671F0E"/>
    <w:rsid w:val="00671F15"/>
    <w:rsid w:val="00671F75"/>
    <w:rsid w:val="00671FD7"/>
    <w:rsid w:val="00671FDE"/>
    <w:rsid w:val="0067205D"/>
    <w:rsid w:val="006720EA"/>
    <w:rsid w:val="006720F3"/>
    <w:rsid w:val="006720F5"/>
    <w:rsid w:val="0067213C"/>
    <w:rsid w:val="00672162"/>
    <w:rsid w:val="00672184"/>
    <w:rsid w:val="00672277"/>
    <w:rsid w:val="00672290"/>
    <w:rsid w:val="00672297"/>
    <w:rsid w:val="006722D8"/>
    <w:rsid w:val="00672391"/>
    <w:rsid w:val="006723AB"/>
    <w:rsid w:val="006723E1"/>
    <w:rsid w:val="006723FD"/>
    <w:rsid w:val="0067241F"/>
    <w:rsid w:val="00672422"/>
    <w:rsid w:val="00672457"/>
    <w:rsid w:val="006724DA"/>
    <w:rsid w:val="00672520"/>
    <w:rsid w:val="00672545"/>
    <w:rsid w:val="0067254E"/>
    <w:rsid w:val="0067255A"/>
    <w:rsid w:val="0067256D"/>
    <w:rsid w:val="006725B9"/>
    <w:rsid w:val="00672613"/>
    <w:rsid w:val="0067261A"/>
    <w:rsid w:val="00672681"/>
    <w:rsid w:val="0067269B"/>
    <w:rsid w:val="006726FA"/>
    <w:rsid w:val="0067270D"/>
    <w:rsid w:val="0067271C"/>
    <w:rsid w:val="00672752"/>
    <w:rsid w:val="0067275E"/>
    <w:rsid w:val="0067276D"/>
    <w:rsid w:val="0067279A"/>
    <w:rsid w:val="00672806"/>
    <w:rsid w:val="006728CE"/>
    <w:rsid w:val="0067291F"/>
    <w:rsid w:val="00672991"/>
    <w:rsid w:val="006729D6"/>
    <w:rsid w:val="006729FF"/>
    <w:rsid w:val="00672A1D"/>
    <w:rsid w:val="00672A1F"/>
    <w:rsid w:val="00672A2B"/>
    <w:rsid w:val="00672A2F"/>
    <w:rsid w:val="00672A7E"/>
    <w:rsid w:val="00672B2A"/>
    <w:rsid w:val="00672B4B"/>
    <w:rsid w:val="00672B90"/>
    <w:rsid w:val="00672BD4"/>
    <w:rsid w:val="00672BF5"/>
    <w:rsid w:val="00672C5F"/>
    <w:rsid w:val="00672CF1"/>
    <w:rsid w:val="00672D16"/>
    <w:rsid w:val="00672D30"/>
    <w:rsid w:val="00672D82"/>
    <w:rsid w:val="00672DC5"/>
    <w:rsid w:val="00672E34"/>
    <w:rsid w:val="00672E91"/>
    <w:rsid w:val="00672EA5"/>
    <w:rsid w:val="00672EC1"/>
    <w:rsid w:val="00672F3C"/>
    <w:rsid w:val="00672FBA"/>
    <w:rsid w:val="00673074"/>
    <w:rsid w:val="006730BB"/>
    <w:rsid w:val="006730E0"/>
    <w:rsid w:val="006730F4"/>
    <w:rsid w:val="0067310D"/>
    <w:rsid w:val="00673146"/>
    <w:rsid w:val="00673150"/>
    <w:rsid w:val="00673186"/>
    <w:rsid w:val="006731EB"/>
    <w:rsid w:val="00673216"/>
    <w:rsid w:val="006732E5"/>
    <w:rsid w:val="00673319"/>
    <w:rsid w:val="00673448"/>
    <w:rsid w:val="0067347E"/>
    <w:rsid w:val="006734BD"/>
    <w:rsid w:val="006734D7"/>
    <w:rsid w:val="0067355B"/>
    <w:rsid w:val="00673564"/>
    <w:rsid w:val="006735A2"/>
    <w:rsid w:val="006735E1"/>
    <w:rsid w:val="00673620"/>
    <w:rsid w:val="0067364B"/>
    <w:rsid w:val="006736B9"/>
    <w:rsid w:val="006736CE"/>
    <w:rsid w:val="006736F0"/>
    <w:rsid w:val="0067370E"/>
    <w:rsid w:val="00673743"/>
    <w:rsid w:val="00673744"/>
    <w:rsid w:val="00673788"/>
    <w:rsid w:val="006737B4"/>
    <w:rsid w:val="00673829"/>
    <w:rsid w:val="0067383B"/>
    <w:rsid w:val="006738F8"/>
    <w:rsid w:val="0067390C"/>
    <w:rsid w:val="00673925"/>
    <w:rsid w:val="00673971"/>
    <w:rsid w:val="00673978"/>
    <w:rsid w:val="006739DC"/>
    <w:rsid w:val="006739EC"/>
    <w:rsid w:val="00673A04"/>
    <w:rsid w:val="00673A69"/>
    <w:rsid w:val="00673A76"/>
    <w:rsid w:val="00673AB1"/>
    <w:rsid w:val="00673AD3"/>
    <w:rsid w:val="00673AF2"/>
    <w:rsid w:val="00673B51"/>
    <w:rsid w:val="00673B77"/>
    <w:rsid w:val="00673B9D"/>
    <w:rsid w:val="00673BA1"/>
    <w:rsid w:val="00673BAD"/>
    <w:rsid w:val="00673BC1"/>
    <w:rsid w:val="00673BC3"/>
    <w:rsid w:val="00673BD5"/>
    <w:rsid w:val="00673BF8"/>
    <w:rsid w:val="00673C04"/>
    <w:rsid w:val="00673C2D"/>
    <w:rsid w:val="00673C52"/>
    <w:rsid w:val="00673C57"/>
    <w:rsid w:val="00673C70"/>
    <w:rsid w:val="00673DB8"/>
    <w:rsid w:val="00673DE4"/>
    <w:rsid w:val="00673E69"/>
    <w:rsid w:val="00673EE9"/>
    <w:rsid w:val="00673F08"/>
    <w:rsid w:val="00673F4B"/>
    <w:rsid w:val="00673F85"/>
    <w:rsid w:val="00674008"/>
    <w:rsid w:val="0067404E"/>
    <w:rsid w:val="006740BF"/>
    <w:rsid w:val="00674106"/>
    <w:rsid w:val="006742BB"/>
    <w:rsid w:val="00674312"/>
    <w:rsid w:val="0067432C"/>
    <w:rsid w:val="00674354"/>
    <w:rsid w:val="00674367"/>
    <w:rsid w:val="006743CE"/>
    <w:rsid w:val="006743E5"/>
    <w:rsid w:val="006743EA"/>
    <w:rsid w:val="006743FE"/>
    <w:rsid w:val="0067440E"/>
    <w:rsid w:val="00674469"/>
    <w:rsid w:val="00674496"/>
    <w:rsid w:val="006744A7"/>
    <w:rsid w:val="006744D6"/>
    <w:rsid w:val="00674551"/>
    <w:rsid w:val="00674599"/>
    <w:rsid w:val="006745FC"/>
    <w:rsid w:val="00674641"/>
    <w:rsid w:val="00674673"/>
    <w:rsid w:val="00674675"/>
    <w:rsid w:val="006746AC"/>
    <w:rsid w:val="00674737"/>
    <w:rsid w:val="0067474B"/>
    <w:rsid w:val="0067475B"/>
    <w:rsid w:val="00674776"/>
    <w:rsid w:val="006747ED"/>
    <w:rsid w:val="00674830"/>
    <w:rsid w:val="0067483B"/>
    <w:rsid w:val="006748A7"/>
    <w:rsid w:val="0067491E"/>
    <w:rsid w:val="00674971"/>
    <w:rsid w:val="006749A0"/>
    <w:rsid w:val="006749BB"/>
    <w:rsid w:val="006749E9"/>
    <w:rsid w:val="00674AB1"/>
    <w:rsid w:val="00674B64"/>
    <w:rsid w:val="00674B72"/>
    <w:rsid w:val="00674BA1"/>
    <w:rsid w:val="00674BB7"/>
    <w:rsid w:val="00674BBE"/>
    <w:rsid w:val="00674C44"/>
    <w:rsid w:val="00674CA5"/>
    <w:rsid w:val="00674D46"/>
    <w:rsid w:val="00674D5A"/>
    <w:rsid w:val="00674D62"/>
    <w:rsid w:val="00674DCC"/>
    <w:rsid w:val="00674E4C"/>
    <w:rsid w:val="00674E4F"/>
    <w:rsid w:val="00674E7F"/>
    <w:rsid w:val="00674E8F"/>
    <w:rsid w:val="00674E91"/>
    <w:rsid w:val="00674EA8"/>
    <w:rsid w:val="00674EDB"/>
    <w:rsid w:val="00674F7B"/>
    <w:rsid w:val="00675030"/>
    <w:rsid w:val="00675054"/>
    <w:rsid w:val="00675059"/>
    <w:rsid w:val="006750D3"/>
    <w:rsid w:val="00675191"/>
    <w:rsid w:val="00675229"/>
    <w:rsid w:val="0067530E"/>
    <w:rsid w:val="00675314"/>
    <w:rsid w:val="0067531E"/>
    <w:rsid w:val="00675387"/>
    <w:rsid w:val="0067538D"/>
    <w:rsid w:val="006753E1"/>
    <w:rsid w:val="006753F7"/>
    <w:rsid w:val="006754A7"/>
    <w:rsid w:val="006754AD"/>
    <w:rsid w:val="006754C6"/>
    <w:rsid w:val="00675537"/>
    <w:rsid w:val="00675554"/>
    <w:rsid w:val="00675583"/>
    <w:rsid w:val="006755A0"/>
    <w:rsid w:val="00675697"/>
    <w:rsid w:val="006756BF"/>
    <w:rsid w:val="006756D8"/>
    <w:rsid w:val="006756FE"/>
    <w:rsid w:val="00675731"/>
    <w:rsid w:val="00675747"/>
    <w:rsid w:val="00675762"/>
    <w:rsid w:val="0067577E"/>
    <w:rsid w:val="00675803"/>
    <w:rsid w:val="0067588D"/>
    <w:rsid w:val="006758CD"/>
    <w:rsid w:val="006758E1"/>
    <w:rsid w:val="006758FB"/>
    <w:rsid w:val="00675912"/>
    <w:rsid w:val="0067593B"/>
    <w:rsid w:val="006759C3"/>
    <w:rsid w:val="006759CE"/>
    <w:rsid w:val="00675A60"/>
    <w:rsid w:val="00675A6D"/>
    <w:rsid w:val="00675A71"/>
    <w:rsid w:val="00675A99"/>
    <w:rsid w:val="00675B88"/>
    <w:rsid w:val="00675C55"/>
    <w:rsid w:val="00675C64"/>
    <w:rsid w:val="00675C75"/>
    <w:rsid w:val="00675CCE"/>
    <w:rsid w:val="00675D00"/>
    <w:rsid w:val="00675DFB"/>
    <w:rsid w:val="00675E11"/>
    <w:rsid w:val="00675E1C"/>
    <w:rsid w:val="00675E2D"/>
    <w:rsid w:val="00675EDF"/>
    <w:rsid w:val="00675F21"/>
    <w:rsid w:val="00675F3F"/>
    <w:rsid w:val="00675F4E"/>
    <w:rsid w:val="00675F5A"/>
    <w:rsid w:val="00675F5C"/>
    <w:rsid w:val="00675F73"/>
    <w:rsid w:val="00675FA4"/>
    <w:rsid w:val="00675FE3"/>
    <w:rsid w:val="0067603C"/>
    <w:rsid w:val="00676078"/>
    <w:rsid w:val="00676093"/>
    <w:rsid w:val="0067610B"/>
    <w:rsid w:val="00676116"/>
    <w:rsid w:val="00676120"/>
    <w:rsid w:val="00676169"/>
    <w:rsid w:val="00676185"/>
    <w:rsid w:val="00676189"/>
    <w:rsid w:val="0067618B"/>
    <w:rsid w:val="006761A0"/>
    <w:rsid w:val="006761A2"/>
    <w:rsid w:val="0067622C"/>
    <w:rsid w:val="00676264"/>
    <w:rsid w:val="00676289"/>
    <w:rsid w:val="006762E8"/>
    <w:rsid w:val="006763EF"/>
    <w:rsid w:val="0067645D"/>
    <w:rsid w:val="00676489"/>
    <w:rsid w:val="006764A5"/>
    <w:rsid w:val="00676505"/>
    <w:rsid w:val="0067652E"/>
    <w:rsid w:val="0067653E"/>
    <w:rsid w:val="00676564"/>
    <w:rsid w:val="0067659F"/>
    <w:rsid w:val="00676670"/>
    <w:rsid w:val="0067668B"/>
    <w:rsid w:val="00676722"/>
    <w:rsid w:val="006767A8"/>
    <w:rsid w:val="006767AA"/>
    <w:rsid w:val="006768B9"/>
    <w:rsid w:val="006768D6"/>
    <w:rsid w:val="0067696E"/>
    <w:rsid w:val="0067697E"/>
    <w:rsid w:val="0067699F"/>
    <w:rsid w:val="006769A9"/>
    <w:rsid w:val="006769B0"/>
    <w:rsid w:val="006769D4"/>
    <w:rsid w:val="00676AA2"/>
    <w:rsid w:val="00676AAF"/>
    <w:rsid w:val="00676B7A"/>
    <w:rsid w:val="00676BB2"/>
    <w:rsid w:val="00676C1C"/>
    <w:rsid w:val="00676CB5"/>
    <w:rsid w:val="00676D1E"/>
    <w:rsid w:val="00676D5B"/>
    <w:rsid w:val="00676DB3"/>
    <w:rsid w:val="00676DCE"/>
    <w:rsid w:val="00676DDD"/>
    <w:rsid w:val="00676E05"/>
    <w:rsid w:val="00676E31"/>
    <w:rsid w:val="00676E6F"/>
    <w:rsid w:val="00676E86"/>
    <w:rsid w:val="00676EEE"/>
    <w:rsid w:val="00676EF4"/>
    <w:rsid w:val="00676F48"/>
    <w:rsid w:val="00676FA2"/>
    <w:rsid w:val="00676FA3"/>
    <w:rsid w:val="00676FBC"/>
    <w:rsid w:val="00676FF6"/>
    <w:rsid w:val="0067708F"/>
    <w:rsid w:val="006770D0"/>
    <w:rsid w:val="006770FA"/>
    <w:rsid w:val="00677110"/>
    <w:rsid w:val="00677145"/>
    <w:rsid w:val="00677146"/>
    <w:rsid w:val="00677153"/>
    <w:rsid w:val="00677157"/>
    <w:rsid w:val="006771EA"/>
    <w:rsid w:val="00677226"/>
    <w:rsid w:val="0067726B"/>
    <w:rsid w:val="00677318"/>
    <w:rsid w:val="0067735C"/>
    <w:rsid w:val="00677360"/>
    <w:rsid w:val="0067739C"/>
    <w:rsid w:val="006773D6"/>
    <w:rsid w:val="00677400"/>
    <w:rsid w:val="00677440"/>
    <w:rsid w:val="00677463"/>
    <w:rsid w:val="00677569"/>
    <w:rsid w:val="006775CA"/>
    <w:rsid w:val="00677637"/>
    <w:rsid w:val="00677728"/>
    <w:rsid w:val="00677733"/>
    <w:rsid w:val="0067776B"/>
    <w:rsid w:val="006777B6"/>
    <w:rsid w:val="006777C2"/>
    <w:rsid w:val="006777F3"/>
    <w:rsid w:val="006777FF"/>
    <w:rsid w:val="00677825"/>
    <w:rsid w:val="00677871"/>
    <w:rsid w:val="0067789B"/>
    <w:rsid w:val="006778A0"/>
    <w:rsid w:val="006778BA"/>
    <w:rsid w:val="006778E9"/>
    <w:rsid w:val="00677936"/>
    <w:rsid w:val="00677961"/>
    <w:rsid w:val="006779E8"/>
    <w:rsid w:val="00677A79"/>
    <w:rsid w:val="00677A81"/>
    <w:rsid w:val="00677A9B"/>
    <w:rsid w:val="00677B15"/>
    <w:rsid w:val="00677B23"/>
    <w:rsid w:val="00677B7B"/>
    <w:rsid w:val="00677B8A"/>
    <w:rsid w:val="00677BC9"/>
    <w:rsid w:val="00677C2C"/>
    <w:rsid w:val="00677CC7"/>
    <w:rsid w:val="00677CE3"/>
    <w:rsid w:val="00677CEB"/>
    <w:rsid w:val="00677D18"/>
    <w:rsid w:val="00677D94"/>
    <w:rsid w:val="00677DF5"/>
    <w:rsid w:val="00677E4A"/>
    <w:rsid w:val="00677E7E"/>
    <w:rsid w:val="00677E89"/>
    <w:rsid w:val="00677EF8"/>
    <w:rsid w:val="00677F19"/>
    <w:rsid w:val="00677F45"/>
    <w:rsid w:val="0068000F"/>
    <w:rsid w:val="00680045"/>
    <w:rsid w:val="00680075"/>
    <w:rsid w:val="006800B1"/>
    <w:rsid w:val="006800B9"/>
    <w:rsid w:val="006800BD"/>
    <w:rsid w:val="00680148"/>
    <w:rsid w:val="00680185"/>
    <w:rsid w:val="0068019E"/>
    <w:rsid w:val="006801A5"/>
    <w:rsid w:val="006801B7"/>
    <w:rsid w:val="006801B8"/>
    <w:rsid w:val="0068022E"/>
    <w:rsid w:val="00680266"/>
    <w:rsid w:val="00680284"/>
    <w:rsid w:val="006802C7"/>
    <w:rsid w:val="006802DA"/>
    <w:rsid w:val="006802DD"/>
    <w:rsid w:val="00680353"/>
    <w:rsid w:val="0068035A"/>
    <w:rsid w:val="0068039E"/>
    <w:rsid w:val="006803D9"/>
    <w:rsid w:val="00680414"/>
    <w:rsid w:val="0068042C"/>
    <w:rsid w:val="00680448"/>
    <w:rsid w:val="0068044B"/>
    <w:rsid w:val="00680456"/>
    <w:rsid w:val="00680479"/>
    <w:rsid w:val="00680484"/>
    <w:rsid w:val="006804BC"/>
    <w:rsid w:val="006804C3"/>
    <w:rsid w:val="006804CF"/>
    <w:rsid w:val="00680511"/>
    <w:rsid w:val="00680578"/>
    <w:rsid w:val="0068057F"/>
    <w:rsid w:val="006805A1"/>
    <w:rsid w:val="006805CA"/>
    <w:rsid w:val="00680616"/>
    <w:rsid w:val="006806C6"/>
    <w:rsid w:val="006806EF"/>
    <w:rsid w:val="00680725"/>
    <w:rsid w:val="006807B9"/>
    <w:rsid w:val="00680827"/>
    <w:rsid w:val="0068089C"/>
    <w:rsid w:val="006808EE"/>
    <w:rsid w:val="0068091B"/>
    <w:rsid w:val="00680937"/>
    <w:rsid w:val="006809B6"/>
    <w:rsid w:val="006809E3"/>
    <w:rsid w:val="00680A04"/>
    <w:rsid w:val="00680A5E"/>
    <w:rsid w:val="00680AFA"/>
    <w:rsid w:val="00680B73"/>
    <w:rsid w:val="00680BF3"/>
    <w:rsid w:val="00680C2F"/>
    <w:rsid w:val="00680C9E"/>
    <w:rsid w:val="00680CC3"/>
    <w:rsid w:val="00680CE0"/>
    <w:rsid w:val="00680D2C"/>
    <w:rsid w:val="00680DBD"/>
    <w:rsid w:val="00680DF5"/>
    <w:rsid w:val="00680E16"/>
    <w:rsid w:val="00680E31"/>
    <w:rsid w:val="00680E32"/>
    <w:rsid w:val="00680E42"/>
    <w:rsid w:val="00680E77"/>
    <w:rsid w:val="00680EE0"/>
    <w:rsid w:val="00680FA4"/>
    <w:rsid w:val="00680FF0"/>
    <w:rsid w:val="00681152"/>
    <w:rsid w:val="00681178"/>
    <w:rsid w:val="0068122B"/>
    <w:rsid w:val="0068124E"/>
    <w:rsid w:val="006812C8"/>
    <w:rsid w:val="00681304"/>
    <w:rsid w:val="00681331"/>
    <w:rsid w:val="0068136E"/>
    <w:rsid w:val="00681396"/>
    <w:rsid w:val="006813F1"/>
    <w:rsid w:val="006813F2"/>
    <w:rsid w:val="00681440"/>
    <w:rsid w:val="0068148A"/>
    <w:rsid w:val="0068158D"/>
    <w:rsid w:val="006815A9"/>
    <w:rsid w:val="00681604"/>
    <w:rsid w:val="00681676"/>
    <w:rsid w:val="006816D0"/>
    <w:rsid w:val="006816D1"/>
    <w:rsid w:val="006816D2"/>
    <w:rsid w:val="0068171A"/>
    <w:rsid w:val="00681732"/>
    <w:rsid w:val="00681816"/>
    <w:rsid w:val="0068182E"/>
    <w:rsid w:val="0068183A"/>
    <w:rsid w:val="006818BD"/>
    <w:rsid w:val="00681949"/>
    <w:rsid w:val="0068196F"/>
    <w:rsid w:val="00681A2A"/>
    <w:rsid w:val="00681A30"/>
    <w:rsid w:val="00681A56"/>
    <w:rsid w:val="00681A57"/>
    <w:rsid w:val="00681A63"/>
    <w:rsid w:val="00681A72"/>
    <w:rsid w:val="00681A9B"/>
    <w:rsid w:val="00681B18"/>
    <w:rsid w:val="00681B49"/>
    <w:rsid w:val="00681B80"/>
    <w:rsid w:val="00681BC2"/>
    <w:rsid w:val="00681C38"/>
    <w:rsid w:val="00681C7D"/>
    <w:rsid w:val="00681CB2"/>
    <w:rsid w:val="00681CB8"/>
    <w:rsid w:val="00681CE9"/>
    <w:rsid w:val="00681CEC"/>
    <w:rsid w:val="00681D36"/>
    <w:rsid w:val="00681D5A"/>
    <w:rsid w:val="00681DEA"/>
    <w:rsid w:val="00681DEC"/>
    <w:rsid w:val="00681E06"/>
    <w:rsid w:val="00681E11"/>
    <w:rsid w:val="00681E20"/>
    <w:rsid w:val="00681E7E"/>
    <w:rsid w:val="00681E96"/>
    <w:rsid w:val="00681ECB"/>
    <w:rsid w:val="00681EEF"/>
    <w:rsid w:val="00681F08"/>
    <w:rsid w:val="00681F39"/>
    <w:rsid w:val="00681F6A"/>
    <w:rsid w:val="00681F72"/>
    <w:rsid w:val="00681F79"/>
    <w:rsid w:val="00681FE0"/>
    <w:rsid w:val="0068203F"/>
    <w:rsid w:val="00682057"/>
    <w:rsid w:val="0068211D"/>
    <w:rsid w:val="00682140"/>
    <w:rsid w:val="006821C5"/>
    <w:rsid w:val="00682249"/>
    <w:rsid w:val="00682319"/>
    <w:rsid w:val="00682355"/>
    <w:rsid w:val="00682361"/>
    <w:rsid w:val="00682382"/>
    <w:rsid w:val="00682465"/>
    <w:rsid w:val="006824AA"/>
    <w:rsid w:val="00682539"/>
    <w:rsid w:val="0068257A"/>
    <w:rsid w:val="006825C9"/>
    <w:rsid w:val="00682634"/>
    <w:rsid w:val="00682668"/>
    <w:rsid w:val="006826BC"/>
    <w:rsid w:val="006826D4"/>
    <w:rsid w:val="00682711"/>
    <w:rsid w:val="00682870"/>
    <w:rsid w:val="006828D8"/>
    <w:rsid w:val="006828E0"/>
    <w:rsid w:val="006828E3"/>
    <w:rsid w:val="00682902"/>
    <w:rsid w:val="00682909"/>
    <w:rsid w:val="0068293A"/>
    <w:rsid w:val="00682974"/>
    <w:rsid w:val="00682A1E"/>
    <w:rsid w:val="00682A29"/>
    <w:rsid w:val="00682A3E"/>
    <w:rsid w:val="00682A61"/>
    <w:rsid w:val="00682A9B"/>
    <w:rsid w:val="00682AA7"/>
    <w:rsid w:val="00682AFD"/>
    <w:rsid w:val="00682B05"/>
    <w:rsid w:val="00682B52"/>
    <w:rsid w:val="00682B78"/>
    <w:rsid w:val="00682C8A"/>
    <w:rsid w:val="00682C8B"/>
    <w:rsid w:val="00682D0A"/>
    <w:rsid w:val="00682D70"/>
    <w:rsid w:val="00682D76"/>
    <w:rsid w:val="00682DD8"/>
    <w:rsid w:val="00682E10"/>
    <w:rsid w:val="00682E51"/>
    <w:rsid w:val="00682E69"/>
    <w:rsid w:val="00682EA5"/>
    <w:rsid w:val="00682ECE"/>
    <w:rsid w:val="00682ECF"/>
    <w:rsid w:val="00682F76"/>
    <w:rsid w:val="00682FDE"/>
    <w:rsid w:val="00682FF1"/>
    <w:rsid w:val="0068301C"/>
    <w:rsid w:val="0068307F"/>
    <w:rsid w:val="00683098"/>
    <w:rsid w:val="006830C8"/>
    <w:rsid w:val="006830D3"/>
    <w:rsid w:val="006830F1"/>
    <w:rsid w:val="006830F9"/>
    <w:rsid w:val="0068313A"/>
    <w:rsid w:val="00683289"/>
    <w:rsid w:val="006832B6"/>
    <w:rsid w:val="006832E4"/>
    <w:rsid w:val="0068333F"/>
    <w:rsid w:val="00683342"/>
    <w:rsid w:val="0068336A"/>
    <w:rsid w:val="0068337F"/>
    <w:rsid w:val="006833F5"/>
    <w:rsid w:val="00683467"/>
    <w:rsid w:val="00683473"/>
    <w:rsid w:val="006835D3"/>
    <w:rsid w:val="006835F0"/>
    <w:rsid w:val="0068363B"/>
    <w:rsid w:val="00683693"/>
    <w:rsid w:val="006836C2"/>
    <w:rsid w:val="006836FC"/>
    <w:rsid w:val="0068371F"/>
    <w:rsid w:val="00683723"/>
    <w:rsid w:val="0068379E"/>
    <w:rsid w:val="006837BA"/>
    <w:rsid w:val="006838E7"/>
    <w:rsid w:val="0068392B"/>
    <w:rsid w:val="00683941"/>
    <w:rsid w:val="0068395F"/>
    <w:rsid w:val="00683992"/>
    <w:rsid w:val="00683A24"/>
    <w:rsid w:val="00683AB1"/>
    <w:rsid w:val="00683AD1"/>
    <w:rsid w:val="00683B27"/>
    <w:rsid w:val="00683CA5"/>
    <w:rsid w:val="00683CD0"/>
    <w:rsid w:val="00683CF0"/>
    <w:rsid w:val="00683CF7"/>
    <w:rsid w:val="00683D58"/>
    <w:rsid w:val="00683DB0"/>
    <w:rsid w:val="00683DE2"/>
    <w:rsid w:val="00683E0E"/>
    <w:rsid w:val="00683E14"/>
    <w:rsid w:val="00683EA5"/>
    <w:rsid w:val="00683EEB"/>
    <w:rsid w:val="00683F46"/>
    <w:rsid w:val="00683FB0"/>
    <w:rsid w:val="00684073"/>
    <w:rsid w:val="00684099"/>
    <w:rsid w:val="0068409E"/>
    <w:rsid w:val="006840F8"/>
    <w:rsid w:val="00684203"/>
    <w:rsid w:val="0068421E"/>
    <w:rsid w:val="00684236"/>
    <w:rsid w:val="0068438B"/>
    <w:rsid w:val="006843E9"/>
    <w:rsid w:val="00684481"/>
    <w:rsid w:val="00684483"/>
    <w:rsid w:val="006844AC"/>
    <w:rsid w:val="006844E2"/>
    <w:rsid w:val="006844E8"/>
    <w:rsid w:val="006844F0"/>
    <w:rsid w:val="0068450F"/>
    <w:rsid w:val="00684525"/>
    <w:rsid w:val="0068452A"/>
    <w:rsid w:val="0068452E"/>
    <w:rsid w:val="0068461D"/>
    <w:rsid w:val="0068462D"/>
    <w:rsid w:val="00684632"/>
    <w:rsid w:val="0068465A"/>
    <w:rsid w:val="00684676"/>
    <w:rsid w:val="006846DF"/>
    <w:rsid w:val="0068471E"/>
    <w:rsid w:val="00684746"/>
    <w:rsid w:val="00684778"/>
    <w:rsid w:val="006847AA"/>
    <w:rsid w:val="00684806"/>
    <w:rsid w:val="0068485C"/>
    <w:rsid w:val="0068485E"/>
    <w:rsid w:val="00684943"/>
    <w:rsid w:val="00684A1B"/>
    <w:rsid w:val="00684A7D"/>
    <w:rsid w:val="00684AAF"/>
    <w:rsid w:val="00684AEC"/>
    <w:rsid w:val="00684AF2"/>
    <w:rsid w:val="00684B25"/>
    <w:rsid w:val="00684B51"/>
    <w:rsid w:val="00684B55"/>
    <w:rsid w:val="00684B89"/>
    <w:rsid w:val="00684BA8"/>
    <w:rsid w:val="00684BC3"/>
    <w:rsid w:val="00684CAE"/>
    <w:rsid w:val="00684D26"/>
    <w:rsid w:val="00684D38"/>
    <w:rsid w:val="00684D76"/>
    <w:rsid w:val="00684D9E"/>
    <w:rsid w:val="00684DE1"/>
    <w:rsid w:val="00684DE6"/>
    <w:rsid w:val="00684EC6"/>
    <w:rsid w:val="00684F17"/>
    <w:rsid w:val="00684F4D"/>
    <w:rsid w:val="00684FC1"/>
    <w:rsid w:val="00684FE2"/>
    <w:rsid w:val="00684FE8"/>
    <w:rsid w:val="00685006"/>
    <w:rsid w:val="00685014"/>
    <w:rsid w:val="00685016"/>
    <w:rsid w:val="00685026"/>
    <w:rsid w:val="00685099"/>
    <w:rsid w:val="006850BD"/>
    <w:rsid w:val="006850C5"/>
    <w:rsid w:val="00685117"/>
    <w:rsid w:val="006851BA"/>
    <w:rsid w:val="00685214"/>
    <w:rsid w:val="00685284"/>
    <w:rsid w:val="006852A7"/>
    <w:rsid w:val="006852DF"/>
    <w:rsid w:val="006852E2"/>
    <w:rsid w:val="006852F0"/>
    <w:rsid w:val="00685366"/>
    <w:rsid w:val="0068538E"/>
    <w:rsid w:val="00685550"/>
    <w:rsid w:val="0068558A"/>
    <w:rsid w:val="006855A8"/>
    <w:rsid w:val="006855E0"/>
    <w:rsid w:val="00685628"/>
    <w:rsid w:val="00685666"/>
    <w:rsid w:val="006856BB"/>
    <w:rsid w:val="006856BE"/>
    <w:rsid w:val="0068574E"/>
    <w:rsid w:val="006857B0"/>
    <w:rsid w:val="006857E3"/>
    <w:rsid w:val="0068582F"/>
    <w:rsid w:val="0068588E"/>
    <w:rsid w:val="006858A8"/>
    <w:rsid w:val="006858C5"/>
    <w:rsid w:val="006858E7"/>
    <w:rsid w:val="00685924"/>
    <w:rsid w:val="00685990"/>
    <w:rsid w:val="006859CE"/>
    <w:rsid w:val="00685AEB"/>
    <w:rsid w:val="00685B43"/>
    <w:rsid w:val="00685B63"/>
    <w:rsid w:val="00685BAC"/>
    <w:rsid w:val="00685BC9"/>
    <w:rsid w:val="00685BE1"/>
    <w:rsid w:val="00685C45"/>
    <w:rsid w:val="00685C95"/>
    <w:rsid w:val="00685CD3"/>
    <w:rsid w:val="00685CF7"/>
    <w:rsid w:val="00685D26"/>
    <w:rsid w:val="00685E46"/>
    <w:rsid w:val="00685E85"/>
    <w:rsid w:val="00685EB3"/>
    <w:rsid w:val="00685F3A"/>
    <w:rsid w:val="00685F54"/>
    <w:rsid w:val="00685FF2"/>
    <w:rsid w:val="00686026"/>
    <w:rsid w:val="00686030"/>
    <w:rsid w:val="00686079"/>
    <w:rsid w:val="00686095"/>
    <w:rsid w:val="006860C8"/>
    <w:rsid w:val="006860D6"/>
    <w:rsid w:val="006860F1"/>
    <w:rsid w:val="00686118"/>
    <w:rsid w:val="00686165"/>
    <w:rsid w:val="00686197"/>
    <w:rsid w:val="006861B7"/>
    <w:rsid w:val="00686302"/>
    <w:rsid w:val="00686304"/>
    <w:rsid w:val="00686349"/>
    <w:rsid w:val="006863A7"/>
    <w:rsid w:val="006863B8"/>
    <w:rsid w:val="006863DB"/>
    <w:rsid w:val="00686407"/>
    <w:rsid w:val="0068644D"/>
    <w:rsid w:val="006864F3"/>
    <w:rsid w:val="006865C2"/>
    <w:rsid w:val="00686630"/>
    <w:rsid w:val="00686728"/>
    <w:rsid w:val="0068677D"/>
    <w:rsid w:val="00686799"/>
    <w:rsid w:val="006867E7"/>
    <w:rsid w:val="00686812"/>
    <w:rsid w:val="0068686B"/>
    <w:rsid w:val="00686936"/>
    <w:rsid w:val="00686952"/>
    <w:rsid w:val="0068695A"/>
    <w:rsid w:val="00686A72"/>
    <w:rsid w:val="00686AA8"/>
    <w:rsid w:val="00686AF9"/>
    <w:rsid w:val="00686B00"/>
    <w:rsid w:val="00686B1B"/>
    <w:rsid w:val="00686B7B"/>
    <w:rsid w:val="00686B8B"/>
    <w:rsid w:val="00686BDE"/>
    <w:rsid w:val="00686BEC"/>
    <w:rsid w:val="00686C05"/>
    <w:rsid w:val="00686C6F"/>
    <w:rsid w:val="00686CFE"/>
    <w:rsid w:val="00686D05"/>
    <w:rsid w:val="00686D3F"/>
    <w:rsid w:val="00686D45"/>
    <w:rsid w:val="00686D7C"/>
    <w:rsid w:val="00686DE3"/>
    <w:rsid w:val="00686DF4"/>
    <w:rsid w:val="00686E29"/>
    <w:rsid w:val="00686E5A"/>
    <w:rsid w:val="00686E6C"/>
    <w:rsid w:val="00686F06"/>
    <w:rsid w:val="00686F0F"/>
    <w:rsid w:val="00686F43"/>
    <w:rsid w:val="00687083"/>
    <w:rsid w:val="0068708E"/>
    <w:rsid w:val="006870A1"/>
    <w:rsid w:val="006870E3"/>
    <w:rsid w:val="00687113"/>
    <w:rsid w:val="0068718A"/>
    <w:rsid w:val="00687193"/>
    <w:rsid w:val="006871DA"/>
    <w:rsid w:val="006871E2"/>
    <w:rsid w:val="0068722B"/>
    <w:rsid w:val="0068722C"/>
    <w:rsid w:val="00687232"/>
    <w:rsid w:val="00687253"/>
    <w:rsid w:val="0068733F"/>
    <w:rsid w:val="006873A4"/>
    <w:rsid w:val="006873E6"/>
    <w:rsid w:val="0068741C"/>
    <w:rsid w:val="0068744B"/>
    <w:rsid w:val="00687464"/>
    <w:rsid w:val="006874A9"/>
    <w:rsid w:val="006874AC"/>
    <w:rsid w:val="006874FD"/>
    <w:rsid w:val="0068751E"/>
    <w:rsid w:val="006875CE"/>
    <w:rsid w:val="006875E7"/>
    <w:rsid w:val="006875FE"/>
    <w:rsid w:val="00687605"/>
    <w:rsid w:val="00687613"/>
    <w:rsid w:val="0068763F"/>
    <w:rsid w:val="00687695"/>
    <w:rsid w:val="006876B2"/>
    <w:rsid w:val="006876E1"/>
    <w:rsid w:val="006877A3"/>
    <w:rsid w:val="0068784B"/>
    <w:rsid w:val="00687869"/>
    <w:rsid w:val="00687870"/>
    <w:rsid w:val="006878AC"/>
    <w:rsid w:val="006879C2"/>
    <w:rsid w:val="006879D8"/>
    <w:rsid w:val="00687B09"/>
    <w:rsid w:val="00687B16"/>
    <w:rsid w:val="00687C62"/>
    <w:rsid w:val="00687C9D"/>
    <w:rsid w:val="00687CC5"/>
    <w:rsid w:val="00687CFB"/>
    <w:rsid w:val="00687D40"/>
    <w:rsid w:val="00687DE6"/>
    <w:rsid w:val="00687E00"/>
    <w:rsid w:val="00687E1C"/>
    <w:rsid w:val="00687E31"/>
    <w:rsid w:val="00687E7D"/>
    <w:rsid w:val="00687ECE"/>
    <w:rsid w:val="00687FFD"/>
    <w:rsid w:val="00690007"/>
    <w:rsid w:val="00690034"/>
    <w:rsid w:val="0069007D"/>
    <w:rsid w:val="006900B6"/>
    <w:rsid w:val="006900C7"/>
    <w:rsid w:val="006900CB"/>
    <w:rsid w:val="006900F9"/>
    <w:rsid w:val="00690165"/>
    <w:rsid w:val="00690178"/>
    <w:rsid w:val="006901EB"/>
    <w:rsid w:val="006901F0"/>
    <w:rsid w:val="00690209"/>
    <w:rsid w:val="00690270"/>
    <w:rsid w:val="00690273"/>
    <w:rsid w:val="0069027E"/>
    <w:rsid w:val="00690290"/>
    <w:rsid w:val="00690314"/>
    <w:rsid w:val="00690354"/>
    <w:rsid w:val="00690369"/>
    <w:rsid w:val="00690388"/>
    <w:rsid w:val="0069042A"/>
    <w:rsid w:val="0069042D"/>
    <w:rsid w:val="00690470"/>
    <w:rsid w:val="006904A3"/>
    <w:rsid w:val="006904EC"/>
    <w:rsid w:val="00690500"/>
    <w:rsid w:val="0069050A"/>
    <w:rsid w:val="00690544"/>
    <w:rsid w:val="0069056C"/>
    <w:rsid w:val="006905A8"/>
    <w:rsid w:val="0069066A"/>
    <w:rsid w:val="00690694"/>
    <w:rsid w:val="006906D5"/>
    <w:rsid w:val="006906DD"/>
    <w:rsid w:val="0069082F"/>
    <w:rsid w:val="00690894"/>
    <w:rsid w:val="006908FB"/>
    <w:rsid w:val="00690952"/>
    <w:rsid w:val="006909A5"/>
    <w:rsid w:val="00690A3B"/>
    <w:rsid w:val="00690A7E"/>
    <w:rsid w:val="00690ACE"/>
    <w:rsid w:val="00690BA1"/>
    <w:rsid w:val="00690BAB"/>
    <w:rsid w:val="00690BB3"/>
    <w:rsid w:val="00690BC3"/>
    <w:rsid w:val="00690BE6"/>
    <w:rsid w:val="00690C5F"/>
    <w:rsid w:val="00690C8E"/>
    <w:rsid w:val="00690CBE"/>
    <w:rsid w:val="00690D34"/>
    <w:rsid w:val="00690D88"/>
    <w:rsid w:val="00690D95"/>
    <w:rsid w:val="00690DB9"/>
    <w:rsid w:val="00690DC9"/>
    <w:rsid w:val="00690E22"/>
    <w:rsid w:val="00690E25"/>
    <w:rsid w:val="00690E75"/>
    <w:rsid w:val="00690F30"/>
    <w:rsid w:val="00690F3E"/>
    <w:rsid w:val="00690F4B"/>
    <w:rsid w:val="00690FDD"/>
    <w:rsid w:val="00690FE8"/>
    <w:rsid w:val="00690FF8"/>
    <w:rsid w:val="00691019"/>
    <w:rsid w:val="006910B4"/>
    <w:rsid w:val="00691134"/>
    <w:rsid w:val="00691182"/>
    <w:rsid w:val="006911A9"/>
    <w:rsid w:val="006911AA"/>
    <w:rsid w:val="006911CB"/>
    <w:rsid w:val="006911FD"/>
    <w:rsid w:val="0069120F"/>
    <w:rsid w:val="0069122B"/>
    <w:rsid w:val="006912C4"/>
    <w:rsid w:val="0069133E"/>
    <w:rsid w:val="00691372"/>
    <w:rsid w:val="0069137E"/>
    <w:rsid w:val="00691381"/>
    <w:rsid w:val="0069138B"/>
    <w:rsid w:val="006913A6"/>
    <w:rsid w:val="0069147A"/>
    <w:rsid w:val="00691497"/>
    <w:rsid w:val="00691547"/>
    <w:rsid w:val="00691549"/>
    <w:rsid w:val="00691604"/>
    <w:rsid w:val="0069162C"/>
    <w:rsid w:val="00691654"/>
    <w:rsid w:val="006916B4"/>
    <w:rsid w:val="006916E4"/>
    <w:rsid w:val="00691737"/>
    <w:rsid w:val="00691769"/>
    <w:rsid w:val="0069179C"/>
    <w:rsid w:val="006917DE"/>
    <w:rsid w:val="006917FC"/>
    <w:rsid w:val="00691856"/>
    <w:rsid w:val="00691870"/>
    <w:rsid w:val="006918DD"/>
    <w:rsid w:val="00691954"/>
    <w:rsid w:val="006919B3"/>
    <w:rsid w:val="006919F9"/>
    <w:rsid w:val="00691A6E"/>
    <w:rsid w:val="00691A73"/>
    <w:rsid w:val="00691B03"/>
    <w:rsid w:val="00691B0C"/>
    <w:rsid w:val="00691B77"/>
    <w:rsid w:val="00691BCE"/>
    <w:rsid w:val="00691C04"/>
    <w:rsid w:val="00691C7A"/>
    <w:rsid w:val="00691CB5"/>
    <w:rsid w:val="00691CC6"/>
    <w:rsid w:val="00691D0D"/>
    <w:rsid w:val="00691D32"/>
    <w:rsid w:val="00691D77"/>
    <w:rsid w:val="00691DB1"/>
    <w:rsid w:val="00691DB4"/>
    <w:rsid w:val="00691DDA"/>
    <w:rsid w:val="00691E22"/>
    <w:rsid w:val="00691E32"/>
    <w:rsid w:val="00691E61"/>
    <w:rsid w:val="00691EBE"/>
    <w:rsid w:val="00691EBF"/>
    <w:rsid w:val="00691EDE"/>
    <w:rsid w:val="00691F1C"/>
    <w:rsid w:val="00691F26"/>
    <w:rsid w:val="00691F91"/>
    <w:rsid w:val="00691FAC"/>
    <w:rsid w:val="00691FB9"/>
    <w:rsid w:val="00691FDF"/>
    <w:rsid w:val="0069205D"/>
    <w:rsid w:val="00692070"/>
    <w:rsid w:val="00692090"/>
    <w:rsid w:val="006920AE"/>
    <w:rsid w:val="006920CD"/>
    <w:rsid w:val="0069221E"/>
    <w:rsid w:val="00692224"/>
    <w:rsid w:val="006922C5"/>
    <w:rsid w:val="00692301"/>
    <w:rsid w:val="006923DF"/>
    <w:rsid w:val="00692412"/>
    <w:rsid w:val="00692433"/>
    <w:rsid w:val="00692498"/>
    <w:rsid w:val="006924D8"/>
    <w:rsid w:val="00692507"/>
    <w:rsid w:val="0069251A"/>
    <w:rsid w:val="006925DD"/>
    <w:rsid w:val="006925E1"/>
    <w:rsid w:val="006925E5"/>
    <w:rsid w:val="0069262A"/>
    <w:rsid w:val="00692698"/>
    <w:rsid w:val="00692702"/>
    <w:rsid w:val="00692755"/>
    <w:rsid w:val="00692796"/>
    <w:rsid w:val="006927F2"/>
    <w:rsid w:val="00692801"/>
    <w:rsid w:val="0069287E"/>
    <w:rsid w:val="006928ED"/>
    <w:rsid w:val="006928F3"/>
    <w:rsid w:val="0069290E"/>
    <w:rsid w:val="00692960"/>
    <w:rsid w:val="00692996"/>
    <w:rsid w:val="00692A4F"/>
    <w:rsid w:val="00692ACA"/>
    <w:rsid w:val="00692BD5"/>
    <w:rsid w:val="00692C56"/>
    <w:rsid w:val="00692C58"/>
    <w:rsid w:val="00692CA7"/>
    <w:rsid w:val="00692CDF"/>
    <w:rsid w:val="00692D0C"/>
    <w:rsid w:val="00692D20"/>
    <w:rsid w:val="00692DA3"/>
    <w:rsid w:val="00692DB5"/>
    <w:rsid w:val="00692DC9"/>
    <w:rsid w:val="00692E3B"/>
    <w:rsid w:val="00692E89"/>
    <w:rsid w:val="00692ECE"/>
    <w:rsid w:val="00692ED4"/>
    <w:rsid w:val="00692ED5"/>
    <w:rsid w:val="00692EED"/>
    <w:rsid w:val="00692F00"/>
    <w:rsid w:val="00692F02"/>
    <w:rsid w:val="00692F5B"/>
    <w:rsid w:val="00692F7A"/>
    <w:rsid w:val="00692F7E"/>
    <w:rsid w:val="00692FDA"/>
    <w:rsid w:val="006930E7"/>
    <w:rsid w:val="006930F4"/>
    <w:rsid w:val="00693110"/>
    <w:rsid w:val="006931B9"/>
    <w:rsid w:val="006931C4"/>
    <w:rsid w:val="006931DE"/>
    <w:rsid w:val="006931EB"/>
    <w:rsid w:val="006931F5"/>
    <w:rsid w:val="00693247"/>
    <w:rsid w:val="0069327E"/>
    <w:rsid w:val="00693282"/>
    <w:rsid w:val="006932CD"/>
    <w:rsid w:val="006932CF"/>
    <w:rsid w:val="006932FF"/>
    <w:rsid w:val="0069331A"/>
    <w:rsid w:val="0069331C"/>
    <w:rsid w:val="0069333C"/>
    <w:rsid w:val="00693374"/>
    <w:rsid w:val="006933BB"/>
    <w:rsid w:val="006933ED"/>
    <w:rsid w:val="00693443"/>
    <w:rsid w:val="00693450"/>
    <w:rsid w:val="00693459"/>
    <w:rsid w:val="006934B0"/>
    <w:rsid w:val="0069351C"/>
    <w:rsid w:val="00693523"/>
    <w:rsid w:val="006935BD"/>
    <w:rsid w:val="00693650"/>
    <w:rsid w:val="00693698"/>
    <w:rsid w:val="006936DF"/>
    <w:rsid w:val="00693745"/>
    <w:rsid w:val="0069375C"/>
    <w:rsid w:val="00693825"/>
    <w:rsid w:val="00693863"/>
    <w:rsid w:val="006938FD"/>
    <w:rsid w:val="0069391E"/>
    <w:rsid w:val="006939B1"/>
    <w:rsid w:val="006939F3"/>
    <w:rsid w:val="006939FF"/>
    <w:rsid w:val="00693A36"/>
    <w:rsid w:val="00693A63"/>
    <w:rsid w:val="00693A72"/>
    <w:rsid w:val="00693A74"/>
    <w:rsid w:val="00693ACC"/>
    <w:rsid w:val="00693AD0"/>
    <w:rsid w:val="00693ADB"/>
    <w:rsid w:val="00693AF2"/>
    <w:rsid w:val="00693B07"/>
    <w:rsid w:val="00693B3B"/>
    <w:rsid w:val="00693B9D"/>
    <w:rsid w:val="00693BC6"/>
    <w:rsid w:val="00693BE0"/>
    <w:rsid w:val="00693CBF"/>
    <w:rsid w:val="00693CFB"/>
    <w:rsid w:val="00693D2A"/>
    <w:rsid w:val="00693D57"/>
    <w:rsid w:val="00693D75"/>
    <w:rsid w:val="00693D79"/>
    <w:rsid w:val="00693D7E"/>
    <w:rsid w:val="00693E3C"/>
    <w:rsid w:val="00693E73"/>
    <w:rsid w:val="00693EC6"/>
    <w:rsid w:val="00693ED2"/>
    <w:rsid w:val="00693F44"/>
    <w:rsid w:val="00693F7F"/>
    <w:rsid w:val="00693F9A"/>
    <w:rsid w:val="00693FF2"/>
    <w:rsid w:val="00694045"/>
    <w:rsid w:val="0069404C"/>
    <w:rsid w:val="0069405F"/>
    <w:rsid w:val="006940A4"/>
    <w:rsid w:val="0069413A"/>
    <w:rsid w:val="00694183"/>
    <w:rsid w:val="00694194"/>
    <w:rsid w:val="006941D5"/>
    <w:rsid w:val="0069422B"/>
    <w:rsid w:val="0069423D"/>
    <w:rsid w:val="0069426F"/>
    <w:rsid w:val="00694273"/>
    <w:rsid w:val="006942B2"/>
    <w:rsid w:val="006942B9"/>
    <w:rsid w:val="0069433C"/>
    <w:rsid w:val="0069437B"/>
    <w:rsid w:val="00694401"/>
    <w:rsid w:val="00694403"/>
    <w:rsid w:val="00694406"/>
    <w:rsid w:val="00694420"/>
    <w:rsid w:val="00694462"/>
    <w:rsid w:val="0069449F"/>
    <w:rsid w:val="006944E2"/>
    <w:rsid w:val="0069450A"/>
    <w:rsid w:val="0069458C"/>
    <w:rsid w:val="00694618"/>
    <w:rsid w:val="0069462D"/>
    <w:rsid w:val="006946C0"/>
    <w:rsid w:val="006946CD"/>
    <w:rsid w:val="006946E3"/>
    <w:rsid w:val="006946FC"/>
    <w:rsid w:val="00694783"/>
    <w:rsid w:val="00694784"/>
    <w:rsid w:val="00694846"/>
    <w:rsid w:val="00694879"/>
    <w:rsid w:val="006948BF"/>
    <w:rsid w:val="00694938"/>
    <w:rsid w:val="006949AA"/>
    <w:rsid w:val="006949D5"/>
    <w:rsid w:val="00694B12"/>
    <w:rsid w:val="00694B34"/>
    <w:rsid w:val="00694B36"/>
    <w:rsid w:val="00694B40"/>
    <w:rsid w:val="00694B64"/>
    <w:rsid w:val="00694B65"/>
    <w:rsid w:val="00694BA6"/>
    <w:rsid w:val="00694BED"/>
    <w:rsid w:val="00694BF5"/>
    <w:rsid w:val="00694C19"/>
    <w:rsid w:val="00694C36"/>
    <w:rsid w:val="00694C4C"/>
    <w:rsid w:val="00694C4E"/>
    <w:rsid w:val="00694C77"/>
    <w:rsid w:val="00694CA5"/>
    <w:rsid w:val="00694CB6"/>
    <w:rsid w:val="00694D34"/>
    <w:rsid w:val="00694D4F"/>
    <w:rsid w:val="00694D63"/>
    <w:rsid w:val="00694DC3"/>
    <w:rsid w:val="00694E38"/>
    <w:rsid w:val="00694E8D"/>
    <w:rsid w:val="00694EAC"/>
    <w:rsid w:val="00694F23"/>
    <w:rsid w:val="00694F4D"/>
    <w:rsid w:val="00694F7C"/>
    <w:rsid w:val="00694F99"/>
    <w:rsid w:val="00694FA1"/>
    <w:rsid w:val="00694FB3"/>
    <w:rsid w:val="00694FC4"/>
    <w:rsid w:val="00695021"/>
    <w:rsid w:val="00695077"/>
    <w:rsid w:val="006950C9"/>
    <w:rsid w:val="006950CA"/>
    <w:rsid w:val="00695100"/>
    <w:rsid w:val="0069510B"/>
    <w:rsid w:val="00695175"/>
    <w:rsid w:val="00695188"/>
    <w:rsid w:val="00695189"/>
    <w:rsid w:val="006951B0"/>
    <w:rsid w:val="006951DA"/>
    <w:rsid w:val="00695206"/>
    <w:rsid w:val="0069522A"/>
    <w:rsid w:val="00695249"/>
    <w:rsid w:val="006952D8"/>
    <w:rsid w:val="006952E6"/>
    <w:rsid w:val="00695341"/>
    <w:rsid w:val="00695343"/>
    <w:rsid w:val="00695386"/>
    <w:rsid w:val="006953A8"/>
    <w:rsid w:val="006953C2"/>
    <w:rsid w:val="0069540A"/>
    <w:rsid w:val="006954C1"/>
    <w:rsid w:val="006954E5"/>
    <w:rsid w:val="0069551F"/>
    <w:rsid w:val="0069552E"/>
    <w:rsid w:val="0069553F"/>
    <w:rsid w:val="00695547"/>
    <w:rsid w:val="00695558"/>
    <w:rsid w:val="0069555F"/>
    <w:rsid w:val="0069557A"/>
    <w:rsid w:val="006955B3"/>
    <w:rsid w:val="00695630"/>
    <w:rsid w:val="006956DF"/>
    <w:rsid w:val="00695741"/>
    <w:rsid w:val="0069576D"/>
    <w:rsid w:val="00695786"/>
    <w:rsid w:val="006957A7"/>
    <w:rsid w:val="00695814"/>
    <w:rsid w:val="00695865"/>
    <w:rsid w:val="006958D7"/>
    <w:rsid w:val="006959B0"/>
    <w:rsid w:val="006959B5"/>
    <w:rsid w:val="00695A0F"/>
    <w:rsid w:val="00695A2A"/>
    <w:rsid w:val="00695A8C"/>
    <w:rsid w:val="00695A9C"/>
    <w:rsid w:val="00695B5B"/>
    <w:rsid w:val="00695C2F"/>
    <w:rsid w:val="00695C5A"/>
    <w:rsid w:val="00695C9D"/>
    <w:rsid w:val="00695CBF"/>
    <w:rsid w:val="00695D27"/>
    <w:rsid w:val="00695D42"/>
    <w:rsid w:val="00695D88"/>
    <w:rsid w:val="00695F14"/>
    <w:rsid w:val="00695F3D"/>
    <w:rsid w:val="00695FBC"/>
    <w:rsid w:val="00695FBF"/>
    <w:rsid w:val="00696009"/>
    <w:rsid w:val="0069604D"/>
    <w:rsid w:val="00696087"/>
    <w:rsid w:val="0069609C"/>
    <w:rsid w:val="00696119"/>
    <w:rsid w:val="00696171"/>
    <w:rsid w:val="006961E4"/>
    <w:rsid w:val="006961FB"/>
    <w:rsid w:val="00696200"/>
    <w:rsid w:val="00696255"/>
    <w:rsid w:val="00696257"/>
    <w:rsid w:val="00696289"/>
    <w:rsid w:val="006962A3"/>
    <w:rsid w:val="006962DC"/>
    <w:rsid w:val="00696388"/>
    <w:rsid w:val="006963CA"/>
    <w:rsid w:val="006963CC"/>
    <w:rsid w:val="0069642E"/>
    <w:rsid w:val="0069649E"/>
    <w:rsid w:val="006964BC"/>
    <w:rsid w:val="006964D4"/>
    <w:rsid w:val="00696525"/>
    <w:rsid w:val="0069653C"/>
    <w:rsid w:val="00696563"/>
    <w:rsid w:val="00696571"/>
    <w:rsid w:val="006965C1"/>
    <w:rsid w:val="00696636"/>
    <w:rsid w:val="0069668C"/>
    <w:rsid w:val="0069669B"/>
    <w:rsid w:val="006966B5"/>
    <w:rsid w:val="006966FD"/>
    <w:rsid w:val="0069670B"/>
    <w:rsid w:val="0069673A"/>
    <w:rsid w:val="00696746"/>
    <w:rsid w:val="00696794"/>
    <w:rsid w:val="006967BF"/>
    <w:rsid w:val="0069682E"/>
    <w:rsid w:val="00696851"/>
    <w:rsid w:val="0069686E"/>
    <w:rsid w:val="00696943"/>
    <w:rsid w:val="00696A05"/>
    <w:rsid w:val="00696AB1"/>
    <w:rsid w:val="00696B83"/>
    <w:rsid w:val="00696BA1"/>
    <w:rsid w:val="00696C05"/>
    <w:rsid w:val="00696C43"/>
    <w:rsid w:val="00696C66"/>
    <w:rsid w:val="00696CC3"/>
    <w:rsid w:val="00696D92"/>
    <w:rsid w:val="00696DB1"/>
    <w:rsid w:val="00696DD3"/>
    <w:rsid w:val="00696E99"/>
    <w:rsid w:val="00696EA5"/>
    <w:rsid w:val="00696EBF"/>
    <w:rsid w:val="00696ED5"/>
    <w:rsid w:val="00696EFE"/>
    <w:rsid w:val="00696F3C"/>
    <w:rsid w:val="00696F3F"/>
    <w:rsid w:val="00696F9C"/>
    <w:rsid w:val="00696FD7"/>
    <w:rsid w:val="00696FFD"/>
    <w:rsid w:val="0069702F"/>
    <w:rsid w:val="00697066"/>
    <w:rsid w:val="00697081"/>
    <w:rsid w:val="006970AE"/>
    <w:rsid w:val="00697155"/>
    <w:rsid w:val="00697156"/>
    <w:rsid w:val="00697184"/>
    <w:rsid w:val="0069719D"/>
    <w:rsid w:val="006971AD"/>
    <w:rsid w:val="006971F6"/>
    <w:rsid w:val="00697219"/>
    <w:rsid w:val="00697235"/>
    <w:rsid w:val="00697253"/>
    <w:rsid w:val="00697269"/>
    <w:rsid w:val="00697274"/>
    <w:rsid w:val="0069729B"/>
    <w:rsid w:val="006972A1"/>
    <w:rsid w:val="006972E4"/>
    <w:rsid w:val="00697399"/>
    <w:rsid w:val="006973A9"/>
    <w:rsid w:val="006973B3"/>
    <w:rsid w:val="006973C9"/>
    <w:rsid w:val="00697418"/>
    <w:rsid w:val="00697436"/>
    <w:rsid w:val="0069743E"/>
    <w:rsid w:val="006974E6"/>
    <w:rsid w:val="00697555"/>
    <w:rsid w:val="0069755D"/>
    <w:rsid w:val="00697561"/>
    <w:rsid w:val="0069758E"/>
    <w:rsid w:val="006975A5"/>
    <w:rsid w:val="00697621"/>
    <w:rsid w:val="00697652"/>
    <w:rsid w:val="006976F8"/>
    <w:rsid w:val="00697739"/>
    <w:rsid w:val="0069774C"/>
    <w:rsid w:val="0069776C"/>
    <w:rsid w:val="006977C1"/>
    <w:rsid w:val="00697876"/>
    <w:rsid w:val="006979A1"/>
    <w:rsid w:val="00697A76"/>
    <w:rsid w:val="00697AB0"/>
    <w:rsid w:val="00697AF9"/>
    <w:rsid w:val="00697AFD"/>
    <w:rsid w:val="00697B27"/>
    <w:rsid w:val="00697B36"/>
    <w:rsid w:val="00697B38"/>
    <w:rsid w:val="00697B56"/>
    <w:rsid w:val="00697B62"/>
    <w:rsid w:val="00697B91"/>
    <w:rsid w:val="00697BB7"/>
    <w:rsid w:val="00697BCF"/>
    <w:rsid w:val="00697BE5"/>
    <w:rsid w:val="00697BF1"/>
    <w:rsid w:val="00697CCD"/>
    <w:rsid w:val="00697D7A"/>
    <w:rsid w:val="00697DFE"/>
    <w:rsid w:val="00697E2C"/>
    <w:rsid w:val="00697EBE"/>
    <w:rsid w:val="00697ED2"/>
    <w:rsid w:val="00697EF7"/>
    <w:rsid w:val="00697F37"/>
    <w:rsid w:val="00697F7C"/>
    <w:rsid w:val="00697F96"/>
    <w:rsid w:val="00697F9C"/>
    <w:rsid w:val="00697FC9"/>
    <w:rsid w:val="006A0003"/>
    <w:rsid w:val="006A003A"/>
    <w:rsid w:val="006A005F"/>
    <w:rsid w:val="006A007E"/>
    <w:rsid w:val="006A00A5"/>
    <w:rsid w:val="006A016B"/>
    <w:rsid w:val="006A01B4"/>
    <w:rsid w:val="006A01F5"/>
    <w:rsid w:val="006A026E"/>
    <w:rsid w:val="006A028C"/>
    <w:rsid w:val="006A0290"/>
    <w:rsid w:val="006A02E6"/>
    <w:rsid w:val="006A030F"/>
    <w:rsid w:val="006A035B"/>
    <w:rsid w:val="006A0433"/>
    <w:rsid w:val="006A0510"/>
    <w:rsid w:val="006A0526"/>
    <w:rsid w:val="006A05BA"/>
    <w:rsid w:val="006A05D9"/>
    <w:rsid w:val="006A05E0"/>
    <w:rsid w:val="006A0603"/>
    <w:rsid w:val="006A0632"/>
    <w:rsid w:val="006A0634"/>
    <w:rsid w:val="006A0635"/>
    <w:rsid w:val="006A0645"/>
    <w:rsid w:val="006A0655"/>
    <w:rsid w:val="006A0668"/>
    <w:rsid w:val="006A0802"/>
    <w:rsid w:val="006A0844"/>
    <w:rsid w:val="006A088C"/>
    <w:rsid w:val="006A08C9"/>
    <w:rsid w:val="006A09E1"/>
    <w:rsid w:val="006A09F6"/>
    <w:rsid w:val="006A0A2F"/>
    <w:rsid w:val="006A0A45"/>
    <w:rsid w:val="006A0A89"/>
    <w:rsid w:val="006A0AB8"/>
    <w:rsid w:val="006A0B13"/>
    <w:rsid w:val="006A0B2A"/>
    <w:rsid w:val="006A0B41"/>
    <w:rsid w:val="006A0C06"/>
    <w:rsid w:val="006A0CA2"/>
    <w:rsid w:val="006A0CA6"/>
    <w:rsid w:val="006A0CB0"/>
    <w:rsid w:val="006A0D93"/>
    <w:rsid w:val="006A0D9A"/>
    <w:rsid w:val="006A0E0E"/>
    <w:rsid w:val="006A0E34"/>
    <w:rsid w:val="006A0EC1"/>
    <w:rsid w:val="006A0EC8"/>
    <w:rsid w:val="006A0F06"/>
    <w:rsid w:val="006A0F1D"/>
    <w:rsid w:val="006A0FAC"/>
    <w:rsid w:val="006A0FF5"/>
    <w:rsid w:val="006A0FFD"/>
    <w:rsid w:val="006A1017"/>
    <w:rsid w:val="006A104B"/>
    <w:rsid w:val="006A104F"/>
    <w:rsid w:val="006A115C"/>
    <w:rsid w:val="006A11BE"/>
    <w:rsid w:val="006A125C"/>
    <w:rsid w:val="006A127C"/>
    <w:rsid w:val="006A12B8"/>
    <w:rsid w:val="006A12FE"/>
    <w:rsid w:val="006A13A8"/>
    <w:rsid w:val="006A141B"/>
    <w:rsid w:val="006A1423"/>
    <w:rsid w:val="006A1425"/>
    <w:rsid w:val="006A14B2"/>
    <w:rsid w:val="006A14D5"/>
    <w:rsid w:val="006A14DE"/>
    <w:rsid w:val="006A1557"/>
    <w:rsid w:val="006A155E"/>
    <w:rsid w:val="006A15EE"/>
    <w:rsid w:val="006A1625"/>
    <w:rsid w:val="006A1663"/>
    <w:rsid w:val="006A168E"/>
    <w:rsid w:val="006A170F"/>
    <w:rsid w:val="006A1735"/>
    <w:rsid w:val="006A17BA"/>
    <w:rsid w:val="006A1805"/>
    <w:rsid w:val="006A180F"/>
    <w:rsid w:val="006A1872"/>
    <w:rsid w:val="006A187A"/>
    <w:rsid w:val="006A1899"/>
    <w:rsid w:val="006A19A1"/>
    <w:rsid w:val="006A19D9"/>
    <w:rsid w:val="006A19DA"/>
    <w:rsid w:val="006A1A3E"/>
    <w:rsid w:val="006A1AA5"/>
    <w:rsid w:val="006A1AE9"/>
    <w:rsid w:val="006A1AF5"/>
    <w:rsid w:val="006A1B1A"/>
    <w:rsid w:val="006A1B1E"/>
    <w:rsid w:val="006A1B7C"/>
    <w:rsid w:val="006A1B85"/>
    <w:rsid w:val="006A1C03"/>
    <w:rsid w:val="006A1C15"/>
    <w:rsid w:val="006A1C47"/>
    <w:rsid w:val="006A1C4B"/>
    <w:rsid w:val="006A1C5C"/>
    <w:rsid w:val="006A1CC0"/>
    <w:rsid w:val="006A1CC8"/>
    <w:rsid w:val="006A1CCB"/>
    <w:rsid w:val="006A1CEC"/>
    <w:rsid w:val="006A1D4A"/>
    <w:rsid w:val="006A1D4F"/>
    <w:rsid w:val="006A1D57"/>
    <w:rsid w:val="006A1D6B"/>
    <w:rsid w:val="006A1D74"/>
    <w:rsid w:val="006A1D90"/>
    <w:rsid w:val="006A1DB7"/>
    <w:rsid w:val="006A1E19"/>
    <w:rsid w:val="006A1E2C"/>
    <w:rsid w:val="006A1E8C"/>
    <w:rsid w:val="006A1EB2"/>
    <w:rsid w:val="006A1F00"/>
    <w:rsid w:val="006A1F25"/>
    <w:rsid w:val="006A1F60"/>
    <w:rsid w:val="006A1FA2"/>
    <w:rsid w:val="006A1FC0"/>
    <w:rsid w:val="006A2030"/>
    <w:rsid w:val="006A215A"/>
    <w:rsid w:val="006A217D"/>
    <w:rsid w:val="006A21BF"/>
    <w:rsid w:val="006A21E3"/>
    <w:rsid w:val="006A21EC"/>
    <w:rsid w:val="006A2230"/>
    <w:rsid w:val="006A2269"/>
    <w:rsid w:val="006A229F"/>
    <w:rsid w:val="006A2331"/>
    <w:rsid w:val="006A2463"/>
    <w:rsid w:val="006A24B8"/>
    <w:rsid w:val="006A24DA"/>
    <w:rsid w:val="006A251F"/>
    <w:rsid w:val="006A2549"/>
    <w:rsid w:val="006A25E5"/>
    <w:rsid w:val="006A261C"/>
    <w:rsid w:val="006A2669"/>
    <w:rsid w:val="006A26E3"/>
    <w:rsid w:val="006A2725"/>
    <w:rsid w:val="006A27A5"/>
    <w:rsid w:val="006A27E2"/>
    <w:rsid w:val="006A285B"/>
    <w:rsid w:val="006A28B8"/>
    <w:rsid w:val="006A292F"/>
    <w:rsid w:val="006A294E"/>
    <w:rsid w:val="006A29C5"/>
    <w:rsid w:val="006A2A3A"/>
    <w:rsid w:val="006A2A3B"/>
    <w:rsid w:val="006A2ADF"/>
    <w:rsid w:val="006A2AE1"/>
    <w:rsid w:val="006A2B3D"/>
    <w:rsid w:val="006A2B4D"/>
    <w:rsid w:val="006A2B68"/>
    <w:rsid w:val="006A2B6C"/>
    <w:rsid w:val="006A2BC0"/>
    <w:rsid w:val="006A2BC4"/>
    <w:rsid w:val="006A2BFB"/>
    <w:rsid w:val="006A2D38"/>
    <w:rsid w:val="006A2D77"/>
    <w:rsid w:val="006A2DB3"/>
    <w:rsid w:val="006A2DD6"/>
    <w:rsid w:val="006A2E08"/>
    <w:rsid w:val="006A2E91"/>
    <w:rsid w:val="006A2E9A"/>
    <w:rsid w:val="006A2EC1"/>
    <w:rsid w:val="006A2EE1"/>
    <w:rsid w:val="006A2F6A"/>
    <w:rsid w:val="006A2FBB"/>
    <w:rsid w:val="006A2FE1"/>
    <w:rsid w:val="006A3011"/>
    <w:rsid w:val="006A3018"/>
    <w:rsid w:val="006A314E"/>
    <w:rsid w:val="006A3185"/>
    <w:rsid w:val="006A31E2"/>
    <w:rsid w:val="006A3217"/>
    <w:rsid w:val="006A3220"/>
    <w:rsid w:val="006A3238"/>
    <w:rsid w:val="006A323D"/>
    <w:rsid w:val="006A3269"/>
    <w:rsid w:val="006A3278"/>
    <w:rsid w:val="006A32C6"/>
    <w:rsid w:val="006A32C7"/>
    <w:rsid w:val="006A331D"/>
    <w:rsid w:val="006A3412"/>
    <w:rsid w:val="006A3416"/>
    <w:rsid w:val="006A343D"/>
    <w:rsid w:val="006A34F1"/>
    <w:rsid w:val="006A3520"/>
    <w:rsid w:val="006A358D"/>
    <w:rsid w:val="006A3614"/>
    <w:rsid w:val="006A3640"/>
    <w:rsid w:val="006A3642"/>
    <w:rsid w:val="006A3715"/>
    <w:rsid w:val="006A3724"/>
    <w:rsid w:val="006A3735"/>
    <w:rsid w:val="006A37B7"/>
    <w:rsid w:val="006A37F5"/>
    <w:rsid w:val="006A37F9"/>
    <w:rsid w:val="006A3846"/>
    <w:rsid w:val="006A3886"/>
    <w:rsid w:val="006A38B2"/>
    <w:rsid w:val="006A38B3"/>
    <w:rsid w:val="006A38CF"/>
    <w:rsid w:val="006A3907"/>
    <w:rsid w:val="006A39F6"/>
    <w:rsid w:val="006A3A0F"/>
    <w:rsid w:val="006A3A5D"/>
    <w:rsid w:val="006A3AA9"/>
    <w:rsid w:val="006A3BD7"/>
    <w:rsid w:val="006A3C91"/>
    <w:rsid w:val="006A3CA7"/>
    <w:rsid w:val="006A3CE9"/>
    <w:rsid w:val="006A3D12"/>
    <w:rsid w:val="006A3D19"/>
    <w:rsid w:val="006A3D1F"/>
    <w:rsid w:val="006A3D83"/>
    <w:rsid w:val="006A3DAB"/>
    <w:rsid w:val="006A3DBA"/>
    <w:rsid w:val="006A3DF6"/>
    <w:rsid w:val="006A3E1E"/>
    <w:rsid w:val="006A3ECF"/>
    <w:rsid w:val="006A3F6B"/>
    <w:rsid w:val="006A3F82"/>
    <w:rsid w:val="006A3FC2"/>
    <w:rsid w:val="006A4008"/>
    <w:rsid w:val="006A400E"/>
    <w:rsid w:val="006A4062"/>
    <w:rsid w:val="006A4063"/>
    <w:rsid w:val="006A4098"/>
    <w:rsid w:val="006A409B"/>
    <w:rsid w:val="006A40EC"/>
    <w:rsid w:val="006A4184"/>
    <w:rsid w:val="006A41D8"/>
    <w:rsid w:val="006A4217"/>
    <w:rsid w:val="006A422D"/>
    <w:rsid w:val="006A424D"/>
    <w:rsid w:val="006A428A"/>
    <w:rsid w:val="006A42A7"/>
    <w:rsid w:val="006A42BB"/>
    <w:rsid w:val="006A42CF"/>
    <w:rsid w:val="006A4335"/>
    <w:rsid w:val="006A4339"/>
    <w:rsid w:val="006A43E6"/>
    <w:rsid w:val="006A440F"/>
    <w:rsid w:val="006A4415"/>
    <w:rsid w:val="006A4452"/>
    <w:rsid w:val="006A4457"/>
    <w:rsid w:val="006A4459"/>
    <w:rsid w:val="006A4460"/>
    <w:rsid w:val="006A4469"/>
    <w:rsid w:val="006A447A"/>
    <w:rsid w:val="006A453A"/>
    <w:rsid w:val="006A4579"/>
    <w:rsid w:val="006A45B7"/>
    <w:rsid w:val="006A45D0"/>
    <w:rsid w:val="006A45FE"/>
    <w:rsid w:val="006A4721"/>
    <w:rsid w:val="006A4781"/>
    <w:rsid w:val="006A47A4"/>
    <w:rsid w:val="006A47F4"/>
    <w:rsid w:val="006A4830"/>
    <w:rsid w:val="006A4831"/>
    <w:rsid w:val="006A4842"/>
    <w:rsid w:val="006A4866"/>
    <w:rsid w:val="006A48A6"/>
    <w:rsid w:val="006A48C0"/>
    <w:rsid w:val="006A492E"/>
    <w:rsid w:val="006A4946"/>
    <w:rsid w:val="006A4964"/>
    <w:rsid w:val="006A49B6"/>
    <w:rsid w:val="006A49C7"/>
    <w:rsid w:val="006A4A07"/>
    <w:rsid w:val="006A4A53"/>
    <w:rsid w:val="006A4B2F"/>
    <w:rsid w:val="006A4B81"/>
    <w:rsid w:val="006A4BC1"/>
    <w:rsid w:val="006A4BF6"/>
    <w:rsid w:val="006A4C56"/>
    <w:rsid w:val="006A4CCE"/>
    <w:rsid w:val="006A4CE8"/>
    <w:rsid w:val="006A4D90"/>
    <w:rsid w:val="006A4DCE"/>
    <w:rsid w:val="006A4DE6"/>
    <w:rsid w:val="006A4E1E"/>
    <w:rsid w:val="006A4E25"/>
    <w:rsid w:val="006A4E89"/>
    <w:rsid w:val="006A4EB1"/>
    <w:rsid w:val="006A4EB6"/>
    <w:rsid w:val="006A4EC8"/>
    <w:rsid w:val="006A4EED"/>
    <w:rsid w:val="006A4EF4"/>
    <w:rsid w:val="006A4EF8"/>
    <w:rsid w:val="006A4EFF"/>
    <w:rsid w:val="006A4F06"/>
    <w:rsid w:val="006A4F1E"/>
    <w:rsid w:val="006A4F62"/>
    <w:rsid w:val="006A4FA1"/>
    <w:rsid w:val="006A4FAE"/>
    <w:rsid w:val="006A4FCC"/>
    <w:rsid w:val="006A4FF3"/>
    <w:rsid w:val="006A50AD"/>
    <w:rsid w:val="006A5114"/>
    <w:rsid w:val="006A5154"/>
    <w:rsid w:val="006A516B"/>
    <w:rsid w:val="006A518A"/>
    <w:rsid w:val="006A51AA"/>
    <w:rsid w:val="006A51C0"/>
    <w:rsid w:val="006A51E7"/>
    <w:rsid w:val="006A51FA"/>
    <w:rsid w:val="006A5224"/>
    <w:rsid w:val="006A5266"/>
    <w:rsid w:val="006A52BA"/>
    <w:rsid w:val="006A5342"/>
    <w:rsid w:val="006A5352"/>
    <w:rsid w:val="006A5380"/>
    <w:rsid w:val="006A539F"/>
    <w:rsid w:val="006A53AC"/>
    <w:rsid w:val="006A53B9"/>
    <w:rsid w:val="006A53C5"/>
    <w:rsid w:val="006A53D7"/>
    <w:rsid w:val="006A540A"/>
    <w:rsid w:val="006A5468"/>
    <w:rsid w:val="006A54CE"/>
    <w:rsid w:val="006A54F4"/>
    <w:rsid w:val="006A5573"/>
    <w:rsid w:val="006A55C8"/>
    <w:rsid w:val="006A55FA"/>
    <w:rsid w:val="006A560A"/>
    <w:rsid w:val="006A5656"/>
    <w:rsid w:val="006A57EB"/>
    <w:rsid w:val="006A582F"/>
    <w:rsid w:val="006A585C"/>
    <w:rsid w:val="006A5898"/>
    <w:rsid w:val="006A59A0"/>
    <w:rsid w:val="006A59C3"/>
    <w:rsid w:val="006A5A12"/>
    <w:rsid w:val="006A5A31"/>
    <w:rsid w:val="006A5A9B"/>
    <w:rsid w:val="006A5ACA"/>
    <w:rsid w:val="006A5B05"/>
    <w:rsid w:val="006A5B3F"/>
    <w:rsid w:val="006A5B83"/>
    <w:rsid w:val="006A5BE7"/>
    <w:rsid w:val="006A5BED"/>
    <w:rsid w:val="006A5C0A"/>
    <w:rsid w:val="006A5D2D"/>
    <w:rsid w:val="006A5D69"/>
    <w:rsid w:val="006A5D7F"/>
    <w:rsid w:val="006A5DA6"/>
    <w:rsid w:val="006A5DC1"/>
    <w:rsid w:val="006A5DD0"/>
    <w:rsid w:val="006A5DE4"/>
    <w:rsid w:val="006A5E13"/>
    <w:rsid w:val="006A5E26"/>
    <w:rsid w:val="006A5ED3"/>
    <w:rsid w:val="006A5ED4"/>
    <w:rsid w:val="006A5EDF"/>
    <w:rsid w:val="006A5EE6"/>
    <w:rsid w:val="006A5F3B"/>
    <w:rsid w:val="006A5F59"/>
    <w:rsid w:val="006A5F64"/>
    <w:rsid w:val="006A5FC7"/>
    <w:rsid w:val="006A5FEF"/>
    <w:rsid w:val="006A606E"/>
    <w:rsid w:val="006A60BE"/>
    <w:rsid w:val="006A60C3"/>
    <w:rsid w:val="006A60F5"/>
    <w:rsid w:val="006A611E"/>
    <w:rsid w:val="006A6124"/>
    <w:rsid w:val="006A617E"/>
    <w:rsid w:val="006A61A4"/>
    <w:rsid w:val="006A6272"/>
    <w:rsid w:val="006A6280"/>
    <w:rsid w:val="006A62B8"/>
    <w:rsid w:val="006A62BC"/>
    <w:rsid w:val="006A6327"/>
    <w:rsid w:val="006A6380"/>
    <w:rsid w:val="006A6397"/>
    <w:rsid w:val="006A63E7"/>
    <w:rsid w:val="006A6431"/>
    <w:rsid w:val="006A6462"/>
    <w:rsid w:val="006A656E"/>
    <w:rsid w:val="006A65AF"/>
    <w:rsid w:val="006A65C8"/>
    <w:rsid w:val="006A6621"/>
    <w:rsid w:val="006A6673"/>
    <w:rsid w:val="006A669B"/>
    <w:rsid w:val="006A66D1"/>
    <w:rsid w:val="006A66DA"/>
    <w:rsid w:val="006A6756"/>
    <w:rsid w:val="006A6790"/>
    <w:rsid w:val="006A679E"/>
    <w:rsid w:val="006A67BE"/>
    <w:rsid w:val="006A6822"/>
    <w:rsid w:val="006A682B"/>
    <w:rsid w:val="006A68C1"/>
    <w:rsid w:val="006A68D9"/>
    <w:rsid w:val="006A6912"/>
    <w:rsid w:val="006A6965"/>
    <w:rsid w:val="006A696C"/>
    <w:rsid w:val="006A6987"/>
    <w:rsid w:val="006A699E"/>
    <w:rsid w:val="006A69B6"/>
    <w:rsid w:val="006A6A45"/>
    <w:rsid w:val="006A6A54"/>
    <w:rsid w:val="006A6A6C"/>
    <w:rsid w:val="006A6AD9"/>
    <w:rsid w:val="006A6AE6"/>
    <w:rsid w:val="006A6B17"/>
    <w:rsid w:val="006A6B28"/>
    <w:rsid w:val="006A6B8C"/>
    <w:rsid w:val="006A6B93"/>
    <w:rsid w:val="006A6BA5"/>
    <w:rsid w:val="006A6C86"/>
    <w:rsid w:val="006A6C8F"/>
    <w:rsid w:val="006A6D22"/>
    <w:rsid w:val="006A6D38"/>
    <w:rsid w:val="006A6D65"/>
    <w:rsid w:val="006A6D8F"/>
    <w:rsid w:val="006A6E17"/>
    <w:rsid w:val="006A6E55"/>
    <w:rsid w:val="006A6E87"/>
    <w:rsid w:val="006A6ED6"/>
    <w:rsid w:val="006A6F0F"/>
    <w:rsid w:val="006A6F36"/>
    <w:rsid w:val="006A6F49"/>
    <w:rsid w:val="006A6F6E"/>
    <w:rsid w:val="006A6F87"/>
    <w:rsid w:val="006A7018"/>
    <w:rsid w:val="006A702F"/>
    <w:rsid w:val="006A703D"/>
    <w:rsid w:val="006A70AE"/>
    <w:rsid w:val="006A7150"/>
    <w:rsid w:val="006A7187"/>
    <w:rsid w:val="006A7193"/>
    <w:rsid w:val="006A7204"/>
    <w:rsid w:val="006A721C"/>
    <w:rsid w:val="006A7232"/>
    <w:rsid w:val="006A72A8"/>
    <w:rsid w:val="006A73AA"/>
    <w:rsid w:val="006A74BC"/>
    <w:rsid w:val="006A74C2"/>
    <w:rsid w:val="006A74CB"/>
    <w:rsid w:val="006A7594"/>
    <w:rsid w:val="006A75F7"/>
    <w:rsid w:val="006A767C"/>
    <w:rsid w:val="006A7695"/>
    <w:rsid w:val="006A7698"/>
    <w:rsid w:val="006A76E0"/>
    <w:rsid w:val="006A774B"/>
    <w:rsid w:val="006A77A4"/>
    <w:rsid w:val="006A7806"/>
    <w:rsid w:val="006A7813"/>
    <w:rsid w:val="006A7871"/>
    <w:rsid w:val="006A787D"/>
    <w:rsid w:val="006A791E"/>
    <w:rsid w:val="006A793A"/>
    <w:rsid w:val="006A795A"/>
    <w:rsid w:val="006A79EA"/>
    <w:rsid w:val="006A7A04"/>
    <w:rsid w:val="006A7AA2"/>
    <w:rsid w:val="006A7AA4"/>
    <w:rsid w:val="006A7AD7"/>
    <w:rsid w:val="006A7B08"/>
    <w:rsid w:val="006A7B26"/>
    <w:rsid w:val="006A7B85"/>
    <w:rsid w:val="006A7B96"/>
    <w:rsid w:val="006A7C10"/>
    <w:rsid w:val="006A7C27"/>
    <w:rsid w:val="006A7C8F"/>
    <w:rsid w:val="006A7CB8"/>
    <w:rsid w:val="006A7CD2"/>
    <w:rsid w:val="006A7D7B"/>
    <w:rsid w:val="006A7E1D"/>
    <w:rsid w:val="006A7E2C"/>
    <w:rsid w:val="006A7E94"/>
    <w:rsid w:val="006A7EE0"/>
    <w:rsid w:val="006A7F06"/>
    <w:rsid w:val="006A7F4D"/>
    <w:rsid w:val="006A7F7A"/>
    <w:rsid w:val="006B002E"/>
    <w:rsid w:val="006B005D"/>
    <w:rsid w:val="006B00F3"/>
    <w:rsid w:val="006B010F"/>
    <w:rsid w:val="006B013E"/>
    <w:rsid w:val="006B01A2"/>
    <w:rsid w:val="006B01A5"/>
    <w:rsid w:val="006B01B7"/>
    <w:rsid w:val="006B01D8"/>
    <w:rsid w:val="006B0247"/>
    <w:rsid w:val="006B02B0"/>
    <w:rsid w:val="006B02DE"/>
    <w:rsid w:val="006B02DF"/>
    <w:rsid w:val="006B0312"/>
    <w:rsid w:val="006B0349"/>
    <w:rsid w:val="006B035C"/>
    <w:rsid w:val="006B039C"/>
    <w:rsid w:val="006B03B2"/>
    <w:rsid w:val="006B03DE"/>
    <w:rsid w:val="006B03FC"/>
    <w:rsid w:val="006B0425"/>
    <w:rsid w:val="006B0446"/>
    <w:rsid w:val="006B0467"/>
    <w:rsid w:val="006B04A2"/>
    <w:rsid w:val="006B05BF"/>
    <w:rsid w:val="006B05DB"/>
    <w:rsid w:val="006B0603"/>
    <w:rsid w:val="006B0678"/>
    <w:rsid w:val="006B06C8"/>
    <w:rsid w:val="006B06CE"/>
    <w:rsid w:val="006B0711"/>
    <w:rsid w:val="006B0799"/>
    <w:rsid w:val="006B0823"/>
    <w:rsid w:val="006B0845"/>
    <w:rsid w:val="006B084A"/>
    <w:rsid w:val="006B08A4"/>
    <w:rsid w:val="006B08D7"/>
    <w:rsid w:val="006B0928"/>
    <w:rsid w:val="006B0944"/>
    <w:rsid w:val="006B094E"/>
    <w:rsid w:val="006B09BD"/>
    <w:rsid w:val="006B09F3"/>
    <w:rsid w:val="006B09F9"/>
    <w:rsid w:val="006B09FF"/>
    <w:rsid w:val="006B0A01"/>
    <w:rsid w:val="006B0A07"/>
    <w:rsid w:val="006B0A10"/>
    <w:rsid w:val="006B0A30"/>
    <w:rsid w:val="006B0AC0"/>
    <w:rsid w:val="006B0AD4"/>
    <w:rsid w:val="006B0B01"/>
    <w:rsid w:val="006B0B1B"/>
    <w:rsid w:val="006B0B21"/>
    <w:rsid w:val="006B0B49"/>
    <w:rsid w:val="006B0B91"/>
    <w:rsid w:val="006B0B94"/>
    <w:rsid w:val="006B0BDD"/>
    <w:rsid w:val="006B0C1A"/>
    <w:rsid w:val="006B0C3A"/>
    <w:rsid w:val="006B0C5C"/>
    <w:rsid w:val="006B0D14"/>
    <w:rsid w:val="006B0DA8"/>
    <w:rsid w:val="006B0DE3"/>
    <w:rsid w:val="006B0E2B"/>
    <w:rsid w:val="006B0E9A"/>
    <w:rsid w:val="006B0E9D"/>
    <w:rsid w:val="006B0EC0"/>
    <w:rsid w:val="006B0EDE"/>
    <w:rsid w:val="006B0EFA"/>
    <w:rsid w:val="006B0F02"/>
    <w:rsid w:val="006B0F33"/>
    <w:rsid w:val="006B0F38"/>
    <w:rsid w:val="006B0F3E"/>
    <w:rsid w:val="006B0F5F"/>
    <w:rsid w:val="006B0F6B"/>
    <w:rsid w:val="006B0F74"/>
    <w:rsid w:val="006B0F81"/>
    <w:rsid w:val="006B0FE2"/>
    <w:rsid w:val="006B1006"/>
    <w:rsid w:val="006B100B"/>
    <w:rsid w:val="006B104F"/>
    <w:rsid w:val="006B10A4"/>
    <w:rsid w:val="006B1114"/>
    <w:rsid w:val="006B113E"/>
    <w:rsid w:val="006B1161"/>
    <w:rsid w:val="006B1167"/>
    <w:rsid w:val="006B11A5"/>
    <w:rsid w:val="006B11B8"/>
    <w:rsid w:val="006B11B9"/>
    <w:rsid w:val="006B11F6"/>
    <w:rsid w:val="006B11FB"/>
    <w:rsid w:val="006B129B"/>
    <w:rsid w:val="006B12F4"/>
    <w:rsid w:val="006B131B"/>
    <w:rsid w:val="006B13FE"/>
    <w:rsid w:val="006B143B"/>
    <w:rsid w:val="006B1465"/>
    <w:rsid w:val="006B14DF"/>
    <w:rsid w:val="006B14FC"/>
    <w:rsid w:val="006B1533"/>
    <w:rsid w:val="006B1544"/>
    <w:rsid w:val="006B15A6"/>
    <w:rsid w:val="006B1604"/>
    <w:rsid w:val="006B1609"/>
    <w:rsid w:val="006B1669"/>
    <w:rsid w:val="006B166C"/>
    <w:rsid w:val="006B1677"/>
    <w:rsid w:val="006B1732"/>
    <w:rsid w:val="006B1747"/>
    <w:rsid w:val="006B1758"/>
    <w:rsid w:val="006B176D"/>
    <w:rsid w:val="006B1841"/>
    <w:rsid w:val="006B18F0"/>
    <w:rsid w:val="006B1901"/>
    <w:rsid w:val="006B192D"/>
    <w:rsid w:val="006B1932"/>
    <w:rsid w:val="006B1941"/>
    <w:rsid w:val="006B1962"/>
    <w:rsid w:val="006B198C"/>
    <w:rsid w:val="006B19C5"/>
    <w:rsid w:val="006B19FC"/>
    <w:rsid w:val="006B1A1D"/>
    <w:rsid w:val="006B1A54"/>
    <w:rsid w:val="006B1AAC"/>
    <w:rsid w:val="006B1B4D"/>
    <w:rsid w:val="006B1B6A"/>
    <w:rsid w:val="006B1B9F"/>
    <w:rsid w:val="006B1BAE"/>
    <w:rsid w:val="006B1BE6"/>
    <w:rsid w:val="006B1C6E"/>
    <w:rsid w:val="006B1CA2"/>
    <w:rsid w:val="006B1CF1"/>
    <w:rsid w:val="006B1D11"/>
    <w:rsid w:val="006B1D81"/>
    <w:rsid w:val="006B1D82"/>
    <w:rsid w:val="006B1D9A"/>
    <w:rsid w:val="006B1DB6"/>
    <w:rsid w:val="006B1DD0"/>
    <w:rsid w:val="006B1E00"/>
    <w:rsid w:val="006B1E79"/>
    <w:rsid w:val="006B1E9A"/>
    <w:rsid w:val="006B1E9F"/>
    <w:rsid w:val="006B1EC5"/>
    <w:rsid w:val="006B1ED9"/>
    <w:rsid w:val="006B1F09"/>
    <w:rsid w:val="006B1F1F"/>
    <w:rsid w:val="006B1FC2"/>
    <w:rsid w:val="006B1FE4"/>
    <w:rsid w:val="006B1FF5"/>
    <w:rsid w:val="006B202C"/>
    <w:rsid w:val="006B2044"/>
    <w:rsid w:val="006B20E4"/>
    <w:rsid w:val="006B217A"/>
    <w:rsid w:val="006B21A5"/>
    <w:rsid w:val="006B21E5"/>
    <w:rsid w:val="006B22F3"/>
    <w:rsid w:val="006B22F5"/>
    <w:rsid w:val="006B233F"/>
    <w:rsid w:val="006B237A"/>
    <w:rsid w:val="006B239D"/>
    <w:rsid w:val="006B23FA"/>
    <w:rsid w:val="006B2547"/>
    <w:rsid w:val="006B2555"/>
    <w:rsid w:val="006B2556"/>
    <w:rsid w:val="006B259A"/>
    <w:rsid w:val="006B25AC"/>
    <w:rsid w:val="006B25F5"/>
    <w:rsid w:val="006B26AA"/>
    <w:rsid w:val="006B26E5"/>
    <w:rsid w:val="006B2761"/>
    <w:rsid w:val="006B277B"/>
    <w:rsid w:val="006B27CC"/>
    <w:rsid w:val="006B27CE"/>
    <w:rsid w:val="006B27D1"/>
    <w:rsid w:val="006B281F"/>
    <w:rsid w:val="006B2850"/>
    <w:rsid w:val="006B2875"/>
    <w:rsid w:val="006B2876"/>
    <w:rsid w:val="006B2884"/>
    <w:rsid w:val="006B28A6"/>
    <w:rsid w:val="006B28B9"/>
    <w:rsid w:val="006B291F"/>
    <w:rsid w:val="006B29A5"/>
    <w:rsid w:val="006B29E5"/>
    <w:rsid w:val="006B29ED"/>
    <w:rsid w:val="006B2A1E"/>
    <w:rsid w:val="006B2AB4"/>
    <w:rsid w:val="006B2B7A"/>
    <w:rsid w:val="006B2BA5"/>
    <w:rsid w:val="006B2C06"/>
    <w:rsid w:val="006B2C0E"/>
    <w:rsid w:val="006B2C60"/>
    <w:rsid w:val="006B2C9A"/>
    <w:rsid w:val="006B2C9F"/>
    <w:rsid w:val="006B2CA3"/>
    <w:rsid w:val="006B2DEA"/>
    <w:rsid w:val="006B2E26"/>
    <w:rsid w:val="006B2EC4"/>
    <w:rsid w:val="006B2F0C"/>
    <w:rsid w:val="006B2F31"/>
    <w:rsid w:val="006B2FB5"/>
    <w:rsid w:val="006B300D"/>
    <w:rsid w:val="006B3013"/>
    <w:rsid w:val="006B3066"/>
    <w:rsid w:val="006B30FF"/>
    <w:rsid w:val="006B312F"/>
    <w:rsid w:val="006B317C"/>
    <w:rsid w:val="006B3186"/>
    <w:rsid w:val="006B31A1"/>
    <w:rsid w:val="006B321E"/>
    <w:rsid w:val="006B32A0"/>
    <w:rsid w:val="006B32CD"/>
    <w:rsid w:val="006B32E4"/>
    <w:rsid w:val="006B32FF"/>
    <w:rsid w:val="006B330D"/>
    <w:rsid w:val="006B3343"/>
    <w:rsid w:val="006B335B"/>
    <w:rsid w:val="006B3376"/>
    <w:rsid w:val="006B3396"/>
    <w:rsid w:val="006B33A5"/>
    <w:rsid w:val="006B33B2"/>
    <w:rsid w:val="006B3445"/>
    <w:rsid w:val="006B346B"/>
    <w:rsid w:val="006B35A7"/>
    <w:rsid w:val="006B35E2"/>
    <w:rsid w:val="006B3617"/>
    <w:rsid w:val="006B365A"/>
    <w:rsid w:val="006B366E"/>
    <w:rsid w:val="006B36C2"/>
    <w:rsid w:val="006B36D1"/>
    <w:rsid w:val="006B36EA"/>
    <w:rsid w:val="006B36F0"/>
    <w:rsid w:val="006B3719"/>
    <w:rsid w:val="006B3752"/>
    <w:rsid w:val="006B3782"/>
    <w:rsid w:val="006B3788"/>
    <w:rsid w:val="006B37ED"/>
    <w:rsid w:val="006B37F4"/>
    <w:rsid w:val="006B38C5"/>
    <w:rsid w:val="006B38D9"/>
    <w:rsid w:val="006B38FF"/>
    <w:rsid w:val="006B390C"/>
    <w:rsid w:val="006B392F"/>
    <w:rsid w:val="006B3938"/>
    <w:rsid w:val="006B394E"/>
    <w:rsid w:val="006B39A9"/>
    <w:rsid w:val="006B39D9"/>
    <w:rsid w:val="006B39EB"/>
    <w:rsid w:val="006B3A00"/>
    <w:rsid w:val="006B3A3D"/>
    <w:rsid w:val="006B3A6B"/>
    <w:rsid w:val="006B3A71"/>
    <w:rsid w:val="006B3A9B"/>
    <w:rsid w:val="006B3B29"/>
    <w:rsid w:val="006B3B64"/>
    <w:rsid w:val="006B3C0A"/>
    <w:rsid w:val="006B3C34"/>
    <w:rsid w:val="006B3CA2"/>
    <w:rsid w:val="006B3CB8"/>
    <w:rsid w:val="006B3CD5"/>
    <w:rsid w:val="006B3CD7"/>
    <w:rsid w:val="006B3D41"/>
    <w:rsid w:val="006B3D42"/>
    <w:rsid w:val="006B3D44"/>
    <w:rsid w:val="006B3D9B"/>
    <w:rsid w:val="006B3DF5"/>
    <w:rsid w:val="006B3E65"/>
    <w:rsid w:val="006B3E7C"/>
    <w:rsid w:val="006B3EEE"/>
    <w:rsid w:val="006B3EF8"/>
    <w:rsid w:val="006B3EFE"/>
    <w:rsid w:val="006B3F12"/>
    <w:rsid w:val="006B3F35"/>
    <w:rsid w:val="006B3F45"/>
    <w:rsid w:val="006B3F68"/>
    <w:rsid w:val="006B3F6B"/>
    <w:rsid w:val="006B3FE3"/>
    <w:rsid w:val="006B4055"/>
    <w:rsid w:val="006B4106"/>
    <w:rsid w:val="006B411A"/>
    <w:rsid w:val="006B4146"/>
    <w:rsid w:val="006B415C"/>
    <w:rsid w:val="006B41CE"/>
    <w:rsid w:val="006B4223"/>
    <w:rsid w:val="006B4233"/>
    <w:rsid w:val="006B425A"/>
    <w:rsid w:val="006B43A9"/>
    <w:rsid w:val="006B43B9"/>
    <w:rsid w:val="006B43CE"/>
    <w:rsid w:val="006B4465"/>
    <w:rsid w:val="006B4517"/>
    <w:rsid w:val="006B45CC"/>
    <w:rsid w:val="006B45E2"/>
    <w:rsid w:val="006B462D"/>
    <w:rsid w:val="006B467F"/>
    <w:rsid w:val="006B468C"/>
    <w:rsid w:val="006B46C6"/>
    <w:rsid w:val="006B46C7"/>
    <w:rsid w:val="006B46F2"/>
    <w:rsid w:val="006B4705"/>
    <w:rsid w:val="006B47B3"/>
    <w:rsid w:val="006B47E9"/>
    <w:rsid w:val="006B480F"/>
    <w:rsid w:val="006B4828"/>
    <w:rsid w:val="006B482E"/>
    <w:rsid w:val="006B4839"/>
    <w:rsid w:val="006B4878"/>
    <w:rsid w:val="006B48B8"/>
    <w:rsid w:val="006B4945"/>
    <w:rsid w:val="006B4960"/>
    <w:rsid w:val="006B49A0"/>
    <w:rsid w:val="006B49BB"/>
    <w:rsid w:val="006B4B20"/>
    <w:rsid w:val="006B4B56"/>
    <w:rsid w:val="006B4B75"/>
    <w:rsid w:val="006B4C2A"/>
    <w:rsid w:val="006B4D76"/>
    <w:rsid w:val="006B4DEE"/>
    <w:rsid w:val="006B4E84"/>
    <w:rsid w:val="006B4E8C"/>
    <w:rsid w:val="006B4EA5"/>
    <w:rsid w:val="006B4EFC"/>
    <w:rsid w:val="006B4F0F"/>
    <w:rsid w:val="006B4F2F"/>
    <w:rsid w:val="006B4F5D"/>
    <w:rsid w:val="006B4F8F"/>
    <w:rsid w:val="006B4FC6"/>
    <w:rsid w:val="006B4FF9"/>
    <w:rsid w:val="006B5024"/>
    <w:rsid w:val="006B5071"/>
    <w:rsid w:val="006B509E"/>
    <w:rsid w:val="006B512F"/>
    <w:rsid w:val="006B5141"/>
    <w:rsid w:val="006B5181"/>
    <w:rsid w:val="006B519A"/>
    <w:rsid w:val="006B51A1"/>
    <w:rsid w:val="006B5250"/>
    <w:rsid w:val="006B5274"/>
    <w:rsid w:val="006B5278"/>
    <w:rsid w:val="006B527D"/>
    <w:rsid w:val="006B52DD"/>
    <w:rsid w:val="006B530D"/>
    <w:rsid w:val="006B530E"/>
    <w:rsid w:val="006B53D4"/>
    <w:rsid w:val="006B53EF"/>
    <w:rsid w:val="006B545E"/>
    <w:rsid w:val="006B5490"/>
    <w:rsid w:val="006B54AA"/>
    <w:rsid w:val="006B54D3"/>
    <w:rsid w:val="006B553B"/>
    <w:rsid w:val="006B5553"/>
    <w:rsid w:val="006B55DD"/>
    <w:rsid w:val="006B560C"/>
    <w:rsid w:val="006B5686"/>
    <w:rsid w:val="006B56FF"/>
    <w:rsid w:val="006B5703"/>
    <w:rsid w:val="006B572F"/>
    <w:rsid w:val="006B5871"/>
    <w:rsid w:val="006B5872"/>
    <w:rsid w:val="006B5891"/>
    <w:rsid w:val="006B58A0"/>
    <w:rsid w:val="006B58C1"/>
    <w:rsid w:val="006B593F"/>
    <w:rsid w:val="006B59A8"/>
    <w:rsid w:val="006B5A4E"/>
    <w:rsid w:val="006B5AD1"/>
    <w:rsid w:val="006B5AD5"/>
    <w:rsid w:val="006B5AF4"/>
    <w:rsid w:val="006B5B0A"/>
    <w:rsid w:val="006B5B56"/>
    <w:rsid w:val="006B5B65"/>
    <w:rsid w:val="006B5B92"/>
    <w:rsid w:val="006B5BDA"/>
    <w:rsid w:val="006B5C54"/>
    <w:rsid w:val="006B5C7E"/>
    <w:rsid w:val="006B5CD0"/>
    <w:rsid w:val="006B5CD1"/>
    <w:rsid w:val="006B5D38"/>
    <w:rsid w:val="006B5D40"/>
    <w:rsid w:val="006B5D4B"/>
    <w:rsid w:val="006B5D4C"/>
    <w:rsid w:val="006B5D8C"/>
    <w:rsid w:val="006B5E1A"/>
    <w:rsid w:val="006B5E1B"/>
    <w:rsid w:val="006B5E25"/>
    <w:rsid w:val="006B5F06"/>
    <w:rsid w:val="006B5F93"/>
    <w:rsid w:val="006B6037"/>
    <w:rsid w:val="006B6038"/>
    <w:rsid w:val="006B604B"/>
    <w:rsid w:val="006B6075"/>
    <w:rsid w:val="006B60A1"/>
    <w:rsid w:val="006B60D5"/>
    <w:rsid w:val="006B611F"/>
    <w:rsid w:val="006B6230"/>
    <w:rsid w:val="006B6269"/>
    <w:rsid w:val="006B62A8"/>
    <w:rsid w:val="006B6350"/>
    <w:rsid w:val="006B6386"/>
    <w:rsid w:val="006B639E"/>
    <w:rsid w:val="006B640B"/>
    <w:rsid w:val="006B6413"/>
    <w:rsid w:val="006B6436"/>
    <w:rsid w:val="006B6494"/>
    <w:rsid w:val="006B650E"/>
    <w:rsid w:val="006B65C0"/>
    <w:rsid w:val="006B65F0"/>
    <w:rsid w:val="006B6618"/>
    <w:rsid w:val="006B6628"/>
    <w:rsid w:val="006B6642"/>
    <w:rsid w:val="006B6670"/>
    <w:rsid w:val="006B668E"/>
    <w:rsid w:val="006B66AF"/>
    <w:rsid w:val="006B674D"/>
    <w:rsid w:val="006B67BF"/>
    <w:rsid w:val="006B6804"/>
    <w:rsid w:val="006B682B"/>
    <w:rsid w:val="006B682F"/>
    <w:rsid w:val="006B6851"/>
    <w:rsid w:val="006B689C"/>
    <w:rsid w:val="006B690B"/>
    <w:rsid w:val="006B6949"/>
    <w:rsid w:val="006B6991"/>
    <w:rsid w:val="006B6A1B"/>
    <w:rsid w:val="006B6B32"/>
    <w:rsid w:val="006B6B48"/>
    <w:rsid w:val="006B6BD5"/>
    <w:rsid w:val="006B6C3A"/>
    <w:rsid w:val="006B6C7D"/>
    <w:rsid w:val="006B6C9A"/>
    <w:rsid w:val="006B6CBA"/>
    <w:rsid w:val="006B6CEB"/>
    <w:rsid w:val="006B6D1E"/>
    <w:rsid w:val="006B6D33"/>
    <w:rsid w:val="006B6D43"/>
    <w:rsid w:val="006B6D50"/>
    <w:rsid w:val="006B6D8A"/>
    <w:rsid w:val="006B6DF8"/>
    <w:rsid w:val="006B6E95"/>
    <w:rsid w:val="006B6EF6"/>
    <w:rsid w:val="006B6F1D"/>
    <w:rsid w:val="006B6F24"/>
    <w:rsid w:val="006B6F5D"/>
    <w:rsid w:val="006B6F81"/>
    <w:rsid w:val="006B6F83"/>
    <w:rsid w:val="006B6F8C"/>
    <w:rsid w:val="006B6FD7"/>
    <w:rsid w:val="006B7096"/>
    <w:rsid w:val="006B70D6"/>
    <w:rsid w:val="006B70DB"/>
    <w:rsid w:val="006B7194"/>
    <w:rsid w:val="006B7196"/>
    <w:rsid w:val="006B71FA"/>
    <w:rsid w:val="006B721D"/>
    <w:rsid w:val="006B7250"/>
    <w:rsid w:val="006B7258"/>
    <w:rsid w:val="006B72DD"/>
    <w:rsid w:val="006B7324"/>
    <w:rsid w:val="006B733C"/>
    <w:rsid w:val="006B734E"/>
    <w:rsid w:val="006B73A4"/>
    <w:rsid w:val="006B73E4"/>
    <w:rsid w:val="006B7436"/>
    <w:rsid w:val="006B74B3"/>
    <w:rsid w:val="006B755D"/>
    <w:rsid w:val="006B7569"/>
    <w:rsid w:val="006B75EA"/>
    <w:rsid w:val="006B769B"/>
    <w:rsid w:val="006B76C2"/>
    <w:rsid w:val="006B7730"/>
    <w:rsid w:val="006B7751"/>
    <w:rsid w:val="006B77AC"/>
    <w:rsid w:val="006B787F"/>
    <w:rsid w:val="006B7909"/>
    <w:rsid w:val="006B79C6"/>
    <w:rsid w:val="006B7A96"/>
    <w:rsid w:val="006B7ACF"/>
    <w:rsid w:val="006B7B1A"/>
    <w:rsid w:val="006B7B35"/>
    <w:rsid w:val="006B7B70"/>
    <w:rsid w:val="006B7B80"/>
    <w:rsid w:val="006B7B9D"/>
    <w:rsid w:val="006B7B9F"/>
    <w:rsid w:val="006B7BB4"/>
    <w:rsid w:val="006B7BCE"/>
    <w:rsid w:val="006B7C05"/>
    <w:rsid w:val="006B7C43"/>
    <w:rsid w:val="006B7C4A"/>
    <w:rsid w:val="006B7D0E"/>
    <w:rsid w:val="006B7D67"/>
    <w:rsid w:val="006B7DCE"/>
    <w:rsid w:val="006B7E34"/>
    <w:rsid w:val="006B7E67"/>
    <w:rsid w:val="006B7EB8"/>
    <w:rsid w:val="006B7EBC"/>
    <w:rsid w:val="006B7ECA"/>
    <w:rsid w:val="006B7F34"/>
    <w:rsid w:val="006B7F5F"/>
    <w:rsid w:val="006B7F69"/>
    <w:rsid w:val="006B7F9B"/>
    <w:rsid w:val="006B7FA0"/>
    <w:rsid w:val="006C0002"/>
    <w:rsid w:val="006C0087"/>
    <w:rsid w:val="006C0091"/>
    <w:rsid w:val="006C00B5"/>
    <w:rsid w:val="006C00F8"/>
    <w:rsid w:val="006C00FE"/>
    <w:rsid w:val="006C014F"/>
    <w:rsid w:val="006C0155"/>
    <w:rsid w:val="006C019C"/>
    <w:rsid w:val="006C01C2"/>
    <w:rsid w:val="006C01F0"/>
    <w:rsid w:val="006C01F9"/>
    <w:rsid w:val="006C0212"/>
    <w:rsid w:val="006C0227"/>
    <w:rsid w:val="006C034E"/>
    <w:rsid w:val="006C03F4"/>
    <w:rsid w:val="006C0449"/>
    <w:rsid w:val="006C0470"/>
    <w:rsid w:val="006C04B7"/>
    <w:rsid w:val="006C04CC"/>
    <w:rsid w:val="006C04FE"/>
    <w:rsid w:val="006C0537"/>
    <w:rsid w:val="006C05AE"/>
    <w:rsid w:val="006C05DD"/>
    <w:rsid w:val="006C0642"/>
    <w:rsid w:val="006C06A3"/>
    <w:rsid w:val="006C0716"/>
    <w:rsid w:val="006C0749"/>
    <w:rsid w:val="006C08D8"/>
    <w:rsid w:val="006C0921"/>
    <w:rsid w:val="006C0942"/>
    <w:rsid w:val="006C094F"/>
    <w:rsid w:val="006C0984"/>
    <w:rsid w:val="006C098A"/>
    <w:rsid w:val="006C09C3"/>
    <w:rsid w:val="006C09E0"/>
    <w:rsid w:val="006C09E1"/>
    <w:rsid w:val="006C0A16"/>
    <w:rsid w:val="006C0AFF"/>
    <w:rsid w:val="006C0B69"/>
    <w:rsid w:val="006C0B8D"/>
    <w:rsid w:val="006C0B90"/>
    <w:rsid w:val="006C0BF4"/>
    <w:rsid w:val="006C0C2D"/>
    <w:rsid w:val="006C0C78"/>
    <w:rsid w:val="006C0C85"/>
    <w:rsid w:val="006C0C8D"/>
    <w:rsid w:val="006C0CA1"/>
    <w:rsid w:val="006C0CCB"/>
    <w:rsid w:val="006C0D2A"/>
    <w:rsid w:val="006C0D2D"/>
    <w:rsid w:val="006C0DA1"/>
    <w:rsid w:val="006C0DA3"/>
    <w:rsid w:val="006C0DD3"/>
    <w:rsid w:val="006C0E3E"/>
    <w:rsid w:val="006C0E91"/>
    <w:rsid w:val="006C0F19"/>
    <w:rsid w:val="006C0F29"/>
    <w:rsid w:val="006C0F32"/>
    <w:rsid w:val="006C0F65"/>
    <w:rsid w:val="006C0F9B"/>
    <w:rsid w:val="006C0F9F"/>
    <w:rsid w:val="006C1000"/>
    <w:rsid w:val="006C1033"/>
    <w:rsid w:val="006C103D"/>
    <w:rsid w:val="006C1065"/>
    <w:rsid w:val="006C10BC"/>
    <w:rsid w:val="006C116E"/>
    <w:rsid w:val="006C11A3"/>
    <w:rsid w:val="006C1309"/>
    <w:rsid w:val="006C13E0"/>
    <w:rsid w:val="006C13F4"/>
    <w:rsid w:val="006C1432"/>
    <w:rsid w:val="006C1492"/>
    <w:rsid w:val="006C1515"/>
    <w:rsid w:val="006C1543"/>
    <w:rsid w:val="006C1547"/>
    <w:rsid w:val="006C15BE"/>
    <w:rsid w:val="006C15E5"/>
    <w:rsid w:val="006C1693"/>
    <w:rsid w:val="006C16B5"/>
    <w:rsid w:val="006C16E7"/>
    <w:rsid w:val="006C171A"/>
    <w:rsid w:val="006C17D8"/>
    <w:rsid w:val="006C1853"/>
    <w:rsid w:val="006C1854"/>
    <w:rsid w:val="006C1885"/>
    <w:rsid w:val="006C1892"/>
    <w:rsid w:val="006C1946"/>
    <w:rsid w:val="006C19CA"/>
    <w:rsid w:val="006C1A03"/>
    <w:rsid w:val="006C1A0A"/>
    <w:rsid w:val="006C1A4C"/>
    <w:rsid w:val="006C1A87"/>
    <w:rsid w:val="006C1AE9"/>
    <w:rsid w:val="006C1B1E"/>
    <w:rsid w:val="006C1B30"/>
    <w:rsid w:val="006C1B8F"/>
    <w:rsid w:val="006C1BF3"/>
    <w:rsid w:val="006C1C69"/>
    <w:rsid w:val="006C1C76"/>
    <w:rsid w:val="006C1C84"/>
    <w:rsid w:val="006C1D7C"/>
    <w:rsid w:val="006C1D87"/>
    <w:rsid w:val="006C1DBB"/>
    <w:rsid w:val="006C1DDB"/>
    <w:rsid w:val="006C1DF0"/>
    <w:rsid w:val="006C1E54"/>
    <w:rsid w:val="006C1ECD"/>
    <w:rsid w:val="006C1F69"/>
    <w:rsid w:val="006C1F7C"/>
    <w:rsid w:val="006C1F84"/>
    <w:rsid w:val="006C1FA1"/>
    <w:rsid w:val="006C2095"/>
    <w:rsid w:val="006C209F"/>
    <w:rsid w:val="006C21E0"/>
    <w:rsid w:val="006C2215"/>
    <w:rsid w:val="006C2226"/>
    <w:rsid w:val="006C227A"/>
    <w:rsid w:val="006C22E3"/>
    <w:rsid w:val="006C2306"/>
    <w:rsid w:val="006C2376"/>
    <w:rsid w:val="006C237A"/>
    <w:rsid w:val="006C23E6"/>
    <w:rsid w:val="006C2446"/>
    <w:rsid w:val="006C2492"/>
    <w:rsid w:val="006C24E6"/>
    <w:rsid w:val="006C24FE"/>
    <w:rsid w:val="006C251D"/>
    <w:rsid w:val="006C2535"/>
    <w:rsid w:val="006C25B9"/>
    <w:rsid w:val="006C25C2"/>
    <w:rsid w:val="006C25CE"/>
    <w:rsid w:val="006C25D5"/>
    <w:rsid w:val="006C25FF"/>
    <w:rsid w:val="006C26B3"/>
    <w:rsid w:val="006C26FE"/>
    <w:rsid w:val="006C272B"/>
    <w:rsid w:val="006C273C"/>
    <w:rsid w:val="006C27D2"/>
    <w:rsid w:val="006C2856"/>
    <w:rsid w:val="006C28B2"/>
    <w:rsid w:val="006C2913"/>
    <w:rsid w:val="006C296E"/>
    <w:rsid w:val="006C2991"/>
    <w:rsid w:val="006C29E3"/>
    <w:rsid w:val="006C2A39"/>
    <w:rsid w:val="006C2AA6"/>
    <w:rsid w:val="006C2ADD"/>
    <w:rsid w:val="006C2AF8"/>
    <w:rsid w:val="006C2B20"/>
    <w:rsid w:val="006C2B68"/>
    <w:rsid w:val="006C2B85"/>
    <w:rsid w:val="006C2BFE"/>
    <w:rsid w:val="006C2C10"/>
    <w:rsid w:val="006C2C24"/>
    <w:rsid w:val="006C2C8E"/>
    <w:rsid w:val="006C2CA7"/>
    <w:rsid w:val="006C2CD7"/>
    <w:rsid w:val="006C2D1F"/>
    <w:rsid w:val="006C2D70"/>
    <w:rsid w:val="006C2D84"/>
    <w:rsid w:val="006C2D98"/>
    <w:rsid w:val="006C2DC4"/>
    <w:rsid w:val="006C2DD3"/>
    <w:rsid w:val="006C2DE5"/>
    <w:rsid w:val="006C2E06"/>
    <w:rsid w:val="006C2EB9"/>
    <w:rsid w:val="006C2F90"/>
    <w:rsid w:val="006C3049"/>
    <w:rsid w:val="006C308E"/>
    <w:rsid w:val="006C30AA"/>
    <w:rsid w:val="006C315E"/>
    <w:rsid w:val="006C319B"/>
    <w:rsid w:val="006C31FB"/>
    <w:rsid w:val="006C3250"/>
    <w:rsid w:val="006C328E"/>
    <w:rsid w:val="006C32C7"/>
    <w:rsid w:val="006C33AA"/>
    <w:rsid w:val="006C3426"/>
    <w:rsid w:val="006C342E"/>
    <w:rsid w:val="006C3484"/>
    <w:rsid w:val="006C34D5"/>
    <w:rsid w:val="006C3523"/>
    <w:rsid w:val="006C353A"/>
    <w:rsid w:val="006C3557"/>
    <w:rsid w:val="006C357E"/>
    <w:rsid w:val="006C360E"/>
    <w:rsid w:val="006C3631"/>
    <w:rsid w:val="006C3697"/>
    <w:rsid w:val="006C36A3"/>
    <w:rsid w:val="006C36AE"/>
    <w:rsid w:val="006C37EA"/>
    <w:rsid w:val="006C3824"/>
    <w:rsid w:val="006C388B"/>
    <w:rsid w:val="006C389F"/>
    <w:rsid w:val="006C3907"/>
    <w:rsid w:val="006C39C4"/>
    <w:rsid w:val="006C39E8"/>
    <w:rsid w:val="006C3A14"/>
    <w:rsid w:val="006C3A40"/>
    <w:rsid w:val="006C3A4F"/>
    <w:rsid w:val="006C3A72"/>
    <w:rsid w:val="006C3B04"/>
    <w:rsid w:val="006C3B2B"/>
    <w:rsid w:val="006C3B55"/>
    <w:rsid w:val="006C3B7F"/>
    <w:rsid w:val="006C3BAC"/>
    <w:rsid w:val="006C3BFB"/>
    <w:rsid w:val="006C3C15"/>
    <w:rsid w:val="006C3C48"/>
    <w:rsid w:val="006C3CC2"/>
    <w:rsid w:val="006C3D15"/>
    <w:rsid w:val="006C3D1F"/>
    <w:rsid w:val="006C3D60"/>
    <w:rsid w:val="006C3D6F"/>
    <w:rsid w:val="006C3D85"/>
    <w:rsid w:val="006C3D97"/>
    <w:rsid w:val="006C3E27"/>
    <w:rsid w:val="006C3E28"/>
    <w:rsid w:val="006C3E43"/>
    <w:rsid w:val="006C3EB5"/>
    <w:rsid w:val="006C3EEB"/>
    <w:rsid w:val="006C3F75"/>
    <w:rsid w:val="006C3F89"/>
    <w:rsid w:val="006C3FC1"/>
    <w:rsid w:val="006C4045"/>
    <w:rsid w:val="006C40CE"/>
    <w:rsid w:val="006C412D"/>
    <w:rsid w:val="006C4169"/>
    <w:rsid w:val="006C4196"/>
    <w:rsid w:val="006C41CB"/>
    <w:rsid w:val="006C41EE"/>
    <w:rsid w:val="006C4209"/>
    <w:rsid w:val="006C420F"/>
    <w:rsid w:val="006C4217"/>
    <w:rsid w:val="006C4230"/>
    <w:rsid w:val="006C4239"/>
    <w:rsid w:val="006C4277"/>
    <w:rsid w:val="006C42DE"/>
    <w:rsid w:val="006C42EC"/>
    <w:rsid w:val="006C4317"/>
    <w:rsid w:val="006C4333"/>
    <w:rsid w:val="006C4344"/>
    <w:rsid w:val="006C4368"/>
    <w:rsid w:val="006C43E6"/>
    <w:rsid w:val="006C440D"/>
    <w:rsid w:val="006C4454"/>
    <w:rsid w:val="006C44FD"/>
    <w:rsid w:val="006C4507"/>
    <w:rsid w:val="006C4520"/>
    <w:rsid w:val="006C452D"/>
    <w:rsid w:val="006C455C"/>
    <w:rsid w:val="006C45E2"/>
    <w:rsid w:val="006C46EB"/>
    <w:rsid w:val="006C4733"/>
    <w:rsid w:val="006C476A"/>
    <w:rsid w:val="006C47B3"/>
    <w:rsid w:val="006C47BE"/>
    <w:rsid w:val="006C47D5"/>
    <w:rsid w:val="006C4818"/>
    <w:rsid w:val="006C483C"/>
    <w:rsid w:val="006C4850"/>
    <w:rsid w:val="006C48EB"/>
    <w:rsid w:val="006C4932"/>
    <w:rsid w:val="006C49A1"/>
    <w:rsid w:val="006C49B2"/>
    <w:rsid w:val="006C49F1"/>
    <w:rsid w:val="006C4A6C"/>
    <w:rsid w:val="006C4AB3"/>
    <w:rsid w:val="006C4B18"/>
    <w:rsid w:val="006C4BD2"/>
    <w:rsid w:val="006C4C07"/>
    <w:rsid w:val="006C4C54"/>
    <w:rsid w:val="006C4C55"/>
    <w:rsid w:val="006C4D4C"/>
    <w:rsid w:val="006C4DE5"/>
    <w:rsid w:val="006C4DF6"/>
    <w:rsid w:val="006C4DF7"/>
    <w:rsid w:val="006C4DFE"/>
    <w:rsid w:val="006C4E5A"/>
    <w:rsid w:val="006C4EB2"/>
    <w:rsid w:val="006C4EB5"/>
    <w:rsid w:val="006C4ED3"/>
    <w:rsid w:val="006C4EF4"/>
    <w:rsid w:val="006C4F95"/>
    <w:rsid w:val="006C4FF2"/>
    <w:rsid w:val="006C5026"/>
    <w:rsid w:val="006C5040"/>
    <w:rsid w:val="006C509A"/>
    <w:rsid w:val="006C5128"/>
    <w:rsid w:val="006C51D5"/>
    <w:rsid w:val="006C51FE"/>
    <w:rsid w:val="006C529F"/>
    <w:rsid w:val="006C52DC"/>
    <w:rsid w:val="006C5324"/>
    <w:rsid w:val="006C536B"/>
    <w:rsid w:val="006C5379"/>
    <w:rsid w:val="006C53AB"/>
    <w:rsid w:val="006C53E1"/>
    <w:rsid w:val="006C5455"/>
    <w:rsid w:val="006C5524"/>
    <w:rsid w:val="006C5581"/>
    <w:rsid w:val="006C55D2"/>
    <w:rsid w:val="006C5616"/>
    <w:rsid w:val="006C562E"/>
    <w:rsid w:val="006C5633"/>
    <w:rsid w:val="006C567B"/>
    <w:rsid w:val="006C5683"/>
    <w:rsid w:val="006C56A7"/>
    <w:rsid w:val="006C56EF"/>
    <w:rsid w:val="006C571F"/>
    <w:rsid w:val="006C5770"/>
    <w:rsid w:val="006C57D2"/>
    <w:rsid w:val="006C5836"/>
    <w:rsid w:val="006C584F"/>
    <w:rsid w:val="006C5869"/>
    <w:rsid w:val="006C58A6"/>
    <w:rsid w:val="006C58E7"/>
    <w:rsid w:val="006C5921"/>
    <w:rsid w:val="006C5940"/>
    <w:rsid w:val="006C596B"/>
    <w:rsid w:val="006C59BC"/>
    <w:rsid w:val="006C59EF"/>
    <w:rsid w:val="006C5A53"/>
    <w:rsid w:val="006C5A8D"/>
    <w:rsid w:val="006C5A90"/>
    <w:rsid w:val="006C5B49"/>
    <w:rsid w:val="006C5B73"/>
    <w:rsid w:val="006C5B8C"/>
    <w:rsid w:val="006C5BA4"/>
    <w:rsid w:val="006C5C44"/>
    <w:rsid w:val="006C5C88"/>
    <w:rsid w:val="006C5CBB"/>
    <w:rsid w:val="006C5CD4"/>
    <w:rsid w:val="006C5D02"/>
    <w:rsid w:val="006C5D29"/>
    <w:rsid w:val="006C5DF2"/>
    <w:rsid w:val="006C5E1C"/>
    <w:rsid w:val="006C5E97"/>
    <w:rsid w:val="006C5ECC"/>
    <w:rsid w:val="006C5EDF"/>
    <w:rsid w:val="006C5EE8"/>
    <w:rsid w:val="006C5EE9"/>
    <w:rsid w:val="006C5F40"/>
    <w:rsid w:val="006C5F65"/>
    <w:rsid w:val="006C5F84"/>
    <w:rsid w:val="006C6028"/>
    <w:rsid w:val="006C6040"/>
    <w:rsid w:val="006C6058"/>
    <w:rsid w:val="006C60EC"/>
    <w:rsid w:val="006C618F"/>
    <w:rsid w:val="006C61CF"/>
    <w:rsid w:val="006C61D9"/>
    <w:rsid w:val="006C6206"/>
    <w:rsid w:val="006C624F"/>
    <w:rsid w:val="006C6276"/>
    <w:rsid w:val="006C6299"/>
    <w:rsid w:val="006C62E0"/>
    <w:rsid w:val="006C6317"/>
    <w:rsid w:val="006C631D"/>
    <w:rsid w:val="006C6321"/>
    <w:rsid w:val="006C6354"/>
    <w:rsid w:val="006C6394"/>
    <w:rsid w:val="006C639B"/>
    <w:rsid w:val="006C63F0"/>
    <w:rsid w:val="006C6441"/>
    <w:rsid w:val="006C645D"/>
    <w:rsid w:val="006C648D"/>
    <w:rsid w:val="006C64CB"/>
    <w:rsid w:val="006C64D5"/>
    <w:rsid w:val="006C64F9"/>
    <w:rsid w:val="006C658D"/>
    <w:rsid w:val="006C65B6"/>
    <w:rsid w:val="006C65C8"/>
    <w:rsid w:val="006C65E0"/>
    <w:rsid w:val="006C6600"/>
    <w:rsid w:val="006C6658"/>
    <w:rsid w:val="006C66D5"/>
    <w:rsid w:val="006C673A"/>
    <w:rsid w:val="006C6779"/>
    <w:rsid w:val="006C67C0"/>
    <w:rsid w:val="006C6823"/>
    <w:rsid w:val="006C6865"/>
    <w:rsid w:val="006C68AF"/>
    <w:rsid w:val="006C694C"/>
    <w:rsid w:val="006C694D"/>
    <w:rsid w:val="006C6994"/>
    <w:rsid w:val="006C69C2"/>
    <w:rsid w:val="006C69C3"/>
    <w:rsid w:val="006C69F3"/>
    <w:rsid w:val="006C6A47"/>
    <w:rsid w:val="006C6A92"/>
    <w:rsid w:val="006C6AA4"/>
    <w:rsid w:val="006C6AF7"/>
    <w:rsid w:val="006C6B06"/>
    <w:rsid w:val="006C6B21"/>
    <w:rsid w:val="006C6D18"/>
    <w:rsid w:val="006C6D69"/>
    <w:rsid w:val="006C6D90"/>
    <w:rsid w:val="006C6DF0"/>
    <w:rsid w:val="006C6E4C"/>
    <w:rsid w:val="006C6E7A"/>
    <w:rsid w:val="006C6E85"/>
    <w:rsid w:val="006C6EC8"/>
    <w:rsid w:val="006C6F73"/>
    <w:rsid w:val="006C6FFA"/>
    <w:rsid w:val="006C706A"/>
    <w:rsid w:val="006C7076"/>
    <w:rsid w:val="006C7162"/>
    <w:rsid w:val="006C71CB"/>
    <w:rsid w:val="006C720F"/>
    <w:rsid w:val="006C7244"/>
    <w:rsid w:val="006C7296"/>
    <w:rsid w:val="006C72A6"/>
    <w:rsid w:val="006C72E3"/>
    <w:rsid w:val="006C7358"/>
    <w:rsid w:val="006C7398"/>
    <w:rsid w:val="006C744B"/>
    <w:rsid w:val="006C7481"/>
    <w:rsid w:val="006C7482"/>
    <w:rsid w:val="006C74A8"/>
    <w:rsid w:val="006C74B6"/>
    <w:rsid w:val="006C7586"/>
    <w:rsid w:val="006C75B5"/>
    <w:rsid w:val="006C7622"/>
    <w:rsid w:val="006C762C"/>
    <w:rsid w:val="006C762D"/>
    <w:rsid w:val="006C7640"/>
    <w:rsid w:val="006C7646"/>
    <w:rsid w:val="006C76DB"/>
    <w:rsid w:val="006C775F"/>
    <w:rsid w:val="006C7763"/>
    <w:rsid w:val="006C776E"/>
    <w:rsid w:val="006C7791"/>
    <w:rsid w:val="006C7795"/>
    <w:rsid w:val="006C7821"/>
    <w:rsid w:val="006C785D"/>
    <w:rsid w:val="006C78A7"/>
    <w:rsid w:val="006C78BE"/>
    <w:rsid w:val="006C797D"/>
    <w:rsid w:val="006C79B4"/>
    <w:rsid w:val="006C79BE"/>
    <w:rsid w:val="006C79FF"/>
    <w:rsid w:val="006C7A02"/>
    <w:rsid w:val="006C7A98"/>
    <w:rsid w:val="006C7ABC"/>
    <w:rsid w:val="006C7B1E"/>
    <w:rsid w:val="006C7BCE"/>
    <w:rsid w:val="006C7BDF"/>
    <w:rsid w:val="006C7C18"/>
    <w:rsid w:val="006C7C55"/>
    <w:rsid w:val="006C7C61"/>
    <w:rsid w:val="006C7C7B"/>
    <w:rsid w:val="006C7CD7"/>
    <w:rsid w:val="006C7CEB"/>
    <w:rsid w:val="006C7D18"/>
    <w:rsid w:val="006C7D43"/>
    <w:rsid w:val="006C7D89"/>
    <w:rsid w:val="006C7DAE"/>
    <w:rsid w:val="006C7DAF"/>
    <w:rsid w:val="006C7DB3"/>
    <w:rsid w:val="006C7DE2"/>
    <w:rsid w:val="006C7DF1"/>
    <w:rsid w:val="006C7E08"/>
    <w:rsid w:val="006C7E48"/>
    <w:rsid w:val="006C7ED1"/>
    <w:rsid w:val="006C7EE3"/>
    <w:rsid w:val="006C7FAC"/>
    <w:rsid w:val="006C7FB9"/>
    <w:rsid w:val="006C7FE9"/>
    <w:rsid w:val="006C7FEB"/>
    <w:rsid w:val="006D0029"/>
    <w:rsid w:val="006D00D9"/>
    <w:rsid w:val="006D0100"/>
    <w:rsid w:val="006D0120"/>
    <w:rsid w:val="006D014E"/>
    <w:rsid w:val="006D01FD"/>
    <w:rsid w:val="006D0261"/>
    <w:rsid w:val="006D0285"/>
    <w:rsid w:val="006D0287"/>
    <w:rsid w:val="006D02C7"/>
    <w:rsid w:val="006D02E8"/>
    <w:rsid w:val="006D0302"/>
    <w:rsid w:val="006D0358"/>
    <w:rsid w:val="006D0363"/>
    <w:rsid w:val="006D03B6"/>
    <w:rsid w:val="006D0406"/>
    <w:rsid w:val="006D0418"/>
    <w:rsid w:val="006D0427"/>
    <w:rsid w:val="006D046A"/>
    <w:rsid w:val="006D04CD"/>
    <w:rsid w:val="006D050B"/>
    <w:rsid w:val="006D0579"/>
    <w:rsid w:val="006D057C"/>
    <w:rsid w:val="006D05D1"/>
    <w:rsid w:val="006D060E"/>
    <w:rsid w:val="006D0675"/>
    <w:rsid w:val="006D06B7"/>
    <w:rsid w:val="006D06E7"/>
    <w:rsid w:val="006D071B"/>
    <w:rsid w:val="006D075E"/>
    <w:rsid w:val="006D076B"/>
    <w:rsid w:val="006D07EB"/>
    <w:rsid w:val="006D0806"/>
    <w:rsid w:val="006D082C"/>
    <w:rsid w:val="006D08E1"/>
    <w:rsid w:val="006D0904"/>
    <w:rsid w:val="006D0908"/>
    <w:rsid w:val="006D092E"/>
    <w:rsid w:val="006D09DE"/>
    <w:rsid w:val="006D09DF"/>
    <w:rsid w:val="006D0A5F"/>
    <w:rsid w:val="006D0AA1"/>
    <w:rsid w:val="006D0AA5"/>
    <w:rsid w:val="006D0AF6"/>
    <w:rsid w:val="006D0B2C"/>
    <w:rsid w:val="006D0B2D"/>
    <w:rsid w:val="006D0B34"/>
    <w:rsid w:val="006D0B69"/>
    <w:rsid w:val="006D0B86"/>
    <w:rsid w:val="006D0B9D"/>
    <w:rsid w:val="006D0BAB"/>
    <w:rsid w:val="006D0BB5"/>
    <w:rsid w:val="006D0BCB"/>
    <w:rsid w:val="006D0BEF"/>
    <w:rsid w:val="006D0C15"/>
    <w:rsid w:val="006D0CB4"/>
    <w:rsid w:val="006D0CDA"/>
    <w:rsid w:val="006D0D1B"/>
    <w:rsid w:val="006D0D53"/>
    <w:rsid w:val="006D0D85"/>
    <w:rsid w:val="006D0D91"/>
    <w:rsid w:val="006D0DFC"/>
    <w:rsid w:val="006D0DFD"/>
    <w:rsid w:val="006D0E1B"/>
    <w:rsid w:val="006D0E34"/>
    <w:rsid w:val="006D0E44"/>
    <w:rsid w:val="006D0E68"/>
    <w:rsid w:val="006D0F13"/>
    <w:rsid w:val="006D0FC2"/>
    <w:rsid w:val="006D0FC7"/>
    <w:rsid w:val="006D0FD4"/>
    <w:rsid w:val="006D101B"/>
    <w:rsid w:val="006D1050"/>
    <w:rsid w:val="006D1062"/>
    <w:rsid w:val="006D1082"/>
    <w:rsid w:val="006D109C"/>
    <w:rsid w:val="006D10A8"/>
    <w:rsid w:val="006D10EF"/>
    <w:rsid w:val="006D10F1"/>
    <w:rsid w:val="006D118A"/>
    <w:rsid w:val="006D118E"/>
    <w:rsid w:val="006D11B7"/>
    <w:rsid w:val="006D1231"/>
    <w:rsid w:val="006D12DA"/>
    <w:rsid w:val="006D1358"/>
    <w:rsid w:val="006D1363"/>
    <w:rsid w:val="006D1371"/>
    <w:rsid w:val="006D138C"/>
    <w:rsid w:val="006D13BB"/>
    <w:rsid w:val="006D13BC"/>
    <w:rsid w:val="006D13FC"/>
    <w:rsid w:val="006D1448"/>
    <w:rsid w:val="006D14C0"/>
    <w:rsid w:val="006D14C2"/>
    <w:rsid w:val="006D14F3"/>
    <w:rsid w:val="006D153C"/>
    <w:rsid w:val="006D15A9"/>
    <w:rsid w:val="006D15BC"/>
    <w:rsid w:val="006D1611"/>
    <w:rsid w:val="006D1641"/>
    <w:rsid w:val="006D167A"/>
    <w:rsid w:val="006D1687"/>
    <w:rsid w:val="006D16A0"/>
    <w:rsid w:val="006D1714"/>
    <w:rsid w:val="006D174F"/>
    <w:rsid w:val="006D1804"/>
    <w:rsid w:val="006D18CD"/>
    <w:rsid w:val="006D18DC"/>
    <w:rsid w:val="006D1935"/>
    <w:rsid w:val="006D195F"/>
    <w:rsid w:val="006D199C"/>
    <w:rsid w:val="006D19C0"/>
    <w:rsid w:val="006D19CD"/>
    <w:rsid w:val="006D19EF"/>
    <w:rsid w:val="006D1A40"/>
    <w:rsid w:val="006D1A8E"/>
    <w:rsid w:val="006D1AA8"/>
    <w:rsid w:val="006D1B40"/>
    <w:rsid w:val="006D1B48"/>
    <w:rsid w:val="006D1B98"/>
    <w:rsid w:val="006D1C76"/>
    <w:rsid w:val="006D1C7B"/>
    <w:rsid w:val="006D1C8C"/>
    <w:rsid w:val="006D1D86"/>
    <w:rsid w:val="006D1E00"/>
    <w:rsid w:val="006D1E20"/>
    <w:rsid w:val="006D1E9C"/>
    <w:rsid w:val="006D1ECE"/>
    <w:rsid w:val="006D1ED3"/>
    <w:rsid w:val="006D1F36"/>
    <w:rsid w:val="006D1F7A"/>
    <w:rsid w:val="006D1FDF"/>
    <w:rsid w:val="006D1FEE"/>
    <w:rsid w:val="006D1FF1"/>
    <w:rsid w:val="006D20BE"/>
    <w:rsid w:val="006D20FC"/>
    <w:rsid w:val="006D217C"/>
    <w:rsid w:val="006D2183"/>
    <w:rsid w:val="006D22AB"/>
    <w:rsid w:val="006D22E7"/>
    <w:rsid w:val="006D2324"/>
    <w:rsid w:val="006D236F"/>
    <w:rsid w:val="006D2387"/>
    <w:rsid w:val="006D238C"/>
    <w:rsid w:val="006D23A4"/>
    <w:rsid w:val="006D23C7"/>
    <w:rsid w:val="006D23D2"/>
    <w:rsid w:val="006D23DE"/>
    <w:rsid w:val="006D23DF"/>
    <w:rsid w:val="006D2426"/>
    <w:rsid w:val="006D248A"/>
    <w:rsid w:val="006D2494"/>
    <w:rsid w:val="006D24D3"/>
    <w:rsid w:val="006D24E5"/>
    <w:rsid w:val="006D24FA"/>
    <w:rsid w:val="006D24FF"/>
    <w:rsid w:val="006D25BB"/>
    <w:rsid w:val="006D262F"/>
    <w:rsid w:val="006D26B4"/>
    <w:rsid w:val="006D26F8"/>
    <w:rsid w:val="006D27AD"/>
    <w:rsid w:val="006D27BF"/>
    <w:rsid w:val="006D27C2"/>
    <w:rsid w:val="006D27D4"/>
    <w:rsid w:val="006D27E5"/>
    <w:rsid w:val="006D2842"/>
    <w:rsid w:val="006D285C"/>
    <w:rsid w:val="006D28CB"/>
    <w:rsid w:val="006D291C"/>
    <w:rsid w:val="006D294E"/>
    <w:rsid w:val="006D2961"/>
    <w:rsid w:val="006D29FB"/>
    <w:rsid w:val="006D2A21"/>
    <w:rsid w:val="006D2A27"/>
    <w:rsid w:val="006D2A3B"/>
    <w:rsid w:val="006D2A57"/>
    <w:rsid w:val="006D2AC3"/>
    <w:rsid w:val="006D2C29"/>
    <w:rsid w:val="006D2C88"/>
    <w:rsid w:val="006D2CB6"/>
    <w:rsid w:val="006D2CE7"/>
    <w:rsid w:val="006D2D25"/>
    <w:rsid w:val="006D2D3E"/>
    <w:rsid w:val="006D2D45"/>
    <w:rsid w:val="006D2D92"/>
    <w:rsid w:val="006D2E38"/>
    <w:rsid w:val="006D2F06"/>
    <w:rsid w:val="006D2F66"/>
    <w:rsid w:val="006D301C"/>
    <w:rsid w:val="006D304D"/>
    <w:rsid w:val="006D30F4"/>
    <w:rsid w:val="006D3102"/>
    <w:rsid w:val="006D318C"/>
    <w:rsid w:val="006D31A8"/>
    <w:rsid w:val="006D31BF"/>
    <w:rsid w:val="006D329A"/>
    <w:rsid w:val="006D32C9"/>
    <w:rsid w:val="006D32EF"/>
    <w:rsid w:val="006D32F9"/>
    <w:rsid w:val="006D3332"/>
    <w:rsid w:val="006D335B"/>
    <w:rsid w:val="006D3391"/>
    <w:rsid w:val="006D3429"/>
    <w:rsid w:val="006D3476"/>
    <w:rsid w:val="006D34BB"/>
    <w:rsid w:val="006D350D"/>
    <w:rsid w:val="006D3513"/>
    <w:rsid w:val="006D3516"/>
    <w:rsid w:val="006D35DB"/>
    <w:rsid w:val="006D35E3"/>
    <w:rsid w:val="006D3614"/>
    <w:rsid w:val="006D3622"/>
    <w:rsid w:val="006D3653"/>
    <w:rsid w:val="006D3670"/>
    <w:rsid w:val="006D36B3"/>
    <w:rsid w:val="006D36C9"/>
    <w:rsid w:val="006D36EB"/>
    <w:rsid w:val="006D3741"/>
    <w:rsid w:val="006D3777"/>
    <w:rsid w:val="006D3783"/>
    <w:rsid w:val="006D37A1"/>
    <w:rsid w:val="006D382B"/>
    <w:rsid w:val="006D38D0"/>
    <w:rsid w:val="006D390F"/>
    <w:rsid w:val="006D3944"/>
    <w:rsid w:val="006D394F"/>
    <w:rsid w:val="006D39C1"/>
    <w:rsid w:val="006D3A0D"/>
    <w:rsid w:val="006D3A0E"/>
    <w:rsid w:val="006D3A14"/>
    <w:rsid w:val="006D3A3C"/>
    <w:rsid w:val="006D3A4C"/>
    <w:rsid w:val="006D3A59"/>
    <w:rsid w:val="006D3B2C"/>
    <w:rsid w:val="006D3C01"/>
    <w:rsid w:val="006D3C5C"/>
    <w:rsid w:val="006D3C5F"/>
    <w:rsid w:val="006D3CB0"/>
    <w:rsid w:val="006D3CF8"/>
    <w:rsid w:val="006D3D1A"/>
    <w:rsid w:val="006D3D37"/>
    <w:rsid w:val="006D3D59"/>
    <w:rsid w:val="006D3DC1"/>
    <w:rsid w:val="006D3DD0"/>
    <w:rsid w:val="006D3E34"/>
    <w:rsid w:val="006D3F00"/>
    <w:rsid w:val="006D3F80"/>
    <w:rsid w:val="006D3F90"/>
    <w:rsid w:val="006D3FC2"/>
    <w:rsid w:val="006D3FF9"/>
    <w:rsid w:val="006D4074"/>
    <w:rsid w:val="006D4096"/>
    <w:rsid w:val="006D40FC"/>
    <w:rsid w:val="006D4123"/>
    <w:rsid w:val="006D41D1"/>
    <w:rsid w:val="006D41DF"/>
    <w:rsid w:val="006D424E"/>
    <w:rsid w:val="006D42C0"/>
    <w:rsid w:val="006D42E0"/>
    <w:rsid w:val="006D42F7"/>
    <w:rsid w:val="006D4399"/>
    <w:rsid w:val="006D4465"/>
    <w:rsid w:val="006D4478"/>
    <w:rsid w:val="006D44AA"/>
    <w:rsid w:val="006D44AC"/>
    <w:rsid w:val="006D44BF"/>
    <w:rsid w:val="006D44D6"/>
    <w:rsid w:val="006D451F"/>
    <w:rsid w:val="006D456B"/>
    <w:rsid w:val="006D456E"/>
    <w:rsid w:val="006D45E6"/>
    <w:rsid w:val="006D45E7"/>
    <w:rsid w:val="006D4602"/>
    <w:rsid w:val="006D463B"/>
    <w:rsid w:val="006D4645"/>
    <w:rsid w:val="006D46C3"/>
    <w:rsid w:val="006D46FB"/>
    <w:rsid w:val="006D47A3"/>
    <w:rsid w:val="006D480B"/>
    <w:rsid w:val="006D481F"/>
    <w:rsid w:val="006D48C1"/>
    <w:rsid w:val="006D4930"/>
    <w:rsid w:val="006D496B"/>
    <w:rsid w:val="006D49DD"/>
    <w:rsid w:val="006D4A60"/>
    <w:rsid w:val="006D4A65"/>
    <w:rsid w:val="006D4AD7"/>
    <w:rsid w:val="006D4B20"/>
    <w:rsid w:val="006D4B2A"/>
    <w:rsid w:val="006D4B82"/>
    <w:rsid w:val="006D4BB3"/>
    <w:rsid w:val="006D4BFB"/>
    <w:rsid w:val="006D4C07"/>
    <w:rsid w:val="006D4C89"/>
    <w:rsid w:val="006D4D3E"/>
    <w:rsid w:val="006D4D42"/>
    <w:rsid w:val="006D4D97"/>
    <w:rsid w:val="006D4E0B"/>
    <w:rsid w:val="006D4E1B"/>
    <w:rsid w:val="006D4E5E"/>
    <w:rsid w:val="006D4E6D"/>
    <w:rsid w:val="006D4E8F"/>
    <w:rsid w:val="006D4F2A"/>
    <w:rsid w:val="006D4F38"/>
    <w:rsid w:val="006D5041"/>
    <w:rsid w:val="006D506F"/>
    <w:rsid w:val="006D51C8"/>
    <w:rsid w:val="006D51F6"/>
    <w:rsid w:val="006D5207"/>
    <w:rsid w:val="006D5237"/>
    <w:rsid w:val="006D5254"/>
    <w:rsid w:val="006D5268"/>
    <w:rsid w:val="006D526B"/>
    <w:rsid w:val="006D527A"/>
    <w:rsid w:val="006D5289"/>
    <w:rsid w:val="006D53E0"/>
    <w:rsid w:val="006D54A8"/>
    <w:rsid w:val="006D54C2"/>
    <w:rsid w:val="006D54E4"/>
    <w:rsid w:val="006D54ED"/>
    <w:rsid w:val="006D5504"/>
    <w:rsid w:val="006D551E"/>
    <w:rsid w:val="006D5536"/>
    <w:rsid w:val="006D5595"/>
    <w:rsid w:val="006D559F"/>
    <w:rsid w:val="006D55CF"/>
    <w:rsid w:val="006D55FD"/>
    <w:rsid w:val="006D569C"/>
    <w:rsid w:val="006D5771"/>
    <w:rsid w:val="006D5773"/>
    <w:rsid w:val="006D5850"/>
    <w:rsid w:val="006D585B"/>
    <w:rsid w:val="006D58B8"/>
    <w:rsid w:val="006D58CA"/>
    <w:rsid w:val="006D58FD"/>
    <w:rsid w:val="006D591E"/>
    <w:rsid w:val="006D5927"/>
    <w:rsid w:val="006D5975"/>
    <w:rsid w:val="006D59A1"/>
    <w:rsid w:val="006D59FB"/>
    <w:rsid w:val="006D5A36"/>
    <w:rsid w:val="006D5A5E"/>
    <w:rsid w:val="006D5A98"/>
    <w:rsid w:val="006D5A9F"/>
    <w:rsid w:val="006D5ACF"/>
    <w:rsid w:val="006D5B67"/>
    <w:rsid w:val="006D5B7C"/>
    <w:rsid w:val="006D5BB7"/>
    <w:rsid w:val="006D5BC9"/>
    <w:rsid w:val="006D5C56"/>
    <w:rsid w:val="006D5D34"/>
    <w:rsid w:val="006D5DA1"/>
    <w:rsid w:val="006D5DB9"/>
    <w:rsid w:val="006D5DCF"/>
    <w:rsid w:val="006D5E20"/>
    <w:rsid w:val="006D5EAD"/>
    <w:rsid w:val="006D5EE8"/>
    <w:rsid w:val="006D5F72"/>
    <w:rsid w:val="006D5FCB"/>
    <w:rsid w:val="006D6020"/>
    <w:rsid w:val="006D602A"/>
    <w:rsid w:val="006D60B7"/>
    <w:rsid w:val="006D60E2"/>
    <w:rsid w:val="006D6122"/>
    <w:rsid w:val="006D6139"/>
    <w:rsid w:val="006D613D"/>
    <w:rsid w:val="006D614C"/>
    <w:rsid w:val="006D6157"/>
    <w:rsid w:val="006D6185"/>
    <w:rsid w:val="006D61D3"/>
    <w:rsid w:val="006D61E2"/>
    <w:rsid w:val="006D61FF"/>
    <w:rsid w:val="006D6242"/>
    <w:rsid w:val="006D6271"/>
    <w:rsid w:val="006D62D6"/>
    <w:rsid w:val="006D62E9"/>
    <w:rsid w:val="006D62F9"/>
    <w:rsid w:val="006D6304"/>
    <w:rsid w:val="006D63BB"/>
    <w:rsid w:val="006D6443"/>
    <w:rsid w:val="006D64F7"/>
    <w:rsid w:val="006D64F9"/>
    <w:rsid w:val="006D650C"/>
    <w:rsid w:val="006D6514"/>
    <w:rsid w:val="006D6526"/>
    <w:rsid w:val="006D6551"/>
    <w:rsid w:val="006D6559"/>
    <w:rsid w:val="006D6587"/>
    <w:rsid w:val="006D659A"/>
    <w:rsid w:val="006D65C9"/>
    <w:rsid w:val="006D65E1"/>
    <w:rsid w:val="006D65E6"/>
    <w:rsid w:val="006D660C"/>
    <w:rsid w:val="006D6693"/>
    <w:rsid w:val="006D66FC"/>
    <w:rsid w:val="006D6714"/>
    <w:rsid w:val="006D671A"/>
    <w:rsid w:val="006D671B"/>
    <w:rsid w:val="006D6750"/>
    <w:rsid w:val="006D6753"/>
    <w:rsid w:val="006D6792"/>
    <w:rsid w:val="006D67E0"/>
    <w:rsid w:val="006D6807"/>
    <w:rsid w:val="006D680E"/>
    <w:rsid w:val="006D6850"/>
    <w:rsid w:val="006D6892"/>
    <w:rsid w:val="006D68E1"/>
    <w:rsid w:val="006D698B"/>
    <w:rsid w:val="006D69B7"/>
    <w:rsid w:val="006D69C8"/>
    <w:rsid w:val="006D69DC"/>
    <w:rsid w:val="006D69DE"/>
    <w:rsid w:val="006D6A3B"/>
    <w:rsid w:val="006D6A4B"/>
    <w:rsid w:val="006D6A87"/>
    <w:rsid w:val="006D6ADF"/>
    <w:rsid w:val="006D6AEE"/>
    <w:rsid w:val="006D6AF1"/>
    <w:rsid w:val="006D6B0D"/>
    <w:rsid w:val="006D6B51"/>
    <w:rsid w:val="006D6BA4"/>
    <w:rsid w:val="006D6BA8"/>
    <w:rsid w:val="006D6C18"/>
    <w:rsid w:val="006D6C5A"/>
    <w:rsid w:val="006D6CB5"/>
    <w:rsid w:val="006D6CB8"/>
    <w:rsid w:val="006D6CCE"/>
    <w:rsid w:val="006D6CD0"/>
    <w:rsid w:val="006D6CF1"/>
    <w:rsid w:val="006D6D2B"/>
    <w:rsid w:val="006D6D4D"/>
    <w:rsid w:val="006D6D86"/>
    <w:rsid w:val="006D6DA2"/>
    <w:rsid w:val="006D6DF5"/>
    <w:rsid w:val="006D6DF8"/>
    <w:rsid w:val="006D6E88"/>
    <w:rsid w:val="006D6EAB"/>
    <w:rsid w:val="006D6EAD"/>
    <w:rsid w:val="006D6ECC"/>
    <w:rsid w:val="006D6FCB"/>
    <w:rsid w:val="006D6FDD"/>
    <w:rsid w:val="006D6FE6"/>
    <w:rsid w:val="006D7021"/>
    <w:rsid w:val="006D703F"/>
    <w:rsid w:val="006D7077"/>
    <w:rsid w:val="006D70FF"/>
    <w:rsid w:val="006D7114"/>
    <w:rsid w:val="006D7137"/>
    <w:rsid w:val="006D71A9"/>
    <w:rsid w:val="006D71C4"/>
    <w:rsid w:val="006D71EC"/>
    <w:rsid w:val="006D7286"/>
    <w:rsid w:val="006D72C8"/>
    <w:rsid w:val="006D7325"/>
    <w:rsid w:val="006D740D"/>
    <w:rsid w:val="006D7414"/>
    <w:rsid w:val="006D7430"/>
    <w:rsid w:val="006D7441"/>
    <w:rsid w:val="006D74C6"/>
    <w:rsid w:val="006D7528"/>
    <w:rsid w:val="006D7540"/>
    <w:rsid w:val="006D754F"/>
    <w:rsid w:val="006D7585"/>
    <w:rsid w:val="006D75A7"/>
    <w:rsid w:val="006D761B"/>
    <w:rsid w:val="006D7639"/>
    <w:rsid w:val="006D765A"/>
    <w:rsid w:val="006D7673"/>
    <w:rsid w:val="006D76AA"/>
    <w:rsid w:val="006D76ED"/>
    <w:rsid w:val="006D7702"/>
    <w:rsid w:val="006D77A1"/>
    <w:rsid w:val="006D77E2"/>
    <w:rsid w:val="006D78F0"/>
    <w:rsid w:val="006D7921"/>
    <w:rsid w:val="006D796B"/>
    <w:rsid w:val="006D79A2"/>
    <w:rsid w:val="006D79E2"/>
    <w:rsid w:val="006D7AF5"/>
    <w:rsid w:val="006D7B1C"/>
    <w:rsid w:val="006D7B65"/>
    <w:rsid w:val="006D7BCB"/>
    <w:rsid w:val="006D7BFC"/>
    <w:rsid w:val="006D7C88"/>
    <w:rsid w:val="006D7C8B"/>
    <w:rsid w:val="006D7CBE"/>
    <w:rsid w:val="006D7CDD"/>
    <w:rsid w:val="006D7D8B"/>
    <w:rsid w:val="006D7DA6"/>
    <w:rsid w:val="006D7E00"/>
    <w:rsid w:val="006D7E12"/>
    <w:rsid w:val="006D7E42"/>
    <w:rsid w:val="006D7E69"/>
    <w:rsid w:val="006D7F15"/>
    <w:rsid w:val="006D7F6C"/>
    <w:rsid w:val="006D7F99"/>
    <w:rsid w:val="006E007E"/>
    <w:rsid w:val="006E00A7"/>
    <w:rsid w:val="006E00C0"/>
    <w:rsid w:val="006E00DB"/>
    <w:rsid w:val="006E01BB"/>
    <w:rsid w:val="006E01CE"/>
    <w:rsid w:val="006E0222"/>
    <w:rsid w:val="006E0233"/>
    <w:rsid w:val="006E024C"/>
    <w:rsid w:val="006E0278"/>
    <w:rsid w:val="006E0293"/>
    <w:rsid w:val="006E029A"/>
    <w:rsid w:val="006E02B9"/>
    <w:rsid w:val="006E02BC"/>
    <w:rsid w:val="006E02D5"/>
    <w:rsid w:val="006E031B"/>
    <w:rsid w:val="006E034F"/>
    <w:rsid w:val="006E0354"/>
    <w:rsid w:val="006E03FF"/>
    <w:rsid w:val="006E041B"/>
    <w:rsid w:val="006E0424"/>
    <w:rsid w:val="006E0436"/>
    <w:rsid w:val="006E0444"/>
    <w:rsid w:val="006E04F2"/>
    <w:rsid w:val="006E04FE"/>
    <w:rsid w:val="006E0517"/>
    <w:rsid w:val="006E0546"/>
    <w:rsid w:val="006E0571"/>
    <w:rsid w:val="006E059B"/>
    <w:rsid w:val="006E0679"/>
    <w:rsid w:val="006E0693"/>
    <w:rsid w:val="006E0698"/>
    <w:rsid w:val="006E06BF"/>
    <w:rsid w:val="006E06F1"/>
    <w:rsid w:val="006E079B"/>
    <w:rsid w:val="006E07A1"/>
    <w:rsid w:val="006E083B"/>
    <w:rsid w:val="006E0874"/>
    <w:rsid w:val="006E0876"/>
    <w:rsid w:val="006E08A6"/>
    <w:rsid w:val="006E0910"/>
    <w:rsid w:val="006E0959"/>
    <w:rsid w:val="006E0996"/>
    <w:rsid w:val="006E09CD"/>
    <w:rsid w:val="006E09D6"/>
    <w:rsid w:val="006E0A33"/>
    <w:rsid w:val="006E0A81"/>
    <w:rsid w:val="006E0B03"/>
    <w:rsid w:val="006E0B31"/>
    <w:rsid w:val="006E0B6F"/>
    <w:rsid w:val="006E0B83"/>
    <w:rsid w:val="006E0BC8"/>
    <w:rsid w:val="006E0C3F"/>
    <w:rsid w:val="006E0C6E"/>
    <w:rsid w:val="006E0C9F"/>
    <w:rsid w:val="006E0CE6"/>
    <w:rsid w:val="006E0CFE"/>
    <w:rsid w:val="006E0D02"/>
    <w:rsid w:val="006E0D24"/>
    <w:rsid w:val="006E0D2F"/>
    <w:rsid w:val="006E0D67"/>
    <w:rsid w:val="006E0D6A"/>
    <w:rsid w:val="006E0D83"/>
    <w:rsid w:val="006E0D8F"/>
    <w:rsid w:val="006E0DA4"/>
    <w:rsid w:val="006E0DAD"/>
    <w:rsid w:val="006E0DCC"/>
    <w:rsid w:val="006E0DDF"/>
    <w:rsid w:val="006E0E2B"/>
    <w:rsid w:val="006E0EC4"/>
    <w:rsid w:val="006E0F37"/>
    <w:rsid w:val="006E0F40"/>
    <w:rsid w:val="006E1026"/>
    <w:rsid w:val="006E1062"/>
    <w:rsid w:val="006E1088"/>
    <w:rsid w:val="006E108E"/>
    <w:rsid w:val="006E111C"/>
    <w:rsid w:val="006E111E"/>
    <w:rsid w:val="006E11DF"/>
    <w:rsid w:val="006E11FE"/>
    <w:rsid w:val="006E1262"/>
    <w:rsid w:val="006E127C"/>
    <w:rsid w:val="006E1283"/>
    <w:rsid w:val="006E12A2"/>
    <w:rsid w:val="006E12DD"/>
    <w:rsid w:val="006E130D"/>
    <w:rsid w:val="006E133D"/>
    <w:rsid w:val="006E136F"/>
    <w:rsid w:val="006E13B2"/>
    <w:rsid w:val="006E13C7"/>
    <w:rsid w:val="006E143E"/>
    <w:rsid w:val="006E1448"/>
    <w:rsid w:val="006E1449"/>
    <w:rsid w:val="006E147E"/>
    <w:rsid w:val="006E1493"/>
    <w:rsid w:val="006E14C0"/>
    <w:rsid w:val="006E14F3"/>
    <w:rsid w:val="006E14F6"/>
    <w:rsid w:val="006E15D6"/>
    <w:rsid w:val="006E15F7"/>
    <w:rsid w:val="006E163E"/>
    <w:rsid w:val="006E170A"/>
    <w:rsid w:val="006E176C"/>
    <w:rsid w:val="006E1785"/>
    <w:rsid w:val="006E1796"/>
    <w:rsid w:val="006E17C2"/>
    <w:rsid w:val="006E17E4"/>
    <w:rsid w:val="006E1821"/>
    <w:rsid w:val="006E1825"/>
    <w:rsid w:val="006E1892"/>
    <w:rsid w:val="006E18F6"/>
    <w:rsid w:val="006E19AC"/>
    <w:rsid w:val="006E19AF"/>
    <w:rsid w:val="006E19DA"/>
    <w:rsid w:val="006E1A01"/>
    <w:rsid w:val="006E1A1D"/>
    <w:rsid w:val="006E1A6B"/>
    <w:rsid w:val="006E1AA6"/>
    <w:rsid w:val="006E1ACD"/>
    <w:rsid w:val="006E1B84"/>
    <w:rsid w:val="006E1B94"/>
    <w:rsid w:val="006E1CFA"/>
    <w:rsid w:val="006E1D06"/>
    <w:rsid w:val="006E1D1B"/>
    <w:rsid w:val="006E1D21"/>
    <w:rsid w:val="006E1D34"/>
    <w:rsid w:val="006E1D73"/>
    <w:rsid w:val="006E1D9F"/>
    <w:rsid w:val="006E1DA1"/>
    <w:rsid w:val="006E1DE6"/>
    <w:rsid w:val="006E1E2F"/>
    <w:rsid w:val="006E1E90"/>
    <w:rsid w:val="006E1E92"/>
    <w:rsid w:val="006E1EAB"/>
    <w:rsid w:val="006E1F18"/>
    <w:rsid w:val="006E1F8E"/>
    <w:rsid w:val="006E1FAB"/>
    <w:rsid w:val="006E1FD6"/>
    <w:rsid w:val="006E2019"/>
    <w:rsid w:val="006E2035"/>
    <w:rsid w:val="006E206A"/>
    <w:rsid w:val="006E21BE"/>
    <w:rsid w:val="006E2217"/>
    <w:rsid w:val="006E2229"/>
    <w:rsid w:val="006E2268"/>
    <w:rsid w:val="006E22AF"/>
    <w:rsid w:val="006E22F5"/>
    <w:rsid w:val="006E232A"/>
    <w:rsid w:val="006E23A6"/>
    <w:rsid w:val="006E23B1"/>
    <w:rsid w:val="006E248F"/>
    <w:rsid w:val="006E24A8"/>
    <w:rsid w:val="006E251E"/>
    <w:rsid w:val="006E251F"/>
    <w:rsid w:val="006E2530"/>
    <w:rsid w:val="006E2590"/>
    <w:rsid w:val="006E25B4"/>
    <w:rsid w:val="006E25D6"/>
    <w:rsid w:val="006E26EB"/>
    <w:rsid w:val="006E27D7"/>
    <w:rsid w:val="006E2868"/>
    <w:rsid w:val="006E286E"/>
    <w:rsid w:val="006E2874"/>
    <w:rsid w:val="006E2888"/>
    <w:rsid w:val="006E28C2"/>
    <w:rsid w:val="006E28E0"/>
    <w:rsid w:val="006E2919"/>
    <w:rsid w:val="006E2971"/>
    <w:rsid w:val="006E298B"/>
    <w:rsid w:val="006E2999"/>
    <w:rsid w:val="006E29C0"/>
    <w:rsid w:val="006E29DD"/>
    <w:rsid w:val="006E2A29"/>
    <w:rsid w:val="006E2A6A"/>
    <w:rsid w:val="006E2AEB"/>
    <w:rsid w:val="006E2B5F"/>
    <w:rsid w:val="006E2D17"/>
    <w:rsid w:val="006E2D2A"/>
    <w:rsid w:val="006E2D85"/>
    <w:rsid w:val="006E2D86"/>
    <w:rsid w:val="006E2D9B"/>
    <w:rsid w:val="006E2E01"/>
    <w:rsid w:val="006E2E67"/>
    <w:rsid w:val="006E2EEB"/>
    <w:rsid w:val="006E2F06"/>
    <w:rsid w:val="006E2F0C"/>
    <w:rsid w:val="006E2F21"/>
    <w:rsid w:val="006E2F56"/>
    <w:rsid w:val="006E3018"/>
    <w:rsid w:val="006E304E"/>
    <w:rsid w:val="006E305D"/>
    <w:rsid w:val="006E3094"/>
    <w:rsid w:val="006E30E4"/>
    <w:rsid w:val="006E3116"/>
    <w:rsid w:val="006E3126"/>
    <w:rsid w:val="006E3150"/>
    <w:rsid w:val="006E3187"/>
    <w:rsid w:val="006E31A6"/>
    <w:rsid w:val="006E31B8"/>
    <w:rsid w:val="006E31C8"/>
    <w:rsid w:val="006E31D5"/>
    <w:rsid w:val="006E31DD"/>
    <w:rsid w:val="006E31F0"/>
    <w:rsid w:val="006E3211"/>
    <w:rsid w:val="006E3278"/>
    <w:rsid w:val="006E328C"/>
    <w:rsid w:val="006E32A0"/>
    <w:rsid w:val="006E32A7"/>
    <w:rsid w:val="006E32EE"/>
    <w:rsid w:val="006E33A9"/>
    <w:rsid w:val="006E33C3"/>
    <w:rsid w:val="006E346F"/>
    <w:rsid w:val="006E34BF"/>
    <w:rsid w:val="006E34D1"/>
    <w:rsid w:val="006E353B"/>
    <w:rsid w:val="006E35E9"/>
    <w:rsid w:val="006E3636"/>
    <w:rsid w:val="006E368B"/>
    <w:rsid w:val="006E36AC"/>
    <w:rsid w:val="006E37B7"/>
    <w:rsid w:val="006E3894"/>
    <w:rsid w:val="006E3925"/>
    <w:rsid w:val="006E3952"/>
    <w:rsid w:val="006E3957"/>
    <w:rsid w:val="006E39F8"/>
    <w:rsid w:val="006E3A04"/>
    <w:rsid w:val="006E3A0C"/>
    <w:rsid w:val="006E3A1C"/>
    <w:rsid w:val="006E3A46"/>
    <w:rsid w:val="006E3A47"/>
    <w:rsid w:val="006E3B13"/>
    <w:rsid w:val="006E3B71"/>
    <w:rsid w:val="006E3BAC"/>
    <w:rsid w:val="006E3C23"/>
    <w:rsid w:val="006E3C44"/>
    <w:rsid w:val="006E3C8E"/>
    <w:rsid w:val="006E3CA9"/>
    <w:rsid w:val="006E3CC3"/>
    <w:rsid w:val="006E3D4E"/>
    <w:rsid w:val="006E3D62"/>
    <w:rsid w:val="006E3D6B"/>
    <w:rsid w:val="006E3DC0"/>
    <w:rsid w:val="006E3DEE"/>
    <w:rsid w:val="006E3E22"/>
    <w:rsid w:val="006E3E3F"/>
    <w:rsid w:val="006E3E53"/>
    <w:rsid w:val="006E3E61"/>
    <w:rsid w:val="006E3E80"/>
    <w:rsid w:val="006E3E89"/>
    <w:rsid w:val="006E3E8D"/>
    <w:rsid w:val="006E3EA7"/>
    <w:rsid w:val="006E3ED9"/>
    <w:rsid w:val="006E3EEF"/>
    <w:rsid w:val="006E3EF5"/>
    <w:rsid w:val="006E3F35"/>
    <w:rsid w:val="006E3FA7"/>
    <w:rsid w:val="006E3FB9"/>
    <w:rsid w:val="006E3FD6"/>
    <w:rsid w:val="006E3FF7"/>
    <w:rsid w:val="006E40DA"/>
    <w:rsid w:val="006E40F2"/>
    <w:rsid w:val="006E414D"/>
    <w:rsid w:val="006E4165"/>
    <w:rsid w:val="006E426D"/>
    <w:rsid w:val="006E42C7"/>
    <w:rsid w:val="006E42CF"/>
    <w:rsid w:val="006E435F"/>
    <w:rsid w:val="006E441D"/>
    <w:rsid w:val="006E4546"/>
    <w:rsid w:val="006E454A"/>
    <w:rsid w:val="006E4598"/>
    <w:rsid w:val="006E45AA"/>
    <w:rsid w:val="006E45F2"/>
    <w:rsid w:val="006E4634"/>
    <w:rsid w:val="006E465A"/>
    <w:rsid w:val="006E4667"/>
    <w:rsid w:val="006E46B2"/>
    <w:rsid w:val="006E46B4"/>
    <w:rsid w:val="006E46BB"/>
    <w:rsid w:val="006E472B"/>
    <w:rsid w:val="006E4746"/>
    <w:rsid w:val="006E4751"/>
    <w:rsid w:val="006E478D"/>
    <w:rsid w:val="006E47EE"/>
    <w:rsid w:val="006E480E"/>
    <w:rsid w:val="006E4828"/>
    <w:rsid w:val="006E486E"/>
    <w:rsid w:val="006E4875"/>
    <w:rsid w:val="006E48AB"/>
    <w:rsid w:val="006E48F1"/>
    <w:rsid w:val="006E491C"/>
    <w:rsid w:val="006E4954"/>
    <w:rsid w:val="006E4A00"/>
    <w:rsid w:val="006E4AB5"/>
    <w:rsid w:val="006E4AC5"/>
    <w:rsid w:val="006E4B2A"/>
    <w:rsid w:val="006E4B34"/>
    <w:rsid w:val="006E4BA1"/>
    <w:rsid w:val="006E4BAB"/>
    <w:rsid w:val="006E4BBD"/>
    <w:rsid w:val="006E4C27"/>
    <w:rsid w:val="006E4C9D"/>
    <w:rsid w:val="006E4CD7"/>
    <w:rsid w:val="006E4CFF"/>
    <w:rsid w:val="006E4D0F"/>
    <w:rsid w:val="006E4D9B"/>
    <w:rsid w:val="006E4DEA"/>
    <w:rsid w:val="006E4E62"/>
    <w:rsid w:val="006E4E6C"/>
    <w:rsid w:val="006E4EB0"/>
    <w:rsid w:val="006E4ECA"/>
    <w:rsid w:val="006E4EE6"/>
    <w:rsid w:val="006E4F0C"/>
    <w:rsid w:val="006E4F10"/>
    <w:rsid w:val="006E4F70"/>
    <w:rsid w:val="006E4FBB"/>
    <w:rsid w:val="006E4FD4"/>
    <w:rsid w:val="006E4FF0"/>
    <w:rsid w:val="006E500B"/>
    <w:rsid w:val="006E5043"/>
    <w:rsid w:val="006E504F"/>
    <w:rsid w:val="006E50BD"/>
    <w:rsid w:val="006E50D0"/>
    <w:rsid w:val="006E51C1"/>
    <w:rsid w:val="006E526E"/>
    <w:rsid w:val="006E5293"/>
    <w:rsid w:val="006E54AA"/>
    <w:rsid w:val="006E54C0"/>
    <w:rsid w:val="006E5503"/>
    <w:rsid w:val="006E5523"/>
    <w:rsid w:val="006E5529"/>
    <w:rsid w:val="006E5534"/>
    <w:rsid w:val="006E554B"/>
    <w:rsid w:val="006E555C"/>
    <w:rsid w:val="006E5576"/>
    <w:rsid w:val="006E557F"/>
    <w:rsid w:val="006E5589"/>
    <w:rsid w:val="006E565F"/>
    <w:rsid w:val="006E5712"/>
    <w:rsid w:val="006E5756"/>
    <w:rsid w:val="006E577D"/>
    <w:rsid w:val="006E57C4"/>
    <w:rsid w:val="006E57F0"/>
    <w:rsid w:val="006E580E"/>
    <w:rsid w:val="006E581E"/>
    <w:rsid w:val="006E5868"/>
    <w:rsid w:val="006E58D8"/>
    <w:rsid w:val="006E58E1"/>
    <w:rsid w:val="006E5929"/>
    <w:rsid w:val="006E598C"/>
    <w:rsid w:val="006E5992"/>
    <w:rsid w:val="006E5A17"/>
    <w:rsid w:val="006E5A21"/>
    <w:rsid w:val="006E5AF7"/>
    <w:rsid w:val="006E5C60"/>
    <w:rsid w:val="006E5CB8"/>
    <w:rsid w:val="006E5CC1"/>
    <w:rsid w:val="006E5CF4"/>
    <w:rsid w:val="006E5D15"/>
    <w:rsid w:val="006E5D22"/>
    <w:rsid w:val="006E5DBC"/>
    <w:rsid w:val="006E5E05"/>
    <w:rsid w:val="006E5E93"/>
    <w:rsid w:val="006E5EB1"/>
    <w:rsid w:val="006E5F1B"/>
    <w:rsid w:val="006E5F45"/>
    <w:rsid w:val="006E5F9F"/>
    <w:rsid w:val="006E5FB0"/>
    <w:rsid w:val="006E5FCC"/>
    <w:rsid w:val="006E5FCD"/>
    <w:rsid w:val="006E5FE7"/>
    <w:rsid w:val="006E5FFA"/>
    <w:rsid w:val="006E601B"/>
    <w:rsid w:val="006E6021"/>
    <w:rsid w:val="006E6035"/>
    <w:rsid w:val="006E6044"/>
    <w:rsid w:val="006E6096"/>
    <w:rsid w:val="006E6101"/>
    <w:rsid w:val="006E6135"/>
    <w:rsid w:val="006E6162"/>
    <w:rsid w:val="006E6179"/>
    <w:rsid w:val="006E61C5"/>
    <w:rsid w:val="006E61CF"/>
    <w:rsid w:val="006E61E1"/>
    <w:rsid w:val="006E61E6"/>
    <w:rsid w:val="006E622A"/>
    <w:rsid w:val="006E6300"/>
    <w:rsid w:val="006E631C"/>
    <w:rsid w:val="006E633F"/>
    <w:rsid w:val="006E636C"/>
    <w:rsid w:val="006E6370"/>
    <w:rsid w:val="006E6375"/>
    <w:rsid w:val="006E63E6"/>
    <w:rsid w:val="006E647F"/>
    <w:rsid w:val="006E6486"/>
    <w:rsid w:val="006E64A9"/>
    <w:rsid w:val="006E653B"/>
    <w:rsid w:val="006E6562"/>
    <w:rsid w:val="006E6647"/>
    <w:rsid w:val="006E665A"/>
    <w:rsid w:val="006E66E2"/>
    <w:rsid w:val="006E66E9"/>
    <w:rsid w:val="006E66ED"/>
    <w:rsid w:val="006E66FB"/>
    <w:rsid w:val="006E6779"/>
    <w:rsid w:val="006E6789"/>
    <w:rsid w:val="006E6792"/>
    <w:rsid w:val="006E6804"/>
    <w:rsid w:val="006E6886"/>
    <w:rsid w:val="006E689D"/>
    <w:rsid w:val="006E68A6"/>
    <w:rsid w:val="006E69A3"/>
    <w:rsid w:val="006E69AC"/>
    <w:rsid w:val="006E69B7"/>
    <w:rsid w:val="006E6A2F"/>
    <w:rsid w:val="006E6A8C"/>
    <w:rsid w:val="006E6A8E"/>
    <w:rsid w:val="006E6A95"/>
    <w:rsid w:val="006E6A9F"/>
    <w:rsid w:val="006E6AF4"/>
    <w:rsid w:val="006E6B01"/>
    <w:rsid w:val="006E6B3E"/>
    <w:rsid w:val="006E6B41"/>
    <w:rsid w:val="006E6B74"/>
    <w:rsid w:val="006E6BED"/>
    <w:rsid w:val="006E6D15"/>
    <w:rsid w:val="006E6D6C"/>
    <w:rsid w:val="006E6D6D"/>
    <w:rsid w:val="006E6DAB"/>
    <w:rsid w:val="006E6E09"/>
    <w:rsid w:val="006E6E46"/>
    <w:rsid w:val="006E6E6E"/>
    <w:rsid w:val="006E6EA8"/>
    <w:rsid w:val="006E6EEC"/>
    <w:rsid w:val="006E6FA0"/>
    <w:rsid w:val="006E6FAB"/>
    <w:rsid w:val="006E6FC5"/>
    <w:rsid w:val="006E701B"/>
    <w:rsid w:val="006E702A"/>
    <w:rsid w:val="006E7033"/>
    <w:rsid w:val="006E7171"/>
    <w:rsid w:val="006E71EB"/>
    <w:rsid w:val="006E7204"/>
    <w:rsid w:val="006E7287"/>
    <w:rsid w:val="006E728E"/>
    <w:rsid w:val="006E72BA"/>
    <w:rsid w:val="006E72FF"/>
    <w:rsid w:val="006E7321"/>
    <w:rsid w:val="006E7369"/>
    <w:rsid w:val="006E73C0"/>
    <w:rsid w:val="006E73D4"/>
    <w:rsid w:val="006E7405"/>
    <w:rsid w:val="006E7454"/>
    <w:rsid w:val="006E7492"/>
    <w:rsid w:val="006E749B"/>
    <w:rsid w:val="006E759A"/>
    <w:rsid w:val="006E75A2"/>
    <w:rsid w:val="006E75B2"/>
    <w:rsid w:val="006E75EC"/>
    <w:rsid w:val="006E7660"/>
    <w:rsid w:val="006E7698"/>
    <w:rsid w:val="006E769D"/>
    <w:rsid w:val="006E76E9"/>
    <w:rsid w:val="006E7767"/>
    <w:rsid w:val="006E77A2"/>
    <w:rsid w:val="006E77BC"/>
    <w:rsid w:val="006E7804"/>
    <w:rsid w:val="006E780A"/>
    <w:rsid w:val="006E7841"/>
    <w:rsid w:val="006E788D"/>
    <w:rsid w:val="006E789F"/>
    <w:rsid w:val="006E798F"/>
    <w:rsid w:val="006E7992"/>
    <w:rsid w:val="006E79F6"/>
    <w:rsid w:val="006E7A10"/>
    <w:rsid w:val="006E7A34"/>
    <w:rsid w:val="006E7A37"/>
    <w:rsid w:val="006E7A4F"/>
    <w:rsid w:val="006E7AD0"/>
    <w:rsid w:val="006E7B9A"/>
    <w:rsid w:val="006E7C08"/>
    <w:rsid w:val="006E7CD4"/>
    <w:rsid w:val="006E7CE9"/>
    <w:rsid w:val="006E7D82"/>
    <w:rsid w:val="006E7D86"/>
    <w:rsid w:val="006E7DE7"/>
    <w:rsid w:val="006E7E11"/>
    <w:rsid w:val="006E7E24"/>
    <w:rsid w:val="006E7E48"/>
    <w:rsid w:val="006E7E62"/>
    <w:rsid w:val="006E7F14"/>
    <w:rsid w:val="006E7F26"/>
    <w:rsid w:val="006E7F3F"/>
    <w:rsid w:val="006E7FB7"/>
    <w:rsid w:val="006E7FF9"/>
    <w:rsid w:val="006F0026"/>
    <w:rsid w:val="006F0062"/>
    <w:rsid w:val="006F0161"/>
    <w:rsid w:val="006F01B8"/>
    <w:rsid w:val="006F01FB"/>
    <w:rsid w:val="006F0241"/>
    <w:rsid w:val="006F024A"/>
    <w:rsid w:val="006F0259"/>
    <w:rsid w:val="006F0291"/>
    <w:rsid w:val="006F0297"/>
    <w:rsid w:val="006F02B7"/>
    <w:rsid w:val="006F030A"/>
    <w:rsid w:val="006F0337"/>
    <w:rsid w:val="006F0341"/>
    <w:rsid w:val="006F035F"/>
    <w:rsid w:val="006F03A2"/>
    <w:rsid w:val="006F0461"/>
    <w:rsid w:val="006F0472"/>
    <w:rsid w:val="006F049D"/>
    <w:rsid w:val="006F04A1"/>
    <w:rsid w:val="006F04BC"/>
    <w:rsid w:val="006F04FC"/>
    <w:rsid w:val="006F05D4"/>
    <w:rsid w:val="006F064C"/>
    <w:rsid w:val="006F068E"/>
    <w:rsid w:val="006F06BE"/>
    <w:rsid w:val="006F06C8"/>
    <w:rsid w:val="006F06CD"/>
    <w:rsid w:val="006F070A"/>
    <w:rsid w:val="006F072F"/>
    <w:rsid w:val="006F073D"/>
    <w:rsid w:val="006F0764"/>
    <w:rsid w:val="006F07CB"/>
    <w:rsid w:val="006F083D"/>
    <w:rsid w:val="006F0883"/>
    <w:rsid w:val="006F088F"/>
    <w:rsid w:val="006F090A"/>
    <w:rsid w:val="006F097C"/>
    <w:rsid w:val="006F09BB"/>
    <w:rsid w:val="006F0A06"/>
    <w:rsid w:val="006F0A89"/>
    <w:rsid w:val="006F0AF5"/>
    <w:rsid w:val="006F0B09"/>
    <w:rsid w:val="006F0B7D"/>
    <w:rsid w:val="006F0B91"/>
    <w:rsid w:val="006F0BF3"/>
    <w:rsid w:val="006F0C0E"/>
    <w:rsid w:val="006F0C78"/>
    <w:rsid w:val="006F0C7F"/>
    <w:rsid w:val="006F0CA5"/>
    <w:rsid w:val="006F0CD4"/>
    <w:rsid w:val="006F0D09"/>
    <w:rsid w:val="006F0D7D"/>
    <w:rsid w:val="006F0DA5"/>
    <w:rsid w:val="006F0DB4"/>
    <w:rsid w:val="006F0DE2"/>
    <w:rsid w:val="006F0E12"/>
    <w:rsid w:val="006F0E23"/>
    <w:rsid w:val="006F0E38"/>
    <w:rsid w:val="006F0E6F"/>
    <w:rsid w:val="006F0EA9"/>
    <w:rsid w:val="006F0EB2"/>
    <w:rsid w:val="006F0ED6"/>
    <w:rsid w:val="006F0F3A"/>
    <w:rsid w:val="006F0F7E"/>
    <w:rsid w:val="006F0FFA"/>
    <w:rsid w:val="006F1026"/>
    <w:rsid w:val="006F1056"/>
    <w:rsid w:val="006F10A8"/>
    <w:rsid w:val="006F10B5"/>
    <w:rsid w:val="006F10F1"/>
    <w:rsid w:val="006F10F3"/>
    <w:rsid w:val="006F1130"/>
    <w:rsid w:val="006F116C"/>
    <w:rsid w:val="006F11F7"/>
    <w:rsid w:val="006F121E"/>
    <w:rsid w:val="006F1232"/>
    <w:rsid w:val="006F1236"/>
    <w:rsid w:val="006F12CA"/>
    <w:rsid w:val="006F1327"/>
    <w:rsid w:val="006F1389"/>
    <w:rsid w:val="006F13B2"/>
    <w:rsid w:val="006F13D3"/>
    <w:rsid w:val="006F13F7"/>
    <w:rsid w:val="006F141A"/>
    <w:rsid w:val="006F142C"/>
    <w:rsid w:val="006F1452"/>
    <w:rsid w:val="006F145F"/>
    <w:rsid w:val="006F1463"/>
    <w:rsid w:val="006F1497"/>
    <w:rsid w:val="006F14FA"/>
    <w:rsid w:val="006F1504"/>
    <w:rsid w:val="006F1508"/>
    <w:rsid w:val="006F1607"/>
    <w:rsid w:val="006F16B7"/>
    <w:rsid w:val="006F1704"/>
    <w:rsid w:val="006F1723"/>
    <w:rsid w:val="006F17B0"/>
    <w:rsid w:val="006F17D3"/>
    <w:rsid w:val="006F180C"/>
    <w:rsid w:val="006F181F"/>
    <w:rsid w:val="006F1890"/>
    <w:rsid w:val="006F18BD"/>
    <w:rsid w:val="006F1966"/>
    <w:rsid w:val="006F197C"/>
    <w:rsid w:val="006F1A5F"/>
    <w:rsid w:val="006F1ADD"/>
    <w:rsid w:val="006F1B1B"/>
    <w:rsid w:val="006F1B5B"/>
    <w:rsid w:val="006F1C1A"/>
    <w:rsid w:val="006F1C62"/>
    <w:rsid w:val="006F1C79"/>
    <w:rsid w:val="006F1CF5"/>
    <w:rsid w:val="006F1D5E"/>
    <w:rsid w:val="006F1E24"/>
    <w:rsid w:val="006F1EBA"/>
    <w:rsid w:val="006F1F15"/>
    <w:rsid w:val="006F1F5B"/>
    <w:rsid w:val="006F1F5F"/>
    <w:rsid w:val="006F1FFD"/>
    <w:rsid w:val="006F200B"/>
    <w:rsid w:val="006F207D"/>
    <w:rsid w:val="006F209E"/>
    <w:rsid w:val="006F20C2"/>
    <w:rsid w:val="006F20D0"/>
    <w:rsid w:val="006F20EE"/>
    <w:rsid w:val="006F20FA"/>
    <w:rsid w:val="006F2226"/>
    <w:rsid w:val="006F2272"/>
    <w:rsid w:val="006F228F"/>
    <w:rsid w:val="006F22A2"/>
    <w:rsid w:val="006F22B6"/>
    <w:rsid w:val="006F22BE"/>
    <w:rsid w:val="006F22F8"/>
    <w:rsid w:val="006F231A"/>
    <w:rsid w:val="006F2369"/>
    <w:rsid w:val="006F2374"/>
    <w:rsid w:val="006F243C"/>
    <w:rsid w:val="006F2466"/>
    <w:rsid w:val="006F247D"/>
    <w:rsid w:val="006F248A"/>
    <w:rsid w:val="006F2493"/>
    <w:rsid w:val="006F24AF"/>
    <w:rsid w:val="006F24F4"/>
    <w:rsid w:val="006F2518"/>
    <w:rsid w:val="006F2532"/>
    <w:rsid w:val="006F254F"/>
    <w:rsid w:val="006F258E"/>
    <w:rsid w:val="006F260E"/>
    <w:rsid w:val="006F2638"/>
    <w:rsid w:val="006F2672"/>
    <w:rsid w:val="006F2675"/>
    <w:rsid w:val="006F26AF"/>
    <w:rsid w:val="006F275E"/>
    <w:rsid w:val="006F2763"/>
    <w:rsid w:val="006F2779"/>
    <w:rsid w:val="006F27BC"/>
    <w:rsid w:val="006F27E6"/>
    <w:rsid w:val="006F286B"/>
    <w:rsid w:val="006F28C5"/>
    <w:rsid w:val="006F28E1"/>
    <w:rsid w:val="006F28E2"/>
    <w:rsid w:val="006F294A"/>
    <w:rsid w:val="006F29EB"/>
    <w:rsid w:val="006F2A03"/>
    <w:rsid w:val="006F2A46"/>
    <w:rsid w:val="006F2AC4"/>
    <w:rsid w:val="006F2AE3"/>
    <w:rsid w:val="006F2AF9"/>
    <w:rsid w:val="006F2B54"/>
    <w:rsid w:val="006F2C27"/>
    <w:rsid w:val="006F2CAF"/>
    <w:rsid w:val="006F2D4B"/>
    <w:rsid w:val="006F2D74"/>
    <w:rsid w:val="006F2DB9"/>
    <w:rsid w:val="006F2E35"/>
    <w:rsid w:val="006F2E38"/>
    <w:rsid w:val="006F2EBE"/>
    <w:rsid w:val="006F2ECB"/>
    <w:rsid w:val="006F2FC4"/>
    <w:rsid w:val="006F2FCB"/>
    <w:rsid w:val="006F2FD6"/>
    <w:rsid w:val="006F2FF1"/>
    <w:rsid w:val="006F301F"/>
    <w:rsid w:val="006F3049"/>
    <w:rsid w:val="006F3078"/>
    <w:rsid w:val="006F30A7"/>
    <w:rsid w:val="006F30CD"/>
    <w:rsid w:val="006F30D3"/>
    <w:rsid w:val="006F30FE"/>
    <w:rsid w:val="006F3123"/>
    <w:rsid w:val="006F3125"/>
    <w:rsid w:val="006F3140"/>
    <w:rsid w:val="006F3153"/>
    <w:rsid w:val="006F3205"/>
    <w:rsid w:val="006F3227"/>
    <w:rsid w:val="006F3241"/>
    <w:rsid w:val="006F3259"/>
    <w:rsid w:val="006F32C8"/>
    <w:rsid w:val="006F331B"/>
    <w:rsid w:val="006F33EE"/>
    <w:rsid w:val="006F3475"/>
    <w:rsid w:val="006F34D8"/>
    <w:rsid w:val="006F34E5"/>
    <w:rsid w:val="006F3535"/>
    <w:rsid w:val="006F35B1"/>
    <w:rsid w:val="006F3612"/>
    <w:rsid w:val="006F364E"/>
    <w:rsid w:val="006F36B7"/>
    <w:rsid w:val="006F36CF"/>
    <w:rsid w:val="006F36DF"/>
    <w:rsid w:val="006F3726"/>
    <w:rsid w:val="006F3729"/>
    <w:rsid w:val="006F3731"/>
    <w:rsid w:val="006F3740"/>
    <w:rsid w:val="006F3758"/>
    <w:rsid w:val="006F3799"/>
    <w:rsid w:val="006F3808"/>
    <w:rsid w:val="006F382C"/>
    <w:rsid w:val="006F3901"/>
    <w:rsid w:val="006F3921"/>
    <w:rsid w:val="006F393B"/>
    <w:rsid w:val="006F3A00"/>
    <w:rsid w:val="006F3A9F"/>
    <w:rsid w:val="006F3AED"/>
    <w:rsid w:val="006F3B3B"/>
    <w:rsid w:val="006F3B77"/>
    <w:rsid w:val="006F3BAB"/>
    <w:rsid w:val="006F3BEB"/>
    <w:rsid w:val="006F3C39"/>
    <w:rsid w:val="006F3C3A"/>
    <w:rsid w:val="006F3CAC"/>
    <w:rsid w:val="006F3D5D"/>
    <w:rsid w:val="006F3E07"/>
    <w:rsid w:val="006F3E28"/>
    <w:rsid w:val="006F3E51"/>
    <w:rsid w:val="006F3E66"/>
    <w:rsid w:val="006F3E6C"/>
    <w:rsid w:val="006F3F05"/>
    <w:rsid w:val="006F3F6F"/>
    <w:rsid w:val="006F3F76"/>
    <w:rsid w:val="006F3F84"/>
    <w:rsid w:val="006F3FB9"/>
    <w:rsid w:val="006F4080"/>
    <w:rsid w:val="006F40A8"/>
    <w:rsid w:val="006F40AF"/>
    <w:rsid w:val="006F40BE"/>
    <w:rsid w:val="006F4110"/>
    <w:rsid w:val="006F4128"/>
    <w:rsid w:val="006F4136"/>
    <w:rsid w:val="006F416F"/>
    <w:rsid w:val="006F41E6"/>
    <w:rsid w:val="006F422A"/>
    <w:rsid w:val="006F428A"/>
    <w:rsid w:val="006F42B0"/>
    <w:rsid w:val="006F42CF"/>
    <w:rsid w:val="006F434C"/>
    <w:rsid w:val="006F446E"/>
    <w:rsid w:val="006F44CD"/>
    <w:rsid w:val="006F44D4"/>
    <w:rsid w:val="006F451B"/>
    <w:rsid w:val="006F4534"/>
    <w:rsid w:val="006F454B"/>
    <w:rsid w:val="006F4554"/>
    <w:rsid w:val="006F4578"/>
    <w:rsid w:val="006F45DC"/>
    <w:rsid w:val="006F461A"/>
    <w:rsid w:val="006F4697"/>
    <w:rsid w:val="006F4704"/>
    <w:rsid w:val="006F47B0"/>
    <w:rsid w:val="006F47F2"/>
    <w:rsid w:val="006F4803"/>
    <w:rsid w:val="006F4809"/>
    <w:rsid w:val="006F48A5"/>
    <w:rsid w:val="006F48A7"/>
    <w:rsid w:val="006F48FB"/>
    <w:rsid w:val="006F4954"/>
    <w:rsid w:val="006F4969"/>
    <w:rsid w:val="006F4984"/>
    <w:rsid w:val="006F49AF"/>
    <w:rsid w:val="006F49CC"/>
    <w:rsid w:val="006F4A50"/>
    <w:rsid w:val="006F4A66"/>
    <w:rsid w:val="006F4A70"/>
    <w:rsid w:val="006F4A86"/>
    <w:rsid w:val="006F4ACA"/>
    <w:rsid w:val="006F4AEE"/>
    <w:rsid w:val="006F4BD4"/>
    <w:rsid w:val="006F4C0F"/>
    <w:rsid w:val="006F4C12"/>
    <w:rsid w:val="006F4C84"/>
    <w:rsid w:val="006F4C8A"/>
    <w:rsid w:val="006F4CA7"/>
    <w:rsid w:val="006F4CAF"/>
    <w:rsid w:val="006F4CB2"/>
    <w:rsid w:val="006F4CB9"/>
    <w:rsid w:val="006F4D0C"/>
    <w:rsid w:val="006F4D16"/>
    <w:rsid w:val="006F4DB7"/>
    <w:rsid w:val="006F4E74"/>
    <w:rsid w:val="006F4F0C"/>
    <w:rsid w:val="006F4F5A"/>
    <w:rsid w:val="006F4F6F"/>
    <w:rsid w:val="006F4FF3"/>
    <w:rsid w:val="006F5042"/>
    <w:rsid w:val="006F5054"/>
    <w:rsid w:val="006F505E"/>
    <w:rsid w:val="006F506F"/>
    <w:rsid w:val="006F507B"/>
    <w:rsid w:val="006F508A"/>
    <w:rsid w:val="006F509F"/>
    <w:rsid w:val="006F50BF"/>
    <w:rsid w:val="006F50C9"/>
    <w:rsid w:val="006F50EB"/>
    <w:rsid w:val="006F5121"/>
    <w:rsid w:val="006F51A1"/>
    <w:rsid w:val="006F51DC"/>
    <w:rsid w:val="006F5209"/>
    <w:rsid w:val="006F5218"/>
    <w:rsid w:val="006F52B0"/>
    <w:rsid w:val="006F52FC"/>
    <w:rsid w:val="006F5316"/>
    <w:rsid w:val="006F5323"/>
    <w:rsid w:val="006F53D3"/>
    <w:rsid w:val="006F5420"/>
    <w:rsid w:val="006F54E3"/>
    <w:rsid w:val="006F554F"/>
    <w:rsid w:val="006F5551"/>
    <w:rsid w:val="006F5568"/>
    <w:rsid w:val="006F5582"/>
    <w:rsid w:val="006F5595"/>
    <w:rsid w:val="006F55A8"/>
    <w:rsid w:val="006F5628"/>
    <w:rsid w:val="006F566D"/>
    <w:rsid w:val="006F5789"/>
    <w:rsid w:val="006F5818"/>
    <w:rsid w:val="006F5859"/>
    <w:rsid w:val="006F58A3"/>
    <w:rsid w:val="006F58F6"/>
    <w:rsid w:val="006F590A"/>
    <w:rsid w:val="006F591B"/>
    <w:rsid w:val="006F5928"/>
    <w:rsid w:val="006F596A"/>
    <w:rsid w:val="006F5A6D"/>
    <w:rsid w:val="006F5A8E"/>
    <w:rsid w:val="006F5A95"/>
    <w:rsid w:val="006F5A96"/>
    <w:rsid w:val="006F5B3A"/>
    <w:rsid w:val="006F5B4D"/>
    <w:rsid w:val="006F5B62"/>
    <w:rsid w:val="006F5C11"/>
    <w:rsid w:val="006F5C18"/>
    <w:rsid w:val="006F5C20"/>
    <w:rsid w:val="006F5C2D"/>
    <w:rsid w:val="006F5C40"/>
    <w:rsid w:val="006F5CEE"/>
    <w:rsid w:val="006F5CF4"/>
    <w:rsid w:val="006F5D29"/>
    <w:rsid w:val="006F5D40"/>
    <w:rsid w:val="006F5D4E"/>
    <w:rsid w:val="006F5D4F"/>
    <w:rsid w:val="006F5D64"/>
    <w:rsid w:val="006F5D73"/>
    <w:rsid w:val="006F5DF0"/>
    <w:rsid w:val="006F5E30"/>
    <w:rsid w:val="006F5E4E"/>
    <w:rsid w:val="006F5E54"/>
    <w:rsid w:val="006F5E84"/>
    <w:rsid w:val="006F5E8D"/>
    <w:rsid w:val="006F5EB7"/>
    <w:rsid w:val="006F5EEC"/>
    <w:rsid w:val="006F5F7C"/>
    <w:rsid w:val="006F5F99"/>
    <w:rsid w:val="006F5FA6"/>
    <w:rsid w:val="006F5FAF"/>
    <w:rsid w:val="006F60D5"/>
    <w:rsid w:val="006F6102"/>
    <w:rsid w:val="006F610A"/>
    <w:rsid w:val="006F61A1"/>
    <w:rsid w:val="006F61B6"/>
    <w:rsid w:val="006F61C8"/>
    <w:rsid w:val="006F61E7"/>
    <w:rsid w:val="006F61EE"/>
    <w:rsid w:val="006F624B"/>
    <w:rsid w:val="006F627C"/>
    <w:rsid w:val="006F62AD"/>
    <w:rsid w:val="006F62C0"/>
    <w:rsid w:val="006F62EB"/>
    <w:rsid w:val="006F63C3"/>
    <w:rsid w:val="006F63D4"/>
    <w:rsid w:val="006F6408"/>
    <w:rsid w:val="006F6442"/>
    <w:rsid w:val="006F646A"/>
    <w:rsid w:val="006F6514"/>
    <w:rsid w:val="006F6592"/>
    <w:rsid w:val="006F65CF"/>
    <w:rsid w:val="006F6606"/>
    <w:rsid w:val="006F662F"/>
    <w:rsid w:val="006F663A"/>
    <w:rsid w:val="006F6686"/>
    <w:rsid w:val="006F66C5"/>
    <w:rsid w:val="006F66F0"/>
    <w:rsid w:val="006F6718"/>
    <w:rsid w:val="006F6721"/>
    <w:rsid w:val="006F6735"/>
    <w:rsid w:val="006F673F"/>
    <w:rsid w:val="006F677E"/>
    <w:rsid w:val="006F679C"/>
    <w:rsid w:val="006F67D7"/>
    <w:rsid w:val="006F67F7"/>
    <w:rsid w:val="006F6819"/>
    <w:rsid w:val="006F6824"/>
    <w:rsid w:val="006F6828"/>
    <w:rsid w:val="006F68E9"/>
    <w:rsid w:val="006F6967"/>
    <w:rsid w:val="006F69AD"/>
    <w:rsid w:val="006F6A27"/>
    <w:rsid w:val="006F6B03"/>
    <w:rsid w:val="006F6BB0"/>
    <w:rsid w:val="006F6BF3"/>
    <w:rsid w:val="006F6C15"/>
    <w:rsid w:val="006F6C3E"/>
    <w:rsid w:val="006F6CF7"/>
    <w:rsid w:val="006F6D34"/>
    <w:rsid w:val="006F6D41"/>
    <w:rsid w:val="006F6DAA"/>
    <w:rsid w:val="006F6DE7"/>
    <w:rsid w:val="006F6E24"/>
    <w:rsid w:val="006F6E52"/>
    <w:rsid w:val="006F6E7E"/>
    <w:rsid w:val="006F6E85"/>
    <w:rsid w:val="006F6E8D"/>
    <w:rsid w:val="006F6EF4"/>
    <w:rsid w:val="006F6F38"/>
    <w:rsid w:val="006F6F79"/>
    <w:rsid w:val="006F6FB2"/>
    <w:rsid w:val="006F7011"/>
    <w:rsid w:val="006F7034"/>
    <w:rsid w:val="006F708A"/>
    <w:rsid w:val="006F70C2"/>
    <w:rsid w:val="006F70F3"/>
    <w:rsid w:val="006F7108"/>
    <w:rsid w:val="006F71BA"/>
    <w:rsid w:val="006F71FB"/>
    <w:rsid w:val="006F732E"/>
    <w:rsid w:val="006F733D"/>
    <w:rsid w:val="006F7344"/>
    <w:rsid w:val="006F73EA"/>
    <w:rsid w:val="006F7453"/>
    <w:rsid w:val="006F74A5"/>
    <w:rsid w:val="006F7523"/>
    <w:rsid w:val="006F752B"/>
    <w:rsid w:val="006F753E"/>
    <w:rsid w:val="006F7562"/>
    <w:rsid w:val="006F7574"/>
    <w:rsid w:val="006F7591"/>
    <w:rsid w:val="006F75AB"/>
    <w:rsid w:val="006F75C2"/>
    <w:rsid w:val="006F75FC"/>
    <w:rsid w:val="006F76EC"/>
    <w:rsid w:val="006F7701"/>
    <w:rsid w:val="006F774C"/>
    <w:rsid w:val="006F7868"/>
    <w:rsid w:val="006F7869"/>
    <w:rsid w:val="006F7903"/>
    <w:rsid w:val="006F797E"/>
    <w:rsid w:val="006F79F9"/>
    <w:rsid w:val="006F7A05"/>
    <w:rsid w:val="006F7A15"/>
    <w:rsid w:val="006F7A20"/>
    <w:rsid w:val="006F7A37"/>
    <w:rsid w:val="006F7A55"/>
    <w:rsid w:val="006F7A9E"/>
    <w:rsid w:val="006F7B6E"/>
    <w:rsid w:val="006F7B76"/>
    <w:rsid w:val="006F7B96"/>
    <w:rsid w:val="006F7BC5"/>
    <w:rsid w:val="006F7BCA"/>
    <w:rsid w:val="006F7C29"/>
    <w:rsid w:val="006F7C3F"/>
    <w:rsid w:val="006F7C40"/>
    <w:rsid w:val="006F7C67"/>
    <w:rsid w:val="006F7D7F"/>
    <w:rsid w:val="006F7E6B"/>
    <w:rsid w:val="006F7E75"/>
    <w:rsid w:val="006F7F51"/>
    <w:rsid w:val="006F7F57"/>
    <w:rsid w:val="006F7F92"/>
    <w:rsid w:val="006F7FAB"/>
    <w:rsid w:val="006F7FB0"/>
    <w:rsid w:val="006F7FB5"/>
    <w:rsid w:val="0070003A"/>
    <w:rsid w:val="00700059"/>
    <w:rsid w:val="007001B6"/>
    <w:rsid w:val="0070024E"/>
    <w:rsid w:val="0070026A"/>
    <w:rsid w:val="007002AF"/>
    <w:rsid w:val="007002C3"/>
    <w:rsid w:val="00700302"/>
    <w:rsid w:val="0070031C"/>
    <w:rsid w:val="00700332"/>
    <w:rsid w:val="007003A1"/>
    <w:rsid w:val="00700452"/>
    <w:rsid w:val="00700498"/>
    <w:rsid w:val="007004B1"/>
    <w:rsid w:val="007004B5"/>
    <w:rsid w:val="0070050F"/>
    <w:rsid w:val="0070058C"/>
    <w:rsid w:val="0070059D"/>
    <w:rsid w:val="00700606"/>
    <w:rsid w:val="00700653"/>
    <w:rsid w:val="00700658"/>
    <w:rsid w:val="00700667"/>
    <w:rsid w:val="00700674"/>
    <w:rsid w:val="00700690"/>
    <w:rsid w:val="007006B1"/>
    <w:rsid w:val="00700712"/>
    <w:rsid w:val="00700729"/>
    <w:rsid w:val="0070077B"/>
    <w:rsid w:val="00700783"/>
    <w:rsid w:val="007007D0"/>
    <w:rsid w:val="007007E8"/>
    <w:rsid w:val="0070081C"/>
    <w:rsid w:val="00700823"/>
    <w:rsid w:val="00700830"/>
    <w:rsid w:val="0070084F"/>
    <w:rsid w:val="007008B9"/>
    <w:rsid w:val="007008F5"/>
    <w:rsid w:val="00700955"/>
    <w:rsid w:val="007009B0"/>
    <w:rsid w:val="00700A0B"/>
    <w:rsid w:val="00700A29"/>
    <w:rsid w:val="00700A8B"/>
    <w:rsid w:val="00700A98"/>
    <w:rsid w:val="00700AAC"/>
    <w:rsid w:val="00700B8E"/>
    <w:rsid w:val="00700B9F"/>
    <w:rsid w:val="00700BB5"/>
    <w:rsid w:val="00700C13"/>
    <w:rsid w:val="00700C16"/>
    <w:rsid w:val="00700C35"/>
    <w:rsid w:val="00700C5A"/>
    <w:rsid w:val="00700CA7"/>
    <w:rsid w:val="00700CB1"/>
    <w:rsid w:val="00700D44"/>
    <w:rsid w:val="00700DE0"/>
    <w:rsid w:val="00700DE3"/>
    <w:rsid w:val="00700E4E"/>
    <w:rsid w:val="00700F0F"/>
    <w:rsid w:val="00700F39"/>
    <w:rsid w:val="00700F82"/>
    <w:rsid w:val="00700F8C"/>
    <w:rsid w:val="00700FD6"/>
    <w:rsid w:val="00700FE5"/>
    <w:rsid w:val="0070108B"/>
    <w:rsid w:val="007010D8"/>
    <w:rsid w:val="007010F0"/>
    <w:rsid w:val="00701191"/>
    <w:rsid w:val="007011DA"/>
    <w:rsid w:val="0070126D"/>
    <w:rsid w:val="00701279"/>
    <w:rsid w:val="007012A3"/>
    <w:rsid w:val="007012BD"/>
    <w:rsid w:val="007012E7"/>
    <w:rsid w:val="0070134F"/>
    <w:rsid w:val="0070139A"/>
    <w:rsid w:val="00701413"/>
    <w:rsid w:val="0070141C"/>
    <w:rsid w:val="00701434"/>
    <w:rsid w:val="0070144A"/>
    <w:rsid w:val="00701486"/>
    <w:rsid w:val="007014D7"/>
    <w:rsid w:val="0070152E"/>
    <w:rsid w:val="00701559"/>
    <w:rsid w:val="00701572"/>
    <w:rsid w:val="007015D0"/>
    <w:rsid w:val="00701643"/>
    <w:rsid w:val="00701650"/>
    <w:rsid w:val="007016A9"/>
    <w:rsid w:val="007016C3"/>
    <w:rsid w:val="007016CC"/>
    <w:rsid w:val="007016EB"/>
    <w:rsid w:val="0070174C"/>
    <w:rsid w:val="0070176A"/>
    <w:rsid w:val="007017F8"/>
    <w:rsid w:val="00701831"/>
    <w:rsid w:val="0070191E"/>
    <w:rsid w:val="00701942"/>
    <w:rsid w:val="007019A9"/>
    <w:rsid w:val="007019B3"/>
    <w:rsid w:val="007019BC"/>
    <w:rsid w:val="007019D6"/>
    <w:rsid w:val="00701A29"/>
    <w:rsid w:val="00701A36"/>
    <w:rsid w:val="00701ADF"/>
    <w:rsid w:val="00701AE4"/>
    <w:rsid w:val="00701B31"/>
    <w:rsid w:val="00701BB2"/>
    <w:rsid w:val="00701BDE"/>
    <w:rsid w:val="00701BF9"/>
    <w:rsid w:val="00701C26"/>
    <w:rsid w:val="00701CA0"/>
    <w:rsid w:val="00701D4C"/>
    <w:rsid w:val="00701D57"/>
    <w:rsid w:val="00701D94"/>
    <w:rsid w:val="00701DBA"/>
    <w:rsid w:val="00701DF0"/>
    <w:rsid w:val="00701E43"/>
    <w:rsid w:val="00701F2A"/>
    <w:rsid w:val="00701F56"/>
    <w:rsid w:val="00701F5F"/>
    <w:rsid w:val="00701FCE"/>
    <w:rsid w:val="00702019"/>
    <w:rsid w:val="0070202C"/>
    <w:rsid w:val="007020BC"/>
    <w:rsid w:val="00702199"/>
    <w:rsid w:val="007021AC"/>
    <w:rsid w:val="007021FE"/>
    <w:rsid w:val="00702229"/>
    <w:rsid w:val="00702273"/>
    <w:rsid w:val="007022E9"/>
    <w:rsid w:val="00702375"/>
    <w:rsid w:val="0070237B"/>
    <w:rsid w:val="0070237E"/>
    <w:rsid w:val="007023B2"/>
    <w:rsid w:val="00702424"/>
    <w:rsid w:val="00702430"/>
    <w:rsid w:val="007024B8"/>
    <w:rsid w:val="0070253E"/>
    <w:rsid w:val="007025C4"/>
    <w:rsid w:val="0070266E"/>
    <w:rsid w:val="00702671"/>
    <w:rsid w:val="007026BE"/>
    <w:rsid w:val="007026DE"/>
    <w:rsid w:val="0070270A"/>
    <w:rsid w:val="00702796"/>
    <w:rsid w:val="0070279B"/>
    <w:rsid w:val="007027A4"/>
    <w:rsid w:val="007027ED"/>
    <w:rsid w:val="00702830"/>
    <w:rsid w:val="0070283A"/>
    <w:rsid w:val="00702848"/>
    <w:rsid w:val="007028B4"/>
    <w:rsid w:val="0070293E"/>
    <w:rsid w:val="0070295A"/>
    <w:rsid w:val="00702985"/>
    <w:rsid w:val="007029A6"/>
    <w:rsid w:val="00702A12"/>
    <w:rsid w:val="00702AD7"/>
    <w:rsid w:val="00702AEF"/>
    <w:rsid w:val="00702B10"/>
    <w:rsid w:val="00702B81"/>
    <w:rsid w:val="00702B85"/>
    <w:rsid w:val="00702BDA"/>
    <w:rsid w:val="00702BF6"/>
    <w:rsid w:val="00702C31"/>
    <w:rsid w:val="00702C8F"/>
    <w:rsid w:val="00702CA0"/>
    <w:rsid w:val="00702CFF"/>
    <w:rsid w:val="00702D3C"/>
    <w:rsid w:val="00702D4F"/>
    <w:rsid w:val="00702DED"/>
    <w:rsid w:val="00702E1F"/>
    <w:rsid w:val="00702E35"/>
    <w:rsid w:val="00702E59"/>
    <w:rsid w:val="00702E93"/>
    <w:rsid w:val="00702EFB"/>
    <w:rsid w:val="00702F09"/>
    <w:rsid w:val="00702F1E"/>
    <w:rsid w:val="00702F45"/>
    <w:rsid w:val="00702F6B"/>
    <w:rsid w:val="00702F81"/>
    <w:rsid w:val="00702FC1"/>
    <w:rsid w:val="00702FF3"/>
    <w:rsid w:val="00703043"/>
    <w:rsid w:val="0070306C"/>
    <w:rsid w:val="00703086"/>
    <w:rsid w:val="0070309B"/>
    <w:rsid w:val="007030C0"/>
    <w:rsid w:val="0070310C"/>
    <w:rsid w:val="007031C1"/>
    <w:rsid w:val="007031C8"/>
    <w:rsid w:val="007031DB"/>
    <w:rsid w:val="00703211"/>
    <w:rsid w:val="00703214"/>
    <w:rsid w:val="007032A2"/>
    <w:rsid w:val="007032A5"/>
    <w:rsid w:val="00703317"/>
    <w:rsid w:val="007033BF"/>
    <w:rsid w:val="00703444"/>
    <w:rsid w:val="00703448"/>
    <w:rsid w:val="00703459"/>
    <w:rsid w:val="00703494"/>
    <w:rsid w:val="00703539"/>
    <w:rsid w:val="0070356A"/>
    <w:rsid w:val="00703579"/>
    <w:rsid w:val="007035D9"/>
    <w:rsid w:val="0070363C"/>
    <w:rsid w:val="00703680"/>
    <w:rsid w:val="00703697"/>
    <w:rsid w:val="007036C0"/>
    <w:rsid w:val="00703785"/>
    <w:rsid w:val="0070379E"/>
    <w:rsid w:val="007037B1"/>
    <w:rsid w:val="007037DB"/>
    <w:rsid w:val="00703987"/>
    <w:rsid w:val="0070399C"/>
    <w:rsid w:val="007039E3"/>
    <w:rsid w:val="00703A4F"/>
    <w:rsid w:val="00703A7A"/>
    <w:rsid w:val="00703AA8"/>
    <w:rsid w:val="00703AD7"/>
    <w:rsid w:val="00703B4A"/>
    <w:rsid w:val="00703B70"/>
    <w:rsid w:val="00703BB7"/>
    <w:rsid w:val="00703BB8"/>
    <w:rsid w:val="00703BBD"/>
    <w:rsid w:val="00703BD2"/>
    <w:rsid w:val="00703BD5"/>
    <w:rsid w:val="00703BDB"/>
    <w:rsid w:val="00703C2A"/>
    <w:rsid w:val="00703C44"/>
    <w:rsid w:val="00703C54"/>
    <w:rsid w:val="00703C5C"/>
    <w:rsid w:val="00703C5D"/>
    <w:rsid w:val="00703D3A"/>
    <w:rsid w:val="00703E98"/>
    <w:rsid w:val="00703EAD"/>
    <w:rsid w:val="00703EB0"/>
    <w:rsid w:val="00703ED6"/>
    <w:rsid w:val="00703EE8"/>
    <w:rsid w:val="00703EF7"/>
    <w:rsid w:val="00703F8E"/>
    <w:rsid w:val="00703FC2"/>
    <w:rsid w:val="00703FCB"/>
    <w:rsid w:val="00704032"/>
    <w:rsid w:val="00704052"/>
    <w:rsid w:val="007040EE"/>
    <w:rsid w:val="00704110"/>
    <w:rsid w:val="00704231"/>
    <w:rsid w:val="00704249"/>
    <w:rsid w:val="007042CB"/>
    <w:rsid w:val="007042D3"/>
    <w:rsid w:val="007042F0"/>
    <w:rsid w:val="0070430E"/>
    <w:rsid w:val="00704313"/>
    <w:rsid w:val="007043B5"/>
    <w:rsid w:val="007043D0"/>
    <w:rsid w:val="0070441E"/>
    <w:rsid w:val="00704457"/>
    <w:rsid w:val="007044F4"/>
    <w:rsid w:val="00704592"/>
    <w:rsid w:val="007045B7"/>
    <w:rsid w:val="007045BF"/>
    <w:rsid w:val="00704603"/>
    <w:rsid w:val="00704627"/>
    <w:rsid w:val="00704689"/>
    <w:rsid w:val="0070468C"/>
    <w:rsid w:val="007046B4"/>
    <w:rsid w:val="007046DF"/>
    <w:rsid w:val="007046FD"/>
    <w:rsid w:val="00704717"/>
    <w:rsid w:val="0070471C"/>
    <w:rsid w:val="00704744"/>
    <w:rsid w:val="00704779"/>
    <w:rsid w:val="0070478B"/>
    <w:rsid w:val="0070481B"/>
    <w:rsid w:val="007048B0"/>
    <w:rsid w:val="0070497D"/>
    <w:rsid w:val="00704998"/>
    <w:rsid w:val="007049F5"/>
    <w:rsid w:val="00704A02"/>
    <w:rsid w:val="00704A20"/>
    <w:rsid w:val="00704A8B"/>
    <w:rsid w:val="00704A8D"/>
    <w:rsid w:val="00704AC3"/>
    <w:rsid w:val="00704B0B"/>
    <w:rsid w:val="00704B64"/>
    <w:rsid w:val="00704B68"/>
    <w:rsid w:val="00704B95"/>
    <w:rsid w:val="00704C43"/>
    <w:rsid w:val="00704C93"/>
    <w:rsid w:val="00704CB2"/>
    <w:rsid w:val="00704CC2"/>
    <w:rsid w:val="00704CC4"/>
    <w:rsid w:val="00704CF0"/>
    <w:rsid w:val="00704CF3"/>
    <w:rsid w:val="00704D91"/>
    <w:rsid w:val="00704DFF"/>
    <w:rsid w:val="00704EB4"/>
    <w:rsid w:val="00704F00"/>
    <w:rsid w:val="00704F19"/>
    <w:rsid w:val="00704F33"/>
    <w:rsid w:val="0070500D"/>
    <w:rsid w:val="0070501B"/>
    <w:rsid w:val="00705055"/>
    <w:rsid w:val="00705134"/>
    <w:rsid w:val="007051AD"/>
    <w:rsid w:val="007051C3"/>
    <w:rsid w:val="007051E5"/>
    <w:rsid w:val="0070526A"/>
    <w:rsid w:val="00705288"/>
    <w:rsid w:val="007052AB"/>
    <w:rsid w:val="0070537C"/>
    <w:rsid w:val="00705391"/>
    <w:rsid w:val="007053C7"/>
    <w:rsid w:val="007053E4"/>
    <w:rsid w:val="007053E9"/>
    <w:rsid w:val="007053F6"/>
    <w:rsid w:val="00705416"/>
    <w:rsid w:val="00705485"/>
    <w:rsid w:val="00705500"/>
    <w:rsid w:val="00705503"/>
    <w:rsid w:val="0070551F"/>
    <w:rsid w:val="0070555C"/>
    <w:rsid w:val="0070559B"/>
    <w:rsid w:val="007055A0"/>
    <w:rsid w:val="007055C3"/>
    <w:rsid w:val="007055EA"/>
    <w:rsid w:val="00705634"/>
    <w:rsid w:val="00705652"/>
    <w:rsid w:val="00705663"/>
    <w:rsid w:val="00705682"/>
    <w:rsid w:val="007056F0"/>
    <w:rsid w:val="007056F3"/>
    <w:rsid w:val="00705756"/>
    <w:rsid w:val="0070578A"/>
    <w:rsid w:val="007057BD"/>
    <w:rsid w:val="007057CD"/>
    <w:rsid w:val="00705832"/>
    <w:rsid w:val="0070589C"/>
    <w:rsid w:val="00705913"/>
    <w:rsid w:val="00705936"/>
    <w:rsid w:val="0070594F"/>
    <w:rsid w:val="00705974"/>
    <w:rsid w:val="0070598C"/>
    <w:rsid w:val="0070599D"/>
    <w:rsid w:val="007059EA"/>
    <w:rsid w:val="00705A2E"/>
    <w:rsid w:val="00705A51"/>
    <w:rsid w:val="00705AC6"/>
    <w:rsid w:val="00705AD2"/>
    <w:rsid w:val="00705AFF"/>
    <w:rsid w:val="00705B0E"/>
    <w:rsid w:val="00705B56"/>
    <w:rsid w:val="00705B76"/>
    <w:rsid w:val="00705C26"/>
    <w:rsid w:val="00705C55"/>
    <w:rsid w:val="00705CA9"/>
    <w:rsid w:val="00705D71"/>
    <w:rsid w:val="00705D7A"/>
    <w:rsid w:val="00705E0A"/>
    <w:rsid w:val="00705E1F"/>
    <w:rsid w:val="00705E73"/>
    <w:rsid w:val="00705E88"/>
    <w:rsid w:val="00705E9E"/>
    <w:rsid w:val="00705F1C"/>
    <w:rsid w:val="00705F35"/>
    <w:rsid w:val="00705F68"/>
    <w:rsid w:val="00705F7A"/>
    <w:rsid w:val="00705F93"/>
    <w:rsid w:val="00705FA4"/>
    <w:rsid w:val="00705FED"/>
    <w:rsid w:val="00706033"/>
    <w:rsid w:val="007060CD"/>
    <w:rsid w:val="007060E8"/>
    <w:rsid w:val="00706114"/>
    <w:rsid w:val="00706128"/>
    <w:rsid w:val="00706166"/>
    <w:rsid w:val="0070616B"/>
    <w:rsid w:val="00706197"/>
    <w:rsid w:val="00706199"/>
    <w:rsid w:val="00706237"/>
    <w:rsid w:val="0070627A"/>
    <w:rsid w:val="0070629B"/>
    <w:rsid w:val="007062D1"/>
    <w:rsid w:val="007062EC"/>
    <w:rsid w:val="00706304"/>
    <w:rsid w:val="00706326"/>
    <w:rsid w:val="00706334"/>
    <w:rsid w:val="0070634B"/>
    <w:rsid w:val="00706371"/>
    <w:rsid w:val="007063D7"/>
    <w:rsid w:val="007063F3"/>
    <w:rsid w:val="00706480"/>
    <w:rsid w:val="007064CC"/>
    <w:rsid w:val="00706593"/>
    <w:rsid w:val="007065B7"/>
    <w:rsid w:val="00706606"/>
    <w:rsid w:val="00706663"/>
    <w:rsid w:val="00706680"/>
    <w:rsid w:val="007066EB"/>
    <w:rsid w:val="00706768"/>
    <w:rsid w:val="00706773"/>
    <w:rsid w:val="00706831"/>
    <w:rsid w:val="00706847"/>
    <w:rsid w:val="007068AA"/>
    <w:rsid w:val="007068E6"/>
    <w:rsid w:val="00706923"/>
    <w:rsid w:val="0070693D"/>
    <w:rsid w:val="007069A8"/>
    <w:rsid w:val="007069FC"/>
    <w:rsid w:val="00706A49"/>
    <w:rsid w:val="00706AC9"/>
    <w:rsid w:val="00706AFD"/>
    <w:rsid w:val="00706B2A"/>
    <w:rsid w:val="00706B7C"/>
    <w:rsid w:val="00706B98"/>
    <w:rsid w:val="00706C1A"/>
    <w:rsid w:val="00706D59"/>
    <w:rsid w:val="00706E6E"/>
    <w:rsid w:val="00706E8E"/>
    <w:rsid w:val="00706EE1"/>
    <w:rsid w:val="00706EE7"/>
    <w:rsid w:val="00706EF6"/>
    <w:rsid w:val="00706F26"/>
    <w:rsid w:val="00706F70"/>
    <w:rsid w:val="00706FA6"/>
    <w:rsid w:val="00706FC0"/>
    <w:rsid w:val="0070702B"/>
    <w:rsid w:val="00707054"/>
    <w:rsid w:val="00707079"/>
    <w:rsid w:val="00707147"/>
    <w:rsid w:val="0070715C"/>
    <w:rsid w:val="0070719B"/>
    <w:rsid w:val="007071AD"/>
    <w:rsid w:val="007071B1"/>
    <w:rsid w:val="007071B6"/>
    <w:rsid w:val="007071BB"/>
    <w:rsid w:val="007071D3"/>
    <w:rsid w:val="007071D7"/>
    <w:rsid w:val="007071D8"/>
    <w:rsid w:val="007071F1"/>
    <w:rsid w:val="0070727D"/>
    <w:rsid w:val="0070728C"/>
    <w:rsid w:val="00707326"/>
    <w:rsid w:val="00707348"/>
    <w:rsid w:val="007073D2"/>
    <w:rsid w:val="0070750D"/>
    <w:rsid w:val="0070750F"/>
    <w:rsid w:val="007075C4"/>
    <w:rsid w:val="007075E3"/>
    <w:rsid w:val="00707646"/>
    <w:rsid w:val="00707798"/>
    <w:rsid w:val="00707839"/>
    <w:rsid w:val="00707850"/>
    <w:rsid w:val="0070785E"/>
    <w:rsid w:val="00707879"/>
    <w:rsid w:val="007078F6"/>
    <w:rsid w:val="00707975"/>
    <w:rsid w:val="00707A2D"/>
    <w:rsid w:val="00707A8C"/>
    <w:rsid w:val="00707ACF"/>
    <w:rsid w:val="00707B94"/>
    <w:rsid w:val="00707C6D"/>
    <w:rsid w:val="00707CC6"/>
    <w:rsid w:val="00707D4C"/>
    <w:rsid w:val="00707D6E"/>
    <w:rsid w:val="00707E1E"/>
    <w:rsid w:val="00707E21"/>
    <w:rsid w:val="00707E36"/>
    <w:rsid w:val="00707E3C"/>
    <w:rsid w:val="00707EA7"/>
    <w:rsid w:val="00707EC3"/>
    <w:rsid w:val="00707EDC"/>
    <w:rsid w:val="00707F88"/>
    <w:rsid w:val="00707FC5"/>
    <w:rsid w:val="00710061"/>
    <w:rsid w:val="00710116"/>
    <w:rsid w:val="00710142"/>
    <w:rsid w:val="0071016B"/>
    <w:rsid w:val="00710184"/>
    <w:rsid w:val="007101AD"/>
    <w:rsid w:val="007101F4"/>
    <w:rsid w:val="0071027A"/>
    <w:rsid w:val="007102E0"/>
    <w:rsid w:val="00710364"/>
    <w:rsid w:val="00710381"/>
    <w:rsid w:val="007103CF"/>
    <w:rsid w:val="00710411"/>
    <w:rsid w:val="00710478"/>
    <w:rsid w:val="007104A8"/>
    <w:rsid w:val="00710504"/>
    <w:rsid w:val="0071056C"/>
    <w:rsid w:val="00710592"/>
    <w:rsid w:val="00710598"/>
    <w:rsid w:val="007105E3"/>
    <w:rsid w:val="00710655"/>
    <w:rsid w:val="007106AE"/>
    <w:rsid w:val="0071073F"/>
    <w:rsid w:val="0071074A"/>
    <w:rsid w:val="00710770"/>
    <w:rsid w:val="007107AF"/>
    <w:rsid w:val="007107F3"/>
    <w:rsid w:val="0071082B"/>
    <w:rsid w:val="00710843"/>
    <w:rsid w:val="0071092A"/>
    <w:rsid w:val="0071092C"/>
    <w:rsid w:val="00710936"/>
    <w:rsid w:val="00710A1F"/>
    <w:rsid w:val="00710A99"/>
    <w:rsid w:val="00710B1C"/>
    <w:rsid w:val="00710B26"/>
    <w:rsid w:val="00710B30"/>
    <w:rsid w:val="00710B6F"/>
    <w:rsid w:val="00710B70"/>
    <w:rsid w:val="00710CE1"/>
    <w:rsid w:val="00710D36"/>
    <w:rsid w:val="00710D48"/>
    <w:rsid w:val="00710D94"/>
    <w:rsid w:val="00710DE9"/>
    <w:rsid w:val="00710E29"/>
    <w:rsid w:val="00710E52"/>
    <w:rsid w:val="00710E56"/>
    <w:rsid w:val="00710E7E"/>
    <w:rsid w:val="00710ED4"/>
    <w:rsid w:val="00710EE4"/>
    <w:rsid w:val="00710F0C"/>
    <w:rsid w:val="00710F51"/>
    <w:rsid w:val="00711043"/>
    <w:rsid w:val="00711088"/>
    <w:rsid w:val="007110C0"/>
    <w:rsid w:val="0071114A"/>
    <w:rsid w:val="00711163"/>
    <w:rsid w:val="00711210"/>
    <w:rsid w:val="0071122A"/>
    <w:rsid w:val="0071127D"/>
    <w:rsid w:val="007112CB"/>
    <w:rsid w:val="007112DF"/>
    <w:rsid w:val="007112EA"/>
    <w:rsid w:val="00711301"/>
    <w:rsid w:val="00711330"/>
    <w:rsid w:val="007113A9"/>
    <w:rsid w:val="00711425"/>
    <w:rsid w:val="00711451"/>
    <w:rsid w:val="007114AD"/>
    <w:rsid w:val="007114D3"/>
    <w:rsid w:val="007114FC"/>
    <w:rsid w:val="00711531"/>
    <w:rsid w:val="00711551"/>
    <w:rsid w:val="0071155D"/>
    <w:rsid w:val="0071156F"/>
    <w:rsid w:val="00711583"/>
    <w:rsid w:val="007115FC"/>
    <w:rsid w:val="00711612"/>
    <w:rsid w:val="0071161E"/>
    <w:rsid w:val="00711640"/>
    <w:rsid w:val="00711660"/>
    <w:rsid w:val="00711661"/>
    <w:rsid w:val="0071170C"/>
    <w:rsid w:val="0071170E"/>
    <w:rsid w:val="007117A2"/>
    <w:rsid w:val="007117C0"/>
    <w:rsid w:val="007117FE"/>
    <w:rsid w:val="0071182A"/>
    <w:rsid w:val="007118BF"/>
    <w:rsid w:val="007119BF"/>
    <w:rsid w:val="00711A53"/>
    <w:rsid w:val="00711A6B"/>
    <w:rsid w:val="00711A95"/>
    <w:rsid w:val="00711AA7"/>
    <w:rsid w:val="00711ADC"/>
    <w:rsid w:val="00711B01"/>
    <w:rsid w:val="00711B1C"/>
    <w:rsid w:val="00711B2C"/>
    <w:rsid w:val="00711B37"/>
    <w:rsid w:val="00711B8E"/>
    <w:rsid w:val="00711BC2"/>
    <w:rsid w:val="00711CA3"/>
    <w:rsid w:val="00711CCE"/>
    <w:rsid w:val="00711CDF"/>
    <w:rsid w:val="00711CE0"/>
    <w:rsid w:val="00711CF3"/>
    <w:rsid w:val="00711D03"/>
    <w:rsid w:val="00711DEB"/>
    <w:rsid w:val="00711E16"/>
    <w:rsid w:val="00711E46"/>
    <w:rsid w:val="00711E5F"/>
    <w:rsid w:val="00711E69"/>
    <w:rsid w:val="00711EA4"/>
    <w:rsid w:val="00711F1B"/>
    <w:rsid w:val="00711F34"/>
    <w:rsid w:val="00711FE7"/>
    <w:rsid w:val="00712010"/>
    <w:rsid w:val="0071202A"/>
    <w:rsid w:val="00712053"/>
    <w:rsid w:val="0071209A"/>
    <w:rsid w:val="007120C5"/>
    <w:rsid w:val="007120D0"/>
    <w:rsid w:val="00712171"/>
    <w:rsid w:val="007121D3"/>
    <w:rsid w:val="007121E6"/>
    <w:rsid w:val="007121F2"/>
    <w:rsid w:val="00712217"/>
    <w:rsid w:val="00712290"/>
    <w:rsid w:val="007122AB"/>
    <w:rsid w:val="007122F0"/>
    <w:rsid w:val="00712305"/>
    <w:rsid w:val="0071230E"/>
    <w:rsid w:val="00712334"/>
    <w:rsid w:val="00712354"/>
    <w:rsid w:val="00712355"/>
    <w:rsid w:val="0071239E"/>
    <w:rsid w:val="007123F5"/>
    <w:rsid w:val="0071240E"/>
    <w:rsid w:val="0071249F"/>
    <w:rsid w:val="007124B6"/>
    <w:rsid w:val="00712577"/>
    <w:rsid w:val="007125C0"/>
    <w:rsid w:val="00712606"/>
    <w:rsid w:val="0071261D"/>
    <w:rsid w:val="00712637"/>
    <w:rsid w:val="0071265B"/>
    <w:rsid w:val="00712660"/>
    <w:rsid w:val="00712696"/>
    <w:rsid w:val="00712702"/>
    <w:rsid w:val="00712721"/>
    <w:rsid w:val="0071274F"/>
    <w:rsid w:val="007127A0"/>
    <w:rsid w:val="007127D1"/>
    <w:rsid w:val="007127E2"/>
    <w:rsid w:val="0071284B"/>
    <w:rsid w:val="00712850"/>
    <w:rsid w:val="0071285D"/>
    <w:rsid w:val="0071287E"/>
    <w:rsid w:val="007128D6"/>
    <w:rsid w:val="00712978"/>
    <w:rsid w:val="0071299C"/>
    <w:rsid w:val="007129BE"/>
    <w:rsid w:val="00712A0E"/>
    <w:rsid w:val="00712A2F"/>
    <w:rsid w:val="00712A69"/>
    <w:rsid w:val="00712A6E"/>
    <w:rsid w:val="00712A81"/>
    <w:rsid w:val="00712A88"/>
    <w:rsid w:val="00712AAE"/>
    <w:rsid w:val="00712AB2"/>
    <w:rsid w:val="00712B45"/>
    <w:rsid w:val="00712B49"/>
    <w:rsid w:val="00712B84"/>
    <w:rsid w:val="00712B9C"/>
    <w:rsid w:val="00712BCA"/>
    <w:rsid w:val="00712BCE"/>
    <w:rsid w:val="00712C65"/>
    <w:rsid w:val="00712C77"/>
    <w:rsid w:val="00712C7C"/>
    <w:rsid w:val="00712D86"/>
    <w:rsid w:val="00712DD5"/>
    <w:rsid w:val="00712E2A"/>
    <w:rsid w:val="00712E47"/>
    <w:rsid w:val="00712E75"/>
    <w:rsid w:val="00712E92"/>
    <w:rsid w:val="00712F0E"/>
    <w:rsid w:val="00712F58"/>
    <w:rsid w:val="00712FFD"/>
    <w:rsid w:val="00713021"/>
    <w:rsid w:val="00713135"/>
    <w:rsid w:val="0071315D"/>
    <w:rsid w:val="00713221"/>
    <w:rsid w:val="007132A1"/>
    <w:rsid w:val="007132B6"/>
    <w:rsid w:val="007132D0"/>
    <w:rsid w:val="007132F1"/>
    <w:rsid w:val="007132F8"/>
    <w:rsid w:val="0071337E"/>
    <w:rsid w:val="007133DD"/>
    <w:rsid w:val="007133E0"/>
    <w:rsid w:val="007133EC"/>
    <w:rsid w:val="007134A5"/>
    <w:rsid w:val="007134FB"/>
    <w:rsid w:val="00713561"/>
    <w:rsid w:val="0071359D"/>
    <w:rsid w:val="007135DD"/>
    <w:rsid w:val="0071365A"/>
    <w:rsid w:val="00713722"/>
    <w:rsid w:val="0071372E"/>
    <w:rsid w:val="00713768"/>
    <w:rsid w:val="00713826"/>
    <w:rsid w:val="007138B5"/>
    <w:rsid w:val="007138BA"/>
    <w:rsid w:val="007138EF"/>
    <w:rsid w:val="0071392E"/>
    <w:rsid w:val="00713971"/>
    <w:rsid w:val="00713975"/>
    <w:rsid w:val="007139FB"/>
    <w:rsid w:val="00713A54"/>
    <w:rsid w:val="00713A6E"/>
    <w:rsid w:val="00713AA3"/>
    <w:rsid w:val="00713AA6"/>
    <w:rsid w:val="00713ADF"/>
    <w:rsid w:val="00713AED"/>
    <w:rsid w:val="00713B36"/>
    <w:rsid w:val="00713B60"/>
    <w:rsid w:val="00713B79"/>
    <w:rsid w:val="00713BAD"/>
    <w:rsid w:val="00713BFA"/>
    <w:rsid w:val="00713C0E"/>
    <w:rsid w:val="00713C21"/>
    <w:rsid w:val="00713CCD"/>
    <w:rsid w:val="00713CFE"/>
    <w:rsid w:val="00713D22"/>
    <w:rsid w:val="00713D32"/>
    <w:rsid w:val="00713D7E"/>
    <w:rsid w:val="00713D87"/>
    <w:rsid w:val="00713DC2"/>
    <w:rsid w:val="00713DFC"/>
    <w:rsid w:val="00713E02"/>
    <w:rsid w:val="00713E0F"/>
    <w:rsid w:val="00713EA6"/>
    <w:rsid w:val="00713EB5"/>
    <w:rsid w:val="00713F14"/>
    <w:rsid w:val="00713F16"/>
    <w:rsid w:val="00713F42"/>
    <w:rsid w:val="00713F6D"/>
    <w:rsid w:val="00714021"/>
    <w:rsid w:val="0071404B"/>
    <w:rsid w:val="0071404F"/>
    <w:rsid w:val="007140A3"/>
    <w:rsid w:val="007140D0"/>
    <w:rsid w:val="00714100"/>
    <w:rsid w:val="007141A1"/>
    <w:rsid w:val="007141C1"/>
    <w:rsid w:val="007141CC"/>
    <w:rsid w:val="00714244"/>
    <w:rsid w:val="007142A7"/>
    <w:rsid w:val="007142B4"/>
    <w:rsid w:val="007142C5"/>
    <w:rsid w:val="00714328"/>
    <w:rsid w:val="0071432C"/>
    <w:rsid w:val="00714380"/>
    <w:rsid w:val="007144B7"/>
    <w:rsid w:val="00714508"/>
    <w:rsid w:val="00714559"/>
    <w:rsid w:val="00714562"/>
    <w:rsid w:val="00714580"/>
    <w:rsid w:val="00714597"/>
    <w:rsid w:val="007145A4"/>
    <w:rsid w:val="007145B3"/>
    <w:rsid w:val="007145D7"/>
    <w:rsid w:val="007145F3"/>
    <w:rsid w:val="007145FE"/>
    <w:rsid w:val="00714676"/>
    <w:rsid w:val="00714695"/>
    <w:rsid w:val="00714719"/>
    <w:rsid w:val="00714765"/>
    <w:rsid w:val="007147B7"/>
    <w:rsid w:val="007147B8"/>
    <w:rsid w:val="007147EF"/>
    <w:rsid w:val="0071482D"/>
    <w:rsid w:val="00714840"/>
    <w:rsid w:val="007148BF"/>
    <w:rsid w:val="007148C4"/>
    <w:rsid w:val="00714945"/>
    <w:rsid w:val="00714952"/>
    <w:rsid w:val="007149AE"/>
    <w:rsid w:val="00714A0A"/>
    <w:rsid w:val="00714A30"/>
    <w:rsid w:val="00714A66"/>
    <w:rsid w:val="00714A78"/>
    <w:rsid w:val="00714B14"/>
    <w:rsid w:val="00714B36"/>
    <w:rsid w:val="00714B58"/>
    <w:rsid w:val="00714BCC"/>
    <w:rsid w:val="00714C40"/>
    <w:rsid w:val="00714C61"/>
    <w:rsid w:val="00714CC3"/>
    <w:rsid w:val="00714D17"/>
    <w:rsid w:val="00714D7F"/>
    <w:rsid w:val="00714DF9"/>
    <w:rsid w:val="00714E0D"/>
    <w:rsid w:val="00714E13"/>
    <w:rsid w:val="00714E1C"/>
    <w:rsid w:val="00714E4E"/>
    <w:rsid w:val="00714EFC"/>
    <w:rsid w:val="00714F02"/>
    <w:rsid w:val="00714F23"/>
    <w:rsid w:val="00714F6E"/>
    <w:rsid w:val="007150B1"/>
    <w:rsid w:val="00715117"/>
    <w:rsid w:val="00715122"/>
    <w:rsid w:val="00715148"/>
    <w:rsid w:val="007151AB"/>
    <w:rsid w:val="00715230"/>
    <w:rsid w:val="00715270"/>
    <w:rsid w:val="00715298"/>
    <w:rsid w:val="00715313"/>
    <w:rsid w:val="00715396"/>
    <w:rsid w:val="007153A7"/>
    <w:rsid w:val="007153B5"/>
    <w:rsid w:val="007153EC"/>
    <w:rsid w:val="00715417"/>
    <w:rsid w:val="00715428"/>
    <w:rsid w:val="007154D8"/>
    <w:rsid w:val="00715521"/>
    <w:rsid w:val="00715533"/>
    <w:rsid w:val="007155DC"/>
    <w:rsid w:val="00715617"/>
    <w:rsid w:val="007156A2"/>
    <w:rsid w:val="007156B0"/>
    <w:rsid w:val="007156D6"/>
    <w:rsid w:val="007156EC"/>
    <w:rsid w:val="007156F3"/>
    <w:rsid w:val="0071574B"/>
    <w:rsid w:val="00715759"/>
    <w:rsid w:val="0071576B"/>
    <w:rsid w:val="0071577B"/>
    <w:rsid w:val="0071577C"/>
    <w:rsid w:val="00715805"/>
    <w:rsid w:val="00715814"/>
    <w:rsid w:val="00715826"/>
    <w:rsid w:val="00715831"/>
    <w:rsid w:val="007158B2"/>
    <w:rsid w:val="007158FE"/>
    <w:rsid w:val="0071592A"/>
    <w:rsid w:val="0071595D"/>
    <w:rsid w:val="00715979"/>
    <w:rsid w:val="007159B3"/>
    <w:rsid w:val="007159EC"/>
    <w:rsid w:val="007159F2"/>
    <w:rsid w:val="00715A1F"/>
    <w:rsid w:val="00715A2A"/>
    <w:rsid w:val="00715A61"/>
    <w:rsid w:val="00715A97"/>
    <w:rsid w:val="00715AF5"/>
    <w:rsid w:val="00715BEB"/>
    <w:rsid w:val="00715C30"/>
    <w:rsid w:val="00715C5B"/>
    <w:rsid w:val="00715D0A"/>
    <w:rsid w:val="00715D39"/>
    <w:rsid w:val="00715D3F"/>
    <w:rsid w:val="00715D6C"/>
    <w:rsid w:val="00715DE6"/>
    <w:rsid w:val="00715EB3"/>
    <w:rsid w:val="00715EB7"/>
    <w:rsid w:val="00715EC7"/>
    <w:rsid w:val="00715F02"/>
    <w:rsid w:val="00715F08"/>
    <w:rsid w:val="00715F49"/>
    <w:rsid w:val="00715F66"/>
    <w:rsid w:val="00716029"/>
    <w:rsid w:val="0071607B"/>
    <w:rsid w:val="0071612E"/>
    <w:rsid w:val="00716179"/>
    <w:rsid w:val="0071617A"/>
    <w:rsid w:val="00716188"/>
    <w:rsid w:val="007161B1"/>
    <w:rsid w:val="007161D2"/>
    <w:rsid w:val="00716205"/>
    <w:rsid w:val="0071622A"/>
    <w:rsid w:val="00716234"/>
    <w:rsid w:val="0071624C"/>
    <w:rsid w:val="00716281"/>
    <w:rsid w:val="007162AC"/>
    <w:rsid w:val="007162B1"/>
    <w:rsid w:val="007162B7"/>
    <w:rsid w:val="007162E1"/>
    <w:rsid w:val="0071635E"/>
    <w:rsid w:val="00716369"/>
    <w:rsid w:val="00716397"/>
    <w:rsid w:val="007163AC"/>
    <w:rsid w:val="007163B1"/>
    <w:rsid w:val="007163B4"/>
    <w:rsid w:val="007163C4"/>
    <w:rsid w:val="007163F9"/>
    <w:rsid w:val="00716407"/>
    <w:rsid w:val="00716456"/>
    <w:rsid w:val="007164A1"/>
    <w:rsid w:val="007164B5"/>
    <w:rsid w:val="00716512"/>
    <w:rsid w:val="00716565"/>
    <w:rsid w:val="0071659D"/>
    <w:rsid w:val="007165D2"/>
    <w:rsid w:val="00716602"/>
    <w:rsid w:val="00716685"/>
    <w:rsid w:val="0071668D"/>
    <w:rsid w:val="007166AF"/>
    <w:rsid w:val="007166B8"/>
    <w:rsid w:val="00716781"/>
    <w:rsid w:val="007167B7"/>
    <w:rsid w:val="007167BC"/>
    <w:rsid w:val="007167EB"/>
    <w:rsid w:val="00716838"/>
    <w:rsid w:val="00716874"/>
    <w:rsid w:val="007168A6"/>
    <w:rsid w:val="007168B9"/>
    <w:rsid w:val="007168BB"/>
    <w:rsid w:val="007168CF"/>
    <w:rsid w:val="007168E7"/>
    <w:rsid w:val="0071690E"/>
    <w:rsid w:val="00716916"/>
    <w:rsid w:val="0071696C"/>
    <w:rsid w:val="0071698A"/>
    <w:rsid w:val="007169E2"/>
    <w:rsid w:val="00716A18"/>
    <w:rsid w:val="00716A56"/>
    <w:rsid w:val="00716A7F"/>
    <w:rsid w:val="00716A86"/>
    <w:rsid w:val="00716A95"/>
    <w:rsid w:val="00716B58"/>
    <w:rsid w:val="00716B5D"/>
    <w:rsid w:val="00716B76"/>
    <w:rsid w:val="00716C6D"/>
    <w:rsid w:val="00716C96"/>
    <w:rsid w:val="00716DB1"/>
    <w:rsid w:val="00716DCE"/>
    <w:rsid w:val="00716DCF"/>
    <w:rsid w:val="00716E0A"/>
    <w:rsid w:val="00716E38"/>
    <w:rsid w:val="00716ECA"/>
    <w:rsid w:val="00716FAA"/>
    <w:rsid w:val="00716FCF"/>
    <w:rsid w:val="00717032"/>
    <w:rsid w:val="00717099"/>
    <w:rsid w:val="007170AC"/>
    <w:rsid w:val="007170CB"/>
    <w:rsid w:val="007170E0"/>
    <w:rsid w:val="0071714C"/>
    <w:rsid w:val="00717178"/>
    <w:rsid w:val="0071718C"/>
    <w:rsid w:val="00717197"/>
    <w:rsid w:val="007171B2"/>
    <w:rsid w:val="0071720A"/>
    <w:rsid w:val="00717275"/>
    <w:rsid w:val="00717284"/>
    <w:rsid w:val="007172DB"/>
    <w:rsid w:val="007172E2"/>
    <w:rsid w:val="00717334"/>
    <w:rsid w:val="00717422"/>
    <w:rsid w:val="00717432"/>
    <w:rsid w:val="00717470"/>
    <w:rsid w:val="0071748E"/>
    <w:rsid w:val="007174B1"/>
    <w:rsid w:val="00717532"/>
    <w:rsid w:val="0071753C"/>
    <w:rsid w:val="0071755B"/>
    <w:rsid w:val="007175DE"/>
    <w:rsid w:val="00717600"/>
    <w:rsid w:val="00717621"/>
    <w:rsid w:val="00717627"/>
    <w:rsid w:val="00717658"/>
    <w:rsid w:val="00717687"/>
    <w:rsid w:val="007176A4"/>
    <w:rsid w:val="007176E5"/>
    <w:rsid w:val="0071772F"/>
    <w:rsid w:val="0071775E"/>
    <w:rsid w:val="00717815"/>
    <w:rsid w:val="0071781A"/>
    <w:rsid w:val="0071782B"/>
    <w:rsid w:val="0071783D"/>
    <w:rsid w:val="00717890"/>
    <w:rsid w:val="007178BD"/>
    <w:rsid w:val="007178F4"/>
    <w:rsid w:val="0071799C"/>
    <w:rsid w:val="007179CB"/>
    <w:rsid w:val="007179FF"/>
    <w:rsid w:val="00717A06"/>
    <w:rsid w:val="00717A20"/>
    <w:rsid w:val="00717A23"/>
    <w:rsid w:val="00717A5F"/>
    <w:rsid w:val="00717AAC"/>
    <w:rsid w:val="00717AB7"/>
    <w:rsid w:val="00717AD2"/>
    <w:rsid w:val="00717B86"/>
    <w:rsid w:val="00717BF5"/>
    <w:rsid w:val="00717C43"/>
    <w:rsid w:val="00717C4C"/>
    <w:rsid w:val="00717C67"/>
    <w:rsid w:val="00717C6A"/>
    <w:rsid w:val="00717CE9"/>
    <w:rsid w:val="00717CF1"/>
    <w:rsid w:val="00717D31"/>
    <w:rsid w:val="00717D40"/>
    <w:rsid w:val="00717D4D"/>
    <w:rsid w:val="00717DA9"/>
    <w:rsid w:val="00717DB8"/>
    <w:rsid w:val="00717DBE"/>
    <w:rsid w:val="00717DC1"/>
    <w:rsid w:val="00717DF5"/>
    <w:rsid w:val="00717DFE"/>
    <w:rsid w:val="00717E09"/>
    <w:rsid w:val="00717E19"/>
    <w:rsid w:val="00717E52"/>
    <w:rsid w:val="00717E75"/>
    <w:rsid w:val="00717E9E"/>
    <w:rsid w:val="00717F00"/>
    <w:rsid w:val="00717F30"/>
    <w:rsid w:val="00717F6D"/>
    <w:rsid w:val="00717F8D"/>
    <w:rsid w:val="00717FD6"/>
    <w:rsid w:val="00717FEF"/>
    <w:rsid w:val="0072006C"/>
    <w:rsid w:val="007200AE"/>
    <w:rsid w:val="007200DD"/>
    <w:rsid w:val="007200E7"/>
    <w:rsid w:val="0072012A"/>
    <w:rsid w:val="0072012B"/>
    <w:rsid w:val="00720141"/>
    <w:rsid w:val="00720142"/>
    <w:rsid w:val="0072014A"/>
    <w:rsid w:val="007201B5"/>
    <w:rsid w:val="007201F1"/>
    <w:rsid w:val="00720265"/>
    <w:rsid w:val="00720276"/>
    <w:rsid w:val="007202B9"/>
    <w:rsid w:val="007202FA"/>
    <w:rsid w:val="00720304"/>
    <w:rsid w:val="007203F8"/>
    <w:rsid w:val="00720432"/>
    <w:rsid w:val="0072044C"/>
    <w:rsid w:val="0072049E"/>
    <w:rsid w:val="007204B0"/>
    <w:rsid w:val="007204C1"/>
    <w:rsid w:val="0072050F"/>
    <w:rsid w:val="0072051A"/>
    <w:rsid w:val="0072054E"/>
    <w:rsid w:val="00720552"/>
    <w:rsid w:val="00720574"/>
    <w:rsid w:val="0072057B"/>
    <w:rsid w:val="007205E6"/>
    <w:rsid w:val="00720656"/>
    <w:rsid w:val="007206EC"/>
    <w:rsid w:val="00720716"/>
    <w:rsid w:val="0072072F"/>
    <w:rsid w:val="0072075C"/>
    <w:rsid w:val="00720762"/>
    <w:rsid w:val="0072078D"/>
    <w:rsid w:val="0072079B"/>
    <w:rsid w:val="007207AF"/>
    <w:rsid w:val="007207DC"/>
    <w:rsid w:val="007207EE"/>
    <w:rsid w:val="0072088B"/>
    <w:rsid w:val="00720900"/>
    <w:rsid w:val="00720953"/>
    <w:rsid w:val="007209A7"/>
    <w:rsid w:val="007209D1"/>
    <w:rsid w:val="00720A2A"/>
    <w:rsid w:val="00720A54"/>
    <w:rsid w:val="00720A5F"/>
    <w:rsid w:val="00720B1D"/>
    <w:rsid w:val="00720B2A"/>
    <w:rsid w:val="00720B5C"/>
    <w:rsid w:val="00720BA0"/>
    <w:rsid w:val="00720C15"/>
    <w:rsid w:val="00720C41"/>
    <w:rsid w:val="00720C65"/>
    <w:rsid w:val="00720C67"/>
    <w:rsid w:val="00720C7E"/>
    <w:rsid w:val="00720C8D"/>
    <w:rsid w:val="00720CB9"/>
    <w:rsid w:val="00720D6B"/>
    <w:rsid w:val="00720D84"/>
    <w:rsid w:val="00720DFA"/>
    <w:rsid w:val="00720E02"/>
    <w:rsid w:val="00720E3C"/>
    <w:rsid w:val="00720E8D"/>
    <w:rsid w:val="00720EE8"/>
    <w:rsid w:val="00720F1B"/>
    <w:rsid w:val="00720F2E"/>
    <w:rsid w:val="00720F46"/>
    <w:rsid w:val="00720F81"/>
    <w:rsid w:val="00720F87"/>
    <w:rsid w:val="00720FA7"/>
    <w:rsid w:val="00720FD7"/>
    <w:rsid w:val="00721003"/>
    <w:rsid w:val="007210CD"/>
    <w:rsid w:val="007210D7"/>
    <w:rsid w:val="007211B9"/>
    <w:rsid w:val="0072126E"/>
    <w:rsid w:val="00721287"/>
    <w:rsid w:val="0072129A"/>
    <w:rsid w:val="007212B7"/>
    <w:rsid w:val="007212F4"/>
    <w:rsid w:val="0072134E"/>
    <w:rsid w:val="00721360"/>
    <w:rsid w:val="00721392"/>
    <w:rsid w:val="007213DB"/>
    <w:rsid w:val="007214C9"/>
    <w:rsid w:val="007215B7"/>
    <w:rsid w:val="00721640"/>
    <w:rsid w:val="00721650"/>
    <w:rsid w:val="0072168F"/>
    <w:rsid w:val="00721713"/>
    <w:rsid w:val="0072172C"/>
    <w:rsid w:val="00721754"/>
    <w:rsid w:val="007217AC"/>
    <w:rsid w:val="007217BD"/>
    <w:rsid w:val="0072183D"/>
    <w:rsid w:val="00721842"/>
    <w:rsid w:val="00721866"/>
    <w:rsid w:val="00721956"/>
    <w:rsid w:val="007219AB"/>
    <w:rsid w:val="00721A17"/>
    <w:rsid w:val="00721A40"/>
    <w:rsid w:val="00721A85"/>
    <w:rsid w:val="00721AAA"/>
    <w:rsid w:val="00721AB9"/>
    <w:rsid w:val="00721ABB"/>
    <w:rsid w:val="00721ABE"/>
    <w:rsid w:val="00721AD0"/>
    <w:rsid w:val="00721AE8"/>
    <w:rsid w:val="00721AF8"/>
    <w:rsid w:val="00721B21"/>
    <w:rsid w:val="00721B64"/>
    <w:rsid w:val="00721B6F"/>
    <w:rsid w:val="00721B8C"/>
    <w:rsid w:val="00721BD1"/>
    <w:rsid w:val="00721BE8"/>
    <w:rsid w:val="00721C34"/>
    <w:rsid w:val="00721CEB"/>
    <w:rsid w:val="00721CF1"/>
    <w:rsid w:val="00721D1F"/>
    <w:rsid w:val="00721D27"/>
    <w:rsid w:val="00721D92"/>
    <w:rsid w:val="00721DA2"/>
    <w:rsid w:val="00721DAB"/>
    <w:rsid w:val="00721E60"/>
    <w:rsid w:val="00721E90"/>
    <w:rsid w:val="00721EEB"/>
    <w:rsid w:val="00721F24"/>
    <w:rsid w:val="00721F2D"/>
    <w:rsid w:val="00721F46"/>
    <w:rsid w:val="00721F5A"/>
    <w:rsid w:val="00721F95"/>
    <w:rsid w:val="00721FBD"/>
    <w:rsid w:val="0072205A"/>
    <w:rsid w:val="007220CE"/>
    <w:rsid w:val="00722138"/>
    <w:rsid w:val="0072217C"/>
    <w:rsid w:val="00722231"/>
    <w:rsid w:val="0072224D"/>
    <w:rsid w:val="00722257"/>
    <w:rsid w:val="007222DC"/>
    <w:rsid w:val="00722325"/>
    <w:rsid w:val="0072237A"/>
    <w:rsid w:val="007223D5"/>
    <w:rsid w:val="00722481"/>
    <w:rsid w:val="007224B9"/>
    <w:rsid w:val="0072252C"/>
    <w:rsid w:val="0072269B"/>
    <w:rsid w:val="007226FF"/>
    <w:rsid w:val="00722708"/>
    <w:rsid w:val="0072273C"/>
    <w:rsid w:val="00722763"/>
    <w:rsid w:val="00722766"/>
    <w:rsid w:val="00722769"/>
    <w:rsid w:val="00722781"/>
    <w:rsid w:val="007227BC"/>
    <w:rsid w:val="007227CD"/>
    <w:rsid w:val="007227DA"/>
    <w:rsid w:val="007227E0"/>
    <w:rsid w:val="00722811"/>
    <w:rsid w:val="00722878"/>
    <w:rsid w:val="00722886"/>
    <w:rsid w:val="00722889"/>
    <w:rsid w:val="007228BD"/>
    <w:rsid w:val="007228C2"/>
    <w:rsid w:val="007228CE"/>
    <w:rsid w:val="00722964"/>
    <w:rsid w:val="0072299E"/>
    <w:rsid w:val="00722AC7"/>
    <w:rsid w:val="00722B07"/>
    <w:rsid w:val="00722B44"/>
    <w:rsid w:val="00722B53"/>
    <w:rsid w:val="00722B56"/>
    <w:rsid w:val="00722B5E"/>
    <w:rsid w:val="00722B6B"/>
    <w:rsid w:val="00722B70"/>
    <w:rsid w:val="00722BA4"/>
    <w:rsid w:val="00722C76"/>
    <w:rsid w:val="00722C90"/>
    <w:rsid w:val="00722CB1"/>
    <w:rsid w:val="00722D16"/>
    <w:rsid w:val="00722D6F"/>
    <w:rsid w:val="00722DD7"/>
    <w:rsid w:val="00722DEB"/>
    <w:rsid w:val="00722EA1"/>
    <w:rsid w:val="00722F8F"/>
    <w:rsid w:val="00722FA9"/>
    <w:rsid w:val="00722FED"/>
    <w:rsid w:val="00722FFA"/>
    <w:rsid w:val="0072302E"/>
    <w:rsid w:val="00723094"/>
    <w:rsid w:val="007230B6"/>
    <w:rsid w:val="007230DD"/>
    <w:rsid w:val="007230E2"/>
    <w:rsid w:val="0072310A"/>
    <w:rsid w:val="0072312C"/>
    <w:rsid w:val="00723195"/>
    <w:rsid w:val="00723198"/>
    <w:rsid w:val="007231B6"/>
    <w:rsid w:val="007231CE"/>
    <w:rsid w:val="007231DB"/>
    <w:rsid w:val="007231FE"/>
    <w:rsid w:val="00723263"/>
    <w:rsid w:val="00723277"/>
    <w:rsid w:val="007232DA"/>
    <w:rsid w:val="007232FF"/>
    <w:rsid w:val="007233BA"/>
    <w:rsid w:val="00723425"/>
    <w:rsid w:val="0072343D"/>
    <w:rsid w:val="007234B6"/>
    <w:rsid w:val="00723559"/>
    <w:rsid w:val="0072355C"/>
    <w:rsid w:val="0072359E"/>
    <w:rsid w:val="007235AF"/>
    <w:rsid w:val="00723643"/>
    <w:rsid w:val="00723754"/>
    <w:rsid w:val="0072375E"/>
    <w:rsid w:val="00723772"/>
    <w:rsid w:val="0072377D"/>
    <w:rsid w:val="007237A3"/>
    <w:rsid w:val="007237EB"/>
    <w:rsid w:val="007237EC"/>
    <w:rsid w:val="0072384A"/>
    <w:rsid w:val="007238C6"/>
    <w:rsid w:val="0072390E"/>
    <w:rsid w:val="00723972"/>
    <w:rsid w:val="007239D7"/>
    <w:rsid w:val="00723ABC"/>
    <w:rsid w:val="00723AD8"/>
    <w:rsid w:val="00723AF4"/>
    <w:rsid w:val="00723C1C"/>
    <w:rsid w:val="00723C2F"/>
    <w:rsid w:val="00723C41"/>
    <w:rsid w:val="00723C49"/>
    <w:rsid w:val="00723D25"/>
    <w:rsid w:val="00723D74"/>
    <w:rsid w:val="00723D96"/>
    <w:rsid w:val="00723DA8"/>
    <w:rsid w:val="00723DE1"/>
    <w:rsid w:val="00723DF2"/>
    <w:rsid w:val="00723DF9"/>
    <w:rsid w:val="00723E1E"/>
    <w:rsid w:val="00723E4E"/>
    <w:rsid w:val="00723E7A"/>
    <w:rsid w:val="00723F15"/>
    <w:rsid w:val="00723FC2"/>
    <w:rsid w:val="00724002"/>
    <w:rsid w:val="0072402F"/>
    <w:rsid w:val="007240F9"/>
    <w:rsid w:val="007240FE"/>
    <w:rsid w:val="00724103"/>
    <w:rsid w:val="00724137"/>
    <w:rsid w:val="00724150"/>
    <w:rsid w:val="00724187"/>
    <w:rsid w:val="00724240"/>
    <w:rsid w:val="0072424B"/>
    <w:rsid w:val="0072427D"/>
    <w:rsid w:val="00724291"/>
    <w:rsid w:val="00724294"/>
    <w:rsid w:val="007242E2"/>
    <w:rsid w:val="007242E8"/>
    <w:rsid w:val="007243D1"/>
    <w:rsid w:val="00724406"/>
    <w:rsid w:val="00724408"/>
    <w:rsid w:val="0072444D"/>
    <w:rsid w:val="0072451B"/>
    <w:rsid w:val="00724579"/>
    <w:rsid w:val="0072458D"/>
    <w:rsid w:val="00724665"/>
    <w:rsid w:val="007246AA"/>
    <w:rsid w:val="0072477F"/>
    <w:rsid w:val="0072479D"/>
    <w:rsid w:val="007247BC"/>
    <w:rsid w:val="00724955"/>
    <w:rsid w:val="00724991"/>
    <w:rsid w:val="007249C7"/>
    <w:rsid w:val="00724A02"/>
    <w:rsid w:val="00724A21"/>
    <w:rsid w:val="00724A37"/>
    <w:rsid w:val="00724A49"/>
    <w:rsid w:val="00724AE3"/>
    <w:rsid w:val="00724AFB"/>
    <w:rsid w:val="00724B33"/>
    <w:rsid w:val="00724B40"/>
    <w:rsid w:val="00724B53"/>
    <w:rsid w:val="00724BF3"/>
    <w:rsid w:val="00724BF8"/>
    <w:rsid w:val="00724C23"/>
    <w:rsid w:val="00724C3E"/>
    <w:rsid w:val="00724C56"/>
    <w:rsid w:val="00724D3B"/>
    <w:rsid w:val="00724D73"/>
    <w:rsid w:val="00724D7D"/>
    <w:rsid w:val="00724E22"/>
    <w:rsid w:val="00724E5A"/>
    <w:rsid w:val="00724E6A"/>
    <w:rsid w:val="00724E8A"/>
    <w:rsid w:val="00724EA5"/>
    <w:rsid w:val="00724EBB"/>
    <w:rsid w:val="00724EF3"/>
    <w:rsid w:val="00724F29"/>
    <w:rsid w:val="00724F5A"/>
    <w:rsid w:val="0072501C"/>
    <w:rsid w:val="00725021"/>
    <w:rsid w:val="0072512A"/>
    <w:rsid w:val="007251C6"/>
    <w:rsid w:val="00725219"/>
    <w:rsid w:val="00725369"/>
    <w:rsid w:val="007253EA"/>
    <w:rsid w:val="0072543D"/>
    <w:rsid w:val="00725445"/>
    <w:rsid w:val="00725476"/>
    <w:rsid w:val="00725477"/>
    <w:rsid w:val="007254E2"/>
    <w:rsid w:val="007254ED"/>
    <w:rsid w:val="0072552E"/>
    <w:rsid w:val="0072553D"/>
    <w:rsid w:val="00725559"/>
    <w:rsid w:val="00725565"/>
    <w:rsid w:val="007255AB"/>
    <w:rsid w:val="007255B7"/>
    <w:rsid w:val="007255F9"/>
    <w:rsid w:val="0072568E"/>
    <w:rsid w:val="007256D2"/>
    <w:rsid w:val="00725724"/>
    <w:rsid w:val="0072574E"/>
    <w:rsid w:val="00725784"/>
    <w:rsid w:val="0072578D"/>
    <w:rsid w:val="007257A7"/>
    <w:rsid w:val="007257CD"/>
    <w:rsid w:val="0072586F"/>
    <w:rsid w:val="00725908"/>
    <w:rsid w:val="00725937"/>
    <w:rsid w:val="0072594E"/>
    <w:rsid w:val="0072599F"/>
    <w:rsid w:val="007259A8"/>
    <w:rsid w:val="007259B0"/>
    <w:rsid w:val="007259BE"/>
    <w:rsid w:val="007259C2"/>
    <w:rsid w:val="007259C4"/>
    <w:rsid w:val="007259DC"/>
    <w:rsid w:val="00725A7F"/>
    <w:rsid w:val="00725A89"/>
    <w:rsid w:val="00725AB0"/>
    <w:rsid w:val="00725AD2"/>
    <w:rsid w:val="00725B28"/>
    <w:rsid w:val="00725B38"/>
    <w:rsid w:val="00725B58"/>
    <w:rsid w:val="00725B62"/>
    <w:rsid w:val="00725C8F"/>
    <w:rsid w:val="00725CE6"/>
    <w:rsid w:val="00725D36"/>
    <w:rsid w:val="00725ED3"/>
    <w:rsid w:val="00725ED6"/>
    <w:rsid w:val="00725EDD"/>
    <w:rsid w:val="00725EF2"/>
    <w:rsid w:val="00725F83"/>
    <w:rsid w:val="00725FAB"/>
    <w:rsid w:val="00725FF8"/>
    <w:rsid w:val="00726014"/>
    <w:rsid w:val="00726028"/>
    <w:rsid w:val="00726039"/>
    <w:rsid w:val="00726068"/>
    <w:rsid w:val="007260E0"/>
    <w:rsid w:val="00726159"/>
    <w:rsid w:val="00726192"/>
    <w:rsid w:val="0072619D"/>
    <w:rsid w:val="007261AC"/>
    <w:rsid w:val="00726216"/>
    <w:rsid w:val="0072628C"/>
    <w:rsid w:val="007262F1"/>
    <w:rsid w:val="00726304"/>
    <w:rsid w:val="0072630F"/>
    <w:rsid w:val="007263FE"/>
    <w:rsid w:val="007264B8"/>
    <w:rsid w:val="007264D2"/>
    <w:rsid w:val="00726505"/>
    <w:rsid w:val="00726564"/>
    <w:rsid w:val="00726578"/>
    <w:rsid w:val="0072659E"/>
    <w:rsid w:val="007265DE"/>
    <w:rsid w:val="007265EA"/>
    <w:rsid w:val="00726604"/>
    <w:rsid w:val="00726645"/>
    <w:rsid w:val="00726692"/>
    <w:rsid w:val="0072669B"/>
    <w:rsid w:val="00726708"/>
    <w:rsid w:val="00726734"/>
    <w:rsid w:val="0072674D"/>
    <w:rsid w:val="00726783"/>
    <w:rsid w:val="007267BF"/>
    <w:rsid w:val="007267D2"/>
    <w:rsid w:val="00726849"/>
    <w:rsid w:val="00726861"/>
    <w:rsid w:val="00726899"/>
    <w:rsid w:val="007268F2"/>
    <w:rsid w:val="00726A06"/>
    <w:rsid w:val="00726A0C"/>
    <w:rsid w:val="00726A4D"/>
    <w:rsid w:val="00726A9A"/>
    <w:rsid w:val="00726ACD"/>
    <w:rsid w:val="00726AD8"/>
    <w:rsid w:val="00726B16"/>
    <w:rsid w:val="00726B17"/>
    <w:rsid w:val="00726B26"/>
    <w:rsid w:val="00726B73"/>
    <w:rsid w:val="00726B86"/>
    <w:rsid w:val="00726C73"/>
    <w:rsid w:val="00726C74"/>
    <w:rsid w:val="00726C78"/>
    <w:rsid w:val="00726CBB"/>
    <w:rsid w:val="00726CD9"/>
    <w:rsid w:val="00726CE1"/>
    <w:rsid w:val="00726CF7"/>
    <w:rsid w:val="00726D09"/>
    <w:rsid w:val="00726D50"/>
    <w:rsid w:val="00726D60"/>
    <w:rsid w:val="00726D64"/>
    <w:rsid w:val="00726D8F"/>
    <w:rsid w:val="00726D9B"/>
    <w:rsid w:val="00726DA9"/>
    <w:rsid w:val="00726DBC"/>
    <w:rsid w:val="00726DF5"/>
    <w:rsid w:val="00726E4D"/>
    <w:rsid w:val="00726E87"/>
    <w:rsid w:val="00726ED6"/>
    <w:rsid w:val="00726F00"/>
    <w:rsid w:val="00726F59"/>
    <w:rsid w:val="00726FEF"/>
    <w:rsid w:val="00726FF4"/>
    <w:rsid w:val="00727039"/>
    <w:rsid w:val="00727061"/>
    <w:rsid w:val="00727093"/>
    <w:rsid w:val="007270DC"/>
    <w:rsid w:val="00727116"/>
    <w:rsid w:val="00727169"/>
    <w:rsid w:val="007271AE"/>
    <w:rsid w:val="007271CE"/>
    <w:rsid w:val="007271F7"/>
    <w:rsid w:val="00727202"/>
    <w:rsid w:val="00727213"/>
    <w:rsid w:val="00727264"/>
    <w:rsid w:val="007272A3"/>
    <w:rsid w:val="00727301"/>
    <w:rsid w:val="00727398"/>
    <w:rsid w:val="007273E8"/>
    <w:rsid w:val="00727432"/>
    <w:rsid w:val="007274E6"/>
    <w:rsid w:val="007274F8"/>
    <w:rsid w:val="00727512"/>
    <w:rsid w:val="00727612"/>
    <w:rsid w:val="00727634"/>
    <w:rsid w:val="0072768F"/>
    <w:rsid w:val="007276A0"/>
    <w:rsid w:val="007276BE"/>
    <w:rsid w:val="007276D1"/>
    <w:rsid w:val="007276F8"/>
    <w:rsid w:val="0072775E"/>
    <w:rsid w:val="007277A8"/>
    <w:rsid w:val="007277BE"/>
    <w:rsid w:val="0072783B"/>
    <w:rsid w:val="007278E8"/>
    <w:rsid w:val="007278E9"/>
    <w:rsid w:val="00727916"/>
    <w:rsid w:val="007279E5"/>
    <w:rsid w:val="00727A1E"/>
    <w:rsid w:val="00727A25"/>
    <w:rsid w:val="00727A4F"/>
    <w:rsid w:val="00727A53"/>
    <w:rsid w:val="00727A95"/>
    <w:rsid w:val="00727AAA"/>
    <w:rsid w:val="00727B10"/>
    <w:rsid w:val="00727B5E"/>
    <w:rsid w:val="00727B7E"/>
    <w:rsid w:val="00727B80"/>
    <w:rsid w:val="00727BE1"/>
    <w:rsid w:val="00727C1A"/>
    <w:rsid w:val="00727C3E"/>
    <w:rsid w:val="00727CAF"/>
    <w:rsid w:val="00727CB5"/>
    <w:rsid w:val="00727CC2"/>
    <w:rsid w:val="00727CDF"/>
    <w:rsid w:val="00727D0B"/>
    <w:rsid w:val="00727D55"/>
    <w:rsid w:val="00727D6D"/>
    <w:rsid w:val="00727DAC"/>
    <w:rsid w:val="00727EB7"/>
    <w:rsid w:val="00727EBA"/>
    <w:rsid w:val="00727F1F"/>
    <w:rsid w:val="00727FD5"/>
    <w:rsid w:val="00727FDF"/>
    <w:rsid w:val="00730016"/>
    <w:rsid w:val="0073005A"/>
    <w:rsid w:val="00730098"/>
    <w:rsid w:val="007300C8"/>
    <w:rsid w:val="0073010E"/>
    <w:rsid w:val="0073016C"/>
    <w:rsid w:val="007301ED"/>
    <w:rsid w:val="00730223"/>
    <w:rsid w:val="00730271"/>
    <w:rsid w:val="007302AB"/>
    <w:rsid w:val="007302D5"/>
    <w:rsid w:val="007302EA"/>
    <w:rsid w:val="0073032E"/>
    <w:rsid w:val="00730341"/>
    <w:rsid w:val="007303C8"/>
    <w:rsid w:val="00730430"/>
    <w:rsid w:val="0073049A"/>
    <w:rsid w:val="007304CB"/>
    <w:rsid w:val="00730534"/>
    <w:rsid w:val="0073054D"/>
    <w:rsid w:val="0073056F"/>
    <w:rsid w:val="00730610"/>
    <w:rsid w:val="00730685"/>
    <w:rsid w:val="007306B4"/>
    <w:rsid w:val="00730708"/>
    <w:rsid w:val="00730711"/>
    <w:rsid w:val="00730730"/>
    <w:rsid w:val="00730731"/>
    <w:rsid w:val="00730755"/>
    <w:rsid w:val="0073076A"/>
    <w:rsid w:val="007307B8"/>
    <w:rsid w:val="007307C4"/>
    <w:rsid w:val="00730818"/>
    <w:rsid w:val="0073086F"/>
    <w:rsid w:val="007308C5"/>
    <w:rsid w:val="007308F3"/>
    <w:rsid w:val="0073093C"/>
    <w:rsid w:val="00730A83"/>
    <w:rsid w:val="00730ACB"/>
    <w:rsid w:val="00730B06"/>
    <w:rsid w:val="00730B2B"/>
    <w:rsid w:val="00730B64"/>
    <w:rsid w:val="00730B70"/>
    <w:rsid w:val="00730C16"/>
    <w:rsid w:val="00730C58"/>
    <w:rsid w:val="00730CB2"/>
    <w:rsid w:val="00730D1B"/>
    <w:rsid w:val="00730D93"/>
    <w:rsid w:val="00730DEC"/>
    <w:rsid w:val="00730E4B"/>
    <w:rsid w:val="00730EB5"/>
    <w:rsid w:val="00730EDE"/>
    <w:rsid w:val="00730F03"/>
    <w:rsid w:val="00730F0D"/>
    <w:rsid w:val="00730F1D"/>
    <w:rsid w:val="00730F60"/>
    <w:rsid w:val="00730F78"/>
    <w:rsid w:val="00730F8E"/>
    <w:rsid w:val="00730F91"/>
    <w:rsid w:val="00730FB6"/>
    <w:rsid w:val="00730FF7"/>
    <w:rsid w:val="00731124"/>
    <w:rsid w:val="0073113E"/>
    <w:rsid w:val="007311E2"/>
    <w:rsid w:val="0073125C"/>
    <w:rsid w:val="00731276"/>
    <w:rsid w:val="00731290"/>
    <w:rsid w:val="007312A3"/>
    <w:rsid w:val="007312AF"/>
    <w:rsid w:val="007312D0"/>
    <w:rsid w:val="00731307"/>
    <w:rsid w:val="00731314"/>
    <w:rsid w:val="00731364"/>
    <w:rsid w:val="00731365"/>
    <w:rsid w:val="00731455"/>
    <w:rsid w:val="0073145B"/>
    <w:rsid w:val="0073148E"/>
    <w:rsid w:val="007314AE"/>
    <w:rsid w:val="007315AE"/>
    <w:rsid w:val="007315E0"/>
    <w:rsid w:val="00731860"/>
    <w:rsid w:val="0073186B"/>
    <w:rsid w:val="00731884"/>
    <w:rsid w:val="007318A6"/>
    <w:rsid w:val="007318D8"/>
    <w:rsid w:val="0073196A"/>
    <w:rsid w:val="007319C5"/>
    <w:rsid w:val="00731A03"/>
    <w:rsid w:val="00731A4B"/>
    <w:rsid w:val="00731A8D"/>
    <w:rsid w:val="00731AA9"/>
    <w:rsid w:val="00731B04"/>
    <w:rsid w:val="00731B15"/>
    <w:rsid w:val="00731B24"/>
    <w:rsid w:val="00731B43"/>
    <w:rsid w:val="00731B4B"/>
    <w:rsid w:val="00731B59"/>
    <w:rsid w:val="00731BA2"/>
    <w:rsid w:val="00731BED"/>
    <w:rsid w:val="00731C27"/>
    <w:rsid w:val="00731C28"/>
    <w:rsid w:val="00731C35"/>
    <w:rsid w:val="00731C68"/>
    <w:rsid w:val="00731D23"/>
    <w:rsid w:val="00731D5B"/>
    <w:rsid w:val="00731D77"/>
    <w:rsid w:val="00731DA6"/>
    <w:rsid w:val="00731DEC"/>
    <w:rsid w:val="00731E11"/>
    <w:rsid w:val="00731E1E"/>
    <w:rsid w:val="00731E3C"/>
    <w:rsid w:val="00731F12"/>
    <w:rsid w:val="00731F1E"/>
    <w:rsid w:val="00731F58"/>
    <w:rsid w:val="00731FFF"/>
    <w:rsid w:val="0073200A"/>
    <w:rsid w:val="0073206A"/>
    <w:rsid w:val="007320DA"/>
    <w:rsid w:val="007320EA"/>
    <w:rsid w:val="007320FA"/>
    <w:rsid w:val="0073215F"/>
    <w:rsid w:val="007321A6"/>
    <w:rsid w:val="0073221D"/>
    <w:rsid w:val="00732240"/>
    <w:rsid w:val="00732262"/>
    <w:rsid w:val="00732265"/>
    <w:rsid w:val="00732277"/>
    <w:rsid w:val="00732289"/>
    <w:rsid w:val="007322A4"/>
    <w:rsid w:val="007322E5"/>
    <w:rsid w:val="00732349"/>
    <w:rsid w:val="00732353"/>
    <w:rsid w:val="0073237B"/>
    <w:rsid w:val="007323A2"/>
    <w:rsid w:val="007323BE"/>
    <w:rsid w:val="00732425"/>
    <w:rsid w:val="0073245C"/>
    <w:rsid w:val="00732481"/>
    <w:rsid w:val="00732501"/>
    <w:rsid w:val="00732539"/>
    <w:rsid w:val="0073255E"/>
    <w:rsid w:val="007325A5"/>
    <w:rsid w:val="007325A7"/>
    <w:rsid w:val="00732700"/>
    <w:rsid w:val="00732798"/>
    <w:rsid w:val="007327BE"/>
    <w:rsid w:val="00732801"/>
    <w:rsid w:val="00732812"/>
    <w:rsid w:val="0073281C"/>
    <w:rsid w:val="0073285A"/>
    <w:rsid w:val="0073285B"/>
    <w:rsid w:val="00732899"/>
    <w:rsid w:val="0073290F"/>
    <w:rsid w:val="00732960"/>
    <w:rsid w:val="00732966"/>
    <w:rsid w:val="0073296E"/>
    <w:rsid w:val="007329BE"/>
    <w:rsid w:val="00732A94"/>
    <w:rsid w:val="00732AA6"/>
    <w:rsid w:val="00732B3C"/>
    <w:rsid w:val="00732B45"/>
    <w:rsid w:val="00732B73"/>
    <w:rsid w:val="00732BB1"/>
    <w:rsid w:val="00732BF0"/>
    <w:rsid w:val="00732C03"/>
    <w:rsid w:val="00732C0A"/>
    <w:rsid w:val="00732CD9"/>
    <w:rsid w:val="00732CE8"/>
    <w:rsid w:val="00732D13"/>
    <w:rsid w:val="00732D6C"/>
    <w:rsid w:val="00732E07"/>
    <w:rsid w:val="00732E3C"/>
    <w:rsid w:val="00732E98"/>
    <w:rsid w:val="00732EC2"/>
    <w:rsid w:val="00732EDC"/>
    <w:rsid w:val="00732F4F"/>
    <w:rsid w:val="00732FF6"/>
    <w:rsid w:val="00733030"/>
    <w:rsid w:val="0073305E"/>
    <w:rsid w:val="007330A0"/>
    <w:rsid w:val="00733146"/>
    <w:rsid w:val="007331E4"/>
    <w:rsid w:val="00733246"/>
    <w:rsid w:val="00733289"/>
    <w:rsid w:val="007332FB"/>
    <w:rsid w:val="00733369"/>
    <w:rsid w:val="0073337D"/>
    <w:rsid w:val="00733391"/>
    <w:rsid w:val="0073339E"/>
    <w:rsid w:val="0073339F"/>
    <w:rsid w:val="007333A6"/>
    <w:rsid w:val="007333BA"/>
    <w:rsid w:val="007333BD"/>
    <w:rsid w:val="007334FA"/>
    <w:rsid w:val="0073358F"/>
    <w:rsid w:val="007335E9"/>
    <w:rsid w:val="00733653"/>
    <w:rsid w:val="00733659"/>
    <w:rsid w:val="00733668"/>
    <w:rsid w:val="00733669"/>
    <w:rsid w:val="007336EE"/>
    <w:rsid w:val="00733847"/>
    <w:rsid w:val="007338E5"/>
    <w:rsid w:val="007338F3"/>
    <w:rsid w:val="007338F5"/>
    <w:rsid w:val="00733905"/>
    <w:rsid w:val="0073394B"/>
    <w:rsid w:val="007339D8"/>
    <w:rsid w:val="00733A24"/>
    <w:rsid w:val="00733A30"/>
    <w:rsid w:val="00733A3E"/>
    <w:rsid w:val="00733A43"/>
    <w:rsid w:val="00733ABF"/>
    <w:rsid w:val="00733ACB"/>
    <w:rsid w:val="00733AE4"/>
    <w:rsid w:val="00733B28"/>
    <w:rsid w:val="00733B5A"/>
    <w:rsid w:val="00733C5E"/>
    <w:rsid w:val="00733C5F"/>
    <w:rsid w:val="00733C81"/>
    <w:rsid w:val="00733CB5"/>
    <w:rsid w:val="00733CDE"/>
    <w:rsid w:val="00733D14"/>
    <w:rsid w:val="00733D2F"/>
    <w:rsid w:val="00733DDD"/>
    <w:rsid w:val="00733DE5"/>
    <w:rsid w:val="00733E1C"/>
    <w:rsid w:val="00733E5B"/>
    <w:rsid w:val="00733E8B"/>
    <w:rsid w:val="00733EEF"/>
    <w:rsid w:val="00733F31"/>
    <w:rsid w:val="00733FEC"/>
    <w:rsid w:val="00734015"/>
    <w:rsid w:val="00734076"/>
    <w:rsid w:val="007340D7"/>
    <w:rsid w:val="007341E2"/>
    <w:rsid w:val="0073424E"/>
    <w:rsid w:val="00734256"/>
    <w:rsid w:val="00734285"/>
    <w:rsid w:val="00734287"/>
    <w:rsid w:val="00734292"/>
    <w:rsid w:val="007342CB"/>
    <w:rsid w:val="007342E2"/>
    <w:rsid w:val="007342E5"/>
    <w:rsid w:val="0073430A"/>
    <w:rsid w:val="00734361"/>
    <w:rsid w:val="0073444B"/>
    <w:rsid w:val="00734456"/>
    <w:rsid w:val="007344AF"/>
    <w:rsid w:val="007344BF"/>
    <w:rsid w:val="00734511"/>
    <w:rsid w:val="00734521"/>
    <w:rsid w:val="00734527"/>
    <w:rsid w:val="007345B1"/>
    <w:rsid w:val="007345B6"/>
    <w:rsid w:val="007345FD"/>
    <w:rsid w:val="00734603"/>
    <w:rsid w:val="00734606"/>
    <w:rsid w:val="0073461F"/>
    <w:rsid w:val="0073469A"/>
    <w:rsid w:val="0073470A"/>
    <w:rsid w:val="00734739"/>
    <w:rsid w:val="0073474A"/>
    <w:rsid w:val="0073474F"/>
    <w:rsid w:val="00734796"/>
    <w:rsid w:val="007347F2"/>
    <w:rsid w:val="00734841"/>
    <w:rsid w:val="00734884"/>
    <w:rsid w:val="0073489A"/>
    <w:rsid w:val="007348B2"/>
    <w:rsid w:val="007348B7"/>
    <w:rsid w:val="007348EA"/>
    <w:rsid w:val="007348EF"/>
    <w:rsid w:val="007349A4"/>
    <w:rsid w:val="007349B0"/>
    <w:rsid w:val="007349BC"/>
    <w:rsid w:val="007349FA"/>
    <w:rsid w:val="00734A03"/>
    <w:rsid w:val="00734A3D"/>
    <w:rsid w:val="00734A3F"/>
    <w:rsid w:val="00734A5A"/>
    <w:rsid w:val="00734B19"/>
    <w:rsid w:val="00734B48"/>
    <w:rsid w:val="00734B63"/>
    <w:rsid w:val="00734B78"/>
    <w:rsid w:val="00734BF4"/>
    <w:rsid w:val="00734C52"/>
    <w:rsid w:val="00734C8E"/>
    <w:rsid w:val="00734CF2"/>
    <w:rsid w:val="00734CFE"/>
    <w:rsid w:val="00734D08"/>
    <w:rsid w:val="00734D4D"/>
    <w:rsid w:val="00734D91"/>
    <w:rsid w:val="00734DBA"/>
    <w:rsid w:val="00734DDC"/>
    <w:rsid w:val="00734E0F"/>
    <w:rsid w:val="00734E89"/>
    <w:rsid w:val="00734ED1"/>
    <w:rsid w:val="00734EEC"/>
    <w:rsid w:val="00734EEF"/>
    <w:rsid w:val="00734F6D"/>
    <w:rsid w:val="00734FAB"/>
    <w:rsid w:val="00735008"/>
    <w:rsid w:val="00735021"/>
    <w:rsid w:val="00735057"/>
    <w:rsid w:val="0073506A"/>
    <w:rsid w:val="007350B6"/>
    <w:rsid w:val="00735117"/>
    <w:rsid w:val="007351AA"/>
    <w:rsid w:val="007351DF"/>
    <w:rsid w:val="00735319"/>
    <w:rsid w:val="007354DB"/>
    <w:rsid w:val="00735589"/>
    <w:rsid w:val="007355DF"/>
    <w:rsid w:val="00735709"/>
    <w:rsid w:val="00735730"/>
    <w:rsid w:val="007357B3"/>
    <w:rsid w:val="007357D0"/>
    <w:rsid w:val="007357D6"/>
    <w:rsid w:val="007357F3"/>
    <w:rsid w:val="007358C9"/>
    <w:rsid w:val="00735963"/>
    <w:rsid w:val="007359C4"/>
    <w:rsid w:val="00735A52"/>
    <w:rsid w:val="00735A67"/>
    <w:rsid w:val="00735AB3"/>
    <w:rsid w:val="00735ADC"/>
    <w:rsid w:val="00735B26"/>
    <w:rsid w:val="00735B34"/>
    <w:rsid w:val="00735BCA"/>
    <w:rsid w:val="00735BD5"/>
    <w:rsid w:val="00735C13"/>
    <w:rsid w:val="00735C15"/>
    <w:rsid w:val="00735C40"/>
    <w:rsid w:val="00735CDC"/>
    <w:rsid w:val="00735D59"/>
    <w:rsid w:val="00735D6E"/>
    <w:rsid w:val="00735D7C"/>
    <w:rsid w:val="00735DE5"/>
    <w:rsid w:val="00735DF0"/>
    <w:rsid w:val="00735E09"/>
    <w:rsid w:val="00735ED0"/>
    <w:rsid w:val="00735EF3"/>
    <w:rsid w:val="00735F1E"/>
    <w:rsid w:val="0073601C"/>
    <w:rsid w:val="00736032"/>
    <w:rsid w:val="00736059"/>
    <w:rsid w:val="00736084"/>
    <w:rsid w:val="00736108"/>
    <w:rsid w:val="0073611D"/>
    <w:rsid w:val="0073612C"/>
    <w:rsid w:val="00736148"/>
    <w:rsid w:val="00736160"/>
    <w:rsid w:val="00736163"/>
    <w:rsid w:val="00736218"/>
    <w:rsid w:val="0073622E"/>
    <w:rsid w:val="0073625C"/>
    <w:rsid w:val="007362C8"/>
    <w:rsid w:val="007362D2"/>
    <w:rsid w:val="0073630C"/>
    <w:rsid w:val="0073630F"/>
    <w:rsid w:val="0073639D"/>
    <w:rsid w:val="007363B3"/>
    <w:rsid w:val="007363CB"/>
    <w:rsid w:val="007363D7"/>
    <w:rsid w:val="007363F5"/>
    <w:rsid w:val="007364BC"/>
    <w:rsid w:val="00736500"/>
    <w:rsid w:val="0073651D"/>
    <w:rsid w:val="00736531"/>
    <w:rsid w:val="00736618"/>
    <w:rsid w:val="007366D5"/>
    <w:rsid w:val="007366EC"/>
    <w:rsid w:val="00736716"/>
    <w:rsid w:val="0073675E"/>
    <w:rsid w:val="00736774"/>
    <w:rsid w:val="007367C0"/>
    <w:rsid w:val="0073685B"/>
    <w:rsid w:val="007368C9"/>
    <w:rsid w:val="00736981"/>
    <w:rsid w:val="007369B1"/>
    <w:rsid w:val="00736A3F"/>
    <w:rsid w:val="00736A85"/>
    <w:rsid w:val="00736A99"/>
    <w:rsid w:val="00736ACF"/>
    <w:rsid w:val="00736B09"/>
    <w:rsid w:val="00736B38"/>
    <w:rsid w:val="00736BA2"/>
    <w:rsid w:val="00736BD2"/>
    <w:rsid w:val="00736BE1"/>
    <w:rsid w:val="00736BF3"/>
    <w:rsid w:val="00736C0F"/>
    <w:rsid w:val="00736C17"/>
    <w:rsid w:val="00736C3D"/>
    <w:rsid w:val="00736C57"/>
    <w:rsid w:val="00736C76"/>
    <w:rsid w:val="00736C8C"/>
    <w:rsid w:val="00736CB2"/>
    <w:rsid w:val="00736CC0"/>
    <w:rsid w:val="00736CFE"/>
    <w:rsid w:val="00736D3F"/>
    <w:rsid w:val="00736D8C"/>
    <w:rsid w:val="00736E70"/>
    <w:rsid w:val="00736EB0"/>
    <w:rsid w:val="00736EF7"/>
    <w:rsid w:val="00736F1A"/>
    <w:rsid w:val="00736F4B"/>
    <w:rsid w:val="00736FC0"/>
    <w:rsid w:val="00737025"/>
    <w:rsid w:val="00737057"/>
    <w:rsid w:val="00737139"/>
    <w:rsid w:val="007371CE"/>
    <w:rsid w:val="0073724D"/>
    <w:rsid w:val="0073727F"/>
    <w:rsid w:val="0073728C"/>
    <w:rsid w:val="007372B2"/>
    <w:rsid w:val="007372E5"/>
    <w:rsid w:val="0073730E"/>
    <w:rsid w:val="0073746F"/>
    <w:rsid w:val="00737535"/>
    <w:rsid w:val="007375CE"/>
    <w:rsid w:val="007375DF"/>
    <w:rsid w:val="0073761E"/>
    <w:rsid w:val="007376DD"/>
    <w:rsid w:val="007376F9"/>
    <w:rsid w:val="00737772"/>
    <w:rsid w:val="007377A6"/>
    <w:rsid w:val="0073782B"/>
    <w:rsid w:val="00737842"/>
    <w:rsid w:val="0073784C"/>
    <w:rsid w:val="0073786F"/>
    <w:rsid w:val="00737887"/>
    <w:rsid w:val="007378B2"/>
    <w:rsid w:val="007378C1"/>
    <w:rsid w:val="00737961"/>
    <w:rsid w:val="00737997"/>
    <w:rsid w:val="007379A1"/>
    <w:rsid w:val="007379A3"/>
    <w:rsid w:val="007379CD"/>
    <w:rsid w:val="00737A44"/>
    <w:rsid w:val="00737AD4"/>
    <w:rsid w:val="00737B05"/>
    <w:rsid w:val="00737B12"/>
    <w:rsid w:val="00737B19"/>
    <w:rsid w:val="00737BB3"/>
    <w:rsid w:val="00737C48"/>
    <w:rsid w:val="00737C8D"/>
    <w:rsid w:val="00737CED"/>
    <w:rsid w:val="00737CFF"/>
    <w:rsid w:val="00737D6D"/>
    <w:rsid w:val="00737DC8"/>
    <w:rsid w:val="00737DFA"/>
    <w:rsid w:val="00737E37"/>
    <w:rsid w:val="00737E43"/>
    <w:rsid w:val="00737E47"/>
    <w:rsid w:val="00737EB2"/>
    <w:rsid w:val="00737F33"/>
    <w:rsid w:val="00737F43"/>
    <w:rsid w:val="00737FFB"/>
    <w:rsid w:val="00740026"/>
    <w:rsid w:val="00740028"/>
    <w:rsid w:val="00740030"/>
    <w:rsid w:val="00740094"/>
    <w:rsid w:val="0074009B"/>
    <w:rsid w:val="007400C2"/>
    <w:rsid w:val="007400D9"/>
    <w:rsid w:val="00740113"/>
    <w:rsid w:val="0074018E"/>
    <w:rsid w:val="007401B8"/>
    <w:rsid w:val="007401BD"/>
    <w:rsid w:val="007401C9"/>
    <w:rsid w:val="00740204"/>
    <w:rsid w:val="00740207"/>
    <w:rsid w:val="0074020A"/>
    <w:rsid w:val="0074022D"/>
    <w:rsid w:val="0074023D"/>
    <w:rsid w:val="0074027B"/>
    <w:rsid w:val="0074028C"/>
    <w:rsid w:val="007402A4"/>
    <w:rsid w:val="007402AE"/>
    <w:rsid w:val="00740316"/>
    <w:rsid w:val="0074034D"/>
    <w:rsid w:val="00740377"/>
    <w:rsid w:val="007403E8"/>
    <w:rsid w:val="007403FF"/>
    <w:rsid w:val="00740409"/>
    <w:rsid w:val="00740440"/>
    <w:rsid w:val="0074045A"/>
    <w:rsid w:val="007404B6"/>
    <w:rsid w:val="007404CE"/>
    <w:rsid w:val="007404D9"/>
    <w:rsid w:val="00740503"/>
    <w:rsid w:val="00740564"/>
    <w:rsid w:val="0074056E"/>
    <w:rsid w:val="007405B3"/>
    <w:rsid w:val="00740608"/>
    <w:rsid w:val="00740649"/>
    <w:rsid w:val="0074064E"/>
    <w:rsid w:val="0074075D"/>
    <w:rsid w:val="0074078C"/>
    <w:rsid w:val="007408B0"/>
    <w:rsid w:val="0074094D"/>
    <w:rsid w:val="00740A2D"/>
    <w:rsid w:val="00740ACC"/>
    <w:rsid w:val="00740AD0"/>
    <w:rsid w:val="00740B03"/>
    <w:rsid w:val="00740B21"/>
    <w:rsid w:val="00740B37"/>
    <w:rsid w:val="00740BB2"/>
    <w:rsid w:val="00740BF6"/>
    <w:rsid w:val="00740C22"/>
    <w:rsid w:val="00740CAE"/>
    <w:rsid w:val="00740D32"/>
    <w:rsid w:val="00740D64"/>
    <w:rsid w:val="00740D75"/>
    <w:rsid w:val="00740D98"/>
    <w:rsid w:val="00740D9B"/>
    <w:rsid w:val="00740E38"/>
    <w:rsid w:val="00740EB1"/>
    <w:rsid w:val="00740ECC"/>
    <w:rsid w:val="00740F09"/>
    <w:rsid w:val="00740F6D"/>
    <w:rsid w:val="00740F92"/>
    <w:rsid w:val="00740FC5"/>
    <w:rsid w:val="00740FEB"/>
    <w:rsid w:val="00741016"/>
    <w:rsid w:val="00741048"/>
    <w:rsid w:val="00741172"/>
    <w:rsid w:val="007411A2"/>
    <w:rsid w:val="007411CA"/>
    <w:rsid w:val="00741266"/>
    <w:rsid w:val="00741283"/>
    <w:rsid w:val="007412C5"/>
    <w:rsid w:val="007412CE"/>
    <w:rsid w:val="0074130A"/>
    <w:rsid w:val="00741367"/>
    <w:rsid w:val="0074142C"/>
    <w:rsid w:val="0074144B"/>
    <w:rsid w:val="00741486"/>
    <w:rsid w:val="00741499"/>
    <w:rsid w:val="007414F3"/>
    <w:rsid w:val="007414F5"/>
    <w:rsid w:val="00741500"/>
    <w:rsid w:val="0074158A"/>
    <w:rsid w:val="00741591"/>
    <w:rsid w:val="007415EF"/>
    <w:rsid w:val="00741651"/>
    <w:rsid w:val="0074165C"/>
    <w:rsid w:val="00741685"/>
    <w:rsid w:val="007416D6"/>
    <w:rsid w:val="007416F5"/>
    <w:rsid w:val="007417B6"/>
    <w:rsid w:val="007418B7"/>
    <w:rsid w:val="007418D0"/>
    <w:rsid w:val="007418E4"/>
    <w:rsid w:val="007418F1"/>
    <w:rsid w:val="0074191E"/>
    <w:rsid w:val="00741963"/>
    <w:rsid w:val="0074197D"/>
    <w:rsid w:val="00741A53"/>
    <w:rsid w:val="00741A8F"/>
    <w:rsid w:val="00741B7E"/>
    <w:rsid w:val="00741B8C"/>
    <w:rsid w:val="00741BF5"/>
    <w:rsid w:val="00741C6A"/>
    <w:rsid w:val="00741CFD"/>
    <w:rsid w:val="00741D1C"/>
    <w:rsid w:val="00741D2B"/>
    <w:rsid w:val="00741D39"/>
    <w:rsid w:val="00741D8F"/>
    <w:rsid w:val="00741DD5"/>
    <w:rsid w:val="00741E3B"/>
    <w:rsid w:val="00741E75"/>
    <w:rsid w:val="00741E87"/>
    <w:rsid w:val="00741E8E"/>
    <w:rsid w:val="00741EF6"/>
    <w:rsid w:val="00741F57"/>
    <w:rsid w:val="00741FCF"/>
    <w:rsid w:val="0074205A"/>
    <w:rsid w:val="00742070"/>
    <w:rsid w:val="007420B8"/>
    <w:rsid w:val="007420EC"/>
    <w:rsid w:val="0074210B"/>
    <w:rsid w:val="00742191"/>
    <w:rsid w:val="00742246"/>
    <w:rsid w:val="0074224E"/>
    <w:rsid w:val="007422C1"/>
    <w:rsid w:val="007422DE"/>
    <w:rsid w:val="007422F8"/>
    <w:rsid w:val="00742308"/>
    <w:rsid w:val="00742335"/>
    <w:rsid w:val="00742398"/>
    <w:rsid w:val="00742494"/>
    <w:rsid w:val="007424E0"/>
    <w:rsid w:val="00742552"/>
    <w:rsid w:val="007425B5"/>
    <w:rsid w:val="0074261E"/>
    <w:rsid w:val="00742631"/>
    <w:rsid w:val="00742650"/>
    <w:rsid w:val="00742667"/>
    <w:rsid w:val="007427C0"/>
    <w:rsid w:val="0074288D"/>
    <w:rsid w:val="007428AF"/>
    <w:rsid w:val="007428E6"/>
    <w:rsid w:val="007428F6"/>
    <w:rsid w:val="00742901"/>
    <w:rsid w:val="00742938"/>
    <w:rsid w:val="007429AB"/>
    <w:rsid w:val="007429EE"/>
    <w:rsid w:val="00742B67"/>
    <w:rsid w:val="00742C31"/>
    <w:rsid w:val="00742CD9"/>
    <w:rsid w:val="00742D35"/>
    <w:rsid w:val="00742D64"/>
    <w:rsid w:val="00742D9A"/>
    <w:rsid w:val="00742DAD"/>
    <w:rsid w:val="00742DDB"/>
    <w:rsid w:val="00742E34"/>
    <w:rsid w:val="00742E69"/>
    <w:rsid w:val="00742E6C"/>
    <w:rsid w:val="00742F1B"/>
    <w:rsid w:val="00742F2B"/>
    <w:rsid w:val="00742F43"/>
    <w:rsid w:val="00742F8D"/>
    <w:rsid w:val="00742F95"/>
    <w:rsid w:val="00742FA5"/>
    <w:rsid w:val="00743010"/>
    <w:rsid w:val="0074313E"/>
    <w:rsid w:val="00743142"/>
    <w:rsid w:val="00743187"/>
    <w:rsid w:val="007431BE"/>
    <w:rsid w:val="0074321B"/>
    <w:rsid w:val="00743230"/>
    <w:rsid w:val="0074324D"/>
    <w:rsid w:val="00743258"/>
    <w:rsid w:val="007432C1"/>
    <w:rsid w:val="007432C9"/>
    <w:rsid w:val="007432E7"/>
    <w:rsid w:val="00743361"/>
    <w:rsid w:val="00743368"/>
    <w:rsid w:val="00743373"/>
    <w:rsid w:val="007433E4"/>
    <w:rsid w:val="00743491"/>
    <w:rsid w:val="007434A2"/>
    <w:rsid w:val="007434B2"/>
    <w:rsid w:val="007434C0"/>
    <w:rsid w:val="007434D4"/>
    <w:rsid w:val="007435BA"/>
    <w:rsid w:val="007435C1"/>
    <w:rsid w:val="00743602"/>
    <w:rsid w:val="00743630"/>
    <w:rsid w:val="00743675"/>
    <w:rsid w:val="007436AE"/>
    <w:rsid w:val="007436DB"/>
    <w:rsid w:val="007436E4"/>
    <w:rsid w:val="007436ED"/>
    <w:rsid w:val="0074370B"/>
    <w:rsid w:val="00743722"/>
    <w:rsid w:val="007437EA"/>
    <w:rsid w:val="00743854"/>
    <w:rsid w:val="00743879"/>
    <w:rsid w:val="0074389F"/>
    <w:rsid w:val="007438A9"/>
    <w:rsid w:val="007438AA"/>
    <w:rsid w:val="007438E2"/>
    <w:rsid w:val="007438FA"/>
    <w:rsid w:val="00743951"/>
    <w:rsid w:val="0074398F"/>
    <w:rsid w:val="00743A46"/>
    <w:rsid w:val="00743A49"/>
    <w:rsid w:val="00743A4F"/>
    <w:rsid w:val="00743A54"/>
    <w:rsid w:val="00743A5C"/>
    <w:rsid w:val="00743A9F"/>
    <w:rsid w:val="00743B1E"/>
    <w:rsid w:val="00743BA5"/>
    <w:rsid w:val="00743BF7"/>
    <w:rsid w:val="00743C2C"/>
    <w:rsid w:val="00743C31"/>
    <w:rsid w:val="00743C75"/>
    <w:rsid w:val="00743C80"/>
    <w:rsid w:val="00743CAA"/>
    <w:rsid w:val="00743D54"/>
    <w:rsid w:val="00743D66"/>
    <w:rsid w:val="00743DB0"/>
    <w:rsid w:val="00743DB1"/>
    <w:rsid w:val="00743DD5"/>
    <w:rsid w:val="00743DFB"/>
    <w:rsid w:val="00743E19"/>
    <w:rsid w:val="00743E37"/>
    <w:rsid w:val="00743E9B"/>
    <w:rsid w:val="00743EF7"/>
    <w:rsid w:val="00743F37"/>
    <w:rsid w:val="00743F55"/>
    <w:rsid w:val="00743F75"/>
    <w:rsid w:val="00743FBE"/>
    <w:rsid w:val="00744013"/>
    <w:rsid w:val="0074401B"/>
    <w:rsid w:val="00744030"/>
    <w:rsid w:val="0074409D"/>
    <w:rsid w:val="007440D9"/>
    <w:rsid w:val="00744137"/>
    <w:rsid w:val="00744140"/>
    <w:rsid w:val="0074418C"/>
    <w:rsid w:val="007441D1"/>
    <w:rsid w:val="0074420F"/>
    <w:rsid w:val="0074421D"/>
    <w:rsid w:val="007442E3"/>
    <w:rsid w:val="007445F6"/>
    <w:rsid w:val="00744622"/>
    <w:rsid w:val="0074469D"/>
    <w:rsid w:val="007446AB"/>
    <w:rsid w:val="0074475F"/>
    <w:rsid w:val="0074480C"/>
    <w:rsid w:val="00744845"/>
    <w:rsid w:val="007448D1"/>
    <w:rsid w:val="007448E4"/>
    <w:rsid w:val="0074492B"/>
    <w:rsid w:val="00744947"/>
    <w:rsid w:val="007449CC"/>
    <w:rsid w:val="007449D2"/>
    <w:rsid w:val="00744A59"/>
    <w:rsid w:val="00744AB5"/>
    <w:rsid w:val="00744AE3"/>
    <w:rsid w:val="00744AE6"/>
    <w:rsid w:val="00744AEC"/>
    <w:rsid w:val="00744B1B"/>
    <w:rsid w:val="00744BD4"/>
    <w:rsid w:val="00744CD1"/>
    <w:rsid w:val="00744CFB"/>
    <w:rsid w:val="00744D2A"/>
    <w:rsid w:val="00744D68"/>
    <w:rsid w:val="00744E13"/>
    <w:rsid w:val="00744E7D"/>
    <w:rsid w:val="00744E90"/>
    <w:rsid w:val="00744F14"/>
    <w:rsid w:val="00744F4C"/>
    <w:rsid w:val="00744F8F"/>
    <w:rsid w:val="00745007"/>
    <w:rsid w:val="00745120"/>
    <w:rsid w:val="00745138"/>
    <w:rsid w:val="00745149"/>
    <w:rsid w:val="00745154"/>
    <w:rsid w:val="0074515B"/>
    <w:rsid w:val="007451A4"/>
    <w:rsid w:val="00745260"/>
    <w:rsid w:val="0074526C"/>
    <w:rsid w:val="0074527D"/>
    <w:rsid w:val="0074537A"/>
    <w:rsid w:val="00745404"/>
    <w:rsid w:val="0074546D"/>
    <w:rsid w:val="007454D6"/>
    <w:rsid w:val="0074554A"/>
    <w:rsid w:val="0074556F"/>
    <w:rsid w:val="00745573"/>
    <w:rsid w:val="0074557D"/>
    <w:rsid w:val="007455C9"/>
    <w:rsid w:val="00745609"/>
    <w:rsid w:val="0074560A"/>
    <w:rsid w:val="00745638"/>
    <w:rsid w:val="00745684"/>
    <w:rsid w:val="007456A4"/>
    <w:rsid w:val="007456C4"/>
    <w:rsid w:val="0074572F"/>
    <w:rsid w:val="0074577A"/>
    <w:rsid w:val="00745787"/>
    <w:rsid w:val="0074581E"/>
    <w:rsid w:val="00745837"/>
    <w:rsid w:val="007458AB"/>
    <w:rsid w:val="00745981"/>
    <w:rsid w:val="00745A01"/>
    <w:rsid w:val="00745A3A"/>
    <w:rsid w:val="00745A93"/>
    <w:rsid w:val="00745AD2"/>
    <w:rsid w:val="00745AEF"/>
    <w:rsid w:val="00745B48"/>
    <w:rsid w:val="00745BAC"/>
    <w:rsid w:val="00745BC4"/>
    <w:rsid w:val="00745BF0"/>
    <w:rsid w:val="00745C4F"/>
    <w:rsid w:val="00745C71"/>
    <w:rsid w:val="00745C80"/>
    <w:rsid w:val="00745D5E"/>
    <w:rsid w:val="00745D62"/>
    <w:rsid w:val="00745D69"/>
    <w:rsid w:val="00745D6E"/>
    <w:rsid w:val="00745DE7"/>
    <w:rsid w:val="00745E13"/>
    <w:rsid w:val="00745E27"/>
    <w:rsid w:val="00745E5C"/>
    <w:rsid w:val="00745ED1"/>
    <w:rsid w:val="00745EF5"/>
    <w:rsid w:val="00745F48"/>
    <w:rsid w:val="00745F6C"/>
    <w:rsid w:val="00745F7F"/>
    <w:rsid w:val="00745FC8"/>
    <w:rsid w:val="0074607C"/>
    <w:rsid w:val="00746086"/>
    <w:rsid w:val="00746088"/>
    <w:rsid w:val="00746104"/>
    <w:rsid w:val="007461D3"/>
    <w:rsid w:val="007461F8"/>
    <w:rsid w:val="0074622D"/>
    <w:rsid w:val="0074624B"/>
    <w:rsid w:val="007462C2"/>
    <w:rsid w:val="00746334"/>
    <w:rsid w:val="0074633F"/>
    <w:rsid w:val="007463F3"/>
    <w:rsid w:val="0074640F"/>
    <w:rsid w:val="0074642C"/>
    <w:rsid w:val="0074646F"/>
    <w:rsid w:val="0074648C"/>
    <w:rsid w:val="007464E4"/>
    <w:rsid w:val="00746529"/>
    <w:rsid w:val="00746535"/>
    <w:rsid w:val="00746568"/>
    <w:rsid w:val="00746593"/>
    <w:rsid w:val="007465AD"/>
    <w:rsid w:val="00746619"/>
    <w:rsid w:val="00746644"/>
    <w:rsid w:val="007466C3"/>
    <w:rsid w:val="00746758"/>
    <w:rsid w:val="00746797"/>
    <w:rsid w:val="0074679A"/>
    <w:rsid w:val="007467A5"/>
    <w:rsid w:val="007467D5"/>
    <w:rsid w:val="007467E7"/>
    <w:rsid w:val="007467F3"/>
    <w:rsid w:val="0074680D"/>
    <w:rsid w:val="00746865"/>
    <w:rsid w:val="0074689F"/>
    <w:rsid w:val="007468E1"/>
    <w:rsid w:val="007468ED"/>
    <w:rsid w:val="00746996"/>
    <w:rsid w:val="007469DE"/>
    <w:rsid w:val="00746B0D"/>
    <w:rsid w:val="00746B4E"/>
    <w:rsid w:val="00746BEF"/>
    <w:rsid w:val="00746C1B"/>
    <w:rsid w:val="00746C3E"/>
    <w:rsid w:val="00746C5B"/>
    <w:rsid w:val="00746CA3"/>
    <w:rsid w:val="00746CCC"/>
    <w:rsid w:val="00746CFE"/>
    <w:rsid w:val="00746D17"/>
    <w:rsid w:val="00746D9E"/>
    <w:rsid w:val="00746DE2"/>
    <w:rsid w:val="00746E10"/>
    <w:rsid w:val="00746E55"/>
    <w:rsid w:val="00746E63"/>
    <w:rsid w:val="00746F27"/>
    <w:rsid w:val="00746F5C"/>
    <w:rsid w:val="00746FF7"/>
    <w:rsid w:val="0074700B"/>
    <w:rsid w:val="0074700E"/>
    <w:rsid w:val="00747028"/>
    <w:rsid w:val="00747050"/>
    <w:rsid w:val="0074705E"/>
    <w:rsid w:val="00747096"/>
    <w:rsid w:val="00747129"/>
    <w:rsid w:val="00747154"/>
    <w:rsid w:val="007471B0"/>
    <w:rsid w:val="007471D5"/>
    <w:rsid w:val="0074722A"/>
    <w:rsid w:val="0074725F"/>
    <w:rsid w:val="0074726B"/>
    <w:rsid w:val="0074734A"/>
    <w:rsid w:val="0074734B"/>
    <w:rsid w:val="00747356"/>
    <w:rsid w:val="007473B1"/>
    <w:rsid w:val="007473F8"/>
    <w:rsid w:val="00747493"/>
    <w:rsid w:val="00747512"/>
    <w:rsid w:val="00747516"/>
    <w:rsid w:val="00747524"/>
    <w:rsid w:val="0074754F"/>
    <w:rsid w:val="00747582"/>
    <w:rsid w:val="007475E8"/>
    <w:rsid w:val="007475F1"/>
    <w:rsid w:val="0074760A"/>
    <w:rsid w:val="00747616"/>
    <w:rsid w:val="00747691"/>
    <w:rsid w:val="007476BD"/>
    <w:rsid w:val="007476CE"/>
    <w:rsid w:val="00747784"/>
    <w:rsid w:val="007477A6"/>
    <w:rsid w:val="0074782B"/>
    <w:rsid w:val="00747885"/>
    <w:rsid w:val="00747895"/>
    <w:rsid w:val="007478A8"/>
    <w:rsid w:val="007478A9"/>
    <w:rsid w:val="007478BC"/>
    <w:rsid w:val="007478CA"/>
    <w:rsid w:val="007478EB"/>
    <w:rsid w:val="00747AA2"/>
    <w:rsid w:val="00747AF6"/>
    <w:rsid w:val="00747B03"/>
    <w:rsid w:val="00747B05"/>
    <w:rsid w:val="00747B61"/>
    <w:rsid w:val="00747B9C"/>
    <w:rsid w:val="00747BD2"/>
    <w:rsid w:val="00747BE1"/>
    <w:rsid w:val="00747C0D"/>
    <w:rsid w:val="00747C4A"/>
    <w:rsid w:val="00747CB2"/>
    <w:rsid w:val="00747D67"/>
    <w:rsid w:val="00747D88"/>
    <w:rsid w:val="00747DB7"/>
    <w:rsid w:val="00747DEA"/>
    <w:rsid w:val="00747E74"/>
    <w:rsid w:val="00747E7C"/>
    <w:rsid w:val="00747ED1"/>
    <w:rsid w:val="00747F6D"/>
    <w:rsid w:val="0075001E"/>
    <w:rsid w:val="00750086"/>
    <w:rsid w:val="0075009A"/>
    <w:rsid w:val="007500D2"/>
    <w:rsid w:val="00750165"/>
    <w:rsid w:val="0075016D"/>
    <w:rsid w:val="007501A8"/>
    <w:rsid w:val="007501F9"/>
    <w:rsid w:val="00750205"/>
    <w:rsid w:val="0075024A"/>
    <w:rsid w:val="00750251"/>
    <w:rsid w:val="00750253"/>
    <w:rsid w:val="0075027F"/>
    <w:rsid w:val="00750294"/>
    <w:rsid w:val="007502A9"/>
    <w:rsid w:val="0075032E"/>
    <w:rsid w:val="007503A9"/>
    <w:rsid w:val="007503AA"/>
    <w:rsid w:val="007504ED"/>
    <w:rsid w:val="00750515"/>
    <w:rsid w:val="00750553"/>
    <w:rsid w:val="0075055E"/>
    <w:rsid w:val="007505A3"/>
    <w:rsid w:val="007505B4"/>
    <w:rsid w:val="007506E1"/>
    <w:rsid w:val="00750719"/>
    <w:rsid w:val="00750739"/>
    <w:rsid w:val="00750767"/>
    <w:rsid w:val="00750790"/>
    <w:rsid w:val="007507CD"/>
    <w:rsid w:val="007507D2"/>
    <w:rsid w:val="007507E8"/>
    <w:rsid w:val="0075081E"/>
    <w:rsid w:val="0075086F"/>
    <w:rsid w:val="007508EA"/>
    <w:rsid w:val="0075094E"/>
    <w:rsid w:val="00750983"/>
    <w:rsid w:val="007509DD"/>
    <w:rsid w:val="007509DE"/>
    <w:rsid w:val="007509F7"/>
    <w:rsid w:val="00750A2E"/>
    <w:rsid w:val="00750A56"/>
    <w:rsid w:val="00750AB9"/>
    <w:rsid w:val="00750AC3"/>
    <w:rsid w:val="00750B1B"/>
    <w:rsid w:val="00750C00"/>
    <w:rsid w:val="00750C18"/>
    <w:rsid w:val="00750C32"/>
    <w:rsid w:val="00750C35"/>
    <w:rsid w:val="00750D20"/>
    <w:rsid w:val="00750D9B"/>
    <w:rsid w:val="00750D9D"/>
    <w:rsid w:val="00750E24"/>
    <w:rsid w:val="00750E32"/>
    <w:rsid w:val="00750E43"/>
    <w:rsid w:val="00750E63"/>
    <w:rsid w:val="00750E69"/>
    <w:rsid w:val="00750F35"/>
    <w:rsid w:val="00750F44"/>
    <w:rsid w:val="00750F71"/>
    <w:rsid w:val="00750F8B"/>
    <w:rsid w:val="00751003"/>
    <w:rsid w:val="0075100A"/>
    <w:rsid w:val="00751026"/>
    <w:rsid w:val="0075106A"/>
    <w:rsid w:val="007510C1"/>
    <w:rsid w:val="007510CC"/>
    <w:rsid w:val="007510F4"/>
    <w:rsid w:val="00751145"/>
    <w:rsid w:val="007511C8"/>
    <w:rsid w:val="007511F0"/>
    <w:rsid w:val="007511FB"/>
    <w:rsid w:val="00751258"/>
    <w:rsid w:val="00751267"/>
    <w:rsid w:val="007512CF"/>
    <w:rsid w:val="007512DA"/>
    <w:rsid w:val="00751351"/>
    <w:rsid w:val="0075136B"/>
    <w:rsid w:val="00751388"/>
    <w:rsid w:val="0075138C"/>
    <w:rsid w:val="0075139B"/>
    <w:rsid w:val="007513F0"/>
    <w:rsid w:val="00751432"/>
    <w:rsid w:val="00751490"/>
    <w:rsid w:val="007514B7"/>
    <w:rsid w:val="00751511"/>
    <w:rsid w:val="0075162B"/>
    <w:rsid w:val="0075165B"/>
    <w:rsid w:val="007516C8"/>
    <w:rsid w:val="00751730"/>
    <w:rsid w:val="007517A1"/>
    <w:rsid w:val="007517DC"/>
    <w:rsid w:val="007517E8"/>
    <w:rsid w:val="00751827"/>
    <w:rsid w:val="0075188D"/>
    <w:rsid w:val="00751899"/>
    <w:rsid w:val="0075189A"/>
    <w:rsid w:val="007518CD"/>
    <w:rsid w:val="00751923"/>
    <w:rsid w:val="00751953"/>
    <w:rsid w:val="00751971"/>
    <w:rsid w:val="0075199D"/>
    <w:rsid w:val="0075199F"/>
    <w:rsid w:val="00751A1E"/>
    <w:rsid w:val="00751A5A"/>
    <w:rsid w:val="00751AC3"/>
    <w:rsid w:val="00751B6D"/>
    <w:rsid w:val="00751BE4"/>
    <w:rsid w:val="00751BE6"/>
    <w:rsid w:val="00751BF2"/>
    <w:rsid w:val="00751C5F"/>
    <w:rsid w:val="00751D02"/>
    <w:rsid w:val="00751DDB"/>
    <w:rsid w:val="00751E07"/>
    <w:rsid w:val="00751E5B"/>
    <w:rsid w:val="00751E89"/>
    <w:rsid w:val="00751ED9"/>
    <w:rsid w:val="00751EFC"/>
    <w:rsid w:val="00751F73"/>
    <w:rsid w:val="00751F8E"/>
    <w:rsid w:val="0075206B"/>
    <w:rsid w:val="007520A4"/>
    <w:rsid w:val="007520E7"/>
    <w:rsid w:val="0075214F"/>
    <w:rsid w:val="00752205"/>
    <w:rsid w:val="00752277"/>
    <w:rsid w:val="0075228D"/>
    <w:rsid w:val="0075229B"/>
    <w:rsid w:val="0075229D"/>
    <w:rsid w:val="007522A2"/>
    <w:rsid w:val="007522E1"/>
    <w:rsid w:val="00752341"/>
    <w:rsid w:val="00752342"/>
    <w:rsid w:val="0075235D"/>
    <w:rsid w:val="00752496"/>
    <w:rsid w:val="007524E3"/>
    <w:rsid w:val="007524FC"/>
    <w:rsid w:val="0075250D"/>
    <w:rsid w:val="0075254F"/>
    <w:rsid w:val="007525A8"/>
    <w:rsid w:val="007525EA"/>
    <w:rsid w:val="00752612"/>
    <w:rsid w:val="0075264B"/>
    <w:rsid w:val="0075268A"/>
    <w:rsid w:val="00752691"/>
    <w:rsid w:val="0075278D"/>
    <w:rsid w:val="00752790"/>
    <w:rsid w:val="007527CF"/>
    <w:rsid w:val="007527FD"/>
    <w:rsid w:val="0075284F"/>
    <w:rsid w:val="00752861"/>
    <w:rsid w:val="00752921"/>
    <w:rsid w:val="0075292B"/>
    <w:rsid w:val="0075294E"/>
    <w:rsid w:val="0075299C"/>
    <w:rsid w:val="00752A49"/>
    <w:rsid w:val="00752A4D"/>
    <w:rsid w:val="00752A94"/>
    <w:rsid w:val="00752B0F"/>
    <w:rsid w:val="00752B25"/>
    <w:rsid w:val="00752BEB"/>
    <w:rsid w:val="00752CC4"/>
    <w:rsid w:val="00752D75"/>
    <w:rsid w:val="00752D8E"/>
    <w:rsid w:val="00752DBA"/>
    <w:rsid w:val="00752E11"/>
    <w:rsid w:val="00752E52"/>
    <w:rsid w:val="00752E53"/>
    <w:rsid w:val="00752E67"/>
    <w:rsid w:val="00752E80"/>
    <w:rsid w:val="00752EBA"/>
    <w:rsid w:val="00752F4C"/>
    <w:rsid w:val="00752F85"/>
    <w:rsid w:val="00752FF5"/>
    <w:rsid w:val="0075304E"/>
    <w:rsid w:val="00753073"/>
    <w:rsid w:val="00753175"/>
    <w:rsid w:val="0075319E"/>
    <w:rsid w:val="007531B1"/>
    <w:rsid w:val="007531CC"/>
    <w:rsid w:val="00753204"/>
    <w:rsid w:val="00753223"/>
    <w:rsid w:val="00753246"/>
    <w:rsid w:val="00753249"/>
    <w:rsid w:val="0075326B"/>
    <w:rsid w:val="0075329E"/>
    <w:rsid w:val="007532E2"/>
    <w:rsid w:val="00753310"/>
    <w:rsid w:val="00753373"/>
    <w:rsid w:val="007533B6"/>
    <w:rsid w:val="00753412"/>
    <w:rsid w:val="0075341C"/>
    <w:rsid w:val="00753420"/>
    <w:rsid w:val="0075348B"/>
    <w:rsid w:val="007534AD"/>
    <w:rsid w:val="0075361E"/>
    <w:rsid w:val="0075362C"/>
    <w:rsid w:val="00753646"/>
    <w:rsid w:val="00753670"/>
    <w:rsid w:val="0075367D"/>
    <w:rsid w:val="00753750"/>
    <w:rsid w:val="00753763"/>
    <w:rsid w:val="007537B3"/>
    <w:rsid w:val="007537C3"/>
    <w:rsid w:val="007537DB"/>
    <w:rsid w:val="00753811"/>
    <w:rsid w:val="00753821"/>
    <w:rsid w:val="0075386D"/>
    <w:rsid w:val="0075388C"/>
    <w:rsid w:val="0075391D"/>
    <w:rsid w:val="00753922"/>
    <w:rsid w:val="00753932"/>
    <w:rsid w:val="00753952"/>
    <w:rsid w:val="007539C9"/>
    <w:rsid w:val="007539CA"/>
    <w:rsid w:val="00753AE9"/>
    <w:rsid w:val="00753B4E"/>
    <w:rsid w:val="00753B78"/>
    <w:rsid w:val="00753B81"/>
    <w:rsid w:val="00753BD4"/>
    <w:rsid w:val="00753CC0"/>
    <w:rsid w:val="00753CFB"/>
    <w:rsid w:val="00753D0D"/>
    <w:rsid w:val="00753D56"/>
    <w:rsid w:val="00753D7D"/>
    <w:rsid w:val="00753DE4"/>
    <w:rsid w:val="00753E2A"/>
    <w:rsid w:val="00753EEB"/>
    <w:rsid w:val="00753F0F"/>
    <w:rsid w:val="00753F11"/>
    <w:rsid w:val="00753F1E"/>
    <w:rsid w:val="00753F2D"/>
    <w:rsid w:val="00753F3A"/>
    <w:rsid w:val="00753F40"/>
    <w:rsid w:val="00753F97"/>
    <w:rsid w:val="00753F9B"/>
    <w:rsid w:val="00753FAD"/>
    <w:rsid w:val="00754043"/>
    <w:rsid w:val="00754076"/>
    <w:rsid w:val="007540C8"/>
    <w:rsid w:val="007540F0"/>
    <w:rsid w:val="00754131"/>
    <w:rsid w:val="00754135"/>
    <w:rsid w:val="0075424B"/>
    <w:rsid w:val="007542C5"/>
    <w:rsid w:val="007542E9"/>
    <w:rsid w:val="007544D7"/>
    <w:rsid w:val="007544E1"/>
    <w:rsid w:val="007544F2"/>
    <w:rsid w:val="007544FE"/>
    <w:rsid w:val="007545A8"/>
    <w:rsid w:val="007545B2"/>
    <w:rsid w:val="007545C0"/>
    <w:rsid w:val="007545DB"/>
    <w:rsid w:val="00754647"/>
    <w:rsid w:val="00754668"/>
    <w:rsid w:val="00754679"/>
    <w:rsid w:val="00754683"/>
    <w:rsid w:val="007546C3"/>
    <w:rsid w:val="007546D1"/>
    <w:rsid w:val="00754720"/>
    <w:rsid w:val="0075472D"/>
    <w:rsid w:val="0075474E"/>
    <w:rsid w:val="00754773"/>
    <w:rsid w:val="0075478D"/>
    <w:rsid w:val="007547CF"/>
    <w:rsid w:val="0075492E"/>
    <w:rsid w:val="0075494C"/>
    <w:rsid w:val="007549C2"/>
    <w:rsid w:val="007549D4"/>
    <w:rsid w:val="00754A49"/>
    <w:rsid w:val="00754A78"/>
    <w:rsid w:val="00754A7F"/>
    <w:rsid w:val="00754A9E"/>
    <w:rsid w:val="00754AA1"/>
    <w:rsid w:val="00754AFF"/>
    <w:rsid w:val="00754B63"/>
    <w:rsid w:val="00754B84"/>
    <w:rsid w:val="00754B8C"/>
    <w:rsid w:val="00754C2D"/>
    <w:rsid w:val="00754CDD"/>
    <w:rsid w:val="00754D14"/>
    <w:rsid w:val="00754D50"/>
    <w:rsid w:val="00754DBC"/>
    <w:rsid w:val="00754DCE"/>
    <w:rsid w:val="00754E90"/>
    <w:rsid w:val="00754EC5"/>
    <w:rsid w:val="00754F6A"/>
    <w:rsid w:val="00754FA7"/>
    <w:rsid w:val="0075501C"/>
    <w:rsid w:val="0075508E"/>
    <w:rsid w:val="00755096"/>
    <w:rsid w:val="007550AD"/>
    <w:rsid w:val="007550BE"/>
    <w:rsid w:val="007550F8"/>
    <w:rsid w:val="007550FC"/>
    <w:rsid w:val="00755139"/>
    <w:rsid w:val="0075516F"/>
    <w:rsid w:val="00755188"/>
    <w:rsid w:val="0075520B"/>
    <w:rsid w:val="0075520C"/>
    <w:rsid w:val="00755258"/>
    <w:rsid w:val="007552C5"/>
    <w:rsid w:val="007552E8"/>
    <w:rsid w:val="007552FB"/>
    <w:rsid w:val="007553AB"/>
    <w:rsid w:val="007553CB"/>
    <w:rsid w:val="007553D2"/>
    <w:rsid w:val="007553D6"/>
    <w:rsid w:val="007553E8"/>
    <w:rsid w:val="007553FA"/>
    <w:rsid w:val="007553FD"/>
    <w:rsid w:val="00755420"/>
    <w:rsid w:val="00755456"/>
    <w:rsid w:val="0075549E"/>
    <w:rsid w:val="007554E9"/>
    <w:rsid w:val="007554F7"/>
    <w:rsid w:val="00755552"/>
    <w:rsid w:val="0075556A"/>
    <w:rsid w:val="007555A8"/>
    <w:rsid w:val="007555B5"/>
    <w:rsid w:val="0075561B"/>
    <w:rsid w:val="00755638"/>
    <w:rsid w:val="0075567C"/>
    <w:rsid w:val="00755694"/>
    <w:rsid w:val="007556A0"/>
    <w:rsid w:val="007556BB"/>
    <w:rsid w:val="007556F9"/>
    <w:rsid w:val="00755783"/>
    <w:rsid w:val="007557D9"/>
    <w:rsid w:val="0075583A"/>
    <w:rsid w:val="00755847"/>
    <w:rsid w:val="00755862"/>
    <w:rsid w:val="007558C7"/>
    <w:rsid w:val="007558D2"/>
    <w:rsid w:val="00755934"/>
    <w:rsid w:val="00755971"/>
    <w:rsid w:val="00755973"/>
    <w:rsid w:val="00755974"/>
    <w:rsid w:val="007559D1"/>
    <w:rsid w:val="007559FD"/>
    <w:rsid w:val="00755A37"/>
    <w:rsid w:val="00755A4C"/>
    <w:rsid w:val="00755A7D"/>
    <w:rsid w:val="00755AC0"/>
    <w:rsid w:val="00755AFA"/>
    <w:rsid w:val="00755B59"/>
    <w:rsid w:val="00755BBD"/>
    <w:rsid w:val="00755BF2"/>
    <w:rsid w:val="00755C14"/>
    <w:rsid w:val="00755C65"/>
    <w:rsid w:val="00755D5B"/>
    <w:rsid w:val="00755DC5"/>
    <w:rsid w:val="00755DEE"/>
    <w:rsid w:val="00755DF3"/>
    <w:rsid w:val="00755DF8"/>
    <w:rsid w:val="00755EC4"/>
    <w:rsid w:val="00755F5B"/>
    <w:rsid w:val="00755F9B"/>
    <w:rsid w:val="00755F9F"/>
    <w:rsid w:val="00755FA7"/>
    <w:rsid w:val="00755FAF"/>
    <w:rsid w:val="00755FE2"/>
    <w:rsid w:val="00755FEC"/>
    <w:rsid w:val="007560B3"/>
    <w:rsid w:val="00756111"/>
    <w:rsid w:val="007561D6"/>
    <w:rsid w:val="007561D8"/>
    <w:rsid w:val="00756231"/>
    <w:rsid w:val="0075625F"/>
    <w:rsid w:val="00756284"/>
    <w:rsid w:val="00756297"/>
    <w:rsid w:val="0075630C"/>
    <w:rsid w:val="00756323"/>
    <w:rsid w:val="0075635E"/>
    <w:rsid w:val="0075638B"/>
    <w:rsid w:val="007563B0"/>
    <w:rsid w:val="00756409"/>
    <w:rsid w:val="00756529"/>
    <w:rsid w:val="007565A9"/>
    <w:rsid w:val="007565B0"/>
    <w:rsid w:val="00756618"/>
    <w:rsid w:val="00756634"/>
    <w:rsid w:val="00756656"/>
    <w:rsid w:val="00756658"/>
    <w:rsid w:val="00756666"/>
    <w:rsid w:val="007566AA"/>
    <w:rsid w:val="00756707"/>
    <w:rsid w:val="0075679C"/>
    <w:rsid w:val="00756860"/>
    <w:rsid w:val="007568DF"/>
    <w:rsid w:val="007568F3"/>
    <w:rsid w:val="00756932"/>
    <w:rsid w:val="00756975"/>
    <w:rsid w:val="007569CB"/>
    <w:rsid w:val="00756A89"/>
    <w:rsid w:val="00756AF0"/>
    <w:rsid w:val="00756B38"/>
    <w:rsid w:val="00756B4B"/>
    <w:rsid w:val="00756BE6"/>
    <w:rsid w:val="00756BE9"/>
    <w:rsid w:val="00756BF3"/>
    <w:rsid w:val="00756C64"/>
    <w:rsid w:val="00756C6C"/>
    <w:rsid w:val="00756C96"/>
    <w:rsid w:val="00756E3A"/>
    <w:rsid w:val="00756E74"/>
    <w:rsid w:val="00756EDF"/>
    <w:rsid w:val="00756F0F"/>
    <w:rsid w:val="00756F56"/>
    <w:rsid w:val="00756F86"/>
    <w:rsid w:val="0075702F"/>
    <w:rsid w:val="0075703C"/>
    <w:rsid w:val="0075709F"/>
    <w:rsid w:val="0075710C"/>
    <w:rsid w:val="0075712A"/>
    <w:rsid w:val="0075712C"/>
    <w:rsid w:val="00757132"/>
    <w:rsid w:val="0075714C"/>
    <w:rsid w:val="007571C3"/>
    <w:rsid w:val="0075721B"/>
    <w:rsid w:val="0075728A"/>
    <w:rsid w:val="00757294"/>
    <w:rsid w:val="00757340"/>
    <w:rsid w:val="00757359"/>
    <w:rsid w:val="00757366"/>
    <w:rsid w:val="007573AA"/>
    <w:rsid w:val="007573CF"/>
    <w:rsid w:val="00757420"/>
    <w:rsid w:val="00757423"/>
    <w:rsid w:val="0075743F"/>
    <w:rsid w:val="007574E2"/>
    <w:rsid w:val="00757516"/>
    <w:rsid w:val="00757519"/>
    <w:rsid w:val="00757537"/>
    <w:rsid w:val="0075753B"/>
    <w:rsid w:val="007575BB"/>
    <w:rsid w:val="0075760E"/>
    <w:rsid w:val="0075763E"/>
    <w:rsid w:val="0075763F"/>
    <w:rsid w:val="0075769A"/>
    <w:rsid w:val="007576F2"/>
    <w:rsid w:val="007576F8"/>
    <w:rsid w:val="0075773F"/>
    <w:rsid w:val="00757768"/>
    <w:rsid w:val="0075778E"/>
    <w:rsid w:val="007577BD"/>
    <w:rsid w:val="007577D0"/>
    <w:rsid w:val="007577E7"/>
    <w:rsid w:val="007577F6"/>
    <w:rsid w:val="00757813"/>
    <w:rsid w:val="007578C1"/>
    <w:rsid w:val="007578E0"/>
    <w:rsid w:val="0075791C"/>
    <w:rsid w:val="0075792D"/>
    <w:rsid w:val="0075793C"/>
    <w:rsid w:val="00757953"/>
    <w:rsid w:val="0075795D"/>
    <w:rsid w:val="00757981"/>
    <w:rsid w:val="00757987"/>
    <w:rsid w:val="00757992"/>
    <w:rsid w:val="007579BF"/>
    <w:rsid w:val="00757A21"/>
    <w:rsid w:val="00757A2A"/>
    <w:rsid w:val="00757A38"/>
    <w:rsid w:val="00757A3E"/>
    <w:rsid w:val="00757A45"/>
    <w:rsid w:val="00757A4D"/>
    <w:rsid w:val="00757A81"/>
    <w:rsid w:val="00757A8B"/>
    <w:rsid w:val="00757ABF"/>
    <w:rsid w:val="00757AEC"/>
    <w:rsid w:val="00757B15"/>
    <w:rsid w:val="00757BB0"/>
    <w:rsid w:val="00757BD5"/>
    <w:rsid w:val="00757BDB"/>
    <w:rsid w:val="00757CC2"/>
    <w:rsid w:val="00757DA2"/>
    <w:rsid w:val="00757DAD"/>
    <w:rsid w:val="00757DD1"/>
    <w:rsid w:val="00757E4D"/>
    <w:rsid w:val="00757E84"/>
    <w:rsid w:val="00757E91"/>
    <w:rsid w:val="00757EBB"/>
    <w:rsid w:val="00757F68"/>
    <w:rsid w:val="00757F76"/>
    <w:rsid w:val="00757FA8"/>
    <w:rsid w:val="00760013"/>
    <w:rsid w:val="00760066"/>
    <w:rsid w:val="007600BA"/>
    <w:rsid w:val="007600FD"/>
    <w:rsid w:val="007600FE"/>
    <w:rsid w:val="00760159"/>
    <w:rsid w:val="0076018F"/>
    <w:rsid w:val="007601AA"/>
    <w:rsid w:val="00760218"/>
    <w:rsid w:val="0076023F"/>
    <w:rsid w:val="0076024C"/>
    <w:rsid w:val="00760280"/>
    <w:rsid w:val="007602FD"/>
    <w:rsid w:val="0076032D"/>
    <w:rsid w:val="0076037D"/>
    <w:rsid w:val="00760461"/>
    <w:rsid w:val="0076050A"/>
    <w:rsid w:val="0076051B"/>
    <w:rsid w:val="0076057F"/>
    <w:rsid w:val="0076059F"/>
    <w:rsid w:val="00760619"/>
    <w:rsid w:val="0076064E"/>
    <w:rsid w:val="0076067A"/>
    <w:rsid w:val="007606C5"/>
    <w:rsid w:val="007607A1"/>
    <w:rsid w:val="007607AC"/>
    <w:rsid w:val="007607B9"/>
    <w:rsid w:val="0076081E"/>
    <w:rsid w:val="0076088C"/>
    <w:rsid w:val="007608A9"/>
    <w:rsid w:val="007608B4"/>
    <w:rsid w:val="007608E0"/>
    <w:rsid w:val="00760990"/>
    <w:rsid w:val="007609A0"/>
    <w:rsid w:val="007609D8"/>
    <w:rsid w:val="00760A3C"/>
    <w:rsid w:val="00760A57"/>
    <w:rsid w:val="00760A59"/>
    <w:rsid w:val="00760A9B"/>
    <w:rsid w:val="00760B20"/>
    <w:rsid w:val="00760B25"/>
    <w:rsid w:val="00760B36"/>
    <w:rsid w:val="00760B4D"/>
    <w:rsid w:val="00760B76"/>
    <w:rsid w:val="00760BB5"/>
    <w:rsid w:val="00760BB8"/>
    <w:rsid w:val="00760C1C"/>
    <w:rsid w:val="00760D11"/>
    <w:rsid w:val="00760DE9"/>
    <w:rsid w:val="00760DFA"/>
    <w:rsid w:val="00760E16"/>
    <w:rsid w:val="00760E26"/>
    <w:rsid w:val="00760E28"/>
    <w:rsid w:val="00760EF0"/>
    <w:rsid w:val="00760EFE"/>
    <w:rsid w:val="00760F34"/>
    <w:rsid w:val="00760F5D"/>
    <w:rsid w:val="00760F8F"/>
    <w:rsid w:val="00760F9B"/>
    <w:rsid w:val="00761019"/>
    <w:rsid w:val="00761033"/>
    <w:rsid w:val="00761043"/>
    <w:rsid w:val="0076104B"/>
    <w:rsid w:val="0076108A"/>
    <w:rsid w:val="007610D4"/>
    <w:rsid w:val="007610E3"/>
    <w:rsid w:val="0076110E"/>
    <w:rsid w:val="00761134"/>
    <w:rsid w:val="007611DD"/>
    <w:rsid w:val="0076122B"/>
    <w:rsid w:val="007612F7"/>
    <w:rsid w:val="00761356"/>
    <w:rsid w:val="0076135E"/>
    <w:rsid w:val="00761379"/>
    <w:rsid w:val="0076138D"/>
    <w:rsid w:val="007613AA"/>
    <w:rsid w:val="007613C1"/>
    <w:rsid w:val="0076141B"/>
    <w:rsid w:val="007614F0"/>
    <w:rsid w:val="00761529"/>
    <w:rsid w:val="00761540"/>
    <w:rsid w:val="00761544"/>
    <w:rsid w:val="0076156C"/>
    <w:rsid w:val="007615AB"/>
    <w:rsid w:val="0076160B"/>
    <w:rsid w:val="00761615"/>
    <w:rsid w:val="00761626"/>
    <w:rsid w:val="00761670"/>
    <w:rsid w:val="007616E3"/>
    <w:rsid w:val="00761710"/>
    <w:rsid w:val="007617A8"/>
    <w:rsid w:val="007617CD"/>
    <w:rsid w:val="00761811"/>
    <w:rsid w:val="007618DB"/>
    <w:rsid w:val="007618FB"/>
    <w:rsid w:val="0076192C"/>
    <w:rsid w:val="00761946"/>
    <w:rsid w:val="007619B8"/>
    <w:rsid w:val="00761A2E"/>
    <w:rsid w:val="00761A75"/>
    <w:rsid w:val="00761A85"/>
    <w:rsid w:val="00761A8B"/>
    <w:rsid w:val="00761A93"/>
    <w:rsid w:val="00761B0B"/>
    <w:rsid w:val="00761B40"/>
    <w:rsid w:val="00761B46"/>
    <w:rsid w:val="00761BB7"/>
    <w:rsid w:val="00761BC9"/>
    <w:rsid w:val="00761BE8"/>
    <w:rsid w:val="00761CC6"/>
    <w:rsid w:val="00761CCE"/>
    <w:rsid w:val="00761D23"/>
    <w:rsid w:val="00761D67"/>
    <w:rsid w:val="00761D7B"/>
    <w:rsid w:val="00761DE4"/>
    <w:rsid w:val="00761E50"/>
    <w:rsid w:val="00761E81"/>
    <w:rsid w:val="00761EA3"/>
    <w:rsid w:val="00761EB8"/>
    <w:rsid w:val="00761ECB"/>
    <w:rsid w:val="00761EF8"/>
    <w:rsid w:val="00761F22"/>
    <w:rsid w:val="00761FFD"/>
    <w:rsid w:val="00762078"/>
    <w:rsid w:val="0076207A"/>
    <w:rsid w:val="007621E7"/>
    <w:rsid w:val="00762206"/>
    <w:rsid w:val="007622AD"/>
    <w:rsid w:val="00762300"/>
    <w:rsid w:val="00762326"/>
    <w:rsid w:val="00762339"/>
    <w:rsid w:val="00762357"/>
    <w:rsid w:val="00762396"/>
    <w:rsid w:val="0076239A"/>
    <w:rsid w:val="00762452"/>
    <w:rsid w:val="007624B2"/>
    <w:rsid w:val="007624CC"/>
    <w:rsid w:val="007624CF"/>
    <w:rsid w:val="007624FA"/>
    <w:rsid w:val="0076251D"/>
    <w:rsid w:val="00762523"/>
    <w:rsid w:val="0076252E"/>
    <w:rsid w:val="00762560"/>
    <w:rsid w:val="007625BD"/>
    <w:rsid w:val="00762662"/>
    <w:rsid w:val="0076269D"/>
    <w:rsid w:val="0076269F"/>
    <w:rsid w:val="007626B8"/>
    <w:rsid w:val="00762751"/>
    <w:rsid w:val="00762757"/>
    <w:rsid w:val="0076275D"/>
    <w:rsid w:val="00762776"/>
    <w:rsid w:val="00762855"/>
    <w:rsid w:val="00762883"/>
    <w:rsid w:val="0076289F"/>
    <w:rsid w:val="0076290B"/>
    <w:rsid w:val="00762965"/>
    <w:rsid w:val="0076296C"/>
    <w:rsid w:val="00762979"/>
    <w:rsid w:val="00762992"/>
    <w:rsid w:val="00762A84"/>
    <w:rsid w:val="00762B5B"/>
    <w:rsid w:val="00762C12"/>
    <w:rsid w:val="00762C78"/>
    <w:rsid w:val="00762CAB"/>
    <w:rsid w:val="00762D0F"/>
    <w:rsid w:val="00762D93"/>
    <w:rsid w:val="00762E6D"/>
    <w:rsid w:val="00762EB2"/>
    <w:rsid w:val="00762F5A"/>
    <w:rsid w:val="00762FC1"/>
    <w:rsid w:val="0076306D"/>
    <w:rsid w:val="00763072"/>
    <w:rsid w:val="007630C1"/>
    <w:rsid w:val="00763202"/>
    <w:rsid w:val="00763230"/>
    <w:rsid w:val="007632A9"/>
    <w:rsid w:val="007632CF"/>
    <w:rsid w:val="007632EF"/>
    <w:rsid w:val="0076332B"/>
    <w:rsid w:val="007633EE"/>
    <w:rsid w:val="007633F8"/>
    <w:rsid w:val="00763474"/>
    <w:rsid w:val="007634D9"/>
    <w:rsid w:val="007634EE"/>
    <w:rsid w:val="007634F1"/>
    <w:rsid w:val="00763549"/>
    <w:rsid w:val="007635F0"/>
    <w:rsid w:val="00763607"/>
    <w:rsid w:val="0076366C"/>
    <w:rsid w:val="00763673"/>
    <w:rsid w:val="007636A2"/>
    <w:rsid w:val="007636A4"/>
    <w:rsid w:val="0076370B"/>
    <w:rsid w:val="00763788"/>
    <w:rsid w:val="007637C8"/>
    <w:rsid w:val="007637DC"/>
    <w:rsid w:val="007637E2"/>
    <w:rsid w:val="007637F3"/>
    <w:rsid w:val="00763813"/>
    <w:rsid w:val="0076381F"/>
    <w:rsid w:val="0076387D"/>
    <w:rsid w:val="007638CB"/>
    <w:rsid w:val="00763914"/>
    <w:rsid w:val="0076391E"/>
    <w:rsid w:val="00763974"/>
    <w:rsid w:val="007639E9"/>
    <w:rsid w:val="00763A6B"/>
    <w:rsid w:val="00763AC4"/>
    <w:rsid w:val="00763AD0"/>
    <w:rsid w:val="00763B00"/>
    <w:rsid w:val="00763BAA"/>
    <w:rsid w:val="00763BC8"/>
    <w:rsid w:val="00763BE7"/>
    <w:rsid w:val="00763C19"/>
    <w:rsid w:val="00763C5E"/>
    <w:rsid w:val="00763C7E"/>
    <w:rsid w:val="00763C81"/>
    <w:rsid w:val="00763CA4"/>
    <w:rsid w:val="00763CB3"/>
    <w:rsid w:val="00763CCD"/>
    <w:rsid w:val="00763CE0"/>
    <w:rsid w:val="00763CF9"/>
    <w:rsid w:val="00763CFD"/>
    <w:rsid w:val="00763D05"/>
    <w:rsid w:val="00763D07"/>
    <w:rsid w:val="00763D2A"/>
    <w:rsid w:val="00763D31"/>
    <w:rsid w:val="00763D6D"/>
    <w:rsid w:val="00763DCD"/>
    <w:rsid w:val="00763DD2"/>
    <w:rsid w:val="00763DE0"/>
    <w:rsid w:val="00763E50"/>
    <w:rsid w:val="00763E84"/>
    <w:rsid w:val="00763EBD"/>
    <w:rsid w:val="00763EEF"/>
    <w:rsid w:val="00763EFB"/>
    <w:rsid w:val="00763F61"/>
    <w:rsid w:val="00763F6D"/>
    <w:rsid w:val="00763FB5"/>
    <w:rsid w:val="00763FF8"/>
    <w:rsid w:val="00764105"/>
    <w:rsid w:val="0076410B"/>
    <w:rsid w:val="0076410D"/>
    <w:rsid w:val="0076417A"/>
    <w:rsid w:val="007641E4"/>
    <w:rsid w:val="00764210"/>
    <w:rsid w:val="0076425F"/>
    <w:rsid w:val="00764261"/>
    <w:rsid w:val="007642DB"/>
    <w:rsid w:val="00764339"/>
    <w:rsid w:val="00764392"/>
    <w:rsid w:val="00764460"/>
    <w:rsid w:val="00764474"/>
    <w:rsid w:val="007644F1"/>
    <w:rsid w:val="0076452D"/>
    <w:rsid w:val="00764568"/>
    <w:rsid w:val="0076457A"/>
    <w:rsid w:val="007645F0"/>
    <w:rsid w:val="007646ED"/>
    <w:rsid w:val="007646FA"/>
    <w:rsid w:val="007646FC"/>
    <w:rsid w:val="00764796"/>
    <w:rsid w:val="007647BA"/>
    <w:rsid w:val="007647CA"/>
    <w:rsid w:val="00764806"/>
    <w:rsid w:val="0076480D"/>
    <w:rsid w:val="00764890"/>
    <w:rsid w:val="00764899"/>
    <w:rsid w:val="007648BA"/>
    <w:rsid w:val="00764908"/>
    <w:rsid w:val="0076492F"/>
    <w:rsid w:val="00764937"/>
    <w:rsid w:val="0076493C"/>
    <w:rsid w:val="007649E0"/>
    <w:rsid w:val="007649E1"/>
    <w:rsid w:val="00764A0C"/>
    <w:rsid w:val="00764A12"/>
    <w:rsid w:val="00764A44"/>
    <w:rsid w:val="00764A56"/>
    <w:rsid w:val="00764A77"/>
    <w:rsid w:val="00764A99"/>
    <w:rsid w:val="00764B8B"/>
    <w:rsid w:val="00764B8E"/>
    <w:rsid w:val="00764C80"/>
    <w:rsid w:val="00764C91"/>
    <w:rsid w:val="00764CC6"/>
    <w:rsid w:val="00764D43"/>
    <w:rsid w:val="00764DA1"/>
    <w:rsid w:val="00764DB1"/>
    <w:rsid w:val="00764DB5"/>
    <w:rsid w:val="00764E77"/>
    <w:rsid w:val="00764EC2"/>
    <w:rsid w:val="00764ED7"/>
    <w:rsid w:val="00764F1D"/>
    <w:rsid w:val="00764F3A"/>
    <w:rsid w:val="00764F3B"/>
    <w:rsid w:val="00764FBF"/>
    <w:rsid w:val="007650E9"/>
    <w:rsid w:val="007650EC"/>
    <w:rsid w:val="00765163"/>
    <w:rsid w:val="00765167"/>
    <w:rsid w:val="00765173"/>
    <w:rsid w:val="00765178"/>
    <w:rsid w:val="007651D8"/>
    <w:rsid w:val="007651F0"/>
    <w:rsid w:val="0076529F"/>
    <w:rsid w:val="0076535D"/>
    <w:rsid w:val="00765388"/>
    <w:rsid w:val="007653B8"/>
    <w:rsid w:val="007653F8"/>
    <w:rsid w:val="00765404"/>
    <w:rsid w:val="00765414"/>
    <w:rsid w:val="00765535"/>
    <w:rsid w:val="0076556F"/>
    <w:rsid w:val="0076557D"/>
    <w:rsid w:val="00765672"/>
    <w:rsid w:val="007656AA"/>
    <w:rsid w:val="0076581C"/>
    <w:rsid w:val="00765847"/>
    <w:rsid w:val="00765877"/>
    <w:rsid w:val="00765883"/>
    <w:rsid w:val="00765897"/>
    <w:rsid w:val="00765907"/>
    <w:rsid w:val="007659C4"/>
    <w:rsid w:val="007659D4"/>
    <w:rsid w:val="00765A0D"/>
    <w:rsid w:val="00765A18"/>
    <w:rsid w:val="00765A1F"/>
    <w:rsid w:val="00765A47"/>
    <w:rsid w:val="00765A91"/>
    <w:rsid w:val="00765AAC"/>
    <w:rsid w:val="00765B24"/>
    <w:rsid w:val="00765BAD"/>
    <w:rsid w:val="00765C46"/>
    <w:rsid w:val="00765C6B"/>
    <w:rsid w:val="00765CD0"/>
    <w:rsid w:val="00765CD6"/>
    <w:rsid w:val="00765D1D"/>
    <w:rsid w:val="00765D33"/>
    <w:rsid w:val="00765D7D"/>
    <w:rsid w:val="00765DB8"/>
    <w:rsid w:val="00765DBD"/>
    <w:rsid w:val="00765DD0"/>
    <w:rsid w:val="00765DE6"/>
    <w:rsid w:val="00765DEF"/>
    <w:rsid w:val="00765E3C"/>
    <w:rsid w:val="00765E5F"/>
    <w:rsid w:val="00765F28"/>
    <w:rsid w:val="00765FD9"/>
    <w:rsid w:val="00765FDF"/>
    <w:rsid w:val="0076600C"/>
    <w:rsid w:val="00766023"/>
    <w:rsid w:val="00766068"/>
    <w:rsid w:val="007660D0"/>
    <w:rsid w:val="007660EC"/>
    <w:rsid w:val="00766105"/>
    <w:rsid w:val="00766209"/>
    <w:rsid w:val="0076623C"/>
    <w:rsid w:val="00766251"/>
    <w:rsid w:val="00766284"/>
    <w:rsid w:val="0076628E"/>
    <w:rsid w:val="007662C1"/>
    <w:rsid w:val="00766322"/>
    <w:rsid w:val="00766338"/>
    <w:rsid w:val="00766345"/>
    <w:rsid w:val="007663A1"/>
    <w:rsid w:val="007663A7"/>
    <w:rsid w:val="00766461"/>
    <w:rsid w:val="007664DF"/>
    <w:rsid w:val="0076657A"/>
    <w:rsid w:val="00766598"/>
    <w:rsid w:val="007665C9"/>
    <w:rsid w:val="007665DF"/>
    <w:rsid w:val="007665EB"/>
    <w:rsid w:val="00766628"/>
    <w:rsid w:val="00766681"/>
    <w:rsid w:val="00766756"/>
    <w:rsid w:val="0076678E"/>
    <w:rsid w:val="007667A5"/>
    <w:rsid w:val="0076680A"/>
    <w:rsid w:val="0076683B"/>
    <w:rsid w:val="00766853"/>
    <w:rsid w:val="0076685E"/>
    <w:rsid w:val="0076686E"/>
    <w:rsid w:val="0076687C"/>
    <w:rsid w:val="007668C0"/>
    <w:rsid w:val="007668ED"/>
    <w:rsid w:val="007669D8"/>
    <w:rsid w:val="00766A5A"/>
    <w:rsid w:val="00766A7D"/>
    <w:rsid w:val="00766A9D"/>
    <w:rsid w:val="00766AC6"/>
    <w:rsid w:val="00766AE2"/>
    <w:rsid w:val="00766B64"/>
    <w:rsid w:val="00766C68"/>
    <w:rsid w:val="00766C90"/>
    <w:rsid w:val="00766CA7"/>
    <w:rsid w:val="00766D4A"/>
    <w:rsid w:val="00766D64"/>
    <w:rsid w:val="00766D8B"/>
    <w:rsid w:val="00766DCF"/>
    <w:rsid w:val="00766EE2"/>
    <w:rsid w:val="00766EEF"/>
    <w:rsid w:val="00766F3A"/>
    <w:rsid w:val="00766FA3"/>
    <w:rsid w:val="00766FC8"/>
    <w:rsid w:val="00766FD4"/>
    <w:rsid w:val="00767038"/>
    <w:rsid w:val="00767088"/>
    <w:rsid w:val="00767206"/>
    <w:rsid w:val="00767270"/>
    <w:rsid w:val="007672B2"/>
    <w:rsid w:val="00767338"/>
    <w:rsid w:val="0076737B"/>
    <w:rsid w:val="00767409"/>
    <w:rsid w:val="00767438"/>
    <w:rsid w:val="007674FD"/>
    <w:rsid w:val="0076750C"/>
    <w:rsid w:val="0076754D"/>
    <w:rsid w:val="0076758F"/>
    <w:rsid w:val="007675C8"/>
    <w:rsid w:val="00767619"/>
    <w:rsid w:val="0076761C"/>
    <w:rsid w:val="0076763F"/>
    <w:rsid w:val="0076767C"/>
    <w:rsid w:val="007676AC"/>
    <w:rsid w:val="007676CF"/>
    <w:rsid w:val="007677E1"/>
    <w:rsid w:val="007677EB"/>
    <w:rsid w:val="00767843"/>
    <w:rsid w:val="00767851"/>
    <w:rsid w:val="0076788F"/>
    <w:rsid w:val="0076789D"/>
    <w:rsid w:val="007678B1"/>
    <w:rsid w:val="007678FB"/>
    <w:rsid w:val="0076798D"/>
    <w:rsid w:val="007679BC"/>
    <w:rsid w:val="00767A19"/>
    <w:rsid w:val="00767A68"/>
    <w:rsid w:val="00767A8A"/>
    <w:rsid w:val="00767A94"/>
    <w:rsid w:val="00767AA5"/>
    <w:rsid w:val="00767B2F"/>
    <w:rsid w:val="00767B34"/>
    <w:rsid w:val="00767B9D"/>
    <w:rsid w:val="00767C05"/>
    <w:rsid w:val="00767C24"/>
    <w:rsid w:val="00767C27"/>
    <w:rsid w:val="00767D8C"/>
    <w:rsid w:val="00767D9D"/>
    <w:rsid w:val="00767DFD"/>
    <w:rsid w:val="00767EC0"/>
    <w:rsid w:val="00767EE6"/>
    <w:rsid w:val="00767EF3"/>
    <w:rsid w:val="00767F00"/>
    <w:rsid w:val="00767F13"/>
    <w:rsid w:val="00767F15"/>
    <w:rsid w:val="00767F26"/>
    <w:rsid w:val="00767F44"/>
    <w:rsid w:val="00767F51"/>
    <w:rsid w:val="00767F89"/>
    <w:rsid w:val="007700A8"/>
    <w:rsid w:val="00770122"/>
    <w:rsid w:val="0077012D"/>
    <w:rsid w:val="0077016F"/>
    <w:rsid w:val="007701C7"/>
    <w:rsid w:val="007701FE"/>
    <w:rsid w:val="0077020A"/>
    <w:rsid w:val="0077028B"/>
    <w:rsid w:val="00770305"/>
    <w:rsid w:val="0077035E"/>
    <w:rsid w:val="00770389"/>
    <w:rsid w:val="00770394"/>
    <w:rsid w:val="007703A0"/>
    <w:rsid w:val="007703A5"/>
    <w:rsid w:val="0077044B"/>
    <w:rsid w:val="007704C2"/>
    <w:rsid w:val="007704DA"/>
    <w:rsid w:val="0077050F"/>
    <w:rsid w:val="007705D3"/>
    <w:rsid w:val="0077062C"/>
    <w:rsid w:val="00770655"/>
    <w:rsid w:val="0077068A"/>
    <w:rsid w:val="007706AE"/>
    <w:rsid w:val="0077071C"/>
    <w:rsid w:val="00770776"/>
    <w:rsid w:val="007707AC"/>
    <w:rsid w:val="007707F6"/>
    <w:rsid w:val="00770820"/>
    <w:rsid w:val="0077086B"/>
    <w:rsid w:val="007708E5"/>
    <w:rsid w:val="0077090E"/>
    <w:rsid w:val="00770916"/>
    <w:rsid w:val="00770925"/>
    <w:rsid w:val="00770984"/>
    <w:rsid w:val="007709FA"/>
    <w:rsid w:val="00770A31"/>
    <w:rsid w:val="00770A33"/>
    <w:rsid w:val="00770A45"/>
    <w:rsid w:val="00770A66"/>
    <w:rsid w:val="00770ACF"/>
    <w:rsid w:val="00770AFF"/>
    <w:rsid w:val="00770B21"/>
    <w:rsid w:val="00770B22"/>
    <w:rsid w:val="00770B5F"/>
    <w:rsid w:val="00770BCA"/>
    <w:rsid w:val="00770BE2"/>
    <w:rsid w:val="00770C70"/>
    <w:rsid w:val="00770C76"/>
    <w:rsid w:val="00770D05"/>
    <w:rsid w:val="00770D7C"/>
    <w:rsid w:val="00770DA3"/>
    <w:rsid w:val="00770DAA"/>
    <w:rsid w:val="00770DD0"/>
    <w:rsid w:val="00770DD1"/>
    <w:rsid w:val="00770DF2"/>
    <w:rsid w:val="00770E25"/>
    <w:rsid w:val="00770E39"/>
    <w:rsid w:val="00770EBC"/>
    <w:rsid w:val="00770EDD"/>
    <w:rsid w:val="00770F31"/>
    <w:rsid w:val="00770F4D"/>
    <w:rsid w:val="00770FBF"/>
    <w:rsid w:val="00770FD8"/>
    <w:rsid w:val="00771047"/>
    <w:rsid w:val="007710AC"/>
    <w:rsid w:val="007710DF"/>
    <w:rsid w:val="00771105"/>
    <w:rsid w:val="00771183"/>
    <w:rsid w:val="00771190"/>
    <w:rsid w:val="007711F3"/>
    <w:rsid w:val="00771215"/>
    <w:rsid w:val="0077133A"/>
    <w:rsid w:val="00771383"/>
    <w:rsid w:val="007713A5"/>
    <w:rsid w:val="007713EC"/>
    <w:rsid w:val="0077141C"/>
    <w:rsid w:val="00771453"/>
    <w:rsid w:val="00771486"/>
    <w:rsid w:val="007714A9"/>
    <w:rsid w:val="007714CA"/>
    <w:rsid w:val="007714E8"/>
    <w:rsid w:val="0077162E"/>
    <w:rsid w:val="007716DA"/>
    <w:rsid w:val="007716E5"/>
    <w:rsid w:val="0077182F"/>
    <w:rsid w:val="0077184E"/>
    <w:rsid w:val="0077188B"/>
    <w:rsid w:val="0077189F"/>
    <w:rsid w:val="007718BA"/>
    <w:rsid w:val="007718C5"/>
    <w:rsid w:val="0077194A"/>
    <w:rsid w:val="007719F5"/>
    <w:rsid w:val="00771A1B"/>
    <w:rsid w:val="00771A2E"/>
    <w:rsid w:val="00771A67"/>
    <w:rsid w:val="00771A86"/>
    <w:rsid w:val="00771A97"/>
    <w:rsid w:val="00771B5B"/>
    <w:rsid w:val="00771BED"/>
    <w:rsid w:val="00771C42"/>
    <w:rsid w:val="00771CA1"/>
    <w:rsid w:val="00771CA5"/>
    <w:rsid w:val="00771CD2"/>
    <w:rsid w:val="00771D1B"/>
    <w:rsid w:val="00771E8C"/>
    <w:rsid w:val="00771EB3"/>
    <w:rsid w:val="00771ED7"/>
    <w:rsid w:val="00771EE2"/>
    <w:rsid w:val="00771EE5"/>
    <w:rsid w:val="00771EFC"/>
    <w:rsid w:val="00771F9C"/>
    <w:rsid w:val="00771FBE"/>
    <w:rsid w:val="00772000"/>
    <w:rsid w:val="00772020"/>
    <w:rsid w:val="0077213F"/>
    <w:rsid w:val="0077218D"/>
    <w:rsid w:val="0077219E"/>
    <w:rsid w:val="007721B5"/>
    <w:rsid w:val="0077229A"/>
    <w:rsid w:val="007722B0"/>
    <w:rsid w:val="007722CC"/>
    <w:rsid w:val="007722E9"/>
    <w:rsid w:val="0077230A"/>
    <w:rsid w:val="00772328"/>
    <w:rsid w:val="00772368"/>
    <w:rsid w:val="007723B8"/>
    <w:rsid w:val="00772441"/>
    <w:rsid w:val="0077244E"/>
    <w:rsid w:val="00772459"/>
    <w:rsid w:val="0077257D"/>
    <w:rsid w:val="0077265B"/>
    <w:rsid w:val="0077266C"/>
    <w:rsid w:val="007726F2"/>
    <w:rsid w:val="00772723"/>
    <w:rsid w:val="007727A1"/>
    <w:rsid w:val="007727B0"/>
    <w:rsid w:val="0077281C"/>
    <w:rsid w:val="0077283D"/>
    <w:rsid w:val="007728CA"/>
    <w:rsid w:val="007728D6"/>
    <w:rsid w:val="00772917"/>
    <w:rsid w:val="00772975"/>
    <w:rsid w:val="007729AF"/>
    <w:rsid w:val="007729F4"/>
    <w:rsid w:val="007729FD"/>
    <w:rsid w:val="00772A09"/>
    <w:rsid w:val="00772AAD"/>
    <w:rsid w:val="00772AAE"/>
    <w:rsid w:val="00772AFC"/>
    <w:rsid w:val="00772B1E"/>
    <w:rsid w:val="00772B38"/>
    <w:rsid w:val="00772B62"/>
    <w:rsid w:val="00772B75"/>
    <w:rsid w:val="00772B7C"/>
    <w:rsid w:val="00772B94"/>
    <w:rsid w:val="00772C12"/>
    <w:rsid w:val="00772C4E"/>
    <w:rsid w:val="00772C60"/>
    <w:rsid w:val="00772C79"/>
    <w:rsid w:val="00772C7C"/>
    <w:rsid w:val="00772C9A"/>
    <w:rsid w:val="00772C9D"/>
    <w:rsid w:val="00772CB6"/>
    <w:rsid w:val="00772CC0"/>
    <w:rsid w:val="00772CC9"/>
    <w:rsid w:val="00772CCE"/>
    <w:rsid w:val="00772CE6"/>
    <w:rsid w:val="00772D3A"/>
    <w:rsid w:val="00772D96"/>
    <w:rsid w:val="00772E2A"/>
    <w:rsid w:val="00772E3A"/>
    <w:rsid w:val="00772E50"/>
    <w:rsid w:val="00772E65"/>
    <w:rsid w:val="00772F02"/>
    <w:rsid w:val="00772F33"/>
    <w:rsid w:val="00772F51"/>
    <w:rsid w:val="00772F8B"/>
    <w:rsid w:val="0077304C"/>
    <w:rsid w:val="00773125"/>
    <w:rsid w:val="00773130"/>
    <w:rsid w:val="0077313A"/>
    <w:rsid w:val="007731FE"/>
    <w:rsid w:val="00773213"/>
    <w:rsid w:val="00773263"/>
    <w:rsid w:val="0077327B"/>
    <w:rsid w:val="007732E2"/>
    <w:rsid w:val="007732FD"/>
    <w:rsid w:val="007733E5"/>
    <w:rsid w:val="007733F7"/>
    <w:rsid w:val="00773413"/>
    <w:rsid w:val="0077344B"/>
    <w:rsid w:val="007734FF"/>
    <w:rsid w:val="00773535"/>
    <w:rsid w:val="0077354E"/>
    <w:rsid w:val="007735A9"/>
    <w:rsid w:val="007735B8"/>
    <w:rsid w:val="00773622"/>
    <w:rsid w:val="0077365F"/>
    <w:rsid w:val="00773686"/>
    <w:rsid w:val="007736C8"/>
    <w:rsid w:val="007736F9"/>
    <w:rsid w:val="0077377B"/>
    <w:rsid w:val="0077377C"/>
    <w:rsid w:val="007737D7"/>
    <w:rsid w:val="00773836"/>
    <w:rsid w:val="00773873"/>
    <w:rsid w:val="00773941"/>
    <w:rsid w:val="00773B1D"/>
    <w:rsid w:val="00773B3E"/>
    <w:rsid w:val="00773BD5"/>
    <w:rsid w:val="00773BDB"/>
    <w:rsid w:val="00773C49"/>
    <w:rsid w:val="00773C9A"/>
    <w:rsid w:val="00773CDC"/>
    <w:rsid w:val="00773D4C"/>
    <w:rsid w:val="00773D61"/>
    <w:rsid w:val="00773DAE"/>
    <w:rsid w:val="00773DCC"/>
    <w:rsid w:val="00773E2D"/>
    <w:rsid w:val="00773E55"/>
    <w:rsid w:val="00773F6D"/>
    <w:rsid w:val="00773F99"/>
    <w:rsid w:val="00773FA8"/>
    <w:rsid w:val="00773FB2"/>
    <w:rsid w:val="00773FFC"/>
    <w:rsid w:val="00773FFF"/>
    <w:rsid w:val="0077406C"/>
    <w:rsid w:val="0077406D"/>
    <w:rsid w:val="007740A0"/>
    <w:rsid w:val="007740B2"/>
    <w:rsid w:val="007740E3"/>
    <w:rsid w:val="007740F5"/>
    <w:rsid w:val="00774153"/>
    <w:rsid w:val="00774187"/>
    <w:rsid w:val="007741B7"/>
    <w:rsid w:val="007741CA"/>
    <w:rsid w:val="007741F6"/>
    <w:rsid w:val="00774280"/>
    <w:rsid w:val="007742D7"/>
    <w:rsid w:val="0077434B"/>
    <w:rsid w:val="007743BD"/>
    <w:rsid w:val="007743E5"/>
    <w:rsid w:val="0077441D"/>
    <w:rsid w:val="0077446A"/>
    <w:rsid w:val="007744D8"/>
    <w:rsid w:val="007744DE"/>
    <w:rsid w:val="0077452B"/>
    <w:rsid w:val="0077454F"/>
    <w:rsid w:val="00774567"/>
    <w:rsid w:val="00774622"/>
    <w:rsid w:val="00774631"/>
    <w:rsid w:val="007746D1"/>
    <w:rsid w:val="007746E3"/>
    <w:rsid w:val="00774740"/>
    <w:rsid w:val="00774785"/>
    <w:rsid w:val="007747A5"/>
    <w:rsid w:val="007747BA"/>
    <w:rsid w:val="007747F3"/>
    <w:rsid w:val="00774821"/>
    <w:rsid w:val="00774827"/>
    <w:rsid w:val="00774883"/>
    <w:rsid w:val="00774997"/>
    <w:rsid w:val="00774A10"/>
    <w:rsid w:val="00774A35"/>
    <w:rsid w:val="00774A53"/>
    <w:rsid w:val="00774A61"/>
    <w:rsid w:val="00774A94"/>
    <w:rsid w:val="00774AA2"/>
    <w:rsid w:val="00774AEF"/>
    <w:rsid w:val="00774B15"/>
    <w:rsid w:val="00774B23"/>
    <w:rsid w:val="00774B2A"/>
    <w:rsid w:val="00774B58"/>
    <w:rsid w:val="00774B87"/>
    <w:rsid w:val="00774BE9"/>
    <w:rsid w:val="00774C04"/>
    <w:rsid w:val="00774C25"/>
    <w:rsid w:val="00774C3A"/>
    <w:rsid w:val="00774C3D"/>
    <w:rsid w:val="00774C46"/>
    <w:rsid w:val="00774C81"/>
    <w:rsid w:val="00774CA5"/>
    <w:rsid w:val="00774CEB"/>
    <w:rsid w:val="00774CFD"/>
    <w:rsid w:val="00774D24"/>
    <w:rsid w:val="00774D5A"/>
    <w:rsid w:val="00774D75"/>
    <w:rsid w:val="00774D79"/>
    <w:rsid w:val="00774DAC"/>
    <w:rsid w:val="00774DC8"/>
    <w:rsid w:val="00774DDF"/>
    <w:rsid w:val="00774EAD"/>
    <w:rsid w:val="00774EC7"/>
    <w:rsid w:val="00774ECD"/>
    <w:rsid w:val="00774EF9"/>
    <w:rsid w:val="00774EFA"/>
    <w:rsid w:val="00774F02"/>
    <w:rsid w:val="00774F8A"/>
    <w:rsid w:val="00775017"/>
    <w:rsid w:val="0077509F"/>
    <w:rsid w:val="007750B4"/>
    <w:rsid w:val="007750FB"/>
    <w:rsid w:val="0077511F"/>
    <w:rsid w:val="0077512B"/>
    <w:rsid w:val="0077519C"/>
    <w:rsid w:val="007751C1"/>
    <w:rsid w:val="007751CD"/>
    <w:rsid w:val="007752A6"/>
    <w:rsid w:val="007752EC"/>
    <w:rsid w:val="00775347"/>
    <w:rsid w:val="00775408"/>
    <w:rsid w:val="00775455"/>
    <w:rsid w:val="0077545C"/>
    <w:rsid w:val="0077545E"/>
    <w:rsid w:val="00775489"/>
    <w:rsid w:val="007754D5"/>
    <w:rsid w:val="00775568"/>
    <w:rsid w:val="007755BF"/>
    <w:rsid w:val="0077561F"/>
    <w:rsid w:val="00775626"/>
    <w:rsid w:val="007756A4"/>
    <w:rsid w:val="007756A7"/>
    <w:rsid w:val="0077574E"/>
    <w:rsid w:val="00775776"/>
    <w:rsid w:val="007757B1"/>
    <w:rsid w:val="007757BE"/>
    <w:rsid w:val="007757E3"/>
    <w:rsid w:val="007757EC"/>
    <w:rsid w:val="007758A9"/>
    <w:rsid w:val="007758C9"/>
    <w:rsid w:val="00775983"/>
    <w:rsid w:val="00775989"/>
    <w:rsid w:val="0077598D"/>
    <w:rsid w:val="007759CD"/>
    <w:rsid w:val="007759EC"/>
    <w:rsid w:val="007759F2"/>
    <w:rsid w:val="00775A0C"/>
    <w:rsid w:val="00775A16"/>
    <w:rsid w:val="00775AF0"/>
    <w:rsid w:val="00775AF3"/>
    <w:rsid w:val="00775B11"/>
    <w:rsid w:val="00775B50"/>
    <w:rsid w:val="00775C5A"/>
    <w:rsid w:val="00775C99"/>
    <w:rsid w:val="00775CAB"/>
    <w:rsid w:val="00775CC0"/>
    <w:rsid w:val="00775D04"/>
    <w:rsid w:val="00775D09"/>
    <w:rsid w:val="00775D2E"/>
    <w:rsid w:val="00775D88"/>
    <w:rsid w:val="00775DC9"/>
    <w:rsid w:val="00775DD1"/>
    <w:rsid w:val="00775DD5"/>
    <w:rsid w:val="00775E37"/>
    <w:rsid w:val="00775E96"/>
    <w:rsid w:val="00775F14"/>
    <w:rsid w:val="00775F1B"/>
    <w:rsid w:val="00775F6D"/>
    <w:rsid w:val="00775FB5"/>
    <w:rsid w:val="00775FDF"/>
    <w:rsid w:val="0077601F"/>
    <w:rsid w:val="0077606D"/>
    <w:rsid w:val="00776073"/>
    <w:rsid w:val="007760BA"/>
    <w:rsid w:val="007760C5"/>
    <w:rsid w:val="007760CD"/>
    <w:rsid w:val="007760D3"/>
    <w:rsid w:val="007761C2"/>
    <w:rsid w:val="007761C4"/>
    <w:rsid w:val="007761F3"/>
    <w:rsid w:val="007761F8"/>
    <w:rsid w:val="00776224"/>
    <w:rsid w:val="00776261"/>
    <w:rsid w:val="0077627D"/>
    <w:rsid w:val="0077628C"/>
    <w:rsid w:val="0077629F"/>
    <w:rsid w:val="007762A4"/>
    <w:rsid w:val="007762CF"/>
    <w:rsid w:val="007762FE"/>
    <w:rsid w:val="00776300"/>
    <w:rsid w:val="00776324"/>
    <w:rsid w:val="00776398"/>
    <w:rsid w:val="007763AB"/>
    <w:rsid w:val="0077644D"/>
    <w:rsid w:val="00776479"/>
    <w:rsid w:val="007764FA"/>
    <w:rsid w:val="00776511"/>
    <w:rsid w:val="00776585"/>
    <w:rsid w:val="0077662E"/>
    <w:rsid w:val="0077663F"/>
    <w:rsid w:val="00776640"/>
    <w:rsid w:val="00776648"/>
    <w:rsid w:val="0077669A"/>
    <w:rsid w:val="0077669F"/>
    <w:rsid w:val="007766A6"/>
    <w:rsid w:val="007767E0"/>
    <w:rsid w:val="007767F1"/>
    <w:rsid w:val="00776885"/>
    <w:rsid w:val="007768A9"/>
    <w:rsid w:val="007768B1"/>
    <w:rsid w:val="007768E1"/>
    <w:rsid w:val="007769E9"/>
    <w:rsid w:val="00776A02"/>
    <w:rsid w:val="00776A3A"/>
    <w:rsid w:val="00776A5F"/>
    <w:rsid w:val="00776A6E"/>
    <w:rsid w:val="00776B13"/>
    <w:rsid w:val="00776B43"/>
    <w:rsid w:val="00776B74"/>
    <w:rsid w:val="00776B77"/>
    <w:rsid w:val="00776B81"/>
    <w:rsid w:val="00776B88"/>
    <w:rsid w:val="00776C8A"/>
    <w:rsid w:val="00776CA0"/>
    <w:rsid w:val="00776DE8"/>
    <w:rsid w:val="00776E17"/>
    <w:rsid w:val="00776E1F"/>
    <w:rsid w:val="00776E34"/>
    <w:rsid w:val="00776E72"/>
    <w:rsid w:val="00776EF9"/>
    <w:rsid w:val="00776F11"/>
    <w:rsid w:val="00776F1B"/>
    <w:rsid w:val="00776FD5"/>
    <w:rsid w:val="00776FEC"/>
    <w:rsid w:val="00776FED"/>
    <w:rsid w:val="00776FEF"/>
    <w:rsid w:val="00776FF3"/>
    <w:rsid w:val="00777019"/>
    <w:rsid w:val="00777075"/>
    <w:rsid w:val="00777090"/>
    <w:rsid w:val="0077709A"/>
    <w:rsid w:val="007770BE"/>
    <w:rsid w:val="007770F0"/>
    <w:rsid w:val="007770F8"/>
    <w:rsid w:val="00777135"/>
    <w:rsid w:val="0077716B"/>
    <w:rsid w:val="0077716F"/>
    <w:rsid w:val="00777178"/>
    <w:rsid w:val="007771D9"/>
    <w:rsid w:val="007771DD"/>
    <w:rsid w:val="0077721A"/>
    <w:rsid w:val="00777290"/>
    <w:rsid w:val="007772A7"/>
    <w:rsid w:val="00777342"/>
    <w:rsid w:val="00777343"/>
    <w:rsid w:val="00777364"/>
    <w:rsid w:val="0077745E"/>
    <w:rsid w:val="007774A1"/>
    <w:rsid w:val="007774B7"/>
    <w:rsid w:val="00777540"/>
    <w:rsid w:val="0077755C"/>
    <w:rsid w:val="00777565"/>
    <w:rsid w:val="0077758B"/>
    <w:rsid w:val="007775C9"/>
    <w:rsid w:val="007775D4"/>
    <w:rsid w:val="0077762F"/>
    <w:rsid w:val="0077763E"/>
    <w:rsid w:val="0077767E"/>
    <w:rsid w:val="007776CB"/>
    <w:rsid w:val="0077774D"/>
    <w:rsid w:val="0077778B"/>
    <w:rsid w:val="0077784D"/>
    <w:rsid w:val="0077787F"/>
    <w:rsid w:val="00777894"/>
    <w:rsid w:val="007778C7"/>
    <w:rsid w:val="00777913"/>
    <w:rsid w:val="0077798D"/>
    <w:rsid w:val="007779A4"/>
    <w:rsid w:val="007779DD"/>
    <w:rsid w:val="00777A3D"/>
    <w:rsid w:val="00777A69"/>
    <w:rsid w:val="00777A78"/>
    <w:rsid w:val="00777A8B"/>
    <w:rsid w:val="00777A97"/>
    <w:rsid w:val="00777AD0"/>
    <w:rsid w:val="00777B07"/>
    <w:rsid w:val="00777B23"/>
    <w:rsid w:val="00777B24"/>
    <w:rsid w:val="00777BFC"/>
    <w:rsid w:val="00777D04"/>
    <w:rsid w:val="00777D3A"/>
    <w:rsid w:val="00777D4B"/>
    <w:rsid w:val="00777D82"/>
    <w:rsid w:val="00777DE9"/>
    <w:rsid w:val="00777DF1"/>
    <w:rsid w:val="00777E6B"/>
    <w:rsid w:val="00777EB8"/>
    <w:rsid w:val="00777FB2"/>
    <w:rsid w:val="00777FFB"/>
    <w:rsid w:val="0078000E"/>
    <w:rsid w:val="0078005A"/>
    <w:rsid w:val="007800A7"/>
    <w:rsid w:val="007800AD"/>
    <w:rsid w:val="00780118"/>
    <w:rsid w:val="00780143"/>
    <w:rsid w:val="00780189"/>
    <w:rsid w:val="0078019C"/>
    <w:rsid w:val="007801C5"/>
    <w:rsid w:val="007801E9"/>
    <w:rsid w:val="00780202"/>
    <w:rsid w:val="0078021C"/>
    <w:rsid w:val="00780305"/>
    <w:rsid w:val="0078030E"/>
    <w:rsid w:val="007803A0"/>
    <w:rsid w:val="00780426"/>
    <w:rsid w:val="00780466"/>
    <w:rsid w:val="007804DD"/>
    <w:rsid w:val="00780552"/>
    <w:rsid w:val="0078057D"/>
    <w:rsid w:val="0078060C"/>
    <w:rsid w:val="00780649"/>
    <w:rsid w:val="00780664"/>
    <w:rsid w:val="007806B6"/>
    <w:rsid w:val="007806E2"/>
    <w:rsid w:val="007806EC"/>
    <w:rsid w:val="0078078E"/>
    <w:rsid w:val="007807B2"/>
    <w:rsid w:val="007807B3"/>
    <w:rsid w:val="007807DA"/>
    <w:rsid w:val="007807EE"/>
    <w:rsid w:val="0078080E"/>
    <w:rsid w:val="00780826"/>
    <w:rsid w:val="007808A3"/>
    <w:rsid w:val="0078095C"/>
    <w:rsid w:val="00780966"/>
    <w:rsid w:val="00780997"/>
    <w:rsid w:val="00780998"/>
    <w:rsid w:val="007809BF"/>
    <w:rsid w:val="007809DB"/>
    <w:rsid w:val="00780A17"/>
    <w:rsid w:val="00780A9C"/>
    <w:rsid w:val="00780AA8"/>
    <w:rsid w:val="00780ABF"/>
    <w:rsid w:val="00780B11"/>
    <w:rsid w:val="00780B8E"/>
    <w:rsid w:val="00780BD0"/>
    <w:rsid w:val="00780CE6"/>
    <w:rsid w:val="00780D44"/>
    <w:rsid w:val="00780D49"/>
    <w:rsid w:val="00780D6E"/>
    <w:rsid w:val="00780D7E"/>
    <w:rsid w:val="00780D91"/>
    <w:rsid w:val="00780DE5"/>
    <w:rsid w:val="00780DEC"/>
    <w:rsid w:val="00780E56"/>
    <w:rsid w:val="00780ED4"/>
    <w:rsid w:val="00780EF8"/>
    <w:rsid w:val="00780F67"/>
    <w:rsid w:val="00780F6F"/>
    <w:rsid w:val="00780F87"/>
    <w:rsid w:val="007811CF"/>
    <w:rsid w:val="00781243"/>
    <w:rsid w:val="00781334"/>
    <w:rsid w:val="0078133F"/>
    <w:rsid w:val="0078134A"/>
    <w:rsid w:val="0078138C"/>
    <w:rsid w:val="007813B7"/>
    <w:rsid w:val="007813BF"/>
    <w:rsid w:val="007815C4"/>
    <w:rsid w:val="007815DB"/>
    <w:rsid w:val="0078162E"/>
    <w:rsid w:val="0078166E"/>
    <w:rsid w:val="00781692"/>
    <w:rsid w:val="00781763"/>
    <w:rsid w:val="007817BF"/>
    <w:rsid w:val="00781803"/>
    <w:rsid w:val="00781815"/>
    <w:rsid w:val="0078182D"/>
    <w:rsid w:val="00781865"/>
    <w:rsid w:val="00781894"/>
    <w:rsid w:val="007818E8"/>
    <w:rsid w:val="00781975"/>
    <w:rsid w:val="0078198C"/>
    <w:rsid w:val="007819FF"/>
    <w:rsid w:val="00781A08"/>
    <w:rsid w:val="00781A10"/>
    <w:rsid w:val="00781A61"/>
    <w:rsid w:val="00781A97"/>
    <w:rsid w:val="00781AAC"/>
    <w:rsid w:val="00781AB4"/>
    <w:rsid w:val="00781B6B"/>
    <w:rsid w:val="00781BA5"/>
    <w:rsid w:val="00781C5F"/>
    <w:rsid w:val="00781C99"/>
    <w:rsid w:val="00781CAE"/>
    <w:rsid w:val="00781CCD"/>
    <w:rsid w:val="00781CFB"/>
    <w:rsid w:val="00781DD9"/>
    <w:rsid w:val="00781E48"/>
    <w:rsid w:val="00781E61"/>
    <w:rsid w:val="00781E69"/>
    <w:rsid w:val="00781EA5"/>
    <w:rsid w:val="00781EA6"/>
    <w:rsid w:val="00781EBF"/>
    <w:rsid w:val="00781EC2"/>
    <w:rsid w:val="00781F0F"/>
    <w:rsid w:val="00781F57"/>
    <w:rsid w:val="00781FBE"/>
    <w:rsid w:val="00782042"/>
    <w:rsid w:val="0078206C"/>
    <w:rsid w:val="007820D4"/>
    <w:rsid w:val="0078215D"/>
    <w:rsid w:val="00782175"/>
    <w:rsid w:val="00782179"/>
    <w:rsid w:val="00782181"/>
    <w:rsid w:val="00782188"/>
    <w:rsid w:val="007821E3"/>
    <w:rsid w:val="007821E7"/>
    <w:rsid w:val="00782243"/>
    <w:rsid w:val="0078225F"/>
    <w:rsid w:val="00782286"/>
    <w:rsid w:val="0078228D"/>
    <w:rsid w:val="0078229A"/>
    <w:rsid w:val="007822F1"/>
    <w:rsid w:val="007823B2"/>
    <w:rsid w:val="007823C7"/>
    <w:rsid w:val="007823D9"/>
    <w:rsid w:val="00782403"/>
    <w:rsid w:val="00782404"/>
    <w:rsid w:val="00782497"/>
    <w:rsid w:val="007824EF"/>
    <w:rsid w:val="007824FF"/>
    <w:rsid w:val="0078260E"/>
    <w:rsid w:val="00782615"/>
    <w:rsid w:val="00782797"/>
    <w:rsid w:val="007827E4"/>
    <w:rsid w:val="00782843"/>
    <w:rsid w:val="00782868"/>
    <w:rsid w:val="0078286A"/>
    <w:rsid w:val="0078286E"/>
    <w:rsid w:val="00782992"/>
    <w:rsid w:val="00782994"/>
    <w:rsid w:val="007829E4"/>
    <w:rsid w:val="00782AAB"/>
    <w:rsid w:val="00782AB2"/>
    <w:rsid w:val="00782AEB"/>
    <w:rsid w:val="00782B06"/>
    <w:rsid w:val="00782B20"/>
    <w:rsid w:val="00782B27"/>
    <w:rsid w:val="00782B55"/>
    <w:rsid w:val="00782B66"/>
    <w:rsid w:val="00782C0F"/>
    <w:rsid w:val="00782C6E"/>
    <w:rsid w:val="00782CC7"/>
    <w:rsid w:val="00782D12"/>
    <w:rsid w:val="00782D69"/>
    <w:rsid w:val="00782D82"/>
    <w:rsid w:val="00782D9F"/>
    <w:rsid w:val="00782DF8"/>
    <w:rsid w:val="00782F4A"/>
    <w:rsid w:val="00782F4C"/>
    <w:rsid w:val="00782F6B"/>
    <w:rsid w:val="00782F8B"/>
    <w:rsid w:val="00782FAB"/>
    <w:rsid w:val="00782FBD"/>
    <w:rsid w:val="00782FC7"/>
    <w:rsid w:val="00782FCA"/>
    <w:rsid w:val="00783070"/>
    <w:rsid w:val="00783072"/>
    <w:rsid w:val="007830DD"/>
    <w:rsid w:val="0078310D"/>
    <w:rsid w:val="0078311A"/>
    <w:rsid w:val="00783133"/>
    <w:rsid w:val="00783140"/>
    <w:rsid w:val="0078319B"/>
    <w:rsid w:val="00783217"/>
    <w:rsid w:val="00783222"/>
    <w:rsid w:val="00783264"/>
    <w:rsid w:val="00783280"/>
    <w:rsid w:val="007832E0"/>
    <w:rsid w:val="00783393"/>
    <w:rsid w:val="007833A0"/>
    <w:rsid w:val="00783459"/>
    <w:rsid w:val="00783466"/>
    <w:rsid w:val="00783470"/>
    <w:rsid w:val="00783483"/>
    <w:rsid w:val="00783486"/>
    <w:rsid w:val="007834D8"/>
    <w:rsid w:val="0078350D"/>
    <w:rsid w:val="00783623"/>
    <w:rsid w:val="0078366B"/>
    <w:rsid w:val="0078369A"/>
    <w:rsid w:val="00783811"/>
    <w:rsid w:val="00783869"/>
    <w:rsid w:val="0078390A"/>
    <w:rsid w:val="00783970"/>
    <w:rsid w:val="00783A3E"/>
    <w:rsid w:val="00783A4F"/>
    <w:rsid w:val="00783A57"/>
    <w:rsid w:val="00783AF6"/>
    <w:rsid w:val="00783B23"/>
    <w:rsid w:val="00783B6F"/>
    <w:rsid w:val="00783B79"/>
    <w:rsid w:val="00783C41"/>
    <w:rsid w:val="00783C59"/>
    <w:rsid w:val="00783C85"/>
    <w:rsid w:val="00783CC3"/>
    <w:rsid w:val="00783CFC"/>
    <w:rsid w:val="00783D40"/>
    <w:rsid w:val="00783D99"/>
    <w:rsid w:val="00783D9C"/>
    <w:rsid w:val="00783DC6"/>
    <w:rsid w:val="00783E28"/>
    <w:rsid w:val="00783E9A"/>
    <w:rsid w:val="00783EBC"/>
    <w:rsid w:val="00783F15"/>
    <w:rsid w:val="00783FC9"/>
    <w:rsid w:val="00784021"/>
    <w:rsid w:val="0078402E"/>
    <w:rsid w:val="0078402F"/>
    <w:rsid w:val="00784071"/>
    <w:rsid w:val="007840B9"/>
    <w:rsid w:val="007840D8"/>
    <w:rsid w:val="00784108"/>
    <w:rsid w:val="0078417B"/>
    <w:rsid w:val="007841AB"/>
    <w:rsid w:val="00784231"/>
    <w:rsid w:val="00784243"/>
    <w:rsid w:val="0078425D"/>
    <w:rsid w:val="007842F9"/>
    <w:rsid w:val="0078431A"/>
    <w:rsid w:val="007843B4"/>
    <w:rsid w:val="007843BB"/>
    <w:rsid w:val="0078442A"/>
    <w:rsid w:val="0078446C"/>
    <w:rsid w:val="00784486"/>
    <w:rsid w:val="0078448A"/>
    <w:rsid w:val="0078448E"/>
    <w:rsid w:val="007844D4"/>
    <w:rsid w:val="007844FE"/>
    <w:rsid w:val="007845C0"/>
    <w:rsid w:val="007846DD"/>
    <w:rsid w:val="00784772"/>
    <w:rsid w:val="007847EE"/>
    <w:rsid w:val="00784824"/>
    <w:rsid w:val="00784848"/>
    <w:rsid w:val="0078486F"/>
    <w:rsid w:val="00784875"/>
    <w:rsid w:val="0078491E"/>
    <w:rsid w:val="0078492F"/>
    <w:rsid w:val="00784932"/>
    <w:rsid w:val="00784963"/>
    <w:rsid w:val="0078496E"/>
    <w:rsid w:val="00784980"/>
    <w:rsid w:val="007849AF"/>
    <w:rsid w:val="007849D1"/>
    <w:rsid w:val="007849ED"/>
    <w:rsid w:val="007849FC"/>
    <w:rsid w:val="00784AC4"/>
    <w:rsid w:val="00784AD8"/>
    <w:rsid w:val="00784AE4"/>
    <w:rsid w:val="00784B0A"/>
    <w:rsid w:val="00784BDE"/>
    <w:rsid w:val="00784C05"/>
    <w:rsid w:val="00784C0A"/>
    <w:rsid w:val="00784C59"/>
    <w:rsid w:val="00784CF1"/>
    <w:rsid w:val="00784D25"/>
    <w:rsid w:val="00784D29"/>
    <w:rsid w:val="00784D49"/>
    <w:rsid w:val="00784DBC"/>
    <w:rsid w:val="00784E9F"/>
    <w:rsid w:val="00784EA7"/>
    <w:rsid w:val="00784EBA"/>
    <w:rsid w:val="00784ED5"/>
    <w:rsid w:val="00784EF6"/>
    <w:rsid w:val="00784F20"/>
    <w:rsid w:val="00784F31"/>
    <w:rsid w:val="00784F68"/>
    <w:rsid w:val="00784F6E"/>
    <w:rsid w:val="00784FAC"/>
    <w:rsid w:val="00784FC0"/>
    <w:rsid w:val="0078501A"/>
    <w:rsid w:val="0078510C"/>
    <w:rsid w:val="00785111"/>
    <w:rsid w:val="0078511B"/>
    <w:rsid w:val="00785166"/>
    <w:rsid w:val="007851B9"/>
    <w:rsid w:val="007851C8"/>
    <w:rsid w:val="007851FF"/>
    <w:rsid w:val="0078527A"/>
    <w:rsid w:val="007852B3"/>
    <w:rsid w:val="007852C7"/>
    <w:rsid w:val="007852D3"/>
    <w:rsid w:val="007852EE"/>
    <w:rsid w:val="0078530F"/>
    <w:rsid w:val="0078534B"/>
    <w:rsid w:val="00785360"/>
    <w:rsid w:val="00785373"/>
    <w:rsid w:val="007853A2"/>
    <w:rsid w:val="007853CB"/>
    <w:rsid w:val="007853CC"/>
    <w:rsid w:val="0078541C"/>
    <w:rsid w:val="00785427"/>
    <w:rsid w:val="00785453"/>
    <w:rsid w:val="00785466"/>
    <w:rsid w:val="0078546A"/>
    <w:rsid w:val="00785491"/>
    <w:rsid w:val="007854BD"/>
    <w:rsid w:val="007854E8"/>
    <w:rsid w:val="007854F2"/>
    <w:rsid w:val="00785502"/>
    <w:rsid w:val="00785510"/>
    <w:rsid w:val="007855EB"/>
    <w:rsid w:val="007855FB"/>
    <w:rsid w:val="00785658"/>
    <w:rsid w:val="00785685"/>
    <w:rsid w:val="007856B0"/>
    <w:rsid w:val="007856CB"/>
    <w:rsid w:val="00785713"/>
    <w:rsid w:val="007857B2"/>
    <w:rsid w:val="007857BB"/>
    <w:rsid w:val="007857EB"/>
    <w:rsid w:val="00785891"/>
    <w:rsid w:val="007858B9"/>
    <w:rsid w:val="007858D4"/>
    <w:rsid w:val="007858D6"/>
    <w:rsid w:val="007858F3"/>
    <w:rsid w:val="007858F8"/>
    <w:rsid w:val="0078591A"/>
    <w:rsid w:val="00785920"/>
    <w:rsid w:val="00785939"/>
    <w:rsid w:val="0078595F"/>
    <w:rsid w:val="007859D8"/>
    <w:rsid w:val="007859DE"/>
    <w:rsid w:val="00785A19"/>
    <w:rsid w:val="00785A90"/>
    <w:rsid w:val="00785A92"/>
    <w:rsid w:val="00785A98"/>
    <w:rsid w:val="00785AA7"/>
    <w:rsid w:val="00785B2D"/>
    <w:rsid w:val="00785B83"/>
    <w:rsid w:val="00785BEC"/>
    <w:rsid w:val="00785C12"/>
    <w:rsid w:val="00785C8B"/>
    <w:rsid w:val="00785CF6"/>
    <w:rsid w:val="00785D0C"/>
    <w:rsid w:val="00785D81"/>
    <w:rsid w:val="00785D85"/>
    <w:rsid w:val="00785F20"/>
    <w:rsid w:val="00785F42"/>
    <w:rsid w:val="00785F5B"/>
    <w:rsid w:val="00785FA4"/>
    <w:rsid w:val="00785FA7"/>
    <w:rsid w:val="00785FFA"/>
    <w:rsid w:val="007860FF"/>
    <w:rsid w:val="00786107"/>
    <w:rsid w:val="00786145"/>
    <w:rsid w:val="007861B9"/>
    <w:rsid w:val="007861CF"/>
    <w:rsid w:val="007861DD"/>
    <w:rsid w:val="0078620D"/>
    <w:rsid w:val="00786266"/>
    <w:rsid w:val="007862B8"/>
    <w:rsid w:val="007862E2"/>
    <w:rsid w:val="0078630D"/>
    <w:rsid w:val="00786312"/>
    <w:rsid w:val="00786364"/>
    <w:rsid w:val="00786365"/>
    <w:rsid w:val="007863C9"/>
    <w:rsid w:val="007863ED"/>
    <w:rsid w:val="00786423"/>
    <w:rsid w:val="00786429"/>
    <w:rsid w:val="0078642E"/>
    <w:rsid w:val="0078642F"/>
    <w:rsid w:val="00786468"/>
    <w:rsid w:val="007864B0"/>
    <w:rsid w:val="00786507"/>
    <w:rsid w:val="007865A3"/>
    <w:rsid w:val="007865B2"/>
    <w:rsid w:val="0078661F"/>
    <w:rsid w:val="0078662E"/>
    <w:rsid w:val="0078663A"/>
    <w:rsid w:val="00786652"/>
    <w:rsid w:val="0078668B"/>
    <w:rsid w:val="007866E3"/>
    <w:rsid w:val="0078670A"/>
    <w:rsid w:val="00786791"/>
    <w:rsid w:val="0078692D"/>
    <w:rsid w:val="00786956"/>
    <w:rsid w:val="007869E3"/>
    <w:rsid w:val="00786A00"/>
    <w:rsid w:val="00786A46"/>
    <w:rsid w:val="00786A62"/>
    <w:rsid w:val="00786A63"/>
    <w:rsid w:val="00786A87"/>
    <w:rsid w:val="00786AD9"/>
    <w:rsid w:val="00786AE8"/>
    <w:rsid w:val="00786AF8"/>
    <w:rsid w:val="00786B45"/>
    <w:rsid w:val="00786B51"/>
    <w:rsid w:val="00786B77"/>
    <w:rsid w:val="00786B94"/>
    <w:rsid w:val="00786B9C"/>
    <w:rsid w:val="00786BF9"/>
    <w:rsid w:val="00786C5C"/>
    <w:rsid w:val="00786C7D"/>
    <w:rsid w:val="00786C82"/>
    <w:rsid w:val="00786D2A"/>
    <w:rsid w:val="00786DAA"/>
    <w:rsid w:val="00786E43"/>
    <w:rsid w:val="00786E97"/>
    <w:rsid w:val="00786E9F"/>
    <w:rsid w:val="00786EB0"/>
    <w:rsid w:val="00786ECD"/>
    <w:rsid w:val="00786ED6"/>
    <w:rsid w:val="00786EEA"/>
    <w:rsid w:val="00786F07"/>
    <w:rsid w:val="00786F43"/>
    <w:rsid w:val="00787030"/>
    <w:rsid w:val="007870B6"/>
    <w:rsid w:val="007870C8"/>
    <w:rsid w:val="0078716E"/>
    <w:rsid w:val="007871BF"/>
    <w:rsid w:val="00787253"/>
    <w:rsid w:val="007872E8"/>
    <w:rsid w:val="0078732B"/>
    <w:rsid w:val="00787384"/>
    <w:rsid w:val="007873D8"/>
    <w:rsid w:val="0078740E"/>
    <w:rsid w:val="00787412"/>
    <w:rsid w:val="00787425"/>
    <w:rsid w:val="00787445"/>
    <w:rsid w:val="00787514"/>
    <w:rsid w:val="00787550"/>
    <w:rsid w:val="00787591"/>
    <w:rsid w:val="00787652"/>
    <w:rsid w:val="00787667"/>
    <w:rsid w:val="007876E2"/>
    <w:rsid w:val="00787708"/>
    <w:rsid w:val="00787723"/>
    <w:rsid w:val="0078778A"/>
    <w:rsid w:val="007877D2"/>
    <w:rsid w:val="00787813"/>
    <w:rsid w:val="0078783C"/>
    <w:rsid w:val="007878E1"/>
    <w:rsid w:val="007878EE"/>
    <w:rsid w:val="007879D4"/>
    <w:rsid w:val="00787A30"/>
    <w:rsid w:val="00787A33"/>
    <w:rsid w:val="00787B09"/>
    <w:rsid w:val="00787B66"/>
    <w:rsid w:val="00787B8F"/>
    <w:rsid w:val="00787BF8"/>
    <w:rsid w:val="00787C19"/>
    <w:rsid w:val="00787C47"/>
    <w:rsid w:val="00787C4B"/>
    <w:rsid w:val="00787C53"/>
    <w:rsid w:val="00787CBF"/>
    <w:rsid w:val="00787CE3"/>
    <w:rsid w:val="00787D19"/>
    <w:rsid w:val="00787D38"/>
    <w:rsid w:val="00787D46"/>
    <w:rsid w:val="00787D4B"/>
    <w:rsid w:val="00787DBC"/>
    <w:rsid w:val="00787DC4"/>
    <w:rsid w:val="00787DD7"/>
    <w:rsid w:val="00787E16"/>
    <w:rsid w:val="00787E79"/>
    <w:rsid w:val="00787E87"/>
    <w:rsid w:val="00787EA1"/>
    <w:rsid w:val="00787EA3"/>
    <w:rsid w:val="00787EAF"/>
    <w:rsid w:val="00787F79"/>
    <w:rsid w:val="00787F84"/>
    <w:rsid w:val="00787FA5"/>
    <w:rsid w:val="00787FCC"/>
    <w:rsid w:val="0079001F"/>
    <w:rsid w:val="00790035"/>
    <w:rsid w:val="0079006C"/>
    <w:rsid w:val="00790085"/>
    <w:rsid w:val="007900B0"/>
    <w:rsid w:val="007900D1"/>
    <w:rsid w:val="00790111"/>
    <w:rsid w:val="00790116"/>
    <w:rsid w:val="00790189"/>
    <w:rsid w:val="007901C6"/>
    <w:rsid w:val="007901E8"/>
    <w:rsid w:val="007901FC"/>
    <w:rsid w:val="00790388"/>
    <w:rsid w:val="00790393"/>
    <w:rsid w:val="00790428"/>
    <w:rsid w:val="0079047E"/>
    <w:rsid w:val="007904BE"/>
    <w:rsid w:val="007904E2"/>
    <w:rsid w:val="007905FB"/>
    <w:rsid w:val="00790719"/>
    <w:rsid w:val="00790726"/>
    <w:rsid w:val="00790738"/>
    <w:rsid w:val="0079073E"/>
    <w:rsid w:val="007907BF"/>
    <w:rsid w:val="007907E2"/>
    <w:rsid w:val="0079082C"/>
    <w:rsid w:val="00790851"/>
    <w:rsid w:val="0079086A"/>
    <w:rsid w:val="0079087A"/>
    <w:rsid w:val="007908B3"/>
    <w:rsid w:val="007908BB"/>
    <w:rsid w:val="007908E0"/>
    <w:rsid w:val="0079093A"/>
    <w:rsid w:val="00790940"/>
    <w:rsid w:val="0079096D"/>
    <w:rsid w:val="00790976"/>
    <w:rsid w:val="0079099C"/>
    <w:rsid w:val="007909A7"/>
    <w:rsid w:val="00790A49"/>
    <w:rsid w:val="00790AC5"/>
    <w:rsid w:val="00790BC1"/>
    <w:rsid w:val="00790C2C"/>
    <w:rsid w:val="00790C33"/>
    <w:rsid w:val="00790C51"/>
    <w:rsid w:val="00790C5E"/>
    <w:rsid w:val="00790CA7"/>
    <w:rsid w:val="00790CB9"/>
    <w:rsid w:val="00790D7D"/>
    <w:rsid w:val="00790D85"/>
    <w:rsid w:val="00790D8E"/>
    <w:rsid w:val="00790D92"/>
    <w:rsid w:val="00790E23"/>
    <w:rsid w:val="00790E27"/>
    <w:rsid w:val="00790E2B"/>
    <w:rsid w:val="00790E5A"/>
    <w:rsid w:val="00790E65"/>
    <w:rsid w:val="00790E6F"/>
    <w:rsid w:val="00790E87"/>
    <w:rsid w:val="00790EC3"/>
    <w:rsid w:val="00790F2E"/>
    <w:rsid w:val="00790F9E"/>
    <w:rsid w:val="00790FA9"/>
    <w:rsid w:val="00791029"/>
    <w:rsid w:val="007910C0"/>
    <w:rsid w:val="007910C1"/>
    <w:rsid w:val="007910D7"/>
    <w:rsid w:val="00791127"/>
    <w:rsid w:val="00791149"/>
    <w:rsid w:val="007911C9"/>
    <w:rsid w:val="007911D3"/>
    <w:rsid w:val="00791201"/>
    <w:rsid w:val="0079123E"/>
    <w:rsid w:val="00791292"/>
    <w:rsid w:val="007912C7"/>
    <w:rsid w:val="0079131E"/>
    <w:rsid w:val="0079133A"/>
    <w:rsid w:val="0079134B"/>
    <w:rsid w:val="0079137E"/>
    <w:rsid w:val="007913BE"/>
    <w:rsid w:val="00791438"/>
    <w:rsid w:val="00791463"/>
    <w:rsid w:val="007914F5"/>
    <w:rsid w:val="007914FC"/>
    <w:rsid w:val="00791576"/>
    <w:rsid w:val="007915C1"/>
    <w:rsid w:val="007915C6"/>
    <w:rsid w:val="007915ED"/>
    <w:rsid w:val="0079160B"/>
    <w:rsid w:val="00791618"/>
    <w:rsid w:val="00791635"/>
    <w:rsid w:val="00791691"/>
    <w:rsid w:val="007916AE"/>
    <w:rsid w:val="0079173F"/>
    <w:rsid w:val="00791793"/>
    <w:rsid w:val="007917D3"/>
    <w:rsid w:val="00791812"/>
    <w:rsid w:val="00791880"/>
    <w:rsid w:val="007918D8"/>
    <w:rsid w:val="007918D9"/>
    <w:rsid w:val="007918E7"/>
    <w:rsid w:val="007918FC"/>
    <w:rsid w:val="00791906"/>
    <w:rsid w:val="0079198E"/>
    <w:rsid w:val="007919C9"/>
    <w:rsid w:val="00791A22"/>
    <w:rsid w:val="00791A90"/>
    <w:rsid w:val="00791AB6"/>
    <w:rsid w:val="00791AE8"/>
    <w:rsid w:val="00791B2A"/>
    <w:rsid w:val="00791B5A"/>
    <w:rsid w:val="00791B79"/>
    <w:rsid w:val="00791B98"/>
    <w:rsid w:val="00791BA3"/>
    <w:rsid w:val="00791BBE"/>
    <w:rsid w:val="00791BE5"/>
    <w:rsid w:val="00791BEF"/>
    <w:rsid w:val="00791BF5"/>
    <w:rsid w:val="00791BF8"/>
    <w:rsid w:val="00791C49"/>
    <w:rsid w:val="00791C53"/>
    <w:rsid w:val="00791CAB"/>
    <w:rsid w:val="00791CC6"/>
    <w:rsid w:val="00791D41"/>
    <w:rsid w:val="00791DA1"/>
    <w:rsid w:val="00791DAA"/>
    <w:rsid w:val="00791DFF"/>
    <w:rsid w:val="00791EB2"/>
    <w:rsid w:val="00791ECD"/>
    <w:rsid w:val="00791EF9"/>
    <w:rsid w:val="00791F05"/>
    <w:rsid w:val="00791F24"/>
    <w:rsid w:val="00791F41"/>
    <w:rsid w:val="00791F42"/>
    <w:rsid w:val="00791F6A"/>
    <w:rsid w:val="00791F71"/>
    <w:rsid w:val="00791FA0"/>
    <w:rsid w:val="00791FD4"/>
    <w:rsid w:val="0079207E"/>
    <w:rsid w:val="0079208E"/>
    <w:rsid w:val="00792092"/>
    <w:rsid w:val="007920AA"/>
    <w:rsid w:val="007920D5"/>
    <w:rsid w:val="00792139"/>
    <w:rsid w:val="00792180"/>
    <w:rsid w:val="007921B5"/>
    <w:rsid w:val="007921D5"/>
    <w:rsid w:val="007921DA"/>
    <w:rsid w:val="007921FC"/>
    <w:rsid w:val="00792237"/>
    <w:rsid w:val="0079223C"/>
    <w:rsid w:val="00792291"/>
    <w:rsid w:val="007922F1"/>
    <w:rsid w:val="00792361"/>
    <w:rsid w:val="00792391"/>
    <w:rsid w:val="0079241C"/>
    <w:rsid w:val="00792450"/>
    <w:rsid w:val="0079247D"/>
    <w:rsid w:val="007924F6"/>
    <w:rsid w:val="007924FB"/>
    <w:rsid w:val="00792544"/>
    <w:rsid w:val="00792548"/>
    <w:rsid w:val="0079262B"/>
    <w:rsid w:val="0079265C"/>
    <w:rsid w:val="0079268C"/>
    <w:rsid w:val="00792706"/>
    <w:rsid w:val="0079274D"/>
    <w:rsid w:val="007927AD"/>
    <w:rsid w:val="007927DF"/>
    <w:rsid w:val="0079288C"/>
    <w:rsid w:val="007928A6"/>
    <w:rsid w:val="007928AC"/>
    <w:rsid w:val="007928BB"/>
    <w:rsid w:val="007928E1"/>
    <w:rsid w:val="00792904"/>
    <w:rsid w:val="0079293C"/>
    <w:rsid w:val="0079293E"/>
    <w:rsid w:val="0079296F"/>
    <w:rsid w:val="00792A16"/>
    <w:rsid w:val="00792A58"/>
    <w:rsid w:val="00792ABF"/>
    <w:rsid w:val="00792B0F"/>
    <w:rsid w:val="00792BA4"/>
    <w:rsid w:val="00792BC3"/>
    <w:rsid w:val="00792BC6"/>
    <w:rsid w:val="00792BC9"/>
    <w:rsid w:val="00792BF3"/>
    <w:rsid w:val="00792C44"/>
    <w:rsid w:val="00792C52"/>
    <w:rsid w:val="00792C5D"/>
    <w:rsid w:val="00792C68"/>
    <w:rsid w:val="00792C92"/>
    <w:rsid w:val="00792CAC"/>
    <w:rsid w:val="00792D6D"/>
    <w:rsid w:val="00792D90"/>
    <w:rsid w:val="00792E03"/>
    <w:rsid w:val="00792E09"/>
    <w:rsid w:val="00792E5F"/>
    <w:rsid w:val="00792EDF"/>
    <w:rsid w:val="00792EF7"/>
    <w:rsid w:val="00792F29"/>
    <w:rsid w:val="00792F45"/>
    <w:rsid w:val="00792F94"/>
    <w:rsid w:val="00793003"/>
    <w:rsid w:val="00793033"/>
    <w:rsid w:val="0079305A"/>
    <w:rsid w:val="00793063"/>
    <w:rsid w:val="007930E7"/>
    <w:rsid w:val="007930F4"/>
    <w:rsid w:val="00793104"/>
    <w:rsid w:val="00793107"/>
    <w:rsid w:val="0079315D"/>
    <w:rsid w:val="00793174"/>
    <w:rsid w:val="00793192"/>
    <w:rsid w:val="007931CE"/>
    <w:rsid w:val="0079320F"/>
    <w:rsid w:val="0079330E"/>
    <w:rsid w:val="00793370"/>
    <w:rsid w:val="0079338C"/>
    <w:rsid w:val="007933D5"/>
    <w:rsid w:val="0079341F"/>
    <w:rsid w:val="00793499"/>
    <w:rsid w:val="007934FB"/>
    <w:rsid w:val="0079359B"/>
    <w:rsid w:val="007935E0"/>
    <w:rsid w:val="007935FB"/>
    <w:rsid w:val="0079360F"/>
    <w:rsid w:val="0079362D"/>
    <w:rsid w:val="0079367A"/>
    <w:rsid w:val="00793692"/>
    <w:rsid w:val="007936BA"/>
    <w:rsid w:val="00793720"/>
    <w:rsid w:val="00793728"/>
    <w:rsid w:val="00793740"/>
    <w:rsid w:val="0079376C"/>
    <w:rsid w:val="0079377A"/>
    <w:rsid w:val="0079377C"/>
    <w:rsid w:val="0079378E"/>
    <w:rsid w:val="007938B4"/>
    <w:rsid w:val="00793948"/>
    <w:rsid w:val="007939A6"/>
    <w:rsid w:val="00793A0D"/>
    <w:rsid w:val="00793A23"/>
    <w:rsid w:val="00793A35"/>
    <w:rsid w:val="00793A43"/>
    <w:rsid w:val="00793A79"/>
    <w:rsid w:val="00793A7C"/>
    <w:rsid w:val="00793A8F"/>
    <w:rsid w:val="00793A98"/>
    <w:rsid w:val="00793ACE"/>
    <w:rsid w:val="00793ADA"/>
    <w:rsid w:val="00793B23"/>
    <w:rsid w:val="00793B2B"/>
    <w:rsid w:val="00793B7C"/>
    <w:rsid w:val="00793C12"/>
    <w:rsid w:val="00793C61"/>
    <w:rsid w:val="00793C84"/>
    <w:rsid w:val="00793C93"/>
    <w:rsid w:val="00793CA7"/>
    <w:rsid w:val="00793CFA"/>
    <w:rsid w:val="00793D60"/>
    <w:rsid w:val="00793DD0"/>
    <w:rsid w:val="00793DE3"/>
    <w:rsid w:val="00793E0F"/>
    <w:rsid w:val="00793E60"/>
    <w:rsid w:val="00793EAB"/>
    <w:rsid w:val="00793F2D"/>
    <w:rsid w:val="00793F32"/>
    <w:rsid w:val="00793F57"/>
    <w:rsid w:val="00793F5F"/>
    <w:rsid w:val="00793FCF"/>
    <w:rsid w:val="00793FD0"/>
    <w:rsid w:val="00794002"/>
    <w:rsid w:val="0079404A"/>
    <w:rsid w:val="0079406A"/>
    <w:rsid w:val="00794075"/>
    <w:rsid w:val="00794084"/>
    <w:rsid w:val="00794104"/>
    <w:rsid w:val="00794119"/>
    <w:rsid w:val="00794141"/>
    <w:rsid w:val="00794155"/>
    <w:rsid w:val="00794167"/>
    <w:rsid w:val="007941AE"/>
    <w:rsid w:val="007941B5"/>
    <w:rsid w:val="007941C6"/>
    <w:rsid w:val="00794259"/>
    <w:rsid w:val="00794272"/>
    <w:rsid w:val="00794296"/>
    <w:rsid w:val="00794398"/>
    <w:rsid w:val="007943E0"/>
    <w:rsid w:val="007943E3"/>
    <w:rsid w:val="00794412"/>
    <w:rsid w:val="00794434"/>
    <w:rsid w:val="007944C3"/>
    <w:rsid w:val="007944E2"/>
    <w:rsid w:val="007944E7"/>
    <w:rsid w:val="00794525"/>
    <w:rsid w:val="007945D8"/>
    <w:rsid w:val="0079460E"/>
    <w:rsid w:val="00794665"/>
    <w:rsid w:val="007946F7"/>
    <w:rsid w:val="00794706"/>
    <w:rsid w:val="007947CF"/>
    <w:rsid w:val="0079483A"/>
    <w:rsid w:val="0079485D"/>
    <w:rsid w:val="00794861"/>
    <w:rsid w:val="007948CE"/>
    <w:rsid w:val="007948F0"/>
    <w:rsid w:val="0079493A"/>
    <w:rsid w:val="007949A0"/>
    <w:rsid w:val="00794A0E"/>
    <w:rsid w:val="00794A38"/>
    <w:rsid w:val="00794A6B"/>
    <w:rsid w:val="00794A91"/>
    <w:rsid w:val="00794AB1"/>
    <w:rsid w:val="00794AD1"/>
    <w:rsid w:val="00794B0A"/>
    <w:rsid w:val="00794B40"/>
    <w:rsid w:val="00794B42"/>
    <w:rsid w:val="00794BD5"/>
    <w:rsid w:val="00794C68"/>
    <w:rsid w:val="00794CC3"/>
    <w:rsid w:val="00794CE0"/>
    <w:rsid w:val="00794CF7"/>
    <w:rsid w:val="00794D36"/>
    <w:rsid w:val="00794D56"/>
    <w:rsid w:val="00794DB4"/>
    <w:rsid w:val="00794DE1"/>
    <w:rsid w:val="00794E14"/>
    <w:rsid w:val="00794F2A"/>
    <w:rsid w:val="00794F47"/>
    <w:rsid w:val="00794F72"/>
    <w:rsid w:val="00794FE2"/>
    <w:rsid w:val="0079500B"/>
    <w:rsid w:val="00795010"/>
    <w:rsid w:val="00795035"/>
    <w:rsid w:val="0079504B"/>
    <w:rsid w:val="0079507A"/>
    <w:rsid w:val="0079509A"/>
    <w:rsid w:val="0079511D"/>
    <w:rsid w:val="00795134"/>
    <w:rsid w:val="00795151"/>
    <w:rsid w:val="007951AA"/>
    <w:rsid w:val="007951B3"/>
    <w:rsid w:val="007951FA"/>
    <w:rsid w:val="00795205"/>
    <w:rsid w:val="0079524C"/>
    <w:rsid w:val="007952B5"/>
    <w:rsid w:val="007952E4"/>
    <w:rsid w:val="0079541A"/>
    <w:rsid w:val="00795437"/>
    <w:rsid w:val="0079546C"/>
    <w:rsid w:val="00795491"/>
    <w:rsid w:val="0079549B"/>
    <w:rsid w:val="007954B2"/>
    <w:rsid w:val="00795502"/>
    <w:rsid w:val="00795559"/>
    <w:rsid w:val="00795574"/>
    <w:rsid w:val="0079558E"/>
    <w:rsid w:val="0079559D"/>
    <w:rsid w:val="0079564C"/>
    <w:rsid w:val="0079567E"/>
    <w:rsid w:val="007956DA"/>
    <w:rsid w:val="00795742"/>
    <w:rsid w:val="00795773"/>
    <w:rsid w:val="007957F2"/>
    <w:rsid w:val="0079580C"/>
    <w:rsid w:val="00795815"/>
    <w:rsid w:val="00795856"/>
    <w:rsid w:val="0079585B"/>
    <w:rsid w:val="00795865"/>
    <w:rsid w:val="007958B6"/>
    <w:rsid w:val="007958D9"/>
    <w:rsid w:val="0079595C"/>
    <w:rsid w:val="00795974"/>
    <w:rsid w:val="00795992"/>
    <w:rsid w:val="007959C8"/>
    <w:rsid w:val="007959E1"/>
    <w:rsid w:val="00795A1E"/>
    <w:rsid w:val="00795A2D"/>
    <w:rsid w:val="00795A9A"/>
    <w:rsid w:val="00795AA8"/>
    <w:rsid w:val="00795AC8"/>
    <w:rsid w:val="00795ACD"/>
    <w:rsid w:val="00795ADF"/>
    <w:rsid w:val="00795AF4"/>
    <w:rsid w:val="00795D49"/>
    <w:rsid w:val="00795DE3"/>
    <w:rsid w:val="00795E09"/>
    <w:rsid w:val="00795E28"/>
    <w:rsid w:val="00795E65"/>
    <w:rsid w:val="00795E83"/>
    <w:rsid w:val="00795EDD"/>
    <w:rsid w:val="00795F1C"/>
    <w:rsid w:val="00795F37"/>
    <w:rsid w:val="00795F59"/>
    <w:rsid w:val="00795F8A"/>
    <w:rsid w:val="00796025"/>
    <w:rsid w:val="007960AC"/>
    <w:rsid w:val="00796153"/>
    <w:rsid w:val="0079619D"/>
    <w:rsid w:val="007961A1"/>
    <w:rsid w:val="007961DD"/>
    <w:rsid w:val="00796215"/>
    <w:rsid w:val="00796254"/>
    <w:rsid w:val="00796263"/>
    <w:rsid w:val="00796269"/>
    <w:rsid w:val="007962A4"/>
    <w:rsid w:val="00796313"/>
    <w:rsid w:val="007963AD"/>
    <w:rsid w:val="007963D7"/>
    <w:rsid w:val="007963DC"/>
    <w:rsid w:val="0079645D"/>
    <w:rsid w:val="00796474"/>
    <w:rsid w:val="00796520"/>
    <w:rsid w:val="0079656A"/>
    <w:rsid w:val="0079659C"/>
    <w:rsid w:val="007965BB"/>
    <w:rsid w:val="007965E2"/>
    <w:rsid w:val="00796629"/>
    <w:rsid w:val="00796660"/>
    <w:rsid w:val="007966B9"/>
    <w:rsid w:val="007966D5"/>
    <w:rsid w:val="007966E6"/>
    <w:rsid w:val="007966F9"/>
    <w:rsid w:val="0079670E"/>
    <w:rsid w:val="00796743"/>
    <w:rsid w:val="00796758"/>
    <w:rsid w:val="0079679F"/>
    <w:rsid w:val="007967AC"/>
    <w:rsid w:val="00796834"/>
    <w:rsid w:val="00796840"/>
    <w:rsid w:val="007968D4"/>
    <w:rsid w:val="0079692A"/>
    <w:rsid w:val="00796937"/>
    <w:rsid w:val="0079693E"/>
    <w:rsid w:val="0079695E"/>
    <w:rsid w:val="007969D1"/>
    <w:rsid w:val="00796AAC"/>
    <w:rsid w:val="00796AC9"/>
    <w:rsid w:val="00796AF4"/>
    <w:rsid w:val="00796B36"/>
    <w:rsid w:val="00796B5C"/>
    <w:rsid w:val="00796C3C"/>
    <w:rsid w:val="00796C46"/>
    <w:rsid w:val="00796C4D"/>
    <w:rsid w:val="00796C87"/>
    <w:rsid w:val="00796C9C"/>
    <w:rsid w:val="00796CBA"/>
    <w:rsid w:val="00796CCA"/>
    <w:rsid w:val="00796D0E"/>
    <w:rsid w:val="00796D60"/>
    <w:rsid w:val="00796D6E"/>
    <w:rsid w:val="00796DB6"/>
    <w:rsid w:val="00796DDA"/>
    <w:rsid w:val="00796DDC"/>
    <w:rsid w:val="00796E1C"/>
    <w:rsid w:val="00796E37"/>
    <w:rsid w:val="00796E98"/>
    <w:rsid w:val="00796ED9"/>
    <w:rsid w:val="00796EFC"/>
    <w:rsid w:val="00796F66"/>
    <w:rsid w:val="00796F8A"/>
    <w:rsid w:val="00797004"/>
    <w:rsid w:val="00797006"/>
    <w:rsid w:val="00797007"/>
    <w:rsid w:val="007970B3"/>
    <w:rsid w:val="007970F7"/>
    <w:rsid w:val="00797139"/>
    <w:rsid w:val="0079714B"/>
    <w:rsid w:val="00797183"/>
    <w:rsid w:val="007971AA"/>
    <w:rsid w:val="007971FD"/>
    <w:rsid w:val="0079722A"/>
    <w:rsid w:val="0079725B"/>
    <w:rsid w:val="0079726D"/>
    <w:rsid w:val="00797284"/>
    <w:rsid w:val="00797285"/>
    <w:rsid w:val="007972C2"/>
    <w:rsid w:val="00797342"/>
    <w:rsid w:val="00797375"/>
    <w:rsid w:val="00797390"/>
    <w:rsid w:val="007973C5"/>
    <w:rsid w:val="0079741B"/>
    <w:rsid w:val="00797478"/>
    <w:rsid w:val="00797516"/>
    <w:rsid w:val="00797517"/>
    <w:rsid w:val="007975C3"/>
    <w:rsid w:val="007975E2"/>
    <w:rsid w:val="00797622"/>
    <w:rsid w:val="00797636"/>
    <w:rsid w:val="00797683"/>
    <w:rsid w:val="007976D6"/>
    <w:rsid w:val="007976DF"/>
    <w:rsid w:val="0079771D"/>
    <w:rsid w:val="00797767"/>
    <w:rsid w:val="007977E9"/>
    <w:rsid w:val="0079786B"/>
    <w:rsid w:val="0079787A"/>
    <w:rsid w:val="00797894"/>
    <w:rsid w:val="007978C9"/>
    <w:rsid w:val="007978FB"/>
    <w:rsid w:val="00797921"/>
    <w:rsid w:val="0079795D"/>
    <w:rsid w:val="00797973"/>
    <w:rsid w:val="0079798B"/>
    <w:rsid w:val="00797A1B"/>
    <w:rsid w:val="00797A1D"/>
    <w:rsid w:val="00797A23"/>
    <w:rsid w:val="00797A83"/>
    <w:rsid w:val="00797A97"/>
    <w:rsid w:val="00797AC2"/>
    <w:rsid w:val="00797B45"/>
    <w:rsid w:val="00797B55"/>
    <w:rsid w:val="00797B62"/>
    <w:rsid w:val="00797B6B"/>
    <w:rsid w:val="00797B9D"/>
    <w:rsid w:val="00797BA6"/>
    <w:rsid w:val="00797BEB"/>
    <w:rsid w:val="00797C18"/>
    <w:rsid w:val="00797C33"/>
    <w:rsid w:val="00797C7E"/>
    <w:rsid w:val="00797C8F"/>
    <w:rsid w:val="00797CA2"/>
    <w:rsid w:val="00797D6F"/>
    <w:rsid w:val="00797D81"/>
    <w:rsid w:val="00797D8C"/>
    <w:rsid w:val="00797DC5"/>
    <w:rsid w:val="00797DD6"/>
    <w:rsid w:val="00797EE8"/>
    <w:rsid w:val="00797EE9"/>
    <w:rsid w:val="00797F3C"/>
    <w:rsid w:val="00797F76"/>
    <w:rsid w:val="007A0095"/>
    <w:rsid w:val="007A00B5"/>
    <w:rsid w:val="007A00C9"/>
    <w:rsid w:val="007A00D1"/>
    <w:rsid w:val="007A00FB"/>
    <w:rsid w:val="007A0106"/>
    <w:rsid w:val="007A0142"/>
    <w:rsid w:val="007A0175"/>
    <w:rsid w:val="007A0188"/>
    <w:rsid w:val="007A019A"/>
    <w:rsid w:val="007A01AD"/>
    <w:rsid w:val="007A01DE"/>
    <w:rsid w:val="007A0211"/>
    <w:rsid w:val="007A0260"/>
    <w:rsid w:val="007A030C"/>
    <w:rsid w:val="007A032C"/>
    <w:rsid w:val="007A036C"/>
    <w:rsid w:val="007A0401"/>
    <w:rsid w:val="007A04CD"/>
    <w:rsid w:val="007A04E9"/>
    <w:rsid w:val="007A0505"/>
    <w:rsid w:val="007A052F"/>
    <w:rsid w:val="007A0555"/>
    <w:rsid w:val="007A0596"/>
    <w:rsid w:val="007A05A7"/>
    <w:rsid w:val="007A05B1"/>
    <w:rsid w:val="007A05C2"/>
    <w:rsid w:val="007A0612"/>
    <w:rsid w:val="007A0626"/>
    <w:rsid w:val="007A0658"/>
    <w:rsid w:val="007A068F"/>
    <w:rsid w:val="007A0736"/>
    <w:rsid w:val="007A0765"/>
    <w:rsid w:val="007A07C3"/>
    <w:rsid w:val="007A0801"/>
    <w:rsid w:val="007A081F"/>
    <w:rsid w:val="007A0828"/>
    <w:rsid w:val="007A0829"/>
    <w:rsid w:val="007A082E"/>
    <w:rsid w:val="007A0845"/>
    <w:rsid w:val="007A084A"/>
    <w:rsid w:val="007A0892"/>
    <w:rsid w:val="007A0896"/>
    <w:rsid w:val="007A08E6"/>
    <w:rsid w:val="007A08FA"/>
    <w:rsid w:val="007A08FE"/>
    <w:rsid w:val="007A095A"/>
    <w:rsid w:val="007A0984"/>
    <w:rsid w:val="007A0A18"/>
    <w:rsid w:val="007A0A61"/>
    <w:rsid w:val="007A0A75"/>
    <w:rsid w:val="007A0B00"/>
    <w:rsid w:val="007A0B0E"/>
    <w:rsid w:val="007A0B20"/>
    <w:rsid w:val="007A0B71"/>
    <w:rsid w:val="007A0B9A"/>
    <w:rsid w:val="007A0C09"/>
    <w:rsid w:val="007A0C24"/>
    <w:rsid w:val="007A0C50"/>
    <w:rsid w:val="007A0CD7"/>
    <w:rsid w:val="007A0D1A"/>
    <w:rsid w:val="007A0D4F"/>
    <w:rsid w:val="007A0D50"/>
    <w:rsid w:val="007A0D52"/>
    <w:rsid w:val="007A0D90"/>
    <w:rsid w:val="007A0D9C"/>
    <w:rsid w:val="007A0E02"/>
    <w:rsid w:val="007A0EE5"/>
    <w:rsid w:val="007A0F00"/>
    <w:rsid w:val="007A0F02"/>
    <w:rsid w:val="007A0F71"/>
    <w:rsid w:val="007A0F76"/>
    <w:rsid w:val="007A0FA5"/>
    <w:rsid w:val="007A0FCB"/>
    <w:rsid w:val="007A0FD5"/>
    <w:rsid w:val="007A106B"/>
    <w:rsid w:val="007A1076"/>
    <w:rsid w:val="007A1079"/>
    <w:rsid w:val="007A107A"/>
    <w:rsid w:val="007A1129"/>
    <w:rsid w:val="007A1154"/>
    <w:rsid w:val="007A116E"/>
    <w:rsid w:val="007A11A5"/>
    <w:rsid w:val="007A1208"/>
    <w:rsid w:val="007A122B"/>
    <w:rsid w:val="007A1256"/>
    <w:rsid w:val="007A127D"/>
    <w:rsid w:val="007A1289"/>
    <w:rsid w:val="007A12A7"/>
    <w:rsid w:val="007A12CB"/>
    <w:rsid w:val="007A135C"/>
    <w:rsid w:val="007A1382"/>
    <w:rsid w:val="007A13AE"/>
    <w:rsid w:val="007A13EA"/>
    <w:rsid w:val="007A143D"/>
    <w:rsid w:val="007A14C6"/>
    <w:rsid w:val="007A14DF"/>
    <w:rsid w:val="007A1500"/>
    <w:rsid w:val="007A152E"/>
    <w:rsid w:val="007A1557"/>
    <w:rsid w:val="007A15A1"/>
    <w:rsid w:val="007A15B0"/>
    <w:rsid w:val="007A15CA"/>
    <w:rsid w:val="007A15DB"/>
    <w:rsid w:val="007A15F8"/>
    <w:rsid w:val="007A1607"/>
    <w:rsid w:val="007A1633"/>
    <w:rsid w:val="007A164E"/>
    <w:rsid w:val="007A1677"/>
    <w:rsid w:val="007A1686"/>
    <w:rsid w:val="007A168D"/>
    <w:rsid w:val="007A1707"/>
    <w:rsid w:val="007A172F"/>
    <w:rsid w:val="007A17D0"/>
    <w:rsid w:val="007A17D5"/>
    <w:rsid w:val="007A17DA"/>
    <w:rsid w:val="007A17F0"/>
    <w:rsid w:val="007A1916"/>
    <w:rsid w:val="007A1943"/>
    <w:rsid w:val="007A1966"/>
    <w:rsid w:val="007A199C"/>
    <w:rsid w:val="007A19AE"/>
    <w:rsid w:val="007A19C2"/>
    <w:rsid w:val="007A1A01"/>
    <w:rsid w:val="007A1A55"/>
    <w:rsid w:val="007A1B1B"/>
    <w:rsid w:val="007A1B68"/>
    <w:rsid w:val="007A1BE3"/>
    <w:rsid w:val="007A1BFE"/>
    <w:rsid w:val="007A1C09"/>
    <w:rsid w:val="007A1C32"/>
    <w:rsid w:val="007A1D33"/>
    <w:rsid w:val="007A1ED0"/>
    <w:rsid w:val="007A1ED7"/>
    <w:rsid w:val="007A1EF8"/>
    <w:rsid w:val="007A1F07"/>
    <w:rsid w:val="007A2007"/>
    <w:rsid w:val="007A2033"/>
    <w:rsid w:val="007A209C"/>
    <w:rsid w:val="007A2112"/>
    <w:rsid w:val="007A21AD"/>
    <w:rsid w:val="007A21EC"/>
    <w:rsid w:val="007A21F0"/>
    <w:rsid w:val="007A223F"/>
    <w:rsid w:val="007A224F"/>
    <w:rsid w:val="007A2258"/>
    <w:rsid w:val="007A2294"/>
    <w:rsid w:val="007A2343"/>
    <w:rsid w:val="007A23B4"/>
    <w:rsid w:val="007A23F9"/>
    <w:rsid w:val="007A2440"/>
    <w:rsid w:val="007A2461"/>
    <w:rsid w:val="007A2468"/>
    <w:rsid w:val="007A2483"/>
    <w:rsid w:val="007A24D6"/>
    <w:rsid w:val="007A24F1"/>
    <w:rsid w:val="007A2551"/>
    <w:rsid w:val="007A2666"/>
    <w:rsid w:val="007A2697"/>
    <w:rsid w:val="007A26DF"/>
    <w:rsid w:val="007A26F6"/>
    <w:rsid w:val="007A2718"/>
    <w:rsid w:val="007A278D"/>
    <w:rsid w:val="007A27BB"/>
    <w:rsid w:val="007A27C8"/>
    <w:rsid w:val="007A282E"/>
    <w:rsid w:val="007A287D"/>
    <w:rsid w:val="007A28B0"/>
    <w:rsid w:val="007A2943"/>
    <w:rsid w:val="007A2949"/>
    <w:rsid w:val="007A2971"/>
    <w:rsid w:val="007A29B5"/>
    <w:rsid w:val="007A2B16"/>
    <w:rsid w:val="007A2B61"/>
    <w:rsid w:val="007A2B88"/>
    <w:rsid w:val="007A2B94"/>
    <w:rsid w:val="007A2BAC"/>
    <w:rsid w:val="007A2BEE"/>
    <w:rsid w:val="007A2C6E"/>
    <w:rsid w:val="007A2CA3"/>
    <w:rsid w:val="007A2CF8"/>
    <w:rsid w:val="007A2E29"/>
    <w:rsid w:val="007A2E87"/>
    <w:rsid w:val="007A2EF5"/>
    <w:rsid w:val="007A2F23"/>
    <w:rsid w:val="007A2F29"/>
    <w:rsid w:val="007A2F45"/>
    <w:rsid w:val="007A2F6D"/>
    <w:rsid w:val="007A2F71"/>
    <w:rsid w:val="007A300D"/>
    <w:rsid w:val="007A30AB"/>
    <w:rsid w:val="007A30B0"/>
    <w:rsid w:val="007A30B5"/>
    <w:rsid w:val="007A30E1"/>
    <w:rsid w:val="007A3122"/>
    <w:rsid w:val="007A3144"/>
    <w:rsid w:val="007A31CD"/>
    <w:rsid w:val="007A31D7"/>
    <w:rsid w:val="007A323E"/>
    <w:rsid w:val="007A3260"/>
    <w:rsid w:val="007A32E4"/>
    <w:rsid w:val="007A331D"/>
    <w:rsid w:val="007A3379"/>
    <w:rsid w:val="007A33D5"/>
    <w:rsid w:val="007A33E8"/>
    <w:rsid w:val="007A3426"/>
    <w:rsid w:val="007A342B"/>
    <w:rsid w:val="007A3430"/>
    <w:rsid w:val="007A34BB"/>
    <w:rsid w:val="007A34F6"/>
    <w:rsid w:val="007A3549"/>
    <w:rsid w:val="007A355E"/>
    <w:rsid w:val="007A35A1"/>
    <w:rsid w:val="007A35DC"/>
    <w:rsid w:val="007A3624"/>
    <w:rsid w:val="007A366D"/>
    <w:rsid w:val="007A36D1"/>
    <w:rsid w:val="007A36DA"/>
    <w:rsid w:val="007A3704"/>
    <w:rsid w:val="007A3750"/>
    <w:rsid w:val="007A3766"/>
    <w:rsid w:val="007A377C"/>
    <w:rsid w:val="007A37E9"/>
    <w:rsid w:val="007A37EB"/>
    <w:rsid w:val="007A38AB"/>
    <w:rsid w:val="007A38E8"/>
    <w:rsid w:val="007A38FC"/>
    <w:rsid w:val="007A393B"/>
    <w:rsid w:val="007A3947"/>
    <w:rsid w:val="007A394F"/>
    <w:rsid w:val="007A396B"/>
    <w:rsid w:val="007A39C9"/>
    <w:rsid w:val="007A3A3C"/>
    <w:rsid w:val="007A3A51"/>
    <w:rsid w:val="007A3A5F"/>
    <w:rsid w:val="007A3B6B"/>
    <w:rsid w:val="007A3B8D"/>
    <w:rsid w:val="007A3C18"/>
    <w:rsid w:val="007A3C89"/>
    <w:rsid w:val="007A3CF8"/>
    <w:rsid w:val="007A3D5F"/>
    <w:rsid w:val="007A3DA5"/>
    <w:rsid w:val="007A3DAF"/>
    <w:rsid w:val="007A3DFA"/>
    <w:rsid w:val="007A3E2C"/>
    <w:rsid w:val="007A3E71"/>
    <w:rsid w:val="007A3ECD"/>
    <w:rsid w:val="007A3F99"/>
    <w:rsid w:val="007A404A"/>
    <w:rsid w:val="007A409B"/>
    <w:rsid w:val="007A40D3"/>
    <w:rsid w:val="007A40D9"/>
    <w:rsid w:val="007A411D"/>
    <w:rsid w:val="007A41CB"/>
    <w:rsid w:val="007A4225"/>
    <w:rsid w:val="007A4228"/>
    <w:rsid w:val="007A42D6"/>
    <w:rsid w:val="007A42E3"/>
    <w:rsid w:val="007A4312"/>
    <w:rsid w:val="007A434C"/>
    <w:rsid w:val="007A43CA"/>
    <w:rsid w:val="007A43F8"/>
    <w:rsid w:val="007A4414"/>
    <w:rsid w:val="007A44EC"/>
    <w:rsid w:val="007A4534"/>
    <w:rsid w:val="007A4585"/>
    <w:rsid w:val="007A4617"/>
    <w:rsid w:val="007A467B"/>
    <w:rsid w:val="007A46E4"/>
    <w:rsid w:val="007A4717"/>
    <w:rsid w:val="007A472D"/>
    <w:rsid w:val="007A473B"/>
    <w:rsid w:val="007A4741"/>
    <w:rsid w:val="007A4781"/>
    <w:rsid w:val="007A47AD"/>
    <w:rsid w:val="007A481D"/>
    <w:rsid w:val="007A4836"/>
    <w:rsid w:val="007A4847"/>
    <w:rsid w:val="007A485B"/>
    <w:rsid w:val="007A48F6"/>
    <w:rsid w:val="007A4909"/>
    <w:rsid w:val="007A49B5"/>
    <w:rsid w:val="007A4A03"/>
    <w:rsid w:val="007A4A0D"/>
    <w:rsid w:val="007A4A66"/>
    <w:rsid w:val="007A4A7B"/>
    <w:rsid w:val="007A4B0D"/>
    <w:rsid w:val="007A4B37"/>
    <w:rsid w:val="007A4B4F"/>
    <w:rsid w:val="007A4B67"/>
    <w:rsid w:val="007A4C01"/>
    <w:rsid w:val="007A4CA3"/>
    <w:rsid w:val="007A4CE8"/>
    <w:rsid w:val="007A4D2A"/>
    <w:rsid w:val="007A4D31"/>
    <w:rsid w:val="007A4D4B"/>
    <w:rsid w:val="007A4D4F"/>
    <w:rsid w:val="007A4DDF"/>
    <w:rsid w:val="007A4DF3"/>
    <w:rsid w:val="007A4E53"/>
    <w:rsid w:val="007A4F76"/>
    <w:rsid w:val="007A4F9F"/>
    <w:rsid w:val="007A5002"/>
    <w:rsid w:val="007A507A"/>
    <w:rsid w:val="007A50FB"/>
    <w:rsid w:val="007A51DB"/>
    <w:rsid w:val="007A520B"/>
    <w:rsid w:val="007A5266"/>
    <w:rsid w:val="007A528F"/>
    <w:rsid w:val="007A52CA"/>
    <w:rsid w:val="007A5387"/>
    <w:rsid w:val="007A53A9"/>
    <w:rsid w:val="007A53B7"/>
    <w:rsid w:val="007A53CA"/>
    <w:rsid w:val="007A53F4"/>
    <w:rsid w:val="007A5421"/>
    <w:rsid w:val="007A54AA"/>
    <w:rsid w:val="007A54AF"/>
    <w:rsid w:val="007A54CA"/>
    <w:rsid w:val="007A54D0"/>
    <w:rsid w:val="007A54D1"/>
    <w:rsid w:val="007A5509"/>
    <w:rsid w:val="007A550D"/>
    <w:rsid w:val="007A5551"/>
    <w:rsid w:val="007A5555"/>
    <w:rsid w:val="007A5596"/>
    <w:rsid w:val="007A560E"/>
    <w:rsid w:val="007A561C"/>
    <w:rsid w:val="007A568F"/>
    <w:rsid w:val="007A5762"/>
    <w:rsid w:val="007A5770"/>
    <w:rsid w:val="007A5802"/>
    <w:rsid w:val="007A58D4"/>
    <w:rsid w:val="007A58EC"/>
    <w:rsid w:val="007A58F4"/>
    <w:rsid w:val="007A58F5"/>
    <w:rsid w:val="007A5923"/>
    <w:rsid w:val="007A5978"/>
    <w:rsid w:val="007A59AF"/>
    <w:rsid w:val="007A5A4B"/>
    <w:rsid w:val="007A5A56"/>
    <w:rsid w:val="007A5A76"/>
    <w:rsid w:val="007A5AE0"/>
    <w:rsid w:val="007A5B14"/>
    <w:rsid w:val="007A5B39"/>
    <w:rsid w:val="007A5B45"/>
    <w:rsid w:val="007A5B81"/>
    <w:rsid w:val="007A5BBD"/>
    <w:rsid w:val="007A5BE6"/>
    <w:rsid w:val="007A5CE3"/>
    <w:rsid w:val="007A5CEB"/>
    <w:rsid w:val="007A5D0D"/>
    <w:rsid w:val="007A5D61"/>
    <w:rsid w:val="007A5D76"/>
    <w:rsid w:val="007A5DAA"/>
    <w:rsid w:val="007A5E3E"/>
    <w:rsid w:val="007A5E68"/>
    <w:rsid w:val="007A5E7F"/>
    <w:rsid w:val="007A5E9D"/>
    <w:rsid w:val="007A5EA9"/>
    <w:rsid w:val="007A5EB1"/>
    <w:rsid w:val="007A5EC4"/>
    <w:rsid w:val="007A5EC9"/>
    <w:rsid w:val="007A5ED1"/>
    <w:rsid w:val="007A5ED6"/>
    <w:rsid w:val="007A5EFC"/>
    <w:rsid w:val="007A5F04"/>
    <w:rsid w:val="007A5F2C"/>
    <w:rsid w:val="007A5F52"/>
    <w:rsid w:val="007A5F58"/>
    <w:rsid w:val="007A5F83"/>
    <w:rsid w:val="007A60AA"/>
    <w:rsid w:val="007A60D1"/>
    <w:rsid w:val="007A6101"/>
    <w:rsid w:val="007A614F"/>
    <w:rsid w:val="007A61A7"/>
    <w:rsid w:val="007A61E6"/>
    <w:rsid w:val="007A62C6"/>
    <w:rsid w:val="007A62F1"/>
    <w:rsid w:val="007A6300"/>
    <w:rsid w:val="007A637E"/>
    <w:rsid w:val="007A6406"/>
    <w:rsid w:val="007A644A"/>
    <w:rsid w:val="007A644C"/>
    <w:rsid w:val="007A647A"/>
    <w:rsid w:val="007A64B4"/>
    <w:rsid w:val="007A64F3"/>
    <w:rsid w:val="007A6521"/>
    <w:rsid w:val="007A6544"/>
    <w:rsid w:val="007A6567"/>
    <w:rsid w:val="007A6568"/>
    <w:rsid w:val="007A65C8"/>
    <w:rsid w:val="007A65D7"/>
    <w:rsid w:val="007A6618"/>
    <w:rsid w:val="007A666E"/>
    <w:rsid w:val="007A67A4"/>
    <w:rsid w:val="007A67B1"/>
    <w:rsid w:val="007A67D0"/>
    <w:rsid w:val="007A67F6"/>
    <w:rsid w:val="007A6835"/>
    <w:rsid w:val="007A683E"/>
    <w:rsid w:val="007A683F"/>
    <w:rsid w:val="007A692A"/>
    <w:rsid w:val="007A694D"/>
    <w:rsid w:val="007A6951"/>
    <w:rsid w:val="007A698D"/>
    <w:rsid w:val="007A6991"/>
    <w:rsid w:val="007A6A96"/>
    <w:rsid w:val="007A6AC9"/>
    <w:rsid w:val="007A6B2B"/>
    <w:rsid w:val="007A6B5D"/>
    <w:rsid w:val="007A6BEB"/>
    <w:rsid w:val="007A6C37"/>
    <w:rsid w:val="007A6CF2"/>
    <w:rsid w:val="007A6D53"/>
    <w:rsid w:val="007A6D6C"/>
    <w:rsid w:val="007A6D78"/>
    <w:rsid w:val="007A6D87"/>
    <w:rsid w:val="007A6DA1"/>
    <w:rsid w:val="007A6DE7"/>
    <w:rsid w:val="007A6E15"/>
    <w:rsid w:val="007A6F46"/>
    <w:rsid w:val="007A6F53"/>
    <w:rsid w:val="007A6FF5"/>
    <w:rsid w:val="007A6FF9"/>
    <w:rsid w:val="007A70D9"/>
    <w:rsid w:val="007A70ED"/>
    <w:rsid w:val="007A70F5"/>
    <w:rsid w:val="007A715F"/>
    <w:rsid w:val="007A7201"/>
    <w:rsid w:val="007A721A"/>
    <w:rsid w:val="007A7275"/>
    <w:rsid w:val="007A729C"/>
    <w:rsid w:val="007A72EC"/>
    <w:rsid w:val="007A730F"/>
    <w:rsid w:val="007A733D"/>
    <w:rsid w:val="007A737D"/>
    <w:rsid w:val="007A73E6"/>
    <w:rsid w:val="007A742B"/>
    <w:rsid w:val="007A7457"/>
    <w:rsid w:val="007A7497"/>
    <w:rsid w:val="007A74FF"/>
    <w:rsid w:val="007A7519"/>
    <w:rsid w:val="007A7577"/>
    <w:rsid w:val="007A75B3"/>
    <w:rsid w:val="007A75C3"/>
    <w:rsid w:val="007A75C7"/>
    <w:rsid w:val="007A763D"/>
    <w:rsid w:val="007A767C"/>
    <w:rsid w:val="007A7687"/>
    <w:rsid w:val="007A768B"/>
    <w:rsid w:val="007A772B"/>
    <w:rsid w:val="007A7740"/>
    <w:rsid w:val="007A77AC"/>
    <w:rsid w:val="007A77AE"/>
    <w:rsid w:val="007A77C9"/>
    <w:rsid w:val="007A77D8"/>
    <w:rsid w:val="007A782B"/>
    <w:rsid w:val="007A783B"/>
    <w:rsid w:val="007A784F"/>
    <w:rsid w:val="007A7882"/>
    <w:rsid w:val="007A789E"/>
    <w:rsid w:val="007A78AC"/>
    <w:rsid w:val="007A78F3"/>
    <w:rsid w:val="007A791C"/>
    <w:rsid w:val="007A7924"/>
    <w:rsid w:val="007A799A"/>
    <w:rsid w:val="007A79BC"/>
    <w:rsid w:val="007A79C5"/>
    <w:rsid w:val="007A79EA"/>
    <w:rsid w:val="007A7A22"/>
    <w:rsid w:val="007A7A2B"/>
    <w:rsid w:val="007A7B31"/>
    <w:rsid w:val="007A7B57"/>
    <w:rsid w:val="007A7C9E"/>
    <w:rsid w:val="007A7CFB"/>
    <w:rsid w:val="007A7CFD"/>
    <w:rsid w:val="007A7DE9"/>
    <w:rsid w:val="007A7DF0"/>
    <w:rsid w:val="007A7DF1"/>
    <w:rsid w:val="007A7E0E"/>
    <w:rsid w:val="007A7E0F"/>
    <w:rsid w:val="007A7E48"/>
    <w:rsid w:val="007A7E52"/>
    <w:rsid w:val="007A7E81"/>
    <w:rsid w:val="007A7EDD"/>
    <w:rsid w:val="007A7EE8"/>
    <w:rsid w:val="007A7F02"/>
    <w:rsid w:val="007A7F28"/>
    <w:rsid w:val="007A7FBA"/>
    <w:rsid w:val="007A7FC4"/>
    <w:rsid w:val="007A7FD1"/>
    <w:rsid w:val="007B000A"/>
    <w:rsid w:val="007B006E"/>
    <w:rsid w:val="007B0077"/>
    <w:rsid w:val="007B008E"/>
    <w:rsid w:val="007B00FB"/>
    <w:rsid w:val="007B0116"/>
    <w:rsid w:val="007B0126"/>
    <w:rsid w:val="007B012B"/>
    <w:rsid w:val="007B0164"/>
    <w:rsid w:val="007B0197"/>
    <w:rsid w:val="007B01B8"/>
    <w:rsid w:val="007B0245"/>
    <w:rsid w:val="007B026F"/>
    <w:rsid w:val="007B0270"/>
    <w:rsid w:val="007B029C"/>
    <w:rsid w:val="007B02E4"/>
    <w:rsid w:val="007B02E5"/>
    <w:rsid w:val="007B0337"/>
    <w:rsid w:val="007B0383"/>
    <w:rsid w:val="007B03A0"/>
    <w:rsid w:val="007B045F"/>
    <w:rsid w:val="007B04D8"/>
    <w:rsid w:val="007B058F"/>
    <w:rsid w:val="007B05B8"/>
    <w:rsid w:val="007B05BB"/>
    <w:rsid w:val="007B05C4"/>
    <w:rsid w:val="007B05D9"/>
    <w:rsid w:val="007B05DB"/>
    <w:rsid w:val="007B05EE"/>
    <w:rsid w:val="007B05F8"/>
    <w:rsid w:val="007B0648"/>
    <w:rsid w:val="007B0679"/>
    <w:rsid w:val="007B06B4"/>
    <w:rsid w:val="007B06CB"/>
    <w:rsid w:val="007B077E"/>
    <w:rsid w:val="007B07BB"/>
    <w:rsid w:val="007B07C5"/>
    <w:rsid w:val="007B0821"/>
    <w:rsid w:val="007B0835"/>
    <w:rsid w:val="007B0889"/>
    <w:rsid w:val="007B08B1"/>
    <w:rsid w:val="007B08B2"/>
    <w:rsid w:val="007B0930"/>
    <w:rsid w:val="007B0949"/>
    <w:rsid w:val="007B096D"/>
    <w:rsid w:val="007B09B4"/>
    <w:rsid w:val="007B09C9"/>
    <w:rsid w:val="007B0A33"/>
    <w:rsid w:val="007B0B97"/>
    <w:rsid w:val="007B0BD1"/>
    <w:rsid w:val="007B0C8B"/>
    <w:rsid w:val="007B0C9F"/>
    <w:rsid w:val="007B0CAB"/>
    <w:rsid w:val="007B0D7B"/>
    <w:rsid w:val="007B0D81"/>
    <w:rsid w:val="007B0D8A"/>
    <w:rsid w:val="007B0DC6"/>
    <w:rsid w:val="007B0DD1"/>
    <w:rsid w:val="007B0E75"/>
    <w:rsid w:val="007B0E7D"/>
    <w:rsid w:val="007B0E9F"/>
    <w:rsid w:val="007B0FA8"/>
    <w:rsid w:val="007B1054"/>
    <w:rsid w:val="007B10E0"/>
    <w:rsid w:val="007B110F"/>
    <w:rsid w:val="007B1149"/>
    <w:rsid w:val="007B1183"/>
    <w:rsid w:val="007B1203"/>
    <w:rsid w:val="007B1248"/>
    <w:rsid w:val="007B1265"/>
    <w:rsid w:val="007B128A"/>
    <w:rsid w:val="007B12AB"/>
    <w:rsid w:val="007B12C3"/>
    <w:rsid w:val="007B1318"/>
    <w:rsid w:val="007B1363"/>
    <w:rsid w:val="007B139B"/>
    <w:rsid w:val="007B13AB"/>
    <w:rsid w:val="007B13C1"/>
    <w:rsid w:val="007B1448"/>
    <w:rsid w:val="007B1461"/>
    <w:rsid w:val="007B1466"/>
    <w:rsid w:val="007B146D"/>
    <w:rsid w:val="007B149E"/>
    <w:rsid w:val="007B14E1"/>
    <w:rsid w:val="007B153D"/>
    <w:rsid w:val="007B1617"/>
    <w:rsid w:val="007B1678"/>
    <w:rsid w:val="007B1683"/>
    <w:rsid w:val="007B1686"/>
    <w:rsid w:val="007B168A"/>
    <w:rsid w:val="007B1695"/>
    <w:rsid w:val="007B16B9"/>
    <w:rsid w:val="007B178D"/>
    <w:rsid w:val="007B1790"/>
    <w:rsid w:val="007B1795"/>
    <w:rsid w:val="007B1857"/>
    <w:rsid w:val="007B191B"/>
    <w:rsid w:val="007B1A14"/>
    <w:rsid w:val="007B1A4E"/>
    <w:rsid w:val="007B1A56"/>
    <w:rsid w:val="007B1A91"/>
    <w:rsid w:val="007B1ADC"/>
    <w:rsid w:val="007B1AE3"/>
    <w:rsid w:val="007B1C39"/>
    <w:rsid w:val="007B1C7A"/>
    <w:rsid w:val="007B1CE4"/>
    <w:rsid w:val="007B1CF6"/>
    <w:rsid w:val="007B1D1F"/>
    <w:rsid w:val="007B1DE3"/>
    <w:rsid w:val="007B1DEA"/>
    <w:rsid w:val="007B1DF2"/>
    <w:rsid w:val="007B1DF7"/>
    <w:rsid w:val="007B1E69"/>
    <w:rsid w:val="007B1E7B"/>
    <w:rsid w:val="007B1E85"/>
    <w:rsid w:val="007B1E91"/>
    <w:rsid w:val="007B1EDD"/>
    <w:rsid w:val="007B1F40"/>
    <w:rsid w:val="007B1F6D"/>
    <w:rsid w:val="007B2020"/>
    <w:rsid w:val="007B206F"/>
    <w:rsid w:val="007B207C"/>
    <w:rsid w:val="007B2088"/>
    <w:rsid w:val="007B2217"/>
    <w:rsid w:val="007B222B"/>
    <w:rsid w:val="007B22DE"/>
    <w:rsid w:val="007B22FE"/>
    <w:rsid w:val="007B234A"/>
    <w:rsid w:val="007B23C1"/>
    <w:rsid w:val="007B2400"/>
    <w:rsid w:val="007B2499"/>
    <w:rsid w:val="007B24AF"/>
    <w:rsid w:val="007B24C7"/>
    <w:rsid w:val="007B251F"/>
    <w:rsid w:val="007B2539"/>
    <w:rsid w:val="007B257B"/>
    <w:rsid w:val="007B2641"/>
    <w:rsid w:val="007B264B"/>
    <w:rsid w:val="007B2677"/>
    <w:rsid w:val="007B269C"/>
    <w:rsid w:val="007B2702"/>
    <w:rsid w:val="007B27E5"/>
    <w:rsid w:val="007B2804"/>
    <w:rsid w:val="007B2813"/>
    <w:rsid w:val="007B282E"/>
    <w:rsid w:val="007B2858"/>
    <w:rsid w:val="007B2868"/>
    <w:rsid w:val="007B2932"/>
    <w:rsid w:val="007B2952"/>
    <w:rsid w:val="007B2977"/>
    <w:rsid w:val="007B29A5"/>
    <w:rsid w:val="007B29AF"/>
    <w:rsid w:val="007B29EF"/>
    <w:rsid w:val="007B2A14"/>
    <w:rsid w:val="007B2A55"/>
    <w:rsid w:val="007B2AD6"/>
    <w:rsid w:val="007B2B2C"/>
    <w:rsid w:val="007B2BE0"/>
    <w:rsid w:val="007B2C6B"/>
    <w:rsid w:val="007B2C8F"/>
    <w:rsid w:val="007B2CB8"/>
    <w:rsid w:val="007B2CEA"/>
    <w:rsid w:val="007B2D2F"/>
    <w:rsid w:val="007B2D3B"/>
    <w:rsid w:val="007B2D93"/>
    <w:rsid w:val="007B2DA2"/>
    <w:rsid w:val="007B2DFC"/>
    <w:rsid w:val="007B2E5F"/>
    <w:rsid w:val="007B3020"/>
    <w:rsid w:val="007B3031"/>
    <w:rsid w:val="007B306F"/>
    <w:rsid w:val="007B3113"/>
    <w:rsid w:val="007B3123"/>
    <w:rsid w:val="007B312C"/>
    <w:rsid w:val="007B3158"/>
    <w:rsid w:val="007B3202"/>
    <w:rsid w:val="007B3224"/>
    <w:rsid w:val="007B3250"/>
    <w:rsid w:val="007B3254"/>
    <w:rsid w:val="007B327E"/>
    <w:rsid w:val="007B3284"/>
    <w:rsid w:val="007B3299"/>
    <w:rsid w:val="007B329B"/>
    <w:rsid w:val="007B32AC"/>
    <w:rsid w:val="007B32D2"/>
    <w:rsid w:val="007B32FD"/>
    <w:rsid w:val="007B3342"/>
    <w:rsid w:val="007B3359"/>
    <w:rsid w:val="007B336F"/>
    <w:rsid w:val="007B33EC"/>
    <w:rsid w:val="007B33F4"/>
    <w:rsid w:val="007B3450"/>
    <w:rsid w:val="007B3528"/>
    <w:rsid w:val="007B353F"/>
    <w:rsid w:val="007B3575"/>
    <w:rsid w:val="007B3577"/>
    <w:rsid w:val="007B35FE"/>
    <w:rsid w:val="007B360A"/>
    <w:rsid w:val="007B3611"/>
    <w:rsid w:val="007B362E"/>
    <w:rsid w:val="007B36B0"/>
    <w:rsid w:val="007B36D1"/>
    <w:rsid w:val="007B373E"/>
    <w:rsid w:val="007B378B"/>
    <w:rsid w:val="007B37A5"/>
    <w:rsid w:val="007B37C9"/>
    <w:rsid w:val="007B3817"/>
    <w:rsid w:val="007B3874"/>
    <w:rsid w:val="007B38A3"/>
    <w:rsid w:val="007B38D1"/>
    <w:rsid w:val="007B38E9"/>
    <w:rsid w:val="007B3947"/>
    <w:rsid w:val="007B394D"/>
    <w:rsid w:val="007B39EC"/>
    <w:rsid w:val="007B3A22"/>
    <w:rsid w:val="007B3A2E"/>
    <w:rsid w:val="007B3AD4"/>
    <w:rsid w:val="007B3AEE"/>
    <w:rsid w:val="007B3B52"/>
    <w:rsid w:val="007B3C3D"/>
    <w:rsid w:val="007B3C7B"/>
    <w:rsid w:val="007B3CD8"/>
    <w:rsid w:val="007B3D23"/>
    <w:rsid w:val="007B3D4D"/>
    <w:rsid w:val="007B3D68"/>
    <w:rsid w:val="007B3D83"/>
    <w:rsid w:val="007B3E1D"/>
    <w:rsid w:val="007B3E61"/>
    <w:rsid w:val="007B3E66"/>
    <w:rsid w:val="007B3F32"/>
    <w:rsid w:val="007B3F9A"/>
    <w:rsid w:val="007B3FA0"/>
    <w:rsid w:val="007B3FC5"/>
    <w:rsid w:val="007B401C"/>
    <w:rsid w:val="007B4027"/>
    <w:rsid w:val="007B4083"/>
    <w:rsid w:val="007B40E5"/>
    <w:rsid w:val="007B413F"/>
    <w:rsid w:val="007B417D"/>
    <w:rsid w:val="007B41BE"/>
    <w:rsid w:val="007B4292"/>
    <w:rsid w:val="007B4304"/>
    <w:rsid w:val="007B4327"/>
    <w:rsid w:val="007B439C"/>
    <w:rsid w:val="007B43FD"/>
    <w:rsid w:val="007B440D"/>
    <w:rsid w:val="007B44BD"/>
    <w:rsid w:val="007B450A"/>
    <w:rsid w:val="007B45D7"/>
    <w:rsid w:val="007B465D"/>
    <w:rsid w:val="007B46AC"/>
    <w:rsid w:val="007B4729"/>
    <w:rsid w:val="007B477A"/>
    <w:rsid w:val="007B4789"/>
    <w:rsid w:val="007B47C8"/>
    <w:rsid w:val="007B4805"/>
    <w:rsid w:val="007B480A"/>
    <w:rsid w:val="007B48AE"/>
    <w:rsid w:val="007B48BA"/>
    <w:rsid w:val="007B48D1"/>
    <w:rsid w:val="007B48E0"/>
    <w:rsid w:val="007B4906"/>
    <w:rsid w:val="007B49B0"/>
    <w:rsid w:val="007B4A36"/>
    <w:rsid w:val="007B4AF1"/>
    <w:rsid w:val="007B4B81"/>
    <w:rsid w:val="007B4BAC"/>
    <w:rsid w:val="007B4BD4"/>
    <w:rsid w:val="007B4BDC"/>
    <w:rsid w:val="007B4BE0"/>
    <w:rsid w:val="007B4C41"/>
    <w:rsid w:val="007B4C9B"/>
    <w:rsid w:val="007B4CA6"/>
    <w:rsid w:val="007B4CB1"/>
    <w:rsid w:val="007B4CD0"/>
    <w:rsid w:val="007B4CE1"/>
    <w:rsid w:val="007B4D2E"/>
    <w:rsid w:val="007B4D4F"/>
    <w:rsid w:val="007B4D64"/>
    <w:rsid w:val="007B4D9A"/>
    <w:rsid w:val="007B4DE4"/>
    <w:rsid w:val="007B4E0E"/>
    <w:rsid w:val="007B4E47"/>
    <w:rsid w:val="007B4E61"/>
    <w:rsid w:val="007B4E6C"/>
    <w:rsid w:val="007B4ED3"/>
    <w:rsid w:val="007B4F0E"/>
    <w:rsid w:val="007B4F45"/>
    <w:rsid w:val="007B4F90"/>
    <w:rsid w:val="007B500C"/>
    <w:rsid w:val="007B5016"/>
    <w:rsid w:val="007B501F"/>
    <w:rsid w:val="007B504A"/>
    <w:rsid w:val="007B508C"/>
    <w:rsid w:val="007B5097"/>
    <w:rsid w:val="007B509B"/>
    <w:rsid w:val="007B50B8"/>
    <w:rsid w:val="007B517E"/>
    <w:rsid w:val="007B51AA"/>
    <w:rsid w:val="007B51CE"/>
    <w:rsid w:val="007B529D"/>
    <w:rsid w:val="007B52E3"/>
    <w:rsid w:val="007B5312"/>
    <w:rsid w:val="007B53CD"/>
    <w:rsid w:val="007B53E9"/>
    <w:rsid w:val="007B53FB"/>
    <w:rsid w:val="007B544D"/>
    <w:rsid w:val="007B54C5"/>
    <w:rsid w:val="007B54D1"/>
    <w:rsid w:val="007B5579"/>
    <w:rsid w:val="007B55CA"/>
    <w:rsid w:val="007B55E0"/>
    <w:rsid w:val="007B5676"/>
    <w:rsid w:val="007B56CB"/>
    <w:rsid w:val="007B56E1"/>
    <w:rsid w:val="007B570F"/>
    <w:rsid w:val="007B576C"/>
    <w:rsid w:val="007B577D"/>
    <w:rsid w:val="007B577F"/>
    <w:rsid w:val="007B579A"/>
    <w:rsid w:val="007B57A9"/>
    <w:rsid w:val="007B57B4"/>
    <w:rsid w:val="007B57BA"/>
    <w:rsid w:val="007B585E"/>
    <w:rsid w:val="007B586F"/>
    <w:rsid w:val="007B5913"/>
    <w:rsid w:val="007B599D"/>
    <w:rsid w:val="007B59C2"/>
    <w:rsid w:val="007B5A00"/>
    <w:rsid w:val="007B5A36"/>
    <w:rsid w:val="007B5A45"/>
    <w:rsid w:val="007B5A6B"/>
    <w:rsid w:val="007B5AC1"/>
    <w:rsid w:val="007B5B18"/>
    <w:rsid w:val="007B5B26"/>
    <w:rsid w:val="007B5B87"/>
    <w:rsid w:val="007B5C69"/>
    <w:rsid w:val="007B5C95"/>
    <w:rsid w:val="007B5CA9"/>
    <w:rsid w:val="007B5CC7"/>
    <w:rsid w:val="007B5CD1"/>
    <w:rsid w:val="007B5D2D"/>
    <w:rsid w:val="007B5D33"/>
    <w:rsid w:val="007B5D3C"/>
    <w:rsid w:val="007B5DAF"/>
    <w:rsid w:val="007B5DBE"/>
    <w:rsid w:val="007B5E35"/>
    <w:rsid w:val="007B5E70"/>
    <w:rsid w:val="007B5EA0"/>
    <w:rsid w:val="007B5F03"/>
    <w:rsid w:val="007B5F62"/>
    <w:rsid w:val="007B5F8D"/>
    <w:rsid w:val="007B60E3"/>
    <w:rsid w:val="007B60EC"/>
    <w:rsid w:val="007B610B"/>
    <w:rsid w:val="007B61CC"/>
    <w:rsid w:val="007B6248"/>
    <w:rsid w:val="007B624D"/>
    <w:rsid w:val="007B6293"/>
    <w:rsid w:val="007B62D7"/>
    <w:rsid w:val="007B6300"/>
    <w:rsid w:val="007B630F"/>
    <w:rsid w:val="007B635A"/>
    <w:rsid w:val="007B63E8"/>
    <w:rsid w:val="007B63F1"/>
    <w:rsid w:val="007B6408"/>
    <w:rsid w:val="007B6438"/>
    <w:rsid w:val="007B652A"/>
    <w:rsid w:val="007B654B"/>
    <w:rsid w:val="007B6550"/>
    <w:rsid w:val="007B65F9"/>
    <w:rsid w:val="007B662F"/>
    <w:rsid w:val="007B6706"/>
    <w:rsid w:val="007B684F"/>
    <w:rsid w:val="007B6892"/>
    <w:rsid w:val="007B6A36"/>
    <w:rsid w:val="007B6ACA"/>
    <w:rsid w:val="007B6B89"/>
    <w:rsid w:val="007B6B94"/>
    <w:rsid w:val="007B6BAB"/>
    <w:rsid w:val="007B6BC6"/>
    <w:rsid w:val="007B6BD1"/>
    <w:rsid w:val="007B6BDC"/>
    <w:rsid w:val="007B6C1C"/>
    <w:rsid w:val="007B6C8E"/>
    <w:rsid w:val="007B6D0E"/>
    <w:rsid w:val="007B6D16"/>
    <w:rsid w:val="007B6DB5"/>
    <w:rsid w:val="007B6DC4"/>
    <w:rsid w:val="007B6E2C"/>
    <w:rsid w:val="007B6E75"/>
    <w:rsid w:val="007B6F5B"/>
    <w:rsid w:val="007B6FA5"/>
    <w:rsid w:val="007B6FAC"/>
    <w:rsid w:val="007B6FDA"/>
    <w:rsid w:val="007B6FF1"/>
    <w:rsid w:val="007B7013"/>
    <w:rsid w:val="007B7017"/>
    <w:rsid w:val="007B709A"/>
    <w:rsid w:val="007B7174"/>
    <w:rsid w:val="007B7177"/>
    <w:rsid w:val="007B7192"/>
    <w:rsid w:val="007B7268"/>
    <w:rsid w:val="007B7288"/>
    <w:rsid w:val="007B7289"/>
    <w:rsid w:val="007B72A6"/>
    <w:rsid w:val="007B72B5"/>
    <w:rsid w:val="007B72E2"/>
    <w:rsid w:val="007B7308"/>
    <w:rsid w:val="007B736A"/>
    <w:rsid w:val="007B73B8"/>
    <w:rsid w:val="007B73CF"/>
    <w:rsid w:val="007B73EE"/>
    <w:rsid w:val="007B73F4"/>
    <w:rsid w:val="007B747B"/>
    <w:rsid w:val="007B74CA"/>
    <w:rsid w:val="007B74FC"/>
    <w:rsid w:val="007B7528"/>
    <w:rsid w:val="007B755B"/>
    <w:rsid w:val="007B75DD"/>
    <w:rsid w:val="007B7644"/>
    <w:rsid w:val="007B7699"/>
    <w:rsid w:val="007B76AB"/>
    <w:rsid w:val="007B76EB"/>
    <w:rsid w:val="007B770E"/>
    <w:rsid w:val="007B7722"/>
    <w:rsid w:val="007B7732"/>
    <w:rsid w:val="007B7762"/>
    <w:rsid w:val="007B7795"/>
    <w:rsid w:val="007B77E6"/>
    <w:rsid w:val="007B785D"/>
    <w:rsid w:val="007B7897"/>
    <w:rsid w:val="007B789D"/>
    <w:rsid w:val="007B78CD"/>
    <w:rsid w:val="007B78E0"/>
    <w:rsid w:val="007B790D"/>
    <w:rsid w:val="007B791A"/>
    <w:rsid w:val="007B7927"/>
    <w:rsid w:val="007B792B"/>
    <w:rsid w:val="007B795D"/>
    <w:rsid w:val="007B7963"/>
    <w:rsid w:val="007B79A3"/>
    <w:rsid w:val="007B79A8"/>
    <w:rsid w:val="007B7A00"/>
    <w:rsid w:val="007B7A43"/>
    <w:rsid w:val="007B7A6A"/>
    <w:rsid w:val="007B7B30"/>
    <w:rsid w:val="007B7B83"/>
    <w:rsid w:val="007B7BC6"/>
    <w:rsid w:val="007B7C48"/>
    <w:rsid w:val="007B7D12"/>
    <w:rsid w:val="007B7D3E"/>
    <w:rsid w:val="007B7E27"/>
    <w:rsid w:val="007B7E30"/>
    <w:rsid w:val="007B7E35"/>
    <w:rsid w:val="007B7E70"/>
    <w:rsid w:val="007B7EBB"/>
    <w:rsid w:val="007B7F38"/>
    <w:rsid w:val="007C0023"/>
    <w:rsid w:val="007C004E"/>
    <w:rsid w:val="007C0076"/>
    <w:rsid w:val="007C007D"/>
    <w:rsid w:val="007C00EF"/>
    <w:rsid w:val="007C00F4"/>
    <w:rsid w:val="007C0119"/>
    <w:rsid w:val="007C015B"/>
    <w:rsid w:val="007C01AC"/>
    <w:rsid w:val="007C01BE"/>
    <w:rsid w:val="007C0210"/>
    <w:rsid w:val="007C0225"/>
    <w:rsid w:val="007C027B"/>
    <w:rsid w:val="007C0326"/>
    <w:rsid w:val="007C0334"/>
    <w:rsid w:val="007C0402"/>
    <w:rsid w:val="007C041F"/>
    <w:rsid w:val="007C045D"/>
    <w:rsid w:val="007C04B6"/>
    <w:rsid w:val="007C0551"/>
    <w:rsid w:val="007C05DA"/>
    <w:rsid w:val="007C0614"/>
    <w:rsid w:val="007C0663"/>
    <w:rsid w:val="007C0742"/>
    <w:rsid w:val="007C0799"/>
    <w:rsid w:val="007C07B6"/>
    <w:rsid w:val="007C07CE"/>
    <w:rsid w:val="007C07CF"/>
    <w:rsid w:val="007C07DA"/>
    <w:rsid w:val="007C0846"/>
    <w:rsid w:val="007C0848"/>
    <w:rsid w:val="007C08D4"/>
    <w:rsid w:val="007C08E7"/>
    <w:rsid w:val="007C0920"/>
    <w:rsid w:val="007C0957"/>
    <w:rsid w:val="007C0994"/>
    <w:rsid w:val="007C0A35"/>
    <w:rsid w:val="007C0A7B"/>
    <w:rsid w:val="007C0A9A"/>
    <w:rsid w:val="007C0B09"/>
    <w:rsid w:val="007C0B1A"/>
    <w:rsid w:val="007C0B72"/>
    <w:rsid w:val="007C0BA9"/>
    <w:rsid w:val="007C0BB6"/>
    <w:rsid w:val="007C0BD2"/>
    <w:rsid w:val="007C0BF8"/>
    <w:rsid w:val="007C0C14"/>
    <w:rsid w:val="007C0C15"/>
    <w:rsid w:val="007C0C1C"/>
    <w:rsid w:val="007C0C65"/>
    <w:rsid w:val="007C0C83"/>
    <w:rsid w:val="007C0CA3"/>
    <w:rsid w:val="007C0CC5"/>
    <w:rsid w:val="007C0CFA"/>
    <w:rsid w:val="007C0D52"/>
    <w:rsid w:val="007C0D9E"/>
    <w:rsid w:val="007C0DF1"/>
    <w:rsid w:val="007C0E8B"/>
    <w:rsid w:val="007C0E91"/>
    <w:rsid w:val="007C0E98"/>
    <w:rsid w:val="007C0EB7"/>
    <w:rsid w:val="007C0F13"/>
    <w:rsid w:val="007C0F5B"/>
    <w:rsid w:val="007C0F97"/>
    <w:rsid w:val="007C0FC0"/>
    <w:rsid w:val="007C0FD3"/>
    <w:rsid w:val="007C1033"/>
    <w:rsid w:val="007C1096"/>
    <w:rsid w:val="007C1126"/>
    <w:rsid w:val="007C1144"/>
    <w:rsid w:val="007C1289"/>
    <w:rsid w:val="007C132E"/>
    <w:rsid w:val="007C1361"/>
    <w:rsid w:val="007C1391"/>
    <w:rsid w:val="007C13A5"/>
    <w:rsid w:val="007C1423"/>
    <w:rsid w:val="007C14FC"/>
    <w:rsid w:val="007C152D"/>
    <w:rsid w:val="007C1542"/>
    <w:rsid w:val="007C15DD"/>
    <w:rsid w:val="007C15FB"/>
    <w:rsid w:val="007C1673"/>
    <w:rsid w:val="007C1676"/>
    <w:rsid w:val="007C16B9"/>
    <w:rsid w:val="007C172D"/>
    <w:rsid w:val="007C176C"/>
    <w:rsid w:val="007C179D"/>
    <w:rsid w:val="007C17A8"/>
    <w:rsid w:val="007C17B7"/>
    <w:rsid w:val="007C17C4"/>
    <w:rsid w:val="007C1845"/>
    <w:rsid w:val="007C185D"/>
    <w:rsid w:val="007C18EB"/>
    <w:rsid w:val="007C1925"/>
    <w:rsid w:val="007C1956"/>
    <w:rsid w:val="007C1976"/>
    <w:rsid w:val="007C199B"/>
    <w:rsid w:val="007C19CC"/>
    <w:rsid w:val="007C1A02"/>
    <w:rsid w:val="007C1A42"/>
    <w:rsid w:val="007C1A83"/>
    <w:rsid w:val="007C1AC6"/>
    <w:rsid w:val="007C1B47"/>
    <w:rsid w:val="007C1B61"/>
    <w:rsid w:val="007C1B87"/>
    <w:rsid w:val="007C1BA5"/>
    <w:rsid w:val="007C1C5E"/>
    <w:rsid w:val="007C1CAB"/>
    <w:rsid w:val="007C1CAE"/>
    <w:rsid w:val="007C1CC6"/>
    <w:rsid w:val="007C1CE5"/>
    <w:rsid w:val="007C1D06"/>
    <w:rsid w:val="007C1D82"/>
    <w:rsid w:val="007C1DDE"/>
    <w:rsid w:val="007C1E0D"/>
    <w:rsid w:val="007C1E6A"/>
    <w:rsid w:val="007C1E81"/>
    <w:rsid w:val="007C1E91"/>
    <w:rsid w:val="007C1EE2"/>
    <w:rsid w:val="007C1F13"/>
    <w:rsid w:val="007C1F34"/>
    <w:rsid w:val="007C1F49"/>
    <w:rsid w:val="007C1F4E"/>
    <w:rsid w:val="007C2008"/>
    <w:rsid w:val="007C2020"/>
    <w:rsid w:val="007C2022"/>
    <w:rsid w:val="007C206E"/>
    <w:rsid w:val="007C211F"/>
    <w:rsid w:val="007C2161"/>
    <w:rsid w:val="007C22FF"/>
    <w:rsid w:val="007C231C"/>
    <w:rsid w:val="007C234E"/>
    <w:rsid w:val="007C23AB"/>
    <w:rsid w:val="007C23B3"/>
    <w:rsid w:val="007C23BA"/>
    <w:rsid w:val="007C23D0"/>
    <w:rsid w:val="007C23ED"/>
    <w:rsid w:val="007C23F3"/>
    <w:rsid w:val="007C2415"/>
    <w:rsid w:val="007C241D"/>
    <w:rsid w:val="007C244B"/>
    <w:rsid w:val="007C2474"/>
    <w:rsid w:val="007C2479"/>
    <w:rsid w:val="007C2490"/>
    <w:rsid w:val="007C2535"/>
    <w:rsid w:val="007C259B"/>
    <w:rsid w:val="007C25CB"/>
    <w:rsid w:val="007C25EF"/>
    <w:rsid w:val="007C2620"/>
    <w:rsid w:val="007C2665"/>
    <w:rsid w:val="007C2669"/>
    <w:rsid w:val="007C2677"/>
    <w:rsid w:val="007C2699"/>
    <w:rsid w:val="007C26B7"/>
    <w:rsid w:val="007C271A"/>
    <w:rsid w:val="007C272F"/>
    <w:rsid w:val="007C273E"/>
    <w:rsid w:val="007C2754"/>
    <w:rsid w:val="007C27F0"/>
    <w:rsid w:val="007C2803"/>
    <w:rsid w:val="007C2839"/>
    <w:rsid w:val="007C2880"/>
    <w:rsid w:val="007C28A6"/>
    <w:rsid w:val="007C290D"/>
    <w:rsid w:val="007C290E"/>
    <w:rsid w:val="007C2915"/>
    <w:rsid w:val="007C2917"/>
    <w:rsid w:val="007C2950"/>
    <w:rsid w:val="007C299D"/>
    <w:rsid w:val="007C29D7"/>
    <w:rsid w:val="007C2A04"/>
    <w:rsid w:val="007C2A0B"/>
    <w:rsid w:val="007C2A1A"/>
    <w:rsid w:val="007C2A31"/>
    <w:rsid w:val="007C2A44"/>
    <w:rsid w:val="007C2B1E"/>
    <w:rsid w:val="007C2B41"/>
    <w:rsid w:val="007C2B84"/>
    <w:rsid w:val="007C2BD7"/>
    <w:rsid w:val="007C2C1D"/>
    <w:rsid w:val="007C2C2F"/>
    <w:rsid w:val="007C2C3C"/>
    <w:rsid w:val="007C2CC2"/>
    <w:rsid w:val="007C2CEE"/>
    <w:rsid w:val="007C2E28"/>
    <w:rsid w:val="007C2EA7"/>
    <w:rsid w:val="007C2ECF"/>
    <w:rsid w:val="007C2F2C"/>
    <w:rsid w:val="007C2F9C"/>
    <w:rsid w:val="007C2FC6"/>
    <w:rsid w:val="007C303F"/>
    <w:rsid w:val="007C306A"/>
    <w:rsid w:val="007C3084"/>
    <w:rsid w:val="007C30A1"/>
    <w:rsid w:val="007C315D"/>
    <w:rsid w:val="007C3177"/>
    <w:rsid w:val="007C319A"/>
    <w:rsid w:val="007C31E1"/>
    <w:rsid w:val="007C32D6"/>
    <w:rsid w:val="007C33A5"/>
    <w:rsid w:val="007C342F"/>
    <w:rsid w:val="007C3508"/>
    <w:rsid w:val="007C3521"/>
    <w:rsid w:val="007C3548"/>
    <w:rsid w:val="007C3592"/>
    <w:rsid w:val="007C35C2"/>
    <w:rsid w:val="007C35D9"/>
    <w:rsid w:val="007C35F7"/>
    <w:rsid w:val="007C362E"/>
    <w:rsid w:val="007C365C"/>
    <w:rsid w:val="007C36B6"/>
    <w:rsid w:val="007C36D4"/>
    <w:rsid w:val="007C3706"/>
    <w:rsid w:val="007C3742"/>
    <w:rsid w:val="007C37BE"/>
    <w:rsid w:val="007C37F3"/>
    <w:rsid w:val="007C3802"/>
    <w:rsid w:val="007C3832"/>
    <w:rsid w:val="007C3843"/>
    <w:rsid w:val="007C384B"/>
    <w:rsid w:val="007C3863"/>
    <w:rsid w:val="007C387E"/>
    <w:rsid w:val="007C38D2"/>
    <w:rsid w:val="007C392B"/>
    <w:rsid w:val="007C39A1"/>
    <w:rsid w:val="007C3AFC"/>
    <w:rsid w:val="007C3B2C"/>
    <w:rsid w:val="007C3BC2"/>
    <w:rsid w:val="007C3BF0"/>
    <w:rsid w:val="007C3C14"/>
    <w:rsid w:val="007C3CB3"/>
    <w:rsid w:val="007C3CFF"/>
    <w:rsid w:val="007C3D3D"/>
    <w:rsid w:val="007C3D43"/>
    <w:rsid w:val="007C3D5C"/>
    <w:rsid w:val="007C3D5D"/>
    <w:rsid w:val="007C3EAF"/>
    <w:rsid w:val="007C3EB0"/>
    <w:rsid w:val="007C3EEE"/>
    <w:rsid w:val="007C3F57"/>
    <w:rsid w:val="007C3F5A"/>
    <w:rsid w:val="007C3F7D"/>
    <w:rsid w:val="007C3F94"/>
    <w:rsid w:val="007C3FB8"/>
    <w:rsid w:val="007C3FE0"/>
    <w:rsid w:val="007C3FF8"/>
    <w:rsid w:val="007C3FFB"/>
    <w:rsid w:val="007C4020"/>
    <w:rsid w:val="007C4022"/>
    <w:rsid w:val="007C4084"/>
    <w:rsid w:val="007C408A"/>
    <w:rsid w:val="007C4184"/>
    <w:rsid w:val="007C4186"/>
    <w:rsid w:val="007C4192"/>
    <w:rsid w:val="007C4232"/>
    <w:rsid w:val="007C4235"/>
    <w:rsid w:val="007C4288"/>
    <w:rsid w:val="007C42A0"/>
    <w:rsid w:val="007C4316"/>
    <w:rsid w:val="007C4364"/>
    <w:rsid w:val="007C439D"/>
    <w:rsid w:val="007C43F0"/>
    <w:rsid w:val="007C4403"/>
    <w:rsid w:val="007C4484"/>
    <w:rsid w:val="007C449D"/>
    <w:rsid w:val="007C45A8"/>
    <w:rsid w:val="007C45BF"/>
    <w:rsid w:val="007C45D1"/>
    <w:rsid w:val="007C4623"/>
    <w:rsid w:val="007C46B2"/>
    <w:rsid w:val="007C46FB"/>
    <w:rsid w:val="007C4709"/>
    <w:rsid w:val="007C472E"/>
    <w:rsid w:val="007C4782"/>
    <w:rsid w:val="007C4789"/>
    <w:rsid w:val="007C47DE"/>
    <w:rsid w:val="007C47FA"/>
    <w:rsid w:val="007C47FF"/>
    <w:rsid w:val="007C4832"/>
    <w:rsid w:val="007C4840"/>
    <w:rsid w:val="007C48B9"/>
    <w:rsid w:val="007C48E2"/>
    <w:rsid w:val="007C4923"/>
    <w:rsid w:val="007C497D"/>
    <w:rsid w:val="007C4994"/>
    <w:rsid w:val="007C4997"/>
    <w:rsid w:val="007C4A5D"/>
    <w:rsid w:val="007C4AF3"/>
    <w:rsid w:val="007C4B3B"/>
    <w:rsid w:val="007C4B43"/>
    <w:rsid w:val="007C4B5F"/>
    <w:rsid w:val="007C4B61"/>
    <w:rsid w:val="007C4B84"/>
    <w:rsid w:val="007C4BD2"/>
    <w:rsid w:val="007C4C3C"/>
    <w:rsid w:val="007C4C98"/>
    <w:rsid w:val="007C4CB9"/>
    <w:rsid w:val="007C4CBB"/>
    <w:rsid w:val="007C4CC7"/>
    <w:rsid w:val="007C4D30"/>
    <w:rsid w:val="007C4DBC"/>
    <w:rsid w:val="007C4DDD"/>
    <w:rsid w:val="007C4E47"/>
    <w:rsid w:val="007C4E6D"/>
    <w:rsid w:val="007C4E98"/>
    <w:rsid w:val="007C4EA4"/>
    <w:rsid w:val="007C4F06"/>
    <w:rsid w:val="007C4F16"/>
    <w:rsid w:val="007C4F3D"/>
    <w:rsid w:val="007C4F45"/>
    <w:rsid w:val="007C4F99"/>
    <w:rsid w:val="007C4FE2"/>
    <w:rsid w:val="007C5026"/>
    <w:rsid w:val="007C5049"/>
    <w:rsid w:val="007C504F"/>
    <w:rsid w:val="007C505C"/>
    <w:rsid w:val="007C507A"/>
    <w:rsid w:val="007C507E"/>
    <w:rsid w:val="007C5098"/>
    <w:rsid w:val="007C50DC"/>
    <w:rsid w:val="007C5118"/>
    <w:rsid w:val="007C51AD"/>
    <w:rsid w:val="007C51EB"/>
    <w:rsid w:val="007C523B"/>
    <w:rsid w:val="007C5263"/>
    <w:rsid w:val="007C534F"/>
    <w:rsid w:val="007C53A2"/>
    <w:rsid w:val="007C53B8"/>
    <w:rsid w:val="007C5457"/>
    <w:rsid w:val="007C5458"/>
    <w:rsid w:val="007C5475"/>
    <w:rsid w:val="007C54A2"/>
    <w:rsid w:val="007C54AB"/>
    <w:rsid w:val="007C54D8"/>
    <w:rsid w:val="007C54D9"/>
    <w:rsid w:val="007C5570"/>
    <w:rsid w:val="007C55DF"/>
    <w:rsid w:val="007C55EC"/>
    <w:rsid w:val="007C56AB"/>
    <w:rsid w:val="007C56AF"/>
    <w:rsid w:val="007C56B0"/>
    <w:rsid w:val="007C56B1"/>
    <w:rsid w:val="007C56D4"/>
    <w:rsid w:val="007C56D7"/>
    <w:rsid w:val="007C56D9"/>
    <w:rsid w:val="007C5750"/>
    <w:rsid w:val="007C5769"/>
    <w:rsid w:val="007C57CC"/>
    <w:rsid w:val="007C580D"/>
    <w:rsid w:val="007C581A"/>
    <w:rsid w:val="007C588C"/>
    <w:rsid w:val="007C58B0"/>
    <w:rsid w:val="007C58E0"/>
    <w:rsid w:val="007C58F0"/>
    <w:rsid w:val="007C5958"/>
    <w:rsid w:val="007C59A8"/>
    <w:rsid w:val="007C5A31"/>
    <w:rsid w:val="007C5A5A"/>
    <w:rsid w:val="007C5A87"/>
    <w:rsid w:val="007C5AA6"/>
    <w:rsid w:val="007C5ACB"/>
    <w:rsid w:val="007C5ADD"/>
    <w:rsid w:val="007C5B3C"/>
    <w:rsid w:val="007C5B73"/>
    <w:rsid w:val="007C5C09"/>
    <w:rsid w:val="007C5C47"/>
    <w:rsid w:val="007C5C72"/>
    <w:rsid w:val="007C5CC4"/>
    <w:rsid w:val="007C5CD9"/>
    <w:rsid w:val="007C5CEE"/>
    <w:rsid w:val="007C5D2E"/>
    <w:rsid w:val="007C5D39"/>
    <w:rsid w:val="007C5D3D"/>
    <w:rsid w:val="007C5D64"/>
    <w:rsid w:val="007C5D8F"/>
    <w:rsid w:val="007C5DA2"/>
    <w:rsid w:val="007C5DF7"/>
    <w:rsid w:val="007C5E6F"/>
    <w:rsid w:val="007C5E7D"/>
    <w:rsid w:val="007C5EC9"/>
    <w:rsid w:val="007C5EE9"/>
    <w:rsid w:val="007C5EF1"/>
    <w:rsid w:val="007C5F42"/>
    <w:rsid w:val="007C5F7E"/>
    <w:rsid w:val="007C5F8C"/>
    <w:rsid w:val="007C60E1"/>
    <w:rsid w:val="007C60F9"/>
    <w:rsid w:val="007C60FD"/>
    <w:rsid w:val="007C614F"/>
    <w:rsid w:val="007C617D"/>
    <w:rsid w:val="007C624D"/>
    <w:rsid w:val="007C62C3"/>
    <w:rsid w:val="007C62D7"/>
    <w:rsid w:val="007C62E8"/>
    <w:rsid w:val="007C63B8"/>
    <w:rsid w:val="007C63D1"/>
    <w:rsid w:val="007C640A"/>
    <w:rsid w:val="007C6410"/>
    <w:rsid w:val="007C6493"/>
    <w:rsid w:val="007C654A"/>
    <w:rsid w:val="007C6582"/>
    <w:rsid w:val="007C6788"/>
    <w:rsid w:val="007C6797"/>
    <w:rsid w:val="007C67C1"/>
    <w:rsid w:val="007C67CE"/>
    <w:rsid w:val="007C67D1"/>
    <w:rsid w:val="007C6805"/>
    <w:rsid w:val="007C680B"/>
    <w:rsid w:val="007C681D"/>
    <w:rsid w:val="007C68E1"/>
    <w:rsid w:val="007C6901"/>
    <w:rsid w:val="007C6917"/>
    <w:rsid w:val="007C691C"/>
    <w:rsid w:val="007C6941"/>
    <w:rsid w:val="007C6992"/>
    <w:rsid w:val="007C6A4F"/>
    <w:rsid w:val="007C6AD5"/>
    <w:rsid w:val="007C6B57"/>
    <w:rsid w:val="007C6B91"/>
    <w:rsid w:val="007C6BD4"/>
    <w:rsid w:val="007C6C55"/>
    <w:rsid w:val="007C6C78"/>
    <w:rsid w:val="007C6CA2"/>
    <w:rsid w:val="007C6CE9"/>
    <w:rsid w:val="007C6CF0"/>
    <w:rsid w:val="007C6CFD"/>
    <w:rsid w:val="007C6D0C"/>
    <w:rsid w:val="007C6D50"/>
    <w:rsid w:val="007C6D61"/>
    <w:rsid w:val="007C6DA8"/>
    <w:rsid w:val="007C6DC3"/>
    <w:rsid w:val="007C6DDF"/>
    <w:rsid w:val="007C6E00"/>
    <w:rsid w:val="007C6E79"/>
    <w:rsid w:val="007C6ED2"/>
    <w:rsid w:val="007C6F15"/>
    <w:rsid w:val="007C6F21"/>
    <w:rsid w:val="007C6F42"/>
    <w:rsid w:val="007C6FC3"/>
    <w:rsid w:val="007C7006"/>
    <w:rsid w:val="007C7021"/>
    <w:rsid w:val="007C7095"/>
    <w:rsid w:val="007C709D"/>
    <w:rsid w:val="007C70D0"/>
    <w:rsid w:val="007C70E0"/>
    <w:rsid w:val="007C70F3"/>
    <w:rsid w:val="007C70F5"/>
    <w:rsid w:val="007C70FC"/>
    <w:rsid w:val="007C7153"/>
    <w:rsid w:val="007C718D"/>
    <w:rsid w:val="007C71C0"/>
    <w:rsid w:val="007C71D3"/>
    <w:rsid w:val="007C721D"/>
    <w:rsid w:val="007C7244"/>
    <w:rsid w:val="007C72B0"/>
    <w:rsid w:val="007C732E"/>
    <w:rsid w:val="007C7378"/>
    <w:rsid w:val="007C73D5"/>
    <w:rsid w:val="007C73E6"/>
    <w:rsid w:val="007C7447"/>
    <w:rsid w:val="007C7455"/>
    <w:rsid w:val="007C74C7"/>
    <w:rsid w:val="007C752E"/>
    <w:rsid w:val="007C753C"/>
    <w:rsid w:val="007C7557"/>
    <w:rsid w:val="007C7623"/>
    <w:rsid w:val="007C7646"/>
    <w:rsid w:val="007C764C"/>
    <w:rsid w:val="007C76E9"/>
    <w:rsid w:val="007C7792"/>
    <w:rsid w:val="007C77CD"/>
    <w:rsid w:val="007C7806"/>
    <w:rsid w:val="007C7853"/>
    <w:rsid w:val="007C78C1"/>
    <w:rsid w:val="007C79E1"/>
    <w:rsid w:val="007C7A09"/>
    <w:rsid w:val="007C7A82"/>
    <w:rsid w:val="007C7AC8"/>
    <w:rsid w:val="007C7B1E"/>
    <w:rsid w:val="007C7B22"/>
    <w:rsid w:val="007C7B91"/>
    <w:rsid w:val="007C7BB6"/>
    <w:rsid w:val="007C7BC8"/>
    <w:rsid w:val="007C7BD7"/>
    <w:rsid w:val="007C7BDC"/>
    <w:rsid w:val="007C7C0A"/>
    <w:rsid w:val="007C7C2E"/>
    <w:rsid w:val="007C7C38"/>
    <w:rsid w:val="007C7C52"/>
    <w:rsid w:val="007C7C84"/>
    <w:rsid w:val="007C7CA9"/>
    <w:rsid w:val="007C7D9D"/>
    <w:rsid w:val="007C7DB2"/>
    <w:rsid w:val="007C7DFA"/>
    <w:rsid w:val="007C7E1C"/>
    <w:rsid w:val="007C7F15"/>
    <w:rsid w:val="007C7F23"/>
    <w:rsid w:val="007C7F2D"/>
    <w:rsid w:val="007C7F6D"/>
    <w:rsid w:val="007C7F8A"/>
    <w:rsid w:val="007C7FC0"/>
    <w:rsid w:val="007C7FCB"/>
    <w:rsid w:val="007C7FE7"/>
    <w:rsid w:val="007D000F"/>
    <w:rsid w:val="007D0054"/>
    <w:rsid w:val="007D0059"/>
    <w:rsid w:val="007D0092"/>
    <w:rsid w:val="007D011D"/>
    <w:rsid w:val="007D012F"/>
    <w:rsid w:val="007D019A"/>
    <w:rsid w:val="007D01DE"/>
    <w:rsid w:val="007D01EA"/>
    <w:rsid w:val="007D020F"/>
    <w:rsid w:val="007D022E"/>
    <w:rsid w:val="007D0278"/>
    <w:rsid w:val="007D02AD"/>
    <w:rsid w:val="007D02C4"/>
    <w:rsid w:val="007D033E"/>
    <w:rsid w:val="007D0374"/>
    <w:rsid w:val="007D03D4"/>
    <w:rsid w:val="007D03F1"/>
    <w:rsid w:val="007D0406"/>
    <w:rsid w:val="007D0415"/>
    <w:rsid w:val="007D04A5"/>
    <w:rsid w:val="007D04A7"/>
    <w:rsid w:val="007D04C3"/>
    <w:rsid w:val="007D0558"/>
    <w:rsid w:val="007D0571"/>
    <w:rsid w:val="007D0609"/>
    <w:rsid w:val="007D0617"/>
    <w:rsid w:val="007D068A"/>
    <w:rsid w:val="007D06BE"/>
    <w:rsid w:val="007D06C2"/>
    <w:rsid w:val="007D06D3"/>
    <w:rsid w:val="007D0791"/>
    <w:rsid w:val="007D07A3"/>
    <w:rsid w:val="007D07E3"/>
    <w:rsid w:val="007D081E"/>
    <w:rsid w:val="007D0823"/>
    <w:rsid w:val="007D0858"/>
    <w:rsid w:val="007D08EA"/>
    <w:rsid w:val="007D0941"/>
    <w:rsid w:val="007D0969"/>
    <w:rsid w:val="007D09F6"/>
    <w:rsid w:val="007D0A50"/>
    <w:rsid w:val="007D0A87"/>
    <w:rsid w:val="007D0A93"/>
    <w:rsid w:val="007D0AF1"/>
    <w:rsid w:val="007D0B07"/>
    <w:rsid w:val="007D0B20"/>
    <w:rsid w:val="007D0B27"/>
    <w:rsid w:val="007D0B44"/>
    <w:rsid w:val="007D0BA7"/>
    <w:rsid w:val="007D0BAC"/>
    <w:rsid w:val="007D0BD8"/>
    <w:rsid w:val="007D0BE1"/>
    <w:rsid w:val="007D0C01"/>
    <w:rsid w:val="007D0C49"/>
    <w:rsid w:val="007D0C55"/>
    <w:rsid w:val="007D0CDC"/>
    <w:rsid w:val="007D0D8E"/>
    <w:rsid w:val="007D0DB2"/>
    <w:rsid w:val="007D0DDC"/>
    <w:rsid w:val="007D0E01"/>
    <w:rsid w:val="007D0F9A"/>
    <w:rsid w:val="007D107F"/>
    <w:rsid w:val="007D10B2"/>
    <w:rsid w:val="007D10C2"/>
    <w:rsid w:val="007D10E6"/>
    <w:rsid w:val="007D10F2"/>
    <w:rsid w:val="007D116E"/>
    <w:rsid w:val="007D11C6"/>
    <w:rsid w:val="007D11FB"/>
    <w:rsid w:val="007D135A"/>
    <w:rsid w:val="007D138B"/>
    <w:rsid w:val="007D13F2"/>
    <w:rsid w:val="007D14AA"/>
    <w:rsid w:val="007D14CE"/>
    <w:rsid w:val="007D14FF"/>
    <w:rsid w:val="007D154B"/>
    <w:rsid w:val="007D1551"/>
    <w:rsid w:val="007D157D"/>
    <w:rsid w:val="007D15CE"/>
    <w:rsid w:val="007D1626"/>
    <w:rsid w:val="007D1675"/>
    <w:rsid w:val="007D16A8"/>
    <w:rsid w:val="007D17A9"/>
    <w:rsid w:val="007D1845"/>
    <w:rsid w:val="007D1892"/>
    <w:rsid w:val="007D18AC"/>
    <w:rsid w:val="007D18C7"/>
    <w:rsid w:val="007D1966"/>
    <w:rsid w:val="007D19AA"/>
    <w:rsid w:val="007D1A1D"/>
    <w:rsid w:val="007D1A25"/>
    <w:rsid w:val="007D1A81"/>
    <w:rsid w:val="007D1B30"/>
    <w:rsid w:val="007D1B4C"/>
    <w:rsid w:val="007D1BBF"/>
    <w:rsid w:val="007D1C3A"/>
    <w:rsid w:val="007D1CB4"/>
    <w:rsid w:val="007D1CD0"/>
    <w:rsid w:val="007D1CD5"/>
    <w:rsid w:val="007D1D14"/>
    <w:rsid w:val="007D1D41"/>
    <w:rsid w:val="007D1D68"/>
    <w:rsid w:val="007D1DC4"/>
    <w:rsid w:val="007D1DDC"/>
    <w:rsid w:val="007D1DFA"/>
    <w:rsid w:val="007D1E16"/>
    <w:rsid w:val="007D1E88"/>
    <w:rsid w:val="007D1EC8"/>
    <w:rsid w:val="007D1EFB"/>
    <w:rsid w:val="007D1F01"/>
    <w:rsid w:val="007D1F81"/>
    <w:rsid w:val="007D2025"/>
    <w:rsid w:val="007D203C"/>
    <w:rsid w:val="007D204A"/>
    <w:rsid w:val="007D2075"/>
    <w:rsid w:val="007D207B"/>
    <w:rsid w:val="007D20CF"/>
    <w:rsid w:val="007D215F"/>
    <w:rsid w:val="007D2195"/>
    <w:rsid w:val="007D2196"/>
    <w:rsid w:val="007D21D5"/>
    <w:rsid w:val="007D2262"/>
    <w:rsid w:val="007D226B"/>
    <w:rsid w:val="007D22B3"/>
    <w:rsid w:val="007D233F"/>
    <w:rsid w:val="007D2361"/>
    <w:rsid w:val="007D241C"/>
    <w:rsid w:val="007D2468"/>
    <w:rsid w:val="007D2514"/>
    <w:rsid w:val="007D25A2"/>
    <w:rsid w:val="007D2612"/>
    <w:rsid w:val="007D2620"/>
    <w:rsid w:val="007D264E"/>
    <w:rsid w:val="007D26FB"/>
    <w:rsid w:val="007D2745"/>
    <w:rsid w:val="007D2755"/>
    <w:rsid w:val="007D2773"/>
    <w:rsid w:val="007D279A"/>
    <w:rsid w:val="007D281D"/>
    <w:rsid w:val="007D2862"/>
    <w:rsid w:val="007D28A0"/>
    <w:rsid w:val="007D28DD"/>
    <w:rsid w:val="007D2928"/>
    <w:rsid w:val="007D294E"/>
    <w:rsid w:val="007D29DF"/>
    <w:rsid w:val="007D29EE"/>
    <w:rsid w:val="007D29F2"/>
    <w:rsid w:val="007D2A0E"/>
    <w:rsid w:val="007D2ADD"/>
    <w:rsid w:val="007D2B6E"/>
    <w:rsid w:val="007D2BA1"/>
    <w:rsid w:val="007D2C1E"/>
    <w:rsid w:val="007D2C6D"/>
    <w:rsid w:val="007D2CBF"/>
    <w:rsid w:val="007D2CC0"/>
    <w:rsid w:val="007D2CE2"/>
    <w:rsid w:val="007D2D05"/>
    <w:rsid w:val="007D2D0E"/>
    <w:rsid w:val="007D2D40"/>
    <w:rsid w:val="007D2D74"/>
    <w:rsid w:val="007D2D76"/>
    <w:rsid w:val="007D2DF9"/>
    <w:rsid w:val="007D2E25"/>
    <w:rsid w:val="007D2E53"/>
    <w:rsid w:val="007D2E87"/>
    <w:rsid w:val="007D2F06"/>
    <w:rsid w:val="007D2FCE"/>
    <w:rsid w:val="007D2FE3"/>
    <w:rsid w:val="007D3009"/>
    <w:rsid w:val="007D3023"/>
    <w:rsid w:val="007D305E"/>
    <w:rsid w:val="007D306D"/>
    <w:rsid w:val="007D307F"/>
    <w:rsid w:val="007D3116"/>
    <w:rsid w:val="007D319B"/>
    <w:rsid w:val="007D31A4"/>
    <w:rsid w:val="007D31C4"/>
    <w:rsid w:val="007D31D6"/>
    <w:rsid w:val="007D32B3"/>
    <w:rsid w:val="007D330A"/>
    <w:rsid w:val="007D331C"/>
    <w:rsid w:val="007D3336"/>
    <w:rsid w:val="007D3388"/>
    <w:rsid w:val="007D33C0"/>
    <w:rsid w:val="007D340A"/>
    <w:rsid w:val="007D3461"/>
    <w:rsid w:val="007D3463"/>
    <w:rsid w:val="007D3466"/>
    <w:rsid w:val="007D348D"/>
    <w:rsid w:val="007D3491"/>
    <w:rsid w:val="007D34BE"/>
    <w:rsid w:val="007D351D"/>
    <w:rsid w:val="007D354F"/>
    <w:rsid w:val="007D3568"/>
    <w:rsid w:val="007D35AC"/>
    <w:rsid w:val="007D35D8"/>
    <w:rsid w:val="007D360C"/>
    <w:rsid w:val="007D3653"/>
    <w:rsid w:val="007D369C"/>
    <w:rsid w:val="007D369D"/>
    <w:rsid w:val="007D36B1"/>
    <w:rsid w:val="007D36D4"/>
    <w:rsid w:val="007D36D8"/>
    <w:rsid w:val="007D36E8"/>
    <w:rsid w:val="007D3713"/>
    <w:rsid w:val="007D3726"/>
    <w:rsid w:val="007D3771"/>
    <w:rsid w:val="007D37C8"/>
    <w:rsid w:val="007D382F"/>
    <w:rsid w:val="007D3855"/>
    <w:rsid w:val="007D3879"/>
    <w:rsid w:val="007D389E"/>
    <w:rsid w:val="007D38A1"/>
    <w:rsid w:val="007D38A4"/>
    <w:rsid w:val="007D38CD"/>
    <w:rsid w:val="007D395D"/>
    <w:rsid w:val="007D397E"/>
    <w:rsid w:val="007D399B"/>
    <w:rsid w:val="007D39E9"/>
    <w:rsid w:val="007D3A17"/>
    <w:rsid w:val="007D3AFF"/>
    <w:rsid w:val="007D3B29"/>
    <w:rsid w:val="007D3B7A"/>
    <w:rsid w:val="007D3BF8"/>
    <w:rsid w:val="007D3C39"/>
    <w:rsid w:val="007D3C45"/>
    <w:rsid w:val="007D3C60"/>
    <w:rsid w:val="007D3C95"/>
    <w:rsid w:val="007D3CA4"/>
    <w:rsid w:val="007D3D05"/>
    <w:rsid w:val="007D3D0F"/>
    <w:rsid w:val="007D3D1F"/>
    <w:rsid w:val="007D3D50"/>
    <w:rsid w:val="007D3D62"/>
    <w:rsid w:val="007D3D88"/>
    <w:rsid w:val="007D3E19"/>
    <w:rsid w:val="007D3E3F"/>
    <w:rsid w:val="007D3EAD"/>
    <w:rsid w:val="007D3F4A"/>
    <w:rsid w:val="007D3F5B"/>
    <w:rsid w:val="007D3F71"/>
    <w:rsid w:val="007D3F85"/>
    <w:rsid w:val="007D4032"/>
    <w:rsid w:val="007D404C"/>
    <w:rsid w:val="007D4110"/>
    <w:rsid w:val="007D4128"/>
    <w:rsid w:val="007D4177"/>
    <w:rsid w:val="007D417B"/>
    <w:rsid w:val="007D4181"/>
    <w:rsid w:val="007D4191"/>
    <w:rsid w:val="007D41AD"/>
    <w:rsid w:val="007D41BD"/>
    <w:rsid w:val="007D4273"/>
    <w:rsid w:val="007D429C"/>
    <w:rsid w:val="007D436D"/>
    <w:rsid w:val="007D4389"/>
    <w:rsid w:val="007D43D4"/>
    <w:rsid w:val="007D43DA"/>
    <w:rsid w:val="007D43DC"/>
    <w:rsid w:val="007D441E"/>
    <w:rsid w:val="007D4424"/>
    <w:rsid w:val="007D442D"/>
    <w:rsid w:val="007D4432"/>
    <w:rsid w:val="007D4482"/>
    <w:rsid w:val="007D44E2"/>
    <w:rsid w:val="007D44FA"/>
    <w:rsid w:val="007D45C5"/>
    <w:rsid w:val="007D45D2"/>
    <w:rsid w:val="007D4638"/>
    <w:rsid w:val="007D466F"/>
    <w:rsid w:val="007D467E"/>
    <w:rsid w:val="007D46A2"/>
    <w:rsid w:val="007D46A7"/>
    <w:rsid w:val="007D46B7"/>
    <w:rsid w:val="007D46D3"/>
    <w:rsid w:val="007D4739"/>
    <w:rsid w:val="007D4778"/>
    <w:rsid w:val="007D47BA"/>
    <w:rsid w:val="007D4802"/>
    <w:rsid w:val="007D488A"/>
    <w:rsid w:val="007D489E"/>
    <w:rsid w:val="007D495A"/>
    <w:rsid w:val="007D495F"/>
    <w:rsid w:val="007D4977"/>
    <w:rsid w:val="007D49A5"/>
    <w:rsid w:val="007D49B4"/>
    <w:rsid w:val="007D49B6"/>
    <w:rsid w:val="007D49EE"/>
    <w:rsid w:val="007D4A0B"/>
    <w:rsid w:val="007D4A4A"/>
    <w:rsid w:val="007D4AC6"/>
    <w:rsid w:val="007D4B49"/>
    <w:rsid w:val="007D4B4E"/>
    <w:rsid w:val="007D4B75"/>
    <w:rsid w:val="007D4B78"/>
    <w:rsid w:val="007D4C02"/>
    <w:rsid w:val="007D4C6D"/>
    <w:rsid w:val="007D4CBA"/>
    <w:rsid w:val="007D4CC2"/>
    <w:rsid w:val="007D4CEC"/>
    <w:rsid w:val="007D4D05"/>
    <w:rsid w:val="007D4DC4"/>
    <w:rsid w:val="007D4DEE"/>
    <w:rsid w:val="007D4DF7"/>
    <w:rsid w:val="007D4DFF"/>
    <w:rsid w:val="007D4E2D"/>
    <w:rsid w:val="007D4E88"/>
    <w:rsid w:val="007D4EF8"/>
    <w:rsid w:val="007D4F2D"/>
    <w:rsid w:val="007D506C"/>
    <w:rsid w:val="007D509D"/>
    <w:rsid w:val="007D519C"/>
    <w:rsid w:val="007D51C8"/>
    <w:rsid w:val="007D51CF"/>
    <w:rsid w:val="007D528D"/>
    <w:rsid w:val="007D52A4"/>
    <w:rsid w:val="007D52BD"/>
    <w:rsid w:val="007D5395"/>
    <w:rsid w:val="007D548A"/>
    <w:rsid w:val="007D5512"/>
    <w:rsid w:val="007D5522"/>
    <w:rsid w:val="007D555F"/>
    <w:rsid w:val="007D5585"/>
    <w:rsid w:val="007D5596"/>
    <w:rsid w:val="007D55A3"/>
    <w:rsid w:val="007D55C1"/>
    <w:rsid w:val="007D55DE"/>
    <w:rsid w:val="007D5618"/>
    <w:rsid w:val="007D5619"/>
    <w:rsid w:val="007D5684"/>
    <w:rsid w:val="007D5685"/>
    <w:rsid w:val="007D5691"/>
    <w:rsid w:val="007D56BD"/>
    <w:rsid w:val="007D574A"/>
    <w:rsid w:val="007D5754"/>
    <w:rsid w:val="007D578C"/>
    <w:rsid w:val="007D57B1"/>
    <w:rsid w:val="007D5805"/>
    <w:rsid w:val="007D583C"/>
    <w:rsid w:val="007D5866"/>
    <w:rsid w:val="007D58A1"/>
    <w:rsid w:val="007D58C9"/>
    <w:rsid w:val="007D58D1"/>
    <w:rsid w:val="007D590D"/>
    <w:rsid w:val="007D5919"/>
    <w:rsid w:val="007D592B"/>
    <w:rsid w:val="007D59BF"/>
    <w:rsid w:val="007D5A00"/>
    <w:rsid w:val="007D5A6A"/>
    <w:rsid w:val="007D5AA6"/>
    <w:rsid w:val="007D5AEB"/>
    <w:rsid w:val="007D5AF4"/>
    <w:rsid w:val="007D5B39"/>
    <w:rsid w:val="007D5BA7"/>
    <w:rsid w:val="007D5BE8"/>
    <w:rsid w:val="007D5BF0"/>
    <w:rsid w:val="007D5C87"/>
    <w:rsid w:val="007D5D04"/>
    <w:rsid w:val="007D5DA4"/>
    <w:rsid w:val="007D5DCB"/>
    <w:rsid w:val="007D5DD1"/>
    <w:rsid w:val="007D5DE7"/>
    <w:rsid w:val="007D5E15"/>
    <w:rsid w:val="007D5E24"/>
    <w:rsid w:val="007D5E31"/>
    <w:rsid w:val="007D5E68"/>
    <w:rsid w:val="007D5E71"/>
    <w:rsid w:val="007D5ECB"/>
    <w:rsid w:val="007D5F24"/>
    <w:rsid w:val="007D5F63"/>
    <w:rsid w:val="007D60B4"/>
    <w:rsid w:val="007D60D2"/>
    <w:rsid w:val="007D60EA"/>
    <w:rsid w:val="007D614C"/>
    <w:rsid w:val="007D6200"/>
    <w:rsid w:val="007D6209"/>
    <w:rsid w:val="007D624C"/>
    <w:rsid w:val="007D624E"/>
    <w:rsid w:val="007D62AD"/>
    <w:rsid w:val="007D631C"/>
    <w:rsid w:val="007D6348"/>
    <w:rsid w:val="007D634E"/>
    <w:rsid w:val="007D6362"/>
    <w:rsid w:val="007D6384"/>
    <w:rsid w:val="007D63A0"/>
    <w:rsid w:val="007D63D1"/>
    <w:rsid w:val="007D6418"/>
    <w:rsid w:val="007D6446"/>
    <w:rsid w:val="007D6521"/>
    <w:rsid w:val="007D66A5"/>
    <w:rsid w:val="007D66F7"/>
    <w:rsid w:val="007D676E"/>
    <w:rsid w:val="007D67CD"/>
    <w:rsid w:val="007D67EF"/>
    <w:rsid w:val="007D67F3"/>
    <w:rsid w:val="007D680A"/>
    <w:rsid w:val="007D6811"/>
    <w:rsid w:val="007D681A"/>
    <w:rsid w:val="007D68A1"/>
    <w:rsid w:val="007D6910"/>
    <w:rsid w:val="007D696E"/>
    <w:rsid w:val="007D697B"/>
    <w:rsid w:val="007D69AB"/>
    <w:rsid w:val="007D69CB"/>
    <w:rsid w:val="007D6A0F"/>
    <w:rsid w:val="007D6A23"/>
    <w:rsid w:val="007D6A5D"/>
    <w:rsid w:val="007D6ACF"/>
    <w:rsid w:val="007D6AF2"/>
    <w:rsid w:val="007D6B04"/>
    <w:rsid w:val="007D6B0D"/>
    <w:rsid w:val="007D6B87"/>
    <w:rsid w:val="007D6B8F"/>
    <w:rsid w:val="007D6BAA"/>
    <w:rsid w:val="007D6BB6"/>
    <w:rsid w:val="007D6C1E"/>
    <w:rsid w:val="007D6C2E"/>
    <w:rsid w:val="007D6C46"/>
    <w:rsid w:val="007D6C93"/>
    <w:rsid w:val="007D6D24"/>
    <w:rsid w:val="007D6D50"/>
    <w:rsid w:val="007D6D93"/>
    <w:rsid w:val="007D6DC9"/>
    <w:rsid w:val="007D6E2B"/>
    <w:rsid w:val="007D6E91"/>
    <w:rsid w:val="007D6EB7"/>
    <w:rsid w:val="007D6EEA"/>
    <w:rsid w:val="007D6F3A"/>
    <w:rsid w:val="007D6FB0"/>
    <w:rsid w:val="007D7023"/>
    <w:rsid w:val="007D702E"/>
    <w:rsid w:val="007D703D"/>
    <w:rsid w:val="007D7040"/>
    <w:rsid w:val="007D7057"/>
    <w:rsid w:val="007D706B"/>
    <w:rsid w:val="007D7098"/>
    <w:rsid w:val="007D70C4"/>
    <w:rsid w:val="007D70D7"/>
    <w:rsid w:val="007D70E8"/>
    <w:rsid w:val="007D7152"/>
    <w:rsid w:val="007D7187"/>
    <w:rsid w:val="007D71F6"/>
    <w:rsid w:val="007D71FC"/>
    <w:rsid w:val="007D722D"/>
    <w:rsid w:val="007D7244"/>
    <w:rsid w:val="007D7271"/>
    <w:rsid w:val="007D727E"/>
    <w:rsid w:val="007D729E"/>
    <w:rsid w:val="007D72F9"/>
    <w:rsid w:val="007D7410"/>
    <w:rsid w:val="007D7491"/>
    <w:rsid w:val="007D7492"/>
    <w:rsid w:val="007D74A7"/>
    <w:rsid w:val="007D7549"/>
    <w:rsid w:val="007D7565"/>
    <w:rsid w:val="007D7587"/>
    <w:rsid w:val="007D7594"/>
    <w:rsid w:val="007D75AE"/>
    <w:rsid w:val="007D7615"/>
    <w:rsid w:val="007D7632"/>
    <w:rsid w:val="007D7648"/>
    <w:rsid w:val="007D764F"/>
    <w:rsid w:val="007D76ED"/>
    <w:rsid w:val="007D76F4"/>
    <w:rsid w:val="007D77C9"/>
    <w:rsid w:val="007D77CE"/>
    <w:rsid w:val="007D77E2"/>
    <w:rsid w:val="007D77E4"/>
    <w:rsid w:val="007D780D"/>
    <w:rsid w:val="007D786F"/>
    <w:rsid w:val="007D7882"/>
    <w:rsid w:val="007D78EC"/>
    <w:rsid w:val="007D794B"/>
    <w:rsid w:val="007D7996"/>
    <w:rsid w:val="007D79B3"/>
    <w:rsid w:val="007D79D8"/>
    <w:rsid w:val="007D79EB"/>
    <w:rsid w:val="007D7A17"/>
    <w:rsid w:val="007D7A91"/>
    <w:rsid w:val="007D7A97"/>
    <w:rsid w:val="007D7ABC"/>
    <w:rsid w:val="007D7AC0"/>
    <w:rsid w:val="007D7AFE"/>
    <w:rsid w:val="007D7B0B"/>
    <w:rsid w:val="007D7B13"/>
    <w:rsid w:val="007D7B6C"/>
    <w:rsid w:val="007D7B81"/>
    <w:rsid w:val="007D7CBD"/>
    <w:rsid w:val="007D7D17"/>
    <w:rsid w:val="007D7D33"/>
    <w:rsid w:val="007D7DCE"/>
    <w:rsid w:val="007D7DDA"/>
    <w:rsid w:val="007D7E03"/>
    <w:rsid w:val="007D7E8D"/>
    <w:rsid w:val="007D7E9C"/>
    <w:rsid w:val="007D7ED5"/>
    <w:rsid w:val="007D7EDA"/>
    <w:rsid w:val="007D7EF8"/>
    <w:rsid w:val="007D7F20"/>
    <w:rsid w:val="007D7F64"/>
    <w:rsid w:val="007D7F96"/>
    <w:rsid w:val="007D7FE6"/>
    <w:rsid w:val="007E0017"/>
    <w:rsid w:val="007E0041"/>
    <w:rsid w:val="007E0059"/>
    <w:rsid w:val="007E009B"/>
    <w:rsid w:val="007E009E"/>
    <w:rsid w:val="007E00A7"/>
    <w:rsid w:val="007E00CE"/>
    <w:rsid w:val="007E00EF"/>
    <w:rsid w:val="007E00FE"/>
    <w:rsid w:val="007E015A"/>
    <w:rsid w:val="007E0169"/>
    <w:rsid w:val="007E017F"/>
    <w:rsid w:val="007E01BC"/>
    <w:rsid w:val="007E0216"/>
    <w:rsid w:val="007E021C"/>
    <w:rsid w:val="007E02AC"/>
    <w:rsid w:val="007E02F3"/>
    <w:rsid w:val="007E02F4"/>
    <w:rsid w:val="007E0301"/>
    <w:rsid w:val="007E0305"/>
    <w:rsid w:val="007E041D"/>
    <w:rsid w:val="007E0457"/>
    <w:rsid w:val="007E04AF"/>
    <w:rsid w:val="007E04E8"/>
    <w:rsid w:val="007E054D"/>
    <w:rsid w:val="007E0599"/>
    <w:rsid w:val="007E05C5"/>
    <w:rsid w:val="007E064C"/>
    <w:rsid w:val="007E06AD"/>
    <w:rsid w:val="007E06C5"/>
    <w:rsid w:val="007E06D6"/>
    <w:rsid w:val="007E072C"/>
    <w:rsid w:val="007E07A0"/>
    <w:rsid w:val="007E07C9"/>
    <w:rsid w:val="007E0825"/>
    <w:rsid w:val="007E0845"/>
    <w:rsid w:val="007E0892"/>
    <w:rsid w:val="007E08D3"/>
    <w:rsid w:val="007E08F1"/>
    <w:rsid w:val="007E093E"/>
    <w:rsid w:val="007E0A0A"/>
    <w:rsid w:val="007E0A14"/>
    <w:rsid w:val="007E0AA9"/>
    <w:rsid w:val="007E0ABA"/>
    <w:rsid w:val="007E0AC8"/>
    <w:rsid w:val="007E0ADA"/>
    <w:rsid w:val="007E0AE3"/>
    <w:rsid w:val="007E0AEC"/>
    <w:rsid w:val="007E0B71"/>
    <w:rsid w:val="007E0BDA"/>
    <w:rsid w:val="007E0C53"/>
    <w:rsid w:val="007E0C7A"/>
    <w:rsid w:val="007E0C7E"/>
    <w:rsid w:val="007E0CAB"/>
    <w:rsid w:val="007E0CB8"/>
    <w:rsid w:val="007E0D18"/>
    <w:rsid w:val="007E0D2A"/>
    <w:rsid w:val="007E0E7A"/>
    <w:rsid w:val="007E0E85"/>
    <w:rsid w:val="007E0EB4"/>
    <w:rsid w:val="007E0EC8"/>
    <w:rsid w:val="007E0F26"/>
    <w:rsid w:val="007E0F74"/>
    <w:rsid w:val="007E0FB1"/>
    <w:rsid w:val="007E0FBD"/>
    <w:rsid w:val="007E101E"/>
    <w:rsid w:val="007E107E"/>
    <w:rsid w:val="007E1082"/>
    <w:rsid w:val="007E1139"/>
    <w:rsid w:val="007E1178"/>
    <w:rsid w:val="007E11AD"/>
    <w:rsid w:val="007E11F5"/>
    <w:rsid w:val="007E1269"/>
    <w:rsid w:val="007E12B7"/>
    <w:rsid w:val="007E12EE"/>
    <w:rsid w:val="007E12F0"/>
    <w:rsid w:val="007E12F7"/>
    <w:rsid w:val="007E136F"/>
    <w:rsid w:val="007E13D8"/>
    <w:rsid w:val="007E13F3"/>
    <w:rsid w:val="007E1412"/>
    <w:rsid w:val="007E1449"/>
    <w:rsid w:val="007E1454"/>
    <w:rsid w:val="007E1497"/>
    <w:rsid w:val="007E15BA"/>
    <w:rsid w:val="007E160B"/>
    <w:rsid w:val="007E1616"/>
    <w:rsid w:val="007E1626"/>
    <w:rsid w:val="007E1635"/>
    <w:rsid w:val="007E165E"/>
    <w:rsid w:val="007E166C"/>
    <w:rsid w:val="007E16CC"/>
    <w:rsid w:val="007E16E4"/>
    <w:rsid w:val="007E16ED"/>
    <w:rsid w:val="007E1727"/>
    <w:rsid w:val="007E1740"/>
    <w:rsid w:val="007E179A"/>
    <w:rsid w:val="007E17CC"/>
    <w:rsid w:val="007E1847"/>
    <w:rsid w:val="007E18AA"/>
    <w:rsid w:val="007E18CF"/>
    <w:rsid w:val="007E1900"/>
    <w:rsid w:val="007E1997"/>
    <w:rsid w:val="007E19BD"/>
    <w:rsid w:val="007E19EB"/>
    <w:rsid w:val="007E19F3"/>
    <w:rsid w:val="007E1A24"/>
    <w:rsid w:val="007E1A48"/>
    <w:rsid w:val="007E1A51"/>
    <w:rsid w:val="007E1A5A"/>
    <w:rsid w:val="007E1A6B"/>
    <w:rsid w:val="007E1ACC"/>
    <w:rsid w:val="007E1AF7"/>
    <w:rsid w:val="007E1B09"/>
    <w:rsid w:val="007E1B10"/>
    <w:rsid w:val="007E1B56"/>
    <w:rsid w:val="007E1BA5"/>
    <w:rsid w:val="007E1BC0"/>
    <w:rsid w:val="007E1BE0"/>
    <w:rsid w:val="007E1C75"/>
    <w:rsid w:val="007E1C8B"/>
    <w:rsid w:val="007E1C9D"/>
    <w:rsid w:val="007E1CD4"/>
    <w:rsid w:val="007E1D96"/>
    <w:rsid w:val="007E1D9C"/>
    <w:rsid w:val="007E1DBD"/>
    <w:rsid w:val="007E1E1D"/>
    <w:rsid w:val="007E1EF1"/>
    <w:rsid w:val="007E1F02"/>
    <w:rsid w:val="007E1F1A"/>
    <w:rsid w:val="007E1F77"/>
    <w:rsid w:val="007E1FE1"/>
    <w:rsid w:val="007E1FE4"/>
    <w:rsid w:val="007E1FF3"/>
    <w:rsid w:val="007E1FF7"/>
    <w:rsid w:val="007E202E"/>
    <w:rsid w:val="007E204C"/>
    <w:rsid w:val="007E208D"/>
    <w:rsid w:val="007E20A3"/>
    <w:rsid w:val="007E21A5"/>
    <w:rsid w:val="007E2340"/>
    <w:rsid w:val="007E237F"/>
    <w:rsid w:val="007E23A8"/>
    <w:rsid w:val="007E23C1"/>
    <w:rsid w:val="007E23D8"/>
    <w:rsid w:val="007E23F7"/>
    <w:rsid w:val="007E2437"/>
    <w:rsid w:val="007E2464"/>
    <w:rsid w:val="007E24CE"/>
    <w:rsid w:val="007E24D7"/>
    <w:rsid w:val="007E2566"/>
    <w:rsid w:val="007E25A0"/>
    <w:rsid w:val="007E25CD"/>
    <w:rsid w:val="007E2611"/>
    <w:rsid w:val="007E261B"/>
    <w:rsid w:val="007E261D"/>
    <w:rsid w:val="007E262F"/>
    <w:rsid w:val="007E2663"/>
    <w:rsid w:val="007E276D"/>
    <w:rsid w:val="007E27FB"/>
    <w:rsid w:val="007E28A2"/>
    <w:rsid w:val="007E2915"/>
    <w:rsid w:val="007E2954"/>
    <w:rsid w:val="007E29E4"/>
    <w:rsid w:val="007E2A11"/>
    <w:rsid w:val="007E2A21"/>
    <w:rsid w:val="007E2A7D"/>
    <w:rsid w:val="007E2A7E"/>
    <w:rsid w:val="007E2A8C"/>
    <w:rsid w:val="007E2B2C"/>
    <w:rsid w:val="007E2C0B"/>
    <w:rsid w:val="007E2CE6"/>
    <w:rsid w:val="007E2D03"/>
    <w:rsid w:val="007E2D05"/>
    <w:rsid w:val="007E2D43"/>
    <w:rsid w:val="007E2D52"/>
    <w:rsid w:val="007E2D77"/>
    <w:rsid w:val="007E2DBE"/>
    <w:rsid w:val="007E2E4E"/>
    <w:rsid w:val="007E2E75"/>
    <w:rsid w:val="007E2F64"/>
    <w:rsid w:val="007E2F6E"/>
    <w:rsid w:val="007E2F79"/>
    <w:rsid w:val="007E2F7B"/>
    <w:rsid w:val="007E2FBC"/>
    <w:rsid w:val="007E2FCA"/>
    <w:rsid w:val="007E2FFB"/>
    <w:rsid w:val="007E305A"/>
    <w:rsid w:val="007E3067"/>
    <w:rsid w:val="007E306F"/>
    <w:rsid w:val="007E308F"/>
    <w:rsid w:val="007E310A"/>
    <w:rsid w:val="007E3231"/>
    <w:rsid w:val="007E325E"/>
    <w:rsid w:val="007E3374"/>
    <w:rsid w:val="007E33A7"/>
    <w:rsid w:val="007E33C5"/>
    <w:rsid w:val="007E3434"/>
    <w:rsid w:val="007E3450"/>
    <w:rsid w:val="007E3515"/>
    <w:rsid w:val="007E3558"/>
    <w:rsid w:val="007E356F"/>
    <w:rsid w:val="007E35FF"/>
    <w:rsid w:val="007E3618"/>
    <w:rsid w:val="007E3627"/>
    <w:rsid w:val="007E36A0"/>
    <w:rsid w:val="007E36F8"/>
    <w:rsid w:val="007E3722"/>
    <w:rsid w:val="007E372E"/>
    <w:rsid w:val="007E37E5"/>
    <w:rsid w:val="007E3819"/>
    <w:rsid w:val="007E3857"/>
    <w:rsid w:val="007E386E"/>
    <w:rsid w:val="007E38E7"/>
    <w:rsid w:val="007E3982"/>
    <w:rsid w:val="007E3A6E"/>
    <w:rsid w:val="007E3A8E"/>
    <w:rsid w:val="007E3AD4"/>
    <w:rsid w:val="007E3AD8"/>
    <w:rsid w:val="007E3AE8"/>
    <w:rsid w:val="007E3B0A"/>
    <w:rsid w:val="007E3B53"/>
    <w:rsid w:val="007E3BFB"/>
    <w:rsid w:val="007E3BFF"/>
    <w:rsid w:val="007E3C07"/>
    <w:rsid w:val="007E3C1B"/>
    <w:rsid w:val="007E3C82"/>
    <w:rsid w:val="007E3CD8"/>
    <w:rsid w:val="007E3D16"/>
    <w:rsid w:val="007E3D5C"/>
    <w:rsid w:val="007E3E0D"/>
    <w:rsid w:val="007E3E24"/>
    <w:rsid w:val="007E3E6C"/>
    <w:rsid w:val="007E3F02"/>
    <w:rsid w:val="007E3F05"/>
    <w:rsid w:val="007E3FB8"/>
    <w:rsid w:val="007E416C"/>
    <w:rsid w:val="007E41BD"/>
    <w:rsid w:val="007E42C9"/>
    <w:rsid w:val="007E435A"/>
    <w:rsid w:val="007E4375"/>
    <w:rsid w:val="007E4390"/>
    <w:rsid w:val="007E43A7"/>
    <w:rsid w:val="007E445D"/>
    <w:rsid w:val="007E446D"/>
    <w:rsid w:val="007E4519"/>
    <w:rsid w:val="007E4560"/>
    <w:rsid w:val="007E457E"/>
    <w:rsid w:val="007E459A"/>
    <w:rsid w:val="007E459F"/>
    <w:rsid w:val="007E4644"/>
    <w:rsid w:val="007E46B7"/>
    <w:rsid w:val="007E4798"/>
    <w:rsid w:val="007E4908"/>
    <w:rsid w:val="007E4965"/>
    <w:rsid w:val="007E4971"/>
    <w:rsid w:val="007E4A0E"/>
    <w:rsid w:val="007E4A26"/>
    <w:rsid w:val="007E4A42"/>
    <w:rsid w:val="007E4AD6"/>
    <w:rsid w:val="007E4B14"/>
    <w:rsid w:val="007E4B4E"/>
    <w:rsid w:val="007E4C32"/>
    <w:rsid w:val="007E4C40"/>
    <w:rsid w:val="007E4C60"/>
    <w:rsid w:val="007E4C85"/>
    <w:rsid w:val="007E4CCB"/>
    <w:rsid w:val="007E4CFF"/>
    <w:rsid w:val="007E4D29"/>
    <w:rsid w:val="007E4D6D"/>
    <w:rsid w:val="007E4D85"/>
    <w:rsid w:val="007E4E02"/>
    <w:rsid w:val="007E4E27"/>
    <w:rsid w:val="007E4E31"/>
    <w:rsid w:val="007E4E64"/>
    <w:rsid w:val="007E4E67"/>
    <w:rsid w:val="007E4E7A"/>
    <w:rsid w:val="007E4EC1"/>
    <w:rsid w:val="007E4EE7"/>
    <w:rsid w:val="007E4F08"/>
    <w:rsid w:val="007E4F5F"/>
    <w:rsid w:val="007E4FAF"/>
    <w:rsid w:val="007E5080"/>
    <w:rsid w:val="007E50A1"/>
    <w:rsid w:val="007E50D8"/>
    <w:rsid w:val="007E5120"/>
    <w:rsid w:val="007E512E"/>
    <w:rsid w:val="007E5146"/>
    <w:rsid w:val="007E5155"/>
    <w:rsid w:val="007E51BC"/>
    <w:rsid w:val="007E51F4"/>
    <w:rsid w:val="007E5242"/>
    <w:rsid w:val="007E5248"/>
    <w:rsid w:val="007E532B"/>
    <w:rsid w:val="007E5333"/>
    <w:rsid w:val="007E5341"/>
    <w:rsid w:val="007E5404"/>
    <w:rsid w:val="007E5442"/>
    <w:rsid w:val="007E548D"/>
    <w:rsid w:val="007E54AD"/>
    <w:rsid w:val="007E54CE"/>
    <w:rsid w:val="007E551E"/>
    <w:rsid w:val="007E553B"/>
    <w:rsid w:val="007E55E0"/>
    <w:rsid w:val="007E5636"/>
    <w:rsid w:val="007E568F"/>
    <w:rsid w:val="007E572E"/>
    <w:rsid w:val="007E5730"/>
    <w:rsid w:val="007E5733"/>
    <w:rsid w:val="007E5744"/>
    <w:rsid w:val="007E57F3"/>
    <w:rsid w:val="007E582A"/>
    <w:rsid w:val="007E595A"/>
    <w:rsid w:val="007E5982"/>
    <w:rsid w:val="007E5983"/>
    <w:rsid w:val="007E5A02"/>
    <w:rsid w:val="007E5A95"/>
    <w:rsid w:val="007E5AAC"/>
    <w:rsid w:val="007E5B2A"/>
    <w:rsid w:val="007E5B4D"/>
    <w:rsid w:val="007E5B70"/>
    <w:rsid w:val="007E5BBE"/>
    <w:rsid w:val="007E5C34"/>
    <w:rsid w:val="007E5C53"/>
    <w:rsid w:val="007E5C6F"/>
    <w:rsid w:val="007E5C82"/>
    <w:rsid w:val="007E5D35"/>
    <w:rsid w:val="007E5D71"/>
    <w:rsid w:val="007E5DA3"/>
    <w:rsid w:val="007E5DBE"/>
    <w:rsid w:val="007E5E21"/>
    <w:rsid w:val="007E5E3C"/>
    <w:rsid w:val="007E5E50"/>
    <w:rsid w:val="007E5E78"/>
    <w:rsid w:val="007E5E8C"/>
    <w:rsid w:val="007E5EAA"/>
    <w:rsid w:val="007E5F92"/>
    <w:rsid w:val="007E5FE4"/>
    <w:rsid w:val="007E604D"/>
    <w:rsid w:val="007E606B"/>
    <w:rsid w:val="007E60B6"/>
    <w:rsid w:val="007E6124"/>
    <w:rsid w:val="007E63E5"/>
    <w:rsid w:val="007E63EF"/>
    <w:rsid w:val="007E6415"/>
    <w:rsid w:val="007E6456"/>
    <w:rsid w:val="007E64A5"/>
    <w:rsid w:val="007E64AC"/>
    <w:rsid w:val="007E6513"/>
    <w:rsid w:val="007E654E"/>
    <w:rsid w:val="007E6552"/>
    <w:rsid w:val="007E6554"/>
    <w:rsid w:val="007E6571"/>
    <w:rsid w:val="007E65A9"/>
    <w:rsid w:val="007E65AD"/>
    <w:rsid w:val="007E65E3"/>
    <w:rsid w:val="007E665B"/>
    <w:rsid w:val="007E66F8"/>
    <w:rsid w:val="007E6733"/>
    <w:rsid w:val="007E6749"/>
    <w:rsid w:val="007E677B"/>
    <w:rsid w:val="007E6789"/>
    <w:rsid w:val="007E679D"/>
    <w:rsid w:val="007E67E6"/>
    <w:rsid w:val="007E683F"/>
    <w:rsid w:val="007E6860"/>
    <w:rsid w:val="007E6868"/>
    <w:rsid w:val="007E68CB"/>
    <w:rsid w:val="007E6908"/>
    <w:rsid w:val="007E6975"/>
    <w:rsid w:val="007E6981"/>
    <w:rsid w:val="007E69F0"/>
    <w:rsid w:val="007E6A63"/>
    <w:rsid w:val="007E6A72"/>
    <w:rsid w:val="007E6A97"/>
    <w:rsid w:val="007E6ABA"/>
    <w:rsid w:val="007E6AE6"/>
    <w:rsid w:val="007E6C12"/>
    <w:rsid w:val="007E6CC7"/>
    <w:rsid w:val="007E6CDB"/>
    <w:rsid w:val="007E6CE1"/>
    <w:rsid w:val="007E6D5C"/>
    <w:rsid w:val="007E6DCA"/>
    <w:rsid w:val="007E6E1A"/>
    <w:rsid w:val="007E6E28"/>
    <w:rsid w:val="007E6E65"/>
    <w:rsid w:val="007E6E74"/>
    <w:rsid w:val="007E6EA3"/>
    <w:rsid w:val="007E6EA7"/>
    <w:rsid w:val="007E6EC3"/>
    <w:rsid w:val="007E6F38"/>
    <w:rsid w:val="007E6F60"/>
    <w:rsid w:val="007E6F6B"/>
    <w:rsid w:val="007E6F7F"/>
    <w:rsid w:val="007E6FC1"/>
    <w:rsid w:val="007E6FD7"/>
    <w:rsid w:val="007E6FDC"/>
    <w:rsid w:val="007E6FE2"/>
    <w:rsid w:val="007E7069"/>
    <w:rsid w:val="007E71B2"/>
    <w:rsid w:val="007E71D2"/>
    <w:rsid w:val="007E71E3"/>
    <w:rsid w:val="007E723A"/>
    <w:rsid w:val="007E723C"/>
    <w:rsid w:val="007E7265"/>
    <w:rsid w:val="007E7325"/>
    <w:rsid w:val="007E7331"/>
    <w:rsid w:val="007E73AE"/>
    <w:rsid w:val="007E745D"/>
    <w:rsid w:val="007E751B"/>
    <w:rsid w:val="007E755A"/>
    <w:rsid w:val="007E759D"/>
    <w:rsid w:val="007E75B6"/>
    <w:rsid w:val="007E75D7"/>
    <w:rsid w:val="007E764B"/>
    <w:rsid w:val="007E7660"/>
    <w:rsid w:val="007E7664"/>
    <w:rsid w:val="007E767C"/>
    <w:rsid w:val="007E7681"/>
    <w:rsid w:val="007E769F"/>
    <w:rsid w:val="007E76A6"/>
    <w:rsid w:val="007E76E0"/>
    <w:rsid w:val="007E7708"/>
    <w:rsid w:val="007E774E"/>
    <w:rsid w:val="007E7785"/>
    <w:rsid w:val="007E77B0"/>
    <w:rsid w:val="007E77B7"/>
    <w:rsid w:val="007E77E7"/>
    <w:rsid w:val="007E7806"/>
    <w:rsid w:val="007E7826"/>
    <w:rsid w:val="007E7855"/>
    <w:rsid w:val="007E78BF"/>
    <w:rsid w:val="007E78C7"/>
    <w:rsid w:val="007E78F4"/>
    <w:rsid w:val="007E78F9"/>
    <w:rsid w:val="007E79A4"/>
    <w:rsid w:val="007E7B47"/>
    <w:rsid w:val="007E7B74"/>
    <w:rsid w:val="007E7B85"/>
    <w:rsid w:val="007E7BE3"/>
    <w:rsid w:val="007E7DC0"/>
    <w:rsid w:val="007E7E87"/>
    <w:rsid w:val="007E7E9B"/>
    <w:rsid w:val="007E7F0A"/>
    <w:rsid w:val="007E7F1F"/>
    <w:rsid w:val="007E7F60"/>
    <w:rsid w:val="007E7F8E"/>
    <w:rsid w:val="007E7FA7"/>
    <w:rsid w:val="007E7FC9"/>
    <w:rsid w:val="007E7FF6"/>
    <w:rsid w:val="007F0050"/>
    <w:rsid w:val="007F00E5"/>
    <w:rsid w:val="007F011A"/>
    <w:rsid w:val="007F012C"/>
    <w:rsid w:val="007F0136"/>
    <w:rsid w:val="007F0164"/>
    <w:rsid w:val="007F0183"/>
    <w:rsid w:val="007F0187"/>
    <w:rsid w:val="007F01E3"/>
    <w:rsid w:val="007F01F7"/>
    <w:rsid w:val="007F0214"/>
    <w:rsid w:val="007F0224"/>
    <w:rsid w:val="007F0281"/>
    <w:rsid w:val="007F028B"/>
    <w:rsid w:val="007F02A7"/>
    <w:rsid w:val="007F02F1"/>
    <w:rsid w:val="007F0305"/>
    <w:rsid w:val="007F035F"/>
    <w:rsid w:val="007F03AB"/>
    <w:rsid w:val="007F03EC"/>
    <w:rsid w:val="007F047B"/>
    <w:rsid w:val="007F0484"/>
    <w:rsid w:val="007F04BF"/>
    <w:rsid w:val="007F04DD"/>
    <w:rsid w:val="007F0573"/>
    <w:rsid w:val="007F066F"/>
    <w:rsid w:val="007F0688"/>
    <w:rsid w:val="007F06A0"/>
    <w:rsid w:val="007F0790"/>
    <w:rsid w:val="007F07D6"/>
    <w:rsid w:val="007F082A"/>
    <w:rsid w:val="007F0876"/>
    <w:rsid w:val="007F09AC"/>
    <w:rsid w:val="007F09D3"/>
    <w:rsid w:val="007F0A01"/>
    <w:rsid w:val="007F0A4D"/>
    <w:rsid w:val="007F0A63"/>
    <w:rsid w:val="007F0A6C"/>
    <w:rsid w:val="007F0AF5"/>
    <w:rsid w:val="007F0B04"/>
    <w:rsid w:val="007F0B72"/>
    <w:rsid w:val="007F0B81"/>
    <w:rsid w:val="007F0B91"/>
    <w:rsid w:val="007F0BA0"/>
    <w:rsid w:val="007F0BC4"/>
    <w:rsid w:val="007F0BEC"/>
    <w:rsid w:val="007F0C34"/>
    <w:rsid w:val="007F0C47"/>
    <w:rsid w:val="007F0D65"/>
    <w:rsid w:val="007F0D75"/>
    <w:rsid w:val="007F0E32"/>
    <w:rsid w:val="007F0E60"/>
    <w:rsid w:val="007F0E8A"/>
    <w:rsid w:val="007F0ED7"/>
    <w:rsid w:val="007F0F09"/>
    <w:rsid w:val="007F0F2E"/>
    <w:rsid w:val="007F0F68"/>
    <w:rsid w:val="007F0F6F"/>
    <w:rsid w:val="007F0FB5"/>
    <w:rsid w:val="007F0FFA"/>
    <w:rsid w:val="007F1052"/>
    <w:rsid w:val="007F1060"/>
    <w:rsid w:val="007F10AC"/>
    <w:rsid w:val="007F10B5"/>
    <w:rsid w:val="007F10B8"/>
    <w:rsid w:val="007F11B6"/>
    <w:rsid w:val="007F11BF"/>
    <w:rsid w:val="007F122B"/>
    <w:rsid w:val="007F12AB"/>
    <w:rsid w:val="007F12AE"/>
    <w:rsid w:val="007F12DE"/>
    <w:rsid w:val="007F1313"/>
    <w:rsid w:val="007F136F"/>
    <w:rsid w:val="007F13EC"/>
    <w:rsid w:val="007F1465"/>
    <w:rsid w:val="007F14B7"/>
    <w:rsid w:val="007F1505"/>
    <w:rsid w:val="007F1567"/>
    <w:rsid w:val="007F15B3"/>
    <w:rsid w:val="007F163F"/>
    <w:rsid w:val="007F16D4"/>
    <w:rsid w:val="007F16F0"/>
    <w:rsid w:val="007F172E"/>
    <w:rsid w:val="007F1745"/>
    <w:rsid w:val="007F17AA"/>
    <w:rsid w:val="007F17C4"/>
    <w:rsid w:val="007F17CE"/>
    <w:rsid w:val="007F1877"/>
    <w:rsid w:val="007F188B"/>
    <w:rsid w:val="007F18CF"/>
    <w:rsid w:val="007F191B"/>
    <w:rsid w:val="007F1924"/>
    <w:rsid w:val="007F193E"/>
    <w:rsid w:val="007F1962"/>
    <w:rsid w:val="007F19B6"/>
    <w:rsid w:val="007F19DF"/>
    <w:rsid w:val="007F1A2D"/>
    <w:rsid w:val="007F1A4F"/>
    <w:rsid w:val="007F1ABB"/>
    <w:rsid w:val="007F1AEE"/>
    <w:rsid w:val="007F1AF6"/>
    <w:rsid w:val="007F1B19"/>
    <w:rsid w:val="007F1B41"/>
    <w:rsid w:val="007F1B6E"/>
    <w:rsid w:val="007F1C1B"/>
    <w:rsid w:val="007F1C4E"/>
    <w:rsid w:val="007F1D02"/>
    <w:rsid w:val="007F1D4C"/>
    <w:rsid w:val="007F1D6B"/>
    <w:rsid w:val="007F1DC3"/>
    <w:rsid w:val="007F1E57"/>
    <w:rsid w:val="007F1E98"/>
    <w:rsid w:val="007F1F40"/>
    <w:rsid w:val="007F1F43"/>
    <w:rsid w:val="007F1F6F"/>
    <w:rsid w:val="007F1FA0"/>
    <w:rsid w:val="007F1FEC"/>
    <w:rsid w:val="007F2021"/>
    <w:rsid w:val="007F2091"/>
    <w:rsid w:val="007F20B6"/>
    <w:rsid w:val="007F20C2"/>
    <w:rsid w:val="007F20E7"/>
    <w:rsid w:val="007F2204"/>
    <w:rsid w:val="007F2220"/>
    <w:rsid w:val="007F2261"/>
    <w:rsid w:val="007F2347"/>
    <w:rsid w:val="007F2359"/>
    <w:rsid w:val="007F23B8"/>
    <w:rsid w:val="007F23C4"/>
    <w:rsid w:val="007F23E7"/>
    <w:rsid w:val="007F23F6"/>
    <w:rsid w:val="007F23FE"/>
    <w:rsid w:val="007F2438"/>
    <w:rsid w:val="007F2449"/>
    <w:rsid w:val="007F24E6"/>
    <w:rsid w:val="007F2532"/>
    <w:rsid w:val="007F257B"/>
    <w:rsid w:val="007F2627"/>
    <w:rsid w:val="007F2641"/>
    <w:rsid w:val="007F264A"/>
    <w:rsid w:val="007F2665"/>
    <w:rsid w:val="007F26A7"/>
    <w:rsid w:val="007F2710"/>
    <w:rsid w:val="007F272D"/>
    <w:rsid w:val="007F2746"/>
    <w:rsid w:val="007F27CD"/>
    <w:rsid w:val="007F280A"/>
    <w:rsid w:val="007F2873"/>
    <w:rsid w:val="007F288A"/>
    <w:rsid w:val="007F2901"/>
    <w:rsid w:val="007F291A"/>
    <w:rsid w:val="007F2933"/>
    <w:rsid w:val="007F2937"/>
    <w:rsid w:val="007F2B13"/>
    <w:rsid w:val="007F2B28"/>
    <w:rsid w:val="007F2BAD"/>
    <w:rsid w:val="007F2BB1"/>
    <w:rsid w:val="007F2BE4"/>
    <w:rsid w:val="007F2C48"/>
    <w:rsid w:val="007F2C55"/>
    <w:rsid w:val="007F2C5B"/>
    <w:rsid w:val="007F2CEE"/>
    <w:rsid w:val="007F2D1B"/>
    <w:rsid w:val="007F2D2B"/>
    <w:rsid w:val="007F2D9A"/>
    <w:rsid w:val="007F2D9D"/>
    <w:rsid w:val="007F2DA4"/>
    <w:rsid w:val="007F2E08"/>
    <w:rsid w:val="007F2E39"/>
    <w:rsid w:val="007F2E73"/>
    <w:rsid w:val="007F2EA4"/>
    <w:rsid w:val="007F2F2F"/>
    <w:rsid w:val="007F2F89"/>
    <w:rsid w:val="007F2F9E"/>
    <w:rsid w:val="007F2FB2"/>
    <w:rsid w:val="007F2FB6"/>
    <w:rsid w:val="007F3006"/>
    <w:rsid w:val="007F30A2"/>
    <w:rsid w:val="007F30F7"/>
    <w:rsid w:val="007F30F8"/>
    <w:rsid w:val="007F3146"/>
    <w:rsid w:val="007F32AD"/>
    <w:rsid w:val="007F32CA"/>
    <w:rsid w:val="007F32E6"/>
    <w:rsid w:val="007F32EA"/>
    <w:rsid w:val="007F3347"/>
    <w:rsid w:val="007F33AE"/>
    <w:rsid w:val="007F33B2"/>
    <w:rsid w:val="007F3416"/>
    <w:rsid w:val="007F341B"/>
    <w:rsid w:val="007F344A"/>
    <w:rsid w:val="007F3480"/>
    <w:rsid w:val="007F34E5"/>
    <w:rsid w:val="007F34F6"/>
    <w:rsid w:val="007F3509"/>
    <w:rsid w:val="007F3511"/>
    <w:rsid w:val="007F3529"/>
    <w:rsid w:val="007F3568"/>
    <w:rsid w:val="007F3572"/>
    <w:rsid w:val="007F358C"/>
    <w:rsid w:val="007F35C8"/>
    <w:rsid w:val="007F35EA"/>
    <w:rsid w:val="007F35F4"/>
    <w:rsid w:val="007F3633"/>
    <w:rsid w:val="007F3646"/>
    <w:rsid w:val="007F3678"/>
    <w:rsid w:val="007F36A6"/>
    <w:rsid w:val="007F36C4"/>
    <w:rsid w:val="007F36DC"/>
    <w:rsid w:val="007F36FD"/>
    <w:rsid w:val="007F3736"/>
    <w:rsid w:val="007F37BA"/>
    <w:rsid w:val="007F37F6"/>
    <w:rsid w:val="007F3879"/>
    <w:rsid w:val="007F3884"/>
    <w:rsid w:val="007F38ED"/>
    <w:rsid w:val="007F391D"/>
    <w:rsid w:val="007F3966"/>
    <w:rsid w:val="007F3974"/>
    <w:rsid w:val="007F39A5"/>
    <w:rsid w:val="007F3AE9"/>
    <w:rsid w:val="007F3B70"/>
    <w:rsid w:val="007F3BAD"/>
    <w:rsid w:val="007F3BC7"/>
    <w:rsid w:val="007F3BEE"/>
    <w:rsid w:val="007F3C24"/>
    <w:rsid w:val="007F3C7D"/>
    <w:rsid w:val="007F3C91"/>
    <w:rsid w:val="007F3CA0"/>
    <w:rsid w:val="007F3CCC"/>
    <w:rsid w:val="007F3D1B"/>
    <w:rsid w:val="007F3D24"/>
    <w:rsid w:val="007F3D3E"/>
    <w:rsid w:val="007F3D45"/>
    <w:rsid w:val="007F3E0E"/>
    <w:rsid w:val="007F3E19"/>
    <w:rsid w:val="007F3E1B"/>
    <w:rsid w:val="007F3E50"/>
    <w:rsid w:val="007F400F"/>
    <w:rsid w:val="007F401D"/>
    <w:rsid w:val="007F4039"/>
    <w:rsid w:val="007F4054"/>
    <w:rsid w:val="007F40F3"/>
    <w:rsid w:val="007F413D"/>
    <w:rsid w:val="007F41B3"/>
    <w:rsid w:val="007F4207"/>
    <w:rsid w:val="007F420B"/>
    <w:rsid w:val="007F427E"/>
    <w:rsid w:val="007F4288"/>
    <w:rsid w:val="007F4298"/>
    <w:rsid w:val="007F429D"/>
    <w:rsid w:val="007F431D"/>
    <w:rsid w:val="007F4358"/>
    <w:rsid w:val="007F43D2"/>
    <w:rsid w:val="007F43F4"/>
    <w:rsid w:val="007F4415"/>
    <w:rsid w:val="007F4427"/>
    <w:rsid w:val="007F444D"/>
    <w:rsid w:val="007F4462"/>
    <w:rsid w:val="007F4475"/>
    <w:rsid w:val="007F4480"/>
    <w:rsid w:val="007F44C7"/>
    <w:rsid w:val="007F44D0"/>
    <w:rsid w:val="007F4545"/>
    <w:rsid w:val="007F4562"/>
    <w:rsid w:val="007F457A"/>
    <w:rsid w:val="007F45A0"/>
    <w:rsid w:val="007F46EC"/>
    <w:rsid w:val="007F46F7"/>
    <w:rsid w:val="007F470B"/>
    <w:rsid w:val="007F475A"/>
    <w:rsid w:val="007F47A5"/>
    <w:rsid w:val="007F4807"/>
    <w:rsid w:val="007F489C"/>
    <w:rsid w:val="007F48A6"/>
    <w:rsid w:val="007F48F9"/>
    <w:rsid w:val="007F4929"/>
    <w:rsid w:val="007F4935"/>
    <w:rsid w:val="007F49C0"/>
    <w:rsid w:val="007F49CF"/>
    <w:rsid w:val="007F4A13"/>
    <w:rsid w:val="007F4A7F"/>
    <w:rsid w:val="007F4ADB"/>
    <w:rsid w:val="007F4AEF"/>
    <w:rsid w:val="007F4B0B"/>
    <w:rsid w:val="007F4B67"/>
    <w:rsid w:val="007F4B84"/>
    <w:rsid w:val="007F4B8A"/>
    <w:rsid w:val="007F4BF0"/>
    <w:rsid w:val="007F4C21"/>
    <w:rsid w:val="007F4C5F"/>
    <w:rsid w:val="007F4C9D"/>
    <w:rsid w:val="007F4CC5"/>
    <w:rsid w:val="007F4D55"/>
    <w:rsid w:val="007F4E43"/>
    <w:rsid w:val="007F4E47"/>
    <w:rsid w:val="007F4E58"/>
    <w:rsid w:val="007F4F0B"/>
    <w:rsid w:val="007F4F16"/>
    <w:rsid w:val="007F4F40"/>
    <w:rsid w:val="007F4F86"/>
    <w:rsid w:val="007F4F8B"/>
    <w:rsid w:val="007F4FCC"/>
    <w:rsid w:val="007F4FDF"/>
    <w:rsid w:val="007F500C"/>
    <w:rsid w:val="007F502B"/>
    <w:rsid w:val="007F5084"/>
    <w:rsid w:val="007F5088"/>
    <w:rsid w:val="007F510C"/>
    <w:rsid w:val="007F511C"/>
    <w:rsid w:val="007F515E"/>
    <w:rsid w:val="007F5290"/>
    <w:rsid w:val="007F52BC"/>
    <w:rsid w:val="007F534A"/>
    <w:rsid w:val="007F53C2"/>
    <w:rsid w:val="007F5433"/>
    <w:rsid w:val="007F547F"/>
    <w:rsid w:val="007F54B6"/>
    <w:rsid w:val="007F54E0"/>
    <w:rsid w:val="007F54FF"/>
    <w:rsid w:val="007F5545"/>
    <w:rsid w:val="007F55B1"/>
    <w:rsid w:val="007F55C3"/>
    <w:rsid w:val="007F55C7"/>
    <w:rsid w:val="007F55ED"/>
    <w:rsid w:val="007F560C"/>
    <w:rsid w:val="007F5647"/>
    <w:rsid w:val="007F564C"/>
    <w:rsid w:val="007F5670"/>
    <w:rsid w:val="007F5697"/>
    <w:rsid w:val="007F56A7"/>
    <w:rsid w:val="007F56AF"/>
    <w:rsid w:val="007F578B"/>
    <w:rsid w:val="007F5799"/>
    <w:rsid w:val="007F5832"/>
    <w:rsid w:val="007F5870"/>
    <w:rsid w:val="007F58D1"/>
    <w:rsid w:val="007F595B"/>
    <w:rsid w:val="007F599E"/>
    <w:rsid w:val="007F59A2"/>
    <w:rsid w:val="007F59D7"/>
    <w:rsid w:val="007F59F2"/>
    <w:rsid w:val="007F5A4F"/>
    <w:rsid w:val="007F5A86"/>
    <w:rsid w:val="007F5ACB"/>
    <w:rsid w:val="007F5AFA"/>
    <w:rsid w:val="007F5B10"/>
    <w:rsid w:val="007F5B2C"/>
    <w:rsid w:val="007F5B47"/>
    <w:rsid w:val="007F5B9B"/>
    <w:rsid w:val="007F5BA0"/>
    <w:rsid w:val="007F5BDF"/>
    <w:rsid w:val="007F5BFD"/>
    <w:rsid w:val="007F5C36"/>
    <w:rsid w:val="007F5C37"/>
    <w:rsid w:val="007F5C4B"/>
    <w:rsid w:val="007F5CC8"/>
    <w:rsid w:val="007F5CE9"/>
    <w:rsid w:val="007F5D67"/>
    <w:rsid w:val="007F5D91"/>
    <w:rsid w:val="007F5D9F"/>
    <w:rsid w:val="007F5DA7"/>
    <w:rsid w:val="007F5E37"/>
    <w:rsid w:val="007F5E42"/>
    <w:rsid w:val="007F5E67"/>
    <w:rsid w:val="007F5E79"/>
    <w:rsid w:val="007F609B"/>
    <w:rsid w:val="007F6143"/>
    <w:rsid w:val="007F614E"/>
    <w:rsid w:val="007F6167"/>
    <w:rsid w:val="007F61AC"/>
    <w:rsid w:val="007F61F1"/>
    <w:rsid w:val="007F6219"/>
    <w:rsid w:val="007F62CC"/>
    <w:rsid w:val="007F6328"/>
    <w:rsid w:val="007F633F"/>
    <w:rsid w:val="007F6348"/>
    <w:rsid w:val="007F6406"/>
    <w:rsid w:val="007F6455"/>
    <w:rsid w:val="007F64EB"/>
    <w:rsid w:val="007F64F4"/>
    <w:rsid w:val="007F6562"/>
    <w:rsid w:val="007F657D"/>
    <w:rsid w:val="007F657F"/>
    <w:rsid w:val="007F65AC"/>
    <w:rsid w:val="007F6632"/>
    <w:rsid w:val="007F6688"/>
    <w:rsid w:val="007F66A7"/>
    <w:rsid w:val="007F66D3"/>
    <w:rsid w:val="007F66E7"/>
    <w:rsid w:val="007F6746"/>
    <w:rsid w:val="007F680B"/>
    <w:rsid w:val="007F6831"/>
    <w:rsid w:val="007F692D"/>
    <w:rsid w:val="007F698D"/>
    <w:rsid w:val="007F69A4"/>
    <w:rsid w:val="007F6A0B"/>
    <w:rsid w:val="007F6A16"/>
    <w:rsid w:val="007F6A17"/>
    <w:rsid w:val="007F6A1F"/>
    <w:rsid w:val="007F6A2C"/>
    <w:rsid w:val="007F6A31"/>
    <w:rsid w:val="007F6A57"/>
    <w:rsid w:val="007F6AFC"/>
    <w:rsid w:val="007F6AFD"/>
    <w:rsid w:val="007F6B13"/>
    <w:rsid w:val="007F6B98"/>
    <w:rsid w:val="007F6BBE"/>
    <w:rsid w:val="007F6BD8"/>
    <w:rsid w:val="007F6BEB"/>
    <w:rsid w:val="007F6C46"/>
    <w:rsid w:val="007F6C51"/>
    <w:rsid w:val="007F6C55"/>
    <w:rsid w:val="007F6CCE"/>
    <w:rsid w:val="007F6CE5"/>
    <w:rsid w:val="007F6CF9"/>
    <w:rsid w:val="007F6DC3"/>
    <w:rsid w:val="007F6E0D"/>
    <w:rsid w:val="007F6E9D"/>
    <w:rsid w:val="007F6EB7"/>
    <w:rsid w:val="007F6ED9"/>
    <w:rsid w:val="007F6EF1"/>
    <w:rsid w:val="007F6F24"/>
    <w:rsid w:val="007F6F2D"/>
    <w:rsid w:val="007F6F5F"/>
    <w:rsid w:val="007F6F60"/>
    <w:rsid w:val="007F6F70"/>
    <w:rsid w:val="007F6F98"/>
    <w:rsid w:val="007F6F9C"/>
    <w:rsid w:val="007F7057"/>
    <w:rsid w:val="007F705D"/>
    <w:rsid w:val="007F708E"/>
    <w:rsid w:val="007F709E"/>
    <w:rsid w:val="007F7159"/>
    <w:rsid w:val="007F715F"/>
    <w:rsid w:val="007F7203"/>
    <w:rsid w:val="007F7255"/>
    <w:rsid w:val="007F7257"/>
    <w:rsid w:val="007F726F"/>
    <w:rsid w:val="007F72B8"/>
    <w:rsid w:val="007F72CE"/>
    <w:rsid w:val="007F7344"/>
    <w:rsid w:val="007F7390"/>
    <w:rsid w:val="007F73F6"/>
    <w:rsid w:val="007F74EA"/>
    <w:rsid w:val="007F75B3"/>
    <w:rsid w:val="007F75DE"/>
    <w:rsid w:val="007F762A"/>
    <w:rsid w:val="007F762C"/>
    <w:rsid w:val="007F765E"/>
    <w:rsid w:val="007F7681"/>
    <w:rsid w:val="007F7691"/>
    <w:rsid w:val="007F7696"/>
    <w:rsid w:val="007F76B3"/>
    <w:rsid w:val="007F7719"/>
    <w:rsid w:val="007F7771"/>
    <w:rsid w:val="007F7778"/>
    <w:rsid w:val="007F779D"/>
    <w:rsid w:val="007F77A7"/>
    <w:rsid w:val="007F77D9"/>
    <w:rsid w:val="007F781C"/>
    <w:rsid w:val="007F788E"/>
    <w:rsid w:val="007F78C5"/>
    <w:rsid w:val="007F7916"/>
    <w:rsid w:val="007F7965"/>
    <w:rsid w:val="007F7A13"/>
    <w:rsid w:val="007F7A27"/>
    <w:rsid w:val="007F7A37"/>
    <w:rsid w:val="007F7A44"/>
    <w:rsid w:val="007F7A8A"/>
    <w:rsid w:val="007F7AC4"/>
    <w:rsid w:val="007F7B1E"/>
    <w:rsid w:val="007F7B1F"/>
    <w:rsid w:val="007F7B6A"/>
    <w:rsid w:val="007F7BE6"/>
    <w:rsid w:val="007F7BEB"/>
    <w:rsid w:val="007F7BEF"/>
    <w:rsid w:val="007F7C57"/>
    <w:rsid w:val="007F7C65"/>
    <w:rsid w:val="007F7CA8"/>
    <w:rsid w:val="007F7D21"/>
    <w:rsid w:val="007F7E25"/>
    <w:rsid w:val="007F7E48"/>
    <w:rsid w:val="007F7E66"/>
    <w:rsid w:val="007F7F2F"/>
    <w:rsid w:val="007F7F5A"/>
    <w:rsid w:val="007F7F85"/>
    <w:rsid w:val="007F7FEC"/>
    <w:rsid w:val="007F7FF8"/>
    <w:rsid w:val="00800046"/>
    <w:rsid w:val="0080004E"/>
    <w:rsid w:val="00800063"/>
    <w:rsid w:val="00800066"/>
    <w:rsid w:val="00800073"/>
    <w:rsid w:val="0080010A"/>
    <w:rsid w:val="00800113"/>
    <w:rsid w:val="00800156"/>
    <w:rsid w:val="008001DD"/>
    <w:rsid w:val="008001EC"/>
    <w:rsid w:val="0080024B"/>
    <w:rsid w:val="008002E7"/>
    <w:rsid w:val="00800338"/>
    <w:rsid w:val="0080033B"/>
    <w:rsid w:val="008003B6"/>
    <w:rsid w:val="008003D3"/>
    <w:rsid w:val="00800442"/>
    <w:rsid w:val="00800449"/>
    <w:rsid w:val="0080052E"/>
    <w:rsid w:val="00800557"/>
    <w:rsid w:val="0080055A"/>
    <w:rsid w:val="008005F5"/>
    <w:rsid w:val="00800668"/>
    <w:rsid w:val="00800671"/>
    <w:rsid w:val="0080067E"/>
    <w:rsid w:val="0080068F"/>
    <w:rsid w:val="008006A3"/>
    <w:rsid w:val="00800702"/>
    <w:rsid w:val="00800726"/>
    <w:rsid w:val="0080079E"/>
    <w:rsid w:val="008007B2"/>
    <w:rsid w:val="008007EF"/>
    <w:rsid w:val="00800862"/>
    <w:rsid w:val="008008B2"/>
    <w:rsid w:val="008008D8"/>
    <w:rsid w:val="00800929"/>
    <w:rsid w:val="008009A3"/>
    <w:rsid w:val="00800A09"/>
    <w:rsid w:val="00800A34"/>
    <w:rsid w:val="00800A40"/>
    <w:rsid w:val="00800A43"/>
    <w:rsid w:val="00800A5D"/>
    <w:rsid w:val="00800B47"/>
    <w:rsid w:val="00800B87"/>
    <w:rsid w:val="00800CA2"/>
    <w:rsid w:val="00800CFA"/>
    <w:rsid w:val="00800D69"/>
    <w:rsid w:val="00800D7A"/>
    <w:rsid w:val="00800DD3"/>
    <w:rsid w:val="00800DF3"/>
    <w:rsid w:val="00800E26"/>
    <w:rsid w:val="00800E66"/>
    <w:rsid w:val="00800E7C"/>
    <w:rsid w:val="00800EC7"/>
    <w:rsid w:val="00800F13"/>
    <w:rsid w:val="00800FE8"/>
    <w:rsid w:val="0080102D"/>
    <w:rsid w:val="0080103D"/>
    <w:rsid w:val="008010E6"/>
    <w:rsid w:val="008010F4"/>
    <w:rsid w:val="008010FB"/>
    <w:rsid w:val="008010FD"/>
    <w:rsid w:val="0080116F"/>
    <w:rsid w:val="0080118B"/>
    <w:rsid w:val="00801208"/>
    <w:rsid w:val="00801246"/>
    <w:rsid w:val="00801273"/>
    <w:rsid w:val="00801276"/>
    <w:rsid w:val="0080127F"/>
    <w:rsid w:val="008012E4"/>
    <w:rsid w:val="008012F9"/>
    <w:rsid w:val="00801315"/>
    <w:rsid w:val="0080131E"/>
    <w:rsid w:val="00801362"/>
    <w:rsid w:val="008013AD"/>
    <w:rsid w:val="0080142F"/>
    <w:rsid w:val="00801461"/>
    <w:rsid w:val="008014B8"/>
    <w:rsid w:val="0080151B"/>
    <w:rsid w:val="00801549"/>
    <w:rsid w:val="00801577"/>
    <w:rsid w:val="008015B8"/>
    <w:rsid w:val="008015ED"/>
    <w:rsid w:val="0080168E"/>
    <w:rsid w:val="00801727"/>
    <w:rsid w:val="00801761"/>
    <w:rsid w:val="008017D6"/>
    <w:rsid w:val="00801822"/>
    <w:rsid w:val="00801846"/>
    <w:rsid w:val="0080188C"/>
    <w:rsid w:val="008018B9"/>
    <w:rsid w:val="00801906"/>
    <w:rsid w:val="00801910"/>
    <w:rsid w:val="0080197D"/>
    <w:rsid w:val="008019AB"/>
    <w:rsid w:val="00801A0C"/>
    <w:rsid w:val="00801A0D"/>
    <w:rsid w:val="00801A6B"/>
    <w:rsid w:val="00801A76"/>
    <w:rsid w:val="00801ADA"/>
    <w:rsid w:val="00801AF3"/>
    <w:rsid w:val="00801C14"/>
    <w:rsid w:val="00801C1D"/>
    <w:rsid w:val="00801C32"/>
    <w:rsid w:val="00801CA9"/>
    <w:rsid w:val="00801CB4"/>
    <w:rsid w:val="00801D5D"/>
    <w:rsid w:val="00801E09"/>
    <w:rsid w:val="00801E2B"/>
    <w:rsid w:val="00801E3C"/>
    <w:rsid w:val="00801E5E"/>
    <w:rsid w:val="00801E63"/>
    <w:rsid w:val="00801E83"/>
    <w:rsid w:val="00801E9D"/>
    <w:rsid w:val="00801EC4"/>
    <w:rsid w:val="00801ED7"/>
    <w:rsid w:val="00801EE6"/>
    <w:rsid w:val="00801F40"/>
    <w:rsid w:val="00801F5B"/>
    <w:rsid w:val="00801F68"/>
    <w:rsid w:val="00801F70"/>
    <w:rsid w:val="00801F7A"/>
    <w:rsid w:val="00801F93"/>
    <w:rsid w:val="00801FBC"/>
    <w:rsid w:val="00801FCE"/>
    <w:rsid w:val="008020A9"/>
    <w:rsid w:val="008020FB"/>
    <w:rsid w:val="00802108"/>
    <w:rsid w:val="00802127"/>
    <w:rsid w:val="00802149"/>
    <w:rsid w:val="00802154"/>
    <w:rsid w:val="00802158"/>
    <w:rsid w:val="00802166"/>
    <w:rsid w:val="00802196"/>
    <w:rsid w:val="00802234"/>
    <w:rsid w:val="00802364"/>
    <w:rsid w:val="00802394"/>
    <w:rsid w:val="008023BE"/>
    <w:rsid w:val="008023F1"/>
    <w:rsid w:val="00802415"/>
    <w:rsid w:val="0080241F"/>
    <w:rsid w:val="00802427"/>
    <w:rsid w:val="008024A6"/>
    <w:rsid w:val="0080250E"/>
    <w:rsid w:val="0080251F"/>
    <w:rsid w:val="0080255F"/>
    <w:rsid w:val="00802577"/>
    <w:rsid w:val="008025EC"/>
    <w:rsid w:val="00802616"/>
    <w:rsid w:val="0080261A"/>
    <w:rsid w:val="00802669"/>
    <w:rsid w:val="00802674"/>
    <w:rsid w:val="008026A9"/>
    <w:rsid w:val="008026D6"/>
    <w:rsid w:val="00802710"/>
    <w:rsid w:val="0080271B"/>
    <w:rsid w:val="0080272B"/>
    <w:rsid w:val="0080282F"/>
    <w:rsid w:val="00802833"/>
    <w:rsid w:val="0080286C"/>
    <w:rsid w:val="0080288D"/>
    <w:rsid w:val="008028D6"/>
    <w:rsid w:val="008029AC"/>
    <w:rsid w:val="00802ACD"/>
    <w:rsid w:val="00802ADC"/>
    <w:rsid w:val="00802AE6"/>
    <w:rsid w:val="00802B0A"/>
    <w:rsid w:val="00802C23"/>
    <w:rsid w:val="00802C69"/>
    <w:rsid w:val="00802C7E"/>
    <w:rsid w:val="00802CAC"/>
    <w:rsid w:val="00802CCE"/>
    <w:rsid w:val="00802CE3"/>
    <w:rsid w:val="00802CEE"/>
    <w:rsid w:val="00802D29"/>
    <w:rsid w:val="00802D3A"/>
    <w:rsid w:val="00802D48"/>
    <w:rsid w:val="00802DB0"/>
    <w:rsid w:val="00802DB1"/>
    <w:rsid w:val="00802DDD"/>
    <w:rsid w:val="00802E13"/>
    <w:rsid w:val="00802E54"/>
    <w:rsid w:val="00802EDB"/>
    <w:rsid w:val="00802F01"/>
    <w:rsid w:val="00802F0D"/>
    <w:rsid w:val="00802F86"/>
    <w:rsid w:val="00802FA4"/>
    <w:rsid w:val="00802FEE"/>
    <w:rsid w:val="00803005"/>
    <w:rsid w:val="0080304F"/>
    <w:rsid w:val="00803058"/>
    <w:rsid w:val="00803084"/>
    <w:rsid w:val="00803108"/>
    <w:rsid w:val="0080314C"/>
    <w:rsid w:val="0080317E"/>
    <w:rsid w:val="008031A9"/>
    <w:rsid w:val="00803214"/>
    <w:rsid w:val="00803292"/>
    <w:rsid w:val="008032A0"/>
    <w:rsid w:val="008032C5"/>
    <w:rsid w:val="0080331E"/>
    <w:rsid w:val="00803357"/>
    <w:rsid w:val="00803491"/>
    <w:rsid w:val="00803499"/>
    <w:rsid w:val="008034B3"/>
    <w:rsid w:val="008034CA"/>
    <w:rsid w:val="00803583"/>
    <w:rsid w:val="008035A6"/>
    <w:rsid w:val="008035AA"/>
    <w:rsid w:val="008035D1"/>
    <w:rsid w:val="008035FD"/>
    <w:rsid w:val="0080366A"/>
    <w:rsid w:val="00803683"/>
    <w:rsid w:val="008036DE"/>
    <w:rsid w:val="00803711"/>
    <w:rsid w:val="0080372E"/>
    <w:rsid w:val="0080376B"/>
    <w:rsid w:val="008037D1"/>
    <w:rsid w:val="0080382E"/>
    <w:rsid w:val="0080382F"/>
    <w:rsid w:val="00803869"/>
    <w:rsid w:val="00803915"/>
    <w:rsid w:val="00803926"/>
    <w:rsid w:val="0080399D"/>
    <w:rsid w:val="008039E2"/>
    <w:rsid w:val="00803AD2"/>
    <w:rsid w:val="00803B14"/>
    <w:rsid w:val="00803B4B"/>
    <w:rsid w:val="00803B8B"/>
    <w:rsid w:val="00803BD0"/>
    <w:rsid w:val="00803C0E"/>
    <w:rsid w:val="00803C41"/>
    <w:rsid w:val="00803C66"/>
    <w:rsid w:val="00803CA3"/>
    <w:rsid w:val="00803CC8"/>
    <w:rsid w:val="00803D8B"/>
    <w:rsid w:val="00803DBD"/>
    <w:rsid w:val="00803E04"/>
    <w:rsid w:val="00803EF7"/>
    <w:rsid w:val="00803F28"/>
    <w:rsid w:val="00803F93"/>
    <w:rsid w:val="00803FAE"/>
    <w:rsid w:val="00803FEF"/>
    <w:rsid w:val="00803FF0"/>
    <w:rsid w:val="00804118"/>
    <w:rsid w:val="00804124"/>
    <w:rsid w:val="0080415A"/>
    <w:rsid w:val="00804211"/>
    <w:rsid w:val="00804217"/>
    <w:rsid w:val="00804258"/>
    <w:rsid w:val="00804263"/>
    <w:rsid w:val="0080428A"/>
    <w:rsid w:val="00804290"/>
    <w:rsid w:val="008042C7"/>
    <w:rsid w:val="00804324"/>
    <w:rsid w:val="00804334"/>
    <w:rsid w:val="0080435A"/>
    <w:rsid w:val="008043B4"/>
    <w:rsid w:val="0080441A"/>
    <w:rsid w:val="00804429"/>
    <w:rsid w:val="00804581"/>
    <w:rsid w:val="008045A4"/>
    <w:rsid w:val="008045C6"/>
    <w:rsid w:val="008045F8"/>
    <w:rsid w:val="00804611"/>
    <w:rsid w:val="0080464E"/>
    <w:rsid w:val="00804651"/>
    <w:rsid w:val="0080465E"/>
    <w:rsid w:val="008046F2"/>
    <w:rsid w:val="008046F6"/>
    <w:rsid w:val="00804700"/>
    <w:rsid w:val="00804702"/>
    <w:rsid w:val="00804716"/>
    <w:rsid w:val="00804755"/>
    <w:rsid w:val="00804839"/>
    <w:rsid w:val="008048A5"/>
    <w:rsid w:val="008048DA"/>
    <w:rsid w:val="0080490C"/>
    <w:rsid w:val="0080492D"/>
    <w:rsid w:val="008049A0"/>
    <w:rsid w:val="008049F6"/>
    <w:rsid w:val="00804A3C"/>
    <w:rsid w:val="00804A6A"/>
    <w:rsid w:val="00804AE8"/>
    <w:rsid w:val="00804B2C"/>
    <w:rsid w:val="00804B6C"/>
    <w:rsid w:val="00804C1E"/>
    <w:rsid w:val="00804C82"/>
    <w:rsid w:val="00804CF8"/>
    <w:rsid w:val="00804E0B"/>
    <w:rsid w:val="00804E2B"/>
    <w:rsid w:val="00804F32"/>
    <w:rsid w:val="00804F6E"/>
    <w:rsid w:val="00804F7F"/>
    <w:rsid w:val="00804F9A"/>
    <w:rsid w:val="00804FFE"/>
    <w:rsid w:val="00805017"/>
    <w:rsid w:val="0080501F"/>
    <w:rsid w:val="008050CD"/>
    <w:rsid w:val="00805152"/>
    <w:rsid w:val="00805186"/>
    <w:rsid w:val="0080519C"/>
    <w:rsid w:val="008051A8"/>
    <w:rsid w:val="008051D3"/>
    <w:rsid w:val="0080520D"/>
    <w:rsid w:val="0080523F"/>
    <w:rsid w:val="0080529E"/>
    <w:rsid w:val="008052D0"/>
    <w:rsid w:val="00805307"/>
    <w:rsid w:val="00805376"/>
    <w:rsid w:val="008053CF"/>
    <w:rsid w:val="008053D1"/>
    <w:rsid w:val="00805433"/>
    <w:rsid w:val="0080544F"/>
    <w:rsid w:val="0080548B"/>
    <w:rsid w:val="00805551"/>
    <w:rsid w:val="00805646"/>
    <w:rsid w:val="008056A1"/>
    <w:rsid w:val="008056D7"/>
    <w:rsid w:val="00805741"/>
    <w:rsid w:val="00805799"/>
    <w:rsid w:val="00805872"/>
    <w:rsid w:val="0080588F"/>
    <w:rsid w:val="00805891"/>
    <w:rsid w:val="008058CD"/>
    <w:rsid w:val="008058EE"/>
    <w:rsid w:val="0080590F"/>
    <w:rsid w:val="00805910"/>
    <w:rsid w:val="00805936"/>
    <w:rsid w:val="008059A9"/>
    <w:rsid w:val="00805A54"/>
    <w:rsid w:val="00805A70"/>
    <w:rsid w:val="00805A72"/>
    <w:rsid w:val="00805A8E"/>
    <w:rsid w:val="00805ADF"/>
    <w:rsid w:val="00805AE7"/>
    <w:rsid w:val="00805B06"/>
    <w:rsid w:val="00805B7D"/>
    <w:rsid w:val="00805B85"/>
    <w:rsid w:val="00805BB4"/>
    <w:rsid w:val="00805BC6"/>
    <w:rsid w:val="00805BC8"/>
    <w:rsid w:val="00805BCE"/>
    <w:rsid w:val="00805BF9"/>
    <w:rsid w:val="00805C36"/>
    <w:rsid w:val="00805C45"/>
    <w:rsid w:val="00805CF6"/>
    <w:rsid w:val="00805D35"/>
    <w:rsid w:val="00805DC2"/>
    <w:rsid w:val="00805E43"/>
    <w:rsid w:val="00805E85"/>
    <w:rsid w:val="00805EA3"/>
    <w:rsid w:val="00805EAB"/>
    <w:rsid w:val="00805EB5"/>
    <w:rsid w:val="00805F5D"/>
    <w:rsid w:val="00805F82"/>
    <w:rsid w:val="0080601C"/>
    <w:rsid w:val="00806037"/>
    <w:rsid w:val="0080605D"/>
    <w:rsid w:val="00806063"/>
    <w:rsid w:val="00806130"/>
    <w:rsid w:val="00806151"/>
    <w:rsid w:val="0080615D"/>
    <w:rsid w:val="0080616A"/>
    <w:rsid w:val="00806221"/>
    <w:rsid w:val="0080624A"/>
    <w:rsid w:val="0080627A"/>
    <w:rsid w:val="008062E9"/>
    <w:rsid w:val="008063DE"/>
    <w:rsid w:val="008063FB"/>
    <w:rsid w:val="00806415"/>
    <w:rsid w:val="008064A3"/>
    <w:rsid w:val="0080653B"/>
    <w:rsid w:val="00806552"/>
    <w:rsid w:val="0080661B"/>
    <w:rsid w:val="0080666B"/>
    <w:rsid w:val="0080670B"/>
    <w:rsid w:val="0080670D"/>
    <w:rsid w:val="00806717"/>
    <w:rsid w:val="008067D1"/>
    <w:rsid w:val="008067FB"/>
    <w:rsid w:val="00806806"/>
    <w:rsid w:val="00806852"/>
    <w:rsid w:val="00806857"/>
    <w:rsid w:val="00806881"/>
    <w:rsid w:val="008068EA"/>
    <w:rsid w:val="008068F2"/>
    <w:rsid w:val="008068F7"/>
    <w:rsid w:val="0080690A"/>
    <w:rsid w:val="00806931"/>
    <w:rsid w:val="0080695C"/>
    <w:rsid w:val="0080696D"/>
    <w:rsid w:val="00806976"/>
    <w:rsid w:val="00806992"/>
    <w:rsid w:val="008069EB"/>
    <w:rsid w:val="00806A0F"/>
    <w:rsid w:val="00806A2B"/>
    <w:rsid w:val="00806A51"/>
    <w:rsid w:val="00806AE3"/>
    <w:rsid w:val="00806AF8"/>
    <w:rsid w:val="00806B30"/>
    <w:rsid w:val="00806B63"/>
    <w:rsid w:val="00806B8A"/>
    <w:rsid w:val="00806B97"/>
    <w:rsid w:val="00806BBD"/>
    <w:rsid w:val="00806BC2"/>
    <w:rsid w:val="00806BF3"/>
    <w:rsid w:val="00806C0D"/>
    <w:rsid w:val="00806C23"/>
    <w:rsid w:val="00806C85"/>
    <w:rsid w:val="00806C99"/>
    <w:rsid w:val="00806CDC"/>
    <w:rsid w:val="00806CEE"/>
    <w:rsid w:val="00806D58"/>
    <w:rsid w:val="00806DE6"/>
    <w:rsid w:val="00806E22"/>
    <w:rsid w:val="00806EA5"/>
    <w:rsid w:val="00806EB2"/>
    <w:rsid w:val="00806EE1"/>
    <w:rsid w:val="00806F18"/>
    <w:rsid w:val="00806F98"/>
    <w:rsid w:val="00806FBC"/>
    <w:rsid w:val="00806FED"/>
    <w:rsid w:val="00806FF4"/>
    <w:rsid w:val="00806FF9"/>
    <w:rsid w:val="008070E2"/>
    <w:rsid w:val="00807117"/>
    <w:rsid w:val="00807120"/>
    <w:rsid w:val="00807139"/>
    <w:rsid w:val="008071CE"/>
    <w:rsid w:val="008071D8"/>
    <w:rsid w:val="00807207"/>
    <w:rsid w:val="00807234"/>
    <w:rsid w:val="0080729C"/>
    <w:rsid w:val="00807302"/>
    <w:rsid w:val="00807386"/>
    <w:rsid w:val="008073B3"/>
    <w:rsid w:val="008073D0"/>
    <w:rsid w:val="008073E1"/>
    <w:rsid w:val="00807446"/>
    <w:rsid w:val="0080747C"/>
    <w:rsid w:val="00807483"/>
    <w:rsid w:val="00807502"/>
    <w:rsid w:val="00807547"/>
    <w:rsid w:val="0080755F"/>
    <w:rsid w:val="0080757F"/>
    <w:rsid w:val="008075BA"/>
    <w:rsid w:val="008075BD"/>
    <w:rsid w:val="008075E0"/>
    <w:rsid w:val="008075E2"/>
    <w:rsid w:val="008075F5"/>
    <w:rsid w:val="00807627"/>
    <w:rsid w:val="0080762B"/>
    <w:rsid w:val="008076CD"/>
    <w:rsid w:val="008076F5"/>
    <w:rsid w:val="00807748"/>
    <w:rsid w:val="008077CF"/>
    <w:rsid w:val="00807854"/>
    <w:rsid w:val="0080785F"/>
    <w:rsid w:val="008078BC"/>
    <w:rsid w:val="008078C1"/>
    <w:rsid w:val="0080793E"/>
    <w:rsid w:val="008079A3"/>
    <w:rsid w:val="008079D8"/>
    <w:rsid w:val="008079E4"/>
    <w:rsid w:val="00807A09"/>
    <w:rsid w:val="00807A47"/>
    <w:rsid w:val="00807A5C"/>
    <w:rsid w:val="00807A68"/>
    <w:rsid w:val="00807A78"/>
    <w:rsid w:val="00807A8D"/>
    <w:rsid w:val="00807B0A"/>
    <w:rsid w:val="00807BC2"/>
    <w:rsid w:val="00807C79"/>
    <w:rsid w:val="00807C98"/>
    <w:rsid w:val="00807CD5"/>
    <w:rsid w:val="00807CD9"/>
    <w:rsid w:val="00807CFA"/>
    <w:rsid w:val="00807D03"/>
    <w:rsid w:val="00807D13"/>
    <w:rsid w:val="00807D1F"/>
    <w:rsid w:val="00807D61"/>
    <w:rsid w:val="00807DC9"/>
    <w:rsid w:val="00807E62"/>
    <w:rsid w:val="00807EB9"/>
    <w:rsid w:val="00807ED7"/>
    <w:rsid w:val="00807F2E"/>
    <w:rsid w:val="00807F40"/>
    <w:rsid w:val="00807FC1"/>
    <w:rsid w:val="00810014"/>
    <w:rsid w:val="00810057"/>
    <w:rsid w:val="00810081"/>
    <w:rsid w:val="008100E6"/>
    <w:rsid w:val="008100F3"/>
    <w:rsid w:val="00810101"/>
    <w:rsid w:val="00810121"/>
    <w:rsid w:val="00810147"/>
    <w:rsid w:val="0081015A"/>
    <w:rsid w:val="008101C5"/>
    <w:rsid w:val="008101CF"/>
    <w:rsid w:val="00810205"/>
    <w:rsid w:val="00810215"/>
    <w:rsid w:val="0081022F"/>
    <w:rsid w:val="0081023A"/>
    <w:rsid w:val="00810253"/>
    <w:rsid w:val="0081025F"/>
    <w:rsid w:val="00810292"/>
    <w:rsid w:val="00810302"/>
    <w:rsid w:val="00810333"/>
    <w:rsid w:val="00810374"/>
    <w:rsid w:val="0081038A"/>
    <w:rsid w:val="008103AD"/>
    <w:rsid w:val="008103C4"/>
    <w:rsid w:val="008103CB"/>
    <w:rsid w:val="008103D6"/>
    <w:rsid w:val="00810436"/>
    <w:rsid w:val="008104ED"/>
    <w:rsid w:val="00810522"/>
    <w:rsid w:val="00810531"/>
    <w:rsid w:val="00810545"/>
    <w:rsid w:val="00810600"/>
    <w:rsid w:val="00810625"/>
    <w:rsid w:val="0081063E"/>
    <w:rsid w:val="00810669"/>
    <w:rsid w:val="00810679"/>
    <w:rsid w:val="00810681"/>
    <w:rsid w:val="00810683"/>
    <w:rsid w:val="00810728"/>
    <w:rsid w:val="00810782"/>
    <w:rsid w:val="008107A4"/>
    <w:rsid w:val="008107D1"/>
    <w:rsid w:val="0081080E"/>
    <w:rsid w:val="008108BC"/>
    <w:rsid w:val="008108DF"/>
    <w:rsid w:val="0081090B"/>
    <w:rsid w:val="0081093C"/>
    <w:rsid w:val="00810968"/>
    <w:rsid w:val="0081098A"/>
    <w:rsid w:val="0081098D"/>
    <w:rsid w:val="00810990"/>
    <w:rsid w:val="008109C6"/>
    <w:rsid w:val="00810A51"/>
    <w:rsid w:val="00810A58"/>
    <w:rsid w:val="00810A75"/>
    <w:rsid w:val="00810B44"/>
    <w:rsid w:val="00810B56"/>
    <w:rsid w:val="00810B65"/>
    <w:rsid w:val="00810B93"/>
    <w:rsid w:val="00810B95"/>
    <w:rsid w:val="00810BFA"/>
    <w:rsid w:val="00810C59"/>
    <w:rsid w:val="00810C5B"/>
    <w:rsid w:val="00810C7E"/>
    <w:rsid w:val="00810CCC"/>
    <w:rsid w:val="00810CF9"/>
    <w:rsid w:val="00810D9A"/>
    <w:rsid w:val="00810D9C"/>
    <w:rsid w:val="00810DDC"/>
    <w:rsid w:val="00810E6F"/>
    <w:rsid w:val="00810EE4"/>
    <w:rsid w:val="00810EE5"/>
    <w:rsid w:val="00810FDC"/>
    <w:rsid w:val="00810FE2"/>
    <w:rsid w:val="00811038"/>
    <w:rsid w:val="008110E1"/>
    <w:rsid w:val="00811124"/>
    <w:rsid w:val="00811135"/>
    <w:rsid w:val="00811168"/>
    <w:rsid w:val="00811169"/>
    <w:rsid w:val="0081116B"/>
    <w:rsid w:val="00811236"/>
    <w:rsid w:val="0081134F"/>
    <w:rsid w:val="00811388"/>
    <w:rsid w:val="008113B2"/>
    <w:rsid w:val="008113BC"/>
    <w:rsid w:val="008113E6"/>
    <w:rsid w:val="00811419"/>
    <w:rsid w:val="0081143D"/>
    <w:rsid w:val="008114FA"/>
    <w:rsid w:val="00811506"/>
    <w:rsid w:val="00811510"/>
    <w:rsid w:val="00811585"/>
    <w:rsid w:val="008115CD"/>
    <w:rsid w:val="0081161D"/>
    <w:rsid w:val="00811778"/>
    <w:rsid w:val="00811802"/>
    <w:rsid w:val="0081180C"/>
    <w:rsid w:val="00811839"/>
    <w:rsid w:val="008118C2"/>
    <w:rsid w:val="008118E6"/>
    <w:rsid w:val="0081191B"/>
    <w:rsid w:val="00811943"/>
    <w:rsid w:val="008119CB"/>
    <w:rsid w:val="008119E5"/>
    <w:rsid w:val="00811A36"/>
    <w:rsid w:val="00811A89"/>
    <w:rsid w:val="00811AB6"/>
    <w:rsid w:val="00811AC3"/>
    <w:rsid w:val="00811AFD"/>
    <w:rsid w:val="00811B36"/>
    <w:rsid w:val="00811B6C"/>
    <w:rsid w:val="00811BA0"/>
    <w:rsid w:val="00811BD5"/>
    <w:rsid w:val="00811BEE"/>
    <w:rsid w:val="00811C0A"/>
    <w:rsid w:val="00811C2A"/>
    <w:rsid w:val="00811D00"/>
    <w:rsid w:val="00811D04"/>
    <w:rsid w:val="00811D05"/>
    <w:rsid w:val="00811D27"/>
    <w:rsid w:val="00811D8E"/>
    <w:rsid w:val="00811D95"/>
    <w:rsid w:val="00811DA1"/>
    <w:rsid w:val="00811DC2"/>
    <w:rsid w:val="00811DE3"/>
    <w:rsid w:val="00811DFB"/>
    <w:rsid w:val="00811EA1"/>
    <w:rsid w:val="00811EF4"/>
    <w:rsid w:val="00811F0B"/>
    <w:rsid w:val="00811F11"/>
    <w:rsid w:val="00811F23"/>
    <w:rsid w:val="00811F80"/>
    <w:rsid w:val="0081207F"/>
    <w:rsid w:val="008120C2"/>
    <w:rsid w:val="00812101"/>
    <w:rsid w:val="00812162"/>
    <w:rsid w:val="0081216B"/>
    <w:rsid w:val="00812184"/>
    <w:rsid w:val="0081219C"/>
    <w:rsid w:val="008121E8"/>
    <w:rsid w:val="00812208"/>
    <w:rsid w:val="00812245"/>
    <w:rsid w:val="0081227D"/>
    <w:rsid w:val="0081229F"/>
    <w:rsid w:val="008122A4"/>
    <w:rsid w:val="008122B7"/>
    <w:rsid w:val="0081243D"/>
    <w:rsid w:val="0081249A"/>
    <w:rsid w:val="008124E8"/>
    <w:rsid w:val="00812528"/>
    <w:rsid w:val="0081253D"/>
    <w:rsid w:val="00812552"/>
    <w:rsid w:val="00812559"/>
    <w:rsid w:val="00812596"/>
    <w:rsid w:val="008125AD"/>
    <w:rsid w:val="008125CA"/>
    <w:rsid w:val="008125DB"/>
    <w:rsid w:val="0081264F"/>
    <w:rsid w:val="008126DB"/>
    <w:rsid w:val="0081271C"/>
    <w:rsid w:val="0081275C"/>
    <w:rsid w:val="008127BB"/>
    <w:rsid w:val="0081280B"/>
    <w:rsid w:val="00812877"/>
    <w:rsid w:val="0081289F"/>
    <w:rsid w:val="0081299C"/>
    <w:rsid w:val="00812B07"/>
    <w:rsid w:val="00812B66"/>
    <w:rsid w:val="00812B90"/>
    <w:rsid w:val="00812BB5"/>
    <w:rsid w:val="00812C43"/>
    <w:rsid w:val="00812C7B"/>
    <w:rsid w:val="00812D23"/>
    <w:rsid w:val="00812D31"/>
    <w:rsid w:val="00812D5B"/>
    <w:rsid w:val="00812DC3"/>
    <w:rsid w:val="00812DDD"/>
    <w:rsid w:val="00812F32"/>
    <w:rsid w:val="0081307B"/>
    <w:rsid w:val="0081307D"/>
    <w:rsid w:val="008130C5"/>
    <w:rsid w:val="008130EA"/>
    <w:rsid w:val="008130EE"/>
    <w:rsid w:val="0081310B"/>
    <w:rsid w:val="0081314F"/>
    <w:rsid w:val="0081316D"/>
    <w:rsid w:val="008131E6"/>
    <w:rsid w:val="008131E7"/>
    <w:rsid w:val="0081321F"/>
    <w:rsid w:val="0081328B"/>
    <w:rsid w:val="0081332E"/>
    <w:rsid w:val="0081333C"/>
    <w:rsid w:val="00813340"/>
    <w:rsid w:val="0081338D"/>
    <w:rsid w:val="008133E6"/>
    <w:rsid w:val="008134DE"/>
    <w:rsid w:val="00813506"/>
    <w:rsid w:val="00813512"/>
    <w:rsid w:val="0081358D"/>
    <w:rsid w:val="008135A4"/>
    <w:rsid w:val="008135CA"/>
    <w:rsid w:val="008135CD"/>
    <w:rsid w:val="008135DD"/>
    <w:rsid w:val="00813658"/>
    <w:rsid w:val="00813686"/>
    <w:rsid w:val="008136E5"/>
    <w:rsid w:val="00813833"/>
    <w:rsid w:val="00813848"/>
    <w:rsid w:val="00813854"/>
    <w:rsid w:val="008138FA"/>
    <w:rsid w:val="00813933"/>
    <w:rsid w:val="0081396A"/>
    <w:rsid w:val="008139CC"/>
    <w:rsid w:val="00813A02"/>
    <w:rsid w:val="00813A23"/>
    <w:rsid w:val="00813A88"/>
    <w:rsid w:val="00813AA4"/>
    <w:rsid w:val="00813ADA"/>
    <w:rsid w:val="00813BD2"/>
    <w:rsid w:val="00813C1E"/>
    <w:rsid w:val="00813CB1"/>
    <w:rsid w:val="00813D49"/>
    <w:rsid w:val="00813D70"/>
    <w:rsid w:val="00813DE2"/>
    <w:rsid w:val="00813E06"/>
    <w:rsid w:val="00813E59"/>
    <w:rsid w:val="00813E7A"/>
    <w:rsid w:val="00813FDC"/>
    <w:rsid w:val="00814030"/>
    <w:rsid w:val="008140D1"/>
    <w:rsid w:val="0081411C"/>
    <w:rsid w:val="00814136"/>
    <w:rsid w:val="008141AF"/>
    <w:rsid w:val="008141B5"/>
    <w:rsid w:val="00814201"/>
    <w:rsid w:val="00814235"/>
    <w:rsid w:val="0081423F"/>
    <w:rsid w:val="008142A2"/>
    <w:rsid w:val="008142D4"/>
    <w:rsid w:val="0081432A"/>
    <w:rsid w:val="00814385"/>
    <w:rsid w:val="0081439F"/>
    <w:rsid w:val="008143C1"/>
    <w:rsid w:val="008143EB"/>
    <w:rsid w:val="008144BD"/>
    <w:rsid w:val="0081455C"/>
    <w:rsid w:val="00814566"/>
    <w:rsid w:val="008145BE"/>
    <w:rsid w:val="0081460D"/>
    <w:rsid w:val="0081464B"/>
    <w:rsid w:val="00814714"/>
    <w:rsid w:val="00814736"/>
    <w:rsid w:val="0081475E"/>
    <w:rsid w:val="00814772"/>
    <w:rsid w:val="00814843"/>
    <w:rsid w:val="0081487B"/>
    <w:rsid w:val="00814880"/>
    <w:rsid w:val="008148AD"/>
    <w:rsid w:val="00814980"/>
    <w:rsid w:val="008149D8"/>
    <w:rsid w:val="00814A2E"/>
    <w:rsid w:val="00814A38"/>
    <w:rsid w:val="00814ADE"/>
    <w:rsid w:val="00814B26"/>
    <w:rsid w:val="00814B5B"/>
    <w:rsid w:val="00814B65"/>
    <w:rsid w:val="00814B69"/>
    <w:rsid w:val="00814B73"/>
    <w:rsid w:val="00814B82"/>
    <w:rsid w:val="00814BF6"/>
    <w:rsid w:val="00814C52"/>
    <w:rsid w:val="00814C6E"/>
    <w:rsid w:val="00814CB6"/>
    <w:rsid w:val="00814CBE"/>
    <w:rsid w:val="00814CC0"/>
    <w:rsid w:val="00814D1A"/>
    <w:rsid w:val="00814D57"/>
    <w:rsid w:val="00814D66"/>
    <w:rsid w:val="00814DAB"/>
    <w:rsid w:val="00814DFB"/>
    <w:rsid w:val="00814E37"/>
    <w:rsid w:val="00814E40"/>
    <w:rsid w:val="00814E7F"/>
    <w:rsid w:val="00814E84"/>
    <w:rsid w:val="00814E8B"/>
    <w:rsid w:val="00814F07"/>
    <w:rsid w:val="00815060"/>
    <w:rsid w:val="0081511C"/>
    <w:rsid w:val="008151C6"/>
    <w:rsid w:val="008151C7"/>
    <w:rsid w:val="0081520E"/>
    <w:rsid w:val="00815240"/>
    <w:rsid w:val="0081524B"/>
    <w:rsid w:val="008152C9"/>
    <w:rsid w:val="0081532A"/>
    <w:rsid w:val="00815351"/>
    <w:rsid w:val="00815459"/>
    <w:rsid w:val="00815463"/>
    <w:rsid w:val="008154CC"/>
    <w:rsid w:val="008154E0"/>
    <w:rsid w:val="00815500"/>
    <w:rsid w:val="00815504"/>
    <w:rsid w:val="00815520"/>
    <w:rsid w:val="0081552C"/>
    <w:rsid w:val="00815549"/>
    <w:rsid w:val="0081555C"/>
    <w:rsid w:val="0081556D"/>
    <w:rsid w:val="00815590"/>
    <w:rsid w:val="00815599"/>
    <w:rsid w:val="008155A3"/>
    <w:rsid w:val="008155E8"/>
    <w:rsid w:val="00815614"/>
    <w:rsid w:val="00815623"/>
    <w:rsid w:val="00815679"/>
    <w:rsid w:val="00815693"/>
    <w:rsid w:val="008156C3"/>
    <w:rsid w:val="008156FE"/>
    <w:rsid w:val="00815744"/>
    <w:rsid w:val="00815795"/>
    <w:rsid w:val="008157E4"/>
    <w:rsid w:val="008157FB"/>
    <w:rsid w:val="0081587E"/>
    <w:rsid w:val="0081589A"/>
    <w:rsid w:val="00815976"/>
    <w:rsid w:val="008159B6"/>
    <w:rsid w:val="008159B8"/>
    <w:rsid w:val="008159C5"/>
    <w:rsid w:val="00815A00"/>
    <w:rsid w:val="00815A76"/>
    <w:rsid w:val="00815A77"/>
    <w:rsid w:val="00815A88"/>
    <w:rsid w:val="00815AA4"/>
    <w:rsid w:val="00815B0B"/>
    <w:rsid w:val="00815B2F"/>
    <w:rsid w:val="00815B62"/>
    <w:rsid w:val="00815CF6"/>
    <w:rsid w:val="00815D13"/>
    <w:rsid w:val="00815D2D"/>
    <w:rsid w:val="00815DE3"/>
    <w:rsid w:val="00815E2C"/>
    <w:rsid w:val="00815F27"/>
    <w:rsid w:val="00815F30"/>
    <w:rsid w:val="00815FA0"/>
    <w:rsid w:val="00815FDC"/>
    <w:rsid w:val="00816049"/>
    <w:rsid w:val="00816059"/>
    <w:rsid w:val="00816088"/>
    <w:rsid w:val="008160FD"/>
    <w:rsid w:val="00816147"/>
    <w:rsid w:val="008161C1"/>
    <w:rsid w:val="00816250"/>
    <w:rsid w:val="0081628B"/>
    <w:rsid w:val="0081629F"/>
    <w:rsid w:val="008162CE"/>
    <w:rsid w:val="008162F9"/>
    <w:rsid w:val="00816369"/>
    <w:rsid w:val="008163E7"/>
    <w:rsid w:val="008163FA"/>
    <w:rsid w:val="00816487"/>
    <w:rsid w:val="008164B8"/>
    <w:rsid w:val="008164BF"/>
    <w:rsid w:val="00816518"/>
    <w:rsid w:val="0081656E"/>
    <w:rsid w:val="008165FF"/>
    <w:rsid w:val="00816637"/>
    <w:rsid w:val="00816684"/>
    <w:rsid w:val="008166C5"/>
    <w:rsid w:val="008166C8"/>
    <w:rsid w:val="008166D6"/>
    <w:rsid w:val="008167A7"/>
    <w:rsid w:val="008167CF"/>
    <w:rsid w:val="008167FC"/>
    <w:rsid w:val="0081680D"/>
    <w:rsid w:val="00816836"/>
    <w:rsid w:val="00816852"/>
    <w:rsid w:val="008168B5"/>
    <w:rsid w:val="008168BF"/>
    <w:rsid w:val="008168EC"/>
    <w:rsid w:val="00816973"/>
    <w:rsid w:val="00816AA4"/>
    <w:rsid w:val="00816AE0"/>
    <w:rsid w:val="00816BF9"/>
    <w:rsid w:val="00816C07"/>
    <w:rsid w:val="00816C51"/>
    <w:rsid w:val="00816C94"/>
    <w:rsid w:val="00816CC9"/>
    <w:rsid w:val="00816CE2"/>
    <w:rsid w:val="00816D2C"/>
    <w:rsid w:val="00816D67"/>
    <w:rsid w:val="00816DC4"/>
    <w:rsid w:val="00816DF7"/>
    <w:rsid w:val="00816E4F"/>
    <w:rsid w:val="00816F02"/>
    <w:rsid w:val="00816F1A"/>
    <w:rsid w:val="00816F72"/>
    <w:rsid w:val="00816FAC"/>
    <w:rsid w:val="00817003"/>
    <w:rsid w:val="00817099"/>
    <w:rsid w:val="00817105"/>
    <w:rsid w:val="00817120"/>
    <w:rsid w:val="00817142"/>
    <w:rsid w:val="0081718F"/>
    <w:rsid w:val="008171A4"/>
    <w:rsid w:val="00817210"/>
    <w:rsid w:val="00817213"/>
    <w:rsid w:val="00817235"/>
    <w:rsid w:val="008172D9"/>
    <w:rsid w:val="008172DD"/>
    <w:rsid w:val="008172E9"/>
    <w:rsid w:val="0081730D"/>
    <w:rsid w:val="00817329"/>
    <w:rsid w:val="008173AE"/>
    <w:rsid w:val="0081741E"/>
    <w:rsid w:val="0081748B"/>
    <w:rsid w:val="008174EA"/>
    <w:rsid w:val="00817548"/>
    <w:rsid w:val="00817559"/>
    <w:rsid w:val="0081755D"/>
    <w:rsid w:val="008175B0"/>
    <w:rsid w:val="008175B5"/>
    <w:rsid w:val="008175D5"/>
    <w:rsid w:val="0081766A"/>
    <w:rsid w:val="00817707"/>
    <w:rsid w:val="0081774C"/>
    <w:rsid w:val="008177DB"/>
    <w:rsid w:val="008177E2"/>
    <w:rsid w:val="0081787C"/>
    <w:rsid w:val="0081789E"/>
    <w:rsid w:val="0081790F"/>
    <w:rsid w:val="00817920"/>
    <w:rsid w:val="0081795E"/>
    <w:rsid w:val="0081798E"/>
    <w:rsid w:val="008179AE"/>
    <w:rsid w:val="00817A19"/>
    <w:rsid w:val="00817A35"/>
    <w:rsid w:val="00817A40"/>
    <w:rsid w:val="00817AC9"/>
    <w:rsid w:val="00817B1A"/>
    <w:rsid w:val="00817B53"/>
    <w:rsid w:val="00817BCF"/>
    <w:rsid w:val="00817C0E"/>
    <w:rsid w:val="00817C3F"/>
    <w:rsid w:val="00817C52"/>
    <w:rsid w:val="00817CCC"/>
    <w:rsid w:val="00817D0E"/>
    <w:rsid w:val="00817DDB"/>
    <w:rsid w:val="00817DDD"/>
    <w:rsid w:val="00817E15"/>
    <w:rsid w:val="00817E30"/>
    <w:rsid w:val="00817E46"/>
    <w:rsid w:val="00817E69"/>
    <w:rsid w:val="00817E75"/>
    <w:rsid w:val="00817E98"/>
    <w:rsid w:val="00817F65"/>
    <w:rsid w:val="00817F6D"/>
    <w:rsid w:val="00817F8E"/>
    <w:rsid w:val="00817FDD"/>
    <w:rsid w:val="00817FE6"/>
    <w:rsid w:val="00820062"/>
    <w:rsid w:val="00820079"/>
    <w:rsid w:val="0082008F"/>
    <w:rsid w:val="0082010D"/>
    <w:rsid w:val="008201C4"/>
    <w:rsid w:val="008201F0"/>
    <w:rsid w:val="00820208"/>
    <w:rsid w:val="0082022B"/>
    <w:rsid w:val="0082022E"/>
    <w:rsid w:val="00820256"/>
    <w:rsid w:val="0082027A"/>
    <w:rsid w:val="008202A1"/>
    <w:rsid w:val="008202AC"/>
    <w:rsid w:val="00820309"/>
    <w:rsid w:val="0082030B"/>
    <w:rsid w:val="00820345"/>
    <w:rsid w:val="00820383"/>
    <w:rsid w:val="008203AE"/>
    <w:rsid w:val="008203DC"/>
    <w:rsid w:val="008203E4"/>
    <w:rsid w:val="008203F4"/>
    <w:rsid w:val="00820485"/>
    <w:rsid w:val="008204D8"/>
    <w:rsid w:val="0082055A"/>
    <w:rsid w:val="00820566"/>
    <w:rsid w:val="00820581"/>
    <w:rsid w:val="0082058D"/>
    <w:rsid w:val="0082058F"/>
    <w:rsid w:val="00820590"/>
    <w:rsid w:val="00820665"/>
    <w:rsid w:val="008206A5"/>
    <w:rsid w:val="008206CE"/>
    <w:rsid w:val="008206F4"/>
    <w:rsid w:val="00820724"/>
    <w:rsid w:val="00820751"/>
    <w:rsid w:val="00820777"/>
    <w:rsid w:val="008207A7"/>
    <w:rsid w:val="0082080A"/>
    <w:rsid w:val="00820871"/>
    <w:rsid w:val="008208FE"/>
    <w:rsid w:val="0082090E"/>
    <w:rsid w:val="00820991"/>
    <w:rsid w:val="008209C0"/>
    <w:rsid w:val="00820A41"/>
    <w:rsid w:val="00820AB6"/>
    <w:rsid w:val="00820B03"/>
    <w:rsid w:val="00820C1F"/>
    <w:rsid w:val="00820C2F"/>
    <w:rsid w:val="00820C73"/>
    <w:rsid w:val="00820C88"/>
    <w:rsid w:val="00820C9C"/>
    <w:rsid w:val="00820CB3"/>
    <w:rsid w:val="00820CCC"/>
    <w:rsid w:val="00820D54"/>
    <w:rsid w:val="00820DB2"/>
    <w:rsid w:val="00820DC9"/>
    <w:rsid w:val="00820DE1"/>
    <w:rsid w:val="00820E58"/>
    <w:rsid w:val="00820E99"/>
    <w:rsid w:val="00820ECD"/>
    <w:rsid w:val="00820F33"/>
    <w:rsid w:val="00820F4A"/>
    <w:rsid w:val="00820FDF"/>
    <w:rsid w:val="0082100A"/>
    <w:rsid w:val="0082101B"/>
    <w:rsid w:val="0082104A"/>
    <w:rsid w:val="0082109E"/>
    <w:rsid w:val="0082111A"/>
    <w:rsid w:val="00821153"/>
    <w:rsid w:val="00821174"/>
    <w:rsid w:val="0082117A"/>
    <w:rsid w:val="008211E5"/>
    <w:rsid w:val="00821216"/>
    <w:rsid w:val="00821242"/>
    <w:rsid w:val="00821263"/>
    <w:rsid w:val="0082127D"/>
    <w:rsid w:val="0082128B"/>
    <w:rsid w:val="008212DC"/>
    <w:rsid w:val="008212FD"/>
    <w:rsid w:val="00821303"/>
    <w:rsid w:val="00821326"/>
    <w:rsid w:val="00821370"/>
    <w:rsid w:val="0082139A"/>
    <w:rsid w:val="008213AC"/>
    <w:rsid w:val="0082143C"/>
    <w:rsid w:val="008214BE"/>
    <w:rsid w:val="008215C0"/>
    <w:rsid w:val="0082163C"/>
    <w:rsid w:val="0082167B"/>
    <w:rsid w:val="00821686"/>
    <w:rsid w:val="008216BB"/>
    <w:rsid w:val="0082175A"/>
    <w:rsid w:val="00821767"/>
    <w:rsid w:val="008218E9"/>
    <w:rsid w:val="008218F4"/>
    <w:rsid w:val="008218FA"/>
    <w:rsid w:val="008218FD"/>
    <w:rsid w:val="008218FF"/>
    <w:rsid w:val="00821961"/>
    <w:rsid w:val="00821969"/>
    <w:rsid w:val="00821977"/>
    <w:rsid w:val="00821991"/>
    <w:rsid w:val="008219DE"/>
    <w:rsid w:val="008219FF"/>
    <w:rsid w:val="00821A16"/>
    <w:rsid w:val="00821A79"/>
    <w:rsid w:val="00821A7A"/>
    <w:rsid w:val="00821A8D"/>
    <w:rsid w:val="00821ABF"/>
    <w:rsid w:val="00821B24"/>
    <w:rsid w:val="00821B28"/>
    <w:rsid w:val="00821B89"/>
    <w:rsid w:val="00821BB5"/>
    <w:rsid w:val="00821D2E"/>
    <w:rsid w:val="00821D32"/>
    <w:rsid w:val="00821D37"/>
    <w:rsid w:val="00821D57"/>
    <w:rsid w:val="00821DA8"/>
    <w:rsid w:val="00821DD9"/>
    <w:rsid w:val="00821DDA"/>
    <w:rsid w:val="00821DDD"/>
    <w:rsid w:val="00821DDE"/>
    <w:rsid w:val="00821E36"/>
    <w:rsid w:val="00821EA5"/>
    <w:rsid w:val="00821F3E"/>
    <w:rsid w:val="00821F74"/>
    <w:rsid w:val="00821FC4"/>
    <w:rsid w:val="0082206F"/>
    <w:rsid w:val="008220D2"/>
    <w:rsid w:val="008220E4"/>
    <w:rsid w:val="00822108"/>
    <w:rsid w:val="0082211D"/>
    <w:rsid w:val="00822134"/>
    <w:rsid w:val="008221AE"/>
    <w:rsid w:val="008221F1"/>
    <w:rsid w:val="00822253"/>
    <w:rsid w:val="008222DE"/>
    <w:rsid w:val="00822306"/>
    <w:rsid w:val="008223C0"/>
    <w:rsid w:val="008223C7"/>
    <w:rsid w:val="008223DF"/>
    <w:rsid w:val="008223F4"/>
    <w:rsid w:val="00822459"/>
    <w:rsid w:val="00822496"/>
    <w:rsid w:val="008224AC"/>
    <w:rsid w:val="0082255B"/>
    <w:rsid w:val="008225A4"/>
    <w:rsid w:val="00822638"/>
    <w:rsid w:val="00822653"/>
    <w:rsid w:val="008226C9"/>
    <w:rsid w:val="0082271B"/>
    <w:rsid w:val="0082277E"/>
    <w:rsid w:val="008227AD"/>
    <w:rsid w:val="008227BA"/>
    <w:rsid w:val="0082281B"/>
    <w:rsid w:val="0082283D"/>
    <w:rsid w:val="00822841"/>
    <w:rsid w:val="0082287C"/>
    <w:rsid w:val="00822888"/>
    <w:rsid w:val="0082288C"/>
    <w:rsid w:val="008228B5"/>
    <w:rsid w:val="008228C3"/>
    <w:rsid w:val="008228D3"/>
    <w:rsid w:val="008228EB"/>
    <w:rsid w:val="00822918"/>
    <w:rsid w:val="00822994"/>
    <w:rsid w:val="00822A0F"/>
    <w:rsid w:val="00822AB5"/>
    <w:rsid w:val="00822AC6"/>
    <w:rsid w:val="00822B49"/>
    <w:rsid w:val="00822B84"/>
    <w:rsid w:val="00822BA1"/>
    <w:rsid w:val="00822BA5"/>
    <w:rsid w:val="00822BAC"/>
    <w:rsid w:val="00822BFB"/>
    <w:rsid w:val="00822C1A"/>
    <w:rsid w:val="00822C89"/>
    <w:rsid w:val="00822CB0"/>
    <w:rsid w:val="00822CB7"/>
    <w:rsid w:val="00822D19"/>
    <w:rsid w:val="00822DC9"/>
    <w:rsid w:val="00822E18"/>
    <w:rsid w:val="00822EA1"/>
    <w:rsid w:val="00822EB8"/>
    <w:rsid w:val="00822EEF"/>
    <w:rsid w:val="00822F00"/>
    <w:rsid w:val="00822F4C"/>
    <w:rsid w:val="00822F56"/>
    <w:rsid w:val="00822FF5"/>
    <w:rsid w:val="00823002"/>
    <w:rsid w:val="0082313F"/>
    <w:rsid w:val="00823160"/>
    <w:rsid w:val="00823178"/>
    <w:rsid w:val="00823204"/>
    <w:rsid w:val="00823212"/>
    <w:rsid w:val="00823215"/>
    <w:rsid w:val="008232C0"/>
    <w:rsid w:val="00823317"/>
    <w:rsid w:val="0082333A"/>
    <w:rsid w:val="0082335C"/>
    <w:rsid w:val="008233DF"/>
    <w:rsid w:val="008233E3"/>
    <w:rsid w:val="00823404"/>
    <w:rsid w:val="00823418"/>
    <w:rsid w:val="00823468"/>
    <w:rsid w:val="008234EC"/>
    <w:rsid w:val="008234F0"/>
    <w:rsid w:val="0082351B"/>
    <w:rsid w:val="00823563"/>
    <w:rsid w:val="0082357F"/>
    <w:rsid w:val="0082359E"/>
    <w:rsid w:val="008235AE"/>
    <w:rsid w:val="008235C0"/>
    <w:rsid w:val="00823647"/>
    <w:rsid w:val="00823649"/>
    <w:rsid w:val="008236A4"/>
    <w:rsid w:val="008236A7"/>
    <w:rsid w:val="008236B5"/>
    <w:rsid w:val="00823712"/>
    <w:rsid w:val="0082371B"/>
    <w:rsid w:val="00823757"/>
    <w:rsid w:val="00823794"/>
    <w:rsid w:val="008237A9"/>
    <w:rsid w:val="008237B8"/>
    <w:rsid w:val="008237D1"/>
    <w:rsid w:val="008237E0"/>
    <w:rsid w:val="008237EC"/>
    <w:rsid w:val="00823828"/>
    <w:rsid w:val="00823839"/>
    <w:rsid w:val="0082385D"/>
    <w:rsid w:val="00823865"/>
    <w:rsid w:val="008238A2"/>
    <w:rsid w:val="008238B5"/>
    <w:rsid w:val="00823903"/>
    <w:rsid w:val="00823925"/>
    <w:rsid w:val="0082396A"/>
    <w:rsid w:val="008239D4"/>
    <w:rsid w:val="008239D8"/>
    <w:rsid w:val="00823AB5"/>
    <w:rsid w:val="00823B27"/>
    <w:rsid w:val="00823B2D"/>
    <w:rsid w:val="00823B70"/>
    <w:rsid w:val="00823B95"/>
    <w:rsid w:val="00823C57"/>
    <w:rsid w:val="00823C83"/>
    <w:rsid w:val="00823CF2"/>
    <w:rsid w:val="00823D0A"/>
    <w:rsid w:val="00823DBF"/>
    <w:rsid w:val="00823E3D"/>
    <w:rsid w:val="00823E66"/>
    <w:rsid w:val="00823E82"/>
    <w:rsid w:val="00823EB4"/>
    <w:rsid w:val="00823F29"/>
    <w:rsid w:val="00823F4D"/>
    <w:rsid w:val="00823F98"/>
    <w:rsid w:val="00823FAC"/>
    <w:rsid w:val="00823FF0"/>
    <w:rsid w:val="00824017"/>
    <w:rsid w:val="0082403F"/>
    <w:rsid w:val="0082405E"/>
    <w:rsid w:val="008240A8"/>
    <w:rsid w:val="008240EE"/>
    <w:rsid w:val="0082410F"/>
    <w:rsid w:val="00824112"/>
    <w:rsid w:val="0082416D"/>
    <w:rsid w:val="008241A7"/>
    <w:rsid w:val="008241A9"/>
    <w:rsid w:val="0082425F"/>
    <w:rsid w:val="008242AC"/>
    <w:rsid w:val="008242D2"/>
    <w:rsid w:val="008242EE"/>
    <w:rsid w:val="0082430B"/>
    <w:rsid w:val="00824361"/>
    <w:rsid w:val="00824457"/>
    <w:rsid w:val="008244D6"/>
    <w:rsid w:val="008244D7"/>
    <w:rsid w:val="00824508"/>
    <w:rsid w:val="0082453A"/>
    <w:rsid w:val="00824556"/>
    <w:rsid w:val="008245C7"/>
    <w:rsid w:val="0082460C"/>
    <w:rsid w:val="00824626"/>
    <w:rsid w:val="00824671"/>
    <w:rsid w:val="008246AD"/>
    <w:rsid w:val="008246B1"/>
    <w:rsid w:val="008246D6"/>
    <w:rsid w:val="008246E2"/>
    <w:rsid w:val="008246EF"/>
    <w:rsid w:val="008246F1"/>
    <w:rsid w:val="008247B2"/>
    <w:rsid w:val="0082480C"/>
    <w:rsid w:val="00824840"/>
    <w:rsid w:val="0082484D"/>
    <w:rsid w:val="0082486F"/>
    <w:rsid w:val="00824929"/>
    <w:rsid w:val="0082495D"/>
    <w:rsid w:val="008249A1"/>
    <w:rsid w:val="008249B6"/>
    <w:rsid w:val="00824A29"/>
    <w:rsid w:val="00824A71"/>
    <w:rsid w:val="00824AEB"/>
    <w:rsid w:val="00824AF5"/>
    <w:rsid w:val="00824AFD"/>
    <w:rsid w:val="00824B21"/>
    <w:rsid w:val="00824B24"/>
    <w:rsid w:val="00824B2C"/>
    <w:rsid w:val="00824B37"/>
    <w:rsid w:val="00824B6D"/>
    <w:rsid w:val="00824BA3"/>
    <w:rsid w:val="00824BB3"/>
    <w:rsid w:val="00824C26"/>
    <w:rsid w:val="00824C54"/>
    <w:rsid w:val="00824C8D"/>
    <w:rsid w:val="00824D2E"/>
    <w:rsid w:val="00824D8D"/>
    <w:rsid w:val="00824E36"/>
    <w:rsid w:val="00824FFA"/>
    <w:rsid w:val="0082503F"/>
    <w:rsid w:val="00825056"/>
    <w:rsid w:val="00825067"/>
    <w:rsid w:val="0082508F"/>
    <w:rsid w:val="0082509D"/>
    <w:rsid w:val="008250AE"/>
    <w:rsid w:val="0082518F"/>
    <w:rsid w:val="008251A5"/>
    <w:rsid w:val="008251C3"/>
    <w:rsid w:val="00825206"/>
    <w:rsid w:val="00825254"/>
    <w:rsid w:val="00825291"/>
    <w:rsid w:val="0082530E"/>
    <w:rsid w:val="00825354"/>
    <w:rsid w:val="008253E0"/>
    <w:rsid w:val="008253ED"/>
    <w:rsid w:val="008254E2"/>
    <w:rsid w:val="008254F9"/>
    <w:rsid w:val="008254FE"/>
    <w:rsid w:val="0082553D"/>
    <w:rsid w:val="00825570"/>
    <w:rsid w:val="00825576"/>
    <w:rsid w:val="00825596"/>
    <w:rsid w:val="008255A0"/>
    <w:rsid w:val="008255C6"/>
    <w:rsid w:val="008255F1"/>
    <w:rsid w:val="00825606"/>
    <w:rsid w:val="0082567A"/>
    <w:rsid w:val="00825683"/>
    <w:rsid w:val="008256FD"/>
    <w:rsid w:val="00825763"/>
    <w:rsid w:val="008257FA"/>
    <w:rsid w:val="008257FC"/>
    <w:rsid w:val="00825884"/>
    <w:rsid w:val="00825947"/>
    <w:rsid w:val="008259AB"/>
    <w:rsid w:val="00825A0D"/>
    <w:rsid w:val="00825A2A"/>
    <w:rsid w:val="00825A35"/>
    <w:rsid w:val="00825A55"/>
    <w:rsid w:val="00825A95"/>
    <w:rsid w:val="00825B0C"/>
    <w:rsid w:val="00825B3D"/>
    <w:rsid w:val="00825B77"/>
    <w:rsid w:val="00825BC0"/>
    <w:rsid w:val="00825BD6"/>
    <w:rsid w:val="00825BEC"/>
    <w:rsid w:val="00825C22"/>
    <w:rsid w:val="00825C60"/>
    <w:rsid w:val="00825CF0"/>
    <w:rsid w:val="00825D00"/>
    <w:rsid w:val="00825D0E"/>
    <w:rsid w:val="00825D21"/>
    <w:rsid w:val="00825D37"/>
    <w:rsid w:val="00825D42"/>
    <w:rsid w:val="00825E63"/>
    <w:rsid w:val="00825EDA"/>
    <w:rsid w:val="00825EE4"/>
    <w:rsid w:val="00825F17"/>
    <w:rsid w:val="00825FFD"/>
    <w:rsid w:val="0082601A"/>
    <w:rsid w:val="00826054"/>
    <w:rsid w:val="00826085"/>
    <w:rsid w:val="0082609B"/>
    <w:rsid w:val="0082613F"/>
    <w:rsid w:val="00826176"/>
    <w:rsid w:val="008261C1"/>
    <w:rsid w:val="008261E9"/>
    <w:rsid w:val="00826269"/>
    <w:rsid w:val="0082632C"/>
    <w:rsid w:val="00826338"/>
    <w:rsid w:val="0082634D"/>
    <w:rsid w:val="00826351"/>
    <w:rsid w:val="00826396"/>
    <w:rsid w:val="008263D7"/>
    <w:rsid w:val="00826423"/>
    <w:rsid w:val="0082642D"/>
    <w:rsid w:val="0082643D"/>
    <w:rsid w:val="00826478"/>
    <w:rsid w:val="008264BC"/>
    <w:rsid w:val="008264BD"/>
    <w:rsid w:val="008264D5"/>
    <w:rsid w:val="0082650C"/>
    <w:rsid w:val="008265B1"/>
    <w:rsid w:val="008265B6"/>
    <w:rsid w:val="008265BC"/>
    <w:rsid w:val="008265C1"/>
    <w:rsid w:val="008265E4"/>
    <w:rsid w:val="00826683"/>
    <w:rsid w:val="008266BC"/>
    <w:rsid w:val="00826748"/>
    <w:rsid w:val="00826774"/>
    <w:rsid w:val="00826778"/>
    <w:rsid w:val="00826780"/>
    <w:rsid w:val="008267AE"/>
    <w:rsid w:val="00826810"/>
    <w:rsid w:val="00826820"/>
    <w:rsid w:val="0082691F"/>
    <w:rsid w:val="00826928"/>
    <w:rsid w:val="00826996"/>
    <w:rsid w:val="00826999"/>
    <w:rsid w:val="0082699F"/>
    <w:rsid w:val="008269F3"/>
    <w:rsid w:val="00826A4D"/>
    <w:rsid w:val="00826A5B"/>
    <w:rsid w:val="00826B01"/>
    <w:rsid w:val="00826B8E"/>
    <w:rsid w:val="00826BBC"/>
    <w:rsid w:val="00826BCA"/>
    <w:rsid w:val="00826BE7"/>
    <w:rsid w:val="00826C10"/>
    <w:rsid w:val="00826C51"/>
    <w:rsid w:val="00826C82"/>
    <w:rsid w:val="00826CAA"/>
    <w:rsid w:val="00826CBB"/>
    <w:rsid w:val="00826CE8"/>
    <w:rsid w:val="00826D02"/>
    <w:rsid w:val="00826E1B"/>
    <w:rsid w:val="00826E38"/>
    <w:rsid w:val="00826E55"/>
    <w:rsid w:val="00826E6A"/>
    <w:rsid w:val="00826E76"/>
    <w:rsid w:val="00826F19"/>
    <w:rsid w:val="00826F25"/>
    <w:rsid w:val="00826F3D"/>
    <w:rsid w:val="00826F82"/>
    <w:rsid w:val="00826FB3"/>
    <w:rsid w:val="00826FED"/>
    <w:rsid w:val="0082702A"/>
    <w:rsid w:val="0082702C"/>
    <w:rsid w:val="00827052"/>
    <w:rsid w:val="008270A5"/>
    <w:rsid w:val="008270E2"/>
    <w:rsid w:val="00827137"/>
    <w:rsid w:val="00827158"/>
    <w:rsid w:val="00827164"/>
    <w:rsid w:val="00827172"/>
    <w:rsid w:val="008271DA"/>
    <w:rsid w:val="0082724A"/>
    <w:rsid w:val="0082729C"/>
    <w:rsid w:val="0082729D"/>
    <w:rsid w:val="008272BB"/>
    <w:rsid w:val="0082734A"/>
    <w:rsid w:val="00827360"/>
    <w:rsid w:val="00827391"/>
    <w:rsid w:val="00827396"/>
    <w:rsid w:val="008273A8"/>
    <w:rsid w:val="008273B1"/>
    <w:rsid w:val="008273FF"/>
    <w:rsid w:val="00827461"/>
    <w:rsid w:val="008274EF"/>
    <w:rsid w:val="00827503"/>
    <w:rsid w:val="00827533"/>
    <w:rsid w:val="00827575"/>
    <w:rsid w:val="008275C6"/>
    <w:rsid w:val="008275CA"/>
    <w:rsid w:val="0082761F"/>
    <w:rsid w:val="00827651"/>
    <w:rsid w:val="00827686"/>
    <w:rsid w:val="00827733"/>
    <w:rsid w:val="00827754"/>
    <w:rsid w:val="008277B2"/>
    <w:rsid w:val="00827814"/>
    <w:rsid w:val="008279F5"/>
    <w:rsid w:val="00827A18"/>
    <w:rsid w:val="00827A4E"/>
    <w:rsid w:val="00827A51"/>
    <w:rsid w:val="00827ADC"/>
    <w:rsid w:val="00827AE6"/>
    <w:rsid w:val="00827B63"/>
    <w:rsid w:val="00827B67"/>
    <w:rsid w:val="00827B80"/>
    <w:rsid w:val="00827BA9"/>
    <w:rsid w:val="00827CB0"/>
    <w:rsid w:val="00827D15"/>
    <w:rsid w:val="00827D21"/>
    <w:rsid w:val="00827D8B"/>
    <w:rsid w:val="00827DF7"/>
    <w:rsid w:val="00827E88"/>
    <w:rsid w:val="00827FB0"/>
    <w:rsid w:val="0083006D"/>
    <w:rsid w:val="008300C3"/>
    <w:rsid w:val="008300D7"/>
    <w:rsid w:val="00830127"/>
    <w:rsid w:val="00830142"/>
    <w:rsid w:val="00830151"/>
    <w:rsid w:val="00830176"/>
    <w:rsid w:val="0083018B"/>
    <w:rsid w:val="008301BF"/>
    <w:rsid w:val="008301C2"/>
    <w:rsid w:val="00830264"/>
    <w:rsid w:val="00830281"/>
    <w:rsid w:val="008302CB"/>
    <w:rsid w:val="00830340"/>
    <w:rsid w:val="00830348"/>
    <w:rsid w:val="008303A5"/>
    <w:rsid w:val="008303D2"/>
    <w:rsid w:val="008303D6"/>
    <w:rsid w:val="008303FB"/>
    <w:rsid w:val="00830439"/>
    <w:rsid w:val="00830454"/>
    <w:rsid w:val="0083045A"/>
    <w:rsid w:val="008304FB"/>
    <w:rsid w:val="008305F5"/>
    <w:rsid w:val="0083062F"/>
    <w:rsid w:val="00830670"/>
    <w:rsid w:val="008306A2"/>
    <w:rsid w:val="008306B9"/>
    <w:rsid w:val="00830723"/>
    <w:rsid w:val="00830759"/>
    <w:rsid w:val="008307CB"/>
    <w:rsid w:val="00830842"/>
    <w:rsid w:val="0083086C"/>
    <w:rsid w:val="008308F7"/>
    <w:rsid w:val="00830919"/>
    <w:rsid w:val="00830937"/>
    <w:rsid w:val="00830956"/>
    <w:rsid w:val="0083095F"/>
    <w:rsid w:val="008309BE"/>
    <w:rsid w:val="00830A75"/>
    <w:rsid w:val="00830A9A"/>
    <w:rsid w:val="00830AA2"/>
    <w:rsid w:val="00830B18"/>
    <w:rsid w:val="00830B3F"/>
    <w:rsid w:val="00830B8C"/>
    <w:rsid w:val="00830B94"/>
    <w:rsid w:val="00830C03"/>
    <w:rsid w:val="00830C20"/>
    <w:rsid w:val="00830C72"/>
    <w:rsid w:val="00830C83"/>
    <w:rsid w:val="00830CC7"/>
    <w:rsid w:val="00830CF5"/>
    <w:rsid w:val="00830D63"/>
    <w:rsid w:val="00830D9B"/>
    <w:rsid w:val="00830DE5"/>
    <w:rsid w:val="00830E12"/>
    <w:rsid w:val="00830E78"/>
    <w:rsid w:val="00830EA7"/>
    <w:rsid w:val="00830EB1"/>
    <w:rsid w:val="00830EBB"/>
    <w:rsid w:val="00830ECD"/>
    <w:rsid w:val="00830F52"/>
    <w:rsid w:val="00830FE5"/>
    <w:rsid w:val="00830FEB"/>
    <w:rsid w:val="00830FFF"/>
    <w:rsid w:val="00831007"/>
    <w:rsid w:val="00831008"/>
    <w:rsid w:val="0083108C"/>
    <w:rsid w:val="00831099"/>
    <w:rsid w:val="00831135"/>
    <w:rsid w:val="0083114B"/>
    <w:rsid w:val="008311B8"/>
    <w:rsid w:val="008311F9"/>
    <w:rsid w:val="00831271"/>
    <w:rsid w:val="00831278"/>
    <w:rsid w:val="00831309"/>
    <w:rsid w:val="00831398"/>
    <w:rsid w:val="008313AA"/>
    <w:rsid w:val="0083147D"/>
    <w:rsid w:val="008314C4"/>
    <w:rsid w:val="00831514"/>
    <w:rsid w:val="00831516"/>
    <w:rsid w:val="00831543"/>
    <w:rsid w:val="00831584"/>
    <w:rsid w:val="008315C9"/>
    <w:rsid w:val="0083160A"/>
    <w:rsid w:val="00831632"/>
    <w:rsid w:val="008316E3"/>
    <w:rsid w:val="0083180F"/>
    <w:rsid w:val="00831948"/>
    <w:rsid w:val="00831985"/>
    <w:rsid w:val="00831994"/>
    <w:rsid w:val="008319C8"/>
    <w:rsid w:val="00831A37"/>
    <w:rsid w:val="00831AF9"/>
    <w:rsid w:val="00831B0A"/>
    <w:rsid w:val="00831B4E"/>
    <w:rsid w:val="00831B75"/>
    <w:rsid w:val="00831BBE"/>
    <w:rsid w:val="00831BC4"/>
    <w:rsid w:val="00831BD3"/>
    <w:rsid w:val="00831BE1"/>
    <w:rsid w:val="00831C08"/>
    <w:rsid w:val="00831C5C"/>
    <w:rsid w:val="00831CD3"/>
    <w:rsid w:val="00831CE9"/>
    <w:rsid w:val="00831D6F"/>
    <w:rsid w:val="00831DB0"/>
    <w:rsid w:val="00831DE1"/>
    <w:rsid w:val="00831E16"/>
    <w:rsid w:val="00831E23"/>
    <w:rsid w:val="00831E39"/>
    <w:rsid w:val="00831E3C"/>
    <w:rsid w:val="00831F06"/>
    <w:rsid w:val="00831F75"/>
    <w:rsid w:val="00831F97"/>
    <w:rsid w:val="00831FD8"/>
    <w:rsid w:val="00832005"/>
    <w:rsid w:val="00832066"/>
    <w:rsid w:val="00832095"/>
    <w:rsid w:val="00832097"/>
    <w:rsid w:val="008320BF"/>
    <w:rsid w:val="008320EA"/>
    <w:rsid w:val="00832127"/>
    <w:rsid w:val="008321EA"/>
    <w:rsid w:val="00832249"/>
    <w:rsid w:val="0083229B"/>
    <w:rsid w:val="008322B6"/>
    <w:rsid w:val="008322DE"/>
    <w:rsid w:val="008322F6"/>
    <w:rsid w:val="00832362"/>
    <w:rsid w:val="0083237D"/>
    <w:rsid w:val="008323C0"/>
    <w:rsid w:val="00832437"/>
    <w:rsid w:val="008324E4"/>
    <w:rsid w:val="008325E4"/>
    <w:rsid w:val="008325FC"/>
    <w:rsid w:val="00832697"/>
    <w:rsid w:val="008326A2"/>
    <w:rsid w:val="008326BC"/>
    <w:rsid w:val="008326E4"/>
    <w:rsid w:val="0083274C"/>
    <w:rsid w:val="00832795"/>
    <w:rsid w:val="008327B0"/>
    <w:rsid w:val="008327BA"/>
    <w:rsid w:val="008327DE"/>
    <w:rsid w:val="00832801"/>
    <w:rsid w:val="0083284B"/>
    <w:rsid w:val="00832899"/>
    <w:rsid w:val="00832903"/>
    <w:rsid w:val="0083293E"/>
    <w:rsid w:val="00832943"/>
    <w:rsid w:val="008329A7"/>
    <w:rsid w:val="00832A12"/>
    <w:rsid w:val="00832A76"/>
    <w:rsid w:val="00832B05"/>
    <w:rsid w:val="00832B48"/>
    <w:rsid w:val="00832B50"/>
    <w:rsid w:val="00832BAD"/>
    <w:rsid w:val="00832BC9"/>
    <w:rsid w:val="00832C0E"/>
    <w:rsid w:val="00832C4F"/>
    <w:rsid w:val="00832C78"/>
    <w:rsid w:val="00832C94"/>
    <w:rsid w:val="00832D18"/>
    <w:rsid w:val="00832D69"/>
    <w:rsid w:val="00832E5C"/>
    <w:rsid w:val="00832E7C"/>
    <w:rsid w:val="00832E85"/>
    <w:rsid w:val="00832EB1"/>
    <w:rsid w:val="00832EC4"/>
    <w:rsid w:val="00832ED2"/>
    <w:rsid w:val="00832F4B"/>
    <w:rsid w:val="00832F54"/>
    <w:rsid w:val="00832F93"/>
    <w:rsid w:val="00832FD7"/>
    <w:rsid w:val="00833026"/>
    <w:rsid w:val="0083302E"/>
    <w:rsid w:val="0083303D"/>
    <w:rsid w:val="00833057"/>
    <w:rsid w:val="0083305F"/>
    <w:rsid w:val="0083308C"/>
    <w:rsid w:val="00833112"/>
    <w:rsid w:val="0083317D"/>
    <w:rsid w:val="008331A1"/>
    <w:rsid w:val="008331B6"/>
    <w:rsid w:val="008331CD"/>
    <w:rsid w:val="008331D2"/>
    <w:rsid w:val="00833260"/>
    <w:rsid w:val="00833287"/>
    <w:rsid w:val="008332DA"/>
    <w:rsid w:val="00833316"/>
    <w:rsid w:val="00833320"/>
    <w:rsid w:val="0083333B"/>
    <w:rsid w:val="008333C5"/>
    <w:rsid w:val="008333D3"/>
    <w:rsid w:val="008333F0"/>
    <w:rsid w:val="00833413"/>
    <w:rsid w:val="00833423"/>
    <w:rsid w:val="00833450"/>
    <w:rsid w:val="00833454"/>
    <w:rsid w:val="00833467"/>
    <w:rsid w:val="0083348D"/>
    <w:rsid w:val="008334D7"/>
    <w:rsid w:val="008334DD"/>
    <w:rsid w:val="0083355F"/>
    <w:rsid w:val="0083359E"/>
    <w:rsid w:val="008335AC"/>
    <w:rsid w:val="008335E9"/>
    <w:rsid w:val="008335F3"/>
    <w:rsid w:val="0083372B"/>
    <w:rsid w:val="00833732"/>
    <w:rsid w:val="00833742"/>
    <w:rsid w:val="00833746"/>
    <w:rsid w:val="0083377F"/>
    <w:rsid w:val="00833788"/>
    <w:rsid w:val="008337D8"/>
    <w:rsid w:val="00833850"/>
    <w:rsid w:val="00833879"/>
    <w:rsid w:val="00833896"/>
    <w:rsid w:val="008338CA"/>
    <w:rsid w:val="008338EB"/>
    <w:rsid w:val="00833906"/>
    <w:rsid w:val="0083398E"/>
    <w:rsid w:val="008339D2"/>
    <w:rsid w:val="008339FE"/>
    <w:rsid w:val="00833A8B"/>
    <w:rsid w:val="00833A9D"/>
    <w:rsid w:val="00833ABD"/>
    <w:rsid w:val="00833B0F"/>
    <w:rsid w:val="00833B44"/>
    <w:rsid w:val="00833B45"/>
    <w:rsid w:val="00833B67"/>
    <w:rsid w:val="00833B77"/>
    <w:rsid w:val="00833B93"/>
    <w:rsid w:val="00833BC6"/>
    <w:rsid w:val="00833BD7"/>
    <w:rsid w:val="00833CE3"/>
    <w:rsid w:val="00833CF5"/>
    <w:rsid w:val="00833D2A"/>
    <w:rsid w:val="00833D56"/>
    <w:rsid w:val="00833D6C"/>
    <w:rsid w:val="00833E59"/>
    <w:rsid w:val="00833E5D"/>
    <w:rsid w:val="00833EDE"/>
    <w:rsid w:val="00833EE3"/>
    <w:rsid w:val="00833EF9"/>
    <w:rsid w:val="00833F18"/>
    <w:rsid w:val="00833F32"/>
    <w:rsid w:val="00833F48"/>
    <w:rsid w:val="00833F4C"/>
    <w:rsid w:val="00833FF9"/>
    <w:rsid w:val="00834010"/>
    <w:rsid w:val="0083406D"/>
    <w:rsid w:val="008340A9"/>
    <w:rsid w:val="008340AA"/>
    <w:rsid w:val="008340D9"/>
    <w:rsid w:val="008341F4"/>
    <w:rsid w:val="00834243"/>
    <w:rsid w:val="0083425E"/>
    <w:rsid w:val="0083427C"/>
    <w:rsid w:val="0083429A"/>
    <w:rsid w:val="008342F8"/>
    <w:rsid w:val="00834354"/>
    <w:rsid w:val="0083437F"/>
    <w:rsid w:val="008343D3"/>
    <w:rsid w:val="00834490"/>
    <w:rsid w:val="008344FD"/>
    <w:rsid w:val="00834509"/>
    <w:rsid w:val="00834541"/>
    <w:rsid w:val="008345F6"/>
    <w:rsid w:val="00834653"/>
    <w:rsid w:val="0083475E"/>
    <w:rsid w:val="00834762"/>
    <w:rsid w:val="008347C6"/>
    <w:rsid w:val="008347E7"/>
    <w:rsid w:val="0083480D"/>
    <w:rsid w:val="00834863"/>
    <w:rsid w:val="0083487B"/>
    <w:rsid w:val="0083488B"/>
    <w:rsid w:val="008348B8"/>
    <w:rsid w:val="008348D5"/>
    <w:rsid w:val="00834904"/>
    <w:rsid w:val="00834965"/>
    <w:rsid w:val="008349FB"/>
    <w:rsid w:val="00834A04"/>
    <w:rsid w:val="00834A9B"/>
    <w:rsid w:val="00834B0D"/>
    <w:rsid w:val="00834BA8"/>
    <w:rsid w:val="00834BDE"/>
    <w:rsid w:val="00834BF7"/>
    <w:rsid w:val="00834C37"/>
    <w:rsid w:val="00834C76"/>
    <w:rsid w:val="00834C9F"/>
    <w:rsid w:val="00834CB5"/>
    <w:rsid w:val="00834CCA"/>
    <w:rsid w:val="00834D42"/>
    <w:rsid w:val="00834D82"/>
    <w:rsid w:val="00834D8B"/>
    <w:rsid w:val="00834DD4"/>
    <w:rsid w:val="00834DDC"/>
    <w:rsid w:val="00834E0A"/>
    <w:rsid w:val="00834EA2"/>
    <w:rsid w:val="00834FA4"/>
    <w:rsid w:val="00834FD2"/>
    <w:rsid w:val="00834FF0"/>
    <w:rsid w:val="008350AB"/>
    <w:rsid w:val="008350CB"/>
    <w:rsid w:val="0083512B"/>
    <w:rsid w:val="0083512D"/>
    <w:rsid w:val="0083513F"/>
    <w:rsid w:val="00835160"/>
    <w:rsid w:val="00835191"/>
    <w:rsid w:val="008351DE"/>
    <w:rsid w:val="00835239"/>
    <w:rsid w:val="008352B7"/>
    <w:rsid w:val="008352C0"/>
    <w:rsid w:val="008352F5"/>
    <w:rsid w:val="00835325"/>
    <w:rsid w:val="00835340"/>
    <w:rsid w:val="00835349"/>
    <w:rsid w:val="00835365"/>
    <w:rsid w:val="0083536C"/>
    <w:rsid w:val="0083537A"/>
    <w:rsid w:val="008353BD"/>
    <w:rsid w:val="00835441"/>
    <w:rsid w:val="00835457"/>
    <w:rsid w:val="008354E1"/>
    <w:rsid w:val="00835516"/>
    <w:rsid w:val="0083551A"/>
    <w:rsid w:val="00835525"/>
    <w:rsid w:val="00835537"/>
    <w:rsid w:val="0083554E"/>
    <w:rsid w:val="0083555A"/>
    <w:rsid w:val="0083556F"/>
    <w:rsid w:val="0083569C"/>
    <w:rsid w:val="008356A0"/>
    <w:rsid w:val="008356CE"/>
    <w:rsid w:val="008356D7"/>
    <w:rsid w:val="0083574A"/>
    <w:rsid w:val="0083575E"/>
    <w:rsid w:val="0083577D"/>
    <w:rsid w:val="0083578E"/>
    <w:rsid w:val="008357A8"/>
    <w:rsid w:val="008357AA"/>
    <w:rsid w:val="008357F7"/>
    <w:rsid w:val="0083582F"/>
    <w:rsid w:val="00835836"/>
    <w:rsid w:val="008358B1"/>
    <w:rsid w:val="00835912"/>
    <w:rsid w:val="00835A08"/>
    <w:rsid w:val="00835A4A"/>
    <w:rsid w:val="00835A5A"/>
    <w:rsid w:val="00835AAE"/>
    <w:rsid w:val="00835AD3"/>
    <w:rsid w:val="00835AE6"/>
    <w:rsid w:val="00835AFA"/>
    <w:rsid w:val="00835B12"/>
    <w:rsid w:val="00835B13"/>
    <w:rsid w:val="00835B14"/>
    <w:rsid w:val="00835B33"/>
    <w:rsid w:val="00835B9B"/>
    <w:rsid w:val="00835BC5"/>
    <w:rsid w:val="00835BD5"/>
    <w:rsid w:val="00835BF7"/>
    <w:rsid w:val="00835C1B"/>
    <w:rsid w:val="00835C5D"/>
    <w:rsid w:val="00835C63"/>
    <w:rsid w:val="00835C68"/>
    <w:rsid w:val="00835C7C"/>
    <w:rsid w:val="00835CA6"/>
    <w:rsid w:val="00835CCF"/>
    <w:rsid w:val="00835CD4"/>
    <w:rsid w:val="00835D07"/>
    <w:rsid w:val="00835D2A"/>
    <w:rsid w:val="00835D58"/>
    <w:rsid w:val="00835D76"/>
    <w:rsid w:val="00835DBB"/>
    <w:rsid w:val="00835DF1"/>
    <w:rsid w:val="00835E3F"/>
    <w:rsid w:val="00835E76"/>
    <w:rsid w:val="00835EE0"/>
    <w:rsid w:val="00835F17"/>
    <w:rsid w:val="00835F33"/>
    <w:rsid w:val="00835F5F"/>
    <w:rsid w:val="00835FB1"/>
    <w:rsid w:val="00835FC7"/>
    <w:rsid w:val="00835FC9"/>
    <w:rsid w:val="00835FF2"/>
    <w:rsid w:val="0083606D"/>
    <w:rsid w:val="008360ED"/>
    <w:rsid w:val="00836191"/>
    <w:rsid w:val="008361B4"/>
    <w:rsid w:val="00836222"/>
    <w:rsid w:val="0083628F"/>
    <w:rsid w:val="0083629B"/>
    <w:rsid w:val="008362D9"/>
    <w:rsid w:val="008362EB"/>
    <w:rsid w:val="008362EC"/>
    <w:rsid w:val="008362F1"/>
    <w:rsid w:val="00836300"/>
    <w:rsid w:val="0083631E"/>
    <w:rsid w:val="00836366"/>
    <w:rsid w:val="008363B9"/>
    <w:rsid w:val="008363BF"/>
    <w:rsid w:val="00836467"/>
    <w:rsid w:val="0083648B"/>
    <w:rsid w:val="008364A9"/>
    <w:rsid w:val="008364C6"/>
    <w:rsid w:val="008365E7"/>
    <w:rsid w:val="008365FC"/>
    <w:rsid w:val="00836677"/>
    <w:rsid w:val="00836733"/>
    <w:rsid w:val="008367BB"/>
    <w:rsid w:val="008368A2"/>
    <w:rsid w:val="008368AD"/>
    <w:rsid w:val="008368BE"/>
    <w:rsid w:val="00836906"/>
    <w:rsid w:val="00836931"/>
    <w:rsid w:val="00836956"/>
    <w:rsid w:val="008369D7"/>
    <w:rsid w:val="00836ABC"/>
    <w:rsid w:val="00836AD2"/>
    <w:rsid w:val="00836B2F"/>
    <w:rsid w:val="00836B40"/>
    <w:rsid w:val="00836BE7"/>
    <w:rsid w:val="00836CB8"/>
    <w:rsid w:val="00836CE0"/>
    <w:rsid w:val="00836D42"/>
    <w:rsid w:val="00836D5A"/>
    <w:rsid w:val="00836D5D"/>
    <w:rsid w:val="00836D61"/>
    <w:rsid w:val="00836D7E"/>
    <w:rsid w:val="00836D89"/>
    <w:rsid w:val="00836D9D"/>
    <w:rsid w:val="00836DB2"/>
    <w:rsid w:val="00836E7B"/>
    <w:rsid w:val="00836EFA"/>
    <w:rsid w:val="00836F79"/>
    <w:rsid w:val="00836FB1"/>
    <w:rsid w:val="00836FC8"/>
    <w:rsid w:val="00837018"/>
    <w:rsid w:val="00837026"/>
    <w:rsid w:val="00837028"/>
    <w:rsid w:val="0083704B"/>
    <w:rsid w:val="00837079"/>
    <w:rsid w:val="0083710C"/>
    <w:rsid w:val="0083711C"/>
    <w:rsid w:val="0083714E"/>
    <w:rsid w:val="00837175"/>
    <w:rsid w:val="008371F6"/>
    <w:rsid w:val="0083720E"/>
    <w:rsid w:val="00837220"/>
    <w:rsid w:val="008372C9"/>
    <w:rsid w:val="0083737A"/>
    <w:rsid w:val="008373DD"/>
    <w:rsid w:val="00837445"/>
    <w:rsid w:val="008374CE"/>
    <w:rsid w:val="00837518"/>
    <w:rsid w:val="00837603"/>
    <w:rsid w:val="0083762E"/>
    <w:rsid w:val="0083764D"/>
    <w:rsid w:val="008376A2"/>
    <w:rsid w:val="008376AB"/>
    <w:rsid w:val="008376B5"/>
    <w:rsid w:val="008376DD"/>
    <w:rsid w:val="008376FF"/>
    <w:rsid w:val="00837768"/>
    <w:rsid w:val="008377B2"/>
    <w:rsid w:val="008377B5"/>
    <w:rsid w:val="008377D6"/>
    <w:rsid w:val="008377E9"/>
    <w:rsid w:val="008377F4"/>
    <w:rsid w:val="00837804"/>
    <w:rsid w:val="00837807"/>
    <w:rsid w:val="0083782C"/>
    <w:rsid w:val="00837880"/>
    <w:rsid w:val="0083789B"/>
    <w:rsid w:val="00837928"/>
    <w:rsid w:val="00837967"/>
    <w:rsid w:val="00837973"/>
    <w:rsid w:val="0083797B"/>
    <w:rsid w:val="00837988"/>
    <w:rsid w:val="00837A22"/>
    <w:rsid w:val="00837A58"/>
    <w:rsid w:val="00837A61"/>
    <w:rsid w:val="00837AA7"/>
    <w:rsid w:val="00837B7A"/>
    <w:rsid w:val="00837BB2"/>
    <w:rsid w:val="00837BE1"/>
    <w:rsid w:val="00837BEA"/>
    <w:rsid w:val="00837C7F"/>
    <w:rsid w:val="00837CA8"/>
    <w:rsid w:val="00837CC1"/>
    <w:rsid w:val="00837D6C"/>
    <w:rsid w:val="00837D70"/>
    <w:rsid w:val="00837DB0"/>
    <w:rsid w:val="00837DF9"/>
    <w:rsid w:val="00837E14"/>
    <w:rsid w:val="00837E41"/>
    <w:rsid w:val="00837E68"/>
    <w:rsid w:val="00837EA0"/>
    <w:rsid w:val="00837ED5"/>
    <w:rsid w:val="00837F21"/>
    <w:rsid w:val="00837F38"/>
    <w:rsid w:val="00837F50"/>
    <w:rsid w:val="00837F5D"/>
    <w:rsid w:val="00837F8D"/>
    <w:rsid w:val="00840025"/>
    <w:rsid w:val="00840037"/>
    <w:rsid w:val="00840045"/>
    <w:rsid w:val="00840054"/>
    <w:rsid w:val="008400A8"/>
    <w:rsid w:val="008400EB"/>
    <w:rsid w:val="00840108"/>
    <w:rsid w:val="00840116"/>
    <w:rsid w:val="0084013B"/>
    <w:rsid w:val="008401AB"/>
    <w:rsid w:val="008401C1"/>
    <w:rsid w:val="008401E3"/>
    <w:rsid w:val="008401F1"/>
    <w:rsid w:val="00840234"/>
    <w:rsid w:val="008402D0"/>
    <w:rsid w:val="008402E7"/>
    <w:rsid w:val="0084030C"/>
    <w:rsid w:val="00840345"/>
    <w:rsid w:val="0084038E"/>
    <w:rsid w:val="00840396"/>
    <w:rsid w:val="00840410"/>
    <w:rsid w:val="00840453"/>
    <w:rsid w:val="00840465"/>
    <w:rsid w:val="008404BC"/>
    <w:rsid w:val="008404E6"/>
    <w:rsid w:val="00840508"/>
    <w:rsid w:val="0084051E"/>
    <w:rsid w:val="0084054D"/>
    <w:rsid w:val="0084054F"/>
    <w:rsid w:val="00840563"/>
    <w:rsid w:val="00840580"/>
    <w:rsid w:val="0084059E"/>
    <w:rsid w:val="008405E8"/>
    <w:rsid w:val="00840616"/>
    <w:rsid w:val="00840646"/>
    <w:rsid w:val="0084064E"/>
    <w:rsid w:val="00840667"/>
    <w:rsid w:val="00840698"/>
    <w:rsid w:val="00840712"/>
    <w:rsid w:val="00840780"/>
    <w:rsid w:val="008407FA"/>
    <w:rsid w:val="008407FC"/>
    <w:rsid w:val="00840855"/>
    <w:rsid w:val="0084088D"/>
    <w:rsid w:val="008408AD"/>
    <w:rsid w:val="008408DD"/>
    <w:rsid w:val="008408EF"/>
    <w:rsid w:val="00840926"/>
    <w:rsid w:val="00840936"/>
    <w:rsid w:val="00840979"/>
    <w:rsid w:val="008409A2"/>
    <w:rsid w:val="008409BF"/>
    <w:rsid w:val="008409C0"/>
    <w:rsid w:val="008409E6"/>
    <w:rsid w:val="00840A11"/>
    <w:rsid w:val="00840AAA"/>
    <w:rsid w:val="00840AD0"/>
    <w:rsid w:val="00840B30"/>
    <w:rsid w:val="00840B6E"/>
    <w:rsid w:val="00840B7F"/>
    <w:rsid w:val="00840BA3"/>
    <w:rsid w:val="00840C29"/>
    <w:rsid w:val="00840C34"/>
    <w:rsid w:val="00840C6D"/>
    <w:rsid w:val="00840C80"/>
    <w:rsid w:val="00840C9D"/>
    <w:rsid w:val="00840CFF"/>
    <w:rsid w:val="00840D10"/>
    <w:rsid w:val="00840E7F"/>
    <w:rsid w:val="00840E86"/>
    <w:rsid w:val="00840E88"/>
    <w:rsid w:val="00840E8B"/>
    <w:rsid w:val="00840ECC"/>
    <w:rsid w:val="00840F06"/>
    <w:rsid w:val="00840F50"/>
    <w:rsid w:val="00840F9D"/>
    <w:rsid w:val="00841008"/>
    <w:rsid w:val="008410AC"/>
    <w:rsid w:val="0084119A"/>
    <w:rsid w:val="008411CF"/>
    <w:rsid w:val="008411F4"/>
    <w:rsid w:val="0084120C"/>
    <w:rsid w:val="00841266"/>
    <w:rsid w:val="00841304"/>
    <w:rsid w:val="0084132E"/>
    <w:rsid w:val="0084134B"/>
    <w:rsid w:val="00841392"/>
    <w:rsid w:val="00841395"/>
    <w:rsid w:val="0084143E"/>
    <w:rsid w:val="00841444"/>
    <w:rsid w:val="0084145F"/>
    <w:rsid w:val="0084149A"/>
    <w:rsid w:val="008414C6"/>
    <w:rsid w:val="008414F1"/>
    <w:rsid w:val="0084150E"/>
    <w:rsid w:val="00841514"/>
    <w:rsid w:val="0084152D"/>
    <w:rsid w:val="0084158A"/>
    <w:rsid w:val="00841596"/>
    <w:rsid w:val="00841597"/>
    <w:rsid w:val="008415B3"/>
    <w:rsid w:val="008415C7"/>
    <w:rsid w:val="008415D4"/>
    <w:rsid w:val="008415E5"/>
    <w:rsid w:val="00841602"/>
    <w:rsid w:val="00841626"/>
    <w:rsid w:val="008416C5"/>
    <w:rsid w:val="008416DD"/>
    <w:rsid w:val="0084172E"/>
    <w:rsid w:val="00841773"/>
    <w:rsid w:val="00841873"/>
    <w:rsid w:val="00841998"/>
    <w:rsid w:val="008419BA"/>
    <w:rsid w:val="00841AEC"/>
    <w:rsid w:val="00841B17"/>
    <w:rsid w:val="00841B9F"/>
    <w:rsid w:val="00841BCD"/>
    <w:rsid w:val="00841BF4"/>
    <w:rsid w:val="00841C7C"/>
    <w:rsid w:val="00841D2E"/>
    <w:rsid w:val="00841D34"/>
    <w:rsid w:val="00841D7E"/>
    <w:rsid w:val="00841E1D"/>
    <w:rsid w:val="00841E2D"/>
    <w:rsid w:val="00841E31"/>
    <w:rsid w:val="00841E49"/>
    <w:rsid w:val="00841E99"/>
    <w:rsid w:val="00841ED1"/>
    <w:rsid w:val="00841F1D"/>
    <w:rsid w:val="00841F27"/>
    <w:rsid w:val="00841F32"/>
    <w:rsid w:val="00841FA8"/>
    <w:rsid w:val="00841FD4"/>
    <w:rsid w:val="00841FEA"/>
    <w:rsid w:val="00841FF9"/>
    <w:rsid w:val="00842015"/>
    <w:rsid w:val="0084205D"/>
    <w:rsid w:val="00842086"/>
    <w:rsid w:val="008420A0"/>
    <w:rsid w:val="008420D1"/>
    <w:rsid w:val="008420D5"/>
    <w:rsid w:val="008420E3"/>
    <w:rsid w:val="008420E4"/>
    <w:rsid w:val="0084217D"/>
    <w:rsid w:val="008421F4"/>
    <w:rsid w:val="00842251"/>
    <w:rsid w:val="0084228A"/>
    <w:rsid w:val="00842390"/>
    <w:rsid w:val="0084239F"/>
    <w:rsid w:val="008423E5"/>
    <w:rsid w:val="0084242F"/>
    <w:rsid w:val="0084245D"/>
    <w:rsid w:val="00842464"/>
    <w:rsid w:val="008424DA"/>
    <w:rsid w:val="008424FB"/>
    <w:rsid w:val="0084250D"/>
    <w:rsid w:val="00842512"/>
    <w:rsid w:val="0084259D"/>
    <w:rsid w:val="00842698"/>
    <w:rsid w:val="008426AD"/>
    <w:rsid w:val="008426B1"/>
    <w:rsid w:val="00842703"/>
    <w:rsid w:val="00842743"/>
    <w:rsid w:val="00842758"/>
    <w:rsid w:val="00842801"/>
    <w:rsid w:val="0084284F"/>
    <w:rsid w:val="00842854"/>
    <w:rsid w:val="00842898"/>
    <w:rsid w:val="008428CE"/>
    <w:rsid w:val="008428EC"/>
    <w:rsid w:val="00842948"/>
    <w:rsid w:val="008429D7"/>
    <w:rsid w:val="00842A1C"/>
    <w:rsid w:val="00842A41"/>
    <w:rsid w:val="00842AA5"/>
    <w:rsid w:val="00842AC9"/>
    <w:rsid w:val="00842ACC"/>
    <w:rsid w:val="00842B08"/>
    <w:rsid w:val="00842B1C"/>
    <w:rsid w:val="00842B57"/>
    <w:rsid w:val="00842B71"/>
    <w:rsid w:val="00842B80"/>
    <w:rsid w:val="00842BCE"/>
    <w:rsid w:val="00842BD0"/>
    <w:rsid w:val="00842BFB"/>
    <w:rsid w:val="00842C0F"/>
    <w:rsid w:val="00842C46"/>
    <w:rsid w:val="00842C62"/>
    <w:rsid w:val="00842CA5"/>
    <w:rsid w:val="00842D02"/>
    <w:rsid w:val="00842D88"/>
    <w:rsid w:val="00842DD4"/>
    <w:rsid w:val="00842E02"/>
    <w:rsid w:val="00842E08"/>
    <w:rsid w:val="00842E23"/>
    <w:rsid w:val="00842EF7"/>
    <w:rsid w:val="00842F01"/>
    <w:rsid w:val="00842F23"/>
    <w:rsid w:val="00842F53"/>
    <w:rsid w:val="00842F98"/>
    <w:rsid w:val="00842FD2"/>
    <w:rsid w:val="00842FF9"/>
    <w:rsid w:val="00843015"/>
    <w:rsid w:val="00843034"/>
    <w:rsid w:val="00843070"/>
    <w:rsid w:val="008430B3"/>
    <w:rsid w:val="008430DB"/>
    <w:rsid w:val="0084311E"/>
    <w:rsid w:val="008431C6"/>
    <w:rsid w:val="00843224"/>
    <w:rsid w:val="00843241"/>
    <w:rsid w:val="0084328B"/>
    <w:rsid w:val="0084330A"/>
    <w:rsid w:val="0084331F"/>
    <w:rsid w:val="00843334"/>
    <w:rsid w:val="00843340"/>
    <w:rsid w:val="008433A6"/>
    <w:rsid w:val="00843424"/>
    <w:rsid w:val="0084343A"/>
    <w:rsid w:val="00843463"/>
    <w:rsid w:val="0084349A"/>
    <w:rsid w:val="008434A6"/>
    <w:rsid w:val="008434E7"/>
    <w:rsid w:val="0084350C"/>
    <w:rsid w:val="00843619"/>
    <w:rsid w:val="0084369F"/>
    <w:rsid w:val="008436A3"/>
    <w:rsid w:val="008436C8"/>
    <w:rsid w:val="008437E3"/>
    <w:rsid w:val="008437F7"/>
    <w:rsid w:val="0084383D"/>
    <w:rsid w:val="0084385B"/>
    <w:rsid w:val="0084387A"/>
    <w:rsid w:val="008438A1"/>
    <w:rsid w:val="008438F0"/>
    <w:rsid w:val="0084392C"/>
    <w:rsid w:val="0084394B"/>
    <w:rsid w:val="008439EC"/>
    <w:rsid w:val="00843A9D"/>
    <w:rsid w:val="00843AE8"/>
    <w:rsid w:val="00843B2B"/>
    <w:rsid w:val="00843B6E"/>
    <w:rsid w:val="00843BC8"/>
    <w:rsid w:val="00843C16"/>
    <w:rsid w:val="00843C36"/>
    <w:rsid w:val="00843C5A"/>
    <w:rsid w:val="00843CF8"/>
    <w:rsid w:val="00843D08"/>
    <w:rsid w:val="00843D3A"/>
    <w:rsid w:val="00843D6E"/>
    <w:rsid w:val="00843E26"/>
    <w:rsid w:val="00843E30"/>
    <w:rsid w:val="00843E55"/>
    <w:rsid w:val="00843E6C"/>
    <w:rsid w:val="00843E86"/>
    <w:rsid w:val="00843EE0"/>
    <w:rsid w:val="00843F21"/>
    <w:rsid w:val="00843F3D"/>
    <w:rsid w:val="00843F57"/>
    <w:rsid w:val="00843F62"/>
    <w:rsid w:val="00843FAA"/>
    <w:rsid w:val="00843FDD"/>
    <w:rsid w:val="0084403B"/>
    <w:rsid w:val="00844073"/>
    <w:rsid w:val="0084408E"/>
    <w:rsid w:val="008440B7"/>
    <w:rsid w:val="008440E7"/>
    <w:rsid w:val="008440EB"/>
    <w:rsid w:val="008440FD"/>
    <w:rsid w:val="00844135"/>
    <w:rsid w:val="0084415C"/>
    <w:rsid w:val="008441BE"/>
    <w:rsid w:val="008441F4"/>
    <w:rsid w:val="00844243"/>
    <w:rsid w:val="008442BD"/>
    <w:rsid w:val="008442C0"/>
    <w:rsid w:val="0084430D"/>
    <w:rsid w:val="00844365"/>
    <w:rsid w:val="0084437C"/>
    <w:rsid w:val="0084439E"/>
    <w:rsid w:val="008443B6"/>
    <w:rsid w:val="008443CD"/>
    <w:rsid w:val="008443E6"/>
    <w:rsid w:val="00844431"/>
    <w:rsid w:val="00844446"/>
    <w:rsid w:val="00844459"/>
    <w:rsid w:val="0084447A"/>
    <w:rsid w:val="00844495"/>
    <w:rsid w:val="00844498"/>
    <w:rsid w:val="008444AE"/>
    <w:rsid w:val="0084453E"/>
    <w:rsid w:val="00844555"/>
    <w:rsid w:val="008445EA"/>
    <w:rsid w:val="00844607"/>
    <w:rsid w:val="00844613"/>
    <w:rsid w:val="0084464A"/>
    <w:rsid w:val="008446B4"/>
    <w:rsid w:val="008446BA"/>
    <w:rsid w:val="008446C2"/>
    <w:rsid w:val="0084470B"/>
    <w:rsid w:val="00844735"/>
    <w:rsid w:val="00844743"/>
    <w:rsid w:val="00844776"/>
    <w:rsid w:val="008447BC"/>
    <w:rsid w:val="00844819"/>
    <w:rsid w:val="0084481D"/>
    <w:rsid w:val="0084485F"/>
    <w:rsid w:val="00844869"/>
    <w:rsid w:val="0084489D"/>
    <w:rsid w:val="008448CB"/>
    <w:rsid w:val="00844905"/>
    <w:rsid w:val="00844943"/>
    <w:rsid w:val="008449BB"/>
    <w:rsid w:val="008449FE"/>
    <w:rsid w:val="00844A00"/>
    <w:rsid w:val="00844B3C"/>
    <w:rsid w:val="00844BF7"/>
    <w:rsid w:val="00844D2F"/>
    <w:rsid w:val="00844E14"/>
    <w:rsid w:val="00844E81"/>
    <w:rsid w:val="00844EB6"/>
    <w:rsid w:val="00844EFC"/>
    <w:rsid w:val="00844F16"/>
    <w:rsid w:val="00844F93"/>
    <w:rsid w:val="00844F9C"/>
    <w:rsid w:val="00845009"/>
    <w:rsid w:val="008450B3"/>
    <w:rsid w:val="008450B8"/>
    <w:rsid w:val="008450F8"/>
    <w:rsid w:val="00845112"/>
    <w:rsid w:val="00845128"/>
    <w:rsid w:val="00845137"/>
    <w:rsid w:val="0084516B"/>
    <w:rsid w:val="00845211"/>
    <w:rsid w:val="00845290"/>
    <w:rsid w:val="008452BC"/>
    <w:rsid w:val="008452EB"/>
    <w:rsid w:val="00845325"/>
    <w:rsid w:val="0084534E"/>
    <w:rsid w:val="0084536D"/>
    <w:rsid w:val="008453E2"/>
    <w:rsid w:val="0084546A"/>
    <w:rsid w:val="008454A0"/>
    <w:rsid w:val="008454B9"/>
    <w:rsid w:val="008454C8"/>
    <w:rsid w:val="00845506"/>
    <w:rsid w:val="00845521"/>
    <w:rsid w:val="0084552B"/>
    <w:rsid w:val="00845562"/>
    <w:rsid w:val="0084562C"/>
    <w:rsid w:val="0084563F"/>
    <w:rsid w:val="0084567A"/>
    <w:rsid w:val="008456B2"/>
    <w:rsid w:val="008456D1"/>
    <w:rsid w:val="008456F1"/>
    <w:rsid w:val="00845721"/>
    <w:rsid w:val="00845755"/>
    <w:rsid w:val="008457B0"/>
    <w:rsid w:val="008457D4"/>
    <w:rsid w:val="008457FE"/>
    <w:rsid w:val="0084581A"/>
    <w:rsid w:val="00845882"/>
    <w:rsid w:val="008458E8"/>
    <w:rsid w:val="008459CB"/>
    <w:rsid w:val="008459D6"/>
    <w:rsid w:val="008459DC"/>
    <w:rsid w:val="008459EA"/>
    <w:rsid w:val="008459FD"/>
    <w:rsid w:val="00845A01"/>
    <w:rsid w:val="00845A14"/>
    <w:rsid w:val="00845A6B"/>
    <w:rsid w:val="00845ABF"/>
    <w:rsid w:val="00845AF8"/>
    <w:rsid w:val="00845B5B"/>
    <w:rsid w:val="00845B93"/>
    <w:rsid w:val="00845B96"/>
    <w:rsid w:val="00845BCD"/>
    <w:rsid w:val="00845C36"/>
    <w:rsid w:val="00845C3B"/>
    <w:rsid w:val="00845C83"/>
    <w:rsid w:val="00845C8A"/>
    <w:rsid w:val="00845CC2"/>
    <w:rsid w:val="00845CD3"/>
    <w:rsid w:val="00845DB3"/>
    <w:rsid w:val="00845E16"/>
    <w:rsid w:val="00845E19"/>
    <w:rsid w:val="00845E1A"/>
    <w:rsid w:val="00845E3A"/>
    <w:rsid w:val="00845E42"/>
    <w:rsid w:val="00845E58"/>
    <w:rsid w:val="00845EA1"/>
    <w:rsid w:val="00845EB5"/>
    <w:rsid w:val="00845ECC"/>
    <w:rsid w:val="00845ED2"/>
    <w:rsid w:val="00845F63"/>
    <w:rsid w:val="00845F96"/>
    <w:rsid w:val="00845FC4"/>
    <w:rsid w:val="0084604A"/>
    <w:rsid w:val="0084607D"/>
    <w:rsid w:val="00846085"/>
    <w:rsid w:val="00846087"/>
    <w:rsid w:val="0084609F"/>
    <w:rsid w:val="0084610B"/>
    <w:rsid w:val="0084612D"/>
    <w:rsid w:val="00846188"/>
    <w:rsid w:val="008461A1"/>
    <w:rsid w:val="008461A9"/>
    <w:rsid w:val="008461AC"/>
    <w:rsid w:val="008461B4"/>
    <w:rsid w:val="008461C9"/>
    <w:rsid w:val="0084623B"/>
    <w:rsid w:val="0084623D"/>
    <w:rsid w:val="00846245"/>
    <w:rsid w:val="00846250"/>
    <w:rsid w:val="00846258"/>
    <w:rsid w:val="00846276"/>
    <w:rsid w:val="008462DA"/>
    <w:rsid w:val="00846326"/>
    <w:rsid w:val="0084634A"/>
    <w:rsid w:val="0084635E"/>
    <w:rsid w:val="008463AF"/>
    <w:rsid w:val="008463CA"/>
    <w:rsid w:val="00846490"/>
    <w:rsid w:val="008464FC"/>
    <w:rsid w:val="00846517"/>
    <w:rsid w:val="00846541"/>
    <w:rsid w:val="0084655D"/>
    <w:rsid w:val="008465C4"/>
    <w:rsid w:val="008465E9"/>
    <w:rsid w:val="00846625"/>
    <w:rsid w:val="00846635"/>
    <w:rsid w:val="0084663E"/>
    <w:rsid w:val="00846696"/>
    <w:rsid w:val="008466B8"/>
    <w:rsid w:val="00846732"/>
    <w:rsid w:val="00846750"/>
    <w:rsid w:val="0084678F"/>
    <w:rsid w:val="00846790"/>
    <w:rsid w:val="008467A7"/>
    <w:rsid w:val="00846852"/>
    <w:rsid w:val="0084689D"/>
    <w:rsid w:val="008468B1"/>
    <w:rsid w:val="008468DB"/>
    <w:rsid w:val="008468E2"/>
    <w:rsid w:val="008468FB"/>
    <w:rsid w:val="00846904"/>
    <w:rsid w:val="008469E9"/>
    <w:rsid w:val="00846A83"/>
    <w:rsid w:val="00846A85"/>
    <w:rsid w:val="00846A98"/>
    <w:rsid w:val="00846AF0"/>
    <w:rsid w:val="00846B64"/>
    <w:rsid w:val="00846BD6"/>
    <w:rsid w:val="00846BED"/>
    <w:rsid w:val="00846BF1"/>
    <w:rsid w:val="00846C19"/>
    <w:rsid w:val="00846C42"/>
    <w:rsid w:val="00846CEC"/>
    <w:rsid w:val="00846D38"/>
    <w:rsid w:val="00846D70"/>
    <w:rsid w:val="00846D9D"/>
    <w:rsid w:val="00846DAF"/>
    <w:rsid w:val="00846DB0"/>
    <w:rsid w:val="00846DDF"/>
    <w:rsid w:val="00846DFA"/>
    <w:rsid w:val="00846E90"/>
    <w:rsid w:val="00846EB8"/>
    <w:rsid w:val="00846EBC"/>
    <w:rsid w:val="00846F03"/>
    <w:rsid w:val="0084700C"/>
    <w:rsid w:val="00847061"/>
    <w:rsid w:val="0084707B"/>
    <w:rsid w:val="00847085"/>
    <w:rsid w:val="0084708F"/>
    <w:rsid w:val="0084711A"/>
    <w:rsid w:val="00847164"/>
    <w:rsid w:val="00847217"/>
    <w:rsid w:val="00847222"/>
    <w:rsid w:val="00847276"/>
    <w:rsid w:val="008472B4"/>
    <w:rsid w:val="008472E2"/>
    <w:rsid w:val="008472FA"/>
    <w:rsid w:val="0084730E"/>
    <w:rsid w:val="008473A0"/>
    <w:rsid w:val="008473AA"/>
    <w:rsid w:val="008473C8"/>
    <w:rsid w:val="0084741C"/>
    <w:rsid w:val="008474A3"/>
    <w:rsid w:val="008474E0"/>
    <w:rsid w:val="008474F3"/>
    <w:rsid w:val="00847564"/>
    <w:rsid w:val="008475C4"/>
    <w:rsid w:val="008475DC"/>
    <w:rsid w:val="008476E0"/>
    <w:rsid w:val="008476FD"/>
    <w:rsid w:val="0084772C"/>
    <w:rsid w:val="0084773D"/>
    <w:rsid w:val="0084776C"/>
    <w:rsid w:val="00847777"/>
    <w:rsid w:val="00847783"/>
    <w:rsid w:val="00847842"/>
    <w:rsid w:val="00847883"/>
    <w:rsid w:val="00847969"/>
    <w:rsid w:val="008479BF"/>
    <w:rsid w:val="00847A3D"/>
    <w:rsid w:val="00847AB2"/>
    <w:rsid w:val="00847AB7"/>
    <w:rsid w:val="00847B74"/>
    <w:rsid w:val="00847B8C"/>
    <w:rsid w:val="00847C01"/>
    <w:rsid w:val="00847C13"/>
    <w:rsid w:val="00847C55"/>
    <w:rsid w:val="00847C7A"/>
    <w:rsid w:val="00847C7D"/>
    <w:rsid w:val="00847D12"/>
    <w:rsid w:val="00847D34"/>
    <w:rsid w:val="00847D57"/>
    <w:rsid w:val="00847E1A"/>
    <w:rsid w:val="00847E55"/>
    <w:rsid w:val="00847E5F"/>
    <w:rsid w:val="00847EF9"/>
    <w:rsid w:val="00847F08"/>
    <w:rsid w:val="00847FE7"/>
    <w:rsid w:val="0085002B"/>
    <w:rsid w:val="0085003E"/>
    <w:rsid w:val="008500A6"/>
    <w:rsid w:val="008500F6"/>
    <w:rsid w:val="0085010B"/>
    <w:rsid w:val="0085011B"/>
    <w:rsid w:val="00850149"/>
    <w:rsid w:val="0085015F"/>
    <w:rsid w:val="00850188"/>
    <w:rsid w:val="00850189"/>
    <w:rsid w:val="008501B2"/>
    <w:rsid w:val="008501DC"/>
    <w:rsid w:val="0085021D"/>
    <w:rsid w:val="0085025F"/>
    <w:rsid w:val="00850275"/>
    <w:rsid w:val="0085028C"/>
    <w:rsid w:val="008502B8"/>
    <w:rsid w:val="0085035D"/>
    <w:rsid w:val="008503F1"/>
    <w:rsid w:val="0085041B"/>
    <w:rsid w:val="0085041E"/>
    <w:rsid w:val="0085047E"/>
    <w:rsid w:val="008504CE"/>
    <w:rsid w:val="008504DD"/>
    <w:rsid w:val="008504FC"/>
    <w:rsid w:val="00850522"/>
    <w:rsid w:val="0085055B"/>
    <w:rsid w:val="00850582"/>
    <w:rsid w:val="008505CB"/>
    <w:rsid w:val="00850612"/>
    <w:rsid w:val="0085065C"/>
    <w:rsid w:val="008506F3"/>
    <w:rsid w:val="008507C3"/>
    <w:rsid w:val="00850837"/>
    <w:rsid w:val="00850846"/>
    <w:rsid w:val="008508EB"/>
    <w:rsid w:val="0085095E"/>
    <w:rsid w:val="0085098C"/>
    <w:rsid w:val="008509B6"/>
    <w:rsid w:val="008509BA"/>
    <w:rsid w:val="008509E2"/>
    <w:rsid w:val="00850AB1"/>
    <w:rsid w:val="00850ADB"/>
    <w:rsid w:val="00850B0C"/>
    <w:rsid w:val="00850B26"/>
    <w:rsid w:val="00850B5B"/>
    <w:rsid w:val="00850B6B"/>
    <w:rsid w:val="00850BA3"/>
    <w:rsid w:val="00850C0E"/>
    <w:rsid w:val="00850C43"/>
    <w:rsid w:val="00850C72"/>
    <w:rsid w:val="00850C8F"/>
    <w:rsid w:val="00850CD4"/>
    <w:rsid w:val="00850D79"/>
    <w:rsid w:val="00850DEA"/>
    <w:rsid w:val="00850E01"/>
    <w:rsid w:val="00850E0C"/>
    <w:rsid w:val="00850E49"/>
    <w:rsid w:val="00850EB9"/>
    <w:rsid w:val="00850EBA"/>
    <w:rsid w:val="00850ED0"/>
    <w:rsid w:val="00850F0D"/>
    <w:rsid w:val="00850F13"/>
    <w:rsid w:val="00850F20"/>
    <w:rsid w:val="00850F6F"/>
    <w:rsid w:val="00850F9E"/>
    <w:rsid w:val="00851007"/>
    <w:rsid w:val="00851081"/>
    <w:rsid w:val="008510C9"/>
    <w:rsid w:val="008510D8"/>
    <w:rsid w:val="00851117"/>
    <w:rsid w:val="00851143"/>
    <w:rsid w:val="008511BA"/>
    <w:rsid w:val="008511D4"/>
    <w:rsid w:val="008511EC"/>
    <w:rsid w:val="0085122E"/>
    <w:rsid w:val="00851241"/>
    <w:rsid w:val="008512A1"/>
    <w:rsid w:val="008512BE"/>
    <w:rsid w:val="008512FD"/>
    <w:rsid w:val="00851344"/>
    <w:rsid w:val="0085139B"/>
    <w:rsid w:val="008513F0"/>
    <w:rsid w:val="0085141C"/>
    <w:rsid w:val="00851456"/>
    <w:rsid w:val="00851464"/>
    <w:rsid w:val="008514CF"/>
    <w:rsid w:val="008514D7"/>
    <w:rsid w:val="00851539"/>
    <w:rsid w:val="00851568"/>
    <w:rsid w:val="00851574"/>
    <w:rsid w:val="0085157E"/>
    <w:rsid w:val="0085158C"/>
    <w:rsid w:val="008515F1"/>
    <w:rsid w:val="00851631"/>
    <w:rsid w:val="00851639"/>
    <w:rsid w:val="008516A9"/>
    <w:rsid w:val="008516B7"/>
    <w:rsid w:val="0085172E"/>
    <w:rsid w:val="0085183C"/>
    <w:rsid w:val="0085187E"/>
    <w:rsid w:val="008518CD"/>
    <w:rsid w:val="00851922"/>
    <w:rsid w:val="008519F4"/>
    <w:rsid w:val="00851A3F"/>
    <w:rsid w:val="00851ABC"/>
    <w:rsid w:val="00851AC0"/>
    <w:rsid w:val="00851B51"/>
    <w:rsid w:val="00851BC8"/>
    <w:rsid w:val="00851CE5"/>
    <w:rsid w:val="00851CE9"/>
    <w:rsid w:val="00851D09"/>
    <w:rsid w:val="00851D3E"/>
    <w:rsid w:val="00851D48"/>
    <w:rsid w:val="00851DCF"/>
    <w:rsid w:val="00851DDC"/>
    <w:rsid w:val="00851E1B"/>
    <w:rsid w:val="00851E1D"/>
    <w:rsid w:val="00851E33"/>
    <w:rsid w:val="00851E35"/>
    <w:rsid w:val="00851E6E"/>
    <w:rsid w:val="00851EE2"/>
    <w:rsid w:val="00851F09"/>
    <w:rsid w:val="00851FAE"/>
    <w:rsid w:val="00851FE0"/>
    <w:rsid w:val="00852054"/>
    <w:rsid w:val="0085207F"/>
    <w:rsid w:val="00852092"/>
    <w:rsid w:val="008520F9"/>
    <w:rsid w:val="00852103"/>
    <w:rsid w:val="0085211E"/>
    <w:rsid w:val="0085214D"/>
    <w:rsid w:val="00852182"/>
    <w:rsid w:val="0085218E"/>
    <w:rsid w:val="0085219A"/>
    <w:rsid w:val="008521EB"/>
    <w:rsid w:val="008521EC"/>
    <w:rsid w:val="00852216"/>
    <w:rsid w:val="0085229B"/>
    <w:rsid w:val="008522BB"/>
    <w:rsid w:val="008522DF"/>
    <w:rsid w:val="0085232A"/>
    <w:rsid w:val="00852379"/>
    <w:rsid w:val="0085239E"/>
    <w:rsid w:val="008523BA"/>
    <w:rsid w:val="008523EF"/>
    <w:rsid w:val="00852450"/>
    <w:rsid w:val="00852524"/>
    <w:rsid w:val="00852550"/>
    <w:rsid w:val="008525AD"/>
    <w:rsid w:val="008525B4"/>
    <w:rsid w:val="008525E3"/>
    <w:rsid w:val="008525ED"/>
    <w:rsid w:val="0085263E"/>
    <w:rsid w:val="0085266D"/>
    <w:rsid w:val="0085270F"/>
    <w:rsid w:val="00852760"/>
    <w:rsid w:val="008527C6"/>
    <w:rsid w:val="008527EA"/>
    <w:rsid w:val="0085289B"/>
    <w:rsid w:val="008528C9"/>
    <w:rsid w:val="008528EB"/>
    <w:rsid w:val="00852A40"/>
    <w:rsid w:val="00852B27"/>
    <w:rsid w:val="00852B32"/>
    <w:rsid w:val="00852B5A"/>
    <w:rsid w:val="00852C2F"/>
    <w:rsid w:val="00852C46"/>
    <w:rsid w:val="00852CF3"/>
    <w:rsid w:val="00852D1C"/>
    <w:rsid w:val="00852D65"/>
    <w:rsid w:val="00852D94"/>
    <w:rsid w:val="00852DA0"/>
    <w:rsid w:val="00852DD9"/>
    <w:rsid w:val="00852DE6"/>
    <w:rsid w:val="00852DEE"/>
    <w:rsid w:val="00852E12"/>
    <w:rsid w:val="00852E3A"/>
    <w:rsid w:val="00852EC3"/>
    <w:rsid w:val="00852FDB"/>
    <w:rsid w:val="00852FE4"/>
    <w:rsid w:val="00853009"/>
    <w:rsid w:val="00853014"/>
    <w:rsid w:val="00853127"/>
    <w:rsid w:val="0085313B"/>
    <w:rsid w:val="00853143"/>
    <w:rsid w:val="00853184"/>
    <w:rsid w:val="008531BE"/>
    <w:rsid w:val="00853210"/>
    <w:rsid w:val="00853245"/>
    <w:rsid w:val="0085327F"/>
    <w:rsid w:val="008532DE"/>
    <w:rsid w:val="0085338C"/>
    <w:rsid w:val="00853395"/>
    <w:rsid w:val="008533CA"/>
    <w:rsid w:val="008533D6"/>
    <w:rsid w:val="008533F2"/>
    <w:rsid w:val="0085342C"/>
    <w:rsid w:val="00853452"/>
    <w:rsid w:val="00853507"/>
    <w:rsid w:val="00853533"/>
    <w:rsid w:val="0085353E"/>
    <w:rsid w:val="008535AD"/>
    <w:rsid w:val="008535F9"/>
    <w:rsid w:val="0085367D"/>
    <w:rsid w:val="008536C6"/>
    <w:rsid w:val="00853760"/>
    <w:rsid w:val="0085376D"/>
    <w:rsid w:val="00853796"/>
    <w:rsid w:val="008537A5"/>
    <w:rsid w:val="008537CB"/>
    <w:rsid w:val="0085381A"/>
    <w:rsid w:val="00853843"/>
    <w:rsid w:val="0085386D"/>
    <w:rsid w:val="0085388C"/>
    <w:rsid w:val="008538F0"/>
    <w:rsid w:val="00853921"/>
    <w:rsid w:val="00853A16"/>
    <w:rsid w:val="00853A2C"/>
    <w:rsid w:val="00853A3A"/>
    <w:rsid w:val="00853A3B"/>
    <w:rsid w:val="00853A64"/>
    <w:rsid w:val="00853A93"/>
    <w:rsid w:val="00853BB1"/>
    <w:rsid w:val="00853BBE"/>
    <w:rsid w:val="00853C09"/>
    <w:rsid w:val="00853C28"/>
    <w:rsid w:val="00853C2E"/>
    <w:rsid w:val="00853C45"/>
    <w:rsid w:val="00853CB1"/>
    <w:rsid w:val="00853CD7"/>
    <w:rsid w:val="00853CEA"/>
    <w:rsid w:val="00853D00"/>
    <w:rsid w:val="00853D12"/>
    <w:rsid w:val="00853D20"/>
    <w:rsid w:val="00853D22"/>
    <w:rsid w:val="00853D42"/>
    <w:rsid w:val="00853D9E"/>
    <w:rsid w:val="00853DAF"/>
    <w:rsid w:val="00853E4E"/>
    <w:rsid w:val="00853E62"/>
    <w:rsid w:val="00853EA8"/>
    <w:rsid w:val="00853EE9"/>
    <w:rsid w:val="00853EF7"/>
    <w:rsid w:val="00853F15"/>
    <w:rsid w:val="0085403A"/>
    <w:rsid w:val="00854042"/>
    <w:rsid w:val="00854079"/>
    <w:rsid w:val="008540D6"/>
    <w:rsid w:val="00854109"/>
    <w:rsid w:val="00854128"/>
    <w:rsid w:val="00854180"/>
    <w:rsid w:val="008541AB"/>
    <w:rsid w:val="008541F9"/>
    <w:rsid w:val="00854244"/>
    <w:rsid w:val="008542A9"/>
    <w:rsid w:val="008542E3"/>
    <w:rsid w:val="0085431B"/>
    <w:rsid w:val="0085432E"/>
    <w:rsid w:val="0085441C"/>
    <w:rsid w:val="0085447F"/>
    <w:rsid w:val="00854491"/>
    <w:rsid w:val="008544AA"/>
    <w:rsid w:val="00854509"/>
    <w:rsid w:val="00854537"/>
    <w:rsid w:val="00854549"/>
    <w:rsid w:val="008545D2"/>
    <w:rsid w:val="008545D5"/>
    <w:rsid w:val="008545F1"/>
    <w:rsid w:val="00854613"/>
    <w:rsid w:val="00854646"/>
    <w:rsid w:val="008546FF"/>
    <w:rsid w:val="00854742"/>
    <w:rsid w:val="00854793"/>
    <w:rsid w:val="008547DD"/>
    <w:rsid w:val="008547ED"/>
    <w:rsid w:val="00854813"/>
    <w:rsid w:val="00854837"/>
    <w:rsid w:val="0085483A"/>
    <w:rsid w:val="0085488F"/>
    <w:rsid w:val="008548CC"/>
    <w:rsid w:val="008549AF"/>
    <w:rsid w:val="00854A50"/>
    <w:rsid w:val="00854A6A"/>
    <w:rsid w:val="00854AC3"/>
    <w:rsid w:val="00854B15"/>
    <w:rsid w:val="00854B1E"/>
    <w:rsid w:val="00854B57"/>
    <w:rsid w:val="00854B5A"/>
    <w:rsid w:val="00854BAC"/>
    <w:rsid w:val="00854BB0"/>
    <w:rsid w:val="00854BD6"/>
    <w:rsid w:val="00854BFE"/>
    <w:rsid w:val="00854C0A"/>
    <w:rsid w:val="00854C3F"/>
    <w:rsid w:val="00854C53"/>
    <w:rsid w:val="00854CB0"/>
    <w:rsid w:val="00854CD1"/>
    <w:rsid w:val="00854CD5"/>
    <w:rsid w:val="00854D2D"/>
    <w:rsid w:val="00854D3A"/>
    <w:rsid w:val="00854D3F"/>
    <w:rsid w:val="00854DCF"/>
    <w:rsid w:val="00854E1B"/>
    <w:rsid w:val="00854E66"/>
    <w:rsid w:val="00854E90"/>
    <w:rsid w:val="00854F10"/>
    <w:rsid w:val="00854F2C"/>
    <w:rsid w:val="00854F44"/>
    <w:rsid w:val="00855011"/>
    <w:rsid w:val="0085507F"/>
    <w:rsid w:val="008550B1"/>
    <w:rsid w:val="008550B5"/>
    <w:rsid w:val="00855172"/>
    <w:rsid w:val="008551B5"/>
    <w:rsid w:val="0085520B"/>
    <w:rsid w:val="00855215"/>
    <w:rsid w:val="00855220"/>
    <w:rsid w:val="0085522B"/>
    <w:rsid w:val="00855269"/>
    <w:rsid w:val="008552B0"/>
    <w:rsid w:val="00855353"/>
    <w:rsid w:val="0085536C"/>
    <w:rsid w:val="008553DF"/>
    <w:rsid w:val="0085542E"/>
    <w:rsid w:val="00855509"/>
    <w:rsid w:val="0085551B"/>
    <w:rsid w:val="00855610"/>
    <w:rsid w:val="00855616"/>
    <w:rsid w:val="00855639"/>
    <w:rsid w:val="0085565D"/>
    <w:rsid w:val="00855672"/>
    <w:rsid w:val="0085567F"/>
    <w:rsid w:val="008556C6"/>
    <w:rsid w:val="008556F4"/>
    <w:rsid w:val="00855719"/>
    <w:rsid w:val="0085571E"/>
    <w:rsid w:val="00855792"/>
    <w:rsid w:val="008557EE"/>
    <w:rsid w:val="00855803"/>
    <w:rsid w:val="00855813"/>
    <w:rsid w:val="00855857"/>
    <w:rsid w:val="00855880"/>
    <w:rsid w:val="00855887"/>
    <w:rsid w:val="008558F8"/>
    <w:rsid w:val="00855904"/>
    <w:rsid w:val="008559F1"/>
    <w:rsid w:val="00855A4F"/>
    <w:rsid w:val="00855A5A"/>
    <w:rsid w:val="00855A66"/>
    <w:rsid w:val="00855A7E"/>
    <w:rsid w:val="00855B4F"/>
    <w:rsid w:val="00855CE5"/>
    <w:rsid w:val="00855D34"/>
    <w:rsid w:val="00855D6E"/>
    <w:rsid w:val="00855DA5"/>
    <w:rsid w:val="00855DEC"/>
    <w:rsid w:val="00855E3D"/>
    <w:rsid w:val="00855E8B"/>
    <w:rsid w:val="00855EC2"/>
    <w:rsid w:val="00855EC8"/>
    <w:rsid w:val="00855F34"/>
    <w:rsid w:val="00855FF8"/>
    <w:rsid w:val="0085602F"/>
    <w:rsid w:val="008560C8"/>
    <w:rsid w:val="008560F5"/>
    <w:rsid w:val="008561B9"/>
    <w:rsid w:val="008561BE"/>
    <w:rsid w:val="008561C8"/>
    <w:rsid w:val="00856209"/>
    <w:rsid w:val="00856216"/>
    <w:rsid w:val="00856269"/>
    <w:rsid w:val="008562BC"/>
    <w:rsid w:val="0085631C"/>
    <w:rsid w:val="00856323"/>
    <w:rsid w:val="00856338"/>
    <w:rsid w:val="00856363"/>
    <w:rsid w:val="008563AE"/>
    <w:rsid w:val="008563D9"/>
    <w:rsid w:val="008563ED"/>
    <w:rsid w:val="008564F4"/>
    <w:rsid w:val="00856586"/>
    <w:rsid w:val="0085658B"/>
    <w:rsid w:val="008565B0"/>
    <w:rsid w:val="00856601"/>
    <w:rsid w:val="008566B8"/>
    <w:rsid w:val="00856707"/>
    <w:rsid w:val="00856755"/>
    <w:rsid w:val="0085677B"/>
    <w:rsid w:val="00856781"/>
    <w:rsid w:val="008567AE"/>
    <w:rsid w:val="008567F4"/>
    <w:rsid w:val="00856824"/>
    <w:rsid w:val="0085682E"/>
    <w:rsid w:val="00856845"/>
    <w:rsid w:val="0085684E"/>
    <w:rsid w:val="00856861"/>
    <w:rsid w:val="00856864"/>
    <w:rsid w:val="00856883"/>
    <w:rsid w:val="00856898"/>
    <w:rsid w:val="008568EF"/>
    <w:rsid w:val="008568F4"/>
    <w:rsid w:val="00856924"/>
    <w:rsid w:val="00856983"/>
    <w:rsid w:val="008569AE"/>
    <w:rsid w:val="00856B43"/>
    <w:rsid w:val="00856BC2"/>
    <w:rsid w:val="00856BF1"/>
    <w:rsid w:val="00856C04"/>
    <w:rsid w:val="00856C19"/>
    <w:rsid w:val="00856C30"/>
    <w:rsid w:val="00856C8A"/>
    <w:rsid w:val="00856CA1"/>
    <w:rsid w:val="00856CCF"/>
    <w:rsid w:val="00856D01"/>
    <w:rsid w:val="00856D42"/>
    <w:rsid w:val="00856D79"/>
    <w:rsid w:val="00856D84"/>
    <w:rsid w:val="00856D9D"/>
    <w:rsid w:val="00856D9E"/>
    <w:rsid w:val="00856DBC"/>
    <w:rsid w:val="00856E2F"/>
    <w:rsid w:val="00856E45"/>
    <w:rsid w:val="00856E64"/>
    <w:rsid w:val="00856E99"/>
    <w:rsid w:val="00856F8B"/>
    <w:rsid w:val="00856FA2"/>
    <w:rsid w:val="00856FA8"/>
    <w:rsid w:val="00856FE9"/>
    <w:rsid w:val="00857123"/>
    <w:rsid w:val="0085714F"/>
    <w:rsid w:val="00857173"/>
    <w:rsid w:val="00857193"/>
    <w:rsid w:val="008571F5"/>
    <w:rsid w:val="00857231"/>
    <w:rsid w:val="0085723D"/>
    <w:rsid w:val="00857241"/>
    <w:rsid w:val="00857246"/>
    <w:rsid w:val="008572FD"/>
    <w:rsid w:val="00857355"/>
    <w:rsid w:val="0085741D"/>
    <w:rsid w:val="00857467"/>
    <w:rsid w:val="008574C1"/>
    <w:rsid w:val="008574E9"/>
    <w:rsid w:val="008575B0"/>
    <w:rsid w:val="00857667"/>
    <w:rsid w:val="00857668"/>
    <w:rsid w:val="00857690"/>
    <w:rsid w:val="0085769C"/>
    <w:rsid w:val="008576A8"/>
    <w:rsid w:val="008576F8"/>
    <w:rsid w:val="00857713"/>
    <w:rsid w:val="0085772D"/>
    <w:rsid w:val="0085775F"/>
    <w:rsid w:val="00857792"/>
    <w:rsid w:val="00857799"/>
    <w:rsid w:val="008577B8"/>
    <w:rsid w:val="008577E2"/>
    <w:rsid w:val="008577FC"/>
    <w:rsid w:val="00857815"/>
    <w:rsid w:val="0085781E"/>
    <w:rsid w:val="008578B9"/>
    <w:rsid w:val="008578C8"/>
    <w:rsid w:val="00857923"/>
    <w:rsid w:val="0085794F"/>
    <w:rsid w:val="00857969"/>
    <w:rsid w:val="0085798B"/>
    <w:rsid w:val="00857A2A"/>
    <w:rsid w:val="00857A49"/>
    <w:rsid w:val="00857B2B"/>
    <w:rsid w:val="00857BC8"/>
    <w:rsid w:val="00857BDD"/>
    <w:rsid w:val="00857C48"/>
    <w:rsid w:val="00857C74"/>
    <w:rsid w:val="00857D28"/>
    <w:rsid w:val="00857D2A"/>
    <w:rsid w:val="00857DBD"/>
    <w:rsid w:val="00857E30"/>
    <w:rsid w:val="00857E37"/>
    <w:rsid w:val="00857E89"/>
    <w:rsid w:val="00857E94"/>
    <w:rsid w:val="00857EA4"/>
    <w:rsid w:val="00857F30"/>
    <w:rsid w:val="00857F34"/>
    <w:rsid w:val="00857F60"/>
    <w:rsid w:val="00857F75"/>
    <w:rsid w:val="00857F7B"/>
    <w:rsid w:val="00857FA0"/>
    <w:rsid w:val="00857FA5"/>
    <w:rsid w:val="00860120"/>
    <w:rsid w:val="0086012D"/>
    <w:rsid w:val="00860191"/>
    <w:rsid w:val="008601B4"/>
    <w:rsid w:val="008601F7"/>
    <w:rsid w:val="00860268"/>
    <w:rsid w:val="008602AB"/>
    <w:rsid w:val="00860319"/>
    <w:rsid w:val="00860376"/>
    <w:rsid w:val="00860385"/>
    <w:rsid w:val="008603CB"/>
    <w:rsid w:val="008603DA"/>
    <w:rsid w:val="008603FC"/>
    <w:rsid w:val="0086043C"/>
    <w:rsid w:val="00860447"/>
    <w:rsid w:val="0086044B"/>
    <w:rsid w:val="0086045E"/>
    <w:rsid w:val="00860465"/>
    <w:rsid w:val="00860476"/>
    <w:rsid w:val="00860495"/>
    <w:rsid w:val="008604BC"/>
    <w:rsid w:val="008604DD"/>
    <w:rsid w:val="008604FC"/>
    <w:rsid w:val="0086056E"/>
    <w:rsid w:val="00860573"/>
    <w:rsid w:val="008605A8"/>
    <w:rsid w:val="0086060C"/>
    <w:rsid w:val="00860628"/>
    <w:rsid w:val="0086066B"/>
    <w:rsid w:val="008606C8"/>
    <w:rsid w:val="008606CB"/>
    <w:rsid w:val="0086071D"/>
    <w:rsid w:val="00860722"/>
    <w:rsid w:val="00860741"/>
    <w:rsid w:val="008607CF"/>
    <w:rsid w:val="00860819"/>
    <w:rsid w:val="0086081D"/>
    <w:rsid w:val="00860834"/>
    <w:rsid w:val="00860884"/>
    <w:rsid w:val="00860902"/>
    <w:rsid w:val="00860927"/>
    <w:rsid w:val="0086092B"/>
    <w:rsid w:val="0086093D"/>
    <w:rsid w:val="00860950"/>
    <w:rsid w:val="0086095A"/>
    <w:rsid w:val="00860992"/>
    <w:rsid w:val="008609B7"/>
    <w:rsid w:val="00860A66"/>
    <w:rsid w:val="00860A70"/>
    <w:rsid w:val="00860A76"/>
    <w:rsid w:val="00860A88"/>
    <w:rsid w:val="00860AF4"/>
    <w:rsid w:val="00860B22"/>
    <w:rsid w:val="00860B49"/>
    <w:rsid w:val="00860B81"/>
    <w:rsid w:val="00860B83"/>
    <w:rsid w:val="00860BB7"/>
    <w:rsid w:val="00860C78"/>
    <w:rsid w:val="00860CAA"/>
    <w:rsid w:val="00860CAC"/>
    <w:rsid w:val="00860CD1"/>
    <w:rsid w:val="00860CD5"/>
    <w:rsid w:val="00860D2C"/>
    <w:rsid w:val="00860D34"/>
    <w:rsid w:val="00860D5E"/>
    <w:rsid w:val="00860DA1"/>
    <w:rsid w:val="00860DC6"/>
    <w:rsid w:val="00860DEF"/>
    <w:rsid w:val="00860E88"/>
    <w:rsid w:val="00860ECF"/>
    <w:rsid w:val="00860EE5"/>
    <w:rsid w:val="00860F1F"/>
    <w:rsid w:val="00860F35"/>
    <w:rsid w:val="00860F43"/>
    <w:rsid w:val="00860F8B"/>
    <w:rsid w:val="00860FF8"/>
    <w:rsid w:val="0086100C"/>
    <w:rsid w:val="0086101B"/>
    <w:rsid w:val="00861030"/>
    <w:rsid w:val="008610BF"/>
    <w:rsid w:val="00861107"/>
    <w:rsid w:val="00861112"/>
    <w:rsid w:val="00861196"/>
    <w:rsid w:val="008611FF"/>
    <w:rsid w:val="0086129E"/>
    <w:rsid w:val="008612B3"/>
    <w:rsid w:val="008612D4"/>
    <w:rsid w:val="00861329"/>
    <w:rsid w:val="0086135F"/>
    <w:rsid w:val="008613F4"/>
    <w:rsid w:val="008613F8"/>
    <w:rsid w:val="0086142D"/>
    <w:rsid w:val="00861456"/>
    <w:rsid w:val="008614A6"/>
    <w:rsid w:val="00861536"/>
    <w:rsid w:val="0086154D"/>
    <w:rsid w:val="00861586"/>
    <w:rsid w:val="0086158C"/>
    <w:rsid w:val="008615F6"/>
    <w:rsid w:val="0086160E"/>
    <w:rsid w:val="00861659"/>
    <w:rsid w:val="008617BD"/>
    <w:rsid w:val="008617DD"/>
    <w:rsid w:val="008617E6"/>
    <w:rsid w:val="0086182E"/>
    <w:rsid w:val="0086185A"/>
    <w:rsid w:val="0086187C"/>
    <w:rsid w:val="008618D0"/>
    <w:rsid w:val="0086194A"/>
    <w:rsid w:val="00861994"/>
    <w:rsid w:val="00861995"/>
    <w:rsid w:val="008619A1"/>
    <w:rsid w:val="008619A2"/>
    <w:rsid w:val="00861A00"/>
    <w:rsid w:val="00861A2C"/>
    <w:rsid w:val="00861A7B"/>
    <w:rsid w:val="00861B01"/>
    <w:rsid w:val="00861B35"/>
    <w:rsid w:val="00861B3B"/>
    <w:rsid w:val="00861BDE"/>
    <w:rsid w:val="00861BEE"/>
    <w:rsid w:val="00861C02"/>
    <w:rsid w:val="00861C04"/>
    <w:rsid w:val="00861C64"/>
    <w:rsid w:val="00861CD2"/>
    <w:rsid w:val="00861D1A"/>
    <w:rsid w:val="00861D27"/>
    <w:rsid w:val="00861D3A"/>
    <w:rsid w:val="00861DC6"/>
    <w:rsid w:val="00861DC8"/>
    <w:rsid w:val="00861DF9"/>
    <w:rsid w:val="00861E2F"/>
    <w:rsid w:val="00861E42"/>
    <w:rsid w:val="00861EC7"/>
    <w:rsid w:val="00861F4F"/>
    <w:rsid w:val="00861F54"/>
    <w:rsid w:val="00861FD1"/>
    <w:rsid w:val="00861FFA"/>
    <w:rsid w:val="00862099"/>
    <w:rsid w:val="008620E0"/>
    <w:rsid w:val="00862143"/>
    <w:rsid w:val="00862162"/>
    <w:rsid w:val="0086223C"/>
    <w:rsid w:val="008622C3"/>
    <w:rsid w:val="008622E5"/>
    <w:rsid w:val="008622F4"/>
    <w:rsid w:val="00862477"/>
    <w:rsid w:val="008624CF"/>
    <w:rsid w:val="00862511"/>
    <w:rsid w:val="00862530"/>
    <w:rsid w:val="0086259C"/>
    <w:rsid w:val="0086260D"/>
    <w:rsid w:val="0086266B"/>
    <w:rsid w:val="0086268F"/>
    <w:rsid w:val="00862696"/>
    <w:rsid w:val="008626F9"/>
    <w:rsid w:val="00862716"/>
    <w:rsid w:val="00862770"/>
    <w:rsid w:val="008627B2"/>
    <w:rsid w:val="008627B5"/>
    <w:rsid w:val="0086281F"/>
    <w:rsid w:val="00862880"/>
    <w:rsid w:val="00862994"/>
    <w:rsid w:val="008629C8"/>
    <w:rsid w:val="008629D6"/>
    <w:rsid w:val="00862A3C"/>
    <w:rsid w:val="00862A86"/>
    <w:rsid w:val="00862A8F"/>
    <w:rsid w:val="00862B7A"/>
    <w:rsid w:val="00862B8A"/>
    <w:rsid w:val="00862BA1"/>
    <w:rsid w:val="00862C06"/>
    <w:rsid w:val="00862C2B"/>
    <w:rsid w:val="00862C4C"/>
    <w:rsid w:val="00862CE2"/>
    <w:rsid w:val="00862D21"/>
    <w:rsid w:val="00862D23"/>
    <w:rsid w:val="00862DFF"/>
    <w:rsid w:val="00862E30"/>
    <w:rsid w:val="00862E4C"/>
    <w:rsid w:val="00862E56"/>
    <w:rsid w:val="00862EB3"/>
    <w:rsid w:val="00862EFD"/>
    <w:rsid w:val="00862F7E"/>
    <w:rsid w:val="00862FA2"/>
    <w:rsid w:val="00862FB2"/>
    <w:rsid w:val="00863060"/>
    <w:rsid w:val="0086308C"/>
    <w:rsid w:val="008630F6"/>
    <w:rsid w:val="00863106"/>
    <w:rsid w:val="0086313A"/>
    <w:rsid w:val="0086314D"/>
    <w:rsid w:val="008631CA"/>
    <w:rsid w:val="00863213"/>
    <w:rsid w:val="0086322E"/>
    <w:rsid w:val="00863265"/>
    <w:rsid w:val="008632B1"/>
    <w:rsid w:val="008632E0"/>
    <w:rsid w:val="008632E3"/>
    <w:rsid w:val="0086330C"/>
    <w:rsid w:val="00863328"/>
    <w:rsid w:val="00863379"/>
    <w:rsid w:val="0086342B"/>
    <w:rsid w:val="0086343B"/>
    <w:rsid w:val="008634A4"/>
    <w:rsid w:val="00863557"/>
    <w:rsid w:val="00863594"/>
    <w:rsid w:val="008635CD"/>
    <w:rsid w:val="008635E8"/>
    <w:rsid w:val="00863651"/>
    <w:rsid w:val="00863653"/>
    <w:rsid w:val="00863682"/>
    <w:rsid w:val="0086368B"/>
    <w:rsid w:val="00863693"/>
    <w:rsid w:val="008636A7"/>
    <w:rsid w:val="00863709"/>
    <w:rsid w:val="00863735"/>
    <w:rsid w:val="00863758"/>
    <w:rsid w:val="00863763"/>
    <w:rsid w:val="00863788"/>
    <w:rsid w:val="00863810"/>
    <w:rsid w:val="0086382F"/>
    <w:rsid w:val="00863887"/>
    <w:rsid w:val="008638C3"/>
    <w:rsid w:val="008638E1"/>
    <w:rsid w:val="00863931"/>
    <w:rsid w:val="00863939"/>
    <w:rsid w:val="00863953"/>
    <w:rsid w:val="008639E3"/>
    <w:rsid w:val="008639EE"/>
    <w:rsid w:val="008639FB"/>
    <w:rsid w:val="00863AAA"/>
    <w:rsid w:val="00863ABC"/>
    <w:rsid w:val="00863AEB"/>
    <w:rsid w:val="00863AFA"/>
    <w:rsid w:val="00863B05"/>
    <w:rsid w:val="00863B31"/>
    <w:rsid w:val="00863B45"/>
    <w:rsid w:val="00863B57"/>
    <w:rsid w:val="00863B6D"/>
    <w:rsid w:val="00863B91"/>
    <w:rsid w:val="00863BB0"/>
    <w:rsid w:val="00863BEC"/>
    <w:rsid w:val="00863C1C"/>
    <w:rsid w:val="00863C59"/>
    <w:rsid w:val="00863CA6"/>
    <w:rsid w:val="00863CA7"/>
    <w:rsid w:val="00863D20"/>
    <w:rsid w:val="00863D3F"/>
    <w:rsid w:val="00863D62"/>
    <w:rsid w:val="00863D78"/>
    <w:rsid w:val="00863DB9"/>
    <w:rsid w:val="00863EBA"/>
    <w:rsid w:val="00863F41"/>
    <w:rsid w:val="00863FBE"/>
    <w:rsid w:val="00863FDA"/>
    <w:rsid w:val="00863FFD"/>
    <w:rsid w:val="0086404F"/>
    <w:rsid w:val="0086415E"/>
    <w:rsid w:val="00864163"/>
    <w:rsid w:val="0086417F"/>
    <w:rsid w:val="008641B1"/>
    <w:rsid w:val="008641F4"/>
    <w:rsid w:val="0086421B"/>
    <w:rsid w:val="00864268"/>
    <w:rsid w:val="0086426A"/>
    <w:rsid w:val="008642AD"/>
    <w:rsid w:val="008642ED"/>
    <w:rsid w:val="008642FA"/>
    <w:rsid w:val="00864337"/>
    <w:rsid w:val="0086434A"/>
    <w:rsid w:val="0086435E"/>
    <w:rsid w:val="00864380"/>
    <w:rsid w:val="008643BA"/>
    <w:rsid w:val="008643BD"/>
    <w:rsid w:val="008643D0"/>
    <w:rsid w:val="008643F0"/>
    <w:rsid w:val="0086440D"/>
    <w:rsid w:val="0086440F"/>
    <w:rsid w:val="008644C8"/>
    <w:rsid w:val="008644D0"/>
    <w:rsid w:val="008644D3"/>
    <w:rsid w:val="00864548"/>
    <w:rsid w:val="008645AE"/>
    <w:rsid w:val="008645B9"/>
    <w:rsid w:val="0086463C"/>
    <w:rsid w:val="00864794"/>
    <w:rsid w:val="008647B3"/>
    <w:rsid w:val="008647F0"/>
    <w:rsid w:val="008647F6"/>
    <w:rsid w:val="008647FE"/>
    <w:rsid w:val="00864869"/>
    <w:rsid w:val="008648C4"/>
    <w:rsid w:val="0086492F"/>
    <w:rsid w:val="00864960"/>
    <w:rsid w:val="0086496A"/>
    <w:rsid w:val="0086496D"/>
    <w:rsid w:val="008649E4"/>
    <w:rsid w:val="00864A69"/>
    <w:rsid w:val="00864B39"/>
    <w:rsid w:val="00864B9D"/>
    <w:rsid w:val="00864BD6"/>
    <w:rsid w:val="00864CDA"/>
    <w:rsid w:val="00864CEA"/>
    <w:rsid w:val="00864CF0"/>
    <w:rsid w:val="00864CF8"/>
    <w:rsid w:val="00864D0D"/>
    <w:rsid w:val="00864D5E"/>
    <w:rsid w:val="00864D97"/>
    <w:rsid w:val="00864D9D"/>
    <w:rsid w:val="00864DDB"/>
    <w:rsid w:val="00864E0C"/>
    <w:rsid w:val="00864E40"/>
    <w:rsid w:val="00864E50"/>
    <w:rsid w:val="00864EB9"/>
    <w:rsid w:val="00864EC1"/>
    <w:rsid w:val="00864EDC"/>
    <w:rsid w:val="00864EE8"/>
    <w:rsid w:val="00864F15"/>
    <w:rsid w:val="00864F3B"/>
    <w:rsid w:val="00864F3F"/>
    <w:rsid w:val="00864F63"/>
    <w:rsid w:val="00864F81"/>
    <w:rsid w:val="00865028"/>
    <w:rsid w:val="008650CD"/>
    <w:rsid w:val="0086512C"/>
    <w:rsid w:val="008651BE"/>
    <w:rsid w:val="008652D0"/>
    <w:rsid w:val="0086534E"/>
    <w:rsid w:val="0086534F"/>
    <w:rsid w:val="00865389"/>
    <w:rsid w:val="008653BE"/>
    <w:rsid w:val="00865418"/>
    <w:rsid w:val="0086541F"/>
    <w:rsid w:val="0086544B"/>
    <w:rsid w:val="0086547E"/>
    <w:rsid w:val="0086549B"/>
    <w:rsid w:val="008654A1"/>
    <w:rsid w:val="008654A6"/>
    <w:rsid w:val="0086551F"/>
    <w:rsid w:val="00865538"/>
    <w:rsid w:val="0086562F"/>
    <w:rsid w:val="00865663"/>
    <w:rsid w:val="0086568B"/>
    <w:rsid w:val="008656FD"/>
    <w:rsid w:val="00865728"/>
    <w:rsid w:val="00865734"/>
    <w:rsid w:val="00865746"/>
    <w:rsid w:val="00865761"/>
    <w:rsid w:val="00865767"/>
    <w:rsid w:val="00865790"/>
    <w:rsid w:val="008657C7"/>
    <w:rsid w:val="00865819"/>
    <w:rsid w:val="00865844"/>
    <w:rsid w:val="00865885"/>
    <w:rsid w:val="0086589B"/>
    <w:rsid w:val="008658E6"/>
    <w:rsid w:val="008659BB"/>
    <w:rsid w:val="00865AA6"/>
    <w:rsid w:val="00865AE5"/>
    <w:rsid w:val="00865AE7"/>
    <w:rsid w:val="00865AE9"/>
    <w:rsid w:val="00865B27"/>
    <w:rsid w:val="00865BA7"/>
    <w:rsid w:val="00865C03"/>
    <w:rsid w:val="00865C11"/>
    <w:rsid w:val="00865C7D"/>
    <w:rsid w:val="00865C8C"/>
    <w:rsid w:val="00865D70"/>
    <w:rsid w:val="00865DB3"/>
    <w:rsid w:val="00865DE4"/>
    <w:rsid w:val="00865E14"/>
    <w:rsid w:val="00865E25"/>
    <w:rsid w:val="00865EB0"/>
    <w:rsid w:val="00865EEC"/>
    <w:rsid w:val="00865F44"/>
    <w:rsid w:val="00865F61"/>
    <w:rsid w:val="00865F7A"/>
    <w:rsid w:val="00865FA5"/>
    <w:rsid w:val="00865FC0"/>
    <w:rsid w:val="0086607B"/>
    <w:rsid w:val="0086607F"/>
    <w:rsid w:val="00866080"/>
    <w:rsid w:val="00866083"/>
    <w:rsid w:val="00866099"/>
    <w:rsid w:val="008660C9"/>
    <w:rsid w:val="008660E0"/>
    <w:rsid w:val="008660F5"/>
    <w:rsid w:val="00866135"/>
    <w:rsid w:val="0086616F"/>
    <w:rsid w:val="008661EB"/>
    <w:rsid w:val="0086620F"/>
    <w:rsid w:val="008662DE"/>
    <w:rsid w:val="008662F1"/>
    <w:rsid w:val="0086630E"/>
    <w:rsid w:val="00866383"/>
    <w:rsid w:val="00866430"/>
    <w:rsid w:val="0086646E"/>
    <w:rsid w:val="008664BD"/>
    <w:rsid w:val="008664D1"/>
    <w:rsid w:val="008664DF"/>
    <w:rsid w:val="008664F3"/>
    <w:rsid w:val="008664FC"/>
    <w:rsid w:val="0086654F"/>
    <w:rsid w:val="0086658F"/>
    <w:rsid w:val="0086659C"/>
    <w:rsid w:val="008665AE"/>
    <w:rsid w:val="008665B1"/>
    <w:rsid w:val="008665B3"/>
    <w:rsid w:val="008665D8"/>
    <w:rsid w:val="0086665C"/>
    <w:rsid w:val="00866664"/>
    <w:rsid w:val="0086666C"/>
    <w:rsid w:val="008666AC"/>
    <w:rsid w:val="008666C6"/>
    <w:rsid w:val="008666DD"/>
    <w:rsid w:val="00866777"/>
    <w:rsid w:val="008667F7"/>
    <w:rsid w:val="00866801"/>
    <w:rsid w:val="0086682E"/>
    <w:rsid w:val="008668CA"/>
    <w:rsid w:val="0086697E"/>
    <w:rsid w:val="00866995"/>
    <w:rsid w:val="0086699C"/>
    <w:rsid w:val="008669DA"/>
    <w:rsid w:val="00866A8D"/>
    <w:rsid w:val="00866AE6"/>
    <w:rsid w:val="00866B15"/>
    <w:rsid w:val="00866B1A"/>
    <w:rsid w:val="00866B51"/>
    <w:rsid w:val="00866BC9"/>
    <w:rsid w:val="00866BCB"/>
    <w:rsid w:val="00866BEC"/>
    <w:rsid w:val="00866BF6"/>
    <w:rsid w:val="00866C8D"/>
    <w:rsid w:val="00866CCD"/>
    <w:rsid w:val="00866D21"/>
    <w:rsid w:val="00866D77"/>
    <w:rsid w:val="00866D91"/>
    <w:rsid w:val="00866DAE"/>
    <w:rsid w:val="00866E25"/>
    <w:rsid w:val="00866E8A"/>
    <w:rsid w:val="00866EA3"/>
    <w:rsid w:val="00866ECB"/>
    <w:rsid w:val="00866EF2"/>
    <w:rsid w:val="00866F91"/>
    <w:rsid w:val="00866FA8"/>
    <w:rsid w:val="00867027"/>
    <w:rsid w:val="00867074"/>
    <w:rsid w:val="00867081"/>
    <w:rsid w:val="00867095"/>
    <w:rsid w:val="008670B6"/>
    <w:rsid w:val="008670E6"/>
    <w:rsid w:val="00867115"/>
    <w:rsid w:val="00867159"/>
    <w:rsid w:val="0086719B"/>
    <w:rsid w:val="008671A8"/>
    <w:rsid w:val="008671CB"/>
    <w:rsid w:val="008671F6"/>
    <w:rsid w:val="0086725A"/>
    <w:rsid w:val="008672CC"/>
    <w:rsid w:val="008672FA"/>
    <w:rsid w:val="008673B9"/>
    <w:rsid w:val="008673C3"/>
    <w:rsid w:val="00867427"/>
    <w:rsid w:val="008674B4"/>
    <w:rsid w:val="008674DE"/>
    <w:rsid w:val="008674E2"/>
    <w:rsid w:val="00867572"/>
    <w:rsid w:val="00867573"/>
    <w:rsid w:val="0086764C"/>
    <w:rsid w:val="0086764F"/>
    <w:rsid w:val="0086769B"/>
    <w:rsid w:val="00867702"/>
    <w:rsid w:val="00867726"/>
    <w:rsid w:val="00867759"/>
    <w:rsid w:val="00867787"/>
    <w:rsid w:val="0086779A"/>
    <w:rsid w:val="00867809"/>
    <w:rsid w:val="00867811"/>
    <w:rsid w:val="008678B9"/>
    <w:rsid w:val="00867A0E"/>
    <w:rsid w:val="00867A31"/>
    <w:rsid w:val="00867A45"/>
    <w:rsid w:val="00867A93"/>
    <w:rsid w:val="00867AAF"/>
    <w:rsid w:val="00867AC4"/>
    <w:rsid w:val="00867B0D"/>
    <w:rsid w:val="00867B3A"/>
    <w:rsid w:val="00867B3E"/>
    <w:rsid w:val="00867BD1"/>
    <w:rsid w:val="00867BD3"/>
    <w:rsid w:val="00867BE3"/>
    <w:rsid w:val="00867C18"/>
    <w:rsid w:val="00867C9C"/>
    <w:rsid w:val="00867CB7"/>
    <w:rsid w:val="00867D32"/>
    <w:rsid w:val="00867D92"/>
    <w:rsid w:val="00867D9D"/>
    <w:rsid w:val="00867DBB"/>
    <w:rsid w:val="00867DBE"/>
    <w:rsid w:val="00867DC6"/>
    <w:rsid w:val="00867E5C"/>
    <w:rsid w:val="00867E8E"/>
    <w:rsid w:val="00867E98"/>
    <w:rsid w:val="00867EEC"/>
    <w:rsid w:val="00867EFB"/>
    <w:rsid w:val="00867F08"/>
    <w:rsid w:val="00867F4A"/>
    <w:rsid w:val="00867F84"/>
    <w:rsid w:val="00867FCB"/>
    <w:rsid w:val="00870009"/>
    <w:rsid w:val="00870017"/>
    <w:rsid w:val="00870024"/>
    <w:rsid w:val="00870029"/>
    <w:rsid w:val="0087004E"/>
    <w:rsid w:val="008700A2"/>
    <w:rsid w:val="008700D7"/>
    <w:rsid w:val="0087011D"/>
    <w:rsid w:val="00870151"/>
    <w:rsid w:val="0087016E"/>
    <w:rsid w:val="008701EF"/>
    <w:rsid w:val="00870281"/>
    <w:rsid w:val="0087034F"/>
    <w:rsid w:val="00870355"/>
    <w:rsid w:val="008703B2"/>
    <w:rsid w:val="008703B3"/>
    <w:rsid w:val="008703E5"/>
    <w:rsid w:val="00870444"/>
    <w:rsid w:val="008704D0"/>
    <w:rsid w:val="008704DA"/>
    <w:rsid w:val="00870543"/>
    <w:rsid w:val="0087054A"/>
    <w:rsid w:val="0087056D"/>
    <w:rsid w:val="008705C4"/>
    <w:rsid w:val="008705C8"/>
    <w:rsid w:val="0087069F"/>
    <w:rsid w:val="008706DD"/>
    <w:rsid w:val="008706E8"/>
    <w:rsid w:val="0087070C"/>
    <w:rsid w:val="00870723"/>
    <w:rsid w:val="008707AA"/>
    <w:rsid w:val="008707D6"/>
    <w:rsid w:val="00870801"/>
    <w:rsid w:val="00870869"/>
    <w:rsid w:val="0087089E"/>
    <w:rsid w:val="008708CE"/>
    <w:rsid w:val="008708D0"/>
    <w:rsid w:val="00870997"/>
    <w:rsid w:val="0087099A"/>
    <w:rsid w:val="008709A5"/>
    <w:rsid w:val="008709AC"/>
    <w:rsid w:val="008709B7"/>
    <w:rsid w:val="008709F0"/>
    <w:rsid w:val="008709FB"/>
    <w:rsid w:val="00870A0A"/>
    <w:rsid w:val="00870A6A"/>
    <w:rsid w:val="00870ACF"/>
    <w:rsid w:val="00870B10"/>
    <w:rsid w:val="00870B52"/>
    <w:rsid w:val="00870BD8"/>
    <w:rsid w:val="00870BE5"/>
    <w:rsid w:val="00870BEB"/>
    <w:rsid w:val="00870C2C"/>
    <w:rsid w:val="00870C5C"/>
    <w:rsid w:val="00870C61"/>
    <w:rsid w:val="00870C91"/>
    <w:rsid w:val="00870C9A"/>
    <w:rsid w:val="00870CEA"/>
    <w:rsid w:val="00870D78"/>
    <w:rsid w:val="00870DC8"/>
    <w:rsid w:val="00870DE9"/>
    <w:rsid w:val="00870DEC"/>
    <w:rsid w:val="00870E5A"/>
    <w:rsid w:val="00870E68"/>
    <w:rsid w:val="00870EFF"/>
    <w:rsid w:val="00870F51"/>
    <w:rsid w:val="00870F74"/>
    <w:rsid w:val="00871007"/>
    <w:rsid w:val="0087100A"/>
    <w:rsid w:val="00871016"/>
    <w:rsid w:val="0087102D"/>
    <w:rsid w:val="0087109B"/>
    <w:rsid w:val="008711D7"/>
    <w:rsid w:val="008711ED"/>
    <w:rsid w:val="0087126E"/>
    <w:rsid w:val="0087129B"/>
    <w:rsid w:val="00871329"/>
    <w:rsid w:val="00871445"/>
    <w:rsid w:val="0087159A"/>
    <w:rsid w:val="008715FA"/>
    <w:rsid w:val="008715FF"/>
    <w:rsid w:val="00871602"/>
    <w:rsid w:val="00871627"/>
    <w:rsid w:val="00871631"/>
    <w:rsid w:val="00871675"/>
    <w:rsid w:val="008716AD"/>
    <w:rsid w:val="00871734"/>
    <w:rsid w:val="00871743"/>
    <w:rsid w:val="00871783"/>
    <w:rsid w:val="00871813"/>
    <w:rsid w:val="00871831"/>
    <w:rsid w:val="00871849"/>
    <w:rsid w:val="00871891"/>
    <w:rsid w:val="008718A9"/>
    <w:rsid w:val="008718B4"/>
    <w:rsid w:val="008718E6"/>
    <w:rsid w:val="00871989"/>
    <w:rsid w:val="008719D7"/>
    <w:rsid w:val="008719D9"/>
    <w:rsid w:val="00871A3B"/>
    <w:rsid w:val="00871A8E"/>
    <w:rsid w:val="00871AA2"/>
    <w:rsid w:val="00871B08"/>
    <w:rsid w:val="00871B6E"/>
    <w:rsid w:val="00871B7D"/>
    <w:rsid w:val="00871BA7"/>
    <w:rsid w:val="00871BE5"/>
    <w:rsid w:val="00871BF9"/>
    <w:rsid w:val="00871C89"/>
    <w:rsid w:val="00871D25"/>
    <w:rsid w:val="00871D41"/>
    <w:rsid w:val="00871D96"/>
    <w:rsid w:val="00871DC0"/>
    <w:rsid w:val="00871DE6"/>
    <w:rsid w:val="00871E7E"/>
    <w:rsid w:val="00871E96"/>
    <w:rsid w:val="00871ED8"/>
    <w:rsid w:val="00871F20"/>
    <w:rsid w:val="00871F3F"/>
    <w:rsid w:val="00871FB6"/>
    <w:rsid w:val="00871FC0"/>
    <w:rsid w:val="00871FC6"/>
    <w:rsid w:val="00871FE1"/>
    <w:rsid w:val="0087201E"/>
    <w:rsid w:val="008720F2"/>
    <w:rsid w:val="008721BD"/>
    <w:rsid w:val="008721C4"/>
    <w:rsid w:val="008721CA"/>
    <w:rsid w:val="00872209"/>
    <w:rsid w:val="0087220A"/>
    <w:rsid w:val="00872232"/>
    <w:rsid w:val="0087237D"/>
    <w:rsid w:val="008723AE"/>
    <w:rsid w:val="008723C1"/>
    <w:rsid w:val="00872409"/>
    <w:rsid w:val="0087241C"/>
    <w:rsid w:val="00872459"/>
    <w:rsid w:val="00872460"/>
    <w:rsid w:val="00872487"/>
    <w:rsid w:val="008724C1"/>
    <w:rsid w:val="0087255E"/>
    <w:rsid w:val="0087277C"/>
    <w:rsid w:val="0087278D"/>
    <w:rsid w:val="008727F7"/>
    <w:rsid w:val="0087280F"/>
    <w:rsid w:val="00872838"/>
    <w:rsid w:val="0087284B"/>
    <w:rsid w:val="008728CB"/>
    <w:rsid w:val="008728D4"/>
    <w:rsid w:val="008728D7"/>
    <w:rsid w:val="008728F3"/>
    <w:rsid w:val="008728F4"/>
    <w:rsid w:val="008728F5"/>
    <w:rsid w:val="00872915"/>
    <w:rsid w:val="00872929"/>
    <w:rsid w:val="008729B4"/>
    <w:rsid w:val="008729B8"/>
    <w:rsid w:val="008729D6"/>
    <w:rsid w:val="00872A04"/>
    <w:rsid w:val="00872A28"/>
    <w:rsid w:val="00872A4A"/>
    <w:rsid w:val="00872A62"/>
    <w:rsid w:val="00872A63"/>
    <w:rsid w:val="00872AB1"/>
    <w:rsid w:val="00872B0E"/>
    <w:rsid w:val="00872B5D"/>
    <w:rsid w:val="00872BE0"/>
    <w:rsid w:val="00872C31"/>
    <w:rsid w:val="00872C76"/>
    <w:rsid w:val="00872C95"/>
    <w:rsid w:val="00872D21"/>
    <w:rsid w:val="00872D7F"/>
    <w:rsid w:val="00872DFC"/>
    <w:rsid w:val="00872E58"/>
    <w:rsid w:val="00872EB2"/>
    <w:rsid w:val="00872ECB"/>
    <w:rsid w:val="00872F07"/>
    <w:rsid w:val="00872F28"/>
    <w:rsid w:val="00872FFE"/>
    <w:rsid w:val="0087302C"/>
    <w:rsid w:val="008730A7"/>
    <w:rsid w:val="008730B5"/>
    <w:rsid w:val="008730EE"/>
    <w:rsid w:val="0087310E"/>
    <w:rsid w:val="00873127"/>
    <w:rsid w:val="00873130"/>
    <w:rsid w:val="00873156"/>
    <w:rsid w:val="00873157"/>
    <w:rsid w:val="008731C0"/>
    <w:rsid w:val="00873213"/>
    <w:rsid w:val="00873230"/>
    <w:rsid w:val="00873250"/>
    <w:rsid w:val="0087325D"/>
    <w:rsid w:val="0087327A"/>
    <w:rsid w:val="008732CB"/>
    <w:rsid w:val="00873325"/>
    <w:rsid w:val="0087336C"/>
    <w:rsid w:val="008733B0"/>
    <w:rsid w:val="008733C8"/>
    <w:rsid w:val="00873404"/>
    <w:rsid w:val="00873435"/>
    <w:rsid w:val="0087349B"/>
    <w:rsid w:val="00873574"/>
    <w:rsid w:val="0087357F"/>
    <w:rsid w:val="00873584"/>
    <w:rsid w:val="00873587"/>
    <w:rsid w:val="008735D5"/>
    <w:rsid w:val="008735D7"/>
    <w:rsid w:val="00873642"/>
    <w:rsid w:val="008736AE"/>
    <w:rsid w:val="008736C9"/>
    <w:rsid w:val="008736D5"/>
    <w:rsid w:val="008736D6"/>
    <w:rsid w:val="0087376F"/>
    <w:rsid w:val="008737A8"/>
    <w:rsid w:val="008737B5"/>
    <w:rsid w:val="008737DE"/>
    <w:rsid w:val="00873804"/>
    <w:rsid w:val="00873850"/>
    <w:rsid w:val="0087386E"/>
    <w:rsid w:val="008738B0"/>
    <w:rsid w:val="008738D0"/>
    <w:rsid w:val="008738E0"/>
    <w:rsid w:val="0087395D"/>
    <w:rsid w:val="00873977"/>
    <w:rsid w:val="0087397E"/>
    <w:rsid w:val="008739DA"/>
    <w:rsid w:val="00873A0D"/>
    <w:rsid w:val="00873A56"/>
    <w:rsid w:val="00873AE5"/>
    <w:rsid w:val="00873AE6"/>
    <w:rsid w:val="00873B06"/>
    <w:rsid w:val="00873BFB"/>
    <w:rsid w:val="00873C47"/>
    <w:rsid w:val="00873C8A"/>
    <w:rsid w:val="00873CA4"/>
    <w:rsid w:val="00873CC0"/>
    <w:rsid w:val="00873E06"/>
    <w:rsid w:val="00873EE7"/>
    <w:rsid w:val="00873F15"/>
    <w:rsid w:val="00873F36"/>
    <w:rsid w:val="00874046"/>
    <w:rsid w:val="0087408E"/>
    <w:rsid w:val="008740CB"/>
    <w:rsid w:val="008740D8"/>
    <w:rsid w:val="0087410A"/>
    <w:rsid w:val="00874176"/>
    <w:rsid w:val="008741B0"/>
    <w:rsid w:val="008741CF"/>
    <w:rsid w:val="00874206"/>
    <w:rsid w:val="00874242"/>
    <w:rsid w:val="00874297"/>
    <w:rsid w:val="0087433D"/>
    <w:rsid w:val="00874381"/>
    <w:rsid w:val="0087439B"/>
    <w:rsid w:val="008743C3"/>
    <w:rsid w:val="008743F0"/>
    <w:rsid w:val="008743FC"/>
    <w:rsid w:val="00874410"/>
    <w:rsid w:val="0087445F"/>
    <w:rsid w:val="008744A5"/>
    <w:rsid w:val="0087454F"/>
    <w:rsid w:val="00874561"/>
    <w:rsid w:val="008745C2"/>
    <w:rsid w:val="00874605"/>
    <w:rsid w:val="00874638"/>
    <w:rsid w:val="00874685"/>
    <w:rsid w:val="0087473E"/>
    <w:rsid w:val="00874754"/>
    <w:rsid w:val="00874776"/>
    <w:rsid w:val="0087483A"/>
    <w:rsid w:val="00874874"/>
    <w:rsid w:val="008748F7"/>
    <w:rsid w:val="0087493B"/>
    <w:rsid w:val="0087495E"/>
    <w:rsid w:val="008749A7"/>
    <w:rsid w:val="00874B1D"/>
    <w:rsid w:val="00874B28"/>
    <w:rsid w:val="00874DBB"/>
    <w:rsid w:val="00874E17"/>
    <w:rsid w:val="00874E29"/>
    <w:rsid w:val="00874E31"/>
    <w:rsid w:val="00874E4A"/>
    <w:rsid w:val="00874E50"/>
    <w:rsid w:val="00874E6B"/>
    <w:rsid w:val="00874F0B"/>
    <w:rsid w:val="00874F34"/>
    <w:rsid w:val="00874F36"/>
    <w:rsid w:val="00875030"/>
    <w:rsid w:val="0087506B"/>
    <w:rsid w:val="008750A0"/>
    <w:rsid w:val="00875168"/>
    <w:rsid w:val="008751B7"/>
    <w:rsid w:val="008751EA"/>
    <w:rsid w:val="00875205"/>
    <w:rsid w:val="0087524D"/>
    <w:rsid w:val="008753DE"/>
    <w:rsid w:val="00875405"/>
    <w:rsid w:val="00875408"/>
    <w:rsid w:val="0087543A"/>
    <w:rsid w:val="008754B5"/>
    <w:rsid w:val="00875571"/>
    <w:rsid w:val="00875592"/>
    <w:rsid w:val="008755B1"/>
    <w:rsid w:val="008755BF"/>
    <w:rsid w:val="008755C8"/>
    <w:rsid w:val="008755D2"/>
    <w:rsid w:val="00875643"/>
    <w:rsid w:val="00875667"/>
    <w:rsid w:val="008756C3"/>
    <w:rsid w:val="008756DE"/>
    <w:rsid w:val="00875701"/>
    <w:rsid w:val="008757BC"/>
    <w:rsid w:val="008758D1"/>
    <w:rsid w:val="008758E5"/>
    <w:rsid w:val="00875904"/>
    <w:rsid w:val="0087593E"/>
    <w:rsid w:val="00875999"/>
    <w:rsid w:val="008759AF"/>
    <w:rsid w:val="008759BD"/>
    <w:rsid w:val="008759D9"/>
    <w:rsid w:val="00875B47"/>
    <w:rsid w:val="00875B96"/>
    <w:rsid w:val="00875BC9"/>
    <w:rsid w:val="00875BEA"/>
    <w:rsid w:val="00875C01"/>
    <w:rsid w:val="00875C02"/>
    <w:rsid w:val="00875C12"/>
    <w:rsid w:val="00875C1A"/>
    <w:rsid w:val="00875C72"/>
    <w:rsid w:val="00875CC9"/>
    <w:rsid w:val="00875D4B"/>
    <w:rsid w:val="00875DB0"/>
    <w:rsid w:val="00875DB4"/>
    <w:rsid w:val="00875DC8"/>
    <w:rsid w:val="00875E50"/>
    <w:rsid w:val="00875E5B"/>
    <w:rsid w:val="00875E7B"/>
    <w:rsid w:val="00875F19"/>
    <w:rsid w:val="00875F82"/>
    <w:rsid w:val="00875F8F"/>
    <w:rsid w:val="00875F95"/>
    <w:rsid w:val="00875FEB"/>
    <w:rsid w:val="0087601A"/>
    <w:rsid w:val="0087604A"/>
    <w:rsid w:val="00876064"/>
    <w:rsid w:val="00876066"/>
    <w:rsid w:val="00876087"/>
    <w:rsid w:val="00876099"/>
    <w:rsid w:val="0087609D"/>
    <w:rsid w:val="008760A9"/>
    <w:rsid w:val="0087610E"/>
    <w:rsid w:val="0087613E"/>
    <w:rsid w:val="00876159"/>
    <w:rsid w:val="00876183"/>
    <w:rsid w:val="008761DA"/>
    <w:rsid w:val="008761E8"/>
    <w:rsid w:val="008761ED"/>
    <w:rsid w:val="00876212"/>
    <w:rsid w:val="00876217"/>
    <w:rsid w:val="0087625E"/>
    <w:rsid w:val="00876296"/>
    <w:rsid w:val="008762A3"/>
    <w:rsid w:val="008762C6"/>
    <w:rsid w:val="008762FD"/>
    <w:rsid w:val="00876348"/>
    <w:rsid w:val="0087638C"/>
    <w:rsid w:val="008763BA"/>
    <w:rsid w:val="008763FF"/>
    <w:rsid w:val="0087642A"/>
    <w:rsid w:val="00876445"/>
    <w:rsid w:val="00876499"/>
    <w:rsid w:val="008764B9"/>
    <w:rsid w:val="008765B8"/>
    <w:rsid w:val="00876608"/>
    <w:rsid w:val="0087664E"/>
    <w:rsid w:val="00876668"/>
    <w:rsid w:val="00876679"/>
    <w:rsid w:val="008766B7"/>
    <w:rsid w:val="00876765"/>
    <w:rsid w:val="00876780"/>
    <w:rsid w:val="008767DE"/>
    <w:rsid w:val="008767F8"/>
    <w:rsid w:val="00876892"/>
    <w:rsid w:val="008768B9"/>
    <w:rsid w:val="0087691B"/>
    <w:rsid w:val="00876971"/>
    <w:rsid w:val="008769A7"/>
    <w:rsid w:val="008769B4"/>
    <w:rsid w:val="00876A7A"/>
    <w:rsid w:val="00876ACB"/>
    <w:rsid w:val="00876ADC"/>
    <w:rsid w:val="00876B48"/>
    <w:rsid w:val="00876B6D"/>
    <w:rsid w:val="00876B7A"/>
    <w:rsid w:val="00876BA9"/>
    <w:rsid w:val="00876C0A"/>
    <w:rsid w:val="00876C37"/>
    <w:rsid w:val="00876C3C"/>
    <w:rsid w:val="00876C58"/>
    <w:rsid w:val="00876C89"/>
    <w:rsid w:val="00876C96"/>
    <w:rsid w:val="00876D07"/>
    <w:rsid w:val="00876D29"/>
    <w:rsid w:val="00876D87"/>
    <w:rsid w:val="00876D92"/>
    <w:rsid w:val="00876E33"/>
    <w:rsid w:val="00876E61"/>
    <w:rsid w:val="00876EA9"/>
    <w:rsid w:val="00876EAC"/>
    <w:rsid w:val="00876F26"/>
    <w:rsid w:val="00876F5C"/>
    <w:rsid w:val="00876FE5"/>
    <w:rsid w:val="00877009"/>
    <w:rsid w:val="00877012"/>
    <w:rsid w:val="00877026"/>
    <w:rsid w:val="00877045"/>
    <w:rsid w:val="0087704F"/>
    <w:rsid w:val="008770AD"/>
    <w:rsid w:val="008770CD"/>
    <w:rsid w:val="00877104"/>
    <w:rsid w:val="00877116"/>
    <w:rsid w:val="00877157"/>
    <w:rsid w:val="008771B5"/>
    <w:rsid w:val="008771B6"/>
    <w:rsid w:val="008771D3"/>
    <w:rsid w:val="008771EF"/>
    <w:rsid w:val="00877207"/>
    <w:rsid w:val="0087721D"/>
    <w:rsid w:val="00877222"/>
    <w:rsid w:val="008772CE"/>
    <w:rsid w:val="008772EA"/>
    <w:rsid w:val="0087731A"/>
    <w:rsid w:val="00877340"/>
    <w:rsid w:val="00877380"/>
    <w:rsid w:val="008773D9"/>
    <w:rsid w:val="008773F4"/>
    <w:rsid w:val="0087740E"/>
    <w:rsid w:val="00877442"/>
    <w:rsid w:val="00877483"/>
    <w:rsid w:val="00877484"/>
    <w:rsid w:val="00877499"/>
    <w:rsid w:val="00877556"/>
    <w:rsid w:val="00877582"/>
    <w:rsid w:val="008775CB"/>
    <w:rsid w:val="008775D4"/>
    <w:rsid w:val="008775DD"/>
    <w:rsid w:val="008775F9"/>
    <w:rsid w:val="00877642"/>
    <w:rsid w:val="00877647"/>
    <w:rsid w:val="0087765D"/>
    <w:rsid w:val="0087768E"/>
    <w:rsid w:val="0087769D"/>
    <w:rsid w:val="008776AF"/>
    <w:rsid w:val="008776C3"/>
    <w:rsid w:val="00877706"/>
    <w:rsid w:val="0087773C"/>
    <w:rsid w:val="00877778"/>
    <w:rsid w:val="008777EE"/>
    <w:rsid w:val="00877841"/>
    <w:rsid w:val="0087784C"/>
    <w:rsid w:val="008778EC"/>
    <w:rsid w:val="00877985"/>
    <w:rsid w:val="00877A1A"/>
    <w:rsid w:val="00877A51"/>
    <w:rsid w:val="00877A7C"/>
    <w:rsid w:val="00877A85"/>
    <w:rsid w:val="00877A98"/>
    <w:rsid w:val="00877B5C"/>
    <w:rsid w:val="00877B88"/>
    <w:rsid w:val="00877BF2"/>
    <w:rsid w:val="00877C5D"/>
    <w:rsid w:val="00877C8B"/>
    <w:rsid w:val="00877C9A"/>
    <w:rsid w:val="00877CEF"/>
    <w:rsid w:val="00877CF1"/>
    <w:rsid w:val="00877D93"/>
    <w:rsid w:val="00877DC2"/>
    <w:rsid w:val="00877E33"/>
    <w:rsid w:val="00877E43"/>
    <w:rsid w:val="00877E4B"/>
    <w:rsid w:val="00877EF0"/>
    <w:rsid w:val="00877FE0"/>
    <w:rsid w:val="00880013"/>
    <w:rsid w:val="00880043"/>
    <w:rsid w:val="00880083"/>
    <w:rsid w:val="00880085"/>
    <w:rsid w:val="008800C6"/>
    <w:rsid w:val="008800D3"/>
    <w:rsid w:val="008800DA"/>
    <w:rsid w:val="008800F7"/>
    <w:rsid w:val="00880155"/>
    <w:rsid w:val="008801AE"/>
    <w:rsid w:val="00880216"/>
    <w:rsid w:val="008802CA"/>
    <w:rsid w:val="00880305"/>
    <w:rsid w:val="00880363"/>
    <w:rsid w:val="008803AC"/>
    <w:rsid w:val="00880479"/>
    <w:rsid w:val="008804B5"/>
    <w:rsid w:val="008804C2"/>
    <w:rsid w:val="008804DD"/>
    <w:rsid w:val="008805E5"/>
    <w:rsid w:val="0088064D"/>
    <w:rsid w:val="008806C3"/>
    <w:rsid w:val="00880739"/>
    <w:rsid w:val="008807AC"/>
    <w:rsid w:val="008807B2"/>
    <w:rsid w:val="0088085E"/>
    <w:rsid w:val="0088086E"/>
    <w:rsid w:val="0088089C"/>
    <w:rsid w:val="008808C7"/>
    <w:rsid w:val="0088098F"/>
    <w:rsid w:val="008809E5"/>
    <w:rsid w:val="00880AB3"/>
    <w:rsid w:val="00880AB4"/>
    <w:rsid w:val="00880ABB"/>
    <w:rsid w:val="00880AEE"/>
    <w:rsid w:val="00880AF3"/>
    <w:rsid w:val="00880B13"/>
    <w:rsid w:val="00880B2A"/>
    <w:rsid w:val="00880B3C"/>
    <w:rsid w:val="00880B49"/>
    <w:rsid w:val="00880B56"/>
    <w:rsid w:val="00880B6D"/>
    <w:rsid w:val="00880B81"/>
    <w:rsid w:val="00880BF0"/>
    <w:rsid w:val="00880BF2"/>
    <w:rsid w:val="00880CC0"/>
    <w:rsid w:val="00880CC3"/>
    <w:rsid w:val="00880D58"/>
    <w:rsid w:val="00880D6B"/>
    <w:rsid w:val="00880DC7"/>
    <w:rsid w:val="00880E2F"/>
    <w:rsid w:val="00880E80"/>
    <w:rsid w:val="00880E86"/>
    <w:rsid w:val="00880E98"/>
    <w:rsid w:val="00880EA2"/>
    <w:rsid w:val="00880F07"/>
    <w:rsid w:val="00880F24"/>
    <w:rsid w:val="00880F4B"/>
    <w:rsid w:val="00880F70"/>
    <w:rsid w:val="00880FA2"/>
    <w:rsid w:val="00880FD0"/>
    <w:rsid w:val="00880FEA"/>
    <w:rsid w:val="0088100E"/>
    <w:rsid w:val="0088102B"/>
    <w:rsid w:val="00881048"/>
    <w:rsid w:val="008810E3"/>
    <w:rsid w:val="00881174"/>
    <w:rsid w:val="00881266"/>
    <w:rsid w:val="008812B2"/>
    <w:rsid w:val="00881322"/>
    <w:rsid w:val="0088136F"/>
    <w:rsid w:val="008813A3"/>
    <w:rsid w:val="008813B6"/>
    <w:rsid w:val="0088143C"/>
    <w:rsid w:val="0088147B"/>
    <w:rsid w:val="00881486"/>
    <w:rsid w:val="0088148F"/>
    <w:rsid w:val="0088151E"/>
    <w:rsid w:val="0088162B"/>
    <w:rsid w:val="00881674"/>
    <w:rsid w:val="0088168D"/>
    <w:rsid w:val="00881698"/>
    <w:rsid w:val="0088169A"/>
    <w:rsid w:val="008816D7"/>
    <w:rsid w:val="00881804"/>
    <w:rsid w:val="0088183C"/>
    <w:rsid w:val="00881854"/>
    <w:rsid w:val="008818AF"/>
    <w:rsid w:val="008818C6"/>
    <w:rsid w:val="008818DE"/>
    <w:rsid w:val="008818E3"/>
    <w:rsid w:val="0088191B"/>
    <w:rsid w:val="00881924"/>
    <w:rsid w:val="0088195C"/>
    <w:rsid w:val="0088199F"/>
    <w:rsid w:val="00881A30"/>
    <w:rsid w:val="00881A3E"/>
    <w:rsid w:val="00881A50"/>
    <w:rsid w:val="00881A97"/>
    <w:rsid w:val="00881B06"/>
    <w:rsid w:val="00881B0A"/>
    <w:rsid w:val="00881B38"/>
    <w:rsid w:val="00881B53"/>
    <w:rsid w:val="00881B9D"/>
    <w:rsid w:val="00881BC2"/>
    <w:rsid w:val="00881BFA"/>
    <w:rsid w:val="00881CA9"/>
    <w:rsid w:val="00881CC4"/>
    <w:rsid w:val="00881D17"/>
    <w:rsid w:val="00881D4F"/>
    <w:rsid w:val="00881D60"/>
    <w:rsid w:val="00881D7C"/>
    <w:rsid w:val="00881DD8"/>
    <w:rsid w:val="00881E20"/>
    <w:rsid w:val="00881E24"/>
    <w:rsid w:val="00881E3A"/>
    <w:rsid w:val="00881E47"/>
    <w:rsid w:val="00881E4B"/>
    <w:rsid w:val="00881EEB"/>
    <w:rsid w:val="00881F09"/>
    <w:rsid w:val="00881F68"/>
    <w:rsid w:val="00881FB0"/>
    <w:rsid w:val="00882040"/>
    <w:rsid w:val="00882079"/>
    <w:rsid w:val="008820FF"/>
    <w:rsid w:val="0088214D"/>
    <w:rsid w:val="00882155"/>
    <w:rsid w:val="008821EB"/>
    <w:rsid w:val="008821F2"/>
    <w:rsid w:val="0088224C"/>
    <w:rsid w:val="0088227C"/>
    <w:rsid w:val="00882291"/>
    <w:rsid w:val="008822B9"/>
    <w:rsid w:val="008822D5"/>
    <w:rsid w:val="00882300"/>
    <w:rsid w:val="00882355"/>
    <w:rsid w:val="00882368"/>
    <w:rsid w:val="00882394"/>
    <w:rsid w:val="008823D2"/>
    <w:rsid w:val="008823F9"/>
    <w:rsid w:val="0088245C"/>
    <w:rsid w:val="00882462"/>
    <w:rsid w:val="0088246F"/>
    <w:rsid w:val="0088250D"/>
    <w:rsid w:val="00882519"/>
    <w:rsid w:val="0088253F"/>
    <w:rsid w:val="008825D0"/>
    <w:rsid w:val="008825E8"/>
    <w:rsid w:val="008825FC"/>
    <w:rsid w:val="0088264A"/>
    <w:rsid w:val="0088278B"/>
    <w:rsid w:val="00882792"/>
    <w:rsid w:val="00882794"/>
    <w:rsid w:val="008827FC"/>
    <w:rsid w:val="00882835"/>
    <w:rsid w:val="0088284B"/>
    <w:rsid w:val="00882899"/>
    <w:rsid w:val="008828E8"/>
    <w:rsid w:val="00882957"/>
    <w:rsid w:val="00882976"/>
    <w:rsid w:val="0088297E"/>
    <w:rsid w:val="008829CC"/>
    <w:rsid w:val="00882A1E"/>
    <w:rsid w:val="00882A28"/>
    <w:rsid w:val="00882A93"/>
    <w:rsid w:val="00882AE4"/>
    <w:rsid w:val="00882B1F"/>
    <w:rsid w:val="00882B6E"/>
    <w:rsid w:val="00882BAB"/>
    <w:rsid w:val="00882C77"/>
    <w:rsid w:val="00882C84"/>
    <w:rsid w:val="00882CC4"/>
    <w:rsid w:val="00882D43"/>
    <w:rsid w:val="00882D52"/>
    <w:rsid w:val="00882D6F"/>
    <w:rsid w:val="00882D78"/>
    <w:rsid w:val="00882D7A"/>
    <w:rsid w:val="00882E4B"/>
    <w:rsid w:val="00882EA2"/>
    <w:rsid w:val="00882EAF"/>
    <w:rsid w:val="00882ECA"/>
    <w:rsid w:val="00882EDA"/>
    <w:rsid w:val="00882F80"/>
    <w:rsid w:val="00882F86"/>
    <w:rsid w:val="00882FCB"/>
    <w:rsid w:val="00882FEB"/>
    <w:rsid w:val="00882FF7"/>
    <w:rsid w:val="00883047"/>
    <w:rsid w:val="0088310C"/>
    <w:rsid w:val="00883193"/>
    <w:rsid w:val="00883211"/>
    <w:rsid w:val="00883212"/>
    <w:rsid w:val="00883252"/>
    <w:rsid w:val="0088328E"/>
    <w:rsid w:val="0088329F"/>
    <w:rsid w:val="008832C0"/>
    <w:rsid w:val="008833F5"/>
    <w:rsid w:val="00883468"/>
    <w:rsid w:val="00883497"/>
    <w:rsid w:val="008835E7"/>
    <w:rsid w:val="008835FE"/>
    <w:rsid w:val="00883646"/>
    <w:rsid w:val="00883668"/>
    <w:rsid w:val="008836E9"/>
    <w:rsid w:val="00883772"/>
    <w:rsid w:val="00883776"/>
    <w:rsid w:val="00883796"/>
    <w:rsid w:val="0088382D"/>
    <w:rsid w:val="00883857"/>
    <w:rsid w:val="0088386C"/>
    <w:rsid w:val="008838F8"/>
    <w:rsid w:val="0088397C"/>
    <w:rsid w:val="00883A2E"/>
    <w:rsid w:val="00883A3F"/>
    <w:rsid w:val="00883A6A"/>
    <w:rsid w:val="00883AD4"/>
    <w:rsid w:val="00883BCE"/>
    <w:rsid w:val="00883BEA"/>
    <w:rsid w:val="00883BF7"/>
    <w:rsid w:val="00883C6D"/>
    <w:rsid w:val="00883D17"/>
    <w:rsid w:val="00883D5E"/>
    <w:rsid w:val="00883E02"/>
    <w:rsid w:val="00883E12"/>
    <w:rsid w:val="00883EEE"/>
    <w:rsid w:val="00883F41"/>
    <w:rsid w:val="00883F45"/>
    <w:rsid w:val="00883FD0"/>
    <w:rsid w:val="0088401F"/>
    <w:rsid w:val="00884075"/>
    <w:rsid w:val="0088408A"/>
    <w:rsid w:val="0088413E"/>
    <w:rsid w:val="00884159"/>
    <w:rsid w:val="008841D1"/>
    <w:rsid w:val="0088420A"/>
    <w:rsid w:val="0088424A"/>
    <w:rsid w:val="00884256"/>
    <w:rsid w:val="008842C0"/>
    <w:rsid w:val="008842CE"/>
    <w:rsid w:val="0088440E"/>
    <w:rsid w:val="00884419"/>
    <w:rsid w:val="00884496"/>
    <w:rsid w:val="008844AC"/>
    <w:rsid w:val="008844C6"/>
    <w:rsid w:val="00884521"/>
    <w:rsid w:val="0088456C"/>
    <w:rsid w:val="0088456D"/>
    <w:rsid w:val="00884579"/>
    <w:rsid w:val="0088459B"/>
    <w:rsid w:val="008845B0"/>
    <w:rsid w:val="008845E2"/>
    <w:rsid w:val="008845E6"/>
    <w:rsid w:val="008845F4"/>
    <w:rsid w:val="0088462E"/>
    <w:rsid w:val="00884645"/>
    <w:rsid w:val="008846CB"/>
    <w:rsid w:val="00884718"/>
    <w:rsid w:val="00884722"/>
    <w:rsid w:val="008847B1"/>
    <w:rsid w:val="008847BC"/>
    <w:rsid w:val="008847E0"/>
    <w:rsid w:val="0088480B"/>
    <w:rsid w:val="00884864"/>
    <w:rsid w:val="00884874"/>
    <w:rsid w:val="008848E1"/>
    <w:rsid w:val="00884909"/>
    <w:rsid w:val="00884976"/>
    <w:rsid w:val="00884A07"/>
    <w:rsid w:val="00884A0A"/>
    <w:rsid w:val="00884A13"/>
    <w:rsid w:val="00884A18"/>
    <w:rsid w:val="00884A73"/>
    <w:rsid w:val="00884B58"/>
    <w:rsid w:val="00884B6B"/>
    <w:rsid w:val="00884B7E"/>
    <w:rsid w:val="00884B84"/>
    <w:rsid w:val="00884BD8"/>
    <w:rsid w:val="00884C07"/>
    <w:rsid w:val="00884CCC"/>
    <w:rsid w:val="00884D0A"/>
    <w:rsid w:val="00884D2F"/>
    <w:rsid w:val="00884D5D"/>
    <w:rsid w:val="00884D7A"/>
    <w:rsid w:val="00884D7B"/>
    <w:rsid w:val="00884E86"/>
    <w:rsid w:val="00884E88"/>
    <w:rsid w:val="00884ED0"/>
    <w:rsid w:val="00884FDE"/>
    <w:rsid w:val="00885072"/>
    <w:rsid w:val="00885151"/>
    <w:rsid w:val="00885172"/>
    <w:rsid w:val="008851B8"/>
    <w:rsid w:val="0088520F"/>
    <w:rsid w:val="008852A4"/>
    <w:rsid w:val="0088536C"/>
    <w:rsid w:val="008853BE"/>
    <w:rsid w:val="008853DA"/>
    <w:rsid w:val="00885401"/>
    <w:rsid w:val="00885420"/>
    <w:rsid w:val="0088544A"/>
    <w:rsid w:val="00885485"/>
    <w:rsid w:val="008854A0"/>
    <w:rsid w:val="008854FA"/>
    <w:rsid w:val="00885514"/>
    <w:rsid w:val="0088554F"/>
    <w:rsid w:val="00885592"/>
    <w:rsid w:val="0088560D"/>
    <w:rsid w:val="00885616"/>
    <w:rsid w:val="0088571E"/>
    <w:rsid w:val="0088573B"/>
    <w:rsid w:val="00885764"/>
    <w:rsid w:val="00885770"/>
    <w:rsid w:val="00885775"/>
    <w:rsid w:val="008857E9"/>
    <w:rsid w:val="0088583D"/>
    <w:rsid w:val="0088584F"/>
    <w:rsid w:val="00885855"/>
    <w:rsid w:val="00885917"/>
    <w:rsid w:val="00885953"/>
    <w:rsid w:val="0088596E"/>
    <w:rsid w:val="008859C4"/>
    <w:rsid w:val="008859D1"/>
    <w:rsid w:val="008859D6"/>
    <w:rsid w:val="00885A25"/>
    <w:rsid w:val="00885C05"/>
    <w:rsid w:val="00885C75"/>
    <w:rsid w:val="00885CAE"/>
    <w:rsid w:val="00885CE0"/>
    <w:rsid w:val="00885CF3"/>
    <w:rsid w:val="00885D4A"/>
    <w:rsid w:val="00885D4E"/>
    <w:rsid w:val="00885D7B"/>
    <w:rsid w:val="00885D84"/>
    <w:rsid w:val="00885E25"/>
    <w:rsid w:val="00885E7D"/>
    <w:rsid w:val="00885E80"/>
    <w:rsid w:val="00885E8E"/>
    <w:rsid w:val="00885ED8"/>
    <w:rsid w:val="00885FA4"/>
    <w:rsid w:val="00885FBA"/>
    <w:rsid w:val="00885FDB"/>
    <w:rsid w:val="00886002"/>
    <w:rsid w:val="00886072"/>
    <w:rsid w:val="00886116"/>
    <w:rsid w:val="008861E1"/>
    <w:rsid w:val="0088621C"/>
    <w:rsid w:val="0088621E"/>
    <w:rsid w:val="008862D1"/>
    <w:rsid w:val="008862FA"/>
    <w:rsid w:val="00886302"/>
    <w:rsid w:val="0088630B"/>
    <w:rsid w:val="00886324"/>
    <w:rsid w:val="00886327"/>
    <w:rsid w:val="008863C2"/>
    <w:rsid w:val="008863EE"/>
    <w:rsid w:val="008863F3"/>
    <w:rsid w:val="0088641E"/>
    <w:rsid w:val="00886453"/>
    <w:rsid w:val="00886494"/>
    <w:rsid w:val="008864C6"/>
    <w:rsid w:val="008864ED"/>
    <w:rsid w:val="0088652E"/>
    <w:rsid w:val="00886549"/>
    <w:rsid w:val="0088656C"/>
    <w:rsid w:val="0088657D"/>
    <w:rsid w:val="008865EA"/>
    <w:rsid w:val="00886675"/>
    <w:rsid w:val="008866BF"/>
    <w:rsid w:val="008866C3"/>
    <w:rsid w:val="008866E9"/>
    <w:rsid w:val="008866EB"/>
    <w:rsid w:val="00886731"/>
    <w:rsid w:val="00886735"/>
    <w:rsid w:val="0088674B"/>
    <w:rsid w:val="0088676B"/>
    <w:rsid w:val="00886866"/>
    <w:rsid w:val="00886874"/>
    <w:rsid w:val="008868A0"/>
    <w:rsid w:val="0088691C"/>
    <w:rsid w:val="00886930"/>
    <w:rsid w:val="00886950"/>
    <w:rsid w:val="00886959"/>
    <w:rsid w:val="008869B6"/>
    <w:rsid w:val="008869E6"/>
    <w:rsid w:val="008869EB"/>
    <w:rsid w:val="00886A01"/>
    <w:rsid w:val="00886A3F"/>
    <w:rsid w:val="00886A57"/>
    <w:rsid w:val="00886A5E"/>
    <w:rsid w:val="00886A95"/>
    <w:rsid w:val="00886AC0"/>
    <w:rsid w:val="00886B2D"/>
    <w:rsid w:val="00886B4B"/>
    <w:rsid w:val="00886B66"/>
    <w:rsid w:val="00886B7F"/>
    <w:rsid w:val="00886C5F"/>
    <w:rsid w:val="00886C8C"/>
    <w:rsid w:val="00886C9B"/>
    <w:rsid w:val="00886CB4"/>
    <w:rsid w:val="00886D08"/>
    <w:rsid w:val="00886DEC"/>
    <w:rsid w:val="00886E86"/>
    <w:rsid w:val="00886F1A"/>
    <w:rsid w:val="00886F51"/>
    <w:rsid w:val="00886FC0"/>
    <w:rsid w:val="0088703E"/>
    <w:rsid w:val="00887066"/>
    <w:rsid w:val="008870FA"/>
    <w:rsid w:val="0088712D"/>
    <w:rsid w:val="00887176"/>
    <w:rsid w:val="008871A3"/>
    <w:rsid w:val="00887235"/>
    <w:rsid w:val="00887285"/>
    <w:rsid w:val="00887397"/>
    <w:rsid w:val="0088739F"/>
    <w:rsid w:val="008873DF"/>
    <w:rsid w:val="008873E0"/>
    <w:rsid w:val="008873ED"/>
    <w:rsid w:val="00887484"/>
    <w:rsid w:val="008874A6"/>
    <w:rsid w:val="00887505"/>
    <w:rsid w:val="0088759D"/>
    <w:rsid w:val="0088766D"/>
    <w:rsid w:val="008876EF"/>
    <w:rsid w:val="00887732"/>
    <w:rsid w:val="00887746"/>
    <w:rsid w:val="00887779"/>
    <w:rsid w:val="008877CB"/>
    <w:rsid w:val="008877DB"/>
    <w:rsid w:val="00887896"/>
    <w:rsid w:val="00887899"/>
    <w:rsid w:val="008878D3"/>
    <w:rsid w:val="00887901"/>
    <w:rsid w:val="00887912"/>
    <w:rsid w:val="00887978"/>
    <w:rsid w:val="00887A07"/>
    <w:rsid w:val="00887A39"/>
    <w:rsid w:val="00887A83"/>
    <w:rsid w:val="00887AB9"/>
    <w:rsid w:val="00887AE8"/>
    <w:rsid w:val="00887AEE"/>
    <w:rsid w:val="00887AFD"/>
    <w:rsid w:val="00887B03"/>
    <w:rsid w:val="00887B20"/>
    <w:rsid w:val="00887B3C"/>
    <w:rsid w:val="00887B5F"/>
    <w:rsid w:val="00887B6B"/>
    <w:rsid w:val="00887B82"/>
    <w:rsid w:val="00887BAB"/>
    <w:rsid w:val="00887BD0"/>
    <w:rsid w:val="00887C07"/>
    <w:rsid w:val="00887C27"/>
    <w:rsid w:val="00887C3E"/>
    <w:rsid w:val="00887C5B"/>
    <w:rsid w:val="00887CC0"/>
    <w:rsid w:val="00887CCF"/>
    <w:rsid w:val="00887CDD"/>
    <w:rsid w:val="00887CF6"/>
    <w:rsid w:val="00887CFE"/>
    <w:rsid w:val="00887D2D"/>
    <w:rsid w:val="00887D50"/>
    <w:rsid w:val="00887D52"/>
    <w:rsid w:val="00887D77"/>
    <w:rsid w:val="00887D94"/>
    <w:rsid w:val="00887D9F"/>
    <w:rsid w:val="00887DD5"/>
    <w:rsid w:val="00887DE0"/>
    <w:rsid w:val="00887EE0"/>
    <w:rsid w:val="00887EE8"/>
    <w:rsid w:val="00887F2D"/>
    <w:rsid w:val="00887FE4"/>
    <w:rsid w:val="00887FEF"/>
    <w:rsid w:val="00890008"/>
    <w:rsid w:val="00890018"/>
    <w:rsid w:val="008900D3"/>
    <w:rsid w:val="008900E5"/>
    <w:rsid w:val="0089010D"/>
    <w:rsid w:val="0089015B"/>
    <w:rsid w:val="008901AB"/>
    <w:rsid w:val="008901AF"/>
    <w:rsid w:val="008901B9"/>
    <w:rsid w:val="008901D6"/>
    <w:rsid w:val="00890217"/>
    <w:rsid w:val="008902F3"/>
    <w:rsid w:val="00890330"/>
    <w:rsid w:val="008903F8"/>
    <w:rsid w:val="008904B5"/>
    <w:rsid w:val="008904CC"/>
    <w:rsid w:val="008904E7"/>
    <w:rsid w:val="00890511"/>
    <w:rsid w:val="008905A1"/>
    <w:rsid w:val="008905B4"/>
    <w:rsid w:val="008905B9"/>
    <w:rsid w:val="008905BB"/>
    <w:rsid w:val="0089064C"/>
    <w:rsid w:val="00890676"/>
    <w:rsid w:val="008906F2"/>
    <w:rsid w:val="0089071C"/>
    <w:rsid w:val="0089079D"/>
    <w:rsid w:val="00890836"/>
    <w:rsid w:val="00890862"/>
    <w:rsid w:val="008908DF"/>
    <w:rsid w:val="00890929"/>
    <w:rsid w:val="00890954"/>
    <w:rsid w:val="0089097B"/>
    <w:rsid w:val="008909F0"/>
    <w:rsid w:val="00890A95"/>
    <w:rsid w:val="00890A98"/>
    <w:rsid w:val="00890AB1"/>
    <w:rsid w:val="00890B26"/>
    <w:rsid w:val="00890B60"/>
    <w:rsid w:val="00890B8C"/>
    <w:rsid w:val="00890BA6"/>
    <w:rsid w:val="00890BAA"/>
    <w:rsid w:val="00890BE6"/>
    <w:rsid w:val="00890BE9"/>
    <w:rsid w:val="00890C10"/>
    <w:rsid w:val="00890C11"/>
    <w:rsid w:val="00890C8B"/>
    <w:rsid w:val="00890CD7"/>
    <w:rsid w:val="00890D08"/>
    <w:rsid w:val="00890D80"/>
    <w:rsid w:val="00890DAB"/>
    <w:rsid w:val="00890DF7"/>
    <w:rsid w:val="00890E10"/>
    <w:rsid w:val="00890E54"/>
    <w:rsid w:val="00890EDF"/>
    <w:rsid w:val="00890F0C"/>
    <w:rsid w:val="00890F47"/>
    <w:rsid w:val="00890F5C"/>
    <w:rsid w:val="00890FE2"/>
    <w:rsid w:val="00891038"/>
    <w:rsid w:val="0089104F"/>
    <w:rsid w:val="00891052"/>
    <w:rsid w:val="00891079"/>
    <w:rsid w:val="008910B1"/>
    <w:rsid w:val="008910BB"/>
    <w:rsid w:val="008910BE"/>
    <w:rsid w:val="0089119A"/>
    <w:rsid w:val="008911D6"/>
    <w:rsid w:val="008911F2"/>
    <w:rsid w:val="008911F7"/>
    <w:rsid w:val="008911FA"/>
    <w:rsid w:val="00891202"/>
    <w:rsid w:val="0089124D"/>
    <w:rsid w:val="008912AF"/>
    <w:rsid w:val="008912C0"/>
    <w:rsid w:val="00891319"/>
    <w:rsid w:val="00891338"/>
    <w:rsid w:val="0089138F"/>
    <w:rsid w:val="008913BF"/>
    <w:rsid w:val="00891439"/>
    <w:rsid w:val="00891491"/>
    <w:rsid w:val="008914B6"/>
    <w:rsid w:val="008914BE"/>
    <w:rsid w:val="0089151C"/>
    <w:rsid w:val="0089151D"/>
    <w:rsid w:val="0089154B"/>
    <w:rsid w:val="00891559"/>
    <w:rsid w:val="008915E6"/>
    <w:rsid w:val="00891629"/>
    <w:rsid w:val="00891647"/>
    <w:rsid w:val="0089167A"/>
    <w:rsid w:val="00891688"/>
    <w:rsid w:val="008916B6"/>
    <w:rsid w:val="008916F5"/>
    <w:rsid w:val="0089172C"/>
    <w:rsid w:val="00891758"/>
    <w:rsid w:val="0089179C"/>
    <w:rsid w:val="008917AE"/>
    <w:rsid w:val="008917CC"/>
    <w:rsid w:val="00891804"/>
    <w:rsid w:val="0089185A"/>
    <w:rsid w:val="00891890"/>
    <w:rsid w:val="008918D7"/>
    <w:rsid w:val="00891943"/>
    <w:rsid w:val="00891953"/>
    <w:rsid w:val="008919B2"/>
    <w:rsid w:val="008919D8"/>
    <w:rsid w:val="00891A84"/>
    <w:rsid w:val="00891ACA"/>
    <w:rsid w:val="00891AD1"/>
    <w:rsid w:val="00891B52"/>
    <w:rsid w:val="00891C37"/>
    <w:rsid w:val="00891C8A"/>
    <w:rsid w:val="00891C9C"/>
    <w:rsid w:val="00891CFB"/>
    <w:rsid w:val="00891D8D"/>
    <w:rsid w:val="00891DDA"/>
    <w:rsid w:val="00891ED1"/>
    <w:rsid w:val="00891F13"/>
    <w:rsid w:val="00891F4F"/>
    <w:rsid w:val="00891F84"/>
    <w:rsid w:val="00891FF3"/>
    <w:rsid w:val="00892005"/>
    <w:rsid w:val="0089202F"/>
    <w:rsid w:val="008920C3"/>
    <w:rsid w:val="00892107"/>
    <w:rsid w:val="008921C3"/>
    <w:rsid w:val="008921C8"/>
    <w:rsid w:val="00892223"/>
    <w:rsid w:val="0089231F"/>
    <w:rsid w:val="00892372"/>
    <w:rsid w:val="008923B6"/>
    <w:rsid w:val="008923FD"/>
    <w:rsid w:val="0089244F"/>
    <w:rsid w:val="008924FC"/>
    <w:rsid w:val="0089250C"/>
    <w:rsid w:val="0089250E"/>
    <w:rsid w:val="0089251B"/>
    <w:rsid w:val="00892532"/>
    <w:rsid w:val="00892598"/>
    <w:rsid w:val="008925ED"/>
    <w:rsid w:val="0089262E"/>
    <w:rsid w:val="008926BA"/>
    <w:rsid w:val="008926F8"/>
    <w:rsid w:val="00892722"/>
    <w:rsid w:val="00892733"/>
    <w:rsid w:val="008927A5"/>
    <w:rsid w:val="0089293C"/>
    <w:rsid w:val="00892956"/>
    <w:rsid w:val="00892975"/>
    <w:rsid w:val="00892A86"/>
    <w:rsid w:val="00892B00"/>
    <w:rsid w:val="00892B5D"/>
    <w:rsid w:val="00892B95"/>
    <w:rsid w:val="00892BF7"/>
    <w:rsid w:val="00892C28"/>
    <w:rsid w:val="00892C2C"/>
    <w:rsid w:val="00892C37"/>
    <w:rsid w:val="00892C43"/>
    <w:rsid w:val="00892D7E"/>
    <w:rsid w:val="00892D91"/>
    <w:rsid w:val="00892E23"/>
    <w:rsid w:val="00892E28"/>
    <w:rsid w:val="00892E75"/>
    <w:rsid w:val="00892EF1"/>
    <w:rsid w:val="00892F20"/>
    <w:rsid w:val="00892F7E"/>
    <w:rsid w:val="0089303D"/>
    <w:rsid w:val="0089304B"/>
    <w:rsid w:val="00893056"/>
    <w:rsid w:val="0089305B"/>
    <w:rsid w:val="00893060"/>
    <w:rsid w:val="008930A3"/>
    <w:rsid w:val="008930F4"/>
    <w:rsid w:val="00893109"/>
    <w:rsid w:val="008931F1"/>
    <w:rsid w:val="00893220"/>
    <w:rsid w:val="00893280"/>
    <w:rsid w:val="0089338E"/>
    <w:rsid w:val="0089340F"/>
    <w:rsid w:val="00893537"/>
    <w:rsid w:val="00893544"/>
    <w:rsid w:val="00893558"/>
    <w:rsid w:val="00893591"/>
    <w:rsid w:val="00893593"/>
    <w:rsid w:val="008935E5"/>
    <w:rsid w:val="00893612"/>
    <w:rsid w:val="00893634"/>
    <w:rsid w:val="00893641"/>
    <w:rsid w:val="0089366C"/>
    <w:rsid w:val="008936B6"/>
    <w:rsid w:val="008936E8"/>
    <w:rsid w:val="00893746"/>
    <w:rsid w:val="0089378A"/>
    <w:rsid w:val="008937A2"/>
    <w:rsid w:val="008937EB"/>
    <w:rsid w:val="0089388F"/>
    <w:rsid w:val="008938FD"/>
    <w:rsid w:val="00893904"/>
    <w:rsid w:val="008939BB"/>
    <w:rsid w:val="00893A25"/>
    <w:rsid w:val="00893AA0"/>
    <w:rsid w:val="00893B0E"/>
    <w:rsid w:val="00893B8A"/>
    <w:rsid w:val="00893BDA"/>
    <w:rsid w:val="00893C0C"/>
    <w:rsid w:val="00893C4C"/>
    <w:rsid w:val="00893C7F"/>
    <w:rsid w:val="00893CF1"/>
    <w:rsid w:val="00893D20"/>
    <w:rsid w:val="00893DD0"/>
    <w:rsid w:val="00893E5C"/>
    <w:rsid w:val="00893E93"/>
    <w:rsid w:val="00893EB7"/>
    <w:rsid w:val="00893ED3"/>
    <w:rsid w:val="00893F11"/>
    <w:rsid w:val="00893F2F"/>
    <w:rsid w:val="00893F87"/>
    <w:rsid w:val="00894026"/>
    <w:rsid w:val="008940B7"/>
    <w:rsid w:val="008940CC"/>
    <w:rsid w:val="008940EE"/>
    <w:rsid w:val="008940F8"/>
    <w:rsid w:val="0089416F"/>
    <w:rsid w:val="008941A4"/>
    <w:rsid w:val="008941E1"/>
    <w:rsid w:val="008941F4"/>
    <w:rsid w:val="0089425E"/>
    <w:rsid w:val="008942A1"/>
    <w:rsid w:val="008942A4"/>
    <w:rsid w:val="008942B5"/>
    <w:rsid w:val="008943FB"/>
    <w:rsid w:val="00894491"/>
    <w:rsid w:val="008944B6"/>
    <w:rsid w:val="008944D9"/>
    <w:rsid w:val="008944DF"/>
    <w:rsid w:val="008944E0"/>
    <w:rsid w:val="008944E5"/>
    <w:rsid w:val="008944F2"/>
    <w:rsid w:val="008944F4"/>
    <w:rsid w:val="00894522"/>
    <w:rsid w:val="00894536"/>
    <w:rsid w:val="00894546"/>
    <w:rsid w:val="00894587"/>
    <w:rsid w:val="0089459D"/>
    <w:rsid w:val="008945A9"/>
    <w:rsid w:val="008945BB"/>
    <w:rsid w:val="00894620"/>
    <w:rsid w:val="0089463B"/>
    <w:rsid w:val="008946B4"/>
    <w:rsid w:val="00894708"/>
    <w:rsid w:val="00894714"/>
    <w:rsid w:val="0089473E"/>
    <w:rsid w:val="00894783"/>
    <w:rsid w:val="008947F7"/>
    <w:rsid w:val="00894861"/>
    <w:rsid w:val="008948FE"/>
    <w:rsid w:val="00894985"/>
    <w:rsid w:val="008949E7"/>
    <w:rsid w:val="00894A4B"/>
    <w:rsid w:val="00894AF5"/>
    <w:rsid w:val="00894B3D"/>
    <w:rsid w:val="00894B55"/>
    <w:rsid w:val="00894B95"/>
    <w:rsid w:val="00894BAD"/>
    <w:rsid w:val="00894C6B"/>
    <w:rsid w:val="00894C73"/>
    <w:rsid w:val="00894C7F"/>
    <w:rsid w:val="00894CCB"/>
    <w:rsid w:val="00894CDC"/>
    <w:rsid w:val="00894DC2"/>
    <w:rsid w:val="00894DCD"/>
    <w:rsid w:val="00894DE5"/>
    <w:rsid w:val="00894E13"/>
    <w:rsid w:val="00894E35"/>
    <w:rsid w:val="00894E54"/>
    <w:rsid w:val="00894E6A"/>
    <w:rsid w:val="00894E84"/>
    <w:rsid w:val="00894E95"/>
    <w:rsid w:val="00894F02"/>
    <w:rsid w:val="00894FCD"/>
    <w:rsid w:val="00894FE9"/>
    <w:rsid w:val="00895039"/>
    <w:rsid w:val="00895067"/>
    <w:rsid w:val="00895112"/>
    <w:rsid w:val="0089514E"/>
    <w:rsid w:val="00895150"/>
    <w:rsid w:val="00895152"/>
    <w:rsid w:val="00895153"/>
    <w:rsid w:val="008951DF"/>
    <w:rsid w:val="00895279"/>
    <w:rsid w:val="008952C2"/>
    <w:rsid w:val="008952D4"/>
    <w:rsid w:val="0089541E"/>
    <w:rsid w:val="008954B5"/>
    <w:rsid w:val="00895510"/>
    <w:rsid w:val="00895679"/>
    <w:rsid w:val="0089568A"/>
    <w:rsid w:val="008956A6"/>
    <w:rsid w:val="008956C4"/>
    <w:rsid w:val="008956E1"/>
    <w:rsid w:val="008956E7"/>
    <w:rsid w:val="00895759"/>
    <w:rsid w:val="008957C7"/>
    <w:rsid w:val="00895800"/>
    <w:rsid w:val="008958B8"/>
    <w:rsid w:val="0089591B"/>
    <w:rsid w:val="00895921"/>
    <w:rsid w:val="0089592C"/>
    <w:rsid w:val="0089594E"/>
    <w:rsid w:val="00895956"/>
    <w:rsid w:val="008959A5"/>
    <w:rsid w:val="00895A00"/>
    <w:rsid w:val="00895A0E"/>
    <w:rsid w:val="00895A37"/>
    <w:rsid w:val="00895A82"/>
    <w:rsid w:val="00895ABA"/>
    <w:rsid w:val="00895ABD"/>
    <w:rsid w:val="00895AC5"/>
    <w:rsid w:val="00895ADB"/>
    <w:rsid w:val="00895B1C"/>
    <w:rsid w:val="00895B30"/>
    <w:rsid w:val="00895BA7"/>
    <w:rsid w:val="00895BAD"/>
    <w:rsid w:val="00895C22"/>
    <w:rsid w:val="00895C31"/>
    <w:rsid w:val="00895C71"/>
    <w:rsid w:val="00895C97"/>
    <w:rsid w:val="00895CCD"/>
    <w:rsid w:val="00895D02"/>
    <w:rsid w:val="00895DD8"/>
    <w:rsid w:val="00895DE9"/>
    <w:rsid w:val="00895EB4"/>
    <w:rsid w:val="00895EF9"/>
    <w:rsid w:val="00895EFD"/>
    <w:rsid w:val="00895F1B"/>
    <w:rsid w:val="00895FCB"/>
    <w:rsid w:val="0089600E"/>
    <w:rsid w:val="00896017"/>
    <w:rsid w:val="00896032"/>
    <w:rsid w:val="0089609D"/>
    <w:rsid w:val="008960D0"/>
    <w:rsid w:val="00896164"/>
    <w:rsid w:val="00896197"/>
    <w:rsid w:val="008961F9"/>
    <w:rsid w:val="00896209"/>
    <w:rsid w:val="008962A3"/>
    <w:rsid w:val="008962D8"/>
    <w:rsid w:val="00896333"/>
    <w:rsid w:val="00896337"/>
    <w:rsid w:val="00896342"/>
    <w:rsid w:val="0089634F"/>
    <w:rsid w:val="00896370"/>
    <w:rsid w:val="008963AC"/>
    <w:rsid w:val="0089643F"/>
    <w:rsid w:val="00896501"/>
    <w:rsid w:val="00896691"/>
    <w:rsid w:val="008966A0"/>
    <w:rsid w:val="008966D3"/>
    <w:rsid w:val="008966D4"/>
    <w:rsid w:val="0089678F"/>
    <w:rsid w:val="008967A6"/>
    <w:rsid w:val="008967A7"/>
    <w:rsid w:val="008967A8"/>
    <w:rsid w:val="008967B0"/>
    <w:rsid w:val="0089687C"/>
    <w:rsid w:val="0089688F"/>
    <w:rsid w:val="008968D5"/>
    <w:rsid w:val="00896919"/>
    <w:rsid w:val="00896948"/>
    <w:rsid w:val="008969A0"/>
    <w:rsid w:val="00896A1B"/>
    <w:rsid w:val="00896A28"/>
    <w:rsid w:val="00896A30"/>
    <w:rsid w:val="00896A54"/>
    <w:rsid w:val="00896A93"/>
    <w:rsid w:val="00896AE1"/>
    <w:rsid w:val="00896AF2"/>
    <w:rsid w:val="00896AF5"/>
    <w:rsid w:val="00896B14"/>
    <w:rsid w:val="00896B29"/>
    <w:rsid w:val="00896B40"/>
    <w:rsid w:val="00896C0F"/>
    <w:rsid w:val="00896C3B"/>
    <w:rsid w:val="00896C5A"/>
    <w:rsid w:val="00896C5F"/>
    <w:rsid w:val="00896C90"/>
    <w:rsid w:val="00896CC5"/>
    <w:rsid w:val="00896CD7"/>
    <w:rsid w:val="00896D0B"/>
    <w:rsid w:val="00896D4D"/>
    <w:rsid w:val="00896D50"/>
    <w:rsid w:val="00896D8D"/>
    <w:rsid w:val="00896E23"/>
    <w:rsid w:val="00896E4C"/>
    <w:rsid w:val="00896E85"/>
    <w:rsid w:val="00896E94"/>
    <w:rsid w:val="00896E9B"/>
    <w:rsid w:val="00896EF5"/>
    <w:rsid w:val="00896F6D"/>
    <w:rsid w:val="00896F8E"/>
    <w:rsid w:val="00896FCB"/>
    <w:rsid w:val="00896FEA"/>
    <w:rsid w:val="00897163"/>
    <w:rsid w:val="0089716D"/>
    <w:rsid w:val="0089721A"/>
    <w:rsid w:val="0089723C"/>
    <w:rsid w:val="00897262"/>
    <w:rsid w:val="00897340"/>
    <w:rsid w:val="0089738A"/>
    <w:rsid w:val="008973C0"/>
    <w:rsid w:val="008973F0"/>
    <w:rsid w:val="00897407"/>
    <w:rsid w:val="00897412"/>
    <w:rsid w:val="0089746D"/>
    <w:rsid w:val="0089748F"/>
    <w:rsid w:val="008974A6"/>
    <w:rsid w:val="00897539"/>
    <w:rsid w:val="00897542"/>
    <w:rsid w:val="00897626"/>
    <w:rsid w:val="00897656"/>
    <w:rsid w:val="0089767E"/>
    <w:rsid w:val="0089768B"/>
    <w:rsid w:val="008976B1"/>
    <w:rsid w:val="0089772E"/>
    <w:rsid w:val="00897758"/>
    <w:rsid w:val="00897790"/>
    <w:rsid w:val="008977D0"/>
    <w:rsid w:val="00897858"/>
    <w:rsid w:val="0089785F"/>
    <w:rsid w:val="00897888"/>
    <w:rsid w:val="008978BB"/>
    <w:rsid w:val="00897905"/>
    <w:rsid w:val="00897906"/>
    <w:rsid w:val="0089792F"/>
    <w:rsid w:val="00897958"/>
    <w:rsid w:val="0089795D"/>
    <w:rsid w:val="008979A9"/>
    <w:rsid w:val="008979D3"/>
    <w:rsid w:val="008979D4"/>
    <w:rsid w:val="008979F2"/>
    <w:rsid w:val="00897A1F"/>
    <w:rsid w:val="00897A6F"/>
    <w:rsid w:val="00897ADA"/>
    <w:rsid w:val="00897AEA"/>
    <w:rsid w:val="00897AFF"/>
    <w:rsid w:val="00897B0F"/>
    <w:rsid w:val="00897B1D"/>
    <w:rsid w:val="00897BB1"/>
    <w:rsid w:val="00897BD2"/>
    <w:rsid w:val="00897BF5"/>
    <w:rsid w:val="00897C14"/>
    <w:rsid w:val="00897C6C"/>
    <w:rsid w:val="00897C99"/>
    <w:rsid w:val="00897D57"/>
    <w:rsid w:val="00897D91"/>
    <w:rsid w:val="00897E05"/>
    <w:rsid w:val="00897E37"/>
    <w:rsid w:val="00897E90"/>
    <w:rsid w:val="00897E9F"/>
    <w:rsid w:val="00897EEE"/>
    <w:rsid w:val="00897F34"/>
    <w:rsid w:val="00897FE3"/>
    <w:rsid w:val="008A00BA"/>
    <w:rsid w:val="008A00CC"/>
    <w:rsid w:val="008A00E4"/>
    <w:rsid w:val="008A00F1"/>
    <w:rsid w:val="008A0148"/>
    <w:rsid w:val="008A0174"/>
    <w:rsid w:val="008A0181"/>
    <w:rsid w:val="008A01A0"/>
    <w:rsid w:val="008A01B2"/>
    <w:rsid w:val="008A01C0"/>
    <w:rsid w:val="008A024E"/>
    <w:rsid w:val="008A02BA"/>
    <w:rsid w:val="008A0374"/>
    <w:rsid w:val="008A037C"/>
    <w:rsid w:val="008A03BA"/>
    <w:rsid w:val="008A0415"/>
    <w:rsid w:val="008A042A"/>
    <w:rsid w:val="008A047B"/>
    <w:rsid w:val="008A0488"/>
    <w:rsid w:val="008A050B"/>
    <w:rsid w:val="008A0561"/>
    <w:rsid w:val="008A0574"/>
    <w:rsid w:val="008A05CE"/>
    <w:rsid w:val="008A05E7"/>
    <w:rsid w:val="008A067C"/>
    <w:rsid w:val="008A06E6"/>
    <w:rsid w:val="008A075D"/>
    <w:rsid w:val="008A075F"/>
    <w:rsid w:val="008A08B3"/>
    <w:rsid w:val="008A091B"/>
    <w:rsid w:val="008A091C"/>
    <w:rsid w:val="008A095D"/>
    <w:rsid w:val="008A0979"/>
    <w:rsid w:val="008A0991"/>
    <w:rsid w:val="008A09A1"/>
    <w:rsid w:val="008A0A18"/>
    <w:rsid w:val="008A0A5B"/>
    <w:rsid w:val="008A0A67"/>
    <w:rsid w:val="008A0A93"/>
    <w:rsid w:val="008A0AFA"/>
    <w:rsid w:val="008A0B04"/>
    <w:rsid w:val="008A0B28"/>
    <w:rsid w:val="008A0B35"/>
    <w:rsid w:val="008A0B37"/>
    <w:rsid w:val="008A0B50"/>
    <w:rsid w:val="008A0B63"/>
    <w:rsid w:val="008A0BA2"/>
    <w:rsid w:val="008A0C30"/>
    <w:rsid w:val="008A0C79"/>
    <w:rsid w:val="008A0DC5"/>
    <w:rsid w:val="008A0E2E"/>
    <w:rsid w:val="008A0ECD"/>
    <w:rsid w:val="008A0EDD"/>
    <w:rsid w:val="008A0FB1"/>
    <w:rsid w:val="008A0FCE"/>
    <w:rsid w:val="008A0FEE"/>
    <w:rsid w:val="008A1006"/>
    <w:rsid w:val="008A1029"/>
    <w:rsid w:val="008A102E"/>
    <w:rsid w:val="008A1031"/>
    <w:rsid w:val="008A1065"/>
    <w:rsid w:val="008A1198"/>
    <w:rsid w:val="008A11B4"/>
    <w:rsid w:val="008A11BF"/>
    <w:rsid w:val="008A11C8"/>
    <w:rsid w:val="008A11CE"/>
    <w:rsid w:val="008A11FE"/>
    <w:rsid w:val="008A1204"/>
    <w:rsid w:val="008A125A"/>
    <w:rsid w:val="008A1281"/>
    <w:rsid w:val="008A1293"/>
    <w:rsid w:val="008A1327"/>
    <w:rsid w:val="008A132F"/>
    <w:rsid w:val="008A1378"/>
    <w:rsid w:val="008A13A7"/>
    <w:rsid w:val="008A144B"/>
    <w:rsid w:val="008A1459"/>
    <w:rsid w:val="008A1468"/>
    <w:rsid w:val="008A147E"/>
    <w:rsid w:val="008A14CD"/>
    <w:rsid w:val="008A14E3"/>
    <w:rsid w:val="008A1503"/>
    <w:rsid w:val="008A15DA"/>
    <w:rsid w:val="008A1643"/>
    <w:rsid w:val="008A166F"/>
    <w:rsid w:val="008A1672"/>
    <w:rsid w:val="008A16C7"/>
    <w:rsid w:val="008A16E9"/>
    <w:rsid w:val="008A16EA"/>
    <w:rsid w:val="008A175E"/>
    <w:rsid w:val="008A176F"/>
    <w:rsid w:val="008A17F3"/>
    <w:rsid w:val="008A1852"/>
    <w:rsid w:val="008A187A"/>
    <w:rsid w:val="008A187B"/>
    <w:rsid w:val="008A18D3"/>
    <w:rsid w:val="008A18FB"/>
    <w:rsid w:val="008A19B7"/>
    <w:rsid w:val="008A19E5"/>
    <w:rsid w:val="008A1A87"/>
    <w:rsid w:val="008A1A96"/>
    <w:rsid w:val="008A1ABE"/>
    <w:rsid w:val="008A1AE0"/>
    <w:rsid w:val="008A1AE5"/>
    <w:rsid w:val="008A1AEC"/>
    <w:rsid w:val="008A1AF0"/>
    <w:rsid w:val="008A1B01"/>
    <w:rsid w:val="008A1B1A"/>
    <w:rsid w:val="008A1B65"/>
    <w:rsid w:val="008A1B6E"/>
    <w:rsid w:val="008A1B7A"/>
    <w:rsid w:val="008A1BB3"/>
    <w:rsid w:val="008A1BB9"/>
    <w:rsid w:val="008A1C2C"/>
    <w:rsid w:val="008A1C48"/>
    <w:rsid w:val="008A1CDB"/>
    <w:rsid w:val="008A1D0F"/>
    <w:rsid w:val="008A1D3A"/>
    <w:rsid w:val="008A1D48"/>
    <w:rsid w:val="008A1D8C"/>
    <w:rsid w:val="008A1DBC"/>
    <w:rsid w:val="008A1E43"/>
    <w:rsid w:val="008A1EDF"/>
    <w:rsid w:val="008A1EE1"/>
    <w:rsid w:val="008A1EEF"/>
    <w:rsid w:val="008A1EF9"/>
    <w:rsid w:val="008A1F06"/>
    <w:rsid w:val="008A1F36"/>
    <w:rsid w:val="008A1F8C"/>
    <w:rsid w:val="008A1FDA"/>
    <w:rsid w:val="008A2037"/>
    <w:rsid w:val="008A2068"/>
    <w:rsid w:val="008A20D2"/>
    <w:rsid w:val="008A20E3"/>
    <w:rsid w:val="008A2113"/>
    <w:rsid w:val="008A216F"/>
    <w:rsid w:val="008A2194"/>
    <w:rsid w:val="008A21DC"/>
    <w:rsid w:val="008A21EB"/>
    <w:rsid w:val="008A2224"/>
    <w:rsid w:val="008A2225"/>
    <w:rsid w:val="008A22D4"/>
    <w:rsid w:val="008A22F4"/>
    <w:rsid w:val="008A2334"/>
    <w:rsid w:val="008A2348"/>
    <w:rsid w:val="008A237E"/>
    <w:rsid w:val="008A238E"/>
    <w:rsid w:val="008A23CF"/>
    <w:rsid w:val="008A2442"/>
    <w:rsid w:val="008A24F8"/>
    <w:rsid w:val="008A25D3"/>
    <w:rsid w:val="008A2674"/>
    <w:rsid w:val="008A2748"/>
    <w:rsid w:val="008A278A"/>
    <w:rsid w:val="008A2790"/>
    <w:rsid w:val="008A2792"/>
    <w:rsid w:val="008A27C5"/>
    <w:rsid w:val="008A27D4"/>
    <w:rsid w:val="008A27EB"/>
    <w:rsid w:val="008A2832"/>
    <w:rsid w:val="008A28D1"/>
    <w:rsid w:val="008A2909"/>
    <w:rsid w:val="008A2957"/>
    <w:rsid w:val="008A297E"/>
    <w:rsid w:val="008A2994"/>
    <w:rsid w:val="008A29A8"/>
    <w:rsid w:val="008A29B7"/>
    <w:rsid w:val="008A29E0"/>
    <w:rsid w:val="008A2C0F"/>
    <w:rsid w:val="008A2C24"/>
    <w:rsid w:val="008A2C37"/>
    <w:rsid w:val="008A2C40"/>
    <w:rsid w:val="008A2C52"/>
    <w:rsid w:val="008A2C7C"/>
    <w:rsid w:val="008A2CD7"/>
    <w:rsid w:val="008A2D9D"/>
    <w:rsid w:val="008A2DB5"/>
    <w:rsid w:val="008A2DC8"/>
    <w:rsid w:val="008A2DF4"/>
    <w:rsid w:val="008A2E88"/>
    <w:rsid w:val="008A2E8B"/>
    <w:rsid w:val="008A2EAA"/>
    <w:rsid w:val="008A2EC8"/>
    <w:rsid w:val="008A2EDD"/>
    <w:rsid w:val="008A2EFE"/>
    <w:rsid w:val="008A2F1E"/>
    <w:rsid w:val="008A2F5A"/>
    <w:rsid w:val="008A2F92"/>
    <w:rsid w:val="008A317C"/>
    <w:rsid w:val="008A3198"/>
    <w:rsid w:val="008A31EE"/>
    <w:rsid w:val="008A31F3"/>
    <w:rsid w:val="008A32A7"/>
    <w:rsid w:val="008A32AE"/>
    <w:rsid w:val="008A3305"/>
    <w:rsid w:val="008A3318"/>
    <w:rsid w:val="008A3475"/>
    <w:rsid w:val="008A34A2"/>
    <w:rsid w:val="008A34B7"/>
    <w:rsid w:val="008A34FF"/>
    <w:rsid w:val="008A352A"/>
    <w:rsid w:val="008A3530"/>
    <w:rsid w:val="008A3572"/>
    <w:rsid w:val="008A357D"/>
    <w:rsid w:val="008A35ED"/>
    <w:rsid w:val="008A35F1"/>
    <w:rsid w:val="008A362D"/>
    <w:rsid w:val="008A3659"/>
    <w:rsid w:val="008A36C1"/>
    <w:rsid w:val="008A3730"/>
    <w:rsid w:val="008A373F"/>
    <w:rsid w:val="008A374E"/>
    <w:rsid w:val="008A3751"/>
    <w:rsid w:val="008A377A"/>
    <w:rsid w:val="008A377E"/>
    <w:rsid w:val="008A381C"/>
    <w:rsid w:val="008A3837"/>
    <w:rsid w:val="008A38AF"/>
    <w:rsid w:val="008A38B3"/>
    <w:rsid w:val="008A38D8"/>
    <w:rsid w:val="008A390C"/>
    <w:rsid w:val="008A396B"/>
    <w:rsid w:val="008A39CE"/>
    <w:rsid w:val="008A39E1"/>
    <w:rsid w:val="008A3A9F"/>
    <w:rsid w:val="008A3B1E"/>
    <w:rsid w:val="008A3B3E"/>
    <w:rsid w:val="008A3B48"/>
    <w:rsid w:val="008A3B62"/>
    <w:rsid w:val="008A3BA5"/>
    <w:rsid w:val="008A3BB0"/>
    <w:rsid w:val="008A3C33"/>
    <w:rsid w:val="008A3C3C"/>
    <w:rsid w:val="008A3C3E"/>
    <w:rsid w:val="008A3C44"/>
    <w:rsid w:val="008A3C74"/>
    <w:rsid w:val="008A3CD8"/>
    <w:rsid w:val="008A3D46"/>
    <w:rsid w:val="008A3D9B"/>
    <w:rsid w:val="008A3E1A"/>
    <w:rsid w:val="008A3EC3"/>
    <w:rsid w:val="008A3F74"/>
    <w:rsid w:val="008A3F85"/>
    <w:rsid w:val="008A3FB4"/>
    <w:rsid w:val="008A3FBB"/>
    <w:rsid w:val="008A3FEE"/>
    <w:rsid w:val="008A4015"/>
    <w:rsid w:val="008A4081"/>
    <w:rsid w:val="008A408F"/>
    <w:rsid w:val="008A40BB"/>
    <w:rsid w:val="008A40EC"/>
    <w:rsid w:val="008A412A"/>
    <w:rsid w:val="008A41A2"/>
    <w:rsid w:val="008A41F5"/>
    <w:rsid w:val="008A424C"/>
    <w:rsid w:val="008A42CF"/>
    <w:rsid w:val="008A42FC"/>
    <w:rsid w:val="008A4327"/>
    <w:rsid w:val="008A4349"/>
    <w:rsid w:val="008A4411"/>
    <w:rsid w:val="008A444E"/>
    <w:rsid w:val="008A4488"/>
    <w:rsid w:val="008A44DC"/>
    <w:rsid w:val="008A44E0"/>
    <w:rsid w:val="008A4503"/>
    <w:rsid w:val="008A4527"/>
    <w:rsid w:val="008A4547"/>
    <w:rsid w:val="008A45EA"/>
    <w:rsid w:val="008A45F0"/>
    <w:rsid w:val="008A4653"/>
    <w:rsid w:val="008A468E"/>
    <w:rsid w:val="008A46A9"/>
    <w:rsid w:val="008A46D7"/>
    <w:rsid w:val="008A46F4"/>
    <w:rsid w:val="008A4731"/>
    <w:rsid w:val="008A4767"/>
    <w:rsid w:val="008A4782"/>
    <w:rsid w:val="008A47E4"/>
    <w:rsid w:val="008A4824"/>
    <w:rsid w:val="008A4862"/>
    <w:rsid w:val="008A487C"/>
    <w:rsid w:val="008A48A6"/>
    <w:rsid w:val="008A4928"/>
    <w:rsid w:val="008A495E"/>
    <w:rsid w:val="008A4A5C"/>
    <w:rsid w:val="008A4AEE"/>
    <w:rsid w:val="008A4AFD"/>
    <w:rsid w:val="008A4B74"/>
    <w:rsid w:val="008A4B7C"/>
    <w:rsid w:val="008A4BD0"/>
    <w:rsid w:val="008A4C64"/>
    <w:rsid w:val="008A4CA8"/>
    <w:rsid w:val="008A4D08"/>
    <w:rsid w:val="008A4D56"/>
    <w:rsid w:val="008A4D6D"/>
    <w:rsid w:val="008A4DCA"/>
    <w:rsid w:val="008A4DD9"/>
    <w:rsid w:val="008A4DDC"/>
    <w:rsid w:val="008A4E75"/>
    <w:rsid w:val="008A4E91"/>
    <w:rsid w:val="008A4ECA"/>
    <w:rsid w:val="008A4ED2"/>
    <w:rsid w:val="008A4F53"/>
    <w:rsid w:val="008A4F69"/>
    <w:rsid w:val="008A4F6C"/>
    <w:rsid w:val="008A4FD8"/>
    <w:rsid w:val="008A4FDE"/>
    <w:rsid w:val="008A5006"/>
    <w:rsid w:val="008A5010"/>
    <w:rsid w:val="008A5011"/>
    <w:rsid w:val="008A503C"/>
    <w:rsid w:val="008A504F"/>
    <w:rsid w:val="008A5066"/>
    <w:rsid w:val="008A506A"/>
    <w:rsid w:val="008A50BE"/>
    <w:rsid w:val="008A50E9"/>
    <w:rsid w:val="008A5106"/>
    <w:rsid w:val="008A5180"/>
    <w:rsid w:val="008A51B9"/>
    <w:rsid w:val="008A5254"/>
    <w:rsid w:val="008A52F5"/>
    <w:rsid w:val="008A52F7"/>
    <w:rsid w:val="008A532A"/>
    <w:rsid w:val="008A537C"/>
    <w:rsid w:val="008A538F"/>
    <w:rsid w:val="008A53AB"/>
    <w:rsid w:val="008A53D2"/>
    <w:rsid w:val="008A54AD"/>
    <w:rsid w:val="008A54E4"/>
    <w:rsid w:val="008A5503"/>
    <w:rsid w:val="008A554D"/>
    <w:rsid w:val="008A555E"/>
    <w:rsid w:val="008A55E6"/>
    <w:rsid w:val="008A55F9"/>
    <w:rsid w:val="008A5648"/>
    <w:rsid w:val="008A56A7"/>
    <w:rsid w:val="008A5700"/>
    <w:rsid w:val="008A571B"/>
    <w:rsid w:val="008A586B"/>
    <w:rsid w:val="008A58BF"/>
    <w:rsid w:val="008A58D0"/>
    <w:rsid w:val="008A58E7"/>
    <w:rsid w:val="008A5974"/>
    <w:rsid w:val="008A59AD"/>
    <w:rsid w:val="008A59DD"/>
    <w:rsid w:val="008A5A16"/>
    <w:rsid w:val="008A5A67"/>
    <w:rsid w:val="008A5A6C"/>
    <w:rsid w:val="008A5A96"/>
    <w:rsid w:val="008A5AEC"/>
    <w:rsid w:val="008A5B05"/>
    <w:rsid w:val="008A5B63"/>
    <w:rsid w:val="008A5BBF"/>
    <w:rsid w:val="008A5C96"/>
    <w:rsid w:val="008A5D12"/>
    <w:rsid w:val="008A5D23"/>
    <w:rsid w:val="008A5D3C"/>
    <w:rsid w:val="008A5D48"/>
    <w:rsid w:val="008A5D62"/>
    <w:rsid w:val="008A5DF8"/>
    <w:rsid w:val="008A5E01"/>
    <w:rsid w:val="008A5E64"/>
    <w:rsid w:val="008A5F50"/>
    <w:rsid w:val="008A5F66"/>
    <w:rsid w:val="008A5FA3"/>
    <w:rsid w:val="008A5FD9"/>
    <w:rsid w:val="008A6035"/>
    <w:rsid w:val="008A607F"/>
    <w:rsid w:val="008A60C4"/>
    <w:rsid w:val="008A60D4"/>
    <w:rsid w:val="008A6117"/>
    <w:rsid w:val="008A6180"/>
    <w:rsid w:val="008A61C5"/>
    <w:rsid w:val="008A61E7"/>
    <w:rsid w:val="008A61F0"/>
    <w:rsid w:val="008A625D"/>
    <w:rsid w:val="008A6269"/>
    <w:rsid w:val="008A6270"/>
    <w:rsid w:val="008A6307"/>
    <w:rsid w:val="008A63DD"/>
    <w:rsid w:val="008A63FE"/>
    <w:rsid w:val="008A6424"/>
    <w:rsid w:val="008A6469"/>
    <w:rsid w:val="008A64C8"/>
    <w:rsid w:val="008A64D1"/>
    <w:rsid w:val="008A6559"/>
    <w:rsid w:val="008A657D"/>
    <w:rsid w:val="008A6594"/>
    <w:rsid w:val="008A65B2"/>
    <w:rsid w:val="008A672A"/>
    <w:rsid w:val="008A67E4"/>
    <w:rsid w:val="008A6815"/>
    <w:rsid w:val="008A6899"/>
    <w:rsid w:val="008A68B6"/>
    <w:rsid w:val="008A68E1"/>
    <w:rsid w:val="008A6907"/>
    <w:rsid w:val="008A6914"/>
    <w:rsid w:val="008A6929"/>
    <w:rsid w:val="008A697E"/>
    <w:rsid w:val="008A6998"/>
    <w:rsid w:val="008A6A6C"/>
    <w:rsid w:val="008A6A9F"/>
    <w:rsid w:val="008A6AA7"/>
    <w:rsid w:val="008A6AD0"/>
    <w:rsid w:val="008A6B32"/>
    <w:rsid w:val="008A6B38"/>
    <w:rsid w:val="008A6BFF"/>
    <w:rsid w:val="008A6C09"/>
    <w:rsid w:val="008A6C11"/>
    <w:rsid w:val="008A6C24"/>
    <w:rsid w:val="008A6C29"/>
    <w:rsid w:val="008A6C32"/>
    <w:rsid w:val="008A6C68"/>
    <w:rsid w:val="008A6C77"/>
    <w:rsid w:val="008A6CC9"/>
    <w:rsid w:val="008A6D0A"/>
    <w:rsid w:val="008A6DC9"/>
    <w:rsid w:val="008A6E92"/>
    <w:rsid w:val="008A6E9E"/>
    <w:rsid w:val="008A6ECD"/>
    <w:rsid w:val="008A6EF1"/>
    <w:rsid w:val="008A7066"/>
    <w:rsid w:val="008A7088"/>
    <w:rsid w:val="008A70DD"/>
    <w:rsid w:val="008A70F8"/>
    <w:rsid w:val="008A71DB"/>
    <w:rsid w:val="008A71EB"/>
    <w:rsid w:val="008A7252"/>
    <w:rsid w:val="008A727F"/>
    <w:rsid w:val="008A72F1"/>
    <w:rsid w:val="008A7427"/>
    <w:rsid w:val="008A74AE"/>
    <w:rsid w:val="008A7528"/>
    <w:rsid w:val="008A75B1"/>
    <w:rsid w:val="008A75DB"/>
    <w:rsid w:val="008A761F"/>
    <w:rsid w:val="008A763F"/>
    <w:rsid w:val="008A7696"/>
    <w:rsid w:val="008A76BE"/>
    <w:rsid w:val="008A76EB"/>
    <w:rsid w:val="008A7775"/>
    <w:rsid w:val="008A77A4"/>
    <w:rsid w:val="008A77FF"/>
    <w:rsid w:val="008A7828"/>
    <w:rsid w:val="008A7838"/>
    <w:rsid w:val="008A7840"/>
    <w:rsid w:val="008A784B"/>
    <w:rsid w:val="008A7850"/>
    <w:rsid w:val="008A7867"/>
    <w:rsid w:val="008A7894"/>
    <w:rsid w:val="008A78C8"/>
    <w:rsid w:val="008A78D0"/>
    <w:rsid w:val="008A78EE"/>
    <w:rsid w:val="008A7921"/>
    <w:rsid w:val="008A794A"/>
    <w:rsid w:val="008A79B8"/>
    <w:rsid w:val="008A79CB"/>
    <w:rsid w:val="008A79EA"/>
    <w:rsid w:val="008A7A1B"/>
    <w:rsid w:val="008A7A36"/>
    <w:rsid w:val="008A7ADC"/>
    <w:rsid w:val="008A7B53"/>
    <w:rsid w:val="008A7B8B"/>
    <w:rsid w:val="008A7C22"/>
    <w:rsid w:val="008A7C5A"/>
    <w:rsid w:val="008A7C95"/>
    <w:rsid w:val="008A7CA5"/>
    <w:rsid w:val="008A7CC9"/>
    <w:rsid w:val="008A7CE1"/>
    <w:rsid w:val="008A7DBC"/>
    <w:rsid w:val="008A7DCC"/>
    <w:rsid w:val="008A7E93"/>
    <w:rsid w:val="008A7EA9"/>
    <w:rsid w:val="008A7F83"/>
    <w:rsid w:val="008B0013"/>
    <w:rsid w:val="008B0081"/>
    <w:rsid w:val="008B00A7"/>
    <w:rsid w:val="008B00F1"/>
    <w:rsid w:val="008B0122"/>
    <w:rsid w:val="008B0130"/>
    <w:rsid w:val="008B0149"/>
    <w:rsid w:val="008B0150"/>
    <w:rsid w:val="008B019D"/>
    <w:rsid w:val="008B021B"/>
    <w:rsid w:val="008B022D"/>
    <w:rsid w:val="008B027B"/>
    <w:rsid w:val="008B02A4"/>
    <w:rsid w:val="008B02B2"/>
    <w:rsid w:val="008B030C"/>
    <w:rsid w:val="008B033F"/>
    <w:rsid w:val="008B03A9"/>
    <w:rsid w:val="008B03C1"/>
    <w:rsid w:val="008B03DD"/>
    <w:rsid w:val="008B03F3"/>
    <w:rsid w:val="008B046E"/>
    <w:rsid w:val="008B0499"/>
    <w:rsid w:val="008B04F7"/>
    <w:rsid w:val="008B051E"/>
    <w:rsid w:val="008B0544"/>
    <w:rsid w:val="008B0563"/>
    <w:rsid w:val="008B05A2"/>
    <w:rsid w:val="008B0662"/>
    <w:rsid w:val="008B068A"/>
    <w:rsid w:val="008B06A4"/>
    <w:rsid w:val="008B06A6"/>
    <w:rsid w:val="008B06BD"/>
    <w:rsid w:val="008B0722"/>
    <w:rsid w:val="008B073B"/>
    <w:rsid w:val="008B079A"/>
    <w:rsid w:val="008B079C"/>
    <w:rsid w:val="008B07D9"/>
    <w:rsid w:val="008B07E5"/>
    <w:rsid w:val="008B07F6"/>
    <w:rsid w:val="008B07FE"/>
    <w:rsid w:val="008B081F"/>
    <w:rsid w:val="008B08D2"/>
    <w:rsid w:val="008B08EF"/>
    <w:rsid w:val="008B08F1"/>
    <w:rsid w:val="008B0964"/>
    <w:rsid w:val="008B0980"/>
    <w:rsid w:val="008B09D1"/>
    <w:rsid w:val="008B0A25"/>
    <w:rsid w:val="008B0A28"/>
    <w:rsid w:val="008B0A8A"/>
    <w:rsid w:val="008B0AA1"/>
    <w:rsid w:val="008B0B39"/>
    <w:rsid w:val="008B0B77"/>
    <w:rsid w:val="008B0B92"/>
    <w:rsid w:val="008B0BC2"/>
    <w:rsid w:val="008B0BFB"/>
    <w:rsid w:val="008B0C16"/>
    <w:rsid w:val="008B0C1E"/>
    <w:rsid w:val="008B0C21"/>
    <w:rsid w:val="008B0CF5"/>
    <w:rsid w:val="008B0D6E"/>
    <w:rsid w:val="008B0DFB"/>
    <w:rsid w:val="008B0E4E"/>
    <w:rsid w:val="008B0EBE"/>
    <w:rsid w:val="008B0F15"/>
    <w:rsid w:val="008B0F25"/>
    <w:rsid w:val="008B0F31"/>
    <w:rsid w:val="008B0F79"/>
    <w:rsid w:val="008B0F88"/>
    <w:rsid w:val="008B0FB8"/>
    <w:rsid w:val="008B1025"/>
    <w:rsid w:val="008B1037"/>
    <w:rsid w:val="008B1039"/>
    <w:rsid w:val="008B109C"/>
    <w:rsid w:val="008B10A1"/>
    <w:rsid w:val="008B10A9"/>
    <w:rsid w:val="008B10D7"/>
    <w:rsid w:val="008B1115"/>
    <w:rsid w:val="008B1132"/>
    <w:rsid w:val="008B119F"/>
    <w:rsid w:val="008B120F"/>
    <w:rsid w:val="008B1240"/>
    <w:rsid w:val="008B1256"/>
    <w:rsid w:val="008B1263"/>
    <w:rsid w:val="008B1279"/>
    <w:rsid w:val="008B1352"/>
    <w:rsid w:val="008B13BE"/>
    <w:rsid w:val="008B13C7"/>
    <w:rsid w:val="008B140A"/>
    <w:rsid w:val="008B145B"/>
    <w:rsid w:val="008B1470"/>
    <w:rsid w:val="008B14D7"/>
    <w:rsid w:val="008B14ED"/>
    <w:rsid w:val="008B158F"/>
    <w:rsid w:val="008B15A9"/>
    <w:rsid w:val="008B15E3"/>
    <w:rsid w:val="008B168D"/>
    <w:rsid w:val="008B16CF"/>
    <w:rsid w:val="008B176F"/>
    <w:rsid w:val="008B17B8"/>
    <w:rsid w:val="008B17EF"/>
    <w:rsid w:val="008B1807"/>
    <w:rsid w:val="008B1831"/>
    <w:rsid w:val="008B18D1"/>
    <w:rsid w:val="008B198C"/>
    <w:rsid w:val="008B19B6"/>
    <w:rsid w:val="008B19D0"/>
    <w:rsid w:val="008B1A28"/>
    <w:rsid w:val="008B1A7D"/>
    <w:rsid w:val="008B1AA5"/>
    <w:rsid w:val="008B1ACC"/>
    <w:rsid w:val="008B1AED"/>
    <w:rsid w:val="008B1AF4"/>
    <w:rsid w:val="008B1B1B"/>
    <w:rsid w:val="008B1B6F"/>
    <w:rsid w:val="008B1BB6"/>
    <w:rsid w:val="008B1CAF"/>
    <w:rsid w:val="008B1CE4"/>
    <w:rsid w:val="008B1D28"/>
    <w:rsid w:val="008B1D59"/>
    <w:rsid w:val="008B1D65"/>
    <w:rsid w:val="008B1D83"/>
    <w:rsid w:val="008B1DC4"/>
    <w:rsid w:val="008B1E3D"/>
    <w:rsid w:val="008B1EB5"/>
    <w:rsid w:val="008B1F15"/>
    <w:rsid w:val="008B1F70"/>
    <w:rsid w:val="008B1FA2"/>
    <w:rsid w:val="008B1FDA"/>
    <w:rsid w:val="008B202A"/>
    <w:rsid w:val="008B2034"/>
    <w:rsid w:val="008B2055"/>
    <w:rsid w:val="008B205C"/>
    <w:rsid w:val="008B20DC"/>
    <w:rsid w:val="008B20ED"/>
    <w:rsid w:val="008B2188"/>
    <w:rsid w:val="008B21B6"/>
    <w:rsid w:val="008B2240"/>
    <w:rsid w:val="008B227B"/>
    <w:rsid w:val="008B227D"/>
    <w:rsid w:val="008B22BD"/>
    <w:rsid w:val="008B22D3"/>
    <w:rsid w:val="008B2345"/>
    <w:rsid w:val="008B2426"/>
    <w:rsid w:val="008B243B"/>
    <w:rsid w:val="008B24E5"/>
    <w:rsid w:val="008B24F6"/>
    <w:rsid w:val="008B2579"/>
    <w:rsid w:val="008B25E1"/>
    <w:rsid w:val="008B2616"/>
    <w:rsid w:val="008B2660"/>
    <w:rsid w:val="008B26CE"/>
    <w:rsid w:val="008B2718"/>
    <w:rsid w:val="008B2729"/>
    <w:rsid w:val="008B273E"/>
    <w:rsid w:val="008B2747"/>
    <w:rsid w:val="008B287D"/>
    <w:rsid w:val="008B28F0"/>
    <w:rsid w:val="008B2919"/>
    <w:rsid w:val="008B294F"/>
    <w:rsid w:val="008B2962"/>
    <w:rsid w:val="008B29D1"/>
    <w:rsid w:val="008B2A88"/>
    <w:rsid w:val="008B2AA9"/>
    <w:rsid w:val="008B2AED"/>
    <w:rsid w:val="008B2AF1"/>
    <w:rsid w:val="008B2B3C"/>
    <w:rsid w:val="008B2B87"/>
    <w:rsid w:val="008B2B92"/>
    <w:rsid w:val="008B2BAD"/>
    <w:rsid w:val="008B2BCC"/>
    <w:rsid w:val="008B2C61"/>
    <w:rsid w:val="008B2C83"/>
    <w:rsid w:val="008B2C84"/>
    <w:rsid w:val="008B2CA3"/>
    <w:rsid w:val="008B2CB2"/>
    <w:rsid w:val="008B2CDF"/>
    <w:rsid w:val="008B2CEE"/>
    <w:rsid w:val="008B2DC4"/>
    <w:rsid w:val="008B2E61"/>
    <w:rsid w:val="008B2FF9"/>
    <w:rsid w:val="008B3024"/>
    <w:rsid w:val="008B3055"/>
    <w:rsid w:val="008B3091"/>
    <w:rsid w:val="008B30DC"/>
    <w:rsid w:val="008B30EF"/>
    <w:rsid w:val="008B315D"/>
    <w:rsid w:val="008B31C9"/>
    <w:rsid w:val="008B3239"/>
    <w:rsid w:val="008B3291"/>
    <w:rsid w:val="008B3298"/>
    <w:rsid w:val="008B32D7"/>
    <w:rsid w:val="008B32F8"/>
    <w:rsid w:val="008B3347"/>
    <w:rsid w:val="008B337E"/>
    <w:rsid w:val="008B33B1"/>
    <w:rsid w:val="008B3441"/>
    <w:rsid w:val="008B3479"/>
    <w:rsid w:val="008B3491"/>
    <w:rsid w:val="008B34BA"/>
    <w:rsid w:val="008B354A"/>
    <w:rsid w:val="008B3567"/>
    <w:rsid w:val="008B3593"/>
    <w:rsid w:val="008B3627"/>
    <w:rsid w:val="008B3642"/>
    <w:rsid w:val="008B3654"/>
    <w:rsid w:val="008B3663"/>
    <w:rsid w:val="008B3668"/>
    <w:rsid w:val="008B3675"/>
    <w:rsid w:val="008B372A"/>
    <w:rsid w:val="008B373A"/>
    <w:rsid w:val="008B3784"/>
    <w:rsid w:val="008B3787"/>
    <w:rsid w:val="008B37B4"/>
    <w:rsid w:val="008B37E1"/>
    <w:rsid w:val="008B3813"/>
    <w:rsid w:val="008B3831"/>
    <w:rsid w:val="008B3850"/>
    <w:rsid w:val="008B3866"/>
    <w:rsid w:val="008B38A1"/>
    <w:rsid w:val="008B38A8"/>
    <w:rsid w:val="008B3934"/>
    <w:rsid w:val="008B3945"/>
    <w:rsid w:val="008B3947"/>
    <w:rsid w:val="008B3975"/>
    <w:rsid w:val="008B39B5"/>
    <w:rsid w:val="008B39E4"/>
    <w:rsid w:val="008B3A4B"/>
    <w:rsid w:val="008B3AB4"/>
    <w:rsid w:val="008B3ABA"/>
    <w:rsid w:val="008B3ABC"/>
    <w:rsid w:val="008B3AF7"/>
    <w:rsid w:val="008B3B2B"/>
    <w:rsid w:val="008B3B36"/>
    <w:rsid w:val="008B3B6A"/>
    <w:rsid w:val="008B3C00"/>
    <w:rsid w:val="008B3C1F"/>
    <w:rsid w:val="008B3C3A"/>
    <w:rsid w:val="008B3C56"/>
    <w:rsid w:val="008B3CDF"/>
    <w:rsid w:val="008B3CEF"/>
    <w:rsid w:val="008B3D12"/>
    <w:rsid w:val="008B3D2F"/>
    <w:rsid w:val="008B3E02"/>
    <w:rsid w:val="008B3E3F"/>
    <w:rsid w:val="008B3E95"/>
    <w:rsid w:val="008B3EC0"/>
    <w:rsid w:val="008B3F1C"/>
    <w:rsid w:val="008B3F21"/>
    <w:rsid w:val="008B3F30"/>
    <w:rsid w:val="008B3F69"/>
    <w:rsid w:val="008B3FCF"/>
    <w:rsid w:val="008B4024"/>
    <w:rsid w:val="008B40C6"/>
    <w:rsid w:val="008B40D2"/>
    <w:rsid w:val="008B40D5"/>
    <w:rsid w:val="008B40D6"/>
    <w:rsid w:val="008B40E0"/>
    <w:rsid w:val="008B4155"/>
    <w:rsid w:val="008B4167"/>
    <w:rsid w:val="008B417B"/>
    <w:rsid w:val="008B4186"/>
    <w:rsid w:val="008B41BE"/>
    <w:rsid w:val="008B41E6"/>
    <w:rsid w:val="008B4200"/>
    <w:rsid w:val="008B4203"/>
    <w:rsid w:val="008B422E"/>
    <w:rsid w:val="008B425C"/>
    <w:rsid w:val="008B427A"/>
    <w:rsid w:val="008B42AF"/>
    <w:rsid w:val="008B436A"/>
    <w:rsid w:val="008B4370"/>
    <w:rsid w:val="008B4398"/>
    <w:rsid w:val="008B4415"/>
    <w:rsid w:val="008B444E"/>
    <w:rsid w:val="008B4572"/>
    <w:rsid w:val="008B45AB"/>
    <w:rsid w:val="008B45BB"/>
    <w:rsid w:val="008B45EA"/>
    <w:rsid w:val="008B4619"/>
    <w:rsid w:val="008B464F"/>
    <w:rsid w:val="008B467D"/>
    <w:rsid w:val="008B46B7"/>
    <w:rsid w:val="008B46DF"/>
    <w:rsid w:val="008B46F3"/>
    <w:rsid w:val="008B46FB"/>
    <w:rsid w:val="008B4708"/>
    <w:rsid w:val="008B47FA"/>
    <w:rsid w:val="008B4869"/>
    <w:rsid w:val="008B48A1"/>
    <w:rsid w:val="008B48C7"/>
    <w:rsid w:val="008B48E8"/>
    <w:rsid w:val="008B495A"/>
    <w:rsid w:val="008B49C0"/>
    <w:rsid w:val="008B4A0C"/>
    <w:rsid w:val="008B4A77"/>
    <w:rsid w:val="008B4A83"/>
    <w:rsid w:val="008B4AC7"/>
    <w:rsid w:val="008B4C14"/>
    <w:rsid w:val="008B4C52"/>
    <w:rsid w:val="008B4C74"/>
    <w:rsid w:val="008B4CC7"/>
    <w:rsid w:val="008B4D87"/>
    <w:rsid w:val="008B4D8B"/>
    <w:rsid w:val="008B4DC4"/>
    <w:rsid w:val="008B4E42"/>
    <w:rsid w:val="008B4E54"/>
    <w:rsid w:val="008B4E7D"/>
    <w:rsid w:val="008B4E93"/>
    <w:rsid w:val="008B4E97"/>
    <w:rsid w:val="008B4EE9"/>
    <w:rsid w:val="008B4EED"/>
    <w:rsid w:val="008B4F34"/>
    <w:rsid w:val="008B4FA9"/>
    <w:rsid w:val="008B501D"/>
    <w:rsid w:val="008B5060"/>
    <w:rsid w:val="008B506D"/>
    <w:rsid w:val="008B50C1"/>
    <w:rsid w:val="008B50D9"/>
    <w:rsid w:val="008B5155"/>
    <w:rsid w:val="008B5191"/>
    <w:rsid w:val="008B51A5"/>
    <w:rsid w:val="008B51DB"/>
    <w:rsid w:val="008B5203"/>
    <w:rsid w:val="008B5225"/>
    <w:rsid w:val="008B523F"/>
    <w:rsid w:val="008B535A"/>
    <w:rsid w:val="008B5374"/>
    <w:rsid w:val="008B540C"/>
    <w:rsid w:val="008B5440"/>
    <w:rsid w:val="008B54C0"/>
    <w:rsid w:val="008B5521"/>
    <w:rsid w:val="008B5593"/>
    <w:rsid w:val="008B559D"/>
    <w:rsid w:val="008B5605"/>
    <w:rsid w:val="008B567E"/>
    <w:rsid w:val="008B569C"/>
    <w:rsid w:val="008B56A7"/>
    <w:rsid w:val="008B5758"/>
    <w:rsid w:val="008B5759"/>
    <w:rsid w:val="008B579F"/>
    <w:rsid w:val="008B5823"/>
    <w:rsid w:val="008B5843"/>
    <w:rsid w:val="008B5886"/>
    <w:rsid w:val="008B58A3"/>
    <w:rsid w:val="008B58A4"/>
    <w:rsid w:val="008B5918"/>
    <w:rsid w:val="008B5940"/>
    <w:rsid w:val="008B5979"/>
    <w:rsid w:val="008B598A"/>
    <w:rsid w:val="008B59C2"/>
    <w:rsid w:val="008B5A20"/>
    <w:rsid w:val="008B5A3E"/>
    <w:rsid w:val="008B5A67"/>
    <w:rsid w:val="008B5A76"/>
    <w:rsid w:val="008B5A7E"/>
    <w:rsid w:val="008B5A9C"/>
    <w:rsid w:val="008B5B00"/>
    <w:rsid w:val="008B5B19"/>
    <w:rsid w:val="008B5B55"/>
    <w:rsid w:val="008B5B70"/>
    <w:rsid w:val="008B5B82"/>
    <w:rsid w:val="008B5BA8"/>
    <w:rsid w:val="008B5BD4"/>
    <w:rsid w:val="008B5C1D"/>
    <w:rsid w:val="008B5C97"/>
    <w:rsid w:val="008B5CAB"/>
    <w:rsid w:val="008B5CEE"/>
    <w:rsid w:val="008B5D00"/>
    <w:rsid w:val="008B5D0A"/>
    <w:rsid w:val="008B5D58"/>
    <w:rsid w:val="008B5D92"/>
    <w:rsid w:val="008B5DEF"/>
    <w:rsid w:val="008B5E7E"/>
    <w:rsid w:val="008B5EAE"/>
    <w:rsid w:val="008B5F61"/>
    <w:rsid w:val="008B5F9F"/>
    <w:rsid w:val="008B6024"/>
    <w:rsid w:val="008B609C"/>
    <w:rsid w:val="008B613F"/>
    <w:rsid w:val="008B6143"/>
    <w:rsid w:val="008B618E"/>
    <w:rsid w:val="008B6192"/>
    <w:rsid w:val="008B61B8"/>
    <w:rsid w:val="008B6284"/>
    <w:rsid w:val="008B62D7"/>
    <w:rsid w:val="008B62F6"/>
    <w:rsid w:val="008B62FD"/>
    <w:rsid w:val="008B6316"/>
    <w:rsid w:val="008B632B"/>
    <w:rsid w:val="008B6457"/>
    <w:rsid w:val="008B6470"/>
    <w:rsid w:val="008B6484"/>
    <w:rsid w:val="008B657A"/>
    <w:rsid w:val="008B65F6"/>
    <w:rsid w:val="008B6644"/>
    <w:rsid w:val="008B6680"/>
    <w:rsid w:val="008B66E8"/>
    <w:rsid w:val="008B6715"/>
    <w:rsid w:val="008B67E9"/>
    <w:rsid w:val="008B68B4"/>
    <w:rsid w:val="008B68C8"/>
    <w:rsid w:val="008B68D0"/>
    <w:rsid w:val="008B6921"/>
    <w:rsid w:val="008B69C1"/>
    <w:rsid w:val="008B6A6D"/>
    <w:rsid w:val="008B6A75"/>
    <w:rsid w:val="008B6B0A"/>
    <w:rsid w:val="008B6B8B"/>
    <w:rsid w:val="008B6C27"/>
    <w:rsid w:val="008B6C67"/>
    <w:rsid w:val="008B6C88"/>
    <w:rsid w:val="008B6C8E"/>
    <w:rsid w:val="008B6CF4"/>
    <w:rsid w:val="008B6D09"/>
    <w:rsid w:val="008B6D4F"/>
    <w:rsid w:val="008B6D8F"/>
    <w:rsid w:val="008B6E35"/>
    <w:rsid w:val="008B6EA8"/>
    <w:rsid w:val="008B6EC6"/>
    <w:rsid w:val="008B6F32"/>
    <w:rsid w:val="008B6F7B"/>
    <w:rsid w:val="008B6F7E"/>
    <w:rsid w:val="008B6F9B"/>
    <w:rsid w:val="008B6FCD"/>
    <w:rsid w:val="008B701C"/>
    <w:rsid w:val="008B7053"/>
    <w:rsid w:val="008B7068"/>
    <w:rsid w:val="008B70E9"/>
    <w:rsid w:val="008B70F1"/>
    <w:rsid w:val="008B70F4"/>
    <w:rsid w:val="008B7274"/>
    <w:rsid w:val="008B72B7"/>
    <w:rsid w:val="008B72CB"/>
    <w:rsid w:val="008B72F7"/>
    <w:rsid w:val="008B7333"/>
    <w:rsid w:val="008B73BE"/>
    <w:rsid w:val="008B73F3"/>
    <w:rsid w:val="008B741B"/>
    <w:rsid w:val="008B7456"/>
    <w:rsid w:val="008B74A1"/>
    <w:rsid w:val="008B74C4"/>
    <w:rsid w:val="008B74E0"/>
    <w:rsid w:val="008B7527"/>
    <w:rsid w:val="008B7562"/>
    <w:rsid w:val="008B7597"/>
    <w:rsid w:val="008B759A"/>
    <w:rsid w:val="008B75C2"/>
    <w:rsid w:val="008B75E9"/>
    <w:rsid w:val="008B75EE"/>
    <w:rsid w:val="008B7626"/>
    <w:rsid w:val="008B7635"/>
    <w:rsid w:val="008B769D"/>
    <w:rsid w:val="008B7748"/>
    <w:rsid w:val="008B7764"/>
    <w:rsid w:val="008B779D"/>
    <w:rsid w:val="008B77C4"/>
    <w:rsid w:val="008B7817"/>
    <w:rsid w:val="008B78D6"/>
    <w:rsid w:val="008B79B3"/>
    <w:rsid w:val="008B79F4"/>
    <w:rsid w:val="008B7A0D"/>
    <w:rsid w:val="008B7A42"/>
    <w:rsid w:val="008B7AAD"/>
    <w:rsid w:val="008B7B04"/>
    <w:rsid w:val="008B7B07"/>
    <w:rsid w:val="008B7B16"/>
    <w:rsid w:val="008B7B38"/>
    <w:rsid w:val="008B7B7E"/>
    <w:rsid w:val="008B7B95"/>
    <w:rsid w:val="008B7B99"/>
    <w:rsid w:val="008B7BD6"/>
    <w:rsid w:val="008B7CCD"/>
    <w:rsid w:val="008B7D0C"/>
    <w:rsid w:val="008B7D18"/>
    <w:rsid w:val="008B7D40"/>
    <w:rsid w:val="008B7D42"/>
    <w:rsid w:val="008B7DF5"/>
    <w:rsid w:val="008B7E9E"/>
    <w:rsid w:val="008B7EE0"/>
    <w:rsid w:val="008B7F4A"/>
    <w:rsid w:val="008B7F7F"/>
    <w:rsid w:val="008B7FA4"/>
    <w:rsid w:val="008B7FEC"/>
    <w:rsid w:val="008C000F"/>
    <w:rsid w:val="008C003E"/>
    <w:rsid w:val="008C0040"/>
    <w:rsid w:val="008C0053"/>
    <w:rsid w:val="008C00CE"/>
    <w:rsid w:val="008C00F8"/>
    <w:rsid w:val="008C0231"/>
    <w:rsid w:val="008C0277"/>
    <w:rsid w:val="008C02C3"/>
    <w:rsid w:val="008C0333"/>
    <w:rsid w:val="008C0375"/>
    <w:rsid w:val="008C037B"/>
    <w:rsid w:val="008C03FD"/>
    <w:rsid w:val="008C0419"/>
    <w:rsid w:val="008C0474"/>
    <w:rsid w:val="008C04AD"/>
    <w:rsid w:val="008C0587"/>
    <w:rsid w:val="008C05DA"/>
    <w:rsid w:val="008C066F"/>
    <w:rsid w:val="008C06B3"/>
    <w:rsid w:val="008C06D1"/>
    <w:rsid w:val="008C0700"/>
    <w:rsid w:val="008C079C"/>
    <w:rsid w:val="008C0920"/>
    <w:rsid w:val="008C09CF"/>
    <w:rsid w:val="008C09EA"/>
    <w:rsid w:val="008C0A77"/>
    <w:rsid w:val="008C0A9F"/>
    <w:rsid w:val="008C0ACB"/>
    <w:rsid w:val="008C0B04"/>
    <w:rsid w:val="008C0B3E"/>
    <w:rsid w:val="008C0B4A"/>
    <w:rsid w:val="008C0B53"/>
    <w:rsid w:val="008C0BF7"/>
    <w:rsid w:val="008C0C01"/>
    <w:rsid w:val="008C0C4E"/>
    <w:rsid w:val="008C0C5C"/>
    <w:rsid w:val="008C0C99"/>
    <w:rsid w:val="008C0CC8"/>
    <w:rsid w:val="008C0CD1"/>
    <w:rsid w:val="008C0D84"/>
    <w:rsid w:val="008C0D98"/>
    <w:rsid w:val="008C0DEE"/>
    <w:rsid w:val="008C0E14"/>
    <w:rsid w:val="008C0E41"/>
    <w:rsid w:val="008C0E58"/>
    <w:rsid w:val="008C0FD1"/>
    <w:rsid w:val="008C100E"/>
    <w:rsid w:val="008C1037"/>
    <w:rsid w:val="008C108D"/>
    <w:rsid w:val="008C10B2"/>
    <w:rsid w:val="008C10DF"/>
    <w:rsid w:val="008C10F0"/>
    <w:rsid w:val="008C1114"/>
    <w:rsid w:val="008C1149"/>
    <w:rsid w:val="008C1171"/>
    <w:rsid w:val="008C11FC"/>
    <w:rsid w:val="008C124C"/>
    <w:rsid w:val="008C127B"/>
    <w:rsid w:val="008C12AC"/>
    <w:rsid w:val="008C12CE"/>
    <w:rsid w:val="008C12E5"/>
    <w:rsid w:val="008C1314"/>
    <w:rsid w:val="008C1395"/>
    <w:rsid w:val="008C13BB"/>
    <w:rsid w:val="008C13C2"/>
    <w:rsid w:val="008C13C9"/>
    <w:rsid w:val="008C142F"/>
    <w:rsid w:val="008C1457"/>
    <w:rsid w:val="008C145D"/>
    <w:rsid w:val="008C1488"/>
    <w:rsid w:val="008C14A1"/>
    <w:rsid w:val="008C14CA"/>
    <w:rsid w:val="008C1509"/>
    <w:rsid w:val="008C1557"/>
    <w:rsid w:val="008C1584"/>
    <w:rsid w:val="008C15E0"/>
    <w:rsid w:val="008C1693"/>
    <w:rsid w:val="008C16EB"/>
    <w:rsid w:val="008C16FF"/>
    <w:rsid w:val="008C170A"/>
    <w:rsid w:val="008C170B"/>
    <w:rsid w:val="008C1734"/>
    <w:rsid w:val="008C173D"/>
    <w:rsid w:val="008C1741"/>
    <w:rsid w:val="008C177A"/>
    <w:rsid w:val="008C177D"/>
    <w:rsid w:val="008C1780"/>
    <w:rsid w:val="008C17CC"/>
    <w:rsid w:val="008C17CD"/>
    <w:rsid w:val="008C17D1"/>
    <w:rsid w:val="008C17D9"/>
    <w:rsid w:val="008C1824"/>
    <w:rsid w:val="008C1841"/>
    <w:rsid w:val="008C1861"/>
    <w:rsid w:val="008C18C2"/>
    <w:rsid w:val="008C18EC"/>
    <w:rsid w:val="008C19BA"/>
    <w:rsid w:val="008C19D9"/>
    <w:rsid w:val="008C1A2D"/>
    <w:rsid w:val="008C1A90"/>
    <w:rsid w:val="008C1AB9"/>
    <w:rsid w:val="008C1B39"/>
    <w:rsid w:val="008C1B4B"/>
    <w:rsid w:val="008C1B6E"/>
    <w:rsid w:val="008C1B84"/>
    <w:rsid w:val="008C1B90"/>
    <w:rsid w:val="008C1BB7"/>
    <w:rsid w:val="008C1BBC"/>
    <w:rsid w:val="008C1BC2"/>
    <w:rsid w:val="008C1C27"/>
    <w:rsid w:val="008C1C29"/>
    <w:rsid w:val="008C1C99"/>
    <w:rsid w:val="008C1CB3"/>
    <w:rsid w:val="008C1D1B"/>
    <w:rsid w:val="008C1DEE"/>
    <w:rsid w:val="008C1EB5"/>
    <w:rsid w:val="008C1EE6"/>
    <w:rsid w:val="008C1F2D"/>
    <w:rsid w:val="008C1F74"/>
    <w:rsid w:val="008C1F82"/>
    <w:rsid w:val="008C1F92"/>
    <w:rsid w:val="008C2028"/>
    <w:rsid w:val="008C2129"/>
    <w:rsid w:val="008C215A"/>
    <w:rsid w:val="008C21C1"/>
    <w:rsid w:val="008C21C3"/>
    <w:rsid w:val="008C21F6"/>
    <w:rsid w:val="008C2234"/>
    <w:rsid w:val="008C2247"/>
    <w:rsid w:val="008C22DB"/>
    <w:rsid w:val="008C2310"/>
    <w:rsid w:val="008C2352"/>
    <w:rsid w:val="008C2359"/>
    <w:rsid w:val="008C2362"/>
    <w:rsid w:val="008C23A8"/>
    <w:rsid w:val="008C23FB"/>
    <w:rsid w:val="008C2405"/>
    <w:rsid w:val="008C2466"/>
    <w:rsid w:val="008C247F"/>
    <w:rsid w:val="008C248A"/>
    <w:rsid w:val="008C24C9"/>
    <w:rsid w:val="008C24D0"/>
    <w:rsid w:val="008C24FE"/>
    <w:rsid w:val="008C2595"/>
    <w:rsid w:val="008C25E2"/>
    <w:rsid w:val="008C262B"/>
    <w:rsid w:val="008C2644"/>
    <w:rsid w:val="008C2645"/>
    <w:rsid w:val="008C2689"/>
    <w:rsid w:val="008C26C3"/>
    <w:rsid w:val="008C26C9"/>
    <w:rsid w:val="008C270D"/>
    <w:rsid w:val="008C270F"/>
    <w:rsid w:val="008C276E"/>
    <w:rsid w:val="008C27AA"/>
    <w:rsid w:val="008C27B9"/>
    <w:rsid w:val="008C299E"/>
    <w:rsid w:val="008C29F2"/>
    <w:rsid w:val="008C2AB8"/>
    <w:rsid w:val="008C2AE5"/>
    <w:rsid w:val="008C2B92"/>
    <w:rsid w:val="008C2B94"/>
    <w:rsid w:val="008C2B9F"/>
    <w:rsid w:val="008C2BDE"/>
    <w:rsid w:val="008C2BF1"/>
    <w:rsid w:val="008C2C0C"/>
    <w:rsid w:val="008C2C61"/>
    <w:rsid w:val="008C2CBB"/>
    <w:rsid w:val="008C2CC2"/>
    <w:rsid w:val="008C2CDA"/>
    <w:rsid w:val="008C2D46"/>
    <w:rsid w:val="008C2D7A"/>
    <w:rsid w:val="008C2ECE"/>
    <w:rsid w:val="008C2F28"/>
    <w:rsid w:val="008C2F4C"/>
    <w:rsid w:val="008C2FA3"/>
    <w:rsid w:val="008C2FF5"/>
    <w:rsid w:val="008C300E"/>
    <w:rsid w:val="008C301B"/>
    <w:rsid w:val="008C3030"/>
    <w:rsid w:val="008C306A"/>
    <w:rsid w:val="008C30A6"/>
    <w:rsid w:val="008C30DD"/>
    <w:rsid w:val="008C3124"/>
    <w:rsid w:val="008C315C"/>
    <w:rsid w:val="008C316B"/>
    <w:rsid w:val="008C31F1"/>
    <w:rsid w:val="008C31FA"/>
    <w:rsid w:val="008C3246"/>
    <w:rsid w:val="008C32C8"/>
    <w:rsid w:val="008C3362"/>
    <w:rsid w:val="008C336E"/>
    <w:rsid w:val="008C33C5"/>
    <w:rsid w:val="008C342A"/>
    <w:rsid w:val="008C343D"/>
    <w:rsid w:val="008C3473"/>
    <w:rsid w:val="008C3569"/>
    <w:rsid w:val="008C3667"/>
    <w:rsid w:val="008C366B"/>
    <w:rsid w:val="008C3690"/>
    <w:rsid w:val="008C36A0"/>
    <w:rsid w:val="008C3769"/>
    <w:rsid w:val="008C3776"/>
    <w:rsid w:val="008C3788"/>
    <w:rsid w:val="008C379F"/>
    <w:rsid w:val="008C37FF"/>
    <w:rsid w:val="008C3848"/>
    <w:rsid w:val="008C3901"/>
    <w:rsid w:val="008C3912"/>
    <w:rsid w:val="008C3957"/>
    <w:rsid w:val="008C39C1"/>
    <w:rsid w:val="008C3A64"/>
    <w:rsid w:val="008C3A91"/>
    <w:rsid w:val="008C3A97"/>
    <w:rsid w:val="008C3AAE"/>
    <w:rsid w:val="008C3AE8"/>
    <w:rsid w:val="008C3AF4"/>
    <w:rsid w:val="008C3B47"/>
    <w:rsid w:val="008C3B5B"/>
    <w:rsid w:val="008C3C11"/>
    <w:rsid w:val="008C3C22"/>
    <w:rsid w:val="008C3C87"/>
    <w:rsid w:val="008C3CAD"/>
    <w:rsid w:val="008C3CB3"/>
    <w:rsid w:val="008C3CF4"/>
    <w:rsid w:val="008C3D85"/>
    <w:rsid w:val="008C3E09"/>
    <w:rsid w:val="008C3E15"/>
    <w:rsid w:val="008C3E1C"/>
    <w:rsid w:val="008C3E9C"/>
    <w:rsid w:val="008C4081"/>
    <w:rsid w:val="008C40A4"/>
    <w:rsid w:val="008C40E5"/>
    <w:rsid w:val="008C4174"/>
    <w:rsid w:val="008C4188"/>
    <w:rsid w:val="008C4209"/>
    <w:rsid w:val="008C42BE"/>
    <w:rsid w:val="008C42EE"/>
    <w:rsid w:val="008C435A"/>
    <w:rsid w:val="008C43DA"/>
    <w:rsid w:val="008C4468"/>
    <w:rsid w:val="008C44D8"/>
    <w:rsid w:val="008C4537"/>
    <w:rsid w:val="008C457B"/>
    <w:rsid w:val="008C4599"/>
    <w:rsid w:val="008C4696"/>
    <w:rsid w:val="008C46CA"/>
    <w:rsid w:val="008C46DE"/>
    <w:rsid w:val="008C4742"/>
    <w:rsid w:val="008C480A"/>
    <w:rsid w:val="008C4819"/>
    <w:rsid w:val="008C4851"/>
    <w:rsid w:val="008C4860"/>
    <w:rsid w:val="008C489F"/>
    <w:rsid w:val="008C490B"/>
    <w:rsid w:val="008C490F"/>
    <w:rsid w:val="008C492D"/>
    <w:rsid w:val="008C4948"/>
    <w:rsid w:val="008C495D"/>
    <w:rsid w:val="008C4979"/>
    <w:rsid w:val="008C49F0"/>
    <w:rsid w:val="008C4A1C"/>
    <w:rsid w:val="008C4A46"/>
    <w:rsid w:val="008C4AD3"/>
    <w:rsid w:val="008C4AF3"/>
    <w:rsid w:val="008C4B21"/>
    <w:rsid w:val="008C4B79"/>
    <w:rsid w:val="008C4BBF"/>
    <w:rsid w:val="008C4BC2"/>
    <w:rsid w:val="008C4BF3"/>
    <w:rsid w:val="008C4C29"/>
    <w:rsid w:val="008C4C2F"/>
    <w:rsid w:val="008C4C65"/>
    <w:rsid w:val="008C4C7C"/>
    <w:rsid w:val="008C4CD7"/>
    <w:rsid w:val="008C4CE3"/>
    <w:rsid w:val="008C4D28"/>
    <w:rsid w:val="008C4D3C"/>
    <w:rsid w:val="008C4D43"/>
    <w:rsid w:val="008C4E29"/>
    <w:rsid w:val="008C4E57"/>
    <w:rsid w:val="008C4F0F"/>
    <w:rsid w:val="008C4F2F"/>
    <w:rsid w:val="008C4F36"/>
    <w:rsid w:val="008C4F64"/>
    <w:rsid w:val="008C4F79"/>
    <w:rsid w:val="008C4FF2"/>
    <w:rsid w:val="008C50BE"/>
    <w:rsid w:val="008C5105"/>
    <w:rsid w:val="008C511F"/>
    <w:rsid w:val="008C5132"/>
    <w:rsid w:val="008C5140"/>
    <w:rsid w:val="008C5174"/>
    <w:rsid w:val="008C5193"/>
    <w:rsid w:val="008C51D8"/>
    <w:rsid w:val="008C5204"/>
    <w:rsid w:val="008C521C"/>
    <w:rsid w:val="008C5258"/>
    <w:rsid w:val="008C52AA"/>
    <w:rsid w:val="008C5343"/>
    <w:rsid w:val="008C537C"/>
    <w:rsid w:val="008C53D4"/>
    <w:rsid w:val="008C53E3"/>
    <w:rsid w:val="008C53E4"/>
    <w:rsid w:val="008C5444"/>
    <w:rsid w:val="008C5484"/>
    <w:rsid w:val="008C54F9"/>
    <w:rsid w:val="008C5503"/>
    <w:rsid w:val="008C556F"/>
    <w:rsid w:val="008C55A2"/>
    <w:rsid w:val="008C55E3"/>
    <w:rsid w:val="008C55E9"/>
    <w:rsid w:val="008C562F"/>
    <w:rsid w:val="008C5643"/>
    <w:rsid w:val="008C56A2"/>
    <w:rsid w:val="008C56CE"/>
    <w:rsid w:val="008C56EB"/>
    <w:rsid w:val="008C576E"/>
    <w:rsid w:val="008C57BE"/>
    <w:rsid w:val="008C5822"/>
    <w:rsid w:val="008C583A"/>
    <w:rsid w:val="008C587C"/>
    <w:rsid w:val="008C5894"/>
    <w:rsid w:val="008C58B0"/>
    <w:rsid w:val="008C59B2"/>
    <w:rsid w:val="008C5A52"/>
    <w:rsid w:val="008C5A77"/>
    <w:rsid w:val="008C5A79"/>
    <w:rsid w:val="008C5A8D"/>
    <w:rsid w:val="008C5AAA"/>
    <w:rsid w:val="008C5AB6"/>
    <w:rsid w:val="008C5AF1"/>
    <w:rsid w:val="008C5B13"/>
    <w:rsid w:val="008C5B8C"/>
    <w:rsid w:val="008C5CDB"/>
    <w:rsid w:val="008C5CE8"/>
    <w:rsid w:val="008C5D2F"/>
    <w:rsid w:val="008C5D70"/>
    <w:rsid w:val="008C5D90"/>
    <w:rsid w:val="008C5DDE"/>
    <w:rsid w:val="008C5E19"/>
    <w:rsid w:val="008C5E44"/>
    <w:rsid w:val="008C5E49"/>
    <w:rsid w:val="008C5E4E"/>
    <w:rsid w:val="008C5E5C"/>
    <w:rsid w:val="008C5E88"/>
    <w:rsid w:val="008C5EF1"/>
    <w:rsid w:val="008C5F15"/>
    <w:rsid w:val="008C5F33"/>
    <w:rsid w:val="008C5F6C"/>
    <w:rsid w:val="008C5F7B"/>
    <w:rsid w:val="008C5FE3"/>
    <w:rsid w:val="008C6015"/>
    <w:rsid w:val="008C604E"/>
    <w:rsid w:val="008C6050"/>
    <w:rsid w:val="008C6066"/>
    <w:rsid w:val="008C60A8"/>
    <w:rsid w:val="008C60BB"/>
    <w:rsid w:val="008C60BF"/>
    <w:rsid w:val="008C60CE"/>
    <w:rsid w:val="008C60D7"/>
    <w:rsid w:val="008C60DE"/>
    <w:rsid w:val="008C60E6"/>
    <w:rsid w:val="008C6151"/>
    <w:rsid w:val="008C616A"/>
    <w:rsid w:val="008C616C"/>
    <w:rsid w:val="008C6170"/>
    <w:rsid w:val="008C6175"/>
    <w:rsid w:val="008C617F"/>
    <w:rsid w:val="008C61A3"/>
    <w:rsid w:val="008C61F0"/>
    <w:rsid w:val="008C61F8"/>
    <w:rsid w:val="008C6225"/>
    <w:rsid w:val="008C6266"/>
    <w:rsid w:val="008C62A6"/>
    <w:rsid w:val="008C62AF"/>
    <w:rsid w:val="008C62D3"/>
    <w:rsid w:val="008C6303"/>
    <w:rsid w:val="008C630A"/>
    <w:rsid w:val="008C6382"/>
    <w:rsid w:val="008C638A"/>
    <w:rsid w:val="008C63A1"/>
    <w:rsid w:val="008C63E1"/>
    <w:rsid w:val="008C6411"/>
    <w:rsid w:val="008C649A"/>
    <w:rsid w:val="008C649C"/>
    <w:rsid w:val="008C64B0"/>
    <w:rsid w:val="008C64B7"/>
    <w:rsid w:val="008C64E2"/>
    <w:rsid w:val="008C64ED"/>
    <w:rsid w:val="008C64EE"/>
    <w:rsid w:val="008C654B"/>
    <w:rsid w:val="008C656B"/>
    <w:rsid w:val="008C65EC"/>
    <w:rsid w:val="008C6608"/>
    <w:rsid w:val="008C660A"/>
    <w:rsid w:val="008C663B"/>
    <w:rsid w:val="008C6666"/>
    <w:rsid w:val="008C667D"/>
    <w:rsid w:val="008C6681"/>
    <w:rsid w:val="008C66B6"/>
    <w:rsid w:val="008C66F6"/>
    <w:rsid w:val="008C676D"/>
    <w:rsid w:val="008C6809"/>
    <w:rsid w:val="008C687E"/>
    <w:rsid w:val="008C68AF"/>
    <w:rsid w:val="008C68BC"/>
    <w:rsid w:val="008C68C1"/>
    <w:rsid w:val="008C68C2"/>
    <w:rsid w:val="008C68F9"/>
    <w:rsid w:val="008C6929"/>
    <w:rsid w:val="008C6937"/>
    <w:rsid w:val="008C694F"/>
    <w:rsid w:val="008C69A1"/>
    <w:rsid w:val="008C6A19"/>
    <w:rsid w:val="008C6ADC"/>
    <w:rsid w:val="008C6B61"/>
    <w:rsid w:val="008C6BD2"/>
    <w:rsid w:val="008C6BEB"/>
    <w:rsid w:val="008C6C1B"/>
    <w:rsid w:val="008C6C2A"/>
    <w:rsid w:val="008C6C2B"/>
    <w:rsid w:val="008C6CA0"/>
    <w:rsid w:val="008C6CCC"/>
    <w:rsid w:val="008C6D04"/>
    <w:rsid w:val="008C6D37"/>
    <w:rsid w:val="008C6D54"/>
    <w:rsid w:val="008C6DD1"/>
    <w:rsid w:val="008C6E43"/>
    <w:rsid w:val="008C6E5D"/>
    <w:rsid w:val="008C6E6F"/>
    <w:rsid w:val="008C6EFD"/>
    <w:rsid w:val="008C6F3D"/>
    <w:rsid w:val="008C6F81"/>
    <w:rsid w:val="008C6F99"/>
    <w:rsid w:val="008C6FDF"/>
    <w:rsid w:val="008C7053"/>
    <w:rsid w:val="008C707E"/>
    <w:rsid w:val="008C7093"/>
    <w:rsid w:val="008C70A6"/>
    <w:rsid w:val="008C70FD"/>
    <w:rsid w:val="008C710E"/>
    <w:rsid w:val="008C7170"/>
    <w:rsid w:val="008C7197"/>
    <w:rsid w:val="008C71A7"/>
    <w:rsid w:val="008C71D8"/>
    <w:rsid w:val="008C71D9"/>
    <w:rsid w:val="008C7218"/>
    <w:rsid w:val="008C730F"/>
    <w:rsid w:val="008C7339"/>
    <w:rsid w:val="008C737C"/>
    <w:rsid w:val="008C73F3"/>
    <w:rsid w:val="008C7424"/>
    <w:rsid w:val="008C7452"/>
    <w:rsid w:val="008C7485"/>
    <w:rsid w:val="008C74D7"/>
    <w:rsid w:val="008C74FB"/>
    <w:rsid w:val="008C75CD"/>
    <w:rsid w:val="008C75ED"/>
    <w:rsid w:val="008C768A"/>
    <w:rsid w:val="008C7723"/>
    <w:rsid w:val="008C7749"/>
    <w:rsid w:val="008C776F"/>
    <w:rsid w:val="008C77DF"/>
    <w:rsid w:val="008C785F"/>
    <w:rsid w:val="008C78B4"/>
    <w:rsid w:val="008C78B9"/>
    <w:rsid w:val="008C78ED"/>
    <w:rsid w:val="008C793E"/>
    <w:rsid w:val="008C7971"/>
    <w:rsid w:val="008C7976"/>
    <w:rsid w:val="008C7996"/>
    <w:rsid w:val="008C79D5"/>
    <w:rsid w:val="008C79D8"/>
    <w:rsid w:val="008C79E9"/>
    <w:rsid w:val="008C7A43"/>
    <w:rsid w:val="008C7A47"/>
    <w:rsid w:val="008C7ABE"/>
    <w:rsid w:val="008C7B09"/>
    <w:rsid w:val="008C7B27"/>
    <w:rsid w:val="008C7B77"/>
    <w:rsid w:val="008C7B8D"/>
    <w:rsid w:val="008C7C6F"/>
    <w:rsid w:val="008C7C99"/>
    <w:rsid w:val="008C7CA4"/>
    <w:rsid w:val="008C7CF9"/>
    <w:rsid w:val="008C7D13"/>
    <w:rsid w:val="008C7E18"/>
    <w:rsid w:val="008C7E4F"/>
    <w:rsid w:val="008C7E86"/>
    <w:rsid w:val="008C7F01"/>
    <w:rsid w:val="008C7F50"/>
    <w:rsid w:val="008C7F71"/>
    <w:rsid w:val="008C7F88"/>
    <w:rsid w:val="008D0014"/>
    <w:rsid w:val="008D0054"/>
    <w:rsid w:val="008D0091"/>
    <w:rsid w:val="008D0098"/>
    <w:rsid w:val="008D0108"/>
    <w:rsid w:val="008D0157"/>
    <w:rsid w:val="008D015D"/>
    <w:rsid w:val="008D0166"/>
    <w:rsid w:val="008D01C2"/>
    <w:rsid w:val="008D01D5"/>
    <w:rsid w:val="008D0250"/>
    <w:rsid w:val="008D026A"/>
    <w:rsid w:val="008D02D2"/>
    <w:rsid w:val="008D02FD"/>
    <w:rsid w:val="008D0310"/>
    <w:rsid w:val="008D0322"/>
    <w:rsid w:val="008D03C9"/>
    <w:rsid w:val="008D0411"/>
    <w:rsid w:val="008D041A"/>
    <w:rsid w:val="008D0425"/>
    <w:rsid w:val="008D042A"/>
    <w:rsid w:val="008D0430"/>
    <w:rsid w:val="008D0456"/>
    <w:rsid w:val="008D046D"/>
    <w:rsid w:val="008D0508"/>
    <w:rsid w:val="008D0518"/>
    <w:rsid w:val="008D0539"/>
    <w:rsid w:val="008D055F"/>
    <w:rsid w:val="008D0597"/>
    <w:rsid w:val="008D05E2"/>
    <w:rsid w:val="008D0678"/>
    <w:rsid w:val="008D06AA"/>
    <w:rsid w:val="008D07B2"/>
    <w:rsid w:val="008D07D4"/>
    <w:rsid w:val="008D080E"/>
    <w:rsid w:val="008D0824"/>
    <w:rsid w:val="008D0832"/>
    <w:rsid w:val="008D086A"/>
    <w:rsid w:val="008D086C"/>
    <w:rsid w:val="008D08BB"/>
    <w:rsid w:val="008D0913"/>
    <w:rsid w:val="008D094F"/>
    <w:rsid w:val="008D09B0"/>
    <w:rsid w:val="008D0A0C"/>
    <w:rsid w:val="008D0A7F"/>
    <w:rsid w:val="008D0A88"/>
    <w:rsid w:val="008D0A91"/>
    <w:rsid w:val="008D0ACB"/>
    <w:rsid w:val="008D0AEC"/>
    <w:rsid w:val="008D0AFD"/>
    <w:rsid w:val="008D0B7F"/>
    <w:rsid w:val="008D0B91"/>
    <w:rsid w:val="008D0C61"/>
    <w:rsid w:val="008D0C76"/>
    <w:rsid w:val="008D0CA4"/>
    <w:rsid w:val="008D0CE7"/>
    <w:rsid w:val="008D0D24"/>
    <w:rsid w:val="008D0D33"/>
    <w:rsid w:val="008D0D39"/>
    <w:rsid w:val="008D0DBB"/>
    <w:rsid w:val="008D0DCC"/>
    <w:rsid w:val="008D0E1A"/>
    <w:rsid w:val="008D0E2A"/>
    <w:rsid w:val="008D0E60"/>
    <w:rsid w:val="008D0EF6"/>
    <w:rsid w:val="008D0F1D"/>
    <w:rsid w:val="008D0FEF"/>
    <w:rsid w:val="008D1000"/>
    <w:rsid w:val="008D1048"/>
    <w:rsid w:val="008D10F9"/>
    <w:rsid w:val="008D1125"/>
    <w:rsid w:val="008D1170"/>
    <w:rsid w:val="008D1177"/>
    <w:rsid w:val="008D1195"/>
    <w:rsid w:val="008D11A9"/>
    <w:rsid w:val="008D11D7"/>
    <w:rsid w:val="008D12B8"/>
    <w:rsid w:val="008D12BC"/>
    <w:rsid w:val="008D12DC"/>
    <w:rsid w:val="008D1303"/>
    <w:rsid w:val="008D1313"/>
    <w:rsid w:val="008D1331"/>
    <w:rsid w:val="008D133B"/>
    <w:rsid w:val="008D13B2"/>
    <w:rsid w:val="008D142B"/>
    <w:rsid w:val="008D1437"/>
    <w:rsid w:val="008D143A"/>
    <w:rsid w:val="008D1452"/>
    <w:rsid w:val="008D14B2"/>
    <w:rsid w:val="008D14B5"/>
    <w:rsid w:val="008D14FB"/>
    <w:rsid w:val="008D14FE"/>
    <w:rsid w:val="008D151C"/>
    <w:rsid w:val="008D1578"/>
    <w:rsid w:val="008D15C2"/>
    <w:rsid w:val="008D15EC"/>
    <w:rsid w:val="008D1612"/>
    <w:rsid w:val="008D1617"/>
    <w:rsid w:val="008D1658"/>
    <w:rsid w:val="008D16CE"/>
    <w:rsid w:val="008D16F1"/>
    <w:rsid w:val="008D16F2"/>
    <w:rsid w:val="008D175E"/>
    <w:rsid w:val="008D1798"/>
    <w:rsid w:val="008D1824"/>
    <w:rsid w:val="008D1863"/>
    <w:rsid w:val="008D1934"/>
    <w:rsid w:val="008D1964"/>
    <w:rsid w:val="008D196E"/>
    <w:rsid w:val="008D1A33"/>
    <w:rsid w:val="008D1A8F"/>
    <w:rsid w:val="008D1AB8"/>
    <w:rsid w:val="008D1B1D"/>
    <w:rsid w:val="008D1B49"/>
    <w:rsid w:val="008D1B71"/>
    <w:rsid w:val="008D1B7E"/>
    <w:rsid w:val="008D1B81"/>
    <w:rsid w:val="008D1BAF"/>
    <w:rsid w:val="008D1BF4"/>
    <w:rsid w:val="008D1C6E"/>
    <w:rsid w:val="008D1CCB"/>
    <w:rsid w:val="008D1D1C"/>
    <w:rsid w:val="008D1D34"/>
    <w:rsid w:val="008D1D78"/>
    <w:rsid w:val="008D1DDE"/>
    <w:rsid w:val="008D1E46"/>
    <w:rsid w:val="008D1E53"/>
    <w:rsid w:val="008D1EA5"/>
    <w:rsid w:val="008D1EAF"/>
    <w:rsid w:val="008D1EEF"/>
    <w:rsid w:val="008D1F05"/>
    <w:rsid w:val="008D1F53"/>
    <w:rsid w:val="008D1F7F"/>
    <w:rsid w:val="008D2136"/>
    <w:rsid w:val="008D2138"/>
    <w:rsid w:val="008D2157"/>
    <w:rsid w:val="008D2159"/>
    <w:rsid w:val="008D2162"/>
    <w:rsid w:val="008D21F1"/>
    <w:rsid w:val="008D2230"/>
    <w:rsid w:val="008D227C"/>
    <w:rsid w:val="008D22C5"/>
    <w:rsid w:val="008D230D"/>
    <w:rsid w:val="008D2319"/>
    <w:rsid w:val="008D2345"/>
    <w:rsid w:val="008D2351"/>
    <w:rsid w:val="008D23B8"/>
    <w:rsid w:val="008D2402"/>
    <w:rsid w:val="008D2422"/>
    <w:rsid w:val="008D24F1"/>
    <w:rsid w:val="008D265B"/>
    <w:rsid w:val="008D26A9"/>
    <w:rsid w:val="008D2733"/>
    <w:rsid w:val="008D275C"/>
    <w:rsid w:val="008D278D"/>
    <w:rsid w:val="008D27FA"/>
    <w:rsid w:val="008D29D6"/>
    <w:rsid w:val="008D2A3C"/>
    <w:rsid w:val="008D2A82"/>
    <w:rsid w:val="008D2B28"/>
    <w:rsid w:val="008D2B55"/>
    <w:rsid w:val="008D2B5A"/>
    <w:rsid w:val="008D2B6E"/>
    <w:rsid w:val="008D2B80"/>
    <w:rsid w:val="008D2BE3"/>
    <w:rsid w:val="008D2C72"/>
    <w:rsid w:val="008D2C92"/>
    <w:rsid w:val="008D2CE6"/>
    <w:rsid w:val="008D2D11"/>
    <w:rsid w:val="008D2D5D"/>
    <w:rsid w:val="008D2D8F"/>
    <w:rsid w:val="008D2DB0"/>
    <w:rsid w:val="008D2E32"/>
    <w:rsid w:val="008D2E5B"/>
    <w:rsid w:val="008D2E5F"/>
    <w:rsid w:val="008D2EB2"/>
    <w:rsid w:val="008D2F90"/>
    <w:rsid w:val="008D2FD2"/>
    <w:rsid w:val="008D3017"/>
    <w:rsid w:val="008D3032"/>
    <w:rsid w:val="008D3055"/>
    <w:rsid w:val="008D3066"/>
    <w:rsid w:val="008D30E3"/>
    <w:rsid w:val="008D3153"/>
    <w:rsid w:val="008D316F"/>
    <w:rsid w:val="008D3194"/>
    <w:rsid w:val="008D31BA"/>
    <w:rsid w:val="008D31D4"/>
    <w:rsid w:val="008D324D"/>
    <w:rsid w:val="008D329C"/>
    <w:rsid w:val="008D3317"/>
    <w:rsid w:val="008D3331"/>
    <w:rsid w:val="008D335E"/>
    <w:rsid w:val="008D339F"/>
    <w:rsid w:val="008D33C7"/>
    <w:rsid w:val="008D3472"/>
    <w:rsid w:val="008D34B0"/>
    <w:rsid w:val="008D34F6"/>
    <w:rsid w:val="008D350A"/>
    <w:rsid w:val="008D3598"/>
    <w:rsid w:val="008D3629"/>
    <w:rsid w:val="008D3652"/>
    <w:rsid w:val="008D369E"/>
    <w:rsid w:val="008D36BB"/>
    <w:rsid w:val="008D36BD"/>
    <w:rsid w:val="008D36D2"/>
    <w:rsid w:val="008D36E1"/>
    <w:rsid w:val="008D36F9"/>
    <w:rsid w:val="008D370F"/>
    <w:rsid w:val="008D371B"/>
    <w:rsid w:val="008D3784"/>
    <w:rsid w:val="008D37AF"/>
    <w:rsid w:val="008D37E2"/>
    <w:rsid w:val="008D37E7"/>
    <w:rsid w:val="008D37E9"/>
    <w:rsid w:val="008D3869"/>
    <w:rsid w:val="008D3899"/>
    <w:rsid w:val="008D3918"/>
    <w:rsid w:val="008D3926"/>
    <w:rsid w:val="008D3958"/>
    <w:rsid w:val="008D3995"/>
    <w:rsid w:val="008D39A2"/>
    <w:rsid w:val="008D39AD"/>
    <w:rsid w:val="008D3A00"/>
    <w:rsid w:val="008D3A13"/>
    <w:rsid w:val="008D3A26"/>
    <w:rsid w:val="008D3A38"/>
    <w:rsid w:val="008D3A4E"/>
    <w:rsid w:val="008D3A51"/>
    <w:rsid w:val="008D3AA0"/>
    <w:rsid w:val="008D3AC4"/>
    <w:rsid w:val="008D3AD7"/>
    <w:rsid w:val="008D3B52"/>
    <w:rsid w:val="008D3B97"/>
    <w:rsid w:val="008D3BB8"/>
    <w:rsid w:val="008D3C25"/>
    <w:rsid w:val="008D3CCF"/>
    <w:rsid w:val="008D3D36"/>
    <w:rsid w:val="008D3DFD"/>
    <w:rsid w:val="008D3E08"/>
    <w:rsid w:val="008D3E35"/>
    <w:rsid w:val="008D3E45"/>
    <w:rsid w:val="008D3E58"/>
    <w:rsid w:val="008D3E8F"/>
    <w:rsid w:val="008D3F18"/>
    <w:rsid w:val="008D3F54"/>
    <w:rsid w:val="008D3FD8"/>
    <w:rsid w:val="008D3FEF"/>
    <w:rsid w:val="008D400A"/>
    <w:rsid w:val="008D400F"/>
    <w:rsid w:val="008D4012"/>
    <w:rsid w:val="008D4018"/>
    <w:rsid w:val="008D4022"/>
    <w:rsid w:val="008D40A0"/>
    <w:rsid w:val="008D40E3"/>
    <w:rsid w:val="008D4123"/>
    <w:rsid w:val="008D4155"/>
    <w:rsid w:val="008D4163"/>
    <w:rsid w:val="008D416D"/>
    <w:rsid w:val="008D4191"/>
    <w:rsid w:val="008D4208"/>
    <w:rsid w:val="008D42BE"/>
    <w:rsid w:val="008D4374"/>
    <w:rsid w:val="008D437D"/>
    <w:rsid w:val="008D43F1"/>
    <w:rsid w:val="008D4427"/>
    <w:rsid w:val="008D44D6"/>
    <w:rsid w:val="008D455F"/>
    <w:rsid w:val="008D4573"/>
    <w:rsid w:val="008D4602"/>
    <w:rsid w:val="008D4653"/>
    <w:rsid w:val="008D468F"/>
    <w:rsid w:val="008D472E"/>
    <w:rsid w:val="008D4792"/>
    <w:rsid w:val="008D4810"/>
    <w:rsid w:val="008D4851"/>
    <w:rsid w:val="008D4910"/>
    <w:rsid w:val="008D492A"/>
    <w:rsid w:val="008D493D"/>
    <w:rsid w:val="008D49AB"/>
    <w:rsid w:val="008D4A08"/>
    <w:rsid w:val="008D4A3F"/>
    <w:rsid w:val="008D4A62"/>
    <w:rsid w:val="008D4A6E"/>
    <w:rsid w:val="008D4AB9"/>
    <w:rsid w:val="008D4B69"/>
    <w:rsid w:val="008D4BC3"/>
    <w:rsid w:val="008D4C73"/>
    <w:rsid w:val="008D4D0E"/>
    <w:rsid w:val="008D4D59"/>
    <w:rsid w:val="008D4D7F"/>
    <w:rsid w:val="008D4D89"/>
    <w:rsid w:val="008D4D8A"/>
    <w:rsid w:val="008D4DBC"/>
    <w:rsid w:val="008D4DFD"/>
    <w:rsid w:val="008D4E32"/>
    <w:rsid w:val="008D4E33"/>
    <w:rsid w:val="008D4E5A"/>
    <w:rsid w:val="008D4F18"/>
    <w:rsid w:val="008D4F30"/>
    <w:rsid w:val="008D4F5D"/>
    <w:rsid w:val="008D4FA9"/>
    <w:rsid w:val="008D500E"/>
    <w:rsid w:val="008D50B8"/>
    <w:rsid w:val="008D51A3"/>
    <w:rsid w:val="008D51A9"/>
    <w:rsid w:val="008D51DC"/>
    <w:rsid w:val="008D520C"/>
    <w:rsid w:val="008D522A"/>
    <w:rsid w:val="008D527D"/>
    <w:rsid w:val="008D5305"/>
    <w:rsid w:val="008D5315"/>
    <w:rsid w:val="008D538D"/>
    <w:rsid w:val="008D53D1"/>
    <w:rsid w:val="008D53DA"/>
    <w:rsid w:val="008D53EB"/>
    <w:rsid w:val="008D53EF"/>
    <w:rsid w:val="008D53F1"/>
    <w:rsid w:val="008D5431"/>
    <w:rsid w:val="008D546D"/>
    <w:rsid w:val="008D54B7"/>
    <w:rsid w:val="008D5600"/>
    <w:rsid w:val="008D5603"/>
    <w:rsid w:val="008D5676"/>
    <w:rsid w:val="008D56AC"/>
    <w:rsid w:val="008D56B2"/>
    <w:rsid w:val="008D56C3"/>
    <w:rsid w:val="008D56EA"/>
    <w:rsid w:val="008D5704"/>
    <w:rsid w:val="008D5796"/>
    <w:rsid w:val="008D579C"/>
    <w:rsid w:val="008D581C"/>
    <w:rsid w:val="008D5844"/>
    <w:rsid w:val="008D5880"/>
    <w:rsid w:val="008D58BA"/>
    <w:rsid w:val="008D58C6"/>
    <w:rsid w:val="008D58EE"/>
    <w:rsid w:val="008D5931"/>
    <w:rsid w:val="008D5953"/>
    <w:rsid w:val="008D5970"/>
    <w:rsid w:val="008D59CE"/>
    <w:rsid w:val="008D59DA"/>
    <w:rsid w:val="008D5A71"/>
    <w:rsid w:val="008D5A80"/>
    <w:rsid w:val="008D5AFB"/>
    <w:rsid w:val="008D5B9B"/>
    <w:rsid w:val="008D5BCC"/>
    <w:rsid w:val="008D5C45"/>
    <w:rsid w:val="008D5C66"/>
    <w:rsid w:val="008D5C8B"/>
    <w:rsid w:val="008D5D9E"/>
    <w:rsid w:val="008D5DB7"/>
    <w:rsid w:val="008D5DBF"/>
    <w:rsid w:val="008D5DCF"/>
    <w:rsid w:val="008D5DD0"/>
    <w:rsid w:val="008D5DFF"/>
    <w:rsid w:val="008D5E4B"/>
    <w:rsid w:val="008D5E73"/>
    <w:rsid w:val="008D5E78"/>
    <w:rsid w:val="008D5EB9"/>
    <w:rsid w:val="008D5EF4"/>
    <w:rsid w:val="008D60DD"/>
    <w:rsid w:val="008D6102"/>
    <w:rsid w:val="008D612C"/>
    <w:rsid w:val="008D615C"/>
    <w:rsid w:val="008D616D"/>
    <w:rsid w:val="008D618C"/>
    <w:rsid w:val="008D61C0"/>
    <w:rsid w:val="008D61CE"/>
    <w:rsid w:val="008D621C"/>
    <w:rsid w:val="008D6224"/>
    <w:rsid w:val="008D6236"/>
    <w:rsid w:val="008D6266"/>
    <w:rsid w:val="008D627F"/>
    <w:rsid w:val="008D62AB"/>
    <w:rsid w:val="008D62E1"/>
    <w:rsid w:val="008D6337"/>
    <w:rsid w:val="008D638C"/>
    <w:rsid w:val="008D6453"/>
    <w:rsid w:val="008D650C"/>
    <w:rsid w:val="008D6532"/>
    <w:rsid w:val="008D65F6"/>
    <w:rsid w:val="008D6662"/>
    <w:rsid w:val="008D6692"/>
    <w:rsid w:val="008D66A9"/>
    <w:rsid w:val="008D6727"/>
    <w:rsid w:val="008D674D"/>
    <w:rsid w:val="008D6763"/>
    <w:rsid w:val="008D6807"/>
    <w:rsid w:val="008D683F"/>
    <w:rsid w:val="008D687C"/>
    <w:rsid w:val="008D687F"/>
    <w:rsid w:val="008D688E"/>
    <w:rsid w:val="008D68A2"/>
    <w:rsid w:val="008D6912"/>
    <w:rsid w:val="008D699E"/>
    <w:rsid w:val="008D6B13"/>
    <w:rsid w:val="008D6B71"/>
    <w:rsid w:val="008D6B78"/>
    <w:rsid w:val="008D6BB1"/>
    <w:rsid w:val="008D6BE4"/>
    <w:rsid w:val="008D6BFF"/>
    <w:rsid w:val="008D6C0B"/>
    <w:rsid w:val="008D6C50"/>
    <w:rsid w:val="008D6C70"/>
    <w:rsid w:val="008D6CA6"/>
    <w:rsid w:val="008D6CB8"/>
    <w:rsid w:val="008D6D21"/>
    <w:rsid w:val="008D6D67"/>
    <w:rsid w:val="008D6D9A"/>
    <w:rsid w:val="008D6DBB"/>
    <w:rsid w:val="008D6DFD"/>
    <w:rsid w:val="008D6E46"/>
    <w:rsid w:val="008D6E52"/>
    <w:rsid w:val="008D6E6A"/>
    <w:rsid w:val="008D6E72"/>
    <w:rsid w:val="008D6F16"/>
    <w:rsid w:val="008D6F8D"/>
    <w:rsid w:val="008D70A1"/>
    <w:rsid w:val="008D715C"/>
    <w:rsid w:val="008D7184"/>
    <w:rsid w:val="008D71C6"/>
    <w:rsid w:val="008D7214"/>
    <w:rsid w:val="008D7312"/>
    <w:rsid w:val="008D734C"/>
    <w:rsid w:val="008D73A2"/>
    <w:rsid w:val="008D73F2"/>
    <w:rsid w:val="008D74C2"/>
    <w:rsid w:val="008D751A"/>
    <w:rsid w:val="008D7587"/>
    <w:rsid w:val="008D75F3"/>
    <w:rsid w:val="008D75FB"/>
    <w:rsid w:val="008D7609"/>
    <w:rsid w:val="008D760D"/>
    <w:rsid w:val="008D7642"/>
    <w:rsid w:val="008D7643"/>
    <w:rsid w:val="008D7673"/>
    <w:rsid w:val="008D7784"/>
    <w:rsid w:val="008D779A"/>
    <w:rsid w:val="008D77D0"/>
    <w:rsid w:val="008D781C"/>
    <w:rsid w:val="008D7885"/>
    <w:rsid w:val="008D788D"/>
    <w:rsid w:val="008D7930"/>
    <w:rsid w:val="008D79F0"/>
    <w:rsid w:val="008D7A04"/>
    <w:rsid w:val="008D7A3E"/>
    <w:rsid w:val="008D7A46"/>
    <w:rsid w:val="008D7A65"/>
    <w:rsid w:val="008D7ABF"/>
    <w:rsid w:val="008D7ADA"/>
    <w:rsid w:val="008D7ADD"/>
    <w:rsid w:val="008D7B43"/>
    <w:rsid w:val="008D7B4C"/>
    <w:rsid w:val="008D7B6F"/>
    <w:rsid w:val="008D7B9B"/>
    <w:rsid w:val="008D7BC7"/>
    <w:rsid w:val="008D7C1D"/>
    <w:rsid w:val="008D7C5E"/>
    <w:rsid w:val="008D7C89"/>
    <w:rsid w:val="008D7D48"/>
    <w:rsid w:val="008D7D5E"/>
    <w:rsid w:val="008D7D6A"/>
    <w:rsid w:val="008D7D6C"/>
    <w:rsid w:val="008D7DD2"/>
    <w:rsid w:val="008D7E06"/>
    <w:rsid w:val="008D7EC6"/>
    <w:rsid w:val="008D7F1D"/>
    <w:rsid w:val="008D7F47"/>
    <w:rsid w:val="008D7F5F"/>
    <w:rsid w:val="008D7F90"/>
    <w:rsid w:val="008D7FA5"/>
    <w:rsid w:val="008D7FC3"/>
    <w:rsid w:val="008D7FDD"/>
    <w:rsid w:val="008E0008"/>
    <w:rsid w:val="008E0026"/>
    <w:rsid w:val="008E0062"/>
    <w:rsid w:val="008E0078"/>
    <w:rsid w:val="008E009B"/>
    <w:rsid w:val="008E00C1"/>
    <w:rsid w:val="008E00F1"/>
    <w:rsid w:val="008E0124"/>
    <w:rsid w:val="008E0161"/>
    <w:rsid w:val="008E024B"/>
    <w:rsid w:val="008E024D"/>
    <w:rsid w:val="008E0318"/>
    <w:rsid w:val="008E0326"/>
    <w:rsid w:val="008E033F"/>
    <w:rsid w:val="008E039B"/>
    <w:rsid w:val="008E039F"/>
    <w:rsid w:val="008E03C6"/>
    <w:rsid w:val="008E03F7"/>
    <w:rsid w:val="008E04E1"/>
    <w:rsid w:val="008E06E0"/>
    <w:rsid w:val="008E06FB"/>
    <w:rsid w:val="008E072B"/>
    <w:rsid w:val="008E0818"/>
    <w:rsid w:val="008E087E"/>
    <w:rsid w:val="008E08B6"/>
    <w:rsid w:val="008E08DE"/>
    <w:rsid w:val="008E0911"/>
    <w:rsid w:val="008E093D"/>
    <w:rsid w:val="008E0973"/>
    <w:rsid w:val="008E097B"/>
    <w:rsid w:val="008E09AC"/>
    <w:rsid w:val="008E09C2"/>
    <w:rsid w:val="008E09C3"/>
    <w:rsid w:val="008E09EB"/>
    <w:rsid w:val="008E0A1C"/>
    <w:rsid w:val="008E0A66"/>
    <w:rsid w:val="008E0A9A"/>
    <w:rsid w:val="008E0B05"/>
    <w:rsid w:val="008E0C4B"/>
    <w:rsid w:val="008E0C53"/>
    <w:rsid w:val="008E0C68"/>
    <w:rsid w:val="008E0CE4"/>
    <w:rsid w:val="008E0D42"/>
    <w:rsid w:val="008E0D70"/>
    <w:rsid w:val="008E0DA5"/>
    <w:rsid w:val="008E0DB0"/>
    <w:rsid w:val="008E0DDC"/>
    <w:rsid w:val="008E0DE1"/>
    <w:rsid w:val="008E0DE7"/>
    <w:rsid w:val="008E0DF9"/>
    <w:rsid w:val="008E0E4B"/>
    <w:rsid w:val="008E0E4E"/>
    <w:rsid w:val="008E0EE8"/>
    <w:rsid w:val="008E0F09"/>
    <w:rsid w:val="008E0F1A"/>
    <w:rsid w:val="008E103C"/>
    <w:rsid w:val="008E104C"/>
    <w:rsid w:val="008E10B4"/>
    <w:rsid w:val="008E10B6"/>
    <w:rsid w:val="008E10BB"/>
    <w:rsid w:val="008E10DA"/>
    <w:rsid w:val="008E112E"/>
    <w:rsid w:val="008E1143"/>
    <w:rsid w:val="008E1159"/>
    <w:rsid w:val="008E116C"/>
    <w:rsid w:val="008E118B"/>
    <w:rsid w:val="008E11A2"/>
    <w:rsid w:val="008E11B4"/>
    <w:rsid w:val="008E11CD"/>
    <w:rsid w:val="008E1314"/>
    <w:rsid w:val="008E13C6"/>
    <w:rsid w:val="008E1454"/>
    <w:rsid w:val="008E14AA"/>
    <w:rsid w:val="008E14BD"/>
    <w:rsid w:val="008E156A"/>
    <w:rsid w:val="008E1600"/>
    <w:rsid w:val="008E170E"/>
    <w:rsid w:val="008E1733"/>
    <w:rsid w:val="008E176C"/>
    <w:rsid w:val="008E1806"/>
    <w:rsid w:val="008E18C2"/>
    <w:rsid w:val="008E18EB"/>
    <w:rsid w:val="008E19E3"/>
    <w:rsid w:val="008E1A24"/>
    <w:rsid w:val="008E1A2E"/>
    <w:rsid w:val="008E1A8E"/>
    <w:rsid w:val="008E1AF0"/>
    <w:rsid w:val="008E1B1E"/>
    <w:rsid w:val="008E1B75"/>
    <w:rsid w:val="008E1C56"/>
    <w:rsid w:val="008E1C63"/>
    <w:rsid w:val="008E1C70"/>
    <w:rsid w:val="008E1D00"/>
    <w:rsid w:val="008E1D4B"/>
    <w:rsid w:val="008E1D8B"/>
    <w:rsid w:val="008E1EF9"/>
    <w:rsid w:val="008E1FC6"/>
    <w:rsid w:val="008E2018"/>
    <w:rsid w:val="008E2086"/>
    <w:rsid w:val="008E20F8"/>
    <w:rsid w:val="008E2140"/>
    <w:rsid w:val="008E214B"/>
    <w:rsid w:val="008E2183"/>
    <w:rsid w:val="008E224D"/>
    <w:rsid w:val="008E227D"/>
    <w:rsid w:val="008E22FF"/>
    <w:rsid w:val="008E237D"/>
    <w:rsid w:val="008E23A2"/>
    <w:rsid w:val="008E23B8"/>
    <w:rsid w:val="008E23F8"/>
    <w:rsid w:val="008E2400"/>
    <w:rsid w:val="008E246F"/>
    <w:rsid w:val="008E2516"/>
    <w:rsid w:val="008E2518"/>
    <w:rsid w:val="008E2579"/>
    <w:rsid w:val="008E2584"/>
    <w:rsid w:val="008E259D"/>
    <w:rsid w:val="008E25A7"/>
    <w:rsid w:val="008E25E2"/>
    <w:rsid w:val="008E2645"/>
    <w:rsid w:val="008E26E6"/>
    <w:rsid w:val="008E2753"/>
    <w:rsid w:val="008E2787"/>
    <w:rsid w:val="008E27F3"/>
    <w:rsid w:val="008E286A"/>
    <w:rsid w:val="008E286F"/>
    <w:rsid w:val="008E2899"/>
    <w:rsid w:val="008E290A"/>
    <w:rsid w:val="008E2939"/>
    <w:rsid w:val="008E295E"/>
    <w:rsid w:val="008E29D2"/>
    <w:rsid w:val="008E29D7"/>
    <w:rsid w:val="008E29F4"/>
    <w:rsid w:val="008E2A50"/>
    <w:rsid w:val="008E2A5B"/>
    <w:rsid w:val="008E2B03"/>
    <w:rsid w:val="008E2B0F"/>
    <w:rsid w:val="008E2B47"/>
    <w:rsid w:val="008E2C95"/>
    <w:rsid w:val="008E2CF1"/>
    <w:rsid w:val="008E2D41"/>
    <w:rsid w:val="008E2D64"/>
    <w:rsid w:val="008E2D80"/>
    <w:rsid w:val="008E2D8D"/>
    <w:rsid w:val="008E2DD8"/>
    <w:rsid w:val="008E2DFA"/>
    <w:rsid w:val="008E2E07"/>
    <w:rsid w:val="008E2EBD"/>
    <w:rsid w:val="008E2ECC"/>
    <w:rsid w:val="008E2EF2"/>
    <w:rsid w:val="008E2F1D"/>
    <w:rsid w:val="008E2FE1"/>
    <w:rsid w:val="008E3056"/>
    <w:rsid w:val="008E3097"/>
    <w:rsid w:val="008E30B7"/>
    <w:rsid w:val="008E310C"/>
    <w:rsid w:val="008E3150"/>
    <w:rsid w:val="008E3184"/>
    <w:rsid w:val="008E322B"/>
    <w:rsid w:val="008E3268"/>
    <w:rsid w:val="008E332A"/>
    <w:rsid w:val="008E3375"/>
    <w:rsid w:val="008E3459"/>
    <w:rsid w:val="008E3493"/>
    <w:rsid w:val="008E34F4"/>
    <w:rsid w:val="008E35E4"/>
    <w:rsid w:val="008E3607"/>
    <w:rsid w:val="008E3629"/>
    <w:rsid w:val="008E3636"/>
    <w:rsid w:val="008E36F1"/>
    <w:rsid w:val="008E37AE"/>
    <w:rsid w:val="008E37BD"/>
    <w:rsid w:val="008E3816"/>
    <w:rsid w:val="008E3871"/>
    <w:rsid w:val="008E3900"/>
    <w:rsid w:val="008E394E"/>
    <w:rsid w:val="008E395E"/>
    <w:rsid w:val="008E3983"/>
    <w:rsid w:val="008E39B3"/>
    <w:rsid w:val="008E3A08"/>
    <w:rsid w:val="008E3A37"/>
    <w:rsid w:val="008E3AB7"/>
    <w:rsid w:val="008E3B38"/>
    <w:rsid w:val="008E3B69"/>
    <w:rsid w:val="008E3B79"/>
    <w:rsid w:val="008E3B7F"/>
    <w:rsid w:val="008E3B9B"/>
    <w:rsid w:val="008E3BDB"/>
    <w:rsid w:val="008E3BEB"/>
    <w:rsid w:val="008E3BEC"/>
    <w:rsid w:val="008E3C0B"/>
    <w:rsid w:val="008E3C68"/>
    <w:rsid w:val="008E3C72"/>
    <w:rsid w:val="008E3C7E"/>
    <w:rsid w:val="008E3C9F"/>
    <w:rsid w:val="008E3CA7"/>
    <w:rsid w:val="008E3CCA"/>
    <w:rsid w:val="008E3D2F"/>
    <w:rsid w:val="008E3DC5"/>
    <w:rsid w:val="008E3DE3"/>
    <w:rsid w:val="008E3E8C"/>
    <w:rsid w:val="008E3EA6"/>
    <w:rsid w:val="008E3ED0"/>
    <w:rsid w:val="008E3F70"/>
    <w:rsid w:val="008E3F76"/>
    <w:rsid w:val="008E3FA5"/>
    <w:rsid w:val="008E4052"/>
    <w:rsid w:val="008E4065"/>
    <w:rsid w:val="008E409C"/>
    <w:rsid w:val="008E40D5"/>
    <w:rsid w:val="008E411B"/>
    <w:rsid w:val="008E416A"/>
    <w:rsid w:val="008E419D"/>
    <w:rsid w:val="008E41E4"/>
    <w:rsid w:val="008E4203"/>
    <w:rsid w:val="008E420D"/>
    <w:rsid w:val="008E4227"/>
    <w:rsid w:val="008E4228"/>
    <w:rsid w:val="008E424C"/>
    <w:rsid w:val="008E4265"/>
    <w:rsid w:val="008E4268"/>
    <w:rsid w:val="008E42BB"/>
    <w:rsid w:val="008E42C6"/>
    <w:rsid w:val="008E435F"/>
    <w:rsid w:val="008E438D"/>
    <w:rsid w:val="008E4391"/>
    <w:rsid w:val="008E4510"/>
    <w:rsid w:val="008E454C"/>
    <w:rsid w:val="008E45A3"/>
    <w:rsid w:val="008E45B7"/>
    <w:rsid w:val="008E45C3"/>
    <w:rsid w:val="008E45CD"/>
    <w:rsid w:val="008E45D9"/>
    <w:rsid w:val="008E4638"/>
    <w:rsid w:val="008E464E"/>
    <w:rsid w:val="008E4684"/>
    <w:rsid w:val="008E46C6"/>
    <w:rsid w:val="008E46FF"/>
    <w:rsid w:val="008E4713"/>
    <w:rsid w:val="008E471D"/>
    <w:rsid w:val="008E4776"/>
    <w:rsid w:val="008E4787"/>
    <w:rsid w:val="008E47FA"/>
    <w:rsid w:val="008E4987"/>
    <w:rsid w:val="008E4990"/>
    <w:rsid w:val="008E49A3"/>
    <w:rsid w:val="008E49F8"/>
    <w:rsid w:val="008E4A07"/>
    <w:rsid w:val="008E4A63"/>
    <w:rsid w:val="008E4A83"/>
    <w:rsid w:val="008E4ACC"/>
    <w:rsid w:val="008E4AE9"/>
    <w:rsid w:val="008E4B10"/>
    <w:rsid w:val="008E4B2B"/>
    <w:rsid w:val="008E4B2D"/>
    <w:rsid w:val="008E4B6C"/>
    <w:rsid w:val="008E4B77"/>
    <w:rsid w:val="008E4B93"/>
    <w:rsid w:val="008E4BFC"/>
    <w:rsid w:val="008E4C2D"/>
    <w:rsid w:val="008E4C70"/>
    <w:rsid w:val="008E4C75"/>
    <w:rsid w:val="008E4CA1"/>
    <w:rsid w:val="008E4CB6"/>
    <w:rsid w:val="008E4CBB"/>
    <w:rsid w:val="008E4D22"/>
    <w:rsid w:val="008E4D25"/>
    <w:rsid w:val="008E4D32"/>
    <w:rsid w:val="008E4D7E"/>
    <w:rsid w:val="008E4DC1"/>
    <w:rsid w:val="008E4DC8"/>
    <w:rsid w:val="008E4DF6"/>
    <w:rsid w:val="008E4E24"/>
    <w:rsid w:val="008E4E60"/>
    <w:rsid w:val="008E4ECB"/>
    <w:rsid w:val="008E4F7C"/>
    <w:rsid w:val="008E4FC7"/>
    <w:rsid w:val="008E4FCC"/>
    <w:rsid w:val="008E4FEA"/>
    <w:rsid w:val="008E5067"/>
    <w:rsid w:val="008E50D6"/>
    <w:rsid w:val="008E51C0"/>
    <w:rsid w:val="008E51ED"/>
    <w:rsid w:val="008E527C"/>
    <w:rsid w:val="008E5283"/>
    <w:rsid w:val="008E52A1"/>
    <w:rsid w:val="008E5302"/>
    <w:rsid w:val="008E5312"/>
    <w:rsid w:val="008E5339"/>
    <w:rsid w:val="008E5354"/>
    <w:rsid w:val="008E5447"/>
    <w:rsid w:val="008E546E"/>
    <w:rsid w:val="008E5491"/>
    <w:rsid w:val="008E549F"/>
    <w:rsid w:val="008E54B4"/>
    <w:rsid w:val="008E5512"/>
    <w:rsid w:val="008E555E"/>
    <w:rsid w:val="008E55D3"/>
    <w:rsid w:val="008E55E4"/>
    <w:rsid w:val="008E5632"/>
    <w:rsid w:val="008E56DA"/>
    <w:rsid w:val="008E56E8"/>
    <w:rsid w:val="008E56FF"/>
    <w:rsid w:val="008E5732"/>
    <w:rsid w:val="008E5752"/>
    <w:rsid w:val="008E575A"/>
    <w:rsid w:val="008E5791"/>
    <w:rsid w:val="008E5792"/>
    <w:rsid w:val="008E57CE"/>
    <w:rsid w:val="008E5849"/>
    <w:rsid w:val="008E5867"/>
    <w:rsid w:val="008E58B8"/>
    <w:rsid w:val="008E58CF"/>
    <w:rsid w:val="008E58F3"/>
    <w:rsid w:val="008E5904"/>
    <w:rsid w:val="008E590C"/>
    <w:rsid w:val="008E59C4"/>
    <w:rsid w:val="008E59D0"/>
    <w:rsid w:val="008E59EF"/>
    <w:rsid w:val="008E59F2"/>
    <w:rsid w:val="008E59F9"/>
    <w:rsid w:val="008E59FF"/>
    <w:rsid w:val="008E5A41"/>
    <w:rsid w:val="008E5A43"/>
    <w:rsid w:val="008E5A75"/>
    <w:rsid w:val="008E5B41"/>
    <w:rsid w:val="008E5BD2"/>
    <w:rsid w:val="008E5BE4"/>
    <w:rsid w:val="008E5BFE"/>
    <w:rsid w:val="008E5C6E"/>
    <w:rsid w:val="008E5C7E"/>
    <w:rsid w:val="008E5C9D"/>
    <w:rsid w:val="008E5CE0"/>
    <w:rsid w:val="008E5CE6"/>
    <w:rsid w:val="008E5CEA"/>
    <w:rsid w:val="008E5CEC"/>
    <w:rsid w:val="008E5D24"/>
    <w:rsid w:val="008E5D31"/>
    <w:rsid w:val="008E5E1E"/>
    <w:rsid w:val="008E5E63"/>
    <w:rsid w:val="008E5EC9"/>
    <w:rsid w:val="008E5ECA"/>
    <w:rsid w:val="008E5F57"/>
    <w:rsid w:val="008E5F87"/>
    <w:rsid w:val="008E5FD2"/>
    <w:rsid w:val="008E5FEE"/>
    <w:rsid w:val="008E604C"/>
    <w:rsid w:val="008E6081"/>
    <w:rsid w:val="008E60B9"/>
    <w:rsid w:val="008E60BB"/>
    <w:rsid w:val="008E60E5"/>
    <w:rsid w:val="008E60ED"/>
    <w:rsid w:val="008E610B"/>
    <w:rsid w:val="008E6131"/>
    <w:rsid w:val="008E61A9"/>
    <w:rsid w:val="008E61C1"/>
    <w:rsid w:val="008E623D"/>
    <w:rsid w:val="008E6292"/>
    <w:rsid w:val="008E6337"/>
    <w:rsid w:val="008E635B"/>
    <w:rsid w:val="008E6368"/>
    <w:rsid w:val="008E6381"/>
    <w:rsid w:val="008E63D1"/>
    <w:rsid w:val="008E6455"/>
    <w:rsid w:val="008E6498"/>
    <w:rsid w:val="008E6512"/>
    <w:rsid w:val="008E654B"/>
    <w:rsid w:val="008E6551"/>
    <w:rsid w:val="008E656D"/>
    <w:rsid w:val="008E65B8"/>
    <w:rsid w:val="008E65D6"/>
    <w:rsid w:val="008E6626"/>
    <w:rsid w:val="008E667F"/>
    <w:rsid w:val="008E66E8"/>
    <w:rsid w:val="008E671F"/>
    <w:rsid w:val="008E672F"/>
    <w:rsid w:val="008E67A4"/>
    <w:rsid w:val="008E67D2"/>
    <w:rsid w:val="008E68A8"/>
    <w:rsid w:val="008E68BF"/>
    <w:rsid w:val="008E68E9"/>
    <w:rsid w:val="008E68F3"/>
    <w:rsid w:val="008E6996"/>
    <w:rsid w:val="008E69D9"/>
    <w:rsid w:val="008E6A3A"/>
    <w:rsid w:val="008E6A5D"/>
    <w:rsid w:val="008E6A72"/>
    <w:rsid w:val="008E6AB1"/>
    <w:rsid w:val="008E6AB9"/>
    <w:rsid w:val="008E6AD7"/>
    <w:rsid w:val="008E6B0A"/>
    <w:rsid w:val="008E6B14"/>
    <w:rsid w:val="008E6BC4"/>
    <w:rsid w:val="008E6C06"/>
    <w:rsid w:val="008E6C44"/>
    <w:rsid w:val="008E6C7B"/>
    <w:rsid w:val="008E6C92"/>
    <w:rsid w:val="008E6D0E"/>
    <w:rsid w:val="008E6D1A"/>
    <w:rsid w:val="008E6D26"/>
    <w:rsid w:val="008E6DBD"/>
    <w:rsid w:val="008E6DF8"/>
    <w:rsid w:val="008E6E68"/>
    <w:rsid w:val="008E6EA1"/>
    <w:rsid w:val="008E6EB2"/>
    <w:rsid w:val="008E6FC7"/>
    <w:rsid w:val="008E709A"/>
    <w:rsid w:val="008E70D8"/>
    <w:rsid w:val="008E711D"/>
    <w:rsid w:val="008E71E1"/>
    <w:rsid w:val="008E722A"/>
    <w:rsid w:val="008E728A"/>
    <w:rsid w:val="008E72D6"/>
    <w:rsid w:val="008E7327"/>
    <w:rsid w:val="008E733D"/>
    <w:rsid w:val="008E73AC"/>
    <w:rsid w:val="008E73C3"/>
    <w:rsid w:val="008E744F"/>
    <w:rsid w:val="008E7488"/>
    <w:rsid w:val="008E752E"/>
    <w:rsid w:val="008E754C"/>
    <w:rsid w:val="008E755C"/>
    <w:rsid w:val="008E756B"/>
    <w:rsid w:val="008E7573"/>
    <w:rsid w:val="008E7585"/>
    <w:rsid w:val="008E75D3"/>
    <w:rsid w:val="008E75F8"/>
    <w:rsid w:val="008E7616"/>
    <w:rsid w:val="008E767A"/>
    <w:rsid w:val="008E76A1"/>
    <w:rsid w:val="008E76AD"/>
    <w:rsid w:val="008E76DB"/>
    <w:rsid w:val="008E772A"/>
    <w:rsid w:val="008E7740"/>
    <w:rsid w:val="008E77A5"/>
    <w:rsid w:val="008E787B"/>
    <w:rsid w:val="008E78A4"/>
    <w:rsid w:val="008E7968"/>
    <w:rsid w:val="008E7A17"/>
    <w:rsid w:val="008E7ACF"/>
    <w:rsid w:val="008E7AFF"/>
    <w:rsid w:val="008E7B0E"/>
    <w:rsid w:val="008E7B72"/>
    <w:rsid w:val="008E7BC7"/>
    <w:rsid w:val="008E7BF9"/>
    <w:rsid w:val="008E7CB1"/>
    <w:rsid w:val="008E7D42"/>
    <w:rsid w:val="008E7D60"/>
    <w:rsid w:val="008E7D63"/>
    <w:rsid w:val="008E7E45"/>
    <w:rsid w:val="008E7E58"/>
    <w:rsid w:val="008E7F07"/>
    <w:rsid w:val="008E7F08"/>
    <w:rsid w:val="008E7F1A"/>
    <w:rsid w:val="008E7F91"/>
    <w:rsid w:val="008E7FAD"/>
    <w:rsid w:val="008E7FB7"/>
    <w:rsid w:val="008E7FBF"/>
    <w:rsid w:val="008E7FDE"/>
    <w:rsid w:val="008E7FE1"/>
    <w:rsid w:val="008F0021"/>
    <w:rsid w:val="008F0035"/>
    <w:rsid w:val="008F0062"/>
    <w:rsid w:val="008F00C5"/>
    <w:rsid w:val="008F00D5"/>
    <w:rsid w:val="008F00F1"/>
    <w:rsid w:val="008F0153"/>
    <w:rsid w:val="008F01C3"/>
    <w:rsid w:val="008F0267"/>
    <w:rsid w:val="008F0271"/>
    <w:rsid w:val="008F02C8"/>
    <w:rsid w:val="008F02E6"/>
    <w:rsid w:val="008F036B"/>
    <w:rsid w:val="008F037F"/>
    <w:rsid w:val="008F038B"/>
    <w:rsid w:val="008F03C0"/>
    <w:rsid w:val="008F049C"/>
    <w:rsid w:val="008F04F9"/>
    <w:rsid w:val="008F04FD"/>
    <w:rsid w:val="008F052A"/>
    <w:rsid w:val="008F0554"/>
    <w:rsid w:val="008F0596"/>
    <w:rsid w:val="008F0617"/>
    <w:rsid w:val="008F0657"/>
    <w:rsid w:val="008F0680"/>
    <w:rsid w:val="008F06B6"/>
    <w:rsid w:val="008F06F2"/>
    <w:rsid w:val="008F0705"/>
    <w:rsid w:val="008F0725"/>
    <w:rsid w:val="008F076D"/>
    <w:rsid w:val="008F07DC"/>
    <w:rsid w:val="008F07EC"/>
    <w:rsid w:val="008F087B"/>
    <w:rsid w:val="008F0885"/>
    <w:rsid w:val="008F0898"/>
    <w:rsid w:val="008F08B4"/>
    <w:rsid w:val="008F0928"/>
    <w:rsid w:val="008F093C"/>
    <w:rsid w:val="008F09E2"/>
    <w:rsid w:val="008F0A30"/>
    <w:rsid w:val="008F0AD2"/>
    <w:rsid w:val="008F0AD4"/>
    <w:rsid w:val="008F0B10"/>
    <w:rsid w:val="008F0B36"/>
    <w:rsid w:val="008F0BD2"/>
    <w:rsid w:val="008F0C67"/>
    <w:rsid w:val="008F0D48"/>
    <w:rsid w:val="008F0D52"/>
    <w:rsid w:val="008F0DDE"/>
    <w:rsid w:val="008F0EAB"/>
    <w:rsid w:val="008F0EE2"/>
    <w:rsid w:val="008F0F32"/>
    <w:rsid w:val="008F0F34"/>
    <w:rsid w:val="008F0F47"/>
    <w:rsid w:val="008F0F4F"/>
    <w:rsid w:val="008F0F64"/>
    <w:rsid w:val="008F0F7C"/>
    <w:rsid w:val="008F0FC5"/>
    <w:rsid w:val="008F1002"/>
    <w:rsid w:val="008F1027"/>
    <w:rsid w:val="008F1062"/>
    <w:rsid w:val="008F107E"/>
    <w:rsid w:val="008F1101"/>
    <w:rsid w:val="008F1146"/>
    <w:rsid w:val="008F11BD"/>
    <w:rsid w:val="008F11E4"/>
    <w:rsid w:val="008F11E8"/>
    <w:rsid w:val="008F1204"/>
    <w:rsid w:val="008F1337"/>
    <w:rsid w:val="008F1343"/>
    <w:rsid w:val="008F1396"/>
    <w:rsid w:val="008F140A"/>
    <w:rsid w:val="008F144A"/>
    <w:rsid w:val="008F14BA"/>
    <w:rsid w:val="008F14DC"/>
    <w:rsid w:val="008F1517"/>
    <w:rsid w:val="008F152C"/>
    <w:rsid w:val="008F15A5"/>
    <w:rsid w:val="008F15CD"/>
    <w:rsid w:val="008F15D7"/>
    <w:rsid w:val="008F1614"/>
    <w:rsid w:val="008F166F"/>
    <w:rsid w:val="008F167A"/>
    <w:rsid w:val="008F16F8"/>
    <w:rsid w:val="008F170B"/>
    <w:rsid w:val="008F173D"/>
    <w:rsid w:val="008F1758"/>
    <w:rsid w:val="008F1760"/>
    <w:rsid w:val="008F1794"/>
    <w:rsid w:val="008F1800"/>
    <w:rsid w:val="008F180E"/>
    <w:rsid w:val="008F1832"/>
    <w:rsid w:val="008F1852"/>
    <w:rsid w:val="008F187B"/>
    <w:rsid w:val="008F1896"/>
    <w:rsid w:val="008F18AC"/>
    <w:rsid w:val="008F18E7"/>
    <w:rsid w:val="008F18F2"/>
    <w:rsid w:val="008F18FA"/>
    <w:rsid w:val="008F18FE"/>
    <w:rsid w:val="008F1909"/>
    <w:rsid w:val="008F1942"/>
    <w:rsid w:val="008F1945"/>
    <w:rsid w:val="008F1953"/>
    <w:rsid w:val="008F196A"/>
    <w:rsid w:val="008F19A5"/>
    <w:rsid w:val="008F19EC"/>
    <w:rsid w:val="008F1A39"/>
    <w:rsid w:val="008F1A3F"/>
    <w:rsid w:val="008F1B92"/>
    <w:rsid w:val="008F1BBE"/>
    <w:rsid w:val="008F1C14"/>
    <w:rsid w:val="008F1CB0"/>
    <w:rsid w:val="008F1D24"/>
    <w:rsid w:val="008F1D6F"/>
    <w:rsid w:val="008F1D7B"/>
    <w:rsid w:val="008F1D9A"/>
    <w:rsid w:val="008F1DDD"/>
    <w:rsid w:val="008F1E0D"/>
    <w:rsid w:val="008F1E31"/>
    <w:rsid w:val="008F1E56"/>
    <w:rsid w:val="008F1F0C"/>
    <w:rsid w:val="008F1F27"/>
    <w:rsid w:val="008F1FA6"/>
    <w:rsid w:val="008F2045"/>
    <w:rsid w:val="008F2066"/>
    <w:rsid w:val="008F2069"/>
    <w:rsid w:val="008F206B"/>
    <w:rsid w:val="008F20CC"/>
    <w:rsid w:val="008F2147"/>
    <w:rsid w:val="008F2172"/>
    <w:rsid w:val="008F225C"/>
    <w:rsid w:val="008F22C3"/>
    <w:rsid w:val="008F2348"/>
    <w:rsid w:val="008F2371"/>
    <w:rsid w:val="008F23EB"/>
    <w:rsid w:val="008F23F8"/>
    <w:rsid w:val="008F245F"/>
    <w:rsid w:val="008F24A8"/>
    <w:rsid w:val="008F24DD"/>
    <w:rsid w:val="008F2527"/>
    <w:rsid w:val="008F2546"/>
    <w:rsid w:val="008F2555"/>
    <w:rsid w:val="008F2668"/>
    <w:rsid w:val="008F26D3"/>
    <w:rsid w:val="008F2728"/>
    <w:rsid w:val="008F273E"/>
    <w:rsid w:val="008F2743"/>
    <w:rsid w:val="008F274E"/>
    <w:rsid w:val="008F2802"/>
    <w:rsid w:val="008F285F"/>
    <w:rsid w:val="008F2860"/>
    <w:rsid w:val="008F2872"/>
    <w:rsid w:val="008F28B3"/>
    <w:rsid w:val="008F28E9"/>
    <w:rsid w:val="008F292E"/>
    <w:rsid w:val="008F293A"/>
    <w:rsid w:val="008F2965"/>
    <w:rsid w:val="008F2985"/>
    <w:rsid w:val="008F2987"/>
    <w:rsid w:val="008F298F"/>
    <w:rsid w:val="008F2997"/>
    <w:rsid w:val="008F2A8C"/>
    <w:rsid w:val="008F2B42"/>
    <w:rsid w:val="008F2BA5"/>
    <w:rsid w:val="008F2C36"/>
    <w:rsid w:val="008F2CA3"/>
    <w:rsid w:val="008F2CBA"/>
    <w:rsid w:val="008F2CCA"/>
    <w:rsid w:val="008F2CEF"/>
    <w:rsid w:val="008F2D02"/>
    <w:rsid w:val="008F2E4D"/>
    <w:rsid w:val="008F2E63"/>
    <w:rsid w:val="008F2E85"/>
    <w:rsid w:val="008F2E8F"/>
    <w:rsid w:val="008F2EDC"/>
    <w:rsid w:val="008F2F01"/>
    <w:rsid w:val="008F2F02"/>
    <w:rsid w:val="008F2F25"/>
    <w:rsid w:val="008F2F3A"/>
    <w:rsid w:val="008F2F8B"/>
    <w:rsid w:val="008F2FC8"/>
    <w:rsid w:val="008F2FCF"/>
    <w:rsid w:val="008F3012"/>
    <w:rsid w:val="008F307E"/>
    <w:rsid w:val="008F30A6"/>
    <w:rsid w:val="008F30E3"/>
    <w:rsid w:val="008F31C9"/>
    <w:rsid w:val="008F31CF"/>
    <w:rsid w:val="008F31D6"/>
    <w:rsid w:val="008F31FC"/>
    <w:rsid w:val="008F3241"/>
    <w:rsid w:val="008F328C"/>
    <w:rsid w:val="008F32BE"/>
    <w:rsid w:val="008F32D7"/>
    <w:rsid w:val="008F330B"/>
    <w:rsid w:val="008F331F"/>
    <w:rsid w:val="008F333C"/>
    <w:rsid w:val="008F342B"/>
    <w:rsid w:val="008F345B"/>
    <w:rsid w:val="008F3463"/>
    <w:rsid w:val="008F356D"/>
    <w:rsid w:val="008F35A6"/>
    <w:rsid w:val="008F360E"/>
    <w:rsid w:val="008F3623"/>
    <w:rsid w:val="008F364F"/>
    <w:rsid w:val="008F36C0"/>
    <w:rsid w:val="008F36CF"/>
    <w:rsid w:val="008F36DC"/>
    <w:rsid w:val="008F3785"/>
    <w:rsid w:val="008F37AB"/>
    <w:rsid w:val="008F3816"/>
    <w:rsid w:val="008F3847"/>
    <w:rsid w:val="008F38A7"/>
    <w:rsid w:val="008F38BE"/>
    <w:rsid w:val="008F3913"/>
    <w:rsid w:val="008F39DB"/>
    <w:rsid w:val="008F3A30"/>
    <w:rsid w:val="008F3A3C"/>
    <w:rsid w:val="008F3A5A"/>
    <w:rsid w:val="008F3ADB"/>
    <w:rsid w:val="008F3AF6"/>
    <w:rsid w:val="008F3B1B"/>
    <w:rsid w:val="008F3B26"/>
    <w:rsid w:val="008F3BB5"/>
    <w:rsid w:val="008F3BD8"/>
    <w:rsid w:val="008F3BEB"/>
    <w:rsid w:val="008F3BF5"/>
    <w:rsid w:val="008F3C84"/>
    <w:rsid w:val="008F3D34"/>
    <w:rsid w:val="008F3D5A"/>
    <w:rsid w:val="008F3D86"/>
    <w:rsid w:val="008F3E3D"/>
    <w:rsid w:val="008F3E72"/>
    <w:rsid w:val="008F3F1B"/>
    <w:rsid w:val="008F3F54"/>
    <w:rsid w:val="008F3FF8"/>
    <w:rsid w:val="008F4159"/>
    <w:rsid w:val="008F4189"/>
    <w:rsid w:val="008F418A"/>
    <w:rsid w:val="008F4191"/>
    <w:rsid w:val="008F41A3"/>
    <w:rsid w:val="008F4211"/>
    <w:rsid w:val="008F42F2"/>
    <w:rsid w:val="008F4349"/>
    <w:rsid w:val="008F43CA"/>
    <w:rsid w:val="008F443A"/>
    <w:rsid w:val="008F4449"/>
    <w:rsid w:val="008F4459"/>
    <w:rsid w:val="008F4461"/>
    <w:rsid w:val="008F44AF"/>
    <w:rsid w:val="008F454C"/>
    <w:rsid w:val="008F45D4"/>
    <w:rsid w:val="008F45F9"/>
    <w:rsid w:val="008F4667"/>
    <w:rsid w:val="008F468D"/>
    <w:rsid w:val="008F46AE"/>
    <w:rsid w:val="008F46CE"/>
    <w:rsid w:val="008F46DE"/>
    <w:rsid w:val="008F4707"/>
    <w:rsid w:val="008F4712"/>
    <w:rsid w:val="008F471B"/>
    <w:rsid w:val="008F4731"/>
    <w:rsid w:val="008F4737"/>
    <w:rsid w:val="008F49A6"/>
    <w:rsid w:val="008F4A1E"/>
    <w:rsid w:val="008F4ADE"/>
    <w:rsid w:val="008F4B35"/>
    <w:rsid w:val="008F4B4B"/>
    <w:rsid w:val="008F4B9E"/>
    <w:rsid w:val="008F4BC3"/>
    <w:rsid w:val="008F4BF5"/>
    <w:rsid w:val="008F4C16"/>
    <w:rsid w:val="008F4C2B"/>
    <w:rsid w:val="008F4C32"/>
    <w:rsid w:val="008F4C7F"/>
    <w:rsid w:val="008F4CA6"/>
    <w:rsid w:val="008F4D48"/>
    <w:rsid w:val="008F4D6F"/>
    <w:rsid w:val="008F4E44"/>
    <w:rsid w:val="008F4EA9"/>
    <w:rsid w:val="008F4EE6"/>
    <w:rsid w:val="008F4F01"/>
    <w:rsid w:val="008F4FC0"/>
    <w:rsid w:val="008F504F"/>
    <w:rsid w:val="008F506F"/>
    <w:rsid w:val="008F5095"/>
    <w:rsid w:val="008F50FD"/>
    <w:rsid w:val="008F5194"/>
    <w:rsid w:val="008F520A"/>
    <w:rsid w:val="008F521D"/>
    <w:rsid w:val="008F5225"/>
    <w:rsid w:val="008F5250"/>
    <w:rsid w:val="008F5298"/>
    <w:rsid w:val="008F52CF"/>
    <w:rsid w:val="008F530B"/>
    <w:rsid w:val="008F536C"/>
    <w:rsid w:val="008F53B3"/>
    <w:rsid w:val="008F53C7"/>
    <w:rsid w:val="008F542D"/>
    <w:rsid w:val="008F5456"/>
    <w:rsid w:val="008F54A3"/>
    <w:rsid w:val="008F54C7"/>
    <w:rsid w:val="008F54F5"/>
    <w:rsid w:val="008F5515"/>
    <w:rsid w:val="008F5537"/>
    <w:rsid w:val="008F553B"/>
    <w:rsid w:val="008F5542"/>
    <w:rsid w:val="008F55CE"/>
    <w:rsid w:val="008F563F"/>
    <w:rsid w:val="008F564A"/>
    <w:rsid w:val="008F56AC"/>
    <w:rsid w:val="008F56E3"/>
    <w:rsid w:val="008F5862"/>
    <w:rsid w:val="008F58A9"/>
    <w:rsid w:val="008F58F1"/>
    <w:rsid w:val="008F594B"/>
    <w:rsid w:val="008F596D"/>
    <w:rsid w:val="008F596F"/>
    <w:rsid w:val="008F5974"/>
    <w:rsid w:val="008F59A6"/>
    <w:rsid w:val="008F59AE"/>
    <w:rsid w:val="008F5A21"/>
    <w:rsid w:val="008F5A7D"/>
    <w:rsid w:val="008F5AA9"/>
    <w:rsid w:val="008F5B01"/>
    <w:rsid w:val="008F5B7A"/>
    <w:rsid w:val="008F5BA6"/>
    <w:rsid w:val="008F5BBA"/>
    <w:rsid w:val="008F5BC3"/>
    <w:rsid w:val="008F5C11"/>
    <w:rsid w:val="008F5C1D"/>
    <w:rsid w:val="008F5C3B"/>
    <w:rsid w:val="008F5C4E"/>
    <w:rsid w:val="008F5C67"/>
    <w:rsid w:val="008F5C99"/>
    <w:rsid w:val="008F5CAC"/>
    <w:rsid w:val="008F5CC3"/>
    <w:rsid w:val="008F5D05"/>
    <w:rsid w:val="008F5DF9"/>
    <w:rsid w:val="008F5DFC"/>
    <w:rsid w:val="008F5E12"/>
    <w:rsid w:val="008F5EC4"/>
    <w:rsid w:val="008F5F4F"/>
    <w:rsid w:val="008F5F7A"/>
    <w:rsid w:val="008F5F84"/>
    <w:rsid w:val="008F5F8B"/>
    <w:rsid w:val="008F5FBD"/>
    <w:rsid w:val="008F6017"/>
    <w:rsid w:val="008F604C"/>
    <w:rsid w:val="008F60A2"/>
    <w:rsid w:val="008F6115"/>
    <w:rsid w:val="008F615C"/>
    <w:rsid w:val="008F6168"/>
    <w:rsid w:val="008F616A"/>
    <w:rsid w:val="008F616B"/>
    <w:rsid w:val="008F6184"/>
    <w:rsid w:val="008F619E"/>
    <w:rsid w:val="008F6203"/>
    <w:rsid w:val="008F621A"/>
    <w:rsid w:val="008F621E"/>
    <w:rsid w:val="008F6262"/>
    <w:rsid w:val="008F63F4"/>
    <w:rsid w:val="008F63FF"/>
    <w:rsid w:val="008F6561"/>
    <w:rsid w:val="008F6567"/>
    <w:rsid w:val="008F657D"/>
    <w:rsid w:val="008F660C"/>
    <w:rsid w:val="008F662F"/>
    <w:rsid w:val="008F6668"/>
    <w:rsid w:val="008F6673"/>
    <w:rsid w:val="008F66E3"/>
    <w:rsid w:val="008F67D6"/>
    <w:rsid w:val="008F67EB"/>
    <w:rsid w:val="008F68CA"/>
    <w:rsid w:val="008F6906"/>
    <w:rsid w:val="008F6925"/>
    <w:rsid w:val="008F6957"/>
    <w:rsid w:val="008F69A4"/>
    <w:rsid w:val="008F69E7"/>
    <w:rsid w:val="008F6AE0"/>
    <w:rsid w:val="008F6B0F"/>
    <w:rsid w:val="008F6B27"/>
    <w:rsid w:val="008F6BB6"/>
    <w:rsid w:val="008F6BFB"/>
    <w:rsid w:val="008F6C68"/>
    <w:rsid w:val="008F6D0F"/>
    <w:rsid w:val="008F6DA5"/>
    <w:rsid w:val="008F6DE4"/>
    <w:rsid w:val="008F6E03"/>
    <w:rsid w:val="008F6E3B"/>
    <w:rsid w:val="008F6ECA"/>
    <w:rsid w:val="008F6F1F"/>
    <w:rsid w:val="008F6F59"/>
    <w:rsid w:val="008F6FC9"/>
    <w:rsid w:val="008F6FD5"/>
    <w:rsid w:val="008F7000"/>
    <w:rsid w:val="008F702F"/>
    <w:rsid w:val="008F703D"/>
    <w:rsid w:val="008F70E4"/>
    <w:rsid w:val="008F7103"/>
    <w:rsid w:val="008F7115"/>
    <w:rsid w:val="008F7151"/>
    <w:rsid w:val="008F7168"/>
    <w:rsid w:val="008F7283"/>
    <w:rsid w:val="008F72B3"/>
    <w:rsid w:val="008F72BC"/>
    <w:rsid w:val="008F72E5"/>
    <w:rsid w:val="008F7328"/>
    <w:rsid w:val="008F73C4"/>
    <w:rsid w:val="008F749A"/>
    <w:rsid w:val="008F7523"/>
    <w:rsid w:val="008F7540"/>
    <w:rsid w:val="008F7559"/>
    <w:rsid w:val="008F7570"/>
    <w:rsid w:val="008F759A"/>
    <w:rsid w:val="008F75C0"/>
    <w:rsid w:val="008F75D7"/>
    <w:rsid w:val="008F7635"/>
    <w:rsid w:val="008F7707"/>
    <w:rsid w:val="008F7765"/>
    <w:rsid w:val="008F778F"/>
    <w:rsid w:val="008F7791"/>
    <w:rsid w:val="008F77B5"/>
    <w:rsid w:val="008F77BE"/>
    <w:rsid w:val="008F781E"/>
    <w:rsid w:val="008F78AD"/>
    <w:rsid w:val="008F78B3"/>
    <w:rsid w:val="008F78E2"/>
    <w:rsid w:val="008F7912"/>
    <w:rsid w:val="008F797A"/>
    <w:rsid w:val="008F79B9"/>
    <w:rsid w:val="008F79F5"/>
    <w:rsid w:val="008F7A31"/>
    <w:rsid w:val="008F7A34"/>
    <w:rsid w:val="008F7AC4"/>
    <w:rsid w:val="008F7ACB"/>
    <w:rsid w:val="008F7AE3"/>
    <w:rsid w:val="008F7B28"/>
    <w:rsid w:val="008F7B6B"/>
    <w:rsid w:val="008F7B72"/>
    <w:rsid w:val="008F7B78"/>
    <w:rsid w:val="008F7B7D"/>
    <w:rsid w:val="008F7BA8"/>
    <w:rsid w:val="008F7C6F"/>
    <w:rsid w:val="008F7C8D"/>
    <w:rsid w:val="008F7CCB"/>
    <w:rsid w:val="008F7D70"/>
    <w:rsid w:val="008F7D76"/>
    <w:rsid w:val="008F7D84"/>
    <w:rsid w:val="008F7DB6"/>
    <w:rsid w:val="008F7DB8"/>
    <w:rsid w:val="008F7E54"/>
    <w:rsid w:val="008F7E69"/>
    <w:rsid w:val="008F7EA6"/>
    <w:rsid w:val="008F7EBA"/>
    <w:rsid w:val="008F7F0E"/>
    <w:rsid w:val="00900031"/>
    <w:rsid w:val="0090003D"/>
    <w:rsid w:val="00900058"/>
    <w:rsid w:val="00900064"/>
    <w:rsid w:val="009000B8"/>
    <w:rsid w:val="009000CC"/>
    <w:rsid w:val="009000D2"/>
    <w:rsid w:val="00900112"/>
    <w:rsid w:val="009001E6"/>
    <w:rsid w:val="00900259"/>
    <w:rsid w:val="0090025E"/>
    <w:rsid w:val="00900262"/>
    <w:rsid w:val="0090028E"/>
    <w:rsid w:val="009002BF"/>
    <w:rsid w:val="009002F2"/>
    <w:rsid w:val="00900315"/>
    <w:rsid w:val="0090032B"/>
    <w:rsid w:val="00900340"/>
    <w:rsid w:val="00900350"/>
    <w:rsid w:val="00900358"/>
    <w:rsid w:val="0090042D"/>
    <w:rsid w:val="0090048B"/>
    <w:rsid w:val="009004F0"/>
    <w:rsid w:val="0090052D"/>
    <w:rsid w:val="00900695"/>
    <w:rsid w:val="009007A7"/>
    <w:rsid w:val="0090081D"/>
    <w:rsid w:val="00900832"/>
    <w:rsid w:val="009008A3"/>
    <w:rsid w:val="009008AA"/>
    <w:rsid w:val="009008B3"/>
    <w:rsid w:val="00900937"/>
    <w:rsid w:val="00900947"/>
    <w:rsid w:val="00900978"/>
    <w:rsid w:val="009009C3"/>
    <w:rsid w:val="00900A4B"/>
    <w:rsid w:val="00900AB7"/>
    <w:rsid w:val="00900AD9"/>
    <w:rsid w:val="00900B41"/>
    <w:rsid w:val="00900BF3"/>
    <w:rsid w:val="00900C40"/>
    <w:rsid w:val="00900C6F"/>
    <w:rsid w:val="00900CEC"/>
    <w:rsid w:val="00900CFC"/>
    <w:rsid w:val="00900D4E"/>
    <w:rsid w:val="00900DB5"/>
    <w:rsid w:val="00900DD5"/>
    <w:rsid w:val="00900DDE"/>
    <w:rsid w:val="00900EBC"/>
    <w:rsid w:val="00900EC1"/>
    <w:rsid w:val="00900F39"/>
    <w:rsid w:val="00900F45"/>
    <w:rsid w:val="00900F6F"/>
    <w:rsid w:val="00900F8A"/>
    <w:rsid w:val="00900FA5"/>
    <w:rsid w:val="00900FF3"/>
    <w:rsid w:val="00900FF8"/>
    <w:rsid w:val="00901058"/>
    <w:rsid w:val="0090107B"/>
    <w:rsid w:val="009010B4"/>
    <w:rsid w:val="009010B8"/>
    <w:rsid w:val="009010F4"/>
    <w:rsid w:val="00901128"/>
    <w:rsid w:val="0090116E"/>
    <w:rsid w:val="00901192"/>
    <w:rsid w:val="009011CA"/>
    <w:rsid w:val="00901266"/>
    <w:rsid w:val="00901333"/>
    <w:rsid w:val="009013B7"/>
    <w:rsid w:val="00901442"/>
    <w:rsid w:val="0090147E"/>
    <w:rsid w:val="009014E3"/>
    <w:rsid w:val="0090153A"/>
    <w:rsid w:val="0090153C"/>
    <w:rsid w:val="00901556"/>
    <w:rsid w:val="0090156D"/>
    <w:rsid w:val="0090158C"/>
    <w:rsid w:val="009015F0"/>
    <w:rsid w:val="00901682"/>
    <w:rsid w:val="009016CE"/>
    <w:rsid w:val="009016E3"/>
    <w:rsid w:val="0090173C"/>
    <w:rsid w:val="00901768"/>
    <w:rsid w:val="00901777"/>
    <w:rsid w:val="00901794"/>
    <w:rsid w:val="009017B4"/>
    <w:rsid w:val="009017F0"/>
    <w:rsid w:val="00901854"/>
    <w:rsid w:val="00901919"/>
    <w:rsid w:val="00901955"/>
    <w:rsid w:val="0090198A"/>
    <w:rsid w:val="0090199F"/>
    <w:rsid w:val="00901A0C"/>
    <w:rsid w:val="00901A4E"/>
    <w:rsid w:val="00901B30"/>
    <w:rsid w:val="00901BA7"/>
    <w:rsid w:val="00901BE7"/>
    <w:rsid w:val="00901C46"/>
    <w:rsid w:val="00901CB9"/>
    <w:rsid w:val="00901CBA"/>
    <w:rsid w:val="00901CCB"/>
    <w:rsid w:val="00901CE2"/>
    <w:rsid w:val="00901D23"/>
    <w:rsid w:val="00901D49"/>
    <w:rsid w:val="00901D91"/>
    <w:rsid w:val="00901D98"/>
    <w:rsid w:val="00901DE0"/>
    <w:rsid w:val="00901E18"/>
    <w:rsid w:val="00901E89"/>
    <w:rsid w:val="00901EC1"/>
    <w:rsid w:val="00901EC8"/>
    <w:rsid w:val="00901ECF"/>
    <w:rsid w:val="00901F2F"/>
    <w:rsid w:val="00901F5C"/>
    <w:rsid w:val="00901FD1"/>
    <w:rsid w:val="00901FFC"/>
    <w:rsid w:val="0090200E"/>
    <w:rsid w:val="0090208A"/>
    <w:rsid w:val="0090208D"/>
    <w:rsid w:val="00902123"/>
    <w:rsid w:val="00902137"/>
    <w:rsid w:val="00902169"/>
    <w:rsid w:val="00902181"/>
    <w:rsid w:val="0090222D"/>
    <w:rsid w:val="009022C2"/>
    <w:rsid w:val="00902315"/>
    <w:rsid w:val="009023C2"/>
    <w:rsid w:val="009023CA"/>
    <w:rsid w:val="00902402"/>
    <w:rsid w:val="00902462"/>
    <w:rsid w:val="009024AD"/>
    <w:rsid w:val="00902502"/>
    <w:rsid w:val="00902535"/>
    <w:rsid w:val="0090255D"/>
    <w:rsid w:val="0090257B"/>
    <w:rsid w:val="009025AB"/>
    <w:rsid w:val="009025FD"/>
    <w:rsid w:val="00902640"/>
    <w:rsid w:val="00902654"/>
    <w:rsid w:val="009026D5"/>
    <w:rsid w:val="00902789"/>
    <w:rsid w:val="009027B1"/>
    <w:rsid w:val="00902802"/>
    <w:rsid w:val="00902851"/>
    <w:rsid w:val="00902867"/>
    <w:rsid w:val="00902891"/>
    <w:rsid w:val="00902908"/>
    <w:rsid w:val="00902949"/>
    <w:rsid w:val="00902957"/>
    <w:rsid w:val="00902980"/>
    <w:rsid w:val="00902998"/>
    <w:rsid w:val="009029C6"/>
    <w:rsid w:val="00902A11"/>
    <w:rsid w:val="00902A80"/>
    <w:rsid w:val="00902AC3"/>
    <w:rsid w:val="00902B2B"/>
    <w:rsid w:val="00902B32"/>
    <w:rsid w:val="00902B35"/>
    <w:rsid w:val="00902B45"/>
    <w:rsid w:val="00902B5D"/>
    <w:rsid w:val="00902B6C"/>
    <w:rsid w:val="00902BDF"/>
    <w:rsid w:val="00902C17"/>
    <w:rsid w:val="00902C44"/>
    <w:rsid w:val="00902C4F"/>
    <w:rsid w:val="00902CA6"/>
    <w:rsid w:val="00902CAA"/>
    <w:rsid w:val="00902CB9"/>
    <w:rsid w:val="00902D14"/>
    <w:rsid w:val="00902D37"/>
    <w:rsid w:val="00902D64"/>
    <w:rsid w:val="00902E59"/>
    <w:rsid w:val="00902E76"/>
    <w:rsid w:val="00902EB2"/>
    <w:rsid w:val="00902EC8"/>
    <w:rsid w:val="00902EE0"/>
    <w:rsid w:val="00902F67"/>
    <w:rsid w:val="00902F75"/>
    <w:rsid w:val="00902F81"/>
    <w:rsid w:val="00902F92"/>
    <w:rsid w:val="00902FA1"/>
    <w:rsid w:val="00903001"/>
    <w:rsid w:val="009030A4"/>
    <w:rsid w:val="009030E0"/>
    <w:rsid w:val="009030E4"/>
    <w:rsid w:val="00903181"/>
    <w:rsid w:val="009031CD"/>
    <w:rsid w:val="0090321B"/>
    <w:rsid w:val="0090323F"/>
    <w:rsid w:val="00903284"/>
    <w:rsid w:val="009032EA"/>
    <w:rsid w:val="009032F9"/>
    <w:rsid w:val="0090336B"/>
    <w:rsid w:val="009033A6"/>
    <w:rsid w:val="009033C1"/>
    <w:rsid w:val="009033C5"/>
    <w:rsid w:val="009033F3"/>
    <w:rsid w:val="009033FC"/>
    <w:rsid w:val="0090343A"/>
    <w:rsid w:val="00903476"/>
    <w:rsid w:val="00903501"/>
    <w:rsid w:val="0090355D"/>
    <w:rsid w:val="00903595"/>
    <w:rsid w:val="009035A4"/>
    <w:rsid w:val="009035F6"/>
    <w:rsid w:val="0090365D"/>
    <w:rsid w:val="0090366F"/>
    <w:rsid w:val="00903689"/>
    <w:rsid w:val="009036B9"/>
    <w:rsid w:val="009036FD"/>
    <w:rsid w:val="009036FF"/>
    <w:rsid w:val="00903753"/>
    <w:rsid w:val="00903754"/>
    <w:rsid w:val="00903788"/>
    <w:rsid w:val="00903839"/>
    <w:rsid w:val="00903879"/>
    <w:rsid w:val="0090387B"/>
    <w:rsid w:val="009038BA"/>
    <w:rsid w:val="00903945"/>
    <w:rsid w:val="00903A9D"/>
    <w:rsid w:val="00903AA9"/>
    <w:rsid w:val="00903AB2"/>
    <w:rsid w:val="00903B46"/>
    <w:rsid w:val="00903B86"/>
    <w:rsid w:val="00903BF4"/>
    <w:rsid w:val="00903C1E"/>
    <w:rsid w:val="00903C32"/>
    <w:rsid w:val="00903C4C"/>
    <w:rsid w:val="00903C5B"/>
    <w:rsid w:val="00903C7C"/>
    <w:rsid w:val="00903C82"/>
    <w:rsid w:val="00903C9C"/>
    <w:rsid w:val="00903CD5"/>
    <w:rsid w:val="00903D55"/>
    <w:rsid w:val="00903D78"/>
    <w:rsid w:val="00903DAD"/>
    <w:rsid w:val="00903E0F"/>
    <w:rsid w:val="00903E4F"/>
    <w:rsid w:val="00903E66"/>
    <w:rsid w:val="00903EF6"/>
    <w:rsid w:val="00903F04"/>
    <w:rsid w:val="00903FB9"/>
    <w:rsid w:val="00903FC9"/>
    <w:rsid w:val="0090405D"/>
    <w:rsid w:val="00904145"/>
    <w:rsid w:val="00904152"/>
    <w:rsid w:val="00904166"/>
    <w:rsid w:val="00904188"/>
    <w:rsid w:val="00904226"/>
    <w:rsid w:val="009042AA"/>
    <w:rsid w:val="009042E9"/>
    <w:rsid w:val="00904318"/>
    <w:rsid w:val="00904324"/>
    <w:rsid w:val="00904347"/>
    <w:rsid w:val="00904369"/>
    <w:rsid w:val="009043EC"/>
    <w:rsid w:val="00904427"/>
    <w:rsid w:val="0090467E"/>
    <w:rsid w:val="0090468E"/>
    <w:rsid w:val="0090469D"/>
    <w:rsid w:val="0090469E"/>
    <w:rsid w:val="0090476F"/>
    <w:rsid w:val="00904811"/>
    <w:rsid w:val="00904874"/>
    <w:rsid w:val="009048AD"/>
    <w:rsid w:val="009048F1"/>
    <w:rsid w:val="0090490E"/>
    <w:rsid w:val="00904975"/>
    <w:rsid w:val="009049C3"/>
    <w:rsid w:val="00904A15"/>
    <w:rsid w:val="00904AB1"/>
    <w:rsid w:val="00904B21"/>
    <w:rsid w:val="00904B35"/>
    <w:rsid w:val="00904BA3"/>
    <w:rsid w:val="00904BB7"/>
    <w:rsid w:val="00904BD9"/>
    <w:rsid w:val="00904BF6"/>
    <w:rsid w:val="00904CD3"/>
    <w:rsid w:val="00904D02"/>
    <w:rsid w:val="00904D21"/>
    <w:rsid w:val="00904DCB"/>
    <w:rsid w:val="00904E3F"/>
    <w:rsid w:val="00904E45"/>
    <w:rsid w:val="00904E6F"/>
    <w:rsid w:val="00904E7B"/>
    <w:rsid w:val="00904EB4"/>
    <w:rsid w:val="00904EFB"/>
    <w:rsid w:val="00904F39"/>
    <w:rsid w:val="00904FBE"/>
    <w:rsid w:val="00904FD9"/>
    <w:rsid w:val="00905011"/>
    <w:rsid w:val="0090503D"/>
    <w:rsid w:val="00905076"/>
    <w:rsid w:val="009050A9"/>
    <w:rsid w:val="009050D6"/>
    <w:rsid w:val="009050F6"/>
    <w:rsid w:val="00905111"/>
    <w:rsid w:val="0090511C"/>
    <w:rsid w:val="00905120"/>
    <w:rsid w:val="00905133"/>
    <w:rsid w:val="0090517F"/>
    <w:rsid w:val="00905187"/>
    <w:rsid w:val="0090525C"/>
    <w:rsid w:val="0090529B"/>
    <w:rsid w:val="009052A6"/>
    <w:rsid w:val="009052AD"/>
    <w:rsid w:val="00905343"/>
    <w:rsid w:val="0090539B"/>
    <w:rsid w:val="009053A1"/>
    <w:rsid w:val="009053AB"/>
    <w:rsid w:val="009053B7"/>
    <w:rsid w:val="009053BD"/>
    <w:rsid w:val="009053CB"/>
    <w:rsid w:val="009053D6"/>
    <w:rsid w:val="009053EB"/>
    <w:rsid w:val="0090543B"/>
    <w:rsid w:val="00905457"/>
    <w:rsid w:val="009054D0"/>
    <w:rsid w:val="009054FF"/>
    <w:rsid w:val="0090555C"/>
    <w:rsid w:val="00905578"/>
    <w:rsid w:val="0090558E"/>
    <w:rsid w:val="009055BE"/>
    <w:rsid w:val="00905650"/>
    <w:rsid w:val="0090567B"/>
    <w:rsid w:val="00905733"/>
    <w:rsid w:val="00905766"/>
    <w:rsid w:val="0090578B"/>
    <w:rsid w:val="0090579D"/>
    <w:rsid w:val="009057E9"/>
    <w:rsid w:val="009057FF"/>
    <w:rsid w:val="00905819"/>
    <w:rsid w:val="00905820"/>
    <w:rsid w:val="00905874"/>
    <w:rsid w:val="009058B0"/>
    <w:rsid w:val="009058E3"/>
    <w:rsid w:val="00905911"/>
    <w:rsid w:val="0090592F"/>
    <w:rsid w:val="00905976"/>
    <w:rsid w:val="00905A80"/>
    <w:rsid w:val="00905AB7"/>
    <w:rsid w:val="00905AC3"/>
    <w:rsid w:val="00905AD8"/>
    <w:rsid w:val="00905B24"/>
    <w:rsid w:val="00905B2C"/>
    <w:rsid w:val="00905B6B"/>
    <w:rsid w:val="00905B70"/>
    <w:rsid w:val="00905C0E"/>
    <w:rsid w:val="00905C29"/>
    <w:rsid w:val="00905C46"/>
    <w:rsid w:val="00905C7A"/>
    <w:rsid w:val="00905CC6"/>
    <w:rsid w:val="00905D22"/>
    <w:rsid w:val="00905D4C"/>
    <w:rsid w:val="00905D78"/>
    <w:rsid w:val="00905D84"/>
    <w:rsid w:val="00905DA9"/>
    <w:rsid w:val="00905DD9"/>
    <w:rsid w:val="00905EC1"/>
    <w:rsid w:val="00905F2C"/>
    <w:rsid w:val="00905FAB"/>
    <w:rsid w:val="00905FD8"/>
    <w:rsid w:val="00905FFA"/>
    <w:rsid w:val="0090605D"/>
    <w:rsid w:val="00906099"/>
    <w:rsid w:val="009060E7"/>
    <w:rsid w:val="00906121"/>
    <w:rsid w:val="00906147"/>
    <w:rsid w:val="009061A5"/>
    <w:rsid w:val="0090629C"/>
    <w:rsid w:val="0090634C"/>
    <w:rsid w:val="0090636E"/>
    <w:rsid w:val="00906377"/>
    <w:rsid w:val="0090639D"/>
    <w:rsid w:val="009063C4"/>
    <w:rsid w:val="009063FE"/>
    <w:rsid w:val="0090641A"/>
    <w:rsid w:val="009064CF"/>
    <w:rsid w:val="009064EB"/>
    <w:rsid w:val="00906609"/>
    <w:rsid w:val="00906625"/>
    <w:rsid w:val="00906683"/>
    <w:rsid w:val="009066A5"/>
    <w:rsid w:val="009066B0"/>
    <w:rsid w:val="009066EA"/>
    <w:rsid w:val="00906704"/>
    <w:rsid w:val="00906738"/>
    <w:rsid w:val="009067F3"/>
    <w:rsid w:val="00906826"/>
    <w:rsid w:val="0090682D"/>
    <w:rsid w:val="00906836"/>
    <w:rsid w:val="0090685C"/>
    <w:rsid w:val="0090686E"/>
    <w:rsid w:val="00906891"/>
    <w:rsid w:val="009068BF"/>
    <w:rsid w:val="00906962"/>
    <w:rsid w:val="00906983"/>
    <w:rsid w:val="009069E9"/>
    <w:rsid w:val="00906A37"/>
    <w:rsid w:val="00906A52"/>
    <w:rsid w:val="00906A99"/>
    <w:rsid w:val="00906AB5"/>
    <w:rsid w:val="00906AC5"/>
    <w:rsid w:val="00906B60"/>
    <w:rsid w:val="00906B91"/>
    <w:rsid w:val="00906BA1"/>
    <w:rsid w:val="00906BD0"/>
    <w:rsid w:val="00906BDC"/>
    <w:rsid w:val="00906C47"/>
    <w:rsid w:val="00906C9D"/>
    <w:rsid w:val="00906D29"/>
    <w:rsid w:val="00906DB5"/>
    <w:rsid w:val="00906DCF"/>
    <w:rsid w:val="00906F55"/>
    <w:rsid w:val="00906F6D"/>
    <w:rsid w:val="00906F83"/>
    <w:rsid w:val="00907061"/>
    <w:rsid w:val="00907079"/>
    <w:rsid w:val="00907095"/>
    <w:rsid w:val="009070BB"/>
    <w:rsid w:val="009070E9"/>
    <w:rsid w:val="0090713C"/>
    <w:rsid w:val="0090718B"/>
    <w:rsid w:val="009071C0"/>
    <w:rsid w:val="00907256"/>
    <w:rsid w:val="009072B7"/>
    <w:rsid w:val="009072BD"/>
    <w:rsid w:val="0090732F"/>
    <w:rsid w:val="00907336"/>
    <w:rsid w:val="00907356"/>
    <w:rsid w:val="0090736B"/>
    <w:rsid w:val="009073BA"/>
    <w:rsid w:val="009073FC"/>
    <w:rsid w:val="0090748A"/>
    <w:rsid w:val="009074FF"/>
    <w:rsid w:val="0090758B"/>
    <w:rsid w:val="009075A5"/>
    <w:rsid w:val="009075E0"/>
    <w:rsid w:val="0090766F"/>
    <w:rsid w:val="009076C1"/>
    <w:rsid w:val="009076DE"/>
    <w:rsid w:val="009076E3"/>
    <w:rsid w:val="00907704"/>
    <w:rsid w:val="0090773A"/>
    <w:rsid w:val="009077CC"/>
    <w:rsid w:val="009077EA"/>
    <w:rsid w:val="00907807"/>
    <w:rsid w:val="0090784C"/>
    <w:rsid w:val="0090787C"/>
    <w:rsid w:val="0090787E"/>
    <w:rsid w:val="009079B9"/>
    <w:rsid w:val="009079C5"/>
    <w:rsid w:val="009079DC"/>
    <w:rsid w:val="00907A05"/>
    <w:rsid w:val="00907A93"/>
    <w:rsid w:val="00907ABD"/>
    <w:rsid w:val="00907AD5"/>
    <w:rsid w:val="00907B0E"/>
    <w:rsid w:val="00907B11"/>
    <w:rsid w:val="00907B56"/>
    <w:rsid w:val="00907B91"/>
    <w:rsid w:val="00907CD5"/>
    <w:rsid w:val="00907D2D"/>
    <w:rsid w:val="00907D5C"/>
    <w:rsid w:val="00907E2F"/>
    <w:rsid w:val="00907E81"/>
    <w:rsid w:val="00907E99"/>
    <w:rsid w:val="00907EBF"/>
    <w:rsid w:val="00907ED6"/>
    <w:rsid w:val="00907F04"/>
    <w:rsid w:val="00907F49"/>
    <w:rsid w:val="00907F93"/>
    <w:rsid w:val="00907FA4"/>
    <w:rsid w:val="00907FAB"/>
    <w:rsid w:val="00910011"/>
    <w:rsid w:val="009100A6"/>
    <w:rsid w:val="009100B0"/>
    <w:rsid w:val="00910125"/>
    <w:rsid w:val="00910129"/>
    <w:rsid w:val="00910147"/>
    <w:rsid w:val="009101DA"/>
    <w:rsid w:val="0091020E"/>
    <w:rsid w:val="00910211"/>
    <w:rsid w:val="0091022A"/>
    <w:rsid w:val="00910232"/>
    <w:rsid w:val="009102E7"/>
    <w:rsid w:val="009102F7"/>
    <w:rsid w:val="0091042D"/>
    <w:rsid w:val="009104C3"/>
    <w:rsid w:val="00910500"/>
    <w:rsid w:val="00910501"/>
    <w:rsid w:val="00910506"/>
    <w:rsid w:val="0091051A"/>
    <w:rsid w:val="0091052D"/>
    <w:rsid w:val="0091057E"/>
    <w:rsid w:val="009105B5"/>
    <w:rsid w:val="009106AE"/>
    <w:rsid w:val="009106D8"/>
    <w:rsid w:val="009106D9"/>
    <w:rsid w:val="009106FF"/>
    <w:rsid w:val="00910703"/>
    <w:rsid w:val="00910716"/>
    <w:rsid w:val="0091071D"/>
    <w:rsid w:val="00910731"/>
    <w:rsid w:val="00910779"/>
    <w:rsid w:val="009107BB"/>
    <w:rsid w:val="009107E0"/>
    <w:rsid w:val="00910817"/>
    <w:rsid w:val="00910830"/>
    <w:rsid w:val="00910835"/>
    <w:rsid w:val="00910850"/>
    <w:rsid w:val="00910920"/>
    <w:rsid w:val="00910936"/>
    <w:rsid w:val="00910961"/>
    <w:rsid w:val="00910979"/>
    <w:rsid w:val="0091097B"/>
    <w:rsid w:val="009109C2"/>
    <w:rsid w:val="00910A0A"/>
    <w:rsid w:val="00910C50"/>
    <w:rsid w:val="00910C91"/>
    <w:rsid w:val="00910CB8"/>
    <w:rsid w:val="00910CCC"/>
    <w:rsid w:val="00910CE6"/>
    <w:rsid w:val="00910D32"/>
    <w:rsid w:val="00910D3E"/>
    <w:rsid w:val="00910D5F"/>
    <w:rsid w:val="00910D94"/>
    <w:rsid w:val="00910E22"/>
    <w:rsid w:val="00910E56"/>
    <w:rsid w:val="00910ECB"/>
    <w:rsid w:val="00910FD4"/>
    <w:rsid w:val="00911000"/>
    <w:rsid w:val="00911021"/>
    <w:rsid w:val="00911104"/>
    <w:rsid w:val="00911155"/>
    <w:rsid w:val="00911176"/>
    <w:rsid w:val="00911182"/>
    <w:rsid w:val="009111B3"/>
    <w:rsid w:val="009111B5"/>
    <w:rsid w:val="009111F8"/>
    <w:rsid w:val="00911251"/>
    <w:rsid w:val="0091125D"/>
    <w:rsid w:val="009112A3"/>
    <w:rsid w:val="009112A8"/>
    <w:rsid w:val="009112A9"/>
    <w:rsid w:val="009112F5"/>
    <w:rsid w:val="00911371"/>
    <w:rsid w:val="0091137D"/>
    <w:rsid w:val="00911401"/>
    <w:rsid w:val="0091143D"/>
    <w:rsid w:val="009114B8"/>
    <w:rsid w:val="009114C9"/>
    <w:rsid w:val="0091151A"/>
    <w:rsid w:val="00911564"/>
    <w:rsid w:val="00911585"/>
    <w:rsid w:val="009115F5"/>
    <w:rsid w:val="00911690"/>
    <w:rsid w:val="009116A0"/>
    <w:rsid w:val="009116BA"/>
    <w:rsid w:val="009116D3"/>
    <w:rsid w:val="0091171A"/>
    <w:rsid w:val="00911729"/>
    <w:rsid w:val="0091179B"/>
    <w:rsid w:val="009117AC"/>
    <w:rsid w:val="009117D7"/>
    <w:rsid w:val="00911816"/>
    <w:rsid w:val="0091189F"/>
    <w:rsid w:val="009118E0"/>
    <w:rsid w:val="00911969"/>
    <w:rsid w:val="009119A6"/>
    <w:rsid w:val="009119EF"/>
    <w:rsid w:val="009119F4"/>
    <w:rsid w:val="00911ABF"/>
    <w:rsid w:val="00911B64"/>
    <w:rsid w:val="00911BD5"/>
    <w:rsid w:val="00911C36"/>
    <w:rsid w:val="00911C3F"/>
    <w:rsid w:val="00911C87"/>
    <w:rsid w:val="00911C8E"/>
    <w:rsid w:val="00911CCC"/>
    <w:rsid w:val="00911CFB"/>
    <w:rsid w:val="00911D1A"/>
    <w:rsid w:val="00911D9F"/>
    <w:rsid w:val="00911E2B"/>
    <w:rsid w:val="00911E4A"/>
    <w:rsid w:val="00911EB9"/>
    <w:rsid w:val="00911EE6"/>
    <w:rsid w:val="00911F10"/>
    <w:rsid w:val="00911F16"/>
    <w:rsid w:val="00911F46"/>
    <w:rsid w:val="00911F6A"/>
    <w:rsid w:val="00911FFB"/>
    <w:rsid w:val="00912056"/>
    <w:rsid w:val="0091208E"/>
    <w:rsid w:val="00912114"/>
    <w:rsid w:val="0091216C"/>
    <w:rsid w:val="009121B0"/>
    <w:rsid w:val="009121B3"/>
    <w:rsid w:val="009121CA"/>
    <w:rsid w:val="00912215"/>
    <w:rsid w:val="00912236"/>
    <w:rsid w:val="00912265"/>
    <w:rsid w:val="009122C3"/>
    <w:rsid w:val="00912311"/>
    <w:rsid w:val="0091236C"/>
    <w:rsid w:val="0091238E"/>
    <w:rsid w:val="009123DC"/>
    <w:rsid w:val="009123FC"/>
    <w:rsid w:val="00912417"/>
    <w:rsid w:val="0091248F"/>
    <w:rsid w:val="009124D3"/>
    <w:rsid w:val="00912558"/>
    <w:rsid w:val="00912584"/>
    <w:rsid w:val="009125CA"/>
    <w:rsid w:val="009125DD"/>
    <w:rsid w:val="0091261E"/>
    <w:rsid w:val="00912649"/>
    <w:rsid w:val="00912680"/>
    <w:rsid w:val="009126A4"/>
    <w:rsid w:val="00912716"/>
    <w:rsid w:val="00912724"/>
    <w:rsid w:val="0091275A"/>
    <w:rsid w:val="00912780"/>
    <w:rsid w:val="00912794"/>
    <w:rsid w:val="0091279A"/>
    <w:rsid w:val="0091279B"/>
    <w:rsid w:val="009127D7"/>
    <w:rsid w:val="009127DE"/>
    <w:rsid w:val="00912922"/>
    <w:rsid w:val="00912991"/>
    <w:rsid w:val="00912993"/>
    <w:rsid w:val="009129CB"/>
    <w:rsid w:val="009129D5"/>
    <w:rsid w:val="00912A1B"/>
    <w:rsid w:val="00912A37"/>
    <w:rsid w:val="00912A4F"/>
    <w:rsid w:val="00912ABB"/>
    <w:rsid w:val="00912ACE"/>
    <w:rsid w:val="00912BAF"/>
    <w:rsid w:val="00912BED"/>
    <w:rsid w:val="00912C2B"/>
    <w:rsid w:val="00912C41"/>
    <w:rsid w:val="00912C45"/>
    <w:rsid w:val="00912E82"/>
    <w:rsid w:val="00912E97"/>
    <w:rsid w:val="00912EEE"/>
    <w:rsid w:val="00912F0E"/>
    <w:rsid w:val="00912F41"/>
    <w:rsid w:val="00912F44"/>
    <w:rsid w:val="00913022"/>
    <w:rsid w:val="00913054"/>
    <w:rsid w:val="009130F8"/>
    <w:rsid w:val="009130FC"/>
    <w:rsid w:val="0091313C"/>
    <w:rsid w:val="0091318A"/>
    <w:rsid w:val="009131C7"/>
    <w:rsid w:val="009131F3"/>
    <w:rsid w:val="00913240"/>
    <w:rsid w:val="009132E3"/>
    <w:rsid w:val="009132F5"/>
    <w:rsid w:val="00913324"/>
    <w:rsid w:val="00913393"/>
    <w:rsid w:val="0091341A"/>
    <w:rsid w:val="0091343E"/>
    <w:rsid w:val="009134E4"/>
    <w:rsid w:val="00913555"/>
    <w:rsid w:val="00913684"/>
    <w:rsid w:val="00913760"/>
    <w:rsid w:val="00913767"/>
    <w:rsid w:val="00913770"/>
    <w:rsid w:val="009137A5"/>
    <w:rsid w:val="00913852"/>
    <w:rsid w:val="00913867"/>
    <w:rsid w:val="009138AB"/>
    <w:rsid w:val="009138DC"/>
    <w:rsid w:val="0091394D"/>
    <w:rsid w:val="0091397E"/>
    <w:rsid w:val="009139D0"/>
    <w:rsid w:val="00913AF8"/>
    <w:rsid w:val="00913B54"/>
    <w:rsid w:val="00913B82"/>
    <w:rsid w:val="00913C18"/>
    <w:rsid w:val="00913C33"/>
    <w:rsid w:val="00913D21"/>
    <w:rsid w:val="00913D24"/>
    <w:rsid w:val="00913D2E"/>
    <w:rsid w:val="00913D40"/>
    <w:rsid w:val="00913D67"/>
    <w:rsid w:val="00913D6A"/>
    <w:rsid w:val="00913DB7"/>
    <w:rsid w:val="00913DEF"/>
    <w:rsid w:val="00913E30"/>
    <w:rsid w:val="00913E3D"/>
    <w:rsid w:val="00913E6A"/>
    <w:rsid w:val="00913EB7"/>
    <w:rsid w:val="00913EDD"/>
    <w:rsid w:val="00913EF2"/>
    <w:rsid w:val="00913F1A"/>
    <w:rsid w:val="00913F60"/>
    <w:rsid w:val="00913F7A"/>
    <w:rsid w:val="00913F8B"/>
    <w:rsid w:val="00913F8F"/>
    <w:rsid w:val="00913F9C"/>
    <w:rsid w:val="00913FF9"/>
    <w:rsid w:val="00914002"/>
    <w:rsid w:val="00914079"/>
    <w:rsid w:val="0091407B"/>
    <w:rsid w:val="00914095"/>
    <w:rsid w:val="0091411D"/>
    <w:rsid w:val="0091412E"/>
    <w:rsid w:val="00914149"/>
    <w:rsid w:val="0091418B"/>
    <w:rsid w:val="0091418C"/>
    <w:rsid w:val="009141CE"/>
    <w:rsid w:val="00914258"/>
    <w:rsid w:val="00914285"/>
    <w:rsid w:val="00914295"/>
    <w:rsid w:val="0091429D"/>
    <w:rsid w:val="009142B8"/>
    <w:rsid w:val="00914395"/>
    <w:rsid w:val="00914396"/>
    <w:rsid w:val="009143A1"/>
    <w:rsid w:val="009143B1"/>
    <w:rsid w:val="009143BF"/>
    <w:rsid w:val="009143C4"/>
    <w:rsid w:val="009143DA"/>
    <w:rsid w:val="009143E4"/>
    <w:rsid w:val="009143F0"/>
    <w:rsid w:val="00914488"/>
    <w:rsid w:val="009144EA"/>
    <w:rsid w:val="00914508"/>
    <w:rsid w:val="0091455C"/>
    <w:rsid w:val="0091455E"/>
    <w:rsid w:val="009145C6"/>
    <w:rsid w:val="009145D2"/>
    <w:rsid w:val="009145E2"/>
    <w:rsid w:val="0091464B"/>
    <w:rsid w:val="00914760"/>
    <w:rsid w:val="00914772"/>
    <w:rsid w:val="00914774"/>
    <w:rsid w:val="009147A2"/>
    <w:rsid w:val="00914821"/>
    <w:rsid w:val="009148E1"/>
    <w:rsid w:val="0091495C"/>
    <w:rsid w:val="009149B3"/>
    <w:rsid w:val="009149C1"/>
    <w:rsid w:val="009149DF"/>
    <w:rsid w:val="009149E2"/>
    <w:rsid w:val="009149E3"/>
    <w:rsid w:val="00914A8B"/>
    <w:rsid w:val="00914A95"/>
    <w:rsid w:val="00914B3B"/>
    <w:rsid w:val="00914B44"/>
    <w:rsid w:val="00914B59"/>
    <w:rsid w:val="00914B91"/>
    <w:rsid w:val="00914BA4"/>
    <w:rsid w:val="00914BA8"/>
    <w:rsid w:val="00914BD8"/>
    <w:rsid w:val="00914C2A"/>
    <w:rsid w:val="00914C46"/>
    <w:rsid w:val="00914C50"/>
    <w:rsid w:val="00914C8D"/>
    <w:rsid w:val="00914CCE"/>
    <w:rsid w:val="00914CF9"/>
    <w:rsid w:val="00914D05"/>
    <w:rsid w:val="00914D0E"/>
    <w:rsid w:val="00914D7A"/>
    <w:rsid w:val="00914D87"/>
    <w:rsid w:val="00914DBB"/>
    <w:rsid w:val="00914DEE"/>
    <w:rsid w:val="00914E05"/>
    <w:rsid w:val="00914E8C"/>
    <w:rsid w:val="00914E93"/>
    <w:rsid w:val="00914EC6"/>
    <w:rsid w:val="00914F4F"/>
    <w:rsid w:val="00914F66"/>
    <w:rsid w:val="00914F6B"/>
    <w:rsid w:val="00914FB1"/>
    <w:rsid w:val="00914FD8"/>
    <w:rsid w:val="0091501F"/>
    <w:rsid w:val="0091505D"/>
    <w:rsid w:val="00915076"/>
    <w:rsid w:val="009150B7"/>
    <w:rsid w:val="009150CA"/>
    <w:rsid w:val="00915113"/>
    <w:rsid w:val="0091514B"/>
    <w:rsid w:val="0091517F"/>
    <w:rsid w:val="009151C6"/>
    <w:rsid w:val="0091522B"/>
    <w:rsid w:val="00915250"/>
    <w:rsid w:val="00915268"/>
    <w:rsid w:val="00915298"/>
    <w:rsid w:val="009152A2"/>
    <w:rsid w:val="009152FB"/>
    <w:rsid w:val="00915330"/>
    <w:rsid w:val="00915337"/>
    <w:rsid w:val="0091533A"/>
    <w:rsid w:val="009153E6"/>
    <w:rsid w:val="00915408"/>
    <w:rsid w:val="00915526"/>
    <w:rsid w:val="00915534"/>
    <w:rsid w:val="0091557E"/>
    <w:rsid w:val="009155F8"/>
    <w:rsid w:val="00915638"/>
    <w:rsid w:val="0091565C"/>
    <w:rsid w:val="0091569E"/>
    <w:rsid w:val="009156F7"/>
    <w:rsid w:val="00915732"/>
    <w:rsid w:val="00915741"/>
    <w:rsid w:val="009157DD"/>
    <w:rsid w:val="00915823"/>
    <w:rsid w:val="00915847"/>
    <w:rsid w:val="00915874"/>
    <w:rsid w:val="009158F8"/>
    <w:rsid w:val="009158FB"/>
    <w:rsid w:val="00915908"/>
    <w:rsid w:val="009159AD"/>
    <w:rsid w:val="009159AE"/>
    <w:rsid w:val="009159B4"/>
    <w:rsid w:val="009159CA"/>
    <w:rsid w:val="00915A26"/>
    <w:rsid w:val="00915A54"/>
    <w:rsid w:val="00915A8F"/>
    <w:rsid w:val="00915AA9"/>
    <w:rsid w:val="00915B06"/>
    <w:rsid w:val="00915B34"/>
    <w:rsid w:val="00915B7A"/>
    <w:rsid w:val="00915B95"/>
    <w:rsid w:val="00915C07"/>
    <w:rsid w:val="00915C09"/>
    <w:rsid w:val="00915C1D"/>
    <w:rsid w:val="00915CB6"/>
    <w:rsid w:val="00915D65"/>
    <w:rsid w:val="00915DA2"/>
    <w:rsid w:val="00915DE0"/>
    <w:rsid w:val="00915E1B"/>
    <w:rsid w:val="00915E65"/>
    <w:rsid w:val="00915EA0"/>
    <w:rsid w:val="00915EE3"/>
    <w:rsid w:val="00915F0F"/>
    <w:rsid w:val="00915F81"/>
    <w:rsid w:val="00916032"/>
    <w:rsid w:val="0091605E"/>
    <w:rsid w:val="00916063"/>
    <w:rsid w:val="0091616D"/>
    <w:rsid w:val="00916179"/>
    <w:rsid w:val="009161BE"/>
    <w:rsid w:val="00916208"/>
    <w:rsid w:val="0091620D"/>
    <w:rsid w:val="00916240"/>
    <w:rsid w:val="00916260"/>
    <w:rsid w:val="009162BE"/>
    <w:rsid w:val="009162F9"/>
    <w:rsid w:val="0091641E"/>
    <w:rsid w:val="0091645F"/>
    <w:rsid w:val="0091647A"/>
    <w:rsid w:val="00916510"/>
    <w:rsid w:val="0091651C"/>
    <w:rsid w:val="00916559"/>
    <w:rsid w:val="00916590"/>
    <w:rsid w:val="00916620"/>
    <w:rsid w:val="00916630"/>
    <w:rsid w:val="0091668C"/>
    <w:rsid w:val="00916768"/>
    <w:rsid w:val="0091677F"/>
    <w:rsid w:val="009167A7"/>
    <w:rsid w:val="009167C7"/>
    <w:rsid w:val="009167FC"/>
    <w:rsid w:val="00916806"/>
    <w:rsid w:val="0091682C"/>
    <w:rsid w:val="00916867"/>
    <w:rsid w:val="00916881"/>
    <w:rsid w:val="00916897"/>
    <w:rsid w:val="00916910"/>
    <w:rsid w:val="00916924"/>
    <w:rsid w:val="0091692B"/>
    <w:rsid w:val="00916934"/>
    <w:rsid w:val="00916987"/>
    <w:rsid w:val="009169A2"/>
    <w:rsid w:val="00916A09"/>
    <w:rsid w:val="00916A3E"/>
    <w:rsid w:val="00916A4C"/>
    <w:rsid w:val="00916ACB"/>
    <w:rsid w:val="00916B22"/>
    <w:rsid w:val="00916B5A"/>
    <w:rsid w:val="00916BF6"/>
    <w:rsid w:val="00916C1D"/>
    <w:rsid w:val="00916DD8"/>
    <w:rsid w:val="00916E80"/>
    <w:rsid w:val="00916EBE"/>
    <w:rsid w:val="00916EC7"/>
    <w:rsid w:val="00916ED2"/>
    <w:rsid w:val="00916EE4"/>
    <w:rsid w:val="00916EF2"/>
    <w:rsid w:val="00916F05"/>
    <w:rsid w:val="00916F2D"/>
    <w:rsid w:val="00916F42"/>
    <w:rsid w:val="00916F7B"/>
    <w:rsid w:val="00917011"/>
    <w:rsid w:val="00917012"/>
    <w:rsid w:val="0091701F"/>
    <w:rsid w:val="0091706C"/>
    <w:rsid w:val="009170F0"/>
    <w:rsid w:val="00917131"/>
    <w:rsid w:val="00917157"/>
    <w:rsid w:val="009171F7"/>
    <w:rsid w:val="0091723F"/>
    <w:rsid w:val="0091727F"/>
    <w:rsid w:val="009172D8"/>
    <w:rsid w:val="00917339"/>
    <w:rsid w:val="00917342"/>
    <w:rsid w:val="0091736A"/>
    <w:rsid w:val="0091746F"/>
    <w:rsid w:val="00917489"/>
    <w:rsid w:val="0091749F"/>
    <w:rsid w:val="009174FF"/>
    <w:rsid w:val="0091753B"/>
    <w:rsid w:val="00917544"/>
    <w:rsid w:val="0091754E"/>
    <w:rsid w:val="009175BB"/>
    <w:rsid w:val="009175E7"/>
    <w:rsid w:val="00917628"/>
    <w:rsid w:val="0091762D"/>
    <w:rsid w:val="00917630"/>
    <w:rsid w:val="00917677"/>
    <w:rsid w:val="009176D0"/>
    <w:rsid w:val="009176E1"/>
    <w:rsid w:val="0091775A"/>
    <w:rsid w:val="0091778F"/>
    <w:rsid w:val="009177D6"/>
    <w:rsid w:val="009177E1"/>
    <w:rsid w:val="00917819"/>
    <w:rsid w:val="0091785F"/>
    <w:rsid w:val="00917866"/>
    <w:rsid w:val="009178FA"/>
    <w:rsid w:val="009178FF"/>
    <w:rsid w:val="00917917"/>
    <w:rsid w:val="00917967"/>
    <w:rsid w:val="0091799E"/>
    <w:rsid w:val="009179E9"/>
    <w:rsid w:val="00917A56"/>
    <w:rsid w:val="00917A86"/>
    <w:rsid w:val="00917AF9"/>
    <w:rsid w:val="00917C3C"/>
    <w:rsid w:val="00917C47"/>
    <w:rsid w:val="00917CDE"/>
    <w:rsid w:val="00917CE7"/>
    <w:rsid w:val="00917CE8"/>
    <w:rsid w:val="00917D87"/>
    <w:rsid w:val="00917DFC"/>
    <w:rsid w:val="00917E04"/>
    <w:rsid w:val="00917E28"/>
    <w:rsid w:val="00917E6F"/>
    <w:rsid w:val="00917E98"/>
    <w:rsid w:val="00917EB3"/>
    <w:rsid w:val="00917EBF"/>
    <w:rsid w:val="00917F26"/>
    <w:rsid w:val="00917F7F"/>
    <w:rsid w:val="00917F9D"/>
    <w:rsid w:val="00917FDF"/>
    <w:rsid w:val="0092001B"/>
    <w:rsid w:val="0092002B"/>
    <w:rsid w:val="009200B1"/>
    <w:rsid w:val="009200F3"/>
    <w:rsid w:val="009200F5"/>
    <w:rsid w:val="0092015C"/>
    <w:rsid w:val="0092016C"/>
    <w:rsid w:val="0092028E"/>
    <w:rsid w:val="009202AF"/>
    <w:rsid w:val="0092035C"/>
    <w:rsid w:val="00920378"/>
    <w:rsid w:val="009203A7"/>
    <w:rsid w:val="009203BE"/>
    <w:rsid w:val="00920423"/>
    <w:rsid w:val="00920427"/>
    <w:rsid w:val="00920486"/>
    <w:rsid w:val="009205D5"/>
    <w:rsid w:val="00920603"/>
    <w:rsid w:val="00920672"/>
    <w:rsid w:val="00920738"/>
    <w:rsid w:val="0092079C"/>
    <w:rsid w:val="009207C2"/>
    <w:rsid w:val="00920847"/>
    <w:rsid w:val="00920862"/>
    <w:rsid w:val="0092089A"/>
    <w:rsid w:val="0092091F"/>
    <w:rsid w:val="0092092E"/>
    <w:rsid w:val="00920934"/>
    <w:rsid w:val="0092095F"/>
    <w:rsid w:val="0092097B"/>
    <w:rsid w:val="00920981"/>
    <w:rsid w:val="00920A6C"/>
    <w:rsid w:val="00920A8F"/>
    <w:rsid w:val="00920A9D"/>
    <w:rsid w:val="00920AA1"/>
    <w:rsid w:val="00920BF0"/>
    <w:rsid w:val="00920C01"/>
    <w:rsid w:val="00920C3B"/>
    <w:rsid w:val="00920C3F"/>
    <w:rsid w:val="00920C49"/>
    <w:rsid w:val="00920C57"/>
    <w:rsid w:val="00920C5F"/>
    <w:rsid w:val="00920CB0"/>
    <w:rsid w:val="00920E06"/>
    <w:rsid w:val="00920EBA"/>
    <w:rsid w:val="00920ED2"/>
    <w:rsid w:val="00920EEB"/>
    <w:rsid w:val="00920EF1"/>
    <w:rsid w:val="00920EF3"/>
    <w:rsid w:val="00920F43"/>
    <w:rsid w:val="00920FD9"/>
    <w:rsid w:val="00920FDD"/>
    <w:rsid w:val="009210A6"/>
    <w:rsid w:val="009210FA"/>
    <w:rsid w:val="00921102"/>
    <w:rsid w:val="00921111"/>
    <w:rsid w:val="00921112"/>
    <w:rsid w:val="0092113B"/>
    <w:rsid w:val="0092124D"/>
    <w:rsid w:val="009212A3"/>
    <w:rsid w:val="009212DB"/>
    <w:rsid w:val="00921343"/>
    <w:rsid w:val="00921349"/>
    <w:rsid w:val="009214B1"/>
    <w:rsid w:val="009214B3"/>
    <w:rsid w:val="0092153E"/>
    <w:rsid w:val="00921591"/>
    <w:rsid w:val="009215A2"/>
    <w:rsid w:val="009215B4"/>
    <w:rsid w:val="009215C3"/>
    <w:rsid w:val="00921639"/>
    <w:rsid w:val="0092167A"/>
    <w:rsid w:val="00921697"/>
    <w:rsid w:val="009216C6"/>
    <w:rsid w:val="0092176C"/>
    <w:rsid w:val="00921795"/>
    <w:rsid w:val="009217F1"/>
    <w:rsid w:val="0092184F"/>
    <w:rsid w:val="00921878"/>
    <w:rsid w:val="00921883"/>
    <w:rsid w:val="00921893"/>
    <w:rsid w:val="009218C2"/>
    <w:rsid w:val="009219D3"/>
    <w:rsid w:val="00921A31"/>
    <w:rsid w:val="00921AEF"/>
    <w:rsid w:val="00921B16"/>
    <w:rsid w:val="00921B20"/>
    <w:rsid w:val="00921B3B"/>
    <w:rsid w:val="00921B52"/>
    <w:rsid w:val="00921B5F"/>
    <w:rsid w:val="00921B82"/>
    <w:rsid w:val="00921B94"/>
    <w:rsid w:val="00921BE8"/>
    <w:rsid w:val="00921C19"/>
    <w:rsid w:val="00921C97"/>
    <w:rsid w:val="00921CA2"/>
    <w:rsid w:val="00921CA9"/>
    <w:rsid w:val="00921CAD"/>
    <w:rsid w:val="00921CC9"/>
    <w:rsid w:val="00921CE2"/>
    <w:rsid w:val="00921D5A"/>
    <w:rsid w:val="00921DD3"/>
    <w:rsid w:val="00921E0E"/>
    <w:rsid w:val="00921E14"/>
    <w:rsid w:val="00921F20"/>
    <w:rsid w:val="00921F36"/>
    <w:rsid w:val="00921FA4"/>
    <w:rsid w:val="0092200D"/>
    <w:rsid w:val="00922028"/>
    <w:rsid w:val="0092205D"/>
    <w:rsid w:val="00922079"/>
    <w:rsid w:val="009220A7"/>
    <w:rsid w:val="0092219C"/>
    <w:rsid w:val="0092222B"/>
    <w:rsid w:val="00922233"/>
    <w:rsid w:val="00922252"/>
    <w:rsid w:val="00922266"/>
    <w:rsid w:val="00922317"/>
    <w:rsid w:val="0092232F"/>
    <w:rsid w:val="00922351"/>
    <w:rsid w:val="00922359"/>
    <w:rsid w:val="00922377"/>
    <w:rsid w:val="0092237D"/>
    <w:rsid w:val="009223A2"/>
    <w:rsid w:val="009223AE"/>
    <w:rsid w:val="009223BD"/>
    <w:rsid w:val="0092248C"/>
    <w:rsid w:val="009224EA"/>
    <w:rsid w:val="0092250D"/>
    <w:rsid w:val="0092253A"/>
    <w:rsid w:val="009225B1"/>
    <w:rsid w:val="00922631"/>
    <w:rsid w:val="0092265C"/>
    <w:rsid w:val="009226B5"/>
    <w:rsid w:val="009226D3"/>
    <w:rsid w:val="009226FF"/>
    <w:rsid w:val="00922762"/>
    <w:rsid w:val="009227D7"/>
    <w:rsid w:val="00922875"/>
    <w:rsid w:val="009228AF"/>
    <w:rsid w:val="009228CC"/>
    <w:rsid w:val="009228FA"/>
    <w:rsid w:val="009228FC"/>
    <w:rsid w:val="00922914"/>
    <w:rsid w:val="00922993"/>
    <w:rsid w:val="0092299F"/>
    <w:rsid w:val="009229BB"/>
    <w:rsid w:val="009229FB"/>
    <w:rsid w:val="00922A31"/>
    <w:rsid w:val="00922A85"/>
    <w:rsid w:val="00922AE3"/>
    <w:rsid w:val="00922AFC"/>
    <w:rsid w:val="00922B24"/>
    <w:rsid w:val="00922BBE"/>
    <w:rsid w:val="00922BF5"/>
    <w:rsid w:val="00922D71"/>
    <w:rsid w:val="00922D7E"/>
    <w:rsid w:val="00922D86"/>
    <w:rsid w:val="00922DBC"/>
    <w:rsid w:val="00922DEC"/>
    <w:rsid w:val="00922DF3"/>
    <w:rsid w:val="00922E22"/>
    <w:rsid w:val="00922E76"/>
    <w:rsid w:val="00922E80"/>
    <w:rsid w:val="00922EA0"/>
    <w:rsid w:val="00922EAD"/>
    <w:rsid w:val="00922EB5"/>
    <w:rsid w:val="00922EBA"/>
    <w:rsid w:val="00922EC1"/>
    <w:rsid w:val="00922EC4"/>
    <w:rsid w:val="00922EC5"/>
    <w:rsid w:val="00922EF8"/>
    <w:rsid w:val="00922F31"/>
    <w:rsid w:val="00922F6A"/>
    <w:rsid w:val="00922FF2"/>
    <w:rsid w:val="00923011"/>
    <w:rsid w:val="00923014"/>
    <w:rsid w:val="009230AF"/>
    <w:rsid w:val="009230E9"/>
    <w:rsid w:val="00923109"/>
    <w:rsid w:val="00923132"/>
    <w:rsid w:val="0092319E"/>
    <w:rsid w:val="009231A8"/>
    <w:rsid w:val="009231D3"/>
    <w:rsid w:val="00923213"/>
    <w:rsid w:val="0092325E"/>
    <w:rsid w:val="0092329B"/>
    <w:rsid w:val="009232C7"/>
    <w:rsid w:val="009232EB"/>
    <w:rsid w:val="009232F1"/>
    <w:rsid w:val="00923340"/>
    <w:rsid w:val="009233B3"/>
    <w:rsid w:val="009233B6"/>
    <w:rsid w:val="009233DD"/>
    <w:rsid w:val="009233FA"/>
    <w:rsid w:val="00923425"/>
    <w:rsid w:val="00923448"/>
    <w:rsid w:val="009235EA"/>
    <w:rsid w:val="00923650"/>
    <w:rsid w:val="00923752"/>
    <w:rsid w:val="00923767"/>
    <w:rsid w:val="009237C5"/>
    <w:rsid w:val="009237F1"/>
    <w:rsid w:val="00923913"/>
    <w:rsid w:val="00923996"/>
    <w:rsid w:val="00923A02"/>
    <w:rsid w:val="00923A1D"/>
    <w:rsid w:val="00923A30"/>
    <w:rsid w:val="00923A96"/>
    <w:rsid w:val="00923B6D"/>
    <w:rsid w:val="00923BAE"/>
    <w:rsid w:val="00923BF7"/>
    <w:rsid w:val="00923C04"/>
    <w:rsid w:val="00923C07"/>
    <w:rsid w:val="00923C2D"/>
    <w:rsid w:val="00923C34"/>
    <w:rsid w:val="00923D0D"/>
    <w:rsid w:val="00923D3C"/>
    <w:rsid w:val="00923D50"/>
    <w:rsid w:val="00923D81"/>
    <w:rsid w:val="00923DB2"/>
    <w:rsid w:val="00923E62"/>
    <w:rsid w:val="00923E6E"/>
    <w:rsid w:val="00923F18"/>
    <w:rsid w:val="00923FD5"/>
    <w:rsid w:val="0092404B"/>
    <w:rsid w:val="00924058"/>
    <w:rsid w:val="00924095"/>
    <w:rsid w:val="009240A8"/>
    <w:rsid w:val="009240C6"/>
    <w:rsid w:val="00924152"/>
    <w:rsid w:val="009241D3"/>
    <w:rsid w:val="009241D7"/>
    <w:rsid w:val="00924219"/>
    <w:rsid w:val="00924237"/>
    <w:rsid w:val="00924256"/>
    <w:rsid w:val="009242B9"/>
    <w:rsid w:val="00924313"/>
    <w:rsid w:val="0092433C"/>
    <w:rsid w:val="0092433D"/>
    <w:rsid w:val="0092438A"/>
    <w:rsid w:val="009243AF"/>
    <w:rsid w:val="00924403"/>
    <w:rsid w:val="0092441A"/>
    <w:rsid w:val="00924424"/>
    <w:rsid w:val="00924441"/>
    <w:rsid w:val="00924454"/>
    <w:rsid w:val="009244A0"/>
    <w:rsid w:val="009244A9"/>
    <w:rsid w:val="009244C8"/>
    <w:rsid w:val="0092455C"/>
    <w:rsid w:val="00924597"/>
    <w:rsid w:val="009245A2"/>
    <w:rsid w:val="009245CA"/>
    <w:rsid w:val="009245DE"/>
    <w:rsid w:val="00924628"/>
    <w:rsid w:val="0092465E"/>
    <w:rsid w:val="0092467C"/>
    <w:rsid w:val="009246BB"/>
    <w:rsid w:val="00924731"/>
    <w:rsid w:val="0092473C"/>
    <w:rsid w:val="00924761"/>
    <w:rsid w:val="0092483E"/>
    <w:rsid w:val="00924858"/>
    <w:rsid w:val="0092486A"/>
    <w:rsid w:val="009248EE"/>
    <w:rsid w:val="009248FA"/>
    <w:rsid w:val="00924941"/>
    <w:rsid w:val="00924958"/>
    <w:rsid w:val="009249A2"/>
    <w:rsid w:val="00924A0D"/>
    <w:rsid w:val="00924A7C"/>
    <w:rsid w:val="00924A8A"/>
    <w:rsid w:val="00924A98"/>
    <w:rsid w:val="00924AB1"/>
    <w:rsid w:val="00924AC0"/>
    <w:rsid w:val="00924B0C"/>
    <w:rsid w:val="00924B3B"/>
    <w:rsid w:val="00924B66"/>
    <w:rsid w:val="00924BDF"/>
    <w:rsid w:val="00924BF4"/>
    <w:rsid w:val="00924C0A"/>
    <w:rsid w:val="00924C35"/>
    <w:rsid w:val="00924C3C"/>
    <w:rsid w:val="00924C6F"/>
    <w:rsid w:val="00924CD2"/>
    <w:rsid w:val="00924CE6"/>
    <w:rsid w:val="00924CFE"/>
    <w:rsid w:val="00924D3B"/>
    <w:rsid w:val="00924D42"/>
    <w:rsid w:val="00924D94"/>
    <w:rsid w:val="00924DFD"/>
    <w:rsid w:val="00924E6B"/>
    <w:rsid w:val="00924E7F"/>
    <w:rsid w:val="00924ECF"/>
    <w:rsid w:val="00924F20"/>
    <w:rsid w:val="00924F51"/>
    <w:rsid w:val="00924FF0"/>
    <w:rsid w:val="00925007"/>
    <w:rsid w:val="009250A8"/>
    <w:rsid w:val="009250C6"/>
    <w:rsid w:val="0092511C"/>
    <w:rsid w:val="0092517B"/>
    <w:rsid w:val="00925192"/>
    <w:rsid w:val="009251C1"/>
    <w:rsid w:val="009251F0"/>
    <w:rsid w:val="00925202"/>
    <w:rsid w:val="00925215"/>
    <w:rsid w:val="00925245"/>
    <w:rsid w:val="0092527A"/>
    <w:rsid w:val="009252A8"/>
    <w:rsid w:val="009252EC"/>
    <w:rsid w:val="00925346"/>
    <w:rsid w:val="0092540F"/>
    <w:rsid w:val="00925425"/>
    <w:rsid w:val="009254B5"/>
    <w:rsid w:val="009254EC"/>
    <w:rsid w:val="00925500"/>
    <w:rsid w:val="0092551C"/>
    <w:rsid w:val="00925540"/>
    <w:rsid w:val="0092556F"/>
    <w:rsid w:val="009255FB"/>
    <w:rsid w:val="00925618"/>
    <w:rsid w:val="00925627"/>
    <w:rsid w:val="009257CE"/>
    <w:rsid w:val="009257D5"/>
    <w:rsid w:val="0092584B"/>
    <w:rsid w:val="0092588D"/>
    <w:rsid w:val="009258B1"/>
    <w:rsid w:val="009258C0"/>
    <w:rsid w:val="009258D0"/>
    <w:rsid w:val="00925917"/>
    <w:rsid w:val="00925995"/>
    <w:rsid w:val="009259C9"/>
    <w:rsid w:val="009259CD"/>
    <w:rsid w:val="00925AA5"/>
    <w:rsid w:val="00925AD3"/>
    <w:rsid w:val="00925B06"/>
    <w:rsid w:val="00925B3B"/>
    <w:rsid w:val="00925B6B"/>
    <w:rsid w:val="00925B85"/>
    <w:rsid w:val="00925C41"/>
    <w:rsid w:val="00925C81"/>
    <w:rsid w:val="00925C8F"/>
    <w:rsid w:val="00925CAC"/>
    <w:rsid w:val="00925CD3"/>
    <w:rsid w:val="00925D5B"/>
    <w:rsid w:val="00925D60"/>
    <w:rsid w:val="00925D8C"/>
    <w:rsid w:val="00925D91"/>
    <w:rsid w:val="00925D97"/>
    <w:rsid w:val="00925DF9"/>
    <w:rsid w:val="00925E0C"/>
    <w:rsid w:val="00925E3E"/>
    <w:rsid w:val="00925E56"/>
    <w:rsid w:val="00925E5F"/>
    <w:rsid w:val="00925E74"/>
    <w:rsid w:val="00925EC5"/>
    <w:rsid w:val="00925ECE"/>
    <w:rsid w:val="00925ED3"/>
    <w:rsid w:val="00925EF5"/>
    <w:rsid w:val="00925FAF"/>
    <w:rsid w:val="00925FF4"/>
    <w:rsid w:val="0092606D"/>
    <w:rsid w:val="00926089"/>
    <w:rsid w:val="009260D5"/>
    <w:rsid w:val="00926118"/>
    <w:rsid w:val="00926138"/>
    <w:rsid w:val="00926194"/>
    <w:rsid w:val="009261A5"/>
    <w:rsid w:val="0092630A"/>
    <w:rsid w:val="00926365"/>
    <w:rsid w:val="009263C9"/>
    <w:rsid w:val="00926424"/>
    <w:rsid w:val="0092642A"/>
    <w:rsid w:val="009264CC"/>
    <w:rsid w:val="009264E3"/>
    <w:rsid w:val="0092653C"/>
    <w:rsid w:val="00926598"/>
    <w:rsid w:val="009265C3"/>
    <w:rsid w:val="00926607"/>
    <w:rsid w:val="00926616"/>
    <w:rsid w:val="009266AB"/>
    <w:rsid w:val="009266FA"/>
    <w:rsid w:val="0092671A"/>
    <w:rsid w:val="00926757"/>
    <w:rsid w:val="0092677F"/>
    <w:rsid w:val="0092680D"/>
    <w:rsid w:val="0092691D"/>
    <w:rsid w:val="0092693B"/>
    <w:rsid w:val="00926960"/>
    <w:rsid w:val="009269A4"/>
    <w:rsid w:val="009269B3"/>
    <w:rsid w:val="00926A5E"/>
    <w:rsid w:val="00926B17"/>
    <w:rsid w:val="00926B8F"/>
    <w:rsid w:val="00926BD3"/>
    <w:rsid w:val="00926BED"/>
    <w:rsid w:val="00926C2D"/>
    <w:rsid w:val="00926C34"/>
    <w:rsid w:val="00926C3C"/>
    <w:rsid w:val="00926CDE"/>
    <w:rsid w:val="00926D06"/>
    <w:rsid w:val="00926D13"/>
    <w:rsid w:val="00926D3A"/>
    <w:rsid w:val="00926DAF"/>
    <w:rsid w:val="00926E16"/>
    <w:rsid w:val="00926E26"/>
    <w:rsid w:val="00926E58"/>
    <w:rsid w:val="00926E67"/>
    <w:rsid w:val="00926EB3"/>
    <w:rsid w:val="00926EC2"/>
    <w:rsid w:val="00926EDB"/>
    <w:rsid w:val="00926EE8"/>
    <w:rsid w:val="00926EEC"/>
    <w:rsid w:val="00926F20"/>
    <w:rsid w:val="00926F6B"/>
    <w:rsid w:val="00926F9D"/>
    <w:rsid w:val="00926FDB"/>
    <w:rsid w:val="00926FE2"/>
    <w:rsid w:val="00927062"/>
    <w:rsid w:val="0092709A"/>
    <w:rsid w:val="009270B6"/>
    <w:rsid w:val="009270D0"/>
    <w:rsid w:val="009270EB"/>
    <w:rsid w:val="0092715A"/>
    <w:rsid w:val="0092719B"/>
    <w:rsid w:val="009271DB"/>
    <w:rsid w:val="00927203"/>
    <w:rsid w:val="00927221"/>
    <w:rsid w:val="00927256"/>
    <w:rsid w:val="009272C8"/>
    <w:rsid w:val="0092734E"/>
    <w:rsid w:val="009273CC"/>
    <w:rsid w:val="00927414"/>
    <w:rsid w:val="00927457"/>
    <w:rsid w:val="00927471"/>
    <w:rsid w:val="009274BA"/>
    <w:rsid w:val="009274C5"/>
    <w:rsid w:val="009274CC"/>
    <w:rsid w:val="0092750A"/>
    <w:rsid w:val="00927588"/>
    <w:rsid w:val="009275D2"/>
    <w:rsid w:val="009275E5"/>
    <w:rsid w:val="00927644"/>
    <w:rsid w:val="00927683"/>
    <w:rsid w:val="0092771D"/>
    <w:rsid w:val="00927761"/>
    <w:rsid w:val="0092778D"/>
    <w:rsid w:val="009278D6"/>
    <w:rsid w:val="0092792D"/>
    <w:rsid w:val="0092795E"/>
    <w:rsid w:val="00927980"/>
    <w:rsid w:val="00927A40"/>
    <w:rsid w:val="00927A52"/>
    <w:rsid w:val="00927AA2"/>
    <w:rsid w:val="00927B4F"/>
    <w:rsid w:val="00927C13"/>
    <w:rsid w:val="00927C17"/>
    <w:rsid w:val="00927C74"/>
    <w:rsid w:val="00927CAF"/>
    <w:rsid w:val="00927CD6"/>
    <w:rsid w:val="00927CE3"/>
    <w:rsid w:val="00927CF3"/>
    <w:rsid w:val="00927D21"/>
    <w:rsid w:val="00927D45"/>
    <w:rsid w:val="00927D50"/>
    <w:rsid w:val="00927DA4"/>
    <w:rsid w:val="00927DB2"/>
    <w:rsid w:val="00927DE5"/>
    <w:rsid w:val="00927E7F"/>
    <w:rsid w:val="00927E9A"/>
    <w:rsid w:val="00927EE5"/>
    <w:rsid w:val="00927F39"/>
    <w:rsid w:val="00927F45"/>
    <w:rsid w:val="00927F96"/>
    <w:rsid w:val="00927FF0"/>
    <w:rsid w:val="00927FF1"/>
    <w:rsid w:val="00930014"/>
    <w:rsid w:val="009300A6"/>
    <w:rsid w:val="0093013A"/>
    <w:rsid w:val="00930167"/>
    <w:rsid w:val="00930173"/>
    <w:rsid w:val="0093019F"/>
    <w:rsid w:val="009301A0"/>
    <w:rsid w:val="009301A4"/>
    <w:rsid w:val="009301A9"/>
    <w:rsid w:val="00930237"/>
    <w:rsid w:val="00930269"/>
    <w:rsid w:val="00930286"/>
    <w:rsid w:val="009302B0"/>
    <w:rsid w:val="00930356"/>
    <w:rsid w:val="00930395"/>
    <w:rsid w:val="0093042A"/>
    <w:rsid w:val="009304BB"/>
    <w:rsid w:val="009304CB"/>
    <w:rsid w:val="009304D3"/>
    <w:rsid w:val="009304D6"/>
    <w:rsid w:val="0093050B"/>
    <w:rsid w:val="00930608"/>
    <w:rsid w:val="00930635"/>
    <w:rsid w:val="00930649"/>
    <w:rsid w:val="0093066F"/>
    <w:rsid w:val="009306D7"/>
    <w:rsid w:val="009306EC"/>
    <w:rsid w:val="00930711"/>
    <w:rsid w:val="0093071C"/>
    <w:rsid w:val="00930740"/>
    <w:rsid w:val="00930743"/>
    <w:rsid w:val="009307C1"/>
    <w:rsid w:val="009307CC"/>
    <w:rsid w:val="009308A0"/>
    <w:rsid w:val="009309C5"/>
    <w:rsid w:val="009309EC"/>
    <w:rsid w:val="009309F1"/>
    <w:rsid w:val="00930A63"/>
    <w:rsid w:val="00930A79"/>
    <w:rsid w:val="00930A9B"/>
    <w:rsid w:val="00930AD1"/>
    <w:rsid w:val="00930AE3"/>
    <w:rsid w:val="00930BCA"/>
    <w:rsid w:val="00930C43"/>
    <w:rsid w:val="00930C8E"/>
    <w:rsid w:val="00930C9B"/>
    <w:rsid w:val="00930CA1"/>
    <w:rsid w:val="00930CAA"/>
    <w:rsid w:val="00930CCB"/>
    <w:rsid w:val="00930CDA"/>
    <w:rsid w:val="00930D0D"/>
    <w:rsid w:val="00930D1F"/>
    <w:rsid w:val="00930D63"/>
    <w:rsid w:val="00930D7B"/>
    <w:rsid w:val="00930DB2"/>
    <w:rsid w:val="00930DE9"/>
    <w:rsid w:val="00930E07"/>
    <w:rsid w:val="00930E4F"/>
    <w:rsid w:val="00930E76"/>
    <w:rsid w:val="00930EFA"/>
    <w:rsid w:val="00930F46"/>
    <w:rsid w:val="00930F62"/>
    <w:rsid w:val="00930F9C"/>
    <w:rsid w:val="00930FBA"/>
    <w:rsid w:val="00930FBC"/>
    <w:rsid w:val="0093103D"/>
    <w:rsid w:val="00931093"/>
    <w:rsid w:val="009310A3"/>
    <w:rsid w:val="009310AC"/>
    <w:rsid w:val="00931176"/>
    <w:rsid w:val="0093118C"/>
    <w:rsid w:val="009311EE"/>
    <w:rsid w:val="00931219"/>
    <w:rsid w:val="0093124A"/>
    <w:rsid w:val="00931297"/>
    <w:rsid w:val="009312DE"/>
    <w:rsid w:val="00931365"/>
    <w:rsid w:val="009313A7"/>
    <w:rsid w:val="009313DC"/>
    <w:rsid w:val="009313F0"/>
    <w:rsid w:val="00931412"/>
    <w:rsid w:val="00931476"/>
    <w:rsid w:val="0093151C"/>
    <w:rsid w:val="00931561"/>
    <w:rsid w:val="00931569"/>
    <w:rsid w:val="009315E1"/>
    <w:rsid w:val="009315E2"/>
    <w:rsid w:val="00931632"/>
    <w:rsid w:val="0093163C"/>
    <w:rsid w:val="0093163E"/>
    <w:rsid w:val="009316ED"/>
    <w:rsid w:val="0093175D"/>
    <w:rsid w:val="0093177F"/>
    <w:rsid w:val="0093179A"/>
    <w:rsid w:val="009317A6"/>
    <w:rsid w:val="009317A9"/>
    <w:rsid w:val="0093182D"/>
    <w:rsid w:val="00931844"/>
    <w:rsid w:val="0093190A"/>
    <w:rsid w:val="00931954"/>
    <w:rsid w:val="00931980"/>
    <w:rsid w:val="00931990"/>
    <w:rsid w:val="00931991"/>
    <w:rsid w:val="009319B6"/>
    <w:rsid w:val="009319C4"/>
    <w:rsid w:val="009319D3"/>
    <w:rsid w:val="00931A94"/>
    <w:rsid w:val="00931A98"/>
    <w:rsid w:val="00931AAC"/>
    <w:rsid w:val="00931AD8"/>
    <w:rsid w:val="00931B0D"/>
    <w:rsid w:val="00931B4F"/>
    <w:rsid w:val="00931B76"/>
    <w:rsid w:val="00931B88"/>
    <w:rsid w:val="00931B91"/>
    <w:rsid w:val="00931BE8"/>
    <w:rsid w:val="00931C79"/>
    <w:rsid w:val="00931D0D"/>
    <w:rsid w:val="00931D5A"/>
    <w:rsid w:val="00931D9E"/>
    <w:rsid w:val="00931E15"/>
    <w:rsid w:val="00931E92"/>
    <w:rsid w:val="00931EF2"/>
    <w:rsid w:val="00931F64"/>
    <w:rsid w:val="00931F7E"/>
    <w:rsid w:val="00931FC0"/>
    <w:rsid w:val="00932007"/>
    <w:rsid w:val="0093201F"/>
    <w:rsid w:val="00932073"/>
    <w:rsid w:val="009320D0"/>
    <w:rsid w:val="009320D3"/>
    <w:rsid w:val="00932115"/>
    <w:rsid w:val="00932158"/>
    <w:rsid w:val="009321D5"/>
    <w:rsid w:val="009321EB"/>
    <w:rsid w:val="009321F0"/>
    <w:rsid w:val="00932259"/>
    <w:rsid w:val="0093228D"/>
    <w:rsid w:val="0093237B"/>
    <w:rsid w:val="009323C2"/>
    <w:rsid w:val="009323DD"/>
    <w:rsid w:val="009324B8"/>
    <w:rsid w:val="00932570"/>
    <w:rsid w:val="00932576"/>
    <w:rsid w:val="009325D7"/>
    <w:rsid w:val="009325FA"/>
    <w:rsid w:val="009325FF"/>
    <w:rsid w:val="00932633"/>
    <w:rsid w:val="009326A6"/>
    <w:rsid w:val="009326ED"/>
    <w:rsid w:val="0093270B"/>
    <w:rsid w:val="0093271E"/>
    <w:rsid w:val="009327A5"/>
    <w:rsid w:val="00932815"/>
    <w:rsid w:val="00932828"/>
    <w:rsid w:val="0093285C"/>
    <w:rsid w:val="00932893"/>
    <w:rsid w:val="0093289A"/>
    <w:rsid w:val="009328A8"/>
    <w:rsid w:val="00932964"/>
    <w:rsid w:val="009329B4"/>
    <w:rsid w:val="009329C6"/>
    <w:rsid w:val="00932A05"/>
    <w:rsid w:val="00932A6B"/>
    <w:rsid w:val="00932A90"/>
    <w:rsid w:val="00932B18"/>
    <w:rsid w:val="00932B2A"/>
    <w:rsid w:val="00932B59"/>
    <w:rsid w:val="00932C1A"/>
    <w:rsid w:val="00932C3A"/>
    <w:rsid w:val="00932C58"/>
    <w:rsid w:val="00932C71"/>
    <w:rsid w:val="00932C92"/>
    <w:rsid w:val="00932D3C"/>
    <w:rsid w:val="00932D61"/>
    <w:rsid w:val="00932D86"/>
    <w:rsid w:val="00932D8A"/>
    <w:rsid w:val="00932DC1"/>
    <w:rsid w:val="00932E2A"/>
    <w:rsid w:val="00932E54"/>
    <w:rsid w:val="00932E77"/>
    <w:rsid w:val="00932E8B"/>
    <w:rsid w:val="00932EA6"/>
    <w:rsid w:val="00932EB3"/>
    <w:rsid w:val="00932EF5"/>
    <w:rsid w:val="00932F21"/>
    <w:rsid w:val="00932F2A"/>
    <w:rsid w:val="00932F3D"/>
    <w:rsid w:val="00932FB2"/>
    <w:rsid w:val="00932FB3"/>
    <w:rsid w:val="00933035"/>
    <w:rsid w:val="00933047"/>
    <w:rsid w:val="009330B4"/>
    <w:rsid w:val="009330B9"/>
    <w:rsid w:val="009330C7"/>
    <w:rsid w:val="009330DC"/>
    <w:rsid w:val="009330EC"/>
    <w:rsid w:val="009330F7"/>
    <w:rsid w:val="00933152"/>
    <w:rsid w:val="00933156"/>
    <w:rsid w:val="00933166"/>
    <w:rsid w:val="009331F1"/>
    <w:rsid w:val="0093322D"/>
    <w:rsid w:val="0093323B"/>
    <w:rsid w:val="00933264"/>
    <w:rsid w:val="009332E5"/>
    <w:rsid w:val="00933304"/>
    <w:rsid w:val="00933307"/>
    <w:rsid w:val="00933393"/>
    <w:rsid w:val="00933463"/>
    <w:rsid w:val="00933499"/>
    <w:rsid w:val="009334E2"/>
    <w:rsid w:val="009335A7"/>
    <w:rsid w:val="009335D2"/>
    <w:rsid w:val="0093366F"/>
    <w:rsid w:val="009336F2"/>
    <w:rsid w:val="0093370A"/>
    <w:rsid w:val="009337AB"/>
    <w:rsid w:val="009337D9"/>
    <w:rsid w:val="00933863"/>
    <w:rsid w:val="009338C3"/>
    <w:rsid w:val="0093392A"/>
    <w:rsid w:val="00933943"/>
    <w:rsid w:val="00933A07"/>
    <w:rsid w:val="00933A31"/>
    <w:rsid w:val="00933A51"/>
    <w:rsid w:val="00933A5E"/>
    <w:rsid w:val="00933A82"/>
    <w:rsid w:val="00933ABD"/>
    <w:rsid w:val="00933AC3"/>
    <w:rsid w:val="00933AC4"/>
    <w:rsid w:val="00933B0F"/>
    <w:rsid w:val="00933B85"/>
    <w:rsid w:val="00933BF5"/>
    <w:rsid w:val="00933C72"/>
    <w:rsid w:val="00933C83"/>
    <w:rsid w:val="00933CBB"/>
    <w:rsid w:val="00933D0F"/>
    <w:rsid w:val="00933D3D"/>
    <w:rsid w:val="00933D46"/>
    <w:rsid w:val="00933DE5"/>
    <w:rsid w:val="00933DFD"/>
    <w:rsid w:val="00933F3A"/>
    <w:rsid w:val="00933F3D"/>
    <w:rsid w:val="00933F59"/>
    <w:rsid w:val="00933F67"/>
    <w:rsid w:val="00933FB6"/>
    <w:rsid w:val="00933FBA"/>
    <w:rsid w:val="00933FCC"/>
    <w:rsid w:val="0093406D"/>
    <w:rsid w:val="009340B5"/>
    <w:rsid w:val="009340D1"/>
    <w:rsid w:val="00934102"/>
    <w:rsid w:val="00934150"/>
    <w:rsid w:val="00934175"/>
    <w:rsid w:val="00934191"/>
    <w:rsid w:val="009341A4"/>
    <w:rsid w:val="009341CD"/>
    <w:rsid w:val="00934219"/>
    <w:rsid w:val="00934272"/>
    <w:rsid w:val="00934284"/>
    <w:rsid w:val="00934315"/>
    <w:rsid w:val="00934395"/>
    <w:rsid w:val="009343BD"/>
    <w:rsid w:val="009343F0"/>
    <w:rsid w:val="00934468"/>
    <w:rsid w:val="00934533"/>
    <w:rsid w:val="00934582"/>
    <w:rsid w:val="0093459C"/>
    <w:rsid w:val="00934643"/>
    <w:rsid w:val="0093466E"/>
    <w:rsid w:val="0093468E"/>
    <w:rsid w:val="009346AA"/>
    <w:rsid w:val="009346BA"/>
    <w:rsid w:val="009346BC"/>
    <w:rsid w:val="009346C0"/>
    <w:rsid w:val="009346C5"/>
    <w:rsid w:val="0093473E"/>
    <w:rsid w:val="00934794"/>
    <w:rsid w:val="009347B2"/>
    <w:rsid w:val="009347B4"/>
    <w:rsid w:val="0093482F"/>
    <w:rsid w:val="00934882"/>
    <w:rsid w:val="009348E6"/>
    <w:rsid w:val="00934918"/>
    <w:rsid w:val="00934936"/>
    <w:rsid w:val="009349FD"/>
    <w:rsid w:val="00934A2D"/>
    <w:rsid w:val="00934A30"/>
    <w:rsid w:val="00934AC1"/>
    <w:rsid w:val="00934AD6"/>
    <w:rsid w:val="00934B44"/>
    <w:rsid w:val="00934B56"/>
    <w:rsid w:val="00934C1E"/>
    <w:rsid w:val="00934C2A"/>
    <w:rsid w:val="00934C7C"/>
    <w:rsid w:val="00934C8A"/>
    <w:rsid w:val="00934C96"/>
    <w:rsid w:val="00934CBB"/>
    <w:rsid w:val="00934D45"/>
    <w:rsid w:val="00934D6B"/>
    <w:rsid w:val="00934D6E"/>
    <w:rsid w:val="00934DFE"/>
    <w:rsid w:val="00934E18"/>
    <w:rsid w:val="00934E2E"/>
    <w:rsid w:val="00934E37"/>
    <w:rsid w:val="00934EFA"/>
    <w:rsid w:val="00934F0C"/>
    <w:rsid w:val="00935014"/>
    <w:rsid w:val="009350AE"/>
    <w:rsid w:val="0093512E"/>
    <w:rsid w:val="00935183"/>
    <w:rsid w:val="0093518E"/>
    <w:rsid w:val="00935190"/>
    <w:rsid w:val="009351B9"/>
    <w:rsid w:val="009351C8"/>
    <w:rsid w:val="009351D9"/>
    <w:rsid w:val="009352C1"/>
    <w:rsid w:val="009352D0"/>
    <w:rsid w:val="009352E2"/>
    <w:rsid w:val="0093540D"/>
    <w:rsid w:val="00935422"/>
    <w:rsid w:val="0093542A"/>
    <w:rsid w:val="00935438"/>
    <w:rsid w:val="00935460"/>
    <w:rsid w:val="0093546F"/>
    <w:rsid w:val="0093551B"/>
    <w:rsid w:val="00935599"/>
    <w:rsid w:val="009355B3"/>
    <w:rsid w:val="00935603"/>
    <w:rsid w:val="00935605"/>
    <w:rsid w:val="0093564B"/>
    <w:rsid w:val="0093564E"/>
    <w:rsid w:val="00935658"/>
    <w:rsid w:val="0093570C"/>
    <w:rsid w:val="00935723"/>
    <w:rsid w:val="0093575E"/>
    <w:rsid w:val="0093576E"/>
    <w:rsid w:val="009357A6"/>
    <w:rsid w:val="009357E1"/>
    <w:rsid w:val="009357E7"/>
    <w:rsid w:val="009357F3"/>
    <w:rsid w:val="009357F5"/>
    <w:rsid w:val="00935822"/>
    <w:rsid w:val="00935867"/>
    <w:rsid w:val="00935886"/>
    <w:rsid w:val="009359C8"/>
    <w:rsid w:val="009359F4"/>
    <w:rsid w:val="009359FD"/>
    <w:rsid w:val="00935A3A"/>
    <w:rsid w:val="00935A44"/>
    <w:rsid w:val="00935BAE"/>
    <w:rsid w:val="00935BB6"/>
    <w:rsid w:val="00935BCE"/>
    <w:rsid w:val="00935BEA"/>
    <w:rsid w:val="00935C71"/>
    <w:rsid w:val="00935CCD"/>
    <w:rsid w:val="00935D76"/>
    <w:rsid w:val="00935D9F"/>
    <w:rsid w:val="00935E61"/>
    <w:rsid w:val="00935E7F"/>
    <w:rsid w:val="00935EB7"/>
    <w:rsid w:val="00935F14"/>
    <w:rsid w:val="00935F7D"/>
    <w:rsid w:val="00935FD9"/>
    <w:rsid w:val="00935FDC"/>
    <w:rsid w:val="00936031"/>
    <w:rsid w:val="00936052"/>
    <w:rsid w:val="00936060"/>
    <w:rsid w:val="00936076"/>
    <w:rsid w:val="00936090"/>
    <w:rsid w:val="00936099"/>
    <w:rsid w:val="00936126"/>
    <w:rsid w:val="0093614F"/>
    <w:rsid w:val="00936184"/>
    <w:rsid w:val="00936198"/>
    <w:rsid w:val="00936226"/>
    <w:rsid w:val="00936234"/>
    <w:rsid w:val="0093624F"/>
    <w:rsid w:val="00936260"/>
    <w:rsid w:val="00936343"/>
    <w:rsid w:val="009363D4"/>
    <w:rsid w:val="009363E4"/>
    <w:rsid w:val="0093645F"/>
    <w:rsid w:val="00936477"/>
    <w:rsid w:val="009364BF"/>
    <w:rsid w:val="009364C1"/>
    <w:rsid w:val="009364F6"/>
    <w:rsid w:val="009365D5"/>
    <w:rsid w:val="009365E8"/>
    <w:rsid w:val="0093661B"/>
    <w:rsid w:val="0093663E"/>
    <w:rsid w:val="00936665"/>
    <w:rsid w:val="0093667D"/>
    <w:rsid w:val="009366AE"/>
    <w:rsid w:val="00936749"/>
    <w:rsid w:val="0093675C"/>
    <w:rsid w:val="009367A8"/>
    <w:rsid w:val="009367C3"/>
    <w:rsid w:val="0093680D"/>
    <w:rsid w:val="0093683F"/>
    <w:rsid w:val="0093685C"/>
    <w:rsid w:val="009368C2"/>
    <w:rsid w:val="0093691A"/>
    <w:rsid w:val="00936966"/>
    <w:rsid w:val="009369BA"/>
    <w:rsid w:val="009369C6"/>
    <w:rsid w:val="009369E5"/>
    <w:rsid w:val="009369EE"/>
    <w:rsid w:val="00936ABF"/>
    <w:rsid w:val="00936BCA"/>
    <w:rsid w:val="00936C68"/>
    <w:rsid w:val="00936CC3"/>
    <w:rsid w:val="00936D4F"/>
    <w:rsid w:val="00936D96"/>
    <w:rsid w:val="00936DD7"/>
    <w:rsid w:val="00936E56"/>
    <w:rsid w:val="00936EAB"/>
    <w:rsid w:val="00936ED5"/>
    <w:rsid w:val="00936F47"/>
    <w:rsid w:val="00936F4C"/>
    <w:rsid w:val="00936F95"/>
    <w:rsid w:val="00937005"/>
    <w:rsid w:val="00937024"/>
    <w:rsid w:val="00937072"/>
    <w:rsid w:val="00937085"/>
    <w:rsid w:val="009370FD"/>
    <w:rsid w:val="00937125"/>
    <w:rsid w:val="0093713F"/>
    <w:rsid w:val="00937275"/>
    <w:rsid w:val="009372B1"/>
    <w:rsid w:val="009373A0"/>
    <w:rsid w:val="00937467"/>
    <w:rsid w:val="009374BA"/>
    <w:rsid w:val="009374D6"/>
    <w:rsid w:val="0093759E"/>
    <w:rsid w:val="00937684"/>
    <w:rsid w:val="009376B0"/>
    <w:rsid w:val="0093771E"/>
    <w:rsid w:val="0093779D"/>
    <w:rsid w:val="009377A4"/>
    <w:rsid w:val="009377B1"/>
    <w:rsid w:val="00937810"/>
    <w:rsid w:val="00937836"/>
    <w:rsid w:val="0093783A"/>
    <w:rsid w:val="009378C4"/>
    <w:rsid w:val="00937903"/>
    <w:rsid w:val="0093793F"/>
    <w:rsid w:val="00937947"/>
    <w:rsid w:val="00937974"/>
    <w:rsid w:val="00937983"/>
    <w:rsid w:val="0093798F"/>
    <w:rsid w:val="00937A61"/>
    <w:rsid w:val="00937AF9"/>
    <w:rsid w:val="00937B05"/>
    <w:rsid w:val="00937B47"/>
    <w:rsid w:val="00937B5F"/>
    <w:rsid w:val="00937B8F"/>
    <w:rsid w:val="00937C08"/>
    <w:rsid w:val="00937C2E"/>
    <w:rsid w:val="00937CC3"/>
    <w:rsid w:val="00937D5E"/>
    <w:rsid w:val="00937DD2"/>
    <w:rsid w:val="00937E8D"/>
    <w:rsid w:val="00937F44"/>
    <w:rsid w:val="00937F6A"/>
    <w:rsid w:val="00937FA2"/>
    <w:rsid w:val="00937FAA"/>
    <w:rsid w:val="00940004"/>
    <w:rsid w:val="0094001B"/>
    <w:rsid w:val="00940045"/>
    <w:rsid w:val="00940090"/>
    <w:rsid w:val="009400CE"/>
    <w:rsid w:val="00940176"/>
    <w:rsid w:val="00940192"/>
    <w:rsid w:val="0094019D"/>
    <w:rsid w:val="0094019F"/>
    <w:rsid w:val="009401BA"/>
    <w:rsid w:val="00940206"/>
    <w:rsid w:val="0094020C"/>
    <w:rsid w:val="0094020E"/>
    <w:rsid w:val="00940359"/>
    <w:rsid w:val="0094037E"/>
    <w:rsid w:val="009403A9"/>
    <w:rsid w:val="009403C1"/>
    <w:rsid w:val="009403E1"/>
    <w:rsid w:val="009404CE"/>
    <w:rsid w:val="009404DD"/>
    <w:rsid w:val="009404F5"/>
    <w:rsid w:val="009404F6"/>
    <w:rsid w:val="00940552"/>
    <w:rsid w:val="0094055E"/>
    <w:rsid w:val="0094056D"/>
    <w:rsid w:val="0094057B"/>
    <w:rsid w:val="009405A4"/>
    <w:rsid w:val="00940699"/>
    <w:rsid w:val="009406CE"/>
    <w:rsid w:val="0094073F"/>
    <w:rsid w:val="009407B0"/>
    <w:rsid w:val="009407F2"/>
    <w:rsid w:val="0094083D"/>
    <w:rsid w:val="009408AA"/>
    <w:rsid w:val="009408CD"/>
    <w:rsid w:val="009408F3"/>
    <w:rsid w:val="00940990"/>
    <w:rsid w:val="00940A7D"/>
    <w:rsid w:val="00940AB6"/>
    <w:rsid w:val="00940AED"/>
    <w:rsid w:val="00940AF2"/>
    <w:rsid w:val="00940B4B"/>
    <w:rsid w:val="00940B5C"/>
    <w:rsid w:val="00940B5F"/>
    <w:rsid w:val="00940B65"/>
    <w:rsid w:val="00940BD8"/>
    <w:rsid w:val="00940C1F"/>
    <w:rsid w:val="00940C74"/>
    <w:rsid w:val="00940C87"/>
    <w:rsid w:val="00940C89"/>
    <w:rsid w:val="00940CB9"/>
    <w:rsid w:val="00940D33"/>
    <w:rsid w:val="00940D37"/>
    <w:rsid w:val="00940D43"/>
    <w:rsid w:val="00940E1F"/>
    <w:rsid w:val="00940E29"/>
    <w:rsid w:val="00940E42"/>
    <w:rsid w:val="00940E5D"/>
    <w:rsid w:val="00940F07"/>
    <w:rsid w:val="00940F0C"/>
    <w:rsid w:val="00940FAF"/>
    <w:rsid w:val="00940FF2"/>
    <w:rsid w:val="0094101F"/>
    <w:rsid w:val="0094107C"/>
    <w:rsid w:val="009410B8"/>
    <w:rsid w:val="009410C6"/>
    <w:rsid w:val="009410E5"/>
    <w:rsid w:val="0094111F"/>
    <w:rsid w:val="009411C0"/>
    <w:rsid w:val="00941202"/>
    <w:rsid w:val="0094127C"/>
    <w:rsid w:val="009412A2"/>
    <w:rsid w:val="009412FC"/>
    <w:rsid w:val="00941306"/>
    <w:rsid w:val="00941346"/>
    <w:rsid w:val="00941430"/>
    <w:rsid w:val="00941432"/>
    <w:rsid w:val="00941464"/>
    <w:rsid w:val="009414EC"/>
    <w:rsid w:val="009414F6"/>
    <w:rsid w:val="009414F7"/>
    <w:rsid w:val="00941548"/>
    <w:rsid w:val="009415A8"/>
    <w:rsid w:val="00941607"/>
    <w:rsid w:val="00941609"/>
    <w:rsid w:val="0094164D"/>
    <w:rsid w:val="009416F4"/>
    <w:rsid w:val="0094170D"/>
    <w:rsid w:val="00941765"/>
    <w:rsid w:val="009417C6"/>
    <w:rsid w:val="0094184B"/>
    <w:rsid w:val="00941868"/>
    <w:rsid w:val="009418FF"/>
    <w:rsid w:val="0094195B"/>
    <w:rsid w:val="00941A57"/>
    <w:rsid w:val="00941A5C"/>
    <w:rsid w:val="00941A9D"/>
    <w:rsid w:val="00941AB0"/>
    <w:rsid w:val="00941AED"/>
    <w:rsid w:val="00941B34"/>
    <w:rsid w:val="00941BC5"/>
    <w:rsid w:val="00941CB9"/>
    <w:rsid w:val="00941CD5"/>
    <w:rsid w:val="00941DBC"/>
    <w:rsid w:val="00941E40"/>
    <w:rsid w:val="00941E70"/>
    <w:rsid w:val="00941EC3"/>
    <w:rsid w:val="00941F0F"/>
    <w:rsid w:val="00941FCF"/>
    <w:rsid w:val="00942080"/>
    <w:rsid w:val="0094209A"/>
    <w:rsid w:val="009420BC"/>
    <w:rsid w:val="0094216C"/>
    <w:rsid w:val="00942219"/>
    <w:rsid w:val="00942284"/>
    <w:rsid w:val="009422AD"/>
    <w:rsid w:val="00942308"/>
    <w:rsid w:val="009423C0"/>
    <w:rsid w:val="009423D6"/>
    <w:rsid w:val="0094240D"/>
    <w:rsid w:val="00942412"/>
    <w:rsid w:val="0094244B"/>
    <w:rsid w:val="00942468"/>
    <w:rsid w:val="0094246A"/>
    <w:rsid w:val="0094247B"/>
    <w:rsid w:val="009424B9"/>
    <w:rsid w:val="00942515"/>
    <w:rsid w:val="0094253C"/>
    <w:rsid w:val="0094256D"/>
    <w:rsid w:val="0094258C"/>
    <w:rsid w:val="009425C6"/>
    <w:rsid w:val="009425ED"/>
    <w:rsid w:val="00942621"/>
    <w:rsid w:val="0094268A"/>
    <w:rsid w:val="009426FD"/>
    <w:rsid w:val="00942707"/>
    <w:rsid w:val="0094270A"/>
    <w:rsid w:val="00942728"/>
    <w:rsid w:val="00942767"/>
    <w:rsid w:val="009427C0"/>
    <w:rsid w:val="009427D4"/>
    <w:rsid w:val="0094280A"/>
    <w:rsid w:val="00942876"/>
    <w:rsid w:val="0094289A"/>
    <w:rsid w:val="009428E9"/>
    <w:rsid w:val="009428EA"/>
    <w:rsid w:val="0094298C"/>
    <w:rsid w:val="009429AB"/>
    <w:rsid w:val="009429DE"/>
    <w:rsid w:val="009429E3"/>
    <w:rsid w:val="009429E8"/>
    <w:rsid w:val="009429EA"/>
    <w:rsid w:val="00942A4D"/>
    <w:rsid w:val="00942A81"/>
    <w:rsid w:val="00942A9A"/>
    <w:rsid w:val="00942AC8"/>
    <w:rsid w:val="00942AFA"/>
    <w:rsid w:val="00942B59"/>
    <w:rsid w:val="00942B96"/>
    <w:rsid w:val="00942BC3"/>
    <w:rsid w:val="00942C11"/>
    <w:rsid w:val="00942C65"/>
    <w:rsid w:val="00942C96"/>
    <w:rsid w:val="00942CB2"/>
    <w:rsid w:val="00942D20"/>
    <w:rsid w:val="00942D35"/>
    <w:rsid w:val="00942D98"/>
    <w:rsid w:val="00942DDD"/>
    <w:rsid w:val="00942DE6"/>
    <w:rsid w:val="00942DFD"/>
    <w:rsid w:val="00942E2D"/>
    <w:rsid w:val="00942E70"/>
    <w:rsid w:val="00942F1E"/>
    <w:rsid w:val="00942F25"/>
    <w:rsid w:val="00942F7B"/>
    <w:rsid w:val="00942F86"/>
    <w:rsid w:val="00942F8A"/>
    <w:rsid w:val="00942FCC"/>
    <w:rsid w:val="00942FE5"/>
    <w:rsid w:val="00942FFC"/>
    <w:rsid w:val="00943070"/>
    <w:rsid w:val="00943144"/>
    <w:rsid w:val="00943150"/>
    <w:rsid w:val="0094315C"/>
    <w:rsid w:val="00943165"/>
    <w:rsid w:val="00943177"/>
    <w:rsid w:val="009431C6"/>
    <w:rsid w:val="009431CF"/>
    <w:rsid w:val="009431D2"/>
    <w:rsid w:val="009431D4"/>
    <w:rsid w:val="009431EB"/>
    <w:rsid w:val="009431EF"/>
    <w:rsid w:val="00943237"/>
    <w:rsid w:val="00943240"/>
    <w:rsid w:val="00943272"/>
    <w:rsid w:val="00943277"/>
    <w:rsid w:val="00943290"/>
    <w:rsid w:val="00943297"/>
    <w:rsid w:val="009432A3"/>
    <w:rsid w:val="009432C7"/>
    <w:rsid w:val="009432FD"/>
    <w:rsid w:val="0094333D"/>
    <w:rsid w:val="0094334C"/>
    <w:rsid w:val="00943391"/>
    <w:rsid w:val="00943396"/>
    <w:rsid w:val="009433A3"/>
    <w:rsid w:val="009433AA"/>
    <w:rsid w:val="009433EA"/>
    <w:rsid w:val="0094342E"/>
    <w:rsid w:val="0094344C"/>
    <w:rsid w:val="00943460"/>
    <w:rsid w:val="009434C5"/>
    <w:rsid w:val="00943500"/>
    <w:rsid w:val="0094351F"/>
    <w:rsid w:val="009435FE"/>
    <w:rsid w:val="00943616"/>
    <w:rsid w:val="00943629"/>
    <w:rsid w:val="00943660"/>
    <w:rsid w:val="009436AF"/>
    <w:rsid w:val="009436B4"/>
    <w:rsid w:val="00943727"/>
    <w:rsid w:val="0094377A"/>
    <w:rsid w:val="00943782"/>
    <w:rsid w:val="00943811"/>
    <w:rsid w:val="00943833"/>
    <w:rsid w:val="0094386E"/>
    <w:rsid w:val="009438C8"/>
    <w:rsid w:val="009438CE"/>
    <w:rsid w:val="009438FF"/>
    <w:rsid w:val="00943937"/>
    <w:rsid w:val="009439B9"/>
    <w:rsid w:val="009439BD"/>
    <w:rsid w:val="009439D3"/>
    <w:rsid w:val="00943A3C"/>
    <w:rsid w:val="00943A76"/>
    <w:rsid w:val="00943A92"/>
    <w:rsid w:val="00943AF6"/>
    <w:rsid w:val="00943B34"/>
    <w:rsid w:val="00943B58"/>
    <w:rsid w:val="00943B67"/>
    <w:rsid w:val="00943BF7"/>
    <w:rsid w:val="00943C25"/>
    <w:rsid w:val="00943C64"/>
    <w:rsid w:val="00943CAA"/>
    <w:rsid w:val="00943CF1"/>
    <w:rsid w:val="00943CFA"/>
    <w:rsid w:val="00943D06"/>
    <w:rsid w:val="00943D1E"/>
    <w:rsid w:val="00943D29"/>
    <w:rsid w:val="00943D5C"/>
    <w:rsid w:val="00943DAE"/>
    <w:rsid w:val="00943DCF"/>
    <w:rsid w:val="00943E10"/>
    <w:rsid w:val="00943E28"/>
    <w:rsid w:val="00943E2D"/>
    <w:rsid w:val="00943E72"/>
    <w:rsid w:val="00943F0B"/>
    <w:rsid w:val="00943F39"/>
    <w:rsid w:val="00944034"/>
    <w:rsid w:val="009440CE"/>
    <w:rsid w:val="00944131"/>
    <w:rsid w:val="00944142"/>
    <w:rsid w:val="0094416A"/>
    <w:rsid w:val="009441DE"/>
    <w:rsid w:val="009441FF"/>
    <w:rsid w:val="00944206"/>
    <w:rsid w:val="009442AD"/>
    <w:rsid w:val="009442E8"/>
    <w:rsid w:val="00944359"/>
    <w:rsid w:val="009443C2"/>
    <w:rsid w:val="009443EB"/>
    <w:rsid w:val="0094440D"/>
    <w:rsid w:val="00944429"/>
    <w:rsid w:val="0094445F"/>
    <w:rsid w:val="00944469"/>
    <w:rsid w:val="009444B4"/>
    <w:rsid w:val="009444B6"/>
    <w:rsid w:val="00944587"/>
    <w:rsid w:val="0094458E"/>
    <w:rsid w:val="00944594"/>
    <w:rsid w:val="009445C8"/>
    <w:rsid w:val="009445C9"/>
    <w:rsid w:val="009445E8"/>
    <w:rsid w:val="0094461F"/>
    <w:rsid w:val="00944631"/>
    <w:rsid w:val="00944682"/>
    <w:rsid w:val="009446B6"/>
    <w:rsid w:val="00944818"/>
    <w:rsid w:val="0094482C"/>
    <w:rsid w:val="00944845"/>
    <w:rsid w:val="00944887"/>
    <w:rsid w:val="00944938"/>
    <w:rsid w:val="0094496A"/>
    <w:rsid w:val="00944984"/>
    <w:rsid w:val="00944A71"/>
    <w:rsid w:val="00944AA4"/>
    <w:rsid w:val="00944B85"/>
    <w:rsid w:val="00944B94"/>
    <w:rsid w:val="00944B9D"/>
    <w:rsid w:val="00944C3F"/>
    <w:rsid w:val="00944C47"/>
    <w:rsid w:val="00944C85"/>
    <w:rsid w:val="00944CC6"/>
    <w:rsid w:val="00944CF0"/>
    <w:rsid w:val="00944D95"/>
    <w:rsid w:val="00944DCA"/>
    <w:rsid w:val="00944DE2"/>
    <w:rsid w:val="00944E60"/>
    <w:rsid w:val="00944E63"/>
    <w:rsid w:val="00944E69"/>
    <w:rsid w:val="00944E70"/>
    <w:rsid w:val="00944ED8"/>
    <w:rsid w:val="00944EE1"/>
    <w:rsid w:val="00944EE4"/>
    <w:rsid w:val="00944F3E"/>
    <w:rsid w:val="0094503D"/>
    <w:rsid w:val="0094506E"/>
    <w:rsid w:val="0094507D"/>
    <w:rsid w:val="009450B2"/>
    <w:rsid w:val="009450E5"/>
    <w:rsid w:val="00945178"/>
    <w:rsid w:val="00945184"/>
    <w:rsid w:val="00945195"/>
    <w:rsid w:val="0094519C"/>
    <w:rsid w:val="009451D2"/>
    <w:rsid w:val="0094522B"/>
    <w:rsid w:val="0094528E"/>
    <w:rsid w:val="00945290"/>
    <w:rsid w:val="009452F2"/>
    <w:rsid w:val="0094533E"/>
    <w:rsid w:val="00945348"/>
    <w:rsid w:val="00945359"/>
    <w:rsid w:val="0094537D"/>
    <w:rsid w:val="00945395"/>
    <w:rsid w:val="009453E4"/>
    <w:rsid w:val="009454CC"/>
    <w:rsid w:val="009454CF"/>
    <w:rsid w:val="00945520"/>
    <w:rsid w:val="0094553A"/>
    <w:rsid w:val="00945573"/>
    <w:rsid w:val="00945586"/>
    <w:rsid w:val="009455EB"/>
    <w:rsid w:val="00945640"/>
    <w:rsid w:val="0094564B"/>
    <w:rsid w:val="009456CE"/>
    <w:rsid w:val="00945701"/>
    <w:rsid w:val="0094574F"/>
    <w:rsid w:val="009457DC"/>
    <w:rsid w:val="00945860"/>
    <w:rsid w:val="0094589D"/>
    <w:rsid w:val="009458CE"/>
    <w:rsid w:val="0094591E"/>
    <w:rsid w:val="009459CD"/>
    <w:rsid w:val="00945A58"/>
    <w:rsid w:val="00945A59"/>
    <w:rsid w:val="00945A5C"/>
    <w:rsid w:val="00945A65"/>
    <w:rsid w:val="00945A9D"/>
    <w:rsid w:val="00945AF1"/>
    <w:rsid w:val="00945B79"/>
    <w:rsid w:val="00945BA8"/>
    <w:rsid w:val="00945BD9"/>
    <w:rsid w:val="00945C9B"/>
    <w:rsid w:val="00945CD3"/>
    <w:rsid w:val="00945D0B"/>
    <w:rsid w:val="00945D8F"/>
    <w:rsid w:val="00945DA5"/>
    <w:rsid w:val="00945DF3"/>
    <w:rsid w:val="00945E5E"/>
    <w:rsid w:val="00945E98"/>
    <w:rsid w:val="00945F68"/>
    <w:rsid w:val="00945FBA"/>
    <w:rsid w:val="00945FD9"/>
    <w:rsid w:val="00945FE1"/>
    <w:rsid w:val="00946033"/>
    <w:rsid w:val="0094603C"/>
    <w:rsid w:val="0094608E"/>
    <w:rsid w:val="009460AB"/>
    <w:rsid w:val="009460FA"/>
    <w:rsid w:val="00946106"/>
    <w:rsid w:val="00946138"/>
    <w:rsid w:val="00946181"/>
    <w:rsid w:val="009461C2"/>
    <w:rsid w:val="00946228"/>
    <w:rsid w:val="00946305"/>
    <w:rsid w:val="0094635D"/>
    <w:rsid w:val="00946365"/>
    <w:rsid w:val="00946397"/>
    <w:rsid w:val="009463C0"/>
    <w:rsid w:val="0094640D"/>
    <w:rsid w:val="009464C1"/>
    <w:rsid w:val="009464FB"/>
    <w:rsid w:val="00946562"/>
    <w:rsid w:val="0094657A"/>
    <w:rsid w:val="0094658C"/>
    <w:rsid w:val="009465DD"/>
    <w:rsid w:val="00946603"/>
    <w:rsid w:val="0094667A"/>
    <w:rsid w:val="009466DA"/>
    <w:rsid w:val="00946757"/>
    <w:rsid w:val="009467CE"/>
    <w:rsid w:val="00946816"/>
    <w:rsid w:val="00946867"/>
    <w:rsid w:val="009468B4"/>
    <w:rsid w:val="0094693A"/>
    <w:rsid w:val="0094693D"/>
    <w:rsid w:val="009469B5"/>
    <w:rsid w:val="00946A18"/>
    <w:rsid w:val="00946A4B"/>
    <w:rsid w:val="00946A54"/>
    <w:rsid w:val="00946A74"/>
    <w:rsid w:val="00946AA7"/>
    <w:rsid w:val="00946AFA"/>
    <w:rsid w:val="00946B11"/>
    <w:rsid w:val="00946B2D"/>
    <w:rsid w:val="00946BB9"/>
    <w:rsid w:val="00946BFC"/>
    <w:rsid w:val="00946C05"/>
    <w:rsid w:val="00946CA5"/>
    <w:rsid w:val="00946D5D"/>
    <w:rsid w:val="00946D6A"/>
    <w:rsid w:val="00946D7A"/>
    <w:rsid w:val="00946DA5"/>
    <w:rsid w:val="00946DF8"/>
    <w:rsid w:val="00946E75"/>
    <w:rsid w:val="00946E86"/>
    <w:rsid w:val="00946EE0"/>
    <w:rsid w:val="00946EF2"/>
    <w:rsid w:val="00946F60"/>
    <w:rsid w:val="00946F7B"/>
    <w:rsid w:val="00946FC5"/>
    <w:rsid w:val="00947002"/>
    <w:rsid w:val="0094700C"/>
    <w:rsid w:val="00947010"/>
    <w:rsid w:val="00947024"/>
    <w:rsid w:val="009470D1"/>
    <w:rsid w:val="009470F6"/>
    <w:rsid w:val="00947104"/>
    <w:rsid w:val="00947140"/>
    <w:rsid w:val="00947144"/>
    <w:rsid w:val="0094714A"/>
    <w:rsid w:val="009471A0"/>
    <w:rsid w:val="009472DB"/>
    <w:rsid w:val="009472DE"/>
    <w:rsid w:val="009472F6"/>
    <w:rsid w:val="009473AF"/>
    <w:rsid w:val="009473E5"/>
    <w:rsid w:val="0094743B"/>
    <w:rsid w:val="00947458"/>
    <w:rsid w:val="00947475"/>
    <w:rsid w:val="00947478"/>
    <w:rsid w:val="00947522"/>
    <w:rsid w:val="0094753E"/>
    <w:rsid w:val="009475FB"/>
    <w:rsid w:val="0094760E"/>
    <w:rsid w:val="00947643"/>
    <w:rsid w:val="009476E7"/>
    <w:rsid w:val="0094776A"/>
    <w:rsid w:val="0094779C"/>
    <w:rsid w:val="009477C0"/>
    <w:rsid w:val="009477CF"/>
    <w:rsid w:val="00947836"/>
    <w:rsid w:val="0094784A"/>
    <w:rsid w:val="00947882"/>
    <w:rsid w:val="0094794A"/>
    <w:rsid w:val="0094794E"/>
    <w:rsid w:val="00947967"/>
    <w:rsid w:val="00947989"/>
    <w:rsid w:val="009479A9"/>
    <w:rsid w:val="00947A0D"/>
    <w:rsid w:val="00947A64"/>
    <w:rsid w:val="00947ADB"/>
    <w:rsid w:val="00947AF8"/>
    <w:rsid w:val="00947B0F"/>
    <w:rsid w:val="00947B7C"/>
    <w:rsid w:val="00947BB8"/>
    <w:rsid w:val="00947BF2"/>
    <w:rsid w:val="00947C4A"/>
    <w:rsid w:val="00947C55"/>
    <w:rsid w:val="00947CA0"/>
    <w:rsid w:val="00947CD2"/>
    <w:rsid w:val="00947D5D"/>
    <w:rsid w:val="00947D93"/>
    <w:rsid w:val="00947E33"/>
    <w:rsid w:val="00947E3D"/>
    <w:rsid w:val="00947E64"/>
    <w:rsid w:val="00947EBA"/>
    <w:rsid w:val="00947F71"/>
    <w:rsid w:val="00947F8E"/>
    <w:rsid w:val="00947F95"/>
    <w:rsid w:val="00947FD9"/>
    <w:rsid w:val="00947FF9"/>
    <w:rsid w:val="00950008"/>
    <w:rsid w:val="00950029"/>
    <w:rsid w:val="00950101"/>
    <w:rsid w:val="00950107"/>
    <w:rsid w:val="00950125"/>
    <w:rsid w:val="00950145"/>
    <w:rsid w:val="0095017C"/>
    <w:rsid w:val="00950188"/>
    <w:rsid w:val="00950224"/>
    <w:rsid w:val="00950289"/>
    <w:rsid w:val="009502C3"/>
    <w:rsid w:val="009502E5"/>
    <w:rsid w:val="009502FC"/>
    <w:rsid w:val="009502FF"/>
    <w:rsid w:val="00950322"/>
    <w:rsid w:val="0095042B"/>
    <w:rsid w:val="00950496"/>
    <w:rsid w:val="009504B8"/>
    <w:rsid w:val="009504D4"/>
    <w:rsid w:val="00950509"/>
    <w:rsid w:val="00950517"/>
    <w:rsid w:val="009505D2"/>
    <w:rsid w:val="009505E9"/>
    <w:rsid w:val="009505FC"/>
    <w:rsid w:val="0095063A"/>
    <w:rsid w:val="0095064D"/>
    <w:rsid w:val="0095065B"/>
    <w:rsid w:val="009506C2"/>
    <w:rsid w:val="009507A3"/>
    <w:rsid w:val="009507AA"/>
    <w:rsid w:val="0095080C"/>
    <w:rsid w:val="00950818"/>
    <w:rsid w:val="00950864"/>
    <w:rsid w:val="00950883"/>
    <w:rsid w:val="0095094F"/>
    <w:rsid w:val="00950A67"/>
    <w:rsid w:val="00950B7D"/>
    <w:rsid w:val="00950C0B"/>
    <w:rsid w:val="00950C76"/>
    <w:rsid w:val="00950C91"/>
    <w:rsid w:val="00950C94"/>
    <w:rsid w:val="00950D63"/>
    <w:rsid w:val="00950D9D"/>
    <w:rsid w:val="00950DF2"/>
    <w:rsid w:val="00950EE0"/>
    <w:rsid w:val="00950EE2"/>
    <w:rsid w:val="00950F3A"/>
    <w:rsid w:val="00950FAA"/>
    <w:rsid w:val="00950FC7"/>
    <w:rsid w:val="00950FF1"/>
    <w:rsid w:val="0095103E"/>
    <w:rsid w:val="0095106B"/>
    <w:rsid w:val="00951088"/>
    <w:rsid w:val="00951162"/>
    <w:rsid w:val="00951172"/>
    <w:rsid w:val="009511A0"/>
    <w:rsid w:val="009511A9"/>
    <w:rsid w:val="00951215"/>
    <w:rsid w:val="0095121F"/>
    <w:rsid w:val="009512B0"/>
    <w:rsid w:val="0095132B"/>
    <w:rsid w:val="00951355"/>
    <w:rsid w:val="009513DF"/>
    <w:rsid w:val="009513FA"/>
    <w:rsid w:val="0095143C"/>
    <w:rsid w:val="00951441"/>
    <w:rsid w:val="009514CE"/>
    <w:rsid w:val="009514FB"/>
    <w:rsid w:val="009515C2"/>
    <w:rsid w:val="009515CF"/>
    <w:rsid w:val="009515ED"/>
    <w:rsid w:val="009515F5"/>
    <w:rsid w:val="00951728"/>
    <w:rsid w:val="00951749"/>
    <w:rsid w:val="009517B7"/>
    <w:rsid w:val="009517C2"/>
    <w:rsid w:val="00951804"/>
    <w:rsid w:val="009518A0"/>
    <w:rsid w:val="009518CD"/>
    <w:rsid w:val="009518E1"/>
    <w:rsid w:val="00951904"/>
    <w:rsid w:val="009519AC"/>
    <w:rsid w:val="009519CB"/>
    <w:rsid w:val="00951A48"/>
    <w:rsid w:val="00951A67"/>
    <w:rsid w:val="00951A9B"/>
    <w:rsid w:val="00951B00"/>
    <w:rsid w:val="00951B1C"/>
    <w:rsid w:val="00951B28"/>
    <w:rsid w:val="00951B4C"/>
    <w:rsid w:val="00951B5A"/>
    <w:rsid w:val="00951B98"/>
    <w:rsid w:val="00951BA5"/>
    <w:rsid w:val="00951BEE"/>
    <w:rsid w:val="00951C28"/>
    <w:rsid w:val="00951CC4"/>
    <w:rsid w:val="00951CFB"/>
    <w:rsid w:val="00951D2F"/>
    <w:rsid w:val="00951DEC"/>
    <w:rsid w:val="00951E19"/>
    <w:rsid w:val="00951F64"/>
    <w:rsid w:val="00951F68"/>
    <w:rsid w:val="00951F72"/>
    <w:rsid w:val="00951FC5"/>
    <w:rsid w:val="0095204A"/>
    <w:rsid w:val="0095204B"/>
    <w:rsid w:val="00952072"/>
    <w:rsid w:val="00952074"/>
    <w:rsid w:val="00952090"/>
    <w:rsid w:val="00952101"/>
    <w:rsid w:val="009521FA"/>
    <w:rsid w:val="00952245"/>
    <w:rsid w:val="0095225A"/>
    <w:rsid w:val="0095228B"/>
    <w:rsid w:val="009522AD"/>
    <w:rsid w:val="009523A2"/>
    <w:rsid w:val="0095246F"/>
    <w:rsid w:val="009524B4"/>
    <w:rsid w:val="00952516"/>
    <w:rsid w:val="00952523"/>
    <w:rsid w:val="0095259D"/>
    <w:rsid w:val="009525B5"/>
    <w:rsid w:val="0095260D"/>
    <w:rsid w:val="00952741"/>
    <w:rsid w:val="0095274D"/>
    <w:rsid w:val="00952790"/>
    <w:rsid w:val="009527C1"/>
    <w:rsid w:val="009527CC"/>
    <w:rsid w:val="0095284A"/>
    <w:rsid w:val="0095287C"/>
    <w:rsid w:val="009528AC"/>
    <w:rsid w:val="009529B2"/>
    <w:rsid w:val="009529ED"/>
    <w:rsid w:val="00952A03"/>
    <w:rsid w:val="00952A5E"/>
    <w:rsid w:val="00952ABD"/>
    <w:rsid w:val="00952AF2"/>
    <w:rsid w:val="00952B18"/>
    <w:rsid w:val="00952B53"/>
    <w:rsid w:val="00952BCC"/>
    <w:rsid w:val="00952C42"/>
    <w:rsid w:val="00952C45"/>
    <w:rsid w:val="00952D05"/>
    <w:rsid w:val="00952D1B"/>
    <w:rsid w:val="00952E80"/>
    <w:rsid w:val="00952E83"/>
    <w:rsid w:val="00952E8F"/>
    <w:rsid w:val="00952E9A"/>
    <w:rsid w:val="00952F39"/>
    <w:rsid w:val="00952F59"/>
    <w:rsid w:val="00952F83"/>
    <w:rsid w:val="00952F9D"/>
    <w:rsid w:val="00952FAA"/>
    <w:rsid w:val="00952FBC"/>
    <w:rsid w:val="00952FE4"/>
    <w:rsid w:val="00952FF6"/>
    <w:rsid w:val="0095303C"/>
    <w:rsid w:val="0095311C"/>
    <w:rsid w:val="00953150"/>
    <w:rsid w:val="00953164"/>
    <w:rsid w:val="009531D0"/>
    <w:rsid w:val="009531F0"/>
    <w:rsid w:val="009531F2"/>
    <w:rsid w:val="00953294"/>
    <w:rsid w:val="00953328"/>
    <w:rsid w:val="00953332"/>
    <w:rsid w:val="00953376"/>
    <w:rsid w:val="00953393"/>
    <w:rsid w:val="009533A0"/>
    <w:rsid w:val="009533C5"/>
    <w:rsid w:val="009533CE"/>
    <w:rsid w:val="009533FA"/>
    <w:rsid w:val="00953409"/>
    <w:rsid w:val="009534E0"/>
    <w:rsid w:val="009534F2"/>
    <w:rsid w:val="00953559"/>
    <w:rsid w:val="00953564"/>
    <w:rsid w:val="00953588"/>
    <w:rsid w:val="00953600"/>
    <w:rsid w:val="00953637"/>
    <w:rsid w:val="00953674"/>
    <w:rsid w:val="00953694"/>
    <w:rsid w:val="009536B9"/>
    <w:rsid w:val="00953759"/>
    <w:rsid w:val="00953763"/>
    <w:rsid w:val="00953777"/>
    <w:rsid w:val="0095379E"/>
    <w:rsid w:val="009537DA"/>
    <w:rsid w:val="009537FE"/>
    <w:rsid w:val="0095381D"/>
    <w:rsid w:val="00953845"/>
    <w:rsid w:val="00953882"/>
    <w:rsid w:val="00953975"/>
    <w:rsid w:val="009539F4"/>
    <w:rsid w:val="00953A37"/>
    <w:rsid w:val="00953A52"/>
    <w:rsid w:val="00953A9A"/>
    <w:rsid w:val="00953AA1"/>
    <w:rsid w:val="00953AB3"/>
    <w:rsid w:val="00953ACA"/>
    <w:rsid w:val="00953BDA"/>
    <w:rsid w:val="00953C19"/>
    <w:rsid w:val="00953C47"/>
    <w:rsid w:val="00953D29"/>
    <w:rsid w:val="00953D47"/>
    <w:rsid w:val="00953D64"/>
    <w:rsid w:val="00953DF9"/>
    <w:rsid w:val="00953DFF"/>
    <w:rsid w:val="00953E60"/>
    <w:rsid w:val="00953E62"/>
    <w:rsid w:val="00953E66"/>
    <w:rsid w:val="00953EA9"/>
    <w:rsid w:val="00953EB1"/>
    <w:rsid w:val="00953EBE"/>
    <w:rsid w:val="00953F7A"/>
    <w:rsid w:val="00953F8F"/>
    <w:rsid w:val="00953FB2"/>
    <w:rsid w:val="009540B0"/>
    <w:rsid w:val="009540B1"/>
    <w:rsid w:val="009540E5"/>
    <w:rsid w:val="009540F3"/>
    <w:rsid w:val="00954243"/>
    <w:rsid w:val="0095427C"/>
    <w:rsid w:val="009542A0"/>
    <w:rsid w:val="00954374"/>
    <w:rsid w:val="009543C4"/>
    <w:rsid w:val="009543F8"/>
    <w:rsid w:val="0095445B"/>
    <w:rsid w:val="0095445E"/>
    <w:rsid w:val="00954473"/>
    <w:rsid w:val="00954478"/>
    <w:rsid w:val="00954488"/>
    <w:rsid w:val="00954590"/>
    <w:rsid w:val="009545B2"/>
    <w:rsid w:val="009545E8"/>
    <w:rsid w:val="00954662"/>
    <w:rsid w:val="00954694"/>
    <w:rsid w:val="0095469E"/>
    <w:rsid w:val="009546D2"/>
    <w:rsid w:val="00954755"/>
    <w:rsid w:val="00954762"/>
    <w:rsid w:val="00954773"/>
    <w:rsid w:val="009547AA"/>
    <w:rsid w:val="009547F3"/>
    <w:rsid w:val="009547F8"/>
    <w:rsid w:val="00954816"/>
    <w:rsid w:val="00954829"/>
    <w:rsid w:val="009548A7"/>
    <w:rsid w:val="009548DA"/>
    <w:rsid w:val="009548F4"/>
    <w:rsid w:val="00954919"/>
    <w:rsid w:val="0095491A"/>
    <w:rsid w:val="00954921"/>
    <w:rsid w:val="0095497C"/>
    <w:rsid w:val="009549BF"/>
    <w:rsid w:val="00954A84"/>
    <w:rsid w:val="00954A9D"/>
    <w:rsid w:val="00954AA0"/>
    <w:rsid w:val="00954AA7"/>
    <w:rsid w:val="00954AB9"/>
    <w:rsid w:val="00954B5A"/>
    <w:rsid w:val="00954BD6"/>
    <w:rsid w:val="00954C2A"/>
    <w:rsid w:val="00954C55"/>
    <w:rsid w:val="00954C5E"/>
    <w:rsid w:val="00954CCF"/>
    <w:rsid w:val="00954D09"/>
    <w:rsid w:val="00954D81"/>
    <w:rsid w:val="00954DAA"/>
    <w:rsid w:val="00954E69"/>
    <w:rsid w:val="00954EA0"/>
    <w:rsid w:val="00954EAE"/>
    <w:rsid w:val="00954EAF"/>
    <w:rsid w:val="00954ECA"/>
    <w:rsid w:val="00954EEC"/>
    <w:rsid w:val="00954F12"/>
    <w:rsid w:val="00954F47"/>
    <w:rsid w:val="00954FAE"/>
    <w:rsid w:val="00954FE7"/>
    <w:rsid w:val="00955046"/>
    <w:rsid w:val="00955083"/>
    <w:rsid w:val="00955095"/>
    <w:rsid w:val="009550C0"/>
    <w:rsid w:val="009550D4"/>
    <w:rsid w:val="0095510F"/>
    <w:rsid w:val="009551C6"/>
    <w:rsid w:val="009551D5"/>
    <w:rsid w:val="00955218"/>
    <w:rsid w:val="009552B9"/>
    <w:rsid w:val="00955338"/>
    <w:rsid w:val="0095533A"/>
    <w:rsid w:val="0095538F"/>
    <w:rsid w:val="009553B3"/>
    <w:rsid w:val="009553E6"/>
    <w:rsid w:val="00955451"/>
    <w:rsid w:val="00955456"/>
    <w:rsid w:val="0095545C"/>
    <w:rsid w:val="009555D1"/>
    <w:rsid w:val="009555FB"/>
    <w:rsid w:val="00955652"/>
    <w:rsid w:val="0095568F"/>
    <w:rsid w:val="009556E2"/>
    <w:rsid w:val="009556E7"/>
    <w:rsid w:val="009556EC"/>
    <w:rsid w:val="00955736"/>
    <w:rsid w:val="009557B9"/>
    <w:rsid w:val="009557C2"/>
    <w:rsid w:val="009557D0"/>
    <w:rsid w:val="00955803"/>
    <w:rsid w:val="0095582E"/>
    <w:rsid w:val="0095584C"/>
    <w:rsid w:val="0095586E"/>
    <w:rsid w:val="00955870"/>
    <w:rsid w:val="00955892"/>
    <w:rsid w:val="009558DD"/>
    <w:rsid w:val="00955960"/>
    <w:rsid w:val="00955987"/>
    <w:rsid w:val="00955A43"/>
    <w:rsid w:val="00955AF3"/>
    <w:rsid w:val="00955B9E"/>
    <w:rsid w:val="00955BA6"/>
    <w:rsid w:val="00955BEF"/>
    <w:rsid w:val="00955BFE"/>
    <w:rsid w:val="00955C7A"/>
    <w:rsid w:val="00955C80"/>
    <w:rsid w:val="00955CA1"/>
    <w:rsid w:val="00955CBB"/>
    <w:rsid w:val="00955CFA"/>
    <w:rsid w:val="00955D0E"/>
    <w:rsid w:val="00955D2B"/>
    <w:rsid w:val="00955D5F"/>
    <w:rsid w:val="00955DEC"/>
    <w:rsid w:val="00955E1D"/>
    <w:rsid w:val="00955EA5"/>
    <w:rsid w:val="00955EBC"/>
    <w:rsid w:val="00955ED2"/>
    <w:rsid w:val="00955EF0"/>
    <w:rsid w:val="00955F12"/>
    <w:rsid w:val="00955F2E"/>
    <w:rsid w:val="00955FAD"/>
    <w:rsid w:val="00955FB4"/>
    <w:rsid w:val="0095600C"/>
    <w:rsid w:val="00956026"/>
    <w:rsid w:val="0095604A"/>
    <w:rsid w:val="00956050"/>
    <w:rsid w:val="009560BA"/>
    <w:rsid w:val="009560D3"/>
    <w:rsid w:val="00956121"/>
    <w:rsid w:val="00956122"/>
    <w:rsid w:val="00956125"/>
    <w:rsid w:val="00956199"/>
    <w:rsid w:val="009561F0"/>
    <w:rsid w:val="00956200"/>
    <w:rsid w:val="0095624C"/>
    <w:rsid w:val="009562EA"/>
    <w:rsid w:val="009562F2"/>
    <w:rsid w:val="0095630B"/>
    <w:rsid w:val="0095631A"/>
    <w:rsid w:val="00956321"/>
    <w:rsid w:val="0095633F"/>
    <w:rsid w:val="009563A9"/>
    <w:rsid w:val="009563B8"/>
    <w:rsid w:val="0095640F"/>
    <w:rsid w:val="00956441"/>
    <w:rsid w:val="00956486"/>
    <w:rsid w:val="009564FB"/>
    <w:rsid w:val="00956533"/>
    <w:rsid w:val="009565D6"/>
    <w:rsid w:val="009565D7"/>
    <w:rsid w:val="00956680"/>
    <w:rsid w:val="00956693"/>
    <w:rsid w:val="00956708"/>
    <w:rsid w:val="0095670B"/>
    <w:rsid w:val="0095674E"/>
    <w:rsid w:val="00956770"/>
    <w:rsid w:val="00956784"/>
    <w:rsid w:val="009567F6"/>
    <w:rsid w:val="00956836"/>
    <w:rsid w:val="00956839"/>
    <w:rsid w:val="00956884"/>
    <w:rsid w:val="0095689A"/>
    <w:rsid w:val="00956961"/>
    <w:rsid w:val="0095696E"/>
    <w:rsid w:val="00956973"/>
    <w:rsid w:val="009569B3"/>
    <w:rsid w:val="009569C1"/>
    <w:rsid w:val="00956A19"/>
    <w:rsid w:val="00956A5B"/>
    <w:rsid w:val="00956A67"/>
    <w:rsid w:val="00956B1D"/>
    <w:rsid w:val="00956B26"/>
    <w:rsid w:val="00956BC2"/>
    <w:rsid w:val="00956BDE"/>
    <w:rsid w:val="00956BFC"/>
    <w:rsid w:val="00956CB9"/>
    <w:rsid w:val="00956CF2"/>
    <w:rsid w:val="00956D31"/>
    <w:rsid w:val="00956DD8"/>
    <w:rsid w:val="00956E56"/>
    <w:rsid w:val="00956EA1"/>
    <w:rsid w:val="00956ED1"/>
    <w:rsid w:val="00956EFB"/>
    <w:rsid w:val="00956F10"/>
    <w:rsid w:val="00956F31"/>
    <w:rsid w:val="00957002"/>
    <w:rsid w:val="00957097"/>
    <w:rsid w:val="009570BB"/>
    <w:rsid w:val="009570C9"/>
    <w:rsid w:val="00957118"/>
    <w:rsid w:val="009571B9"/>
    <w:rsid w:val="009571E3"/>
    <w:rsid w:val="00957200"/>
    <w:rsid w:val="00957224"/>
    <w:rsid w:val="009572A3"/>
    <w:rsid w:val="0095732C"/>
    <w:rsid w:val="009573E7"/>
    <w:rsid w:val="0095740E"/>
    <w:rsid w:val="009574C1"/>
    <w:rsid w:val="009574D0"/>
    <w:rsid w:val="009574DC"/>
    <w:rsid w:val="009574F8"/>
    <w:rsid w:val="009574FC"/>
    <w:rsid w:val="0095751A"/>
    <w:rsid w:val="00957527"/>
    <w:rsid w:val="00957617"/>
    <w:rsid w:val="00957625"/>
    <w:rsid w:val="00957641"/>
    <w:rsid w:val="0095764C"/>
    <w:rsid w:val="00957650"/>
    <w:rsid w:val="0095767B"/>
    <w:rsid w:val="00957723"/>
    <w:rsid w:val="00957729"/>
    <w:rsid w:val="00957740"/>
    <w:rsid w:val="00957878"/>
    <w:rsid w:val="00957893"/>
    <w:rsid w:val="009578A1"/>
    <w:rsid w:val="009578BA"/>
    <w:rsid w:val="009578F7"/>
    <w:rsid w:val="00957903"/>
    <w:rsid w:val="00957915"/>
    <w:rsid w:val="009579B6"/>
    <w:rsid w:val="009579BC"/>
    <w:rsid w:val="009579CA"/>
    <w:rsid w:val="00957A2A"/>
    <w:rsid w:val="00957A36"/>
    <w:rsid w:val="00957A3E"/>
    <w:rsid w:val="00957A6D"/>
    <w:rsid w:val="00957ACC"/>
    <w:rsid w:val="00957AEE"/>
    <w:rsid w:val="00957AF5"/>
    <w:rsid w:val="00957B21"/>
    <w:rsid w:val="00957B2D"/>
    <w:rsid w:val="00957B44"/>
    <w:rsid w:val="00957BD1"/>
    <w:rsid w:val="00957BE2"/>
    <w:rsid w:val="00957C25"/>
    <w:rsid w:val="00957C47"/>
    <w:rsid w:val="00957CD6"/>
    <w:rsid w:val="00957D92"/>
    <w:rsid w:val="00957DB5"/>
    <w:rsid w:val="00957E54"/>
    <w:rsid w:val="00957EA8"/>
    <w:rsid w:val="00957EDF"/>
    <w:rsid w:val="00957F52"/>
    <w:rsid w:val="00957FCB"/>
    <w:rsid w:val="00960036"/>
    <w:rsid w:val="009600AC"/>
    <w:rsid w:val="00960178"/>
    <w:rsid w:val="00960197"/>
    <w:rsid w:val="00960235"/>
    <w:rsid w:val="00960244"/>
    <w:rsid w:val="00960285"/>
    <w:rsid w:val="00960298"/>
    <w:rsid w:val="00960310"/>
    <w:rsid w:val="00960339"/>
    <w:rsid w:val="00960348"/>
    <w:rsid w:val="009603D9"/>
    <w:rsid w:val="0096043B"/>
    <w:rsid w:val="00960472"/>
    <w:rsid w:val="009604E8"/>
    <w:rsid w:val="009604FA"/>
    <w:rsid w:val="00960507"/>
    <w:rsid w:val="00960518"/>
    <w:rsid w:val="009605BE"/>
    <w:rsid w:val="0096060B"/>
    <w:rsid w:val="0096061E"/>
    <w:rsid w:val="00960643"/>
    <w:rsid w:val="00960646"/>
    <w:rsid w:val="0096065C"/>
    <w:rsid w:val="009606A3"/>
    <w:rsid w:val="009606AC"/>
    <w:rsid w:val="009606C9"/>
    <w:rsid w:val="0096072F"/>
    <w:rsid w:val="009607C7"/>
    <w:rsid w:val="00960813"/>
    <w:rsid w:val="00960886"/>
    <w:rsid w:val="00960889"/>
    <w:rsid w:val="009608FE"/>
    <w:rsid w:val="0096098E"/>
    <w:rsid w:val="009609DC"/>
    <w:rsid w:val="00960A06"/>
    <w:rsid w:val="00960AD1"/>
    <w:rsid w:val="00960AE4"/>
    <w:rsid w:val="00960B51"/>
    <w:rsid w:val="00960B7A"/>
    <w:rsid w:val="00960B7B"/>
    <w:rsid w:val="00960BD6"/>
    <w:rsid w:val="00960D0E"/>
    <w:rsid w:val="00960D28"/>
    <w:rsid w:val="00960D66"/>
    <w:rsid w:val="00960D78"/>
    <w:rsid w:val="00960E98"/>
    <w:rsid w:val="00960EB7"/>
    <w:rsid w:val="00960ED1"/>
    <w:rsid w:val="00960ED9"/>
    <w:rsid w:val="00960EF4"/>
    <w:rsid w:val="00960F91"/>
    <w:rsid w:val="00960FBA"/>
    <w:rsid w:val="00960FBD"/>
    <w:rsid w:val="0096104E"/>
    <w:rsid w:val="00961064"/>
    <w:rsid w:val="0096106F"/>
    <w:rsid w:val="0096108D"/>
    <w:rsid w:val="0096108E"/>
    <w:rsid w:val="009610C0"/>
    <w:rsid w:val="0096113C"/>
    <w:rsid w:val="00961184"/>
    <w:rsid w:val="0096127B"/>
    <w:rsid w:val="0096128C"/>
    <w:rsid w:val="009612DF"/>
    <w:rsid w:val="009612E5"/>
    <w:rsid w:val="0096130C"/>
    <w:rsid w:val="0096131C"/>
    <w:rsid w:val="00961356"/>
    <w:rsid w:val="00961379"/>
    <w:rsid w:val="009613AE"/>
    <w:rsid w:val="00961500"/>
    <w:rsid w:val="00961510"/>
    <w:rsid w:val="0096155C"/>
    <w:rsid w:val="009615BE"/>
    <w:rsid w:val="0096164B"/>
    <w:rsid w:val="00961670"/>
    <w:rsid w:val="00961696"/>
    <w:rsid w:val="009616B2"/>
    <w:rsid w:val="0096175B"/>
    <w:rsid w:val="009617BB"/>
    <w:rsid w:val="009617C2"/>
    <w:rsid w:val="009617C7"/>
    <w:rsid w:val="009617E8"/>
    <w:rsid w:val="009618D7"/>
    <w:rsid w:val="00961918"/>
    <w:rsid w:val="00961947"/>
    <w:rsid w:val="0096196A"/>
    <w:rsid w:val="009619DE"/>
    <w:rsid w:val="009619F9"/>
    <w:rsid w:val="00961A0F"/>
    <w:rsid w:val="00961A1F"/>
    <w:rsid w:val="00961A84"/>
    <w:rsid w:val="00961AD2"/>
    <w:rsid w:val="00961B41"/>
    <w:rsid w:val="00961BF6"/>
    <w:rsid w:val="00961C63"/>
    <w:rsid w:val="00961C6C"/>
    <w:rsid w:val="00961CE2"/>
    <w:rsid w:val="00961D41"/>
    <w:rsid w:val="00961D63"/>
    <w:rsid w:val="00961D6C"/>
    <w:rsid w:val="00961E06"/>
    <w:rsid w:val="00961EA5"/>
    <w:rsid w:val="00961F04"/>
    <w:rsid w:val="00961F7C"/>
    <w:rsid w:val="00961FA7"/>
    <w:rsid w:val="00962010"/>
    <w:rsid w:val="00962051"/>
    <w:rsid w:val="00962087"/>
    <w:rsid w:val="009620B9"/>
    <w:rsid w:val="009620EB"/>
    <w:rsid w:val="009620F6"/>
    <w:rsid w:val="00962114"/>
    <w:rsid w:val="0096216A"/>
    <w:rsid w:val="00962198"/>
    <w:rsid w:val="009621C4"/>
    <w:rsid w:val="009621D0"/>
    <w:rsid w:val="009621F4"/>
    <w:rsid w:val="0096225C"/>
    <w:rsid w:val="00962290"/>
    <w:rsid w:val="009622EF"/>
    <w:rsid w:val="00962303"/>
    <w:rsid w:val="0096230F"/>
    <w:rsid w:val="0096231A"/>
    <w:rsid w:val="0096232B"/>
    <w:rsid w:val="0096236B"/>
    <w:rsid w:val="0096238D"/>
    <w:rsid w:val="00962397"/>
    <w:rsid w:val="0096240D"/>
    <w:rsid w:val="00962427"/>
    <w:rsid w:val="0096243C"/>
    <w:rsid w:val="0096246D"/>
    <w:rsid w:val="0096247F"/>
    <w:rsid w:val="009624A4"/>
    <w:rsid w:val="009624CD"/>
    <w:rsid w:val="009624D4"/>
    <w:rsid w:val="00962500"/>
    <w:rsid w:val="0096260D"/>
    <w:rsid w:val="0096268E"/>
    <w:rsid w:val="009626D2"/>
    <w:rsid w:val="009627B5"/>
    <w:rsid w:val="009627DB"/>
    <w:rsid w:val="009627FE"/>
    <w:rsid w:val="00962814"/>
    <w:rsid w:val="0096286D"/>
    <w:rsid w:val="00962906"/>
    <w:rsid w:val="00962939"/>
    <w:rsid w:val="00962952"/>
    <w:rsid w:val="00962964"/>
    <w:rsid w:val="009629F2"/>
    <w:rsid w:val="00962A8E"/>
    <w:rsid w:val="00962AFC"/>
    <w:rsid w:val="00962B14"/>
    <w:rsid w:val="00962C1B"/>
    <w:rsid w:val="00962C1D"/>
    <w:rsid w:val="00962CA4"/>
    <w:rsid w:val="00962CEF"/>
    <w:rsid w:val="00962D11"/>
    <w:rsid w:val="00962D45"/>
    <w:rsid w:val="00962D67"/>
    <w:rsid w:val="00962EA4"/>
    <w:rsid w:val="00962F01"/>
    <w:rsid w:val="00962F02"/>
    <w:rsid w:val="00962F03"/>
    <w:rsid w:val="00962F18"/>
    <w:rsid w:val="00962F71"/>
    <w:rsid w:val="00962F73"/>
    <w:rsid w:val="00962F79"/>
    <w:rsid w:val="00962FFC"/>
    <w:rsid w:val="00963023"/>
    <w:rsid w:val="00963128"/>
    <w:rsid w:val="00963213"/>
    <w:rsid w:val="0096322A"/>
    <w:rsid w:val="0096328D"/>
    <w:rsid w:val="00963297"/>
    <w:rsid w:val="009632D6"/>
    <w:rsid w:val="0096330E"/>
    <w:rsid w:val="00963352"/>
    <w:rsid w:val="0096335F"/>
    <w:rsid w:val="00963381"/>
    <w:rsid w:val="009633A6"/>
    <w:rsid w:val="009633D3"/>
    <w:rsid w:val="009633FB"/>
    <w:rsid w:val="00963428"/>
    <w:rsid w:val="0096343C"/>
    <w:rsid w:val="009634F3"/>
    <w:rsid w:val="009634F7"/>
    <w:rsid w:val="0096350A"/>
    <w:rsid w:val="00963523"/>
    <w:rsid w:val="00963596"/>
    <w:rsid w:val="00963619"/>
    <w:rsid w:val="0096361B"/>
    <w:rsid w:val="00963621"/>
    <w:rsid w:val="00963631"/>
    <w:rsid w:val="00963662"/>
    <w:rsid w:val="009636D5"/>
    <w:rsid w:val="009636DD"/>
    <w:rsid w:val="00963764"/>
    <w:rsid w:val="00963786"/>
    <w:rsid w:val="009637A4"/>
    <w:rsid w:val="009637AD"/>
    <w:rsid w:val="009637BE"/>
    <w:rsid w:val="009637EB"/>
    <w:rsid w:val="00963826"/>
    <w:rsid w:val="00963828"/>
    <w:rsid w:val="009638B8"/>
    <w:rsid w:val="0096399C"/>
    <w:rsid w:val="009639A9"/>
    <w:rsid w:val="00963A0A"/>
    <w:rsid w:val="00963A12"/>
    <w:rsid w:val="00963A1A"/>
    <w:rsid w:val="00963A75"/>
    <w:rsid w:val="00963AA8"/>
    <w:rsid w:val="00963AB6"/>
    <w:rsid w:val="00963BAD"/>
    <w:rsid w:val="00963BB0"/>
    <w:rsid w:val="00963BDD"/>
    <w:rsid w:val="00963C73"/>
    <w:rsid w:val="00963D00"/>
    <w:rsid w:val="00963D01"/>
    <w:rsid w:val="00963D3E"/>
    <w:rsid w:val="00963DFF"/>
    <w:rsid w:val="00963EB7"/>
    <w:rsid w:val="00963F1E"/>
    <w:rsid w:val="00963F7D"/>
    <w:rsid w:val="00964003"/>
    <w:rsid w:val="009640E1"/>
    <w:rsid w:val="009640EF"/>
    <w:rsid w:val="00964128"/>
    <w:rsid w:val="009641D4"/>
    <w:rsid w:val="0096429A"/>
    <w:rsid w:val="009642E4"/>
    <w:rsid w:val="0096431F"/>
    <w:rsid w:val="00964355"/>
    <w:rsid w:val="0096435E"/>
    <w:rsid w:val="00964369"/>
    <w:rsid w:val="0096436C"/>
    <w:rsid w:val="00964391"/>
    <w:rsid w:val="00964395"/>
    <w:rsid w:val="009643BB"/>
    <w:rsid w:val="009643CF"/>
    <w:rsid w:val="009643F4"/>
    <w:rsid w:val="00964418"/>
    <w:rsid w:val="009644DC"/>
    <w:rsid w:val="00964510"/>
    <w:rsid w:val="00964515"/>
    <w:rsid w:val="00964558"/>
    <w:rsid w:val="009645DA"/>
    <w:rsid w:val="0096468C"/>
    <w:rsid w:val="009646D8"/>
    <w:rsid w:val="00964701"/>
    <w:rsid w:val="00964735"/>
    <w:rsid w:val="0096477B"/>
    <w:rsid w:val="009647E9"/>
    <w:rsid w:val="009647F7"/>
    <w:rsid w:val="00964831"/>
    <w:rsid w:val="009648BC"/>
    <w:rsid w:val="009648D7"/>
    <w:rsid w:val="009648E9"/>
    <w:rsid w:val="00964A4E"/>
    <w:rsid w:val="00964A57"/>
    <w:rsid w:val="00964A60"/>
    <w:rsid w:val="00964A87"/>
    <w:rsid w:val="00964B26"/>
    <w:rsid w:val="00964B37"/>
    <w:rsid w:val="00964BD7"/>
    <w:rsid w:val="00964BE4"/>
    <w:rsid w:val="00964C3A"/>
    <w:rsid w:val="00964C5A"/>
    <w:rsid w:val="00964CA3"/>
    <w:rsid w:val="00964CD8"/>
    <w:rsid w:val="00964D16"/>
    <w:rsid w:val="00964D31"/>
    <w:rsid w:val="00964DAF"/>
    <w:rsid w:val="00964DDC"/>
    <w:rsid w:val="00964DF9"/>
    <w:rsid w:val="00964E68"/>
    <w:rsid w:val="00964EE3"/>
    <w:rsid w:val="00964EF7"/>
    <w:rsid w:val="00964EFA"/>
    <w:rsid w:val="00964EFF"/>
    <w:rsid w:val="00964F1F"/>
    <w:rsid w:val="00964F64"/>
    <w:rsid w:val="00964F66"/>
    <w:rsid w:val="00964FD0"/>
    <w:rsid w:val="00964FE0"/>
    <w:rsid w:val="00965050"/>
    <w:rsid w:val="0096506F"/>
    <w:rsid w:val="00965071"/>
    <w:rsid w:val="009650F4"/>
    <w:rsid w:val="0096517D"/>
    <w:rsid w:val="0096518B"/>
    <w:rsid w:val="009651E1"/>
    <w:rsid w:val="009651E4"/>
    <w:rsid w:val="00965234"/>
    <w:rsid w:val="00965258"/>
    <w:rsid w:val="0096529A"/>
    <w:rsid w:val="0096530B"/>
    <w:rsid w:val="00965421"/>
    <w:rsid w:val="0096542C"/>
    <w:rsid w:val="00965461"/>
    <w:rsid w:val="00965509"/>
    <w:rsid w:val="00965516"/>
    <w:rsid w:val="00965545"/>
    <w:rsid w:val="009655A1"/>
    <w:rsid w:val="009655B7"/>
    <w:rsid w:val="009655C5"/>
    <w:rsid w:val="00965612"/>
    <w:rsid w:val="00965622"/>
    <w:rsid w:val="00965653"/>
    <w:rsid w:val="00965697"/>
    <w:rsid w:val="009656C2"/>
    <w:rsid w:val="009656E7"/>
    <w:rsid w:val="009657A8"/>
    <w:rsid w:val="009657D1"/>
    <w:rsid w:val="00965815"/>
    <w:rsid w:val="009658A8"/>
    <w:rsid w:val="009658B8"/>
    <w:rsid w:val="009658DE"/>
    <w:rsid w:val="00965950"/>
    <w:rsid w:val="00965990"/>
    <w:rsid w:val="009659C4"/>
    <w:rsid w:val="009659E5"/>
    <w:rsid w:val="009659E6"/>
    <w:rsid w:val="00965A52"/>
    <w:rsid w:val="00965AFF"/>
    <w:rsid w:val="00965B9F"/>
    <w:rsid w:val="00965BB1"/>
    <w:rsid w:val="00965C25"/>
    <w:rsid w:val="00965CA0"/>
    <w:rsid w:val="00965CBF"/>
    <w:rsid w:val="00965CDD"/>
    <w:rsid w:val="00965CE8"/>
    <w:rsid w:val="00965D07"/>
    <w:rsid w:val="00965D44"/>
    <w:rsid w:val="00965D79"/>
    <w:rsid w:val="00965DD0"/>
    <w:rsid w:val="00965E6F"/>
    <w:rsid w:val="00965EE9"/>
    <w:rsid w:val="00965EFB"/>
    <w:rsid w:val="00965F00"/>
    <w:rsid w:val="00965F01"/>
    <w:rsid w:val="00965F3E"/>
    <w:rsid w:val="00965F5D"/>
    <w:rsid w:val="00965F5E"/>
    <w:rsid w:val="00965F6D"/>
    <w:rsid w:val="00965F88"/>
    <w:rsid w:val="00965FA0"/>
    <w:rsid w:val="00965FCD"/>
    <w:rsid w:val="00966023"/>
    <w:rsid w:val="00966028"/>
    <w:rsid w:val="00966049"/>
    <w:rsid w:val="009660B0"/>
    <w:rsid w:val="0096616A"/>
    <w:rsid w:val="0096616B"/>
    <w:rsid w:val="009661C3"/>
    <w:rsid w:val="0096625F"/>
    <w:rsid w:val="009662B1"/>
    <w:rsid w:val="0096633C"/>
    <w:rsid w:val="00966356"/>
    <w:rsid w:val="00966362"/>
    <w:rsid w:val="00966389"/>
    <w:rsid w:val="009664FA"/>
    <w:rsid w:val="00966530"/>
    <w:rsid w:val="009665B8"/>
    <w:rsid w:val="0096664D"/>
    <w:rsid w:val="0096665E"/>
    <w:rsid w:val="00966664"/>
    <w:rsid w:val="00966672"/>
    <w:rsid w:val="00966698"/>
    <w:rsid w:val="009666CA"/>
    <w:rsid w:val="00966720"/>
    <w:rsid w:val="0096674E"/>
    <w:rsid w:val="009667A0"/>
    <w:rsid w:val="009667FF"/>
    <w:rsid w:val="00966811"/>
    <w:rsid w:val="00966839"/>
    <w:rsid w:val="0096685B"/>
    <w:rsid w:val="00966874"/>
    <w:rsid w:val="0096687D"/>
    <w:rsid w:val="009668E4"/>
    <w:rsid w:val="00966914"/>
    <w:rsid w:val="0096696B"/>
    <w:rsid w:val="0096698B"/>
    <w:rsid w:val="009669CC"/>
    <w:rsid w:val="00966A07"/>
    <w:rsid w:val="00966A40"/>
    <w:rsid w:val="00966B32"/>
    <w:rsid w:val="00966B7B"/>
    <w:rsid w:val="00966BF9"/>
    <w:rsid w:val="00966CE7"/>
    <w:rsid w:val="00966D07"/>
    <w:rsid w:val="00966D58"/>
    <w:rsid w:val="00966D7B"/>
    <w:rsid w:val="00966D82"/>
    <w:rsid w:val="00966DDA"/>
    <w:rsid w:val="00966E0C"/>
    <w:rsid w:val="00966E12"/>
    <w:rsid w:val="00966E62"/>
    <w:rsid w:val="00966EEF"/>
    <w:rsid w:val="00966F02"/>
    <w:rsid w:val="00966F17"/>
    <w:rsid w:val="00966F25"/>
    <w:rsid w:val="00966F64"/>
    <w:rsid w:val="00966FAB"/>
    <w:rsid w:val="00966FD0"/>
    <w:rsid w:val="00966FE4"/>
    <w:rsid w:val="0096704F"/>
    <w:rsid w:val="00967072"/>
    <w:rsid w:val="009670C6"/>
    <w:rsid w:val="009670EB"/>
    <w:rsid w:val="00967107"/>
    <w:rsid w:val="00967182"/>
    <w:rsid w:val="00967190"/>
    <w:rsid w:val="00967216"/>
    <w:rsid w:val="00967242"/>
    <w:rsid w:val="0096726F"/>
    <w:rsid w:val="00967297"/>
    <w:rsid w:val="009672B8"/>
    <w:rsid w:val="009672CE"/>
    <w:rsid w:val="009672F6"/>
    <w:rsid w:val="00967316"/>
    <w:rsid w:val="0096734A"/>
    <w:rsid w:val="009673A8"/>
    <w:rsid w:val="009673C0"/>
    <w:rsid w:val="00967484"/>
    <w:rsid w:val="00967491"/>
    <w:rsid w:val="009674B1"/>
    <w:rsid w:val="009674CA"/>
    <w:rsid w:val="00967541"/>
    <w:rsid w:val="009675A4"/>
    <w:rsid w:val="009675D2"/>
    <w:rsid w:val="00967636"/>
    <w:rsid w:val="009676DE"/>
    <w:rsid w:val="009676F8"/>
    <w:rsid w:val="00967823"/>
    <w:rsid w:val="009678CE"/>
    <w:rsid w:val="00967902"/>
    <w:rsid w:val="00967948"/>
    <w:rsid w:val="00967982"/>
    <w:rsid w:val="00967992"/>
    <w:rsid w:val="009679B3"/>
    <w:rsid w:val="00967A67"/>
    <w:rsid w:val="00967A9E"/>
    <w:rsid w:val="00967ACC"/>
    <w:rsid w:val="00967ACE"/>
    <w:rsid w:val="00967B0F"/>
    <w:rsid w:val="00967B13"/>
    <w:rsid w:val="00967B22"/>
    <w:rsid w:val="00967B59"/>
    <w:rsid w:val="00967BB4"/>
    <w:rsid w:val="00967BD8"/>
    <w:rsid w:val="00967C8F"/>
    <w:rsid w:val="00967D37"/>
    <w:rsid w:val="00967D58"/>
    <w:rsid w:val="00967D60"/>
    <w:rsid w:val="00967D9B"/>
    <w:rsid w:val="00967DDF"/>
    <w:rsid w:val="00967E0E"/>
    <w:rsid w:val="00967E6B"/>
    <w:rsid w:val="00967E8E"/>
    <w:rsid w:val="00967F55"/>
    <w:rsid w:val="00967F80"/>
    <w:rsid w:val="00967F92"/>
    <w:rsid w:val="009700F0"/>
    <w:rsid w:val="00970136"/>
    <w:rsid w:val="00970181"/>
    <w:rsid w:val="009701AC"/>
    <w:rsid w:val="0097021B"/>
    <w:rsid w:val="00970220"/>
    <w:rsid w:val="00970272"/>
    <w:rsid w:val="0097028D"/>
    <w:rsid w:val="0097032B"/>
    <w:rsid w:val="00970368"/>
    <w:rsid w:val="00970422"/>
    <w:rsid w:val="00970425"/>
    <w:rsid w:val="0097042B"/>
    <w:rsid w:val="0097046B"/>
    <w:rsid w:val="0097048F"/>
    <w:rsid w:val="009704EA"/>
    <w:rsid w:val="0097055D"/>
    <w:rsid w:val="009705A4"/>
    <w:rsid w:val="00970641"/>
    <w:rsid w:val="00970699"/>
    <w:rsid w:val="00970708"/>
    <w:rsid w:val="0097070E"/>
    <w:rsid w:val="00970738"/>
    <w:rsid w:val="00970751"/>
    <w:rsid w:val="00970769"/>
    <w:rsid w:val="0097079C"/>
    <w:rsid w:val="009707CE"/>
    <w:rsid w:val="009707D3"/>
    <w:rsid w:val="009707E5"/>
    <w:rsid w:val="009707F4"/>
    <w:rsid w:val="00970811"/>
    <w:rsid w:val="00970860"/>
    <w:rsid w:val="009708B5"/>
    <w:rsid w:val="00970920"/>
    <w:rsid w:val="00970936"/>
    <w:rsid w:val="00970953"/>
    <w:rsid w:val="00970976"/>
    <w:rsid w:val="009709AA"/>
    <w:rsid w:val="00970A09"/>
    <w:rsid w:val="00970A21"/>
    <w:rsid w:val="00970A76"/>
    <w:rsid w:val="00970AB3"/>
    <w:rsid w:val="00970AB5"/>
    <w:rsid w:val="00970ABB"/>
    <w:rsid w:val="00970ABC"/>
    <w:rsid w:val="00970AD4"/>
    <w:rsid w:val="00970B16"/>
    <w:rsid w:val="00970B1D"/>
    <w:rsid w:val="00970B36"/>
    <w:rsid w:val="00970B81"/>
    <w:rsid w:val="00970BF4"/>
    <w:rsid w:val="00970BFE"/>
    <w:rsid w:val="00970C78"/>
    <w:rsid w:val="00970CE0"/>
    <w:rsid w:val="00970D38"/>
    <w:rsid w:val="00970D6B"/>
    <w:rsid w:val="00970D92"/>
    <w:rsid w:val="00970DEB"/>
    <w:rsid w:val="00970E15"/>
    <w:rsid w:val="00970E5D"/>
    <w:rsid w:val="00970E61"/>
    <w:rsid w:val="00970E67"/>
    <w:rsid w:val="00970E98"/>
    <w:rsid w:val="00970EB4"/>
    <w:rsid w:val="00970EE5"/>
    <w:rsid w:val="00970F5B"/>
    <w:rsid w:val="00970F8C"/>
    <w:rsid w:val="00970FB7"/>
    <w:rsid w:val="00970FBC"/>
    <w:rsid w:val="00970FFA"/>
    <w:rsid w:val="0097104E"/>
    <w:rsid w:val="00971084"/>
    <w:rsid w:val="009710B7"/>
    <w:rsid w:val="009710BB"/>
    <w:rsid w:val="0097114E"/>
    <w:rsid w:val="0097115F"/>
    <w:rsid w:val="00971163"/>
    <w:rsid w:val="009711B6"/>
    <w:rsid w:val="009711B8"/>
    <w:rsid w:val="009711EF"/>
    <w:rsid w:val="009711F2"/>
    <w:rsid w:val="00971203"/>
    <w:rsid w:val="0097122B"/>
    <w:rsid w:val="00971235"/>
    <w:rsid w:val="0097128E"/>
    <w:rsid w:val="009712F8"/>
    <w:rsid w:val="0097132B"/>
    <w:rsid w:val="0097134A"/>
    <w:rsid w:val="009713A3"/>
    <w:rsid w:val="00971433"/>
    <w:rsid w:val="0097143B"/>
    <w:rsid w:val="00971444"/>
    <w:rsid w:val="0097144B"/>
    <w:rsid w:val="00971467"/>
    <w:rsid w:val="009714E2"/>
    <w:rsid w:val="009714ED"/>
    <w:rsid w:val="00971580"/>
    <w:rsid w:val="009715E3"/>
    <w:rsid w:val="00971613"/>
    <w:rsid w:val="00971618"/>
    <w:rsid w:val="00971656"/>
    <w:rsid w:val="00971688"/>
    <w:rsid w:val="009717BC"/>
    <w:rsid w:val="009717CC"/>
    <w:rsid w:val="009717DB"/>
    <w:rsid w:val="00971839"/>
    <w:rsid w:val="0097199A"/>
    <w:rsid w:val="009719A0"/>
    <w:rsid w:val="009719A1"/>
    <w:rsid w:val="00971B50"/>
    <w:rsid w:val="00971BAE"/>
    <w:rsid w:val="00971BB0"/>
    <w:rsid w:val="00971C06"/>
    <w:rsid w:val="00971C16"/>
    <w:rsid w:val="00971C6A"/>
    <w:rsid w:val="00971CA0"/>
    <w:rsid w:val="00971D64"/>
    <w:rsid w:val="00971E3C"/>
    <w:rsid w:val="00971E44"/>
    <w:rsid w:val="00971E50"/>
    <w:rsid w:val="00971EA4"/>
    <w:rsid w:val="00971EED"/>
    <w:rsid w:val="00971F03"/>
    <w:rsid w:val="00971F95"/>
    <w:rsid w:val="00971FB6"/>
    <w:rsid w:val="00971FE5"/>
    <w:rsid w:val="00972016"/>
    <w:rsid w:val="0097204D"/>
    <w:rsid w:val="009720A1"/>
    <w:rsid w:val="009720B8"/>
    <w:rsid w:val="009720BE"/>
    <w:rsid w:val="00972188"/>
    <w:rsid w:val="0097218C"/>
    <w:rsid w:val="0097223F"/>
    <w:rsid w:val="00972243"/>
    <w:rsid w:val="00972269"/>
    <w:rsid w:val="00972282"/>
    <w:rsid w:val="009722D2"/>
    <w:rsid w:val="009722D4"/>
    <w:rsid w:val="009722E9"/>
    <w:rsid w:val="009722FE"/>
    <w:rsid w:val="0097232C"/>
    <w:rsid w:val="0097235C"/>
    <w:rsid w:val="009723D8"/>
    <w:rsid w:val="00972400"/>
    <w:rsid w:val="0097241B"/>
    <w:rsid w:val="009724E9"/>
    <w:rsid w:val="009724FA"/>
    <w:rsid w:val="00972522"/>
    <w:rsid w:val="009725C7"/>
    <w:rsid w:val="009725CA"/>
    <w:rsid w:val="009725E8"/>
    <w:rsid w:val="00972651"/>
    <w:rsid w:val="0097269B"/>
    <w:rsid w:val="009726CA"/>
    <w:rsid w:val="00972708"/>
    <w:rsid w:val="0097274C"/>
    <w:rsid w:val="0097282C"/>
    <w:rsid w:val="00972865"/>
    <w:rsid w:val="0097286F"/>
    <w:rsid w:val="0097292F"/>
    <w:rsid w:val="00972956"/>
    <w:rsid w:val="0097296F"/>
    <w:rsid w:val="009729D4"/>
    <w:rsid w:val="00972A33"/>
    <w:rsid w:val="00972A37"/>
    <w:rsid w:val="00972ACF"/>
    <w:rsid w:val="00972BE8"/>
    <w:rsid w:val="00972BEA"/>
    <w:rsid w:val="00972BF3"/>
    <w:rsid w:val="00972C13"/>
    <w:rsid w:val="00972CCF"/>
    <w:rsid w:val="00972CD2"/>
    <w:rsid w:val="00972D2F"/>
    <w:rsid w:val="00972D7E"/>
    <w:rsid w:val="00972DA0"/>
    <w:rsid w:val="00972DD6"/>
    <w:rsid w:val="00972E15"/>
    <w:rsid w:val="00972E2C"/>
    <w:rsid w:val="00972E2E"/>
    <w:rsid w:val="00972E30"/>
    <w:rsid w:val="00972E50"/>
    <w:rsid w:val="00972EA8"/>
    <w:rsid w:val="00972EE1"/>
    <w:rsid w:val="00972F00"/>
    <w:rsid w:val="00973005"/>
    <w:rsid w:val="00973057"/>
    <w:rsid w:val="00973065"/>
    <w:rsid w:val="00973074"/>
    <w:rsid w:val="009730D3"/>
    <w:rsid w:val="00973157"/>
    <w:rsid w:val="00973183"/>
    <w:rsid w:val="009731E1"/>
    <w:rsid w:val="0097320A"/>
    <w:rsid w:val="00973215"/>
    <w:rsid w:val="00973253"/>
    <w:rsid w:val="009732A2"/>
    <w:rsid w:val="009732CA"/>
    <w:rsid w:val="009732EF"/>
    <w:rsid w:val="0097333E"/>
    <w:rsid w:val="00973389"/>
    <w:rsid w:val="00973390"/>
    <w:rsid w:val="009734DD"/>
    <w:rsid w:val="009735B8"/>
    <w:rsid w:val="0097360C"/>
    <w:rsid w:val="00973613"/>
    <w:rsid w:val="0097365A"/>
    <w:rsid w:val="00973675"/>
    <w:rsid w:val="00973787"/>
    <w:rsid w:val="00973794"/>
    <w:rsid w:val="009737BF"/>
    <w:rsid w:val="009737E7"/>
    <w:rsid w:val="0097382A"/>
    <w:rsid w:val="0097383F"/>
    <w:rsid w:val="00973848"/>
    <w:rsid w:val="00973880"/>
    <w:rsid w:val="009738C8"/>
    <w:rsid w:val="00973917"/>
    <w:rsid w:val="0097391F"/>
    <w:rsid w:val="00973921"/>
    <w:rsid w:val="00973936"/>
    <w:rsid w:val="0097393E"/>
    <w:rsid w:val="00973955"/>
    <w:rsid w:val="00973A32"/>
    <w:rsid w:val="00973A43"/>
    <w:rsid w:val="00973A8F"/>
    <w:rsid w:val="00973AC1"/>
    <w:rsid w:val="00973ACA"/>
    <w:rsid w:val="00973ADC"/>
    <w:rsid w:val="00973B5F"/>
    <w:rsid w:val="00973B9C"/>
    <w:rsid w:val="00973BAA"/>
    <w:rsid w:val="00973BE1"/>
    <w:rsid w:val="00973C62"/>
    <w:rsid w:val="00973C93"/>
    <w:rsid w:val="00973D7E"/>
    <w:rsid w:val="00973DAE"/>
    <w:rsid w:val="00973E04"/>
    <w:rsid w:val="00973E31"/>
    <w:rsid w:val="00973E5A"/>
    <w:rsid w:val="00973E78"/>
    <w:rsid w:val="00973EB5"/>
    <w:rsid w:val="00973F02"/>
    <w:rsid w:val="00973FB1"/>
    <w:rsid w:val="00973FBA"/>
    <w:rsid w:val="00973FE6"/>
    <w:rsid w:val="0097401E"/>
    <w:rsid w:val="00974032"/>
    <w:rsid w:val="00974033"/>
    <w:rsid w:val="00974069"/>
    <w:rsid w:val="00974076"/>
    <w:rsid w:val="009740FE"/>
    <w:rsid w:val="00974108"/>
    <w:rsid w:val="00974178"/>
    <w:rsid w:val="009741F4"/>
    <w:rsid w:val="00974224"/>
    <w:rsid w:val="00974274"/>
    <w:rsid w:val="009742B9"/>
    <w:rsid w:val="009743B4"/>
    <w:rsid w:val="00974410"/>
    <w:rsid w:val="0097441F"/>
    <w:rsid w:val="0097447A"/>
    <w:rsid w:val="0097447B"/>
    <w:rsid w:val="00974534"/>
    <w:rsid w:val="0097453B"/>
    <w:rsid w:val="00974546"/>
    <w:rsid w:val="0097456D"/>
    <w:rsid w:val="0097458C"/>
    <w:rsid w:val="0097458E"/>
    <w:rsid w:val="0097459D"/>
    <w:rsid w:val="0097459E"/>
    <w:rsid w:val="009745B3"/>
    <w:rsid w:val="009745BD"/>
    <w:rsid w:val="0097461D"/>
    <w:rsid w:val="00974661"/>
    <w:rsid w:val="009746C6"/>
    <w:rsid w:val="009746F8"/>
    <w:rsid w:val="00974722"/>
    <w:rsid w:val="00974787"/>
    <w:rsid w:val="009747BD"/>
    <w:rsid w:val="009747E1"/>
    <w:rsid w:val="009747F9"/>
    <w:rsid w:val="00974897"/>
    <w:rsid w:val="0097489D"/>
    <w:rsid w:val="009748BA"/>
    <w:rsid w:val="00974969"/>
    <w:rsid w:val="00974983"/>
    <w:rsid w:val="0097499B"/>
    <w:rsid w:val="009749B7"/>
    <w:rsid w:val="009749C4"/>
    <w:rsid w:val="00974A0F"/>
    <w:rsid w:val="00974A4F"/>
    <w:rsid w:val="00974B0E"/>
    <w:rsid w:val="00974B22"/>
    <w:rsid w:val="00974B24"/>
    <w:rsid w:val="00974B27"/>
    <w:rsid w:val="00974B39"/>
    <w:rsid w:val="00974B47"/>
    <w:rsid w:val="00974BAE"/>
    <w:rsid w:val="00974BC4"/>
    <w:rsid w:val="00974BE2"/>
    <w:rsid w:val="00974C0A"/>
    <w:rsid w:val="00974C34"/>
    <w:rsid w:val="00974C49"/>
    <w:rsid w:val="00974CA3"/>
    <w:rsid w:val="00974CB2"/>
    <w:rsid w:val="00974CCB"/>
    <w:rsid w:val="00974CD2"/>
    <w:rsid w:val="00974CD4"/>
    <w:rsid w:val="00974CE8"/>
    <w:rsid w:val="00974D25"/>
    <w:rsid w:val="00974D35"/>
    <w:rsid w:val="00974D39"/>
    <w:rsid w:val="00974DC9"/>
    <w:rsid w:val="00974EE1"/>
    <w:rsid w:val="00974EFE"/>
    <w:rsid w:val="00974F1A"/>
    <w:rsid w:val="00974F2D"/>
    <w:rsid w:val="00974F92"/>
    <w:rsid w:val="00974FB0"/>
    <w:rsid w:val="00974FBD"/>
    <w:rsid w:val="00974FDA"/>
    <w:rsid w:val="0097501F"/>
    <w:rsid w:val="00975032"/>
    <w:rsid w:val="00975040"/>
    <w:rsid w:val="009750A5"/>
    <w:rsid w:val="00975103"/>
    <w:rsid w:val="009751F0"/>
    <w:rsid w:val="0097521A"/>
    <w:rsid w:val="0097523D"/>
    <w:rsid w:val="00975240"/>
    <w:rsid w:val="009752FC"/>
    <w:rsid w:val="00975305"/>
    <w:rsid w:val="0097532A"/>
    <w:rsid w:val="00975339"/>
    <w:rsid w:val="009753D3"/>
    <w:rsid w:val="00975414"/>
    <w:rsid w:val="0097547F"/>
    <w:rsid w:val="00975565"/>
    <w:rsid w:val="0097560B"/>
    <w:rsid w:val="00975624"/>
    <w:rsid w:val="009756DE"/>
    <w:rsid w:val="00975719"/>
    <w:rsid w:val="0097571E"/>
    <w:rsid w:val="0097576D"/>
    <w:rsid w:val="009757B3"/>
    <w:rsid w:val="00975832"/>
    <w:rsid w:val="00975855"/>
    <w:rsid w:val="009758AC"/>
    <w:rsid w:val="009758EF"/>
    <w:rsid w:val="0097596C"/>
    <w:rsid w:val="009759AF"/>
    <w:rsid w:val="009759C7"/>
    <w:rsid w:val="009759CA"/>
    <w:rsid w:val="009759D7"/>
    <w:rsid w:val="009759E0"/>
    <w:rsid w:val="00975A0B"/>
    <w:rsid w:val="00975A52"/>
    <w:rsid w:val="00975B30"/>
    <w:rsid w:val="00975B57"/>
    <w:rsid w:val="00975B98"/>
    <w:rsid w:val="00975C69"/>
    <w:rsid w:val="00975CAA"/>
    <w:rsid w:val="00975CFB"/>
    <w:rsid w:val="00975D6D"/>
    <w:rsid w:val="00975DE6"/>
    <w:rsid w:val="00975E30"/>
    <w:rsid w:val="00975E81"/>
    <w:rsid w:val="00975E8D"/>
    <w:rsid w:val="00975EBF"/>
    <w:rsid w:val="00975EC6"/>
    <w:rsid w:val="00975F07"/>
    <w:rsid w:val="00975F26"/>
    <w:rsid w:val="00975F60"/>
    <w:rsid w:val="00975F91"/>
    <w:rsid w:val="00975FF9"/>
    <w:rsid w:val="00976014"/>
    <w:rsid w:val="0097601E"/>
    <w:rsid w:val="0097604E"/>
    <w:rsid w:val="0097613B"/>
    <w:rsid w:val="00976206"/>
    <w:rsid w:val="00976269"/>
    <w:rsid w:val="0097626B"/>
    <w:rsid w:val="00976297"/>
    <w:rsid w:val="009762B8"/>
    <w:rsid w:val="009762C1"/>
    <w:rsid w:val="00976343"/>
    <w:rsid w:val="009763AB"/>
    <w:rsid w:val="009763B3"/>
    <w:rsid w:val="009763F3"/>
    <w:rsid w:val="009763FC"/>
    <w:rsid w:val="0097640E"/>
    <w:rsid w:val="00976461"/>
    <w:rsid w:val="0097647D"/>
    <w:rsid w:val="00976539"/>
    <w:rsid w:val="00976562"/>
    <w:rsid w:val="009765AC"/>
    <w:rsid w:val="009765B2"/>
    <w:rsid w:val="009765ED"/>
    <w:rsid w:val="00976626"/>
    <w:rsid w:val="00976683"/>
    <w:rsid w:val="009766DC"/>
    <w:rsid w:val="009766F0"/>
    <w:rsid w:val="00976721"/>
    <w:rsid w:val="00976728"/>
    <w:rsid w:val="009767DA"/>
    <w:rsid w:val="00976869"/>
    <w:rsid w:val="0097686D"/>
    <w:rsid w:val="0097692A"/>
    <w:rsid w:val="00976936"/>
    <w:rsid w:val="0097693B"/>
    <w:rsid w:val="00976975"/>
    <w:rsid w:val="0097698F"/>
    <w:rsid w:val="00976A1D"/>
    <w:rsid w:val="00976A32"/>
    <w:rsid w:val="00976A6D"/>
    <w:rsid w:val="00976ACD"/>
    <w:rsid w:val="00976B4A"/>
    <w:rsid w:val="00976B65"/>
    <w:rsid w:val="00976BA5"/>
    <w:rsid w:val="00976C23"/>
    <w:rsid w:val="00976C54"/>
    <w:rsid w:val="00976CC0"/>
    <w:rsid w:val="00976D49"/>
    <w:rsid w:val="00976D7E"/>
    <w:rsid w:val="00976DFE"/>
    <w:rsid w:val="00976E07"/>
    <w:rsid w:val="00976E13"/>
    <w:rsid w:val="00976E51"/>
    <w:rsid w:val="00976EA7"/>
    <w:rsid w:val="00976EA8"/>
    <w:rsid w:val="00976EDF"/>
    <w:rsid w:val="00976F1B"/>
    <w:rsid w:val="00976F3F"/>
    <w:rsid w:val="00976FD6"/>
    <w:rsid w:val="00976FDF"/>
    <w:rsid w:val="00977041"/>
    <w:rsid w:val="00977048"/>
    <w:rsid w:val="009770B6"/>
    <w:rsid w:val="009770C7"/>
    <w:rsid w:val="009771E0"/>
    <w:rsid w:val="009772A0"/>
    <w:rsid w:val="009772CE"/>
    <w:rsid w:val="009772E4"/>
    <w:rsid w:val="0097736A"/>
    <w:rsid w:val="0097744C"/>
    <w:rsid w:val="00977483"/>
    <w:rsid w:val="009774B6"/>
    <w:rsid w:val="009774D5"/>
    <w:rsid w:val="009774F1"/>
    <w:rsid w:val="00977504"/>
    <w:rsid w:val="0097750A"/>
    <w:rsid w:val="00977537"/>
    <w:rsid w:val="0097754D"/>
    <w:rsid w:val="009775D0"/>
    <w:rsid w:val="0097763E"/>
    <w:rsid w:val="0097764D"/>
    <w:rsid w:val="009776D9"/>
    <w:rsid w:val="00977706"/>
    <w:rsid w:val="00977798"/>
    <w:rsid w:val="009777B8"/>
    <w:rsid w:val="009777E5"/>
    <w:rsid w:val="009778A3"/>
    <w:rsid w:val="009778B3"/>
    <w:rsid w:val="009778B7"/>
    <w:rsid w:val="00977935"/>
    <w:rsid w:val="00977950"/>
    <w:rsid w:val="009779A4"/>
    <w:rsid w:val="009779D1"/>
    <w:rsid w:val="009779F6"/>
    <w:rsid w:val="00977A95"/>
    <w:rsid w:val="00977B6A"/>
    <w:rsid w:val="00977B81"/>
    <w:rsid w:val="00977B93"/>
    <w:rsid w:val="00977BE7"/>
    <w:rsid w:val="00977C1E"/>
    <w:rsid w:val="00977C5E"/>
    <w:rsid w:val="00977C78"/>
    <w:rsid w:val="00977CCC"/>
    <w:rsid w:val="00977CDB"/>
    <w:rsid w:val="00977D00"/>
    <w:rsid w:val="00977D0F"/>
    <w:rsid w:val="00977D38"/>
    <w:rsid w:val="00977D62"/>
    <w:rsid w:val="00977D8B"/>
    <w:rsid w:val="00977DA4"/>
    <w:rsid w:val="00977DAF"/>
    <w:rsid w:val="00977DC4"/>
    <w:rsid w:val="00977DD8"/>
    <w:rsid w:val="00977E10"/>
    <w:rsid w:val="00977E4A"/>
    <w:rsid w:val="00977E64"/>
    <w:rsid w:val="00977F0D"/>
    <w:rsid w:val="00977F46"/>
    <w:rsid w:val="00977F85"/>
    <w:rsid w:val="00977F8B"/>
    <w:rsid w:val="00977FA6"/>
    <w:rsid w:val="00977FC9"/>
    <w:rsid w:val="00977FE5"/>
    <w:rsid w:val="00980054"/>
    <w:rsid w:val="0098005D"/>
    <w:rsid w:val="00980149"/>
    <w:rsid w:val="00980158"/>
    <w:rsid w:val="00980159"/>
    <w:rsid w:val="0098022C"/>
    <w:rsid w:val="00980294"/>
    <w:rsid w:val="009802AD"/>
    <w:rsid w:val="009802D1"/>
    <w:rsid w:val="009802DC"/>
    <w:rsid w:val="009802E1"/>
    <w:rsid w:val="00980385"/>
    <w:rsid w:val="009803AC"/>
    <w:rsid w:val="0098044C"/>
    <w:rsid w:val="0098046D"/>
    <w:rsid w:val="009804EF"/>
    <w:rsid w:val="00980516"/>
    <w:rsid w:val="0098051F"/>
    <w:rsid w:val="00980524"/>
    <w:rsid w:val="0098059C"/>
    <w:rsid w:val="00980613"/>
    <w:rsid w:val="009806BA"/>
    <w:rsid w:val="009806EC"/>
    <w:rsid w:val="00980759"/>
    <w:rsid w:val="009807D9"/>
    <w:rsid w:val="009808A3"/>
    <w:rsid w:val="00980902"/>
    <w:rsid w:val="0098095D"/>
    <w:rsid w:val="00980977"/>
    <w:rsid w:val="0098097C"/>
    <w:rsid w:val="009809D7"/>
    <w:rsid w:val="00980A76"/>
    <w:rsid w:val="00980A77"/>
    <w:rsid w:val="00980A94"/>
    <w:rsid w:val="00980AAB"/>
    <w:rsid w:val="00980B67"/>
    <w:rsid w:val="00980B77"/>
    <w:rsid w:val="00980B79"/>
    <w:rsid w:val="00980B8F"/>
    <w:rsid w:val="00980BC2"/>
    <w:rsid w:val="00980C1A"/>
    <w:rsid w:val="00980C37"/>
    <w:rsid w:val="00980C52"/>
    <w:rsid w:val="00980CBA"/>
    <w:rsid w:val="00980CF6"/>
    <w:rsid w:val="00980D2D"/>
    <w:rsid w:val="00980D71"/>
    <w:rsid w:val="00980DD2"/>
    <w:rsid w:val="00980DEE"/>
    <w:rsid w:val="00980E3F"/>
    <w:rsid w:val="00980E46"/>
    <w:rsid w:val="00980FCE"/>
    <w:rsid w:val="00981050"/>
    <w:rsid w:val="009810AB"/>
    <w:rsid w:val="009810B2"/>
    <w:rsid w:val="009810D6"/>
    <w:rsid w:val="009810EF"/>
    <w:rsid w:val="00981118"/>
    <w:rsid w:val="0098113C"/>
    <w:rsid w:val="00981141"/>
    <w:rsid w:val="009811A6"/>
    <w:rsid w:val="009811BD"/>
    <w:rsid w:val="0098124A"/>
    <w:rsid w:val="009812CB"/>
    <w:rsid w:val="0098130E"/>
    <w:rsid w:val="00981335"/>
    <w:rsid w:val="00981346"/>
    <w:rsid w:val="00981352"/>
    <w:rsid w:val="0098137D"/>
    <w:rsid w:val="00981393"/>
    <w:rsid w:val="00981397"/>
    <w:rsid w:val="009813E1"/>
    <w:rsid w:val="009813F7"/>
    <w:rsid w:val="0098142D"/>
    <w:rsid w:val="0098144F"/>
    <w:rsid w:val="00981486"/>
    <w:rsid w:val="009814B4"/>
    <w:rsid w:val="00981563"/>
    <w:rsid w:val="0098157F"/>
    <w:rsid w:val="00981586"/>
    <w:rsid w:val="009815E9"/>
    <w:rsid w:val="0098163C"/>
    <w:rsid w:val="009816BF"/>
    <w:rsid w:val="009816D1"/>
    <w:rsid w:val="009816D3"/>
    <w:rsid w:val="009816D8"/>
    <w:rsid w:val="009816F2"/>
    <w:rsid w:val="00981714"/>
    <w:rsid w:val="00981756"/>
    <w:rsid w:val="00981767"/>
    <w:rsid w:val="009817B0"/>
    <w:rsid w:val="009817E5"/>
    <w:rsid w:val="0098182C"/>
    <w:rsid w:val="00981831"/>
    <w:rsid w:val="0098185D"/>
    <w:rsid w:val="00981943"/>
    <w:rsid w:val="0098194D"/>
    <w:rsid w:val="00981988"/>
    <w:rsid w:val="009819D7"/>
    <w:rsid w:val="00981A1F"/>
    <w:rsid w:val="00981A35"/>
    <w:rsid w:val="00981A4F"/>
    <w:rsid w:val="00981A6E"/>
    <w:rsid w:val="00981A6F"/>
    <w:rsid w:val="00981B02"/>
    <w:rsid w:val="00981B72"/>
    <w:rsid w:val="00981BF2"/>
    <w:rsid w:val="00981C08"/>
    <w:rsid w:val="00981C25"/>
    <w:rsid w:val="00981C6F"/>
    <w:rsid w:val="00981C8F"/>
    <w:rsid w:val="00981CA3"/>
    <w:rsid w:val="00981CB9"/>
    <w:rsid w:val="00981CC8"/>
    <w:rsid w:val="00981CDC"/>
    <w:rsid w:val="00981D19"/>
    <w:rsid w:val="00981D2A"/>
    <w:rsid w:val="00981D3B"/>
    <w:rsid w:val="00981D78"/>
    <w:rsid w:val="00981D80"/>
    <w:rsid w:val="00981D98"/>
    <w:rsid w:val="00981E39"/>
    <w:rsid w:val="00981E45"/>
    <w:rsid w:val="00981E54"/>
    <w:rsid w:val="00981E62"/>
    <w:rsid w:val="00981F30"/>
    <w:rsid w:val="00981F44"/>
    <w:rsid w:val="00981F4E"/>
    <w:rsid w:val="00981FC3"/>
    <w:rsid w:val="00981FEC"/>
    <w:rsid w:val="00982006"/>
    <w:rsid w:val="009820C6"/>
    <w:rsid w:val="0098210E"/>
    <w:rsid w:val="00982124"/>
    <w:rsid w:val="0098213E"/>
    <w:rsid w:val="009821CE"/>
    <w:rsid w:val="009821D6"/>
    <w:rsid w:val="009821F9"/>
    <w:rsid w:val="009822C1"/>
    <w:rsid w:val="009822CD"/>
    <w:rsid w:val="00982331"/>
    <w:rsid w:val="00982344"/>
    <w:rsid w:val="00982379"/>
    <w:rsid w:val="009823C0"/>
    <w:rsid w:val="009823C5"/>
    <w:rsid w:val="0098244A"/>
    <w:rsid w:val="009824B0"/>
    <w:rsid w:val="009824CA"/>
    <w:rsid w:val="0098251F"/>
    <w:rsid w:val="00982527"/>
    <w:rsid w:val="009825B1"/>
    <w:rsid w:val="009825FB"/>
    <w:rsid w:val="009826D9"/>
    <w:rsid w:val="009827A4"/>
    <w:rsid w:val="00982872"/>
    <w:rsid w:val="0098289D"/>
    <w:rsid w:val="009828AF"/>
    <w:rsid w:val="009828D5"/>
    <w:rsid w:val="009828EF"/>
    <w:rsid w:val="00982967"/>
    <w:rsid w:val="00982999"/>
    <w:rsid w:val="009829DD"/>
    <w:rsid w:val="00982A87"/>
    <w:rsid w:val="00982A96"/>
    <w:rsid w:val="00982AC9"/>
    <w:rsid w:val="00982B6B"/>
    <w:rsid w:val="00982C1C"/>
    <w:rsid w:val="00982C72"/>
    <w:rsid w:val="00982CF2"/>
    <w:rsid w:val="00982D27"/>
    <w:rsid w:val="00982D54"/>
    <w:rsid w:val="00982D78"/>
    <w:rsid w:val="00982D90"/>
    <w:rsid w:val="00982E46"/>
    <w:rsid w:val="00982E89"/>
    <w:rsid w:val="00982E8D"/>
    <w:rsid w:val="00982EE8"/>
    <w:rsid w:val="00982F11"/>
    <w:rsid w:val="00982F34"/>
    <w:rsid w:val="00982F47"/>
    <w:rsid w:val="00982FE1"/>
    <w:rsid w:val="0098300D"/>
    <w:rsid w:val="00983034"/>
    <w:rsid w:val="0098305C"/>
    <w:rsid w:val="00983072"/>
    <w:rsid w:val="00983085"/>
    <w:rsid w:val="0098312D"/>
    <w:rsid w:val="00983152"/>
    <w:rsid w:val="00983194"/>
    <w:rsid w:val="009831A5"/>
    <w:rsid w:val="009831BC"/>
    <w:rsid w:val="009831C1"/>
    <w:rsid w:val="0098326A"/>
    <w:rsid w:val="0098327C"/>
    <w:rsid w:val="0098329C"/>
    <w:rsid w:val="009832BC"/>
    <w:rsid w:val="009832C1"/>
    <w:rsid w:val="009832D0"/>
    <w:rsid w:val="009832D3"/>
    <w:rsid w:val="009833AF"/>
    <w:rsid w:val="009833CB"/>
    <w:rsid w:val="00983403"/>
    <w:rsid w:val="00983452"/>
    <w:rsid w:val="00983492"/>
    <w:rsid w:val="009834EF"/>
    <w:rsid w:val="00983523"/>
    <w:rsid w:val="0098356A"/>
    <w:rsid w:val="009835A5"/>
    <w:rsid w:val="00983613"/>
    <w:rsid w:val="00983633"/>
    <w:rsid w:val="009836EE"/>
    <w:rsid w:val="009836F1"/>
    <w:rsid w:val="00983707"/>
    <w:rsid w:val="009837E1"/>
    <w:rsid w:val="0098381D"/>
    <w:rsid w:val="0098381F"/>
    <w:rsid w:val="009838F9"/>
    <w:rsid w:val="00983913"/>
    <w:rsid w:val="0098393F"/>
    <w:rsid w:val="00983992"/>
    <w:rsid w:val="009839DB"/>
    <w:rsid w:val="00983A2D"/>
    <w:rsid w:val="00983A34"/>
    <w:rsid w:val="00983A59"/>
    <w:rsid w:val="00983AB5"/>
    <w:rsid w:val="00983AC7"/>
    <w:rsid w:val="00983BB8"/>
    <w:rsid w:val="00983BBA"/>
    <w:rsid w:val="00983BDB"/>
    <w:rsid w:val="00983BDC"/>
    <w:rsid w:val="00983BEE"/>
    <w:rsid w:val="00983CD4"/>
    <w:rsid w:val="00983D4E"/>
    <w:rsid w:val="00983D57"/>
    <w:rsid w:val="00983D8D"/>
    <w:rsid w:val="00983D8E"/>
    <w:rsid w:val="00983DC5"/>
    <w:rsid w:val="00983DE0"/>
    <w:rsid w:val="00983E61"/>
    <w:rsid w:val="00983E73"/>
    <w:rsid w:val="00983ECE"/>
    <w:rsid w:val="00983F3C"/>
    <w:rsid w:val="00983F63"/>
    <w:rsid w:val="00983FE0"/>
    <w:rsid w:val="00984028"/>
    <w:rsid w:val="009840E5"/>
    <w:rsid w:val="0098414C"/>
    <w:rsid w:val="00984217"/>
    <w:rsid w:val="0098425C"/>
    <w:rsid w:val="009842A3"/>
    <w:rsid w:val="00984374"/>
    <w:rsid w:val="009843B8"/>
    <w:rsid w:val="009843B9"/>
    <w:rsid w:val="009843BF"/>
    <w:rsid w:val="009843F2"/>
    <w:rsid w:val="00984400"/>
    <w:rsid w:val="00984444"/>
    <w:rsid w:val="00984448"/>
    <w:rsid w:val="0098444C"/>
    <w:rsid w:val="00984493"/>
    <w:rsid w:val="0098449D"/>
    <w:rsid w:val="0098451B"/>
    <w:rsid w:val="00984551"/>
    <w:rsid w:val="0098455A"/>
    <w:rsid w:val="009845C9"/>
    <w:rsid w:val="009845CB"/>
    <w:rsid w:val="009845DA"/>
    <w:rsid w:val="0098463D"/>
    <w:rsid w:val="00984674"/>
    <w:rsid w:val="00984686"/>
    <w:rsid w:val="009846B0"/>
    <w:rsid w:val="00984750"/>
    <w:rsid w:val="009847AB"/>
    <w:rsid w:val="009847BB"/>
    <w:rsid w:val="0098482B"/>
    <w:rsid w:val="0098483C"/>
    <w:rsid w:val="00984874"/>
    <w:rsid w:val="009848C3"/>
    <w:rsid w:val="00984912"/>
    <w:rsid w:val="00984A7E"/>
    <w:rsid w:val="00984AA6"/>
    <w:rsid w:val="00984AAC"/>
    <w:rsid w:val="00984AC0"/>
    <w:rsid w:val="00984ADA"/>
    <w:rsid w:val="00984AF5"/>
    <w:rsid w:val="00984AFD"/>
    <w:rsid w:val="00984B10"/>
    <w:rsid w:val="00984B24"/>
    <w:rsid w:val="00984BA8"/>
    <w:rsid w:val="00984BB0"/>
    <w:rsid w:val="00984BDD"/>
    <w:rsid w:val="00984BFB"/>
    <w:rsid w:val="00984BFD"/>
    <w:rsid w:val="00984C21"/>
    <w:rsid w:val="00984C28"/>
    <w:rsid w:val="00984C3F"/>
    <w:rsid w:val="00984C89"/>
    <w:rsid w:val="00984C93"/>
    <w:rsid w:val="00984C96"/>
    <w:rsid w:val="00984CE9"/>
    <w:rsid w:val="00984D32"/>
    <w:rsid w:val="00984D3E"/>
    <w:rsid w:val="00984D64"/>
    <w:rsid w:val="00984E4D"/>
    <w:rsid w:val="00984E4E"/>
    <w:rsid w:val="00984E56"/>
    <w:rsid w:val="00984E68"/>
    <w:rsid w:val="00984E75"/>
    <w:rsid w:val="00984EDC"/>
    <w:rsid w:val="00984F97"/>
    <w:rsid w:val="00984FEE"/>
    <w:rsid w:val="0098503E"/>
    <w:rsid w:val="009850BE"/>
    <w:rsid w:val="00985108"/>
    <w:rsid w:val="00985127"/>
    <w:rsid w:val="00985193"/>
    <w:rsid w:val="009851AB"/>
    <w:rsid w:val="009851C6"/>
    <w:rsid w:val="0098521E"/>
    <w:rsid w:val="00985289"/>
    <w:rsid w:val="0098529E"/>
    <w:rsid w:val="009852B8"/>
    <w:rsid w:val="009852FF"/>
    <w:rsid w:val="009853D3"/>
    <w:rsid w:val="0098540E"/>
    <w:rsid w:val="00985437"/>
    <w:rsid w:val="00985448"/>
    <w:rsid w:val="009854E3"/>
    <w:rsid w:val="00985557"/>
    <w:rsid w:val="00985566"/>
    <w:rsid w:val="0098558A"/>
    <w:rsid w:val="009855AE"/>
    <w:rsid w:val="009855CB"/>
    <w:rsid w:val="009855D8"/>
    <w:rsid w:val="00985603"/>
    <w:rsid w:val="0098565B"/>
    <w:rsid w:val="009856B7"/>
    <w:rsid w:val="0098571B"/>
    <w:rsid w:val="00985777"/>
    <w:rsid w:val="009857C1"/>
    <w:rsid w:val="009857C4"/>
    <w:rsid w:val="009857F2"/>
    <w:rsid w:val="00985852"/>
    <w:rsid w:val="0098585D"/>
    <w:rsid w:val="009858CD"/>
    <w:rsid w:val="009858D2"/>
    <w:rsid w:val="009858F4"/>
    <w:rsid w:val="00985986"/>
    <w:rsid w:val="00985987"/>
    <w:rsid w:val="009859A4"/>
    <w:rsid w:val="00985A6E"/>
    <w:rsid w:val="00985A71"/>
    <w:rsid w:val="00985A91"/>
    <w:rsid w:val="00985B10"/>
    <w:rsid w:val="00985B1D"/>
    <w:rsid w:val="00985B2B"/>
    <w:rsid w:val="00985B30"/>
    <w:rsid w:val="00985B6B"/>
    <w:rsid w:val="00985BE9"/>
    <w:rsid w:val="00985C1F"/>
    <w:rsid w:val="00985C28"/>
    <w:rsid w:val="00985C7B"/>
    <w:rsid w:val="00985D2F"/>
    <w:rsid w:val="00985D3D"/>
    <w:rsid w:val="00985D44"/>
    <w:rsid w:val="00985DA0"/>
    <w:rsid w:val="00985E12"/>
    <w:rsid w:val="00985E1D"/>
    <w:rsid w:val="00985E2A"/>
    <w:rsid w:val="00985E55"/>
    <w:rsid w:val="00985F6D"/>
    <w:rsid w:val="00985FB0"/>
    <w:rsid w:val="00985FD5"/>
    <w:rsid w:val="00986036"/>
    <w:rsid w:val="00986062"/>
    <w:rsid w:val="009860EC"/>
    <w:rsid w:val="0098617B"/>
    <w:rsid w:val="0098619C"/>
    <w:rsid w:val="009861A3"/>
    <w:rsid w:val="009861C0"/>
    <w:rsid w:val="00986215"/>
    <w:rsid w:val="009862E5"/>
    <w:rsid w:val="009862F0"/>
    <w:rsid w:val="009862FE"/>
    <w:rsid w:val="00986311"/>
    <w:rsid w:val="0098635B"/>
    <w:rsid w:val="0098638C"/>
    <w:rsid w:val="00986409"/>
    <w:rsid w:val="00986497"/>
    <w:rsid w:val="009864AE"/>
    <w:rsid w:val="009864E8"/>
    <w:rsid w:val="00986507"/>
    <w:rsid w:val="00986567"/>
    <w:rsid w:val="009865C2"/>
    <w:rsid w:val="009865D8"/>
    <w:rsid w:val="009865E6"/>
    <w:rsid w:val="009865F1"/>
    <w:rsid w:val="009865F8"/>
    <w:rsid w:val="00986608"/>
    <w:rsid w:val="0098664B"/>
    <w:rsid w:val="0098664F"/>
    <w:rsid w:val="0098665E"/>
    <w:rsid w:val="00986665"/>
    <w:rsid w:val="00986685"/>
    <w:rsid w:val="00986687"/>
    <w:rsid w:val="009866E1"/>
    <w:rsid w:val="009866EA"/>
    <w:rsid w:val="0098672E"/>
    <w:rsid w:val="0098673B"/>
    <w:rsid w:val="0098674A"/>
    <w:rsid w:val="00986757"/>
    <w:rsid w:val="00986787"/>
    <w:rsid w:val="009867AD"/>
    <w:rsid w:val="009867D6"/>
    <w:rsid w:val="00986877"/>
    <w:rsid w:val="009868E6"/>
    <w:rsid w:val="0098690C"/>
    <w:rsid w:val="0098692A"/>
    <w:rsid w:val="00986930"/>
    <w:rsid w:val="009869C4"/>
    <w:rsid w:val="009869CA"/>
    <w:rsid w:val="00986A5F"/>
    <w:rsid w:val="00986B00"/>
    <w:rsid w:val="00986B2F"/>
    <w:rsid w:val="00986B55"/>
    <w:rsid w:val="00986B73"/>
    <w:rsid w:val="00986B74"/>
    <w:rsid w:val="00986BA4"/>
    <w:rsid w:val="00986C73"/>
    <w:rsid w:val="00986CD7"/>
    <w:rsid w:val="00986CDD"/>
    <w:rsid w:val="00986CF3"/>
    <w:rsid w:val="00986D31"/>
    <w:rsid w:val="00986D37"/>
    <w:rsid w:val="00986D58"/>
    <w:rsid w:val="00986D77"/>
    <w:rsid w:val="00986DD2"/>
    <w:rsid w:val="00986E06"/>
    <w:rsid w:val="00986E0D"/>
    <w:rsid w:val="00986E16"/>
    <w:rsid w:val="00986E2C"/>
    <w:rsid w:val="00986ECE"/>
    <w:rsid w:val="00986F3D"/>
    <w:rsid w:val="00986FA8"/>
    <w:rsid w:val="00986FE3"/>
    <w:rsid w:val="00986FFD"/>
    <w:rsid w:val="00987069"/>
    <w:rsid w:val="0098707A"/>
    <w:rsid w:val="0098707D"/>
    <w:rsid w:val="0098714D"/>
    <w:rsid w:val="00987214"/>
    <w:rsid w:val="00987273"/>
    <w:rsid w:val="009872C6"/>
    <w:rsid w:val="009872FF"/>
    <w:rsid w:val="00987396"/>
    <w:rsid w:val="00987475"/>
    <w:rsid w:val="0098748F"/>
    <w:rsid w:val="00987505"/>
    <w:rsid w:val="00987570"/>
    <w:rsid w:val="00987580"/>
    <w:rsid w:val="009875B6"/>
    <w:rsid w:val="009875E1"/>
    <w:rsid w:val="009875EF"/>
    <w:rsid w:val="00987684"/>
    <w:rsid w:val="009876AC"/>
    <w:rsid w:val="009876E3"/>
    <w:rsid w:val="0098771B"/>
    <w:rsid w:val="00987782"/>
    <w:rsid w:val="009877AE"/>
    <w:rsid w:val="009877D5"/>
    <w:rsid w:val="0098780A"/>
    <w:rsid w:val="00987838"/>
    <w:rsid w:val="00987885"/>
    <w:rsid w:val="009878CB"/>
    <w:rsid w:val="009878E5"/>
    <w:rsid w:val="009878EF"/>
    <w:rsid w:val="00987924"/>
    <w:rsid w:val="00987969"/>
    <w:rsid w:val="0098796C"/>
    <w:rsid w:val="009879B1"/>
    <w:rsid w:val="009879BB"/>
    <w:rsid w:val="009879DB"/>
    <w:rsid w:val="00987AD8"/>
    <w:rsid w:val="00987B0E"/>
    <w:rsid w:val="00987B93"/>
    <w:rsid w:val="00987BBC"/>
    <w:rsid w:val="00987BF5"/>
    <w:rsid w:val="00987C0E"/>
    <w:rsid w:val="00987C52"/>
    <w:rsid w:val="00987C84"/>
    <w:rsid w:val="00987CC2"/>
    <w:rsid w:val="00987D05"/>
    <w:rsid w:val="00987D1E"/>
    <w:rsid w:val="00987D54"/>
    <w:rsid w:val="00987D5E"/>
    <w:rsid w:val="00987D92"/>
    <w:rsid w:val="00987DEE"/>
    <w:rsid w:val="00987E11"/>
    <w:rsid w:val="00987E89"/>
    <w:rsid w:val="00987EB5"/>
    <w:rsid w:val="00987EB9"/>
    <w:rsid w:val="00987F0F"/>
    <w:rsid w:val="00987F56"/>
    <w:rsid w:val="00987F60"/>
    <w:rsid w:val="00987F77"/>
    <w:rsid w:val="00987FD2"/>
    <w:rsid w:val="00987FDA"/>
    <w:rsid w:val="00987FFB"/>
    <w:rsid w:val="0099008D"/>
    <w:rsid w:val="0099008E"/>
    <w:rsid w:val="009900A2"/>
    <w:rsid w:val="009900D3"/>
    <w:rsid w:val="009900EB"/>
    <w:rsid w:val="00990107"/>
    <w:rsid w:val="0099012B"/>
    <w:rsid w:val="0099016F"/>
    <w:rsid w:val="009901A1"/>
    <w:rsid w:val="00990207"/>
    <w:rsid w:val="00990284"/>
    <w:rsid w:val="00990308"/>
    <w:rsid w:val="00990309"/>
    <w:rsid w:val="0099030A"/>
    <w:rsid w:val="00990374"/>
    <w:rsid w:val="009903F4"/>
    <w:rsid w:val="009903F7"/>
    <w:rsid w:val="0099041D"/>
    <w:rsid w:val="0099043F"/>
    <w:rsid w:val="009904B3"/>
    <w:rsid w:val="009904D8"/>
    <w:rsid w:val="009904F6"/>
    <w:rsid w:val="0099050B"/>
    <w:rsid w:val="009905AE"/>
    <w:rsid w:val="009905D3"/>
    <w:rsid w:val="009905E1"/>
    <w:rsid w:val="009906B1"/>
    <w:rsid w:val="009906F2"/>
    <w:rsid w:val="00990706"/>
    <w:rsid w:val="0099071C"/>
    <w:rsid w:val="009907A6"/>
    <w:rsid w:val="009907F6"/>
    <w:rsid w:val="0099083C"/>
    <w:rsid w:val="00990864"/>
    <w:rsid w:val="009908CB"/>
    <w:rsid w:val="009908FD"/>
    <w:rsid w:val="00990A2E"/>
    <w:rsid w:val="00990A6D"/>
    <w:rsid w:val="00990A7D"/>
    <w:rsid w:val="00990B0C"/>
    <w:rsid w:val="00990B81"/>
    <w:rsid w:val="00990C41"/>
    <w:rsid w:val="00990C6B"/>
    <w:rsid w:val="00990CAB"/>
    <w:rsid w:val="00990CB1"/>
    <w:rsid w:val="00990D7A"/>
    <w:rsid w:val="00990DE4"/>
    <w:rsid w:val="00990DF6"/>
    <w:rsid w:val="00990E1C"/>
    <w:rsid w:val="00990F21"/>
    <w:rsid w:val="00990F2E"/>
    <w:rsid w:val="00990FD5"/>
    <w:rsid w:val="00990FD8"/>
    <w:rsid w:val="0099100E"/>
    <w:rsid w:val="00991061"/>
    <w:rsid w:val="0099107A"/>
    <w:rsid w:val="0099111C"/>
    <w:rsid w:val="0099118A"/>
    <w:rsid w:val="009911A4"/>
    <w:rsid w:val="00991244"/>
    <w:rsid w:val="009912AE"/>
    <w:rsid w:val="009912BF"/>
    <w:rsid w:val="009912C3"/>
    <w:rsid w:val="0099134C"/>
    <w:rsid w:val="009913FD"/>
    <w:rsid w:val="009913FF"/>
    <w:rsid w:val="00991433"/>
    <w:rsid w:val="0099144E"/>
    <w:rsid w:val="00991464"/>
    <w:rsid w:val="009914AD"/>
    <w:rsid w:val="009914E3"/>
    <w:rsid w:val="009914F8"/>
    <w:rsid w:val="0099151A"/>
    <w:rsid w:val="0099153E"/>
    <w:rsid w:val="00991571"/>
    <w:rsid w:val="00991578"/>
    <w:rsid w:val="009915A1"/>
    <w:rsid w:val="009915D0"/>
    <w:rsid w:val="009915D7"/>
    <w:rsid w:val="009915DD"/>
    <w:rsid w:val="00991651"/>
    <w:rsid w:val="00991654"/>
    <w:rsid w:val="009916B5"/>
    <w:rsid w:val="009916EF"/>
    <w:rsid w:val="0099171E"/>
    <w:rsid w:val="00991732"/>
    <w:rsid w:val="0099174B"/>
    <w:rsid w:val="00991777"/>
    <w:rsid w:val="009917BA"/>
    <w:rsid w:val="00991830"/>
    <w:rsid w:val="009918A8"/>
    <w:rsid w:val="009918D5"/>
    <w:rsid w:val="009918E1"/>
    <w:rsid w:val="00991987"/>
    <w:rsid w:val="0099198D"/>
    <w:rsid w:val="009919BC"/>
    <w:rsid w:val="00991A14"/>
    <w:rsid w:val="00991A4C"/>
    <w:rsid w:val="00991A99"/>
    <w:rsid w:val="00991AAD"/>
    <w:rsid w:val="00991AC7"/>
    <w:rsid w:val="00991AEA"/>
    <w:rsid w:val="00991AED"/>
    <w:rsid w:val="00991B8C"/>
    <w:rsid w:val="00991BD8"/>
    <w:rsid w:val="00991C4D"/>
    <w:rsid w:val="00991C4E"/>
    <w:rsid w:val="00991C62"/>
    <w:rsid w:val="00991C6A"/>
    <w:rsid w:val="00991C71"/>
    <w:rsid w:val="00991CA7"/>
    <w:rsid w:val="00991D4B"/>
    <w:rsid w:val="00991D7C"/>
    <w:rsid w:val="00991D7E"/>
    <w:rsid w:val="00991E90"/>
    <w:rsid w:val="00991E97"/>
    <w:rsid w:val="00991EC0"/>
    <w:rsid w:val="00991EE7"/>
    <w:rsid w:val="00991F54"/>
    <w:rsid w:val="00991FC3"/>
    <w:rsid w:val="00991FCA"/>
    <w:rsid w:val="00991FEA"/>
    <w:rsid w:val="009920EE"/>
    <w:rsid w:val="009920EF"/>
    <w:rsid w:val="009920FF"/>
    <w:rsid w:val="00992109"/>
    <w:rsid w:val="00992174"/>
    <w:rsid w:val="0099217D"/>
    <w:rsid w:val="00992191"/>
    <w:rsid w:val="009921C6"/>
    <w:rsid w:val="009921E4"/>
    <w:rsid w:val="009922C8"/>
    <w:rsid w:val="009922CF"/>
    <w:rsid w:val="009922D2"/>
    <w:rsid w:val="009922F4"/>
    <w:rsid w:val="0099231E"/>
    <w:rsid w:val="00992353"/>
    <w:rsid w:val="0099236E"/>
    <w:rsid w:val="009923B8"/>
    <w:rsid w:val="009923C7"/>
    <w:rsid w:val="0099240B"/>
    <w:rsid w:val="0099242B"/>
    <w:rsid w:val="0099243F"/>
    <w:rsid w:val="0099244A"/>
    <w:rsid w:val="0099247B"/>
    <w:rsid w:val="009924A5"/>
    <w:rsid w:val="009924BB"/>
    <w:rsid w:val="009924E1"/>
    <w:rsid w:val="009924F2"/>
    <w:rsid w:val="0099253E"/>
    <w:rsid w:val="009925A7"/>
    <w:rsid w:val="00992611"/>
    <w:rsid w:val="00992653"/>
    <w:rsid w:val="0099265C"/>
    <w:rsid w:val="00992673"/>
    <w:rsid w:val="009926B2"/>
    <w:rsid w:val="009926E5"/>
    <w:rsid w:val="00992741"/>
    <w:rsid w:val="00992745"/>
    <w:rsid w:val="00992749"/>
    <w:rsid w:val="0099277B"/>
    <w:rsid w:val="00992792"/>
    <w:rsid w:val="00992848"/>
    <w:rsid w:val="00992854"/>
    <w:rsid w:val="009928A1"/>
    <w:rsid w:val="009928BE"/>
    <w:rsid w:val="0099290C"/>
    <w:rsid w:val="0099290E"/>
    <w:rsid w:val="00992915"/>
    <w:rsid w:val="00992918"/>
    <w:rsid w:val="00992922"/>
    <w:rsid w:val="0099295A"/>
    <w:rsid w:val="00992A0A"/>
    <w:rsid w:val="00992B11"/>
    <w:rsid w:val="00992B5C"/>
    <w:rsid w:val="00992C51"/>
    <w:rsid w:val="00992C75"/>
    <w:rsid w:val="00992D6E"/>
    <w:rsid w:val="00992D71"/>
    <w:rsid w:val="00992D8C"/>
    <w:rsid w:val="00992D8E"/>
    <w:rsid w:val="00992DAA"/>
    <w:rsid w:val="00992DDA"/>
    <w:rsid w:val="00992E07"/>
    <w:rsid w:val="00992E1F"/>
    <w:rsid w:val="00992E82"/>
    <w:rsid w:val="00992F0D"/>
    <w:rsid w:val="00992F1C"/>
    <w:rsid w:val="00992F30"/>
    <w:rsid w:val="00992FB4"/>
    <w:rsid w:val="0099301E"/>
    <w:rsid w:val="00993055"/>
    <w:rsid w:val="009930CD"/>
    <w:rsid w:val="009930EF"/>
    <w:rsid w:val="009930F7"/>
    <w:rsid w:val="0099315D"/>
    <w:rsid w:val="00993174"/>
    <w:rsid w:val="0099325D"/>
    <w:rsid w:val="0099325E"/>
    <w:rsid w:val="00993286"/>
    <w:rsid w:val="0099329A"/>
    <w:rsid w:val="009932BC"/>
    <w:rsid w:val="009932BE"/>
    <w:rsid w:val="009932C2"/>
    <w:rsid w:val="009932F7"/>
    <w:rsid w:val="00993307"/>
    <w:rsid w:val="009934AD"/>
    <w:rsid w:val="009934E1"/>
    <w:rsid w:val="009934F1"/>
    <w:rsid w:val="009935F3"/>
    <w:rsid w:val="00993697"/>
    <w:rsid w:val="009936A4"/>
    <w:rsid w:val="009936FB"/>
    <w:rsid w:val="00993777"/>
    <w:rsid w:val="0099377B"/>
    <w:rsid w:val="009937C5"/>
    <w:rsid w:val="00993846"/>
    <w:rsid w:val="00993854"/>
    <w:rsid w:val="009938B3"/>
    <w:rsid w:val="00993924"/>
    <w:rsid w:val="00993985"/>
    <w:rsid w:val="00993AB4"/>
    <w:rsid w:val="00993AF2"/>
    <w:rsid w:val="00993AF6"/>
    <w:rsid w:val="00993B12"/>
    <w:rsid w:val="00993BDB"/>
    <w:rsid w:val="00993C96"/>
    <w:rsid w:val="00993CE5"/>
    <w:rsid w:val="00993DC2"/>
    <w:rsid w:val="00993DE2"/>
    <w:rsid w:val="00993E6F"/>
    <w:rsid w:val="00993EAB"/>
    <w:rsid w:val="00993F30"/>
    <w:rsid w:val="00993F9E"/>
    <w:rsid w:val="00994044"/>
    <w:rsid w:val="00994138"/>
    <w:rsid w:val="0099414D"/>
    <w:rsid w:val="00994153"/>
    <w:rsid w:val="00994194"/>
    <w:rsid w:val="0099425A"/>
    <w:rsid w:val="0099425D"/>
    <w:rsid w:val="009942B7"/>
    <w:rsid w:val="009942C5"/>
    <w:rsid w:val="0099430B"/>
    <w:rsid w:val="0099432C"/>
    <w:rsid w:val="00994358"/>
    <w:rsid w:val="00994395"/>
    <w:rsid w:val="009943BC"/>
    <w:rsid w:val="009943F9"/>
    <w:rsid w:val="0099441E"/>
    <w:rsid w:val="009944AF"/>
    <w:rsid w:val="009944E5"/>
    <w:rsid w:val="009944ED"/>
    <w:rsid w:val="00994548"/>
    <w:rsid w:val="0099454A"/>
    <w:rsid w:val="00994578"/>
    <w:rsid w:val="0099458F"/>
    <w:rsid w:val="0099459A"/>
    <w:rsid w:val="009945AA"/>
    <w:rsid w:val="009945B7"/>
    <w:rsid w:val="009945C3"/>
    <w:rsid w:val="009945D5"/>
    <w:rsid w:val="0099463A"/>
    <w:rsid w:val="0099466E"/>
    <w:rsid w:val="00994673"/>
    <w:rsid w:val="009946D9"/>
    <w:rsid w:val="009947C7"/>
    <w:rsid w:val="00994871"/>
    <w:rsid w:val="009948DE"/>
    <w:rsid w:val="009948DF"/>
    <w:rsid w:val="00994938"/>
    <w:rsid w:val="009949D8"/>
    <w:rsid w:val="009949FD"/>
    <w:rsid w:val="00994A2B"/>
    <w:rsid w:val="00994A98"/>
    <w:rsid w:val="00994AF6"/>
    <w:rsid w:val="00994AF8"/>
    <w:rsid w:val="00994B45"/>
    <w:rsid w:val="00994B5C"/>
    <w:rsid w:val="00994C09"/>
    <w:rsid w:val="00994C1D"/>
    <w:rsid w:val="00994C81"/>
    <w:rsid w:val="00994CA3"/>
    <w:rsid w:val="00994CB2"/>
    <w:rsid w:val="00994CB7"/>
    <w:rsid w:val="00994CDD"/>
    <w:rsid w:val="00994D0A"/>
    <w:rsid w:val="00994D53"/>
    <w:rsid w:val="00994D80"/>
    <w:rsid w:val="00994D9E"/>
    <w:rsid w:val="00994DD9"/>
    <w:rsid w:val="00994DE2"/>
    <w:rsid w:val="00994DE5"/>
    <w:rsid w:val="00994E08"/>
    <w:rsid w:val="00994E62"/>
    <w:rsid w:val="00994ED6"/>
    <w:rsid w:val="00994F51"/>
    <w:rsid w:val="00994FA0"/>
    <w:rsid w:val="00995054"/>
    <w:rsid w:val="00995083"/>
    <w:rsid w:val="009950CF"/>
    <w:rsid w:val="009950D7"/>
    <w:rsid w:val="0099516F"/>
    <w:rsid w:val="0099524A"/>
    <w:rsid w:val="0099533A"/>
    <w:rsid w:val="00995348"/>
    <w:rsid w:val="00995367"/>
    <w:rsid w:val="009953A3"/>
    <w:rsid w:val="009953C9"/>
    <w:rsid w:val="009954AC"/>
    <w:rsid w:val="009954B2"/>
    <w:rsid w:val="009954CC"/>
    <w:rsid w:val="009954EC"/>
    <w:rsid w:val="00995500"/>
    <w:rsid w:val="00995575"/>
    <w:rsid w:val="009955E2"/>
    <w:rsid w:val="00995675"/>
    <w:rsid w:val="009956FC"/>
    <w:rsid w:val="009957FD"/>
    <w:rsid w:val="00995841"/>
    <w:rsid w:val="00995876"/>
    <w:rsid w:val="00995922"/>
    <w:rsid w:val="00995929"/>
    <w:rsid w:val="00995950"/>
    <w:rsid w:val="0099596B"/>
    <w:rsid w:val="0099596D"/>
    <w:rsid w:val="0099597D"/>
    <w:rsid w:val="0099597F"/>
    <w:rsid w:val="00995992"/>
    <w:rsid w:val="00995999"/>
    <w:rsid w:val="009959DD"/>
    <w:rsid w:val="009959FE"/>
    <w:rsid w:val="00995A8A"/>
    <w:rsid w:val="00995AA5"/>
    <w:rsid w:val="00995AB6"/>
    <w:rsid w:val="00995B80"/>
    <w:rsid w:val="00995C0C"/>
    <w:rsid w:val="00995C34"/>
    <w:rsid w:val="00995C4C"/>
    <w:rsid w:val="00995C67"/>
    <w:rsid w:val="00995C81"/>
    <w:rsid w:val="00995CA2"/>
    <w:rsid w:val="00995CC2"/>
    <w:rsid w:val="00995CC3"/>
    <w:rsid w:val="00995CEE"/>
    <w:rsid w:val="00995D2A"/>
    <w:rsid w:val="00995DD7"/>
    <w:rsid w:val="00995DED"/>
    <w:rsid w:val="00995E06"/>
    <w:rsid w:val="00995E1A"/>
    <w:rsid w:val="00995E71"/>
    <w:rsid w:val="00995E89"/>
    <w:rsid w:val="00995F51"/>
    <w:rsid w:val="00995F7F"/>
    <w:rsid w:val="00995FAB"/>
    <w:rsid w:val="0099601E"/>
    <w:rsid w:val="0099604C"/>
    <w:rsid w:val="00996077"/>
    <w:rsid w:val="00996090"/>
    <w:rsid w:val="009960B4"/>
    <w:rsid w:val="00996143"/>
    <w:rsid w:val="00996147"/>
    <w:rsid w:val="0099614E"/>
    <w:rsid w:val="00996177"/>
    <w:rsid w:val="009961C1"/>
    <w:rsid w:val="009962CA"/>
    <w:rsid w:val="009962FE"/>
    <w:rsid w:val="00996346"/>
    <w:rsid w:val="0099637E"/>
    <w:rsid w:val="0099638D"/>
    <w:rsid w:val="009963EF"/>
    <w:rsid w:val="009963F2"/>
    <w:rsid w:val="0099640C"/>
    <w:rsid w:val="00996438"/>
    <w:rsid w:val="0099644D"/>
    <w:rsid w:val="009964BE"/>
    <w:rsid w:val="009964C1"/>
    <w:rsid w:val="009964D8"/>
    <w:rsid w:val="009964F9"/>
    <w:rsid w:val="00996531"/>
    <w:rsid w:val="0099656A"/>
    <w:rsid w:val="009965B1"/>
    <w:rsid w:val="009965BE"/>
    <w:rsid w:val="009965E6"/>
    <w:rsid w:val="00996672"/>
    <w:rsid w:val="0099669E"/>
    <w:rsid w:val="009966F7"/>
    <w:rsid w:val="009966FC"/>
    <w:rsid w:val="00996715"/>
    <w:rsid w:val="009967A8"/>
    <w:rsid w:val="00996828"/>
    <w:rsid w:val="009968AF"/>
    <w:rsid w:val="009968C9"/>
    <w:rsid w:val="00996915"/>
    <w:rsid w:val="0099694B"/>
    <w:rsid w:val="0099695A"/>
    <w:rsid w:val="009969CA"/>
    <w:rsid w:val="009969F1"/>
    <w:rsid w:val="00996A39"/>
    <w:rsid w:val="00996ABA"/>
    <w:rsid w:val="00996AC7"/>
    <w:rsid w:val="00996ADA"/>
    <w:rsid w:val="00996B42"/>
    <w:rsid w:val="00996B72"/>
    <w:rsid w:val="00996B82"/>
    <w:rsid w:val="00996B9E"/>
    <w:rsid w:val="00996CA2"/>
    <w:rsid w:val="00996CDA"/>
    <w:rsid w:val="00996CED"/>
    <w:rsid w:val="00996D6F"/>
    <w:rsid w:val="00996DF8"/>
    <w:rsid w:val="00996E68"/>
    <w:rsid w:val="00996F86"/>
    <w:rsid w:val="00996FC8"/>
    <w:rsid w:val="00997080"/>
    <w:rsid w:val="009970AB"/>
    <w:rsid w:val="009970AE"/>
    <w:rsid w:val="009970FD"/>
    <w:rsid w:val="00997114"/>
    <w:rsid w:val="00997131"/>
    <w:rsid w:val="009971B2"/>
    <w:rsid w:val="009971D5"/>
    <w:rsid w:val="009971FC"/>
    <w:rsid w:val="00997238"/>
    <w:rsid w:val="0099724D"/>
    <w:rsid w:val="0099727D"/>
    <w:rsid w:val="009972BA"/>
    <w:rsid w:val="009972FD"/>
    <w:rsid w:val="0099732E"/>
    <w:rsid w:val="00997341"/>
    <w:rsid w:val="00997375"/>
    <w:rsid w:val="00997396"/>
    <w:rsid w:val="009974FC"/>
    <w:rsid w:val="00997564"/>
    <w:rsid w:val="00997570"/>
    <w:rsid w:val="0099759B"/>
    <w:rsid w:val="009975D8"/>
    <w:rsid w:val="0099761F"/>
    <w:rsid w:val="009976B0"/>
    <w:rsid w:val="00997707"/>
    <w:rsid w:val="0099772B"/>
    <w:rsid w:val="00997779"/>
    <w:rsid w:val="009977A4"/>
    <w:rsid w:val="009977BE"/>
    <w:rsid w:val="00997823"/>
    <w:rsid w:val="00997867"/>
    <w:rsid w:val="0099787B"/>
    <w:rsid w:val="00997883"/>
    <w:rsid w:val="009978A5"/>
    <w:rsid w:val="009978CF"/>
    <w:rsid w:val="009978F2"/>
    <w:rsid w:val="0099791D"/>
    <w:rsid w:val="0099794A"/>
    <w:rsid w:val="0099796A"/>
    <w:rsid w:val="00997979"/>
    <w:rsid w:val="0099798C"/>
    <w:rsid w:val="009979FC"/>
    <w:rsid w:val="009979FD"/>
    <w:rsid w:val="00997A80"/>
    <w:rsid w:val="00997A82"/>
    <w:rsid w:val="00997A93"/>
    <w:rsid w:val="00997AB9"/>
    <w:rsid w:val="00997AC2"/>
    <w:rsid w:val="00997AC8"/>
    <w:rsid w:val="00997AD7"/>
    <w:rsid w:val="00997B35"/>
    <w:rsid w:val="00997BAB"/>
    <w:rsid w:val="00997C2C"/>
    <w:rsid w:val="00997C33"/>
    <w:rsid w:val="00997C5E"/>
    <w:rsid w:val="00997C7A"/>
    <w:rsid w:val="00997D2D"/>
    <w:rsid w:val="00997D2F"/>
    <w:rsid w:val="00997D3F"/>
    <w:rsid w:val="00997D7D"/>
    <w:rsid w:val="00997DC2"/>
    <w:rsid w:val="00997DC3"/>
    <w:rsid w:val="00997E79"/>
    <w:rsid w:val="00997E7B"/>
    <w:rsid w:val="00997E9D"/>
    <w:rsid w:val="00997EA9"/>
    <w:rsid w:val="00997EBC"/>
    <w:rsid w:val="00997F97"/>
    <w:rsid w:val="00997F9F"/>
    <w:rsid w:val="00997FAE"/>
    <w:rsid w:val="00997FFE"/>
    <w:rsid w:val="009A0008"/>
    <w:rsid w:val="009A003B"/>
    <w:rsid w:val="009A007A"/>
    <w:rsid w:val="009A00E9"/>
    <w:rsid w:val="009A0143"/>
    <w:rsid w:val="009A0151"/>
    <w:rsid w:val="009A018C"/>
    <w:rsid w:val="009A01A5"/>
    <w:rsid w:val="009A01BD"/>
    <w:rsid w:val="009A01DF"/>
    <w:rsid w:val="009A01E3"/>
    <w:rsid w:val="009A0255"/>
    <w:rsid w:val="009A0266"/>
    <w:rsid w:val="009A0292"/>
    <w:rsid w:val="009A02EE"/>
    <w:rsid w:val="009A02EF"/>
    <w:rsid w:val="009A033F"/>
    <w:rsid w:val="009A034D"/>
    <w:rsid w:val="009A0362"/>
    <w:rsid w:val="009A040B"/>
    <w:rsid w:val="009A0484"/>
    <w:rsid w:val="009A048A"/>
    <w:rsid w:val="009A04B9"/>
    <w:rsid w:val="009A04EF"/>
    <w:rsid w:val="009A0507"/>
    <w:rsid w:val="009A051A"/>
    <w:rsid w:val="009A0531"/>
    <w:rsid w:val="009A0548"/>
    <w:rsid w:val="009A05F2"/>
    <w:rsid w:val="009A05FC"/>
    <w:rsid w:val="009A0601"/>
    <w:rsid w:val="009A0622"/>
    <w:rsid w:val="009A064B"/>
    <w:rsid w:val="009A0674"/>
    <w:rsid w:val="009A067E"/>
    <w:rsid w:val="009A0692"/>
    <w:rsid w:val="009A06B3"/>
    <w:rsid w:val="009A06FF"/>
    <w:rsid w:val="009A0704"/>
    <w:rsid w:val="009A0744"/>
    <w:rsid w:val="009A0780"/>
    <w:rsid w:val="009A07D7"/>
    <w:rsid w:val="009A0817"/>
    <w:rsid w:val="009A08B9"/>
    <w:rsid w:val="009A0907"/>
    <w:rsid w:val="009A0912"/>
    <w:rsid w:val="009A0947"/>
    <w:rsid w:val="009A094C"/>
    <w:rsid w:val="009A0987"/>
    <w:rsid w:val="009A09A0"/>
    <w:rsid w:val="009A09A5"/>
    <w:rsid w:val="009A09BB"/>
    <w:rsid w:val="009A0A16"/>
    <w:rsid w:val="009A0A58"/>
    <w:rsid w:val="009A0A7F"/>
    <w:rsid w:val="009A0AD9"/>
    <w:rsid w:val="009A0B0F"/>
    <w:rsid w:val="009A0B21"/>
    <w:rsid w:val="009A0B30"/>
    <w:rsid w:val="009A0B3B"/>
    <w:rsid w:val="009A0B7F"/>
    <w:rsid w:val="009A0B84"/>
    <w:rsid w:val="009A0B87"/>
    <w:rsid w:val="009A0BDC"/>
    <w:rsid w:val="009A0C16"/>
    <w:rsid w:val="009A0C22"/>
    <w:rsid w:val="009A0CE5"/>
    <w:rsid w:val="009A0D68"/>
    <w:rsid w:val="009A0D7F"/>
    <w:rsid w:val="009A0E20"/>
    <w:rsid w:val="009A0E5D"/>
    <w:rsid w:val="009A0EDF"/>
    <w:rsid w:val="009A0EED"/>
    <w:rsid w:val="009A0EFB"/>
    <w:rsid w:val="009A0F24"/>
    <w:rsid w:val="009A0F35"/>
    <w:rsid w:val="009A0FA0"/>
    <w:rsid w:val="009A1009"/>
    <w:rsid w:val="009A1035"/>
    <w:rsid w:val="009A1056"/>
    <w:rsid w:val="009A10B5"/>
    <w:rsid w:val="009A10DF"/>
    <w:rsid w:val="009A1101"/>
    <w:rsid w:val="009A115C"/>
    <w:rsid w:val="009A117E"/>
    <w:rsid w:val="009A11E3"/>
    <w:rsid w:val="009A11E4"/>
    <w:rsid w:val="009A129A"/>
    <w:rsid w:val="009A12A8"/>
    <w:rsid w:val="009A12B1"/>
    <w:rsid w:val="009A12B6"/>
    <w:rsid w:val="009A1377"/>
    <w:rsid w:val="009A139E"/>
    <w:rsid w:val="009A13D3"/>
    <w:rsid w:val="009A13EC"/>
    <w:rsid w:val="009A145B"/>
    <w:rsid w:val="009A146A"/>
    <w:rsid w:val="009A148A"/>
    <w:rsid w:val="009A1494"/>
    <w:rsid w:val="009A1495"/>
    <w:rsid w:val="009A152A"/>
    <w:rsid w:val="009A171E"/>
    <w:rsid w:val="009A1784"/>
    <w:rsid w:val="009A1839"/>
    <w:rsid w:val="009A18E1"/>
    <w:rsid w:val="009A18EC"/>
    <w:rsid w:val="009A1933"/>
    <w:rsid w:val="009A1942"/>
    <w:rsid w:val="009A195C"/>
    <w:rsid w:val="009A199E"/>
    <w:rsid w:val="009A19AB"/>
    <w:rsid w:val="009A19AF"/>
    <w:rsid w:val="009A19C8"/>
    <w:rsid w:val="009A1A09"/>
    <w:rsid w:val="009A1AA8"/>
    <w:rsid w:val="009A1B60"/>
    <w:rsid w:val="009A1D14"/>
    <w:rsid w:val="009A1DCD"/>
    <w:rsid w:val="009A1E89"/>
    <w:rsid w:val="009A1EA5"/>
    <w:rsid w:val="009A1EF9"/>
    <w:rsid w:val="009A1F3A"/>
    <w:rsid w:val="009A1F3B"/>
    <w:rsid w:val="009A1F43"/>
    <w:rsid w:val="009A1F7B"/>
    <w:rsid w:val="009A1F81"/>
    <w:rsid w:val="009A1FBB"/>
    <w:rsid w:val="009A1FC5"/>
    <w:rsid w:val="009A200F"/>
    <w:rsid w:val="009A202C"/>
    <w:rsid w:val="009A204A"/>
    <w:rsid w:val="009A20DF"/>
    <w:rsid w:val="009A2133"/>
    <w:rsid w:val="009A21ED"/>
    <w:rsid w:val="009A2261"/>
    <w:rsid w:val="009A2270"/>
    <w:rsid w:val="009A2275"/>
    <w:rsid w:val="009A2292"/>
    <w:rsid w:val="009A22AA"/>
    <w:rsid w:val="009A22CA"/>
    <w:rsid w:val="009A2324"/>
    <w:rsid w:val="009A2338"/>
    <w:rsid w:val="009A234E"/>
    <w:rsid w:val="009A23A7"/>
    <w:rsid w:val="009A23C3"/>
    <w:rsid w:val="009A249B"/>
    <w:rsid w:val="009A251E"/>
    <w:rsid w:val="009A2534"/>
    <w:rsid w:val="009A25BD"/>
    <w:rsid w:val="009A25D0"/>
    <w:rsid w:val="009A262B"/>
    <w:rsid w:val="009A2672"/>
    <w:rsid w:val="009A267F"/>
    <w:rsid w:val="009A26D9"/>
    <w:rsid w:val="009A26DE"/>
    <w:rsid w:val="009A26F8"/>
    <w:rsid w:val="009A270B"/>
    <w:rsid w:val="009A277C"/>
    <w:rsid w:val="009A27D6"/>
    <w:rsid w:val="009A27D7"/>
    <w:rsid w:val="009A280B"/>
    <w:rsid w:val="009A2816"/>
    <w:rsid w:val="009A2827"/>
    <w:rsid w:val="009A2835"/>
    <w:rsid w:val="009A2850"/>
    <w:rsid w:val="009A2886"/>
    <w:rsid w:val="009A289E"/>
    <w:rsid w:val="009A28D1"/>
    <w:rsid w:val="009A2958"/>
    <w:rsid w:val="009A2993"/>
    <w:rsid w:val="009A29D8"/>
    <w:rsid w:val="009A2A86"/>
    <w:rsid w:val="009A2A9E"/>
    <w:rsid w:val="009A2B06"/>
    <w:rsid w:val="009A2B7A"/>
    <w:rsid w:val="009A2BC6"/>
    <w:rsid w:val="009A2C74"/>
    <w:rsid w:val="009A2C86"/>
    <w:rsid w:val="009A2C9A"/>
    <w:rsid w:val="009A2C9E"/>
    <w:rsid w:val="009A2CC1"/>
    <w:rsid w:val="009A2D0C"/>
    <w:rsid w:val="009A2DAC"/>
    <w:rsid w:val="009A2E00"/>
    <w:rsid w:val="009A2E68"/>
    <w:rsid w:val="009A2F35"/>
    <w:rsid w:val="009A2F3F"/>
    <w:rsid w:val="009A2F8F"/>
    <w:rsid w:val="009A2FB3"/>
    <w:rsid w:val="009A300E"/>
    <w:rsid w:val="009A3067"/>
    <w:rsid w:val="009A306F"/>
    <w:rsid w:val="009A30C3"/>
    <w:rsid w:val="009A30D2"/>
    <w:rsid w:val="009A3144"/>
    <w:rsid w:val="009A318B"/>
    <w:rsid w:val="009A318E"/>
    <w:rsid w:val="009A3240"/>
    <w:rsid w:val="009A324A"/>
    <w:rsid w:val="009A3350"/>
    <w:rsid w:val="009A3353"/>
    <w:rsid w:val="009A335C"/>
    <w:rsid w:val="009A33A9"/>
    <w:rsid w:val="009A33CE"/>
    <w:rsid w:val="009A33F5"/>
    <w:rsid w:val="009A345F"/>
    <w:rsid w:val="009A3505"/>
    <w:rsid w:val="009A3510"/>
    <w:rsid w:val="009A3512"/>
    <w:rsid w:val="009A352F"/>
    <w:rsid w:val="009A359F"/>
    <w:rsid w:val="009A35C3"/>
    <w:rsid w:val="009A3602"/>
    <w:rsid w:val="009A365C"/>
    <w:rsid w:val="009A365D"/>
    <w:rsid w:val="009A3668"/>
    <w:rsid w:val="009A36CB"/>
    <w:rsid w:val="009A36D3"/>
    <w:rsid w:val="009A36DB"/>
    <w:rsid w:val="009A370A"/>
    <w:rsid w:val="009A372D"/>
    <w:rsid w:val="009A373C"/>
    <w:rsid w:val="009A378F"/>
    <w:rsid w:val="009A379E"/>
    <w:rsid w:val="009A37F8"/>
    <w:rsid w:val="009A3854"/>
    <w:rsid w:val="009A3863"/>
    <w:rsid w:val="009A3884"/>
    <w:rsid w:val="009A3898"/>
    <w:rsid w:val="009A389A"/>
    <w:rsid w:val="009A391B"/>
    <w:rsid w:val="009A3938"/>
    <w:rsid w:val="009A394D"/>
    <w:rsid w:val="009A395B"/>
    <w:rsid w:val="009A39BC"/>
    <w:rsid w:val="009A3A02"/>
    <w:rsid w:val="009A3A77"/>
    <w:rsid w:val="009A3AB6"/>
    <w:rsid w:val="009A3ABC"/>
    <w:rsid w:val="009A3B0B"/>
    <w:rsid w:val="009A3B29"/>
    <w:rsid w:val="009A3B53"/>
    <w:rsid w:val="009A3BDF"/>
    <w:rsid w:val="009A3BE4"/>
    <w:rsid w:val="009A3BF7"/>
    <w:rsid w:val="009A3C14"/>
    <w:rsid w:val="009A3C1F"/>
    <w:rsid w:val="009A3C55"/>
    <w:rsid w:val="009A3C88"/>
    <w:rsid w:val="009A3CA5"/>
    <w:rsid w:val="009A3CBB"/>
    <w:rsid w:val="009A3CBE"/>
    <w:rsid w:val="009A3CF2"/>
    <w:rsid w:val="009A3D03"/>
    <w:rsid w:val="009A3D61"/>
    <w:rsid w:val="009A3E9C"/>
    <w:rsid w:val="009A3F44"/>
    <w:rsid w:val="009A3FDA"/>
    <w:rsid w:val="009A3FEF"/>
    <w:rsid w:val="009A402C"/>
    <w:rsid w:val="009A40AA"/>
    <w:rsid w:val="009A40C0"/>
    <w:rsid w:val="009A411B"/>
    <w:rsid w:val="009A414B"/>
    <w:rsid w:val="009A4181"/>
    <w:rsid w:val="009A41AD"/>
    <w:rsid w:val="009A41CC"/>
    <w:rsid w:val="009A41E1"/>
    <w:rsid w:val="009A42A2"/>
    <w:rsid w:val="009A42E5"/>
    <w:rsid w:val="009A432D"/>
    <w:rsid w:val="009A4356"/>
    <w:rsid w:val="009A4489"/>
    <w:rsid w:val="009A44B6"/>
    <w:rsid w:val="009A4636"/>
    <w:rsid w:val="009A4662"/>
    <w:rsid w:val="009A4740"/>
    <w:rsid w:val="009A4799"/>
    <w:rsid w:val="009A47A1"/>
    <w:rsid w:val="009A47F2"/>
    <w:rsid w:val="009A4873"/>
    <w:rsid w:val="009A4874"/>
    <w:rsid w:val="009A4888"/>
    <w:rsid w:val="009A4899"/>
    <w:rsid w:val="009A48F0"/>
    <w:rsid w:val="009A4918"/>
    <w:rsid w:val="009A4941"/>
    <w:rsid w:val="009A497B"/>
    <w:rsid w:val="009A49D2"/>
    <w:rsid w:val="009A49E6"/>
    <w:rsid w:val="009A4A43"/>
    <w:rsid w:val="009A4AA4"/>
    <w:rsid w:val="009A4AA8"/>
    <w:rsid w:val="009A4B2C"/>
    <w:rsid w:val="009A4B61"/>
    <w:rsid w:val="009A4C0B"/>
    <w:rsid w:val="009A4C47"/>
    <w:rsid w:val="009A4C69"/>
    <w:rsid w:val="009A4C9F"/>
    <w:rsid w:val="009A4CB8"/>
    <w:rsid w:val="009A4D8A"/>
    <w:rsid w:val="009A4DD1"/>
    <w:rsid w:val="009A4E2F"/>
    <w:rsid w:val="009A4E5F"/>
    <w:rsid w:val="009A4E63"/>
    <w:rsid w:val="009A4EF8"/>
    <w:rsid w:val="009A4F3F"/>
    <w:rsid w:val="009A4F4D"/>
    <w:rsid w:val="009A4F8E"/>
    <w:rsid w:val="009A4FA2"/>
    <w:rsid w:val="009A5019"/>
    <w:rsid w:val="009A504D"/>
    <w:rsid w:val="009A50AE"/>
    <w:rsid w:val="009A5138"/>
    <w:rsid w:val="009A5152"/>
    <w:rsid w:val="009A5168"/>
    <w:rsid w:val="009A5170"/>
    <w:rsid w:val="009A51AF"/>
    <w:rsid w:val="009A51DB"/>
    <w:rsid w:val="009A51F1"/>
    <w:rsid w:val="009A5233"/>
    <w:rsid w:val="009A52AC"/>
    <w:rsid w:val="009A52FF"/>
    <w:rsid w:val="009A532A"/>
    <w:rsid w:val="009A5340"/>
    <w:rsid w:val="009A5363"/>
    <w:rsid w:val="009A5377"/>
    <w:rsid w:val="009A5395"/>
    <w:rsid w:val="009A539D"/>
    <w:rsid w:val="009A53AD"/>
    <w:rsid w:val="009A53C3"/>
    <w:rsid w:val="009A5441"/>
    <w:rsid w:val="009A5535"/>
    <w:rsid w:val="009A5549"/>
    <w:rsid w:val="009A554A"/>
    <w:rsid w:val="009A5556"/>
    <w:rsid w:val="009A55B0"/>
    <w:rsid w:val="009A55D8"/>
    <w:rsid w:val="009A5664"/>
    <w:rsid w:val="009A5694"/>
    <w:rsid w:val="009A56B0"/>
    <w:rsid w:val="009A570D"/>
    <w:rsid w:val="009A5732"/>
    <w:rsid w:val="009A5768"/>
    <w:rsid w:val="009A5772"/>
    <w:rsid w:val="009A57EE"/>
    <w:rsid w:val="009A5875"/>
    <w:rsid w:val="009A594A"/>
    <w:rsid w:val="009A598A"/>
    <w:rsid w:val="009A5991"/>
    <w:rsid w:val="009A59F4"/>
    <w:rsid w:val="009A5A8E"/>
    <w:rsid w:val="009A5AB3"/>
    <w:rsid w:val="009A5AF7"/>
    <w:rsid w:val="009A5AF8"/>
    <w:rsid w:val="009A5B24"/>
    <w:rsid w:val="009A5B27"/>
    <w:rsid w:val="009A5B50"/>
    <w:rsid w:val="009A5BA9"/>
    <w:rsid w:val="009A5BC6"/>
    <w:rsid w:val="009A5C36"/>
    <w:rsid w:val="009A5D03"/>
    <w:rsid w:val="009A5DE9"/>
    <w:rsid w:val="009A5E04"/>
    <w:rsid w:val="009A5E33"/>
    <w:rsid w:val="009A5ED1"/>
    <w:rsid w:val="009A5EEE"/>
    <w:rsid w:val="009A5FB7"/>
    <w:rsid w:val="009A5FC3"/>
    <w:rsid w:val="009A6003"/>
    <w:rsid w:val="009A600F"/>
    <w:rsid w:val="009A60CE"/>
    <w:rsid w:val="009A60EC"/>
    <w:rsid w:val="009A61B0"/>
    <w:rsid w:val="009A61DC"/>
    <w:rsid w:val="009A61DE"/>
    <w:rsid w:val="009A61FB"/>
    <w:rsid w:val="009A620F"/>
    <w:rsid w:val="009A6211"/>
    <w:rsid w:val="009A6271"/>
    <w:rsid w:val="009A6275"/>
    <w:rsid w:val="009A62EE"/>
    <w:rsid w:val="009A633A"/>
    <w:rsid w:val="009A6347"/>
    <w:rsid w:val="009A6389"/>
    <w:rsid w:val="009A6440"/>
    <w:rsid w:val="009A644C"/>
    <w:rsid w:val="009A649E"/>
    <w:rsid w:val="009A64C5"/>
    <w:rsid w:val="009A6505"/>
    <w:rsid w:val="009A658F"/>
    <w:rsid w:val="009A661E"/>
    <w:rsid w:val="009A6639"/>
    <w:rsid w:val="009A6644"/>
    <w:rsid w:val="009A6696"/>
    <w:rsid w:val="009A6699"/>
    <w:rsid w:val="009A66D5"/>
    <w:rsid w:val="009A67A0"/>
    <w:rsid w:val="009A67AB"/>
    <w:rsid w:val="009A67D6"/>
    <w:rsid w:val="009A6811"/>
    <w:rsid w:val="009A68B3"/>
    <w:rsid w:val="009A693D"/>
    <w:rsid w:val="009A6954"/>
    <w:rsid w:val="009A69ED"/>
    <w:rsid w:val="009A6A06"/>
    <w:rsid w:val="009A6A7B"/>
    <w:rsid w:val="009A6AC9"/>
    <w:rsid w:val="009A6AE7"/>
    <w:rsid w:val="009A6B16"/>
    <w:rsid w:val="009A6B47"/>
    <w:rsid w:val="009A6B54"/>
    <w:rsid w:val="009A6B72"/>
    <w:rsid w:val="009A6B8F"/>
    <w:rsid w:val="009A6C14"/>
    <w:rsid w:val="009A6CA0"/>
    <w:rsid w:val="009A6CC4"/>
    <w:rsid w:val="009A6CC7"/>
    <w:rsid w:val="009A6CFE"/>
    <w:rsid w:val="009A6DA1"/>
    <w:rsid w:val="009A6DC6"/>
    <w:rsid w:val="009A6DCE"/>
    <w:rsid w:val="009A6E74"/>
    <w:rsid w:val="009A6E92"/>
    <w:rsid w:val="009A6EB0"/>
    <w:rsid w:val="009A6F60"/>
    <w:rsid w:val="009A6FB7"/>
    <w:rsid w:val="009A7068"/>
    <w:rsid w:val="009A706D"/>
    <w:rsid w:val="009A706F"/>
    <w:rsid w:val="009A70AB"/>
    <w:rsid w:val="009A70C4"/>
    <w:rsid w:val="009A70D3"/>
    <w:rsid w:val="009A70DD"/>
    <w:rsid w:val="009A70FF"/>
    <w:rsid w:val="009A715F"/>
    <w:rsid w:val="009A7167"/>
    <w:rsid w:val="009A71A5"/>
    <w:rsid w:val="009A723F"/>
    <w:rsid w:val="009A7250"/>
    <w:rsid w:val="009A7265"/>
    <w:rsid w:val="009A7267"/>
    <w:rsid w:val="009A72B0"/>
    <w:rsid w:val="009A72E1"/>
    <w:rsid w:val="009A72EA"/>
    <w:rsid w:val="009A7329"/>
    <w:rsid w:val="009A733F"/>
    <w:rsid w:val="009A73AF"/>
    <w:rsid w:val="009A73FA"/>
    <w:rsid w:val="009A7444"/>
    <w:rsid w:val="009A74E1"/>
    <w:rsid w:val="009A751E"/>
    <w:rsid w:val="009A7521"/>
    <w:rsid w:val="009A752C"/>
    <w:rsid w:val="009A7580"/>
    <w:rsid w:val="009A758A"/>
    <w:rsid w:val="009A7607"/>
    <w:rsid w:val="009A7619"/>
    <w:rsid w:val="009A7623"/>
    <w:rsid w:val="009A768A"/>
    <w:rsid w:val="009A76D7"/>
    <w:rsid w:val="009A76E2"/>
    <w:rsid w:val="009A7730"/>
    <w:rsid w:val="009A7753"/>
    <w:rsid w:val="009A777C"/>
    <w:rsid w:val="009A77A5"/>
    <w:rsid w:val="009A7810"/>
    <w:rsid w:val="009A785A"/>
    <w:rsid w:val="009A7864"/>
    <w:rsid w:val="009A7865"/>
    <w:rsid w:val="009A78A1"/>
    <w:rsid w:val="009A78A9"/>
    <w:rsid w:val="009A796E"/>
    <w:rsid w:val="009A79C5"/>
    <w:rsid w:val="009A79D1"/>
    <w:rsid w:val="009A79D9"/>
    <w:rsid w:val="009A7A2F"/>
    <w:rsid w:val="009A7A33"/>
    <w:rsid w:val="009A7AE1"/>
    <w:rsid w:val="009A7AEE"/>
    <w:rsid w:val="009A7B10"/>
    <w:rsid w:val="009A7B39"/>
    <w:rsid w:val="009A7B5C"/>
    <w:rsid w:val="009A7BDF"/>
    <w:rsid w:val="009A7C24"/>
    <w:rsid w:val="009A7C2A"/>
    <w:rsid w:val="009A7C4B"/>
    <w:rsid w:val="009A7C9D"/>
    <w:rsid w:val="009A7CBA"/>
    <w:rsid w:val="009A7CDC"/>
    <w:rsid w:val="009A7D01"/>
    <w:rsid w:val="009A7D87"/>
    <w:rsid w:val="009A7D8D"/>
    <w:rsid w:val="009A7DDC"/>
    <w:rsid w:val="009A7DFF"/>
    <w:rsid w:val="009A7E27"/>
    <w:rsid w:val="009A7E2D"/>
    <w:rsid w:val="009A7E53"/>
    <w:rsid w:val="009A7E70"/>
    <w:rsid w:val="009A7EE7"/>
    <w:rsid w:val="009A7F2C"/>
    <w:rsid w:val="009A7F71"/>
    <w:rsid w:val="009A7FA5"/>
    <w:rsid w:val="009A7FB6"/>
    <w:rsid w:val="009A7FBF"/>
    <w:rsid w:val="009A7FE0"/>
    <w:rsid w:val="009B002C"/>
    <w:rsid w:val="009B0055"/>
    <w:rsid w:val="009B0078"/>
    <w:rsid w:val="009B0099"/>
    <w:rsid w:val="009B00C1"/>
    <w:rsid w:val="009B0103"/>
    <w:rsid w:val="009B0138"/>
    <w:rsid w:val="009B01B5"/>
    <w:rsid w:val="009B01E2"/>
    <w:rsid w:val="009B01E7"/>
    <w:rsid w:val="009B0203"/>
    <w:rsid w:val="009B0207"/>
    <w:rsid w:val="009B0295"/>
    <w:rsid w:val="009B02A8"/>
    <w:rsid w:val="009B02B7"/>
    <w:rsid w:val="009B031A"/>
    <w:rsid w:val="009B0393"/>
    <w:rsid w:val="009B03A7"/>
    <w:rsid w:val="009B03F2"/>
    <w:rsid w:val="009B0402"/>
    <w:rsid w:val="009B0431"/>
    <w:rsid w:val="009B04A4"/>
    <w:rsid w:val="009B0529"/>
    <w:rsid w:val="009B054D"/>
    <w:rsid w:val="009B0588"/>
    <w:rsid w:val="009B059A"/>
    <w:rsid w:val="009B05B0"/>
    <w:rsid w:val="009B05E2"/>
    <w:rsid w:val="009B05FB"/>
    <w:rsid w:val="009B062F"/>
    <w:rsid w:val="009B0641"/>
    <w:rsid w:val="009B06F6"/>
    <w:rsid w:val="009B0704"/>
    <w:rsid w:val="009B071E"/>
    <w:rsid w:val="009B0750"/>
    <w:rsid w:val="009B075F"/>
    <w:rsid w:val="009B07E2"/>
    <w:rsid w:val="009B091F"/>
    <w:rsid w:val="009B093A"/>
    <w:rsid w:val="009B09AC"/>
    <w:rsid w:val="009B09F8"/>
    <w:rsid w:val="009B0A76"/>
    <w:rsid w:val="009B0ADF"/>
    <w:rsid w:val="009B0B29"/>
    <w:rsid w:val="009B0B2D"/>
    <w:rsid w:val="009B0B99"/>
    <w:rsid w:val="009B0BA0"/>
    <w:rsid w:val="009B0C5C"/>
    <w:rsid w:val="009B0CB3"/>
    <w:rsid w:val="009B0CEC"/>
    <w:rsid w:val="009B0D4C"/>
    <w:rsid w:val="009B0D5D"/>
    <w:rsid w:val="009B0EDC"/>
    <w:rsid w:val="009B0EF2"/>
    <w:rsid w:val="009B0F53"/>
    <w:rsid w:val="009B0FBE"/>
    <w:rsid w:val="009B0FC2"/>
    <w:rsid w:val="009B1091"/>
    <w:rsid w:val="009B1094"/>
    <w:rsid w:val="009B1147"/>
    <w:rsid w:val="009B1148"/>
    <w:rsid w:val="009B1170"/>
    <w:rsid w:val="009B11BB"/>
    <w:rsid w:val="009B11EF"/>
    <w:rsid w:val="009B1207"/>
    <w:rsid w:val="009B122B"/>
    <w:rsid w:val="009B1240"/>
    <w:rsid w:val="009B126B"/>
    <w:rsid w:val="009B1272"/>
    <w:rsid w:val="009B1353"/>
    <w:rsid w:val="009B135E"/>
    <w:rsid w:val="009B13FF"/>
    <w:rsid w:val="009B1403"/>
    <w:rsid w:val="009B14A2"/>
    <w:rsid w:val="009B14BB"/>
    <w:rsid w:val="009B14C9"/>
    <w:rsid w:val="009B14E9"/>
    <w:rsid w:val="009B150A"/>
    <w:rsid w:val="009B151E"/>
    <w:rsid w:val="009B15A1"/>
    <w:rsid w:val="009B15AE"/>
    <w:rsid w:val="009B15B5"/>
    <w:rsid w:val="009B15C0"/>
    <w:rsid w:val="009B1662"/>
    <w:rsid w:val="009B1734"/>
    <w:rsid w:val="009B1741"/>
    <w:rsid w:val="009B17BB"/>
    <w:rsid w:val="009B1857"/>
    <w:rsid w:val="009B18C5"/>
    <w:rsid w:val="009B19AD"/>
    <w:rsid w:val="009B19BB"/>
    <w:rsid w:val="009B1A94"/>
    <w:rsid w:val="009B1AA4"/>
    <w:rsid w:val="009B1AE4"/>
    <w:rsid w:val="009B1AF2"/>
    <w:rsid w:val="009B1AF4"/>
    <w:rsid w:val="009B1B32"/>
    <w:rsid w:val="009B1B56"/>
    <w:rsid w:val="009B1C17"/>
    <w:rsid w:val="009B1C2F"/>
    <w:rsid w:val="009B1C6F"/>
    <w:rsid w:val="009B1C76"/>
    <w:rsid w:val="009B1C89"/>
    <w:rsid w:val="009B1C90"/>
    <w:rsid w:val="009B1CBA"/>
    <w:rsid w:val="009B1D36"/>
    <w:rsid w:val="009B1D49"/>
    <w:rsid w:val="009B1D6F"/>
    <w:rsid w:val="009B1DAC"/>
    <w:rsid w:val="009B1DAF"/>
    <w:rsid w:val="009B1DF6"/>
    <w:rsid w:val="009B1E1B"/>
    <w:rsid w:val="009B1E38"/>
    <w:rsid w:val="009B1ECC"/>
    <w:rsid w:val="009B1EFA"/>
    <w:rsid w:val="009B1F5E"/>
    <w:rsid w:val="009B1F8F"/>
    <w:rsid w:val="009B1FAD"/>
    <w:rsid w:val="009B2031"/>
    <w:rsid w:val="009B20E6"/>
    <w:rsid w:val="009B20E8"/>
    <w:rsid w:val="009B21C8"/>
    <w:rsid w:val="009B220F"/>
    <w:rsid w:val="009B2280"/>
    <w:rsid w:val="009B22E1"/>
    <w:rsid w:val="009B22F0"/>
    <w:rsid w:val="009B2371"/>
    <w:rsid w:val="009B23E1"/>
    <w:rsid w:val="009B2525"/>
    <w:rsid w:val="009B2546"/>
    <w:rsid w:val="009B257F"/>
    <w:rsid w:val="009B259B"/>
    <w:rsid w:val="009B25A8"/>
    <w:rsid w:val="009B26B7"/>
    <w:rsid w:val="009B272A"/>
    <w:rsid w:val="009B2733"/>
    <w:rsid w:val="009B27DD"/>
    <w:rsid w:val="009B27E6"/>
    <w:rsid w:val="009B2830"/>
    <w:rsid w:val="009B28AE"/>
    <w:rsid w:val="009B2917"/>
    <w:rsid w:val="009B292A"/>
    <w:rsid w:val="009B294F"/>
    <w:rsid w:val="009B2964"/>
    <w:rsid w:val="009B2999"/>
    <w:rsid w:val="009B29A3"/>
    <w:rsid w:val="009B29C3"/>
    <w:rsid w:val="009B29CD"/>
    <w:rsid w:val="009B2A55"/>
    <w:rsid w:val="009B2AFD"/>
    <w:rsid w:val="009B2B20"/>
    <w:rsid w:val="009B2B5A"/>
    <w:rsid w:val="009B2B62"/>
    <w:rsid w:val="009B2BAE"/>
    <w:rsid w:val="009B2BB8"/>
    <w:rsid w:val="009B2C18"/>
    <w:rsid w:val="009B2C37"/>
    <w:rsid w:val="009B2C3C"/>
    <w:rsid w:val="009B2C79"/>
    <w:rsid w:val="009B2CAF"/>
    <w:rsid w:val="009B2D60"/>
    <w:rsid w:val="009B2D8F"/>
    <w:rsid w:val="009B2DF9"/>
    <w:rsid w:val="009B2E3C"/>
    <w:rsid w:val="009B2E4E"/>
    <w:rsid w:val="009B2E8E"/>
    <w:rsid w:val="009B2EC3"/>
    <w:rsid w:val="009B2ED3"/>
    <w:rsid w:val="009B2F24"/>
    <w:rsid w:val="009B2F64"/>
    <w:rsid w:val="009B2F69"/>
    <w:rsid w:val="009B2F93"/>
    <w:rsid w:val="009B3011"/>
    <w:rsid w:val="009B30A8"/>
    <w:rsid w:val="009B30EA"/>
    <w:rsid w:val="009B3144"/>
    <w:rsid w:val="009B3146"/>
    <w:rsid w:val="009B316A"/>
    <w:rsid w:val="009B318E"/>
    <w:rsid w:val="009B321E"/>
    <w:rsid w:val="009B3290"/>
    <w:rsid w:val="009B334F"/>
    <w:rsid w:val="009B3353"/>
    <w:rsid w:val="009B3355"/>
    <w:rsid w:val="009B33A1"/>
    <w:rsid w:val="009B33C0"/>
    <w:rsid w:val="009B33D3"/>
    <w:rsid w:val="009B33FB"/>
    <w:rsid w:val="009B3415"/>
    <w:rsid w:val="009B3499"/>
    <w:rsid w:val="009B34D5"/>
    <w:rsid w:val="009B34E6"/>
    <w:rsid w:val="009B3529"/>
    <w:rsid w:val="009B35A3"/>
    <w:rsid w:val="009B35AA"/>
    <w:rsid w:val="009B35BE"/>
    <w:rsid w:val="009B35D2"/>
    <w:rsid w:val="009B35E4"/>
    <w:rsid w:val="009B35E5"/>
    <w:rsid w:val="009B360D"/>
    <w:rsid w:val="009B361E"/>
    <w:rsid w:val="009B3637"/>
    <w:rsid w:val="009B364D"/>
    <w:rsid w:val="009B369D"/>
    <w:rsid w:val="009B375F"/>
    <w:rsid w:val="009B3771"/>
    <w:rsid w:val="009B37AE"/>
    <w:rsid w:val="009B37E7"/>
    <w:rsid w:val="009B37F1"/>
    <w:rsid w:val="009B37F4"/>
    <w:rsid w:val="009B3823"/>
    <w:rsid w:val="009B382E"/>
    <w:rsid w:val="009B386A"/>
    <w:rsid w:val="009B387A"/>
    <w:rsid w:val="009B3900"/>
    <w:rsid w:val="009B3948"/>
    <w:rsid w:val="009B3949"/>
    <w:rsid w:val="009B3971"/>
    <w:rsid w:val="009B3991"/>
    <w:rsid w:val="009B39DD"/>
    <w:rsid w:val="009B3AAC"/>
    <w:rsid w:val="009B3ACF"/>
    <w:rsid w:val="009B3AF7"/>
    <w:rsid w:val="009B3B01"/>
    <w:rsid w:val="009B3B18"/>
    <w:rsid w:val="009B3B88"/>
    <w:rsid w:val="009B3BFD"/>
    <w:rsid w:val="009B3C99"/>
    <w:rsid w:val="009B3CB5"/>
    <w:rsid w:val="009B3CB6"/>
    <w:rsid w:val="009B3D3E"/>
    <w:rsid w:val="009B3D76"/>
    <w:rsid w:val="009B3E07"/>
    <w:rsid w:val="009B3EEF"/>
    <w:rsid w:val="009B3F51"/>
    <w:rsid w:val="009B3F7D"/>
    <w:rsid w:val="009B3F82"/>
    <w:rsid w:val="009B3FCE"/>
    <w:rsid w:val="009B4004"/>
    <w:rsid w:val="009B4018"/>
    <w:rsid w:val="009B405E"/>
    <w:rsid w:val="009B4081"/>
    <w:rsid w:val="009B40B2"/>
    <w:rsid w:val="009B40E2"/>
    <w:rsid w:val="009B411D"/>
    <w:rsid w:val="009B41A0"/>
    <w:rsid w:val="009B41A1"/>
    <w:rsid w:val="009B41FC"/>
    <w:rsid w:val="009B424C"/>
    <w:rsid w:val="009B4271"/>
    <w:rsid w:val="009B4291"/>
    <w:rsid w:val="009B42C6"/>
    <w:rsid w:val="009B4332"/>
    <w:rsid w:val="009B4388"/>
    <w:rsid w:val="009B439E"/>
    <w:rsid w:val="009B43BD"/>
    <w:rsid w:val="009B4401"/>
    <w:rsid w:val="009B4407"/>
    <w:rsid w:val="009B4433"/>
    <w:rsid w:val="009B4436"/>
    <w:rsid w:val="009B444C"/>
    <w:rsid w:val="009B4543"/>
    <w:rsid w:val="009B45B4"/>
    <w:rsid w:val="009B46B4"/>
    <w:rsid w:val="009B46EF"/>
    <w:rsid w:val="009B4713"/>
    <w:rsid w:val="009B4837"/>
    <w:rsid w:val="009B4876"/>
    <w:rsid w:val="009B4918"/>
    <w:rsid w:val="009B4998"/>
    <w:rsid w:val="009B49CF"/>
    <w:rsid w:val="009B4A41"/>
    <w:rsid w:val="009B4A5C"/>
    <w:rsid w:val="009B4A6A"/>
    <w:rsid w:val="009B4B05"/>
    <w:rsid w:val="009B4B42"/>
    <w:rsid w:val="009B4B7D"/>
    <w:rsid w:val="009B4BCE"/>
    <w:rsid w:val="009B4BE6"/>
    <w:rsid w:val="009B4BFC"/>
    <w:rsid w:val="009B4C15"/>
    <w:rsid w:val="009B4C82"/>
    <w:rsid w:val="009B4D6C"/>
    <w:rsid w:val="009B4D7B"/>
    <w:rsid w:val="009B4D88"/>
    <w:rsid w:val="009B4E11"/>
    <w:rsid w:val="009B4E15"/>
    <w:rsid w:val="009B4E17"/>
    <w:rsid w:val="009B4E46"/>
    <w:rsid w:val="009B4E67"/>
    <w:rsid w:val="009B4E8A"/>
    <w:rsid w:val="009B4EB8"/>
    <w:rsid w:val="009B4EE9"/>
    <w:rsid w:val="009B4EF2"/>
    <w:rsid w:val="009B4FA7"/>
    <w:rsid w:val="009B4FDE"/>
    <w:rsid w:val="009B5059"/>
    <w:rsid w:val="009B5081"/>
    <w:rsid w:val="009B5084"/>
    <w:rsid w:val="009B50D3"/>
    <w:rsid w:val="009B50DA"/>
    <w:rsid w:val="009B518F"/>
    <w:rsid w:val="009B5199"/>
    <w:rsid w:val="009B51D8"/>
    <w:rsid w:val="009B525E"/>
    <w:rsid w:val="009B52C2"/>
    <w:rsid w:val="009B52C9"/>
    <w:rsid w:val="009B5310"/>
    <w:rsid w:val="009B5319"/>
    <w:rsid w:val="009B532C"/>
    <w:rsid w:val="009B534B"/>
    <w:rsid w:val="009B536F"/>
    <w:rsid w:val="009B5390"/>
    <w:rsid w:val="009B53A6"/>
    <w:rsid w:val="009B53B7"/>
    <w:rsid w:val="009B5404"/>
    <w:rsid w:val="009B551E"/>
    <w:rsid w:val="009B5527"/>
    <w:rsid w:val="009B5537"/>
    <w:rsid w:val="009B5550"/>
    <w:rsid w:val="009B55CD"/>
    <w:rsid w:val="009B5614"/>
    <w:rsid w:val="009B561F"/>
    <w:rsid w:val="009B562B"/>
    <w:rsid w:val="009B567E"/>
    <w:rsid w:val="009B56CF"/>
    <w:rsid w:val="009B56FF"/>
    <w:rsid w:val="009B57B7"/>
    <w:rsid w:val="009B57DA"/>
    <w:rsid w:val="009B5897"/>
    <w:rsid w:val="009B58C1"/>
    <w:rsid w:val="009B58C2"/>
    <w:rsid w:val="009B58F3"/>
    <w:rsid w:val="009B5961"/>
    <w:rsid w:val="009B5988"/>
    <w:rsid w:val="009B59A7"/>
    <w:rsid w:val="009B5A2A"/>
    <w:rsid w:val="009B5B0F"/>
    <w:rsid w:val="009B5B3B"/>
    <w:rsid w:val="009B5B74"/>
    <w:rsid w:val="009B5BBB"/>
    <w:rsid w:val="009B5BC7"/>
    <w:rsid w:val="009B5C5B"/>
    <w:rsid w:val="009B5C65"/>
    <w:rsid w:val="009B5C71"/>
    <w:rsid w:val="009B5C86"/>
    <w:rsid w:val="009B5CAB"/>
    <w:rsid w:val="009B5CEB"/>
    <w:rsid w:val="009B5D24"/>
    <w:rsid w:val="009B5DEF"/>
    <w:rsid w:val="009B5E07"/>
    <w:rsid w:val="009B5EF3"/>
    <w:rsid w:val="009B5F8B"/>
    <w:rsid w:val="009B6039"/>
    <w:rsid w:val="009B6067"/>
    <w:rsid w:val="009B6157"/>
    <w:rsid w:val="009B618D"/>
    <w:rsid w:val="009B6236"/>
    <w:rsid w:val="009B6282"/>
    <w:rsid w:val="009B6283"/>
    <w:rsid w:val="009B6296"/>
    <w:rsid w:val="009B629A"/>
    <w:rsid w:val="009B62B8"/>
    <w:rsid w:val="009B62B9"/>
    <w:rsid w:val="009B62CB"/>
    <w:rsid w:val="009B62DA"/>
    <w:rsid w:val="009B6324"/>
    <w:rsid w:val="009B638F"/>
    <w:rsid w:val="009B63BC"/>
    <w:rsid w:val="009B63E0"/>
    <w:rsid w:val="009B63F6"/>
    <w:rsid w:val="009B63F7"/>
    <w:rsid w:val="009B644E"/>
    <w:rsid w:val="009B645E"/>
    <w:rsid w:val="009B6475"/>
    <w:rsid w:val="009B6478"/>
    <w:rsid w:val="009B659A"/>
    <w:rsid w:val="009B6646"/>
    <w:rsid w:val="009B668C"/>
    <w:rsid w:val="009B66C9"/>
    <w:rsid w:val="009B66FE"/>
    <w:rsid w:val="009B672B"/>
    <w:rsid w:val="009B6793"/>
    <w:rsid w:val="009B679F"/>
    <w:rsid w:val="009B67BD"/>
    <w:rsid w:val="009B67E0"/>
    <w:rsid w:val="009B67E5"/>
    <w:rsid w:val="009B684A"/>
    <w:rsid w:val="009B686C"/>
    <w:rsid w:val="009B68A6"/>
    <w:rsid w:val="009B68C5"/>
    <w:rsid w:val="009B6922"/>
    <w:rsid w:val="009B6983"/>
    <w:rsid w:val="009B69EA"/>
    <w:rsid w:val="009B69EF"/>
    <w:rsid w:val="009B6A50"/>
    <w:rsid w:val="009B6AFE"/>
    <w:rsid w:val="009B6BEB"/>
    <w:rsid w:val="009B6C0F"/>
    <w:rsid w:val="009B6C6F"/>
    <w:rsid w:val="009B6C71"/>
    <w:rsid w:val="009B6D09"/>
    <w:rsid w:val="009B6D2D"/>
    <w:rsid w:val="009B6D53"/>
    <w:rsid w:val="009B6D9B"/>
    <w:rsid w:val="009B6DDB"/>
    <w:rsid w:val="009B6DF9"/>
    <w:rsid w:val="009B6EC9"/>
    <w:rsid w:val="009B6ECA"/>
    <w:rsid w:val="009B6F16"/>
    <w:rsid w:val="009B6F80"/>
    <w:rsid w:val="009B6FCD"/>
    <w:rsid w:val="009B7034"/>
    <w:rsid w:val="009B7079"/>
    <w:rsid w:val="009B70DC"/>
    <w:rsid w:val="009B70F5"/>
    <w:rsid w:val="009B710F"/>
    <w:rsid w:val="009B7127"/>
    <w:rsid w:val="009B7129"/>
    <w:rsid w:val="009B7148"/>
    <w:rsid w:val="009B718C"/>
    <w:rsid w:val="009B7196"/>
    <w:rsid w:val="009B7272"/>
    <w:rsid w:val="009B72AA"/>
    <w:rsid w:val="009B72AE"/>
    <w:rsid w:val="009B72F3"/>
    <w:rsid w:val="009B7311"/>
    <w:rsid w:val="009B739C"/>
    <w:rsid w:val="009B73BB"/>
    <w:rsid w:val="009B73E8"/>
    <w:rsid w:val="009B7455"/>
    <w:rsid w:val="009B746A"/>
    <w:rsid w:val="009B749A"/>
    <w:rsid w:val="009B74D0"/>
    <w:rsid w:val="009B74EC"/>
    <w:rsid w:val="009B74F0"/>
    <w:rsid w:val="009B755B"/>
    <w:rsid w:val="009B75A8"/>
    <w:rsid w:val="009B75B5"/>
    <w:rsid w:val="009B75B9"/>
    <w:rsid w:val="009B75F2"/>
    <w:rsid w:val="009B760D"/>
    <w:rsid w:val="009B765E"/>
    <w:rsid w:val="009B76E4"/>
    <w:rsid w:val="009B7709"/>
    <w:rsid w:val="009B773B"/>
    <w:rsid w:val="009B77B8"/>
    <w:rsid w:val="009B7807"/>
    <w:rsid w:val="009B7895"/>
    <w:rsid w:val="009B7911"/>
    <w:rsid w:val="009B7943"/>
    <w:rsid w:val="009B795A"/>
    <w:rsid w:val="009B79C0"/>
    <w:rsid w:val="009B7A1F"/>
    <w:rsid w:val="009B7A36"/>
    <w:rsid w:val="009B7A52"/>
    <w:rsid w:val="009B7B13"/>
    <w:rsid w:val="009B7C19"/>
    <w:rsid w:val="009B7C30"/>
    <w:rsid w:val="009B7DA3"/>
    <w:rsid w:val="009B7DBE"/>
    <w:rsid w:val="009B7E45"/>
    <w:rsid w:val="009B7E73"/>
    <w:rsid w:val="009B7E84"/>
    <w:rsid w:val="009B7ECE"/>
    <w:rsid w:val="009B7F41"/>
    <w:rsid w:val="009B7F56"/>
    <w:rsid w:val="009B7F60"/>
    <w:rsid w:val="009B7F6C"/>
    <w:rsid w:val="009B7F99"/>
    <w:rsid w:val="009B7F9F"/>
    <w:rsid w:val="009B7FA4"/>
    <w:rsid w:val="009B7FB2"/>
    <w:rsid w:val="009B7FC2"/>
    <w:rsid w:val="009B7FC3"/>
    <w:rsid w:val="009B7FF5"/>
    <w:rsid w:val="009C001F"/>
    <w:rsid w:val="009C0026"/>
    <w:rsid w:val="009C003A"/>
    <w:rsid w:val="009C0055"/>
    <w:rsid w:val="009C00E0"/>
    <w:rsid w:val="009C010F"/>
    <w:rsid w:val="009C011D"/>
    <w:rsid w:val="009C014E"/>
    <w:rsid w:val="009C0166"/>
    <w:rsid w:val="009C0273"/>
    <w:rsid w:val="009C028A"/>
    <w:rsid w:val="009C02C1"/>
    <w:rsid w:val="009C02E2"/>
    <w:rsid w:val="009C0325"/>
    <w:rsid w:val="009C0332"/>
    <w:rsid w:val="009C033F"/>
    <w:rsid w:val="009C037C"/>
    <w:rsid w:val="009C038D"/>
    <w:rsid w:val="009C03A5"/>
    <w:rsid w:val="009C0444"/>
    <w:rsid w:val="009C0471"/>
    <w:rsid w:val="009C0486"/>
    <w:rsid w:val="009C0539"/>
    <w:rsid w:val="009C053A"/>
    <w:rsid w:val="009C0562"/>
    <w:rsid w:val="009C0672"/>
    <w:rsid w:val="009C06BD"/>
    <w:rsid w:val="009C06FF"/>
    <w:rsid w:val="009C0704"/>
    <w:rsid w:val="009C077E"/>
    <w:rsid w:val="009C0792"/>
    <w:rsid w:val="009C07A4"/>
    <w:rsid w:val="009C07AB"/>
    <w:rsid w:val="009C080E"/>
    <w:rsid w:val="009C0925"/>
    <w:rsid w:val="009C0946"/>
    <w:rsid w:val="009C0A77"/>
    <w:rsid w:val="009C0B1B"/>
    <w:rsid w:val="009C0B26"/>
    <w:rsid w:val="009C0BAA"/>
    <w:rsid w:val="009C0BAC"/>
    <w:rsid w:val="009C0BBF"/>
    <w:rsid w:val="009C0C11"/>
    <w:rsid w:val="009C0C29"/>
    <w:rsid w:val="009C0CD4"/>
    <w:rsid w:val="009C0D05"/>
    <w:rsid w:val="009C0E33"/>
    <w:rsid w:val="009C0E7D"/>
    <w:rsid w:val="009C0EA7"/>
    <w:rsid w:val="009C0F61"/>
    <w:rsid w:val="009C0FBC"/>
    <w:rsid w:val="009C0FD6"/>
    <w:rsid w:val="009C0FEC"/>
    <w:rsid w:val="009C1024"/>
    <w:rsid w:val="009C1030"/>
    <w:rsid w:val="009C103C"/>
    <w:rsid w:val="009C108C"/>
    <w:rsid w:val="009C10E2"/>
    <w:rsid w:val="009C10E5"/>
    <w:rsid w:val="009C10EB"/>
    <w:rsid w:val="009C10F0"/>
    <w:rsid w:val="009C113E"/>
    <w:rsid w:val="009C114D"/>
    <w:rsid w:val="009C1176"/>
    <w:rsid w:val="009C117D"/>
    <w:rsid w:val="009C11A9"/>
    <w:rsid w:val="009C11C5"/>
    <w:rsid w:val="009C11F6"/>
    <w:rsid w:val="009C121A"/>
    <w:rsid w:val="009C1249"/>
    <w:rsid w:val="009C12B0"/>
    <w:rsid w:val="009C12C5"/>
    <w:rsid w:val="009C135B"/>
    <w:rsid w:val="009C13B4"/>
    <w:rsid w:val="009C13D4"/>
    <w:rsid w:val="009C1406"/>
    <w:rsid w:val="009C1443"/>
    <w:rsid w:val="009C14AA"/>
    <w:rsid w:val="009C1504"/>
    <w:rsid w:val="009C1510"/>
    <w:rsid w:val="009C153E"/>
    <w:rsid w:val="009C155A"/>
    <w:rsid w:val="009C1565"/>
    <w:rsid w:val="009C1580"/>
    <w:rsid w:val="009C163D"/>
    <w:rsid w:val="009C1693"/>
    <w:rsid w:val="009C1698"/>
    <w:rsid w:val="009C16A5"/>
    <w:rsid w:val="009C16CB"/>
    <w:rsid w:val="009C1712"/>
    <w:rsid w:val="009C1769"/>
    <w:rsid w:val="009C1772"/>
    <w:rsid w:val="009C1801"/>
    <w:rsid w:val="009C1843"/>
    <w:rsid w:val="009C1896"/>
    <w:rsid w:val="009C199B"/>
    <w:rsid w:val="009C19E3"/>
    <w:rsid w:val="009C19F2"/>
    <w:rsid w:val="009C1A15"/>
    <w:rsid w:val="009C1A2C"/>
    <w:rsid w:val="009C1A57"/>
    <w:rsid w:val="009C1AB4"/>
    <w:rsid w:val="009C1B4B"/>
    <w:rsid w:val="009C1B76"/>
    <w:rsid w:val="009C1B80"/>
    <w:rsid w:val="009C1B87"/>
    <w:rsid w:val="009C1BBE"/>
    <w:rsid w:val="009C1BC1"/>
    <w:rsid w:val="009C1C43"/>
    <w:rsid w:val="009C1D01"/>
    <w:rsid w:val="009C1D1C"/>
    <w:rsid w:val="009C1DED"/>
    <w:rsid w:val="009C1E01"/>
    <w:rsid w:val="009C1EFB"/>
    <w:rsid w:val="009C1F3B"/>
    <w:rsid w:val="009C1FA3"/>
    <w:rsid w:val="009C1FAD"/>
    <w:rsid w:val="009C1FDD"/>
    <w:rsid w:val="009C1FE4"/>
    <w:rsid w:val="009C2022"/>
    <w:rsid w:val="009C204C"/>
    <w:rsid w:val="009C207B"/>
    <w:rsid w:val="009C2110"/>
    <w:rsid w:val="009C2131"/>
    <w:rsid w:val="009C2169"/>
    <w:rsid w:val="009C21A1"/>
    <w:rsid w:val="009C224F"/>
    <w:rsid w:val="009C22FF"/>
    <w:rsid w:val="009C233F"/>
    <w:rsid w:val="009C2344"/>
    <w:rsid w:val="009C240E"/>
    <w:rsid w:val="009C2498"/>
    <w:rsid w:val="009C24B7"/>
    <w:rsid w:val="009C2632"/>
    <w:rsid w:val="009C2742"/>
    <w:rsid w:val="009C274D"/>
    <w:rsid w:val="009C2855"/>
    <w:rsid w:val="009C2869"/>
    <w:rsid w:val="009C28D0"/>
    <w:rsid w:val="009C28F8"/>
    <w:rsid w:val="009C28FA"/>
    <w:rsid w:val="009C29E3"/>
    <w:rsid w:val="009C2B3E"/>
    <w:rsid w:val="009C2B60"/>
    <w:rsid w:val="009C2B72"/>
    <w:rsid w:val="009C2B76"/>
    <w:rsid w:val="009C2C16"/>
    <w:rsid w:val="009C2CAB"/>
    <w:rsid w:val="009C2D26"/>
    <w:rsid w:val="009C2DDC"/>
    <w:rsid w:val="009C2DEF"/>
    <w:rsid w:val="009C2DFE"/>
    <w:rsid w:val="009C2E26"/>
    <w:rsid w:val="009C2E29"/>
    <w:rsid w:val="009C2E55"/>
    <w:rsid w:val="009C2F34"/>
    <w:rsid w:val="009C2F3C"/>
    <w:rsid w:val="009C2F63"/>
    <w:rsid w:val="009C2F64"/>
    <w:rsid w:val="009C3053"/>
    <w:rsid w:val="009C3054"/>
    <w:rsid w:val="009C3057"/>
    <w:rsid w:val="009C3068"/>
    <w:rsid w:val="009C308D"/>
    <w:rsid w:val="009C30BF"/>
    <w:rsid w:val="009C314C"/>
    <w:rsid w:val="009C316B"/>
    <w:rsid w:val="009C31E3"/>
    <w:rsid w:val="009C31F1"/>
    <w:rsid w:val="009C32C6"/>
    <w:rsid w:val="009C332E"/>
    <w:rsid w:val="009C3343"/>
    <w:rsid w:val="009C3385"/>
    <w:rsid w:val="009C33D3"/>
    <w:rsid w:val="009C3481"/>
    <w:rsid w:val="009C34C6"/>
    <w:rsid w:val="009C34F1"/>
    <w:rsid w:val="009C351D"/>
    <w:rsid w:val="009C355C"/>
    <w:rsid w:val="009C35C1"/>
    <w:rsid w:val="009C35D7"/>
    <w:rsid w:val="009C3623"/>
    <w:rsid w:val="009C362A"/>
    <w:rsid w:val="009C3647"/>
    <w:rsid w:val="009C367D"/>
    <w:rsid w:val="009C3707"/>
    <w:rsid w:val="009C375B"/>
    <w:rsid w:val="009C37A1"/>
    <w:rsid w:val="009C37A6"/>
    <w:rsid w:val="009C37F3"/>
    <w:rsid w:val="009C3839"/>
    <w:rsid w:val="009C385C"/>
    <w:rsid w:val="009C3876"/>
    <w:rsid w:val="009C3880"/>
    <w:rsid w:val="009C39FC"/>
    <w:rsid w:val="009C3A4F"/>
    <w:rsid w:val="009C3A80"/>
    <w:rsid w:val="009C3A95"/>
    <w:rsid w:val="009C3ABA"/>
    <w:rsid w:val="009C3B29"/>
    <w:rsid w:val="009C3BED"/>
    <w:rsid w:val="009C3C60"/>
    <w:rsid w:val="009C3C6F"/>
    <w:rsid w:val="009C3C73"/>
    <w:rsid w:val="009C3CA6"/>
    <w:rsid w:val="009C3CEA"/>
    <w:rsid w:val="009C3D4D"/>
    <w:rsid w:val="009C3E26"/>
    <w:rsid w:val="009C3E2D"/>
    <w:rsid w:val="009C3E5A"/>
    <w:rsid w:val="009C3E87"/>
    <w:rsid w:val="009C3EA5"/>
    <w:rsid w:val="009C3EC4"/>
    <w:rsid w:val="009C3F47"/>
    <w:rsid w:val="009C3F4C"/>
    <w:rsid w:val="009C4024"/>
    <w:rsid w:val="009C4047"/>
    <w:rsid w:val="009C4057"/>
    <w:rsid w:val="009C40BA"/>
    <w:rsid w:val="009C40BE"/>
    <w:rsid w:val="009C40D1"/>
    <w:rsid w:val="009C40DC"/>
    <w:rsid w:val="009C412C"/>
    <w:rsid w:val="009C4134"/>
    <w:rsid w:val="009C416C"/>
    <w:rsid w:val="009C4175"/>
    <w:rsid w:val="009C4230"/>
    <w:rsid w:val="009C4252"/>
    <w:rsid w:val="009C4259"/>
    <w:rsid w:val="009C4282"/>
    <w:rsid w:val="009C428C"/>
    <w:rsid w:val="009C429B"/>
    <w:rsid w:val="009C42B5"/>
    <w:rsid w:val="009C42BA"/>
    <w:rsid w:val="009C4313"/>
    <w:rsid w:val="009C4321"/>
    <w:rsid w:val="009C4431"/>
    <w:rsid w:val="009C4434"/>
    <w:rsid w:val="009C4487"/>
    <w:rsid w:val="009C4506"/>
    <w:rsid w:val="009C4568"/>
    <w:rsid w:val="009C4627"/>
    <w:rsid w:val="009C4696"/>
    <w:rsid w:val="009C473A"/>
    <w:rsid w:val="009C47C1"/>
    <w:rsid w:val="009C47E1"/>
    <w:rsid w:val="009C4819"/>
    <w:rsid w:val="009C48A7"/>
    <w:rsid w:val="009C48BA"/>
    <w:rsid w:val="009C48E6"/>
    <w:rsid w:val="009C48FB"/>
    <w:rsid w:val="009C490B"/>
    <w:rsid w:val="009C4928"/>
    <w:rsid w:val="009C496F"/>
    <w:rsid w:val="009C4987"/>
    <w:rsid w:val="009C49C6"/>
    <w:rsid w:val="009C49DD"/>
    <w:rsid w:val="009C49FD"/>
    <w:rsid w:val="009C4A24"/>
    <w:rsid w:val="009C4A97"/>
    <w:rsid w:val="009C4AD8"/>
    <w:rsid w:val="009C4AEA"/>
    <w:rsid w:val="009C4B3F"/>
    <w:rsid w:val="009C4B5B"/>
    <w:rsid w:val="009C4B77"/>
    <w:rsid w:val="009C4BD5"/>
    <w:rsid w:val="009C4BE1"/>
    <w:rsid w:val="009C4BFC"/>
    <w:rsid w:val="009C4C5D"/>
    <w:rsid w:val="009C4C76"/>
    <w:rsid w:val="009C4CC4"/>
    <w:rsid w:val="009C4D45"/>
    <w:rsid w:val="009C4D4A"/>
    <w:rsid w:val="009C4D65"/>
    <w:rsid w:val="009C4D7E"/>
    <w:rsid w:val="009C4D8A"/>
    <w:rsid w:val="009C4DA6"/>
    <w:rsid w:val="009C4E5D"/>
    <w:rsid w:val="009C4E70"/>
    <w:rsid w:val="009C4F2E"/>
    <w:rsid w:val="009C503E"/>
    <w:rsid w:val="009C5076"/>
    <w:rsid w:val="009C507E"/>
    <w:rsid w:val="009C50D8"/>
    <w:rsid w:val="009C50F2"/>
    <w:rsid w:val="009C5114"/>
    <w:rsid w:val="009C5187"/>
    <w:rsid w:val="009C519C"/>
    <w:rsid w:val="009C51BD"/>
    <w:rsid w:val="009C51EA"/>
    <w:rsid w:val="009C5233"/>
    <w:rsid w:val="009C523E"/>
    <w:rsid w:val="009C5251"/>
    <w:rsid w:val="009C52A0"/>
    <w:rsid w:val="009C530D"/>
    <w:rsid w:val="009C533C"/>
    <w:rsid w:val="009C5372"/>
    <w:rsid w:val="009C53B2"/>
    <w:rsid w:val="009C53CE"/>
    <w:rsid w:val="009C544D"/>
    <w:rsid w:val="009C546A"/>
    <w:rsid w:val="009C547E"/>
    <w:rsid w:val="009C54A4"/>
    <w:rsid w:val="009C54C6"/>
    <w:rsid w:val="009C54EA"/>
    <w:rsid w:val="009C5539"/>
    <w:rsid w:val="009C553B"/>
    <w:rsid w:val="009C55D0"/>
    <w:rsid w:val="009C5669"/>
    <w:rsid w:val="009C5684"/>
    <w:rsid w:val="009C568B"/>
    <w:rsid w:val="009C56A1"/>
    <w:rsid w:val="009C56F0"/>
    <w:rsid w:val="009C570B"/>
    <w:rsid w:val="009C5789"/>
    <w:rsid w:val="009C578A"/>
    <w:rsid w:val="009C57B6"/>
    <w:rsid w:val="009C57C0"/>
    <w:rsid w:val="009C588F"/>
    <w:rsid w:val="009C58C8"/>
    <w:rsid w:val="009C5902"/>
    <w:rsid w:val="009C599A"/>
    <w:rsid w:val="009C59A4"/>
    <w:rsid w:val="009C59CF"/>
    <w:rsid w:val="009C59E5"/>
    <w:rsid w:val="009C59F8"/>
    <w:rsid w:val="009C5A6A"/>
    <w:rsid w:val="009C5A86"/>
    <w:rsid w:val="009C5AD8"/>
    <w:rsid w:val="009C5B17"/>
    <w:rsid w:val="009C5B45"/>
    <w:rsid w:val="009C5B70"/>
    <w:rsid w:val="009C5B86"/>
    <w:rsid w:val="009C5BDE"/>
    <w:rsid w:val="009C5BEC"/>
    <w:rsid w:val="009C5BF1"/>
    <w:rsid w:val="009C5C62"/>
    <w:rsid w:val="009C5C7E"/>
    <w:rsid w:val="009C5CEB"/>
    <w:rsid w:val="009C5E0C"/>
    <w:rsid w:val="009C5E72"/>
    <w:rsid w:val="009C5E7C"/>
    <w:rsid w:val="009C5E84"/>
    <w:rsid w:val="009C5EA9"/>
    <w:rsid w:val="009C5FB4"/>
    <w:rsid w:val="009C5FEA"/>
    <w:rsid w:val="009C6001"/>
    <w:rsid w:val="009C6011"/>
    <w:rsid w:val="009C6028"/>
    <w:rsid w:val="009C602A"/>
    <w:rsid w:val="009C6066"/>
    <w:rsid w:val="009C60D8"/>
    <w:rsid w:val="009C6102"/>
    <w:rsid w:val="009C612C"/>
    <w:rsid w:val="009C6171"/>
    <w:rsid w:val="009C617A"/>
    <w:rsid w:val="009C61B8"/>
    <w:rsid w:val="009C61F1"/>
    <w:rsid w:val="009C622A"/>
    <w:rsid w:val="009C6287"/>
    <w:rsid w:val="009C628B"/>
    <w:rsid w:val="009C629D"/>
    <w:rsid w:val="009C62A9"/>
    <w:rsid w:val="009C630E"/>
    <w:rsid w:val="009C637F"/>
    <w:rsid w:val="009C63C7"/>
    <w:rsid w:val="009C63ED"/>
    <w:rsid w:val="009C6441"/>
    <w:rsid w:val="009C644B"/>
    <w:rsid w:val="009C6466"/>
    <w:rsid w:val="009C6484"/>
    <w:rsid w:val="009C66B7"/>
    <w:rsid w:val="009C66CC"/>
    <w:rsid w:val="009C672B"/>
    <w:rsid w:val="009C6799"/>
    <w:rsid w:val="009C67B0"/>
    <w:rsid w:val="009C67EF"/>
    <w:rsid w:val="009C67FE"/>
    <w:rsid w:val="009C6867"/>
    <w:rsid w:val="009C68CE"/>
    <w:rsid w:val="009C6912"/>
    <w:rsid w:val="009C6971"/>
    <w:rsid w:val="009C69CF"/>
    <w:rsid w:val="009C69FC"/>
    <w:rsid w:val="009C6A70"/>
    <w:rsid w:val="009C6A7C"/>
    <w:rsid w:val="009C6AAB"/>
    <w:rsid w:val="009C6AF5"/>
    <w:rsid w:val="009C6B02"/>
    <w:rsid w:val="009C6B31"/>
    <w:rsid w:val="009C6B54"/>
    <w:rsid w:val="009C6B7C"/>
    <w:rsid w:val="009C6BAE"/>
    <w:rsid w:val="009C6C00"/>
    <w:rsid w:val="009C6C67"/>
    <w:rsid w:val="009C6C69"/>
    <w:rsid w:val="009C6CC4"/>
    <w:rsid w:val="009C6CF8"/>
    <w:rsid w:val="009C6D2A"/>
    <w:rsid w:val="009C6DA9"/>
    <w:rsid w:val="009C6DCE"/>
    <w:rsid w:val="009C6DF8"/>
    <w:rsid w:val="009C6E14"/>
    <w:rsid w:val="009C6ED2"/>
    <w:rsid w:val="009C6EEF"/>
    <w:rsid w:val="009C6F03"/>
    <w:rsid w:val="009C6F20"/>
    <w:rsid w:val="009C6F50"/>
    <w:rsid w:val="009C6FC6"/>
    <w:rsid w:val="009C6FF9"/>
    <w:rsid w:val="009C7045"/>
    <w:rsid w:val="009C708E"/>
    <w:rsid w:val="009C70B5"/>
    <w:rsid w:val="009C70BB"/>
    <w:rsid w:val="009C713E"/>
    <w:rsid w:val="009C715A"/>
    <w:rsid w:val="009C71DC"/>
    <w:rsid w:val="009C71F6"/>
    <w:rsid w:val="009C722E"/>
    <w:rsid w:val="009C72C3"/>
    <w:rsid w:val="009C7316"/>
    <w:rsid w:val="009C732D"/>
    <w:rsid w:val="009C7336"/>
    <w:rsid w:val="009C735E"/>
    <w:rsid w:val="009C7378"/>
    <w:rsid w:val="009C7434"/>
    <w:rsid w:val="009C747B"/>
    <w:rsid w:val="009C74A1"/>
    <w:rsid w:val="009C74C1"/>
    <w:rsid w:val="009C74DC"/>
    <w:rsid w:val="009C7524"/>
    <w:rsid w:val="009C7539"/>
    <w:rsid w:val="009C7580"/>
    <w:rsid w:val="009C7602"/>
    <w:rsid w:val="009C768A"/>
    <w:rsid w:val="009C76AB"/>
    <w:rsid w:val="009C76CD"/>
    <w:rsid w:val="009C76F3"/>
    <w:rsid w:val="009C77AF"/>
    <w:rsid w:val="009C77DD"/>
    <w:rsid w:val="009C7821"/>
    <w:rsid w:val="009C784C"/>
    <w:rsid w:val="009C785B"/>
    <w:rsid w:val="009C785C"/>
    <w:rsid w:val="009C787D"/>
    <w:rsid w:val="009C78E0"/>
    <w:rsid w:val="009C795D"/>
    <w:rsid w:val="009C7986"/>
    <w:rsid w:val="009C79C4"/>
    <w:rsid w:val="009C79CF"/>
    <w:rsid w:val="009C7A47"/>
    <w:rsid w:val="009C7AD0"/>
    <w:rsid w:val="009C7B54"/>
    <w:rsid w:val="009C7BC2"/>
    <w:rsid w:val="009C7BCD"/>
    <w:rsid w:val="009C7BEC"/>
    <w:rsid w:val="009C7C58"/>
    <w:rsid w:val="009C7D0C"/>
    <w:rsid w:val="009C7D8B"/>
    <w:rsid w:val="009C7DA6"/>
    <w:rsid w:val="009C7DE9"/>
    <w:rsid w:val="009C7E20"/>
    <w:rsid w:val="009C7E22"/>
    <w:rsid w:val="009C7EA1"/>
    <w:rsid w:val="009C7ECF"/>
    <w:rsid w:val="009C7F08"/>
    <w:rsid w:val="009C7F61"/>
    <w:rsid w:val="009C7F6A"/>
    <w:rsid w:val="009C7F88"/>
    <w:rsid w:val="009C7FC7"/>
    <w:rsid w:val="009C7FCC"/>
    <w:rsid w:val="009D0026"/>
    <w:rsid w:val="009D004B"/>
    <w:rsid w:val="009D0053"/>
    <w:rsid w:val="009D00A7"/>
    <w:rsid w:val="009D00BC"/>
    <w:rsid w:val="009D00CE"/>
    <w:rsid w:val="009D01A3"/>
    <w:rsid w:val="009D0203"/>
    <w:rsid w:val="009D027F"/>
    <w:rsid w:val="009D0293"/>
    <w:rsid w:val="009D0348"/>
    <w:rsid w:val="009D0376"/>
    <w:rsid w:val="009D03E9"/>
    <w:rsid w:val="009D040B"/>
    <w:rsid w:val="009D041A"/>
    <w:rsid w:val="009D0442"/>
    <w:rsid w:val="009D0459"/>
    <w:rsid w:val="009D045E"/>
    <w:rsid w:val="009D04A7"/>
    <w:rsid w:val="009D04B5"/>
    <w:rsid w:val="009D04E5"/>
    <w:rsid w:val="009D0521"/>
    <w:rsid w:val="009D0523"/>
    <w:rsid w:val="009D053B"/>
    <w:rsid w:val="009D0548"/>
    <w:rsid w:val="009D057A"/>
    <w:rsid w:val="009D058B"/>
    <w:rsid w:val="009D05AB"/>
    <w:rsid w:val="009D0607"/>
    <w:rsid w:val="009D0614"/>
    <w:rsid w:val="009D061D"/>
    <w:rsid w:val="009D0685"/>
    <w:rsid w:val="009D07BF"/>
    <w:rsid w:val="009D0820"/>
    <w:rsid w:val="009D0836"/>
    <w:rsid w:val="009D0850"/>
    <w:rsid w:val="009D0861"/>
    <w:rsid w:val="009D086E"/>
    <w:rsid w:val="009D0899"/>
    <w:rsid w:val="009D08D4"/>
    <w:rsid w:val="009D08D6"/>
    <w:rsid w:val="009D090A"/>
    <w:rsid w:val="009D0919"/>
    <w:rsid w:val="009D0921"/>
    <w:rsid w:val="009D096A"/>
    <w:rsid w:val="009D098C"/>
    <w:rsid w:val="009D09F0"/>
    <w:rsid w:val="009D0A11"/>
    <w:rsid w:val="009D0AB2"/>
    <w:rsid w:val="009D0B0B"/>
    <w:rsid w:val="009D0B8D"/>
    <w:rsid w:val="009D0BA0"/>
    <w:rsid w:val="009D0BE6"/>
    <w:rsid w:val="009D0C2D"/>
    <w:rsid w:val="009D0C7D"/>
    <w:rsid w:val="009D0CE8"/>
    <w:rsid w:val="009D0CF7"/>
    <w:rsid w:val="009D0D2D"/>
    <w:rsid w:val="009D0D9C"/>
    <w:rsid w:val="009D0DBF"/>
    <w:rsid w:val="009D0DD2"/>
    <w:rsid w:val="009D0DDC"/>
    <w:rsid w:val="009D0DDE"/>
    <w:rsid w:val="009D0E13"/>
    <w:rsid w:val="009D0E28"/>
    <w:rsid w:val="009D0EC6"/>
    <w:rsid w:val="009D0EE3"/>
    <w:rsid w:val="009D0EFD"/>
    <w:rsid w:val="009D0FCD"/>
    <w:rsid w:val="009D0FCE"/>
    <w:rsid w:val="009D1007"/>
    <w:rsid w:val="009D1025"/>
    <w:rsid w:val="009D1052"/>
    <w:rsid w:val="009D108F"/>
    <w:rsid w:val="009D10D9"/>
    <w:rsid w:val="009D110A"/>
    <w:rsid w:val="009D113C"/>
    <w:rsid w:val="009D1167"/>
    <w:rsid w:val="009D117C"/>
    <w:rsid w:val="009D11A9"/>
    <w:rsid w:val="009D11E6"/>
    <w:rsid w:val="009D1238"/>
    <w:rsid w:val="009D1399"/>
    <w:rsid w:val="009D139E"/>
    <w:rsid w:val="009D13C0"/>
    <w:rsid w:val="009D1481"/>
    <w:rsid w:val="009D149C"/>
    <w:rsid w:val="009D14E1"/>
    <w:rsid w:val="009D1520"/>
    <w:rsid w:val="009D152B"/>
    <w:rsid w:val="009D1533"/>
    <w:rsid w:val="009D15B3"/>
    <w:rsid w:val="009D15ED"/>
    <w:rsid w:val="009D15F0"/>
    <w:rsid w:val="009D1694"/>
    <w:rsid w:val="009D1697"/>
    <w:rsid w:val="009D16CE"/>
    <w:rsid w:val="009D1700"/>
    <w:rsid w:val="009D1744"/>
    <w:rsid w:val="009D176E"/>
    <w:rsid w:val="009D1801"/>
    <w:rsid w:val="009D1827"/>
    <w:rsid w:val="009D1830"/>
    <w:rsid w:val="009D183C"/>
    <w:rsid w:val="009D18FE"/>
    <w:rsid w:val="009D1961"/>
    <w:rsid w:val="009D19B0"/>
    <w:rsid w:val="009D19B1"/>
    <w:rsid w:val="009D19E1"/>
    <w:rsid w:val="009D1A0C"/>
    <w:rsid w:val="009D1A1C"/>
    <w:rsid w:val="009D1A5C"/>
    <w:rsid w:val="009D1A62"/>
    <w:rsid w:val="009D1A66"/>
    <w:rsid w:val="009D1AD0"/>
    <w:rsid w:val="009D1B13"/>
    <w:rsid w:val="009D1B54"/>
    <w:rsid w:val="009D1B66"/>
    <w:rsid w:val="009D1BA5"/>
    <w:rsid w:val="009D1C14"/>
    <w:rsid w:val="009D1CB2"/>
    <w:rsid w:val="009D1CC2"/>
    <w:rsid w:val="009D1D08"/>
    <w:rsid w:val="009D1D0D"/>
    <w:rsid w:val="009D1D14"/>
    <w:rsid w:val="009D1D63"/>
    <w:rsid w:val="009D1D8D"/>
    <w:rsid w:val="009D1DED"/>
    <w:rsid w:val="009D1E0A"/>
    <w:rsid w:val="009D1E63"/>
    <w:rsid w:val="009D1E6A"/>
    <w:rsid w:val="009D1E85"/>
    <w:rsid w:val="009D1EEB"/>
    <w:rsid w:val="009D1F31"/>
    <w:rsid w:val="009D1F65"/>
    <w:rsid w:val="009D1F8A"/>
    <w:rsid w:val="009D201F"/>
    <w:rsid w:val="009D208D"/>
    <w:rsid w:val="009D20D4"/>
    <w:rsid w:val="009D20D5"/>
    <w:rsid w:val="009D2128"/>
    <w:rsid w:val="009D215D"/>
    <w:rsid w:val="009D2179"/>
    <w:rsid w:val="009D21D5"/>
    <w:rsid w:val="009D2239"/>
    <w:rsid w:val="009D2262"/>
    <w:rsid w:val="009D226F"/>
    <w:rsid w:val="009D2282"/>
    <w:rsid w:val="009D22B9"/>
    <w:rsid w:val="009D234F"/>
    <w:rsid w:val="009D23BF"/>
    <w:rsid w:val="009D240C"/>
    <w:rsid w:val="009D24E7"/>
    <w:rsid w:val="009D24F5"/>
    <w:rsid w:val="009D2513"/>
    <w:rsid w:val="009D2519"/>
    <w:rsid w:val="009D2525"/>
    <w:rsid w:val="009D252D"/>
    <w:rsid w:val="009D2555"/>
    <w:rsid w:val="009D2568"/>
    <w:rsid w:val="009D257A"/>
    <w:rsid w:val="009D25A8"/>
    <w:rsid w:val="009D25F4"/>
    <w:rsid w:val="009D260B"/>
    <w:rsid w:val="009D2670"/>
    <w:rsid w:val="009D269C"/>
    <w:rsid w:val="009D26AF"/>
    <w:rsid w:val="009D26DC"/>
    <w:rsid w:val="009D26FF"/>
    <w:rsid w:val="009D271D"/>
    <w:rsid w:val="009D2739"/>
    <w:rsid w:val="009D2768"/>
    <w:rsid w:val="009D2769"/>
    <w:rsid w:val="009D278F"/>
    <w:rsid w:val="009D2791"/>
    <w:rsid w:val="009D27C3"/>
    <w:rsid w:val="009D2812"/>
    <w:rsid w:val="009D2818"/>
    <w:rsid w:val="009D2855"/>
    <w:rsid w:val="009D289B"/>
    <w:rsid w:val="009D28A4"/>
    <w:rsid w:val="009D2960"/>
    <w:rsid w:val="009D299B"/>
    <w:rsid w:val="009D2A4A"/>
    <w:rsid w:val="009D2AA1"/>
    <w:rsid w:val="009D2AAC"/>
    <w:rsid w:val="009D2B3D"/>
    <w:rsid w:val="009D2B4E"/>
    <w:rsid w:val="009D2BA2"/>
    <w:rsid w:val="009D2C04"/>
    <w:rsid w:val="009D2C68"/>
    <w:rsid w:val="009D2D03"/>
    <w:rsid w:val="009D2DE1"/>
    <w:rsid w:val="009D2E03"/>
    <w:rsid w:val="009D2E13"/>
    <w:rsid w:val="009D2E40"/>
    <w:rsid w:val="009D2E74"/>
    <w:rsid w:val="009D2E8F"/>
    <w:rsid w:val="009D2EBF"/>
    <w:rsid w:val="009D2ED5"/>
    <w:rsid w:val="009D2F2D"/>
    <w:rsid w:val="009D2F3B"/>
    <w:rsid w:val="009D2FEA"/>
    <w:rsid w:val="009D3017"/>
    <w:rsid w:val="009D3067"/>
    <w:rsid w:val="009D3070"/>
    <w:rsid w:val="009D3080"/>
    <w:rsid w:val="009D30C2"/>
    <w:rsid w:val="009D30E6"/>
    <w:rsid w:val="009D3110"/>
    <w:rsid w:val="009D3123"/>
    <w:rsid w:val="009D313B"/>
    <w:rsid w:val="009D31B1"/>
    <w:rsid w:val="009D31FE"/>
    <w:rsid w:val="009D3216"/>
    <w:rsid w:val="009D325B"/>
    <w:rsid w:val="009D3274"/>
    <w:rsid w:val="009D3297"/>
    <w:rsid w:val="009D32D5"/>
    <w:rsid w:val="009D33ED"/>
    <w:rsid w:val="009D33F9"/>
    <w:rsid w:val="009D33FC"/>
    <w:rsid w:val="009D343D"/>
    <w:rsid w:val="009D344F"/>
    <w:rsid w:val="009D34B9"/>
    <w:rsid w:val="009D34C4"/>
    <w:rsid w:val="009D3532"/>
    <w:rsid w:val="009D3539"/>
    <w:rsid w:val="009D3541"/>
    <w:rsid w:val="009D3561"/>
    <w:rsid w:val="009D360E"/>
    <w:rsid w:val="009D363A"/>
    <w:rsid w:val="009D3718"/>
    <w:rsid w:val="009D371B"/>
    <w:rsid w:val="009D3761"/>
    <w:rsid w:val="009D3772"/>
    <w:rsid w:val="009D3783"/>
    <w:rsid w:val="009D3796"/>
    <w:rsid w:val="009D37D8"/>
    <w:rsid w:val="009D37DC"/>
    <w:rsid w:val="009D38D0"/>
    <w:rsid w:val="009D38DA"/>
    <w:rsid w:val="009D38F5"/>
    <w:rsid w:val="009D391B"/>
    <w:rsid w:val="009D3964"/>
    <w:rsid w:val="009D3982"/>
    <w:rsid w:val="009D39BD"/>
    <w:rsid w:val="009D39D0"/>
    <w:rsid w:val="009D3A3C"/>
    <w:rsid w:val="009D3A6A"/>
    <w:rsid w:val="009D3A8E"/>
    <w:rsid w:val="009D3AA3"/>
    <w:rsid w:val="009D3AAE"/>
    <w:rsid w:val="009D3AAF"/>
    <w:rsid w:val="009D3B0D"/>
    <w:rsid w:val="009D3B68"/>
    <w:rsid w:val="009D3BEE"/>
    <w:rsid w:val="009D3C0B"/>
    <w:rsid w:val="009D3C7D"/>
    <w:rsid w:val="009D3CD9"/>
    <w:rsid w:val="009D3D9D"/>
    <w:rsid w:val="009D3E0A"/>
    <w:rsid w:val="009D3E29"/>
    <w:rsid w:val="009D3E45"/>
    <w:rsid w:val="009D3E58"/>
    <w:rsid w:val="009D3EB1"/>
    <w:rsid w:val="009D3F32"/>
    <w:rsid w:val="009D3F60"/>
    <w:rsid w:val="009D3F9A"/>
    <w:rsid w:val="009D401F"/>
    <w:rsid w:val="009D4064"/>
    <w:rsid w:val="009D4096"/>
    <w:rsid w:val="009D40F4"/>
    <w:rsid w:val="009D4132"/>
    <w:rsid w:val="009D4189"/>
    <w:rsid w:val="009D418D"/>
    <w:rsid w:val="009D418E"/>
    <w:rsid w:val="009D4207"/>
    <w:rsid w:val="009D4208"/>
    <w:rsid w:val="009D42D8"/>
    <w:rsid w:val="009D42F8"/>
    <w:rsid w:val="009D448D"/>
    <w:rsid w:val="009D44B2"/>
    <w:rsid w:val="009D44DC"/>
    <w:rsid w:val="009D44E2"/>
    <w:rsid w:val="009D458D"/>
    <w:rsid w:val="009D4615"/>
    <w:rsid w:val="009D4635"/>
    <w:rsid w:val="009D4641"/>
    <w:rsid w:val="009D4702"/>
    <w:rsid w:val="009D4746"/>
    <w:rsid w:val="009D478B"/>
    <w:rsid w:val="009D47D4"/>
    <w:rsid w:val="009D480D"/>
    <w:rsid w:val="009D4862"/>
    <w:rsid w:val="009D486B"/>
    <w:rsid w:val="009D486D"/>
    <w:rsid w:val="009D48CD"/>
    <w:rsid w:val="009D48D1"/>
    <w:rsid w:val="009D4923"/>
    <w:rsid w:val="009D494B"/>
    <w:rsid w:val="009D497A"/>
    <w:rsid w:val="009D4998"/>
    <w:rsid w:val="009D49B0"/>
    <w:rsid w:val="009D4A13"/>
    <w:rsid w:val="009D4A7D"/>
    <w:rsid w:val="009D4A85"/>
    <w:rsid w:val="009D4ADC"/>
    <w:rsid w:val="009D4AF3"/>
    <w:rsid w:val="009D4AFA"/>
    <w:rsid w:val="009D4B66"/>
    <w:rsid w:val="009D4B91"/>
    <w:rsid w:val="009D4BAB"/>
    <w:rsid w:val="009D4BCD"/>
    <w:rsid w:val="009D4BD2"/>
    <w:rsid w:val="009D4C35"/>
    <w:rsid w:val="009D4C56"/>
    <w:rsid w:val="009D4C97"/>
    <w:rsid w:val="009D4CD2"/>
    <w:rsid w:val="009D4D18"/>
    <w:rsid w:val="009D4D7D"/>
    <w:rsid w:val="009D4D83"/>
    <w:rsid w:val="009D4DCD"/>
    <w:rsid w:val="009D4E05"/>
    <w:rsid w:val="009D4EB9"/>
    <w:rsid w:val="009D4EBC"/>
    <w:rsid w:val="009D4F20"/>
    <w:rsid w:val="009D4F4C"/>
    <w:rsid w:val="009D4FAB"/>
    <w:rsid w:val="009D4FDC"/>
    <w:rsid w:val="009D4FE8"/>
    <w:rsid w:val="009D4FFB"/>
    <w:rsid w:val="009D500D"/>
    <w:rsid w:val="009D5164"/>
    <w:rsid w:val="009D5178"/>
    <w:rsid w:val="009D5197"/>
    <w:rsid w:val="009D51FD"/>
    <w:rsid w:val="009D5238"/>
    <w:rsid w:val="009D52AE"/>
    <w:rsid w:val="009D52B9"/>
    <w:rsid w:val="009D52CB"/>
    <w:rsid w:val="009D52F3"/>
    <w:rsid w:val="009D531B"/>
    <w:rsid w:val="009D5374"/>
    <w:rsid w:val="009D53D5"/>
    <w:rsid w:val="009D5428"/>
    <w:rsid w:val="009D5472"/>
    <w:rsid w:val="009D54D5"/>
    <w:rsid w:val="009D54FA"/>
    <w:rsid w:val="009D551C"/>
    <w:rsid w:val="009D5530"/>
    <w:rsid w:val="009D5567"/>
    <w:rsid w:val="009D55C8"/>
    <w:rsid w:val="009D5623"/>
    <w:rsid w:val="009D5629"/>
    <w:rsid w:val="009D5692"/>
    <w:rsid w:val="009D56A7"/>
    <w:rsid w:val="009D56C0"/>
    <w:rsid w:val="009D56C4"/>
    <w:rsid w:val="009D56C5"/>
    <w:rsid w:val="009D56EA"/>
    <w:rsid w:val="009D5720"/>
    <w:rsid w:val="009D576A"/>
    <w:rsid w:val="009D57EE"/>
    <w:rsid w:val="009D5807"/>
    <w:rsid w:val="009D589C"/>
    <w:rsid w:val="009D5967"/>
    <w:rsid w:val="009D596E"/>
    <w:rsid w:val="009D59C0"/>
    <w:rsid w:val="009D59EA"/>
    <w:rsid w:val="009D5A3D"/>
    <w:rsid w:val="009D5A61"/>
    <w:rsid w:val="009D5A67"/>
    <w:rsid w:val="009D5A6A"/>
    <w:rsid w:val="009D5A8D"/>
    <w:rsid w:val="009D5AEB"/>
    <w:rsid w:val="009D5B35"/>
    <w:rsid w:val="009D5B91"/>
    <w:rsid w:val="009D5BD0"/>
    <w:rsid w:val="009D5C0C"/>
    <w:rsid w:val="009D5C0F"/>
    <w:rsid w:val="009D5C16"/>
    <w:rsid w:val="009D5C1C"/>
    <w:rsid w:val="009D5C3F"/>
    <w:rsid w:val="009D5C7D"/>
    <w:rsid w:val="009D5CA2"/>
    <w:rsid w:val="009D5D0D"/>
    <w:rsid w:val="009D5D38"/>
    <w:rsid w:val="009D5D62"/>
    <w:rsid w:val="009D5D96"/>
    <w:rsid w:val="009D5D9B"/>
    <w:rsid w:val="009D5E13"/>
    <w:rsid w:val="009D5E56"/>
    <w:rsid w:val="009D5EB3"/>
    <w:rsid w:val="009D5EFF"/>
    <w:rsid w:val="009D5F1B"/>
    <w:rsid w:val="009D5F76"/>
    <w:rsid w:val="009D5F88"/>
    <w:rsid w:val="009D5FB0"/>
    <w:rsid w:val="009D603A"/>
    <w:rsid w:val="009D603D"/>
    <w:rsid w:val="009D6077"/>
    <w:rsid w:val="009D6085"/>
    <w:rsid w:val="009D60C1"/>
    <w:rsid w:val="009D60F4"/>
    <w:rsid w:val="009D6134"/>
    <w:rsid w:val="009D61EF"/>
    <w:rsid w:val="009D61F1"/>
    <w:rsid w:val="009D6258"/>
    <w:rsid w:val="009D62EF"/>
    <w:rsid w:val="009D62F5"/>
    <w:rsid w:val="009D6307"/>
    <w:rsid w:val="009D6346"/>
    <w:rsid w:val="009D645B"/>
    <w:rsid w:val="009D6564"/>
    <w:rsid w:val="009D659E"/>
    <w:rsid w:val="009D667D"/>
    <w:rsid w:val="009D6712"/>
    <w:rsid w:val="009D6745"/>
    <w:rsid w:val="009D676A"/>
    <w:rsid w:val="009D6797"/>
    <w:rsid w:val="009D67AB"/>
    <w:rsid w:val="009D67D2"/>
    <w:rsid w:val="009D67E4"/>
    <w:rsid w:val="009D6802"/>
    <w:rsid w:val="009D6828"/>
    <w:rsid w:val="009D6913"/>
    <w:rsid w:val="009D6939"/>
    <w:rsid w:val="009D6983"/>
    <w:rsid w:val="009D6987"/>
    <w:rsid w:val="009D69DA"/>
    <w:rsid w:val="009D69E1"/>
    <w:rsid w:val="009D69E6"/>
    <w:rsid w:val="009D6A7C"/>
    <w:rsid w:val="009D6ADC"/>
    <w:rsid w:val="009D6ADF"/>
    <w:rsid w:val="009D6B2A"/>
    <w:rsid w:val="009D6B33"/>
    <w:rsid w:val="009D6BD5"/>
    <w:rsid w:val="009D6C00"/>
    <w:rsid w:val="009D6C94"/>
    <w:rsid w:val="009D6D38"/>
    <w:rsid w:val="009D6D3E"/>
    <w:rsid w:val="009D6D63"/>
    <w:rsid w:val="009D6DB2"/>
    <w:rsid w:val="009D6E07"/>
    <w:rsid w:val="009D6EB8"/>
    <w:rsid w:val="009D6ED0"/>
    <w:rsid w:val="009D6FC6"/>
    <w:rsid w:val="009D6FC7"/>
    <w:rsid w:val="009D7012"/>
    <w:rsid w:val="009D7053"/>
    <w:rsid w:val="009D706D"/>
    <w:rsid w:val="009D7117"/>
    <w:rsid w:val="009D7146"/>
    <w:rsid w:val="009D719B"/>
    <w:rsid w:val="009D7212"/>
    <w:rsid w:val="009D729C"/>
    <w:rsid w:val="009D72B0"/>
    <w:rsid w:val="009D72F9"/>
    <w:rsid w:val="009D73C1"/>
    <w:rsid w:val="009D740C"/>
    <w:rsid w:val="009D7436"/>
    <w:rsid w:val="009D7455"/>
    <w:rsid w:val="009D7467"/>
    <w:rsid w:val="009D7477"/>
    <w:rsid w:val="009D74AF"/>
    <w:rsid w:val="009D7572"/>
    <w:rsid w:val="009D757A"/>
    <w:rsid w:val="009D757F"/>
    <w:rsid w:val="009D7586"/>
    <w:rsid w:val="009D75A3"/>
    <w:rsid w:val="009D75F4"/>
    <w:rsid w:val="009D7627"/>
    <w:rsid w:val="009D767C"/>
    <w:rsid w:val="009D76CA"/>
    <w:rsid w:val="009D76F4"/>
    <w:rsid w:val="009D7778"/>
    <w:rsid w:val="009D777A"/>
    <w:rsid w:val="009D77D6"/>
    <w:rsid w:val="009D77DF"/>
    <w:rsid w:val="009D77FB"/>
    <w:rsid w:val="009D78AA"/>
    <w:rsid w:val="009D790B"/>
    <w:rsid w:val="009D7918"/>
    <w:rsid w:val="009D796C"/>
    <w:rsid w:val="009D79C4"/>
    <w:rsid w:val="009D79CF"/>
    <w:rsid w:val="009D7A2D"/>
    <w:rsid w:val="009D7A61"/>
    <w:rsid w:val="009D7A70"/>
    <w:rsid w:val="009D7AFD"/>
    <w:rsid w:val="009D7B31"/>
    <w:rsid w:val="009D7BD6"/>
    <w:rsid w:val="009D7CB1"/>
    <w:rsid w:val="009D7CBF"/>
    <w:rsid w:val="009D7CC4"/>
    <w:rsid w:val="009D7D64"/>
    <w:rsid w:val="009D7D7D"/>
    <w:rsid w:val="009D7D85"/>
    <w:rsid w:val="009D7D97"/>
    <w:rsid w:val="009D7DAF"/>
    <w:rsid w:val="009D7DFB"/>
    <w:rsid w:val="009D7E29"/>
    <w:rsid w:val="009D7E4C"/>
    <w:rsid w:val="009D7EB6"/>
    <w:rsid w:val="009D7EF9"/>
    <w:rsid w:val="009D7F2F"/>
    <w:rsid w:val="009D7FF9"/>
    <w:rsid w:val="009E0062"/>
    <w:rsid w:val="009E008A"/>
    <w:rsid w:val="009E00F9"/>
    <w:rsid w:val="009E011C"/>
    <w:rsid w:val="009E017B"/>
    <w:rsid w:val="009E0194"/>
    <w:rsid w:val="009E019A"/>
    <w:rsid w:val="009E01CF"/>
    <w:rsid w:val="009E020C"/>
    <w:rsid w:val="009E0289"/>
    <w:rsid w:val="009E02D5"/>
    <w:rsid w:val="009E035C"/>
    <w:rsid w:val="009E03C2"/>
    <w:rsid w:val="009E03C6"/>
    <w:rsid w:val="009E03F4"/>
    <w:rsid w:val="009E0432"/>
    <w:rsid w:val="009E0434"/>
    <w:rsid w:val="009E043E"/>
    <w:rsid w:val="009E046C"/>
    <w:rsid w:val="009E0493"/>
    <w:rsid w:val="009E053B"/>
    <w:rsid w:val="009E05A9"/>
    <w:rsid w:val="009E06FD"/>
    <w:rsid w:val="009E072B"/>
    <w:rsid w:val="009E0734"/>
    <w:rsid w:val="009E07D2"/>
    <w:rsid w:val="009E085E"/>
    <w:rsid w:val="009E089E"/>
    <w:rsid w:val="009E08CF"/>
    <w:rsid w:val="009E0967"/>
    <w:rsid w:val="009E0978"/>
    <w:rsid w:val="009E0993"/>
    <w:rsid w:val="009E0994"/>
    <w:rsid w:val="009E09E9"/>
    <w:rsid w:val="009E09F3"/>
    <w:rsid w:val="009E0A9E"/>
    <w:rsid w:val="009E0AD3"/>
    <w:rsid w:val="009E0B33"/>
    <w:rsid w:val="009E0B44"/>
    <w:rsid w:val="009E0B76"/>
    <w:rsid w:val="009E0BB4"/>
    <w:rsid w:val="009E0C8C"/>
    <w:rsid w:val="009E0CD9"/>
    <w:rsid w:val="009E0D6E"/>
    <w:rsid w:val="009E0DBD"/>
    <w:rsid w:val="009E0DF7"/>
    <w:rsid w:val="009E0E2D"/>
    <w:rsid w:val="009E0E90"/>
    <w:rsid w:val="009E0EB0"/>
    <w:rsid w:val="009E0EB6"/>
    <w:rsid w:val="009E0EE9"/>
    <w:rsid w:val="009E0EFB"/>
    <w:rsid w:val="009E0F03"/>
    <w:rsid w:val="009E0F29"/>
    <w:rsid w:val="009E0F84"/>
    <w:rsid w:val="009E0FC9"/>
    <w:rsid w:val="009E0FD2"/>
    <w:rsid w:val="009E1047"/>
    <w:rsid w:val="009E10D4"/>
    <w:rsid w:val="009E10D6"/>
    <w:rsid w:val="009E10EA"/>
    <w:rsid w:val="009E113B"/>
    <w:rsid w:val="009E114D"/>
    <w:rsid w:val="009E1213"/>
    <w:rsid w:val="009E123B"/>
    <w:rsid w:val="009E123F"/>
    <w:rsid w:val="009E12A0"/>
    <w:rsid w:val="009E12AA"/>
    <w:rsid w:val="009E12AC"/>
    <w:rsid w:val="009E135C"/>
    <w:rsid w:val="009E1367"/>
    <w:rsid w:val="009E13BA"/>
    <w:rsid w:val="009E13F5"/>
    <w:rsid w:val="009E142C"/>
    <w:rsid w:val="009E1439"/>
    <w:rsid w:val="009E1449"/>
    <w:rsid w:val="009E147B"/>
    <w:rsid w:val="009E14CE"/>
    <w:rsid w:val="009E153D"/>
    <w:rsid w:val="009E1571"/>
    <w:rsid w:val="009E1599"/>
    <w:rsid w:val="009E15FF"/>
    <w:rsid w:val="009E160B"/>
    <w:rsid w:val="009E167E"/>
    <w:rsid w:val="009E170C"/>
    <w:rsid w:val="009E1718"/>
    <w:rsid w:val="009E171B"/>
    <w:rsid w:val="009E177C"/>
    <w:rsid w:val="009E1785"/>
    <w:rsid w:val="009E179C"/>
    <w:rsid w:val="009E17A2"/>
    <w:rsid w:val="009E1809"/>
    <w:rsid w:val="009E181A"/>
    <w:rsid w:val="009E1842"/>
    <w:rsid w:val="009E1849"/>
    <w:rsid w:val="009E1877"/>
    <w:rsid w:val="009E18D3"/>
    <w:rsid w:val="009E1914"/>
    <w:rsid w:val="009E1972"/>
    <w:rsid w:val="009E1977"/>
    <w:rsid w:val="009E19C4"/>
    <w:rsid w:val="009E1A29"/>
    <w:rsid w:val="009E1A4B"/>
    <w:rsid w:val="009E1A74"/>
    <w:rsid w:val="009E1A8F"/>
    <w:rsid w:val="009E1B21"/>
    <w:rsid w:val="009E1BCF"/>
    <w:rsid w:val="009E1BD5"/>
    <w:rsid w:val="009E1C16"/>
    <w:rsid w:val="009E1C92"/>
    <w:rsid w:val="009E1CA2"/>
    <w:rsid w:val="009E1CB3"/>
    <w:rsid w:val="009E1CC7"/>
    <w:rsid w:val="009E1D0D"/>
    <w:rsid w:val="009E1D66"/>
    <w:rsid w:val="009E1D6D"/>
    <w:rsid w:val="009E1D9A"/>
    <w:rsid w:val="009E1DEA"/>
    <w:rsid w:val="009E1E08"/>
    <w:rsid w:val="009E1E15"/>
    <w:rsid w:val="009E1E2B"/>
    <w:rsid w:val="009E1E72"/>
    <w:rsid w:val="009E1EE1"/>
    <w:rsid w:val="009E1F01"/>
    <w:rsid w:val="009E1F1F"/>
    <w:rsid w:val="009E1F38"/>
    <w:rsid w:val="009E1FA3"/>
    <w:rsid w:val="009E2008"/>
    <w:rsid w:val="009E201C"/>
    <w:rsid w:val="009E2026"/>
    <w:rsid w:val="009E20D0"/>
    <w:rsid w:val="009E21B5"/>
    <w:rsid w:val="009E21BA"/>
    <w:rsid w:val="009E2234"/>
    <w:rsid w:val="009E2243"/>
    <w:rsid w:val="009E2338"/>
    <w:rsid w:val="009E2398"/>
    <w:rsid w:val="009E23D7"/>
    <w:rsid w:val="009E240E"/>
    <w:rsid w:val="009E2423"/>
    <w:rsid w:val="009E24B0"/>
    <w:rsid w:val="009E24E0"/>
    <w:rsid w:val="009E24E6"/>
    <w:rsid w:val="009E24EB"/>
    <w:rsid w:val="009E24F8"/>
    <w:rsid w:val="009E2501"/>
    <w:rsid w:val="009E2512"/>
    <w:rsid w:val="009E251B"/>
    <w:rsid w:val="009E2520"/>
    <w:rsid w:val="009E252F"/>
    <w:rsid w:val="009E2539"/>
    <w:rsid w:val="009E2543"/>
    <w:rsid w:val="009E2547"/>
    <w:rsid w:val="009E2575"/>
    <w:rsid w:val="009E2576"/>
    <w:rsid w:val="009E25B3"/>
    <w:rsid w:val="009E261D"/>
    <w:rsid w:val="009E2636"/>
    <w:rsid w:val="009E265E"/>
    <w:rsid w:val="009E26C4"/>
    <w:rsid w:val="009E2738"/>
    <w:rsid w:val="009E278C"/>
    <w:rsid w:val="009E27A9"/>
    <w:rsid w:val="009E2816"/>
    <w:rsid w:val="009E285F"/>
    <w:rsid w:val="009E28A9"/>
    <w:rsid w:val="009E28EC"/>
    <w:rsid w:val="009E294A"/>
    <w:rsid w:val="009E299D"/>
    <w:rsid w:val="009E2A05"/>
    <w:rsid w:val="009E2A5E"/>
    <w:rsid w:val="009E2A68"/>
    <w:rsid w:val="009E2A8E"/>
    <w:rsid w:val="009E2A8F"/>
    <w:rsid w:val="009E2AA3"/>
    <w:rsid w:val="009E2AEA"/>
    <w:rsid w:val="009E2AF4"/>
    <w:rsid w:val="009E2B0E"/>
    <w:rsid w:val="009E2B37"/>
    <w:rsid w:val="009E2B3C"/>
    <w:rsid w:val="009E2B54"/>
    <w:rsid w:val="009E2B5A"/>
    <w:rsid w:val="009E2B5E"/>
    <w:rsid w:val="009E2B9C"/>
    <w:rsid w:val="009E2C22"/>
    <w:rsid w:val="009E2CDD"/>
    <w:rsid w:val="009E2D00"/>
    <w:rsid w:val="009E2D0B"/>
    <w:rsid w:val="009E2D38"/>
    <w:rsid w:val="009E2D5D"/>
    <w:rsid w:val="009E2D81"/>
    <w:rsid w:val="009E2D99"/>
    <w:rsid w:val="009E2D9A"/>
    <w:rsid w:val="009E2DF2"/>
    <w:rsid w:val="009E2E29"/>
    <w:rsid w:val="009E2E45"/>
    <w:rsid w:val="009E2E5B"/>
    <w:rsid w:val="009E2EA1"/>
    <w:rsid w:val="009E2EB3"/>
    <w:rsid w:val="009E3037"/>
    <w:rsid w:val="009E3043"/>
    <w:rsid w:val="009E3046"/>
    <w:rsid w:val="009E3062"/>
    <w:rsid w:val="009E3066"/>
    <w:rsid w:val="009E309D"/>
    <w:rsid w:val="009E30E5"/>
    <w:rsid w:val="009E30F6"/>
    <w:rsid w:val="009E312C"/>
    <w:rsid w:val="009E316C"/>
    <w:rsid w:val="009E31AC"/>
    <w:rsid w:val="009E3202"/>
    <w:rsid w:val="009E32BD"/>
    <w:rsid w:val="009E3321"/>
    <w:rsid w:val="009E3352"/>
    <w:rsid w:val="009E3392"/>
    <w:rsid w:val="009E33A6"/>
    <w:rsid w:val="009E33B2"/>
    <w:rsid w:val="009E33F7"/>
    <w:rsid w:val="009E341C"/>
    <w:rsid w:val="009E3464"/>
    <w:rsid w:val="009E349D"/>
    <w:rsid w:val="009E34EB"/>
    <w:rsid w:val="009E3545"/>
    <w:rsid w:val="009E3571"/>
    <w:rsid w:val="009E3593"/>
    <w:rsid w:val="009E35DC"/>
    <w:rsid w:val="009E3606"/>
    <w:rsid w:val="009E360C"/>
    <w:rsid w:val="009E36A8"/>
    <w:rsid w:val="009E374A"/>
    <w:rsid w:val="009E3766"/>
    <w:rsid w:val="009E3782"/>
    <w:rsid w:val="009E37E0"/>
    <w:rsid w:val="009E38AE"/>
    <w:rsid w:val="009E3950"/>
    <w:rsid w:val="009E39E8"/>
    <w:rsid w:val="009E3A47"/>
    <w:rsid w:val="009E3A4D"/>
    <w:rsid w:val="009E3AD5"/>
    <w:rsid w:val="009E3B5D"/>
    <w:rsid w:val="009E3B9B"/>
    <w:rsid w:val="009E3C17"/>
    <w:rsid w:val="009E3C29"/>
    <w:rsid w:val="009E3C35"/>
    <w:rsid w:val="009E3C40"/>
    <w:rsid w:val="009E3C98"/>
    <w:rsid w:val="009E3D98"/>
    <w:rsid w:val="009E3DFB"/>
    <w:rsid w:val="009E3E6B"/>
    <w:rsid w:val="009E3EBE"/>
    <w:rsid w:val="009E3F3E"/>
    <w:rsid w:val="009E3F8B"/>
    <w:rsid w:val="009E403A"/>
    <w:rsid w:val="009E4044"/>
    <w:rsid w:val="009E4076"/>
    <w:rsid w:val="009E407E"/>
    <w:rsid w:val="009E4082"/>
    <w:rsid w:val="009E4092"/>
    <w:rsid w:val="009E40B3"/>
    <w:rsid w:val="009E40C5"/>
    <w:rsid w:val="009E40F9"/>
    <w:rsid w:val="009E40FB"/>
    <w:rsid w:val="009E4147"/>
    <w:rsid w:val="009E4164"/>
    <w:rsid w:val="009E41E9"/>
    <w:rsid w:val="009E42B2"/>
    <w:rsid w:val="009E4324"/>
    <w:rsid w:val="009E439D"/>
    <w:rsid w:val="009E43FF"/>
    <w:rsid w:val="009E4493"/>
    <w:rsid w:val="009E44A2"/>
    <w:rsid w:val="009E44DB"/>
    <w:rsid w:val="009E456F"/>
    <w:rsid w:val="009E45DD"/>
    <w:rsid w:val="009E4615"/>
    <w:rsid w:val="009E4620"/>
    <w:rsid w:val="009E465A"/>
    <w:rsid w:val="009E4680"/>
    <w:rsid w:val="009E4683"/>
    <w:rsid w:val="009E47DD"/>
    <w:rsid w:val="009E4824"/>
    <w:rsid w:val="009E48CF"/>
    <w:rsid w:val="009E4930"/>
    <w:rsid w:val="009E497B"/>
    <w:rsid w:val="009E49D4"/>
    <w:rsid w:val="009E49E4"/>
    <w:rsid w:val="009E4A0B"/>
    <w:rsid w:val="009E4A4B"/>
    <w:rsid w:val="009E4A7D"/>
    <w:rsid w:val="009E4AA8"/>
    <w:rsid w:val="009E4AB9"/>
    <w:rsid w:val="009E4AE7"/>
    <w:rsid w:val="009E4B73"/>
    <w:rsid w:val="009E4BB8"/>
    <w:rsid w:val="009E4C96"/>
    <w:rsid w:val="009E4CA5"/>
    <w:rsid w:val="009E4CBA"/>
    <w:rsid w:val="009E4D19"/>
    <w:rsid w:val="009E4D42"/>
    <w:rsid w:val="009E4E32"/>
    <w:rsid w:val="009E4EFD"/>
    <w:rsid w:val="009E4F46"/>
    <w:rsid w:val="009E4F5E"/>
    <w:rsid w:val="009E4F90"/>
    <w:rsid w:val="009E4FC3"/>
    <w:rsid w:val="009E5071"/>
    <w:rsid w:val="009E5097"/>
    <w:rsid w:val="009E50E2"/>
    <w:rsid w:val="009E511B"/>
    <w:rsid w:val="009E5140"/>
    <w:rsid w:val="009E5149"/>
    <w:rsid w:val="009E517D"/>
    <w:rsid w:val="009E51B6"/>
    <w:rsid w:val="009E52E3"/>
    <w:rsid w:val="009E5427"/>
    <w:rsid w:val="009E5428"/>
    <w:rsid w:val="009E54CD"/>
    <w:rsid w:val="009E54D3"/>
    <w:rsid w:val="009E55F8"/>
    <w:rsid w:val="009E562A"/>
    <w:rsid w:val="009E562B"/>
    <w:rsid w:val="009E563F"/>
    <w:rsid w:val="009E564F"/>
    <w:rsid w:val="009E5675"/>
    <w:rsid w:val="009E56A8"/>
    <w:rsid w:val="009E56F5"/>
    <w:rsid w:val="009E5724"/>
    <w:rsid w:val="009E574C"/>
    <w:rsid w:val="009E576A"/>
    <w:rsid w:val="009E57E7"/>
    <w:rsid w:val="009E583C"/>
    <w:rsid w:val="009E583F"/>
    <w:rsid w:val="009E5857"/>
    <w:rsid w:val="009E585E"/>
    <w:rsid w:val="009E5880"/>
    <w:rsid w:val="009E58A8"/>
    <w:rsid w:val="009E58EF"/>
    <w:rsid w:val="009E596C"/>
    <w:rsid w:val="009E5978"/>
    <w:rsid w:val="009E5A01"/>
    <w:rsid w:val="009E5A1A"/>
    <w:rsid w:val="009E5A28"/>
    <w:rsid w:val="009E5A2A"/>
    <w:rsid w:val="009E5AA1"/>
    <w:rsid w:val="009E5B16"/>
    <w:rsid w:val="009E5BF3"/>
    <w:rsid w:val="009E5C50"/>
    <w:rsid w:val="009E5C88"/>
    <w:rsid w:val="009E5CBF"/>
    <w:rsid w:val="009E5D70"/>
    <w:rsid w:val="009E5DC5"/>
    <w:rsid w:val="009E5DEF"/>
    <w:rsid w:val="009E5E2E"/>
    <w:rsid w:val="009E5E53"/>
    <w:rsid w:val="009E5E89"/>
    <w:rsid w:val="009E5EEC"/>
    <w:rsid w:val="009E5F25"/>
    <w:rsid w:val="009E5F58"/>
    <w:rsid w:val="009E5F93"/>
    <w:rsid w:val="009E5FB2"/>
    <w:rsid w:val="009E5FB5"/>
    <w:rsid w:val="009E6017"/>
    <w:rsid w:val="009E6022"/>
    <w:rsid w:val="009E605D"/>
    <w:rsid w:val="009E606B"/>
    <w:rsid w:val="009E6070"/>
    <w:rsid w:val="009E6104"/>
    <w:rsid w:val="009E6115"/>
    <w:rsid w:val="009E614C"/>
    <w:rsid w:val="009E6153"/>
    <w:rsid w:val="009E6182"/>
    <w:rsid w:val="009E61F4"/>
    <w:rsid w:val="009E6243"/>
    <w:rsid w:val="009E624B"/>
    <w:rsid w:val="009E6256"/>
    <w:rsid w:val="009E62DD"/>
    <w:rsid w:val="009E62EF"/>
    <w:rsid w:val="009E6311"/>
    <w:rsid w:val="009E6331"/>
    <w:rsid w:val="009E635F"/>
    <w:rsid w:val="009E6378"/>
    <w:rsid w:val="009E638F"/>
    <w:rsid w:val="009E63DF"/>
    <w:rsid w:val="009E640F"/>
    <w:rsid w:val="009E6492"/>
    <w:rsid w:val="009E654E"/>
    <w:rsid w:val="009E6557"/>
    <w:rsid w:val="009E6586"/>
    <w:rsid w:val="009E65A2"/>
    <w:rsid w:val="009E6646"/>
    <w:rsid w:val="009E666C"/>
    <w:rsid w:val="009E66E9"/>
    <w:rsid w:val="009E66F9"/>
    <w:rsid w:val="009E6758"/>
    <w:rsid w:val="009E67C5"/>
    <w:rsid w:val="009E6809"/>
    <w:rsid w:val="009E6837"/>
    <w:rsid w:val="009E6858"/>
    <w:rsid w:val="009E685D"/>
    <w:rsid w:val="009E68AD"/>
    <w:rsid w:val="009E6931"/>
    <w:rsid w:val="009E69CE"/>
    <w:rsid w:val="009E6A09"/>
    <w:rsid w:val="009E6A36"/>
    <w:rsid w:val="009E6A65"/>
    <w:rsid w:val="009E6A9E"/>
    <w:rsid w:val="009E6AC4"/>
    <w:rsid w:val="009E6AC8"/>
    <w:rsid w:val="009E6AEF"/>
    <w:rsid w:val="009E6B0F"/>
    <w:rsid w:val="009E6B1D"/>
    <w:rsid w:val="009E6B26"/>
    <w:rsid w:val="009E6B42"/>
    <w:rsid w:val="009E6B6F"/>
    <w:rsid w:val="009E6BC7"/>
    <w:rsid w:val="009E6C53"/>
    <w:rsid w:val="009E6CB7"/>
    <w:rsid w:val="009E6D31"/>
    <w:rsid w:val="009E6D5D"/>
    <w:rsid w:val="009E6DE4"/>
    <w:rsid w:val="009E6E9E"/>
    <w:rsid w:val="009E6EC6"/>
    <w:rsid w:val="009E6F37"/>
    <w:rsid w:val="009E6F5E"/>
    <w:rsid w:val="009E6F9A"/>
    <w:rsid w:val="009E6FC0"/>
    <w:rsid w:val="009E708B"/>
    <w:rsid w:val="009E70F9"/>
    <w:rsid w:val="009E716C"/>
    <w:rsid w:val="009E7179"/>
    <w:rsid w:val="009E71D9"/>
    <w:rsid w:val="009E722A"/>
    <w:rsid w:val="009E72C3"/>
    <w:rsid w:val="009E7359"/>
    <w:rsid w:val="009E742A"/>
    <w:rsid w:val="009E7438"/>
    <w:rsid w:val="009E7470"/>
    <w:rsid w:val="009E7512"/>
    <w:rsid w:val="009E7560"/>
    <w:rsid w:val="009E758B"/>
    <w:rsid w:val="009E75C5"/>
    <w:rsid w:val="009E75D0"/>
    <w:rsid w:val="009E75D1"/>
    <w:rsid w:val="009E75DE"/>
    <w:rsid w:val="009E7611"/>
    <w:rsid w:val="009E765E"/>
    <w:rsid w:val="009E7660"/>
    <w:rsid w:val="009E7699"/>
    <w:rsid w:val="009E76DD"/>
    <w:rsid w:val="009E774F"/>
    <w:rsid w:val="009E77A7"/>
    <w:rsid w:val="009E77FE"/>
    <w:rsid w:val="009E7819"/>
    <w:rsid w:val="009E7844"/>
    <w:rsid w:val="009E786D"/>
    <w:rsid w:val="009E7898"/>
    <w:rsid w:val="009E78D7"/>
    <w:rsid w:val="009E78EA"/>
    <w:rsid w:val="009E7934"/>
    <w:rsid w:val="009E7966"/>
    <w:rsid w:val="009E7971"/>
    <w:rsid w:val="009E7978"/>
    <w:rsid w:val="009E7981"/>
    <w:rsid w:val="009E7993"/>
    <w:rsid w:val="009E79CB"/>
    <w:rsid w:val="009E7A13"/>
    <w:rsid w:val="009E7A23"/>
    <w:rsid w:val="009E7AA4"/>
    <w:rsid w:val="009E7ADB"/>
    <w:rsid w:val="009E7BD9"/>
    <w:rsid w:val="009E7BDC"/>
    <w:rsid w:val="009E7BF7"/>
    <w:rsid w:val="009E7C21"/>
    <w:rsid w:val="009E7C25"/>
    <w:rsid w:val="009E7C94"/>
    <w:rsid w:val="009E7D1C"/>
    <w:rsid w:val="009E7D46"/>
    <w:rsid w:val="009E7E33"/>
    <w:rsid w:val="009E7E62"/>
    <w:rsid w:val="009E7E80"/>
    <w:rsid w:val="009E7F47"/>
    <w:rsid w:val="009E7FA2"/>
    <w:rsid w:val="009E7FA8"/>
    <w:rsid w:val="009E7FCF"/>
    <w:rsid w:val="009E7FE1"/>
    <w:rsid w:val="009E7FE8"/>
    <w:rsid w:val="009F0007"/>
    <w:rsid w:val="009F00AA"/>
    <w:rsid w:val="009F0114"/>
    <w:rsid w:val="009F012B"/>
    <w:rsid w:val="009F01E6"/>
    <w:rsid w:val="009F026E"/>
    <w:rsid w:val="009F0288"/>
    <w:rsid w:val="009F02A8"/>
    <w:rsid w:val="009F02E8"/>
    <w:rsid w:val="009F0323"/>
    <w:rsid w:val="009F0362"/>
    <w:rsid w:val="009F0385"/>
    <w:rsid w:val="009F03BF"/>
    <w:rsid w:val="009F0401"/>
    <w:rsid w:val="009F044B"/>
    <w:rsid w:val="009F048A"/>
    <w:rsid w:val="009F04BA"/>
    <w:rsid w:val="009F04F7"/>
    <w:rsid w:val="009F0505"/>
    <w:rsid w:val="009F0576"/>
    <w:rsid w:val="009F0598"/>
    <w:rsid w:val="009F064A"/>
    <w:rsid w:val="009F066E"/>
    <w:rsid w:val="009F067A"/>
    <w:rsid w:val="009F0748"/>
    <w:rsid w:val="009F082D"/>
    <w:rsid w:val="009F086B"/>
    <w:rsid w:val="009F08A1"/>
    <w:rsid w:val="009F08B0"/>
    <w:rsid w:val="009F08E2"/>
    <w:rsid w:val="009F08F6"/>
    <w:rsid w:val="009F0925"/>
    <w:rsid w:val="009F09DB"/>
    <w:rsid w:val="009F0A53"/>
    <w:rsid w:val="009F0A68"/>
    <w:rsid w:val="009F0A8A"/>
    <w:rsid w:val="009F0ABF"/>
    <w:rsid w:val="009F0B27"/>
    <w:rsid w:val="009F0B37"/>
    <w:rsid w:val="009F0B89"/>
    <w:rsid w:val="009F0BB4"/>
    <w:rsid w:val="009F0BC4"/>
    <w:rsid w:val="009F0BCF"/>
    <w:rsid w:val="009F0BD7"/>
    <w:rsid w:val="009F0BD9"/>
    <w:rsid w:val="009F0C31"/>
    <w:rsid w:val="009F0C45"/>
    <w:rsid w:val="009F0C73"/>
    <w:rsid w:val="009F0C90"/>
    <w:rsid w:val="009F0CD8"/>
    <w:rsid w:val="009F0D72"/>
    <w:rsid w:val="009F0D9B"/>
    <w:rsid w:val="009F0E05"/>
    <w:rsid w:val="009F0E31"/>
    <w:rsid w:val="009F0E76"/>
    <w:rsid w:val="009F0EA5"/>
    <w:rsid w:val="009F0F43"/>
    <w:rsid w:val="009F0F4F"/>
    <w:rsid w:val="009F0FB0"/>
    <w:rsid w:val="009F100B"/>
    <w:rsid w:val="009F107D"/>
    <w:rsid w:val="009F1093"/>
    <w:rsid w:val="009F10B7"/>
    <w:rsid w:val="009F10C1"/>
    <w:rsid w:val="009F10C8"/>
    <w:rsid w:val="009F111E"/>
    <w:rsid w:val="009F117D"/>
    <w:rsid w:val="009F11A0"/>
    <w:rsid w:val="009F11C6"/>
    <w:rsid w:val="009F11E5"/>
    <w:rsid w:val="009F1293"/>
    <w:rsid w:val="009F1335"/>
    <w:rsid w:val="009F139C"/>
    <w:rsid w:val="009F13C5"/>
    <w:rsid w:val="009F1429"/>
    <w:rsid w:val="009F143F"/>
    <w:rsid w:val="009F146A"/>
    <w:rsid w:val="009F14BB"/>
    <w:rsid w:val="009F14D1"/>
    <w:rsid w:val="009F15A5"/>
    <w:rsid w:val="009F15C9"/>
    <w:rsid w:val="009F163D"/>
    <w:rsid w:val="009F164F"/>
    <w:rsid w:val="009F16B7"/>
    <w:rsid w:val="009F171C"/>
    <w:rsid w:val="009F171F"/>
    <w:rsid w:val="009F1760"/>
    <w:rsid w:val="009F1790"/>
    <w:rsid w:val="009F1792"/>
    <w:rsid w:val="009F17A0"/>
    <w:rsid w:val="009F17A6"/>
    <w:rsid w:val="009F17C8"/>
    <w:rsid w:val="009F17FC"/>
    <w:rsid w:val="009F1811"/>
    <w:rsid w:val="009F182D"/>
    <w:rsid w:val="009F1835"/>
    <w:rsid w:val="009F1880"/>
    <w:rsid w:val="009F18E9"/>
    <w:rsid w:val="009F19CA"/>
    <w:rsid w:val="009F1ABB"/>
    <w:rsid w:val="009F1AC0"/>
    <w:rsid w:val="009F1ACF"/>
    <w:rsid w:val="009F1B3C"/>
    <w:rsid w:val="009F1B4E"/>
    <w:rsid w:val="009F1B8B"/>
    <w:rsid w:val="009F1B90"/>
    <w:rsid w:val="009F1BF8"/>
    <w:rsid w:val="009F1C2A"/>
    <w:rsid w:val="009F1C2B"/>
    <w:rsid w:val="009F1C43"/>
    <w:rsid w:val="009F1C9D"/>
    <w:rsid w:val="009F1CB7"/>
    <w:rsid w:val="009F1D38"/>
    <w:rsid w:val="009F1DA8"/>
    <w:rsid w:val="009F1E09"/>
    <w:rsid w:val="009F1E3A"/>
    <w:rsid w:val="009F1F46"/>
    <w:rsid w:val="009F1F9A"/>
    <w:rsid w:val="009F1FAF"/>
    <w:rsid w:val="009F2081"/>
    <w:rsid w:val="009F209A"/>
    <w:rsid w:val="009F20B8"/>
    <w:rsid w:val="009F2127"/>
    <w:rsid w:val="009F212D"/>
    <w:rsid w:val="009F2160"/>
    <w:rsid w:val="009F2167"/>
    <w:rsid w:val="009F21ED"/>
    <w:rsid w:val="009F2220"/>
    <w:rsid w:val="009F2258"/>
    <w:rsid w:val="009F2285"/>
    <w:rsid w:val="009F228C"/>
    <w:rsid w:val="009F22AC"/>
    <w:rsid w:val="009F2346"/>
    <w:rsid w:val="009F238B"/>
    <w:rsid w:val="009F23B3"/>
    <w:rsid w:val="009F23B9"/>
    <w:rsid w:val="009F2435"/>
    <w:rsid w:val="009F24A2"/>
    <w:rsid w:val="009F24A3"/>
    <w:rsid w:val="009F24F2"/>
    <w:rsid w:val="009F2543"/>
    <w:rsid w:val="009F2568"/>
    <w:rsid w:val="009F259F"/>
    <w:rsid w:val="009F25AE"/>
    <w:rsid w:val="009F25B6"/>
    <w:rsid w:val="009F2603"/>
    <w:rsid w:val="009F2648"/>
    <w:rsid w:val="009F26DC"/>
    <w:rsid w:val="009F26E3"/>
    <w:rsid w:val="009F26EB"/>
    <w:rsid w:val="009F270A"/>
    <w:rsid w:val="009F271A"/>
    <w:rsid w:val="009F2751"/>
    <w:rsid w:val="009F280F"/>
    <w:rsid w:val="009F28B5"/>
    <w:rsid w:val="009F2911"/>
    <w:rsid w:val="009F2966"/>
    <w:rsid w:val="009F2980"/>
    <w:rsid w:val="009F29C9"/>
    <w:rsid w:val="009F2A12"/>
    <w:rsid w:val="009F2A44"/>
    <w:rsid w:val="009F2A4A"/>
    <w:rsid w:val="009F2A7F"/>
    <w:rsid w:val="009F2B37"/>
    <w:rsid w:val="009F2BE3"/>
    <w:rsid w:val="009F2BEA"/>
    <w:rsid w:val="009F2C1A"/>
    <w:rsid w:val="009F2C42"/>
    <w:rsid w:val="009F2C92"/>
    <w:rsid w:val="009F2CD5"/>
    <w:rsid w:val="009F2CDB"/>
    <w:rsid w:val="009F2CDE"/>
    <w:rsid w:val="009F2CE8"/>
    <w:rsid w:val="009F2D45"/>
    <w:rsid w:val="009F2D54"/>
    <w:rsid w:val="009F2D59"/>
    <w:rsid w:val="009F2D69"/>
    <w:rsid w:val="009F2DB1"/>
    <w:rsid w:val="009F2EB9"/>
    <w:rsid w:val="009F2EDD"/>
    <w:rsid w:val="009F2F38"/>
    <w:rsid w:val="009F2F92"/>
    <w:rsid w:val="009F2FC6"/>
    <w:rsid w:val="009F300C"/>
    <w:rsid w:val="009F3102"/>
    <w:rsid w:val="009F318A"/>
    <w:rsid w:val="009F31D0"/>
    <w:rsid w:val="009F31E4"/>
    <w:rsid w:val="009F322E"/>
    <w:rsid w:val="009F323A"/>
    <w:rsid w:val="009F32D1"/>
    <w:rsid w:val="009F332E"/>
    <w:rsid w:val="009F333E"/>
    <w:rsid w:val="009F3345"/>
    <w:rsid w:val="009F33F4"/>
    <w:rsid w:val="009F3439"/>
    <w:rsid w:val="009F3493"/>
    <w:rsid w:val="009F34A4"/>
    <w:rsid w:val="009F34DD"/>
    <w:rsid w:val="009F34EC"/>
    <w:rsid w:val="009F350E"/>
    <w:rsid w:val="009F354E"/>
    <w:rsid w:val="009F3571"/>
    <w:rsid w:val="009F35B3"/>
    <w:rsid w:val="009F35D4"/>
    <w:rsid w:val="009F3612"/>
    <w:rsid w:val="009F3650"/>
    <w:rsid w:val="009F3663"/>
    <w:rsid w:val="009F36C8"/>
    <w:rsid w:val="009F36E8"/>
    <w:rsid w:val="009F3702"/>
    <w:rsid w:val="009F370B"/>
    <w:rsid w:val="009F3721"/>
    <w:rsid w:val="009F3781"/>
    <w:rsid w:val="009F37AE"/>
    <w:rsid w:val="009F37FD"/>
    <w:rsid w:val="009F3851"/>
    <w:rsid w:val="009F3871"/>
    <w:rsid w:val="009F387C"/>
    <w:rsid w:val="009F38B2"/>
    <w:rsid w:val="009F38B7"/>
    <w:rsid w:val="009F38E3"/>
    <w:rsid w:val="009F38FA"/>
    <w:rsid w:val="009F3940"/>
    <w:rsid w:val="009F3970"/>
    <w:rsid w:val="009F3989"/>
    <w:rsid w:val="009F39C1"/>
    <w:rsid w:val="009F39D4"/>
    <w:rsid w:val="009F39D9"/>
    <w:rsid w:val="009F3A50"/>
    <w:rsid w:val="009F3A95"/>
    <w:rsid w:val="009F3AFF"/>
    <w:rsid w:val="009F3B6A"/>
    <w:rsid w:val="009F3BD4"/>
    <w:rsid w:val="009F3C3D"/>
    <w:rsid w:val="009F3CB4"/>
    <w:rsid w:val="009F3CC0"/>
    <w:rsid w:val="009F3DB9"/>
    <w:rsid w:val="009F3DBA"/>
    <w:rsid w:val="009F3E55"/>
    <w:rsid w:val="009F3E7E"/>
    <w:rsid w:val="009F3E96"/>
    <w:rsid w:val="009F3EC1"/>
    <w:rsid w:val="009F3ECB"/>
    <w:rsid w:val="009F3ED5"/>
    <w:rsid w:val="009F3EED"/>
    <w:rsid w:val="009F3FAE"/>
    <w:rsid w:val="009F3FC3"/>
    <w:rsid w:val="009F40A2"/>
    <w:rsid w:val="009F40B3"/>
    <w:rsid w:val="009F40FF"/>
    <w:rsid w:val="009F412D"/>
    <w:rsid w:val="009F413B"/>
    <w:rsid w:val="009F41B6"/>
    <w:rsid w:val="009F4203"/>
    <w:rsid w:val="009F420A"/>
    <w:rsid w:val="009F4247"/>
    <w:rsid w:val="009F4286"/>
    <w:rsid w:val="009F4339"/>
    <w:rsid w:val="009F43C0"/>
    <w:rsid w:val="009F43CB"/>
    <w:rsid w:val="009F4501"/>
    <w:rsid w:val="009F452E"/>
    <w:rsid w:val="009F453D"/>
    <w:rsid w:val="009F4574"/>
    <w:rsid w:val="009F459D"/>
    <w:rsid w:val="009F45BC"/>
    <w:rsid w:val="009F45C8"/>
    <w:rsid w:val="009F4688"/>
    <w:rsid w:val="009F46BE"/>
    <w:rsid w:val="009F4747"/>
    <w:rsid w:val="009F477A"/>
    <w:rsid w:val="009F477D"/>
    <w:rsid w:val="009F484A"/>
    <w:rsid w:val="009F48D8"/>
    <w:rsid w:val="009F48EE"/>
    <w:rsid w:val="009F4928"/>
    <w:rsid w:val="009F4959"/>
    <w:rsid w:val="009F4992"/>
    <w:rsid w:val="009F49A2"/>
    <w:rsid w:val="009F49C5"/>
    <w:rsid w:val="009F4AA0"/>
    <w:rsid w:val="009F4AD5"/>
    <w:rsid w:val="009F4ADF"/>
    <w:rsid w:val="009F4AEA"/>
    <w:rsid w:val="009F4B0B"/>
    <w:rsid w:val="009F4B9D"/>
    <w:rsid w:val="009F4BCD"/>
    <w:rsid w:val="009F4C41"/>
    <w:rsid w:val="009F4C6B"/>
    <w:rsid w:val="009F4C7F"/>
    <w:rsid w:val="009F4CB7"/>
    <w:rsid w:val="009F4D11"/>
    <w:rsid w:val="009F4DCF"/>
    <w:rsid w:val="009F4DD9"/>
    <w:rsid w:val="009F4DF5"/>
    <w:rsid w:val="009F4E41"/>
    <w:rsid w:val="009F4E58"/>
    <w:rsid w:val="009F4E9F"/>
    <w:rsid w:val="009F4ED5"/>
    <w:rsid w:val="009F4EDB"/>
    <w:rsid w:val="009F4F67"/>
    <w:rsid w:val="009F4F99"/>
    <w:rsid w:val="009F4F9E"/>
    <w:rsid w:val="009F4FDF"/>
    <w:rsid w:val="009F5026"/>
    <w:rsid w:val="009F503E"/>
    <w:rsid w:val="009F504D"/>
    <w:rsid w:val="009F508C"/>
    <w:rsid w:val="009F50CF"/>
    <w:rsid w:val="009F50DF"/>
    <w:rsid w:val="009F5169"/>
    <w:rsid w:val="009F51BD"/>
    <w:rsid w:val="009F522D"/>
    <w:rsid w:val="009F525F"/>
    <w:rsid w:val="009F532D"/>
    <w:rsid w:val="009F5336"/>
    <w:rsid w:val="009F5340"/>
    <w:rsid w:val="009F53EB"/>
    <w:rsid w:val="009F540E"/>
    <w:rsid w:val="009F5466"/>
    <w:rsid w:val="009F54B0"/>
    <w:rsid w:val="009F5561"/>
    <w:rsid w:val="009F563D"/>
    <w:rsid w:val="009F569F"/>
    <w:rsid w:val="009F56C2"/>
    <w:rsid w:val="009F56C5"/>
    <w:rsid w:val="009F5751"/>
    <w:rsid w:val="009F57F9"/>
    <w:rsid w:val="009F5809"/>
    <w:rsid w:val="009F5815"/>
    <w:rsid w:val="009F5914"/>
    <w:rsid w:val="009F5934"/>
    <w:rsid w:val="009F5935"/>
    <w:rsid w:val="009F594E"/>
    <w:rsid w:val="009F5953"/>
    <w:rsid w:val="009F5960"/>
    <w:rsid w:val="009F5961"/>
    <w:rsid w:val="009F599D"/>
    <w:rsid w:val="009F59E4"/>
    <w:rsid w:val="009F59FC"/>
    <w:rsid w:val="009F5ACC"/>
    <w:rsid w:val="009F5B06"/>
    <w:rsid w:val="009F5B25"/>
    <w:rsid w:val="009F5B60"/>
    <w:rsid w:val="009F5B64"/>
    <w:rsid w:val="009F5B7E"/>
    <w:rsid w:val="009F5B87"/>
    <w:rsid w:val="009F5C0E"/>
    <w:rsid w:val="009F5C11"/>
    <w:rsid w:val="009F5C16"/>
    <w:rsid w:val="009F5CE8"/>
    <w:rsid w:val="009F5CF8"/>
    <w:rsid w:val="009F5D2D"/>
    <w:rsid w:val="009F5D5C"/>
    <w:rsid w:val="009F5D85"/>
    <w:rsid w:val="009F5DCA"/>
    <w:rsid w:val="009F5DD9"/>
    <w:rsid w:val="009F5DDB"/>
    <w:rsid w:val="009F5E3A"/>
    <w:rsid w:val="009F5E6D"/>
    <w:rsid w:val="009F5EED"/>
    <w:rsid w:val="009F60A5"/>
    <w:rsid w:val="009F611C"/>
    <w:rsid w:val="009F61CF"/>
    <w:rsid w:val="009F61E6"/>
    <w:rsid w:val="009F620C"/>
    <w:rsid w:val="009F6225"/>
    <w:rsid w:val="009F6226"/>
    <w:rsid w:val="009F625D"/>
    <w:rsid w:val="009F62E8"/>
    <w:rsid w:val="009F6354"/>
    <w:rsid w:val="009F6383"/>
    <w:rsid w:val="009F63D8"/>
    <w:rsid w:val="009F6427"/>
    <w:rsid w:val="009F6479"/>
    <w:rsid w:val="009F6569"/>
    <w:rsid w:val="009F6579"/>
    <w:rsid w:val="009F65D9"/>
    <w:rsid w:val="009F6682"/>
    <w:rsid w:val="009F6730"/>
    <w:rsid w:val="009F6734"/>
    <w:rsid w:val="009F6752"/>
    <w:rsid w:val="009F6793"/>
    <w:rsid w:val="009F6798"/>
    <w:rsid w:val="009F6871"/>
    <w:rsid w:val="009F6889"/>
    <w:rsid w:val="009F6960"/>
    <w:rsid w:val="009F6964"/>
    <w:rsid w:val="009F6980"/>
    <w:rsid w:val="009F69E7"/>
    <w:rsid w:val="009F6A7A"/>
    <w:rsid w:val="009F6A94"/>
    <w:rsid w:val="009F6AB2"/>
    <w:rsid w:val="009F6AB8"/>
    <w:rsid w:val="009F6AC7"/>
    <w:rsid w:val="009F6B59"/>
    <w:rsid w:val="009F6B7B"/>
    <w:rsid w:val="009F6C56"/>
    <w:rsid w:val="009F6CCF"/>
    <w:rsid w:val="009F6CD8"/>
    <w:rsid w:val="009F6D2C"/>
    <w:rsid w:val="009F6D42"/>
    <w:rsid w:val="009F6DF3"/>
    <w:rsid w:val="009F6E38"/>
    <w:rsid w:val="009F6EE9"/>
    <w:rsid w:val="009F6F9E"/>
    <w:rsid w:val="009F706A"/>
    <w:rsid w:val="009F70AB"/>
    <w:rsid w:val="009F70F5"/>
    <w:rsid w:val="009F7158"/>
    <w:rsid w:val="009F717B"/>
    <w:rsid w:val="009F7213"/>
    <w:rsid w:val="009F7248"/>
    <w:rsid w:val="009F7250"/>
    <w:rsid w:val="009F72BA"/>
    <w:rsid w:val="009F72E8"/>
    <w:rsid w:val="009F72EC"/>
    <w:rsid w:val="009F7312"/>
    <w:rsid w:val="009F7363"/>
    <w:rsid w:val="009F7387"/>
    <w:rsid w:val="009F739B"/>
    <w:rsid w:val="009F73BC"/>
    <w:rsid w:val="009F73E8"/>
    <w:rsid w:val="009F73E9"/>
    <w:rsid w:val="009F7463"/>
    <w:rsid w:val="009F7498"/>
    <w:rsid w:val="009F74F0"/>
    <w:rsid w:val="009F753A"/>
    <w:rsid w:val="009F757F"/>
    <w:rsid w:val="009F759E"/>
    <w:rsid w:val="009F75C7"/>
    <w:rsid w:val="009F7634"/>
    <w:rsid w:val="009F7693"/>
    <w:rsid w:val="009F76BD"/>
    <w:rsid w:val="009F76C1"/>
    <w:rsid w:val="009F76E8"/>
    <w:rsid w:val="009F77C3"/>
    <w:rsid w:val="009F77E2"/>
    <w:rsid w:val="009F78E1"/>
    <w:rsid w:val="009F78F6"/>
    <w:rsid w:val="009F78FE"/>
    <w:rsid w:val="009F793B"/>
    <w:rsid w:val="009F794A"/>
    <w:rsid w:val="009F79CE"/>
    <w:rsid w:val="009F7A31"/>
    <w:rsid w:val="009F7A77"/>
    <w:rsid w:val="009F7A9E"/>
    <w:rsid w:val="009F7AA1"/>
    <w:rsid w:val="009F7AF1"/>
    <w:rsid w:val="009F7B17"/>
    <w:rsid w:val="009F7B6E"/>
    <w:rsid w:val="009F7BCB"/>
    <w:rsid w:val="009F7BFE"/>
    <w:rsid w:val="009F7C0C"/>
    <w:rsid w:val="009F7C28"/>
    <w:rsid w:val="009F7C2F"/>
    <w:rsid w:val="009F7C65"/>
    <w:rsid w:val="009F7C87"/>
    <w:rsid w:val="009F7CA6"/>
    <w:rsid w:val="009F7CC8"/>
    <w:rsid w:val="009F7D5D"/>
    <w:rsid w:val="009F7D7C"/>
    <w:rsid w:val="009F7D9C"/>
    <w:rsid w:val="009F7DC7"/>
    <w:rsid w:val="009F7DED"/>
    <w:rsid w:val="009F7E6D"/>
    <w:rsid w:val="009F7EA1"/>
    <w:rsid w:val="009F7EA4"/>
    <w:rsid w:val="009F7EAB"/>
    <w:rsid w:val="009F7F47"/>
    <w:rsid w:val="009F7F53"/>
    <w:rsid w:val="009F7FB7"/>
    <w:rsid w:val="009F7FC1"/>
    <w:rsid w:val="009F7FD9"/>
    <w:rsid w:val="009F7FE2"/>
    <w:rsid w:val="00A0007F"/>
    <w:rsid w:val="00A00085"/>
    <w:rsid w:val="00A000B4"/>
    <w:rsid w:val="00A000C1"/>
    <w:rsid w:val="00A000D5"/>
    <w:rsid w:val="00A00122"/>
    <w:rsid w:val="00A0016E"/>
    <w:rsid w:val="00A001FF"/>
    <w:rsid w:val="00A002CC"/>
    <w:rsid w:val="00A002CF"/>
    <w:rsid w:val="00A002E9"/>
    <w:rsid w:val="00A00329"/>
    <w:rsid w:val="00A0039C"/>
    <w:rsid w:val="00A003D3"/>
    <w:rsid w:val="00A00440"/>
    <w:rsid w:val="00A004EB"/>
    <w:rsid w:val="00A004FB"/>
    <w:rsid w:val="00A00520"/>
    <w:rsid w:val="00A00615"/>
    <w:rsid w:val="00A00628"/>
    <w:rsid w:val="00A0066D"/>
    <w:rsid w:val="00A006AE"/>
    <w:rsid w:val="00A006E6"/>
    <w:rsid w:val="00A006F2"/>
    <w:rsid w:val="00A006FA"/>
    <w:rsid w:val="00A0072C"/>
    <w:rsid w:val="00A007DC"/>
    <w:rsid w:val="00A007E9"/>
    <w:rsid w:val="00A007F9"/>
    <w:rsid w:val="00A00809"/>
    <w:rsid w:val="00A0080D"/>
    <w:rsid w:val="00A0087C"/>
    <w:rsid w:val="00A008F1"/>
    <w:rsid w:val="00A00904"/>
    <w:rsid w:val="00A0091B"/>
    <w:rsid w:val="00A0096B"/>
    <w:rsid w:val="00A009CD"/>
    <w:rsid w:val="00A009D6"/>
    <w:rsid w:val="00A00A35"/>
    <w:rsid w:val="00A00A7B"/>
    <w:rsid w:val="00A00AE3"/>
    <w:rsid w:val="00A00BEA"/>
    <w:rsid w:val="00A00BFC"/>
    <w:rsid w:val="00A00C8F"/>
    <w:rsid w:val="00A00C99"/>
    <w:rsid w:val="00A00CD8"/>
    <w:rsid w:val="00A00D87"/>
    <w:rsid w:val="00A00DF8"/>
    <w:rsid w:val="00A00E44"/>
    <w:rsid w:val="00A00E60"/>
    <w:rsid w:val="00A00E78"/>
    <w:rsid w:val="00A00EB1"/>
    <w:rsid w:val="00A00EC1"/>
    <w:rsid w:val="00A00F15"/>
    <w:rsid w:val="00A00F24"/>
    <w:rsid w:val="00A00F50"/>
    <w:rsid w:val="00A00F55"/>
    <w:rsid w:val="00A00F6F"/>
    <w:rsid w:val="00A00F8B"/>
    <w:rsid w:val="00A00FDC"/>
    <w:rsid w:val="00A0102E"/>
    <w:rsid w:val="00A010B1"/>
    <w:rsid w:val="00A010CD"/>
    <w:rsid w:val="00A010E5"/>
    <w:rsid w:val="00A01163"/>
    <w:rsid w:val="00A01176"/>
    <w:rsid w:val="00A011B3"/>
    <w:rsid w:val="00A011BE"/>
    <w:rsid w:val="00A011E2"/>
    <w:rsid w:val="00A012BF"/>
    <w:rsid w:val="00A012D4"/>
    <w:rsid w:val="00A013BB"/>
    <w:rsid w:val="00A013FE"/>
    <w:rsid w:val="00A01428"/>
    <w:rsid w:val="00A01462"/>
    <w:rsid w:val="00A0147C"/>
    <w:rsid w:val="00A01498"/>
    <w:rsid w:val="00A014C3"/>
    <w:rsid w:val="00A01504"/>
    <w:rsid w:val="00A0151A"/>
    <w:rsid w:val="00A0153F"/>
    <w:rsid w:val="00A01593"/>
    <w:rsid w:val="00A015A1"/>
    <w:rsid w:val="00A015B5"/>
    <w:rsid w:val="00A015E8"/>
    <w:rsid w:val="00A01603"/>
    <w:rsid w:val="00A01646"/>
    <w:rsid w:val="00A016BE"/>
    <w:rsid w:val="00A016F7"/>
    <w:rsid w:val="00A01770"/>
    <w:rsid w:val="00A01883"/>
    <w:rsid w:val="00A018A9"/>
    <w:rsid w:val="00A018BB"/>
    <w:rsid w:val="00A01933"/>
    <w:rsid w:val="00A019AB"/>
    <w:rsid w:val="00A019C0"/>
    <w:rsid w:val="00A01A9D"/>
    <w:rsid w:val="00A01AE1"/>
    <w:rsid w:val="00A01BAA"/>
    <w:rsid w:val="00A01BCC"/>
    <w:rsid w:val="00A01BDF"/>
    <w:rsid w:val="00A01BE6"/>
    <w:rsid w:val="00A01C1A"/>
    <w:rsid w:val="00A01C2E"/>
    <w:rsid w:val="00A01CC4"/>
    <w:rsid w:val="00A01D00"/>
    <w:rsid w:val="00A01D0F"/>
    <w:rsid w:val="00A01D21"/>
    <w:rsid w:val="00A01D2A"/>
    <w:rsid w:val="00A01D63"/>
    <w:rsid w:val="00A01D9C"/>
    <w:rsid w:val="00A01DC5"/>
    <w:rsid w:val="00A01DFC"/>
    <w:rsid w:val="00A01E1F"/>
    <w:rsid w:val="00A01E3B"/>
    <w:rsid w:val="00A01E8E"/>
    <w:rsid w:val="00A01EBB"/>
    <w:rsid w:val="00A01F84"/>
    <w:rsid w:val="00A01FA1"/>
    <w:rsid w:val="00A01FE8"/>
    <w:rsid w:val="00A02003"/>
    <w:rsid w:val="00A0202F"/>
    <w:rsid w:val="00A02131"/>
    <w:rsid w:val="00A02150"/>
    <w:rsid w:val="00A021AA"/>
    <w:rsid w:val="00A021BA"/>
    <w:rsid w:val="00A02215"/>
    <w:rsid w:val="00A02265"/>
    <w:rsid w:val="00A02366"/>
    <w:rsid w:val="00A023C4"/>
    <w:rsid w:val="00A02401"/>
    <w:rsid w:val="00A0240F"/>
    <w:rsid w:val="00A02411"/>
    <w:rsid w:val="00A024D6"/>
    <w:rsid w:val="00A024D9"/>
    <w:rsid w:val="00A0256D"/>
    <w:rsid w:val="00A0256E"/>
    <w:rsid w:val="00A02581"/>
    <w:rsid w:val="00A02588"/>
    <w:rsid w:val="00A0258E"/>
    <w:rsid w:val="00A025BC"/>
    <w:rsid w:val="00A02622"/>
    <w:rsid w:val="00A0269B"/>
    <w:rsid w:val="00A027B6"/>
    <w:rsid w:val="00A02813"/>
    <w:rsid w:val="00A02841"/>
    <w:rsid w:val="00A028C9"/>
    <w:rsid w:val="00A028DF"/>
    <w:rsid w:val="00A028E8"/>
    <w:rsid w:val="00A0299F"/>
    <w:rsid w:val="00A02A3A"/>
    <w:rsid w:val="00A02A3B"/>
    <w:rsid w:val="00A02A47"/>
    <w:rsid w:val="00A02AE2"/>
    <w:rsid w:val="00A02BBA"/>
    <w:rsid w:val="00A02BC2"/>
    <w:rsid w:val="00A02C1C"/>
    <w:rsid w:val="00A02CB7"/>
    <w:rsid w:val="00A02D0D"/>
    <w:rsid w:val="00A02D4D"/>
    <w:rsid w:val="00A02DAE"/>
    <w:rsid w:val="00A02DD4"/>
    <w:rsid w:val="00A02E63"/>
    <w:rsid w:val="00A02E9E"/>
    <w:rsid w:val="00A02EAD"/>
    <w:rsid w:val="00A02F1A"/>
    <w:rsid w:val="00A02F29"/>
    <w:rsid w:val="00A02FB7"/>
    <w:rsid w:val="00A03058"/>
    <w:rsid w:val="00A03061"/>
    <w:rsid w:val="00A030CE"/>
    <w:rsid w:val="00A03103"/>
    <w:rsid w:val="00A03127"/>
    <w:rsid w:val="00A0318B"/>
    <w:rsid w:val="00A03193"/>
    <w:rsid w:val="00A031B4"/>
    <w:rsid w:val="00A0322F"/>
    <w:rsid w:val="00A03236"/>
    <w:rsid w:val="00A03278"/>
    <w:rsid w:val="00A03297"/>
    <w:rsid w:val="00A032D2"/>
    <w:rsid w:val="00A032DF"/>
    <w:rsid w:val="00A032E7"/>
    <w:rsid w:val="00A0333F"/>
    <w:rsid w:val="00A03386"/>
    <w:rsid w:val="00A033B7"/>
    <w:rsid w:val="00A033BA"/>
    <w:rsid w:val="00A034E9"/>
    <w:rsid w:val="00A03500"/>
    <w:rsid w:val="00A03515"/>
    <w:rsid w:val="00A035D6"/>
    <w:rsid w:val="00A03658"/>
    <w:rsid w:val="00A0368F"/>
    <w:rsid w:val="00A036DC"/>
    <w:rsid w:val="00A03797"/>
    <w:rsid w:val="00A037BE"/>
    <w:rsid w:val="00A037C1"/>
    <w:rsid w:val="00A03837"/>
    <w:rsid w:val="00A03863"/>
    <w:rsid w:val="00A03889"/>
    <w:rsid w:val="00A038A6"/>
    <w:rsid w:val="00A038AA"/>
    <w:rsid w:val="00A038D8"/>
    <w:rsid w:val="00A038E3"/>
    <w:rsid w:val="00A03948"/>
    <w:rsid w:val="00A03990"/>
    <w:rsid w:val="00A03995"/>
    <w:rsid w:val="00A03997"/>
    <w:rsid w:val="00A039D6"/>
    <w:rsid w:val="00A03A06"/>
    <w:rsid w:val="00A03A42"/>
    <w:rsid w:val="00A03A90"/>
    <w:rsid w:val="00A03B10"/>
    <w:rsid w:val="00A03B81"/>
    <w:rsid w:val="00A03C0E"/>
    <w:rsid w:val="00A03C20"/>
    <w:rsid w:val="00A03C4E"/>
    <w:rsid w:val="00A03D47"/>
    <w:rsid w:val="00A03DCD"/>
    <w:rsid w:val="00A03E16"/>
    <w:rsid w:val="00A03E17"/>
    <w:rsid w:val="00A03EF9"/>
    <w:rsid w:val="00A03F65"/>
    <w:rsid w:val="00A03FA6"/>
    <w:rsid w:val="00A03FFF"/>
    <w:rsid w:val="00A04037"/>
    <w:rsid w:val="00A04073"/>
    <w:rsid w:val="00A04091"/>
    <w:rsid w:val="00A040C1"/>
    <w:rsid w:val="00A040E3"/>
    <w:rsid w:val="00A04126"/>
    <w:rsid w:val="00A04134"/>
    <w:rsid w:val="00A0415C"/>
    <w:rsid w:val="00A04160"/>
    <w:rsid w:val="00A041AB"/>
    <w:rsid w:val="00A04215"/>
    <w:rsid w:val="00A0425F"/>
    <w:rsid w:val="00A04261"/>
    <w:rsid w:val="00A04295"/>
    <w:rsid w:val="00A042A2"/>
    <w:rsid w:val="00A042D5"/>
    <w:rsid w:val="00A042E9"/>
    <w:rsid w:val="00A042F6"/>
    <w:rsid w:val="00A04307"/>
    <w:rsid w:val="00A0432C"/>
    <w:rsid w:val="00A0436C"/>
    <w:rsid w:val="00A04380"/>
    <w:rsid w:val="00A04392"/>
    <w:rsid w:val="00A043AA"/>
    <w:rsid w:val="00A043DE"/>
    <w:rsid w:val="00A043EC"/>
    <w:rsid w:val="00A043F7"/>
    <w:rsid w:val="00A04437"/>
    <w:rsid w:val="00A04445"/>
    <w:rsid w:val="00A04483"/>
    <w:rsid w:val="00A0448A"/>
    <w:rsid w:val="00A044AB"/>
    <w:rsid w:val="00A044C1"/>
    <w:rsid w:val="00A044E4"/>
    <w:rsid w:val="00A0450C"/>
    <w:rsid w:val="00A045B5"/>
    <w:rsid w:val="00A045CE"/>
    <w:rsid w:val="00A045D7"/>
    <w:rsid w:val="00A0460B"/>
    <w:rsid w:val="00A046B5"/>
    <w:rsid w:val="00A0476A"/>
    <w:rsid w:val="00A0476E"/>
    <w:rsid w:val="00A0477B"/>
    <w:rsid w:val="00A04785"/>
    <w:rsid w:val="00A04836"/>
    <w:rsid w:val="00A048B9"/>
    <w:rsid w:val="00A0491E"/>
    <w:rsid w:val="00A04952"/>
    <w:rsid w:val="00A04968"/>
    <w:rsid w:val="00A04992"/>
    <w:rsid w:val="00A049DD"/>
    <w:rsid w:val="00A04A0C"/>
    <w:rsid w:val="00A04A5D"/>
    <w:rsid w:val="00A04A95"/>
    <w:rsid w:val="00A04AEF"/>
    <w:rsid w:val="00A04B68"/>
    <w:rsid w:val="00A04C54"/>
    <w:rsid w:val="00A04C5A"/>
    <w:rsid w:val="00A04C67"/>
    <w:rsid w:val="00A04CE9"/>
    <w:rsid w:val="00A04D07"/>
    <w:rsid w:val="00A04D20"/>
    <w:rsid w:val="00A04E92"/>
    <w:rsid w:val="00A04E95"/>
    <w:rsid w:val="00A04EDE"/>
    <w:rsid w:val="00A04EFA"/>
    <w:rsid w:val="00A04F00"/>
    <w:rsid w:val="00A04F08"/>
    <w:rsid w:val="00A04F15"/>
    <w:rsid w:val="00A04F1D"/>
    <w:rsid w:val="00A04F55"/>
    <w:rsid w:val="00A04F86"/>
    <w:rsid w:val="00A04FA2"/>
    <w:rsid w:val="00A04FD1"/>
    <w:rsid w:val="00A0502D"/>
    <w:rsid w:val="00A050C1"/>
    <w:rsid w:val="00A05108"/>
    <w:rsid w:val="00A05121"/>
    <w:rsid w:val="00A051A0"/>
    <w:rsid w:val="00A0520D"/>
    <w:rsid w:val="00A05295"/>
    <w:rsid w:val="00A052EC"/>
    <w:rsid w:val="00A052F2"/>
    <w:rsid w:val="00A05310"/>
    <w:rsid w:val="00A05395"/>
    <w:rsid w:val="00A05397"/>
    <w:rsid w:val="00A05398"/>
    <w:rsid w:val="00A053A8"/>
    <w:rsid w:val="00A053AF"/>
    <w:rsid w:val="00A05411"/>
    <w:rsid w:val="00A05447"/>
    <w:rsid w:val="00A0547D"/>
    <w:rsid w:val="00A054D8"/>
    <w:rsid w:val="00A05547"/>
    <w:rsid w:val="00A05579"/>
    <w:rsid w:val="00A05587"/>
    <w:rsid w:val="00A055B2"/>
    <w:rsid w:val="00A055BA"/>
    <w:rsid w:val="00A055FB"/>
    <w:rsid w:val="00A055FD"/>
    <w:rsid w:val="00A05610"/>
    <w:rsid w:val="00A056AA"/>
    <w:rsid w:val="00A0571D"/>
    <w:rsid w:val="00A0573A"/>
    <w:rsid w:val="00A05750"/>
    <w:rsid w:val="00A05754"/>
    <w:rsid w:val="00A057D6"/>
    <w:rsid w:val="00A05848"/>
    <w:rsid w:val="00A05857"/>
    <w:rsid w:val="00A05862"/>
    <w:rsid w:val="00A0587F"/>
    <w:rsid w:val="00A0589A"/>
    <w:rsid w:val="00A0589C"/>
    <w:rsid w:val="00A058A6"/>
    <w:rsid w:val="00A058E4"/>
    <w:rsid w:val="00A058FA"/>
    <w:rsid w:val="00A0599C"/>
    <w:rsid w:val="00A059AF"/>
    <w:rsid w:val="00A059B3"/>
    <w:rsid w:val="00A05A6B"/>
    <w:rsid w:val="00A05AA9"/>
    <w:rsid w:val="00A05AAD"/>
    <w:rsid w:val="00A05B00"/>
    <w:rsid w:val="00A05B14"/>
    <w:rsid w:val="00A05B4B"/>
    <w:rsid w:val="00A05C02"/>
    <w:rsid w:val="00A05C26"/>
    <w:rsid w:val="00A05D72"/>
    <w:rsid w:val="00A05DC1"/>
    <w:rsid w:val="00A05E12"/>
    <w:rsid w:val="00A05E94"/>
    <w:rsid w:val="00A05F18"/>
    <w:rsid w:val="00A05F6E"/>
    <w:rsid w:val="00A05FA6"/>
    <w:rsid w:val="00A05FD3"/>
    <w:rsid w:val="00A06048"/>
    <w:rsid w:val="00A060BC"/>
    <w:rsid w:val="00A060E1"/>
    <w:rsid w:val="00A06176"/>
    <w:rsid w:val="00A0618C"/>
    <w:rsid w:val="00A06224"/>
    <w:rsid w:val="00A0622F"/>
    <w:rsid w:val="00A06243"/>
    <w:rsid w:val="00A0626A"/>
    <w:rsid w:val="00A062A3"/>
    <w:rsid w:val="00A062AE"/>
    <w:rsid w:val="00A062CC"/>
    <w:rsid w:val="00A06335"/>
    <w:rsid w:val="00A06389"/>
    <w:rsid w:val="00A064C5"/>
    <w:rsid w:val="00A064C7"/>
    <w:rsid w:val="00A06581"/>
    <w:rsid w:val="00A06595"/>
    <w:rsid w:val="00A06598"/>
    <w:rsid w:val="00A065BB"/>
    <w:rsid w:val="00A065E4"/>
    <w:rsid w:val="00A065ED"/>
    <w:rsid w:val="00A06664"/>
    <w:rsid w:val="00A06778"/>
    <w:rsid w:val="00A0677B"/>
    <w:rsid w:val="00A06799"/>
    <w:rsid w:val="00A06891"/>
    <w:rsid w:val="00A06893"/>
    <w:rsid w:val="00A06905"/>
    <w:rsid w:val="00A06944"/>
    <w:rsid w:val="00A0697E"/>
    <w:rsid w:val="00A0698D"/>
    <w:rsid w:val="00A06A4B"/>
    <w:rsid w:val="00A06A68"/>
    <w:rsid w:val="00A06A9E"/>
    <w:rsid w:val="00A06AA2"/>
    <w:rsid w:val="00A06ABF"/>
    <w:rsid w:val="00A06B0D"/>
    <w:rsid w:val="00A06B18"/>
    <w:rsid w:val="00A06B2D"/>
    <w:rsid w:val="00A06B5D"/>
    <w:rsid w:val="00A06BA7"/>
    <w:rsid w:val="00A06BCB"/>
    <w:rsid w:val="00A06C35"/>
    <w:rsid w:val="00A06C3A"/>
    <w:rsid w:val="00A06CAF"/>
    <w:rsid w:val="00A06CD3"/>
    <w:rsid w:val="00A06CF6"/>
    <w:rsid w:val="00A06CF9"/>
    <w:rsid w:val="00A06D2D"/>
    <w:rsid w:val="00A06D9E"/>
    <w:rsid w:val="00A06DA6"/>
    <w:rsid w:val="00A06F41"/>
    <w:rsid w:val="00A06F47"/>
    <w:rsid w:val="00A06FC6"/>
    <w:rsid w:val="00A06FCF"/>
    <w:rsid w:val="00A07026"/>
    <w:rsid w:val="00A0704F"/>
    <w:rsid w:val="00A07069"/>
    <w:rsid w:val="00A070B6"/>
    <w:rsid w:val="00A070B8"/>
    <w:rsid w:val="00A070D6"/>
    <w:rsid w:val="00A070D7"/>
    <w:rsid w:val="00A0715E"/>
    <w:rsid w:val="00A071FC"/>
    <w:rsid w:val="00A071FD"/>
    <w:rsid w:val="00A07201"/>
    <w:rsid w:val="00A07210"/>
    <w:rsid w:val="00A07241"/>
    <w:rsid w:val="00A07278"/>
    <w:rsid w:val="00A07291"/>
    <w:rsid w:val="00A072C5"/>
    <w:rsid w:val="00A072E1"/>
    <w:rsid w:val="00A072EE"/>
    <w:rsid w:val="00A072F3"/>
    <w:rsid w:val="00A07345"/>
    <w:rsid w:val="00A07390"/>
    <w:rsid w:val="00A07456"/>
    <w:rsid w:val="00A07481"/>
    <w:rsid w:val="00A074D8"/>
    <w:rsid w:val="00A074E1"/>
    <w:rsid w:val="00A074E9"/>
    <w:rsid w:val="00A07612"/>
    <w:rsid w:val="00A076A1"/>
    <w:rsid w:val="00A076DF"/>
    <w:rsid w:val="00A0772F"/>
    <w:rsid w:val="00A07756"/>
    <w:rsid w:val="00A077F6"/>
    <w:rsid w:val="00A077FC"/>
    <w:rsid w:val="00A07805"/>
    <w:rsid w:val="00A0787B"/>
    <w:rsid w:val="00A0788E"/>
    <w:rsid w:val="00A078E3"/>
    <w:rsid w:val="00A07943"/>
    <w:rsid w:val="00A0794C"/>
    <w:rsid w:val="00A07955"/>
    <w:rsid w:val="00A0799E"/>
    <w:rsid w:val="00A079FE"/>
    <w:rsid w:val="00A07A7E"/>
    <w:rsid w:val="00A07A90"/>
    <w:rsid w:val="00A07AEA"/>
    <w:rsid w:val="00A07B52"/>
    <w:rsid w:val="00A07BB0"/>
    <w:rsid w:val="00A07BDC"/>
    <w:rsid w:val="00A07C05"/>
    <w:rsid w:val="00A07C3A"/>
    <w:rsid w:val="00A07C53"/>
    <w:rsid w:val="00A07C7D"/>
    <w:rsid w:val="00A07CDF"/>
    <w:rsid w:val="00A07D47"/>
    <w:rsid w:val="00A07D69"/>
    <w:rsid w:val="00A07DAB"/>
    <w:rsid w:val="00A07E5A"/>
    <w:rsid w:val="00A07EA4"/>
    <w:rsid w:val="00A07EF6"/>
    <w:rsid w:val="00A07F41"/>
    <w:rsid w:val="00A07F58"/>
    <w:rsid w:val="00A07FAC"/>
    <w:rsid w:val="00A10013"/>
    <w:rsid w:val="00A10067"/>
    <w:rsid w:val="00A10103"/>
    <w:rsid w:val="00A10108"/>
    <w:rsid w:val="00A1010F"/>
    <w:rsid w:val="00A101D8"/>
    <w:rsid w:val="00A101EB"/>
    <w:rsid w:val="00A1020D"/>
    <w:rsid w:val="00A10217"/>
    <w:rsid w:val="00A10259"/>
    <w:rsid w:val="00A102B0"/>
    <w:rsid w:val="00A10310"/>
    <w:rsid w:val="00A10322"/>
    <w:rsid w:val="00A103CA"/>
    <w:rsid w:val="00A1043D"/>
    <w:rsid w:val="00A1045F"/>
    <w:rsid w:val="00A1050A"/>
    <w:rsid w:val="00A10588"/>
    <w:rsid w:val="00A10595"/>
    <w:rsid w:val="00A105AB"/>
    <w:rsid w:val="00A105AF"/>
    <w:rsid w:val="00A105C2"/>
    <w:rsid w:val="00A1060B"/>
    <w:rsid w:val="00A106FA"/>
    <w:rsid w:val="00A10700"/>
    <w:rsid w:val="00A1070E"/>
    <w:rsid w:val="00A1077A"/>
    <w:rsid w:val="00A107AE"/>
    <w:rsid w:val="00A107E4"/>
    <w:rsid w:val="00A1081C"/>
    <w:rsid w:val="00A1084E"/>
    <w:rsid w:val="00A1087C"/>
    <w:rsid w:val="00A1087E"/>
    <w:rsid w:val="00A10961"/>
    <w:rsid w:val="00A10995"/>
    <w:rsid w:val="00A1099C"/>
    <w:rsid w:val="00A109DE"/>
    <w:rsid w:val="00A109E7"/>
    <w:rsid w:val="00A10A10"/>
    <w:rsid w:val="00A10A4F"/>
    <w:rsid w:val="00A10AE4"/>
    <w:rsid w:val="00A10B33"/>
    <w:rsid w:val="00A10B74"/>
    <w:rsid w:val="00A10C12"/>
    <w:rsid w:val="00A10C76"/>
    <w:rsid w:val="00A10D64"/>
    <w:rsid w:val="00A10DC1"/>
    <w:rsid w:val="00A10DDC"/>
    <w:rsid w:val="00A10DDF"/>
    <w:rsid w:val="00A10E0C"/>
    <w:rsid w:val="00A10E2C"/>
    <w:rsid w:val="00A10E32"/>
    <w:rsid w:val="00A10E6E"/>
    <w:rsid w:val="00A10EAC"/>
    <w:rsid w:val="00A10F80"/>
    <w:rsid w:val="00A10FFF"/>
    <w:rsid w:val="00A1105A"/>
    <w:rsid w:val="00A1109B"/>
    <w:rsid w:val="00A110AE"/>
    <w:rsid w:val="00A110DA"/>
    <w:rsid w:val="00A1110B"/>
    <w:rsid w:val="00A1111F"/>
    <w:rsid w:val="00A1117E"/>
    <w:rsid w:val="00A11184"/>
    <w:rsid w:val="00A111E6"/>
    <w:rsid w:val="00A1123B"/>
    <w:rsid w:val="00A11253"/>
    <w:rsid w:val="00A1131E"/>
    <w:rsid w:val="00A11327"/>
    <w:rsid w:val="00A11334"/>
    <w:rsid w:val="00A11339"/>
    <w:rsid w:val="00A11342"/>
    <w:rsid w:val="00A11344"/>
    <w:rsid w:val="00A11373"/>
    <w:rsid w:val="00A1137F"/>
    <w:rsid w:val="00A11432"/>
    <w:rsid w:val="00A1143D"/>
    <w:rsid w:val="00A1149F"/>
    <w:rsid w:val="00A114D7"/>
    <w:rsid w:val="00A114F5"/>
    <w:rsid w:val="00A11508"/>
    <w:rsid w:val="00A11516"/>
    <w:rsid w:val="00A11546"/>
    <w:rsid w:val="00A11570"/>
    <w:rsid w:val="00A11597"/>
    <w:rsid w:val="00A11631"/>
    <w:rsid w:val="00A11651"/>
    <w:rsid w:val="00A116E3"/>
    <w:rsid w:val="00A1174A"/>
    <w:rsid w:val="00A11770"/>
    <w:rsid w:val="00A1178D"/>
    <w:rsid w:val="00A117B0"/>
    <w:rsid w:val="00A11832"/>
    <w:rsid w:val="00A118C8"/>
    <w:rsid w:val="00A11956"/>
    <w:rsid w:val="00A1198E"/>
    <w:rsid w:val="00A119A4"/>
    <w:rsid w:val="00A119B5"/>
    <w:rsid w:val="00A119C8"/>
    <w:rsid w:val="00A11A6B"/>
    <w:rsid w:val="00A11AB0"/>
    <w:rsid w:val="00A11AC9"/>
    <w:rsid w:val="00A11AEC"/>
    <w:rsid w:val="00A11AED"/>
    <w:rsid w:val="00A11B06"/>
    <w:rsid w:val="00A11B70"/>
    <w:rsid w:val="00A11B9F"/>
    <w:rsid w:val="00A11BC3"/>
    <w:rsid w:val="00A11C42"/>
    <w:rsid w:val="00A11D15"/>
    <w:rsid w:val="00A11D71"/>
    <w:rsid w:val="00A11D89"/>
    <w:rsid w:val="00A11DA3"/>
    <w:rsid w:val="00A11E5B"/>
    <w:rsid w:val="00A11E5D"/>
    <w:rsid w:val="00A11E60"/>
    <w:rsid w:val="00A11EBF"/>
    <w:rsid w:val="00A11F1E"/>
    <w:rsid w:val="00A11F54"/>
    <w:rsid w:val="00A11F5F"/>
    <w:rsid w:val="00A11FCE"/>
    <w:rsid w:val="00A12010"/>
    <w:rsid w:val="00A12092"/>
    <w:rsid w:val="00A120A4"/>
    <w:rsid w:val="00A120BD"/>
    <w:rsid w:val="00A120EE"/>
    <w:rsid w:val="00A120F5"/>
    <w:rsid w:val="00A121EC"/>
    <w:rsid w:val="00A12216"/>
    <w:rsid w:val="00A12247"/>
    <w:rsid w:val="00A1227D"/>
    <w:rsid w:val="00A122AA"/>
    <w:rsid w:val="00A122C3"/>
    <w:rsid w:val="00A122C9"/>
    <w:rsid w:val="00A1233F"/>
    <w:rsid w:val="00A1234E"/>
    <w:rsid w:val="00A12382"/>
    <w:rsid w:val="00A12424"/>
    <w:rsid w:val="00A12456"/>
    <w:rsid w:val="00A124AD"/>
    <w:rsid w:val="00A124DC"/>
    <w:rsid w:val="00A12575"/>
    <w:rsid w:val="00A12576"/>
    <w:rsid w:val="00A12592"/>
    <w:rsid w:val="00A125E3"/>
    <w:rsid w:val="00A1267A"/>
    <w:rsid w:val="00A12684"/>
    <w:rsid w:val="00A1268F"/>
    <w:rsid w:val="00A126D7"/>
    <w:rsid w:val="00A12721"/>
    <w:rsid w:val="00A1279B"/>
    <w:rsid w:val="00A127B9"/>
    <w:rsid w:val="00A127D3"/>
    <w:rsid w:val="00A1281C"/>
    <w:rsid w:val="00A12854"/>
    <w:rsid w:val="00A12877"/>
    <w:rsid w:val="00A12A17"/>
    <w:rsid w:val="00A12A5A"/>
    <w:rsid w:val="00A12AC6"/>
    <w:rsid w:val="00A12B07"/>
    <w:rsid w:val="00A12B5A"/>
    <w:rsid w:val="00A12B67"/>
    <w:rsid w:val="00A12B70"/>
    <w:rsid w:val="00A12B98"/>
    <w:rsid w:val="00A12BD9"/>
    <w:rsid w:val="00A12C03"/>
    <w:rsid w:val="00A12C2C"/>
    <w:rsid w:val="00A12D2E"/>
    <w:rsid w:val="00A12DA2"/>
    <w:rsid w:val="00A12DDC"/>
    <w:rsid w:val="00A12E2D"/>
    <w:rsid w:val="00A12E7F"/>
    <w:rsid w:val="00A12EE2"/>
    <w:rsid w:val="00A12F62"/>
    <w:rsid w:val="00A12FBF"/>
    <w:rsid w:val="00A12FF6"/>
    <w:rsid w:val="00A1309D"/>
    <w:rsid w:val="00A130C3"/>
    <w:rsid w:val="00A1311D"/>
    <w:rsid w:val="00A13132"/>
    <w:rsid w:val="00A131BF"/>
    <w:rsid w:val="00A131E8"/>
    <w:rsid w:val="00A1326D"/>
    <w:rsid w:val="00A13274"/>
    <w:rsid w:val="00A13295"/>
    <w:rsid w:val="00A132A3"/>
    <w:rsid w:val="00A132BE"/>
    <w:rsid w:val="00A132D1"/>
    <w:rsid w:val="00A13345"/>
    <w:rsid w:val="00A1337A"/>
    <w:rsid w:val="00A1341F"/>
    <w:rsid w:val="00A13430"/>
    <w:rsid w:val="00A13489"/>
    <w:rsid w:val="00A13593"/>
    <w:rsid w:val="00A135DD"/>
    <w:rsid w:val="00A1365F"/>
    <w:rsid w:val="00A13809"/>
    <w:rsid w:val="00A13842"/>
    <w:rsid w:val="00A13847"/>
    <w:rsid w:val="00A13852"/>
    <w:rsid w:val="00A1385E"/>
    <w:rsid w:val="00A13898"/>
    <w:rsid w:val="00A138AD"/>
    <w:rsid w:val="00A138F3"/>
    <w:rsid w:val="00A1391B"/>
    <w:rsid w:val="00A1394D"/>
    <w:rsid w:val="00A13977"/>
    <w:rsid w:val="00A139AB"/>
    <w:rsid w:val="00A13A04"/>
    <w:rsid w:val="00A13A55"/>
    <w:rsid w:val="00A13A83"/>
    <w:rsid w:val="00A13B8D"/>
    <w:rsid w:val="00A13BDA"/>
    <w:rsid w:val="00A13C02"/>
    <w:rsid w:val="00A13C0C"/>
    <w:rsid w:val="00A13C1E"/>
    <w:rsid w:val="00A13C20"/>
    <w:rsid w:val="00A13C34"/>
    <w:rsid w:val="00A13C3D"/>
    <w:rsid w:val="00A13CCB"/>
    <w:rsid w:val="00A13D58"/>
    <w:rsid w:val="00A13D7E"/>
    <w:rsid w:val="00A13E51"/>
    <w:rsid w:val="00A13E82"/>
    <w:rsid w:val="00A13ECF"/>
    <w:rsid w:val="00A13EEB"/>
    <w:rsid w:val="00A13EFE"/>
    <w:rsid w:val="00A13F20"/>
    <w:rsid w:val="00A13F73"/>
    <w:rsid w:val="00A13F80"/>
    <w:rsid w:val="00A13F9F"/>
    <w:rsid w:val="00A13FAE"/>
    <w:rsid w:val="00A13FB0"/>
    <w:rsid w:val="00A13FB6"/>
    <w:rsid w:val="00A13FE0"/>
    <w:rsid w:val="00A13FEB"/>
    <w:rsid w:val="00A1409B"/>
    <w:rsid w:val="00A1409F"/>
    <w:rsid w:val="00A14191"/>
    <w:rsid w:val="00A141D3"/>
    <w:rsid w:val="00A141D6"/>
    <w:rsid w:val="00A143AB"/>
    <w:rsid w:val="00A143ED"/>
    <w:rsid w:val="00A14449"/>
    <w:rsid w:val="00A14483"/>
    <w:rsid w:val="00A144D7"/>
    <w:rsid w:val="00A144E7"/>
    <w:rsid w:val="00A144FC"/>
    <w:rsid w:val="00A14539"/>
    <w:rsid w:val="00A145F1"/>
    <w:rsid w:val="00A145F4"/>
    <w:rsid w:val="00A14603"/>
    <w:rsid w:val="00A14636"/>
    <w:rsid w:val="00A146C2"/>
    <w:rsid w:val="00A14714"/>
    <w:rsid w:val="00A14715"/>
    <w:rsid w:val="00A147F2"/>
    <w:rsid w:val="00A1480F"/>
    <w:rsid w:val="00A14812"/>
    <w:rsid w:val="00A1484F"/>
    <w:rsid w:val="00A1485B"/>
    <w:rsid w:val="00A1487E"/>
    <w:rsid w:val="00A1489B"/>
    <w:rsid w:val="00A1492A"/>
    <w:rsid w:val="00A14941"/>
    <w:rsid w:val="00A1498F"/>
    <w:rsid w:val="00A149CB"/>
    <w:rsid w:val="00A14A11"/>
    <w:rsid w:val="00A14A29"/>
    <w:rsid w:val="00A14A3A"/>
    <w:rsid w:val="00A14A71"/>
    <w:rsid w:val="00A14B3F"/>
    <w:rsid w:val="00A14B6D"/>
    <w:rsid w:val="00A14C1E"/>
    <w:rsid w:val="00A14C5D"/>
    <w:rsid w:val="00A14C8C"/>
    <w:rsid w:val="00A14CBB"/>
    <w:rsid w:val="00A14D4D"/>
    <w:rsid w:val="00A14DA3"/>
    <w:rsid w:val="00A14DCD"/>
    <w:rsid w:val="00A14E5B"/>
    <w:rsid w:val="00A14E81"/>
    <w:rsid w:val="00A14EC2"/>
    <w:rsid w:val="00A14EE5"/>
    <w:rsid w:val="00A14EEF"/>
    <w:rsid w:val="00A14F19"/>
    <w:rsid w:val="00A14FC8"/>
    <w:rsid w:val="00A14FE9"/>
    <w:rsid w:val="00A1504E"/>
    <w:rsid w:val="00A15058"/>
    <w:rsid w:val="00A15069"/>
    <w:rsid w:val="00A1508E"/>
    <w:rsid w:val="00A15096"/>
    <w:rsid w:val="00A150E2"/>
    <w:rsid w:val="00A15197"/>
    <w:rsid w:val="00A151A9"/>
    <w:rsid w:val="00A1524F"/>
    <w:rsid w:val="00A1526D"/>
    <w:rsid w:val="00A1527A"/>
    <w:rsid w:val="00A1527B"/>
    <w:rsid w:val="00A152AD"/>
    <w:rsid w:val="00A1534F"/>
    <w:rsid w:val="00A1536D"/>
    <w:rsid w:val="00A1537C"/>
    <w:rsid w:val="00A15472"/>
    <w:rsid w:val="00A154F6"/>
    <w:rsid w:val="00A154F9"/>
    <w:rsid w:val="00A15502"/>
    <w:rsid w:val="00A1551E"/>
    <w:rsid w:val="00A1558B"/>
    <w:rsid w:val="00A155B0"/>
    <w:rsid w:val="00A15629"/>
    <w:rsid w:val="00A1566C"/>
    <w:rsid w:val="00A15714"/>
    <w:rsid w:val="00A1574A"/>
    <w:rsid w:val="00A1576B"/>
    <w:rsid w:val="00A157AD"/>
    <w:rsid w:val="00A157B1"/>
    <w:rsid w:val="00A1582A"/>
    <w:rsid w:val="00A1586A"/>
    <w:rsid w:val="00A158BA"/>
    <w:rsid w:val="00A158EB"/>
    <w:rsid w:val="00A15901"/>
    <w:rsid w:val="00A15935"/>
    <w:rsid w:val="00A159C0"/>
    <w:rsid w:val="00A159C5"/>
    <w:rsid w:val="00A159DA"/>
    <w:rsid w:val="00A159E4"/>
    <w:rsid w:val="00A15A0C"/>
    <w:rsid w:val="00A15A30"/>
    <w:rsid w:val="00A15A58"/>
    <w:rsid w:val="00A15A7F"/>
    <w:rsid w:val="00A15AC4"/>
    <w:rsid w:val="00A15B08"/>
    <w:rsid w:val="00A15BF6"/>
    <w:rsid w:val="00A15BFE"/>
    <w:rsid w:val="00A15CD1"/>
    <w:rsid w:val="00A15D03"/>
    <w:rsid w:val="00A15D3E"/>
    <w:rsid w:val="00A15D9F"/>
    <w:rsid w:val="00A15DBC"/>
    <w:rsid w:val="00A15E6C"/>
    <w:rsid w:val="00A15E71"/>
    <w:rsid w:val="00A15F24"/>
    <w:rsid w:val="00A15F2F"/>
    <w:rsid w:val="00A15F51"/>
    <w:rsid w:val="00A16002"/>
    <w:rsid w:val="00A16035"/>
    <w:rsid w:val="00A160A1"/>
    <w:rsid w:val="00A160B8"/>
    <w:rsid w:val="00A160F2"/>
    <w:rsid w:val="00A1610A"/>
    <w:rsid w:val="00A16122"/>
    <w:rsid w:val="00A16138"/>
    <w:rsid w:val="00A1613E"/>
    <w:rsid w:val="00A16148"/>
    <w:rsid w:val="00A1617A"/>
    <w:rsid w:val="00A1620E"/>
    <w:rsid w:val="00A1621E"/>
    <w:rsid w:val="00A162B1"/>
    <w:rsid w:val="00A162E9"/>
    <w:rsid w:val="00A163AC"/>
    <w:rsid w:val="00A163F8"/>
    <w:rsid w:val="00A16448"/>
    <w:rsid w:val="00A1647D"/>
    <w:rsid w:val="00A164B1"/>
    <w:rsid w:val="00A1651A"/>
    <w:rsid w:val="00A1651C"/>
    <w:rsid w:val="00A16539"/>
    <w:rsid w:val="00A16544"/>
    <w:rsid w:val="00A1656F"/>
    <w:rsid w:val="00A165AF"/>
    <w:rsid w:val="00A16653"/>
    <w:rsid w:val="00A16677"/>
    <w:rsid w:val="00A16692"/>
    <w:rsid w:val="00A16699"/>
    <w:rsid w:val="00A166AA"/>
    <w:rsid w:val="00A166B5"/>
    <w:rsid w:val="00A1672E"/>
    <w:rsid w:val="00A16782"/>
    <w:rsid w:val="00A16790"/>
    <w:rsid w:val="00A1679B"/>
    <w:rsid w:val="00A167B3"/>
    <w:rsid w:val="00A167E1"/>
    <w:rsid w:val="00A16855"/>
    <w:rsid w:val="00A16976"/>
    <w:rsid w:val="00A169D0"/>
    <w:rsid w:val="00A169E1"/>
    <w:rsid w:val="00A169FB"/>
    <w:rsid w:val="00A16A63"/>
    <w:rsid w:val="00A16A6F"/>
    <w:rsid w:val="00A16A81"/>
    <w:rsid w:val="00A16A85"/>
    <w:rsid w:val="00A16AA6"/>
    <w:rsid w:val="00A16ACD"/>
    <w:rsid w:val="00A16AFE"/>
    <w:rsid w:val="00A16B18"/>
    <w:rsid w:val="00A16B80"/>
    <w:rsid w:val="00A16B98"/>
    <w:rsid w:val="00A16BBD"/>
    <w:rsid w:val="00A16BD1"/>
    <w:rsid w:val="00A16C34"/>
    <w:rsid w:val="00A16C63"/>
    <w:rsid w:val="00A16C87"/>
    <w:rsid w:val="00A16CD5"/>
    <w:rsid w:val="00A16D5C"/>
    <w:rsid w:val="00A16D5E"/>
    <w:rsid w:val="00A16D80"/>
    <w:rsid w:val="00A16DDB"/>
    <w:rsid w:val="00A16E1C"/>
    <w:rsid w:val="00A16F56"/>
    <w:rsid w:val="00A170A3"/>
    <w:rsid w:val="00A1710E"/>
    <w:rsid w:val="00A17203"/>
    <w:rsid w:val="00A1721E"/>
    <w:rsid w:val="00A1738A"/>
    <w:rsid w:val="00A173B0"/>
    <w:rsid w:val="00A173DD"/>
    <w:rsid w:val="00A17402"/>
    <w:rsid w:val="00A17509"/>
    <w:rsid w:val="00A17529"/>
    <w:rsid w:val="00A17560"/>
    <w:rsid w:val="00A17588"/>
    <w:rsid w:val="00A175A9"/>
    <w:rsid w:val="00A175AA"/>
    <w:rsid w:val="00A175B0"/>
    <w:rsid w:val="00A17648"/>
    <w:rsid w:val="00A1764E"/>
    <w:rsid w:val="00A176CC"/>
    <w:rsid w:val="00A176D9"/>
    <w:rsid w:val="00A176DE"/>
    <w:rsid w:val="00A17713"/>
    <w:rsid w:val="00A17792"/>
    <w:rsid w:val="00A177FC"/>
    <w:rsid w:val="00A17884"/>
    <w:rsid w:val="00A17894"/>
    <w:rsid w:val="00A178B6"/>
    <w:rsid w:val="00A178D7"/>
    <w:rsid w:val="00A17926"/>
    <w:rsid w:val="00A17979"/>
    <w:rsid w:val="00A17983"/>
    <w:rsid w:val="00A1798E"/>
    <w:rsid w:val="00A179B1"/>
    <w:rsid w:val="00A17A06"/>
    <w:rsid w:val="00A17A2B"/>
    <w:rsid w:val="00A17A3C"/>
    <w:rsid w:val="00A17A8A"/>
    <w:rsid w:val="00A17B1F"/>
    <w:rsid w:val="00A17BE2"/>
    <w:rsid w:val="00A17CB7"/>
    <w:rsid w:val="00A17CCB"/>
    <w:rsid w:val="00A17D16"/>
    <w:rsid w:val="00A17D87"/>
    <w:rsid w:val="00A17D89"/>
    <w:rsid w:val="00A17DE1"/>
    <w:rsid w:val="00A17E06"/>
    <w:rsid w:val="00A17E3E"/>
    <w:rsid w:val="00A17E40"/>
    <w:rsid w:val="00A17E7D"/>
    <w:rsid w:val="00A17F3E"/>
    <w:rsid w:val="00A17F74"/>
    <w:rsid w:val="00A17FA8"/>
    <w:rsid w:val="00A2008D"/>
    <w:rsid w:val="00A200FA"/>
    <w:rsid w:val="00A20206"/>
    <w:rsid w:val="00A20214"/>
    <w:rsid w:val="00A203AA"/>
    <w:rsid w:val="00A203D1"/>
    <w:rsid w:val="00A20438"/>
    <w:rsid w:val="00A20488"/>
    <w:rsid w:val="00A2057C"/>
    <w:rsid w:val="00A205AA"/>
    <w:rsid w:val="00A20663"/>
    <w:rsid w:val="00A206CB"/>
    <w:rsid w:val="00A2071C"/>
    <w:rsid w:val="00A207AB"/>
    <w:rsid w:val="00A207D9"/>
    <w:rsid w:val="00A208AD"/>
    <w:rsid w:val="00A20947"/>
    <w:rsid w:val="00A20984"/>
    <w:rsid w:val="00A209BC"/>
    <w:rsid w:val="00A209DD"/>
    <w:rsid w:val="00A20B40"/>
    <w:rsid w:val="00A20B6E"/>
    <w:rsid w:val="00A20B96"/>
    <w:rsid w:val="00A20BC9"/>
    <w:rsid w:val="00A20C60"/>
    <w:rsid w:val="00A20C8E"/>
    <w:rsid w:val="00A20CDE"/>
    <w:rsid w:val="00A20D68"/>
    <w:rsid w:val="00A20D9D"/>
    <w:rsid w:val="00A20E02"/>
    <w:rsid w:val="00A20E1E"/>
    <w:rsid w:val="00A20E8D"/>
    <w:rsid w:val="00A20EAA"/>
    <w:rsid w:val="00A20EE4"/>
    <w:rsid w:val="00A20F13"/>
    <w:rsid w:val="00A20F37"/>
    <w:rsid w:val="00A20F7F"/>
    <w:rsid w:val="00A20FA9"/>
    <w:rsid w:val="00A21036"/>
    <w:rsid w:val="00A2105B"/>
    <w:rsid w:val="00A2107E"/>
    <w:rsid w:val="00A210D3"/>
    <w:rsid w:val="00A210DF"/>
    <w:rsid w:val="00A210F0"/>
    <w:rsid w:val="00A210FC"/>
    <w:rsid w:val="00A21114"/>
    <w:rsid w:val="00A2113D"/>
    <w:rsid w:val="00A21141"/>
    <w:rsid w:val="00A21181"/>
    <w:rsid w:val="00A211CE"/>
    <w:rsid w:val="00A21233"/>
    <w:rsid w:val="00A21255"/>
    <w:rsid w:val="00A21271"/>
    <w:rsid w:val="00A212B2"/>
    <w:rsid w:val="00A21302"/>
    <w:rsid w:val="00A21485"/>
    <w:rsid w:val="00A214CD"/>
    <w:rsid w:val="00A214E5"/>
    <w:rsid w:val="00A21522"/>
    <w:rsid w:val="00A215A9"/>
    <w:rsid w:val="00A21666"/>
    <w:rsid w:val="00A216C7"/>
    <w:rsid w:val="00A21731"/>
    <w:rsid w:val="00A21769"/>
    <w:rsid w:val="00A2177C"/>
    <w:rsid w:val="00A2178E"/>
    <w:rsid w:val="00A21796"/>
    <w:rsid w:val="00A2179E"/>
    <w:rsid w:val="00A217AC"/>
    <w:rsid w:val="00A217D1"/>
    <w:rsid w:val="00A217EB"/>
    <w:rsid w:val="00A21812"/>
    <w:rsid w:val="00A21838"/>
    <w:rsid w:val="00A21851"/>
    <w:rsid w:val="00A218A6"/>
    <w:rsid w:val="00A218B1"/>
    <w:rsid w:val="00A218D4"/>
    <w:rsid w:val="00A219CE"/>
    <w:rsid w:val="00A21A3A"/>
    <w:rsid w:val="00A21A90"/>
    <w:rsid w:val="00A21AD4"/>
    <w:rsid w:val="00A21B1D"/>
    <w:rsid w:val="00A21BA1"/>
    <w:rsid w:val="00A21C9A"/>
    <w:rsid w:val="00A21D41"/>
    <w:rsid w:val="00A21D84"/>
    <w:rsid w:val="00A21DA3"/>
    <w:rsid w:val="00A21DAE"/>
    <w:rsid w:val="00A21DE5"/>
    <w:rsid w:val="00A21E16"/>
    <w:rsid w:val="00A21EBB"/>
    <w:rsid w:val="00A21F91"/>
    <w:rsid w:val="00A21FDB"/>
    <w:rsid w:val="00A21FF3"/>
    <w:rsid w:val="00A22064"/>
    <w:rsid w:val="00A220E2"/>
    <w:rsid w:val="00A220E5"/>
    <w:rsid w:val="00A22139"/>
    <w:rsid w:val="00A2213D"/>
    <w:rsid w:val="00A221F4"/>
    <w:rsid w:val="00A222D2"/>
    <w:rsid w:val="00A22304"/>
    <w:rsid w:val="00A22327"/>
    <w:rsid w:val="00A2235A"/>
    <w:rsid w:val="00A22380"/>
    <w:rsid w:val="00A22389"/>
    <w:rsid w:val="00A223C7"/>
    <w:rsid w:val="00A22438"/>
    <w:rsid w:val="00A2248B"/>
    <w:rsid w:val="00A224CA"/>
    <w:rsid w:val="00A224F2"/>
    <w:rsid w:val="00A224FC"/>
    <w:rsid w:val="00A22528"/>
    <w:rsid w:val="00A22576"/>
    <w:rsid w:val="00A22603"/>
    <w:rsid w:val="00A226CC"/>
    <w:rsid w:val="00A22775"/>
    <w:rsid w:val="00A2277E"/>
    <w:rsid w:val="00A227AC"/>
    <w:rsid w:val="00A2286D"/>
    <w:rsid w:val="00A22883"/>
    <w:rsid w:val="00A2294E"/>
    <w:rsid w:val="00A2294F"/>
    <w:rsid w:val="00A229D8"/>
    <w:rsid w:val="00A22A77"/>
    <w:rsid w:val="00A22AEB"/>
    <w:rsid w:val="00A22B97"/>
    <w:rsid w:val="00A22BD8"/>
    <w:rsid w:val="00A22BF9"/>
    <w:rsid w:val="00A22C6F"/>
    <w:rsid w:val="00A22CD0"/>
    <w:rsid w:val="00A22CF2"/>
    <w:rsid w:val="00A22DCC"/>
    <w:rsid w:val="00A22E7B"/>
    <w:rsid w:val="00A22ECE"/>
    <w:rsid w:val="00A22F82"/>
    <w:rsid w:val="00A22FA5"/>
    <w:rsid w:val="00A22FBD"/>
    <w:rsid w:val="00A22FD6"/>
    <w:rsid w:val="00A23034"/>
    <w:rsid w:val="00A23055"/>
    <w:rsid w:val="00A2305F"/>
    <w:rsid w:val="00A23068"/>
    <w:rsid w:val="00A2316D"/>
    <w:rsid w:val="00A231EB"/>
    <w:rsid w:val="00A23235"/>
    <w:rsid w:val="00A23319"/>
    <w:rsid w:val="00A2334A"/>
    <w:rsid w:val="00A23391"/>
    <w:rsid w:val="00A233D0"/>
    <w:rsid w:val="00A234B2"/>
    <w:rsid w:val="00A234D4"/>
    <w:rsid w:val="00A23508"/>
    <w:rsid w:val="00A2352B"/>
    <w:rsid w:val="00A2354A"/>
    <w:rsid w:val="00A23571"/>
    <w:rsid w:val="00A235CD"/>
    <w:rsid w:val="00A235E0"/>
    <w:rsid w:val="00A23617"/>
    <w:rsid w:val="00A2361E"/>
    <w:rsid w:val="00A2362C"/>
    <w:rsid w:val="00A236CD"/>
    <w:rsid w:val="00A23778"/>
    <w:rsid w:val="00A237FC"/>
    <w:rsid w:val="00A23831"/>
    <w:rsid w:val="00A2383A"/>
    <w:rsid w:val="00A2384E"/>
    <w:rsid w:val="00A238C4"/>
    <w:rsid w:val="00A23944"/>
    <w:rsid w:val="00A23969"/>
    <w:rsid w:val="00A239A4"/>
    <w:rsid w:val="00A239D3"/>
    <w:rsid w:val="00A239DE"/>
    <w:rsid w:val="00A239E2"/>
    <w:rsid w:val="00A239F8"/>
    <w:rsid w:val="00A23A4E"/>
    <w:rsid w:val="00A23A83"/>
    <w:rsid w:val="00A23BB5"/>
    <w:rsid w:val="00A23BD6"/>
    <w:rsid w:val="00A23BDD"/>
    <w:rsid w:val="00A23DC3"/>
    <w:rsid w:val="00A23E24"/>
    <w:rsid w:val="00A23F28"/>
    <w:rsid w:val="00A23F72"/>
    <w:rsid w:val="00A24069"/>
    <w:rsid w:val="00A24088"/>
    <w:rsid w:val="00A24092"/>
    <w:rsid w:val="00A240BE"/>
    <w:rsid w:val="00A240E1"/>
    <w:rsid w:val="00A241A9"/>
    <w:rsid w:val="00A241C7"/>
    <w:rsid w:val="00A241CB"/>
    <w:rsid w:val="00A241F4"/>
    <w:rsid w:val="00A24371"/>
    <w:rsid w:val="00A24373"/>
    <w:rsid w:val="00A24382"/>
    <w:rsid w:val="00A24404"/>
    <w:rsid w:val="00A24420"/>
    <w:rsid w:val="00A24425"/>
    <w:rsid w:val="00A2445C"/>
    <w:rsid w:val="00A24479"/>
    <w:rsid w:val="00A244C8"/>
    <w:rsid w:val="00A244D2"/>
    <w:rsid w:val="00A244EC"/>
    <w:rsid w:val="00A24564"/>
    <w:rsid w:val="00A24587"/>
    <w:rsid w:val="00A245E4"/>
    <w:rsid w:val="00A24791"/>
    <w:rsid w:val="00A247A9"/>
    <w:rsid w:val="00A247DB"/>
    <w:rsid w:val="00A24808"/>
    <w:rsid w:val="00A2481E"/>
    <w:rsid w:val="00A24833"/>
    <w:rsid w:val="00A248DE"/>
    <w:rsid w:val="00A24928"/>
    <w:rsid w:val="00A24929"/>
    <w:rsid w:val="00A249DD"/>
    <w:rsid w:val="00A249E1"/>
    <w:rsid w:val="00A249F6"/>
    <w:rsid w:val="00A24A3F"/>
    <w:rsid w:val="00A24A57"/>
    <w:rsid w:val="00A24A64"/>
    <w:rsid w:val="00A24AEF"/>
    <w:rsid w:val="00A24B86"/>
    <w:rsid w:val="00A24BA8"/>
    <w:rsid w:val="00A24BB0"/>
    <w:rsid w:val="00A24C4D"/>
    <w:rsid w:val="00A24CFF"/>
    <w:rsid w:val="00A24D27"/>
    <w:rsid w:val="00A24D8F"/>
    <w:rsid w:val="00A24DFC"/>
    <w:rsid w:val="00A24E10"/>
    <w:rsid w:val="00A24E3B"/>
    <w:rsid w:val="00A24E4F"/>
    <w:rsid w:val="00A24E85"/>
    <w:rsid w:val="00A24ED6"/>
    <w:rsid w:val="00A24EF8"/>
    <w:rsid w:val="00A24F11"/>
    <w:rsid w:val="00A24F79"/>
    <w:rsid w:val="00A24F7D"/>
    <w:rsid w:val="00A25029"/>
    <w:rsid w:val="00A2503A"/>
    <w:rsid w:val="00A25049"/>
    <w:rsid w:val="00A25120"/>
    <w:rsid w:val="00A251A1"/>
    <w:rsid w:val="00A251AD"/>
    <w:rsid w:val="00A251AF"/>
    <w:rsid w:val="00A251E4"/>
    <w:rsid w:val="00A25230"/>
    <w:rsid w:val="00A2524E"/>
    <w:rsid w:val="00A25275"/>
    <w:rsid w:val="00A2527F"/>
    <w:rsid w:val="00A25290"/>
    <w:rsid w:val="00A25326"/>
    <w:rsid w:val="00A25395"/>
    <w:rsid w:val="00A253A4"/>
    <w:rsid w:val="00A253A6"/>
    <w:rsid w:val="00A253CB"/>
    <w:rsid w:val="00A253FF"/>
    <w:rsid w:val="00A2556A"/>
    <w:rsid w:val="00A255E1"/>
    <w:rsid w:val="00A2561C"/>
    <w:rsid w:val="00A25628"/>
    <w:rsid w:val="00A25695"/>
    <w:rsid w:val="00A256BC"/>
    <w:rsid w:val="00A256C2"/>
    <w:rsid w:val="00A257B7"/>
    <w:rsid w:val="00A257B8"/>
    <w:rsid w:val="00A257F6"/>
    <w:rsid w:val="00A25825"/>
    <w:rsid w:val="00A25896"/>
    <w:rsid w:val="00A258D7"/>
    <w:rsid w:val="00A25940"/>
    <w:rsid w:val="00A2594C"/>
    <w:rsid w:val="00A25953"/>
    <w:rsid w:val="00A25954"/>
    <w:rsid w:val="00A2595A"/>
    <w:rsid w:val="00A2596E"/>
    <w:rsid w:val="00A259EB"/>
    <w:rsid w:val="00A25A13"/>
    <w:rsid w:val="00A25A77"/>
    <w:rsid w:val="00A25A82"/>
    <w:rsid w:val="00A25A92"/>
    <w:rsid w:val="00A25B8A"/>
    <w:rsid w:val="00A25C35"/>
    <w:rsid w:val="00A25D2D"/>
    <w:rsid w:val="00A25D32"/>
    <w:rsid w:val="00A25D80"/>
    <w:rsid w:val="00A25DA1"/>
    <w:rsid w:val="00A25DA9"/>
    <w:rsid w:val="00A25DC4"/>
    <w:rsid w:val="00A25DC9"/>
    <w:rsid w:val="00A25DE5"/>
    <w:rsid w:val="00A25E66"/>
    <w:rsid w:val="00A25E74"/>
    <w:rsid w:val="00A25EE0"/>
    <w:rsid w:val="00A25F09"/>
    <w:rsid w:val="00A25F9F"/>
    <w:rsid w:val="00A25FC4"/>
    <w:rsid w:val="00A26072"/>
    <w:rsid w:val="00A260C3"/>
    <w:rsid w:val="00A260FC"/>
    <w:rsid w:val="00A2610D"/>
    <w:rsid w:val="00A261C4"/>
    <w:rsid w:val="00A26214"/>
    <w:rsid w:val="00A2629C"/>
    <w:rsid w:val="00A262AB"/>
    <w:rsid w:val="00A26302"/>
    <w:rsid w:val="00A2638C"/>
    <w:rsid w:val="00A263A1"/>
    <w:rsid w:val="00A26416"/>
    <w:rsid w:val="00A2641D"/>
    <w:rsid w:val="00A26430"/>
    <w:rsid w:val="00A26455"/>
    <w:rsid w:val="00A2646E"/>
    <w:rsid w:val="00A2648A"/>
    <w:rsid w:val="00A26493"/>
    <w:rsid w:val="00A2650C"/>
    <w:rsid w:val="00A26536"/>
    <w:rsid w:val="00A26557"/>
    <w:rsid w:val="00A265DA"/>
    <w:rsid w:val="00A26609"/>
    <w:rsid w:val="00A2663C"/>
    <w:rsid w:val="00A26648"/>
    <w:rsid w:val="00A26658"/>
    <w:rsid w:val="00A2668F"/>
    <w:rsid w:val="00A26706"/>
    <w:rsid w:val="00A2671D"/>
    <w:rsid w:val="00A26799"/>
    <w:rsid w:val="00A267B5"/>
    <w:rsid w:val="00A267C7"/>
    <w:rsid w:val="00A26847"/>
    <w:rsid w:val="00A2684D"/>
    <w:rsid w:val="00A2686B"/>
    <w:rsid w:val="00A26877"/>
    <w:rsid w:val="00A2690B"/>
    <w:rsid w:val="00A2692E"/>
    <w:rsid w:val="00A26960"/>
    <w:rsid w:val="00A26970"/>
    <w:rsid w:val="00A26996"/>
    <w:rsid w:val="00A269CF"/>
    <w:rsid w:val="00A269F1"/>
    <w:rsid w:val="00A26A5E"/>
    <w:rsid w:val="00A26A61"/>
    <w:rsid w:val="00A26A8B"/>
    <w:rsid w:val="00A26A92"/>
    <w:rsid w:val="00A26ADF"/>
    <w:rsid w:val="00A26B73"/>
    <w:rsid w:val="00A26B98"/>
    <w:rsid w:val="00A26BE9"/>
    <w:rsid w:val="00A26C02"/>
    <w:rsid w:val="00A26C09"/>
    <w:rsid w:val="00A26C43"/>
    <w:rsid w:val="00A26C9B"/>
    <w:rsid w:val="00A26CAE"/>
    <w:rsid w:val="00A26CD1"/>
    <w:rsid w:val="00A26CF1"/>
    <w:rsid w:val="00A26D0F"/>
    <w:rsid w:val="00A26D15"/>
    <w:rsid w:val="00A26DA8"/>
    <w:rsid w:val="00A26E6E"/>
    <w:rsid w:val="00A26ECD"/>
    <w:rsid w:val="00A26EF1"/>
    <w:rsid w:val="00A26F1F"/>
    <w:rsid w:val="00A26F3E"/>
    <w:rsid w:val="00A27009"/>
    <w:rsid w:val="00A2707D"/>
    <w:rsid w:val="00A2708D"/>
    <w:rsid w:val="00A270DB"/>
    <w:rsid w:val="00A2711D"/>
    <w:rsid w:val="00A27217"/>
    <w:rsid w:val="00A27241"/>
    <w:rsid w:val="00A27243"/>
    <w:rsid w:val="00A272DF"/>
    <w:rsid w:val="00A2731B"/>
    <w:rsid w:val="00A27343"/>
    <w:rsid w:val="00A27350"/>
    <w:rsid w:val="00A27394"/>
    <w:rsid w:val="00A2747C"/>
    <w:rsid w:val="00A274BB"/>
    <w:rsid w:val="00A2750A"/>
    <w:rsid w:val="00A27542"/>
    <w:rsid w:val="00A27570"/>
    <w:rsid w:val="00A27577"/>
    <w:rsid w:val="00A275A6"/>
    <w:rsid w:val="00A275F6"/>
    <w:rsid w:val="00A275FA"/>
    <w:rsid w:val="00A27603"/>
    <w:rsid w:val="00A27739"/>
    <w:rsid w:val="00A27746"/>
    <w:rsid w:val="00A277C9"/>
    <w:rsid w:val="00A2781F"/>
    <w:rsid w:val="00A278CC"/>
    <w:rsid w:val="00A278D0"/>
    <w:rsid w:val="00A278DA"/>
    <w:rsid w:val="00A278FA"/>
    <w:rsid w:val="00A27965"/>
    <w:rsid w:val="00A279BE"/>
    <w:rsid w:val="00A279D9"/>
    <w:rsid w:val="00A279ED"/>
    <w:rsid w:val="00A27A17"/>
    <w:rsid w:val="00A27A59"/>
    <w:rsid w:val="00A27A87"/>
    <w:rsid w:val="00A27A9E"/>
    <w:rsid w:val="00A27B52"/>
    <w:rsid w:val="00A27BBD"/>
    <w:rsid w:val="00A27BC9"/>
    <w:rsid w:val="00A27BE0"/>
    <w:rsid w:val="00A27C86"/>
    <w:rsid w:val="00A27CB2"/>
    <w:rsid w:val="00A27CD6"/>
    <w:rsid w:val="00A27D1F"/>
    <w:rsid w:val="00A27D3A"/>
    <w:rsid w:val="00A27D46"/>
    <w:rsid w:val="00A27D50"/>
    <w:rsid w:val="00A27D87"/>
    <w:rsid w:val="00A27D94"/>
    <w:rsid w:val="00A27DC6"/>
    <w:rsid w:val="00A27E0E"/>
    <w:rsid w:val="00A27F0F"/>
    <w:rsid w:val="00A27F36"/>
    <w:rsid w:val="00A27F71"/>
    <w:rsid w:val="00A27FC0"/>
    <w:rsid w:val="00A27FC3"/>
    <w:rsid w:val="00A30012"/>
    <w:rsid w:val="00A30054"/>
    <w:rsid w:val="00A3005C"/>
    <w:rsid w:val="00A3005D"/>
    <w:rsid w:val="00A3007B"/>
    <w:rsid w:val="00A3008D"/>
    <w:rsid w:val="00A300BD"/>
    <w:rsid w:val="00A3014F"/>
    <w:rsid w:val="00A30179"/>
    <w:rsid w:val="00A301F7"/>
    <w:rsid w:val="00A30200"/>
    <w:rsid w:val="00A30296"/>
    <w:rsid w:val="00A302A6"/>
    <w:rsid w:val="00A302C4"/>
    <w:rsid w:val="00A302F2"/>
    <w:rsid w:val="00A30356"/>
    <w:rsid w:val="00A30370"/>
    <w:rsid w:val="00A30388"/>
    <w:rsid w:val="00A303BD"/>
    <w:rsid w:val="00A303C0"/>
    <w:rsid w:val="00A303C3"/>
    <w:rsid w:val="00A303DF"/>
    <w:rsid w:val="00A30422"/>
    <w:rsid w:val="00A3042C"/>
    <w:rsid w:val="00A30476"/>
    <w:rsid w:val="00A304C7"/>
    <w:rsid w:val="00A3056C"/>
    <w:rsid w:val="00A305CB"/>
    <w:rsid w:val="00A305E0"/>
    <w:rsid w:val="00A30650"/>
    <w:rsid w:val="00A30651"/>
    <w:rsid w:val="00A3065A"/>
    <w:rsid w:val="00A30679"/>
    <w:rsid w:val="00A306E8"/>
    <w:rsid w:val="00A30762"/>
    <w:rsid w:val="00A307B7"/>
    <w:rsid w:val="00A30891"/>
    <w:rsid w:val="00A30937"/>
    <w:rsid w:val="00A3098A"/>
    <w:rsid w:val="00A30A4F"/>
    <w:rsid w:val="00A30A7B"/>
    <w:rsid w:val="00A30A88"/>
    <w:rsid w:val="00A30B71"/>
    <w:rsid w:val="00A30B91"/>
    <w:rsid w:val="00A30B95"/>
    <w:rsid w:val="00A30BB5"/>
    <w:rsid w:val="00A30C9D"/>
    <w:rsid w:val="00A30CE9"/>
    <w:rsid w:val="00A30D4F"/>
    <w:rsid w:val="00A30D5B"/>
    <w:rsid w:val="00A30DA9"/>
    <w:rsid w:val="00A30E2A"/>
    <w:rsid w:val="00A30E5F"/>
    <w:rsid w:val="00A30E83"/>
    <w:rsid w:val="00A30E89"/>
    <w:rsid w:val="00A30F16"/>
    <w:rsid w:val="00A30F20"/>
    <w:rsid w:val="00A30F40"/>
    <w:rsid w:val="00A30FA5"/>
    <w:rsid w:val="00A30FE3"/>
    <w:rsid w:val="00A31098"/>
    <w:rsid w:val="00A310E5"/>
    <w:rsid w:val="00A3112D"/>
    <w:rsid w:val="00A31139"/>
    <w:rsid w:val="00A31149"/>
    <w:rsid w:val="00A31159"/>
    <w:rsid w:val="00A31195"/>
    <w:rsid w:val="00A31198"/>
    <w:rsid w:val="00A3119A"/>
    <w:rsid w:val="00A3121B"/>
    <w:rsid w:val="00A3121C"/>
    <w:rsid w:val="00A3125F"/>
    <w:rsid w:val="00A312ED"/>
    <w:rsid w:val="00A313BD"/>
    <w:rsid w:val="00A313D0"/>
    <w:rsid w:val="00A313DD"/>
    <w:rsid w:val="00A3142C"/>
    <w:rsid w:val="00A3144D"/>
    <w:rsid w:val="00A3146D"/>
    <w:rsid w:val="00A31476"/>
    <w:rsid w:val="00A31481"/>
    <w:rsid w:val="00A31489"/>
    <w:rsid w:val="00A314A8"/>
    <w:rsid w:val="00A314EE"/>
    <w:rsid w:val="00A31510"/>
    <w:rsid w:val="00A31558"/>
    <w:rsid w:val="00A315BF"/>
    <w:rsid w:val="00A315C2"/>
    <w:rsid w:val="00A31614"/>
    <w:rsid w:val="00A31638"/>
    <w:rsid w:val="00A31683"/>
    <w:rsid w:val="00A316AD"/>
    <w:rsid w:val="00A316CE"/>
    <w:rsid w:val="00A3173E"/>
    <w:rsid w:val="00A31768"/>
    <w:rsid w:val="00A3176E"/>
    <w:rsid w:val="00A317F4"/>
    <w:rsid w:val="00A31843"/>
    <w:rsid w:val="00A3188E"/>
    <w:rsid w:val="00A3189A"/>
    <w:rsid w:val="00A3198A"/>
    <w:rsid w:val="00A319A3"/>
    <w:rsid w:val="00A319E6"/>
    <w:rsid w:val="00A319EF"/>
    <w:rsid w:val="00A31A86"/>
    <w:rsid w:val="00A31AD7"/>
    <w:rsid w:val="00A31B38"/>
    <w:rsid w:val="00A31B3C"/>
    <w:rsid w:val="00A31B55"/>
    <w:rsid w:val="00A31B8D"/>
    <w:rsid w:val="00A31B9A"/>
    <w:rsid w:val="00A31C45"/>
    <w:rsid w:val="00A31C8A"/>
    <w:rsid w:val="00A31C9F"/>
    <w:rsid w:val="00A31D0A"/>
    <w:rsid w:val="00A31D79"/>
    <w:rsid w:val="00A31E2C"/>
    <w:rsid w:val="00A31E8A"/>
    <w:rsid w:val="00A31F12"/>
    <w:rsid w:val="00A31F27"/>
    <w:rsid w:val="00A31F8B"/>
    <w:rsid w:val="00A31FE1"/>
    <w:rsid w:val="00A31FEE"/>
    <w:rsid w:val="00A320AE"/>
    <w:rsid w:val="00A320C1"/>
    <w:rsid w:val="00A320E1"/>
    <w:rsid w:val="00A3213B"/>
    <w:rsid w:val="00A32145"/>
    <w:rsid w:val="00A321CE"/>
    <w:rsid w:val="00A3222F"/>
    <w:rsid w:val="00A322A1"/>
    <w:rsid w:val="00A32390"/>
    <w:rsid w:val="00A323D0"/>
    <w:rsid w:val="00A323DA"/>
    <w:rsid w:val="00A323F6"/>
    <w:rsid w:val="00A32418"/>
    <w:rsid w:val="00A3243B"/>
    <w:rsid w:val="00A3243D"/>
    <w:rsid w:val="00A32495"/>
    <w:rsid w:val="00A324F3"/>
    <w:rsid w:val="00A32519"/>
    <w:rsid w:val="00A32555"/>
    <w:rsid w:val="00A3256A"/>
    <w:rsid w:val="00A325AA"/>
    <w:rsid w:val="00A325D3"/>
    <w:rsid w:val="00A325D9"/>
    <w:rsid w:val="00A32603"/>
    <w:rsid w:val="00A3263D"/>
    <w:rsid w:val="00A326A1"/>
    <w:rsid w:val="00A326BA"/>
    <w:rsid w:val="00A326C7"/>
    <w:rsid w:val="00A3270D"/>
    <w:rsid w:val="00A3272C"/>
    <w:rsid w:val="00A3282A"/>
    <w:rsid w:val="00A32893"/>
    <w:rsid w:val="00A328B4"/>
    <w:rsid w:val="00A328D7"/>
    <w:rsid w:val="00A328E2"/>
    <w:rsid w:val="00A32900"/>
    <w:rsid w:val="00A3293E"/>
    <w:rsid w:val="00A32A65"/>
    <w:rsid w:val="00A32AD7"/>
    <w:rsid w:val="00A32B00"/>
    <w:rsid w:val="00A32BBE"/>
    <w:rsid w:val="00A32C0D"/>
    <w:rsid w:val="00A32C40"/>
    <w:rsid w:val="00A32C61"/>
    <w:rsid w:val="00A32C88"/>
    <w:rsid w:val="00A32CF0"/>
    <w:rsid w:val="00A32CF7"/>
    <w:rsid w:val="00A32D07"/>
    <w:rsid w:val="00A32D27"/>
    <w:rsid w:val="00A32D4F"/>
    <w:rsid w:val="00A32D6B"/>
    <w:rsid w:val="00A32D8E"/>
    <w:rsid w:val="00A32E0D"/>
    <w:rsid w:val="00A32E1A"/>
    <w:rsid w:val="00A32E61"/>
    <w:rsid w:val="00A32ECD"/>
    <w:rsid w:val="00A32EDC"/>
    <w:rsid w:val="00A32F4C"/>
    <w:rsid w:val="00A32F6E"/>
    <w:rsid w:val="00A32FBC"/>
    <w:rsid w:val="00A3300E"/>
    <w:rsid w:val="00A33071"/>
    <w:rsid w:val="00A33083"/>
    <w:rsid w:val="00A330AB"/>
    <w:rsid w:val="00A330D7"/>
    <w:rsid w:val="00A3312B"/>
    <w:rsid w:val="00A3316D"/>
    <w:rsid w:val="00A331AC"/>
    <w:rsid w:val="00A331AD"/>
    <w:rsid w:val="00A331D2"/>
    <w:rsid w:val="00A33200"/>
    <w:rsid w:val="00A3321B"/>
    <w:rsid w:val="00A33244"/>
    <w:rsid w:val="00A33273"/>
    <w:rsid w:val="00A3329C"/>
    <w:rsid w:val="00A332BA"/>
    <w:rsid w:val="00A33349"/>
    <w:rsid w:val="00A3337D"/>
    <w:rsid w:val="00A333BB"/>
    <w:rsid w:val="00A334E8"/>
    <w:rsid w:val="00A334ED"/>
    <w:rsid w:val="00A33573"/>
    <w:rsid w:val="00A3359C"/>
    <w:rsid w:val="00A335A1"/>
    <w:rsid w:val="00A335CD"/>
    <w:rsid w:val="00A3362F"/>
    <w:rsid w:val="00A336A3"/>
    <w:rsid w:val="00A336DC"/>
    <w:rsid w:val="00A33732"/>
    <w:rsid w:val="00A33820"/>
    <w:rsid w:val="00A3385E"/>
    <w:rsid w:val="00A338BF"/>
    <w:rsid w:val="00A338D5"/>
    <w:rsid w:val="00A33A1D"/>
    <w:rsid w:val="00A33A5A"/>
    <w:rsid w:val="00A33A9D"/>
    <w:rsid w:val="00A33A9E"/>
    <w:rsid w:val="00A33B2B"/>
    <w:rsid w:val="00A33B30"/>
    <w:rsid w:val="00A33B66"/>
    <w:rsid w:val="00A33B77"/>
    <w:rsid w:val="00A33B7C"/>
    <w:rsid w:val="00A33BF1"/>
    <w:rsid w:val="00A33CAD"/>
    <w:rsid w:val="00A33CB4"/>
    <w:rsid w:val="00A33CBE"/>
    <w:rsid w:val="00A33CE1"/>
    <w:rsid w:val="00A33D78"/>
    <w:rsid w:val="00A33DC6"/>
    <w:rsid w:val="00A33DF6"/>
    <w:rsid w:val="00A33E33"/>
    <w:rsid w:val="00A33EC4"/>
    <w:rsid w:val="00A33FF9"/>
    <w:rsid w:val="00A34043"/>
    <w:rsid w:val="00A340C9"/>
    <w:rsid w:val="00A340F1"/>
    <w:rsid w:val="00A34115"/>
    <w:rsid w:val="00A34127"/>
    <w:rsid w:val="00A34133"/>
    <w:rsid w:val="00A34191"/>
    <w:rsid w:val="00A342FF"/>
    <w:rsid w:val="00A34350"/>
    <w:rsid w:val="00A34370"/>
    <w:rsid w:val="00A343CE"/>
    <w:rsid w:val="00A34491"/>
    <w:rsid w:val="00A3451A"/>
    <w:rsid w:val="00A3451B"/>
    <w:rsid w:val="00A3458B"/>
    <w:rsid w:val="00A345BA"/>
    <w:rsid w:val="00A34630"/>
    <w:rsid w:val="00A34641"/>
    <w:rsid w:val="00A34684"/>
    <w:rsid w:val="00A346B1"/>
    <w:rsid w:val="00A34744"/>
    <w:rsid w:val="00A3475E"/>
    <w:rsid w:val="00A3480C"/>
    <w:rsid w:val="00A3488B"/>
    <w:rsid w:val="00A34897"/>
    <w:rsid w:val="00A348D1"/>
    <w:rsid w:val="00A3492B"/>
    <w:rsid w:val="00A349C6"/>
    <w:rsid w:val="00A349F1"/>
    <w:rsid w:val="00A34A7E"/>
    <w:rsid w:val="00A34A93"/>
    <w:rsid w:val="00A34C27"/>
    <w:rsid w:val="00A34CA7"/>
    <w:rsid w:val="00A34CB2"/>
    <w:rsid w:val="00A34D20"/>
    <w:rsid w:val="00A34D70"/>
    <w:rsid w:val="00A34D80"/>
    <w:rsid w:val="00A34D92"/>
    <w:rsid w:val="00A34DCB"/>
    <w:rsid w:val="00A34DE8"/>
    <w:rsid w:val="00A34E01"/>
    <w:rsid w:val="00A34E33"/>
    <w:rsid w:val="00A34E5B"/>
    <w:rsid w:val="00A34EA1"/>
    <w:rsid w:val="00A34F1C"/>
    <w:rsid w:val="00A34F72"/>
    <w:rsid w:val="00A34F87"/>
    <w:rsid w:val="00A34F9A"/>
    <w:rsid w:val="00A34FF8"/>
    <w:rsid w:val="00A34FFA"/>
    <w:rsid w:val="00A35017"/>
    <w:rsid w:val="00A35047"/>
    <w:rsid w:val="00A3515B"/>
    <w:rsid w:val="00A35196"/>
    <w:rsid w:val="00A351A6"/>
    <w:rsid w:val="00A351B1"/>
    <w:rsid w:val="00A351D7"/>
    <w:rsid w:val="00A35225"/>
    <w:rsid w:val="00A3524B"/>
    <w:rsid w:val="00A352E2"/>
    <w:rsid w:val="00A3530C"/>
    <w:rsid w:val="00A3533F"/>
    <w:rsid w:val="00A35346"/>
    <w:rsid w:val="00A3535C"/>
    <w:rsid w:val="00A35373"/>
    <w:rsid w:val="00A35439"/>
    <w:rsid w:val="00A3546D"/>
    <w:rsid w:val="00A354C4"/>
    <w:rsid w:val="00A354E9"/>
    <w:rsid w:val="00A35501"/>
    <w:rsid w:val="00A3554B"/>
    <w:rsid w:val="00A35553"/>
    <w:rsid w:val="00A35632"/>
    <w:rsid w:val="00A3569C"/>
    <w:rsid w:val="00A356ED"/>
    <w:rsid w:val="00A356F8"/>
    <w:rsid w:val="00A35780"/>
    <w:rsid w:val="00A357A7"/>
    <w:rsid w:val="00A357D8"/>
    <w:rsid w:val="00A35844"/>
    <w:rsid w:val="00A3584C"/>
    <w:rsid w:val="00A3585A"/>
    <w:rsid w:val="00A3586B"/>
    <w:rsid w:val="00A358A4"/>
    <w:rsid w:val="00A358E0"/>
    <w:rsid w:val="00A358F3"/>
    <w:rsid w:val="00A35902"/>
    <w:rsid w:val="00A35934"/>
    <w:rsid w:val="00A35943"/>
    <w:rsid w:val="00A35950"/>
    <w:rsid w:val="00A3599D"/>
    <w:rsid w:val="00A359EC"/>
    <w:rsid w:val="00A35A18"/>
    <w:rsid w:val="00A35A34"/>
    <w:rsid w:val="00A35A5F"/>
    <w:rsid w:val="00A35ABD"/>
    <w:rsid w:val="00A35B11"/>
    <w:rsid w:val="00A35BE9"/>
    <w:rsid w:val="00A35BF8"/>
    <w:rsid w:val="00A35C1D"/>
    <w:rsid w:val="00A35C59"/>
    <w:rsid w:val="00A35CFF"/>
    <w:rsid w:val="00A35D08"/>
    <w:rsid w:val="00A35D23"/>
    <w:rsid w:val="00A35D2E"/>
    <w:rsid w:val="00A35D3E"/>
    <w:rsid w:val="00A35D46"/>
    <w:rsid w:val="00A35D6A"/>
    <w:rsid w:val="00A35D77"/>
    <w:rsid w:val="00A35D82"/>
    <w:rsid w:val="00A35DA9"/>
    <w:rsid w:val="00A35E3C"/>
    <w:rsid w:val="00A35E44"/>
    <w:rsid w:val="00A35F05"/>
    <w:rsid w:val="00A35F1A"/>
    <w:rsid w:val="00A35F35"/>
    <w:rsid w:val="00A35F64"/>
    <w:rsid w:val="00A360A4"/>
    <w:rsid w:val="00A3617A"/>
    <w:rsid w:val="00A36282"/>
    <w:rsid w:val="00A362A4"/>
    <w:rsid w:val="00A362D9"/>
    <w:rsid w:val="00A3631E"/>
    <w:rsid w:val="00A36333"/>
    <w:rsid w:val="00A36337"/>
    <w:rsid w:val="00A36379"/>
    <w:rsid w:val="00A36393"/>
    <w:rsid w:val="00A363AF"/>
    <w:rsid w:val="00A363D9"/>
    <w:rsid w:val="00A363F2"/>
    <w:rsid w:val="00A36427"/>
    <w:rsid w:val="00A36471"/>
    <w:rsid w:val="00A3647A"/>
    <w:rsid w:val="00A3649F"/>
    <w:rsid w:val="00A364BF"/>
    <w:rsid w:val="00A364D2"/>
    <w:rsid w:val="00A364DB"/>
    <w:rsid w:val="00A3652F"/>
    <w:rsid w:val="00A36581"/>
    <w:rsid w:val="00A36588"/>
    <w:rsid w:val="00A3659A"/>
    <w:rsid w:val="00A365D3"/>
    <w:rsid w:val="00A365E0"/>
    <w:rsid w:val="00A36618"/>
    <w:rsid w:val="00A36651"/>
    <w:rsid w:val="00A3666E"/>
    <w:rsid w:val="00A366BA"/>
    <w:rsid w:val="00A366EC"/>
    <w:rsid w:val="00A36702"/>
    <w:rsid w:val="00A36718"/>
    <w:rsid w:val="00A3676E"/>
    <w:rsid w:val="00A3677E"/>
    <w:rsid w:val="00A3678D"/>
    <w:rsid w:val="00A367E6"/>
    <w:rsid w:val="00A36823"/>
    <w:rsid w:val="00A368B9"/>
    <w:rsid w:val="00A36931"/>
    <w:rsid w:val="00A36960"/>
    <w:rsid w:val="00A36A57"/>
    <w:rsid w:val="00A36A9F"/>
    <w:rsid w:val="00A36B21"/>
    <w:rsid w:val="00A36B60"/>
    <w:rsid w:val="00A36BBB"/>
    <w:rsid w:val="00A36BCE"/>
    <w:rsid w:val="00A36C3A"/>
    <w:rsid w:val="00A36C47"/>
    <w:rsid w:val="00A36C7A"/>
    <w:rsid w:val="00A36CA1"/>
    <w:rsid w:val="00A36CD0"/>
    <w:rsid w:val="00A36CE2"/>
    <w:rsid w:val="00A36D99"/>
    <w:rsid w:val="00A36E23"/>
    <w:rsid w:val="00A36E58"/>
    <w:rsid w:val="00A36EED"/>
    <w:rsid w:val="00A36F3C"/>
    <w:rsid w:val="00A36F7F"/>
    <w:rsid w:val="00A36F98"/>
    <w:rsid w:val="00A36FA4"/>
    <w:rsid w:val="00A36FE2"/>
    <w:rsid w:val="00A37060"/>
    <w:rsid w:val="00A370CC"/>
    <w:rsid w:val="00A3710A"/>
    <w:rsid w:val="00A37113"/>
    <w:rsid w:val="00A37124"/>
    <w:rsid w:val="00A3714F"/>
    <w:rsid w:val="00A37178"/>
    <w:rsid w:val="00A3718F"/>
    <w:rsid w:val="00A3719A"/>
    <w:rsid w:val="00A371B2"/>
    <w:rsid w:val="00A371C7"/>
    <w:rsid w:val="00A371D6"/>
    <w:rsid w:val="00A371EC"/>
    <w:rsid w:val="00A371F3"/>
    <w:rsid w:val="00A37210"/>
    <w:rsid w:val="00A37216"/>
    <w:rsid w:val="00A37244"/>
    <w:rsid w:val="00A37257"/>
    <w:rsid w:val="00A37272"/>
    <w:rsid w:val="00A372A6"/>
    <w:rsid w:val="00A372CB"/>
    <w:rsid w:val="00A37339"/>
    <w:rsid w:val="00A37379"/>
    <w:rsid w:val="00A37388"/>
    <w:rsid w:val="00A373FF"/>
    <w:rsid w:val="00A37449"/>
    <w:rsid w:val="00A37479"/>
    <w:rsid w:val="00A3749B"/>
    <w:rsid w:val="00A374E6"/>
    <w:rsid w:val="00A37584"/>
    <w:rsid w:val="00A375CA"/>
    <w:rsid w:val="00A375D3"/>
    <w:rsid w:val="00A37615"/>
    <w:rsid w:val="00A37649"/>
    <w:rsid w:val="00A37699"/>
    <w:rsid w:val="00A3772E"/>
    <w:rsid w:val="00A377E0"/>
    <w:rsid w:val="00A37880"/>
    <w:rsid w:val="00A37982"/>
    <w:rsid w:val="00A379A0"/>
    <w:rsid w:val="00A37A2A"/>
    <w:rsid w:val="00A37A39"/>
    <w:rsid w:val="00A37A6A"/>
    <w:rsid w:val="00A37AC4"/>
    <w:rsid w:val="00A37B37"/>
    <w:rsid w:val="00A37B4C"/>
    <w:rsid w:val="00A37B62"/>
    <w:rsid w:val="00A37B67"/>
    <w:rsid w:val="00A37B68"/>
    <w:rsid w:val="00A37B74"/>
    <w:rsid w:val="00A37BC0"/>
    <w:rsid w:val="00A37C0E"/>
    <w:rsid w:val="00A37CB6"/>
    <w:rsid w:val="00A37CC4"/>
    <w:rsid w:val="00A37D87"/>
    <w:rsid w:val="00A37D88"/>
    <w:rsid w:val="00A37DC5"/>
    <w:rsid w:val="00A37E18"/>
    <w:rsid w:val="00A37E19"/>
    <w:rsid w:val="00A37E2B"/>
    <w:rsid w:val="00A37E59"/>
    <w:rsid w:val="00A37E7B"/>
    <w:rsid w:val="00A37EE5"/>
    <w:rsid w:val="00A37EF5"/>
    <w:rsid w:val="00A37F33"/>
    <w:rsid w:val="00A37F41"/>
    <w:rsid w:val="00A37F83"/>
    <w:rsid w:val="00A37FEC"/>
    <w:rsid w:val="00A4000E"/>
    <w:rsid w:val="00A4006C"/>
    <w:rsid w:val="00A400A9"/>
    <w:rsid w:val="00A400DA"/>
    <w:rsid w:val="00A401B2"/>
    <w:rsid w:val="00A401D3"/>
    <w:rsid w:val="00A40237"/>
    <w:rsid w:val="00A4028C"/>
    <w:rsid w:val="00A40290"/>
    <w:rsid w:val="00A40301"/>
    <w:rsid w:val="00A40360"/>
    <w:rsid w:val="00A40382"/>
    <w:rsid w:val="00A403C6"/>
    <w:rsid w:val="00A4040F"/>
    <w:rsid w:val="00A40450"/>
    <w:rsid w:val="00A40453"/>
    <w:rsid w:val="00A4046B"/>
    <w:rsid w:val="00A4046D"/>
    <w:rsid w:val="00A404B2"/>
    <w:rsid w:val="00A405AD"/>
    <w:rsid w:val="00A405CA"/>
    <w:rsid w:val="00A40614"/>
    <w:rsid w:val="00A40623"/>
    <w:rsid w:val="00A4064A"/>
    <w:rsid w:val="00A4064E"/>
    <w:rsid w:val="00A40662"/>
    <w:rsid w:val="00A406DA"/>
    <w:rsid w:val="00A406FF"/>
    <w:rsid w:val="00A40717"/>
    <w:rsid w:val="00A40746"/>
    <w:rsid w:val="00A4076C"/>
    <w:rsid w:val="00A40859"/>
    <w:rsid w:val="00A4088A"/>
    <w:rsid w:val="00A408BD"/>
    <w:rsid w:val="00A408F8"/>
    <w:rsid w:val="00A40913"/>
    <w:rsid w:val="00A4091C"/>
    <w:rsid w:val="00A4093C"/>
    <w:rsid w:val="00A4096D"/>
    <w:rsid w:val="00A40975"/>
    <w:rsid w:val="00A4097A"/>
    <w:rsid w:val="00A409BB"/>
    <w:rsid w:val="00A40A57"/>
    <w:rsid w:val="00A40A5C"/>
    <w:rsid w:val="00A40A90"/>
    <w:rsid w:val="00A40AF5"/>
    <w:rsid w:val="00A40B0F"/>
    <w:rsid w:val="00A40B7A"/>
    <w:rsid w:val="00A40BA4"/>
    <w:rsid w:val="00A40C2D"/>
    <w:rsid w:val="00A40C58"/>
    <w:rsid w:val="00A40C79"/>
    <w:rsid w:val="00A40CB4"/>
    <w:rsid w:val="00A40D84"/>
    <w:rsid w:val="00A40E0A"/>
    <w:rsid w:val="00A40E0D"/>
    <w:rsid w:val="00A40E45"/>
    <w:rsid w:val="00A40E90"/>
    <w:rsid w:val="00A40EC4"/>
    <w:rsid w:val="00A40EF7"/>
    <w:rsid w:val="00A40F37"/>
    <w:rsid w:val="00A40FF5"/>
    <w:rsid w:val="00A41074"/>
    <w:rsid w:val="00A410C3"/>
    <w:rsid w:val="00A410D7"/>
    <w:rsid w:val="00A410E3"/>
    <w:rsid w:val="00A41193"/>
    <w:rsid w:val="00A4119E"/>
    <w:rsid w:val="00A4121D"/>
    <w:rsid w:val="00A41254"/>
    <w:rsid w:val="00A41258"/>
    <w:rsid w:val="00A412AD"/>
    <w:rsid w:val="00A4130A"/>
    <w:rsid w:val="00A413F7"/>
    <w:rsid w:val="00A4141E"/>
    <w:rsid w:val="00A4149F"/>
    <w:rsid w:val="00A414D0"/>
    <w:rsid w:val="00A41518"/>
    <w:rsid w:val="00A41525"/>
    <w:rsid w:val="00A415D3"/>
    <w:rsid w:val="00A415F2"/>
    <w:rsid w:val="00A415F4"/>
    <w:rsid w:val="00A41652"/>
    <w:rsid w:val="00A416C2"/>
    <w:rsid w:val="00A4172B"/>
    <w:rsid w:val="00A417C0"/>
    <w:rsid w:val="00A417C8"/>
    <w:rsid w:val="00A417F6"/>
    <w:rsid w:val="00A41838"/>
    <w:rsid w:val="00A41881"/>
    <w:rsid w:val="00A418BE"/>
    <w:rsid w:val="00A418FC"/>
    <w:rsid w:val="00A41903"/>
    <w:rsid w:val="00A41977"/>
    <w:rsid w:val="00A41979"/>
    <w:rsid w:val="00A41A5A"/>
    <w:rsid w:val="00A41AA2"/>
    <w:rsid w:val="00A41AC6"/>
    <w:rsid w:val="00A41B20"/>
    <w:rsid w:val="00A41BA7"/>
    <w:rsid w:val="00A41C0F"/>
    <w:rsid w:val="00A41C5F"/>
    <w:rsid w:val="00A41C8C"/>
    <w:rsid w:val="00A41D9A"/>
    <w:rsid w:val="00A41E08"/>
    <w:rsid w:val="00A41E86"/>
    <w:rsid w:val="00A41E9E"/>
    <w:rsid w:val="00A41EB3"/>
    <w:rsid w:val="00A41F07"/>
    <w:rsid w:val="00A41F17"/>
    <w:rsid w:val="00A41F71"/>
    <w:rsid w:val="00A41F79"/>
    <w:rsid w:val="00A41F9A"/>
    <w:rsid w:val="00A41F9E"/>
    <w:rsid w:val="00A41FC4"/>
    <w:rsid w:val="00A41FCF"/>
    <w:rsid w:val="00A42024"/>
    <w:rsid w:val="00A42052"/>
    <w:rsid w:val="00A420E2"/>
    <w:rsid w:val="00A42102"/>
    <w:rsid w:val="00A4219B"/>
    <w:rsid w:val="00A421EA"/>
    <w:rsid w:val="00A422B5"/>
    <w:rsid w:val="00A42336"/>
    <w:rsid w:val="00A423A9"/>
    <w:rsid w:val="00A4248F"/>
    <w:rsid w:val="00A424BD"/>
    <w:rsid w:val="00A4251E"/>
    <w:rsid w:val="00A425C5"/>
    <w:rsid w:val="00A42631"/>
    <w:rsid w:val="00A4263C"/>
    <w:rsid w:val="00A42695"/>
    <w:rsid w:val="00A426D2"/>
    <w:rsid w:val="00A4272B"/>
    <w:rsid w:val="00A42766"/>
    <w:rsid w:val="00A427F5"/>
    <w:rsid w:val="00A42834"/>
    <w:rsid w:val="00A4284C"/>
    <w:rsid w:val="00A42873"/>
    <w:rsid w:val="00A4287E"/>
    <w:rsid w:val="00A428A8"/>
    <w:rsid w:val="00A428FD"/>
    <w:rsid w:val="00A4292F"/>
    <w:rsid w:val="00A42958"/>
    <w:rsid w:val="00A429B7"/>
    <w:rsid w:val="00A429CD"/>
    <w:rsid w:val="00A429F5"/>
    <w:rsid w:val="00A42A5E"/>
    <w:rsid w:val="00A42A7C"/>
    <w:rsid w:val="00A42A86"/>
    <w:rsid w:val="00A42AB4"/>
    <w:rsid w:val="00A42B01"/>
    <w:rsid w:val="00A42B04"/>
    <w:rsid w:val="00A42B36"/>
    <w:rsid w:val="00A42B62"/>
    <w:rsid w:val="00A42B8B"/>
    <w:rsid w:val="00A42B96"/>
    <w:rsid w:val="00A42BA3"/>
    <w:rsid w:val="00A42BD1"/>
    <w:rsid w:val="00A42BDE"/>
    <w:rsid w:val="00A42C48"/>
    <w:rsid w:val="00A42C58"/>
    <w:rsid w:val="00A42CE1"/>
    <w:rsid w:val="00A42D5E"/>
    <w:rsid w:val="00A42D77"/>
    <w:rsid w:val="00A42D83"/>
    <w:rsid w:val="00A42DA2"/>
    <w:rsid w:val="00A42DE0"/>
    <w:rsid w:val="00A42DE9"/>
    <w:rsid w:val="00A42E49"/>
    <w:rsid w:val="00A42E71"/>
    <w:rsid w:val="00A42E86"/>
    <w:rsid w:val="00A42E94"/>
    <w:rsid w:val="00A42E9B"/>
    <w:rsid w:val="00A42EA4"/>
    <w:rsid w:val="00A42EB8"/>
    <w:rsid w:val="00A42EFF"/>
    <w:rsid w:val="00A42F0E"/>
    <w:rsid w:val="00A42F14"/>
    <w:rsid w:val="00A42F82"/>
    <w:rsid w:val="00A42F98"/>
    <w:rsid w:val="00A42FD6"/>
    <w:rsid w:val="00A4307C"/>
    <w:rsid w:val="00A430C7"/>
    <w:rsid w:val="00A430DA"/>
    <w:rsid w:val="00A430EE"/>
    <w:rsid w:val="00A430F9"/>
    <w:rsid w:val="00A43129"/>
    <w:rsid w:val="00A4314F"/>
    <w:rsid w:val="00A4317A"/>
    <w:rsid w:val="00A43196"/>
    <w:rsid w:val="00A431D8"/>
    <w:rsid w:val="00A4325B"/>
    <w:rsid w:val="00A4329D"/>
    <w:rsid w:val="00A432A2"/>
    <w:rsid w:val="00A43313"/>
    <w:rsid w:val="00A43321"/>
    <w:rsid w:val="00A43341"/>
    <w:rsid w:val="00A4334D"/>
    <w:rsid w:val="00A43399"/>
    <w:rsid w:val="00A433A3"/>
    <w:rsid w:val="00A433B3"/>
    <w:rsid w:val="00A433BB"/>
    <w:rsid w:val="00A433DB"/>
    <w:rsid w:val="00A433F4"/>
    <w:rsid w:val="00A43404"/>
    <w:rsid w:val="00A4344C"/>
    <w:rsid w:val="00A43480"/>
    <w:rsid w:val="00A434DF"/>
    <w:rsid w:val="00A43503"/>
    <w:rsid w:val="00A4358B"/>
    <w:rsid w:val="00A435EE"/>
    <w:rsid w:val="00A43643"/>
    <w:rsid w:val="00A4364F"/>
    <w:rsid w:val="00A43678"/>
    <w:rsid w:val="00A4368D"/>
    <w:rsid w:val="00A436CE"/>
    <w:rsid w:val="00A4379C"/>
    <w:rsid w:val="00A437A7"/>
    <w:rsid w:val="00A437DE"/>
    <w:rsid w:val="00A43832"/>
    <w:rsid w:val="00A43846"/>
    <w:rsid w:val="00A438B5"/>
    <w:rsid w:val="00A438BE"/>
    <w:rsid w:val="00A438F7"/>
    <w:rsid w:val="00A4392E"/>
    <w:rsid w:val="00A4396F"/>
    <w:rsid w:val="00A4397D"/>
    <w:rsid w:val="00A439A4"/>
    <w:rsid w:val="00A439D0"/>
    <w:rsid w:val="00A439F4"/>
    <w:rsid w:val="00A43A11"/>
    <w:rsid w:val="00A43A5E"/>
    <w:rsid w:val="00A43A8F"/>
    <w:rsid w:val="00A43A9F"/>
    <w:rsid w:val="00A43AB3"/>
    <w:rsid w:val="00A43AE4"/>
    <w:rsid w:val="00A43AF0"/>
    <w:rsid w:val="00A43B51"/>
    <w:rsid w:val="00A43B61"/>
    <w:rsid w:val="00A43C00"/>
    <w:rsid w:val="00A43C78"/>
    <w:rsid w:val="00A43C87"/>
    <w:rsid w:val="00A43CB7"/>
    <w:rsid w:val="00A43D23"/>
    <w:rsid w:val="00A43DAA"/>
    <w:rsid w:val="00A43E00"/>
    <w:rsid w:val="00A43E3B"/>
    <w:rsid w:val="00A43E9A"/>
    <w:rsid w:val="00A43F4A"/>
    <w:rsid w:val="00A43F91"/>
    <w:rsid w:val="00A440B4"/>
    <w:rsid w:val="00A440DB"/>
    <w:rsid w:val="00A44100"/>
    <w:rsid w:val="00A441FF"/>
    <w:rsid w:val="00A442A4"/>
    <w:rsid w:val="00A442B3"/>
    <w:rsid w:val="00A442DA"/>
    <w:rsid w:val="00A442DE"/>
    <w:rsid w:val="00A442EB"/>
    <w:rsid w:val="00A44336"/>
    <w:rsid w:val="00A443CC"/>
    <w:rsid w:val="00A44424"/>
    <w:rsid w:val="00A444EB"/>
    <w:rsid w:val="00A4458B"/>
    <w:rsid w:val="00A4460A"/>
    <w:rsid w:val="00A4466F"/>
    <w:rsid w:val="00A4467F"/>
    <w:rsid w:val="00A44735"/>
    <w:rsid w:val="00A4477D"/>
    <w:rsid w:val="00A447BC"/>
    <w:rsid w:val="00A44831"/>
    <w:rsid w:val="00A44851"/>
    <w:rsid w:val="00A44909"/>
    <w:rsid w:val="00A44951"/>
    <w:rsid w:val="00A44971"/>
    <w:rsid w:val="00A44974"/>
    <w:rsid w:val="00A449F3"/>
    <w:rsid w:val="00A44A3D"/>
    <w:rsid w:val="00A44A54"/>
    <w:rsid w:val="00A44A57"/>
    <w:rsid w:val="00A44A5B"/>
    <w:rsid w:val="00A44B19"/>
    <w:rsid w:val="00A44B57"/>
    <w:rsid w:val="00A44BF9"/>
    <w:rsid w:val="00A44C3A"/>
    <w:rsid w:val="00A44C57"/>
    <w:rsid w:val="00A44C75"/>
    <w:rsid w:val="00A44C87"/>
    <w:rsid w:val="00A44D75"/>
    <w:rsid w:val="00A44D90"/>
    <w:rsid w:val="00A44D91"/>
    <w:rsid w:val="00A44DCA"/>
    <w:rsid w:val="00A44E31"/>
    <w:rsid w:val="00A44E42"/>
    <w:rsid w:val="00A44E50"/>
    <w:rsid w:val="00A44EC5"/>
    <w:rsid w:val="00A44F8A"/>
    <w:rsid w:val="00A44FFB"/>
    <w:rsid w:val="00A45012"/>
    <w:rsid w:val="00A45072"/>
    <w:rsid w:val="00A450C8"/>
    <w:rsid w:val="00A450CC"/>
    <w:rsid w:val="00A450FF"/>
    <w:rsid w:val="00A451B3"/>
    <w:rsid w:val="00A451BE"/>
    <w:rsid w:val="00A451D3"/>
    <w:rsid w:val="00A451D4"/>
    <w:rsid w:val="00A451EE"/>
    <w:rsid w:val="00A45201"/>
    <w:rsid w:val="00A45210"/>
    <w:rsid w:val="00A45222"/>
    <w:rsid w:val="00A4529B"/>
    <w:rsid w:val="00A452B4"/>
    <w:rsid w:val="00A45310"/>
    <w:rsid w:val="00A45321"/>
    <w:rsid w:val="00A45322"/>
    <w:rsid w:val="00A453E5"/>
    <w:rsid w:val="00A45452"/>
    <w:rsid w:val="00A45485"/>
    <w:rsid w:val="00A45503"/>
    <w:rsid w:val="00A4552D"/>
    <w:rsid w:val="00A4554B"/>
    <w:rsid w:val="00A4559B"/>
    <w:rsid w:val="00A45605"/>
    <w:rsid w:val="00A456A3"/>
    <w:rsid w:val="00A456B5"/>
    <w:rsid w:val="00A456F8"/>
    <w:rsid w:val="00A4570F"/>
    <w:rsid w:val="00A4572B"/>
    <w:rsid w:val="00A45786"/>
    <w:rsid w:val="00A4579B"/>
    <w:rsid w:val="00A45876"/>
    <w:rsid w:val="00A458A4"/>
    <w:rsid w:val="00A458CD"/>
    <w:rsid w:val="00A458EF"/>
    <w:rsid w:val="00A4596C"/>
    <w:rsid w:val="00A459AC"/>
    <w:rsid w:val="00A459CD"/>
    <w:rsid w:val="00A45A25"/>
    <w:rsid w:val="00A45A50"/>
    <w:rsid w:val="00A45A76"/>
    <w:rsid w:val="00A45A95"/>
    <w:rsid w:val="00A45AF7"/>
    <w:rsid w:val="00A45B3A"/>
    <w:rsid w:val="00A45B64"/>
    <w:rsid w:val="00A45B7B"/>
    <w:rsid w:val="00A45BAA"/>
    <w:rsid w:val="00A45BC0"/>
    <w:rsid w:val="00A45C10"/>
    <w:rsid w:val="00A45C89"/>
    <w:rsid w:val="00A45C9F"/>
    <w:rsid w:val="00A45CCA"/>
    <w:rsid w:val="00A45CE8"/>
    <w:rsid w:val="00A45DED"/>
    <w:rsid w:val="00A45E13"/>
    <w:rsid w:val="00A45E1E"/>
    <w:rsid w:val="00A45EBE"/>
    <w:rsid w:val="00A45F3E"/>
    <w:rsid w:val="00A45F40"/>
    <w:rsid w:val="00A45FCD"/>
    <w:rsid w:val="00A45FEE"/>
    <w:rsid w:val="00A46002"/>
    <w:rsid w:val="00A46003"/>
    <w:rsid w:val="00A4604E"/>
    <w:rsid w:val="00A46077"/>
    <w:rsid w:val="00A461BE"/>
    <w:rsid w:val="00A461E0"/>
    <w:rsid w:val="00A46205"/>
    <w:rsid w:val="00A4621B"/>
    <w:rsid w:val="00A46237"/>
    <w:rsid w:val="00A4624E"/>
    <w:rsid w:val="00A462A1"/>
    <w:rsid w:val="00A462B1"/>
    <w:rsid w:val="00A462CD"/>
    <w:rsid w:val="00A46362"/>
    <w:rsid w:val="00A46372"/>
    <w:rsid w:val="00A46391"/>
    <w:rsid w:val="00A463FD"/>
    <w:rsid w:val="00A46401"/>
    <w:rsid w:val="00A46442"/>
    <w:rsid w:val="00A46459"/>
    <w:rsid w:val="00A46491"/>
    <w:rsid w:val="00A46493"/>
    <w:rsid w:val="00A4649E"/>
    <w:rsid w:val="00A464A0"/>
    <w:rsid w:val="00A464A4"/>
    <w:rsid w:val="00A464D3"/>
    <w:rsid w:val="00A46623"/>
    <w:rsid w:val="00A46628"/>
    <w:rsid w:val="00A46671"/>
    <w:rsid w:val="00A466D6"/>
    <w:rsid w:val="00A46735"/>
    <w:rsid w:val="00A46764"/>
    <w:rsid w:val="00A4682A"/>
    <w:rsid w:val="00A46874"/>
    <w:rsid w:val="00A468C1"/>
    <w:rsid w:val="00A468E9"/>
    <w:rsid w:val="00A46935"/>
    <w:rsid w:val="00A469B4"/>
    <w:rsid w:val="00A46A15"/>
    <w:rsid w:val="00A46AA4"/>
    <w:rsid w:val="00A46AA9"/>
    <w:rsid w:val="00A46AEE"/>
    <w:rsid w:val="00A46BE9"/>
    <w:rsid w:val="00A46C04"/>
    <w:rsid w:val="00A46C2B"/>
    <w:rsid w:val="00A46D32"/>
    <w:rsid w:val="00A46D4B"/>
    <w:rsid w:val="00A46D52"/>
    <w:rsid w:val="00A46D8F"/>
    <w:rsid w:val="00A46D97"/>
    <w:rsid w:val="00A46DBC"/>
    <w:rsid w:val="00A46E51"/>
    <w:rsid w:val="00A46E59"/>
    <w:rsid w:val="00A46E60"/>
    <w:rsid w:val="00A46EC5"/>
    <w:rsid w:val="00A46EE2"/>
    <w:rsid w:val="00A46EE3"/>
    <w:rsid w:val="00A46F6A"/>
    <w:rsid w:val="00A46F74"/>
    <w:rsid w:val="00A46F7B"/>
    <w:rsid w:val="00A46FC2"/>
    <w:rsid w:val="00A4702D"/>
    <w:rsid w:val="00A4702F"/>
    <w:rsid w:val="00A4705B"/>
    <w:rsid w:val="00A4708C"/>
    <w:rsid w:val="00A470B9"/>
    <w:rsid w:val="00A470F0"/>
    <w:rsid w:val="00A4713F"/>
    <w:rsid w:val="00A4716D"/>
    <w:rsid w:val="00A4719F"/>
    <w:rsid w:val="00A471C3"/>
    <w:rsid w:val="00A47205"/>
    <w:rsid w:val="00A4724D"/>
    <w:rsid w:val="00A47264"/>
    <w:rsid w:val="00A47293"/>
    <w:rsid w:val="00A472BA"/>
    <w:rsid w:val="00A472CB"/>
    <w:rsid w:val="00A472F4"/>
    <w:rsid w:val="00A47361"/>
    <w:rsid w:val="00A47379"/>
    <w:rsid w:val="00A473BC"/>
    <w:rsid w:val="00A473C1"/>
    <w:rsid w:val="00A473CC"/>
    <w:rsid w:val="00A47406"/>
    <w:rsid w:val="00A47427"/>
    <w:rsid w:val="00A47487"/>
    <w:rsid w:val="00A474C6"/>
    <w:rsid w:val="00A47513"/>
    <w:rsid w:val="00A47517"/>
    <w:rsid w:val="00A47526"/>
    <w:rsid w:val="00A4756B"/>
    <w:rsid w:val="00A47620"/>
    <w:rsid w:val="00A47690"/>
    <w:rsid w:val="00A47733"/>
    <w:rsid w:val="00A4780E"/>
    <w:rsid w:val="00A47829"/>
    <w:rsid w:val="00A4785E"/>
    <w:rsid w:val="00A47878"/>
    <w:rsid w:val="00A4789D"/>
    <w:rsid w:val="00A478A1"/>
    <w:rsid w:val="00A47A18"/>
    <w:rsid w:val="00A47A58"/>
    <w:rsid w:val="00A47AB9"/>
    <w:rsid w:val="00A47B0C"/>
    <w:rsid w:val="00A47B85"/>
    <w:rsid w:val="00A47BE4"/>
    <w:rsid w:val="00A47BE9"/>
    <w:rsid w:val="00A47C8F"/>
    <w:rsid w:val="00A47CB2"/>
    <w:rsid w:val="00A47CB5"/>
    <w:rsid w:val="00A47CC5"/>
    <w:rsid w:val="00A47CDF"/>
    <w:rsid w:val="00A47CEA"/>
    <w:rsid w:val="00A47CF5"/>
    <w:rsid w:val="00A47D09"/>
    <w:rsid w:val="00A47D50"/>
    <w:rsid w:val="00A47D5A"/>
    <w:rsid w:val="00A47D83"/>
    <w:rsid w:val="00A47DA5"/>
    <w:rsid w:val="00A47DF4"/>
    <w:rsid w:val="00A47DF9"/>
    <w:rsid w:val="00A47E3F"/>
    <w:rsid w:val="00A47E57"/>
    <w:rsid w:val="00A47E63"/>
    <w:rsid w:val="00A47E6E"/>
    <w:rsid w:val="00A47EDE"/>
    <w:rsid w:val="00A47EDF"/>
    <w:rsid w:val="00A47EE4"/>
    <w:rsid w:val="00A47FC9"/>
    <w:rsid w:val="00A47FF5"/>
    <w:rsid w:val="00A5013D"/>
    <w:rsid w:val="00A50169"/>
    <w:rsid w:val="00A5020E"/>
    <w:rsid w:val="00A50215"/>
    <w:rsid w:val="00A502E4"/>
    <w:rsid w:val="00A502F5"/>
    <w:rsid w:val="00A50341"/>
    <w:rsid w:val="00A50380"/>
    <w:rsid w:val="00A5045B"/>
    <w:rsid w:val="00A5046C"/>
    <w:rsid w:val="00A5046F"/>
    <w:rsid w:val="00A50489"/>
    <w:rsid w:val="00A504DE"/>
    <w:rsid w:val="00A50545"/>
    <w:rsid w:val="00A50562"/>
    <w:rsid w:val="00A5059C"/>
    <w:rsid w:val="00A505CB"/>
    <w:rsid w:val="00A5066E"/>
    <w:rsid w:val="00A5069F"/>
    <w:rsid w:val="00A506E6"/>
    <w:rsid w:val="00A50712"/>
    <w:rsid w:val="00A5071E"/>
    <w:rsid w:val="00A5072C"/>
    <w:rsid w:val="00A507AD"/>
    <w:rsid w:val="00A507F0"/>
    <w:rsid w:val="00A50833"/>
    <w:rsid w:val="00A50859"/>
    <w:rsid w:val="00A50865"/>
    <w:rsid w:val="00A508E0"/>
    <w:rsid w:val="00A50936"/>
    <w:rsid w:val="00A50A66"/>
    <w:rsid w:val="00A50A79"/>
    <w:rsid w:val="00A50A81"/>
    <w:rsid w:val="00A50A99"/>
    <w:rsid w:val="00A50AE4"/>
    <w:rsid w:val="00A50B26"/>
    <w:rsid w:val="00A50B34"/>
    <w:rsid w:val="00A50B59"/>
    <w:rsid w:val="00A50B5D"/>
    <w:rsid w:val="00A50B6F"/>
    <w:rsid w:val="00A50B89"/>
    <w:rsid w:val="00A50B8B"/>
    <w:rsid w:val="00A50BF0"/>
    <w:rsid w:val="00A50C56"/>
    <w:rsid w:val="00A50C90"/>
    <w:rsid w:val="00A50CC5"/>
    <w:rsid w:val="00A50CD3"/>
    <w:rsid w:val="00A50CD4"/>
    <w:rsid w:val="00A50CEC"/>
    <w:rsid w:val="00A50D05"/>
    <w:rsid w:val="00A50D34"/>
    <w:rsid w:val="00A50D4B"/>
    <w:rsid w:val="00A50D88"/>
    <w:rsid w:val="00A50DCE"/>
    <w:rsid w:val="00A50DEA"/>
    <w:rsid w:val="00A50DEF"/>
    <w:rsid w:val="00A50E0C"/>
    <w:rsid w:val="00A50E4F"/>
    <w:rsid w:val="00A50E6B"/>
    <w:rsid w:val="00A50E7F"/>
    <w:rsid w:val="00A50ECA"/>
    <w:rsid w:val="00A50F37"/>
    <w:rsid w:val="00A50F77"/>
    <w:rsid w:val="00A50F90"/>
    <w:rsid w:val="00A50FB9"/>
    <w:rsid w:val="00A50FE9"/>
    <w:rsid w:val="00A5102A"/>
    <w:rsid w:val="00A51080"/>
    <w:rsid w:val="00A510AA"/>
    <w:rsid w:val="00A5117E"/>
    <w:rsid w:val="00A51235"/>
    <w:rsid w:val="00A51245"/>
    <w:rsid w:val="00A5125A"/>
    <w:rsid w:val="00A51298"/>
    <w:rsid w:val="00A512A4"/>
    <w:rsid w:val="00A512D2"/>
    <w:rsid w:val="00A51319"/>
    <w:rsid w:val="00A51320"/>
    <w:rsid w:val="00A5135C"/>
    <w:rsid w:val="00A513BD"/>
    <w:rsid w:val="00A513BF"/>
    <w:rsid w:val="00A513C8"/>
    <w:rsid w:val="00A513D5"/>
    <w:rsid w:val="00A513D6"/>
    <w:rsid w:val="00A513E2"/>
    <w:rsid w:val="00A513F1"/>
    <w:rsid w:val="00A5141F"/>
    <w:rsid w:val="00A51436"/>
    <w:rsid w:val="00A5144D"/>
    <w:rsid w:val="00A51453"/>
    <w:rsid w:val="00A5148A"/>
    <w:rsid w:val="00A514C2"/>
    <w:rsid w:val="00A514D5"/>
    <w:rsid w:val="00A51532"/>
    <w:rsid w:val="00A51536"/>
    <w:rsid w:val="00A51652"/>
    <w:rsid w:val="00A516B1"/>
    <w:rsid w:val="00A516D1"/>
    <w:rsid w:val="00A51720"/>
    <w:rsid w:val="00A5178B"/>
    <w:rsid w:val="00A517D2"/>
    <w:rsid w:val="00A51802"/>
    <w:rsid w:val="00A51848"/>
    <w:rsid w:val="00A518F4"/>
    <w:rsid w:val="00A51953"/>
    <w:rsid w:val="00A51974"/>
    <w:rsid w:val="00A51979"/>
    <w:rsid w:val="00A51986"/>
    <w:rsid w:val="00A51A3F"/>
    <w:rsid w:val="00A51A61"/>
    <w:rsid w:val="00A51A71"/>
    <w:rsid w:val="00A51AEB"/>
    <w:rsid w:val="00A51B64"/>
    <w:rsid w:val="00A51BDB"/>
    <w:rsid w:val="00A51C18"/>
    <w:rsid w:val="00A51C36"/>
    <w:rsid w:val="00A51C75"/>
    <w:rsid w:val="00A51C8A"/>
    <w:rsid w:val="00A51D16"/>
    <w:rsid w:val="00A51D31"/>
    <w:rsid w:val="00A51D5A"/>
    <w:rsid w:val="00A51DA7"/>
    <w:rsid w:val="00A51DDF"/>
    <w:rsid w:val="00A51E35"/>
    <w:rsid w:val="00A51E93"/>
    <w:rsid w:val="00A51EF8"/>
    <w:rsid w:val="00A51F30"/>
    <w:rsid w:val="00A51F87"/>
    <w:rsid w:val="00A52067"/>
    <w:rsid w:val="00A5211A"/>
    <w:rsid w:val="00A52129"/>
    <w:rsid w:val="00A5213C"/>
    <w:rsid w:val="00A5228F"/>
    <w:rsid w:val="00A522C5"/>
    <w:rsid w:val="00A522CC"/>
    <w:rsid w:val="00A52373"/>
    <w:rsid w:val="00A523C9"/>
    <w:rsid w:val="00A523FD"/>
    <w:rsid w:val="00A52401"/>
    <w:rsid w:val="00A52402"/>
    <w:rsid w:val="00A52422"/>
    <w:rsid w:val="00A52491"/>
    <w:rsid w:val="00A524B7"/>
    <w:rsid w:val="00A52500"/>
    <w:rsid w:val="00A52584"/>
    <w:rsid w:val="00A5259A"/>
    <w:rsid w:val="00A525DB"/>
    <w:rsid w:val="00A525E2"/>
    <w:rsid w:val="00A52656"/>
    <w:rsid w:val="00A5269B"/>
    <w:rsid w:val="00A5270B"/>
    <w:rsid w:val="00A52721"/>
    <w:rsid w:val="00A5272F"/>
    <w:rsid w:val="00A52743"/>
    <w:rsid w:val="00A52760"/>
    <w:rsid w:val="00A527B3"/>
    <w:rsid w:val="00A52893"/>
    <w:rsid w:val="00A5289D"/>
    <w:rsid w:val="00A528C3"/>
    <w:rsid w:val="00A528E0"/>
    <w:rsid w:val="00A528EC"/>
    <w:rsid w:val="00A52956"/>
    <w:rsid w:val="00A52989"/>
    <w:rsid w:val="00A529D0"/>
    <w:rsid w:val="00A52A82"/>
    <w:rsid w:val="00A52AC0"/>
    <w:rsid w:val="00A52BEB"/>
    <w:rsid w:val="00A52BF0"/>
    <w:rsid w:val="00A52C01"/>
    <w:rsid w:val="00A52C30"/>
    <w:rsid w:val="00A52C4B"/>
    <w:rsid w:val="00A52D66"/>
    <w:rsid w:val="00A52E06"/>
    <w:rsid w:val="00A52E53"/>
    <w:rsid w:val="00A52E59"/>
    <w:rsid w:val="00A52E98"/>
    <w:rsid w:val="00A52EEA"/>
    <w:rsid w:val="00A52EF0"/>
    <w:rsid w:val="00A52F14"/>
    <w:rsid w:val="00A52F50"/>
    <w:rsid w:val="00A52F6A"/>
    <w:rsid w:val="00A53036"/>
    <w:rsid w:val="00A53089"/>
    <w:rsid w:val="00A5308F"/>
    <w:rsid w:val="00A530B8"/>
    <w:rsid w:val="00A530E3"/>
    <w:rsid w:val="00A5317D"/>
    <w:rsid w:val="00A531F8"/>
    <w:rsid w:val="00A53231"/>
    <w:rsid w:val="00A5324A"/>
    <w:rsid w:val="00A532B7"/>
    <w:rsid w:val="00A532DD"/>
    <w:rsid w:val="00A53438"/>
    <w:rsid w:val="00A5343F"/>
    <w:rsid w:val="00A53501"/>
    <w:rsid w:val="00A5354D"/>
    <w:rsid w:val="00A53556"/>
    <w:rsid w:val="00A53574"/>
    <w:rsid w:val="00A53579"/>
    <w:rsid w:val="00A535FA"/>
    <w:rsid w:val="00A5369F"/>
    <w:rsid w:val="00A536BB"/>
    <w:rsid w:val="00A53710"/>
    <w:rsid w:val="00A53759"/>
    <w:rsid w:val="00A5379A"/>
    <w:rsid w:val="00A537B3"/>
    <w:rsid w:val="00A538ED"/>
    <w:rsid w:val="00A538F6"/>
    <w:rsid w:val="00A53919"/>
    <w:rsid w:val="00A53927"/>
    <w:rsid w:val="00A53943"/>
    <w:rsid w:val="00A539AD"/>
    <w:rsid w:val="00A53A2B"/>
    <w:rsid w:val="00A53A30"/>
    <w:rsid w:val="00A53A43"/>
    <w:rsid w:val="00A53A5F"/>
    <w:rsid w:val="00A53A7E"/>
    <w:rsid w:val="00A53AA5"/>
    <w:rsid w:val="00A53AE0"/>
    <w:rsid w:val="00A53B6D"/>
    <w:rsid w:val="00A53BCF"/>
    <w:rsid w:val="00A53BDF"/>
    <w:rsid w:val="00A53BE1"/>
    <w:rsid w:val="00A53CB1"/>
    <w:rsid w:val="00A53CBD"/>
    <w:rsid w:val="00A53CF2"/>
    <w:rsid w:val="00A53D00"/>
    <w:rsid w:val="00A53D98"/>
    <w:rsid w:val="00A53D9C"/>
    <w:rsid w:val="00A53DA1"/>
    <w:rsid w:val="00A53DC2"/>
    <w:rsid w:val="00A53DF4"/>
    <w:rsid w:val="00A53E4C"/>
    <w:rsid w:val="00A53E55"/>
    <w:rsid w:val="00A53E5F"/>
    <w:rsid w:val="00A54014"/>
    <w:rsid w:val="00A5404E"/>
    <w:rsid w:val="00A54093"/>
    <w:rsid w:val="00A540E4"/>
    <w:rsid w:val="00A540F1"/>
    <w:rsid w:val="00A5411C"/>
    <w:rsid w:val="00A54168"/>
    <w:rsid w:val="00A541D3"/>
    <w:rsid w:val="00A541F1"/>
    <w:rsid w:val="00A542E3"/>
    <w:rsid w:val="00A54421"/>
    <w:rsid w:val="00A54498"/>
    <w:rsid w:val="00A544A7"/>
    <w:rsid w:val="00A544BE"/>
    <w:rsid w:val="00A54582"/>
    <w:rsid w:val="00A545C3"/>
    <w:rsid w:val="00A5460B"/>
    <w:rsid w:val="00A5460E"/>
    <w:rsid w:val="00A5465D"/>
    <w:rsid w:val="00A5466D"/>
    <w:rsid w:val="00A54670"/>
    <w:rsid w:val="00A5468B"/>
    <w:rsid w:val="00A546A0"/>
    <w:rsid w:val="00A546A1"/>
    <w:rsid w:val="00A54711"/>
    <w:rsid w:val="00A54726"/>
    <w:rsid w:val="00A5479F"/>
    <w:rsid w:val="00A547FA"/>
    <w:rsid w:val="00A5481E"/>
    <w:rsid w:val="00A548A8"/>
    <w:rsid w:val="00A548B2"/>
    <w:rsid w:val="00A54957"/>
    <w:rsid w:val="00A54976"/>
    <w:rsid w:val="00A54991"/>
    <w:rsid w:val="00A5499C"/>
    <w:rsid w:val="00A549E1"/>
    <w:rsid w:val="00A54A44"/>
    <w:rsid w:val="00A54A5B"/>
    <w:rsid w:val="00A54A64"/>
    <w:rsid w:val="00A54A72"/>
    <w:rsid w:val="00A54AB1"/>
    <w:rsid w:val="00A54B3D"/>
    <w:rsid w:val="00A54B43"/>
    <w:rsid w:val="00A54B4D"/>
    <w:rsid w:val="00A54C0C"/>
    <w:rsid w:val="00A54C0F"/>
    <w:rsid w:val="00A54C5B"/>
    <w:rsid w:val="00A54C5F"/>
    <w:rsid w:val="00A54D4A"/>
    <w:rsid w:val="00A54DBF"/>
    <w:rsid w:val="00A54E30"/>
    <w:rsid w:val="00A54E60"/>
    <w:rsid w:val="00A54E7C"/>
    <w:rsid w:val="00A54E8F"/>
    <w:rsid w:val="00A54EA3"/>
    <w:rsid w:val="00A54F34"/>
    <w:rsid w:val="00A54FAC"/>
    <w:rsid w:val="00A54FC8"/>
    <w:rsid w:val="00A54FDC"/>
    <w:rsid w:val="00A5514C"/>
    <w:rsid w:val="00A551B9"/>
    <w:rsid w:val="00A551BA"/>
    <w:rsid w:val="00A55205"/>
    <w:rsid w:val="00A55212"/>
    <w:rsid w:val="00A552CC"/>
    <w:rsid w:val="00A55370"/>
    <w:rsid w:val="00A55384"/>
    <w:rsid w:val="00A55385"/>
    <w:rsid w:val="00A553B1"/>
    <w:rsid w:val="00A553DF"/>
    <w:rsid w:val="00A55458"/>
    <w:rsid w:val="00A5547E"/>
    <w:rsid w:val="00A554B3"/>
    <w:rsid w:val="00A554CA"/>
    <w:rsid w:val="00A55537"/>
    <w:rsid w:val="00A55558"/>
    <w:rsid w:val="00A55578"/>
    <w:rsid w:val="00A55591"/>
    <w:rsid w:val="00A55679"/>
    <w:rsid w:val="00A55696"/>
    <w:rsid w:val="00A556D8"/>
    <w:rsid w:val="00A556EE"/>
    <w:rsid w:val="00A556FC"/>
    <w:rsid w:val="00A55752"/>
    <w:rsid w:val="00A557A6"/>
    <w:rsid w:val="00A557B3"/>
    <w:rsid w:val="00A55878"/>
    <w:rsid w:val="00A558F0"/>
    <w:rsid w:val="00A55911"/>
    <w:rsid w:val="00A5596E"/>
    <w:rsid w:val="00A559AE"/>
    <w:rsid w:val="00A559F6"/>
    <w:rsid w:val="00A559FE"/>
    <w:rsid w:val="00A55A32"/>
    <w:rsid w:val="00A55ADE"/>
    <w:rsid w:val="00A55AEB"/>
    <w:rsid w:val="00A55B51"/>
    <w:rsid w:val="00A55BF2"/>
    <w:rsid w:val="00A55C01"/>
    <w:rsid w:val="00A55C3C"/>
    <w:rsid w:val="00A55CC5"/>
    <w:rsid w:val="00A55D28"/>
    <w:rsid w:val="00A55DA5"/>
    <w:rsid w:val="00A55E51"/>
    <w:rsid w:val="00A55E83"/>
    <w:rsid w:val="00A55E8C"/>
    <w:rsid w:val="00A55F26"/>
    <w:rsid w:val="00A55F51"/>
    <w:rsid w:val="00A55F67"/>
    <w:rsid w:val="00A55FDA"/>
    <w:rsid w:val="00A56012"/>
    <w:rsid w:val="00A5607F"/>
    <w:rsid w:val="00A5608B"/>
    <w:rsid w:val="00A5612E"/>
    <w:rsid w:val="00A56143"/>
    <w:rsid w:val="00A561AE"/>
    <w:rsid w:val="00A561F3"/>
    <w:rsid w:val="00A5621B"/>
    <w:rsid w:val="00A56225"/>
    <w:rsid w:val="00A56231"/>
    <w:rsid w:val="00A562A2"/>
    <w:rsid w:val="00A562DD"/>
    <w:rsid w:val="00A56343"/>
    <w:rsid w:val="00A56368"/>
    <w:rsid w:val="00A563D7"/>
    <w:rsid w:val="00A563F0"/>
    <w:rsid w:val="00A563FA"/>
    <w:rsid w:val="00A56459"/>
    <w:rsid w:val="00A56465"/>
    <w:rsid w:val="00A56466"/>
    <w:rsid w:val="00A5646A"/>
    <w:rsid w:val="00A56470"/>
    <w:rsid w:val="00A564BE"/>
    <w:rsid w:val="00A564F3"/>
    <w:rsid w:val="00A5653F"/>
    <w:rsid w:val="00A5654D"/>
    <w:rsid w:val="00A56576"/>
    <w:rsid w:val="00A5658C"/>
    <w:rsid w:val="00A565F4"/>
    <w:rsid w:val="00A5662D"/>
    <w:rsid w:val="00A56649"/>
    <w:rsid w:val="00A566B1"/>
    <w:rsid w:val="00A566CB"/>
    <w:rsid w:val="00A567A8"/>
    <w:rsid w:val="00A567F5"/>
    <w:rsid w:val="00A56923"/>
    <w:rsid w:val="00A569AB"/>
    <w:rsid w:val="00A569FB"/>
    <w:rsid w:val="00A56A01"/>
    <w:rsid w:val="00A56AB7"/>
    <w:rsid w:val="00A56B2A"/>
    <w:rsid w:val="00A56B30"/>
    <w:rsid w:val="00A56B85"/>
    <w:rsid w:val="00A56B86"/>
    <w:rsid w:val="00A56B8B"/>
    <w:rsid w:val="00A56B9A"/>
    <w:rsid w:val="00A56C97"/>
    <w:rsid w:val="00A56D10"/>
    <w:rsid w:val="00A56D29"/>
    <w:rsid w:val="00A56D57"/>
    <w:rsid w:val="00A56D58"/>
    <w:rsid w:val="00A56DDA"/>
    <w:rsid w:val="00A56DE3"/>
    <w:rsid w:val="00A56EE6"/>
    <w:rsid w:val="00A56F08"/>
    <w:rsid w:val="00A56FDC"/>
    <w:rsid w:val="00A56FFE"/>
    <w:rsid w:val="00A570AE"/>
    <w:rsid w:val="00A57145"/>
    <w:rsid w:val="00A57157"/>
    <w:rsid w:val="00A57158"/>
    <w:rsid w:val="00A5716C"/>
    <w:rsid w:val="00A571CB"/>
    <w:rsid w:val="00A571E6"/>
    <w:rsid w:val="00A5720F"/>
    <w:rsid w:val="00A57217"/>
    <w:rsid w:val="00A57249"/>
    <w:rsid w:val="00A57260"/>
    <w:rsid w:val="00A572C8"/>
    <w:rsid w:val="00A57305"/>
    <w:rsid w:val="00A57359"/>
    <w:rsid w:val="00A573FC"/>
    <w:rsid w:val="00A5740D"/>
    <w:rsid w:val="00A5758F"/>
    <w:rsid w:val="00A57596"/>
    <w:rsid w:val="00A575F6"/>
    <w:rsid w:val="00A5762D"/>
    <w:rsid w:val="00A57631"/>
    <w:rsid w:val="00A57633"/>
    <w:rsid w:val="00A57755"/>
    <w:rsid w:val="00A5776B"/>
    <w:rsid w:val="00A5776C"/>
    <w:rsid w:val="00A57772"/>
    <w:rsid w:val="00A57881"/>
    <w:rsid w:val="00A5791F"/>
    <w:rsid w:val="00A5792A"/>
    <w:rsid w:val="00A5792E"/>
    <w:rsid w:val="00A57944"/>
    <w:rsid w:val="00A57980"/>
    <w:rsid w:val="00A5799C"/>
    <w:rsid w:val="00A57B29"/>
    <w:rsid w:val="00A57B4E"/>
    <w:rsid w:val="00A57B76"/>
    <w:rsid w:val="00A57BC2"/>
    <w:rsid w:val="00A57BF4"/>
    <w:rsid w:val="00A57C50"/>
    <w:rsid w:val="00A57C59"/>
    <w:rsid w:val="00A57C61"/>
    <w:rsid w:val="00A57C62"/>
    <w:rsid w:val="00A57C85"/>
    <w:rsid w:val="00A57CA0"/>
    <w:rsid w:val="00A57D1B"/>
    <w:rsid w:val="00A57D84"/>
    <w:rsid w:val="00A57DB7"/>
    <w:rsid w:val="00A57DF2"/>
    <w:rsid w:val="00A57E21"/>
    <w:rsid w:val="00A57E7B"/>
    <w:rsid w:val="00A57F56"/>
    <w:rsid w:val="00A57FC5"/>
    <w:rsid w:val="00A60017"/>
    <w:rsid w:val="00A6001B"/>
    <w:rsid w:val="00A60039"/>
    <w:rsid w:val="00A60164"/>
    <w:rsid w:val="00A602CF"/>
    <w:rsid w:val="00A602D2"/>
    <w:rsid w:val="00A6032F"/>
    <w:rsid w:val="00A60373"/>
    <w:rsid w:val="00A603CC"/>
    <w:rsid w:val="00A6048C"/>
    <w:rsid w:val="00A604F3"/>
    <w:rsid w:val="00A60579"/>
    <w:rsid w:val="00A6058A"/>
    <w:rsid w:val="00A605C4"/>
    <w:rsid w:val="00A605E3"/>
    <w:rsid w:val="00A6062B"/>
    <w:rsid w:val="00A6062C"/>
    <w:rsid w:val="00A6062F"/>
    <w:rsid w:val="00A60638"/>
    <w:rsid w:val="00A6067B"/>
    <w:rsid w:val="00A606A5"/>
    <w:rsid w:val="00A606F0"/>
    <w:rsid w:val="00A60752"/>
    <w:rsid w:val="00A60762"/>
    <w:rsid w:val="00A60786"/>
    <w:rsid w:val="00A6079C"/>
    <w:rsid w:val="00A607E8"/>
    <w:rsid w:val="00A6085C"/>
    <w:rsid w:val="00A60954"/>
    <w:rsid w:val="00A60A5B"/>
    <w:rsid w:val="00A60A6F"/>
    <w:rsid w:val="00A60A7E"/>
    <w:rsid w:val="00A60A9B"/>
    <w:rsid w:val="00A60B2C"/>
    <w:rsid w:val="00A60B35"/>
    <w:rsid w:val="00A60B4B"/>
    <w:rsid w:val="00A60BDF"/>
    <w:rsid w:val="00A60C04"/>
    <w:rsid w:val="00A60C27"/>
    <w:rsid w:val="00A60C32"/>
    <w:rsid w:val="00A60C4E"/>
    <w:rsid w:val="00A60C86"/>
    <w:rsid w:val="00A60D17"/>
    <w:rsid w:val="00A60DA0"/>
    <w:rsid w:val="00A60E8A"/>
    <w:rsid w:val="00A60E9C"/>
    <w:rsid w:val="00A60F06"/>
    <w:rsid w:val="00A60F21"/>
    <w:rsid w:val="00A60FD5"/>
    <w:rsid w:val="00A610D0"/>
    <w:rsid w:val="00A610D1"/>
    <w:rsid w:val="00A61112"/>
    <w:rsid w:val="00A61199"/>
    <w:rsid w:val="00A611AC"/>
    <w:rsid w:val="00A611B2"/>
    <w:rsid w:val="00A611EF"/>
    <w:rsid w:val="00A61217"/>
    <w:rsid w:val="00A61240"/>
    <w:rsid w:val="00A612A6"/>
    <w:rsid w:val="00A612E4"/>
    <w:rsid w:val="00A6139F"/>
    <w:rsid w:val="00A613AA"/>
    <w:rsid w:val="00A613AC"/>
    <w:rsid w:val="00A61499"/>
    <w:rsid w:val="00A6149A"/>
    <w:rsid w:val="00A6152F"/>
    <w:rsid w:val="00A6153C"/>
    <w:rsid w:val="00A6158D"/>
    <w:rsid w:val="00A61596"/>
    <w:rsid w:val="00A615AF"/>
    <w:rsid w:val="00A615BB"/>
    <w:rsid w:val="00A615CB"/>
    <w:rsid w:val="00A61657"/>
    <w:rsid w:val="00A616BF"/>
    <w:rsid w:val="00A6170F"/>
    <w:rsid w:val="00A61724"/>
    <w:rsid w:val="00A61748"/>
    <w:rsid w:val="00A61758"/>
    <w:rsid w:val="00A61787"/>
    <w:rsid w:val="00A61791"/>
    <w:rsid w:val="00A617C8"/>
    <w:rsid w:val="00A61803"/>
    <w:rsid w:val="00A61822"/>
    <w:rsid w:val="00A61854"/>
    <w:rsid w:val="00A618B0"/>
    <w:rsid w:val="00A618E2"/>
    <w:rsid w:val="00A61958"/>
    <w:rsid w:val="00A619CD"/>
    <w:rsid w:val="00A61A82"/>
    <w:rsid w:val="00A61A87"/>
    <w:rsid w:val="00A61B1B"/>
    <w:rsid w:val="00A61B66"/>
    <w:rsid w:val="00A61B6D"/>
    <w:rsid w:val="00A61B89"/>
    <w:rsid w:val="00A61BA2"/>
    <w:rsid w:val="00A61BC5"/>
    <w:rsid w:val="00A61C05"/>
    <w:rsid w:val="00A61C23"/>
    <w:rsid w:val="00A61C67"/>
    <w:rsid w:val="00A61C77"/>
    <w:rsid w:val="00A61D13"/>
    <w:rsid w:val="00A61D9D"/>
    <w:rsid w:val="00A61F5D"/>
    <w:rsid w:val="00A61F77"/>
    <w:rsid w:val="00A61F88"/>
    <w:rsid w:val="00A61FC5"/>
    <w:rsid w:val="00A6201B"/>
    <w:rsid w:val="00A62064"/>
    <w:rsid w:val="00A620F4"/>
    <w:rsid w:val="00A62135"/>
    <w:rsid w:val="00A621BC"/>
    <w:rsid w:val="00A621C1"/>
    <w:rsid w:val="00A621C9"/>
    <w:rsid w:val="00A62267"/>
    <w:rsid w:val="00A6228F"/>
    <w:rsid w:val="00A622AA"/>
    <w:rsid w:val="00A622D9"/>
    <w:rsid w:val="00A62397"/>
    <w:rsid w:val="00A623CE"/>
    <w:rsid w:val="00A623FD"/>
    <w:rsid w:val="00A62443"/>
    <w:rsid w:val="00A624CC"/>
    <w:rsid w:val="00A6251C"/>
    <w:rsid w:val="00A62521"/>
    <w:rsid w:val="00A62556"/>
    <w:rsid w:val="00A625D1"/>
    <w:rsid w:val="00A62603"/>
    <w:rsid w:val="00A626DB"/>
    <w:rsid w:val="00A62738"/>
    <w:rsid w:val="00A6273B"/>
    <w:rsid w:val="00A6275B"/>
    <w:rsid w:val="00A6275C"/>
    <w:rsid w:val="00A627AC"/>
    <w:rsid w:val="00A627C9"/>
    <w:rsid w:val="00A62843"/>
    <w:rsid w:val="00A62878"/>
    <w:rsid w:val="00A62883"/>
    <w:rsid w:val="00A6288D"/>
    <w:rsid w:val="00A628CB"/>
    <w:rsid w:val="00A62931"/>
    <w:rsid w:val="00A6296E"/>
    <w:rsid w:val="00A62976"/>
    <w:rsid w:val="00A62977"/>
    <w:rsid w:val="00A62980"/>
    <w:rsid w:val="00A629C6"/>
    <w:rsid w:val="00A62A35"/>
    <w:rsid w:val="00A62A3D"/>
    <w:rsid w:val="00A62B3F"/>
    <w:rsid w:val="00A62C4F"/>
    <w:rsid w:val="00A62D25"/>
    <w:rsid w:val="00A62D32"/>
    <w:rsid w:val="00A62DB1"/>
    <w:rsid w:val="00A62DE4"/>
    <w:rsid w:val="00A62E42"/>
    <w:rsid w:val="00A62E5F"/>
    <w:rsid w:val="00A62E88"/>
    <w:rsid w:val="00A62E94"/>
    <w:rsid w:val="00A62ECF"/>
    <w:rsid w:val="00A62F09"/>
    <w:rsid w:val="00A63009"/>
    <w:rsid w:val="00A63017"/>
    <w:rsid w:val="00A63049"/>
    <w:rsid w:val="00A6307C"/>
    <w:rsid w:val="00A6315B"/>
    <w:rsid w:val="00A63178"/>
    <w:rsid w:val="00A6317C"/>
    <w:rsid w:val="00A631F4"/>
    <w:rsid w:val="00A63207"/>
    <w:rsid w:val="00A63229"/>
    <w:rsid w:val="00A63230"/>
    <w:rsid w:val="00A63234"/>
    <w:rsid w:val="00A632C7"/>
    <w:rsid w:val="00A632FE"/>
    <w:rsid w:val="00A63344"/>
    <w:rsid w:val="00A633E1"/>
    <w:rsid w:val="00A63466"/>
    <w:rsid w:val="00A6354F"/>
    <w:rsid w:val="00A6356A"/>
    <w:rsid w:val="00A636B0"/>
    <w:rsid w:val="00A636C1"/>
    <w:rsid w:val="00A636C8"/>
    <w:rsid w:val="00A636CD"/>
    <w:rsid w:val="00A63775"/>
    <w:rsid w:val="00A6389E"/>
    <w:rsid w:val="00A638E3"/>
    <w:rsid w:val="00A63922"/>
    <w:rsid w:val="00A639DB"/>
    <w:rsid w:val="00A63A14"/>
    <w:rsid w:val="00A63A2B"/>
    <w:rsid w:val="00A63B53"/>
    <w:rsid w:val="00A63BD9"/>
    <w:rsid w:val="00A63C0C"/>
    <w:rsid w:val="00A63C30"/>
    <w:rsid w:val="00A63C76"/>
    <w:rsid w:val="00A63C77"/>
    <w:rsid w:val="00A63C98"/>
    <w:rsid w:val="00A63CD4"/>
    <w:rsid w:val="00A63CE3"/>
    <w:rsid w:val="00A63D11"/>
    <w:rsid w:val="00A63D56"/>
    <w:rsid w:val="00A63DCE"/>
    <w:rsid w:val="00A63E1D"/>
    <w:rsid w:val="00A63E31"/>
    <w:rsid w:val="00A63E63"/>
    <w:rsid w:val="00A63F3E"/>
    <w:rsid w:val="00A63F4E"/>
    <w:rsid w:val="00A63F4F"/>
    <w:rsid w:val="00A63FDC"/>
    <w:rsid w:val="00A63FDF"/>
    <w:rsid w:val="00A64025"/>
    <w:rsid w:val="00A64049"/>
    <w:rsid w:val="00A640D1"/>
    <w:rsid w:val="00A640E5"/>
    <w:rsid w:val="00A64115"/>
    <w:rsid w:val="00A64133"/>
    <w:rsid w:val="00A64144"/>
    <w:rsid w:val="00A6414A"/>
    <w:rsid w:val="00A64156"/>
    <w:rsid w:val="00A6417F"/>
    <w:rsid w:val="00A641C6"/>
    <w:rsid w:val="00A64210"/>
    <w:rsid w:val="00A6423C"/>
    <w:rsid w:val="00A6430D"/>
    <w:rsid w:val="00A64316"/>
    <w:rsid w:val="00A6439F"/>
    <w:rsid w:val="00A643AC"/>
    <w:rsid w:val="00A6441C"/>
    <w:rsid w:val="00A64424"/>
    <w:rsid w:val="00A64480"/>
    <w:rsid w:val="00A644BD"/>
    <w:rsid w:val="00A644C1"/>
    <w:rsid w:val="00A644C8"/>
    <w:rsid w:val="00A644D5"/>
    <w:rsid w:val="00A6451F"/>
    <w:rsid w:val="00A64549"/>
    <w:rsid w:val="00A64580"/>
    <w:rsid w:val="00A645D8"/>
    <w:rsid w:val="00A645EA"/>
    <w:rsid w:val="00A64683"/>
    <w:rsid w:val="00A6472C"/>
    <w:rsid w:val="00A64761"/>
    <w:rsid w:val="00A64791"/>
    <w:rsid w:val="00A64843"/>
    <w:rsid w:val="00A64851"/>
    <w:rsid w:val="00A6486B"/>
    <w:rsid w:val="00A648B1"/>
    <w:rsid w:val="00A648B8"/>
    <w:rsid w:val="00A648BD"/>
    <w:rsid w:val="00A648C2"/>
    <w:rsid w:val="00A648C8"/>
    <w:rsid w:val="00A64932"/>
    <w:rsid w:val="00A6495E"/>
    <w:rsid w:val="00A64A2B"/>
    <w:rsid w:val="00A64A45"/>
    <w:rsid w:val="00A64A71"/>
    <w:rsid w:val="00A64AC0"/>
    <w:rsid w:val="00A64ACA"/>
    <w:rsid w:val="00A64AD2"/>
    <w:rsid w:val="00A64B03"/>
    <w:rsid w:val="00A64B44"/>
    <w:rsid w:val="00A64B96"/>
    <w:rsid w:val="00A64BB7"/>
    <w:rsid w:val="00A64BF4"/>
    <w:rsid w:val="00A64CA1"/>
    <w:rsid w:val="00A64CC3"/>
    <w:rsid w:val="00A64D27"/>
    <w:rsid w:val="00A64DBC"/>
    <w:rsid w:val="00A64E02"/>
    <w:rsid w:val="00A64E0D"/>
    <w:rsid w:val="00A64E58"/>
    <w:rsid w:val="00A64E6F"/>
    <w:rsid w:val="00A64E99"/>
    <w:rsid w:val="00A64EA2"/>
    <w:rsid w:val="00A64F39"/>
    <w:rsid w:val="00A64F41"/>
    <w:rsid w:val="00A64F6C"/>
    <w:rsid w:val="00A65011"/>
    <w:rsid w:val="00A65073"/>
    <w:rsid w:val="00A65075"/>
    <w:rsid w:val="00A65098"/>
    <w:rsid w:val="00A650D1"/>
    <w:rsid w:val="00A6512B"/>
    <w:rsid w:val="00A6513A"/>
    <w:rsid w:val="00A65162"/>
    <w:rsid w:val="00A651A4"/>
    <w:rsid w:val="00A651B2"/>
    <w:rsid w:val="00A6521F"/>
    <w:rsid w:val="00A65269"/>
    <w:rsid w:val="00A652ED"/>
    <w:rsid w:val="00A6530B"/>
    <w:rsid w:val="00A6534C"/>
    <w:rsid w:val="00A65353"/>
    <w:rsid w:val="00A6537B"/>
    <w:rsid w:val="00A65382"/>
    <w:rsid w:val="00A653BD"/>
    <w:rsid w:val="00A653DE"/>
    <w:rsid w:val="00A653FD"/>
    <w:rsid w:val="00A6543D"/>
    <w:rsid w:val="00A65492"/>
    <w:rsid w:val="00A654BD"/>
    <w:rsid w:val="00A654F2"/>
    <w:rsid w:val="00A6552E"/>
    <w:rsid w:val="00A65585"/>
    <w:rsid w:val="00A65598"/>
    <w:rsid w:val="00A656C6"/>
    <w:rsid w:val="00A6573D"/>
    <w:rsid w:val="00A657BD"/>
    <w:rsid w:val="00A657EE"/>
    <w:rsid w:val="00A65825"/>
    <w:rsid w:val="00A65897"/>
    <w:rsid w:val="00A658A9"/>
    <w:rsid w:val="00A658BE"/>
    <w:rsid w:val="00A658D7"/>
    <w:rsid w:val="00A65A08"/>
    <w:rsid w:val="00A65A6A"/>
    <w:rsid w:val="00A65A80"/>
    <w:rsid w:val="00A65AD2"/>
    <w:rsid w:val="00A65B03"/>
    <w:rsid w:val="00A65B55"/>
    <w:rsid w:val="00A65B56"/>
    <w:rsid w:val="00A65B71"/>
    <w:rsid w:val="00A65BCC"/>
    <w:rsid w:val="00A65BDC"/>
    <w:rsid w:val="00A65C95"/>
    <w:rsid w:val="00A65D06"/>
    <w:rsid w:val="00A65D55"/>
    <w:rsid w:val="00A65D85"/>
    <w:rsid w:val="00A65D8F"/>
    <w:rsid w:val="00A65DD9"/>
    <w:rsid w:val="00A65E12"/>
    <w:rsid w:val="00A65E36"/>
    <w:rsid w:val="00A65E86"/>
    <w:rsid w:val="00A65F1B"/>
    <w:rsid w:val="00A65F5C"/>
    <w:rsid w:val="00A66003"/>
    <w:rsid w:val="00A66014"/>
    <w:rsid w:val="00A66156"/>
    <w:rsid w:val="00A66191"/>
    <w:rsid w:val="00A66236"/>
    <w:rsid w:val="00A66250"/>
    <w:rsid w:val="00A66259"/>
    <w:rsid w:val="00A66264"/>
    <w:rsid w:val="00A6626B"/>
    <w:rsid w:val="00A662CE"/>
    <w:rsid w:val="00A662D6"/>
    <w:rsid w:val="00A662E0"/>
    <w:rsid w:val="00A66323"/>
    <w:rsid w:val="00A66327"/>
    <w:rsid w:val="00A663F3"/>
    <w:rsid w:val="00A66476"/>
    <w:rsid w:val="00A66528"/>
    <w:rsid w:val="00A6656F"/>
    <w:rsid w:val="00A665F3"/>
    <w:rsid w:val="00A66622"/>
    <w:rsid w:val="00A6668F"/>
    <w:rsid w:val="00A6669D"/>
    <w:rsid w:val="00A666AD"/>
    <w:rsid w:val="00A666C9"/>
    <w:rsid w:val="00A666E6"/>
    <w:rsid w:val="00A666E7"/>
    <w:rsid w:val="00A6671C"/>
    <w:rsid w:val="00A66781"/>
    <w:rsid w:val="00A66803"/>
    <w:rsid w:val="00A668B2"/>
    <w:rsid w:val="00A668BB"/>
    <w:rsid w:val="00A6695E"/>
    <w:rsid w:val="00A6699E"/>
    <w:rsid w:val="00A669A7"/>
    <w:rsid w:val="00A669D3"/>
    <w:rsid w:val="00A66AC3"/>
    <w:rsid w:val="00A66B3D"/>
    <w:rsid w:val="00A66B93"/>
    <w:rsid w:val="00A66B9F"/>
    <w:rsid w:val="00A66BA7"/>
    <w:rsid w:val="00A66BD2"/>
    <w:rsid w:val="00A66BD3"/>
    <w:rsid w:val="00A66BE5"/>
    <w:rsid w:val="00A66C13"/>
    <w:rsid w:val="00A66C29"/>
    <w:rsid w:val="00A66C49"/>
    <w:rsid w:val="00A66C4E"/>
    <w:rsid w:val="00A66CCB"/>
    <w:rsid w:val="00A66D0F"/>
    <w:rsid w:val="00A66D1B"/>
    <w:rsid w:val="00A66D2C"/>
    <w:rsid w:val="00A66D8F"/>
    <w:rsid w:val="00A66DAB"/>
    <w:rsid w:val="00A66E0C"/>
    <w:rsid w:val="00A66E36"/>
    <w:rsid w:val="00A66E66"/>
    <w:rsid w:val="00A66EA4"/>
    <w:rsid w:val="00A66EE5"/>
    <w:rsid w:val="00A66EF1"/>
    <w:rsid w:val="00A66F35"/>
    <w:rsid w:val="00A66F4C"/>
    <w:rsid w:val="00A66F68"/>
    <w:rsid w:val="00A66F6C"/>
    <w:rsid w:val="00A66F89"/>
    <w:rsid w:val="00A66F8C"/>
    <w:rsid w:val="00A66F96"/>
    <w:rsid w:val="00A66F9A"/>
    <w:rsid w:val="00A6700C"/>
    <w:rsid w:val="00A6701F"/>
    <w:rsid w:val="00A6705D"/>
    <w:rsid w:val="00A6706A"/>
    <w:rsid w:val="00A670B8"/>
    <w:rsid w:val="00A6716C"/>
    <w:rsid w:val="00A67177"/>
    <w:rsid w:val="00A671B0"/>
    <w:rsid w:val="00A67209"/>
    <w:rsid w:val="00A67214"/>
    <w:rsid w:val="00A6721B"/>
    <w:rsid w:val="00A67300"/>
    <w:rsid w:val="00A67333"/>
    <w:rsid w:val="00A6737C"/>
    <w:rsid w:val="00A673A2"/>
    <w:rsid w:val="00A673D9"/>
    <w:rsid w:val="00A6747D"/>
    <w:rsid w:val="00A674E3"/>
    <w:rsid w:val="00A6754A"/>
    <w:rsid w:val="00A67560"/>
    <w:rsid w:val="00A67561"/>
    <w:rsid w:val="00A675C8"/>
    <w:rsid w:val="00A67651"/>
    <w:rsid w:val="00A67679"/>
    <w:rsid w:val="00A6768B"/>
    <w:rsid w:val="00A676B0"/>
    <w:rsid w:val="00A676C7"/>
    <w:rsid w:val="00A67717"/>
    <w:rsid w:val="00A6774D"/>
    <w:rsid w:val="00A67768"/>
    <w:rsid w:val="00A67771"/>
    <w:rsid w:val="00A67774"/>
    <w:rsid w:val="00A677D4"/>
    <w:rsid w:val="00A67812"/>
    <w:rsid w:val="00A6788C"/>
    <w:rsid w:val="00A678C5"/>
    <w:rsid w:val="00A67908"/>
    <w:rsid w:val="00A67926"/>
    <w:rsid w:val="00A67928"/>
    <w:rsid w:val="00A67958"/>
    <w:rsid w:val="00A679A4"/>
    <w:rsid w:val="00A679D4"/>
    <w:rsid w:val="00A679EF"/>
    <w:rsid w:val="00A67A03"/>
    <w:rsid w:val="00A67A59"/>
    <w:rsid w:val="00A67B06"/>
    <w:rsid w:val="00A67B3F"/>
    <w:rsid w:val="00A67B84"/>
    <w:rsid w:val="00A67B9D"/>
    <w:rsid w:val="00A67C09"/>
    <w:rsid w:val="00A67C68"/>
    <w:rsid w:val="00A67C9A"/>
    <w:rsid w:val="00A67CE2"/>
    <w:rsid w:val="00A67D24"/>
    <w:rsid w:val="00A67DDA"/>
    <w:rsid w:val="00A67E67"/>
    <w:rsid w:val="00A67EA8"/>
    <w:rsid w:val="00A67EB3"/>
    <w:rsid w:val="00A67F11"/>
    <w:rsid w:val="00A67F37"/>
    <w:rsid w:val="00A67F4A"/>
    <w:rsid w:val="00A67FA8"/>
    <w:rsid w:val="00A67FC2"/>
    <w:rsid w:val="00A67FDE"/>
    <w:rsid w:val="00A70071"/>
    <w:rsid w:val="00A7008B"/>
    <w:rsid w:val="00A7009B"/>
    <w:rsid w:val="00A700A5"/>
    <w:rsid w:val="00A70111"/>
    <w:rsid w:val="00A70144"/>
    <w:rsid w:val="00A70158"/>
    <w:rsid w:val="00A7015D"/>
    <w:rsid w:val="00A7016F"/>
    <w:rsid w:val="00A701EA"/>
    <w:rsid w:val="00A70284"/>
    <w:rsid w:val="00A70285"/>
    <w:rsid w:val="00A70291"/>
    <w:rsid w:val="00A70298"/>
    <w:rsid w:val="00A702C8"/>
    <w:rsid w:val="00A702E0"/>
    <w:rsid w:val="00A702E4"/>
    <w:rsid w:val="00A7030D"/>
    <w:rsid w:val="00A70378"/>
    <w:rsid w:val="00A703C0"/>
    <w:rsid w:val="00A703C8"/>
    <w:rsid w:val="00A70405"/>
    <w:rsid w:val="00A70464"/>
    <w:rsid w:val="00A704CE"/>
    <w:rsid w:val="00A704E1"/>
    <w:rsid w:val="00A704F0"/>
    <w:rsid w:val="00A70513"/>
    <w:rsid w:val="00A7051B"/>
    <w:rsid w:val="00A705B9"/>
    <w:rsid w:val="00A7061C"/>
    <w:rsid w:val="00A70676"/>
    <w:rsid w:val="00A70688"/>
    <w:rsid w:val="00A7068E"/>
    <w:rsid w:val="00A706D9"/>
    <w:rsid w:val="00A706ED"/>
    <w:rsid w:val="00A70726"/>
    <w:rsid w:val="00A7077A"/>
    <w:rsid w:val="00A707A0"/>
    <w:rsid w:val="00A707B6"/>
    <w:rsid w:val="00A707E9"/>
    <w:rsid w:val="00A7081B"/>
    <w:rsid w:val="00A7081C"/>
    <w:rsid w:val="00A7091A"/>
    <w:rsid w:val="00A7096E"/>
    <w:rsid w:val="00A70977"/>
    <w:rsid w:val="00A709AD"/>
    <w:rsid w:val="00A709B5"/>
    <w:rsid w:val="00A70A26"/>
    <w:rsid w:val="00A70A60"/>
    <w:rsid w:val="00A70A77"/>
    <w:rsid w:val="00A70A9C"/>
    <w:rsid w:val="00A70AE7"/>
    <w:rsid w:val="00A70B58"/>
    <w:rsid w:val="00A70BCE"/>
    <w:rsid w:val="00A70C70"/>
    <w:rsid w:val="00A70C90"/>
    <w:rsid w:val="00A70CF2"/>
    <w:rsid w:val="00A70D0D"/>
    <w:rsid w:val="00A70D16"/>
    <w:rsid w:val="00A70D26"/>
    <w:rsid w:val="00A70D7C"/>
    <w:rsid w:val="00A70D80"/>
    <w:rsid w:val="00A70DC7"/>
    <w:rsid w:val="00A70E56"/>
    <w:rsid w:val="00A70E7B"/>
    <w:rsid w:val="00A70E7E"/>
    <w:rsid w:val="00A70EB3"/>
    <w:rsid w:val="00A70EF7"/>
    <w:rsid w:val="00A70F20"/>
    <w:rsid w:val="00A70F34"/>
    <w:rsid w:val="00A70F61"/>
    <w:rsid w:val="00A71016"/>
    <w:rsid w:val="00A71077"/>
    <w:rsid w:val="00A710DA"/>
    <w:rsid w:val="00A7112F"/>
    <w:rsid w:val="00A71213"/>
    <w:rsid w:val="00A7123A"/>
    <w:rsid w:val="00A7128F"/>
    <w:rsid w:val="00A712B3"/>
    <w:rsid w:val="00A712BE"/>
    <w:rsid w:val="00A712DD"/>
    <w:rsid w:val="00A7135A"/>
    <w:rsid w:val="00A71365"/>
    <w:rsid w:val="00A7140F"/>
    <w:rsid w:val="00A71501"/>
    <w:rsid w:val="00A7151F"/>
    <w:rsid w:val="00A7158E"/>
    <w:rsid w:val="00A7159A"/>
    <w:rsid w:val="00A715BD"/>
    <w:rsid w:val="00A7165F"/>
    <w:rsid w:val="00A7166C"/>
    <w:rsid w:val="00A71685"/>
    <w:rsid w:val="00A71713"/>
    <w:rsid w:val="00A71718"/>
    <w:rsid w:val="00A71723"/>
    <w:rsid w:val="00A71749"/>
    <w:rsid w:val="00A7175A"/>
    <w:rsid w:val="00A7178F"/>
    <w:rsid w:val="00A71810"/>
    <w:rsid w:val="00A71831"/>
    <w:rsid w:val="00A719B0"/>
    <w:rsid w:val="00A71A19"/>
    <w:rsid w:val="00A71A35"/>
    <w:rsid w:val="00A71A3D"/>
    <w:rsid w:val="00A71A3F"/>
    <w:rsid w:val="00A71AE5"/>
    <w:rsid w:val="00A71B1C"/>
    <w:rsid w:val="00A71B37"/>
    <w:rsid w:val="00A71B4E"/>
    <w:rsid w:val="00A71B7A"/>
    <w:rsid w:val="00A71C37"/>
    <w:rsid w:val="00A71C7C"/>
    <w:rsid w:val="00A71CA8"/>
    <w:rsid w:val="00A71CB0"/>
    <w:rsid w:val="00A71CB2"/>
    <w:rsid w:val="00A71CCA"/>
    <w:rsid w:val="00A71CCC"/>
    <w:rsid w:val="00A71D78"/>
    <w:rsid w:val="00A71DB1"/>
    <w:rsid w:val="00A71DD8"/>
    <w:rsid w:val="00A71E43"/>
    <w:rsid w:val="00A71EBB"/>
    <w:rsid w:val="00A71EC6"/>
    <w:rsid w:val="00A71F1D"/>
    <w:rsid w:val="00A71F47"/>
    <w:rsid w:val="00A71FBF"/>
    <w:rsid w:val="00A71FD3"/>
    <w:rsid w:val="00A72055"/>
    <w:rsid w:val="00A720D4"/>
    <w:rsid w:val="00A720F9"/>
    <w:rsid w:val="00A72173"/>
    <w:rsid w:val="00A72198"/>
    <w:rsid w:val="00A721CD"/>
    <w:rsid w:val="00A722C6"/>
    <w:rsid w:val="00A722DE"/>
    <w:rsid w:val="00A722E9"/>
    <w:rsid w:val="00A72300"/>
    <w:rsid w:val="00A723CD"/>
    <w:rsid w:val="00A72459"/>
    <w:rsid w:val="00A724AE"/>
    <w:rsid w:val="00A724E6"/>
    <w:rsid w:val="00A72510"/>
    <w:rsid w:val="00A7252F"/>
    <w:rsid w:val="00A725B9"/>
    <w:rsid w:val="00A725CC"/>
    <w:rsid w:val="00A72631"/>
    <w:rsid w:val="00A72657"/>
    <w:rsid w:val="00A726AE"/>
    <w:rsid w:val="00A7270C"/>
    <w:rsid w:val="00A72784"/>
    <w:rsid w:val="00A727F2"/>
    <w:rsid w:val="00A72854"/>
    <w:rsid w:val="00A7294F"/>
    <w:rsid w:val="00A72960"/>
    <w:rsid w:val="00A7298D"/>
    <w:rsid w:val="00A729AC"/>
    <w:rsid w:val="00A729B5"/>
    <w:rsid w:val="00A729F4"/>
    <w:rsid w:val="00A72A17"/>
    <w:rsid w:val="00A72AE3"/>
    <w:rsid w:val="00A72BCA"/>
    <w:rsid w:val="00A72BDA"/>
    <w:rsid w:val="00A72C2C"/>
    <w:rsid w:val="00A72C3D"/>
    <w:rsid w:val="00A72CFF"/>
    <w:rsid w:val="00A72D0E"/>
    <w:rsid w:val="00A72D19"/>
    <w:rsid w:val="00A72D1D"/>
    <w:rsid w:val="00A72D8F"/>
    <w:rsid w:val="00A72E75"/>
    <w:rsid w:val="00A72E8B"/>
    <w:rsid w:val="00A72F13"/>
    <w:rsid w:val="00A72F1C"/>
    <w:rsid w:val="00A72F44"/>
    <w:rsid w:val="00A72F8C"/>
    <w:rsid w:val="00A72FEA"/>
    <w:rsid w:val="00A73052"/>
    <w:rsid w:val="00A73091"/>
    <w:rsid w:val="00A730D0"/>
    <w:rsid w:val="00A730D1"/>
    <w:rsid w:val="00A730D2"/>
    <w:rsid w:val="00A730EE"/>
    <w:rsid w:val="00A731A7"/>
    <w:rsid w:val="00A731BC"/>
    <w:rsid w:val="00A731E3"/>
    <w:rsid w:val="00A73219"/>
    <w:rsid w:val="00A732EB"/>
    <w:rsid w:val="00A7335D"/>
    <w:rsid w:val="00A73374"/>
    <w:rsid w:val="00A73385"/>
    <w:rsid w:val="00A73395"/>
    <w:rsid w:val="00A73396"/>
    <w:rsid w:val="00A733AE"/>
    <w:rsid w:val="00A7342C"/>
    <w:rsid w:val="00A7343E"/>
    <w:rsid w:val="00A73447"/>
    <w:rsid w:val="00A73455"/>
    <w:rsid w:val="00A73461"/>
    <w:rsid w:val="00A73474"/>
    <w:rsid w:val="00A73475"/>
    <w:rsid w:val="00A734C5"/>
    <w:rsid w:val="00A734F4"/>
    <w:rsid w:val="00A7350C"/>
    <w:rsid w:val="00A73518"/>
    <w:rsid w:val="00A73557"/>
    <w:rsid w:val="00A735AB"/>
    <w:rsid w:val="00A735BD"/>
    <w:rsid w:val="00A73660"/>
    <w:rsid w:val="00A736A4"/>
    <w:rsid w:val="00A736E9"/>
    <w:rsid w:val="00A73752"/>
    <w:rsid w:val="00A737B0"/>
    <w:rsid w:val="00A73842"/>
    <w:rsid w:val="00A73912"/>
    <w:rsid w:val="00A739D9"/>
    <w:rsid w:val="00A739EE"/>
    <w:rsid w:val="00A73A56"/>
    <w:rsid w:val="00A73A5B"/>
    <w:rsid w:val="00A73A71"/>
    <w:rsid w:val="00A73A74"/>
    <w:rsid w:val="00A73A8D"/>
    <w:rsid w:val="00A73AC2"/>
    <w:rsid w:val="00A73ACB"/>
    <w:rsid w:val="00A73AF5"/>
    <w:rsid w:val="00A73B48"/>
    <w:rsid w:val="00A73BD1"/>
    <w:rsid w:val="00A73C6F"/>
    <w:rsid w:val="00A73C7D"/>
    <w:rsid w:val="00A73CEE"/>
    <w:rsid w:val="00A73CFC"/>
    <w:rsid w:val="00A73D78"/>
    <w:rsid w:val="00A73DA4"/>
    <w:rsid w:val="00A73DFA"/>
    <w:rsid w:val="00A73E12"/>
    <w:rsid w:val="00A73E21"/>
    <w:rsid w:val="00A73E75"/>
    <w:rsid w:val="00A73E84"/>
    <w:rsid w:val="00A73ECA"/>
    <w:rsid w:val="00A73EFC"/>
    <w:rsid w:val="00A73F83"/>
    <w:rsid w:val="00A73FA1"/>
    <w:rsid w:val="00A7406E"/>
    <w:rsid w:val="00A7409C"/>
    <w:rsid w:val="00A740F4"/>
    <w:rsid w:val="00A74129"/>
    <w:rsid w:val="00A741A9"/>
    <w:rsid w:val="00A7422D"/>
    <w:rsid w:val="00A7424F"/>
    <w:rsid w:val="00A74265"/>
    <w:rsid w:val="00A7429D"/>
    <w:rsid w:val="00A742D7"/>
    <w:rsid w:val="00A742DA"/>
    <w:rsid w:val="00A742E1"/>
    <w:rsid w:val="00A743D5"/>
    <w:rsid w:val="00A7446C"/>
    <w:rsid w:val="00A74486"/>
    <w:rsid w:val="00A7450C"/>
    <w:rsid w:val="00A7451F"/>
    <w:rsid w:val="00A74528"/>
    <w:rsid w:val="00A74549"/>
    <w:rsid w:val="00A74555"/>
    <w:rsid w:val="00A7457B"/>
    <w:rsid w:val="00A745B4"/>
    <w:rsid w:val="00A745C0"/>
    <w:rsid w:val="00A745D0"/>
    <w:rsid w:val="00A745F2"/>
    <w:rsid w:val="00A74630"/>
    <w:rsid w:val="00A746F5"/>
    <w:rsid w:val="00A7470E"/>
    <w:rsid w:val="00A74752"/>
    <w:rsid w:val="00A74758"/>
    <w:rsid w:val="00A7476D"/>
    <w:rsid w:val="00A747AD"/>
    <w:rsid w:val="00A74801"/>
    <w:rsid w:val="00A74843"/>
    <w:rsid w:val="00A74867"/>
    <w:rsid w:val="00A748F4"/>
    <w:rsid w:val="00A7492A"/>
    <w:rsid w:val="00A7492C"/>
    <w:rsid w:val="00A7496C"/>
    <w:rsid w:val="00A749BD"/>
    <w:rsid w:val="00A74A15"/>
    <w:rsid w:val="00A74AAF"/>
    <w:rsid w:val="00A74AB8"/>
    <w:rsid w:val="00A74B48"/>
    <w:rsid w:val="00A74B6C"/>
    <w:rsid w:val="00A74BB1"/>
    <w:rsid w:val="00A74BCD"/>
    <w:rsid w:val="00A74BDC"/>
    <w:rsid w:val="00A74C0A"/>
    <w:rsid w:val="00A74CA3"/>
    <w:rsid w:val="00A74CBC"/>
    <w:rsid w:val="00A74CE8"/>
    <w:rsid w:val="00A74D0C"/>
    <w:rsid w:val="00A74D74"/>
    <w:rsid w:val="00A74DD6"/>
    <w:rsid w:val="00A74DEB"/>
    <w:rsid w:val="00A74DED"/>
    <w:rsid w:val="00A74E00"/>
    <w:rsid w:val="00A74E86"/>
    <w:rsid w:val="00A74E8C"/>
    <w:rsid w:val="00A74EE2"/>
    <w:rsid w:val="00A74EF2"/>
    <w:rsid w:val="00A74F84"/>
    <w:rsid w:val="00A74F85"/>
    <w:rsid w:val="00A7501C"/>
    <w:rsid w:val="00A75064"/>
    <w:rsid w:val="00A750AB"/>
    <w:rsid w:val="00A750AC"/>
    <w:rsid w:val="00A750B9"/>
    <w:rsid w:val="00A750C3"/>
    <w:rsid w:val="00A75103"/>
    <w:rsid w:val="00A75147"/>
    <w:rsid w:val="00A7519B"/>
    <w:rsid w:val="00A751A5"/>
    <w:rsid w:val="00A751ED"/>
    <w:rsid w:val="00A751FD"/>
    <w:rsid w:val="00A75219"/>
    <w:rsid w:val="00A752E9"/>
    <w:rsid w:val="00A753F5"/>
    <w:rsid w:val="00A75414"/>
    <w:rsid w:val="00A7548A"/>
    <w:rsid w:val="00A754AF"/>
    <w:rsid w:val="00A754B0"/>
    <w:rsid w:val="00A754BA"/>
    <w:rsid w:val="00A754BD"/>
    <w:rsid w:val="00A754BF"/>
    <w:rsid w:val="00A754E3"/>
    <w:rsid w:val="00A754EB"/>
    <w:rsid w:val="00A7550C"/>
    <w:rsid w:val="00A7551E"/>
    <w:rsid w:val="00A75547"/>
    <w:rsid w:val="00A75603"/>
    <w:rsid w:val="00A7560E"/>
    <w:rsid w:val="00A75614"/>
    <w:rsid w:val="00A7565C"/>
    <w:rsid w:val="00A75673"/>
    <w:rsid w:val="00A756C1"/>
    <w:rsid w:val="00A756FB"/>
    <w:rsid w:val="00A75713"/>
    <w:rsid w:val="00A75728"/>
    <w:rsid w:val="00A7582F"/>
    <w:rsid w:val="00A758F2"/>
    <w:rsid w:val="00A75914"/>
    <w:rsid w:val="00A75922"/>
    <w:rsid w:val="00A7596E"/>
    <w:rsid w:val="00A75971"/>
    <w:rsid w:val="00A759AA"/>
    <w:rsid w:val="00A759D0"/>
    <w:rsid w:val="00A759FF"/>
    <w:rsid w:val="00A75A0F"/>
    <w:rsid w:val="00A75A12"/>
    <w:rsid w:val="00A75A39"/>
    <w:rsid w:val="00A75A43"/>
    <w:rsid w:val="00A75A97"/>
    <w:rsid w:val="00A75A9D"/>
    <w:rsid w:val="00A75AB2"/>
    <w:rsid w:val="00A75AC5"/>
    <w:rsid w:val="00A75AF6"/>
    <w:rsid w:val="00A75B0F"/>
    <w:rsid w:val="00A75B37"/>
    <w:rsid w:val="00A75B3D"/>
    <w:rsid w:val="00A75B6E"/>
    <w:rsid w:val="00A75BDA"/>
    <w:rsid w:val="00A75BE6"/>
    <w:rsid w:val="00A75C38"/>
    <w:rsid w:val="00A75C73"/>
    <w:rsid w:val="00A75C9F"/>
    <w:rsid w:val="00A75CDF"/>
    <w:rsid w:val="00A75D27"/>
    <w:rsid w:val="00A75D30"/>
    <w:rsid w:val="00A75D66"/>
    <w:rsid w:val="00A75DE2"/>
    <w:rsid w:val="00A75E36"/>
    <w:rsid w:val="00A75E86"/>
    <w:rsid w:val="00A75F9F"/>
    <w:rsid w:val="00A75FB7"/>
    <w:rsid w:val="00A760ED"/>
    <w:rsid w:val="00A76109"/>
    <w:rsid w:val="00A7610E"/>
    <w:rsid w:val="00A761B5"/>
    <w:rsid w:val="00A762D2"/>
    <w:rsid w:val="00A7631A"/>
    <w:rsid w:val="00A7632C"/>
    <w:rsid w:val="00A763DC"/>
    <w:rsid w:val="00A76428"/>
    <w:rsid w:val="00A76435"/>
    <w:rsid w:val="00A76471"/>
    <w:rsid w:val="00A764B7"/>
    <w:rsid w:val="00A764C7"/>
    <w:rsid w:val="00A76502"/>
    <w:rsid w:val="00A76531"/>
    <w:rsid w:val="00A76533"/>
    <w:rsid w:val="00A76558"/>
    <w:rsid w:val="00A7657B"/>
    <w:rsid w:val="00A76649"/>
    <w:rsid w:val="00A7667D"/>
    <w:rsid w:val="00A766B7"/>
    <w:rsid w:val="00A767A0"/>
    <w:rsid w:val="00A768A9"/>
    <w:rsid w:val="00A768B8"/>
    <w:rsid w:val="00A76900"/>
    <w:rsid w:val="00A769DE"/>
    <w:rsid w:val="00A76B87"/>
    <w:rsid w:val="00A76BC3"/>
    <w:rsid w:val="00A76BEA"/>
    <w:rsid w:val="00A76C17"/>
    <w:rsid w:val="00A76D4A"/>
    <w:rsid w:val="00A76D93"/>
    <w:rsid w:val="00A76DDA"/>
    <w:rsid w:val="00A76DE0"/>
    <w:rsid w:val="00A76DE4"/>
    <w:rsid w:val="00A76DEF"/>
    <w:rsid w:val="00A76DF1"/>
    <w:rsid w:val="00A76DF6"/>
    <w:rsid w:val="00A76E0D"/>
    <w:rsid w:val="00A76E53"/>
    <w:rsid w:val="00A76E69"/>
    <w:rsid w:val="00A76E76"/>
    <w:rsid w:val="00A76E99"/>
    <w:rsid w:val="00A76ED5"/>
    <w:rsid w:val="00A76F0A"/>
    <w:rsid w:val="00A76F1F"/>
    <w:rsid w:val="00A76F2C"/>
    <w:rsid w:val="00A76FCF"/>
    <w:rsid w:val="00A76FF2"/>
    <w:rsid w:val="00A7700C"/>
    <w:rsid w:val="00A7704C"/>
    <w:rsid w:val="00A77054"/>
    <w:rsid w:val="00A77055"/>
    <w:rsid w:val="00A77087"/>
    <w:rsid w:val="00A770D9"/>
    <w:rsid w:val="00A770F5"/>
    <w:rsid w:val="00A77168"/>
    <w:rsid w:val="00A771F6"/>
    <w:rsid w:val="00A77386"/>
    <w:rsid w:val="00A77477"/>
    <w:rsid w:val="00A774D4"/>
    <w:rsid w:val="00A774DA"/>
    <w:rsid w:val="00A77502"/>
    <w:rsid w:val="00A7750E"/>
    <w:rsid w:val="00A77527"/>
    <w:rsid w:val="00A7752C"/>
    <w:rsid w:val="00A77558"/>
    <w:rsid w:val="00A77569"/>
    <w:rsid w:val="00A775AA"/>
    <w:rsid w:val="00A775B8"/>
    <w:rsid w:val="00A775E9"/>
    <w:rsid w:val="00A775EB"/>
    <w:rsid w:val="00A77613"/>
    <w:rsid w:val="00A7761E"/>
    <w:rsid w:val="00A77724"/>
    <w:rsid w:val="00A77752"/>
    <w:rsid w:val="00A7779E"/>
    <w:rsid w:val="00A777F5"/>
    <w:rsid w:val="00A77805"/>
    <w:rsid w:val="00A77819"/>
    <w:rsid w:val="00A77820"/>
    <w:rsid w:val="00A77843"/>
    <w:rsid w:val="00A7784E"/>
    <w:rsid w:val="00A7786B"/>
    <w:rsid w:val="00A77897"/>
    <w:rsid w:val="00A778C0"/>
    <w:rsid w:val="00A778C2"/>
    <w:rsid w:val="00A7792F"/>
    <w:rsid w:val="00A77946"/>
    <w:rsid w:val="00A77951"/>
    <w:rsid w:val="00A7798A"/>
    <w:rsid w:val="00A779BD"/>
    <w:rsid w:val="00A77A38"/>
    <w:rsid w:val="00A77A59"/>
    <w:rsid w:val="00A77A5E"/>
    <w:rsid w:val="00A77A81"/>
    <w:rsid w:val="00A77ACC"/>
    <w:rsid w:val="00A77BC7"/>
    <w:rsid w:val="00A77BFE"/>
    <w:rsid w:val="00A77C09"/>
    <w:rsid w:val="00A77C0D"/>
    <w:rsid w:val="00A77C10"/>
    <w:rsid w:val="00A77C38"/>
    <w:rsid w:val="00A77C9B"/>
    <w:rsid w:val="00A77D14"/>
    <w:rsid w:val="00A77D51"/>
    <w:rsid w:val="00A77D92"/>
    <w:rsid w:val="00A77E46"/>
    <w:rsid w:val="00A77E48"/>
    <w:rsid w:val="00A77EB8"/>
    <w:rsid w:val="00A77ED7"/>
    <w:rsid w:val="00A77EDA"/>
    <w:rsid w:val="00A77F17"/>
    <w:rsid w:val="00A77F63"/>
    <w:rsid w:val="00A77FED"/>
    <w:rsid w:val="00A80018"/>
    <w:rsid w:val="00A80042"/>
    <w:rsid w:val="00A80056"/>
    <w:rsid w:val="00A8006C"/>
    <w:rsid w:val="00A800AB"/>
    <w:rsid w:val="00A800BD"/>
    <w:rsid w:val="00A80112"/>
    <w:rsid w:val="00A80148"/>
    <w:rsid w:val="00A801AD"/>
    <w:rsid w:val="00A801B6"/>
    <w:rsid w:val="00A801B7"/>
    <w:rsid w:val="00A801D8"/>
    <w:rsid w:val="00A8022A"/>
    <w:rsid w:val="00A8024C"/>
    <w:rsid w:val="00A8025A"/>
    <w:rsid w:val="00A8025C"/>
    <w:rsid w:val="00A80288"/>
    <w:rsid w:val="00A80290"/>
    <w:rsid w:val="00A802CB"/>
    <w:rsid w:val="00A80329"/>
    <w:rsid w:val="00A80343"/>
    <w:rsid w:val="00A80392"/>
    <w:rsid w:val="00A8039C"/>
    <w:rsid w:val="00A803CA"/>
    <w:rsid w:val="00A803E5"/>
    <w:rsid w:val="00A80434"/>
    <w:rsid w:val="00A804BF"/>
    <w:rsid w:val="00A804FC"/>
    <w:rsid w:val="00A80509"/>
    <w:rsid w:val="00A8051B"/>
    <w:rsid w:val="00A8052B"/>
    <w:rsid w:val="00A8055D"/>
    <w:rsid w:val="00A80561"/>
    <w:rsid w:val="00A805CF"/>
    <w:rsid w:val="00A805F4"/>
    <w:rsid w:val="00A8069F"/>
    <w:rsid w:val="00A80715"/>
    <w:rsid w:val="00A80826"/>
    <w:rsid w:val="00A808F3"/>
    <w:rsid w:val="00A809FE"/>
    <w:rsid w:val="00A80A19"/>
    <w:rsid w:val="00A80A33"/>
    <w:rsid w:val="00A80A55"/>
    <w:rsid w:val="00A80A89"/>
    <w:rsid w:val="00A80AC1"/>
    <w:rsid w:val="00A80AD8"/>
    <w:rsid w:val="00A80B5A"/>
    <w:rsid w:val="00A80B63"/>
    <w:rsid w:val="00A80BA9"/>
    <w:rsid w:val="00A80BE5"/>
    <w:rsid w:val="00A80BED"/>
    <w:rsid w:val="00A80C0D"/>
    <w:rsid w:val="00A80C31"/>
    <w:rsid w:val="00A80C9B"/>
    <w:rsid w:val="00A80CBB"/>
    <w:rsid w:val="00A80D31"/>
    <w:rsid w:val="00A80D67"/>
    <w:rsid w:val="00A80D92"/>
    <w:rsid w:val="00A80DEE"/>
    <w:rsid w:val="00A80E4D"/>
    <w:rsid w:val="00A80E97"/>
    <w:rsid w:val="00A80E9F"/>
    <w:rsid w:val="00A80ED5"/>
    <w:rsid w:val="00A80EDA"/>
    <w:rsid w:val="00A80F62"/>
    <w:rsid w:val="00A80FBC"/>
    <w:rsid w:val="00A80FC7"/>
    <w:rsid w:val="00A80FDA"/>
    <w:rsid w:val="00A80FFB"/>
    <w:rsid w:val="00A81027"/>
    <w:rsid w:val="00A81040"/>
    <w:rsid w:val="00A8104D"/>
    <w:rsid w:val="00A81055"/>
    <w:rsid w:val="00A81061"/>
    <w:rsid w:val="00A81071"/>
    <w:rsid w:val="00A8107D"/>
    <w:rsid w:val="00A8115D"/>
    <w:rsid w:val="00A8116D"/>
    <w:rsid w:val="00A811BA"/>
    <w:rsid w:val="00A811C6"/>
    <w:rsid w:val="00A8122B"/>
    <w:rsid w:val="00A8122D"/>
    <w:rsid w:val="00A8125E"/>
    <w:rsid w:val="00A81273"/>
    <w:rsid w:val="00A812B6"/>
    <w:rsid w:val="00A81300"/>
    <w:rsid w:val="00A81364"/>
    <w:rsid w:val="00A81385"/>
    <w:rsid w:val="00A81446"/>
    <w:rsid w:val="00A81455"/>
    <w:rsid w:val="00A814A5"/>
    <w:rsid w:val="00A814C3"/>
    <w:rsid w:val="00A81562"/>
    <w:rsid w:val="00A8159F"/>
    <w:rsid w:val="00A815C4"/>
    <w:rsid w:val="00A815E4"/>
    <w:rsid w:val="00A81607"/>
    <w:rsid w:val="00A81620"/>
    <w:rsid w:val="00A81708"/>
    <w:rsid w:val="00A8170F"/>
    <w:rsid w:val="00A81758"/>
    <w:rsid w:val="00A817A2"/>
    <w:rsid w:val="00A81883"/>
    <w:rsid w:val="00A818AD"/>
    <w:rsid w:val="00A818CC"/>
    <w:rsid w:val="00A818D3"/>
    <w:rsid w:val="00A81911"/>
    <w:rsid w:val="00A81950"/>
    <w:rsid w:val="00A819C9"/>
    <w:rsid w:val="00A81A24"/>
    <w:rsid w:val="00A81A29"/>
    <w:rsid w:val="00A81A80"/>
    <w:rsid w:val="00A81A84"/>
    <w:rsid w:val="00A81AA6"/>
    <w:rsid w:val="00A81AC8"/>
    <w:rsid w:val="00A81AFC"/>
    <w:rsid w:val="00A81B06"/>
    <w:rsid w:val="00A81B09"/>
    <w:rsid w:val="00A81B25"/>
    <w:rsid w:val="00A81BF4"/>
    <w:rsid w:val="00A81C11"/>
    <w:rsid w:val="00A81C16"/>
    <w:rsid w:val="00A81C8E"/>
    <w:rsid w:val="00A81CF8"/>
    <w:rsid w:val="00A81CFF"/>
    <w:rsid w:val="00A81D0E"/>
    <w:rsid w:val="00A81DC1"/>
    <w:rsid w:val="00A81DFE"/>
    <w:rsid w:val="00A81E0A"/>
    <w:rsid w:val="00A81E66"/>
    <w:rsid w:val="00A81F2E"/>
    <w:rsid w:val="00A81F3F"/>
    <w:rsid w:val="00A81F70"/>
    <w:rsid w:val="00A81F75"/>
    <w:rsid w:val="00A81F7F"/>
    <w:rsid w:val="00A81F85"/>
    <w:rsid w:val="00A81F86"/>
    <w:rsid w:val="00A81FD4"/>
    <w:rsid w:val="00A81FDE"/>
    <w:rsid w:val="00A81FE8"/>
    <w:rsid w:val="00A8201A"/>
    <w:rsid w:val="00A82041"/>
    <w:rsid w:val="00A8212F"/>
    <w:rsid w:val="00A82161"/>
    <w:rsid w:val="00A821E5"/>
    <w:rsid w:val="00A822CF"/>
    <w:rsid w:val="00A82311"/>
    <w:rsid w:val="00A823DE"/>
    <w:rsid w:val="00A823E2"/>
    <w:rsid w:val="00A82467"/>
    <w:rsid w:val="00A824E4"/>
    <w:rsid w:val="00A824E6"/>
    <w:rsid w:val="00A824F4"/>
    <w:rsid w:val="00A8251D"/>
    <w:rsid w:val="00A82530"/>
    <w:rsid w:val="00A82560"/>
    <w:rsid w:val="00A825B0"/>
    <w:rsid w:val="00A825D9"/>
    <w:rsid w:val="00A82613"/>
    <w:rsid w:val="00A826F4"/>
    <w:rsid w:val="00A82718"/>
    <w:rsid w:val="00A82722"/>
    <w:rsid w:val="00A8273C"/>
    <w:rsid w:val="00A8274D"/>
    <w:rsid w:val="00A827B5"/>
    <w:rsid w:val="00A8280C"/>
    <w:rsid w:val="00A82813"/>
    <w:rsid w:val="00A82851"/>
    <w:rsid w:val="00A82898"/>
    <w:rsid w:val="00A828E4"/>
    <w:rsid w:val="00A82964"/>
    <w:rsid w:val="00A829AF"/>
    <w:rsid w:val="00A829B8"/>
    <w:rsid w:val="00A82A62"/>
    <w:rsid w:val="00A82AB3"/>
    <w:rsid w:val="00A82AC3"/>
    <w:rsid w:val="00A82ADB"/>
    <w:rsid w:val="00A82B3F"/>
    <w:rsid w:val="00A82B6C"/>
    <w:rsid w:val="00A82B8A"/>
    <w:rsid w:val="00A82BAF"/>
    <w:rsid w:val="00A82BF0"/>
    <w:rsid w:val="00A82D30"/>
    <w:rsid w:val="00A82DCF"/>
    <w:rsid w:val="00A82DDB"/>
    <w:rsid w:val="00A82F06"/>
    <w:rsid w:val="00A82F7C"/>
    <w:rsid w:val="00A82FA6"/>
    <w:rsid w:val="00A83005"/>
    <w:rsid w:val="00A8302F"/>
    <w:rsid w:val="00A83049"/>
    <w:rsid w:val="00A83074"/>
    <w:rsid w:val="00A830B3"/>
    <w:rsid w:val="00A83104"/>
    <w:rsid w:val="00A8310D"/>
    <w:rsid w:val="00A83124"/>
    <w:rsid w:val="00A83126"/>
    <w:rsid w:val="00A83150"/>
    <w:rsid w:val="00A8328E"/>
    <w:rsid w:val="00A83294"/>
    <w:rsid w:val="00A832AC"/>
    <w:rsid w:val="00A832FF"/>
    <w:rsid w:val="00A8347C"/>
    <w:rsid w:val="00A834A6"/>
    <w:rsid w:val="00A834B0"/>
    <w:rsid w:val="00A834B8"/>
    <w:rsid w:val="00A834C8"/>
    <w:rsid w:val="00A83530"/>
    <w:rsid w:val="00A83537"/>
    <w:rsid w:val="00A8353C"/>
    <w:rsid w:val="00A835B8"/>
    <w:rsid w:val="00A835DE"/>
    <w:rsid w:val="00A83609"/>
    <w:rsid w:val="00A8361E"/>
    <w:rsid w:val="00A83622"/>
    <w:rsid w:val="00A83659"/>
    <w:rsid w:val="00A83678"/>
    <w:rsid w:val="00A83741"/>
    <w:rsid w:val="00A8374C"/>
    <w:rsid w:val="00A83772"/>
    <w:rsid w:val="00A83777"/>
    <w:rsid w:val="00A8378D"/>
    <w:rsid w:val="00A837BF"/>
    <w:rsid w:val="00A837D6"/>
    <w:rsid w:val="00A837FA"/>
    <w:rsid w:val="00A83817"/>
    <w:rsid w:val="00A83819"/>
    <w:rsid w:val="00A83854"/>
    <w:rsid w:val="00A8389E"/>
    <w:rsid w:val="00A838C4"/>
    <w:rsid w:val="00A838CC"/>
    <w:rsid w:val="00A83905"/>
    <w:rsid w:val="00A83910"/>
    <w:rsid w:val="00A83957"/>
    <w:rsid w:val="00A83965"/>
    <w:rsid w:val="00A839DB"/>
    <w:rsid w:val="00A83A1D"/>
    <w:rsid w:val="00A83A46"/>
    <w:rsid w:val="00A83AB2"/>
    <w:rsid w:val="00A83AB4"/>
    <w:rsid w:val="00A83B9C"/>
    <w:rsid w:val="00A83BA6"/>
    <w:rsid w:val="00A83BAF"/>
    <w:rsid w:val="00A83BB9"/>
    <w:rsid w:val="00A83C15"/>
    <w:rsid w:val="00A83C4B"/>
    <w:rsid w:val="00A83C7C"/>
    <w:rsid w:val="00A83CAD"/>
    <w:rsid w:val="00A83CC9"/>
    <w:rsid w:val="00A83CFB"/>
    <w:rsid w:val="00A83CFF"/>
    <w:rsid w:val="00A83DDD"/>
    <w:rsid w:val="00A83E6B"/>
    <w:rsid w:val="00A83F19"/>
    <w:rsid w:val="00A83F40"/>
    <w:rsid w:val="00A83F9B"/>
    <w:rsid w:val="00A83FD8"/>
    <w:rsid w:val="00A83FEE"/>
    <w:rsid w:val="00A84082"/>
    <w:rsid w:val="00A840A3"/>
    <w:rsid w:val="00A840FE"/>
    <w:rsid w:val="00A84101"/>
    <w:rsid w:val="00A8416C"/>
    <w:rsid w:val="00A8418E"/>
    <w:rsid w:val="00A84190"/>
    <w:rsid w:val="00A8424A"/>
    <w:rsid w:val="00A84269"/>
    <w:rsid w:val="00A8426B"/>
    <w:rsid w:val="00A842B5"/>
    <w:rsid w:val="00A842ED"/>
    <w:rsid w:val="00A84311"/>
    <w:rsid w:val="00A8435E"/>
    <w:rsid w:val="00A8438F"/>
    <w:rsid w:val="00A843DD"/>
    <w:rsid w:val="00A843E1"/>
    <w:rsid w:val="00A84463"/>
    <w:rsid w:val="00A844E0"/>
    <w:rsid w:val="00A844E5"/>
    <w:rsid w:val="00A84511"/>
    <w:rsid w:val="00A84524"/>
    <w:rsid w:val="00A84547"/>
    <w:rsid w:val="00A8454A"/>
    <w:rsid w:val="00A8457B"/>
    <w:rsid w:val="00A845A8"/>
    <w:rsid w:val="00A845D2"/>
    <w:rsid w:val="00A84635"/>
    <w:rsid w:val="00A84647"/>
    <w:rsid w:val="00A8466B"/>
    <w:rsid w:val="00A846AC"/>
    <w:rsid w:val="00A846CE"/>
    <w:rsid w:val="00A846D8"/>
    <w:rsid w:val="00A846EB"/>
    <w:rsid w:val="00A84726"/>
    <w:rsid w:val="00A84755"/>
    <w:rsid w:val="00A84758"/>
    <w:rsid w:val="00A84765"/>
    <w:rsid w:val="00A84844"/>
    <w:rsid w:val="00A84860"/>
    <w:rsid w:val="00A8487A"/>
    <w:rsid w:val="00A848B7"/>
    <w:rsid w:val="00A848C6"/>
    <w:rsid w:val="00A848DC"/>
    <w:rsid w:val="00A8496E"/>
    <w:rsid w:val="00A84978"/>
    <w:rsid w:val="00A849BB"/>
    <w:rsid w:val="00A849BD"/>
    <w:rsid w:val="00A849EC"/>
    <w:rsid w:val="00A84A1C"/>
    <w:rsid w:val="00A84ACA"/>
    <w:rsid w:val="00A84ADF"/>
    <w:rsid w:val="00A84B0D"/>
    <w:rsid w:val="00A84B79"/>
    <w:rsid w:val="00A84BC3"/>
    <w:rsid w:val="00A84BE2"/>
    <w:rsid w:val="00A84C3D"/>
    <w:rsid w:val="00A84CB0"/>
    <w:rsid w:val="00A84CCF"/>
    <w:rsid w:val="00A84CDC"/>
    <w:rsid w:val="00A84D34"/>
    <w:rsid w:val="00A84DA6"/>
    <w:rsid w:val="00A84DB1"/>
    <w:rsid w:val="00A84DDF"/>
    <w:rsid w:val="00A84F07"/>
    <w:rsid w:val="00A84FD9"/>
    <w:rsid w:val="00A85037"/>
    <w:rsid w:val="00A85056"/>
    <w:rsid w:val="00A850BD"/>
    <w:rsid w:val="00A850CE"/>
    <w:rsid w:val="00A850CF"/>
    <w:rsid w:val="00A851F4"/>
    <w:rsid w:val="00A851FF"/>
    <w:rsid w:val="00A85276"/>
    <w:rsid w:val="00A852C4"/>
    <w:rsid w:val="00A8534D"/>
    <w:rsid w:val="00A85354"/>
    <w:rsid w:val="00A853FB"/>
    <w:rsid w:val="00A85473"/>
    <w:rsid w:val="00A854AE"/>
    <w:rsid w:val="00A854D1"/>
    <w:rsid w:val="00A85503"/>
    <w:rsid w:val="00A85562"/>
    <w:rsid w:val="00A855DE"/>
    <w:rsid w:val="00A855FD"/>
    <w:rsid w:val="00A8563F"/>
    <w:rsid w:val="00A8569D"/>
    <w:rsid w:val="00A856B1"/>
    <w:rsid w:val="00A856BF"/>
    <w:rsid w:val="00A856E9"/>
    <w:rsid w:val="00A856F8"/>
    <w:rsid w:val="00A85733"/>
    <w:rsid w:val="00A85759"/>
    <w:rsid w:val="00A857A1"/>
    <w:rsid w:val="00A857A7"/>
    <w:rsid w:val="00A857CD"/>
    <w:rsid w:val="00A8594D"/>
    <w:rsid w:val="00A85986"/>
    <w:rsid w:val="00A859B0"/>
    <w:rsid w:val="00A859DE"/>
    <w:rsid w:val="00A85A5C"/>
    <w:rsid w:val="00A85A69"/>
    <w:rsid w:val="00A85ACB"/>
    <w:rsid w:val="00A85B34"/>
    <w:rsid w:val="00A85BE8"/>
    <w:rsid w:val="00A85BFB"/>
    <w:rsid w:val="00A85C49"/>
    <w:rsid w:val="00A85CD0"/>
    <w:rsid w:val="00A85CD9"/>
    <w:rsid w:val="00A85D04"/>
    <w:rsid w:val="00A85D32"/>
    <w:rsid w:val="00A85ECF"/>
    <w:rsid w:val="00A85F0A"/>
    <w:rsid w:val="00A85F69"/>
    <w:rsid w:val="00A85FB3"/>
    <w:rsid w:val="00A86033"/>
    <w:rsid w:val="00A86040"/>
    <w:rsid w:val="00A86053"/>
    <w:rsid w:val="00A86076"/>
    <w:rsid w:val="00A8608A"/>
    <w:rsid w:val="00A860D7"/>
    <w:rsid w:val="00A860FF"/>
    <w:rsid w:val="00A86100"/>
    <w:rsid w:val="00A8613B"/>
    <w:rsid w:val="00A861A0"/>
    <w:rsid w:val="00A861A7"/>
    <w:rsid w:val="00A861CF"/>
    <w:rsid w:val="00A861EF"/>
    <w:rsid w:val="00A861F4"/>
    <w:rsid w:val="00A8622F"/>
    <w:rsid w:val="00A86305"/>
    <w:rsid w:val="00A8630E"/>
    <w:rsid w:val="00A86360"/>
    <w:rsid w:val="00A863A8"/>
    <w:rsid w:val="00A863F5"/>
    <w:rsid w:val="00A86453"/>
    <w:rsid w:val="00A8646B"/>
    <w:rsid w:val="00A86473"/>
    <w:rsid w:val="00A864A1"/>
    <w:rsid w:val="00A864C8"/>
    <w:rsid w:val="00A86513"/>
    <w:rsid w:val="00A8658B"/>
    <w:rsid w:val="00A865AC"/>
    <w:rsid w:val="00A8661D"/>
    <w:rsid w:val="00A86653"/>
    <w:rsid w:val="00A866AC"/>
    <w:rsid w:val="00A8679C"/>
    <w:rsid w:val="00A867FA"/>
    <w:rsid w:val="00A868E7"/>
    <w:rsid w:val="00A86953"/>
    <w:rsid w:val="00A8695B"/>
    <w:rsid w:val="00A8697C"/>
    <w:rsid w:val="00A8699F"/>
    <w:rsid w:val="00A869A0"/>
    <w:rsid w:val="00A869A1"/>
    <w:rsid w:val="00A86A2B"/>
    <w:rsid w:val="00A86A2E"/>
    <w:rsid w:val="00A86B2B"/>
    <w:rsid w:val="00A86B64"/>
    <w:rsid w:val="00A86B78"/>
    <w:rsid w:val="00A86BF5"/>
    <w:rsid w:val="00A86C4C"/>
    <w:rsid w:val="00A86CAE"/>
    <w:rsid w:val="00A86CD1"/>
    <w:rsid w:val="00A86CE1"/>
    <w:rsid w:val="00A86CF8"/>
    <w:rsid w:val="00A86D3A"/>
    <w:rsid w:val="00A86D4D"/>
    <w:rsid w:val="00A86D54"/>
    <w:rsid w:val="00A86DA2"/>
    <w:rsid w:val="00A86DA3"/>
    <w:rsid w:val="00A86DA9"/>
    <w:rsid w:val="00A86E0D"/>
    <w:rsid w:val="00A86E34"/>
    <w:rsid w:val="00A86E74"/>
    <w:rsid w:val="00A86E7E"/>
    <w:rsid w:val="00A86E96"/>
    <w:rsid w:val="00A86EC6"/>
    <w:rsid w:val="00A86EEB"/>
    <w:rsid w:val="00A86F42"/>
    <w:rsid w:val="00A86FCB"/>
    <w:rsid w:val="00A86FEF"/>
    <w:rsid w:val="00A87003"/>
    <w:rsid w:val="00A87037"/>
    <w:rsid w:val="00A87060"/>
    <w:rsid w:val="00A8707C"/>
    <w:rsid w:val="00A870AB"/>
    <w:rsid w:val="00A870B8"/>
    <w:rsid w:val="00A8710B"/>
    <w:rsid w:val="00A8714C"/>
    <w:rsid w:val="00A871F1"/>
    <w:rsid w:val="00A872B6"/>
    <w:rsid w:val="00A87336"/>
    <w:rsid w:val="00A8736A"/>
    <w:rsid w:val="00A874C2"/>
    <w:rsid w:val="00A874F7"/>
    <w:rsid w:val="00A8754D"/>
    <w:rsid w:val="00A87577"/>
    <w:rsid w:val="00A875A0"/>
    <w:rsid w:val="00A8762A"/>
    <w:rsid w:val="00A876D6"/>
    <w:rsid w:val="00A87878"/>
    <w:rsid w:val="00A87921"/>
    <w:rsid w:val="00A87937"/>
    <w:rsid w:val="00A87946"/>
    <w:rsid w:val="00A8794E"/>
    <w:rsid w:val="00A8796B"/>
    <w:rsid w:val="00A8796F"/>
    <w:rsid w:val="00A879D3"/>
    <w:rsid w:val="00A879F4"/>
    <w:rsid w:val="00A87A23"/>
    <w:rsid w:val="00A87A73"/>
    <w:rsid w:val="00A87AD5"/>
    <w:rsid w:val="00A87ADE"/>
    <w:rsid w:val="00A87B83"/>
    <w:rsid w:val="00A87B8A"/>
    <w:rsid w:val="00A87BB1"/>
    <w:rsid w:val="00A87BB5"/>
    <w:rsid w:val="00A87C15"/>
    <w:rsid w:val="00A87CC9"/>
    <w:rsid w:val="00A87D04"/>
    <w:rsid w:val="00A87D31"/>
    <w:rsid w:val="00A87D4A"/>
    <w:rsid w:val="00A87D78"/>
    <w:rsid w:val="00A87DC2"/>
    <w:rsid w:val="00A87DFA"/>
    <w:rsid w:val="00A87E58"/>
    <w:rsid w:val="00A87E75"/>
    <w:rsid w:val="00A87E91"/>
    <w:rsid w:val="00A87EAC"/>
    <w:rsid w:val="00A87F01"/>
    <w:rsid w:val="00A87F1C"/>
    <w:rsid w:val="00A87F77"/>
    <w:rsid w:val="00A87F86"/>
    <w:rsid w:val="00A87FE2"/>
    <w:rsid w:val="00A87FE5"/>
    <w:rsid w:val="00A87FE9"/>
    <w:rsid w:val="00A90018"/>
    <w:rsid w:val="00A9002A"/>
    <w:rsid w:val="00A90031"/>
    <w:rsid w:val="00A900BF"/>
    <w:rsid w:val="00A90125"/>
    <w:rsid w:val="00A90166"/>
    <w:rsid w:val="00A90181"/>
    <w:rsid w:val="00A901E0"/>
    <w:rsid w:val="00A901EE"/>
    <w:rsid w:val="00A902B3"/>
    <w:rsid w:val="00A902E3"/>
    <w:rsid w:val="00A90378"/>
    <w:rsid w:val="00A904AB"/>
    <w:rsid w:val="00A904F7"/>
    <w:rsid w:val="00A90520"/>
    <w:rsid w:val="00A90578"/>
    <w:rsid w:val="00A905A0"/>
    <w:rsid w:val="00A905EE"/>
    <w:rsid w:val="00A90640"/>
    <w:rsid w:val="00A90659"/>
    <w:rsid w:val="00A90693"/>
    <w:rsid w:val="00A90748"/>
    <w:rsid w:val="00A90776"/>
    <w:rsid w:val="00A907A1"/>
    <w:rsid w:val="00A907E1"/>
    <w:rsid w:val="00A907E7"/>
    <w:rsid w:val="00A90859"/>
    <w:rsid w:val="00A90866"/>
    <w:rsid w:val="00A90892"/>
    <w:rsid w:val="00A908E3"/>
    <w:rsid w:val="00A90952"/>
    <w:rsid w:val="00A90960"/>
    <w:rsid w:val="00A909CF"/>
    <w:rsid w:val="00A909DC"/>
    <w:rsid w:val="00A909E3"/>
    <w:rsid w:val="00A90A01"/>
    <w:rsid w:val="00A90A21"/>
    <w:rsid w:val="00A90A83"/>
    <w:rsid w:val="00A90AA7"/>
    <w:rsid w:val="00A90AFC"/>
    <w:rsid w:val="00A90B4A"/>
    <w:rsid w:val="00A90B80"/>
    <w:rsid w:val="00A90B90"/>
    <w:rsid w:val="00A90BF7"/>
    <w:rsid w:val="00A90C33"/>
    <w:rsid w:val="00A90C9D"/>
    <w:rsid w:val="00A90CF9"/>
    <w:rsid w:val="00A90D97"/>
    <w:rsid w:val="00A90DC3"/>
    <w:rsid w:val="00A90E1A"/>
    <w:rsid w:val="00A90E29"/>
    <w:rsid w:val="00A90E41"/>
    <w:rsid w:val="00A90E5C"/>
    <w:rsid w:val="00A90EA5"/>
    <w:rsid w:val="00A90EB6"/>
    <w:rsid w:val="00A90F14"/>
    <w:rsid w:val="00A90F31"/>
    <w:rsid w:val="00A90F5D"/>
    <w:rsid w:val="00A90F7E"/>
    <w:rsid w:val="00A9100B"/>
    <w:rsid w:val="00A910F3"/>
    <w:rsid w:val="00A91169"/>
    <w:rsid w:val="00A91197"/>
    <w:rsid w:val="00A9120A"/>
    <w:rsid w:val="00A91212"/>
    <w:rsid w:val="00A91250"/>
    <w:rsid w:val="00A91273"/>
    <w:rsid w:val="00A912A1"/>
    <w:rsid w:val="00A912CA"/>
    <w:rsid w:val="00A9132A"/>
    <w:rsid w:val="00A91384"/>
    <w:rsid w:val="00A913B9"/>
    <w:rsid w:val="00A913C4"/>
    <w:rsid w:val="00A913F5"/>
    <w:rsid w:val="00A9140B"/>
    <w:rsid w:val="00A91416"/>
    <w:rsid w:val="00A9142D"/>
    <w:rsid w:val="00A91449"/>
    <w:rsid w:val="00A91457"/>
    <w:rsid w:val="00A91469"/>
    <w:rsid w:val="00A91552"/>
    <w:rsid w:val="00A91574"/>
    <w:rsid w:val="00A91585"/>
    <w:rsid w:val="00A91599"/>
    <w:rsid w:val="00A915D6"/>
    <w:rsid w:val="00A91613"/>
    <w:rsid w:val="00A916AF"/>
    <w:rsid w:val="00A916D7"/>
    <w:rsid w:val="00A916F1"/>
    <w:rsid w:val="00A916F8"/>
    <w:rsid w:val="00A91723"/>
    <w:rsid w:val="00A91773"/>
    <w:rsid w:val="00A9179A"/>
    <w:rsid w:val="00A917BB"/>
    <w:rsid w:val="00A917BC"/>
    <w:rsid w:val="00A91800"/>
    <w:rsid w:val="00A91847"/>
    <w:rsid w:val="00A91890"/>
    <w:rsid w:val="00A91892"/>
    <w:rsid w:val="00A9192B"/>
    <w:rsid w:val="00A9196A"/>
    <w:rsid w:val="00A91988"/>
    <w:rsid w:val="00A919AF"/>
    <w:rsid w:val="00A919F3"/>
    <w:rsid w:val="00A91A40"/>
    <w:rsid w:val="00A91A63"/>
    <w:rsid w:val="00A91A8B"/>
    <w:rsid w:val="00A91B3B"/>
    <w:rsid w:val="00A91BDB"/>
    <w:rsid w:val="00A91BE9"/>
    <w:rsid w:val="00A91BEB"/>
    <w:rsid w:val="00A91C69"/>
    <w:rsid w:val="00A91C95"/>
    <w:rsid w:val="00A91CB1"/>
    <w:rsid w:val="00A91CF8"/>
    <w:rsid w:val="00A91D1A"/>
    <w:rsid w:val="00A91D32"/>
    <w:rsid w:val="00A91D48"/>
    <w:rsid w:val="00A91E0C"/>
    <w:rsid w:val="00A91E45"/>
    <w:rsid w:val="00A91E8A"/>
    <w:rsid w:val="00A91EE7"/>
    <w:rsid w:val="00A91EF2"/>
    <w:rsid w:val="00A91EF4"/>
    <w:rsid w:val="00A91F09"/>
    <w:rsid w:val="00A91F3B"/>
    <w:rsid w:val="00A91F56"/>
    <w:rsid w:val="00A91F8E"/>
    <w:rsid w:val="00A91FA1"/>
    <w:rsid w:val="00A9200C"/>
    <w:rsid w:val="00A9202F"/>
    <w:rsid w:val="00A9204B"/>
    <w:rsid w:val="00A92058"/>
    <w:rsid w:val="00A92067"/>
    <w:rsid w:val="00A920F0"/>
    <w:rsid w:val="00A920F1"/>
    <w:rsid w:val="00A920FA"/>
    <w:rsid w:val="00A921A6"/>
    <w:rsid w:val="00A921B5"/>
    <w:rsid w:val="00A92219"/>
    <w:rsid w:val="00A92253"/>
    <w:rsid w:val="00A922BB"/>
    <w:rsid w:val="00A9230C"/>
    <w:rsid w:val="00A92336"/>
    <w:rsid w:val="00A92360"/>
    <w:rsid w:val="00A92363"/>
    <w:rsid w:val="00A92422"/>
    <w:rsid w:val="00A9243B"/>
    <w:rsid w:val="00A9244D"/>
    <w:rsid w:val="00A9249F"/>
    <w:rsid w:val="00A924BE"/>
    <w:rsid w:val="00A9256F"/>
    <w:rsid w:val="00A92581"/>
    <w:rsid w:val="00A925D5"/>
    <w:rsid w:val="00A92631"/>
    <w:rsid w:val="00A92640"/>
    <w:rsid w:val="00A926DC"/>
    <w:rsid w:val="00A926E5"/>
    <w:rsid w:val="00A926FE"/>
    <w:rsid w:val="00A92737"/>
    <w:rsid w:val="00A927AC"/>
    <w:rsid w:val="00A927CB"/>
    <w:rsid w:val="00A927E8"/>
    <w:rsid w:val="00A92840"/>
    <w:rsid w:val="00A92915"/>
    <w:rsid w:val="00A92952"/>
    <w:rsid w:val="00A92991"/>
    <w:rsid w:val="00A929A7"/>
    <w:rsid w:val="00A929EB"/>
    <w:rsid w:val="00A92A02"/>
    <w:rsid w:val="00A92A27"/>
    <w:rsid w:val="00A92A3E"/>
    <w:rsid w:val="00A92A4D"/>
    <w:rsid w:val="00A92A5E"/>
    <w:rsid w:val="00A92AB1"/>
    <w:rsid w:val="00A92BBC"/>
    <w:rsid w:val="00A92C19"/>
    <w:rsid w:val="00A92C57"/>
    <w:rsid w:val="00A92D03"/>
    <w:rsid w:val="00A92D19"/>
    <w:rsid w:val="00A92D21"/>
    <w:rsid w:val="00A92D74"/>
    <w:rsid w:val="00A92D8A"/>
    <w:rsid w:val="00A92DA3"/>
    <w:rsid w:val="00A92DFE"/>
    <w:rsid w:val="00A92E34"/>
    <w:rsid w:val="00A92E3A"/>
    <w:rsid w:val="00A92E3D"/>
    <w:rsid w:val="00A92E74"/>
    <w:rsid w:val="00A92E75"/>
    <w:rsid w:val="00A92E7F"/>
    <w:rsid w:val="00A92EFB"/>
    <w:rsid w:val="00A92F6D"/>
    <w:rsid w:val="00A92FB0"/>
    <w:rsid w:val="00A92FFC"/>
    <w:rsid w:val="00A9301B"/>
    <w:rsid w:val="00A9303F"/>
    <w:rsid w:val="00A93063"/>
    <w:rsid w:val="00A9306E"/>
    <w:rsid w:val="00A930FB"/>
    <w:rsid w:val="00A9313F"/>
    <w:rsid w:val="00A93172"/>
    <w:rsid w:val="00A9318E"/>
    <w:rsid w:val="00A931A8"/>
    <w:rsid w:val="00A931CF"/>
    <w:rsid w:val="00A931F6"/>
    <w:rsid w:val="00A93205"/>
    <w:rsid w:val="00A9320E"/>
    <w:rsid w:val="00A9321C"/>
    <w:rsid w:val="00A93240"/>
    <w:rsid w:val="00A932D0"/>
    <w:rsid w:val="00A932E7"/>
    <w:rsid w:val="00A9336E"/>
    <w:rsid w:val="00A933C5"/>
    <w:rsid w:val="00A93401"/>
    <w:rsid w:val="00A93479"/>
    <w:rsid w:val="00A935DC"/>
    <w:rsid w:val="00A935EB"/>
    <w:rsid w:val="00A935F6"/>
    <w:rsid w:val="00A93612"/>
    <w:rsid w:val="00A9364D"/>
    <w:rsid w:val="00A93674"/>
    <w:rsid w:val="00A93722"/>
    <w:rsid w:val="00A93763"/>
    <w:rsid w:val="00A93778"/>
    <w:rsid w:val="00A93807"/>
    <w:rsid w:val="00A93864"/>
    <w:rsid w:val="00A93866"/>
    <w:rsid w:val="00A9390C"/>
    <w:rsid w:val="00A93915"/>
    <w:rsid w:val="00A93994"/>
    <w:rsid w:val="00A939C1"/>
    <w:rsid w:val="00A939E4"/>
    <w:rsid w:val="00A93AD4"/>
    <w:rsid w:val="00A93B25"/>
    <w:rsid w:val="00A93B51"/>
    <w:rsid w:val="00A93BAD"/>
    <w:rsid w:val="00A93BC4"/>
    <w:rsid w:val="00A93BF4"/>
    <w:rsid w:val="00A93C0C"/>
    <w:rsid w:val="00A93CAC"/>
    <w:rsid w:val="00A93D16"/>
    <w:rsid w:val="00A93DB7"/>
    <w:rsid w:val="00A93DD4"/>
    <w:rsid w:val="00A93DD9"/>
    <w:rsid w:val="00A93DEB"/>
    <w:rsid w:val="00A93E2A"/>
    <w:rsid w:val="00A93E51"/>
    <w:rsid w:val="00A93E8B"/>
    <w:rsid w:val="00A93EE0"/>
    <w:rsid w:val="00A93EF4"/>
    <w:rsid w:val="00A93F04"/>
    <w:rsid w:val="00A93FA2"/>
    <w:rsid w:val="00A93FC6"/>
    <w:rsid w:val="00A94028"/>
    <w:rsid w:val="00A94097"/>
    <w:rsid w:val="00A940A5"/>
    <w:rsid w:val="00A940BE"/>
    <w:rsid w:val="00A940D1"/>
    <w:rsid w:val="00A94143"/>
    <w:rsid w:val="00A94185"/>
    <w:rsid w:val="00A941E8"/>
    <w:rsid w:val="00A94202"/>
    <w:rsid w:val="00A94238"/>
    <w:rsid w:val="00A9426F"/>
    <w:rsid w:val="00A942B6"/>
    <w:rsid w:val="00A942D5"/>
    <w:rsid w:val="00A9436B"/>
    <w:rsid w:val="00A9436E"/>
    <w:rsid w:val="00A9439E"/>
    <w:rsid w:val="00A943DB"/>
    <w:rsid w:val="00A943E9"/>
    <w:rsid w:val="00A94442"/>
    <w:rsid w:val="00A94476"/>
    <w:rsid w:val="00A9455A"/>
    <w:rsid w:val="00A945A7"/>
    <w:rsid w:val="00A945CA"/>
    <w:rsid w:val="00A94648"/>
    <w:rsid w:val="00A94670"/>
    <w:rsid w:val="00A94671"/>
    <w:rsid w:val="00A94676"/>
    <w:rsid w:val="00A9467B"/>
    <w:rsid w:val="00A946A2"/>
    <w:rsid w:val="00A9473D"/>
    <w:rsid w:val="00A9477B"/>
    <w:rsid w:val="00A94861"/>
    <w:rsid w:val="00A94882"/>
    <w:rsid w:val="00A949F8"/>
    <w:rsid w:val="00A94A55"/>
    <w:rsid w:val="00A94A8E"/>
    <w:rsid w:val="00A94B36"/>
    <w:rsid w:val="00A94B3E"/>
    <w:rsid w:val="00A94B53"/>
    <w:rsid w:val="00A94BCB"/>
    <w:rsid w:val="00A94CCB"/>
    <w:rsid w:val="00A94CE5"/>
    <w:rsid w:val="00A94CEB"/>
    <w:rsid w:val="00A94D19"/>
    <w:rsid w:val="00A94DD2"/>
    <w:rsid w:val="00A94DE8"/>
    <w:rsid w:val="00A94E7F"/>
    <w:rsid w:val="00A94ECE"/>
    <w:rsid w:val="00A94EE6"/>
    <w:rsid w:val="00A94F3D"/>
    <w:rsid w:val="00A94F45"/>
    <w:rsid w:val="00A94F82"/>
    <w:rsid w:val="00A94FAF"/>
    <w:rsid w:val="00A94FE5"/>
    <w:rsid w:val="00A94FE9"/>
    <w:rsid w:val="00A94FFD"/>
    <w:rsid w:val="00A95015"/>
    <w:rsid w:val="00A95043"/>
    <w:rsid w:val="00A95059"/>
    <w:rsid w:val="00A95066"/>
    <w:rsid w:val="00A950A5"/>
    <w:rsid w:val="00A950F8"/>
    <w:rsid w:val="00A95142"/>
    <w:rsid w:val="00A95148"/>
    <w:rsid w:val="00A95165"/>
    <w:rsid w:val="00A9516A"/>
    <w:rsid w:val="00A9516F"/>
    <w:rsid w:val="00A95203"/>
    <w:rsid w:val="00A95222"/>
    <w:rsid w:val="00A95230"/>
    <w:rsid w:val="00A95263"/>
    <w:rsid w:val="00A95266"/>
    <w:rsid w:val="00A953DC"/>
    <w:rsid w:val="00A95458"/>
    <w:rsid w:val="00A954F0"/>
    <w:rsid w:val="00A954F3"/>
    <w:rsid w:val="00A95525"/>
    <w:rsid w:val="00A9557A"/>
    <w:rsid w:val="00A955B2"/>
    <w:rsid w:val="00A955C1"/>
    <w:rsid w:val="00A955CC"/>
    <w:rsid w:val="00A955E6"/>
    <w:rsid w:val="00A956BB"/>
    <w:rsid w:val="00A9574E"/>
    <w:rsid w:val="00A95754"/>
    <w:rsid w:val="00A9583B"/>
    <w:rsid w:val="00A95848"/>
    <w:rsid w:val="00A9596F"/>
    <w:rsid w:val="00A95987"/>
    <w:rsid w:val="00A959A2"/>
    <w:rsid w:val="00A959AA"/>
    <w:rsid w:val="00A959D6"/>
    <w:rsid w:val="00A959F3"/>
    <w:rsid w:val="00A95A09"/>
    <w:rsid w:val="00A95A2A"/>
    <w:rsid w:val="00A95A39"/>
    <w:rsid w:val="00A95A4A"/>
    <w:rsid w:val="00A95AFB"/>
    <w:rsid w:val="00A95B12"/>
    <w:rsid w:val="00A95B15"/>
    <w:rsid w:val="00A95B36"/>
    <w:rsid w:val="00A95B3B"/>
    <w:rsid w:val="00A95B77"/>
    <w:rsid w:val="00A95C10"/>
    <w:rsid w:val="00A95C77"/>
    <w:rsid w:val="00A95C81"/>
    <w:rsid w:val="00A95C8F"/>
    <w:rsid w:val="00A95C96"/>
    <w:rsid w:val="00A95D60"/>
    <w:rsid w:val="00A95DD9"/>
    <w:rsid w:val="00A95EA3"/>
    <w:rsid w:val="00A95EDE"/>
    <w:rsid w:val="00A95EE2"/>
    <w:rsid w:val="00A95F18"/>
    <w:rsid w:val="00A95F1D"/>
    <w:rsid w:val="00A95F58"/>
    <w:rsid w:val="00A95F89"/>
    <w:rsid w:val="00A95FBD"/>
    <w:rsid w:val="00A9600E"/>
    <w:rsid w:val="00A9604B"/>
    <w:rsid w:val="00A9606D"/>
    <w:rsid w:val="00A960CE"/>
    <w:rsid w:val="00A9612D"/>
    <w:rsid w:val="00A96165"/>
    <w:rsid w:val="00A9619D"/>
    <w:rsid w:val="00A961E4"/>
    <w:rsid w:val="00A96216"/>
    <w:rsid w:val="00A9622D"/>
    <w:rsid w:val="00A96274"/>
    <w:rsid w:val="00A962AB"/>
    <w:rsid w:val="00A962BA"/>
    <w:rsid w:val="00A962E1"/>
    <w:rsid w:val="00A962ED"/>
    <w:rsid w:val="00A96308"/>
    <w:rsid w:val="00A96398"/>
    <w:rsid w:val="00A9639C"/>
    <w:rsid w:val="00A96466"/>
    <w:rsid w:val="00A96485"/>
    <w:rsid w:val="00A96498"/>
    <w:rsid w:val="00A9653A"/>
    <w:rsid w:val="00A9653F"/>
    <w:rsid w:val="00A9655C"/>
    <w:rsid w:val="00A96575"/>
    <w:rsid w:val="00A9662D"/>
    <w:rsid w:val="00A96650"/>
    <w:rsid w:val="00A966AE"/>
    <w:rsid w:val="00A96715"/>
    <w:rsid w:val="00A9679E"/>
    <w:rsid w:val="00A967D9"/>
    <w:rsid w:val="00A9682D"/>
    <w:rsid w:val="00A96861"/>
    <w:rsid w:val="00A96886"/>
    <w:rsid w:val="00A968B7"/>
    <w:rsid w:val="00A9694C"/>
    <w:rsid w:val="00A96970"/>
    <w:rsid w:val="00A969D3"/>
    <w:rsid w:val="00A96A6C"/>
    <w:rsid w:val="00A96AC9"/>
    <w:rsid w:val="00A96B00"/>
    <w:rsid w:val="00A96B06"/>
    <w:rsid w:val="00A96B1A"/>
    <w:rsid w:val="00A96B6B"/>
    <w:rsid w:val="00A96C54"/>
    <w:rsid w:val="00A96C66"/>
    <w:rsid w:val="00A96CCF"/>
    <w:rsid w:val="00A96DDE"/>
    <w:rsid w:val="00A96DF8"/>
    <w:rsid w:val="00A96E32"/>
    <w:rsid w:val="00A96E4E"/>
    <w:rsid w:val="00A96E5F"/>
    <w:rsid w:val="00A96E9A"/>
    <w:rsid w:val="00A96E9B"/>
    <w:rsid w:val="00A96EA1"/>
    <w:rsid w:val="00A96ED9"/>
    <w:rsid w:val="00A96EE1"/>
    <w:rsid w:val="00A96F02"/>
    <w:rsid w:val="00A96F4C"/>
    <w:rsid w:val="00A96F84"/>
    <w:rsid w:val="00A96FB2"/>
    <w:rsid w:val="00A9709B"/>
    <w:rsid w:val="00A970A0"/>
    <w:rsid w:val="00A9711C"/>
    <w:rsid w:val="00A97188"/>
    <w:rsid w:val="00A971B7"/>
    <w:rsid w:val="00A971C6"/>
    <w:rsid w:val="00A9724B"/>
    <w:rsid w:val="00A972D1"/>
    <w:rsid w:val="00A97302"/>
    <w:rsid w:val="00A973B3"/>
    <w:rsid w:val="00A973FE"/>
    <w:rsid w:val="00A9742B"/>
    <w:rsid w:val="00A974E9"/>
    <w:rsid w:val="00A97517"/>
    <w:rsid w:val="00A97526"/>
    <w:rsid w:val="00A97570"/>
    <w:rsid w:val="00A9757A"/>
    <w:rsid w:val="00A975EC"/>
    <w:rsid w:val="00A9760A"/>
    <w:rsid w:val="00A97622"/>
    <w:rsid w:val="00A976D7"/>
    <w:rsid w:val="00A9773E"/>
    <w:rsid w:val="00A97755"/>
    <w:rsid w:val="00A97796"/>
    <w:rsid w:val="00A977E2"/>
    <w:rsid w:val="00A97800"/>
    <w:rsid w:val="00A97806"/>
    <w:rsid w:val="00A9781F"/>
    <w:rsid w:val="00A9782D"/>
    <w:rsid w:val="00A97882"/>
    <w:rsid w:val="00A9789B"/>
    <w:rsid w:val="00A978A2"/>
    <w:rsid w:val="00A978CC"/>
    <w:rsid w:val="00A9795B"/>
    <w:rsid w:val="00A97A9D"/>
    <w:rsid w:val="00A97A9F"/>
    <w:rsid w:val="00A97B38"/>
    <w:rsid w:val="00A97B88"/>
    <w:rsid w:val="00A97BA0"/>
    <w:rsid w:val="00A97BC9"/>
    <w:rsid w:val="00A97C20"/>
    <w:rsid w:val="00A97C66"/>
    <w:rsid w:val="00A97C6C"/>
    <w:rsid w:val="00A97CFB"/>
    <w:rsid w:val="00A97D24"/>
    <w:rsid w:val="00A97D7F"/>
    <w:rsid w:val="00A97DDD"/>
    <w:rsid w:val="00A97DE1"/>
    <w:rsid w:val="00A97DF1"/>
    <w:rsid w:val="00A97E21"/>
    <w:rsid w:val="00A97E78"/>
    <w:rsid w:val="00A97E79"/>
    <w:rsid w:val="00A97EA4"/>
    <w:rsid w:val="00A97ED7"/>
    <w:rsid w:val="00A97F26"/>
    <w:rsid w:val="00A97F76"/>
    <w:rsid w:val="00A97F7B"/>
    <w:rsid w:val="00A97FC7"/>
    <w:rsid w:val="00A97FF8"/>
    <w:rsid w:val="00AA000D"/>
    <w:rsid w:val="00AA00E6"/>
    <w:rsid w:val="00AA011E"/>
    <w:rsid w:val="00AA013C"/>
    <w:rsid w:val="00AA0145"/>
    <w:rsid w:val="00AA018C"/>
    <w:rsid w:val="00AA0190"/>
    <w:rsid w:val="00AA01AD"/>
    <w:rsid w:val="00AA01C9"/>
    <w:rsid w:val="00AA0218"/>
    <w:rsid w:val="00AA02BE"/>
    <w:rsid w:val="00AA0361"/>
    <w:rsid w:val="00AA0471"/>
    <w:rsid w:val="00AA0488"/>
    <w:rsid w:val="00AA04B7"/>
    <w:rsid w:val="00AA0504"/>
    <w:rsid w:val="00AA0515"/>
    <w:rsid w:val="00AA059A"/>
    <w:rsid w:val="00AA05D6"/>
    <w:rsid w:val="00AA05E9"/>
    <w:rsid w:val="00AA0628"/>
    <w:rsid w:val="00AA06CE"/>
    <w:rsid w:val="00AA0701"/>
    <w:rsid w:val="00AA070B"/>
    <w:rsid w:val="00AA0739"/>
    <w:rsid w:val="00AA0750"/>
    <w:rsid w:val="00AA0773"/>
    <w:rsid w:val="00AA0814"/>
    <w:rsid w:val="00AA0859"/>
    <w:rsid w:val="00AA089E"/>
    <w:rsid w:val="00AA08A4"/>
    <w:rsid w:val="00AA08D8"/>
    <w:rsid w:val="00AA0974"/>
    <w:rsid w:val="00AA09E9"/>
    <w:rsid w:val="00AA09F8"/>
    <w:rsid w:val="00AA0A42"/>
    <w:rsid w:val="00AA0B14"/>
    <w:rsid w:val="00AA0B17"/>
    <w:rsid w:val="00AA0B21"/>
    <w:rsid w:val="00AA0B57"/>
    <w:rsid w:val="00AA0B66"/>
    <w:rsid w:val="00AA0C09"/>
    <w:rsid w:val="00AA0CAA"/>
    <w:rsid w:val="00AA0CC7"/>
    <w:rsid w:val="00AA0CC8"/>
    <w:rsid w:val="00AA0CE7"/>
    <w:rsid w:val="00AA0CFF"/>
    <w:rsid w:val="00AA0D8A"/>
    <w:rsid w:val="00AA0DE0"/>
    <w:rsid w:val="00AA0E28"/>
    <w:rsid w:val="00AA0E75"/>
    <w:rsid w:val="00AA0E78"/>
    <w:rsid w:val="00AA0EE4"/>
    <w:rsid w:val="00AA0F07"/>
    <w:rsid w:val="00AA0F0B"/>
    <w:rsid w:val="00AA0F1B"/>
    <w:rsid w:val="00AA0FAA"/>
    <w:rsid w:val="00AA0FB3"/>
    <w:rsid w:val="00AA100D"/>
    <w:rsid w:val="00AA1024"/>
    <w:rsid w:val="00AA1036"/>
    <w:rsid w:val="00AA105C"/>
    <w:rsid w:val="00AA106B"/>
    <w:rsid w:val="00AA1073"/>
    <w:rsid w:val="00AA1075"/>
    <w:rsid w:val="00AA107E"/>
    <w:rsid w:val="00AA1089"/>
    <w:rsid w:val="00AA10BE"/>
    <w:rsid w:val="00AA10D6"/>
    <w:rsid w:val="00AA10F8"/>
    <w:rsid w:val="00AA113F"/>
    <w:rsid w:val="00AA1191"/>
    <w:rsid w:val="00AA1211"/>
    <w:rsid w:val="00AA1249"/>
    <w:rsid w:val="00AA127A"/>
    <w:rsid w:val="00AA1284"/>
    <w:rsid w:val="00AA12BA"/>
    <w:rsid w:val="00AA12BC"/>
    <w:rsid w:val="00AA12D8"/>
    <w:rsid w:val="00AA1355"/>
    <w:rsid w:val="00AA13BC"/>
    <w:rsid w:val="00AA13FA"/>
    <w:rsid w:val="00AA13FE"/>
    <w:rsid w:val="00AA1416"/>
    <w:rsid w:val="00AA1457"/>
    <w:rsid w:val="00AA1503"/>
    <w:rsid w:val="00AA1508"/>
    <w:rsid w:val="00AA1532"/>
    <w:rsid w:val="00AA15AC"/>
    <w:rsid w:val="00AA15B2"/>
    <w:rsid w:val="00AA15B8"/>
    <w:rsid w:val="00AA15BD"/>
    <w:rsid w:val="00AA15E7"/>
    <w:rsid w:val="00AA15E9"/>
    <w:rsid w:val="00AA165D"/>
    <w:rsid w:val="00AA167B"/>
    <w:rsid w:val="00AA16DE"/>
    <w:rsid w:val="00AA1765"/>
    <w:rsid w:val="00AA17C5"/>
    <w:rsid w:val="00AA1905"/>
    <w:rsid w:val="00AA1940"/>
    <w:rsid w:val="00AA1958"/>
    <w:rsid w:val="00AA19A6"/>
    <w:rsid w:val="00AA19EF"/>
    <w:rsid w:val="00AA1ADF"/>
    <w:rsid w:val="00AA1B0E"/>
    <w:rsid w:val="00AA1B17"/>
    <w:rsid w:val="00AA1BBC"/>
    <w:rsid w:val="00AA1BC5"/>
    <w:rsid w:val="00AA1BF6"/>
    <w:rsid w:val="00AA1BFF"/>
    <w:rsid w:val="00AA1C1B"/>
    <w:rsid w:val="00AA1C4E"/>
    <w:rsid w:val="00AA1C63"/>
    <w:rsid w:val="00AA1CD6"/>
    <w:rsid w:val="00AA1D2E"/>
    <w:rsid w:val="00AA1D4B"/>
    <w:rsid w:val="00AA1DB4"/>
    <w:rsid w:val="00AA1DFC"/>
    <w:rsid w:val="00AA1DFF"/>
    <w:rsid w:val="00AA1EAF"/>
    <w:rsid w:val="00AA1EED"/>
    <w:rsid w:val="00AA1F48"/>
    <w:rsid w:val="00AA1F74"/>
    <w:rsid w:val="00AA1F85"/>
    <w:rsid w:val="00AA2068"/>
    <w:rsid w:val="00AA20CA"/>
    <w:rsid w:val="00AA2149"/>
    <w:rsid w:val="00AA216E"/>
    <w:rsid w:val="00AA21D1"/>
    <w:rsid w:val="00AA21D7"/>
    <w:rsid w:val="00AA221C"/>
    <w:rsid w:val="00AA2225"/>
    <w:rsid w:val="00AA224C"/>
    <w:rsid w:val="00AA2380"/>
    <w:rsid w:val="00AA23A2"/>
    <w:rsid w:val="00AA23F2"/>
    <w:rsid w:val="00AA23FA"/>
    <w:rsid w:val="00AA250B"/>
    <w:rsid w:val="00AA251F"/>
    <w:rsid w:val="00AA2568"/>
    <w:rsid w:val="00AA25B5"/>
    <w:rsid w:val="00AA25D4"/>
    <w:rsid w:val="00AA2753"/>
    <w:rsid w:val="00AA275F"/>
    <w:rsid w:val="00AA2802"/>
    <w:rsid w:val="00AA2807"/>
    <w:rsid w:val="00AA2875"/>
    <w:rsid w:val="00AA28F9"/>
    <w:rsid w:val="00AA2968"/>
    <w:rsid w:val="00AA29CD"/>
    <w:rsid w:val="00AA2A07"/>
    <w:rsid w:val="00AA2A0D"/>
    <w:rsid w:val="00AA2A1F"/>
    <w:rsid w:val="00AA2A2D"/>
    <w:rsid w:val="00AA2A91"/>
    <w:rsid w:val="00AA2A9E"/>
    <w:rsid w:val="00AA2B18"/>
    <w:rsid w:val="00AA2B2B"/>
    <w:rsid w:val="00AA2B8D"/>
    <w:rsid w:val="00AA2B97"/>
    <w:rsid w:val="00AA2BEA"/>
    <w:rsid w:val="00AA2C61"/>
    <w:rsid w:val="00AA2C93"/>
    <w:rsid w:val="00AA2C9E"/>
    <w:rsid w:val="00AA2CC4"/>
    <w:rsid w:val="00AA2CC5"/>
    <w:rsid w:val="00AA2D33"/>
    <w:rsid w:val="00AA2D37"/>
    <w:rsid w:val="00AA2D5D"/>
    <w:rsid w:val="00AA2D9C"/>
    <w:rsid w:val="00AA2DBE"/>
    <w:rsid w:val="00AA2DC0"/>
    <w:rsid w:val="00AA2E11"/>
    <w:rsid w:val="00AA2E23"/>
    <w:rsid w:val="00AA2E87"/>
    <w:rsid w:val="00AA2EA1"/>
    <w:rsid w:val="00AA2EDC"/>
    <w:rsid w:val="00AA2F06"/>
    <w:rsid w:val="00AA2F24"/>
    <w:rsid w:val="00AA2FD7"/>
    <w:rsid w:val="00AA2FF7"/>
    <w:rsid w:val="00AA300D"/>
    <w:rsid w:val="00AA3043"/>
    <w:rsid w:val="00AA30C8"/>
    <w:rsid w:val="00AA3118"/>
    <w:rsid w:val="00AA31A6"/>
    <w:rsid w:val="00AA3203"/>
    <w:rsid w:val="00AA321B"/>
    <w:rsid w:val="00AA3359"/>
    <w:rsid w:val="00AA341F"/>
    <w:rsid w:val="00AA348A"/>
    <w:rsid w:val="00AA34A6"/>
    <w:rsid w:val="00AA34AC"/>
    <w:rsid w:val="00AA34C5"/>
    <w:rsid w:val="00AA34FB"/>
    <w:rsid w:val="00AA3511"/>
    <w:rsid w:val="00AA3533"/>
    <w:rsid w:val="00AA355A"/>
    <w:rsid w:val="00AA35E7"/>
    <w:rsid w:val="00AA3647"/>
    <w:rsid w:val="00AA3649"/>
    <w:rsid w:val="00AA3671"/>
    <w:rsid w:val="00AA3698"/>
    <w:rsid w:val="00AA36D9"/>
    <w:rsid w:val="00AA36E5"/>
    <w:rsid w:val="00AA36EF"/>
    <w:rsid w:val="00AA3724"/>
    <w:rsid w:val="00AA3756"/>
    <w:rsid w:val="00AA3849"/>
    <w:rsid w:val="00AA3907"/>
    <w:rsid w:val="00AA3984"/>
    <w:rsid w:val="00AA39BB"/>
    <w:rsid w:val="00AA3A4B"/>
    <w:rsid w:val="00AA3A65"/>
    <w:rsid w:val="00AA3AA3"/>
    <w:rsid w:val="00AA3BA0"/>
    <w:rsid w:val="00AA3BC7"/>
    <w:rsid w:val="00AA3BCB"/>
    <w:rsid w:val="00AA3BEB"/>
    <w:rsid w:val="00AA3C4C"/>
    <w:rsid w:val="00AA3C69"/>
    <w:rsid w:val="00AA3C75"/>
    <w:rsid w:val="00AA3CB2"/>
    <w:rsid w:val="00AA3CBC"/>
    <w:rsid w:val="00AA3D46"/>
    <w:rsid w:val="00AA3D49"/>
    <w:rsid w:val="00AA3D54"/>
    <w:rsid w:val="00AA3DEE"/>
    <w:rsid w:val="00AA3F1A"/>
    <w:rsid w:val="00AA3F9B"/>
    <w:rsid w:val="00AA3FBF"/>
    <w:rsid w:val="00AA3FD6"/>
    <w:rsid w:val="00AA3FE9"/>
    <w:rsid w:val="00AA408E"/>
    <w:rsid w:val="00AA40AC"/>
    <w:rsid w:val="00AA410F"/>
    <w:rsid w:val="00AA4206"/>
    <w:rsid w:val="00AA4211"/>
    <w:rsid w:val="00AA4232"/>
    <w:rsid w:val="00AA42C9"/>
    <w:rsid w:val="00AA4310"/>
    <w:rsid w:val="00AA4321"/>
    <w:rsid w:val="00AA4340"/>
    <w:rsid w:val="00AA439F"/>
    <w:rsid w:val="00AA444D"/>
    <w:rsid w:val="00AA446E"/>
    <w:rsid w:val="00AA44C0"/>
    <w:rsid w:val="00AA44D1"/>
    <w:rsid w:val="00AA44D4"/>
    <w:rsid w:val="00AA46F5"/>
    <w:rsid w:val="00AA46F9"/>
    <w:rsid w:val="00AA477E"/>
    <w:rsid w:val="00AA4784"/>
    <w:rsid w:val="00AA47EF"/>
    <w:rsid w:val="00AA481E"/>
    <w:rsid w:val="00AA48DB"/>
    <w:rsid w:val="00AA4910"/>
    <w:rsid w:val="00AA49A9"/>
    <w:rsid w:val="00AA49B1"/>
    <w:rsid w:val="00AA49B3"/>
    <w:rsid w:val="00AA4A94"/>
    <w:rsid w:val="00AA4AA9"/>
    <w:rsid w:val="00AA4AC8"/>
    <w:rsid w:val="00AA4AED"/>
    <w:rsid w:val="00AA4AF2"/>
    <w:rsid w:val="00AA4AF9"/>
    <w:rsid w:val="00AA4B08"/>
    <w:rsid w:val="00AA4B0F"/>
    <w:rsid w:val="00AA4B89"/>
    <w:rsid w:val="00AA4BA2"/>
    <w:rsid w:val="00AA4C5D"/>
    <w:rsid w:val="00AA4C9B"/>
    <w:rsid w:val="00AA4CE9"/>
    <w:rsid w:val="00AA4D35"/>
    <w:rsid w:val="00AA4DC6"/>
    <w:rsid w:val="00AA4DF1"/>
    <w:rsid w:val="00AA4EF0"/>
    <w:rsid w:val="00AA4F92"/>
    <w:rsid w:val="00AA4FC6"/>
    <w:rsid w:val="00AA4FDA"/>
    <w:rsid w:val="00AA5053"/>
    <w:rsid w:val="00AA509E"/>
    <w:rsid w:val="00AA50AB"/>
    <w:rsid w:val="00AA50F2"/>
    <w:rsid w:val="00AA515B"/>
    <w:rsid w:val="00AA5177"/>
    <w:rsid w:val="00AA51E0"/>
    <w:rsid w:val="00AA521A"/>
    <w:rsid w:val="00AA5268"/>
    <w:rsid w:val="00AA5278"/>
    <w:rsid w:val="00AA52E7"/>
    <w:rsid w:val="00AA5312"/>
    <w:rsid w:val="00AA532B"/>
    <w:rsid w:val="00AA534C"/>
    <w:rsid w:val="00AA5357"/>
    <w:rsid w:val="00AA53BE"/>
    <w:rsid w:val="00AA540E"/>
    <w:rsid w:val="00AA5421"/>
    <w:rsid w:val="00AA5435"/>
    <w:rsid w:val="00AA5453"/>
    <w:rsid w:val="00AA5467"/>
    <w:rsid w:val="00AA54B6"/>
    <w:rsid w:val="00AA54CB"/>
    <w:rsid w:val="00AA54D4"/>
    <w:rsid w:val="00AA54E4"/>
    <w:rsid w:val="00AA550E"/>
    <w:rsid w:val="00AA5542"/>
    <w:rsid w:val="00AA557A"/>
    <w:rsid w:val="00AA55A5"/>
    <w:rsid w:val="00AA55EE"/>
    <w:rsid w:val="00AA55F2"/>
    <w:rsid w:val="00AA5612"/>
    <w:rsid w:val="00AA5636"/>
    <w:rsid w:val="00AA5660"/>
    <w:rsid w:val="00AA566A"/>
    <w:rsid w:val="00AA56E2"/>
    <w:rsid w:val="00AA56F8"/>
    <w:rsid w:val="00AA571C"/>
    <w:rsid w:val="00AA577F"/>
    <w:rsid w:val="00AA5801"/>
    <w:rsid w:val="00AA5847"/>
    <w:rsid w:val="00AA586E"/>
    <w:rsid w:val="00AA58DB"/>
    <w:rsid w:val="00AA58E2"/>
    <w:rsid w:val="00AA594B"/>
    <w:rsid w:val="00AA596A"/>
    <w:rsid w:val="00AA5993"/>
    <w:rsid w:val="00AA59B4"/>
    <w:rsid w:val="00AA59B5"/>
    <w:rsid w:val="00AA59FA"/>
    <w:rsid w:val="00AA59FC"/>
    <w:rsid w:val="00AA5A01"/>
    <w:rsid w:val="00AA5A7A"/>
    <w:rsid w:val="00AA5A86"/>
    <w:rsid w:val="00AA5AB5"/>
    <w:rsid w:val="00AA5AD2"/>
    <w:rsid w:val="00AA5ADF"/>
    <w:rsid w:val="00AA5AF6"/>
    <w:rsid w:val="00AA5B1A"/>
    <w:rsid w:val="00AA5B28"/>
    <w:rsid w:val="00AA5B40"/>
    <w:rsid w:val="00AA5B53"/>
    <w:rsid w:val="00AA5B5F"/>
    <w:rsid w:val="00AA5DC9"/>
    <w:rsid w:val="00AA5DD1"/>
    <w:rsid w:val="00AA5DF3"/>
    <w:rsid w:val="00AA5E86"/>
    <w:rsid w:val="00AA5E88"/>
    <w:rsid w:val="00AA5E97"/>
    <w:rsid w:val="00AA5E9A"/>
    <w:rsid w:val="00AA5EA7"/>
    <w:rsid w:val="00AA5EE4"/>
    <w:rsid w:val="00AA5F84"/>
    <w:rsid w:val="00AA5FB0"/>
    <w:rsid w:val="00AA6023"/>
    <w:rsid w:val="00AA6028"/>
    <w:rsid w:val="00AA6055"/>
    <w:rsid w:val="00AA6094"/>
    <w:rsid w:val="00AA60E6"/>
    <w:rsid w:val="00AA610E"/>
    <w:rsid w:val="00AA6128"/>
    <w:rsid w:val="00AA615E"/>
    <w:rsid w:val="00AA61A2"/>
    <w:rsid w:val="00AA61C4"/>
    <w:rsid w:val="00AA61F0"/>
    <w:rsid w:val="00AA6202"/>
    <w:rsid w:val="00AA6280"/>
    <w:rsid w:val="00AA62C8"/>
    <w:rsid w:val="00AA62FA"/>
    <w:rsid w:val="00AA633C"/>
    <w:rsid w:val="00AA63C3"/>
    <w:rsid w:val="00AA63F5"/>
    <w:rsid w:val="00AA6430"/>
    <w:rsid w:val="00AA644A"/>
    <w:rsid w:val="00AA6490"/>
    <w:rsid w:val="00AA64A3"/>
    <w:rsid w:val="00AA64ED"/>
    <w:rsid w:val="00AA6558"/>
    <w:rsid w:val="00AA656D"/>
    <w:rsid w:val="00AA662C"/>
    <w:rsid w:val="00AA663F"/>
    <w:rsid w:val="00AA66C6"/>
    <w:rsid w:val="00AA6718"/>
    <w:rsid w:val="00AA6767"/>
    <w:rsid w:val="00AA681D"/>
    <w:rsid w:val="00AA684B"/>
    <w:rsid w:val="00AA6851"/>
    <w:rsid w:val="00AA686D"/>
    <w:rsid w:val="00AA689E"/>
    <w:rsid w:val="00AA68A7"/>
    <w:rsid w:val="00AA68C3"/>
    <w:rsid w:val="00AA68C9"/>
    <w:rsid w:val="00AA6949"/>
    <w:rsid w:val="00AA6988"/>
    <w:rsid w:val="00AA69E4"/>
    <w:rsid w:val="00AA69E8"/>
    <w:rsid w:val="00AA69FB"/>
    <w:rsid w:val="00AA6A0D"/>
    <w:rsid w:val="00AA6A1A"/>
    <w:rsid w:val="00AA6A5A"/>
    <w:rsid w:val="00AA6A8E"/>
    <w:rsid w:val="00AA6B00"/>
    <w:rsid w:val="00AA6B0E"/>
    <w:rsid w:val="00AA6B3C"/>
    <w:rsid w:val="00AA6BE0"/>
    <w:rsid w:val="00AA6BEC"/>
    <w:rsid w:val="00AA6C40"/>
    <w:rsid w:val="00AA6C52"/>
    <w:rsid w:val="00AA6C72"/>
    <w:rsid w:val="00AA6D01"/>
    <w:rsid w:val="00AA6D50"/>
    <w:rsid w:val="00AA6D83"/>
    <w:rsid w:val="00AA6D87"/>
    <w:rsid w:val="00AA6DB0"/>
    <w:rsid w:val="00AA6E4C"/>
    <w:rsid w:val="00AA6E61"/>
    <w:rsid w:val="00AA6EF3"/>
    <w:rsid w:val="00AA6F54"/>
    <w:rsid w:val="00AA6F62"/>
    <w:rsid w:val="00AA6F67"/>
    <w:rsid w:val="00AA6F88"/>
    <w:rsid w:val="00AA6F8C"/>
    <w:rsid w:val="00AA6FD5"/>
    <w:rsid w:val="00AA704B"/>
    <w:rsid w:val="00AA70D3"/>
    <w:rsid w:val="00AA71CB"/>
    <w:rsid w:val="00AA71D7"/>
    <w:rsid w:val="00AA71E6"/>
    <w:rsid w:val="00AA71E8"/>
    <w:rsid w:val="00AA722D"/>
    <w:rsid w:val="00AA725D"/>
    <w:rsid w:val="00AA72FC"/>
    <w:rsid w:val="00AA7304"/>
    <w:rsid w:val="00AA7325"/>
    <w:rsid w:val="00AA7336"/>
    <w:rsid w:val="00AA734F"/>
    <w:rsid w:val="00AA7365"/>
    <w:rsid w:val="00AA73A8"/>
    <w:rsid w:val="00AA73DD"/>
    <w:rsid w:val="00AA73DE"/>
    <w:rsid w:val="00AA73EE"/>
    <w:rsid w:val="00AA73F9"/>
    <w:rsid w:val="00AA7406"/>
    <w:rsid w:val="00AA7419"/>
    <w:rsid w:val="00AA7422"/>
    <w:rsid w:val="00AA744A"/>
    <w:rsid w:val="00AA7466"/>
    <w:rsid w:val="00AA74DC"/>
    <w:rsid w:val="00AA753B"/>
    <w:rsid w:val="00AA7540"/>
    <w:rsid w:val="00AA7551"/>
    <w:rsid w:val="00AA759F"/>
    <w:rsid w:val="00AA75A7"/>
    <w:rsid w:val="00AA7656"/>
    <w:rsid w:val="00AA7667"/>
    <w:rsid w:val="00AA76E0"/>
    <w:rsid w:val="00AA777E"/>
    <w:rsid w:val="00AA77A5"/>
    <w:rsid w:val="00AA77EF"/>
    <w:rsid w:val="00AA781A"/>
    <w:rsid w:val="00AA781B"/>
    <w:rsid w:val="00AA7855"/>
    <w:rsid w:val="00AA78D3"/>
    <w:rsid w:val="00AA7900"/>
    <w:rsid w:val="00AA796F"/>
    <w:rsid w:val="00AA7997"/>
    <w:rsid w:val="00AA79C1"/>
    <w:rsid w:val="00AA7A25"/>
    <w:rsid w:val="00AA7A30"/>
    <w:rsid w:val="00AA7AE4"/>
    <w:rsid w:val="00AA7AF6"/>
    <w:rsid w:val="00AA7B22"/>
    <w:rsid w:val="00AA7B2D"/>
    <w:rsid w:val="00AA7B35"/>
    <w:rsid w:val="00AA7BD5"/>
    <w:rsid w:val="00AA7BFF"/>
    <w:rsid w:val="00AA7C07"/>
    <w:rsid w:val="00AA7CAC"/>
    <w:rsid w:val="00AA7CCC"/>
    <w:rsid w:val="00AA7DB5"/>
    <w:rsid w:val="00AA7DD2"/>
    <w:rsid w:val="00AA7E00"/>
    <w:rsid w:val="00AA7F24"/>
    <w:rsid w:val="00AA7FB0"/>
    <w:rsid w:val="00AB0004"/>
    <w:rsid w:val="00AB00B9"/>
    <w:rsid w:val="00AB0105"/>
    <w:rsid w:val="00AB013E"/>
    <w:rsid w:val="00AB01E8"/>
    <w:rsid w:val="00AB0212"/>
    <w:rsid w:val="00AB0250"/>
    <w:rsid w:val="00AB02AB"/>
    <w:rsid w:val="00AB033F"/>
    <w:rsid w:val="00AB0371"/>
    <w:rsid w:val="00AB0391"/>
    <w:rsid w:val="00AB03F4"/>
    <w:rsid w:val="00AB0413"/>
    <w:rsid w:val="00AB0450"/>
    <w:rsid w:val="00AB04A2"/>
    <w:rsid w:val="00AB0508"/>
    <w:rsid w:val="00AB0576"/>
    <w:rsid w:val="00AB05FF"/>
    <w:rsid w:val="00AB062C"/>
    <w:rsid w:val="00AB0647"/>
    <w:rsid w:val="00AB06DB"/>
    <w:rsid w:val="00AB0703"/>
    <w:rsid w:val="00AB072E"/>
    <w:rsid w:val="00AB0740"/>
    <w:rsid w:val="00AB0779"/>
    <w:rsid w:val="00AB0803"/>
    <w:rsid w:val="00AB087C"/>
    <w:rsid w:val="00AB08A6"/>
    <w:rsid w:val="00AB0942"/>
    <w:rsid w:val="00AB0954"/>
    <w:rsid w:val="00AB0991"/>
    <w:rsid w:val="00AB0993"/>
    <w:rsid w:val="00AB09DC"/>
    <w:rsid w:val="00AB0A22"/>
    <w:rsid w:val="00AB0A67"/>
    <w:rsid w:val="00AB0AAB"/>
    <w:rsid w:val="00AB0AE8"/>
    <w:rsid w:val="00AB0AF0"/>
    <w:rsid w:val="00AB0B9D"/>
    <w:rsid w:val="00AB0C1B"/>
    <w:rsid w:val="00AB0C23"/>
    <w:rsid w:val="00AB0C77"/>
    <w:rsid w:val="00AB0CB5"/>
    <w:rsid w:val="00AB0D8A"/>
    <w:rsid w:val="00AB0E5B"/>
    <w:rsid w:val="00AB0EE4"/>
    <w:rsid w:val="00AB0EFA"/>
    <w:rsid w:val="00AB0FA9"/>
    <w:rsid w:val="00AB0FE2"/>
    <w:rsid w:val="00AB0FFE"/>
    <w:rsid w:val="00AB1015"/>
    <w:rsid w:val="00AB1051"/>
    <w:rsid w:val="00AB10BB"/>
    <w:rsid w:val="00AB10CC"/>
    <w:rsid w:val="00AB112F"/>
    <w:rsid w:val="00AB11EB"/>
    <w:rsid w:val="00AB1254"/>
    <w:rsid w:val="00AB1268"/>
    <w:rsid w:val="00AB12F4"/>
    <w:rsid w:val="00AB1348"/>
    <w:rsid w:val="00AB13D1"/>
    <w:rsid w:val="00AB13EC"/>
    <w:rsid w:val="00AB13F6"/>
    <w:rsid w:val="00AB1422"/>
    <w:rsid w:val="00AB1435"/>
    <w:rsid w:val="00AB1464"/>
    <w:rsid w:val="00AB14C0"/>
    <w:rsid w:val="00AB14F4"/>
    <w:rsid w:val="00AB150C"/>
    <w:rsid w:val="00AB154C"/>
    <w:rsid w:val="00AB1575"/>
    <w:rsid w:val="00AB1598"/>
    <w:rsid w:val="00AB15A0"/>
    <w:rsid w:val="00AB15B0"/>
    <w:rsid w:val="00AB15BE"/>
    <w:rsid w:val="00AB15C1"/>
    <w:rsid w:val="00AB15C2"/>
    <w:rsid w:val="00AB15FD"/>
    <w:rsid w:val="00AB164C"/>
    <w:rsid w:val="00AB1661"/>
    <w:rsid w:val="00AB166A"/>
    <w:rsid w:val="00AB166C"/>
    <w:rsid w:val="00AB16D8"/>
    <w:rsid w:val="00AB1739"/>
    <w:rsid w:val="00AB1752"/>
    <w:rsid w:val="00AB17A8"/>
    <w:rsid w:val="00AB17B9"/>
    <w:rsid w:val="00AB17FF"/>
    <w:rsid w:val="00AB1861"/>
    <w:rsid w:val="00AB188E"/>
    <w:rsid w:val="00AB18C8"/>
    <w:rsid w:val="00AB18F5"/>
    <w:rsid w:val="00AB18FC"/>
    <w:rsid w:val="00AB198B"/>
    <w:rsid w:val="00AB19D0"/>
    <w:rsid w:val="00AB19E4"/>
    <w:rsid w:val="00AB1A20"/>
    <w:rsid w:val="00AB1A6B"/>
    <w:rsid w:val="00AB1A6C"/>
    <w:rsid w:val="00AB1A97"/>
    <w:rsid w:val="00AB1AC1"/>
    <w:rsid w:val="00AB1AF9"/>
    <w:rsid w:val="00AB1B5E"/>
    <w:rsid w:val="00AB1B72"/>
    <w:rsid w:val="00AB1B82"/>
    <w:rsid w:val="00AB1B8C"/>
    <w:rsid w:val="00AB1BB9"/>
    <w:rsid w:val="00AB1BBF"/>
    <w:rsid w:val="00AB1C47"/>
    <w:rsid w:val="00AB1C64"/>
    <w:rsid w:val="00AB1C71"/>
    <w:rsid w:val="00AB1C96"/>
    <w:rsid w:val="00AB1CC1"/>
    <w:rsid w:val="00AB1CEF"/>
    <w:rsid w:val="00AB1D20"/>
    <w:rsid w:val="00AB1D62"/>
    <w:rsid w:val="00AB1DD9"/>
    <w:rsid w:val="00AB1DE7"/>
    <w:rsid w:val="00AB1E81"/>
    <w:rsid w:val="00AB1EB2"/>
    <w:rsid w:val="00AB1F0D"/>
    <w:rsid w:val="00AB1F42"/>
    <w:rsid w:val="00AB1FF4"/>
    <w:rsid w:val="00AB200A"/>
    <w:rsid w:val="00AB2015"/>
    <w:rsid w:val="00AB201C"/>
    <w:rsid w:val="00AB205D"/>
    <w:rsid w:val="00AB2066"/>
    <w:rsid w:val="00AB2086"/>
    <w:rsid w:val="00AB20A4"/>
    <w:rsid w:val="00AB20DD"/>
    <w:rsid w:val="00AB2140"/>
    <w:rsid w:val="00AB214F"/>
    <w:rsid w:val="00AB21C2"/>
    <w:rsid w:val="00AB225A"/>
    <w:rsid w:val="00AB2275"/>
    <w:rsid w:val="00AB22A6"/>
    <w:rsid w:val="00AB22E8"/>
    <w:rsid w:val="00AB232C"/>
    <w:rsid w:val="00AB2343"/>
    <w:rsid w:val="00AB2390"/>
    <w:rsid w:val="00AB23BE"/>
    <w:rsid w:val="00AB2422"/>
    <w:rsid w:val="00AB243F"/>
    <w:rsid w:val="00AB249F"/>
    <w:rsid w:val="00AB24D2"/>
    <w:rsid w:val="00AB2503"/>
    <w:rsid w:val="00AB2557"/>
    <w:rsid w:val="00AB258A"/>
    <w:rsid w:val="00AB25DE"/>
    <w:rsid w:val="00AB2654"/>
    <w:rsid w:val="00AB26B8"/>
    <w:rsid w:val="00AB26F0"/>
    <w:rsid w:val="00AB26F4"/>
    <w:rsid w:val="00AB2721"/>
    <w:rsid w:val="00AB272E"/>
    <w:rsid w:val="00AB272F"/>
    <w:rsid w:val="00AB276D"/>
    <w:rsid w:val="00AB2775"/>
    <w:rsid w:val="00AB27ED"/>
    <w:rsid w:val="00AB282E"/>
    <w:rsid w:val="00AB2839"/>
    <w:rsid w:val="00AB2874"/>
    <w:rsid w:val="00AB2897"/>
    <w:rsid w:val="00AB28BB"/>
    <w:rsid w:val="00AB2926"/>
    <w:rsid w:val="00AB2979"/>
    <w:rsid w:val="00AB29A9"/>
    <w:rsid w:val="00AB29D5"/>
    <w:rsid w:val="00AB29F9"/>
    <w:rsid w:val="00AB2A2A"/>
    <w:rsid w:val="00AB2A49"/>
    <w:rsid w:val="00AB2AD5"/>
    <w:rsid w:val="00AB2B12"/>
    <w:rsid w:val="00AB2B34"/>
    <w:rsid w:val="00AB2BAE"/>
    <w:rsid w:val="00AB2BB5"/>
    <w:rsid w:val="00AB2BDC"/>
    <w:rsid w:val="00AB2C34"/>
    <w:rsid w:val="00AB2CA7"/>
    <w:rsid w:val="00AB2CA8"/>
    <w:rsid w:val="00AB2D35"/>
    <w:rsid w:val="00AB2D93"/>
    <w:rsid w:val="00AB2DEC"/>
    <w:rsid w:val="00AB2E93"/>
    <w:rsid w:val="00AB2ED4"/>
    <w:rsid w:val="00AB2EDC"/>
    <w:rsid w:val="00AB2F30"/>
    <w:rsid w:val="00AB2F70"/>
    <w:rsid w:val="00AB2F8C"/>
    <w:rsid w:val="00AB2FCB"/>
    <w:rsid w:val="00AB2FF8"/>
    <w:rsid w:val="00AB305C"/>
    <w:rsid w:val="00AB3064"/>
    <w:rsid w:val="00AB306E"/>
    <w:rsid w:val="00AB30A5"/>
    <w:rsid w:val="00AB30DD"/>
    <w:rsid w:val="00AB312E"/>
    <w:rsid w:val="00AB3142"/>
    <w:rsid w:val="00AB315B"/>
    <w:rsid w:val="00AB316F"/>
    <w:rsid w:val="00AB3171"/>
    <w:rsid w:val="00AB317F"/>
    <w:rsid w:val="00AB318A"/>
    <w:rsid w:val="00AB3193"/>
    <w:rsid w:val="00AB31F9"/>
    <w:rsid w:val="00AB3242"/>
    <w:rsid w:val="00AB3243"/>
    <w:rsid w:val="00AB3263"/>
    <w:rsid w:val="00AB3298"/>
    <w:rsid w:val="00AB329B"/>
    <w:rsid w:val="00AB32D4"/>
    <w:rsid w:val="00AB32EE"/>
    <w:rsid w:val="00AB3330"/>
    <w:rsid w:val="00AB333D"/>
    <w:rsid w:val="00AB3408"/>
    <w:rsid w:val="00AB341E"/>
    <w:rsid w:val="00AB344B"/>
    <w:rsid w:val="00AB3549"/>
    <w:rsid w:val="00AB3556"/>
    <w:rsid w:val="00AB3557"/>
    <w:rsid w:val="00AB3561"/>
    <w:rsid w:val="00AB35C8"/>
    <w:rsid w:val="00AB364D"/>
    <w:rsid w:val="00AB3655"/>
    <w:rsid w:val="00AB3660"/>
    <w:rsid w:val="00AB367D"/>
    <w:rsid w:val="00AB36B0"/>
    <w:rsid w:val="00AB36FD"/>
    <w:rsid w:val="00AB3786"/>
    <w:rsid w:val="00AB37A0"/>
    <w:rsid w:val="00AB37E5"/>
    <w:rsid w:val="00AB382D"/>
    <w:rsid w:val="00AB3833"/>
    <w:rsid w:val="00AB386D"/>
    <w:rsid w:val="00AB38D6"/>
    <w:rsid w:val="00AB3932"/>
    <w:rsid w:val="00AB3938"/>
    <w:rsid w:val="00AB393B"/>
    <w:rsid w:val="00AB3983"/>
    <w:rsid w:val="00AB39C4"/>
    <w:rsid w:val="00AB3A0C"/>
    <w:rsid w:val="00AB3A0E"/>
    <w:rsid w:val="00AB3A2A"/>
    <w:rsid w:val="00AB3A61"/>
    <w:rsid w:val="00AB3A95"/>
    <w:rsid w:val="00AB3AA5"/>
    <w:rsid w:val="00AB3AB2"/>
    <w:rsid w:val="00AB3ABC"/>
    <w:rsid w:val="00AB3ACF"/>
    <w:rsid w:val="00AB3BDE"/>
    <w:rsid w:val="00AB3C28"/>
    <w:rsid w:val="00AB3C2C"/>
    <w:rsid w:val="00AB3C34"/>
    <w:rsid w:val="00AB3C3B"/>
    <w:rsid w:val="00AB3C58"/>
    <w:rsid w:val="00AB3CC3"/>
    <w:rsid w:val="00AB3CFF"/>
    <w:rsid w:val="00AB3D0C"/>
    <w:rsid w:val="00AB3D28"/>
    <w:rsid w:val="00AB3D34"/>
    <w:rsid w:val="00AB3D68"/>
    <w:rsid w:val="00AB3D6C"/>
    <w:rsid w:val="00AB3D9E"/>
    <w:rsid w:val="00AB3E03"/>
    <w:rsid w:val="00AB3F02"/>
    <w:rsid w:val="00AB3F89"/>
    <w:rsid w:val="00AB3F9F"/>
    <w:rsid w:val="00AB3FD2"/>
    <w:rsid w:val="00AB3FD5"/>
    <w:rsid w:val="00AB3FEE"/>
    <w:rsid w:val="00AB40A1"/>
    <w:rsid w:val="00AB40B2"/>
    <w:rsid w:val="00AB4146"/>
    <w:rsid w:val="00AB417D"/>
    <w:rsid w:val="00AB419C"/>
    <w:rsid w:val="00AB4228"/>
    <w:rsid w:val="00AB422D"/>
    <w:rsid w:val="00AB42A1"/>
    <w:rsid w:val="00AB4306"/>
    <w:rsid w:val="00AB436C"/>
    <w:rsid w:val="00AB438B"/>
    <w:rsid w:val="00AB4398"/>
    <w:rsid w:val="00AB441F"/>
    <w:rsid w:val="00AB4490"/>
    <w:rsid w:val="00AB449A"/>
    <w:rsid w:val="00AB44B3"/>
    <w:rsid w:val="00AB44BF"/>
    <w:rsid w:val="00AB44EA"/>
    <w:rsid w:val="00AB452F"/>
    <w:rsid w:val="00AB4574"/>
    <w:rsid w:val="00AB458B"/>
    <w:rsid w:val="00AB45F1"/>
    <w:rsid w:val="00AB45FB"/>
    <w:rsid w:val="00AB4633"/>
    <w:rsid w:val="00AB4648"/>
    <w:rsid w:val="00AB464A"/>
    <w:rsid w:val="00AB4658"/>
    <w:rsid w:val="00AB46D8"/>
    <w:rsid w:val="00AB4719"/>
    <w:rsid w:val="00AB4746"/>
    <w:rsid w:val="00AB475E"/>
    <w:rsid w:val="00AB476F"/>
    <w:rsid w:val="00AB4799"/>
    <w:rsid w:val="00AB47AE"/>
    <w:rsid w:val="00AB47CC"/>
    <w:rsid w:val="00AB4820"/>
    <w:rsid w:val="00AB4840"/>
    <w:rsid w:val="00AB485B"/>
    <w:rsid w:val="00AB48E2"/>
    <w:rsid w:val="00AB4916"/>
    <w:rsid w:val="00AB493F"/>
    <w:rsid w:val="00AB49B6"/>
    <w:rsid w:val="00AB49C2"/>
    <w:rsid w:val="00AB49DE"/>
    <w:rsid w:val="00AB49E2"/>
    <w:rsid w:val="00AB4A29"/>
    <w:rsid w:val="00AB4A38"/>
    <w:rsid w:val="00AB4A65"/>
    <w:rsid w:val="00AB4B18"/>
    <w:rsid w:val="00AB4B41"/>
    <w:rsid w:val="00AB4B46"/>
    <w:rsid w:val="00AB4B4C"/>
    <w:rsid w:val="00AB4BB2"/>
    <w:rsid w:val="00AB4BC2"/>
    <w:rsid w:val="00AB4BF6"/>
    <w:rsid w:val="00AB4C3B"/>
    <w:rsid w:val="00AB4C76"/>
    <w:rsid w:val="00AB4CB1"/>
    <w:rsid w:val="00AB4CDC"/>
    <w:rsid w:val="00AB4CFC"/>
    <w:rsid w:val="00AB4D70"/>
    <w:rsid w:val="00AB4D72"/>
    <w:rsid w:val="00AB4E11"/>
    <w:rsid w:val="00AB4E63"/>
    <w:rsid w:val="00AB4F0F"/>
    <w:rsid w:val="00AB4F1F"/>
    <w:rsid w:val="00AB4F74"/>
    <w:rsid w:val="00AB4FE2"/>
    <w:rsid w:val="00AB5063"/>
    <w:rsid w:val="00AB506C"/>
    <w:rsid w:val="00AB5078"/>
    <w:rsid w:val="00AB50A0"/>
    <w:rsid w:val="00AB50E5"/>
    <w:rsid w:val="00AB50E9"/>
    <w:rsid w:val="00AB510A"/>
    <w:rsid w:val="00AB5132"/>
    <w:rsid w:val="00AB5240"/>
    <w:rsid w:val="00AB5260"/>
    <w:rsid w:val="00AB5278"/>
    <w:rsid w:val="00AB52D2"/>
    <w:rsid w:val="00AB5335"/>
    <w:rsid w:val="00AB5365"/>
    <w:rsid w:val="00AB5399"/>
    <w:rsid w:val="00AB5527"/>
    <w:rsid w:val="00AB5545"/>
    <w:rsid w:val="00AB556A"/>
    <w:rsid w:val="00AB5574"/>
    <w:rsid w:val="00AB5585"/>
    <w:rsid w:val="00AB559B"/>
    <w:rsid w:val="00AB5654"/>
    <w:rsid w:val="00AB5684"/>
    <w:rsid w:val="00AB5733"/>
    <w:rsid w:val="00AB5751"/>
    <w:rsid w:val="00AB575C"/>
    <w:rsid w:val="00AB5764"/>
    <w:rsid w:val="00AB577B"/>
    <w:rsid w:val="00AB5788"/>
    <w:rsid w:val="00AB5799"/>
    <w:rsid w:val="00AB57A6"/>
    <w:rsid w:val="00AB57AD"/>
    <w:rsid w:val="00AB57B0"/>
    <w:rsid w:val="00AB57BC"/>
    <w:rsid w:val="00AB57EB"/>
    <w:rsid w:val="00AB57FC"/>
    <w:rsid w:val="00AB582A"/>
    <w:rsid w:val="00AB5831"/>
    <w:rsid w:val="00AB5859"/>
    <w:rsid w:val="00AB588C"/>
    <w:rsid w:val="00AB58C2"/>
    <w:rsid w:val="00AB58E5"/>
    <w:rsid w:val="00AB58FE"/>
    <w:rsid w:val="00AB590C"/>
    <w:rsid w:val="00AB5913"/>
    <w:rsid w:val="00AB592B"/>
    <w:rsid w:val="00AB592E"/>
    <w:rsid w:val="00AB59B2"/>
    <w:rsid w:val="00AB5A06"/>
    <w:rsid w:val="00AB5A9C"/>
    <w:rsid w:val="00AB5A9E"/>
    <w:rsid w:val="00AB5B1C"/>
    <w:rsid w:val="00AB5C5F"/>
    <w:rsid w:val="00AB5CA2"/>
    <w:rsid w:val="00AB5CDA"/>
    <w:rsid w:val="00AB5CE2"/>
    <w:rsid w:val="00AB5D19"/>
    <w:rsid w:val="00AB5D28"/>
    <w:rsid w:val="00AB5D29"/>
    <w:rsid w:val="00AB5D33"/>
    <w:rsid w:val="00AB5D34"/>
    <w:rsid w:val="00AB5D63"/>
    <w:rsid w:val="00AB5D65"/>
    <w:rsid w:val="00AB5D74"/>
    <w:rsid w:val="00AB5DFD"/>
    <w:rsid w:val="00AB5E67"/>
    <w:rsid w:val="00AB5E93"/>
    <w:rsid w:val="00AB5F04"/>
    <w:rsid w:val="00AB5F0C"/>
    <w:rsid w:val="00AB5F61"/>
    <w:rsid w:val="00AB6063"/>
    <w:rsid w:val="00AB607B"/>
    <w:rsid w:val="00AB60D4"/>
    <w:rsid w:val="00AB60DF"/>
    <w:rsid w:val="00AB60E9"/>
    <w:rsid w:val="00AB60F1"/>
    <w:rsid w:val="00AB6116"/>
    <w:rsid w:val="00AB61A0"/>
    <w:rsid w:val="00AB61A5"/>
    <w:rsid w:val="00AB61F2"/>
    <w:rsid w:val="00AB6214"/>
    <w:rsid w:val="00AB6231"/>
    <w:rsid w:val="00AB6237"/>
    <w:rsid w:val="00AB6285"/>
    <w:rsid w:val="00AB62A4"/>
    <w:rsid w:val="00AB62E3"/>
    <w:rsid w:val="00AB633B"/>
    <w:rsid w:val="00AB6397"/>
    <w:rsid w:val="00AB641E"/>
    <w:rsid w:val="00AB6452"/>
    <w:rsid w:val="00AB6503"/>
    <w:rsid w:val="00AB6522"/>
    <w:rsid w:val="00AB6527"/>
    <w:rsid w:val="00AB6542"/>
    <w:rsid w:val="00AB6568"/>
    <w:rsid w:val="00AB6583"/>
    <w:rsid w:val="00AB6592"/>
    <w:rsid w:val="00AB659D"/>
    <w:rsid w:val="00AB664D"/>
    <w:rsid w:val="00AB66BB"/>
    <w:rsid w:val="00AB66C4"/>
    <w:rsid w:val="00AB6751"/>
    <w:rsid w:val="00AB675A"/>
    <w:rsid w:val="00AB67BB"/>
    <w:rsid w:val="00AB684B"/>
    <w:rsid w:val="00AB687A"/>
    <w:rsid w:val="00AB6899"/>
    <w:rsid w:val="00AB68B5"/>
    <w:rsid w:val="00AB68C0"/>
    <w:rsid w:val="00AB68CC"/>
    <w:rsid w:val="00AB6959"/>
    <w:rsid w:val="00AB69CC"/>
    <w:rsid w:val="00AB6A55"/>
    <w:rsid w:val="00AB6AC9"/>
    <w:rsid w:val="00AB6AD4"/>
    <w:rsid w:val="00AB6B51"/>
    <w:rsid w:val="00AB6B6D"/>
    <w:rsid w:val="00AB6BB2"/>
    <w:rsid w:val="00AB6BC1"/>
    <w:rsid w:val="00AB6BE2"/>
    <w:rsid w:val="00AB6C16"/>
    <w:rsid w:val="00AB6C70"/>
    <w:rsid w:val="00AB6C7B"/>
    <w:rsid w:val="00AB6CB0"/>
    <w:rsid w:val="00AB6CB3"/>
    <w:rsid w:val="00AB6CEC"/>
    <w:rsid w:val="00AB6CED"/>
    <w:rsid w:val="00AB6DBE"/>
    <w:rsid w:val="00AB6DE0"/>
    <w:rsid w:val="00AB6E72"/>
    <w:rsid w:val="00AB6E7C"/>
    <w:rsid w:val="00AB6F88"/>
    <w:rsid w:val="00AB6FB4"/>
    <w:rsid w:val="00AB6FEB"/>
    <w:rsid w:val="00AB6FFD"/>
    <w:rsid w:val="00AB7013"/>
    <w:rsid w:val="00AB701F"/>
    <w:rsid w:val="00AB715A"/>
    <w:rsid w:val="00AB715B"/>
    <w:rsid w:val="00AB7210"/>
    <w:rsid w:val="00AB7247"/>
    <w:rsid w:val="00AB727B"/>
    <w:rsid w:val="00AB72BE"/>
    <w:rsid w:val="00AB72DF"/>
    <w:rsid w:val="00AB72E8"/>
    <w:rsid w:val="00AB7363"/>
    <w:rsid w:val="00AB7404"/>
    <w:rsid w:val="00AB7406"/>
    <w:rsid w:val="00AB748C"/>
    <w:rsid w:val="00AB7498"/>
    <w:rsid w:val="00AB74BA"/>
    <w:rsid w:val="00AB750D"/>
    <w:rsid w:val="00AB752F"/>
    <w:rsid w:val="00AB7530"/>
    <w:rsid w:val="00AB75C6"/>
    <w:rsid w:val="00AB766C"/>
    <w:rsid w:val="00AB76E9"/>
    <w:rsid w:val="00AB7729"/>
    <w:rsid w:val="00AB7772"/>
    <w:rsid w:val="00AB77C7"/>
    <w:rsid w:val="00AB77D4"/>
    <w:rsid w:val="00AB7846"/>
    <w:rsid w:val="00AB7849"/>
    <w:rsid w:val="00AB786E"/>
    <w:rsid w:val="00AB788C"/>
    <w:rsid w:val="00AB78A2"/>
    <w:rsid w:val="00AB78CF"/>
    <w:rsid w:val="00AB78ED"/>
    <w:rsid w:val="00AB78EF"/>
    <w:rsid w:val="00AB7911"/>
    <w:rsid w:val="00AB792E"/>
    <w:rsid w:val="00AB79B7"/>
    <w:rsid w:val="00AB79BF"/>
    <w:rsid w:val="00AB79FC"/>
    <w:rsid w:val="00AB7A34"/>
    <w:rsid w:val="00AB7A5B"/>
    <w:rsid w:val="00AB7A91"/>
    <w:rsid w:val="00AB7AE0"/>
    <w:rsid w:val="00AB7B0F"/>
    <w:rsid w:val="00AB7B11"/>
    <w:rsid w:val="00AB7B76"/>
    <w:rsid w:val="00AB7B94"/>
    <w:rsid w:val="00AB7BD0"/>
    <w:rsid w:val="00AB7BD9"/>
    <w:rsid w:val="00AB7C87"/>
    <w:rsid w:val="00AB7CDC"/>
    <w:rsid w:val="00AB7D3C"/>
    <w:rsid w:val="00AB7D81"/>
    <w:rsid w:val="00AB7DC7"/>
    <w:rsid w:val="00AB7E02"/>
    <w:rsid w:val="00AB7E23"/>
    <w:rsid w:val="00AB7E65"/>
    <w:rsid w:val="00AB7E6B"/>
    <w:rsid w:val="00AB7EB1"/>
    <w:rsid w:val="00AB7F80"/>
    <w:rsid w:val="00AB7FAF"/>
    <w:rsid w:val="00AB7FB6"/>
    <w:rsid w:val="00AC008C"/>
    <w:rsid w:val="00AC00E4"/>
    <w:rsid w:val="00AC014A"/>
    <w:rsid w:val="00AC01C2"/>
    <w:rsid w:val="00AC01D8"/>
    <w:rsid w:val="00AC020E"/>
    <w:rsid w:val="00AC02C5"/>
    <w:rsid w:val="00AC0385"/>
    <w:rsid w:val="00AC03C8"/>
    <w:rsid w:val="00AC03CC"/>
    <w:rsid w:val="00AC03EA"/>
    <w:rsid w:val="00AC0432"/>
    <w:rsid w:val="00AC0434"/>
    <w:rsid w:val="00AC0443"/>
    <w:rsid w:val="00AC044F"/>
    <w:rsid w:val="00AC0457"/>
    <w:rsid w:val="00AC045E"/>
    <w:rsid w:val="00AC0504"/>
    <w:rsid w:val="00AC0548"/>
    <w:rsid w:val="00AC0564"/>
    <w:rsid w:val="00AC0587"/>
    <w:rsid w:val="00AC0599"/>
    <w:rsid w:val="00AC05AA"/>
    <w:rsid w:val="00AC05B1"/>
    <w:rsid w:val="00AC0612"/>
    <w:rsid w:val="00AC065F"/>
    <w:rsid w:val="00AC068C"/>
    <w:rsid w:val="00AC06C7"/>
    <w:rsid w:val="00AC07F5"/>
    <w:rsid w:val="00AC0803"/>
    <w:rsid w:val="00AC080C"/>
    <w:rsid w:val="00AC081C"/>
    <w:rsid w:val="00AC08CA"/>
    <w:rsid w:val="00AC08CD"/>
    <w:rsid w:val="00AC0902"/>
    <w:rsid w:val="00AC091D"/>
    <w:rsid w:val="00AC0924"/>
    <w:rsid w:val="00AC0935"/>
    <w:rsid w:val="00AC0A2C"/>
    <w:rsid w:val="00AC0A30"/>
    <w:rsid w:val="00AC0A9B"/>
    <w:rsid w:val="00AC0AF4"/>
    <w:rsid w:val="00AC0B0F"/>
    <w:rsid w:val="00AC0B79"/>
    <w:rsid w:val="00AC0BB7"/>
    <w:rsid w:val="00AC0BDA"/>
    <w:rsid w:val="00AC0BDC"/>
    <w:rsid w:val="00AC0C13"/>
    <w:rsid w:val="00AC0C57"/>
    <w:rsid w:val="00AC0C7A"/>
    <w:rsid w:val="00AC0CD2"/>
    <w:rsid w:val="00AC0D63"/>
    <w:rsid w:val="00AC0E0F"/>
    <w:rsid w:val="00AC0EA4"/>
    <w:rsid w:val="00AC0F02"/>
    <w:rsid w:val="00AC0F57"/>
    <w:rsid w:val="00AC0FE1"/>
    <w:rsid w:val="00AC1067"/>
    <w:rsid w:val="00AC107A"/>
    <w:rsid w:val="00AC10D2"/>
    <w:rsid w:val="00AC10E4"/>
    <w:rsid w:val="00AC1115"/>
    <w:rsid w:val="00AC112E"/>
    <w:rsid w:val="00AC11FB"/>
    <w:rsid w:val="00AC1235"/>
    <w:rsid w:val="00AC1248"/>
    <w:rsid w:val="00AC12E7"/>
    <w:rsid w:val="00AC1329"/>
    <w:rsid w:val="00AC135C"/>
    <w:rsid w:val="00AC137B"/>
    <w:rsid w:val="00AC13B3"/>
    <w:rsid w:val="00AC143B"/>
    <w:rsid w:val="00AC1553"/>
    <w:rsid w:val="00AC1573"/>
    <w:rsid w:val="00AC157C"/>
    <w:rsid w:val="00AC15B8"/>
    <w:rsid w:val="00AC15C5"/>
    <w:rsid w:val="00AC15E9"/>
    <w:rsid w:val="00AC1602"/>
    <w:rsid w:val="00AC1617"/>
    <w:rsid w:val="00AC1668"/>
    <w:rsid w:val="00AC16AA"/>
    <w:rsid w:val="00AC16FC"/>
    <w:rsid w:val="00AC1725"/>
    <w:rsid w:val="00AC1744"/>
    <w:rsid w:val="00AC181A"/>
    <w:rsid w:val="00AC1861"/>
    <w:rsid w:val="00AC18C0"/>
    <w:rsid w:val="00AC18E8"/>
    <w:rsid w:val="00AC1932"/>
    <w:rsid w:val="00AC1961"/>
    <w:rsid w:val="00AC19E9"/>
    <w:rsid w:val="00AC1A0F"/>
    <w:rsid w:val="00AC1A68"/>
    <w:rsid w:val="00AC1A98"/>
    <w:rsid w:val="00AC1AD3"/>
    <w:rsid w:val="00AC1AFE"/>
    <w:rsid w:val="00AC1B1E"/>
    <w:rsid w:val="00AC1B38"/>
    <w:rsid w:val="00AC1B6B"/>
    <w:rsid w:val="00AC1B86"/>
    <w:rsid w:val="00AC1BAA"/>
    <w:rsid w:val="00AC1BE8"/>
    <w:rsid w:val="00AC1C34"/>
    <w:rsid w:val="00AC1C5E"/>
    <w:rsid w:val="00AC1C61"/>
    <w:rsid w:val="00AC1C81"/>
    <w:rsid w:val="00AC1CD4"/>
    <w:rsid w:val="00AC1D0A"/>
    <w:rsid w:val="00AC1D1E"/>
    <w:rsid w:val="00AC1D5E"/>
    <w:rsid w:val="00AC1DCC"/>
    <w:rsid w:val="00AC1E18"/>
    <w:rsid w:val="00AC1E28"/>
    <w:rsid w:val="00AC1E3C"/>
    <w:rsid w:val="00AC1E44"/>
    <w:rsid w:val="00AC1E5B"/>
    <w:rsid w:val="00AC1E8E"/>
    <w:rsid w:val="00AC1E9C"/>
    <w:rsid w:val="00AC1EA6"/>
    <w:rsid w:val="00AC1EC9"/>
    <w:rsid w:val="00AC1EE0"/>
    <w:rsid w:val="00AC1F9A"/>
    <w:rsid w:val="00AC1FD9"/>
    <w:rsid w:val="00AC1FF2"/>
    <w:rsid w:val="00AC2066"/>
    <w:rsid w:val="00AC20AF"/>
    <w:rsid w:val="00AC215E"/>
    <w:rsid w:val="00AC216D"/>
    <w:rsid w:val="00AC2191"/>
    <w:rsid w:val="00AC21A9"/>
    <w:rsid w:val="00AC21B6"/>
    <w:rsid w:val="00AC21B8"/>
    <w:rsid w:val="00AC21C7"/>
    <w:rsid w:val="00AC21C8"/>
    <w:rsid w:val="00AC21E8"/>
    <w:rsid w:val="00AC222E"/>
    <w:rsid w:val="00AC2275"/>
    <w:rsid w:val="00AC2291"/>
    <w:rsid w:val="00AC22B4"/>
    <w:rsid w:val="00AC22CA"/>
    <w:rsid w:val="00AC22D1"/>
    <w:rsid w:val="00AC230F"/>
    <w:rsid w:val="00AC2342"/>
    <w:rsid w:val="00AC2378"/>
    <w:rsid w:val="00AC23F0"/>
    <w:rsid w:val="00AC243B"/>
    <w:rsid w:val="00AC2491"/>
    <w:rsid w:val="00AC24AD"/>
    <w:rsid w:val="00AC2506"/>
    <w:rsid w:val="00AC2551"/>
    <w:rsid w:val="00AC2565"/>
    <w:rsid w:val="00AC2577"/>
    <w:rsid w:val="00AC25D2"/>
    <w:rsid w:val="00AC25D6"/>
    <w:rsid w:val="00AC25F2"/>
    <w:rsid w:val="00AC263E"/>
    <w:rsid w:val="00AC263F"/>
    <w:rsid w:val="00AC2698"/>
    <w:rsid w:val="00AC2748"/>
    <w:rsid w:val="00AC2752"/>
    <w:rsid w:val="00AC281E"/>
    <w:rsid w:val="00AC281F"/>
    <w:rsid w:val="00AC28A5"/>
    <w:rsid w:val="00AC28CD"/>
    <w:rsid w:val="00AC28FA"/>
    <w:rsid w:val="00AC2953"/>
    <w:rsid w:val="00AC2A59"/>
    <w:rsid w:val="00AC2A5B"/>
    <w:rsid w:val="00AC2AB9"/>
    <w:rsid w:val="00AC2BD9"/>
    <w:rsid w:val="00AC2C6F"/>
    <w:rsid w:val="00AC2C85"/>
    <w:rsid w:val="00AC2C93"/>
    <w:rsid w:val="00AC2CE2"/>
    <w:rsid w:val="00AC2D45"/>
    <w:rsid w:val="00AC2D58"/>
    <w:rsid w:val="00AC2DB8"/>
    <w:rsid w:val="00AC2E18"/>
    <w:rsid w:val="00AC2F8A"/>
    <w:rsid w:val="00AC2F9E"/>
    <w:rsid w:val="00AC2FB9"/>
    <w:rsid w:val="00AC2FDA"/>
    <w:rsid w:val="00AC3011"/>
    <w:rsid w:val="00AC3015"/>
    <w:rsid w:val="00AC30A0"/>
    <w:rsid w:val="00AC30A2"/>
    <w:rsid w:val="00AC30A8"/>
    <w:rsid w:val="00AC30F5"/>
    <w:rsid w:val="00AC315C"/>
    <w:rsid w:val="00AC3175"/>
    <w:rsid w:val="00AC3179"/>
    <w:rsid w:val="00AC3183"/>
    <w:rsid w:val="00AC3196"/>
    <w:rsid w:val="00AC3197"/>
    <w:rsid w:val="00AC31C8"/>
    <w:rsid w:val="00AC320E"/>
    <w:rsid w:val="00AC323F"/>
    <w:rsid w:val="00AC3259"/>
    <w:rsid w:val="00AC330D"/>
    <w:rsid w:val="00AC33A3"/>
    <w:rsid w:val="00AC34B2"/>
    <w:rsid w:val="00AC350C"/>
    <w:rsid w:val="00AC3579"/>
    <w:rsid w:val="00AC35D1"/>
    <w:rsid w:val="00AC35F0"/>
    <w:rsid w:val="00AC35F2"/>
    <w:rsid w:val="00AC3625"/>
    <w:rsid w:val="00AC362D"/>
    <w:rsid w:val="00AC369D"/>
    <w:rsid w:val="00AC36AD"/>
    <w:rsid w:val="00AC36BD"/>
    <w:rsid w:val="00AC3704"/>
    <w:rsid w:val="00AC37B4"/>
    <w:rsid w:val="00AC37C5"/>
    <w:rsid w:val="00AC37EF"/>
    <w:rsid w:val="00AC3820"/>
    <w:rsid w:val="00AC3850"/>
    <w:rsid w:val="00AC3872"/>
    <w:rsid w:val="00AC389B"/>
    <w:rsid w:val="00AC38F7"/>
    <w:rsid w:val="00AC393A"/>
    <w:rsid w:val="00AC3957"/>
    <w:rsid w:val="00AC3981"/>
    <w:rsid w:val="00AC3983"/>
    <w:rsid w:val="00AC39D3"/>
    <w:rsid w:val="00AC39E8"/>
    <w:rsid w:val="00AC3A2F"/>
    <w:rsid w:val="00AC3A73"/>
    <w:rsid w:val="00AC3B05"/>
    <w:rsid w:val="00AC3B19"/>
    <w:rsid w:val="00AC3B22"/>
    <w:rsid w:val="00AC3C14"/>
    <w:rsid w:val="00AC3C60"/>
    <w:rsid w:val="00AC3CC7"/>
    <w:rsid w:val="00AC3D27"/>
    <w:rsid w:val="00AC3D32"/>
    <w:rsid w:val="00AC3D80"/>
    <w:rsid w:val="00AC3D97"/>
    <w:rsid w:val="00AC3E38"/>
    <w:rsid w:val="00AC3E7E"/>
    <w:rsid w:val="00AC3E9F"/>
    <w:rsid w:val="00AC3EA0"/>
    <w:rsid w:val="00AC3F4E"/>
    <w:rsid w:val="00AC3F71"/>
    <w:rsid w:val="00AC4045"/>
    <w:rsid w:val="00AC40CC"/>
    <w:rsid w:val="00AC40E5"/>
    <w:rsid w:val="00AC4158"/>
    <w:rsid w:val="00AC4200"/>
    <w:rsid w:val="00AC4218"/>
    <w:rsid w:val="00AC428F"/>
    <w:rsid w:val="00AC42A3"/>
    <w:rsid w:val="00AC4341"/>
    <w:rsid w:val="00AC43B2"/>
    <w:rsid w:val="00AC444E"/>
    <w:rsid w:val="00AC4480"/>
    <w:rsid w:val="00AC4495"/>
    <w:rsid w:val="00AC4511"/>
    <w:rsid w:val="00AC4558"/>
    <w:rsid w:val="00AC460B"/>
    <w:rsid w:val="00AC462B"/>
    <w:rsid w:val="00AC46B7"/>
    <w:rsid w:val="00AC46E8"/>
    <w:rsid w:val="00AC4718"/>
    <w:rsid w:val="00AC4730"/>
    <w:rsid w:val="00AC47E4"/>
    <w:rsid w:val="00AC4836"/>
    <w:rsid w:val="00AC487C"/>
    <w:rsid w:val="00AC488F"/>
    <w:rsid w:val="00AC489B"/>
    <w:rsid w:val="00AC48A5"/>
    <w:rsid w:val="00AC48DD"/>
    <w:rsid w:val="00AC493F"/>
    <w:rsid w:val="00AC4974"/>
    <w:rsid w:val="00AC49F0"/>
    <w:rsid w:val="00AC4A29"/>
    <w:rsid w:val="00AC4A32"/>
    <w:rsid w:val="00AC4A5D"/>
    <w:rsid w:val="00AC4AE1"/>
    <w:rsid w:val="00AC4B7E"/>
    <w:rsid w:val="00AC4BAD"/>
    <w:rsid w:val="00AC4C2B"/>
    <w:rsid w:val="00AC4C55"/>
    <w:rsid w:val="00AC4C61"/>
    <w:rsid w:val="00AC4C7B"/>
    <w:rsid w:val="00AC4C99"/>
    <w:rsid w:val="00AC4CF4"/>
    <w:rsid w:val="00AC4D1B"/>
    <w:rsid w:val="00AC4D92"/>
    <w:rsid w:val="00AC4DC1"/>
    <w:rsid w:val="00AC4DC7"/>
    <w:rsid w:val="00AC4DF3"/>
    <w:rsid w:val="00AC4E0D"/>
    <w:rsid w:val="00AC4E31"/>
    <w:rsid w:val="00AC4E36"/>
    <w:rsid w:val="00AC4E7F"/>
    <w:rsid w:val="00AC4F46"/>
    <w:rsid w:val="00AC4FF4"/>
    <w:rsid w:val="00AC5048"/>
    <w:rsid w:val="00AC50D8"/>
    <w:rsid w:val="00AC50F3"/>
    <w:rsid w:val="00AC5139"/>
    <w:rsid w:val="00AC514A"/>
    <w:rsid w:val="00AC515A"/>
    <w:rsid w:val="00AC51CF"/>
    <w:rsid w:val="00AC51E6"/>
    <w:rsid w:val="00AC524D"/>
    <w:rsid w:val="00AC5253"/>
    <w:rsid w:val="00AC5375"/>
    <w:rsid w:val="00AC53AE"/>
    <w:rsid w:val="00AC5410"/>
    <w:rsid w:val="00AC5418"/>
    <w:rsid w:val="00AC5445"/>
    <w:rsid w:val="00AC54B8"/>
    <w:rsid w:val="00AC54D0"/>
    <w:rsid w:val="00AC54E5"/>
    <w:rsid w:val="00AC54F1"/>
    <w:rsid w:val="00AC5572"/>
    <w:rsid w:val="00AC55D7"/>
    <w:rsid w:val="00AC5618"/>
    <w:rsid w:val="00AC56A8"/>
    <w:rsid w:val="00AC56CF"/>
    <w:rsid w:val="00AC571F"/>
    <w:rsid w:val="00AC5734"/>
    <w:rsid w:val="00AC5753"/>
    <w:rsid w:val="00AC57A4"/>
    <w:rsid w:val="00AC57C7"/>
    <w:rsid w:val="00AC57E1"/>
    <w:rsid w:val="00AC590D"/>
    <w:rsid w:val="00AC591B"/>
    <w:rsid w:val="00AC5933"/>
    <w:rsid w:val="00AC5969"/>
    <w:rsid w:val="00AC59E5"/>
    <w:rsid w:val="00AC5A01"/>
    <w:rsid w:val="00AC5ABE"/>
    <w:rsid w:val="00AC5AD0"/>
    <w:rsid w:val="00AC5AD8"/>
    <w:rsid w:val="00AC5AD9"/>
    <w:rsid w:val="00AC5B39"/>
    <w:rsid w:val="00AC5BEC"/>
    <w:rsid w:val="00AC5C34"/>
    <w:rsid w:val="00AC5C58"/>
    <w:rsid w:val="00AC5C94"/>
    <w:rsid w:val="00AC5CC5"/>
    <w:rsid w:val="00AC5D70"/>
    <w:rsid w:val="00AC5D82"/>
    <w:rsid w:val="00AC5DF2"/>
    <w:rsid w:val="00AC5E71"/>
    <w:rsid w:val="00AC5EA2"/>
    <w:rsid w:val="00AC5ED5"/>
    <w:rsid w:val="00AC5F41"/>
    <w:rsid w:val="00AC5F55"/>
    <w:rsid w:val="00AC5F9B"/>
    <w:rsid w:val="00AC5FED"/>
    <w:rsid w:val="00AC5FFD"/>
    <w:rsid w:val="00AC602E"/>
    <w:rsid w:val="00AC604A"/>
    <w:rsid w:val="00AC6062"/>
    <w:rsid w:val="00AC606B"/>
    <w:rsid w:val="00AC60A0"/>
    <w:rsid w:val="00AC60B8"/>
    <w:rsid w:val="00AC6165"/>
    <w:rsid w:val="00AC61D9"/>
    <w:rsid w:val="00AC61F8"/>
    <w:rsid w:val="00AC61FF"/>
    <w:rsid w:val="00AC6233"/>
    <w:rsid w:val="00AC627E"/>
    <w:rsid w:val="00AC6284"/>
    <w:rsid w:val="00AC6351"/>
    <w:rsid w:val="00AC636A"/>
    <w:rsid w:val="00AC63A5"/>
    <w:rsid w:val="00AC6446"/>
    <w:rsid w:val="00AC64A3"/>
    <w:rsid w:val="00AC6541"/>
    <w:rsid w:val="00AC655C"/>
    <w:rsid w:val="00AC6584"/>
    <w:rsid w:val="00AC65E9"/>
    <w:rsid w:val="00AC6639"/>
    <w:rsid w:val="00AC66B0"/>
    <w:rsid w:val="00AC66B5"/>
    <w:rsid w:val="00AC66E8"/>
    <w:rsid w:val="00AC6709"/>
    <w:rsid w:val="00AC67CE"/>
    <w:rsid w:val="00AC681F"/>
    <w:rsid w:val="00AC684B"/>
    <w:rsid w:val="00AC6856"/>
    <w:rsid w:val="00AC68E2"/>
    <w:rsid w:val="00AC693D"/>
    <w:rsid w:val="00AC6978"/>
    <w:rsid w:val="00AC697C"/>
    <w:rsid w:val="00AC698E"/>
    <w:rsid w:val="00AC6996"/>
    <w:rsid w:val="00AC69D9"/>
    <w:rsid w:val="00AC6A18"/>
    <w:rsid w:val="00AC6A8B"/>
    <w:rsid w:val="00AC6A9F"/>
    <w:rsid w:val="00AC6AAA"/>
    <w:rsid w:val="00AC6ABA"/>
    <w:rsid w:val="00AC6ADF"/>
    <w:rsid w:val="00AC6B70"/>
    <w:rsid w:val="00AC6B7E"/>
    <w:rsid w:val="00AC6BEF"/>
    <w:rsid w:val="00AC6C00"/>
    <w:rsid w:val="00AC6C89"/>
    <w:rsid w:val="00AC6CDD"/>
    <w:rsid w:val="00AC6D39"/>
    <w:rsid w:val="00AC6D44"/>
    <w:rsid w:val="00AC6DDA"/>
    <w:rsid w:val="00AC6E5E"/>
    <w:rsid w:val="00AC6E66"/>
    <w:rsid w:val="00AC6E72"/>
    <w:rsid w:val="00AC6E99"/>
    <w:rsid w:val="00AC6E9C"/>
    <w:rsid w:val="00AC6F22"/>
    <w:rsid w:val="00AC6F28"/>
    <w:rsid w:val="00AC6FA4"/>
    <w:rsid w:val="00AC6FD4"/>
    <w:rsid w:val="00AC7032"/>
    <w:rsid w:val="00AC7051"/>
    <w:rsid w:val="00AC7063"/>
    <w:rsid w:val="00AC70DF"/>
    <w:rsid w:val="00AC711B"/>
    <w:rsid w:val="00AC7129"/>
    <w:rsid w:val="00AC7146"/>
    <w:rsid w:val="00AC7172"/>
    <w:rsid w:val="00AC7173"/>
    <w:rsid w:val="00AC717E"/>
    <w:rsid w:val="00AC71FD"/>
    <w:rsid w:val="00AC7229"/>
    <w:rsid w:val="00AC729B"/>
    <w:rsid w:val="00AC7335"/>
    <w:rsid w:val="00AC7349"/>
    <w:rsid w:val="00AC7363"/>
    <w:rsid w:val="00AC73A9"/>
    <w:rsid w:val="00AC7496"/>
    <w:rsid w:val="00AC74D0"/>
    <w:rsid w:val="00AC75BB"/>
    <w:rsid w:val="00AC7675"/>
    <w:rsid w:val="00AC7676"/>
    <w:rsid w:val="00AC76A4"/>
    <w:rsid w:val="00AC76E0"/>
    <w:rsid w:val="00AC77DE"/>
    <w:rsid w:val="00AC77FE"/>
    <w:rsid w:val="00AC781A"/>
    <w:rsid w:val="00AC7825"/>
    <w:rsid w:val="00AC7829"/>
    <w:rsid w:val="00AC7855"/>
    <w:rsid w:val="00AC78AE"/>
    <w:rsid w:val="00AC78D9"/>
    <w:rsid w:val="00AC7902"/>
    <w:rsid w:val="00AC7907"/>
    <w:rsid w:val="00AC7942"/>
    <w:rsid w:val="00AC79A9"/>
    <w:rsid w:val="00AC7AB6"/>
    <w:rsid w:val="00AC7ACC"/>
    <w:rsid w:val="00AC7ACD"/>
    <w:rsid w:val="00AC7B1F"/>
    <w:rsid w:val="00AC7BC8"/>
    <w:rsid w:val="00AC7BDB"/>
    <w:rsid w:val="00AC7C23"/>
    <w:rsid w:val="00AC7C32"/>
    <w:rsid w:val="00AC7CCD"/>
    <w:rsid w:val="00AC7D0F"/>
    <w:rsid w:val="00AC7D1B"/>
    <w:rsid w:val="00AC7D81"/>
    <w:rsid w:val="00AC7D82"/>
    <w:rsid w:val="00AC7DC9"/>
    <w:rsid w:val="00AC7DCF"/>
    <w:rsid w:val="00AC7DF7"/>
    <w:rsid w:val="00AC7E0B"/>
    <w:rsid w:val="00AC7E6A"/>
    <w:rsid w:val="00AC7E73"/>
    <w:rsid w:val="00AC7E83"/>
    <w:rsid w:val="00AC7EDC"/>
    <w:rsid w:val="00AC7F07"/>
    <w:rsid w:val="00AC7F19"/>
    <w:rsid w:val="00AC7F74"/>
    <w:rsid w:val="00AC7FBA"/>
    <w:rsid w:val="00AD005B"/>
    <w:rsid w:val="00AD00C3"/>
    <w:rsid w:val="00AD0146"/>
    <w:rsid w:val="00AD015D"/>
    <w:rsid w:val="00AD023C"/>
    <w:rsid w:val="00AD026B"/>
    <w:rsid w:val="00AD0291"/>
    <w:rsid w:val="00AD0315"/>
    <w:rsid w:val="00AD031C"/>
    <w:rsid w:val="00AD0335"/>
    <w:rsid w:val="00AD04A9"/>
    <w:rsid w:val="00AD04D1"/>
    <w:rsid w:val="00AD04E6"/>
    <w:rsid w:val="00AD0600"/>
    <w:rsid w:val="00AD0608"/>
    <w:rsid w:val="00AD0622"/>
    <w:rsid w:val="00AD069E"/>
    <w:rsid w:val="00AD06F7"/>
    <w:rsid w:val="00AD06FC"/>
    <w:rsid w:val="00AD070F"/>
    <w:rsid w:val="00AD0735"/>
    <w:rsid w:val="00AD07EE"/>
    <w:rsid w:val="00AD0800"/>
    <w:rsid w:val="00AD0857"/>
    <w:rsid w:val="00AD085F"/>
    <w:rsid w:val="00AD098C"/>
    <w:rsid w:val="00AD098D"/>
    <w:rsid w:val="00AD09B3"/>
    <w:rsid w:val="00AD09F3"/>
    <w:rsid w:val="00AD0A2A"/>
    <w:rsid w:val="00AD0A6F"/>
    <w:rsid w:val="00AD0B06"/>
    <w:rsid w:val="00AD0B0C"/>
    <w:rsid w:val="00AD0BD3"/>
    <w:rsid w:val="00AD0BFE"/>
    <w:rsid w:val="00AD0C17"/>
    <w:rsid w:val="00AD0C1B"/>
    <w:rsid w:val="00AD0C2E"/>
    <w:rsid w:val="00AD0C92"/>
    <w:rsid w:val="00AD0CAE"/>
    <w:rsid w:val="00AD0CD6"/>
    <w:rsid w:val="00AD0D21"/>
    <w:rsid w:val="00AD0D60"/>
    <w:rsid w:val="00AD0E79"/>
    <w:rsid w:val="00AD0EDE"/>
    <w:rsid w:val="00AD0F6A"/>
    <w:rsid w:val="00AD0FAF"/>
    <w:rsid w:val="00AD0FB2"/>
    <w:rsid w:val="00AD0FC0"/>
    <w:rsid w:val="00AD1076"/>
    <w:rsid w:val="00AD1094"/>
    <w:rsid w:val="00AD10AD"/>
    <w:rsid w:val="00AD1115"/>
    <w:rsid w:val="00AD111A"/>
    <w:rsid w:val="00AD1168"/>
    <w:rsid w:val="00AD11DC"/>
    <w:rsid w:val="00AD1242"/>
    <w:rsid w:val="00AD1288"/>
    <w:rsid w:val="00AD129E"/>
    <w:rsid w:val="00AD12D8"/>
    <w:rsid w:val="00AD1321"/>
    <w:rsid w:val="00AD1343"/>
    <w:rsid w:val="00AD1378"/>
    <w:rsid w:val="00AD139B"/>
    <w:rsid w:val="00AD13D0"/>
    <w:rsid w:val="00AD14B8"/>
    <w:rsid w:val="00AD14E6"/>
    <w:rsid w:val="00AD14F2"/>
    <w:rsid w:val="00AD1551"/>
    <w:rsid w:val="00AD1552"/>
    <w:rsid w:val="00AD155A"/>
    <w:rsid w:val="00AD1576"/>
    <w:rsid w:val="00AD157A"/>
    <w:rsid w:val="00AD1698"/>
    <w:rsid w:val="00AD16B9"/>
    <w:rsid w:val="00AD16C4"/>
    <w:rsid w:val="00AD16D8"/>
    <w:rsid w:val="00AD174A"/>
    <w:rsid w:val="00AD175A"/>
    <w:rsid w:val="00AD177E"/>
    <w:rsid w:val="00AD177F"/>
    <w:rsid w:val="00AD17D3"/>
    <w:rsid w:val="00AD184B"/>
    <w:rsid w:val="00AD189B"/>
    <w:rsid w:val="00AD18CD"/>
    <w:rsid w:val="00AD18E2"/>
    <w:rsid w:val="00AD1947"/>
    <w:rsid w:val="00AD1978"/>
    <w:rsid w:val="00AD19BB"/>
    <w:rsid w:val="00AD1A1C"/>
    <w:rsid w:val="00AD1A9B"/>
    <w:rsid w:val="00AD1ABD"/>
    <w:rsid w:val="00AD1AE0"/>
    <w:rsid w:val="00AD1B15"/>
    <w:rsid w:val="00AD1B3E"/>
    <w:rsid w:val="00AD1B49"/>
    <w:rsid w:val="00AD1B57"/>
    <w:rsid w:val="00AD1B5C"/>
    <w:rsid w:val="00AD1BC6"/>
    <w:rsid w:val="00AD1C48"/>
    <w:rsid w:val="00AD1CA4"/>
    <w:rsid w:val="00AD1D43"/>
    <w:rsid w:val="00AD1D5C"/>
    <w:rsid w:val="00AD1DED"/>
    <w:rsid w:val="00AD1E0C"/>
    <w:rsid w:val="00AD1E25"/>
    <w:rsid w:val="00AD1E2C"/>
    <w:rsid w:val="00AD1E2E"/>
    <w:rsid w:val="00AD1E92"/>
    <w:rsid w:val="00AD1EA0"/>
    <w:rsid w:val="00AD1EDE"/>
    <w:rsid w:val="00AD204F"/>
    <w:rsid w:val="00AD211C"/>
    <w:rsid w:val="00AD2122"/>
    <w:rsid w:val="00AD2129"/>
    <w:rsid w:val="00AD2158"/>
    <w:rsid w:val="00AD218A"/>
    <w:rsid w:val="00AD21C0"/>
    <w:rsid w:val="00AD222E"/>
    <w:rsid w:val="00AD22F4"/>
    <w:rsid w:val="00AD230E"/>
    <w:rsid w:val="00AD237D"/>
    <w:rsid w:val="00AD23BA"/>
    <w:rsid w:val="00AD23D4"/>
    <w:rsid w:val="00AD23F7"/>
    <w:rsid w:val="00AD245E"/>
    <w:rsid w:val="00AD249D"/>
    <w:rsid w:val="00AD24D2"/>
    <w:rsid w:val="00AD2537"/>
    <w:rsid w:val="00AD25D0"/>
    <w:rsid w:val="00AD2605"/>
    <w:rsid w:val="00AD2681"/>
    <w:rsid w:val="00AD269A"/>
    <w:rsid w:val="00AD26C7"/>
    <w:rsid w:val="00AD2735"/>
    <w:rsid w:val="00AD2758"/>
    <w:rsid w:val="00AD279F"/>
    <w:rsid w:val="00AD291E"/>
    <w:rsid w:val="00AD298F"/>
    <w:rsid w:val="00AD2992"/>
    <w:rsid w:val="00AD29AF"/>
    <w:rsid w:val="00AD29F9"/>
    <w:rsid w:val="00AD2A1A"/>
    <w:rsid w:val="00AD2A22"/>
    <w:rsid w:val="00AD2ADD"/>
    <w:rsid w:val="00AD2AFE"/>
    <w:rsid w:val="00AD2B00"/>
    <w:rsid w:val="00AD2B64"/>
    <w:rsid w:val="00AD2B79"/>
    <w:rsid w:val="00AD2BA6"/>
    <w:rsid w:val="00AD2BE6"/>
    <w:rsid w:val="00AD2C26"/>
    <w:rsid w:val="00AD2C2D"/>
    <w:rsid w:val="00AD2CD4"/>
    <w:rsid w:val="00AD2D9D"/>
    <w:rsid w:val="00AD2DAC"/>
    <w:rsid w:val="00AD2E43"/>
    <w:rsid w:val="00AD2EF5"/>
    <w:rsid w:val="00AD2F38"/>
    <w:rsid w:val="00AD2F59"/>
    <w:rsid w:val="00AD3030"/>
    <w:rsid w:val="00AD3037"/>
    <w:rsid w:val="00AD3091"/>
    <w:rsid w:val="00AD30BC"/>
    <w:rsid w:val="00AD30DC"/>
    <w:rsid w:val="00AD3174"/>
    <w:rsid w:val="00AD317E"/>
    <w:rsid w:val="00AD31EB"/>
    <w:rsid w:val="00AD323C"/>
    <w:rsid w:val="00AD32A3"/>
    <w:rsid w:val="00AD32C4"/>
    <w:rsid w:val="00AD335A"/>
    <w:rsid w:val="00AD3382"/>
    <w:rsid w:val="00AD3387"/>
    <w:rsid w:val="00AD33A2"/>
    <w:rsid w:val="00AD33A9"/>
    <w:rsid w:val="00AD347A"/>
    <w:rsid w:val="00AD347E"/>
    <w:rsid w:val="00AD3510"/>
    <w:rsid w:val="00AD351A"/>
    <w:rsid w:val="00AD3545"/>
    <w:rsid w:val="00AD35A4"/>
    <w:rsid w:val="00AD35FB"/>
    <w:rsid w:val="00AD35FE"/>
    <w:rsid w:val="00AD3671"/>
    <w:rsid w:val="00AD3732"/>
    <w:rsid w:val="00AD3774"/>
    <w:rsid w:val="00AD379B"/>
    <w:rsid w:val="00AD381B"/>
    <w:rsid w:val="00AD381D"/>
    <w:rsid w:val="00AD3859"/>
    <w:rsid w:val="00AD388D"/>
    <w:rsid w:val="00AD3895"/>
    <w:rsid w:val="00AD38A8"/>
    <w:rsid w:val="00AD38B8"/>
    <w:rsid w:val="00AD38EC"/>
    <w:rsid w:val="00AD3900"/>
    <w:rsid w:val="00AD391E"/>
    <w:rsid w:val="00AD3936"/>
    <w:rsid w:val="00AD397F"/>
    <w:rsid w:val="00AD39FC"/>
    <w:rsid w:val="00AD39FD"/>
    <w:rsid w:val="00AD3A06"/>
    <w:rsid w:val="00AD3A58"/>
    <w:rsid w:val="00AD3A73"/>
    <w:rsid w:val="00AD3AC9"/>
    <w:rsid w:val="00AD3B14"/>
    <w:rsid w:val="00AD3B1D"/>
    <w:rsid w:val="00AD3B69"/>
    <w:rsid w:val="00AD3B7C"/>
    <w:rsid w:val="00AD3BCB"/>
    <w:rsid w:val="00AD3BD4"/>
    <w:rsid w:val="00AD3C48"/>
    <w:rsid w:val="00AD3C9C"/>
    <w:rsid w:val="00AD3CB1"/>
    <w:rsid w:val="00AD3D18"/>
    <w:rsid w:val="00AD3E04"/>
    <w:rsid w:val="00AD4037"/>
    <w:rsid w:val="00AD40AA"/>
    <w:rsid w:val="00AD4112"/>
    <w:rsid w:val="00AD4134"/>
    <w:rsid w:val="00AD418D"/>
    <w:rsid w:val="00AD42E3"/>
    <w:rsid w:val="00AD42FE"/>
    <w:rsid w:val="00AD4434"/>
    <w:rsid w:val="00AD454C"/>
    <w:rsid w:val="00AD459D"/>
    <w:rsid w:val="00AD460B"/>
    <w:rsid w:val="00AD4683"/>
    <w:rsid w:val="00AD46BA"/>
    <w:rsid w:val="00AD473C"/>
    <w:rsid w:val="00AD4763"/>
    <w:rsid w:val="00AD4808"/>
    <w:rsid w:val="00AD482A"/>
    <w:rsid w:val="00AD484B"/>
    <w:rsid w:val="00AD4895"/>
    <w:rsid w:val="00AD4924"/>
    <w:rsid w:val="00AD4979"/>
    <w:rsid w:val="00AD4A44"/>
    <w:rsid w:val="00AD4A88"/>
    <w:rsid w:val="00AD4AC3"/>
    <w:rsid w:val="00AD4AC7"/>
    <w:rsid w:val="00AD4AD3"/>
    <w:rsid w:val="00AD4B06"/>
    <w:rsid w:val="00AD4B4E"/>
    <w:rsid w:val="00AD4B56"/>
    <w:rsid w:val="00AD4BD1"/>
    <w:rsid w:val="00AD4BE0"/>
    <w:rsid w:val="00AD4C0D"/>
    <w:rsid w:val="00AD4C1D"/>
    <w:rsid w:val="00AD4DB1"/>
    <w:rsid w:val="00AD4DE5"/>
    <w:rsid w:val="00AD4DEF"/>
    <w:rsid w:val="00AD4E10"/>
    <w:rsid w:val="00AD4E3C"/>
    <w:rsid w:val="00AD4E44"/>
    <w:rsid w:val="00AD4E82"/>
    <w:rsid w:val="00AD4E8C"/>
    <w:rsid w:val="00AD4E97"/>
    <w:rsid w:val="00AD4F0A"/>
    <w:rsid w:val="00AD4F26"/>
    <w:rsid w:val="00AD4F9B"/>
    <w:rsid w:val="00AD4FA6"/>
    <w:rsid w:val="00AD4FCC"/>
    <w:rsid w:val="00AD501C"/>
    <w:rsid w:val="00AD507D"/>
    <w:rsid w:val="00AD50D6"/>
    <w:rsid w:val="00AD50D8"/>
    <w:rsid w:val="00AD510F"/>
    <w:rsid w:val="00AD51A9"/>
    <w:rsid w:val="00AD51B2"/>
    <w:rsid w:val="00AD51DC"/>
    <w:rsid w:val="00AD51F8"/>
    <w:rsid w:val="00AD520E"/>
    <w:rsid w:val="00AD526E"/>
    <w:rsid w:val="00AD52BF"/>
    <w:rsid w:val="00AD530D"/>
    <w:rsid w:val="00AD5333"/>
    <w:rsid w:val="00AD5339"/>
    <w:rsid w:val="00AD5349"/>
    <w:rsid w:val="00AD5354"/>
    <w:rsid w:val="00AD5397"/>
    <w:rsid w:val="00AD5398"/>
    <w:rsid w:val="00AD539E"/>
    <w:rsid w:val="00AD53AC"/>
    <w:rsid w:val="00AD53E9"/>
    <w:rsid w:val="00AD53EA"/>
    <w:rsid w:val="00AD540B"/>
    <w:rsid w:val="00AD5416"/>
    <w:rsid w:val="00AD5417"/>
    <w:rsid w:val="00AD5425"/>
    <w:rsid w:val="00AD544D"/>
    <w:rsid w:val="00AD545E"/>
    <w:rsid w:val="00AD5481"/>
    <w:rsid w:val="00AD54A6"/>
    <w:rsid w:val="00AD54D8"/>
    <w:rsid w:val="00AD5502"/>
    <w:rsid w:val="00AD550D"/>
    <w:rsid w:val="00AD5515"/>
    <w:rsid w:val="00AD557E"/>
    <w:rsid w:val="00AD5598"/>
    <w:rsid w:val="00AD55D3"/>
    <w:rsid w:val="00AD5601"/>
    <w:rsid w:val="00AD5617"/>
    <w:rsid w:val="00AD5700"/>
    <w:rsid w:val="00AD5701"/>
    <w:rsid w:val="00AD572E"/>
    <w:rsid w:val="00AD5756"/>
    <w:rsid w:val="00AD5780"/>
    <w:rsid w:val="00AD57C1"/>
    <w:rsid w:val="00AD5810"/>
    <w:rsid w:val="00AD58EC"/>
    <w:rsid w:val="00AD594F"/>
    <w:rsid w:val="00AD59BA"/>
    <w:rsid w:val="00AD5A02"/>
    <w:rsid w:val="00AD5A53"/>
    <w:rsid w:val="00AD5AAC"/>
    <w:rsid w:val="00AD5B13"/>
    <w:rsid w:val="00AD5B52"/>
    <w:rsid w:val="00AD5BD4"/>
    <w:rsid w:val="00AD5C36"/>
    <w:rsid w:val="00AD5C7E"/>
    <w:rsid w:val="00AD5D55"/>
    <w:rsid w:val="00AD5D81"/>
    <w:rsid w:val="00AD5E10"/>
    <w:rsid w:val="00AD5E3C"/>
    <w:rsid w:val="00AD5E67"/>
    <w:rsid w:val="00AD5E74"/>
    <w:rsid w:val="00AD5EC1"/>
    <w:rsid w:val="00AD5FC3"/>
    <w:rsid w:val="00AD5FC6"/>
    <w:rsid w:val="00AD5FCB"/>
    <w:rsid w:val="00AD5FE0"/>
    <w:rsid w:val="00AD5FE6"/>
    <w:rsid w:val="00AD6001"/>
    <w:rsid w:val="00AD6025"/>
    <w:rsid w:val="00AD61BB"/>
    <w:rsid w:val="00AD627D"/>
    <w:rsid w:val="00AD62E9"/>
    <w:rsid w:val="00AD630D"/>
    <w:rsid w:val="00AD633C"/>
    <w:rsid w:val="00AD6347"/>
    <w:rsid w:val="00AD6380"/>
    <w:rsid w:val="00AD640A"/>
    <w:rsid w:val="00AD6419"/>
    <w:rsid w:val="00AD643D"/>
    <w:rsid w:val="00AD6483"/>
    <w:rsid w:val="00AD648F"/>
    <w:rsid w:val="00AD64CA"/>
    <w:rsid w:val="00AD6551"/>
    <w:rsid w:val="00AD6595"/>
    <w:rsid w:val="00AD65F9"/>
    <w:rsid w:val="00AD66C1"/>
    <w:rsid w:val="00AD670D"/>
    <w:rsid w:val="00AD6721"/>
    <w:rsid w:val="00AD673F"/>
    <w:rsid w:val="00AD6762"/>
    <w:rsid w:val="00AD6815"/>
    <w:rsid w:val="00AD682F"/>
    <w:rsid w:val="00AD6861"/>
    <w:rsid w:val="00AD68F3"/>
    <w:rsid w:val="00AD6957"/>
    <w:rsid w:val="00AD696B"/>
    <w:rsid w:val="00AD69BE"/>
    <w:rsid w:val="00AD69CE"/>
    <w:rsid w:val="00AD69E1"/>
    <w:rsid w:val="00AD6A79"/>
    <w:rsid w:val="00AD6AF2"/>
    <w:rsid w:val="00AD6AFD"/>
    <w:rsid w:val="00AD6B67"/>
    <w:rsid w:val="00AD6B8F"/>
    <w:rsid w:val="00AD6BDD"/>
    <w:rsid w:val="00AD6BFB"/>
    <w:rsid w:val="00AD6C0D"/>
    <w:rsid w:val="00AD6C0E"/>
    <w:rsid w:val="00AD6C2D"/>
    <w:rsid w:val="00AD6C5C"/>
    <w:rsid w:val="00AD6C60"/>
    <w:rsid w:val="00AD6CBD"/>
    <w:rsid w:val="00AD6D0E"/>
    <w:rsid w:val="00AD6D17"/>
    <w:rsid w:val="00AD6D39"/>
    <w:rsid w:val="00AD6DAD"/>
    <w:rsid w:val="00AD6DD1"/>
    <w:rsid w:val="00AD6DDB"/>
    <w:rsid w:val="00AD6E15"/>
    <w:rsid w:val="00AD6E2B"/>
    <w:rsid w:val="00AD6E89"/>
    <w:rsid w:val="00AD6E9F"/>
    <w:rsid w:val="00AD6EC8"/>
    <w:rsid w:val="00AD6F22"/>
    <w:rsid w:val="00AD6F3C"/>
    <w:rsid w:val="00AD6F92"/>
    <w:rsid w:val="00AD6FA0"/>
    <w:rsid w:val="00AD6FEA"/>
    <w:rsid w:val="00AD70AF"/>
    <w:rsid w:val="00AD70E5"/>
    <w:rsid w:val="00AD70FE"/>
    <w:rsid w:val="00AD716C"/>
    <w:rsid w:val="00AD719E"/>
    <w:rsid w:val="00AD71A6"/>
    <w:rsid w:val="00AD7227"/>
    <w:rsid w:val="00AD737D"/>
    <w:rsid w:val="00AD7399"/>
    <w:rsid w:val="00AD73F1"/>
    <w:rsid w:val="00AD7454"/>
    <w:rsid w:val="00AD74A0"/>
    <w:rsid w:val="00AD74CC"/>
    <w:rsid w:val="00AD74F5"/>
    <w:rsid w:val="00AD7512"/>
    <w:rsid w:val="00AD75AB"/>
    <w:rsid w:val="00AD75F9"/>
    <w:rsid w:val="00AD7674"/>
    <w:rsid w:val="00AD76B4"/>
    <w:rsid w:val="00AD76D8"/>
    <w:rsid w:val="00AD7700"/>
    <w:rsid w:val="00AD7709"/>
    <w:rsid w:val="00AD7741"/>
    <w:rsid w:val="00AD775E"/>
    <w:rsid w:val="00AD7769"/>
    <w:rsid w:val="00AD77F8"/>
    <w:rsid w:val="00AD781A"/>
    <w:rsid w:val="00AD788E"/>
    <w:rsid w:val="00AD78C4"/>
    <w:rsid w:val="00AD78E9"/>
    <w:rsid w:val="00AD796C"/>
    <w:rsid w:val="00AD79D1"/>
    <w:rsid w:val="00AD7A12"/>
    <w:rsid w:val="00AD7A42"/>
    <w:rsid w:val="00AD7B6E"/>
    <w:rsid w:val="00AD7B72"/>
    <w:rsid w:val="00AD7B7A"/>
    <w:rsid w:val="00AD7BC0"/>
    <w:rsid w:val="00AD7BF5"/>
    <w:rsid w:val="00AD7BFB"/>
    <w:rsid w:val="00AD7C1B"/>
    <w:rsid w:val="00AD7C28"/>
    <w:rsid w:val="00AD7C2C"/>
    <w:rsid w:val="00AD7C67"/>
    <w:rsid w:val="00AD7CFB"/>
    <w:rsid w:val="00AD7D69"/>
    <w:rsid w:val="00AD7D86"/>
    <w:rsid w:val="00AD7DA1"/>
    <w:rsid w:val="00AD7DB4"/>
    <w:rsid w:val="00AD7E3B"/>
    <w:rsid w:val="00AD7E55"/>
    <w:rsid w:val="00AD7E75"/>
    <w:rsid w:val="00AD7E99"/>
    <w:rsid w:val="00AD7EC3"/>
    <w:rsid w:val="00AD7ED6"/>
    <w:rsid w:val="00AD7EE4"/>
    <w:rsid w:val="00AD7F16"/>
    <w:rsid w:val="00AD7F27"/>
    <w:rsid w:val="00AD7F72"/>
    <w:rsid w:val="00AE0072"/>
    <w:rsid w:val="00AE0087"/>
    <w:rsid w:val="00AE00AB"/>
    <w:rsid w:val="00AE00C0"/>
    <w:rsid w:val="00AE00D3"/>
    <w:rsid w:val="00AE0102"/>
    <w:rsid w:val="00AE0109"/>
    <w:rsid w:val="00AE012C"/>
    <w:rsid w:val="00AE012E"/>
    <w:rsid w:val="00AE013F"/>
    <w:rsid w:val="00AE016C"/>
    <w:rsid w:val="00AE01B8"/>
    <w:rsid w:val="00AE021F"/>
    <w:rsid w:val="00AE0251"/>
    <w:rsid w:val="00AE0266"/>
    <w:rsid w:val="00AE02B5"/>
    <w:rsid w:val="00AE0365"/>
    <w:rsid w:val="00AE0377"/>
    <w:rsid w:val="00AE03C9"/>
    <w:rsid w:val="00AE03DA"/>
    <w:rsid w:val="00AE03DC"/>
    <w:rsid w:val="00AE0402"/>
    <w:rsid w:val="00AE0431"/>
    <w:rsid w:val="00AE0468"/>
    <w:rsid w:val="00AE0488"/>
    <w:rsid w:val="00AE0498"/>
    <w:rsid w:val="00AE0512"/>
    <w:rsid w:val="00AE0516"/>
    <w:rsid w:val="00AE05C8"/>
    <w:rsid w:val="00AE05DD"/>
    <w:rsid w:val="00AE063C"/>
    <w:rsid w:val="00AE0647"/>
    <w:rsid w:val="00AE0718"/>
    <w:rsid w:val="00AE0762"/>
    <w:rsid w:val="00AE07D7"/>
    <w:rsid w:val="00AE0855"/>
    <w:rsid w:val="00AE0894"/>
    <w:rsid w:val="00AE089E"/>
    <w:rsid w:val="00AE08C5"/>
    <w:rsid w:val="00AE090E"/>
    <w:rsid w:val="00AE0949"/>
    <w:rsid w:val="00AE0999"/>
    <w:rsid w:val="00AE0A37"/>
    <w:rsid w:val="00AE0A83"/>
    <w:rsid w:val="00AE0B08"/>
    <w:rsid w:val="00AE0B9F"/>
    <w:rsid w:val="00AE0C05"/>
    <w:rsid w:val="00AE0C5B"/>
    <w:rsid w:val="00AE0CF5"/>
    <w:rsid w:val="00AE0D3C"/>
    <w:rsid w:val="00AE0D4A"/>
    <w:rsid w:val="00AE0D4F"/>
    <w:rsid w:val="00AE0DB2"/>
    <w:rsid w:val="00AE0DCA"/>
    <w:rsid w:val="00AE0E36"/>
    <w:rsid w:val="00AE0E50"/>
    <w:rsid w:val="00AE0E7D"/>
    <w:rsid w:val="00AE0E8F"/>
    <w:rsid w:val="00AE0EA4"/>
    <w:rsid w:val="00AE0EF1"/>
    <w:rsid w:val="00AE0F30"/>
    <w:rsid w:val="00AE0F47"/>
    <w:rsid w:val="00AE0F92"/>
    <w:rsid w:val="00AE10B9"/>
    <w:rsid w:val="00AE10FB"/>
    <w:rsid w:val="00AE1129"/>
    <w:rsid w:val="00AE113D"/>
    <w:rsid w:val="00AE11D5"/>
    <w:rsid w:val="00AE125A"/>
    <w:rsid w:val="00AE134E"/>
    <w:rsid w:val="00AE13D0"/>
    <w:rsid w:val="00AE13FF"/>
    <w:rsid w:val="00AE142A"/>
    <w:rsid w:val="00AE145A"/>
    <w:rsid w:val="00AE1472"/>
    <w:rsid w:val="00AE14A7"/>
    <w:rsid w:val="00AE14C1"/>
    <w:rsid w:val="00AE14E4"/>
    <w:rsid w:val="00AE14E9"/>
    <w:rsid w:val="00AE1511"/>
    <w:rsid w:val="00AE154C"/>
    <w:rsid w:val="00AE15AE"/>
    <w:rsid w:val="00AE15E2"/>
    <w:rsid w:val="00AE160C"/>
    <w:rsid w:val="00AE163C"/>
    <w:rsid w:val="00AE16E6"/>
    <w:rsid w:val="00AE170D"/>
    <w:rsid w:val="00AE171D"/>
    <w:rsid w:val="00AE1765"/>
    <w:rsid w:val="00AE17B5"/>
    <w:rsid w:val="00AE17FF"/>
    <w:rsid w:val="00AE1826"/>
    <w:rsid w:val="00AE184A"/>
    <w:rsid w:val="00AE1873"/>
    <w:rsid w:val="00AE18D3"/>
    <w:rsid w:val="00AE1903"/>
    <w:rsid w:val="00AE1904"/>
    <w:rsid w:val="00AE1918"/>
    <w:rsid w:val="00AE1939"/>
    <w:rsid w:val="00AE194E"/>
    <w:rsid w:val="00AE1989"/>
    <w:rsid w:val="00AE1A45"/>
    <w:rsid w:val="00AE1A6A"/>
    <w:rsid w:val="00AE1A82"/>
    <w:rsid w:val="00AE1AE8"/>
    <w:rsid w:val="00AE1B80"/>
    <w:rsid w:val="00AE1B98"/>
    <w:rsid w:val="00AE1C1E"/>
    <w:rsid w:val="00AE1C3E"/>
    <w:rsid w:val="00AE1C4A"/>
    <w:rsid w:val="00AE1C50"/>
    <w:rsid w:val="00AE1C6D"/>
    <w:rsid w:val="00AE1CE3"/>
    <w:rsid w:val="00AE1D34"/>
    <w:rsid w:val="00AE1D5C"/>
    <w:rsid w:val="00AE1DD5"/>
    <w:rsid w:val="00AE1E5A"/>
    <w:rsid w:val="00AE1ECD"/>
    <w:rsid w:val="00AE1EEF"/>
    <w:rsid w:val="00AE1EF7"/>
    <w:rsid w:val="00AE1F06"/>
    <w:rsid w:val="00AE1F6F"/>
    <w:rsid w:val="00AE1F99"/>
    <w:rsid w:val="00AE1FAC"/>
    <w:rsid w:val="00AE1FCC"/>
    <w:rsid w:val="00AE2006"/>
    <w:rsid w:val="00AE2047"/>
    <w:rsid w:val="00AE2055"/>
    <w:rsid w:val="00AE2066"/>
    <w:rsid w:val="00AE20AA"/>
    <w:rsid w:val="00AE20F5"/>
    <w:rsid w:val="00AE2121"/>
    <w:rsid w:val="00AE2136"/>
    <w:rsid w:val="00AE2227"/>
    <w:rsid w:val="00AE2233"/>
    <w:rsid w:val="00AE2287"/>
    <w:rsid w:val="00AE2310"/>
    <w:rsid w:val="00AE2342"/>
    <w:rsid w:val="00AE2358"/>
    <w:rsid w:val="00AE241E"/>
    <w:rsid w:val="00AE243B"/>
    <w:rsid w:val="00AE2448"/>
    <w:rsid w:val="00AE2457"/>
    <w:rsid w:val="00AE24C1"/>
    <w:rsid w:val="00AE24D3"/>
    <w:rsid w:val="00AE253D"/>
    <w:rsid w:val="00AE2560"/>
    <w:rsid w:val="00AE2602"/>
    <w:rsid w:val="00AE2610"/>
    <w:rsid w:val="00AE261B"/>
    <w:rsid w:val="00AE262F"/>
    <w:rsid w:val="00AE263D"/>
    <w:rsid w:val="00AE2673"/>
    <w:rsid w:val="00AE26C7"/>
    <w:rsid w:val="00AE26EB"/>
    <w:rsid w:val="00AE2762"/>
    <w:rsid w:val="00AE2780"/>
    <w:rsid w:val="00AE2790"/>
    <w:rsid w:val="00AE287C"/>
    <w:rsid w:val="00AE28A3"/>
    <w:rsid w:val="00AE28D7"/>
    <w:rsid w:val="00AE28DA"/>
    <w:rsid w:val="00AE28E3"/>
    <w:rsid w:val="00AE28EC"/>
    <w:rsid w:val="00AE291A"/>
    <w:rsid w:val="00AE296E"/>
    <w:rsid w:val="00AE2971"/>
    <w:rsid w:val="00AE298D"/>
    <w:rsid w:val="00AE29EF"/>
    <w:rsid w:val="00AE2A24"/>
    <w:rsid w:val="00AE2A26"/>
    <w:rsid w:val="00AE2A59"/>
    <w:rsid w:val="00AE2AE0"/>
    <w:rsid w:val="00AE2B71"/>
    <w:rsid w:val="00AE2BB1"/>
    <w:rsid w:val="00AE2BE8"/>
    <w:rsid w:val="00AE2BEB"/>
    <w:rsid w:val="00AE2C1A"/>
    <w:rsid w:val="00AE2C22"/>
    <w:rsid w:val="00AE2C56"/>
    <w:rsid w:val="00AE2D96"/>
    <w:rsid w:val="00AE2D9E"/>
    <w:rsid w:val="00AE2DB8"/>
    <w:rsid w:val="00AE2E16"/>
    <w:rsid w:val="00AE2E38"/>
    <w:rsid w:val="00AE2E81"/>
    <w:rsid w:val="00AE2EE3"/>
    <w:rsid w:val="00AE2F2B"/>
    <w:rsid w:val="00AE2F3B"/>
    <w:rsid w:val="00AE2F90"/>
    <w:rsid w:val="00AE2FAE"/>
    <w:rsid w:val="00AE2FFB"/>
    <w:rsid w:val="00AE3050"/>
    <w:rsid w:val="00AE3062"/>
    <w:rsid w:val="00AE3124"/>
    <w:rsid w:val="00AE3146"/>
    <w:rsid w:val="00AE3176"/>
    <w:rsid w:val="00AE32F1"/>
    <w:rsid w:val="00AE3334"/>
    <w:rsid w:val="00AE33A3"/>
    <w:rsid w:val="00AE34EA"/>
    <w:rsid w:val="00AE3520"/>
    <w:rsid w:val="00AE3545"/>
    <w:rsid w:val="00AE3556"/>
    <w:rsid w:val="00AE3578"/>
    <w:rsid w:val="00AE3586"/>
    <w:rsid w:val="00AE359D"/>
    <w:rsid w:val="00AE35B8"/>
    <w:rsid w:val="00AE3605"/>
    <w:rsid w:val="00AE3633"/>
    <w:rsid w:val="00AE363B"/>
    <w:rsid w:val="00AE3668"/>
    <w:rsid w:val="00AE3696"/>
    <w:rsid w:val="00AE36F4"/>
    <w:rsid w:val="00AE3780"/>
    <w:rsid w:val="00AE379B"/>
    <w:rsid w:val="00AE37AA"/>
    <w:rsid w:val="00AE3832"/>
    <w:rsid w:val="00AE38F0"/>
    <w:rsid w:val="00AE391A"/>
    <w:rsid w:val="00AE3920"/>
    <w:rsid w:val="00AE396A"/>
    <w:rsid w:val="00AE3989"/>
    <w:rsid w:val="00AE39BA"/>
    <w:rsid w:val="00AE39DA"/>
    <w:rsid w:val="00AE3A0A"/>
    <w:rsid w:val="00AE3A1D"/>
    <w:rsid w:val="00AE3A59"/>
    <w:rsid w:val="00AE3A75"/>
    <w:rsid w:val="00AE3AE6"/>
    <w:rsid w:val="00AE3B89"/>
    <w:rsid w:val="00AE3BB7"/>
    <w:rsid w:val="00AE3BEE"/>
    <w:rsid w:val="00AE3C15"/>
    <w:rsid w:val="00AE3C19"/>
    <w:rsid w:val="00AE3C76"/>
    <w:rsid w:val="00AE3C89"/>
    <w:rsid w:val="00AE3C8E"/>
    <w:rsid w:val="00AE3CB1"/>
    <w:rsid w:val="00AE3D74"/>
    <w:rsid w:val="00AE3D78"/>
    <w:rsid w:val="00AE3DFF"/>
    <w:rsid w:val="00AE3E36"/>
    <w:rsid w:val="00AE3EAB"/>
    <w:rsid w:val="00AE3ED2"/>
    <w:rsid w:val="00AE3F42"/>
    <w:rsid w:val="00AE3F57"/>
    <w:rsid w:val="00AE3FF9"/>
    <w:rsid w:val="00AE402D"/>
    <w:rsid w:val="00AE4086"/>
    <w:rsid w:val="00AE414E"/>
    <w:rsid w:val="00AE4166"/>
    <w:rsid w:val="00AE4286"/>
    <w:rsid w:val="00AE42A9"/>
    <w:rsid w:val="00AE42EF"/>
    <w:rsid w:val="00AE4341"/>
    <w:rsid w:val="00AE4354"/>
    <w:rsid w:val="00AE4380"/>
    <w:rsid w:val="00AE4383"/>
    <w:rsid w:val="00AE4388"/>
    <w:rsid w:val="00AE4434"/>
    <w:rsid w:val="00AE443E"/>
    <w:rsid w:val="00AE4470"/>
    <w:rsid w:val="00AE44D4"/>
    <w:rsid w:val="00AE45C7"/>
    <w:rsid w:val="00AE45D4"/>
    <w:rsid w:val="00AE46A5"/>
    <w:rsid w:val="00AE46D1"/>
    <w:rsid w:val="00AE474A"/>
    <w:rsid w:val="00AE474D"/>
    <w:rsid w:val="00AE4758"/>
    <w:rsid w:val="00AE47DC"/>
    <w:rsid w:val="00AE4807"/>
    <w:rsid w:val="00AE481B"/>
    <w:rsid w:val="00AE483C"/>
    <w:rsid w:val="00AE488B"/>
    <w:rsid w:val="00AE48D4"/>
    <w:rsid w:val="00AE48D9"/>
    <w:rsid w:val="00AE4976"/>
    <w:rsid w:val="00AE4985"/>
    <w:rsid w:val="00AE49D1"/>
    <w:rsid w:val="00AE49F0"/>
    <w:rsid w:val="00AE4A35"/>
    <w:rsid w:val="00AE4A87"/>
    <w:rsid w:val="00AE4A9F"/>
    <w:rsid w:val="00AE4AA8"/>
    <w:rsid w:val="00AE4ACA"/>
    <w:rsid w:val="00AE4AD4"/>
    <w:rsid w:val="00AE4B4B"/>
    <w:rsid w:val="00AE4BE8"/>
    <w:rsid w:val="00AE4BEA"/>
    <w:rsid w:val="00AE4D16"/>
    <w:rsid w:val="00AE4D1A"/>
    <w:rsid w:val="00AE4D1D"/>
    <w:rsid w:val="00AE4D25"/>
    <w:rsid w:val="00AE4DCC"/>
    <w:rsid w:val="00AE4E47"/>
    <w:rsid w:val="00AE4E97"/>
    <w:rsid w:val="00AE4EA5"/>
    <w:rsid w:val="00AE4F20"/>
    <w:rsid w:val="00AE4F7A"/>
    <w:rsid w:val="00AE5015"/>
    <w:rsid w:val="00AE5068"/>
    <w:rsid w:val="00AE507F"/>
    <w:rsid w:val="00AE50CC"/>
    <w:rsid w:val="00AE5247"/>
    <w:rsid w:val="00AE528A"/>
    <w:rsid w:val="00AE5309"/>
    <w:rsid w:val="00AE5345"/>
    <w:rsid w:val="00AE535E"/>
    <w:rsid w:val="00AE53A7"/>
    <w:rsid w:val="00AE53AB"/>
    <w:rsid w:val="00AE53AF"/>
    <w:rsid w:val="00AE53B9"/>
    <w:rsid w:val="00AE53FF"/>
    <w:rsid w:val="00AE5443"/>
    <w:rsid w:val="00AE5468"/>
    <w:rsid w:val="00AE5485"/>
    <w:rsid w:val="00AE54B0"/>
    <w:rsid w:val="00AE54C4"/>
    <w:rsid w:val="00AE54F8"/>
    <w:rsid w:val="00AE5530"/>
    <w:rsid w:val="00AE5548"/>
    <w:rsid w:val="00AE5677"/>
    <w:rsid w:val="00AE56B0"/>
    <w:rsid w:val="00AE5716"/>
    <w:rsid w:val="00AE5724"/>
    <w:rsid w:val="00AE5729"/>
    <w:rsid w:val="00AE5762"/>
    <w:rsid w:val="00AE57AB"/>
    <w:rsid w:val="00AE57C2"/>
    <w:rsid w:val="00AE5841"/>
    <w:rsid w:val="00AE58C9"/>
    <w:rsid w:val="00AE58CD"/>
    <w:rsid w:val="00AE5913"/>
    <w:rsid w:val="00AE5917"/>
    <w:rsid w:val="00AE5923"/>
    <w:rsid w:val="00AE594D"/>
    <w:rsid w:val="00AE59BA"/>
    <w:rsid w:val="00AE59CD"/>
    <w:rsid w:val="00AE5A28"/>
    <w:rsid w:val="00AE5AF0"/>
    <w:rsid w:val="00AE5C1A"/>
    <w:rsid w:val="00AE5C61"/>
    <w:rsid w:val="00AE5C64"/>
    <w:rsid w:val="00AE5CEB"/>
    <w:rsid w:val="00AE5CFC"/>
    <w:rsid w:val="00AE5D1C"/>
    <w:rsid w:val="00AE5DBC"/>
    <w:rsid w:val="00AE5E24"/>
    <w:rsid w:val="00AE5EDA"/>
    <w:rsid w:val="00AE5F0B"/>
    <w:rsid w:val="00AE5FAC"/>
    <w:rsid w:val="00AE5FBC"/>
    <w:rsid w:val="00AE6059"/>
    <w:rsid w:val="00AE607D"/>
    <w:rsid w:val="00AE6088"/>
    <w:rsid w:val="00AE60C7"/>
    <w:rsid w:val="00AE6155"/>
    <w:rsid w:val="00AE6157"/>
    <w:rsid w:val="00AE6158"/>
    <w:rsid w:val="00AE61FE"/>
    <w:rsid w:val="00AE6277"/>
    <w:rsid w:val="00AE62B2"/>
    <w:rsid w:val="00AE62F1"/>
    <w:rsid w:val="00AE639E"/>
    <w:rsid w:val="00AE63AE"/>
    <w:rsid w:val="00AE642D"/>
    <w:rsid w:val="00AE6478"/>
    <w:rsid w:val="00AE6482"/>
    <w:rsid w:val="00AE648C"/>
    <w:rsid w:val="00AE64F5"/>
    <w:rsid w:val="00AE6519"/>
    <w:rsid w:val="00AE6520"/>
    <w:rsid w:val="00AE65E8"/>
    <w:rsid w:val="00AE65FB"/>
    <w:rsid w:val="00AE662B"/>
    <w:rsid w:val="00AE664C"/>
    <w:rsid w:val="00AE6660"/>
    <w:rsid w:val="00AE6674"/>
    <w:rsid w:val="00AE669C"/>
    <w:rsid w:val="00AE6768"/>
    <w:rsid w:val="00AE67BC"/>
    <w:rsid w:val="00AE67DC"/>
    <w:rsid w:val="00AE6836"/>
    <w:rsid w:val="00AE6894"/>
    <w:rsid w:val="00AE68F1"/>
    <w:rsid w:val="00AE69BE"/>
    <w:rsid w:val="00AE69DF"/>
    <w:rsid w:val="00AE69E0"/>
    <w:rsid w:val="00AE6A6E"/>
    <w:rsid w:val="00AE6ABF"/>
    <w:rsid w:val="00AE6B47"/>
    <w:rsid w:val="00AE6B60"/>
    <w:rsid w:val="00AE6B71"/>
    <w:rsid w:val="00AE6B82"/>
    <w:rsid w:val="00AE6C6E"/>
    <w:rsid w:val="00AE6C71"/>
    <w:rsid w:val="00AE6CBA"/>
    <w:rsid w:val="00AE6CD3"/>
    <w:rsid w:val="00AE6D05"/>
    <w:rsid w:val="00AE6D6A"/>
    <w:rsid w:val="00AE6DE9"/>
    <w:rsid w:val="00AE6E18"/>
    <w:rsid w:val="00AE6E7E"/>
    <w:rsid w:val="00AE6E82"/>
    <w:rsid w:val="00AE6ECC"/>
    <w:rsid w:val="00AE6EE0"/>
    <w:rsid w:val="00AE6EF9"/>
    <w:rsid w:val="00AE6EFF"/>
    <w:rsid w:val="00AE6F47"/>
    <w:rsid w:val="00AE707E"/>
    <w:rsid w:val="00AE70E4"/>
    <w:rsid w:val="00AE7201"/>
    <w:rsid w:val="00AE7207"/>
    <w:rsid w:val="00AE724B"/>
    <w:rsid w:val="00AE7273"/>
    <w:rsid w:val="00AE732B"/>
    <w:rsid w:val="00AE7382"/>
    <w:rsid w:val="00AE73B2"/>
    <w:rsid w:val="00AE73DD"/>
    <w:rsid w:val="00AE73FC"/>
    <w:rsid w:val="00AE7402"/>
    <w:rsid w:val="00AE7423"/>
    <w:rsid w:val="00AE742C"/>
    <w:rsid w:val="00AE7457"/>
    <w:rsid w:val="00AE7495"/>
    <w:rsid w:val="00AE74D1"/>
    <w:rsid w:val="00AE74D2"/>
    <w:rsid w:val="00AE753C"/>
    <w:rsid w:val="00AE754F"/>
    <w:rsid w:val="00AE7565"/>
    <w:rsid w:val="00AE7567"/>
    <w:rsid w:val="00AE75B9"/>
    <w:rsid w:val="00AE7636"/>
    <w:rsid w:val="00AE765B"/>
    <w:rsid w:val="00AE767A"/>
    <w:rsid w:val="00AE76C9"/>
    <w:rsid w:val="00AE76D5"/>
    <w:rsid w:val="00AE7713"/>
    <w:rsid w:val="00AE7781"/>
    <w:rsid w:val="00AE7792"/>
    <w:rsid w:val="00AE7796"/>
    <w:rsid w:val="00AE77C4"/>
    <w:rsid w:val="00AE7836"/>
    <w:rsid w:val="00AE787B"/>
    <w:rsid w:val="00AE787D"/>
    <w:rsid w:val="00AE78A6"/>
    <w:rsid w:val="00AE78BB"/>
    <w:rsid w:val="00AE78DF"/>
    <w:rsid w:val="00AE7905"/>
    <w:rsid w:val="00AE7924"/>
    <w:rsid w:val="00AE796B"/>
    <w:rsid w:val="00AE7980"/>
    <w:rsid w:val="00AE799B"/>
    <w:rsid w:val="00AE79DA"/>
    <w:rsid w:val="00AE7A5A"/>
    <w:rsid w:val="00AE7A8C"/>
    <w:rsid w:val="00AE7A8F"/>
    <w:rsid w:val="00AE7AD1"/>
    <w:rsid w:val="00AE7AD9"/>
    <w:rsid w:val="00AE7AE6"/>
    <w:rsid w:val="00AE7B2B"/>
    <w:rsid w:val="00AE7BBE"/>
    <w:rsid w:val="00AE7C05"/>
    <w:rsid w:val="00AE7C4D"/>
    <w:rsid w:val="00AE7CBB"/>
    <w:rsid w:val="00AE7E03"/>
    <w:rsid w:val="00AE7E9D"/>
    <w:rsid w:val="00AE7EB5"/>
    <w:rsid w:val="00AE7F6D"/>
    <w:rsid w:val="00AE7F80"/>
    <w:rsid w:val="00AE7F8A"/>
    <w:rsid w:val="00AE7FBF"/>
    <w:rsid w:val="00AE7FFD"/>
    <w:rsid w:val="00AF000F"/>
    <w:rsid w:val="00AF001F"/>
    <w:rsid w:val="00AF0061"/>
    <w:rsid w:val="00AF0086"/>
    <w:rsid w:val="00AF00D7"/>
    <w:rsid w:val="00AF00DE"/>
    <w:rsid w:val="00AF00E1"/>
    <w:rsid w:val="00AF0103"/>
    <w:rsid w:val="00AF0115"/>
    <w:rsid w:val="00AF014E"/>
    <w:rsid w:val="00AF0185"/>
    <w:rsid w:val="00AF01BB"/>
    <w:rsid w:val="00AF01F2"/>
    <w:rsid w:val="00AF022C"/>
    <w:rsid w:val="00AF028A"/>
    <w:rsid w:val="00AF02D6"/>
    <w:rsid w:val="00AF02F5"/>
    <w:rsid w:val="00AF0406"/>
    <w:rsid w:val="00AF0420"/>
    <w:rsid w:val="00AF0428"/>
    <w:rsid w:val="00AF0555"/>
    <w:rsid w:val="00AF05CC"/>
    <w:rsid w:val="00AF05DD"/>
    <w:rsid w:val="00AF0621"/>
    <w:rsid w:val="00AF0631"/>
    <w:rsid w:val="00AF0649"/>
    <w:rsid w:val="00AF0698"/>
    <w:rsid w:val="00AF06AD"/>
    <w:rsid w:val="00AF06D5"/>
    <w:rsid w:val="00AF06DB"/>
    <w:rsid w:val="00AF0733"/>
    <w:rsid w:val="00AF0795"/>
    <w:rsid w:val="00AF0798"/>
    <w:rsid w:val="00AF07AE"/>
    <w:rsid w:val="00AF07B1"/>
    <w:rsid w:val="00AF07F1"/>
    <w:rsid w:val="00AF0807"/>
    <w:rsid w:val="00AF08BF"/>
    <w:rsid w:val="00AF08FE"/>
    <w:rsid w:val="00AF090A"/>
    <w:rsid w:val="00AF092E"/>
    <w:rsid w:val="00AF093D"/>
    <w:rsid w:val="00AF09E3"/>
    <w:rsid w:val="00AF09FA"/>
    <w:rsid w:val="00AF0A15"/>
    <w:rsid w:val="00AF0A20"/>
    <w:rsid w:val="00AF0A3B"/>
    <w:rsid w:val="00AF0AD1"/>
    <w:rsid w:val="00AF0AE1"/>
    <w:rsid w:val="00AF0B2B"/>
    <w:rsid w:val="00AF0B60"/>
    <w:rsid w:val="00AF0B6C"/>
    <w:rsid w:val="00AF0BE5"/>
    <w:rsid w:val="00AF0BFF"/>
    <w:rsid w:val="00AF0C4E"/>
    <w:rsid w:val="00AF0CC5"/>
    <w:rsid w:val="00AF0D0A"/>
    <w:rsid w:val="00AF0D3A"/>
    <w:rsid w:val="00AF0DE6"/>
    <w:rsid w:val="00AF0EC0"/>
    <w:rsid w:val="00AF0EF2"/>
    <w:rsid w:val="00AF0EFD"/>
    <w:rsid w:val="00AF0F39"/>
    <w:rsid w:val="00AF101E"/>
    <w:rsid w:val="00AF1064"/>
    <w:rsid w:val="00AF1087"/>
    <w:rsid w:val="00AF10A0"/>
    <w:rsid w:val="00AF10E1"/>
    <w:rsid w:val="00AF10F9"/>
    <w:rsid w:val="00AF1113"/>
    <w:rsid w:val="00AF11B6"/>
    <w:rsid w:val="00AF11C7"/>
    <w:rsid w:val="00AF11DA"/>
    <w:rsid w:val="00AF1266"/>
    <w:rsid w:val="00AF1271"/>
    <w:rsid w:val="00AF129B"/>
    <w:rsid w:val="00AF129C"/>
    <w:rsid w:val="00AF12DC"/>
    <w:rsid w:val="00AF1362"/>
    <w:rsid w:val="00AF1380"/>
    <w:rsid w:val="00AF14D5"/>
    <w:rsid w:val="00AF1644"/>
    <w:rsid w:val="00AF167F"/>
    <w:rsid w:val="00AF1739"/>
    <w:rsid w:val="00AF1778"/>
    <w:rsid w:val="00AF17D8"/>
    <w:rsid w:val="00AF18D7"/>
    <w:rsid w:val="00AF1930"/>
    <w:rsid w:val="00AF199A"/>
    <w:rsid w:val="00AF1A7B"/>
    <w:rsid w:val="00AF1AD6"/>
    <w:rsid w:val="00AF1B1F"/>
    <w:rsid w:val="00AF1B20"/>
    <w:rsid w:val="00AF1B3D"/>
    <w:rsid w:val="00AF1B69"/>
    <w:rsid w:val="00AF1BCD"/>
    <w:rsid w:val="00AF1BF6"/>
    <w:rsid w:val="00AF1C13"/>
    <w:rsid w:val="00AF1C61"/>
    <w:rsid w:val="00AF1C94"/>
    <w:rsid w:val="00AF1CCF"/>
    <w:rsid w:val="00AF1D32"/>
    <w:rsid w:val="00AF1D99"/>
    <w:rsid w:val="00AF1E13"/>
    <w:rsid w:val="00AF1E40"/>
    <w:rsid w:val="00AF1E8F"/>
    <w:rsid w:val="00AF1F17"/>
    <w:rsid w:val="00AF1F92"/>
    <w:rsid w:val="00AF1F99"/>
    <w:rsid w:val="00AF1FB8"/>
    <w:rsid w:val="00AF1FC2"/>
    <w:rsid w:val="00AF208D"/>
    <w:rsid w:val="00AF20AB"/>
    <w:rsid w:val="00AF20DE"/>
    <w:rsid w:val="00AF2183"/>
    <w:rsid w:val="00AF219B"/>
    <w:rsid w:val="00AF21B7"/>
    <w:rsid w:val="00AF21BC"/>
    <w:rsid w:val="00AF21EB"/>
    <w:rsid w:val="00AF21F3"/>
    <w:rsid w:val="00AF2270"/>
    <w:rsid w:val="00AF22B5"/>
    <w:rsid w:val="00AF2329"/>
    <w:rsid w:val="00AF232F"/>
    <w:rsid w:val="00AF2344"/>
    <w:rsid w:val="00AF2352"/>
    <w:rsid w:val="00AF2397"/>
    <w:rsid w:val="00AF23DD"/>
    <w:rsid w:val="00AF23F8"/>
    <w:rsid w:val="00AF2439"/>
    <w:rsid w:val="00AF2450"/>
    <w:rsid w:val="00AF2477"/>
    <w:rsid w:val="00AF24B2"/>
    <w:rsid w:val="00AF25EE"/>
    <w:rsid w:val="00AF2679"/>
    <w:rsid w:val="00AF2681"/>
    <w:rsid w:val="00AF26E8"/>
    <w:rsid w:val="00AF2730"/>
    <w:rsid w:val="00AF273C"/>
    <w:rsid w:val="00AF2790"/>
    <w:rsid w:val="00AF2795"/>
    <w:rsid w:val="00AF27BA"/>
    <w:rsid w:val="00AF2939"/>
    <w:rsid w:val="00AF2943"/>
    <w:rsid w:val="00AF2960"/>
    <w:rsid w:val="00AF29A5"/>
    <w:rsid w:val="00AF29A9"/>
    <w:rsid w:val="00AF2A2D"/>
    <w:rsid w:val="00AF2A7A"/>
    <w:rsid w:val="00AF2A7B"/>
    <w:rsid w:val="00AF2ADB"/>
    <w:rsid w:val="00AF2B04"/>
    <w:rsid w:val="00AF2D69"/>
    <w:rsid w:val="00AF2DAB"/>
    <w:rsid w:val="00AF2DF3"/>
    <w:rsid w:val="00AF2E58"/>
    <w:rsid w:val="00AF2EA0"/>
    <w:rsid w:val="00AF2F05"/>
    <w:rsid w:val="00AF2F4D"/>
    <w:rsid w:val="00AF2FBA"/>
    <w:rsid w:val="00AF2FED"/>
    <w:rsid w:val="00AF30A7"/>
    <w:rsid w:val="00AF30BB"/>
    <w:rsid w:val="00AF30CF"/>
    <w:rsid w:val="00AF3115"/>
    <w:rsid w:val="00AF3126"/>
    <w:rsid w:val="00AF3129"/>
    <w:rsid w:val="00AF3159"/>
    <w:rsid w:val="00AF3191"/>
    <w:rsid w:val="00AF31B7"/>
    <w:rsid w:val="00AF31E6"/>
    <w:rsid w:val="00AF31F1"/>
    <w:rsid w:val="00AF31F2"/>
    <w:rsid w:val="00AF3307"/>
    <w:rsid w:val="00AF3349"/>
    <w:rsid w:val="00AF3378"/>
    <w:rsid w:val="00AF338D"/>
    <w:rsid w:val="00AF33FF"/>
    <w:rsid w:val="00AF3443"/>
    <w:rsid w:val="00AF3495"/>
    <w:rsid w:val="00AF34B6"/>
    <w:rsid w:val="00AF34D1"/>
    <w:rsid w:val="00AF34E7"/>
    <w:rsid w:val="00AF34F1"/>
    <w:rsid w:val="00AF352A"/>
    <w:rsid w:val="00AF3582"/>
    <w:rsid w:val="00AF35A9"/>
    <w:rsid w:val="00AF35D1"/>
    <w:rsid w:val="00AF360C"/>
    <w:rsid w:val="00AF363D"/>
    <w:rsid w:val="00AF3667"/>
    <w:rsid w:val="00AF3671"/>
    <w:rsid w:val="00AF36AC"/>
    <w:rsid w:val="00AF3706"/>
    <w:rsid w:val="00AF3760"/>
    <w:rsid w:val="00AF3846"/>
    <w:rsid w:val="00AF388E"/>
    <w:rsid w:val="00AF38CA"/>
    <w:rsid w:val="00AF38FB"/>
    <w:rsid w:val="00AF391A"/>
    <w:rsid w:val="00AF393E"/>
    <w:rsid w:val="00AF395C"/>
    <w:rsid w:val="00AF395F"/>
    <w:rsid w:val="00AF3973"/>
    <w:rsid w:val="00AF39A2"/>
    <w:rsid w:val="00AF39D0"/>
    <w:rsid w:val="00AF3A49"/>
    <w:rsid w:val="00AF3A81"/>
    <w:rsid w:val="00AF3ADF"/>
    <w:rsid w:val="00AF3AEA"/>
    <w:rsid w:val="00AF3B21"/>
    <w:rsid w:val="00AF3B7A"/>
    <w:rsid w:val="00AF3B89"/>
    <w:rsid w:val="00AF3BAC"/>
    <w:rsid w:val="00AF3BBF"/>
    <w:rsid w:val="00AF3C0C"/>
    <w:rsid w:val="00AF3C43"/>
    <w:rsid w:val="00AF3CED"/>
    <w:rsid w:val="00AF3CF1"/>
    <w:rsid w:val="00AF3CF7"/>
    <w:rsid w:val="00AF3D11"/>
    <w:rsid w:val="00AF3D74"/>
    <w:rsid w:val="00AF3D77"/>
    <w:rsid w:val="00AF3D89"/>
    <w:rsid w:val="00AF3DD9"/>
    <w:rsid w:val="00AF3E55"/>
    <w:rsid w:val="00AF3E77"/>
    <w:rsid w:val="00AF3EA9"/>
    <w:rsid w:val="00AF3EDE"/>
    <w:rsid w:val="00AF3F5D"/>
    <w:rsid w:val="00AF3F64"/>
    <w:rsid w:val="00AF3FA8"/>
    <w:rsid w:val="00AF403E"/>
    <w:rsid w:val="00AF4045"/>
    <w:rsid w:val="00AF410D"/>
    <w:rsid w:val="00AF411C"/>
    <w:rsid w:val="00AF417E"/>
    <w:rsid w:val="00AF4187"/>
    <w:rsid w:val="00AF4283"/>
    <w:rsid w:val="00AF429E"/>
    <w:rsid w:val="00AF4403"/>
    <w:rsid w:val="00AF4461"/>
    <w:rsid w:val="00AF44AF"/>
    <w:rsid w:val="00AF44CE"/>
    <w:rsid w:val="00AF4501"/>
    <w:rsid w:val="00AF4508"/>
    <w:rsid w:val="00AF4603"/>
    <w:rsid w:val="00AF471A"/>
    <w:rsid w:val="00AF485B"/>
    <w:rsid w:val="00AF4872"/>
    <w:rsid w:val="00AF48D5"/>
    <w:rsid w:val="00AF48DB"/>
    <w:rsid w:val="00AF48F4"/>
    <w:rsid w:val="00AF4A41"/>
    <w:rsid w:val="00AF4A7D"/>
    <w:rsid w:val="00AF4A99"/>
    <w:rsid w:val="00AF4AA0"/>
    <w:rsid w:val="00AF4B32"/>
    <w:rsid w:val="00AF4B46"/>
    <w:rsid w:val="00AF4B73"/>
    <w:rsid w:val="00AF4CB6"/>
    <w:rsid w:val="00AF4CCC"/>
    <w:rsid w:val="00AF4D17"/>
    <w:rsid w:val="00AF4DC5"/>
    <w:rsid w:val="00AF4DF3"/>
    <w:rsid w:val="00AF4DFA"/>
    <w:rsid w:val="00AF4E63"/>
    <w:rsid w:val="00AF4EF4"/>
    <w:rsid w:val="00AF4F74"/>
    <w:rsid w:val="00AF4F80"/>
    <w:rsid w:val="00AF4FC5"/>
    <w:rsid w:val="00AF4FEE"/>
    <w:rsid w:val="00AF502F"/>
    <w:rsid w:val="00AF5033"/>
    <w:rsid w:val="00AF5062"/>
    <w:rsid w:val="00AF507F"/>
    <w:rsid w:val="00AF50AE"/>
    <w:rsid w:val="00AF50DC"/>
    <w:rsid w:val="00AF5104"/>
    <w:rsid w:val="00AF517F"/>
    <w:rsid w:val="00AF51BF"/>
    <w:rsid w:val="00AF51D0"/>
    <w:rsid w:val="00AF51D4"/>
    <w:rsid w:val="00AF51D6"/>
    <w:rsid w:val="00AF51E7"/>
    <w:rsid w:val="00AF51F5"/>
    <w:rsid w:val="00AF5200"/>
    <w:rsid w:val="00AF520C"/>
    <w:rsid w:val="00AF522F"/>
    <w:rsid w:val="00AF52BB"/>
    <w:rsid w:val="00AF5325"/>
    <w:rsid w:val="00AF532A"/>
    <w:rsid w:val="00AF542F"/>
    <w:rsid w:val="00AF5454"/>
    <w:rsid w:val="00AF5468"/>
    <w:rsid w:val="00AF54A2"/>
    <w:rsid w:val="00AF54F3"/>
    <w:rsid w:val="00AF54FF"/>
    <w:rsid w:val="00AF5525"/>
    <w:rsid w:val="00AF5553"/>
    <w:rsid w:val="00AF5573"/>
    <w:rsid w:val="00AF55D1"/>
    <w:rsid w:val="00AF5654"/>
    <w:rsid w:val="00AF5662"/>
    <w:rsid w:val="00AF5678"/>
    <w:rsid w:val="00AF5710"/>
    <w:rsid w:val="00AF5734"/>
    <w:rsid w:val="00AF57BE"/>
    <w:rsid w:val="00AF57DC"/>
    <w:rsid w:val="00AF5857"/>
    <w:rsid w:val="00AF58EC"/>
    <w:rsid w:val="00AF59C0"/>
    <w:rsid w:val="00AF59F4"/>
    <w:rsid w:val="00AF5A1B"/>
    <w:rsid w:val="00AF5AA7"/>
    <w:rsid w:val="00AF5ACE"/>
    <w:rsid w:val="00AF5B2E"/>
    <w:rsid w:val="00AF5B85"/>
    <w:rsid w:val="00AF5BC9"/>
    <w:rsid w:val="00AF5BCA"/>
    <w:rsid w:val="00AF5BEA"/>
    <w:rsid w:val="00AF5BF8"/>
    <w:rsid w:val="00AF5C12"/>
    <w:rsid w:val="00AF5C2F"/>
    <w:rsid w:val="00AF5CA4"/>
    <w:rsid w:val="00AF5CD8"/>
    <w:rsid w:val="00AF5CE5"/>
    <w:rsid w:val="00AF5D26"/>
    <w:rsid w:val="00AF5D45"/>
    <w:rsid w:val="00AF5D7B"/>
    <w:rsid w:val="00AF5E38"/>
    <w:rsid w:val="00AF5EB8"/>
    <w:rsid w:val="00AF5EC7"/>
    <w:rsid w:val="00AF5EE6"/>
    <w:rsid w:val="00AF5F10"/>
    <w:rsid w:val="00AF5F59"/>
    <w:rsid w:val="00AF5F99"/>
    <w:rsid w:val="00AF5FDB"/>
    <w:rsid w:val="00AF5FDF"/>
    <w:rsid w:val="00AF5FF9"/>
    <w:rsid w:val="00AF6015"/>
    <w:rsid w:val="00AF616A"/>
    <w:rsid w:val="00AF6180"/>
    <w:rsid w:val="00AF6193"/>
    <w:rsid w:val="00AF61F8"/>
    <w:rsid w:val="00AF620C"/>
    <w:rsid w:val="00AF6232"/>
    <w:rsid w:val="00AF628D"/>
    <w:rsid w:val="00AF63AC"/>
    <w:rsid w:val="00AF63BB"/>
    <w:rsid w:val="00AF6429"/>
    <w:rsid w:val="00AF642C"/>
    <w:rsid w:val="00AF6462"/>
    <w:rsid w:val="00AF647B"/>
    <w:rsid w:val="00AF6485"/>
    <w:rsid w:val="00AF649B"/>
    <w:rsid w:val="00AF64BA"/>
    <w:rsid w:val="00AF64D8"/>
    <w:rsid w:val="00AF6526"/>
    <w:rsid w:val="00AF6555"/>
    <w:rsid w:val="00AF65CE"/>
    <w:rsid w:val="00AF65F0"/>
    <w:rsid w:val="00AF6614"/>
    <w:rsid w:val="00AF6680"/>
    <w:rsid w:val="00AF6702"/>
    <w:rsid w:val="00AF6709"/>
    <w:rsid w:val="00AF6755"/>
    <w:rsid w:val="00AF67F6"/>
    <w:rsid w:val="00AF684B"/>
    <w:rsid w:val="00AF68D3"/>
    <w:rsid w:val="00AF6917"/>
    <w:rsid w:val="00AF6918"/>
    <w:rsid w:val="00AF69D8"/>
    <w:rsid w:val="00AF6B19"/>
    <w:rsid w:val="00AF6BBE"/>
    <w:rsid w:val="00AF6BF2"/>
    <w:rsid w:val="00AF6C10"/>
    <w:rsid w:val="00AF6C77"/>
    <w:rsid w:val="00AF6CBF"/>
    <w:rsid w:val="00AF6CC9"/>
    <w:rsid w:val="00AF6D12"/>
    <w:rsid w:val="00AF6D20"/>
    <w:rsid w:val="00AF6D3D"/>
    <w:rsid w:val="00AF6D46"/>
    <w:rsid w:val="00AF6D53"/>
    <w:rsid w:val="00AF6D65"/>
    <w:rsid w:val="00AF6DD3"/>
    <w:rsid w:val="00AF6DEE"/>
    <w:rsid w:val="00AF6E1C"/>
    <w:rsid w:val="00AF6E73"/>
    <w:rsid w:val="00AF6E9A"/>
    <w:rsid w:val="00AF6F2E"/>
    <w:rsid w:val="00AF6F70"/>
    <w:rsid w:val="00AF6FB2"/>
    <w:rsid w:val="00AF703E"/>
    <w:rsid w:val="00AF70B7"/>
    <w:rsid w:val="00AF710D"/>
    <w:rsid w:val="00AF7123"/>
    <w:rsid w:val="00AF718D"/>
    <w:rsid w:val="00AF71CA"/>
    <w:rsid w:val="00AF71D0"/>
    <w:rsid w:val="00AF7225"/>
    <w:rsid w:val="00AF7232"/>
    <w:rsid w:val="00AF7291"/>
    <w:rsid w:val="00AF72A6"/>
    <w:rsid w:val="00AF72C7"/>
    <w:rsid w:val="00AF735E"/>
    <w:rsid w:val="00AF738E"/>
    <w:rsid w:val="00AF7395"/>
    <w:rsid w:val="00AF73CB"/>
    <w:rsid w:val="00AF73EC"/>
    <w:rsid w:val="00AF7405"/>
    <w:rsid w:val="00AF7523"/>
    <w:rsid w:val="00AF7529"/>
    <w:rsid w:val="00AF7548"/>
    <w:rsid w:val="00AF75D9"/>
    <w:rsid w:val="00AF7619"/>
    <w:rsid w:val="00AF7649"/>
    <w:rsid w:val="00AF76AB"/>
    <w:rsid w:val="00AF7798"/>
    <w:rsid w:val="00AF77C3"/>
    <w:rsid w:val="00AF77E8"/>
    <w:rsid w:val="00AF785F"/>
    <w:rsid w:val="00AF7876"/>
    <w:rsid w:val="00AF7886"/>
    <w:rsid w:val="00AF788D"/>
    <w:rsid w:val="00AF78F7"/>
    <w:rsid w:val="00AF7900"/>
    <w:rsid w:val="00AF7931"/>
    <w:rsid w:val="00AF79A3"/>
    <w:rsid w:val="00AF79C1"/>
    <w:rsid w:val="00AF79C6"/>
    <w:rsid w:val="00AF7A67"/>
    <w:rsid w:val="00AF7AB4"/>
    <w:rsid w:val="00AF7AC3"/>
    <w:rsid w:val="00AF7B65"/>
    <w:rsid w:val="00AF7B9F"/>
    <w:rsid w:val="00AF7BAF"/>
    <w:rsid w:val="00AF7BB9"/>
    <w:rsid w:val="00AF7C74"/>
    <w:rsid w:val="00AF7C81"/>
    <w:rsid w:val="00AF7CDA"/>
    <w:rsid w:val="00AF7D6B"/>
    <w:rsid w:val="00AF7D92"/>
    <w:rsid w:val="00AF7E80"/>
    <w:rsid w:val="00AF7E9D"/>
    <w:rsid w:val="00AF7F15"/>
    <w:rsid w:val="00AF7F56"/>
    <w:rsid w:val="00AF7FA3"/>
    <w:rsid w:val="00AF7FCC"/>
    <w:rsid w:val="00B00001"/>
    <w:rsid w:val="00B0000C"/>
    <w:rsid w:val="00B0008B"/>
    <w:rsid w:val="00B00093"/>
    <w:rsid w:val="00B000B8"/>
    <w:rsid w:val="00B000E5"/>
    <w:rsid w:val="00B000EC"/>
    <w:rsid w:val="00B001E0"/>
    <w:rsid w:val="00B0021A"/>
    <w:rsid w:val="00B0027C"/>
    <w:rsid w:val="00B002B2"/>
    <w:rsid w:val="00B002CA"/>
    <w:rsid w:val="00B002DD"/>
    <w:rsid w:val="00B002F5"/>
    <w:rsid w:val="00B003A4"/>
    <w:rsid w:val="00B003BE"/>
    <w:rsid w:val="00B003DA"/>
    <w:rsid w:val="00B003DE"/>
    <w:rsid w:val="00B0044F"/>
    <w:rsid w:val="00B00480"/>
    <w:rsid w:val="00B004DD"/>
    <w:rsid w:val="00B00500"/>
    <w:rsid w:val="00B00515"/>
    <w:rsid w:val="00B00647"/>
    <w:rsid w:val="00B00653"/>
    <w:rsid w:val="00B006DA"/>
    <w:rsid w:val="00B00727"/>
    <w:rsid w:val="00B00736"/>
    <w:rsid w:val="00B0076D"/>
    <w:rsid w:val="00B0077B"/>
    <w:rsid w:val="00B00785"/>
    <w:rsid w:val="00B00792"/>
    <w:rsid w:val="00B007D9"/>
    <w:rsid w:val="00B00839"/>
    <w:rsid w:val="00B008A5"/>
    <w:rsid w:val="00B008C4"/>
    <w:rsid w:val="00B0094D"/>
    <w:rsid w:val="00B00995"/>
    <w:rsid w:val="00B009A7"/>
    <w:rsid w:val="00B00AA7"/>
    <w:rsid w:val="00B00ABC"/>
    <w:rsid w:val="00B00AC0"/>
    <w:rsid w:val="00B00B1F"/>
    <w:rsid w:val="00B00BE9"/>
    <w:rsid w:val="00B00C0F"/>
    <w:rsid w:val="00B00C7D"/>
    <w:rsid w:val="00B00D28"/>
    <w:rsid w:val="00B00D3A"/>
    <w:rsid w:val="00B00D40"/>
    <w:rsid w:val="00B00D4E"/>
    <w:rsid w:val="00B00D6A"/>
    <w:rsid w:val="00B00D94"/>
    <w:rsid w:val="00B00DBB"/>
    <w:rsid w:val="00B00E0E"/>
    <w:rsid w:val="00B00E3B"/>
    <w:rsid w:val="00B00E46"/>
    <w:rsid w:val="00B00E7B"/>
    <w:rsid w:val="00B00EB8"/>
    <w:rsid w:val="00B01002"/>
    <w:rsid w:val="00B01013"/>
    <w:rsid w:val="00B01037"/>
    <w:rsid w:val="00B0106C"/>
    <w:rsid w:val="00B0111E"/>
    <w:rsid w:val="00B0116D"/>
    <w:rsid w:val="00B0117B"/>
    <w:rsid w:val="00B011D8"/>
    <w:rsid w:val="00B01224"/>
    <w:rsid w:val="00B01231"/>
    <w:rsid w:val="00B0123A"/>
    <w:rsid w:val="00B01257"/>
    <w:rsid w:val="00B0126A"/>
    <w:rsid w:val="00B0136F"/>
    <w:rsid w:val="00B0137E"/>
    <w:rsid w:val="00B0138A"/>
    <w:rsid w:val="00B013AE"/>
    <w:rsid w:val="00B01409"/>
    <w:rsid w:val="00B01569"/>
    <w:rsid w:val="00B0156A"/>
    <w:rsid w:val="00B015EA"/>
    <w:rsid w:val="00B0160E"/>
    <w:rsid w:val="00B0165D"/>
    <w:rsid w:val="00B0168B"/>
    <w:rsid w:val="00B0176D"/>
    <w:rsid w:val="00B017AF"/>
    <w:rsid w:val="00B017B2"/>
    <w:rsid w:val="00B01823"/>
    <w:rsid w:val="00B018A4"/>
    <w:rsid w:val="00B0194C"/>
    <w:rsid w:val="00B0199E"/>
    <w:rsid w:val="00B019B0"/>
    <w:rsid w:val="00B019E0"/>
    <w:rsid w:val="00B019EF"/>
    <w:rsid w:val="00B01A34"/>
    <w:rsid w:val="00B01A42"/>
    <w:rsid w:val="00B01A47"/>
    <w:rsid w:val="00B01A6B"/>
    <w:rsid w:val="00B01A92"/>
    <w:rsid w:val="00B01B74"/>
    <w:rsid w:val="00B01B8D"/>
    <w:rsid w:val="00B01BA0"/>
    <w:rsid w:val="00B01BD4"/>
    <w:rsid w:val="00B01BE3"/>
    <w:rsid w:val="00B01C3C"/>
    <w:rsid w:val="00B01C44"/>
    <w:rsid w:val="00B01CBF"/>
    <w:rsid w:val="00B01DBA"/>
    <w:rsid w:val="00B01DBC"/>
    <w:rsid w:val="00B01E1E"/>
    <w:rsid w:val="00B01EA7"/>
    <w:rsid w:val="00B01EB6"/>
    <w:rsid w:val="00B01EBD"/>
    <w:rsid w:val="00B01ED2"/>
    <w:rsid w:val="00B01F14"/>
    <w:rsid w:val="00B01F2B"/>
    <w:rsid w:val="00B01FB7"/>
    <w:rsid w:val="00B02094"/>
    <w:rsid w:val="00B020A1"/>
    <w:rsid w:val="00B02151"/>
    <w:rsid w:val="00B02257"/>
    <w:rsid w:val="00B0225A"/>
    <w:rsid w:val="00B02299"/>
    <w:rsid w:val="00B023D1"/>
    <w:rsid w:val="00B023FC"/>
    <w:rsid w:val="00B0247A"/>
    <w:rsid w:val="00B024A4"/>
    <w:rsid w:val="00B0252B"/>
    <w:rsid w:val="00B02533"/>
    <w:rsid w:val="00B02548"/>
    <w:rsid w:val="00B02560"/>
    <w:rsid w:val="00B0256B"/>
    <w:rsid w:val="00B02577"/>
    <w:rsid w:val="00B025B3"/>
    <w:rsid w:val="00B025C0"/>
    <w:rsid w:val="00B025E5"/>
    <w:rsid w:val="00B025E6"/>
    <w:rsid w:val="00B025F0"/>
    <w:rsid w:val="00B0268C"/>
    <w:rsid w:val="00B026C0"/>
    <w:rsid w:val="00B026EF"/>
    <w:rsid w:val="00B02710"/>
    <w:rsid w:val="00B02714"/>
    <w:rsid w:val="00B0271B"/>
    <w:rsid w:val="00B02797"/>
    <w:rsid w:val="00B027BB"/>
    <w:rsid w:val="00B02824"/>
    <w:rsid w:val="00B02828"/>
    <w:rsid w:val="00B028CE"/>
    <w:rsid w:val="00B0291D"/>
    <w:rsid w:val="00B02948"/>
    <w:rsid w:val="00B02967"/>
    <w:rsid w:val="00B029DC"/>
    <w:rsid w:val="00B029F6"/>
    <w:rsid w:val="00B029FC"/>
    <w:rsid w:val="00B02A08"/>
    <w:rsid w:val="00B02A8B"/>
    <w:rsid w:val="00B02AA5"/>
    <w:rsid w:val="00B02ADA"/>
    <w:rsid w:val="00B02B0B"/>
    <w:rsid w:val="00B02B1C"/>
    <w:rsid w:val="00B02B73"/>
    <w:rsid w:val="00B02B9E"/>
    <w:rsid w:val="00B02BD7"/>
    <w:rsid w:val="00B02C1E"/>
    <w:rsid w:val="00B02C20"/>
    <w:rsid w:val="00B02CCC"/>
    <w:rsid w:val="00B02D0D"/>
    <w:rsid w:val="00B02D23"/>
    <w:rsid w:val="00B02D47"/>
    <w:rsid w:val="00B02DDC"/>
    <w:rsid w:val="00B02E38"/>
    <w:rsid w:val="00B02E54"/>
    <w:rsid w:val="00B02E94"/>
    <w:rsid w:val="00B02EA4"/>
    <w:rsid w:val="00B02EAC"/>
    <w:rsid w:val="00B02EC7"/>
    <w:rsid w:val="00B02EFB"/>
    <w:rsid w:val="00B02EFE"/>
    <w:rsid w:val="00B02F95"/>
    <w:rsid w:val="00B03058"/>
    <w:rsid w:val="00B03066"/>
    <w:rsid w:val="00B030A1"/>
    <w:rsid w:val="00B030B0"/>
    <w:rsid w:val="00B030CC"/>
    <w:rsid w:val="00B030D0"/>
    <w:rsid w:val="00B03129"/>
    <w:rsid w:val="00B03165"/>
    <w:rsid w:val="00B0318F"/>
    <w:rsid w:val="00B031A4"/>
    <w:rsid w:val="00B03206"/>
    <w:rsid w:val="00B03213"/>
    <w:rsid w:val="00B03274"/>
    <w:rsid w:val="00B03280"/>
    <w:rsid w:val="00B032D7"/>
    <w:rsid w:val="00B032E6"/>
    <w:rsid w:val="00B032EF"/>
    <w:rsid w:val="00B0333E"/>
    <w:rsid w:val="00B0336F"/>
    <w:rsid w:val="00B03457"/>
    <w:rsid w:val="00B03471"/>
    <w:rsid w:val="00B034B0"/>
    <w:rsid w:val="00B034C9"/>
    <w:rsid w:val="00B03516"/>
    <w:rsid w:val="00B03555"/>
    <w:rsid w:val="00B0358B"/>
    <w:rsid w:val="00B035C4"/>
    <w:rsid w:val="00B03700"/>
    <w:rsid w:val="00B0373C"/>
    <w:rsid w:val="00B03768"/>
    <w:rsid w:val="00B03797"/>
    <w:rsid w:val="00B037D8"/>
    <w:rsid w:val="00B03834"/>
    <w:rsid w:val="00B03835"/>
    <w:rsid w:val="00B03875"/>
    <w:rsid w:val="00B03889"/>
    <w:rsid w:val="00B03898"/>
    <w:rsid w:val="00B03904"/>
    <w:rsid w:val="00B03919"/>
    <w:rsid w:val="00B0391B"/>
    <w:rsid w:val="00B03941"/>
    <w:rsid w:val="00B03942"/>
    <w:rsid w:val="00B03946"/>
    <w:rsid w:val="00B0394C"/>
    <w:rsid w:val="00B03978"/>
    <w:rsid w:val="00B03979"/>
    <w:rsid w:val="00B039E0"/>
    <w:rsid w:val="00B039F4"/>
    <w:rsid w:val="00B03A30"/>
    <w:rsid w:val="00B03AAA"/>
    <w:rsid w:val="00B03AC4"/>
    <w:rsid w:val="00B03ADE"/>
    <w:rsid w:val="00B03AF3"/>
    <w:rsid w:val="00B03BE2"/>
    <w:rsid w:val="00B03BE3"/>
    <w:rsid w:val="00B03C3C"/>
    <w:rsid w:val="00B03CBB"/>
    <w:rsid w:val="00B03CC8"/>
    <w:rsid w:val="00B03CDB"/>
    <w:rsid w:val="00B03CEE"/>
    <w:rsid w:val="00B03D2C"/>
    <w:rsid w:val="00B03D34"/>
    <w:rsid w:val="00B03D3D"/>
    <w:rsid w:val="00B03D5B"/>
    <w:rsid w:val="00B03D8F"/>
    <w:rsid w:val="00B03DC1"/>
    <w:rsid w:val="00B03DD6"/>
    <w:rsid w:val="00B03DEE"/>
    <w:rsid w:val="00B03DF2"/>
    <w:rsid w:val="00B03DFC"/>
    <w:rsid w:val="00B03E28"/>
    <w:rsid w:val="00B03E30"/>
    <w:rsid w:val="00B03E90"/>
    <w:rsid w:val="00B03F55"/>
    <w:rsid w:val="00B03F84"/>
    <w:rsid w:val="00B0400E"/>
    <w:rsid w:val="00B04025"/>
    <w:rsid w:val="00B04070"/>
    <w:rsid w:val="00B04081"/>
    <w:rsid w:val="00B0408D"/>
    <w:rsid w:val="00B0417D"/>
    <w:rsid w:val="00B04195"/>
    <w:rsid w:val="00B04210"/>
    <w:rsid w:val="00B04268"/>
    <w:rsid w:val="00B04286"/>
    <w:rsid w:val="00B042FD"/>
    <w:rsid w:val="00B04304"/>
    <w:rsid w:val="00B04346"/>
    <w:rsid w:val="00B0438A"/>
    <w:rsid w:val="00B0439B"/>
    <w:rsid w:val="00B04404"/>
    <w:rsid w:val="00B0448D"/>
    <w:rsid w:val="00B04491"/>
    <w:rsid w:val="00B044AB"/>
    <w:rsid w:val="00B044B4"/>
    <w:rsid w:val="00B044BC"/>
    <w:rsid w:val="00B044D2"/>
    <w:rsid w:val="00B04533"/>
    <w:rsid w:val="00B04564"/>
    <w:rsid w:val="00B04592"/>
    <w:rsid w:val="00B04595"/>
    <w:rsid w:val="00B045A9"/>
    <w:rsid w:val="00B04613"/>
    <w:rsid w:val="00B04649"/>
    <w:rsid w:val="00B046AC"/>
    <w:rsid w:val="00B046BB"/>
    <w:rsid w:val="00B046E7"/>
    <w:rsid w:val="00B04745"/>
    <w:rsid w:val="00B04760"/>
    <w:rsid w:val="00B047AA"/>
    <w:rsid w:val="00B047FD"/>
    <w:rsid w:val="00B04805"/>
    <w:rsid w:val="00B04814"/>
    <w:rsid w:val="00B0486C"/>
    <w:rsid w:val="00B048F0"/>
    <w:rsid w:val="00B04955"/>
    <w:rsid w:val="00B04995"/>
    <w:rsid w:val="00B04997"/>
    <w:rsid w:val="00B04A29"/>
    <w:rsid w:val="00B04A2C"/>
    <w:rsid w:val="00B04A7B"/>
    <w:rsid w:val="00B04A7D"/>
    <w:rsid w:val="00B04A84"/>
    <w:rsid w:val="00B04ACE"/>
    <w:rsid w:val="00B04B01"/>
    <w:rsid w:val="00B04B07"/>
    <w:rsid w:val="00B04B34"/>
    <w:rsid w:val="00B04B59"/>
    <w:rsid w:val="00B04B80"/>
    <w:rsid w:val="00B04C7D"/>
    <w:rsid w:val="00B04C8D"/>
    <w:rsid w:val="00B04C91"/>
    <w:rsid w:val="00B04D7F"/>
    <w:rsid w:val="00B04D99"/>
    <w:rsid w:val="00B04DBD"/>
    <w:rsid w:val="00B04DFA"/>
    <w:rsid w:val="00B04E39"/>
    <w:rsid w:val="00B04E6C"/>
    <w:rsid w:val="00B04F9A"/>
    <w:rsid w:val="00B04FA9"/>
    <w:rsid w:val="00B050FE"/>
    <w:rsid w:val="00B0510D"/>
    <w:rsid w:val="00B05135"/>
    <w:rsid w:val="00B05195"/>
    <w:rsid w:val="00B051B2"/>
    <w:rsid w:val="00B051DC"/>
    <w:rsid w:val="00B0522D"/>
    <w:rsid w:val="00B05251"/>
    <w:rsid w:val="00B05270"/>
    <w:rsid w:val="00B05274"/>
    <w:rsid w:val="00B052BD"/>
    <w:rsid w:val="00B05341"/>
    <w:rsid w:val="00B05347"/>
    <w:rsid w:val="00B05350"/>
    <w:rsid w:val="00B0538E"/>
    <w:rsid w:val="00B053C2"/>
    <w:rsid w:val="00B05407"/>
    <w:rsid w:val="00B05433"/>
    <w:rsid w:val="00B05476"/>
    <w:rsid w:val="00B0549A"/>
    <w:rsid w:val="00B054D9"/>
    <w:rsid w:val="00B05587"/>
    <w:rsid w:val="00B055E2"/>
    <w:rsid w:val="00B05618"/>
    <w:rsid w:val="00B0567B"/>
    <w:rsid w:val="00B056AF"/>
    <w:rsid w:val="00B05717"/>
    <w:rsid w:val="00B057CB"/>
    <w:rsid w:val="00B057F9"/>
    <w:rsid w:val="00B05821"/>
    <w:rsid w:val="00B0586F"/>
    <w:rsid w:val="00B058A6"/>
    <w:rsid w:val="00B058D2"/>
    <w:rsid w:val="00B05930"/>
    <w:rsid w:val="00B059A4"/>
    <w:rsid w:val="00B059C1"/>
    <w:rsid w:val="00B059DA"/>
    <w:rsid w:val="00B05A11"/>
    <w:rsid w:val="00B05A2C"/>
    <w:rsid w:val="00B05AA7"/>
    <w:rsid w:val="00B05AAB"/>
    <w:rsid w:val="00B05AC8"/>
    <w:rsid w:val="00B05B2B"/>
    <w:rsid w:val="00B05B2E"/>
    <w:rsid w:val="00B05B74"/>
    <w:rsid w:val="00B05BB4"/>
    <w:rsid w:val="00B05BBD"/>
    <w:rsid w:val="00B05C13"/>
    <w:rsid w:val="00B05C16"/>
    <w:rsid w:val="00B05C20"/>
    <w:rsid w:val="00B05C21"/>
    <w:rsid w:val="00B05C34"/>
    <w:rsid w:val="00B05C5D"/>
    <w:rsid w:val="00B05CBA"/>
    <w:rsid w:val="00B05CF2"/>
    <w:rsid w:val="00B05D05"/>
    <w:rsid w:val="00B05D16"/>
    <w:rsid w:val="00B05DA3"/>
    <w:rsid w:val="00B05E2D"/>
    <w:rsid w:val="00B05ECA"/>
    <w:rsid w:val="00B05F5E"/>
    <w:rsid w:val="00B05F5F"/>
    <w:rsid w:val="00B05F89"/>
    <w:rsid w:val="00B05FF7"/>
    <w:rsid w:val="00B05FFC"/>
    <w:rsid w:val="00B06059"/>
    <w:rsid w:val="00B0606A"/>
    <w:rsid w:val="00B0609B"/>
    <w:rsid w:val="00B060B5"/>
    <w:rsid w:val="00B0614B"/>
    <w:rsid w:val="00B06166"/>
    <w:rsid w:val="00B061A2"/>
    <w:rsid w:val="00B061B0"/>
    <w:rsid w:val="00B0623B"/>
    <w:rsid w:val="00B06240"/>
    <w:rsid w:val="00B06281"/>
    <w:rsid w:val="00B062B7"/>
    <w:rsid w:val="00B062B8"/>
    <w:rsid w:val="00B062C5"/>
    <w:rsid w:val="00B063B6"/>
    <w:rsid w:val="00B063DE"/>
    <w:rsid w:val="00B063F6"/>
    <w:rsid w:val="00B0640E"/>
    <w:rsid w:val="00B0647A"/>
    <w:rsid w:val="00B064AF"/>
    <w:rsid w:val="00B064B3"/>
    <w:rsid w:val="00B064BF"/>
    <w:rsid w:val="00B064C4"/>
    <w:rsid w:val="00B0653E"/>
    <w:rsid w:val="00B06644"/>
    <w:rsid w:val="00B06676"/>
    <w:rsid w:val="00B06724"/>
    <w:rsid w:val="00B06737"/>
    <w:rsid w:val="00B06760"/>
    <w:rsid w:val="00B0683E"/>
    <w:rsid w:val="00B06861"/>
    <w:rsid w:val="00B0689C"/>
    <w:rsid w:val="00B0694B"/>
    <w:rsid w:val="00B06951"/>
    <w:rsid w:val="00B06968"/>
    <w:rsid w:val="00B06983"/>
    <w:rsid w:val="00B069EE"/>
    <w:rsid w:val="00B06A03"/>
    <w:rsid w:val="00B06A2A"/>
    <w:rsid w:val="00B06A30"/>
    <w:rsid w:val="00B06A6F"/>
    <w:rsid w:val="00B06ACE"/>
    <w:rsid w:val="00B06AD3"/>
    <w:rsid w:val="00B06B24"/>
    <w:rsid w:val="00B06B55"/>
    <w:rsid w:val="00B06B83"/>
    <w:rsid w:val="00B06BFE"/>
    <w:rsid w:val="00B06C12"/>
    <w:rsid w:val="00B06C5D"/>
    <w:rsid w:val="00B06C6D"/>
    <w:rsid w:val="00B06C7F"/>
    <w:rsid w:val="00B06D95"/>
    <w:rsid w:val="00B06DAB"/>
    <w:rsid w:val="00B06DB9"/>
    <w:rsid w:val="00B06DD2"/>
    <w:rsid w:val="00B06E3B"/>
    <w:rsid w:val="00B06E3D"/>
    <w:rsid w:val="00B06ED2"/>
    <w:rsid w:val="00B06F39"/>
    <w:rsid w:val="00B07002"/>
    <w:rsid w:val="00B07028"/>
    <w:rsid w:val="00B0708A"/>
    <w:rsid w:val="00B070DE"/>
    <w:rsid w:val="00B070F6"/>
    <w:rsid w:val="00B07120"/>
    <w:rsid w:val="00B07172"/>
    <w:rsid w:val="00B07195"/>
    <w:rsid w:val="00B0724E"/>
    <w:rsid w:val="00B07275"/>
    <w:rsid w:val="00B072AE"/>
    <w:rsid w:val="00B07375"/>
    <w:rsid w:val="00B073ED"/>
    <w:rsid w:val="00B07429"/>
    <w:rsid w:val="00B07469"/>
    <w:rsid w:val="00B07488"/>
    <w:rsid w:val="00B074D1"/>
    <w:rsid w:val="00B074FC"/>
    <w:rsid w:val="00B07539"/>
    <w:rsid w:val="00B07552"/>
    <w:rsid w:val="00B0755B"/>
    <w:rsid w:val="00B07564"/>
    <w:rsid w:val="00B07666"/>
    <w:rsid w:val="00B076A0"/>
    <w:rsid w:val="00B076AA"/>
    <w:rsid w:val="00B076D5"/>
    <w:rsid w:val="00B07713"/>
    <w:rsid w:val="00B07718"/>
    <w:rsid w:val="00B0773C"/>
    <w:rsid w:val="00B07741"/>
    <w:rsid w:val="00B07769"/>
    <w:rsid w:val="00B077F3"/>
    <w:rsid w:val="00B078D3"/>
    <w:rsid w:val="00B0791D"/>
    <w:rsid w:val="00B07933"/>
    <w:rsid w:val="00B07A08"/>
    <w:rsid w:val="00B07A32"/>
    <w:rsid w:val="00B07A4C"/>
    <w:rsid w:val="00B07A6F"/>
    <w:rsid w:val="00B07AB7"/>
    <w:rsid w:val="00B07AC3"/>
    <w:rsid w:val="00B07ACD"/>
    <w:rsid w:val="00B07AF6"/>
    <w:rsid w:val="00B07B0E"/>
    <w:rsid w:val="00B07B21"/>
    <w:rsid w:val="00B07BC5"/>
    <w:rsid w:val="00B07BCC"/>
    <w:rsid w:val="00B07C2A"/>
    <w:rsid w:val="00B07CBC"/>
    <w:rsid w:val="00B07CCC"/>
    <w:rsid w:val="00B07CEB"/>
    <w:rsid w:val="00B07D5B"/>
    <w:rsid w:val="00B07DA8"/>
    <w:rsid w:val="00B07EC0"/>
    <w:rsid w:val="00B07F1A"/>
    <w:rsid w:val="00B07F28"/>
    <w:rsid w:val="00B07F63"/>
    <w:rsid w:val="00B07FAE"/>
    <w:rsid w:val="00B07FD5"/>
    <w:rsid w:val="00B10044"/>
    <w:rsid w:val="00B10059"/>
    <w:rsid w:val="00B10092"/>
    <w:rsid w:val="00B1009B"/>
    <w:rsid w:val="00B10135"/>
    <w:rsid w:val="00B10165"/>
    <w:rsid w:val="00B10189"/>
    <w:rsid w:val="00B101A7"/>
    <w:rsid w:val="00B10257"/>
    <w:rsid w:val="00B1028E"/>
    <w:rsid w:val="00B102CB"/>
    <w:rsid w:val="00B102DC"/>
    <w:rsid w:val="00B102EB"/>
    <w:rsid w:val="00B1031A"/>
    <w:rsid w:val="00B1034E"/>
    <w:rsid w:val="00B10350"/>
    <w:rsid w:val="00B1038F"/>
    <w:rsid w:val="00B103BC"/>
    <w:rsid w:val="00B103D0"/>
    <w:rsid w:val="00B1043F"/>
    <w:rsid w:val="00B10470"/>
    <w:rsid w:val="00B104FF"/>
    <w:rsid w:val="00B10528"/>
    <w:rsid w:val="00B1052E"/>
    <w:rsid w:val="00B105AF"/>
    <w:rsid w:val="00B105BC"/>
    <w:rsid w:val="00B1062C"/>
    <w:rsid w:val="00B10652"/>
    <w:rsid w:val="00B1067D"/>
    <w:rsid w:val="00B106D9"/>
    <w:rsid w:val="00B106E5"/>
    <w:rsid w:val="00B10705"/>
    <w:rsid w:val="00B10708"/>
    <w:rsid w:val="00B1082D"/>
    <w:rsid w:val="00B108B7"/>
    <w:rsid w:val="00B108F5"/>
    <w:rsid w:val="00B108F9"/>
    <w:rsid w:val="00B108FD"/>
    <w:rsid w:val="00B109A1"/>
    <w:rsid w:val="00B109E4"/>
    <w:rsid w:val="00B10A7D"/>
    <w:rsid w:val="00B10ABF"/>
    <w:rsid w:val="00B10B22"/>
    <w:rsid w:val="00B10B5A"/>
    <w:rsid w:val="00B10C62"/>
    <w:rsid w:val="00B10C81"/>
    <w:rsid w:val="00B10CDD"/>
    <w:rsid w:val="00B10D4E"/>
    <w:rsid w:val="00B10DAF"/>
    <w:rsid w:val="00B10DF1"/>
    <w:rsid w:val="00B10E08"/>
    <w:rsid w:val="00B10E0F"/>
    <w:rsid w:val="00B10E52"/>
    <w:rsid w:val="00B10EB2"/>
    <w:rsid w:val="00B10ED1"/>
    <w:rsid w:val="00B10F10"/>
    <w:rsid w:val="00B10F21"/>
    <w:rsid w:val="00B10F26"/>
    <w:rsid w:val="00B10F67"/>
    <w:rsid w:val="00B10FA8"/>
    <w:rsid w:val="00B10FE6"/>
    <w:rsid w:val="00B11012"/>
    <w:rsid w:val="00B11043"/>
    <w:rsid w:val="00B11062"/>
    <w:rsid w:val="00B11079"/>
    <w:rsid w:val="00B1107A"/>
    <w:rsid w:val="00B11104"/>
    <w:rsid w:val="00B1112A"/>
    <w:rsid w:val="00B11181"/>
    <w:rsid w:val="00B1118F"/>
    <w:rsid w:val="00B111C7"/>
    <w:rsid w:val="00B111FB"/>
    <w:rsid w:val="00B11267"/>
    <w:rsid w:val="00B1127C"/>
    <w:rsid w:val="00B11286"/>
    <w:rsid w:val="00B11298"/>
    <w:rsid w:val="00B1129A"/>
    <w:rsid w:val="00B1129D"/>
    <w:rsid w:val="00B112C1"/>
    <w:rsid w:val="00B112C2"/>
    <w:rsid w:val="00B11332"/>
    <w:rsid w:val="00B11353"/>
    <w:rsid w:val="00B1141F"/>
    <w:rsid w:val="00B11423"/>
    <w:rsid w:val="00B1142F"/>
    <w:rsid w:val="00B11453"/>
    <w:rsid w:val="00B1146E"/>
    <w:rsid w:val="00B1151E"/>
    <w:rsid w:val="00B1153D"/>
    <w:rsid w:val="00B11543"/>
    <w:rsid w:val="00B11545"/>
    <w:rsid w:val="00B1155D"/>
    <w:rsid w:val="00B1159E"/>
    <w:rsid w:val="00B11659"/>
    <w:rsid w:val="00B11671"/>
    <w:rsid w:val="00B1168D"/>
    <w:rsid w:val="00B116CA"/>
    <w:rsid w:val="00B11713"/>
    <w:rsid w:val="00B11781"/>
    <w:rsid w:val="00B11800"/>
    <w:rsid w:val="00B11805"/>
    <w:rsid w:val="00B1184F"/>
    <w:rsid w:val="00B118D4"/>
    <w:rsid w:val="00B118F2"/>
    <w:rsid w:val="00B11901"/>
    <w:rsid w:val="00B1199C"/>
    <w:rsid w:val="00B119B8"/>
    <w:rsid w:val="00B11A0A"/>
    <w:rsid w:val="00B11A6C"/>
    <w:rsid w:val="00B11AC6"/>
    <w:rsid w:val="00B11AD3"/>
    <w:rsid w:val="00B11B58"/>
    <w:rsid w:val="00B11B62"/>
    <w:rsid w:val="00B11B9C"/>
    <w:rsid w:val="00B11CFE"/>
    <w:rsid w:val="00B11D21"/>
    <w:rsid w:val="00B11D8C"/>
    <w:rsid w:val="00B11EFA"/>
    <w:rsid w:val="00B11F2F"/>
    <w:rsid w:val="00B11F85"/>
    <w:rsid w:val="00B11FD9"/>
    <w:rsid w:val="00B12018"/>
    <w:rsid w:val="00B1202C"/>
    <w:rsid w:val="00B12044"/>
    <w:rsid w:val="00B12051"/>
    <w:rsid w:val="00B12082"/>
    <w:rsid w:val="00B120B7"/>
    <w:rsid w:val="00B120D2"/>
    <w:rsid w:val="00B120E4"/>
    <w:rsid w:val="00B120E6"/>
    <w:rsid w:val="00B1215B"/>
    <w:rsid w:val="00B12174"/>
    <w:rsid w:val="00B12252"/>
    <w:rsid w:val="00B12294"/>
    <w:rsid w:val="00B12297"/>
    <w:rsid w:val="00B122AD"/>
    <w:rsid w:val="00B122C2"/>
    <w:rsid w:val="00B123F1"/>
    <w:rsid w:val="00B1240E"/>
    <w:rsid w:val="00B12491"/>
    <w:rsid w:val="00B125F2"/>
    <w:rsid w:val="00B1261A"/>
    <w:rsid w:val="00B12624"/>
    <w:rsid w:val="00B12648"/>
    <w:rsid w:val="00B12691"/>
    <w:rsid w:val="00B12737"/>
    <w:rsid w:val="00B127CA"/>
    <w:rsid w:val="00B127F7"/>
    <w:rsid w:val="00B12800"/>
    <w:rsid w:val="00B12847"/>
    <w:rsid w:val="00B1284D"/>
    <w:rsid w:val="00B1285F"/>
    <w:rsid w:val="00B12880"/>
    <w:rsid w:val="00B12942"/>
    <w:rsid w:val="00B12969"/>
    <w:rsid w:val="00B12976"/>
    <w:rsid w:val="00B12992"/>
    <w:rsid w:val="00B129C4"/>
    <w:rsid w:val="00B12A3E"/>
    <w:rsid w:val="00B12AA2"/>
    <w:rsid w:val="00B12B38"/>
    <w:rsid w:val="00B12C29"/>
    <w:rsid w:val="00B12C59"/>
    <w:rsid w:val="00B12CB7"/>
    <w:rsid w:val="00B12D13"/>
    <w:rsid w:val="00B12D43"/>
    <w:rsid w:val="00B12D4B"/>
    <w:rsid w:val="00B12D74"/>
    <w:rsid w:val="00B12DF0"/>
    <w:rsid w:val="00B12DF8"/>
    <w:rsid w:val="00B12E45"/>
    <w:rsid w:val="00B12E4E"/>
    <w:rsid w:val="00B12E84"/>
    <w:rsid w:val="00B12EAB"/>
    <w:rsid w:val="00B12F4F"/>
    <w:rsid w:val="00B12F7B"/>
    <w:rsid w:val="00B1302B"/>
    <w:rsid w:val="00B1304F"/>
    <w:rsid w:val="00B130D8"/>
    <w:rsid w:val="00B130E0"/>
    <w:rsid w:val="00B1313B"/>
    <w:rsid w:val="00B13151"/>
    <w:rsid w:val="00B1316B"/>
    <w:rsid w:val="00B13173"/>
    <w:rsid w:val="00B131A6"/>
    <w:rsid w:val="00B1321C"/>
    <w:rsid w:val="00B13224"/>
    <w:rsid w:val="00B13230"/>
    <w:rsid w:val="00B13233"/>
    <w:rsid w:val="00B13289"/>
    <w:rsid w:val="00B132E5"/>
    <w:rsid w:val="00B132FE"/>
    <w:rsid w:val="00B13330"/>
    <w:rsid w:val="00B13367"/>
    <w:rsid w:val="00B13369"/>
    <w:rsid w:val="00B133B1"/>
    <w:rsid w:val="00B133B9"/>
    <w:rsid w:val="00B133DA"/>
    <w:rsid w:val="00B133E6"/>
    <w:rsid w:val="00B133E9"/>
    <w:rsid w:val="00B1340F"/>
    <w:rsid w:val="00B13534"/>
    <w:rsid w:val="00B13537"/>
    <w:rsid w:val="00B13542"/>
    <w:rsid w:val="00B1354F"/>
    <w:rsid w:val="00B1355F"/>
    <w:rsid w:val="00B135EC"/>
    <w:rsid w:val="00B13602"/>
    <w:rsid w:val="00B13643"/>
    <w:rsid w:val="00B13650"/>
    <w:rsid w:val="00B13669"/>
    <w:rsid w:val="00B1372C"/>
    <w:rsid w:val="00B1373E"/>
    <w:rsid w:val="00B137D0"/>
    <w:rsid w:val="00B138C5"/>
    <w:rsid w:val="00B13942"/>
    <w:rsid w:val="00B13986"/>
    <w:rsid w:val="00B139C3"/>
    <w:rsid w:val="00B13A04"/>
    <w:rsid w:val="00B13A1E"/>
    <w:rsid w:val="00B13A41"/>
    <w:rsid w:val="00B13A7F"/>
    <w:rsid w:val="00B13AA3"/>
    <w:rsid w:val="00B13C5E"/>
    <w:rsid w:val="00B13CB2"/>
    <w:rsid w:val="00B13CBA"/>
    <w:rsid w:val="00B13CC0"/>
    <w:rsid w:val="00B13CF4"/>
    <w:rsid w:val="00B13CF8"/>
    <w:rsid w:val="00B13D24"/>
    <w:rsid w:val="00B13D46"/>
    <w:rsid w:val="00B13D92"/>
    <w:rsid w:val="00B13E20"/>
    <w:rsid w:val="00B13E43"/>
    <w:rsid w:val="00B13E46"/>
    <w:rsid w:val="00B13F1C"/>
    <w:rsid w:val="00B13F72"/>
    <w:rsid w:val="00B13FF0"/>
    <w:rsid w:val="00B140EF"/>
    <w:rsid w:val="00B14164"/>
    <w:rsid w:val="00B14187"/>
    <w:rsid w:val="00B141A4"/>
    <w:rsid w:val="00B141B6"/>
    <w:rsid w:val="00B1420A"/>
    <w:rsid w:val="00B14242"/>
    <w:rsid w:val="00B14337"/>
    <w:rsid w:val="00B14366"/>
    <w:rsid w:val="00B143D1"/>
    <w:rsid w:val="00B143D3"/>
    <w:rsid w:val="00B143E1"/>
    <w:rsid w:val="00B14440"/>
    <w:rsid w:val="00B14471"/>
    <w:rsid w:val="00B145B2"/>
    <w:rsid w:val="00B145DF"/>
    <w:rsid w:val="00B14610"/>
    <w:rsid w:val="00B1469F"/>
    <w:rsid w:val="00B146D2"/>
    <w:rsid w:val="00B146E7"/>
    <w:rsid w:val="00B146FC"/>
    <w:rsid w:val="00B1479F"/>
    <w:rsid w:val="00B147C4"/>
    <w:rsid w:val="00B147E2"/>
    <w:rsid w:val="00B14829"/>
    <w:rsid w:val="00B1482C"/>
    <w:rsid w:val="00B148D6"/>
    <w:rsid w:val="00B1494B"/>
    <w:rsid w:val="00B14953"/>
    <w:rsid w:val="00B14957"/>
    <w:rsid w:val="00B14985"/>
    <w:rsid w:val="00B14996"/>
    <w:rsid w:val="00B14A07"/>
    <w:rsid w:val="00B14A84"/>
    <w:rsid w:val="00B14ACC"/>
    <w:rsid w:val="00B14B7E"/>
    <w:rsid w:val="00B14B8F"/>
    <w:rsid w:val="00B14BB0"/>
    <w:rsid w:val="00B14BC9"/>
    <w:rsid w:val="00B14BDE"/>
    <w:rsid w:val="00B14C47"/>
    <w:rsid w:val="00B14D3A"/>
    <w:rsid w:val="00B14D43"/>
    <w:rsid w:val="00B14D96"/>
    <w:rsid w:val="00B14DA7"/>
    <w:rsid w:val="00B14DF5"/>
    <w:rsid w:val="00B14E13"/>
    <w:rsid w:val="00B14E35"/>
    <w:rsid w:val="00B14E3C"/>
    <w:rsid w:val="00B14E71"/>
    <w:rsid w:val="00B14E8A"/>
    <w:rsid w:val="00B14F18"/>
    <w:rsid w:val="00B14F90"/>
    <w:rsid w:val="00B14FD4"/>
    <w:rsid w:val="00B150A0"/>
    <w:rsid w:val="00B150C8"/>
    <w:rsid w:val="00B151D3"/>
    <w:rsid w:val="00B151E4"/>
    <w:rsid w:val="00B151FB"/>
    <w:rsid w:val="00B15210"/>
    <w:rsid w:val="00B15220"/>
    <w:rsid w:val="00B1525B"/>
    <w:rsid w:val="00B1528E"/>
    <w:rsid w:val="00B152BF"/>
    <w:rsid w:val="00B152ED"/>
    <w:rsid w:val="00B152F0"/>
    <w:rsid w:val="00B15348"/>
    <w:rsid w:val="00B1535B"/>
    <w:rsid w:val="00B15382"/>
    <w:rsid w:val="00B15437"/>
    <w:rsid w:val="00B15464"/>
    <w:rsid w:val="00B154E2"/>
    <w:rsid w:val="00B154EE"/>
    <w:rsid w:val="00B1553E"/>
    <w:rsid w:val="00B1558F"/>
    <w:rsid w:val="00B155C4"/>
    <w:rsid w:val="00B155E6"/>
    <w:rsid w:val="00B15631"/>
    <w:rsid w:val="00B1567E"/>
    <w:rsid w:val="00B156F3"/>
    <w:rsid w:val="00B15735"/>
    <w:rsid w:val="00B15742"/>
    <w:rsid w:val="00B15745"/>
    <w:rsid w:val="00B1574A"/>
    <w:rsid w:val="00B15785"/>
    <w:rsid w:val="00B157F4"/>
    <w:rsid w:val="00B1582C"/>
    <w:rsid w:val="00B15838"/>
    <w:rsid w:val="00B158A4"/>
    <w:rsid w:val="00B1590A"/>
    <w:rsid w:val="00B15910"/>
    <w:rsid w:val="00B15AAE"/>
    <w:rsid w:val="00B15B55"/>
    <w:rsid w:val="00B15B6E"/>
    <w:rsid w:val="00B15BBD"/>
    <w:rsid w:val="00B15BD1"/>
    <w:rsid w:val="00B15C1F"/>
    <w:rsid w:val="00B15C3F"/>
    <w:rsid w:val="00B15C6F"/>
    <w:rsid w:val="00B15C70"/>
    <w:rsid w:val="00B15CE0"/>
    <w:rsid w:val="00B15DEF"/>
    <w:rsid w:val="00B15E0F"/>
    <w:rsid w:val="00B15E1A"/>
    <w:rsid w:val="00B15EA1"/>
    <w:rsid w:val="00B15ECA"/>
    <w:rsid w:val="00B15ED6"/>
    <w:rsid w:val="00B15F43"/>
    <w:rsid w:val="00B15F5E"/>
    <w:rsid w:val="00B15FDB"/>
    <w:rsid w:val="00B15FF1"/>
    <w:rsid w:val="00B1600A"/>
    <w:rsid w:val="00B1602D"/>
    <w:rsid w:val="00B1605B"/>
    <w:rsid w:val="00B160B8"/>
    <w:rsid w:val="00B160F8"/>
    <w:rsid w:val="00B161C4"/>
    <w:rsid w:val="00B1622D"/>
    <w:rsid w:val="00B16232"/>
    <w:rsid w:val="00B16270"/>
    <w:rsid w:val="00B162EF"/>
    <w:rsid w:val="00B16329"/>
    <w:rsid w:val="00B16340"/>
    <w:rsid w:val="00B16372"/>
    <w:rsid w:val="00B163B8"/>
    <w:rsid w:val="00B163E5"/>
    <w:rsid w:val="00B1641E"/>
    <w:rsid w:val="00B1641F"/>
    <w:rsid w:val="00B1643F"/>
    <w:rsid w:val="00B164AC"/>
    <w:rsid w:val="00B16504"/>
    <w:rsid w:val="00B1651B"/>
    <w:rsid w:val="00B1651C"/>
    <w:rsid w:val="00B16542"/>
    <w:rsid w:val="00B16551"/>
    <w:rsid w:val="00B1656B"/>
    <w:rsid w:val="00B16615"/>
    <w:rsid w:val="00B16674"/>
    <w:rsid w:val="00B166E5"/>
    <w:rsid w:val="00B166F9"/>
    <w:rsid w:val="00B16704"/>
    <w:rsid w:val="00B1670E"/>
    <w:rsid w:val="00B1673C"/>
    <w:rsid w:val="00B16752"/>
    <w:rsid w:val="00B1676E"/>
    <w:rsid w:val="00B167A4"/>
    <w:rsid w:val="00B167AA"/>
    <w:rsid w:val="00B167F8"/>
    <w:rsid w:val="00B167FF"/>
    <w:rsid w:val="00B1682A"/>
    <w:rsid w:val="00B168F3"/>
    <w:rsid w:val="00B16973"/>
    <w:rsid w:val="00B16A5F"/>
    <w:rsid w:val="00B16B28"/>
    <w:rsid w:val="00B16B4F"/>
    <w:rsid w:val="00B16B54"/>
    <w:rsid w:val="00B16BFB"/>
    <w:rsid w:val="00B16C00"/>
    <w:rsid w:val="00B16C59"/>
    <w:rsid w:val="00B16C97"/>
    <w:rsid w:val="00B16C9B"/>
    <w:rsid w:val="00B16CEE"/>
    <w:rsid w:val="00B16D2A"/>
    <w:rsid w:val="00B16D2F"/>
    <w:rsid w:val="00B16D31"/>
    <w:rsid w:val="00B16DA0"/>
    <w:rsid w:val="00B16E35"/>
    <w:rsid w:val="00B16E56"/>
    <w:rsid w:val="00B16E74"/>
    <w:rsid w:val="00B16E99"/>
    <w:rsid w:val="00B16EA0"/>
    <w:rsid w:val="00B16F3E"/>
    <w:rsid w:val="00B16F54"/>
    <w:rsid w:val="00B16FBA"/>
    <w:rsid w:val="00B16FED"/>
    <w:rsid w:val="00B17089"/>
    <w:rsid w:val="00B170B8"/>
    <w:rsid w:val="00B1710E"/>
    <w:rsid w:val="00B17124"/>
    <w:rsid w:val="00B171E4"/>
    <w:rsid w:val="00B172A7"/>
    <w:rsid w:val="00B172EF"/>
    <w:rsid w:val="00B172FE"/>
    <w:rsid w:val="00B1731B"/>
    <w:rsid w:val="00B17329"/>
    <w:rsid w:val="00B17333"/>
    <w:rsid w:val="00B173A7"/>
    <w:rsid w:val="00B173FB"/>
    <w:rsid w:val="00B1748B"/>
    <w:rsid w:val="00B174E8"/>
    <w:rsid w:val="00B17582"/>
    <w:rsid w:val="00B175D8"/>
    <w:rsid w:val="00B17627"/>
    <w:rsid w:val="00B1777A"/>
    <w:rsid w:val="00B177DF"/>
    <w:rsid w:val="00B17823"/>
    <w:rsid w:val="00B17865"/>
    <w:rsid w:val="00B17884"/>
    <w:rsid w:val="00B1789E"/>
    <w:rsid w:val="00B17902"/>
    <w:rsid w:val="00B17A71"/>
    <w:rsid w:val="00B17A9A"/>
    <w:rsid w:val="00B17B36"/>
    <w:rsid w:val="00B17B69"/>
    <w:rsid w:val="00B17B73"/>
    <w:rsid w:val="00B17BA2"/>
    <w:rsid w:val="00B17BD9"/>
    <w:rsid w:val="00B17C05"/>
    <w:rsid w:val="00B17C54"/>
    <w:rsid w:val="00B17C6E"/>
    <w:rsid w:val="00B17C80"/>
    <w:rsid w:val="00B17C94"/>
    <w:rsid w:val="00B17CE7"/>
    <w:rsid w:val="00B17D24"/>
    <w:rsid w:val="00B17D33"/>
    <w:rsid w:val="00B17D52"/>
    <w:rsid w:val="00B17D7A"/>
    <w:rsid w:val="00B17D96"/>
    <w:rsid w:val="00B17DBA"/>
    <w:rsid w:val="00B17DDC"/>
    <w:rsid w:val="00B17E5B"/>
    <w:rsid w:val="00B17E63"/>
    <w:rsid w:val="00B17ED8"/>
    <w:rsid w:val="00B17EDE"/>
    <w:rsid w:val="00B17F14"/>
    <w:rsid w:val="00B17F74"/>
    <w:rsid w:val="00B17FF9"/>
    <w:rsid w:val="00B20009"/>
    <w:rsid w:val="00B20036"/>
    <w:rsid w:val="00B20052"/>
    <w:rsid w:val="00B2006B"/>
    <w:rsid w:val="00B2009E"/>
    <w:rsid w:val="00B20155"/>
    <w:rsid w:val="00B2015B"/>
    <w:rsid w:val="00B20182"/>
    <w:rsid w:val="00B201A6"/>
    <w:rsid w:val="00B20200"/>
    <w:rsid w:val="00B202C5"/>
    <w:rsid w:val="00B202DB"/>
    <w:rsid w:val="00B202E6"/>
    <w:rsid w:val="00B2030C"/>
    <w:rsid w:val="00B20319"/>
    <w:rsid w:val="00B2031E"/>
    <w:rsid w:val="00B20388"/>
    <w:rsid w:val="00B203BB"/>
    <w:rsid w:val="00B203CD"/>
    <w:rsid w:val="00B203D3"/>
    <w:rsid w:val="00B20416"/>
    <w:rsid w:val="00B20434"/>
    <w:rsid w:val="00B20449"/>
    <w:rsid w:val="00B2047F"/>
    <w:rsid w:val="00B20502"/>
    <w:rsid w:val="00B2056A"/>
    <w:rsid w:val="00B20594"/>
    <w:rsid w:val="00B205C5"/>
    <w:rsid w:val="00B205D7"/>
    <w:rsid w:val="00B205F2"/>
    <w:rsid w:val="00B205FF"/>
    <w:rsid w:val="00B20612"/>
    <w:rsid w:val="00B20691"/>
    <w:rsid w:val="00B206A1"/>
    <w:rsid w:val="00B20708"/>
    <w:rsid w:val="00B2073A"/>
    <w:rsid w:val="00B20766"/>
    <w:rsid w:val="00B2078F"/>
    <w:rsid w:val="00B20790"/>
    <w:rsid w:val="00B20805"/>
    <w:rsid w:val="00B208E0"/>
    <w:rsid w:val="00B209A9"/>
    <w:rsid w:val="00B20A01"/>
    <w:rsid w:val="00B20A26"/>
    <w:rsid w:val="00B20A27"/>
    <w:rsid w:val="00B20A67"/>
    <w:rsid w:val="00B20AC6"/>
    <w:rsid w:val="00B20AEF"/>
    <w:rsid w:val="00B20AFB"/>
    <w:rsid w:val="00B20B45"/>
    <w:rsid w:val="00B20B6B"/>
    <w:rsid w:val="00B20C4A"/>
    <w:rsid w:val="00B20C79"/>
    <w:rsid w:val="00B20CD9"/>
    <w:rsid w:val="00B20CF1"/>
    <w:rsid w:val="00B20D30"/>
    <w:rsid w:val="00B20DAE"/>
    <w:rsid w:val="00B20DDA"/>
    <w:rsid w:val="00B20DEE"/>
    <w:rsid w:val="00B20E35"/>
    <w:rsid w:val="00B20E44"/>
    <w:rsid w:val="00B20EA4"/>
    <w:rsid w:val="00B20F5F"/>
    <w:rsid w:val="00B20F6A"/>
    <w:rsid w:val="00B20F85"/>
    <w:rsid w:val="00B20FAC"/>
    <w:rsid w:val="00B20FFB"/>
    <w:rsid w:val="00B2106A"/>
    <w:rsid w:val="00B2106E"/>
    <w:rsid w:val="00B210DC"/>
    <w:rsid w:val="00B21102"/>
    <w:rsid w:val="00B21134"/>
    <w:rsid w:val="00B21162"/>
    <w:rsid w:val="00B2123C"/>
    <w:rsid w:val="00B212B0"/>
    <w:rsid w:val="00B2138C"/>
    <w:rsid w:val="00B21398"/>
    <w:rsid w:val="00B213AC"/>
    <w:rsid w:val="00B213FC"/>
    <w:rsid w:val="00B21418"/>
    <w:rsid w:val="00B214B7"/>
    <w:rsid w:val="00B21555"/>
    <w:rsid w:val="00B215A5"/>
    <w:rsid w:val="00B215AC"/>
    <w:rsid w:val="00B2161C"/>
    <w:rsid w:val="00B216AD"/>
    <w:rsid w:val="00B216F8"/>
    <w:rsid w:val="00B216FF"/>
    <w:rsid w:val="00B21700"/>
    <w:rsid w:val="00B21713"/>
    <w:rsid w:val="00B21758"/>
    <w:rsid w:val="00B21777"/>
    <w:rsid w:val="00B217D2"/>
    <w:rsid w:val="00B2184C"/>
    <w:rsid w:val="00B21877"/>
    <w:rsid w:val="00B21922"/>
    <w:rsid w:val="00B21990"/>
    <w:rsid w:val="00B21998"/>
    <w:rsid w:val="00B219F8"/>
    <w:rsid w:val="00B21A26"/>
    <w:rsid w:val="00B21A64"/>
    <w:rsid w:val="00B21A77"/>
    <w:rsid w:val="00B21AB0"/>
    <w:rsid w:val="00B21AB2"/>
    <w:rsid w:val="00B21B07"/>
    <w:rsid w:val="00B21B0D"/>
    <w:rsid w:val="00B21B88"/>
    <w:rsid w:val="00B21C4C"/>
    <w:rsid w:val="00B21C61"/>
    <w:rsid w:val="00B21C6E"/>
    <w:rsid w:val="00B21C91"/>
    <w:rsid w:val="00B21D1F"/>
    <w:rsid w:val="00B21D59"/>
    <w:rsid w:val="00B21D93"/>
    <w:rsid w:val="00B21DCC"/>
    <w:rsid w:val="00B21DF1"/>
    <w:rsid w:val="00B21DFF"/>
    <w:rsid w:val="00B21E54"/>
    <w:rsid w:val="00B21EA8"/>
    <w:rsid w:val="00B21EDF"/>
    <w:rsid w:val="00B21F15"/>
    <w:rsid w:val="00B21F99"/>
    <w:rsid w:val="00B21FB1"/>
    <w:rsid w:val="00B220C9"/>
    <w:rsid w:val="00B220CC"/>
    <w:rsid w:val="00B220CD"/>
    <w:rsid w:val="00B220DF"/>
    <w:rsid w:val="00B22108"/>
    <w:rsid w:val="00B2211C"/>
    <w:rsid w:val="00B2219A"/>
    <w:rsid w:val="00B221C5"/>
    <w:rsid w:val="00B221E1"/>
    <w:rsid w:val="00B22200"/>
    <w:rsid w:val="00B22397"/>
    <w:rsid w:val="00B223C5"/>
    <w:rsid w:val="00B2243C"/>
    <w:rsid w:val="00B22451"/>
    <w:rsid w:val="00B2245F"/>
    <w:rsid w:val="00B224A9"/>
    <w:rsid w:val="00B224B2"/>
    <w:rsid w:val="00B224F5"/>
    <w:rsid w:val="00B2254A"/>
    <w:rsid w:val="00B225B4"/>
    <w:rsid w:val="00B225D9"/>
    <w:rsid w:val="00B225E3"/>
    <w:rsid w:val="00B22624"/>
    <w:rsid w:val="00B2264B"/>
    <w:rsid w:val="00B226AD"/>
    <w:rsid w:val="00B226B4"/>
    <w:rsid w:val="00B226D4"/>
    <w:rsid w:val="00B226E7"/>
    <w:rsid w:val="00B226FE"/>
    <w:rsid w:val="00B22782"/>
    <w:rsid w:val="00B2283A"/>
    <w:rsid w:val="00B22842"/>
    <w:rsid w:val="00B2284E"/>
    <w:rsid w:val="00B2286B"/>
    <w:rsid w:val="00B22870"/>
    <w:rsid w:val="00B22877"/>
    <w:rsid w:val="00B228F5"/>
    <w:rsid w:val="00B22900"/>
    <w:rsid w:val="00B2292D"/>
    <w:rsid w:val="00B2293D"/>
    <w:rsid w:val="00B2296D"/>
    <w:rsid w:val="00B229A2"/>
    <w:rsid w:val="00B229AA"/>
    <w:rsid w:val="00B229DE"/>
    <w:rsid w:val="00B22A14"/>
    <w:rsid w:val="00B22A22"/>
    <w:rsid w:val="00B22A26"/>
    <w:rsid w:val="00B22A38"/>
    <w:rsid w:val="00B22A70"/>
    <w:rsid w:val="00B22AD0"/>
    <w:rsid w:val="00B22B2E"/>
    <w:rsid w:val="00B22B3D"/>
    <w:rsid w:val="00B22B98"/>
    <w:rsid w:val="00B22BBB"/>
    <w:rsid w:val="00B22C41"/>
    <w:rsid w:val="00B22C52"/>
    <w:rsid w:val="00B22D15"/>
    <w:rsid w:val="00B22DF4"/>
    <w:rsid w:val="00B22E37"/>
    <w:rsid w:val="00B22E71"/>
    <w:rsid w:val="00B22E9B"/>
    <w:rsid w:val="00B22EC8"/>
    <w:rsid w:val="00B22F27"/>
    <w:rsid w:val="00B22FF7"/>
    <w:rsid w:val="00B23007"/>
    <w:rsid w:val="00B230C1"/>
    <w:rsid w:val="00B2312B"/>
    <w:rsid w:val="00B23188"/>
    <w:rsid w:val="00B231DD"/>
    <w:rsid w:val="00B23228"/>
    <w:rsid w:val="00B23264"/>
    <w:rsid w:val="00B23321"/>
    <w:rsid w:val="00B23334"/>
    <w:rsid w:val="00B23337"/>
    <w:rsid w:val="00B2341D"/>
    <w:rsid w:val="00B2343F"/>
    <w:rsid w:val="00B234BC"/>
    <w:rsid w:val="00B23520"/>
    <w:rsid w:val="00B235A4"/>
    <w:rsid w:val="00B23650"/>
    <w:rsid w:val="00B236B6"/>
    <w:rsid w:val="00B23710"/>
    <w:rsid w:val="00B2372C"/>
    <w:rsid w:val="00B23771"/>
    <w:rsid w:val="00B23790"/>
    <w:rsid w:val="00B23844"/>
    <w:rsid w:val="00B2385E"/>
    <w:rsid w:val="00B23874"/>
    <w:rsid w:val="00B23882"/>
    <w:rsid w:val="00B23891"/>
    <w:rsid w:val="00B238E8"/>
    <w:rsid w:val="00B23923"/>
    <w:rsid w:val="00B23958"/>
    <w:rsid w:val="00B239D5"/>
    <w:rsid w:val="00B23A20"/>
    <w:rsid w:val="00B23A3E"/>
    <w:rsid w:val="00B23A50"/>
    <w:rsid w:val="00B23A6A"/>
    <w:rsid w:val="00B23A9B"/>
    <w:rsid w:val="00B23A9C"/>
    <w:rsid w:val="00B23AC5"/>
    <w:rsid w:val="00B23AE7"/>
    <w:rsid w:val="00B23B0B"/>
    <w:rsid w:val="00B23B0D"/>
    <w:rsid w:val="00B23B73"/>
    <w:rsid w:val="00B23B9B"/>
    <w:rsid w:val="00B23BA5"/>
    <w:rsid w:val="00B23BB0"/>
    <w:rsid w:val="00B23C19"/>
    <w:rsid w:val="00B23C59"/>
    <w:rsid w:val="00B23CE1"/>
    <w:rsid w:val="00B23CF9"/>
    <w:rsid w:val="00B23D37"/>
    <w:rsid w:val="00B23E05"/>
    <w:rsid w:val="00B23E22"/>
    <w:rsid w:val="00B23F06"/>
    <w:rsid w:val="00B23F80"/>
    <w:rsid w:val="00B23FAB"/>
    <w:rsid w:val="00B2402E"/>
    <w:rsid w:val="00B24030"/>
    <w:rsid w:val="00B24049"/>
    <w:rsid w:val="00B24065"/>
    <w:rsid w:val="00B2407B"/>
    <w:rsid w:val="00B240A5"/>
    <w:rsid w:val="00B240DD"/>
    <w:rsid w:val="00B2411E"/>
    <w:rsid w:val="00B24138"/>
    <w:rsid w:val="00B2414E"/>
    <w:rsid w:val="00B24227"/>
    <w:rsid w:val="00B242C4"/>
    <w:rsid w:val="00B242CA"/>
    <w:rsid w:val="00B243FE"/>
    <w:rsid w:val="00B24434"/>
    <w:rsid w:val="00B2444B"/>
    <w:rsid w:val="00B24466"/>
    <w:rsid w:val="00B244AE"/>
    <w:rsid w:val="00B244CE"/>
    <w:rsid w:val="00B244EE"/>
    <w:rsid w:val="00B24504"/>
    <w:rsid w:val="00B24545"/>
    <w:rsid w:val="00B24569"/>
    <w:rsid w:val="00B245B1"/>
    <w:rsid w:val="00B24601"/>
    <w:rsid w:val="00B2462A"/>
    <w:rsid w:val="00B24664"/>
    <w:rsid w:val="00B246A6"/>
    <w:rsid w:val="00B246BC"/>
    <w:rsid w:val="00B24731"/>
    <w:rsid w:val="00B24750"/>
    <w:rsid w:val="00B24814"/>
    <w:rsid w:val="00B24842"/>
    <w:rsid w:val="00B248B4"/>
    <w:rsid w:val="00B248F2"/>
    <w:rsid w:val="00B24954"/>
    <w:rsid w:val="00B249B8"/>
    <w:rsid w:val="00B249D3"/>
    <w:rsid w:val="00B249F0"/>
    <w:rsid w:val="00B24A15"/>
    <w:rsid w:val="00B24A3C"/>
    <w:rsid w:val="00B24A78"/>
    <w:rsid w:val="00B24ABD"/>
    <w:rsid w:val="00B24B19"/>
    <w:rsid w:val="00B24C64"/>
    <w:rsid w:val="00B24C7A"/>
    <w:rsid w:val="00B24CAC"/>
    <w:rsid w:val="00B24D51"/>
    <w:rsid w:val="00B24EAD"/>
    <w:rsid w:val="00B24F71"/>
    <w:rsid w:val="00B24F87"/>
    <w:rsid w:val="00B24F96"/>
    <w:rsid w:val="00B24FBB"/>
    <w:rsid w:val="00B2502C"/>
    <w:rsid w:val="00B2518A"/>
    <w:rsid w:val="00B251CF"/>
    <w:rsid w:val="00B251F2"/>
    <w:rsid w:val="00B25225"/>
    <w:rsid w:val="00B25232"/>
    <w:rsid w:val="00B2524F"/>
    <w:rsid w:val="00B2526A"/>
    <w:rsid w:val="00B252B1"/>
    <w:rsid w:val="00B252C6"/>
    <w:rsid w:val="00B252E2"/>
    <w:rsid w:val="00B25301"/>
    <w:rsid w:val="00B25306"/>
    <w:rsid w:val="00B2538C"/>
    <w:rsid w:val="00B25393"/>
    <w:rsid w:val="00B253EF"/>
    <w:rsid w:val="00B25427"/>
    <w:rsid w:val="00B2548E"/>
    <w:rsid w:val="00B254AD"/>
    <w:rsid w:val="00B25535"/>
    <w:rsid w:val="00B255CB"/>
    <w:rsid w:val="00B255D7"/>
    <w:rsid w:val="00B2568A"/>
    <w:rsid w:val="00B256CF"/>
    <w:rsid w:val="00B256DE"/>
    <w:rsid w:val="00B2572C"/>
    <w:rsid w:val="00B2574D"/>
    <w:rsid w:val="00B25772"/>
    <w:rsid w:val="00B257A8"/>
    <w:rsid w:val="00B257BC"/>
    <w:rsid w:val="00B2586D"/>
    <w:rsid w:val="00B2588E"/>
    <w:rsid w:val="00B258A6"/>
    <w:rsid w:val="00B258BE"/>
    <w:rsid w:val="00B258C2"/>
    <w:rsid w:val="00B258E3"/>
    <w:rsid w:val="00B2590B"/>
    <w:rsid w:val="00B25990"/>
    <w:rsid w:val="00B25AFB"/>
    <w:rsid w:val="00B25B35"/>
    <w:rsid w:val="00B25B69"/>
    <w:rsid w:val="00B25B72"/>
    <w:rsid w:val="00B25C22"/>
    <w:rsid w:val="00B25C4A"/>
    <w:rsid w:val="00B25C7F"/>
    <w:rsid w:val="00B25C9D"/>
    <w:rsid w:val="00B25CA6"/>
    <w:rsid w:val="00B25CE6"/>
    <w:rsid w:val="00B25D5E"/>
    <w:rsid w:val="00B25D77"/>
    <w:rsid w:val="00B25DB6"/>
    <w:rsid w:val="00B25DFD"/>
    <w:rsid w:val="00B25E13"/>
    <w:rsid w:val="00B25E19"/>
    <w:rsid w:val="00B25E3F"/>
    <w:rsid w:val="00B25E5B"/>
    <w:rsid w:val="00B25F2B"/>
    <w:rsid w:val="00B25F9D"/>
    <w:rsid w:val="00B25FC6"/>
    <w:rsid w:val="00B2604C"/>
    <w:rsid w:val="00B26127"/>
    <w:rsid w:val="00B26154"/>
    <w:rsid w:val="00B2616F"/>
    <w:rsid w:val="00B26174"/>
    <w:rsid w:val="00B261CA"/>
    <w:rsid w:val="00B261FE"/>
    <w:rsid w:val="00B26278"/>
    <w:rsid w:val="00B26283"/>
    <w:rsid w:val="00B26288"/>
    <w:rsid w:val="00B262D4"/>
    <w:rsid w:val="00B262FE"/>
    <w:rsid w:val="00B2635C"/>
    <w:rsid w:val="00B2639B"/>
    <w:rsid w:val="00B263E6"/>
    <w:rsid w:val="00B26431"/>
    <w:rsid w:val="00B26440"/>
    <w:rsid w:val="00B26465"/>
    <w:rsid w:val="00B2649F"/>
    <w:rsid w:val="00B264BC"/>
    <w:rsid w:val="00B264CB"/>
    <w:rsid w:val="00B2653A"/>
    <w:rsid w:val="00B26591"/>
    <w:rsid w:val="00B265CB"/>
    <w:rsid w:val="00B265F5"/>
    <w:rsid w:val="00B26615"/>
    <w:rsid w:val="00B26633"/>
    <w:rsid w:val="00B2664C"/>
    <w:rsid w:val="00B266BC"/>
    <w:rsid w:val="00B2676B"/>
    <w:rsid w:val="00B26782"/>
    <w:rsid w:val="00B26805"/>
    <w:rsid w:val="00B2680B"/>
    <w:rsid w:val="00B26814"/>
    <w:rsid w:val="00B2688D"/>
    <w:rsid w:val="00B2691A"/>
    <w:rsid w:val="00B26977"/>
    <w:rsid w:val="00B2699B"/>
    <w:rsid w:val="00B269A2"/>
    <w:rsid w:val="00B269C5"/>
    <w:rsid w:val="00B269C7"/>
    <w:rsid w:val="00B26A49"/>
    <w:rsid w:val="00B26A88"/>
    <w:rsid w:val="00B26AB1"/>
    <w:rsid w:val="00B26AE7"/>
    <w:rsid w:val="00B26AF7"/>
    <w:rsid w:val="00B26B08"/>
    <w:rsid w:val="00B26B2A"/>
    <w:rsid w:val="00B26B36"/>
    <w:rsid w:val="00B26BDC"/>
    <w:rsid w:val="00B26C13"/>
    <w:rsid w:val="00B26C14"/>
    <w:rsid w:val="00B26C25"/>
    <w:rsid w:val="00B26C8C"/>
    <w:rsid w:val="00B26CAE"/>
    <w:rsid w:val="00B26D34"/>
    <w:rsid w:val="00B26D76"/>
    <w:rsid w:val="00B26D8A"/>
    <w:rsid w:val="00B26DE1"/>
    <w:rsid w:val="00B26E78"/>
    <w:rsid w:val="00B26E82"/>
    <w:rsid w:val="00B26EB6"/>
    <w:rsid w:val="00B26ECB"/>
    <w:rsid w:val="00B26F3C"/>
    <w:rsid w:val="00B26F4D"/>
    <w:rsid w:val="00B26F62"/>
    <w:rsid w:val="00B26F76"/>
    <w:rsid w:val="00B26FB5"/>
    <w:rsid w:val="00B26FBD"/>
    <w:rsid w:val="00B26FE6"/>
    <w:rsid w:val="00B26FF0"/>
    <w:rsid w:val="00B27034"/>
    <w:rsid w:val="00B270D0"/>
    <w:rsid w:val="00B270E0"/>
    <w:rsid w:val="00B27132"/>
    <w:rsid w:val="00B271AB"/>
    <w:rsid w:val="00B27214"/>
    <w:rsid w:val="00B2727E"/>
    <w:rsid w:val="00B272AE"/>
    <w:rsid w:val="00B27332"/>
    <w:rsid w:val="00B273AD"/>
    <w:rsid w:val="00B273BA"/>
    <w:rsid w:val="00B273C8"/>
    <w:rsid w:val="00B27417"/>
    <w:rsid w:val="00B27433"/>
    <w:rsid w:val="00B27458"/>
    <w:rsid w:val="00B27464"/>
    <w:rsid w:val="00B2747E"/>
    <w:rsid w:val="00B274B1"/>
    <w:rsid w:val="00B274ED"/>
    <w:rsid w:val="00B274FC"/>
    <w:rsid w:val="00B275EA"/>
    <w:rsid w:val="00B2769B"/>
    <w:rsid w:val="00B276DC"/>
    <w:rsid w:val="00B277C0"/>
    <w:rsid w:val="00B277D3"/>
    <w:rsid w:val="00B277E8"/>
    <w:rsid w:val="00B278E3"/>
    <w:rsid w:val="00B2797F"/>
    <w:rsid w:val="00B2798D"/>
    <w:rsid w:val="00B27991"/>
    <w:rsid w:val="00B279B7"/>
    <w:rsid w:val="00B279E2"/>
    <w:rsid w:val="00B279F5"/>
    <w:rsid w:val="00B27A12"/>
    <w:rsid w:val="00B27B34"/>
    <w:rsid w:val="00B27B78"/>
    <w:rsid w:val="00B27B7A"/>
    <w:rsid w:val="00B27BDF"/>
    <w:rsid w:val="00B27C01"/>
    <w:rsid w:val="00B27C52"/>
    <w:rsid w:val="00B27C5B"/>
    <w:rsid w:val="00B27C68"/>
    <w:rsid w:val="00B27CA8"/>
    <w:rsid w:val="00B27CD8"/>
    <w:rsid w:val="00B27CE8"/>
    <w:rsid w:val="00B27D69"/>
    <w:rsid w:val="00B27DF4"/>
    <w:rsid w:val="00B27E9C"/>
    <w:rsid w:val="00B27EA4"/>
    <w:rsid w:val="00B27EF0"/>
    <w:rsid w:val="00B27F47"/>
    <w:rsid w:val="00B27F6F"/>
    <w:rsid w:val="00B27FAF"/>
    <w:rsid w:val="00B27FBC"/>
    <w:rsid w:val="00B30028"/>
    <w:rsid w:val="00B30029"/>
    <w:rsid w:val="00B30060"/>
    <w:rsid w:val="00B30074"/>
    <w:rsid w:val="00B300B3"/>
    <w:rsid w:val="00B300BF"/>
    <w:rsid w:val="00B300E4"/>
    <w:rsid w:val="00B30119"/>
    <w:rsid w:val="00B30143"/>
    <w:rsid w:val="00B3015B"/>
    <w:rsid w:val="00B30186"/>
    <w:rsid w:val="00B301C0"/>
    <w:rsid w:val="00B30225"/>
    <w:rsid w:val="00B30257"/>
    <w:rsid w:val="00B30273"/>
    <w:rsid w:val="00B30296"/>
    <w:rsid w:val="00B302FB"/>
    <w:rsid w:val="00B302FE"/>
    <w:rsid w:val="00B3033C"/>
    <w:rsid w:val="00B3035B"/>
    <w:rsid w:val="00B30380"/>
    <w:rsid w:val="00B3038B"/>
    <w:rsid w:val="00B3039D"/>
    <w:rsid w:val="00B303D2"/>
    <w:rsid w:val="00B30431"/>
    <w:rsid w:val="00B30451"/>
    <w:rsid w:val="00B30489"/>
    <w:rsid w:val="00B3058D"/>
    <w:rsid w:val="00B305AB"/>
    <w:rsid w:val="00B30681"/>
    <w:rsid w:val="00B306C8"/>
    <w:rsid w:val="00B306CA"/>
    <w:rsid w:val="00B30746"/>
    <w:rsid w:val="00B3078B"/>
    <w:rsid w:val="00B307B4"/>
    <w:rsid w:val="00B307DB"/>
    <w:rsid w:val="00B307E9"/>
    <w:rsid w:val="00B30803"/>
    <w:rsid w:val="00B3081A"/>
    <w:rsid w:val="00B3083F"/>
    <w:rsid w:val="00B30868"/>
    <w:rsid w:val="00B308CD"/>
    <w:rsid w:val="00B30920"/>
    <w:rsid w:val="00B30963"/>
    <w:rsid w:val="00B309E3"/>
    <w:rsid w:val="00B30A99"/>
    <w:rsid w:val="00B30AD3"/>
    <w:rsid w:val="00B30AF6"/>
    <w:rsid w:val="00B30B2E"/>
    <w:rsid w:val="00B30B59"/>
    <w:rsid w:val="00B30B92"/>
    <w:rsid w:val="00B30BC5"/>
    <w:rsid w:val="00B30BD3"/>
    <w:rsid w:val="00B30BE0"/>
    <w:rsid w:val="00B30C42"/>
    <w:rsid w:val="00B30C48"/>
    <w:rsid w:val="00B30C87"/>
    <w:rsid w:val="00B30C9B"/>
    <w:rsid w:val="00B30CB0"/>
    <w:rsid w:val="00B30CC7"/>
    <w:rsid w:val="00B30CDE"/>
    <w:rsid w:val="00B30CF1"/>
    <w:rsid w:val="00B30D00"/>
    <w:rsid w:val="00B30D85"/>
    <w:rsid w:val="00B30DD1"/>
    <w:rsid w:val="00B30E89"/>
    <w:rsid w:val="00B30E8D"/>
    <w:rsid w:val="00B30F20"/>
    <w:rsid w:val="00B30F65"/>
    <w:rsid w:val="00B30F66"/>
    <w:rsid w:val="00B30F68"/>
    <w:rsid w:val="00B31041"/>
    <w:rsid w:val="00B310E9"/>
    <w:rsid w:val="00B31104"/>
    <w:rsid w:val="00B31150"/>
    <w:rsid w:val="00B311A5"/>
    <w:rsid w:val="00B311AE"/>
    <w:rsid w:val="00B31211"/>
    <w:rsid w:val="00B3128F"/>
    <w:rsid w:val="00B312A1"/>
    <w:rsid w:val="00B312E6"/>
    <w:rsid w:val="00B3138F"/>
    <w:rsid w:val="00B313A3"/>
    <w:rsid w:val="00B313AF"/>
    <w:rsid w:val="00B31403"/>
    <w:rsid w:val="00B3147E"/>
    <w:rsid w:val="00B31487"/>
    <w:rsid w:val="00B3149D"/>
    <w:rsid w:val="00B3158C"/>
    <w:rsid w:val="00B315EB"/>
    <w:rsid w:val="00B315F7"/>
    <w:rsid w:val="00B3165F"/>
    <w:rsid w:val="00B3170D"/>
    <w:rsid w:val="00B31762"/>
    <w:rsid w:val="00B3179A"/>
    <w:rsid w:val="00B317A8"/>
    <w:rsid w:val="00B317C6"/>
    <w:rsid w:val="00B3182C"/>
    <w:rsid w:val="00B3186E"/>
    <w:rsid w:val="00B3188A"/>
    <w:rsid w:val="00B3192D"/>
    <w:rsid w:val="00B3192F"/>
    <w:rsid w:val="00B3193F"/>
    <w:rsid w:val="00B319DF"/>
    <w:rsid w:val="00B31A3B"/>
    <w:rsid w:val="00B31AB5"/>
    <w:rsid w:val="00B31AC0"/>
    <w:rsid w:val="00B31AD1"/>
    <w:rsid w:val="00B31AE4"/>
    <w:rsid w:val="00B31AEA"/>
    <w:rsid w:val="00B31AF7"/>
    <w:rsid w:val="00B31B32"/>
    <w:rsid w:val="00B31B35"/>
    <w:rsid w:val="00B31B6B"/>
    <w:rsid w:val="00B31BB1"/>
    <w:rsid w:val="00B31BD8"/>
    <w:rsid w:val="00B31C03"/>
    <w:rsid w:val="00B31C48"/>
    <w:rsid w:val="00B31CD8"/>
    <w:rsid w:val="00B31D22"/>
    <w:rsid w:val="00B31D4D"/>
    <w:rsid w:val="00B31D56"/>
    <w:rsid w:val="00B31D6A"/>
    <w:rsid w:val="00B31DA9"/>
    <w:rsid w:val="00B31DD1"/>
    <w:rsid w:val="00B31DE2"/>
    <w:rsid w:val="00B31DF9"/>
    <w:rsid w:val="00B31E9E"/>
    <w:rsid w:val="00B31EBF"/>
    <w:rsid w:val="00B32041"/>
    <w:rsid w:val="00B32071"/>
    <w:rsid w:val="00B320AB"/>
    <w:rsid w:val="00B320B7"/>
    <w:rsid w:val="00B320C8"/>
    <w:rsid w:val="00B3214A"/>
    <w:rsid w:val="00B32194"/>
    <w:rsid w:val="00B321DB"/>
    <w:rsid w:val="00B3225C"/>
    <w:rsid w:val="00B322CD"/>
    <w:rsid w:val="00B32308"/>
    <w:rsid w:val="00B3230E"/>
    <w:rsid w:val="00B3231B"/>
    <w:rsid w:val="00B32320"/>
    <w:rsid w:val="00B32332"/>
    <w:rsid w:val="00B32371"/>
    <w:rsid w:val="00B32379"/>
    <w:rsid w:val="00B323FF"/>
    <w:rsid w:val="00B32403"/>
    <w:rsid w:val="00B32424"/>
    <w:rsid w:val="00B32426"/>
    <w:rsid w:val="00B324EB"/>
    <w:rsid w:val="00B325AB"/>
    <w:rsid w:val="00B325C8"/>
    <w:rsid w:val="00B325DE"/>
    <w:rsid w:val="00B3267A"/>
    <w:rsid w:val="00B3267B"/>
    <w:rsid w:val="00B326BF"/>
    <w:rsid w:val="00B326C5"/>
    <w:rsid w:val="00B326EA"/>
    <w:rsid w:val="00B326EE"/>
    <w:rsid w:val="00B326F3"/>
    <w:rsid w:val="00B32767"/>
    <w:rsid w:val="00B327AD"/>
    <w:rsid w:val="00B327CA"/>
    <w:rsid w:val="00B327DE"/>
    <w:rsid w:val="00B32896"/>
    <w:rsid w:val="00B328B0"/>
    <w:rsid w:val="00B328C7"/>
    <w:rsid w:val="00B328D7"/>
    <w:rsid w:val="00B32922"/>
    <w:rsid w:val="00B3294F"/>
    <w:rsid w:val="00B32956"/>
    <w:rsid w:val="00B32978"/>
    <w:rsid w:val="00B329FB"/>
    <w:rsid w:val="00B32A80"/>
    <w:rsid w:val="00B32AC7"/>
    <w:rsid w:val="00B32AC9"/>
    <w:rsid w:val="00B32ADA"/>
    <w:rsid w:val="00B32AF2"/>
    <w:rsid w:val="00B32B32"/>
    <w:rsid w:val="00B32B8D"/>
    <w:rsid w:val="00B32C6C"/>
    <w:rsid w:val="00B32CE3"/>
    <w:rsid w:val="00B32CF8"/>
    <w:rsid w:val="00B32D17"/>
    <w:rsid w:val="00B32D19"/>
    <w:rsid w:val="00B32D68"/>
    <w:rsid w:val="00B32D8D"/>
    <w:rsid w:val="00B32D95"/>
    <w:rsid w:val="00B32DB7"/>
    <w:rsid w:val="00B32E0D"/>
    <w:rsid w:val="00B32E1B"/>
    <w:rsid w:val="00B32E26"/>
    <w:rsid w:val="00B32F11"/>
    <w:rsid w:val="00B32F4C"/>
    <w:rsid w:val="00B32F77"/>
    <w:rsid w:val="00B32FC2"/>
    <w:rsid w:val="00B32FF3"/>
    <w:rsid w:val="00B32FFB"/>
    <w:rsid w:val="00B3300F"/>
    <w:rsid w:val="00B3301E"/>
    <w:rsid w:val="00B3304D"/>
    <w:rsid w:val="00B3305B"/>
    <w:rsid w:val="00B33115"/>
    <w:rsid w:val="00B33138"/>
    <w:rsid w:val="00B33172"/>
    <w:rsid w:val="00B3319E"/>
    <w:rsid w:val="00B331DA"/>
    <w:rsid w:val="00B33206"/>
    <w:rsid w:val="00B332A0"/>
    <w:rsid w:val="00B332AD"/>
    <w:rsid w:val="00B3332A"/>
    <w:rsid w:val="00B3333C"/>
    <w:rsid w:val="00B33382"/>
    <w:rsid w:val="00B333B3"/>
    <w:rsid w:val="00B333BA"/>
    <w:rsid w:val="00B333C5"/>
    <w:rsid w:val="00B33446"/>
    <w:rsid w:val="00B334A4"/>
    <w:rsid w:val="00B334B1"/>
    <w:rsid w:val="00B33512"/>
    <w:rsid w:val="00B33568"/>
    <w:rsid w:val="00B33585"/>
    <w:rsid w:val="00B335A3"/>
    <w:rsid w:val="00B335C8"/>
    <w:rsid w:val="00B335FA"/>
    <w:rsid w:val="00B3362D"/>
    <w:rsid w:val="00B33656"/>
    <w:rsid w:val="00B3365F"/>
    <w:rsid w:val="00B3368A"/>
    <w:rsid w:val="00B336AC"/>
    <w:rsid w:val="00B336B0"/>
    <w:rsid w:val="00B336B7"/>
    <w:rsid w:val="00B3378F"/>
    <w:rsid w:val="00B337AF"/>
    <w:rsid w:val="00B337F7"/>
    <w:rsid w:val="00B338CD"/>
    <w:rsid w:val="00B338DE"/>
    <w:rsid w:val="00B33917"/>
    <w:rsid w:val="00B33965"/>
    <w:rsid w:val="00B33966"/>
    <w:rsid w:val="00B3396E"/>
    <w:rsid w:val="00B33985"/>
    <w:rsid w:val="00B339F0"/>
    <w:rsid w:val="00B33A14"/>
    <w:rsid w:val="00B33A8C"/>
    <w:rsid w:val="00B33AD7"/>
    <w:rsid w:val="00B33AE7"/>
    <w:rsid w:val="00B33B0D"/>
    <w:rsid w:val="00B33BE8"/>
    <w:rsid w:val="00B33C50"/>
    <w:rsid w:val="00B33C8F"/>
    <w:rsid w:val="00B33CB5"/>
    <w:rsid w:val="00B33D2F"/>
    <w:rsid w:val="00B33D67"/>
    <w:rsid w:val="00B33DB5"/>
    <w:rsid w:val="00B33DD8"/>
    <w:rsid w:val="00B33DF9"/>
    <w:rsid w:val="00B33E20"/>
    <w:rsid w:val="00B33E87"/>
    <w:rsid w:val="00B33EB7"/>
    <w:rsid w:val="00B33EC3"/>
    <w:rsid w:val="00B33F01"/>
    <w:rsid w:val="00B33F1D"/>
    <w:rsid w:val="00B33F5C"/>
    <w:rsid w:val="00B33FC2"/>
    <w:rsid w:val="00B33FEA"/>
    <w:rsid w:val="00B3400C"/>
    <w:rsid w:val="00B34013"/>
    <w:rsid w:val="00B34057"/>
    <w:rsid w:val="00B340C8"/>
    <w:rsid w:val="00B340D2"/>
    <w:rsid w:val="00B340E7"/>
    <w:rsid w:val="00B34123"/>
    <w:rsid w:val="00B34137"/>
    <w:rsid w:val="00B3415D"/>
    <w:rsid w:val="00B341C2"/>
    <w:rsid w:val="00B3421C"/>
    <w:rsid w:val="00B34256"/>
    <w:rsid w:val="00B3427F"/>
    <w:rsid w:val="00B343F0"/>
    <w:rsid w:val="00B34423"/>
    <w:rsid w:val="00B34459"/>
    <w:rsid w:val="00B344FF"/>
    <w:rsid w:val="00B3450B"/>
    <w:rsid w:val="00B34527"/>
    <w:rsid w:val="00B3452A"/>
    <w:rsid w:val="00B345A3"/>
    <w:rsid w:val="00B345BE"/>
    <w:rsid w:val="00B345F9"/>
    <w:rsid w:val="00B3460E"/>
    <w:rsid w:val="00B34663"/>
    <w:rsid w:val="00B34685"/>
    <w:rsid w:val="00B346A2"/>
    <w:rsid w:val="00B346D0"/>
    <w:rsid w:val="00B34739"/>
    <w:rsid w:val="00B34815"/>
    <w:rsid w:val="00B3484C"/>
    <w:rsid w:val="00B34876"/>
    <w:rsid w:val="00B348FD"/>
    <w:rsid w:val="00B34936"/>
    <w:rsid w:val="00B34939"/>
    <w:rsid w:val="00B34982"/>
    <w:rsid w:val="00B34998"/>
    <w:rsid w:val="00B349EE"/>
    <w:rsid w:val="00B34A3D"/>
    <w:rsid w:val="00B34ACF"/>
    <w:rsid w:val="00B34B0C"/>
    <w:rsid w:val="00B34B2D"/>
    <w:rsid w:val="00B34B7B"/>
    <w:rsid w:val="00B34B8B"/>
    <w:rsid w:val="00B34BB3"/>
    <w:rsid w:val="00B34BB5"/>
    <w:rsid w:val="00B34BD7"/>
    <w:rsid w:val="00B34BF0"/>
    <w:rsid w:val="00B34BF4"/>
    <w:rsid w:val="00B34C5C"/>
    <w:rsid w:val="00B34C6C"/>
    <w:rsid w:val="00B34C76"/>
    <w:rsid w:val="00B34C85"/>
    <w:rsid w:val="00B34C9B"/>
    <w:rsid w:val="00B34CB7"/>
    <w:rsid w:val="00B34D02"/>
    <w:rsid w:val="00B34D26"/>
    <w:rsid w:val="00B34D5A"/>
    <w:rsid w:val="00B34DD8"/>
    <w:rsid w:val="00B34E11"/>
    <w:rsid w:val="00B34E49"/>
    <w:rsid w:val="00B34E63"/>
    <w:rsid w:val="00B34E6F"/>
    <w:rsid w:val="00B34ED6"/>
    <w:rsid w:val="00B34EEF"/>
    <w:rsid w:val="00B34F3B"/>
    <w:rsid w:val="00B34F59"/>
    <w:rsid w:val="00B34F76"/>
    <w:rsid w:val="00B34FAA"/>
    <w:rsid w:val="00B35043"/>
    <w:rsid w:val="00B350BD"/>
    <w:rsid w:val="00B350EC"/>
    <w:rsid w:val="00B350F7"/>
    <w:rsid w:val="00B35183"/>
    <w:rsid w:val="00B351B1"/>
    <w:rsid w:val="00B351F6"/>
    <w:rsid w:val="00B35272"/>
    <w:rsid w:val="00B35278"/>
    <w:rsid w:val="00B3527D"/>
    <w:rsid w:val="00B3529F"/>
    <w:rsid w:val="00B352B8"/>
    <w:rsid w:val="00B3530A"/>
    <w:rsid w:val="00B3530F"/>
    <w:rsid w:val="00B35341"/>
    <w:rsid w:val="00B35393"/>
    <w:rsid w:val="00B3539C"/>
    <w:rsid w:val="00B353A9"/>
    <w:rsid w:val="00B353DD"/>
    <w:rsid w:val="00B353FF"/>
    <w:rsid w:val="00B35412"/>
    <w:rsid w:val="00B3541A"/>
    <w:rsid w:val="00B35438"/>
    <w:rsid w:val="00B35448"/>
    <w:rsid w:val="00B354DB"/>
    <w:rsid w:val="00B354E0"/>
    <w:rsid w:val="00B3557D"/>
    <w:rsid w:val="00B355C1"/>
    <w:rsid w:val="00B35671"/>
    <w:rsid w:val="00B35673"/>
    <w:rsid w:val="00B3567F"/>
    <w:rsid w:val="00B3569D"/>
    <w:rsid w:val="00B35816"/>
    <w:rsid w:val="00B3582E"/>
    <w:rsid w:val="00B3583B"/>
    <w:rsid w:val="00B35841"/>
    <w:rsid w:val="00B3585B"/>
    <w:rsid w:val="00B35869"/>
    <w:rsid w:val="00B3586A"/>
    <w:rsid w:val="00B35871"/>
    <w:rsid w:val="00B35962"/>
    <w:rsid w:val="00B359C0"/>
    <w:rsid w:val="00B35A85"/>
    <w:rsid w:val="00B35ADA"/>
    <w:rsid w:val="00B35B1E"/>
    <w:rsid w:val="00B35B60"/>
    <w:rsid w:val="00B35B64"/>
    <w:rsid w:val="00B35B96"/>
    <w:rsid w:val="00B35BAC"/>
    <w:rsid w:val="00B35BD6"/>
    <w:rsid w:val="00B35BDA"/>
    <w:rsid w:val="00B35BF6"/>
    <w:rsid w:val="00B35BFC"/>
    <w:rsid w:val="00B35C48"/>
    <w:rsid w:val="00B35C98"/>
    <w:rsid w:val="00B35D64"/>
    <w:rsid w:val="00B35D69"/>
    <w:rsid w:val="00B35DAD"/>
    <w:rsid w:val="00B35E03"/>
    <w:rsid w:val="00B35E84"/>
    <w:rsid w:val="00B35E98"/>
    <w:rsid w:val="00B35EA2"/>
    <w:rsid w:val="00B35EC6"/>
    <w:rsid w:val="00B35ED3"/>
    <w:rsid w:val="00B35EDF"/>
    <w:rsid w:val="00B35FAE"/>
    <w:rsid w:val="00B35FD4"/>
    <w:rsid w:val="00B35FF8"/>
    <w:rsid w:val="00B36032"/>
    <w:rsid w:val="00B3605C"/>
    <w:rsid w:val="00B36095"/>
    <w:rsid w:val="00B36136"/>
    <w:rsid w:val="00B3615B"/>
    <w:rsid w:val="00B3619D"/>
    <w:rsid w:val="00B3619F"/>
    <w:rsid w:val="00B361A6"/>
    <w:rsid w:val="00B362B4"/>
    <w:rsid w:val="00B362E5"/>
    <w:rsid w:val="00B36307"/>
    <w:rsid w:val="00B3635C"/>
    <w:rsid w:val="00B363AE"/>
    <w:rsid w:val="00B363E7"/>
    <w:rsid w:val="00B36419"/>
    <w:rsid w:val="00B3644E"/>
    <w:rsid w:val="00B3644F"/>
    <w:rsid w:val="00B36450"/>
    <w:rsid w:val="00B364A7"/>
    <w:rsid w:val="00B364AE"/>
    <w:rsid w:val="00B36549"/>
    <w:rsid w:val="00B365C9"/>
    <w:rsid w:val="00B3666E"/>
    <w:rsid w:val="00B366C5"/>
    <w:rsid w:val="00B366C9"/>
    <w:rsid w:val="00B36718"/>
    <w:rsid w:val="00B36772"/>
    <w:rsid w:val="00B367B2"/>
    <w:rsid w:val="00B367B9"/>
    <w:rsid w:val="00B367C2"/>
    <w:rsid w:val="00B367E2"/>
    <w:rsid w:val="00B367F9"/>
    <w:rsid w:val="00B367FF"/>
    <w:rsid w:val="00B36814"/>
    <w:rsid w:val="00B36889"/>
    <w:rsid w:val="00B368BB"/>
    <w:rsid w:val="00B368C9"/>
    <w:rsid w:val="00B36928"/>
    <w:rsid w:val="00B3697A"/>
    <w:rsid w:val="00B369C6"/>
    <w:rsid w:val="00B369DB"/>
    <w:rsid w:val="00B36A04"/>
    <w:rsid w:val="00B36B3B"/>
    <w:rsid w:val="00B36B72"/>
    <w:rsid w:val="00B36BB5"/>
    <w:rsid w:val="00B36BB8"/>
    <w:rsid w:val="00B36BBF"/>
    <w:rsid w:val="00B36C22"/>
    <w:rsid w:val="00B36C47"/>
    <w:rsid w:val="00B36C5C"/>
    <w:rsid w:val="00B36C5E"/>
    <w:rsid w:val="00B36C81"/>
    <w:rsid w:val="00B36D2C"/>
    <w:rsid w:val="00B36D58"/>
    <w:rsid w:val="00B36DD5"/>
    <w:rsid w:val="00B36DF0"/>
    <w:rsid w:val="00B36E2D"/>
    <w:rsid w:val="00B36E46"/>
    <w:rsid w:val="00B36EBB"/>
    <w:rsid w:val="00B36ED1"/>
    <w:rsid w:val="00B36EE0"/>
    <w:rsid w:val="00B36F5A"/>
    <w:rsid w:val="00B36FBE"/>
    <w:rsid w:val="00B37013"/>
    <w:rsid w:val="00B3701C"/>
    <w:rsid w:val="00B3703A"/>
    <w:rsid w:val="00B370F0"/>
    <w:rsid w:val="00B37103"/>
    <w:rsid w:val="00B37105"/>
    <w:rsid w:val="00B37146"/>
    <w:rsid w:val="00B3717B"/>
    <w:rsid w:val="00B371C4"/>
    <w:rsid w:val="00B37288"/>
    <w:rsid w:val="00B372D8"/>
    <w:rsid w:val="00B3730B"/>
    <w:rsid w:val="00B37311"/>
    <w:rsid w:val="00B3734F"/>
    <w:rsid w:val="00B37390"/>
    <w:rsid w:val="00B373B7"/>
    <w:rsid w:val="00B373D6"/>
    <w:rsid w:val="00B3743E"/>
    <w:rsid w:val="00B3744E"/>
    <w:rsid w:val="00B3745C"/>
    <w:rsid w:val="00B37460"/>
    <w:rsid w:val="00B374AD"/>
    <w:rsid w:val="00B374C3"/>
    <w:rsid w:val="00B374C9"/>
    <w:rsid w:val="00B374D9"/>
    <w:rsid w:val="00B375BC"/>
    <w:rsid w:val="00B375DA"/>
    <w:rsid w:val="00B375E3"/>
    <w:rsid w:val="00B375E5"/>
    <w:rsid w:val="00B375FC"/>
    <w:rsid w:val="00B376C6"/>
    <w:rsid w:val="00B376CA"/>
    <w:rsid w:val="00B37814"/>
    <w:rsid w:val="00B37836"/>
    <w:rsid w:val="00B37935"/>
    <w:rsid w:val="00B37981"/>
    <w:rsid w:val="00B37986"/>
    <w:rsid w:val="00B37A78"/>
    <w:rsid w:val="00B37A7A"/>
    <w:rsid w:val="00B37A8F"/>
    <w:rsid w:val="00B37ADE"/>
    <w:rsid w:val="00B37AE5"/>
    <w:rsid w:val="00B37B3F"/>
    <w:rsid w:val="00B37C00"/>
    <w:rsid w:val="00B37C9C"/>
    <w:rsid w:val="00B37CFC"/>
    <w:rsid w:val="00B37D4C"/>
    <w:rsid w:val="00B37D92"/>
    <w:rsid w:val="00B37E0A"/>
    <w:rsid w:val="00B37E0C"/>
    <w:rsid w:val="00B37E13"/>
    <w:rsid w:val="00B37E2F"/>
    <w:rsid w:val="00B37E85"/>
    <w:rsid w:val="00B37EED"/>
    <w:rsid w:val="00B37F4C"/>
    <w:rsid w:val="00B37F66"/>
    <w:rsid w:val="00B37FE6"/>
    <w:rsid w:val="00B40014"/>
    <w:rsid w:val="00B40069"/>
    <w:rsid w:val="00B400B8"/>
    <w:rsid w:val="00B40149"/>
    <w:rsid w:val="00B401A1"/>
    <w:rsid w:val="00B401B2"/>
    <w:rsid w:val="00B401D6"/>
    <w:rsid w:val="00B401EB"/>
    <w:rsid w:val="00B4026D"/>
    <w:rsid w:val="00B40280"/>
    <w:rsid w:val="00B402A6"/>
    <w:rsid w:val="00B402CA"/>
    <w:rsid w:val="00B403E8"/>
    <w:rsid w:val="00B403E9"/>
    <w:rsid w:val="00B4041A"/>
    <w:rsid w:val="00B40435"/>
    <w:rsid w:val="00B40450"/>
    <w:rsid w:val="00B40465"/>
    <w:rsid w:val="00B404AE"/>
    <w:rsid w:val="00B40570"/>
    <w:rsid w:val="00B4059B"/>
    <w:rsid w:val="00B4062F"/>
    <w:rsid w:val="00B40690"/>
    <w:rsid w:val="00B406B4"/>
    <w:rsid w:val="00B406D1"/>
    <w:rsid w:val="00B406F4"/>
    <w:rsid w:val="00B40722"/>
    <w:rsid w:val="00B40738"/>
    <w:rsid w:val="00B407DB"/>
    <w:rsid w:val="00B407F9"/>
    <w:rsid w:val="00B4080A"/>
    <w:rsid w:val="00B4084A"/>
    <w:rsid w:val="00B4089C"/>
    <w:rsid w:val="00B408BA"/>
    <w:rsid w:val="00B408C2"/>
    <w:rsid w:val="00B408FC"/>
    <w:rsid w:val="00B40922"/>
    <w:rsid w:val="00B4093F"/>
    <w:rsid w:val="00B40973"/>
    <w:rsid w:val="00B40974"/>
    <w:rsid w:val="00B409E7"/>
    <w:rsid w:val="00B409F2"/>
    <w:rsid w:val="00B40A43"/>
    <w:rsid w:val="00B40A56"/>
    <w:rsid w:val="00B40A5F"/>
    <w:rsid w:val="00B40A6A"/>
    <w:rsid w:val="00B40BDC"/>
    <w:rsid w:val="00B40BFD"/>
    <w:rsid w:val="00B40C09"/>
    <w:rsid w:val="00B40C14"/>
    <w:rsid w:val="00B40C17"/>
    <w:rsid w:val="00B40C27"/>
    <w:rsid w:val="00B40C41"/>
    <w:rsid w:val="00B40C42"/>
    <w:rsid w:val="00B40C62"/>
    <w:rsid w:val="00B40CAA"/>
    <w:rsid w:val="00B40CF2"/>
    <w:rsid w:val="00B40CFE"/>
    <w:rsid w:val="00B40D27"/>
    <w:rsid w:val="00B40D79"/>
    <w:rsid w:val="00B40D88"/>
    <w:rsid w:val="00B40D94"/>
    <w:rsid w:val="00B40DB0"/>
    <w:rsid w:val="00B40DE0"/>
    <w:rsid w:val="00B40E4E"/>
    <w:rsid w:val="00B40EDF"/>
    <w:rsid w:val="00B40F47"/>
    <w:rsid w:val="00B40F84"/>
    <w:rsid w:val="00B40F8D"/>
    <w:rsid w:val="00B40FB4"/>
    <w:rsid w:val="00B40FC6"/>
    <w:rsid w:val="00B40FF3"/>
    <w:rsid w:val="00B41076"/>
    <w:rsid w:val="00B410B3"/>
    <w:rsid w:val="00B41116"/>
    <w:rsid w:val="00B4114D"/>
    <w:rsid w:val="00B4117D"/>
    <w:rsid w:val="00B41186"/>
    <w:rsid w:val="00B411A9"/>
    <w:rsid w:val="00B411E7"/>
    <w:rsid w:val="00B41308"/>
    <w:rsid w:val="00B4133B"/>
    <w:rsid w:val="00B41362"/>
    <w:rsid w:val="00B4136C"/>
    <w:rsid w:val="00B41405"/>
    <w:rsid w:val="00B41427"/>
    <w:rsid w:val="00B41429"/>
    <w:rsid w:val="00B414E6"/>
    <w:rsid w:val="00B41506"/>
    <w:rsid w:val="00B4151B"/>
    <w:rsid w:val="00B4154B"/>
    <w:rsid w:val="00B41580"/>
    <w:rsid w:val="00B415F3"/>
    <w:rsid w:val="00B415FD"/>
    <w:rsid w:val="00B4163A"/>
    <w:rsid w:val="00B41688"/>
    <w:rsid w:val="00B41724"/>
    <w:rsid w:val="00B4174B"/>
    <w:rsid w:val="00B41783"/>
    <w:rsid w:val="00B417CB"/>
    <w:rsid w:val="00B417EE"/>
    <w:rsid w:val="00B41826"/>
    <w:rsid w:val="00B41851"/>
    <w:rsid w:val="00B4190D"/>
    <w:rsid w:val="00B4193F"/>
    <w:rsid w:val="00B4198E"/>
    <w:rsid w:val="00B41A03"/>
    <w:rsid w:val="00B41A89"/>
    <w:rsid w:val="00B41A9A"/>
    <w:rsid w:val="00B41B34"/>
    <w:rsid w:val="00B41B4C"/>
    <w:rsid w:val="00B41BEB"/>
    <w:rsid w:val="00B41C1D"/>
    <w:rsid w:val="00B41C36"/>
    <w:rsid w:val="00B41C54"/>
    <w:rsid w:val="00B41C8F"/>
    <w:rsid w:val="00B41C99"/>
    <w:rsid w:val="00B41CCE"/>
    <w:rsid w:val="00B41D3A"/>
    <w:rsid w:val="00B41D90"/>
    <w:rsid w:val="00B41DC6"/>
    <w:rsid w:val="00B41DE8"/>
    <w:rsid w:val="00B41E2A"/>
    <w:rsid w:val="00B41E79"/>
    <w:rsid w:val="00B41EE0"/>
    <w:rsid w:val="00B41EEE"/>
    <w:rsid w:val="00B41EFD"/>
    <w:rsid w:val="00B41F1C"/>
    <w:rsid w:val="00B41F4D"/>
    <w:rsid w:val="00B41F61"/>
    <w:rsid w:val="00B4201D"/>
    <w:rsid w:val="00B4202B"/>
    <w:rsid w:val="00B4203D"/>
    <w:rsid w:val="00B42169"/>
    <w:rsid w:val="00B4219D"/>
    <w:rsid w:val="00B42200"/>
    <w:rsid w:val="00B42227"/>
    <w:rsid w:val="00B4222C"/>
    <w:rsid w:val="00B42268"/>
    <w:rsid w:val="00B4226C"/>
    <w:rsid w:val="00B4227B"/>
    <w:rsid w:val="00B42283"/>
    <w:rsid w:val="00B42323"/>
    <w:rsid w:val="00B42350"/>
    <w:rsid w:val="00B4239A"/>
    <w:rsid w:val="00B423CE"/>
    <w:rsid w:val="00B4245A"/>
    <w:rsid w:val="00B42468"/>
    <w:rsid w:val="00B424BF"/>
    <w:rsid w:val="00B424F3"/>
    <w:rsid w:val="00B425FB"/>
    <w:rsid w:val="00B4260E"/>
    <w:rsid w:val="00B42630"/>
    <w:rsid w:val="00B42638"/>
    <w:rsid w:val="00B4265B"/>
    <w:rsid w:val="00B426D0"/>
    <w:rsid w:val="00B42731"/>
    <w:rsid w:val="00B4273F"/>
    <w:rsid w:val="00B42751"/>
    <w:rsid w:val="00B42767"/>
    <w:rsid w:val="00B42772"/>
    <w:rsid w:val="00B427AE"/>
    <w:rsid w:val="00B4287B"/>
    <w:rsid w:val="00B428A5"/>
    <w:rsid w:val="00B428AF"/>
    <w:rsid w:val="00B428E4"/>
    <w:rsid w:val="00B428EE"/>
    <w:rsid w:val="00B428F7"/>
    <w:rsid w:val="00B42966"/>
    <w:rsid w:val="00B429D3"/>
    <w:rsid w:val="00B429DE"/>
    <w:rsid w:val="00B429F2"/>
    <w:rsid w:val="00B42A86"/>
    <w:rsid w:val="00B42ACF"/>
    <w:rsid w:val="00B42AF8"/>
    <w:rsid w:val="00B42B36"/>
    <w:rsid w:val="00B42BAC"/>
    <w:rsid w:val="00B42CDA"/>
    <w:rsid w:val="00B42CF4"/>
    <w:rsid w:val="00B42D20"/>
    <w:rsid w:val="00B42D7D"/>
    <w:rsid w:val="00B42D80"/>
    <w:rsid w:val="00B42E50"/>
    <w:rsid w:val="00B42E75"/>
    <w:rsid w:val="00B42EB6"/>
    <w:rsid w:val="00B42EDF"/>
    <w:rsid w:val="00B42F3E"/>
    <w:rsid w:val="00B42FF0"/>
    <w:rsid w:val="00B430D0"/>
    <w:rsid w:val="00B43109"/>
    <w:rsid w:val="00B43119"/>
    <w:rsid w:val="00B4311B"/>
    <w:rsid w:val="00B4314C"/>
    <w:rsid w:val="00B43168"/>
    <w:rsid w:val="00B43196"/>
    <w:rsid w:val="00B431C9"/>
    <w:rsid w:val="00B43217"/>
    <w:rsid w:val="00B4325C"/>
    <w:rsid w:val="00B43291"/>
    <w:rsid w:val="00B432BE"/>
    <w:rsid w:val="00B43302"/>
    <w:rsid w:val="00B43329"/>
    <w:rsid w:val="00B433E5"/>
    <w:rsid w:val="00B433F4"/>
    <w:rsid w:val="00B43401"/>
    <w:rsid w:val="00B43404"/>
    <w:rsid w:val="00B4344B"/>
    <w:rsid w:val="00B4346E"/>
    <w:rsid w:val="00B434E6"/>
    <w:rsid w:val="00B43544"/>
    <w:rsid w:val="00B43554"/>
    <w:rsid w:val="00B43585"/>
    <w:rsid w:val="00B4358A"/>
    <w:rsid w:val="00B435D2"/>
    <w:rsid w:val="00B43619"/>
    <w:rsid w:val="00B43680"/>
    <w:rsid w:val="00B436E9"/>
    <w:rsid w:val="00B4370A"/>
    <w:rsid w:val="00B4371C"/>
    <w:rsid w:val="00B43725"/>
    <w:rsid w:val="00B437B4"/>
    <w:rsid w:val="00B43815"/>
    <w:rsid w:val="00B43837"/>
    <w:rsid w:val="00B438F4"/>
    <w:rsid w:val="00B43909"/>
    <w:rsid w:val="00B43923"/>
    <w:rsid w:val="00B43948"/>
    <w:rsid w:val="00B439FD"/>
    <w:rsid w:val="00B43A3D"/>
    <w:rsid w:val="00B43A49"/>
    <w:rsid w:val="00B43A61"/>
    <w:rsid w:val="00B43AE9"/>
    <w:rsid w:val="00B43B04"/>
    <w:rsid w:val="00B43BDD"/>
    <w:rsid w:val="00B43BE5"/>
    <w:rsid w:val="00B43BEC"/>
    <w:rsid w:val="00B43C4E"/>
    <w:rsid w:val="00B43CC3"/>
    <w:rsid w:val="00B43CDE"/>
    <w:rsid w:val="00B43D05"/>
    <w:rsid w:val="00B43D94"/>
    <w:rsid w:val="00B43DF4"/>
    <w:rsid w:val="00B43E0C"/>
    <w:rsid w:val="00B43E3F"/>
    <w:rsid w:val="00B43E4E"/>
    <w:rsid w:val="00B43E56"/>
    <w:rsid w:val="00B43EC4"/>
    <w:rsid w:val="00B43ECC"/>
    <w:rsid w:val="00B44009"/>
    <w:rsid w:val="00B44088"/>
    <w:rsid w:val="00B440A1"/>
    <w:rsid w:val="00B440A4"/>
    <w:rsid w:val="00B44126"/>
    <w:rsid w:val="00B4412E"/>
    <w:rsid w:val="00B44132"/>
    <w:rsid w:val="00B44192"/>
    <w:rsid w:val="00B441A8"/>
    <w:rsid w:val="00B441AD"/>
    <w:rsid w:val="00B441E2"/>
    <w:rsid w:val="00B44226"/>
    <w:rsid w:val="00B442E5"/>
    <w:rsid w:val="00B442F2"/>
    <w:rsid w:val="00B44302"/>
    <w:rsid w:val="00B44332"/>
    <w:rsid w:val="00B44364"/>
    <w:rsid w:val="00B44391"/>
    <w:rsid w:val="00B4439F"/>
    <w:rsid w:val="00B44437"/>
    <w:rsid w:val="00B4443F"/>
    <w:rsid w:val="00B44450"/>
    <w:rsid w:val="00B4459F"/>
    <w:rsid w:val="00B445A2"/>
    <w:rsid w:val="00B445F3"/>
    <w:rsid w:val="00B44623"/>
    <w:rsid w:val="00B44627"/>
    <w:rsid w:val="00B4464D"/>
    <w:rsid w:val="00B4468F"/>
    <w:rsid w:val="00B446A3"/>
    <w:rsid w:val="00B446A5"/>
    <w:rsid w:val="00B446EB"/>
    <w:rsid w:val="00B44758"/>
    <w:rsid w:val="00B44760"/>
    <w:rsid w:val="00B44793"/>
    <w:rsid w:val="00B44807"/>
    <w:rsid w:val="00B44910"/>
    <w:rsid w:val="00B44981"/>
    <w:rsid w:val="00B4499B"/>
    <w:rsid w:val="00B449A1"/>
    <w:rsid w:val="00B44A22"/>
    <w:rsid w:val="00B44A77"/>
    <w:rsid w:val="00B44A7E"/>
    <w:rsid w:val="00B44AA9"/>
    <w:rsid w:val="00B44ABB"/>
    <w:rsid w:val="00B44AC3"/>
    <w:rsid w:val="00B44AF9"/>
    <w:rsid w:val="00B44BB7"/>
    <w:rsid w:val="00B44C2B"/>
    <w:rsid w:val="00B44C81"/>
    <w:rsid w:val="00B44CF4"/>
    <w:rsid w:val="00B44D15"/>
    <w:rsid w:val="00B44D44"/>
    <w:rsid w:val="00B44D70"/>
    <w:rsid w:val="00B44DFE"/>
    <w:rsid w:val="00B44E5B"/>
    <w:rsid w:val="00B44E8C"/>
    <w:rsid w:val="00B45003"/>
    <w:rsid w:val="00B45028"/>
    <w:rsid w:val="00B45076"/>
    <w:rsid w:val="00B4508D"/>
    <w:rsid w:val="00B450BE"/>
    <w:rsid w:val="00B4516F"/>
    <w:rsid w:val="00B45264"/>
    <w:rsid w:val="00B452E1"/>
    <w:rsid w:val="00B452FA"/>
    <w:rsid w:val="00B45325"/>
    <w:rsid w:val="00B45332"/>
    <w:rsid w:val="00B45352"/>
    <w:rsid w:val="00B45374"/>
    <w:rsid w:val="00B453B3"/>
    <w:rsid w:val="00B453C0"/>
    <w:rsid w:val="00B453FB"/>
    <w:rsid w:val="00B4541B"/>
    <w:rsid w:val="00B45453"/>
    <w:rsid w:val="00B454C0"/>
    <w:rsid w:val="00B454FA"/>
    <w:rsid w:val="00B454FC"/>
    <w:rsid w:val="00B454FD"/>
    <w:rsid w:val="00B455C7"/>
    <w:rsid w:val="00B4562B"/>
    <w:rsid w:val="00B4567E"/>
    <w:rsid w:val="00B456DF"/>
    <w:rsid w:val="00B45729"/>
    <w:rsid w:val="00B4575D"/>
    <w:rsid w:val="00B4576D"/>
    <w:rsid w:val="00B4576E"/>
    <w:rsid w:val="00B45830"/>
    <w:rsid w:val="00B4584D"/>
    <w:rsid w:val="00B458D4"/>
    <w:rsid w:val="00B458EC"/>
    <w:rsid w:val="00B458FF"/>
    <w:rsid w:val="00B4591E"/>
    <w:rsid w:val="00B45960"/>
    <w:rsid w:val="00B4598D"/>
    <w:rsid w:val="00B45ADD"/>
    <w:rsid w:val="00B45B18"/>
    <w:rsid w:val="00B45BDF"/>
    <w:rsid w:val="00B45C89"/>
    <w:rsid w:val="00B45CA6"/>
    <w:rsid w:val="00B45CD9"/>
    <w:rsid w:val="00B45D4F"/>
    <w:rsid w:val="00B45D97"/>
    <w:rsid w:val="00B45DCE"/>
    <w:rsid w:val="00B45E34"/>
    <w:rsid w:val="00B45E35"/>
    <w:rsid w:val="00B45E3D"/>
    <w:rsid w:val="00B45EA1"/>
    <w:rsid w:val="00B45EDC"/>
    <w:rsid w:val="00B45F35"/>
    <w:rsid w:val="00B45F42"/>
    <w:rsid w:val="00B45F53"/>
    <w:rsid w:val="00B45F97"/>
    <w:rsid w:val="00B45FDD"/>
    <w:rsid w:val="00B4605C"/>
    <w:rsid w:val="00B460B8"/>
    <w:rsid w:val="00B460B9"/>
    <w:rsid w:val="00B460BF"/>
    <w:rsid w:val="00B460F4"/>
    <w:rsid w:val="00B46104"/>
    <w:rsid w:val="00B461B8"/>
    <w:rsid w:val="00B461D2"/>
    <w:rsid w:val="00B4625F"/>
    <w:rsid w:val="00B46282"/>
    <w:rsid w:val="00B462A5"/>
    <w:rsid w:val="00B4630F"/>
    <w:rsid w:val="00B46318"/>
    <w:rsid w:val="00B46337"/>
    <w:rsid w:val="00B46339"/>
    <w:rsid w:val="00B463ED"/>
    <w:rsid w:val="00B46413"/>
    <w:rsid w:val="00B46442"/>
    <w:rsid w:val="00B464A2"/>
    <w:rsid w:val="00B464BD"/>
    <w:rsid w:val="00B464EF"/>
    <w:rsid w:val="00B464FE"/>
    <w:rsid w:val="00B46516"/>
    <w:rsid w:val="00B46521"/>
    <w:rsid w:val="00B46559"/>
    <w:rsid w:val="00B46586"/>
    <w:rsid w:val="00B465F4"/>
    <w:rsid w:val="00B465F7"/>
    <w:rsid w:val="00B4660A"/>
    <w:rsid w:val="00B46655"/>
    <w:rsid w:val="00B46669"/>
    <w:rsid w:val="00B4666E"/>
    <w:rsid w:val="00B466F3"/>
    <w:rsid w:val="00B46716"/>
    <w:rsid w:val="00B46722"/>
    <w:rsid w:val="00B46730"/>
    <w:rsid w:val="00B46743"/>
    <w:rsid w:val="00B467C6"/>
    <w:rsid w:val="00B467DE"/>
    <w:rsid w:val="00B467E0"/>
    <w:rsid w:val="00B46824"/>
    <w:rsid w:val="00B46835"/>
    <w:rsid w:val="00B468AF"/>
    <w:rsid w:val="00B468D3"/>
    <w:rsid w:val="00B46954"/>
    <w:rsid w:val="00B469F5"/>
    <w:rsid w:val="00B469FB"/>
    <w:rsid w:val="00B46A5F"/>
    <w:rsid w:val="00B46A73"/>
    <w:rsid w:val="00B46A79"/>
    <w:rsid w:val="00B46A9F"/>
    <w:rsid w:val="00B46AC0"/>
    <w:rsid w:val="00B46B12"/>
    <w:rsid w:val="00B46B1B"/>
    <w:rsid w:val="00B46B52"/>
    <w:rsid w:val="00B46B74"/>
    <w:rsid w:val="00B46B8D"/>
    <w:rsid w:val="00B46B90"/>
    <w:rsid w:val="00B46C25"/>
    <w:rsid w:val="00B46C30"/>
    <w:rsid w:val="00B46C6C"/>
    <w:rsid w:val="00B46C6D"/>
    <w:rsid w:val="00B46C78"/>
    <w:rsid w:val="00B46DD1"/>
    <w:rsid w:val="00B46E08"/>
    <w:rsid w:val="00B46E16"/>
    <w:rsid w:val="00B46E2D"/>
    <w:rsid w:val="00B46EFE"/>
    <w:rsid w:val="00B46F0B"/>
    <w:rsid w:val="00B46F68"/>
    <w:rsid w:val="00B46FD6"/>
    <w:rsid w:val="00B4705E"/>
    <w:rsid w:val="00B47093"/>
    <w:rsid w:val="00B470B8"/>
    <w:rsid w:val="00B470CB"/>
    <w:rsid w:val="00B470D7"/>
    <w:rsid w:val="00B47129"/>
    <w:rsid w:val="00B47143"/>
    <w:rsid w:val="00B47160"/>
    <w:rsid w:val="00B47178"/>
    <w:rsid w:val="00B471B4"/>
    <w:rsid w:val="00B47240"/>
    <w:rsid w:val="00B47242"/>
    <w:rsid w:val="00B4724A"/>
    <w:rsid w:val="00B4724E"/>
    <w:rsid w:val="00B472AA"/>
    <w:rsid w:val="00B472AB"/>
    <w:rsid w:val="00B472B0"/>
    <w:rsid w:val="00B472D4"/>
    <w:rsid w:val="00B47357"/>
    <w:rsid w:val="00B47364"/>
    <w:rsid w:val="00B473D9"/>
    <w:rsid w:val="00B473EB"/>
    <w:rsid w:val="00B4741E"/>
    <w:rsid w:val="00B47481"/>
    <w:rsid w:val="00B47526"/>
    <w:rsid w:val="00B47560"/>
    <w:rsid w:val="00B47584"/>
    <w:rsid w:val="00B475D5"/>
    <w:rsid w:val="00B47619"/>
    <w:rsid w:val="00B4764F"/>
    <w:rsid w:val="00B47677"/>
    <w:rsid w:val="00B4769C"/>
    <w:rsid w:val="00B476FB"/>
    <w:rsid w:val="00B477C0"/>
    <w:rsid w:val="00B47807"/>
    <w:rsid w:val="00B478C5"/>
    <w:rsid w:val="00B4792D"/>
    <w:rsid w:val="00B479C4"/>
    <w:rsid w:val="00B479D2"/>
    <w:rsid w:val="00B479E8"/>
    <w:rsid w:val="00B47A7E"/>
    <w:rsid w:val="00B47AC8"/>
    <w:rsid w:val="00B47AD9"/>
    <w:rsid w:val="00B47AE9"/>
    <w:rsid w:val="00B47B06"/>
    <w:rsid w:val="00B47B13"/>
    <w:rsid w:val="00B47B6B"/>
    <w:rsid w:val="00B47B7D"/>
    <w:rsid w:val="00B47B8A"/>
    <w:rsid w:val="00B47B8D"/>
    <w:rsid w:val="00B47BCE"/>
    <w:rsid w:val="00B47C05"/>
    <w:rsid w:val="00B47C23"/>
    <w:rsid w:val="00B47C68"/>
    <w:rsid w:val="00B47D1B"/>
    <w:rsid w:val="00B47D25"/>
    <w:rsid w:val="00B47D7E"/>
    <w:rsid w:val="00B47D81"/>
    <w:rsid w:val="00B47D8A"/>
    <w:rsid w:val="00B47DB3"/>
    <w:rsid w:val="00B47DC0"/>
    <w:rsid w:val="00B47DC2"/>
    <w:rsid w:val="00B47E03"/>
    <w:rsid w:val="00B47E8B"/>
    <w:rsid w:val="00B47F3F"/>
    <w:rsid w:val="00B47F58"/>
    <w:rsid w:val="00B47F5B"/>
    <w:rsid w:val="00B50013"/>
    <w:rsid w:val="00B50029"/>
    <w:rsid w:val="00B5008D"/>
    <w:rsid w:val="00B501C1"/>
    <w:rsid w:val="00B501D1"/>
    <w:rsid w:val="00B50233"/>
    <w:rsid w:val="00B502B2"/>
    <w:rsid w:val="00B502F6"/>
    <w:rsid w:val="00B50350"/>
    <w:rsid w:val="00B5040F"/>
    <w:rsid w:val="00B50418"/>
    <w:rsid w:val="00B50428"/>
    <w:rsid w:val="00B5060C"/>
    <w:rsid w:val="00B50654"/>
    <w:rsid w:val="00B50667"/>
    <w:rsid w:val="00B50672"/>
    <w:rsid w:val="00B50737"/>
    <w:rsid w:val="00B50797"/>
    <w:rsid w:val="00B507BA"/>
    <w:rsid w:val="00B507C9"/>
    <w:rsid w:val="00B507E1"/>
    <w:rsid w:val="00B50805"/>
    <w:rsid w:val="00B5080F"/>
    <w:rsid w:val="00B50837"/>
    <w:rsid w:val="00B50882"/>
    <w:rsid w:val="00B508A6"/>
    <w:rsid w:val="00B50900"/>
    <w:rsid w:val="00B5093C"/>
    <w:rsid w:val="00B50972"/>
    <w:rsid w:val="00B509D9"/>
    <w:rsid w:val="00B50A1B"/>
    <w:rsid w:val="00B50A44"/>
    <w:rsid w:val="00B50A60"/>
    <w:rsid w:val="00B50A7A"/>
    <w:rsid w:val="00B50A80"/>
    <w:rsid w:val="00B50A82"/>
    <w:rsid w:val="00B50A92"/>
    <w:rsid w:val="00B50ACB"/>
    <w:rsid w:val="00B50AD5"/>
    <w:rsid w:val="00B50B73"/>
    <w:rsid w:val="00B50B93"/>
    <w:rsid w:val="00B50C3D"/>
    <w:rsid w:val="00B50C90"/>
    <w:rsid w:val="00B50CB8"/>
    <w:rsid w:val="00B50CC5"/>
    <w:rsid w:val="00B50CCC"/>
    <w:rsid w:val="00B50CE7"/>
    <w:rsid w:val="00B50E1B"/>
    <w:rsid w:val="00B50E42"/>
    <w:rsid w:val="00B50E63"/>
    <w:rsid w:val="00B50E74"/>
    <w:rsid w:val="00B50EA2"/>
    <w:rsid w:val="00B50EF8"/>
    <w:rsid w:val="00B50F65"/>
    <w:rsid w:val="00B50F76"/>
    <w:rsid w:val="00B50F79"/>
    <w:rsid w:val="00B50F93"/>
    <w:rsid w:val="00B5100C"/>
    <w:rsid w:val="00B51084"/>
    <w:rsid w:val="00B510AE"/>
    <w:rsid w:val="00B510B8"/>
    <w:rsid w:val="00B510BC"/>
    <w:rsid w:val="00B510FA"/>
    <w:rsid w:val="00B51170"/>
    <w:rsid w:val="00B51190"/>
    <w:rsid w:val="00B51192"/>
    <w:rsid w:val="00B511CD"/>
    <w:rsid w:val="00B511E1"/>
    <w:rsid w:val="00B511EA"/>
    <w:rsid w:val="00B51201"/>
    <w:rsid w:val="00B5120C"/>
    <w:rsid w:val="00B51219"/>
    <w:rsid w:val="00B5121D"/>
    <w:rsid w:val="00B51236"/>
    <w:rsid w:val="00B5123D"/>
    <w:rsid w:val="00B512D6"/>
    <w:rsid w:val="00B513CA"/>
    <w:rsid w:val="00B513CF"/>
    <w:rsid w:val="00B513F7"/>
    <w:rsid w:val="00B51411"/>
    <w:rsid w:val="00B5143C"/>
    <w:rsid w:val="00B51493"/>
    <w:rsid w:val="00B515C1"/>
    <w:rsid w:val="00B515D8"/>
    <w:rsid w:val="00B51613"/>
    <w:rsid w:val="00B5167B"/>
    <w:rsid w:val="00B5168C"/>
    <w:rsid w:val="00B5169C"/>
    <w:rsid w:val="00B516B1"/>
    <w:rsid w:val="00B516BC"/>
    <w:rsid w:val="00B51717"/>
    <w:rsid w:val="00B5179F"/>
    <w:rsid w:val="00B517A8"/>
    <w:rsid w:val="00B5187B"/>
    <w:rsid w:val="00B518D9"/>
    <w:rsid w:val="00B518FB"/>
    <w:rsid w:val="00B51996"/>
    <w:rsid w:val="00B519A3"/>
    <w:rsid w:val="00B519B9"/>
    <w:rsid w:val="00B51A02"/>
    <w:rsid w:val="00B51A39"/>
    <w:rsid w:val="00B51A59"/>
    <w:rsid w:val="00B51A74"/>
    <w:rsid w:val="00B51AA2"/>
    <w:rsid w:val="00B51AE6"/>
    <w:rsid w:val="00B51B38"/>
    <w:rsid w:val="00B51B87"/>
    <w:rsid w:val="00B51B9D"/>
    <w:rsid w:val="00B51BB8"/>
    <w:rsid w:val="00B51C22"/>
    <w:rsid w:val="00B51C6F"/>
    <w:rsid w:val="00B51C83"/>
    <w:rsid w:val="00B51C8F"/>
    <w:rsid w:val="00B51C92"/>
    <w:rsid w:val="00B51CFB"/>
    <w:rsid w:val="00B51CFF"/>
    <w:rsid w:val="00B51D7F"/>
    <w:rsid w:val="00B51DA0"/>
    <w:rsid w:val="00B51DA2"/>
    <w:rsid w:val="00B51DF9"/>
    <w:rsid w:val="00B51E66"/>
    <w:rsid w:val="00B51E81"/>
    <w:rsid w:val="00B51E97"/>
    <w:rsid w:val="00B51EC2"/>
    <w:rsid w:val="00B51EE6"/>
    <w:rsid w:val="00B51F11"/>
    <w:rsid w:val="00B51F32"/>
    <w:rsid w:val="00B52014"/>
    <w:rsid w:val="00B52072"/>
    <w:rsid w:val="00B520BB"/>
    <w:rsid w:val="00B520BD"/>
    <w:rsid w:val="00B52139"/>
    <w:rsid w:val="00B521A5"/>
    <w:rsid w:val="00B52208"/>
    <w:rsid w:val="00B52212"/>
    <w:rsid w:val="00B52219"/>
    <w:rsid w:val="00B52254"/>
    <w:rsid w:val="00B52260"/>
    <w:rsid w:val="00B5226E"/>
    <w:rsid w:val="00B522AB"/>
    <w:rsid w:val="00B522B0"/>
    <w:rsid w:val="00B522BE"/>
    <w:rsid w:val="00B5230B"/>
    <w:rsid w:val="00B52348"/>
    <w:rsid w:val="00B523BA"/>
    <w:rsid w:val="00B523C6"/>
    <w:rsid w:val="00B5249B"/>
    <w:rsid w:val="00B5253D"/>
    <w:rsid w:val="00B525DC"/>
    <w:rsid w:val="00B526EF"/>
    <w:rsid w:val="00B526F4"/>
    <w:rsid w:val="00B527DB"/>
    <w:rsid w:val="00B527E6"/>
    <w:rsid w:val="00B5285F"/>
    <w:rsid w:val="00B52918"/>
    <w:rsid w:val="00B52935"/>
    <w:rsid w:val="00B52947"/>
    <w:rsid w:val="00B5295B"/>
    <w:rsid w:val="00B52A03"/>
    <w:rsid w:val="00B52A14"/>
    <w:rsid w:val="00B52A78"/>
    <w:rsid w:val="00B52A83"/>
    <w:rsid w:val="00B52A84"/>
    <w:rsid w:val="00B52B13"/>
    <w:rsid w:val="00B52B1F"/>
    <w:rsid w:val="00B52B41"/>
    <w:rsid w:val="00B52B6A"/>
    <w:rsid w:val="00B52BBA"/>
    <w:rsid w:val="00B52C11"/>
    <w:rsid w:val="00B52CB8"/>
    <w:rsid w:val="00B52D05"/>
    <w:rsid w:val="00B52D43"/>
    <w:rsid w:val="00B52D8D"/>
    <w:rsid w:val="00B52D9D"/>
    <w:rsid w:val="00B52DB5"/>
    <w:rsid w:val="00B52E51"/>
    <w:rsid w:val="00B52E5E"/>
    <w:rsid w:val="00B52FAF"/>
    <w:rsid w:val="00B52FC8"/>
    <w:rsid w:val="00B53064"/>
    <w:rsid w:val="00B53095"/>
    <w:rsid w:val="00B53127"/>
    <w:rsid w:val="00B53167"/>
    <w:rsid w:val="00B5317F"/>
    <w:rsid w:val="00B531B9"/>
    <w:rsid w:val="00B531CC"/>
    <w:rsid w:val="00B5323E"/>
    <w:rsid w:val="00B5327A"/>
    <w:rsid w:val="00B5328F"/>
    <w:rsid w:val="00B532A4"/>
    <w:rsid w:val="00B532E8"/>
    <w:rsid w:val="00B53321"/>
    <w:rsid w:val="00B5332D"/>
    <w:rsid w:val="00B5335F"/>
    <w:rsid w:val="00B53372"/>
    <w:rsid w:val="00B533D4"/>
    <w:rsid w:val="00B533FE"/>
    <w:rsid w:val="00B53496"/>
    <w:rsid w:val="00B534C8"/>
    <w:rsid w:val="00B534F1"/>
    <w:rsid w:val="00B53598"/>
    <w:rsid w:val="00B535E0"/>
    <w:rsid w:val="00B5360A"/>
    <w:rsid w:val="00B5361F"/>
    <w:rsid w:val="00B5363C"/>
    <w:rsid w:val="00B536DC"/>
    <w:rsid w:val="00B536EF"/>
    <w:rsid w:val="00B53765"/>
    <w:rsid w:val="00B537BE"/>
    <w:rsid w:val="00B537F3"/>
    <w:rsid w:val="00B5380C"/>
    <w:rsid w:val="00B53849"/>
    <w:rsid w:val="00B53887"/>
    <w:rsid w:val="00B538D5"/>
    <w:rsid w:val="00B53907"/>
    <w:rsid w:val="00B5390D"/>
    <w:rsid w:val="00B53911"/>
    <w:rsid w:val="00B53926"/>
    <w:rsid w:val="00B5394D"/>
    <w:rsid w:val="00B5395A"/>
    <w:rsid w:val="00B53980"/>
    <w:rsid w:val="00B539B8"/>
    <w:rsid w:val="00B539E9"/>
    <w:rsid w:val="00B53A33"/>
    <w:rsid w:val="00B53A57"/>
    <w:rsid w:val="00B53BD5"/>
    <w:rsid w:val="00B53C05"/>
    <w:rsid w:val="00B53C09"/>
    <w:rsid w:val="00B53C0E"/>
    <w:rsid w:val="00B53C10"/>
    <w:rsid w:val="00B53C1D"/>
    <w:rsid w:val="00B53C32"/>
    <w:rsid w:val="00B53C7D"/>
    <w:rsid w:val="00B53CF4"/>
    <w:rsid w:val="00B53D84"/>
    <w:rsid w:val="00B53DA6"/>
    <w:rsid w:val="00B53DBC"/>
    <w:rsid w:val="00B53E09"/>
    <w:rsid w:val="00B53E51"/>
    <w:rsid w:val="00B53E6A"/>
    <w:rsid w:val="00B53ED8"/>
    <w:rsid w:val="00B53F4B"/>
    <w:rsid w:val="00B53F77"/>
    <w:rsid w:val="00B53FE8"/>
    <w:rsid w:val="00B53FF9"/>
    <w:rsid w:val="00B54011"/>
    <w:rsid w:val="00B5401F"/>
    <w:rsid w:val="00B54021"/>
    <w:rsid w:val="00B5407C"/>
    <w:rsid w:val="00B54085"/>
    <w:rsid w:val="00B540B8"/>
    <w:rsid w:val="00B540E8"/>
    <w:rsid w:val="00B54214"/>
    <w:rsid w:val="00B542E0"/>
    <w:rsid w:val="00B542F3"/>
    <w:rsid w:val="00B5431A"/>
    <w:rsid w:val="00B54399"/>
    <w:rsid w:val="00B543A9"/>
    <w:rsid w:val="00B543D6"/>
    <w:rsid w:val="00B5447A"/>
    <w:rsid w:val="00B54527"/>
    <w:rsid w:val="00B54563"/>
    <w:rsid w:val="00B545BA"/>
    <w:rsid w:val="00B545CF"/>
    <w:rsid w:val="00B545EF"/>
    <w:rsid w:val="00B5460A"/>
    <w:rsid w:val="00B546C6"/>
    <w:rsid w:val="00B54720"/>
    <w:rsid w:val="00B54746"/>
    <w:rsid w:val="00B5478D"/>
    <w:rsid w:val="00B54819"/>
    <w:rsid w:val="00B5486F"/>
    <w:rsid w:val="00B548D1"/>
    <w:rsid w:val="00B54918"/>
    <w:rsid w:val="00B54985"/>
    <w:rsid w:val="00B549A2"/>
    <w:rsid w:val="00B549AB"/>
    <w:rsid w:val="00B549C8"/>
    <w:rsid w:val="00B549E8"/>
    <w:rsid w:val="00B54A35"/>
    <w:rsid w:val="00B54AC1"/>
    <w:rsid w:val="00B54AD2"/>
    <w:rsid w:val="00B54AD4"/>
    <w:rsid w:val="00B54B70"/>
    <w:rsid w:val="00B54BBA"/>
    <w:rsid w:val="00B54BC5"/>
    <w:rsid w:val="00B54C57"/>
    <w:rsid w:val="00B54C89"/>
    <w:rsid w:val="00B54D26"/>
    <w:rsid w:val="00B54D94"/>
    <w:rsid w:val="00B54DED"/>
    <w:rsid w:val="00B54E17"/>
    <w:rsid w:val="00B54E6D"/>
    <w:rsid w:val="00B54E70"/>
    <w:rsid w:val="00B54E86"/>
    <w:rsid w:val="00B54EB3"/>
    <w:rsid w:val="00B54EBF"/>
    <w:rsid w:val="00B54F10"/>
    <w:rsid w:val="00B54F2E"/>
    <w:rsid w:val="00B54FF0"/>
    <w:rsid w:val="00B55010"/>
    <w:rsid w:val="00B55016"/>
    <w:rsid w:val="00B5502F"/>
    <w:rsid w:val="00B55045"/>
    <w:rsid w:val="00B5504F"/>
    <w:rsid w:val="00B55060"/>
    <w:rsid w:val="00B5509B"/>
    <w:rsid w:val="00B550F4"/>
    <w:rsid w:val="00B550F7"/>
    <w:rsid w:val="00B5514B"/>
    <w:rsid w:val="00B55158"/>
    <w:rsid w:val="00B5515A"/>
    <w:rsid w:val="00B5516A"/>
    <w:rsid w:val="00B5519F"/>
    <w:rsid w:val="00B551A8"/>
    <w:rsid w:val="00B55212"/>
    <w:rsid w:val="00B55242"/>
    <w:rsid w:val="00B5526F"/>
    <w:rsid w:val="00B55395"/>
    <w:rsid w:val="00B553F0"/>
    <w:rsid w:val="00B5540B"/>
    <w:rsid w:val="00B55415"/>
    <w:rsid w:val="00B55428"/>
    <w:rsid w:val="00B5552A"/>
    <w:rsid w:val="00B55588"/>
    <w:rsid w:val="00B555AC"/>
    <w:rsid w:val="00B555DD"/>
    <w:rsid w:val="00B55601"/>
    <w:rsid w:val="00B5562D"/>
    <w:rsid w:val="00B55645"/>
    <w:rsid w:val="00B55673"/>
    <w:rsid w:val="00B5568F"/>
    <w:rsid w:val="00B55798"/>
    <w:rsid w:val="00B557E0"/>
    <w:rsid w:val="00B55821"/>
    <w:rsid w:val="00B55845"/>
    <w:rsid w:val="00B5586B"/>
    <w:rsid w:val="00B55883"/>
    <w:rsid w:val="00B558CD"/>
    <w:rsid w:val="00B558FC"/>
    <w:rsid w:val="00B55902"/>
    <w:rsid w:val="00B55920"/>
    <w:rsid w:val="00B5596C"/>
    <w:rsid w:val="00B5598A"/>
    <w:rsid w:val="00B55990"/>
    <w:rsid w:val="00B559D1"/>
    <w:rsid w:val="00B55A05"/>
    <w:rsid w:val="00B55A0F"/>
    <w:rsid w:val="00B55A7F"/>
    <w:rsid w:val="00B55AEE"/>
    <w:rsid w:val="00B55AEF"/>
    <w:rsid w:val="00B55B0E"/>
    <w:rsid w:val="00B55B0F"/>
    <w:rsid w:val="00B55BBC"/>
    <w:rsid w:val="00B55BE5"/>
    <w:rsid w:val="00B55C89"/>
    <w:rsid w:val="00B55CA2"/>
    <w:rsid w:val="00B55CA6"/>
    <w:rsid w:val="00B55CA7"/>
    <w:rsid w:val="00B55CCC"/>
    <w:rsid w:val="00B55D11"/>
    <w:rsid w:val="00B55D43"/>
    <w:rsid w:val="00B55DF0"/>
    <w:rsid w:val="00B55E3C"/>
    <w:rsid w:val="00B55E8A"/>
    <w:rsid w:val="00B55F72"/>
    <w:rsid w:val="00B55FF8"/>
    <w:rsid w:val="00B560B4"/>
    <w:rsid w:val="00B56101"/>
    <w:rsid w:val="00B56109"/>
    <w:rsid w:val="00B561BB"/>
    <w:rsid w:val="00B561C3"/>
    <w:rsid w:val="00B561FD"/>
    <w:rsid w:val="00B56267"/>
    <w:rsid w:val="00B5636B"/>
    <w:rsid w:val="00B5636E"/>
    <w:rsid w:val="00B56382"/>
    <w:rsid w:val="00B56383"/>
    <w:rsid w:val="00B563A5"/>
    <w:rsid w:val="00B563B8"/>
    <w:rsid w:val="00B56400"/>
    <w:rsid w:val="00B56497"/>
    <w:rsid w:val="00B564DB"/>
    <w:rsid w:val="00B56512"/>
    <w:rsid w:val="00B56613"/>
    <w:rsid w:val="00B5662A"/>
    <w:rsid w:val="00B5662E"/>
    <w:rsid w:val="00B5677E"/>
    <w:rsid w:val="00B56781"/>
    <w:rsid w:val="00B567A8"/>
    <w:rsid w:val="00B567C7"/>
    <w:rsid w:val="00B56823"/>
    <w:rsid w:val="00B56877"/>
    <w:rsid w:val="00B568E4"/>
    <w:rsid w:val="00B568FD"/>
    <w:rsid w:val="00B5690D"/>
    <w:rsid w:val="00B5691E"/>
    <w:rsid w:val="00B56930"/>
    <w:rsid w:val="00B56966"/>
    <w:rsid w:val="00B56997"/>
    <w:rsid w:val="00B569F4"/>
    <w:rsid w:val="00B569F7"/>
    <w:rsid w:val="00B56A21"/>
    <w:rsid w:val="00B56A23"/>
    <w:rsid w:val="00B56A43"/>
    <w:rsid w:val="00B56A73"/>
    <w:rsid w:val="00B56AD3"/>
    <w:rsid w:val="00B56B29"/>
    <w:rsid w:val="00B56B87"/>
    <w:rsid w:val="00B56B93"/>
    <w:rsid w:val="00B56BDD"/>
    <w:rsid w:val="00B56C4C"/>
    <w:rsid w:val="00B56C55"/>
    <w:rsid w:val="00B56C6A"/>
    <w:rsid w:val="00B56C87"/>
    <w:rsid w:val="00B56C99"/>
    <w:rsid w:val="00B56C9D"/>
    <w:rsid w:val="00B56CBF"/>
    <w:rsid w:val="00B56CE7"/>
    <w:rsid w:val="00B56D42"/>
    <w:rsid w:val="00B56D53"/>
    <w:rsid w:val="00B56D9A"/>
    <w:rsid w:val="00B56DD2"/>
    <w:rsid w:val="00B56E0D"/>
    <w:rsid w:val="00B56E3D"/>
    <w:rsid w:val="00B56E6F"/>
    <w:rsid w:val="00B56EBF"/>
    <w:rsid w:val="00B56F22"/>
    <w:rsid w:val="00B56F95"/>
    <w:rsid w:val="00B56FAB"/>
    <w:rsid w:val="00B56FBF"/>
    <w:rsid w:val="00B56FE0"/>
    <w:rsid w:val="00B57019"/>
    <w:rsid w:val="00B5706A"/>
    <w:rsid w:val="00B57098"/>
    <w:rsid w:val="00B570D3"/>
    <w:rsid w:val="00B570DA"/>
    <w:rsid w:val="00B57124"/>
    <w:rsid w:val="00B5713C"/>
    <w:rsid w:val="00B5713F"/>
    <w:rsid w:val="00B57167"/>
    <w:rsid w:val="00B571B8"/>
    <w:rsid w:val="00B57206"/>
    <w:rsid w:val="00B57236"/>
    <w:rsid w:val="00B57287"/>
    <w:rsid w:val="00B572A6"/>
    <w:rsid w:val="00B572B5"/>
    <w:rsid w:val="00B57339"/>
    <w:rsid w:val="00B57488"/>
    <w:rsid w:val="00B5755F"/>
    <w:rsid w:val="00B575CB"/>
    <w:rsid w:val="00B57631"/>
    <w:rsid w:val="00B57638"/>
    <w:rsid w:val="00B57649"/>
    <w:rsid w:val="00B57686"/>
    <w:rsid w:val="00B57695"/>
    <w:rsid w:val="00B5778D"/>
    <w:rsid w:val="00B577D0"/>
    <w:rsid w:val="00B577E1"/>
    <w:rsid w:val="00B57815"/>
    <w:rsid w:val="00B5783D"/>
    <w:rsid w:val="00B57876"/>
    <w:rsid w:val="00B5788C"/>
    <w:rsid w:val="00B57912"/>
    <w:rsid w:val="00B57938"/>
    <w:rsid w:val="00B57A1C"/>
    <w:rsid w:val="00B57A70"/>
    <w:rsid w:val="00B57B0A"/>
    <w:rsid w:val="00B57B33"/>
    <w:rsid w:val="00B57B41"/>
    <w:rsid w:val="00B57BAE"/>
    <w:rsid w:val="00B57BCD"/>
    <w:rsid w:val="00B57C7A"/>
    <w:rsid w:val="00B57CBB"/>
    <w:rsid w:val="00B57CF3"/>
    <w:rsid w:val="00B57CF9"/>
    <w:rsid w:val="00B57CFA"/>
    <w:rsid w:val="00B57D6F"/>
    <w:rsid w:val="00B57D9B"/>
    <w:rsid w:val="00B57E6B"/>
    <w:rsid w:val="00B57EF3"/>
    <w:rsid w:val="00B57F1E"/>
    <w:rsid w:val="00B57F27"/>
    <w:rsid w:val="00B57FC9"/>
    <w:rsid w:val="00B57FE1"/>
    <w:rsid w:val="00B57FF5"/>
    <w:rsid w:val="00B60047"/>
    <w:rsid w:val="00B600C2"/>
    <w:rsid w:val="00B60131"/>
    <w:rsid w:val="00B6016D"/>
    <w:rsid w:val="00B601CD"/>
    <w:rsid w:val="00B601D6"/>
    <w:rsid w:val="00B60241"/>
    <w:rsid w:val="00B6025C"/>
    <w:rsid w:val="00B602C1"/>
    <w:rsid w:val="00B60325"/>
    <w:rsid w:val="00B60346"/>
    <w:rsid w:val="00B60371"/>
    <w:rsid w:val="00B6037C"/>
    <w:rsid w:val="00B60423"/>
    <w:rsid w:val="00B60470"/>
    <w:rsid w:val="00B60497"/>
    <w:rsid w:val="00B605D6"/>
    <w:rsid w:val="00B60650"/>
    <w:rsid w:val="00B606FF"/>
    <w:rsid w:val="00B60765"/>
    <w:rsid w:val="00B607C3"/>
    <w:rsid w:val="00B607E9"/>
    <w:rsid w:val="00B60851"/>
    <w:rsid w:val="00B608EB"/>
    <w:rsid w:val="00B608ED"/>
    <w:rsid w:val="00B6094B"/>
    <w:rsid w:val="00B60986"/>
    <w:rsid w:val="00B609C2"/>
    <w:rsid w:val="00B609FD"/>
    <w:rsid w:val="00B60A5D"/>
    <w:rsid w:val="00B60A5E"/>
    <w:rsid w:val="00B60A64"/>
    <w:rsid w:val="00B60AA3"/>
    <w:rsid w:val="00B60AD5"/>
    <w:rsid w:val="00B60B42"/>
    <w:rsid w:val="00B60B63"/>
    <w:rsid w:val="00B60B7F"/>
    <w:rsid w:val="00B60B98"/>
    <w:rsid w:val="00B60BEC"/>
    <w:rsid w:val="00B60CDA"/>
    <w:rsid w:val="00B60CFC"/>
    <w:rsid w:val="00B60D12"/>
    <w:rsid w:val="00B60D48"/>
    <w:rsid w:val="00B60DDB"/>
    <w:rsid w:val="00B60E08"/>
    <w:rsid w:val="00B60E0B"/>
    <w:rsid w:val="00B60E6E"/>
    <w:rsid w:val="00B60F44"/>
    <w:rsid w:val="00B60FBD"/>
    <w:rsid w:val="00B61049"/>
    <w:rsid w:val="00B6106F"/>
    <w:rsid w:val="00B610BF"/>
    <w:rsid w:val="00B610CD"/>
    <w:rsid w:val="00B610DB"/>
    <w:rsid w:val="00B61179"/>
    <w:rsid w:val="00B611A0"/>
    <w:rsid w:val="00B611AB"/>
    <w:rsid w:val="00B611C0"/>
    <w:rsid w:val="00B611D8"/>
    <w:rsid w:val="00B61231"/>
    <w:rsid w:val="00B6123A"/>
    <w:rsid w:val="00B61240"/>
    <w:rsid w:val="00B612A8"/>
    <w:rsid w:val="00B612C1"/>
    <w:rsid w:val="00B612FB"/>
    <w:rsid w:val="00B61362"/>
    <w:rsid w:val="00B6137D"/>
    <w:rsid w:val="00B6138B"/>
    <w:rsid w:val="00B61418"/>
    <w:rsid w:val="00B6145F"/>
    <w:rsid w:val="00B61499"/>
    <w:rsid w:val="00B61546"/>
    <w:rsid w:val="00B61569"/>
    <w:rsid w:val="00B6157B"/>
    <w:rsid w:val="00B615CC"/>
    <w:rsid w:val="00B615FE"/>
    <w:rsid w:val="00B61621"/>
    <w:rsid w:val="00B61645"/>
    <w:rsid w:val="00B61672"/>
    <w:rsid w:val="00B6167F"/>
    <w:rsid w:val="00B61715"/>
    <w:rsid w:val="00B6171B"/>
    <w:rsid w:val="00B61725"/>
    <w:rsid w:val="00B61764"/>
    <w:rsid w:val="00B617F8"/>
    <w:rsid w:val="00B617FB"/>
    <w:rsid w:val="00B6180D"/>
    <w:rsid w:val="00B61837"/>
    <w:rsid w:val="00B6186D"/>
    <w:rsid w:val="00B61882"/>
    <w:rsid w:val="00B61891"/>
    <w:rsid w:val="00B618D0"/>
    <w:rsid w:val="00B61920"/>
    <w:rsid w:val="00B619FC"/>
    <w:rsid w:val="00B61A10"/>
    <w:rsid w:val="00B61A22"/>
    <w:rsid w:val="00B61A43"/>
    <w:rsid w:val="00B61A5C"/>
    <w:rsid w:val="00B61A5F"/>
    <w:rsid w:val="00B61AE2"/>
    <w:rsid w:val="00B61AEE"/>
    <w:rsid w:val="00B61B4F"/>
    <w:rsid w:val="00B61B62"/>
    <w:rsid w:val="00B61B91"/>
    <w:rsid w:val="00B61BBF"/>
    <w:rsid w:val="00B61BF7"/>
    <w:rsid w:val="00B61C2C"/>
    <w:rsid w:val="00B61C74"/>
    <w:rsid w:val="00B61CD7"/>
    <w:rsid w:val="00B61D4C"/>
    <w:rsid w:val="00B61D62"/>
    <w:rsid w:val="00B61DAA"/>
    <w:rsid w:val="00B61E3D"/>
    <w:rsid w:val="00B61E52"/>
    <w:rsid w:val="00B61E9E"/>
    <w:rsid w:val="00B61EB2"/>
    <w:rsid w:val="00B61F3C"/>
    <w:rsid w:val="00B62025"/>
    <w:rsid w:val="00B6202B"/>
    <w:rsid w:val="00B62046"/>
    <w:rsid w:val="00B6209B"/>
    <w:rsid w:val="00B620B3"/>
    <w:rsid w:val="00B620ED"/>
    <w:rsid w:val="00B62139"/>
    <w:rsid w:val="00B6214D"/>
    <w:rsid w:val="00B621BD"/>
    <w:rsid w:val="00B621DD"/>
    <w:rsid w:val="00B621FB"/>
    <w:rsid w:val="00B6226F"/>
    <w:rsid w:val="00B622AC"/>
    <w:rsid w:val="00B622C0"/>
    <w:rsid w:val="00B62375"/>
    <w:rsid w:val="00B62383"/>
    <w:rsid w:val="00B623A5"/>
    <w:rsid w:val="00B6242D"/>
    <w:rsid w:val="00B6250B"/>
    <w:rsid w:val="00B6253C"/>
    <w:rsid w:val="00B62578"/>
    <w:rsid w:val="00B62592"/>
    <w:rsid w:val="00B62632"/>
    <w:rsid w:val="00B626D0"/>
    <w:rsid w:val="00B626FE"/>
    <w:rsid w:val="00B62711"/>
    <w:rsid w:val="00B62716"/>
    <w:rsid w:val="00B62758"/>
    <w:rsid w:val="00B627D2"/>
    <w:rsid w:val="00B6281F"/>
    <w:rsid w:val="00B62834"/>
    <w:rsid w:val="00B628C2"/>
    <w:rsid w:val="00B628F1"/>
    <w:rsid w:val="00B628FB"/>
    <w:rsid w:val="00B628FC"/>
    <w:rsid w:val="00B62923"/>
    <w:rsid w:val="00B6294E"/>
    <w:rsid w:val="00B62985"/>
    <w:rsid w:val="00B62AC4"/>
    <w:rsid w:val="00B62B65"/>
    <w:rsid w:val="00B62B88"/>
    <w:rsid w:val="00B62BAA"/>
    <w:rsid w:val="00B62BE4"/>
    <w:rsid w:val="00B62C23"/>
    <w:rsid w:val="00B62CA9"/>
    <w:rsid w:val="00B62CBB"/>
    <w:rsid w:val="00B62CBE"/>
    <w:rsid w:val="00B62CC2"/>
    <w:rsid w:val="00B62CE5"/>
    <w:rsid w:val="00B62D07"/>
    <w:rsid w:val="00B62D22"/>
    <w:rsid w:val="00B62D4A"/>
    <w:rsid w:val="00B62D4C"/>
    <w:rsid w:val="00B62D5E"/>
    <w:rsid w:val="00B62D67"/>
    <w:rsid w:val="00B62DD8"/>
    <w:rsid w:val="00B62DF4"/>
    <w:rsid w:val="00B62E0C"/>
    <w:rsid w:val="00B62E9F"/>
    <w:rsid w:val="00B62EBE"/>
    <w:rsid w:val="00B62F1C"/>
    <w:rsid w:val="00B62F42"/>
    <w:rsid w:val="00B62F8C"/>
    <w:rsid w:val="00B62FDD"/>
    <w:rsid w:val="00B63039"/>
    <w:rsid w:val="00B63055"/>
    <w:rsid w:val="00B63090"/>
    <w:rsid w:val="00B630A1"/>
    <w:rsid w:val="00B630AD"/>
    <w:rsid w:val="00B630D9"/>
    <w:rsid w:val="00B630ED"/>
    <w:rsid w:val="00B630FF"/>
    <w:rsid w:val="00B63102"/>
    <w:rsid w:val="00B63103"/>
    <w:rsid w:val="00B63137"/>
    <w:rsid w:val="00B63142"/>
    <w:rsid w:val="00B6317A"/>
    <w:rsid w:val="00B63209"/>
    <w:rsid w:val="00B63235"/>
    <w:rsid w:val="00B6330D"/>
    <w:rsid w:val="00B63320"/>
    <w:rsid w:val="00B633D3"/>
    <w:rsid w:val="00B634C9"/>
    <w:rsid w:val="00B63545"/>
    <w:rsid w:val="00B63561"/>
    <w:rsid w:val="00B635C3"/>
    <w:rsid w:val="00B635F5"/>
    <w:rsid w:val="00B63635"/>
    <w:rsid w:val="00B63650"/>
    <w:rsid w:val="00B63662"/>
    <w:rsid w:val="00B6366D"/>
    <w:rsid w:val="00B6368B"/>
    <w:rsid w:val="00B636C0"/>
    <w:rsid w:val="00B6373F"/>
    <w:rsid w:val="00B63757"/>
    <w:rsid w:val="00B63766"/>
    <w:rsid w:val="00B637C7"/>
    <w:rsid w:val="00B63833"/>
    <w:rsid w:val="00B63854"/>
    <w:rsid w:val="00B63862"/>
    <w:rsid w:val="00B639AF"/>
    <w:rsid w:val="00B63A75"/>
    <w:rsid w:val="00B63A87"/>
    <w:rsid w:val="00B63A93"/>
    <w:rsid w:val="00B63B16"/>
    <w:rsid w:val="00B63BAF"/>
    <w:rsid w:val="00B63BFE"/>
    <w:rsid w:val="00B63C6E"/>
    <w:rsid w:val="00B63D04"/>
    <w:rsid w:val="00B63D1A"/>
    <w:rsid w:val="00B63D26"/>
    <w:rsid w:val="00B63D6F"/>
    <w:rsid w:val="00B63DBE"/>
    <w:rsid w:val="00B63E2F"/>
    <w:rsid w:val="00B63E87"/>
    <w:rsid w:val="00B63E98"/>
    <w:rsid w:val="00B63ECE"/>
    <w:rsid w:val="00B63EE0"/>
    <w:rsid w:val="00B63EFB"/>
    <w:rsid w:val="00B63F89"/>
    <w:rsid w:val="00B64036"/>
    <w:rsid w:val="00B64044"/>
    <w:rsid w:val="00B64112"/>
    <w:rsid w:val="00B6416A"/>
    <w:rsid w:val="00B6416C"/>
    <w:rsid w:val="00B641A9"/>
    <w:rsid w:val="00B641AA"/>
    <w:rsid w:val="00B64203"/>
    <w:rsid w:val="00B6425B"/>
    <w:rsid w:val="00B64284"/>
    <w:rsid w:val="00B642D7"/>
    <w:rsid w:val="00B6436E"/>
    <w:rsid w:val="00B643F9"/>
    <w:rsid w:val="00B64480"/>
    <w:rsid w:val="00B644B5"/>
    <w:rsid w:val="00B644B6"/>
    <w:rsid w:val="00B644C5"/>
    <w:rsid w:val="00B644E4"/>
    <w:rsid w:val="00B64531"/>
    <w:rsid w:val="00B64565"/>
    <w:rsid w:val="00B64566"/>
    <w:rsid w:val="00B64587"/>
    <w:rsid w:val="00B645D2"/>
    <w:rsid w:val="00B64614"/>
    <w:rsid w:val="00B64668"/>
    <w:rsid w:val="00B64676"/>
    <w:rsid w:val="00B64689"/>
    <w:rsid w:val="00B646E2"/>
    <w:rsid w:val="00B64728"/>
    <w:rsid w:val="00B64779"/>
    <w:rsid w:val="00B647A7"/>
    <w:rsid w:val="00B647CE"/>
    <w:rsid w:val="00B64833"/>
    <w:rsid w:val="00B6485A"/>
    <w:rsid w:val="00B6490A"/>
    <w:rsid w:val="00B64946"/>
    <w:rsid w:val="00B6494B"/>
    <w:rsid w:val="00B64A3A"/>
    <w:rsid w:val="00B64A45"/>
    <w:rsid w:val="00B64A77"/>
    <w:rsid w:val="00B64AEC"/>
    <w:rsid w:val="00B64B18"/>
    <w:rsid w:val="00B64C62"/>
    <w:rsid w:val="00B64CD3"/>
    <w:rsid w:val="00B64DF1"/>
    <w:rsid w:val="00B64E01"/>
    <w:rsid w:val="00B64E08"/>
    <w:rsid w:val="00B64E13"/>
    <w:rsid w:val="00B64EB5"/>
    <w:rsid w:val="00B64EBD"/>
    <w:rsid w:val="00B64EDA"/>
    <w:rsid w:val="00B64EE4"/>
    <w:rsid w:val="00B64F1A"/>
    <w:rsid w:val="00B64FA3"/>
    <w:rsid w:val="00B64FAF"/>
    <w:rsid w:val="00B64FBA"/>
    <w:rsid w:val="00B6504D"/>
    <w:rsid w:val="00B65058"/>
    <w:rsid w:val="00B6506B"/>
    <w:rsid w:val="00B6508C"/>
    <w:rsid w:val="00B6508E"/>
    <w:rsid w:val="00B650EA"/>
    <w:rsid w:val="00B6510B"/>
    <w:rsid w:val="00B65114"/>
    <w:rsid w:val="00B6512B"/>
    <w:rsid w:val="00B6519D"/>
    <w:rsid w:val="00B65217"/>
    <w:rsid w:val="00B65279"/>
    <w:rsid w:val="00B6528B"/>
    <w:rsid w:val="00B65306"/>
    <w:rsid w:val="00B65347"/>
    <w:rsid w:val="00B653A3"/>
    <w:rsid w:val="00B653D3"/>
    <w:rsid w:val="00B65419"/>
    <w:rsid w:val="00B6542E"/>
    <w:rsid w:val="00B6546D"/>
    <w:rsid w:val="00B65498"/>
    <w:rsid w:val="00B65499"/>
    <w:rsid w:val="00B65555"/>
    <w:rsid w:val="00B65593"/>
    <w:rsid w:val="00B655B2"/>
    <w:rsid w:val="00B65612"/>
    <w:rsid w:val="00B65614"/>
    <w:rsid w:val="00B6561B"/>
    <w:rsid w:val="00B6562E"/>
    <w:rsid w:val="00B656A4"/>
    <w:rsid w:val="00B656D9"/>
    <w:rsid w:val="00B65718"/>
    <w:rsid w:val="00B6579C"/>
    <w:rsid w:val="00B657BA"/>
    <w:rsid w:val="00B657BC"/>
    <w:rsid w:val="00B65808"/>
    <w:rsid w:val="00B65833"/>
    <w:rsid w:val="00B65884"/>
    <w:rsid w:val="00B6588C"/>
    <w:rsid w:val="00B659C6"/>
    <w:rsid w:val="00B65ACD"/>
    <w:rsid w:val="00B65AD8"/>
    <w:rsid w:val="00B65AF1"/>
    <w:rsid w:val="00B65B16"/>
    <w:rsid w:val="00B65B3D"/>
    <w:rsid w:val="00B65B48"/>
    <w:rsid w:val="00B65C3A"/>
    <w:rsid w:val="00B65C78"/>
    <w:rsid w:val="00B65C90"/>
    <w:rsid w:val="00B65C98"/>
    <w:rsid w:val="00B65CB3"/>
    <w:rsid w:val="00B65CCF"/>
    <w:rsid w:val="00B65CE3"/>
    <w:rsid w:val="00B65D24"/>
    <w:rsid w:val="00B65D95"/>
    <w:rsid w:val="00B65DA0"/>
    <w:rsid w:val="00B65DAD"/>
    <w:rsid w:val="00B65DE1"/>
    <w:rsid w:val="00B65E2B"/>
    <w:rsid w:val="00B65E8F"/>
    <w:rsid w:val="00B65E94"/>
    <w:rsid w:val="00B65EB5"/>
    <w:rsid w:val="00B65EC7"/>
    <w:rsid w:val="00B65F25"/>
    <w:rsid w:val="00B65FEB"/>
    <w:rsid w:val="00B66027"/>
    <w:rsid w:val="00B66029"/>
    <w:rsid w:val="00B66031"/>
    <w:rsid w:val="00B66050"/>
    <w:rsid w:val="00B66077"/>
    <w:rsid w:val="00B66161"/>
    <w:rsid w:val="00B6617E"/>
    <w:rsid w:val="00B66206"/>
    <w:rsid w:val="00B66301"/>
    <w:rsid w:val="00B66305"/>
    <w:rsid w:val="00B66306"/>
    <w:rsid w:val="00B66321"/>
    <w:rsid w:val="00B66326"/>
    <w:rsid w:val="00B663A2"/>
    <w:rsid w:val="00B663F0"/>
    <w:rsid w:val="00B6645B"/>
    <w:rsid w:val="00B6646E"/>
    <w:rsid w:val="00B66473"/>
    <w:rsid w:val="00B664C8"/>
    <w:rsid w:val="00B664D8"/>
    <w:rsid w:val="00B664ED"/>
    <w:rsid w:val="00B66517"/>
    <w:rsid w:val="00B66532"/>
    <w:rsid w:val="00B6656F"/>
    <w:rsid w:val="00B66590"/>
    <w:rsid w:val="00B665A6"/>
    <w:rsid w:val="00B665CE"/>
    <w:rsid w:val="00B665DD"/>
    <w:rsid w:val="00B66614"/>
    <w:rsid w:val="00B6668D"/>
    <w:rsid w:val="00B666B1"/>
    <w:rsid w:val="00B66733"/>
    <w:rsid w:val="00B667E6"/>
    <w:rsid w:val="00B6686F"/>
    <w:rsid w:val="00B66932"/>
    <w:rsid w:val="00B66937"/>
    <w:rsid w:val="00B669B6"/>
    <w:rsid w:val="00B669FF"/>
    <w:rsid w:val="00B66A19"/>
    <w:rsid w:val="00B66A1B"/>
    <w:rsid w:val="00B66B24"/>
    <w:rsid w:val="00B66B75"/>
    <w:rsid w:val="00B66B81"/>
    <w:rsid w:val="00B66C32"/>
    <w:rsid w:val="00B66CB7"/>
    <w:rsid w:val="00B66CCB"/>
    <w:rsid w:val="00B66D35"/>
    <w:rsid w:val="00B66D54"/>
    <w:rsid w:val="00B66E3C"/>
    <w:rsid w:val="00B66E47"/>
    <w:rsid w:val="00B66E6E"/>
    <w:rsid w:val="00B6702B"/>
    <w:rsid w:val="00B670A5"/>
    <w:rsid w:val="00B670C1"/>
    <w:rsid w:val="00B670C2"/>
    <w:rsid w:val="00B670D5"/>
    <w:rsid w:val="00B670DC"/>
    <w:rsid w:val="00B67176"/>
    <w:rsid w:val="00B6722A"/>
    <w:rsid w:val="00B67239"/>
    <w:rsid w:val="00B6729E"/>
    <w:rsid w:val="00B672BA"/>
    <w:rsid w:val="00B672D4"/>
    <w:rsid w:val="00B672F5"/>
    <w:rsid w:val="00B6730E"/>
    <w:rsid w:val="00B6731A"/>
    <w:rsid w:val="00B6731F"/>
    <w:rsid w:val="00B6735E"/>
    <w:rsid w:val="00B67383"/>
    <w:rsid w:val="00B67486"/>
    <w:rsid w:val="00B67539"/>
    <w:rsid w:val="00B6753F"/>
    <w:rsid w:val="00B675A3"/>
    <w:rsid w:val="00B675C7"/>
    <w:rsid w:val="00B67622"/>
    <w:rsid w:val="00B676B2"/>
    <w:rsid w:val="00B676F9"/>
    <w:rsid w:val="00B67725"/>
    <w:rsid w:val="00B6776A"/>
    <w:rsid w:val="00B677B3"/>
    <w:rsid w:val="00B67857"/>
    <w:rsid w:val="00B678AF"/>
    <w:rsid w:val="00B678B2"/>
    <w:rsid w:val="00B678B4"/>
    <w:rsid w:val="00B6792D"/>
    <w:rsid w:val="00B679E0"/>
    <w:rsid w:val="00B679F3"/>
    <w:rsid w:val="00B67A2D"/>
    <w:rsid w:val="00B67A38"/>
    <w:rsid w:val="00B67A6E"/>
    <w:rsid w:val="00B67A8C"/>
    <w:rsid w:val="00B67B92"/>
    <w:rsid w:val="00B67BE3"/>
    <w:rsid w:val="00B67C82"/>
    <w:rsid w:val="00B67CBA"/>
    <w:rsid w:val="00B67CE0"/>
    <w:rsid w:val="00B67D81"/>
    <w:rsid w:val="00B67DAE"/>
    <w:rsid w:val="00B67DCF"/>
    <w:rsid w:val="00B67E7E"/>
    <w:rsid w:val="00B67F5D"/>
    <w:rsid w:val="00B67F67"/>
    <w:rsid w:val="00B67FA1"/>
    <w:rsid w:val="00B70017"/>
    <w:rsid w:val="00B700C0"/>
    <w:rsid w:val="00B700F1"/>
    <w:rsid w:val="00B70127"/>
    <w:rsid w:val="00B70170"/>
    <w:rsid w:val="00B70186"/>
    <w:rsid w:val="00B701AA"/>
    <w:rsid w:val="00B703AD"/>
    <w:rsid w:val="00B704AD"/>
    <w:rsid w:val="00B704D2"/>
    <w:rsid w:val="00B7052B"/>
    <w:rsid w:val="00B70540"/>
    <w:rsid w:val="00B70550"/>
    <w:rsid w:val="00B7064E"/>
    <w:rsid w:val="00B7066A"/>
    <w:rsid w:val="00B706A9"/>
    <w:rsid w:val="00B706B8"/>
    <w:rsid w:val="00B7072A"/>
    <w:rsid w:val="00B70887"/>
    <w:rsid w:val="00B708F7"/>
    <w:rsid w:val="00B70935"/>
    <w:rsid w:val="00B70962"/>
    <w:rsid w:val="00B709CE"/>
    <w:rsid w:val="00B709E8"/>
    <w:rsid w:val="00B70A06"/>
    <w:rsid w:val="00B70A27"/>
    <w:rsid w:val="00B70A2B"/>
    <w:rsid w:val="00B70A3F"/>
    <w:rsid w:val="00B70A46"/>
    <w:rsid w:val="00B70A6A"/>
    <w:rsid w:val="00B70B07"/>
    <w:rsid w:val="00B70B31"/>
    <w:rsid w:val="00B70B34"/>
    <w:rsid w:val="00B70B3B"/>
    <w:rsid w:val="00B70B52"/>
    <w:rsid w:val="00B70C76"/>
    <w:rsid w:val="00B70C7F"/>
    <w:rsid w:val="00B70CA9"/>
    <w:rsid w:val="00B70CD3"/>
    <w:rsid w:val="00B70CE3"/>
    <w:rsid w:val="00B70D53"/>
    <w:rsid w:val="00B70D71"/>
    <w:rsid w:val="00B70E3F"/>
    <w:rsid w:val="00B70E5A"/>
    <w:rsid w:val="00B70EAA"/>
    <w:rsid w:val="00B70EBA"/>
    <w:rsid w:val="00B70EBB"/>
    <w:rsid w:val="00B70F09"/>
    <w:rsid w:val="00B70FA3"/>
    <w:rsid w:val="00B70FB2"/>
    <w:rsid w:val="00B71052"/>
    <w:rsid w:val="00B7105C"/>
    <w:rsid w:val="00B7106D"/>
    <w:rsid w:val="00B71072"/>
    <w:rsid w:val="00B71088"/>
    <w:rsid w:val="00B710AA"/>
    <w:rsid w:val="00B710DA"/>
    <w:rsid w:val="00B710ED"/>
    <w:rsid w:val="00B710FF"/>
    <w:rsid w:val="00B71180"/>
    <w:rsid w:val="00B711D2"/>
    <w:rsid w:val="00B71258"/>
    <w:rsid w:val="00B7127A"/>
    <w:rsid w:val="00B712DA"/>
    <w:rsid w:val="00B71335"/>
    <w:rsid w:val="00B714A0"/>
    <w:rsid w:val="00B71537"/>
    <w:rsid w:val="00B7155F"/>
    <w:rsid w:val="00B71560"/>
    <w:rsid w:val="00B71652"/>
    <w:rsid w:val="00B716D6"/>
    <w:rsid w:val="00B716E9"/>
    <w:rsid w:val="00B7172B"/>
    <w:rsid w:val="00B71788"/>
    <w:rsid w:val="00B717E1"/>
    <w:rsid w:val="00B71811"/>
    <w:rsid w:val="00B71826"/>
    <w:rsid w:val="00B71909"/>
    <w:rsid w:val="00B7193F"/>
    <w:rsid w:val="00B71A4E"/>
    <w:rsid w:val="00B71A78"/>
    <w:rsid w:val="00B71A8F"/>
    <w:rsid w:val="00B71A96"/>
    <w:rsid w:val="00B71A9B"/>
    <w:rsid w:val="00B71AB1"/>
    <w:rsid w:val="00B71AC0"/>
    <w:rsid w:val="00B71B73"/>
    <w:rsid w:val="00B71B7A"/>
    <w:rsid w:val="00B71B87"/>
    <w:rsid w:val="00B71B8A"/>
    <w:rsid w:val="00B71C0D"/>
    <w:rsid w:val="00B71C2F"/>
    <w:rsid w:val="00B71C8C"/>
    <w:rsid w:val="00B71CE8"/>
    <w:rsid w:val="00B71D59"/>
    <w:rsid w:val="00B71D83"/>
    <w:rsid w:val="00B71DC2"/>
    <w:rsid w:val="00B71DD6"/>
    <w:rsid w:val="00B71E4E"/>
    <w:rsid w:val="00B71E82"/>
    <w:rsid w:val="00B71F06"/>
    <w:rsid w:val="00B71F21"/>
    <w:rsid w:val="00B71F87"/>
    <w:rsid w:val="00B71F99"/>
    <w:rsid w:val="00B71FAD"/>
    <w:rsid w:val="00B71FEB"/>
    <w:rsid w:val="00B71FFA"/>
    <w:rsid w:val="00B72043"/>
    <w:rsid w:val="00B72081"/>
    <w:rsid w:val="00B72082"/>
    <w:rsid w:val="00B72095"/>
    <w:rsid w:val="00B720AC"/>
    <w:rsid w:val="00B720B2"/>
    <w:rsid w:val="00B720C1"/>
    <w:rsid w:val="00B720CF"/>
    <w:rsid w:val="00B720DE"/>
    <w:rsid w:val="00B7211E"/>
    <w:rsid w:val="00B7211F"/>
    <w:rsid w:val="00B72152"/>
    <w:rsid w:val="00B72187"/>
    <w:rsid w:val="00B721F8"/>
    <w:rsid w:val="00B72236"/>
    <w:rsid w:val="00B72291"/>
    <w:rsid w:val="00B722AF"/>
    <w:rsid w:val="00B72317"/>
    <w:rsid w:val="00B72327"/>
    <w:rsid w:val="00B72376"/>
    <w:rsid w:val="00B72442"/>
    <w:rsid w:val="00B7261E"/>
    <w:rsid w:val="00B726F2"/>
    <w:rsid w:val="00B7271C"/>
    <w:rsid w:val="00B727AE"/>
    <w:rsid w:val="00B72812"/>
    <w:rsid w:val="00B728D0"/>
    <w:rsid w:val="00B7299B"/>
    <w:rsid w:val="00B729D9"/>
    <w:rsid w:val="00B72A05"/>
    <w:rsid w:val="00B72A28"/>
    <w:rsid w:val="00B72A99"/>
    <w:rsid w:val="00B72A9D"/>
    <w:rsid w:val="00B72AA5"/>
    <w:rsid w:val="00B72AFC"/>
    <w:rsid w:val="00B72B2B"/>
    <w:rsid w:val="00B72B3B"/>
    <w:rsid w:val="00B72BD4"/>
    <w:rsid w:val="00B72C54"/>
    <w:rsid w:val="00B72C8F"/>
    <w:rsid w:val="00B72CA9"/>
    <w:rsid w:val="00B72CB3"/>
    <w:rsid w:val="00B72CE5"/>
    <w:rsid w:val="00B72D17"/>
    <w:rsid w:val="00B72D23"/>
    <w:rsid w:val="00B72D2F"/>
    <w:rsid w:val="00B72D65"/>
    <w:rsid w:val="00B72D87"/>
    <w:rsid w:val="00B72DC2"/>
    <w:rsid w:val="00B72DD9"/>
    <w:rsid w:val="00B72DDC"/>
    <w:rsid w:val="00B72E17"/>
    <w:rsid w:val="00B72E5E"/>
    <w:rsid w:val="00B72F36"/>
    <w:rsid w:val="00B72F5E"/>
    <w:rsid w:val="00B72F74"/>
    <w:rsid w:val="00B72FD8"/>
    <w:rsid w:val="00B72FF8"/>
    <w:rsid w:val="00B7300B"/>
    <w:rsid w:val="00B730DB"/>
    <w:rsid w:val="00B730ED"/>
    <w:rsid w:val="00B7311F"/>
    <w:rsid w:val="00B731B9"/>
    <w:rsid w:val="00B731F6"/>
    <w:rsid w:val="00B73265"/>
    <w:rsid w:val="00B7332E"/>
    <w:rsid w:val="00B7334E"/>
    <w:rsid w:val="00B73350"/>
    <w:rsid w:val="00B733B0"/>
    <w:rsid w:val="00B73462"/>
    <w:rsid w:val="00B7349D"/>
    <w:rsid w:val="00B734A8"/>
    <w:rsid w:val="00B734AD"/>
    <w:rsid w:val="00B73601"/>
    <w:rsid w:val="00B7363C"/>
    <w:rsid w:val="00B736D4"/>
    <w:rsid w:val="00B736D9"/>
    <w:rsid w:val="00B736F3"/>
    <w:rsid w:val="00B7371C"/>
    <w:rsid w:val="00B7373D"/>
    <w:rsid w:val="00B73751"/>
    <w:rsid w:val="00B73787"/>
    <w:rsid w:val="00B7378A"/>
    <w:rsid w:val="00B737AA"/>
    <w:rsid w:val="00B737B2"/>
    <w:rsid w:val="00B737B5"/>
    <w:rsid w:val="00B737F6"/>
    <w:rsid w:val="00B7384B"/>
    <w:rsid w:val="00B7388A"/>
    <w:rsid w:val="00B738F6"/>
    <w:rsid w:val="00B7390D"/>
    <w:rsid w:val="00B73942"/>
    <w:rsid w:val="00B7395A"/>
    <w:rsid w:val="00B739B8"/>
    <w:rsid w:val="00B739BD"/>
    <w:rsid w:val="00B739F2"/>
    <w:rsid w:val="00B73A8E"/>
    <w:rsid w:val="00B73AB1"/>
    <w:rsid w:val="00B73AB3"/>
    <w:rsid w:val="00B73B77"/>
    <w:rsid w:val="00B73B86"/>
    <w:rsid w:val="00B73BA5"/>
    <w:rsid w:val="00B73BC4"/>
    <w:rsid w:val="00B73BC9"/>
    <w:rsid w:val="00B73C54"/>
    <w:rsid w:val="00B73C5B"/>
    <w:rsid w:val="00B73CBD"/>
    <w:rsid w:val="00B73CF2"/>
    <w:rsid w:val="00B73CF8"/>
    <w:rsid w:val="00B73D27"/>
    <w:rsid w:val="00B73D6E"/>
    <w:rsid w:val="00B73D7F"/>
    <w:rsid w:val="00B73D89"/>
    <w:rsid w:val="00B73DB4"/>
    <w:rsid w:val="00B73DCE"/>
    <w:rsid w:val="00B73DD7"/>
    <w:rsid w:val="00B73DF4"/>
    <w:rsid w:val="00B73E41"/>
    <w:rsid w:val="00B73E4F"/>
    <w:rsid w:val="00B73E8A"/>
    <w:rsid w:val="00B73F1F"/>
    <w:rsid w:val="00B73F81"/>
    <w:rsid w:val="00B73FBF"/>
    <w:rsid w:val="00B73FD9"/>
    <w:rsid w:val="00B7408D"/>
    <w:rsid w:val="00B7409C"/>
    <w:rsid w:val="00B74121"/>
    <w:rsid w:val="00B74128"/>
    <w:rsid w:val="00B74157"/>
    <w:rsid w:val="00B7417E"/>
    <w:rsid w:val="00B741E4"/>
    <w:rsid w:val="00B74205"/>
    <w:rsid w:val="00B74299"/>
    <w:rsid w:val="00B74331"/>
    <w:rsid w:val="00B7435B"/>
    <w:rsid w:val="00B74365"/>
    <w:rsid w:val="00B743D0"/>
    <w:rsid w:val="00B74411"/>
    <w:rsid w:val="00B74433"/>
    <w:rsid w:val="00B74436"/>
    <w:rsid w:val="00B7444D"/>
    <w:rsid w:val="00B74479"/>
    <w:rsid w:val="00B74480"/>
    <w:rsid w:val="00B7448C"/>
    <w:rsid w:val="00B7453F"/>
    <w:rsid w:val="00B745A7"/>
    <w:rsid w:val="00B7461A"/>
    <w:rsid w:val="00B7462B"/>
    <w:rsid w:val="00B7464B"/>
    <w:rsid w:val="00B746B9"/>
    <w:rsid w:val="00B7470D"/>
    <w:rsid w:val="00B7474C"/>
    <w:rsid w:val="00B7475F"/>
    <w:rsid w:val="00B747B2"/>
    <w:rsid w:val="00B747C7"/>
    <w:rsid w:val="00B747E5"/>
    <w:rsid w:val="00B748D4"/>
    <w:rsid w:val="00B7492B"/>
    <w:rsid w:val="00B74959"/>
    <w:rsid w:val="00B749C4"/>
    <w:rsid w:val="00B749FE"/>
    <w:rsid w:val="00B74A04"/>
    <w:rsid w:val="00B74A4F"/>
    <w:rsid w:val="00B74A70"/>
    <w:rsid w:val="00B74A87"/>
    <w:rsid w:val="00B74AE5"/>
    <w:rsid w:val="00B74AE7"/>
    <w:rsid w:val="00B74B46"/>
    <w:rsid w:val="00B74BCC"/>
    <w:rsid w:val="00B74BCE"/>
    <w:rsid w:val="00B74C07"/>
    <w:rsid w:val="00B74C13"/>
    <w:rsid w:val="00B74C19"/>
    <w:rsid w:val="00B74C38"/>
    <w:rsid w:val="00B74C5F"/>
    <w:rsid w:val="00B74CB6"/>
    <w:rsid w:val="00B74D2E"/>
    <w:rsid w:val="00B74D3C"/>
    <w:rsid w:val="00B74D8C"/>
    <w:rsid w:val="00B74EA1"/>
    <w:rsid w:val="00B74ED7"/>
    <w:rsid w:val="00B74EE1"/>
    <w:rsid w:val="00B74F1E"/>
    <w:rsid w:val="00B7501E"/>
    <w:rsid w:val="00B7509E"/>
    <w:rsid w:val="00B750A5"/>
    <w:rsid w:val="00B750DF"/>
    <w:rsid w:val="00B7519D"/>
    <w:rsid w:val="00B751D4"/>
    <w:rsid w:val="00B75283"/>
    <w:rsid w:val="00B7528A"/>
    <w:rsid w:val="00B752B1"/>
    <w:rsid w:val="00B752F2"/>
    <w:rsid w:val="00B753C0"/>
    <w:rsid w:val="00B7541C"/>
    <w:rsid w:val="00B75461"/>
    <w:rsid w:val="00B7547D"/>
    <w:rsid w:val="00B754D6"/>
    <w:rsid w:val="00B75562"/>
    <w:rsid w:val="00B75572"/>
    <w:rsid w:val="00B7557E"/>
    <w:rsid w:val="00B75675"/>
    <w:rsid w:val="00B7573F"/>
    <w:rsid w:val="00B75784"/>
    <w:rsid w:val="00B757B2"/>
    <w:rsid w:val="00B757C6"/>
    <w:rsid w:val="00B7587E"/>
    <w:rsid w:val="00B75986"/>
    <w:rsid w:val="00B759B9"/>
    <w:rsid w:val="00B75A08"/>
    <w:rsid w:val="00B75A5C"/>
    <w:rsid w:val="00B75AA5"/>
    <w:rsid w:val="00B75ACD"/>
    <w:rsid w:val="00B75ADE"/>
    <w:rsid w:val="00B75B5A"/>
    <w:rsid w:val="00B75BB9"/>
    <w:rsid w:val="00B75C14"/>
    <w:rsid w:val="00B75CA6"/>
    <w:rsid w:val="00B75CB1"/>
    <w:rsid w:val="00B75CF5"/>
    <w:rsid w:val="00B75D0B"/>
    <w:rsid w:val="00B75D76"/>
    <w:rsid w:val="00B75D94"/>
    <w:rsid w:val="00B75DAE"/>
    <w:rsid w:val="00B75E47"/>
    <w:rsid w:val="00B75E86"/>
    <w:rsid w:val="00B75EE1"/>
    <w:rsid w:val="00B75EFE"/>
    <w:rsid w:val="00B75F0B"/>
    <w:rsid w:val="00B75F25"/>
    <w:rsid w:val="00B75F39"/>
    <w:rsid w:val="00B75F6C"/>
    <w:rsid w:val="00B75F89"/>
    <w:rsid w:val="00B75FCE"/>
    <w:rsid w:val="00B75FCF"/>
    <w:rsid w:val="00B760A0"/>
    <w:rsid w:val="00B76102"/>
    <w:rsid w:val="00B76127"/>
    <w:rsid w:val="00B7615D"/>
    <w:rsid w:val="00B76173"/>
    <w:rsid w:val="00B7617A"/>
    <w:rsid w:val="00B76185"/>
    <w:rsid w:val="00B7619D"/>
    <w:rsid w:val="00B761DF"/>
    <w:rsid w:val="00B76214"/>
    <w:rsid w:val="00B76236"/>
    <w:rsid w:val="00B7623A"/>
    <w:rsid w:val="00B76259"/>
    <w:rsid w:val="00B762C6"/>
    <w:rsid w:val="00B762CC"/>
    <w:rsid w:val="00B76389"/>
    <w:rsid w:val="00B76466"/>
    <w:rsid w:val="00B76472"/>
    <w:rsid w:val="00B76492"/>
    <w:rsid w:val="00B764B1"/>
    <w:rsid w:val="00B764C9"/>
    <w:rsid w:val="00B764E2"/>
    <w:rsid w:val="00B764FC"/>
    <w:rsid w:val="00B76544"/>
    <w:rsid w:val="00B7658E"/>
    <w:rsid w:val="00B765C6"/>
    <w:rsid w:val="00B766A1"/>
    <w:rsid w:val="00B766CD"/>
    <w:rsid w:val="00B766DC"/>
    <w:rsid w:val="00B766ED"/>
    <w:rsid w:val="00B766F0"/>
    <w:rsid w:val="00B7673A"/>
    <w:rsid w:val="00B76740"/>
    <w:rsid w:val="00B76773"/>
    <w:rsid w:val="00B767B9"/>
    <w:rsid w:val="00B767CF"/>
    <w:rsid w:val="00B7684B"/>
    <w:rsid w:val="00B768DA"/>
    <w:rsid w:val="00B768DD"/>
    <w:rsid w:val="00B76926"/>
    <w:rsid w:val="00B76987"/>
    <w:rsid w:val="00B76991"/>
    <w:rsid w:val="00B769A8"/>
    <w:rsid w:val="00B76A30"/>
    <w:rsid w:val="00B76A49"/>
    <w:rsid w:val="00B76AA7"/>
    <w:rsid w:val="00B76AC2"/>
    <w:rsid w:val="00B76AFB"/>
    <w:rsid w:val="00B76B20"/>
    <w:rsid w:val="00B76B53"/>
    <w:rsid w:val="00B76B71"/>
    <w:rsid w:val="00B76B80"/>
    <w:rsid w:val="00B76BEC"/>
    <w:rsid w:val="00B76C1C"/>
    <w:rsid w:val="00B76C24"/>
    <w:rsid w:val="00B76C54"/>
    <w:rsid w:val="00B76C9C"/>
    <w:rsid w:val="00B76CCD"/>
    <w:rsid w:val="00B76D04"/>
    <w:rsid w:val="00B76DEA"/>
    <w:rsid w:val="00B76DF9"/>
    <w:rsid w:val="00B76E00"/>
    <w:rsid w:val="00B76E2E"/>
    <w:rsid w:val="00B76ECF"/>
    <w:rsid w:val="00B76EE8"/>
    <w:rsid w:val="00B76EEE"/>
    <w:rsid w:val="00B76F61"/>
    <w:rsid w:val="00B76F87"/>
    <w:rsid w:val="00B76F91"/>
    <w:rsid w:val="00B76F99"/>
    <w:rsid w:val="00B76FAD"/>
    <w:rsid w:val="00B76FFF"/>
    <w:rsid w:val="00B77010"/>
    <w:rsid w:val="00B77080"/>
    <w:rsid w:val="00B7710B"/>
    <w:rsid w:val="00B77177"/>
    <w:rsid w:val="00B77193"/>
    <w:rsid w:val="00B771D2"/>
    <w:rsid w:val="00B771EF"/>
    <w:rsid w:val="00B77226"/>
    <w:rsid w:val="00B7723A"/>
    <w:rsid w:val="00B77293"/>
    <w:rsid w:val="00B77321"/>
    <w:rsid w:val="00B77372"/>
    <w:rsid w:val="00B773B5"/>
    <w:rsid w:val="00B773B6"/>
    <w:rsid w:val="00B773CB"/>
    <w:rsid w:val="00B773D4"/>
    <w:rsid w:val="00B773F3"/>
    <w:rsid w:val="00B773F4"/>
    <w:rsid w:val="00B773F8"/>
    <w:rsid w:val="00B7741C"/>
    <w:rsid w:val="00B774AD"/>
    <w:rsid w:val="00B774B9"/>
    <w:rsid w:val="00B77531"/>
    <w:rsid w:val="00B7753B"/>
    <w:rsid w:val="00B77541"/>
    <w:rsid w:val="00B77560"/>
    <w:rsid w:val="00B775DA"/>
    <w:rsid w:val="00B77625"/>
    <w:rsid w:val="00B7762F"/>
    <w:rsid w:val="00B7763E"/>
    <w:rsid w:val="00B77676"/>
    <w:rsid w:val="00B776F9"/>
    <w:rsid w:val="00B7775E"/>
    <w:rsid w:val="00B777A6"/>
    <w:rsid w:val="00B777B1"/>
    <w:rsid w:val="00B777BB"/>
    <w:rsid w:val="00B777CA"/>
    <w:rsid w:val="00B777DB"/>
    <w:rsid w:val="00B77812"/>
    <w:rsid w:val="00B77839"/>
    <w:rsid w:val="00B77866"/>
    <w:rsid w:val="00B7789C"/>
    <w:rsid w:val="00B778F6"/>
    <w:rsid w:val="00B77927"/>
    <w:rsid w:val="00B779FF"/>
    <w:rsid w:val="00B77A23"/>
    <w:rsid w:val="00B77A65"/>
    <w:rsid w:val="00B77A66"/>
    <w:rsid w:val="00B77A73"/>
    <w:rsid w:val="00B77A78"/>
    <w:rsid w:val="00B77A90"/>
    <w:rsid w:val="00B77AF5"/>
    <w:rsid w:val="00B77B25"/>
    <w:rsid w:val="00B77B5A"/>
    <w:rsid w:val="00B77B6B"/>
    <w:rsid w:val="00B77B74"/>
    <w:rsid w:val="00B77B9D"/>
    <w:rsid w:val="00B77BEF"/>
    <w:rsid w:val="00B77C2E"/>
    <w:rsid w:val="00B77C3C"/>
    <w:rsid w:val="00B77C5A"/>
    <w:rsid w:val="00B77C86"/>
    <w:rsid w:val="00B77CBC"/>
    <w:rsid w:val="00B77D2D"/>
    <w:rsid w:val="00B77D4D"/>
    <w:rsid w:val="00B77D83"/>
    <w:rsid w:val="00B77DDA"/>
    <w:rsid w:val="00B77E25"/>
    <w:rsid w:val="00B77E50"/>
    <w:rsid w:val="00B77E64"/>
    <w:rsid w:val="00B77E77"/>
    <w:rsid w:val="00B77E9F"/>
    <w:rsid w:val="00B77F11"/>
    <w:rsid w:val="00B77F26"/>
    <w:rsid w:val="00B77F37"/>
    <w:rsid w:val="00B77F43"/>
    <w:rsid w:val="00B77F6D"/>
    <w:rsid w:val="00B77FA6"/>
    <w:rsid w:val="00B77FA9"/>
    <w:rsid w:val="00B77FB0"/>
    <w:rsid w:val="00B80057"/>
    <w:rsid w:val="00B8007D"/>
    <w:rsid w:val="00B800A2"/>
    <w:rsid w:val="00B800E1"/>
    <w:rsid w:val="00B80124"/>
    <w:rsid w:val="00B80168"/>
    <w:rsid w:val="00B8018F"/>
    <w:rsid w:val="00B80217"/>
    <w:rsid w:val="00B80275"/>
    <w:rsid w:val="00B80291"/>
    <w:rsid w:val="00B8033B"/>
    <w:rsid w:val="00B8043B"/>
    <w:rsid w:val="00B80447"/>
    <w:rsid w:val="00B8044E"/>
    <w:rsid w:val="00B80475"/>
    <w:rsid w:val="00B804A6"/>
    <w:rsid w:val="00B804ED"/>
    <w:rsid w:val="00B805B1"/>
    <w:rsid w:val="00B805E8"/>
    <w:rsid w:val="00B80621"/>
    <w:rsid w:val="00B80632"/>
    <w:rsid w:val="00B8063C"/>
    <w:rsid w:val="00B8064D"/>
    <w:rsid w:val="00B8064E"/>
    <w:rsid w:val="00B80698"/>
    <w:rsid w:val="00B806A1"/>
    <w:rsid w:val="00B806B1"/>
    <w:rsid w:val="00B8072E"/>
    <w:rsid w:val="00B8072F"/>
    <w:rsid w:val="00B80790"/>
    <w:rsid w:val="00B807DB"/>
    <w:rsid w:val="00B80881"/>
    <w:rsid w:val="00B808CA"/>
    <w:rsid w:val="00B808EC"/>
    <w:rsid w:val="00B808FF"/>
    <w:rsid w:val="00B80997"/>
    <w:rsid w:val="00B809E0"/>
    <w:rsid w:val="00B809E9"/>
    <w:rsid w:val="00B809FE"/>
    <w:rsid w:val="00B80A80"/>
    <w:rsid w:val="00B80A8B"/>
    <w:rsid w:val="00B80AAE"/>
    <w:rsid w:val="00B80AC8"/>
    <w:rsid w:val="00B80AD9"/>
    <w:rsid w:val="00B80B3B"/>
    <w:rsid w:val="00B80B4F"/>
    <w:rsid w:val="00B80BB1"/>
    <w:rsid w:val="00B80BC8"/>
    <w:rsid w:val="00B80CB2"/>
    <w:rsid w:val="00B80D3F"/>
    <w:rsid w:val="00B80D52"/>
    <w:rsid w:val="00B80D55"/>
    <w:rsid w:val="00B80D76"/>
    <w:rsid w:val="00B80D78"/>
    <w:rsid w:val="00B80D9B"/>
    <w:rsid w:val="00B80DFA"/>
    <w:rsid w:val="00B80E75"/>
    <w:rsid w:val="00B80EAF"/>
    <w:rsid w:val="00B80F41"/>
    <w:rsid w:val="00B80F82"/>
    <w:rsid w:val="00B80FB3"/>
    <w:rsid w:val="00B81010"/>
    <w:rsid w:val="00B8102A"/>
    <w:rsid w:val="00B810C5"/>
    <w:rsid w:val="00B81176"/>
    <w:rsid w:val="00B811D7"/>
    <w:rsid w:val="00B8123C"/>
    <w:rsid w:val="00B8123F"/>
    <w:rsid w:val="00B813A0"/>
    <w:rsid w:val="00B813D1"/>
    <w:rsid w:val="00B81400"/>
    <w:rsid w:val="00B81443"/>
    <w:rsid w:val="00B814FA"/>
    <w:rsid w:val="00B81511"/>
    <w:rsid w:val="00B81550"/>
    <w:rsid w:val="00B815B3"/>
    <w:rsid w:val="00B815C1"/>
    <w:rsid w:val="00B815D1"/>
    <w:rsid w:val="00B815D3"/>
    <w:rsid w:val="00B815E4"/>
    <w:rsid w:val="00B816A6"/>
    <w:rsid w:val="00B816D6"/>
    <w:rsid w:val="00B816D7"/>
    <w:rsid w:val="00B81702"/>
    <w:rsid w:val="00B81724"/>
    <w:rsid w:val="00B8174A"/>
    <w:rsid w:val="00B81789"/>
    <w:rsid w:val="00B8179D"/>
    <w:rsid w:val="00B817AA"/>
    <w:rsid w:val="00B81824"/>
    <w:rsid w:val="00B81835"/>
    <w:rsid w:val="00B81895"/>
    <w:rsid w:val="00B81899"/>
    <w:rsid w:val="00B818F1"/>
    <w:rsid w:val="00B8190C"/>
    <w:rsid w:val="00B81934"/>
    <w:rsid w:val="00B819D1"/>
    <w:rsid w:val="00B819FF"/>
    <w:rsid w:val="00B81A10"/>
    <w:rsid w:val="00B81A65"/>
    <w:rsid w:val="00B81A91"/>
    <w:rsid w:val="00B81AD0"/>
    <w:rsid w:val="00B81B00"/>
    <w:rsid w:val="00B81B95"/>
    <w:rsid w:val="00B81BE2"/>
    <w:rsid w:val="00B81BF1"/>
    <w:rsid w:val="00B81C0A"/>
    <w:rsid w:val="00B81C0B"/>
    <w:rsid w:val="00B81C0C"/>
    <w:rsid w:val="00B81C31"/>
    <w:rsid w:val="00B81C3A"/>
    <w:rsid w:val="00B81C4D"/>
    <w:rsid w:val="00B81C66"/>
    <w:rsid w:val="00B81C67"/>
    <w:rsid w:val="00B81C70"/>
    <w:rsid w:val="00B81CA1"/>
    <w:rsid w:val="00B81CB4"/>
    <w:rsid w:val="00B81CE7"/>
    <w:rsid w:val="00B81D09"/>
    <w:rsid w:val="00B81D90"/>
    <w:rsid w:val="00B81DED"/>
    <w:rsid w:val="00B81E17"/>
    <w:rsid w:val="00B81E5C"/>
    <w:rsid w:val="00B81EFA"/>
    <w:rsid w:val="00B81F1B"/>
    <w:rsid w:val="00B81F2C"/>
    <w:rsid w:val="00B81FC1"/>
    <w:rsid w:val="00B82061"/>
    <w:rsid w:val="00B820A2"/>
    <w:rsid w:val="00B82177"/>
    <w:rsid w:val="00B821D5"/>
    <w:rsid w:val="00B82220"/>
    <w:rsid w:val="00B82228"/>
    <w:rsid w:val="00B8223D"/>
    <w:rsid w:val="00B82254"/>
    <w:rsid w:val="00B822BB"/>
    <w:rsid w:val="00B822F3"/>
    <w:rsid w:val="00B822F4"/>
    <w:rsid w:val="00B82319"/>
    <w:rsid w:val="00B82367"/>
    <w:rsid w:val="00B823D9"/>
    <w:rsid w:val="00B823DD"/>
    <w:rsid w:val="00B8241F"/>
    <w:rsid w:val="00B8244C"/>
    <w:rsid w:val="00B82452"/>
    <w:rsid w:val="00B82484"/>
    <w:rsid w:val="00B8248F"/>
    <w:rsid w:val="00B82493"/>
    <w:rsid w:val="00B824B1"/>
    <w:rsid w:val="00B824EF"/>
    <w:rsid w:val="00B82510"/>
    <w:rsid w:val="00B825C0"/>
    <w:rsid w:val="00B82600"/>
    <w:rsid w:val="00B8260A"/>
    <w:rsid w:val="00B8261D"/>
    <w:rsid w:val="00B8261F"/>
    <w:rsid w:val="00B826BA"/>
    <w:rsid w:val="00B8278C"/>
    <w:rsid w:val="00B8278D"/>
    <w:rsid w:val="00B827A7"/>
    <w:rsid w:val="00B827E1"/>
    <w:rsid w:val="00B827FB"/>
    <w:rsid w:val="00B82832"/>
    <w:rsid w:val="00B8285E"/>
    <w:rsid w:val="00B82879"/>
    <w:rsid w:val="00B8287B"/>
    <w:rsid w:val="00B8288A"/>
    <w:rsid w:val="00B8297B"/>
    <w:rsid w:val="00B82983"/>
    <w:rsid w:val="00B829F8"/>
    <w:rsid w:val="00B82A82"/>
    <w:rsid w:val="00B82B2F"/>
    <w:rsid w:val="00B82BD5"/>
    <w:rsid w:val="00B82BD6"/>
    <w:rsid w:val="00B82BE4"/>
    <w:rsid w:val="00B82BFF"/>
    <w:rsid w:val="00B82C18"/>
    <w:rsid w:val="00B82C48"/>
    <w:rsid w:val="00B82CB6"/>
    <w:rsid w:val="00B82CBC"/>
    <w:rsid w:val="00B82D42"/>
    <w:rsid w:val="00B82D49"/>
    <w:rsid w:val="00B82D4D"/>
    <w:rsid w:val="00B82D5D"/>
    <w:rsid w:val="00B82D68"/>
    <w:rsid w:val="00B82D7F"/>
    <w:rsid w:val="00B82DBD"/>
    <w:rsid w:val="00B82DDD"/>
    <w:rsid w:val="00B82E6C"/>
    <w:rsid w:val="00B82FA3"/>
    <w:rsid w:val="00B82FE4"/>
    <w:rsid w:val="00B82FE7"/>
    <w:rsid w:val="00B82FEE"/>
    <w:rsid w:val="00B83005"/>
    <w:rsid w:val="00B83057"/>
    <w:rsid w:val="00B83086"/>
    <w:rsid w:val="00B830B0"/>
    <w:rsid w:val="00B83104"/>
    <w:rsid w:val="00B831C1"/>
    <w:rsid w:val="00B831DF"/>
    <w:rsid w:val="00B83227"/>
    <w:rsid w:val="00B83258"/>
    <w:rsid w:val="00B83291"/>
    <w:rsid w:val="00B8332A"/>
    <w:rsid w:val="00B83370"/>
    <w:rsid w:val="00B83373"/>
    <w:rsid w:val="00B83377"/>
    <w:rsid w:val="00B83416"/>
    <w:rsid w:val="00B8341E"/>
    <w:rsid w:val="00B83420"/>
    <w:rsid w:val="00B83492"/>
    <w:rsid w:val="00B834BD"/>
    <w:rsid w:val="00B834E5"/>
    <w:rsid w:val="00B83507"/>
    <w:rsid w:val="00B8354E"/>
    <w:rsid w:val="00B83555"/>
    <w:rsid w:val="00B8358B"/>
    <w:rsid w:val="00B8358F"/>
    <w:rsid w:val="00B835A5"/>
    <w:rsid w:val="00B835C1"/>
    <w:rsid w:val="00B8360C"/>
    <w:rsid w:val="00B836EA"/>
    <w:rsid w:val="00B8376E"/>
    <w:rsid w:val="00B8379F"/>
    <w:rsid w:val="00B8381D"/>
    <w:rsid w:val="00B83834"/>
    <w:rsid w:val="00B8385D"/>
    <w:rsid w:val="00B83898"/>
    <w:rsid w:val="00B838BF"/>
    <w:rsid w:val="00B8393B"/>
    <w:rsid w:val="00B8397B"/>
    <w:rsid w:val="00B8399E"/>
    <w:rsid w:val="00B83A50"/>
    <w:rsid w:val="00B83A64"/>
    <w:rsid w:val="00B83A94"/>
    <w:rsid w:val="00B83A99"/>
    <w:rsid w:val="00B83ABA"/>
    <w:rsid w:val="00B83AC1"/>
    <w:rsid w:val="00B83B34"/>
    <w:rsid w:val="00B83BC2"/>
    <w:rsid w:val="00B83C14"/>
    <w:rsid w:val="00B83CBD"/>
    <w:rsid w:val="00B83CDD"/>
    <w:rsid w:val="00B83CEC"/>
    <w:rsid w:val="00B83CF5"/>
    <w:rsid w:val="00B83D22"/>
    <w:rsid w:val="00B83D7F"/>
    <w:rsid w:val="00B83DCB"/>
    <w:rsid w:val="00B83DDF"/>
    <w:rsid w:val="00B83DF0"/>
    <w:rsid w:val="00B83DF2"/>
    <w:rsid w:val="00B83DFA"/>
    <w:rsid w:val="00B83E08"/>
    <w:rsid w:val="00B83E54"/>
    <w:rsid w:val="00B83EAA"/>
    <w:rsid w:val="00B83ECD"/>
    <w:rsid w:val="00B83ED7"/>
    <w:rsid w:val="00B83EFE"/>
    <w:rsid w:val="00B83F35"/>
    <w:rsid w:val="00B83F7A"/>
    <w:rsid w:val="00B83FAB"/>
    <w:rsid w:val="00B83FDB"/>
    <w:rsid w:val="00B83FE4"/>
    <w:rsid w:val="00B83FE5"/>
    <w:rsid w:val="00B8403F"/>
    <w:rsid w:val="00B8406B"/>
    <w:rsid w:val="00B840C4"/>
    <w:rsid w:val="00B840E6"/>
    <w:rsid w:val="00B8411D"/>
    <w:rsid w:val="00B84155"/>
    <w:rsid w:val="00B84164"/>
    <w:rsid w:val="00B841CD"/>
    <w:rsid w:val="00B841F1"/>
    <w:rsid w:val="00B8421F"/>
    <w:rsid w:val="00B84330"/>
    <w:rsid w:val="00B8433C"/>
    <w:rsid w:val="00B84372"/>
    <w:rsid w:val="00B84376"/>
    <w:rsid w:val="00B843B8"/>
    <w:rsid w:val="00B84422"/>
    <w:rsid w:val="00B84485"/>
    <w:rsid w:val="00B8449C"/>
    <w:rsid w:val="00B844CC"/>
    <w:rsid w:val="00B844F8"/>
    <w:rsid w:val="00B84546"/>
    <w:rsid w:val="00B845F2"/>
    <w:rsid w:val="00B84646"/>
    <w:rsid w:val="00B84664"/>
    <w:rsid w:val="00B8467F"/>
    <w:rsid w:val="00B84719"/>
    <w:rsid w:val="00B84730"/>
    <w:rsid w:val="00B84776"/>
    <w:rsid w:val="00B847AA"/>
    <w:rsid w:val="00B847D8"/>
    <w:rsid w:val="00B8484B"/>
    <w:rsid w:val="00B848E8"/>
    <w:rsid w:val="00B848F1"/>
    <w:rsid w:val="00B84934"/>
    <w:rsid w:val="00B849B5"/>
    <w:rsid w:val="00B849D2"/>
    <w:rsid w:val="00B849D9"/>
    <w:rsid w:val="00B84A61"/>
    <w:rsid w:val="00B84A6F"/>
    <w:rsid w:val="00B84AAD"/>
    <w:rsid w:val="00B84B0E"/>
    <w:rsid w:val="00B84B12"/>
    <w:rsid w:val="00B84B25"/>
    <w:rsid w:val="00B84BA2"/>
    <w:rsid w:val="00B84BF3"/>
    <w:rsid w:val="00B84BF7"/>
    <w:rsid w:val="00B84C21"/>
    <w:rsid w:val="00B84C34"/>
    <w:rsid w:val="00B84C61"/>
    <w:rsid w:val="00B84CB0"/>
    <w:rsid w:val="00B84D0B"/>
    <w:rsid w:val="00B84E0E"/>
    <w:rsid w:val="00B84E13"/>
    <w:rsid w:val="00B84E4F"/>
    <w:rsid w:val="00B84E59"/>
    <w:rsid w:val="00B84E90"/>
    <w:rsid w:val="00B84F40"/>
    <w:rsid w:val="00B84F9C"/>
    <w:rsid w:val="00B8501F"/>
    <w:rsid w:val="00B85027"/>
    <w:rsid w:val="00B850EE"/>
    <w:rsid w:val="00B85125"/>
    <w:rsid w:val="00B85164"/>
    <w:rsid w:val="00B8519B"/>
    <w:rsid w:val="00B851E9"/>
    <w:rsid w:val="00B851EF"/>
    <w:rsid w:val="00B85205"/>
    <w:rsid w:val="00B8527A"/>
    <w:rsid w:val="00B8533F"/>
    <w:rsid w:val="00B85386"/>
    <w:rsid w:val="00B85398"/>
    <w:rsid w:val="00B853F2"/>
    <w:rsid w:val="00B85430"/>
    <w:rsid w:val="00B8545B"/>
    <w:rsid w:val="00B85497"/>
    <w:rsid w:val="00B854C4"/>
    <w:rsid w:val="00B854DC"/>
    <w:rsid w:val="00B8552C"/>
    <w:rsid w:val="00B8553F"/>
    <w:rsid w:val="00B8554F"/>
    <w:rsid w:val="00B85552"/>
    <w:rsid w:val="00B8557D"/>
    <w:rsid w:val="00B855E4"/>
    <w:rsid w:val="00B855E7"/>
    <w:rsid w:val="00B85619"/>
    <w:rsid w:val="00B85673"/>
    <w:rsid w:val="00B856AF"/>
    <w:rsid w:val="00B856D7"/>
    <w:rsid w:val="00B8580A"/>
    <w:rsid w:val="00B85819"/>
    <w:rsid w:val="00B8581A"/>
    <w:rsid w:val="00B85827"/>
    <w:rsid w:val="00B85868"/>
    <w:rsid w:val="00B858A3"/>
    <w:rsid w:val="00B8594B"/>
    <w:rsid w:val="00B8595B"/>
    <w:rsid w:val="00B8596A"/>
    <w:rsid w:val="00B8599B"/>
    <w:rsid w:val="00B859E3"/>
    <w:rsid w:val="00B859E7"/>
    <w:rsid w:val="00B85A1C"/>
    <w:rsid w:val="00B85A20"/>
    <w:rsid w:val="00B85A3A"/>
    <w:rsid w:val="00B85AB0"/>
    <w:rsid w:val="00B85B2C"/>
    <w:rsid w:val="00B85B38"/>
    <w:rsid w:val="00B85B3F"/>
    <w:rsid w:val="00B85B9B"/>
    <w:rsid w:val="00B85C74"/>
    <w:rsid w:val="00B85CA5"/>
    <w:rsid w:val="00B85CD0"/>
    <w:rsid w:val="00B85CD3"/>
    <w:rsid w:val="00B85E0F"/>
    <w:rsid w:val="00B85E28"/>
    <w:rsid w:val="00B85E78"/>
    <w:rsid w:val="00B85EC3"/>
    <w:rsid w:val="00B85ECA"/>
    <w:rsid w:val="00B85ED1"/>
    <w:rsid w:val="00B85EE0"/>
    <w:rsid w:val="00B85EF0"/>
    <w:rsid w:val="00B85EF7"/>
    <w:rsid w:val="00B85F53"/>
    <w:rsid w:val="00B85F70"/>
    <w:rsid w:val="00B85F7C"/>
    <w:rsid w:val="00B85FD2"/>
    <w:rsid w:val="00B86066"/>
    <w:rsid w:val="00B860AA"/>
    <w:rsid w:val="00B860B6"/>
    <w:rsid w:val="00B8618B"/>
    <w:rsid w:val="00B861A6"/>
    <w:rsid w:val="00B861D7"/>
    <w:rsid w:val="00B8623F"/>
    <w:rsid w:val="00B86256"/>
    <w:rsid w:val="00B862E3"/>
    <w:rsid w:val="00B86322"/>
    <w:rsid w:val="00B86327"/>
    <w:rsid w:val="00B86380"/>
    <w:rsid w:val="00B863C3"/>
    <w:rsid w:val="00B863E4"/>
    <w:rsid w:val="00B863F4"/>
    <w:rsid w:val="00B8641A"/>
    <w:rsid w:val="00B86457"/>
    <w:rsid w:val="00B864A0"/>
    <w:rsid w:val="00B864D3"/>
    <w:rsid w:val="00B864D8"/>
    <w:rsid w:val="00B8654D"/>
    <w:rsid w:val="00B86636"/>
    <w:rsid w:val="00B8664B"/>
    <w:rsid w:val="00B8664E"/>
    <w:rsid w:val="00B86671"/>
    <w:rsid w:val="00B86701"/>
    <w:rsid w:val="00B867FB"/>
    <w:rsid w:val="00B86843"/>
    <w:rsid w:val="00B86856"/>
    <w:rsid w:val="00B86885"/>
    <w:rsid w:val="00B86894"/>
    <w:rsid w:val="00B868E0"/>
    <w:rsid w:val="00B8690D"/>
    <w:rsid w:val="00B8691F"/>
    <w:rsid w:val="00B86924"/>
    <w:rsid w:val="00B8694C"/>
    <w:rsid w:val="00B86997"/>
    <w:rsid w:val="00B869D5"/>
    <w:rsid w:val="00B86A72"/>
    <w:rsid w:val="00B86A98"/>
    <w:rsid w:val="00B86B2A"/>
    <w:rsid w:val="00B86B7C"/>
    <w:rsid w:val="00B86BF5"/>
    <w:rsid w:val="00B86C12"/>
    <w:rsid w:val="00B86C33"/>
    <w:rsid w:val="00B86C42"/>
    <w:rsid w:val="00B86C61"/>
    <w:rsid w:val="00B86CA2"/>
    <w:rsid w:val="00B86CA5"/>
    <w:rsid w:val="00B86CCD"/>
    <w:rsid w:val="00B86D24"/>
    <w:rsid w:val="00B86D3F"/>
    <w:rsid w:val="00B86D4E"/>
    <w:rsid w:val="00B86D9D"/>
    <w:rsid w:val="00B86E96"/>
    <w:rsid w:val="00B86EA8"/>
    <w:rsid w:val="00B86F18"/>
    <w:rsid w:val="00B86F1F"/>
    <w:rsid w:val="00B86F5E"/>
    <w:rsid w:val="00B86F6D"/>
    <w:rsid w:val="00B86FE8"/>
    <w:rsid w:val="00B8704D"/>
    <w:rsid w:val="00B8708E"/>
    <w:rsid w:val="00B870B7"/>
    <w:rsid w:val="00B87112"/>
    <w:rsid w:val="00B87186"/>
    <w:rsid w:val="00B871A5"/>
    <w:rsid w:val="00B87225"/>
    <w:rsid w:val="00B8722D"/>
    <w:rsid w:val="00B872DA"/>
    <w:rsid w:val="00B87346"/>
    <w:rsid w:val="00B8737B"/>
    <w:rsid w:val="00B873AB"/>
    <w:rsid w:val="00B87447"/>
    <w:rsid w:val="00B874AA"/>
    <w:rsid w:val="00B874B2"/>
    <w:rsid w:val="00B874BD"/>
    <w:rsid w:val="00B87503"/>
    <w:rsid w:val="00B8754C"/>
    <w:rsid w:val="00B87558"/>
    <w:rsid w:val="00B875C9"/>
    <w:rsid w:val="00B875F4"/>
    <w:rsid w:val="00B875FA"/>
    <w:rsid w:val="00B87617"/>
    <w:rsid w:val="00B87693"/>
    <w:rsid w:val="00B8769A"/>
    <w:rsid w:val="00B87737"/>
    <w:rsid w:val="00B87790"/>
    <w:rsid w:val="00B877A6"/>
    <w:rsid w:val="00B877B2"/>
    <w:rsid w:val="00B877B4"/>
    <w:rsid w:val="00B877CE"/>
    <w:rsid w:val="00B87927"/>
    <w:rsid w:val="00B87929"/>
    <w:rsid w:val="00B87952"/>
    <w:rsid w:val="00B87969"/>
    <w:rsid w:val="00B87988"/>
    <w:rsid w:val="00B879A4"/>
    <w:rsid w:val="00B879A9"/>
    <w:rsid w:val="00B879BB"/>
    <w:rsid w:val="00B879E0"/>
    <w:rsid w:val="00B879FC"/>
    <w:rsid w:val="00B87A23"/>
    <w:rsid w:val="00B87B0B"/>
    <w:rsid w:val="00B87B19"/>
    <w:rsid w:val="00B87B32"/>
    <w:rsid w:val="00B87B51"/>
    <w:rsid w:val="00B87B74"/>
    <w:rsid w:val="00B87B82"/>
    <w:rsid w:val="00B87BB2"/>
    <w:rsid w:val="00B87BC9"/>
    <w:rsid w:val="00B87BEB"/>
    <w:rsid w:val="00B87BF3"/>
    <w:rsid w:val="00B87BF6"/>
    <w:rsid w:val="00B87C01"/>
    <w:rsid w:val="00B87C14"/>
    <w:rsid w:val="00B87C67"/>
    <w:rsid w:val="00B87C6B"/>
    <w:rsid w:val="00B87C79"/>
    <w:rsid w:val="00B87C89"/>
    <w:rsid w:val="00B87CBD"/>
    <w:rsid w:val="00B87D22"/>
    <w:rsid w:val="00B87DBA"/>
    <w:rsid w:val="00B87E08"/>
    <w:rsid w:val="00B87EFF"/>
    <w:rsid w:val="00B87F18"/>
    <w:rsid w:val="00B87F6C"/>
    <w:rsid w:val="00B87F86"/>
    <w:rsid w:val="00B87FE8"/>
    <w:rsid w:val="00B90072"/>
    <w:rsid w:val="00B901A0"/>
    <w:rsid w:val="00B901B8"/>
    <w:rsid w:val="00B90202"/>
    <w:rsid w:val="00B90221"/>
    <w:rsid w:val="00B90240"/>
    <w:rsid w:val="00B90279"/>
    <w:rsid w:val="00B902A1"/>
    <w:rsid w:val="00B90302"/>
    <w:rsid w:val="00B9031A"/>
    <w:rsid w:val="00B90343"/>
    <w:rsid w:val="00B903BA"/>
    <w:rsid w:val="00B9040C"/>
    <w:rsid w:val="00B90425"/>
    <w:rsid w:val="00B90449"/>
    <w:rsid w:val="00B90498"/>
    <w:rsid w:val="00B904FA"/>
    <w:rsid w:val="00B90568"/>
    <w:rsid w:val="00B90585"/>
    <w:rsid w:val="00B90609"/>
    <w:rsid w:val="00B9067A"/>
    <w:rsid w:val="00B90680"/>
    <w:rsid w:val="00B9071F"/>
    <w:rsid w:val="00B90738"/>
    <w:rsid w:val="00B9073B"/>
    <w:rsid w:val="00B907A9"/>
    <w:rsid w:val="00B9085E"/>
    <w:rsid w:val="00B908D9"/>
    <w:rsid w:val="00B90928"/>
    <w:rsid w:val="00B90977"/>
    <w:rsid w:val="00B9097A"/>
    <w:rsid w:val="00B90997"/>
    <w:rsid w:val="00B90999"/>
    <w:rsid w:val="00B9099C"/>
    <w:rsid w:val="00B909E5"/>
    <w:rsid w:val="00B90A18"/>
    <w:rsid w:val="00B90A6B"/>
    <w:rsid w:val="00B90AC6"/>
    <w:rsid w:val="00B90B38"/>
    <w:rsid w:val="00B90B7B"/>
    <w:rsid w:val="00B90B9E"/>
    <w:rsid w:val="00B90BBA"/>
    <w:rsid w:val="00B90BE5"/>
    <w:rsid w:val="00B90BEF"/>
    <w:rsid w:val="00B90C3A"/>
    <w:rsid w:val="00B90C98"/>
    <w:rsid w:val="00B90CCA"/>
    <w:rsid w:val="00B90CE4"/>
    <w:rsid w:val="00B90D60"/>
    <w:rsid w:val="00B90DBA"/>
    <w:rsid w:val="00B90DE7"/>
    <w:rsid w:val="00B90E0B"/>
    <w:rsid w:val="00B90E5A"/>
    <w:rsid w:val="00B90E77"/>
    <w:rsid w:val="00B90E9E"/>
    <w:rsid w:val="00B90EC1"/>
    <w:rsid w:val="00B90F19"/>
    <w:rsid w:val="00B90F5E"/>
    <w:rsid w:val="00B90F7C"/>
    <w:rsid w:val="00B90FD8"/>
    <w:rsid w:val="00B90FEA"/>
    <w:rsid w:val="00B9102C"/>
    <w:rsid w:val="00B910E6"/>
    <w:rsid w:val="00B91102"/>
    <w:rsid w:val="00B91175"/>
    <w:rsid w:val="00B911AE"/>
    <w:rsid w:val="00B911BE"/>
    <w:rsid w:val="00B911CB"/>
    <w:rsid w:val="00B911DE"/>
    <w:rsid w:val="00B911F7"/>
    <w:rsid w:val="00B9120B"/>
    <w:rsid w:val="00B91246"/>
    <w:rsid w:val="00B9126A"/>
    <w:rsid w:val="00B91279"/>
    <w:rsid w:val="00B91288"/>
    <w:rsid w:val="00B912E8"/>
    <w:rsid w:val="00B912EB"/>
    <w:rsid w:val="00B912F7"/>
    <w:rsid w:val="00B9134E"/>
    <w:rsid w:val="00B9137F"/>
    <w:rsid w:val="00B91382"/>
    <w:rsid w:val="00B913C2"/>
    <w:rsid w:val="00B91429"/>
    <w:rsid w:val="00B9142E"/>
    <w:rsid w:val="00B91469"/>
    <w:rsid w:val="00B91491"/>
    <w:rsid w:val="00B914AC"/>
    <w:rsid w:val="00B914B4"/>
    <w:rsid w:val="00B9150A"/>
    <w:rsid w:val="00B91527"/>
    <w:rsid w:val="00B9154B"/>
    <w:rsid w:val="00B91571"/>
    <w:rsid w:val="00B9163B"/>
    <w:rsid w:val="00B91690"/>
    <w:rsid w:val="00B916C6"/>
    <w:rsid w:val="00B916DF"/>
    <w:rsid w:val="00B91725"/>
    <w:rsid w:val="00B917D0"/>
    <w:rsid w:val="00B917DA"/>
    <w:rsid w:val="00B9187F"/>
    <w:rsid w:val="00B918B8"/>
    <w:rsid w:val="00B918C5"/>
    <w:rsid w:val="00B918E3"/>
    <w:rsid w:val="00B9199E"/>
    <w:rsid w:val="00B91A1F"/>
    <w:rsid w:val="00B91AD7"/>
    <w:rsid w:val="00B91B98"/>
    <w:rsid w:val="00B91BE3"/>
    <w:rsid w:val="00B91CB0"/>
    <w:rsid w:val="00B91DA7"/>
    <w:rsid w:val="00B91DF6"/>
    <w:rsid w:val="00B91E17"/>
    <w:rsid w:val="00B91E35"/>
    <w:rsid w:val="00B91EC8"/>
    <w:rsid w:val="00B91ED5"/>
    <w:rsid w:val="00B91EFE"/>
    <w:rsid w:val="00B91F51"/>
    <w:rsid w:val="00B91FD1"/>
    <w:rsid w:val="00B91FF4"/>
    <w:rsid w:val="00B91FF9"/>
    <w:rsid w:val="00B92042"/>
    <w:rsid w:val="00B92088"/>
    <w:rsid w:val="00B920AD"/>
    <w:rsid w:val="00B9213C"/>
    <w:rsid w:val="00B921AA"/>
    <w:rsid w:val="00B921D6"/>
    <w:rsid w:val="00B92224"/>
    <w:rsid w:val="00B9222F"/>
    <w:rsid w:val="00B9229E"/>
    <w:rsid w:val="00B923E7"/>
    <w:rsid w:val="00B92406"/>
    <w:rsid w:val="00B92412"/>
    <w:rsid w:val="00B9244F"/>
    <w:rsid w:val="00B92515"/>
    <w:rsid w:val="00B925BE"/>
    <w:rsid w:val="00B925C9"/>
    <w:rsid w:val="00B925D3"/>
    <w:rsid w:val="00B925EA"/>
    <w:rsid w:val="00B92604"/>
    <w:rsid w:val="00B92607"/>
    <w:rsid w:val="00B92657"/>
    <w:rsid w:val="00B926F6"/>
    <w:rsid w:val="00B92782"/>
    <w:rsid w:val="00B927AE"/>
    <w:rsid w:val="00B927D5"/>
    <w:rsid w:val="00B927FD"/>
    <w:rsid w:val="00B92802"/>
    <w:rsid w:val="00B92812"/>
    <w:rsid w:val="00B92837"/>
    <w:rsid w:val="00B928C1"/>
    <w:rsid w:val="00B928E2"/>
    <w:rsid w:val="00B92912"/>
    <w:rsid w:val="00B9295E"/>
    <w:rsid w:val="00B9296B"/>
    <w:rsid w:val="00B929BF"/>
    <w:rsid w:val="00B92A4D"/>
    <w:rsid w:val="00B92A7A"/>
    <w:rsid w:val="00B92A99"/>
    <w:rsid w:val="00B92AA3"/>
    <w:rsid w:val="00B92AFE"/>
    <w:rsid w:val="00B92BDC"/>
    <w:rsid w:val="00B92BFD"/>
    <w:rsid w:val="00B92C84"/>
    <w:rsid w:val="00B92CC5"/>
    <w:rsid w:val="00B92CCD"/>
    <w:rsid w:val="00B92CE0"/>
    <w:rsid w:val="00B92CE1"/>
    <w:rsid w:val="00B92CF0"/>
    <w:rsid w:val="00B92D55"/>
    <w:rsid w:val="00B92D6C"/>
    <w:rsid w:val="00B92DB1"/>
    <w:rsid w:val="00B92DC5"/>
    <w:rsid w:val="00B92DD1"/>
    <w:rsid w:val="00B92DE4"/>
    <w:rsid w:val="00B92DE5"/>
    <w:rsid w:val="00B92E21"/>
    <w:rsid w:val="00B92E7E"/>
    <w:rsid w:val="00B92EC1"/>
    <w:rsid w:val="00B92F9E"/>
    <w:rsid w:val="00B92FB7"/>
    <w:rsid w:val="00B92FFE"/>
    <w:rsid w:val="00B93003"/>
    <w:rsid w:val="00B9300B"/>
    <w:rsid w:val="00B93040"/>
    <w:rsid w:val="00B93060"/>
    <w:rsid w:val="00B93078"/>
    <w:rsid w:val="00B93094"/>
    <w:rsid w:val="00B930BF"/>
    <w:rsid w:val="00B930F0"/>
    <w:rsid w:val="00B930F5"/>
    <w:rsid w:val="00B9312F"/>
    <w:rsid w:val="00B9317D"/>
    <w:rsid w:val="00B93183"/>
    <w:rsid w:val="00B931A3"/>
    <w:rsid w:val="00B93212"/>
    <w:rsid w:val="00B93222"/>
    <w:rsid w:val="00B9324D"/>
    <w:rsid w:val="00B9328F"/>
    <w:rsid w:val="00B932B5"/>
    <w:rsid w:val="00B932B7"/>
    <w:rsid w:val="00B933B1"/>
    <w:rsid w:val="00B933B7"/>
    <w:rsid w:val="00B933C9"/>
    <w:rsid w:val="00B933EC"/>
    <w:rsid w:val="00B933F9"/>
    <w:rsid w:val="00B933FC"/>
    <w:rsid w:val="00B93408"/>
    <w:rsid w:val="00B93418"/>
    <w:rsid w:val="00B93474"/>
    <w:rsid w:val="00B9347E"/>
    <w:rsid w:val="00B934DF"/>
    <w:rsid w:val="00B93538"/>
    <w:rsid w:val="00B935CA"/>
    <w:rsid w:val="00B935CB"/>
    <w:rsid w:val="00B936D7"/>
    <w:rsid w:val="00B936F6"/>
    <w:rsid w:val="00B9370D"/>
    <w:rsid w:val="00B93762"/>
    <w:rsid w:val="00B937B8"/>
    <w:rsid w:val="00B9380E"/>
    <w:rsid w:val="00B9383C"/>
    <w:rsid w:val="00B938AA"/>
    <w:rsid w:val="00B9392E"/>
    <w:rsid w:val="00B9395A"/>
    <w:rsid w:val="00B93979"/>
    <w:rsid w:val="00B939DA"/>
    <w:rsid w:val="00B939DF"/>
    <w:rsid w:val="00B939E1"/>
    <w:rsid w:val="00B93AAD"/>
    <w:rsid w:val="00B93B77"/>
    <w:rsid w:val="00B93B84"/>
    <w:rsid w:val="00B93BCA"/>
    <w:rsid w:val="00B93BFB"/>
    <w:rsid w:val="00B93CA4"/>
    <w:rsid w:val="00B93CAB"/>
    <w:rsid w:val="00B93CB8"/>
    <w:rsid w:val="00B93CBC"/>
    <w:rsid w:val="00B93CC8"/>
    <w:rsid w:val="00B93CDA"/>
    <w:rsid w:val="00B93CDB"/>
    <w:rsid w:val="00B93D67"/>
    <w:rsid w:val="00B93DAD"/>
    <w:rsid w:val="00B93DB4"/>
    <w:rsid w:val="00B93DF4"/>
    <w:rsid w:val="00B93E7F"/>
    <w:rsid w:val="00B93EE0"/>
    <w:rsid w:val="00B93F19"/>
    <w:rsid w:val="00B93F67"/>
    <w:rsid w:val="00B9409A"/>
    <w:rsid w:val="00B940DC"/>
    <w:rsid w:val="00B940E9"/>
    <w:rsid w:val="00B940F5"/>
    <w:rsid w:val="00B94200"/>
    <w:rsid w:val="00B94265"/>
    <w:rsid w:val="00B94289"/>
    <w:rsid w:val="00B9429C"/>
    <w:rsid w:val="00B94369"/>
    <w:rsid w:val="00B94393"/>
    <w:rsid w:val="00B943CE"/>
    <w:rsid w:val="00B943E4"/>
    <w:rsid w:val="00B943F2"/>
    <w:rsid w:val="00B94418"/>
    <w:rsid w:val="00B94496"/>
    <w:rsid w:val="00B944CE"/>
    <w:rsid w:val="00B94533"/>
    <w:rsid w:val="00B9453C"/>
    <w:rsid w:val="00B94545"/>
    <w:rsid w:val="00B94578"/>
    <w:rsid w:val="00B945A0"/>
    <w:rsid w:val="00B9463C"/>
    <w:rsid w:val="00B94687"/>
    <w:rsid w:val="00B94751"/>
    <w:rsid w:val="00B9479C"/>
    <w:rsid w:val="00B947EB"/>
    <w:rsid w:val="00B9483E"/>
    <w:rsid w:val="00B94847"/>
    <w:rsid w:val="00B948C6"/>
    <w:rsid w:val="00B94926"/>
    <w:rsid w:val="00B94945"/>
    <w:rsid w:val="00B94977"/>
    <w:rsid w:val="00B949A6"/>
    <w:rsid w:val="00B949B5"/>
    <w:rsid w:val="00B949BD"/>
    <w:rsid w:val="00B949CE"/>
    <w:rsid w:val="00B94A5A"/>
    <w:rsid w:val="00B94AE6"/>
    <w:rsid w:val="00B94B60"/>
    <w:rsid w:val="00B94BCD"/>
    <w:rsid w:val="00B94C1E"/>
    <w:rsid w:val="00B94C2D"/>
    <w:rsid w:val="00B94C53"/>
    <w:rsid w:val="00B94C6E"/>
    <w:rsid w:val="00B94C8E"/>
    <w:rsid w:val="00B94C98"/>
    <w:rsid w:val="00B94CD8"/>
    <w:rsid w:val="00B94D27"/>
    <w:rsid w:val="00B94D85"/>
    <w:rsid w:val="00B94E3D"/>
    <w:rsid w:val="00B94E78"/>
    <w:rsid w:val="00B94EE7"/>
    <w:rsid w:val="00B94F7C"/>
    <w:rsid w:val="00B94F96"/>
    <w:rsid w:val="00B94FB4"/>
    <w:rsid w:val="00B95054"/>
    <w:rsid w:val="00B9505B"/>
    <w:rsid w:val="00B9509B"/>
    <w:rsid w:val="00B950DB"/>
    <w:rsid w:val="00B95162"/>
    <w:rsid w:val="00B95215"/>
    <w:rsid w:val="00B952DC"/>
    <w:rsid w:val="00B953CC"/>
    <w:rsid w:val="00B954B2"/>
    <w:rsid w:val="00B955D1"/>
    <w:rsid w:val="00B95621"/>
    <w:rsid w:val="00B95641"/>
    <w:rsid w:val="00B956EC"/>
    <w:rsid w:val="00B9572D"/>
    <w:rsid w:val="00B95756"/>
    <w:rsid w:val="00B957E5"/>
    <w:rsid w:val="00B9586B"/>
    <w:rsid w:val="00B958D1"/>
    <w:rsid w:val="00B95913"/>
    <w:rsid w:val="00B95934"/>
    <w:rsid w:val="00B95972"/>
    <w:rsid w:val="00B95A18"/>
    <w:rsid w:val="00B95A82"/>
    <w:rsid w:val="00B95A9F"/>
    <w:rsid w:val="00B95AED"/>
    <w:rsid w:val="00B95BB5"/>
    <w:rsid w:val="00B95C4C"/>
    <w:rsid w:val="00B95C87"/>
    <w:rsid w:val="00B95CAE"/>
    <w:rsid w:val="00B95CE3"/>
    <w:rsid w:val="00B95CF0"/>
    <w:rsid w:val="00B95D33"/>
    <w:rsid w:val="00B95D66"/>
    <w:rsid w:val="00B95EB3"/>
    <w:rsid w:val="00B95EE8"/>
    <w:rsid w:val="00B95F67"/>
    <w:rsid w:val="00B95FE2"/>
    <w:rsid w:val="00B96055"/>
    <w:rsid w:val="00B96094"/>
    <w:rsid w:val="00B960A9"/>
    <w:rsid w:val="00B960B5"/>
    <w:rsid w:val="00B960DC"/>
    <w:rsid w:val="00B96109"/>
    <w:rsid w:val="00B9610A"/>
    <w:rsid w:val="00B96141"/>
    <w:rsid w:val="00B96165"/>
    <w:rsid w:val="00B961B2"/>
    <w:rsid w:val="00B961C7"/>
    <w:rsid w:val="00B96225"/>
    <w:rsid w:val="00B9625E"/>
    <w:rsid w:val="00B96289"/>
    <w:rsid w:val="00B96297"/>
    <w:rsid w:val="00B962B7"/>
    <w:rsid w:val="00B96305"/>
    <w:rsid w:val="00B9633F"/>
    <w:rsid w:val="00B96425"/>
    <w:rsid w:val="00B9644A"/>
    <w:rsid w:val="00B96482"/>
    <w:rsid w:val="00B964B0"/>
    <w:rsid w:val="00B965E1"/>
    <w:rsid w:val="00B965EE"/>
    <w:rsid w:val="00B96658"/>
    <w:rsid w:val="00B966B3"/>
    <w:rsid w:val="00B96705"/>
    <w:rsid w:val="00B9674B"/>
    <w:rsid w:val="00B9676A"/>
    <w:rsid w:val="00B96774"/>
    <w:rsid w:val="00B967BA"/>
    <w:rsid w:val="00B967BD"/>
    <w:rsid w:val="00B967DB"/>
    <w:rsid w:val="00B9680F"/>
    <w:rsid w:val="00B96816"/>
    <w:rsid w:val="00B96831"/>
    <w:rsid w:val="00B9683C"/>
    <w:rsid w:val="00B968D3"/>
    <w:rsid w:val="00B968F0"/>
    <w:rsid w:val="00B96943"/>
    <w:rsid w:val="00B9694E"/>
    <w:rsid w:val="00B969DD"/>
    <w:rsid w:val="00B96A24"/>
    <w:rsid w:val="00B96B43"/>
    <w:rsid w:val="00B96B67"/>
    <w:rsid w:val="00B96BA0"/>
    <w:rsid w:val="00B96BB5"/>
    <w:rsid w:val="00B96C18"/>
    <w:rsid w:val="00B96C2B"/>
    <w:rsid w:val="00B96C53"/>
    <w:rsid w:val="00B96CF6"/>
    <w:rsid w:val="00B96D54"/>
    <w:rsid w:val="00B96DA7"/>
    <w:rsid w:val="00B96E00"/>
    <w:rsid w:val="00B96E33"/>
    <w:rsid w:val="00B96F4D"/>
    <w:rsid w:val="00B96FD6"/>
    <w:rsid w:val="00B97035"/>
    <w:rsid w:val="00B97084"/>
    <w:rsid w:val="00B970EF"/>
    <w:rsid w:val="00B970FD"/>
    <w:rsid w:val="00B97102"/>
    <w:rsid w:val="00B971AD"/>
    <w:rsid w:val="00B97215"/>
    <w:rsid w:val="00B97239"/>
    <w:rsid w:val="00B9725B"/>
    <w:rsid w:val="00B97300"/>
    <w:rsid w:val="00B97305"/>
    <w:rsid w:val="00B97337"/>
    <w:rsid w:val="00B973AA"/>
    <w:rsid w:val="00B973AB"/>
    <w:rsid w:val="00B973B5"/>
    <w:rsid w:val="00B973EA"/>
    <w:rsid w:val="00B97419"/>
    <w:rsid w:val="00B97453"/>
    <w:rsid w:val="00B974D5"/>
    <w:rsid w:val="00B974FD"/>
    <w:rsid w:val="00B97524"/>
    <w:rsid w:val="00B9752D"/>
    <w:rsid w:val="00B97535"/>
    <w:rsid w:val="00B97551"/>
    <w:rsid w:val="00B9759F"/>
    <w:rsid w:val="00B975D2"/>
    <w:rsid w:val="00B975DF"/>
    <w:rsid w:val="00B975E4"/>
    <w:rsid w:val="00B9768A"/>
    <w:rsid w:val="00B976B7"/>
    <w:rsid w:val="00B976E9"/>
    <w:rsid w:val="00B97784"/>
    <w:rsid w:val="00B977B2"/>
    <w:rsid w:val="00B977CF"/>
    <w:rsid w:val="00B977E0"/>
    <w:rsid w:val="00B9786F"/>
    <w:rsid w:val="00B97883"/>
    <w:rsid w:val="00B97925"/>
    <w:rsid w:val="00B9794E"/>
    <w:rsid w:val="00B97955"/>
    <w:rsid w:val="00B979F3"/>
    <w:rsid w:val="00B97A30"/>
    <w:rsid w:val="00B97A3B"/>
    <w:rsid w:val="00B97A69"/>
    <w:rsid w:val="00B97A6B"/>
    <w:rsid w:val="00B97A77"/>
    <w:rsid w:val="00B97AD1"/>
    <w:rsid w:val="00B97AEB"/>
    <w:rsid w:val="00B97AF1"/>
    <w:rsid w:val="00B97B39"/>
    <w:rsid w:val="00B97C20"/>
    <w:rsid w:val="00B97CD7"/>
    <w:rsid w:val="00B97D1F"/>
    <w:rsid w:val="00B97D22"/>
    <w:rsid w:val="00B97D58"/>
    <w:rsid w:val="00B97DF2"/>
    <w:rsid w:val="00B97E3A"/>
    <w:rsid w:val="00B97EA6"/>
    <w:rsid w:val="00B97EBA"/>
    <w:rsid w:val="00B97EE3"/>
    <w:rsid w:val="00B97F75"/>
    <w:rsid w:val="00B97F8E"/>
    <w:rsid w:val="00B97F9F"/>
    <w:rsid w:val="00B97FFD"/>
    <w:rsid w:val="00BA0022"/>
    <w:rsid w:val="00BA008C"/>
    <w:rsid w:val="00BA0097"/>
    <w:rsid w:val="00BA00DC"/>
    <w:rsid w:val="00BA00F0"/>
    <w:rsid w:val="00BA012B"/>
    <w:rsid w:val="00BA01CE"/>
    <w:rsid w:val="00BA01D1"/>
    <w:rsid w:val="00BA020E"/>
    <w:rsid w:val="00BA0278"/>
    <w:rsid w:val="00BA02F7"/>
    <w:rsid w:val="00BA0359"/>
    <w:rsid w:val="00BA0364"/>
    <w:rsid w:val="00BA03F0"/>
    <w:rsid w:val="00BA04A6"/>
    <w:rsid w:val="00BA04BA"/>
    <w:rsid w:val="00BA04BF"/>
    <w:rsid w:val="00BA04DA"/>
    <w:rsid w:val="00BA04E5"/>
    <w:rsid w:val="00BA04E7"/>
    <w:rsid w:val="00BA04F1"/>
    <w:rsid w:val="00BA0533"/>
    <w:rsid w:val="00BA0586"/>
    <w:rsid w:val="00BA0686"/>
    <w:rsid w:val="00BA06AC"/>
    <w:rsid w:val="00BA06E7"/>
    <w:rsid w:val="00BA06F9"/>
    <w:rsid w:val="00BA0717"/>
    <w:rsid w:val="00BA080A"/>
    <w:rsid w:val="00BA08B8"/>
    <w:rsid w:val="00BA08F2"/>
    <w:rsid w:val="00BA094A"/>
    <w:rsid w:val="00BA094C"/>
    <w:rsid w:val="00BA09BB"/>
    <w:rsid w:val="00BA0A35"/>
    <w:rsid w:val="00BA0A8C"/>
    <w:rsid w:val="00BA0AA6"/>
    <w:rsid w:val="00BA0AF1"/>
    <w:rsid w:val="00BA0B28"/>
    <w:rsid w:val="00BA0B33"/>
    <w:rsid w:val="00BA0B4B"/>
    <w:rsid w:val="00BA0BCB"/>
    <w:rsid w:val="00BA0C43"/>
    <w:rsid w:val="00BA0C95"/>
    <w:rsid w:val="00BA0D1D"/>
    <w:rsid w:val="00BA0D57"/>
    <w:rsid w:val="00BA0D71"/>
    <w:rsid w:val="00BA0DA0"/>
    <w:rsid w:val="00BA0E05"/>
    <w:rsid w:val="00BA0E7C"/>
    <w:rsid w:val="00BA0E81"/>
    <w:rsid w:val="00BA0EA4"/>
    <w:rsid w:val="00BA0EF5"/>
    <w:rsid w:val="00BA0F2F"/>
    <w:rsid w:val="00BA0F38"/>
    <w:rsid w:val="00BA0F67"/>
    <w:rsid w:val="00BA0FAA"/>
    <w:rsid w:val="00BA0FAE"/>
    <w:rsid w:val="00BA0FD4"/>
    <w:rsid w:val="00BA0FDA"/>
    <w:rsid w:val="00BA1043"/>
    <w:rsid w:val="00BA1050"/>
    <w:rsid w:val="00BA10DA"/>
    <w:rsid w:val="00BA10FD"/>
    <w:rsid w:val="00BA112D"/>
    <w:rsid w:val="00BA114D"/>
    <w:rsid w:val="00BA118E"/>
    <w:rsid w:val="00BA120F"/>
    <w:rsid w:val="00BA123A"/>
    <w:rsid w:val="00BA125C"/>
    <w:rsid w:val="00BA127E"/>
    <w:rsid w:val="00BA12DB"/>
    <w:rsid w:val="00BA1311"/>
    <w:rsid w:val="00BA13CE"/>
    <w:rsid w:val="00BA13D2"/>
    <w:rsid w:val="00BA1407"/>
    <w:rsid w:val="00BA1444"/>
    <w:rsid w:val="00BA1475"/>
    <w:rsid w:val="00BA14AB"/>
    <w:rsid w:val="00BA150C"/>
    <w:rsid w:val="00BA1588"/>
    <w:rsid w:val="00BA15C1"/>
    <w:rsid w:val="00BA15CE"/>
    <w:rsid w:val="00BA15D1"/>
    <w:rsid w:val="00BA15EA"/>
    <w:rsid w:val="00BA171F"/>
    <w:rsid w:val="00BA1732"/>
    <w:rsid w:val="00BA176E"/>
    <w:rsid w:val="00BA1836"/>
    <w:rsid w:val="00BA1869"/>
    <w:rsid w:val="00BA189B"/>
    <w:rsid w:val="00BA18FE"/>
    <w:rsid w:val="00BA191A"/>
    <w:rsid w:val="00BA192B"/>
    <w:rsid w:val="00BA1930"/>
    <w:rsid w:val="00BA19D1"/>
    <w:rsid w:val="00BA1A7E"/>
    <w:rsid w:val="00BA1AEB"/>
    <w:rsid w:val="00BA1B0A"/>
    <w:rsid w:val="00BA1B97"/>
    <w:rsid w:val="00BA1BAC"/>
    <w:rsid w:val="00BA1BC9"/>
    <w:rsid w:val="00BA1BF6"/>
    <w:rsid w:val="00BA1C08"/>
    <w:rsid w:val="00BA1C81"/>
    <w:rsid w:val="00BA1D36"/>
    <w:rsid w:val="00BA1E62"/>
    <w:rsid w:val="00BA1E7F"/>
    <w:rsid w:val="00BA1ECC"/>
    <w:rsid w:val="00BA1ED1"/>
    <w:rsid w:val="00BA1F1C"/>
    <w:rsid w:val="00BA1F3C"/>
    <w:rsid w:val="00BA1F50"/>
    <w:rsid w:val="00BA1F63"/>
    <w:rsid w:val="00BA2005"/>
    <w:rsid w:val="00BA2078"/>
    <w:rsid w:val="00BA2084"/>
    <w:rsid w:val="00BA20DD"/>
    <w:rsid w:val="00BA20F2"/>
    <w:rsid w:val="00BA212C"/>
    <w:rsid w:val="00BA212F"/>
    <w:rsid w:val="00BA21B3"/>
    <w:rsid w:val="00BA2283"/>
    <w:rsid w:val="00BA22B3"/>
    <w:rsid w:val="00BA2445"/>
    <w:rsid w:val="00BA248B"/>
    <w:rsid w:val="00BA24EE"/>
    <w:rsid w:val="00BA24FE"/>
    <w:rsid w:val="00BA2549"/>
    <w:rsid w:val="00BA259E"/>
    <w:rsid w:val="00BA2636"/>
    <w:rsid w:val="00BA2679"/>
    <w:rsid w:val="00BA2799"/>
    <w:rsid w:val="00BA27E1"/>
    <w:rsid w:val="00BA27F6"/>
    <w:rsid w:val="00BA281A"/>
    <w:rsid w:val="00BA2885"/>
    <w:rsid w:val="00BA288A"/>
    <w:rsid w:val="00BA2893"/>
    <w:rsid w:val="00BA28CA"/>
    <w:rsid w:val="00BA28F5"/>
    <w:rsid w:val="00BA2956"/>
    <w:rsid w:val="00BA29C4"/>
    <w:rsid w:val="00BA29DE"/>
    <w:rsid w:val="00BA2A41"/>
    <w:rsid w:val="00BA2B1C"/>
    <w:rsid w:val="00BA2B3D"/>
    <w:rsid w:val="00BA2BBF"/>
    <w:rsid w:val="00BA2BF1"/>
    <w:rsid w:val="00BA2C05"/>
    <w:rsid w:val="00BA2C65"/>
    <w:rsid w:val="00BA2C86"/>
    <w:rsid w:val="00BA2C9D"/>
    <w:rsid w:val="00BA2CE4"/>
    <w:rsid w:val="00BA2DF0"/>
    <w:rsid w:val="00BA2DF2"/>
    <w:rsid w:val="00BA2DF6"/>
    <w:rsid w:val="00BA2E17"/>
    <w:rsid w:val="00BA2E90"/>
    <w:rsid w:val="00BA2F62"/>
    <w:rsid w:val="00BA2FE3"/>
    <w:rsid w:val="00BA2FEB"/>
    <w:rsid w:val="00BA3027"/>
    <w:rsid w:val="00BA3154"/>
    <w:rsid w:val="00BA3156"/>
    <w:rsid w:val="00BA316F"/>
    <w:rsid w:val="00BA31EC"/>
    <w:rsid w:val="00BA31F9"/>
    <w:rsid w:val="00BA3249"/>
    <w:rsid w:val="00BA3285"/>
    <w:rsid w:val="00BA3394"/>
    <w:rsid w:val="00BA33A8"/>
    <w:rsid w:val="00BA3526"/>
    <w:rsid w:val="00BA354F"/>
    <w:rsid w:val="00BA35B6"/>
    <w:rsid w:val="00BA3645"/>
    <w:rsid w:val="00BA365B"/>
    <w:rsid w:val="00BA366D"/>
    <w:rsid w:val="00BA36F0"/>
    <w:rsid w:val="00BA3724"/>
    <w:rsid w:val="00BA375D"/>
    <w:rsid w:val="00BA3777"/>
    <w:rsid w:val="00BA3794"/>
    <w:rsid w:val="00BA37B8"/>
    <w:rsid w:val="00BA37C3"/>
    <w:rsid w:val="00BA37DA"/>
    <w:rsid w:val="00BA37F2"/>
    <w:rsid w:val="00BA3807"/>
    <w:rsid w:val="00BA3859"/>
    <w:rsid w:val="00BA3891"/>
    <w:rsid w:val="00BA3909"/>
    <w:rsid w:val="00BA390F"/>
    <w:rsid w:val="00BA3943"/>
    <w:rsid w:val="00BA3959"/>
    <w:rsid w:val="00BA3978"/>
    <w:rsid w:val="00BA397B"/>
    <w:rsid w:val="00BA39A4"/>
    <w:rsid w:val="00BA39CB"/>
    <w:rsid w:val="00BA3A40"/>
    <w:rsid w:val="00BA3AD9"/>
    <w:rsid w:val="00BA3B2D"/>
    <w:rsid w:val="00BA3BC9"/>
    <w:rsid w:val="00BA3BF7"/>
    <w:rsid w:val="00BA3C7E"/>
    <w:rsid w:val="00BA3D7A"/>
    <w:rsid w:val="00BA3D8C"/>
    <w:rsid w:val="00BA3DD4"/>
    <w:rsid w:val="00BA3DD9"/>
    <w:rsid w:val="00BA3E18"/>
    <w:rsid w:val="00BA3E28"/>
    <w:rsid w:val="00BA3E94"/>
    <w:rsid w:val="00BA3EC4"/>
    <w:rsid w:val="00BA3EDA"/>
    <w:rsid w:val="00BA3F2A"/>
    <w:rsid w:val="00BA3F83"/>
    <w:rsid w:val="00BA3FAF"/>
    <w:rsid w:val="00BA3FE0"/>
    <w:rsid w:val="00BA4013"/>
    <w:rsid w:val="00BA406F"/>
    <w:rsid w:val="00BA408D"/>
    <w:rsid w:val="00BA40BD"/>
    <w:rsid w:val="00BA40D6"/>
    <w:rsid w:val="00BA410F"/>
    <w:rsid w:val="00BA4158"/>
    <w:rsid w:val="00BA4189"/>
    <w:rsid w:val="00BA41A8"/>
    <w:rsid w:val="00BA425A"/>
    <w:rsid w:val="00BA4289"/>
    <w:rsid w:val="00BA4299"/>
    <w:rsid w:val="00BA430A"/>
    <w:rsid w:val="00BA4334"/>
    <w:rsid w:val="00BA437E"/>
    <w:rsid w:val="00BA441B"/>
    <w:rsid w:val="00BA4430"/>
    <w:rsid w:val="00BA4432"/>
    <w:rsid w:val="00BA4439"/>
    <w:rsid w:val="00BA448C"/>
    <w:rsid w:val="00BA4544"/>
    <w:rsid w:val="00BA4550"/>
    <w:rsid w:val="00BA4582"/>
    <w:rsid w:val="00BA45B7"/>
    <w:rsid w:val="00BA45BF"/>
    <w:rsid w:val="00BA4670"/>
    <w:rsid w:val="00BA46A1"/>
    <w:rsid w:val="00BA474E"/>
    <w:rsid w:val="00BA475E"/>
    <w:rsid w:val="00BA477F"/>
    <w:rsid w:val="00BA47F6"/>
    <w:rsid w:val="00BA48BF"/>
    <w:rsid w:val="00BA498D"/>
    <w:rsid w:val="00BA49D2"/>
    <w:rsid w:val="00BA49F3"/>
    <w:rsid w:val="00BA49FC"/>
    <w:rsid w:val="00BA4A3F"/>
    <w:rsid w:val="00BA4A5E"/>
    <w:rsid w:val="00BA4A6C"/>
    <w:rsid w:val="00BA4A7A"/>
    <w:rsid w:val="00BA4B08"/>
    <w:rsid w:val="00BA4B69"/>
    <w:rsid w:val="00BA4B88"/>
    <w:rsid w:val="00BA4B96"/>
    <w:rsid w:val="00BA4C05"/>
    <w:rsid w:val="00BA4C9C"/>
    <w:rsid w:val="00BA4CA7"/>
    <w:rsid w:val="00BA4CB3"/>
    <w:rsid w:val="00BA4CD7"/>
    <w:rsid w:val="00BA4D0A"/>
    <w:rsid w:val="00BA4DB4"/>
    <w:rsid w:val="00BA4DDA"/>
    <w:rsid w:val="00BA4E20"/>
    <w:rsid w:val="00BA4E3F"/>
    <w:rsid w:val="00BA4E4B"/>
    <w:rsid w:val="00BA4EB1"/>
    <w:rsid w:val="00BA4EF6"/>
    <w:rsid w:val="00BA4F1F"/>
    <w:rsid w:val="00BA4F20"/>
    <w:rsid w:val="00BA4F24"/>
    <w:rsid w:val="00BA4F54"/>
    <w:rsid w:val="00BA4F9F"/>
    <w:rsid w:val="00BA4FB5"/>
    <w:rsid w:val="00BA4FDA"/>
    <w:rsid w:val="00BA5038"/>
    <w:rsid w:val="00BA50C8"/>
    <w:rsid w:val="00BA5149"/>
    <w:rsid w:val="00BA515A"/>
    <w:rsid w:val="00BA5227"/>
    <w:rsid w:val="00BA523C"/>
    <w:rsid w:val="00BA528D"/>
    <w:rsid w:val="00BA52B9"/>
    <w:rsid w:val="00BA5385"/>
    <w:rsid w:val="00BA53A1"/>
    <w:rsid w:val="00BA53AC"/>
    <w:rsid w:val="00BA54A5"/>
    <w:rsid w:val="00BA54C3"/>
    <w:rsid w:val="00BA54E6"/>
    <w:rsid w:val="00BA550C"/>
    <w:rsid w:val="00BA5511"/>
    <w:rsid w:val="00BA554C"/>
    <w:rsid w:val="00BA5573"/>
    <w:rsid w:val="00BA55A1"/>
    <w:rsid w:val="00BA55B4"/>
    <w:rsid w:val="00BA55D7"/>
    <w:rsid w:val="00BA567B"/>
    <w:rsid w:val="00BA5682"/>
    <w:rsid w:val="00BA56A8"/>
    <w:rsid w:val="00BA5751"/>
    <w:rsid w:val="00BA57F0"/>
    <w:rsid w:val="00BA57F9"/>
    <w:rsid w:val="00BA584F"/>
    <w:rsid w:val="00BA586E"/>
    <w:rsid w:val="00BA58AE"/>
    <w:rsid w:val="00BA58AF"/>
    <w:rsid w:val="00BA58D9"/>
    <w:rsid w:val="00BA5923"/>
    <w:rsid w:val="00BA5936"/>
    <w:rsid w:val="00BA593A"/>
    <w:rsid w:val="00BA596B"/>
    <w:rsid w:val="00BA59D6"/>
    <w:rsid w:val="00BA59FB"/>
    <w:rsid w:val="00BA5A01"/>
    <w:rsid w:val="00BA5AA9"/>
    <w:rsid w:val="00BA5AC3"/>
    <w:rsid w:val="00BA5B5F"/>
    <w:rsid w:val="00BA5B84"/>
    <w:rsid w:val="00BA5B8D"/>
    <w:rsid w:val="00BA5BA4"/>
    <w:rsid w:val="00BA5C11"/>
    <w:rsid w:val="00BA5C7D"/>
    <w:rsid w:val="00BA5C92"/>
    <w:rsid w:val="00BA5CBD"/>
    <w:rsid w:val="00BA5CDF"/>
    <w:rsid w:val="00BA5D2C"/>
    <w:rsid w:val="00BA5D43"/>
    <w:rsid w:val="00BA5D6B"/>
    <w:rsid w:val="00BA5D76"/>
    <w:rsid w:val="00BA5D7E"/>
    <w:rsid w:val="00BA5D9D"/>
    <w:rsid w:val="00BA5E1C"/>
    <w:rsid w:val="00BA5E6F"/>
    <w:rsid w:val="00BA5E7C"/>
    <w:rsid w:val="00BA5E7E"/>
    <w:rsid w:val="00BA5EC8"/>
    <w:rsid w:val="00BA5EE3"/>
    <w:rsid w:val="00BA5F0D"/>
    <w:rsid w:val="00BA5F0F"/>
    <w:rsid w:val="00BA5FA1"/>
    <w:rsid w:val="00BA5FC8"/>
    <w:rsid w:val="00BA6004"/>
    <w:rsid w:val="00BA601A"/>
    <w:rsid w:val="00BA605B"/>
    <w:rsid w:val="00BA60B0"/>
    <w:rsid w:val="00BA6103"/>
    <w:rsid w:val="00BA6126"/>
    <w:rsid w:val="00BA612B"/>
    <w:rsid w:val="00BA619B"/>
    <w:rsid w:val="00BA61C8"/>
    <w:rsid w:val="00BA6281"/>
    <w:rsid w:val="00BA6289"/>
    <w:rsid w:val="00BA62C8"/>
    <w:rsid w:val="00BA6335"/>
    <w:rsid w:val="00BA6373"/>
    <w:rsid w:val="00BA6387"/>
    <w:rsid w:val="00BA6390"/>
    <w:rsid w:val="00BA639C"/>
    <w:rsid w:val="00BA645F"/>
    <w:rsid w:val="00BA64AC"/>
    <w:rsid w:val="00BA64F2"/>
    <w:rsid w:val="00BA652C"/>
    <w:rsid w:val="00BA6532"/>
    <w:rsid w:val="00BA6559"/>
    <w:rsid w:val="00BA6560"/>
    <w:rsid w:val="00BA656F"/>
    <w:rsid w:val="00BA658A"/>
    <w:rsid w:val="00BA659C"/>
    <w:rsid w:val="00BA660F"/>
    <w:rsid w:val="00BA6618"/>
    <w:rsid w:val="00BA663D"/>
    <w:rsid w:val="00BA66C5"/>
    <w:rsid w:val="00BA6789"/>
    <w:rsid w:val="00BA67FD"/>
    <w:rsid w:val="00BA680E"/>
    <w:rsid w:val="00BA6863"/>
    <w:rsid w:val="00BA686D"/>
    <w:rsid w:val="00BA68D6"/>
    <w:rsid w:val="00BA6923"/>
    <w:rsid w:val="00BA6971"/>
    <w:rsid w:val="00BA69B5"/>
    <w:rsid w:val="00BA69C6"/>
    <w:rsid w:val="00BA6B2A"/>
    <w:rsid w:val="00BA6B4A"/>
    <w:rsid w:val="00BA6B87"/>
    <w:rsid w:val="00BA6B91"/>
    <w:rsid w:val="00BA6BC3"/>
    <w:rsid w:val="00BA6BE2"/>
    <w:rsid w:val="00BA6C2E"/>
    <w:rsid w:val="00BA6C7D"/>
    <w:rsid w:val="00BA6C8D"/>
    <w:rsid w:val="00BA6CA7"/>
    <w:rsid w:val="00BA6CCB"/>
    <w:rsid w:val="00BA6CFA"/>
    <w:rsid w:val="00BA6D22"/>
    <w:rsid w:val="00BA6D9B"/>
    <w:rsid w:val="00BA6DBC"/>
    <w:rsid w:val="00BA6E1D"/>
    <w:rsid w:val="00BA6E48"/>
    <w:rsid w:val="00BA6EE4"/>
    <w:rsid w:val="00BA6EEC"/>
    <w:rsid w:val="00BA6F3B"/>
    <w:rsid w:val="00BA6F44"/>
    <w:rsid w:val="00BA6F9F"/>
    <w:rsid w:val="00BA6FAC"/>
    <w:rsid w:val="00BA6FEC"/>
    <w:rsid w:val="00BA7053"/>
    <w:rsid w:val="00BA706E"/>
    <w:rsid w:val="00BA708A"/>
    <w:rsid w:val="00BA70B1"/>
    <w:rsid w:val="00BA70ED"/>
    <w:rsid w:val="00BA7178"/>
    <w:rsid w:val="00BA717F"/>
    <w:rsid w:val="00BA71DE"/>
    <w:rsid w:val="00BA71E6"/>
    <w:rsid w:val="00BA7220"/>
    <w:rsid w:val="00BA723F"/>
    <w:rsid w:val="00BA7296"/>
    <w:rsid w:val="00BA730E"/>
    <w:rsid w:val="00BA73AF"/>
    <w:rsid w:val="00BA741F"/>
    <w:rsid w:val="00BA744F"/>
    <w:rsid w:val="00BA747C"/>
    <w:rsid w:val="00BA74E7"/>
    <w:rsid w:val="00BA752A"/>
    <w:rsid w:val="00BA752D"/>
    <w:rsid w:val="00BA75E4"/>
    <w:rsid w:val="00BA7621"/>
    <w:rsid w:val="00BA7668"/>
    <w:rsid w:val="00BA7674"/>
    <w:rsid w:val="00BA76C0"/>
    <w:rsid w:val="00BA7703"/>
    <w:rsid w:val="00BA7735"/>
    <w:rsid w:val="00BA7753"/>
    <w:rsid w:val="00BA7764"/>
    <w:rsid w:val="00BA776E"/>
    <w:rsid w:val="00BA7801"/>
    <w:rsid w:val="00BA7825"/>
    <w:rsid w:val="00BA7936"/>
    <w:rsid w:val="00BA794A"/>
    <w:rsid w:val="00BA7A6E"/>
    <w:rsid w:val="00BA7A72"/>
    <w:rsid w:val="00BA7AC8"/>
    <w:rsid w:val="00BA7B02"/>
    <w:rsid w:val="00BA7B2E"/>
    <w:rsid w:val="00BA7BD5"/>
    <w:rsid w:val="00BA7BEC"/>
    <w:rsid w:val="00BA7BF6"/>
    <w:rsid w:val="00BA7C77"/>
    <w:rsid w:val="00BA7C84"/>
    <w:rsid w:val="00BA7CC5"/>
    <w:rsid w:val="00BA7D17"/>
    <w:rsid w:val="00BA7D9B"/>
    <w:rsid w:val="00BA7DDA"/>
    <w:rsid w:val="00BA7E0A"/>
    <w:rsid w:val="00BA7E1E"/>
    <w:rsid w:val="00BA7E55"/>
    <w:rsid w:val="00BA7EC1"/>
    <w:rsid w:val="00BA7EC7"/>
    <w:rsid w:val="00BA7EC9"/>
    <w:rsid w:val="00BA7F36"/>
    <w:rsid w:val="00BA7FC3"/>
    <w:rsid w:val="00BA7FCB"/>
    <w:rsid w:val="00BB009C"/>
    <w:rsid w:val="00BB00B4"/>
    <w:rsid w:val="00BB00BE"/>
    <w:rsid w:val="00BB00D6"/>
    <w:rsid w:val="00BB00DD"/>
    <w:rsid w:val="00BB00F5"/>
    <w:rsid w:val="00BB0101"/>
    <w:rsid w:val="00BB0159"/>
    <w:rsid w:val="00BB01AE"/>
    <w:rsid w:val="00BB01BF"/>
    <w:rsid w:val="00BB024D"/>
    <w:rsid w:val="00BB0285"/>
    <w:rsid w:val="00BB03AB"/>
    <w:rsid w:val="00BB043D"/>
    <w:rsid w:val="00BB045A"/>
    <w:rsid w:val="00BB0492"/>
    <w:rsid w:val="00BB04E9"/>
    <w:rsid w:val="00BB0516"/>
    <w:rsid w:val="00BB0591"/>
    <w:rsid w:val="00BB05CF"/>
    <w:rsid w:val="00BB05D7"/>
    <w:rsid w:val="00BB05DC"/>
    <w:rsid w:val="00BB0618"/>
    <w:rsid w:val="00BB0667"/>
    <w:rsid w:val="00BB0693"/>
    <w:rsid w:val="00BB06C3"/>
    <w:rsid w:val="00BB0724"/>
    <w:rsid w:val="00BB07A0"/>
    <w:rsid w:val="00BB07BE"/>
    <w:rsid w:val="00BB07C5"/>
    <w:rsid w:val="00BB07D2"/>
    <w:rsid w:val="00BB07FF"/>
    <w:rsid w:val="00BB0800"/>
    <w:rsid w:val="00BB081E"/>
    <w:rsid w:val="00BB08BA"/>
    <w:rsid w:val="00BB08BC"/>
    <w:rsid w:val="00BB0997"/>
    <w:rsid w:val="00BB099D"/>
    <w:rsid w:val="00BB09AF"/>
    <w:rsid w:val="00BB0A6E"/>
    <w:rsid w:val="00BB0A92"/>
    <w:rsid w:val="00BB0AE1"/>
    <w:rsid w:val="00BB0B57"/>
    <w:rsid w:val="00BB0B9F"/>
    <w:rsid w:val="00BB0BBC"/>
    <w:rsid w:val="00BB0BCC"/>
    <w:rsid w:val="00BB0C72"/>
    <w:rsid w:val="00BB0D51"/>
    <w:rsid w:val="00BB0D5B"/>
    <w:rsid w:val="00BB0DA1"/>
    <w:rsid w:val="00BB0DA2"/>
    <w:rsid w:val="00BB0DBC"/>
    <w:rsid w:val="00BB0E1F"/>
    <w:rsid w:val="00BB0E38"/>
    <w:rsid w:val="00BB0E80"/>
    <w:rsid w:val="00BB0EE5"/>
    <w:rsid w:val="00BB0EFD"/>
    <w:rsid w:val="00BB0F01"/>
    <w:rsid w:val="00BB0F3D"/>
    <w:rsid w:val="00BB0F87"/>
    <w:rsid w:val="00BB0FCE"/>
    <w:rsid w:val="00BB1198"/>
    <w:rsid w:val="00BB11C4"/>
    <w:rsid w:val="00BB1230"/>
    <w:rsid w:val="00BB123A"/>
    <w:rsid w:val="00BB1260"/>
    <w:rsid w:val="00BB127C"/>
    <w:rsid w:val="00BB12BD"/>
    <w:rsid w:val="00BB1389"/>
    <w:rsid w:val="00BB13B7"/>
    <w:rsid w:val="00BB13BA"/>
    <w:rsid w:val="00BB143F"/>
    <w:rsid w:val="00BB1496"/>
    <w:rsid w:val="00BB155A"/>
    <w:rsid w:val="00BB158C"/>
    <w:rsid w:val="00BB15DE"/>
    <w:rsid w:val="00BB162C"/>
    <w:rsid w:val="00BB1645"/>
    <w:rsid w:val="00BB1654"/>
    <w:rsid w:val="00BB1699"/>
    <w:rsid w:val="00BB16EE"/>
    <w:rsid w:val="00BB172A"/>
    <w:rsid w:val="00BB175F"/>
    <w:rsid w:val="00BB1801"/>
    <w:rsid w:val="00BB181D"/>
    <w:rsid w:val="00BB1923"/>
    <w:rsid w:val="00BB197B"/>
    <w:rsid w:val="00BB19B0"/>
    <w:rsid w:val="00BB19B9"/>
    <w:rsid w:val="00BB1A47"/>
    <w:rsid w:val="00BB1A63"/>
    <w:rsid w:val="00BB1AAA"/>
    <w:rsid w:val="00BB1AAE"/>
    <w:rsid w:val="00BB1BB0"/>
    <w:rsid w:val="00BB1C33"/>
    <w:rsid w:val="00BB1CA6"/>
    <w:rsid w:val="00BB1CC4"/>
    <w:rsid w:val="00BB1D19"/>
    <w:rsid w:val="00BB1D2F"/>
    <w:rsid w:val="00BB1D7C"/>
    <w:rsid w:val="00BB1D84"/>
    <w:rsid w:val="00BB1E01"/>
    <w:rsid w:val="00BB1E13"/>
    <w:rsid w:val="00BB1E52"/>
    <w:rsid w:val="00BB1E56"/>
    <w:rsid w:val="00BB1E6D"/>
    <w:rsid w:val="00BB1EEA"/>
    <w:rsid w:val="00BB1EFE"/>
    <w:rsid w:val="00BB1F31"/>
    <w:rsid w:val="00BB1F36"/>
    <w:rsid w:val="00BB1F54"/>
    <w:rsid w:val="00BB1F68"/>
    <w:rsid w:val="00BB1FE2"/>
    <w:rsid w:val="00BB20C9"/>
    <w:rsid w:val="00BB214B"/>
    <w:rsid w:val="00BB21B3"/>
    <w:rsid w:val="00BB2205"/>
    <w:rsid w:val="00BB2281"/>
    <w:rsid w:val="00BB22E8"/>
    <w:rsid w:val="00BB233F"/>
    <w:rsid w:val="00BB2371"/>
    <w:rsid w:val="00BB2387"/>
    <w:rsid w:val="00BB23A2"/>
    <w:rsid w:val="00BB248E"/>
    <w:rsid w:val="00BB2514"/>
    <w:rsid w:val="00BB25F6"/>
    <w:rsid w:val="00BB2608"/>
    <w:rsid w:val="00BB26A2"/>
    <w:rsid w:val="00BB26B6"/>
    <w:rsid w:val="00BB26C8"/>
    <w:rsid w:val="00BB2706"/>
    <w:rsid w:val="00BB270F"/>
    <w:rsid w:val="00BB278B"/>
    <w:rsid w:val="00BB279D"/>
    <w:rsid w:val="00BB27F5"/>
    <w:rsid w:val="00BB28A6"/>
    <w:rsid w:val="00BB2909"/>
    <w:rsid w:val="00BB291F"/>
    <w:rsid w:val="00BB2920"/>
    <w:rsid w:val="00BB2933"/>
    <w:rsid w:val="00BB2954"/>
    <w:rsid w:val="00BB29F8"/>
    <w:rsid w:val="00BB2A18"/>
    <w:rsid w:val="00BB2A90"/>
    <w:rsid w:val="00BB2AAC"/>
    <w:rsid w:val="00BB2ACA"/>
    <w:rsid w:val="00BB2AD4"/>
    <w:rsid w:val="00BB2ADC"/>
    <w:rsid w:val="00BB2AE6"/>
    <w:rsid w:val="00BB2B02"/>
    <w:rsid w:val="00BB2B03"/>
    <w:rsid w:val="00BB2B72"/>
    <w:rsid w:val="00BB2BB4"/>
    <w:rsid w:val="00BB2BC5"/>
    <w:rsid w:val="00BB2C24"/>
    <w:rsid w:val="00BB2C2E"/>
    <w:rsid w:val="00BB2C62"/>
    <w:rsid w:val="00BB2C63"/>
    <w:rsid w:val="00BB2C8E"/>
    <w:rsid w:val="00BB2CDB"/>
    <w:rsid w:val="00BB2CEE"/>
    <w:rsid w:val="00BB2E1E"/>
    <w:rsid w:val="00BB2E71"/>
    <w:rsid w:val="00BB2ED9"/>
    <w:rsid w:val="00BB2F0D"/>
    <w:rsid w:val="00BB2F1F"/>
    <w:rsid w:val="00BB2F4F"/>
    <w:rsid w:val="00BB2F8B"/>
    <w:rsid w:val="00BB2F93"/>
    <w:rsid w:val="00BB2FA1"/>
    <w:rsid w:val="00BB2FAF"/>
    <w:rsid w:val="00BB2FD1"/>
    <w:rsid w:val="00BB2FE7"/>
    <w:rsid w:val="00BB3025"/>
    <w:rsid w:val="00BB3055"/>
    <w:rsid w:val="00BB3068"/>
    <w:rsid w:val="00BB30B4"/>
    <w:rsid w:val="00BB30D1"/>
    <w:rsid w:val="00BB3103"/>
    <w:rsid w:val="00BB311F"/>
    <w:rsid w:val="00BB3171"/>
    <w:rsid w:val="00BB3226"/>
    <w:rsid w:val="00BB3230"/>
    <w:rsid w:val="00BB3234"/>
    <w:rsid w:val="00BB3283"/>
    <w:rsid w:val="00BB330B"/>
    <w:rsid w:val="00BB3385"/>
    <w:rsid w:val="00BB33A4"/>
    <w:rsid w:val="00BB33F5"/>
    <w:rsid w:val="00BB33FA"/>
    <w:rsid w:val="00BB34F3"/>
    <w:rsid w:val="00BB355C"/>
    <w:rsid w:val="00BB3560"/>
    <w:rsid w:val="00BB35C5"/>
    <w:rsid w:val="00BB360C"/>
    <w:rsid w:val="00BB3695"/>
    <w:rsid w:val="00BB371E"/>
    <w:rsid w:val="00BB37CC"/>
    <w:rsid w:val="00BB3872"/>
    <w:rsid w:val="00BB389B"/>
    <w:rsid w:val="00BB38AA"/>
    <w:rsid w:val="00BB39C9"/>
    <w:rsid w:val="00BB39F4"/>
    <w:rsid w:val="00BB3A90"/>
    <w:rsid w:val="00BB3B91"/>
    <w:rsid w:val="00BB3BE9"/>
    <w:rsid w:val="00BB3CBC"/>
    <w:rsid w:val="00BB3D56"/>
    <w:rsid w:val="00BB3D97"/>
    <w:rsid w:val="00BB3E69"/>
    <w:rsid w:val="00BB3E80"/>
    <w:rsid w:val="00BB3EB5"/>
    <w:rsid w:val="00BB3F10"/>
    <w:rsid w:val="00BB3F34"/>
    <w:rsid w:val="00BB3F58"/>
    <w:rsid w:val="00BB3FA0"/>
    <w:rsid w:val="00BB3FA9"/>
    <w:rsid w:val="00BB3FF1"/>
    <w:rsid w:val="00BB3FFF"/>
    <w:rsid w:val="00BB40DE"/>
    <w:rsid w:val="00BB412A"/>
    <w:rsid w:val="00BB415A"/>
    <w:rsid w:val="00BB4187"/>
    <w:rsid w:val="00BB41A8"/>
    <w:rsid w:val="00BB4241"/>
    <w:rsid w:val="00BB428F"/>
    <w:rsid w:val="00BB4299"/>
    <w:rsid w:val="00BB42BD"/>
    <w:rsid w:val="00BB42C5"/>
    <w:rsid w:val="00BB42F8"/>
    <w:rsid w:val="00BB430B"/>
    <w:rsid w:val="00BB430F"/>
    <w:rsid w:val="00BB4343"/>
    <w:rsid w:val="00BB4380"/>
    <w:rsid w:val="00BB441F"/>
    <w:rsid w:val="00BB4445"/>
    <w:rsid w:val="00BB44D4"/>
    <w:rsid w:val="00BB44FB"/>
    <w:rsid w:val="00BB4540"/>
    <w:rsid w:val="00BB457C"/>
    <w:rsid w:val="00BB45BD"/>
    <w:rsid w:val="00BB45C8"/>
    <w:rsid w:val="00BB45CD"/>
    <w:rsid w:val="00BB45D4"/>
    <w:rsid w:val="00BB460D"/>
    <w:rsid w:val="00BB4636"/>
    <w:rsid w:val="00BB4692"/>
    <w:rsid w:val="00BB46BE"/>
    <w:rsid w:val="00BB46F7"/>
    <w:rsid w:val="00BB4717"/>
    <w:rsid w:val="00BB472B"/>
    <w:rsid w:val="00BB47A3"/>
    <w:rsid w:val="00BB47B1"/>
    <w:rsid w:val="00BB47FF"/>
    <w:rsid w:val="00BB4836"/>
    <w:rsid w:val="00BB4847"/>
    <w:rsid w:val="00BB48DF"/>
    <w:rsid w:val="00BB48E4"/>
    <w:rsid w:val="00BB492D"/>
    <w:rsid w:val="00BB494A"/>
    <w:rsid w:val="00BB49B5"/>
    <w:rsid w:val="00BB49B9"/>
    <w:rsid w:val="00BB49FC"/>
    <w:rsid w:val="00BB4AA0"/>
    <w:rsid w:val="00BB4AE4"/>
    <w:rsid w:val="00BB4AF8"/>
    <w:rsid w:val="00BB4B6C"/>
    <w:rsid w:val="00BB4BA5"/>
    <w:rsid w:val="00BB4BD2"/>
    <w:rsid w:val="00BB4BF8"/>
    <w:rsid w:val="00BB4C15"/>
    <w:rsid w:val="00BB4C73"/>
    <w:rsid w:val="00BB4DAD"/>
    <w:rsid w:val="00BB4DDD"/>
    <w:rsid w:val="00BB4EA7"/>
    <w:rsid w:val="00BB4EDD"/>
    <w:rsid w:val="00BB4FCF"/>
    <w:rsid w:val="00BB4FEC"/>
    <w:rsid w:val="00BB5023"/>
    <w:rsid w:val="00BB504B"/>
    <w:rsid w:val="00BB5083"/>
    <w:rsid w:val="00BB5099"/>
    <w:rsid w:val="00BB5100"/>
    <w:rsid w:val="00BB5107"/>
    <w:rsid w:val="00BB5177"/>
    <w:rsid w:val="00BB5194"/>
    <w:rsid w:val="00BB5212"/>
    <w:rsid w:val="00BB523E"/>
    <w:rsid w:val="00BB5258"/>
    <w:rsid w:val="00BB52A1"/>
    <w:rsid w:val="00BB52C1"/>
    <w:rsid w:val="00BB533A"/>
    <w:rsid w:val="00BB5384"/>
    <w:rsid w:val="00BB5480"/>
    <w:rsid w:val="00BB5516"/>
    <w:rsid w:val="00BB5544"/>
    <w:rsid w:val="00BB558D"/>
    <w:rsid w:val="00BB55B8"/>
    <w:rsid w:val="00BB5612"/>
    <w:rsid w:val="00BB562A"/>
    <w:rsid w:val="00BB5637"/>
    <w:rsid w:val="00BB5660"/>
    <w:rsid w:val="00BB5683"/>
    <w:rsid w:val="00BB56A9"/>
    <w:rsid w:val="00BB56BC"/>
    <w:rsid w:val="00BB5726"/>
    <w:rsid w:val="00BB5803"/>
    <w:rsid w:val="00BB586C"/>
    <w:rsid w:val="00BB588D"/>
    <w:rsid w:val="00BB5892"/>
    <w:rsid w:val="00BB589D"/>
    <w:rsid w:val="00BB58AA"/>
    <w:rsid w:val="00BB58AF"/>
    <w:rsid w:val="00BB58DC"/>
    <w:rsid w:val="00BB5A04"/>
    <w:rsid w:val="00BB5A4A"/>
    <w:rsid w:val="00BB5A82"/>
    <w:rsid w:val="00BB5AE6"/>
    <w:rsid w:val="00BB5B1B"/>
    <w:rsid w:val="00BB5B85"/>
    <w:rsid w:val="00BB5BC8"/>
    <w:rsid w:val="00BB5BD1"/>
    <w:rsid w:val="00BB5BDC"/>
    <w:rsid w:val="00BB5BE7"/>
    <w:rsid w:val="00BB5C73"/>
    <w:rsid w:val="00BB5C90"/>
    <w:rsid w:val="00BB5DB0"/>
    <w:rsid w:val="00BB5DEC"/>
    <w:rsid w:val="00BB5E9C"/>
    <w:rsid w:val="00BB5EE7"/>
    <w:rsid w:val="00BB5F11"/>
    <w:rsid w:val="00BB5F9F"/>
    <w:rsid w:val="00BB5FE4"/>
    <w:rsid w:val="00BB60E4"/>
    <w:rsid w:val="00BB6129"/>
    <w:rsid w:val="00BB61CE"/>
    <w:rsid w:val="00BB6202"/>
    <w:rsid w:val="00BB6265"/>
    <w:rsid w:val="00BB626D"/>
    <w:rsid w:val="00BB6298"/>
    <w:rsid w:val="00BB62B9"/>
    <w:rsid w:val="00BB62DC"/>
    <w:rsid w:val="00BB63AC"/>
    <w:rsid w:val="00BB644D"/>
    <w:rsid w:val="00BB64AA"/>
    <w:rsid w:val="00BB64B4"/>
    <w:rsid w:val="00BB64CA"/>
    <w:rsid w:val="00BB6505"/>
    <w:rsid w:val="00BB6581"/>
    <w:rsid w:val="00BB65AB"/>
    <w:rsid w:val="00BB65B0"/>
    <w:rsid w:val="00BB65D0"/>
    <w:rsid w:val="00BB660B"/>
    <w:rsid w:val="00BB6621"/>
    <w:rsid w:val="00BB6626"/>
    <w:rsid w:val="00BB6663"/>
    <w:rsid w:val="00BB666F"/>
    <w:rsid w:val="00BB66A3"/>
    <w:rsid w:val="00BB66AE"/>
    <w:rsid w:val="00BB66DD"/>
    <w:rsid w:val="00BB66DF"/>
    <w:rsid w:val="00BB66FC"/>
    <w:rsid w:val="00BB6706"/>
    <w:rsid w:val="00BB6793"/>
    <w:rsid w:val="00BB67DB"/>
    <w:rsid w:val="00BB6805"/>
    <w:rsid w:val="00BB684A"/>
    <w:rsid w:val="00BB698D"/>
    <w:rsid w:val="00BB69B3"/>
    <w:rsid w:val="00BB6A43"/>
    <w:rsid w:val="00BB6A93"/>
    <w:rsid w:val="00BB6AA9"/>
    <w:rsid w:val="00BB6AD9"/>
    <w:rsid w:val="00BB6B2A"/>
    <w:rsid w:val="00BB6B5C"/>
    <w:rsid w:val="00BB6B99"/>
    <w:rsid w:val="00BB6BA4"/>
    <w:rsid w:val="00BB6BE7"/>
    <w:rsid w:val="00BB6CAC"/>
    <w:rsid w:val="00BB6D48"/>
    <w:rsid w:val="00BB6D8C"/>
    <w:rsid w:val="00BB6DA0"/>
    <w:rsid w:val="00BB6E28"/>
    <w:rsid w:val="00BB6E32"/>
    <w:rsid w:val="00BB6E7D"/>
    <w:rsid w:val="00BB6EFD"/>
    <w:rsid w:val="00BB6F11"/>
    <w:rsid w:val="00BB6F8F"/>
    <w:rsid w:val="00BB70D0"/>
    <w:rsid w:val="00BB70E1"/>
    <w:rsid w:val="00BB70EC"/>
    <w:rsid w:val="00BB7104"/>
    <w:rsid w:val="00BB7171"/>
    <w:rsid w:val="00BB71AA"/>
    <w:rsid w:val="00BB72A6"/>
    <w:rsid w:val="00BB72F0"/>
    <w:rsid w:val="00BB73E6"/>
    <w:rsid w:val="00BB7404"/>
    <w:rsid w:val="00BB7431"/>
    <w:rsid w:val="00BB7494"/>
    <w:rsid w:val="00BB74FF"/>
    <w:rsid w:val="00BB7525"/>
    <w:rsid w:val="00BB7576"/>
    <w:rsid w:val="00BB7593"/>
    <w:rsid w:val="00BB75D4"/>
    <w:rsid w:val="00BB75E7"/>
    <w:rsid w:val="00BB761B"/>
    <w:rsid w:val="00BB767F"/>
    <w:rsid w:val="00BB7693"/>
    <w:rsid w:val="00BB7802"/>
    <w:rsid w:val="00BB7851"/>
    <w:rsid w:val="00BB78E3"/>
    <w:rsid w:val="00BB78FD"/>
    <w:rsid w:val="00BB7908"/>
    <w:rsid w:val="00BB7931"/>
    <w:rsid w:val="00BB794D"/>
    <w:rsid w:val="00BB7976"/>
    <w:rsid w:val="00BB79E2"/>
    <w:rsid w:val="00BB7A28"/>
    <w:rsid w:val="00BB7AB4"/>
    <w:rsid w:val="00BB7ADA"/>
    <w:rsid w:val="00BB7B17"/>
    <w:rsid w:val="00BB7B40"/>
    <w:rsid w:val="00BB7B82"/>
    <w:rsid w:val="00BB7B84"/>
    <w:rsid w:val="00BB7BBC"/>
    <w:rsid w:val="00BB7C09"/>
    <w:rsid w:val="00BB7C13"/>
    <w:rsid w:val="00BB7C89"/>
    <w:rsid w:val="00BB7CE6"/>
    <w:rsid w:val="00BB7D1A"/>
    <w:rsid w:val="00BB7D46"/>
    <w:rsid w:val="00BB7D88"/>
    <w:rsid w:val="00BB7D8A"/>
    <w:rsid w:val="00BB7DBF"/>
    <w:rsid w:val="00BB7E06"/>
    <w:rsid w:val="00BB7E0E"/>
    <w:rsid w:val="00BB7E5D"/>
    <w:rsid w:val="00BB7E6C"/>
    <w:rsid w:val="00BB7E6E"/>
    <w:rsid w:val="00BB7E7A"/>
    <w:rsid w:val="00BB7ED8"/>
    <w:rsid w:val="00BB7F53"/>
    <w:rsid w:val="00BB7F57"/>
    <w:rsid w:val="00BB7F7A"/>
    <w:rsid w:val="00BB7FAC"/>
    <w:rsid w:val="00BC0085"/>
    <w:rsid w:val="00BC008E"/>
    <w:rsid w:val="00BC00B9"/>
    <w:rsid w:val="00BC00F6"/>
    <w:rsid w:val="00BC00FB"/>
    <w:rsid w:val="00BC010A"/>
    <w:rsid w:val="00BC011D"/>
    <w:rsid w:val="00BC0195"/>
    <w:rsid w:val="00BC01AB"/>
    <w:rsid w:val="00BC01B6"/>
    <w:rsid w:val="00BC023A"/>
    <w:rsid w:val="00BC027D"/>
    <w:rsid w:val="00BC0303"/>
    <w:rsid w:val="00BC0382"/>
    <w:rsid w:val="00BC038A"/>
    <w:rsid w:val="00BC0398"/>
    <w:rsid w:val="00BC03AE"/>
    <w:rsid w:val="00BC03E2"/>
    <w:rsid w:val="00BC0417"/>
    <w:rsid w:val="00BC0419"/>
    <w:rsid w:val="00BC046D"/>
    <w:rsid w:val="00BC04A1"/>
    <w:rsid w:val="00BC04CE"/>
    <w:rsid w:val="00BC04F9"/>
    <w:rsid w:val="00BC056E"/>
    <w:rsid w:val="00BC05EB"/>
    <w:rsid w:val="00BC05FA"/>
    <w:rsid w:val="00BC068D"/>
    <w:rsid w:val="00BC0697"/>
    <w:rsid w:val="00BC06F2"/>
    <w:rsid w:val="00BC06F4"/>
    <w:rsid w:val="00BC076F"/>
    <w:rsid w:val="00BC077D"/>
    <w:rsid w:val="00BC077E"/>
    <w:rsid w:val="00BC07AD"/>
    <w:rsid w:val="00BC0815"/>
    <w:rsid w:val="00BC0858"/>
    <w:rsid w:val="00BC0888"/>
    <w:rsid w:val="00BC08AF"/>
    <w:rsid w:val="00BC098E"/>
    <w:rsid w:val="00BC09E8"/>
    <w:rsid w:val="00BC0A0C"/>
    <w:rsid w:val="00BC0AAE"/>
    <w:rsid w:val="00BC0AEA"/>
    <w:rsid w:val="00BC0AF9"/>
    <w:rsid w:val="00BC0B0E"/>
    <w:rsid w:val="00BC0CCE"/>
    <w:rsid w:val="00BC0CD0"/>
    <w:rsid w:val="00BC0CD2"/>
    <w:rsid w:val="00BC0D4C"/>
    <w:rsid w:val="00BC0DC2"/>
    <w:rsid w:val="00BC0E7F"/>
    <w:rsid w:val="00BC0F4C"/>
    <w:rsid w:val="00BC0F89"/>
    <w:rsid w:val="00BC0FAB"/>
    <w:rsid w:val="00BC0FCC"/>
    <w:rsid w:val="00BC0FCE"/>
    <w:rsid w:val="00BC0FED"/>
    <w:rsid w:val="00BC101B"/>
    <w:rsid w:val="00BC109A"/>
    <w:rsid w:val="00BC10C7"/>
    <w:rsid w:val="00BC1105"/>
    <w:rsid w:val="00BC1147"/>
    <w:rsid w:val="00BC1158"/>
    <w:rsid w:val="00BC11AD"/>
    <w:rsid w:val="00BC1231"/>
    <w:rsid w:val="00BC123D"/>
    <w:rsid w:val="00BC125C"/>
    <w:rsid w:val="00BC12C3"/>
    <w:rsid w:val="00BC1319"/>
    <w:rsid w:val="00BC1341"/>
    <w:rsid w:val="00BC13C3"/>
    <w:rsid w:val="00BC13EA"/>
    <w:rsid w:val="00BC1450"/>
    <w:rsid w:val="00BC148A"/>
    <w:rsid w:val="00BC14B8"/>
    <w:rsid w:val="00BC14E1"/>
    <w:rsid w:val="00BC1526"/>
    <w:rsid w:val="00BC155F"/>
    <w:rsid w:val="00BC158E"/>
    <w:rsid w:val="00BC15D1"/>
    <w:rsid w:val="00BC1600"/>
    <w:rsid w:val="00BC16E9"/>
    <w:rsid w:val="00BC1700"/>
    <w:rsid w:val="00BC178C"/>
    <w:rsid w:val="00BC1822"/>
    <w:rsid w:val="00BC1831"/>
    <w:rsid w:val="00BC186B"/>
    <w:rsid w:val="00BC1947"/>
    <w:rsid w:val="00BC19DA"/>
    <w:rsid w:val="00BC19E1"/>
    <w:rsid w:val="00BC1A07"/>
    <w:rsid w:val="00BC1A57"/>
    <w:rsid w:val="00BC1AC1"/>
    <w:rsid w:val="00BC1AE2"/>
    <w:rsid w:val="00BC1B1F"/>
    <w:rsid w:val="00BC1B64"/>
    <w:rsid w:val="00BC1B7C"/>
    <w:rsid w:val="00BC1BA4"/>
    <w:rsid w:val="00BC1BDE"/>
    <w:rsid w:val="00BC1CE4"/>
    <w:rsid w:val="00BC1CEE"/>
    <w:rsid w:val="00BC1CF0"/>
    <w:rsid w:val="00BC1D07"/>
    <w:rsid w:val="00BC1DB1"/>
    <w:rsid w:val="00BC1E09"/>
    <w:rsid w:val="00BC1E45"/>
    <w:rsid w:val="00BC1E54"/>
    <w:rsid w:val="00BC1EC1"/>
    <w:rsid w:val="00BC1EFF"/>
    <w:rsid w:val="00BC1F23"/>
    <w:rsid w:val="00BC1F7F"/>
    <w:rsid w:val="00BC2001"/>
    <w:rsid w:val="00BC200B"/>
    <w:rsid w:val="00BC2011"/>
    <w:rsid w:val="00BC2016"/>
    <w:rsid w:val="00BC2019"/>
    <w:rsid w:val="00BC202D"/>
    <w:rsid w:val="00BC2068"/>
    <w:rsid w:val="00BC20BD"/>
    <w:rsid w:val="00BC2185"/>
    <w:rsid w:val="00BC21B9"/>
    <w:rsid w:val="00BC220C"/>
    <w:rsid w:val="00BC2239"/>
    <w:rsid w:val="00BC224D"/>
    <w:rsid w:val="00BC22A2"/>
    <w:rsid w:val="00BC22C7"/>
    <w:rsid w:val="00BC22F3"/>
    <w:rsid w:val="00BC2315"/>
    <w:rsid w:val="00BC2324"/>
    <w:rsid w:val="00BC2418"/>
    <w:rsid w:val="00BC2425"/>
    <w:rsid w:val="00BC2442"/>
    <w:rsid w:val="00BC244E"/>
    <w:rsid w:val="00BC2487"/>
    <w:rsid w:val="00BC24BB"/>
    <w:rsid w:val="00BC24D9"/>
    <w:rsid w:val="00BC255C"/>
    <w:rsid w:val="00BC258F"/>
    <w:rsid w:val="00BC2642"/>
    <w:rsid w:val="00BC2655"/>
    <w:rsid w:val="00BC26BD"/>
    <w:rsid w:val="00BC26DB"/>
    <w:rsid w:val="00BC273A"/>
    <w:rsid w:val="00BC275A"/>
    <w:rsid w:val="00BC27AF"/>
    <w:rsid w:val="00BC27BC"/>
    <w:rsid w:val="00BC27E9"/>
    <w:rsid w:val="00BC28B9"/>
    <w:rsid w:val="00BC2907"/>
    <w:rsid w:val="00BC290A"/>
    <w:rsid w:val="00BC2967"/>
    <w:rsid w:val="00BC2973"/>
    <w:rsid w:val="00BC29DD"/>
    <w:rsid w:val="00BC29E2"/>
    <w:rsid w:val="00BC29F2"/>
    <w:rsid w:val="00BC2A26"/>
    <w:rsid w:val="00BC2A6E"/>
    <w:rsid w:val="00BC2AA4"/>
    <w:rsid w:val="00BC2AC8"/>
    <w:rsid w:val="00BC2B2D"/>
    <w:rsid w:val="00BC2B38"/>
    <w:rsid w:val="00BC2B3A"/>
    <w:rsid w:val="00BC2B4D"/>
    <w:rsid w:val="00BC2B66"/>
    <w:rsid w:val="00BC2B6D"/>
    <w:rsid w:val="00BC2B75"/>
    <w:rsid w:val="00BC2C30"/>
    <w:rsid w:val="00BC2C5A"/>
    <w:rsid w:val="00BC2C84"/>
    <w:rsid w:val="00BC2CD0"/>
    <w:rsid w:val="00BC2CE3"/>
    <w:rsid w:val="00BC2CF5"/>
    <w:rsid w:val="00BC2D0C"/>
    <w:rsid w:val="00BC2D1D"/>
    <w:rsid w:val="00BC2DA2"/>
    <w:rsid w:val="00BC2DBB"/>
    <w:rsid w:val="00BC2E0B"/>
    <w:rsid w:val="00BC2E24"/>
    <w:rsid w:val="00BC2E27"/>
    <w:rsid w:val="00BC2E77"/>
    <w:rsid w:val="00BC2E83"/>
    <w:rsid w:val="00BC2EA7"/>
    <w:rsid w:val="00BC2EBC"/>
    <w:rsid w:val="00BC2F05"/>
    <w:rsid w:val="00BC2F84"/>
    <w:rsid w:val="00BC2F8A"/>
    <w:rsid w:val="00BC2F97"/>
    <w:rsid w:val="00BC2FD3"/>
    <w:rsid w:val="00BC2FD7"/>
    <w:rsid w:val="00BC304A"/>
    <w:rsid w:val="00BC3073"/>
    <w:rsid w:val="00BC30A1"/>
    <w:rsid w:val="00BC31A6"/>
    <w:rsid w:val="00BC31FD"/>
    <w:rsid w:val="00BC3212"/>
    <w:rsid w:val="00BC322F"/>
    <w:rsid w:val="00BC3256"/>
    <w:rsid w:val="00BC327A"/>
    <w:rsid w:val="00BC327C"/>
    <w:rsid w:val="00BC3287"/>
    <w:rsid w:val="00BC329E"/>
    <w:rsid w:val="00BC32B7"/>
    <w:rsid w:val="00BC32DA"/>
    <w:rsid w:val="00BC3314"/>
    <w:rsid w:val="00BC3319"/>
    <w:rsid w:val="00BC332C"/>
    <w:rsid w:val="00BC3356"/>
    <w:rsid w:val="00BC33B5"/>
    <w:rsid w:val="00BC33ED"/>
    <w:rsid w:val="00BC3424"/>
    <w:rsid w:val="00BC346C"/>
    <w:rsid w:val="00BC3491"/>
    <w:rsid w:val="00BC34F2"/>
    <w:rsid w:val="00BC357C"/>
    <w:rsid w:val="00BC35CB"/>
    <w:rsid w:val="00BC35D5"/>
    <w:rsid w:val="00BC360D"/>
    <w:rsid w:val="00BC3626"/>
    <w:rsid w:val="00BC3675"/>
    <w:rsid w:val="00BC36B4"/>
    <w:rsid w:val="00BC36B9"/>
    <w:rsid w:val="00BC371F"/>
    <w:rsid w:val="00BC3724"/>
    <w:rsid w:val="00BC3736"/>
    <w:rsid w:val="00BC377F"/>
    <w:rsid w:val="00BC379F"/>
    <w:rsid w:val="00BC37D2"/>
    <w:rsid w:val="00BC37E4"/>
    <w:rsid w:val="00BC382C"/>
    <w:rsid w:val="00BC386A"/>
    <w:rsid w:val="00BC3878"/>
    <w:rsid w:val="00BC38AD"/>
    <w:rsid w:val="00BC38D7"/>
    <w:rsid w:val="00BC3975"/>
    <w:rsid w:val="00BC39CC"/>
    <w:rsid w:val="00BC39D5"/>
    <w:rsid w:val="00BC39F9"/>
    <w:rsid w:val="00BC39FB"/>
    <w:rsid w:val="00BC39FD"/>
    <w:rsid w:val="00BC3A00"/>
    <w:rsid w:val="00BC3A27"/>
    <w:rsid w:val="00BC3A4A"/>
    <w:rsid w:val="00BC3A51"/>
    <w:rsid w:val="00BC3A9A"/>
    <w:rsid w:val="00BC3AB1"/>
    <w:rsid w:val="00BC3AB2"/>
    <w:rsid w:val="00BC3AC7"/>
    <w:rsid w:val="00BC3AFD"/>
    <w:rsid w:val="00BC3B7E"/>
    <w:rsid w:val="00BC3B8A"/>
    <w:rsid w:val="00BC3BAD"/>
    <w:rsid w:val="00BC3BB1"/>
    <w:rsid w:val="00BC3C41"/>
    <w:rsid w:val="00BC3CDE"/>
    <w:rsid w:val="00BC3D9B"/>
    <w:rsid w:val="00BC3DCD"/>
    <w:rsid w:val="00BC3E56"/>
    <w:rsid w:val="00BC3E7F"/>
    <w:rsid w:val="00BC3E9C"/>
    <w:rsid w:val="00BC3EB4"/>
    <w:rsid w:val="00BC3EBA"/>
    <w:rsid w:val="00BC3F28"/>
    <w:rsid w:val="00BC3FF6"/>
    <w:rsid w:val="00BC4069"/>
    <w:rsid w:val="00BC4075"/>
    <w:rsid w:val="00BC40D4"/>
    <w:rsid w:val="00BC40DC"/>
    <w:rsid w:val="00BC40E0"/>
    <w:rsid w:val="00BC40F1"/>
    <w:rsid w:val="00BC410D"/>
    <w:rsid w:val="00BC4174"/>
    <w:rsid w:val="00BC41EB"/>
    <w:rsid w:val="00BC4238"/>
    <w:rsid w:val="00BC4256"/>
    <w:rsid w:val="00BC42F3"/>
    <w:rsid w:val="00BC4353"/>
    <w:rsid w:val="00BC4379"/>
    <w:rsid w:val="00BC437F"/>
    <w:rsid w:val="00BC43A1"/>
    <w:rsid w:val="00BC43A4"/>
    <w:rsid w:val="00BC43B2"/>
    <w:rsid w:val="00BC43CB"/>
    <w:rsid w:val="00BC43CF"/>
    <w:rsid w:val="00BC440C"/>
    <w:rsid w:val="00BC444A"/>
    <w:rsid w:val="00BC4492"/>
    <w:rsid w:val="00BC44D3"/>
    <w:rsid w:val="00BC44DD"/>
    <w:rsid w:val="00BC451F"/>
    <w:rsid w:val="00BC455E"/>
    <w:rsid w:val="00BC45C6"/>
    <w:rsid w:val="00BC45C7"/>
    <w:rsid w:val="00BC4615"/>
    <w:rsid w:val="00BC4625"/>
    <w:rsid w:val="00BC4630"/>
    <w:rsid w:val="00BC4679"/>
    <w:rsid w:val="00BC467A"/>
    <w:rsid w:val="00BC46D1"/>
    <w:rsid w:val="00BC470A"/>
    <w:rsid w:val="00BC473A"/>
    <w:rsid w:val="00BC4761"/>
    <w:rsid w:val="00BC47A7"/>
    <w:rsid w:val="00BC47CA"/>
    <w:rsid w:val="00BC4831"/>
    <w:rsid w:val="00BC489B"/>
    <w:rsid w:val="00BC48B6"/>
    <w:rsid w:val="00BC4905"/>
    <w:rsid w:val="00BC4910"/>
    <w:rsid w:val="00BC4988"/>
    <w:rsid w:val="00BC499C"/>
    <w:rsid w:val="00BC49F8"/>
    <w:rsid w:val="00BC4A37"/>
    <w:rsid w:val="00BC4A43"/>
    <w:rsid w:val="00BC4A49"/>
    <w:rsid w:val="00BC4ADF"/>
    <w:rsid w:val="00BC4B43"/>
    <w:rsid w:val="00BC4BB1"/>
    <w:rsid w:val="00BC4BC0"/>
    <w:rsid w:val="00BC4BD4"/>
    <w:rsid w:val="00BC4BFB"/>
    <w:rsid w:val="00BC4DD4"/>
    <w:rsid w:val="00BC4E56"/>
    <w:rsid w:val="00BC504B"/>
    <w:rsid w:val="00BC5061"/>
    <w:rsid w:val="00BC507A"/>
    <w:rsid w:val="00BC5097"/>
    <w:rsid w:val="00BC50B2"/>
    <w:rsid w:val="00BC50BC"/>
    <w:rsid w:val="00BC50C0"/>
    <w:rsid w:val="00BC5117"/>
    <w:rsid w:val="00BC51B2"/>
    <w:rsid w:val="00BC5244"/>
    <w:rsid w:val="00BC52E1"/>
    <w:rsid w:val="00BC536D"/>
    <w:rsid w:val="00BC5420"/>
    <w:rsid w:val="00BC5446"/>
    <w:rsid w:val="00BC5487"/>
    <w:rsid w:val="00BC54DB"/>
    <w:rsid w:val="00BC54EC"/>
    <w:rsid w:val="00BC5505"/>
    <w:rsid w:val="00BC558C"/>
    <w:rsid w:val="00BC558F"/>
    <w:rsid w:val="00BC565E"/>
    <w:rsid w:val="00BC566B"/>
    <w:rsid w:val="00BC5680"/>
    <w:rsid w:val="00BC5684"/>
    <w:rsid w:val="00BC568D"/>
    <w:rsid w:val="00BC5722"/>
    <w:rsid w:val="00BC5760"/>
    <w:rsid w:val="00BC577F"/>
    <w:rsid w:val="00BC5783"/>
    <w:rsid w:val="00BC579C"/>
    <w:rsid w:val="00BC57A0"/>
    <w:rsid w:val="00BC57A6"/>
    <w:rsid w:val="00BC57B6"/>
    <w:rsid w:val="00BC57CA"/>
    <w:rsid w:val="00BC57FF"/>
    <w:rsid w:val="00BC589A"/>
    <w:rsid w:val="00BC58A7"/>
    <w:rsid w:val="00BC5990"/>
    <w:rsid w:val="00BC5A23"/>
    <w:rsid w:val="00BC5A28"/>
    <w:rsid w:val="00BC5BDF"/>
    <w:rsid w:val="00BC5BF4"/>
    <w:rsid w:val="00BC5C7F"/>
    <w:rsid w:val="00BC5C8A"/>
    <w:rsid w:val="00BC5CBF"/>
    <w:rsid w:val="00BC5CED"/>
    <w:rsid w:val="00BC5D9B"/>
    <w:rsid w:val="00BC5DAF"/>
    <w:rsid w:val="00BC5DDD"/>
    <w:rsid w:val="00BC5DFA"/>
    <w:rsid w:val="00BC5E0F"/>
    <w:rsid w:val="00BC5E55"/>
    <w:rsid w:val="00BC5E77"/>
    <w:rsid w:val="00BC5F21"/>
    <w:rsid w:val="00BC5F23"/>
    <w:rsid w:val="00BC5F2E"/>
    <w:rsid w:val="00BC5F70"/>
    <w:rsid w:val="00BC5F8F"/>
    <w:rsid w:val="00BC5FD6"/>
    <w:rsid w:val="00BC5FEA"/>
    <w:rsid w:val="00BC6040"/>
    <w:rsid w:val="00BC60B3"/>
    <w:rsid w:val="00BC60BE"/>
    <w:rsid w:val="00BC60FA"/>
    <w:rsid w:val="00BC6164"/>
    <w:rsid w:val="00BC61D5"/>
    <w:rsid w:val="00BC61E5"/>
    <w:rsid w:val="00BC6216"/>
    <w:rsid w:val="00BC6321"/>
    <w:rsid w:val="00BC633A"/>
    <w:rsid w:val="00BC6354"/>
    <w:rsid w:val="00BC63C0"/>
    <w:rsid w:val="00BC6428"/>
    <w:rsid w:val="00BC6461"/>
    <w:rsid w:val="00BC6464"/>
    <w:rsid w:val="00BC647A"/>
    <w:rsid w:val="00BC64D7"/>
    <w:rsid w:val="00BC64DF"/>
    <w:rsid w:val="00BC6553"/>
    <w:rsid w:val="00BC6580"/>
    <w:rsid w:val="00BC65C7"/>
    <w:rsid w:val="00BC661B"/>
    <w:rsid w:val="00BC6666"/>
    <w:rsid w:val="00BC66A6"/>
    <w:rsid w:val="00BC66E8"/>
    <w:rsid w:val="00BC6734"/>
    <w:rsid w:val="00BC6768"/>
    <w:rsid w:val="00BC67BB"/>
    <w:rsid w:val="00BC683D"/>
    <w:rsid w:val="00BC684B"/>
    <w:rsid w:val="00BC6853"/>
    <w:rsid w:val="00BC6975"/>
    <w:rsid w:val="00BC697A"/>
    <w:rsid w:val="00BC6987"/>
    <w:rsid w:val="00BC69AA"/>
    <w:rsid w:val="00BC69E1"/>
    <w:rsid w:val="00BC69EF"/>
    <w:rsid w:val="00BC6A16"/>
    <w:rsid w:val="00BC6A1F"/>
    <w:rsid w:val="00BC6A9A"/>
    <w:rsid w:val="00BC6B4B"/>
    <w:rsid w:val="00BC6B64"/>
    <w:rsid w:val="00BC6B65"/>
    <w:rsid w:val="00BC6B6E"/>
    <w:rsid w:val="00BC6C14"/>
    <w:rsid w:val="00BC6C57"/>
    <w:rsid w:val="00BC6CAC"/>
    <w:rsid w:val="00BC6CB9"/>
    <w:rsid w:val="00BC6CCE"/>
    <w:rsid w:val="00BC6CE8"/>
    <w:rsid w:val="00BC6CFE"/>
    <w:rsid w:val="00BC6D84"/>
    <w:rsid w:val="00BC6DAE"/>
    <w:rsid w:val="00BC6E15"/>
    <w:rsid w:val="00BC6E62"/>
    <w:rsid w:val="00BC6E78"/>
    <w:rsid w:val="00BC6EA4"/>
    <w:rsid w:val="00BC6EA7"/>
    <w:rsid w:val="00BC6ECA"/>
    <w:rsid w:val="00BC6ED3"/>
    <w:rsid w:val="00BC6EDB"/>
    <w:rsid w:val="00BC6F1E"/>
    <w:rsid w:val="00BC6F99"/>
    <w:rsid w:val="00BC702F"/>
    <w:rsid w:val="00BC70D8"/>
    <w:rsid w:val="00BC711A"/>
    <w:rsid w:val="00BC7126"/>
    <w:rsid w:val="00BC7130"/>
    <w:rsid w:val="00BC7141"/>
    <w:rsid w:val="00BC71B0"/>
    <w:rsid w:val="00BC71D5"/>
    <w:rsid w:val="00BC71F4"/>
    <w:rsid w:val="00BC7239"/>
    <w:rsid w:val="00BC7277"/>
    <w:rsid w:val="00BC72C1"/>
    <w:rsid w:val="00BC72EA"/>
    <w:rsid w:val="00BC7304"/>
    <w:rsid w:val="00BC733D"/>
    <w:rsid w:val="00BC735F"/>
    <w:rsid w:val="00BC7367"/>
    <w:rsid w:val="00BC73AE"/>
    <w:rsid w:val="00BC73B2"/>
    <w:rsid w:val="00BC7421"/>
    <w:rsid w:val="00BC74BA"/>
    <w:rsid w:val="00BC74D9"/>
    <w:rsid w:val="00BC7515"/>
    <w:rsid w:val="00BC7556"/>
    <w:rsid w:val="00BC75EF"/>
    <w:rsid w:val="00BC75F0"/>
    <w:rsid w:val="00BC7606"/>
    <w:rsid w:val="00BC7661"/>
    <w:rsid w:val="00BC7728"/>
    <w:rsid w:val="00BC7736"/>
    <w:rsid w:val="00BC775C"/>
    <w:rsid w:val="00BC7792"/>
    <w:rsid w:val="00BC7843"/>
    <w:rsid w:val="00BC785B"/>
    <w:rsid w:val="00BC786F"/>
    <w:rsid w:val="00BC7881"/>
    <w:rsid w:val="00BC78B0"/>
    <w:rsid w:val="00BC78CF"/>
    <w:rsid w:val="00BC78F9"/>
    <w:rsid w:val="00BC7918"/>
    <w:rsid w:val="00BC791B"/>
    <w:rsid w:val="00BC7998"/>
    <w:rsid w:val="00BC79CE"/>
    <w:rsid w:val="00BC79F1"/>
    <w:rsid w:val="00BC7A6D"/>
    <w:rsid w:val="00BC7ACC"/>
    <w:rsid w:val="00BC7ADB"/>
    <w:rsid w:val="00BC7B48"/>
    <w:rsid w:val="00BC7B69"/>
    <w:rsid w:val="00BC7B9C"/>
    <w:rsid w:val="00BC7B9D"/>
    <w:rsid w:val="00BC7BB7"/>
    <w:rsid w:val="00BC7BCD"/>
    <w:rsid w:val="00BC7C03"/>
    <w:rsid w:val="00BC7C05"/>
    <w:rsid w:val="00BC7CB0"/>
    <w:rsid w:val="00BC7CC2"/>
    <w:rsid w:val="00BC7D9F"/>
    <w:rsid w:val="00BC7E28"/>
    <w:rsid w:val="00BC7E57"/>
    <w:rsid w:val="00BC7E90"/>
    <w:rsid w:val="00BC7E95"/>
    <w:rsid w:val="00BC7EE0"/>
    <w:rsid w:val="00BC7EED"/>
    <w:rsid w:val="00BC7EF0"/>
    <w:rsid w:val="00BC7F5B"/>
    <w:rsid w:val="00BC7FAB"/>
    <w:rsid w:val="00BC7FE7"/>
    <w:rsid w:val="00BD002E"/>
    <w:rsid w:val="00BD00C3"/>
    <w:rsid w:val="00BD00DF"/>
    <w:rsid w:val="00BD0124"/>
    <w:rsid w:val="00BD0259"/>
    <w:rsid w:val="00BD0290"/>
    <w:rsid w:val="00BD02B0"/>
    <w:rsid w:val="00BD02C4"/>
    <w:rsid w:val="00BD02CB"/>
    <w:rsid w:val="00BD02E7"/>
    <w:rsid w:val="00BD042F"/>
    <w:rsid w:val="00BD0490"/>
    <w:rsid w:val="00BD0509"/>
    <w:rsid w:val="00BD0514"/>
    <w:rsid w:val="00BD053D"/>
    <w:rsid w:val="00BD053F"/>
    <w:rsid w:val="00BD0564"/>
    <w:rsid w:val="00BD0579"/>
    <w:rsid w:val="00BD057C"/>
    <w:rsid w:val="00BD0592"/>
    <w:rsid w:val="00BD05C1"/>
    <w:rsid w:val="00BD05FA"/>
    <w:rsid w:val="00BD0602"/>
    <w:rsid w:val="00BD0611"/>
    <w:rsid w:val="00BD0613"/>
    <w:rsid w:val="00BD06CF"/>
    <w:rsid w:val="00BD06D5"/>
    <w:rsid w:val="00BD0768"/>
    <w:rsid w:val="00BD07A9"/>
    <w:rsid w:val="00BD07AE"/>
    <w:rsid w:val="00BD07C6"/>
    <w:rsid w:val="00BD0814"/>
    <w:rsid w:val="00BD0848"/>
    <w:rsid w:val="00BD08AC"/>
    <w:rsid w:val="00BD08BA"/>
    <w:rsid w:val="00BD08C4"/>
    <w:rsid w:val="00BD08CD"/>
    <w:rsid w:val="00BD08F6"/>
    <w:rsid w:val="00BD093C"/>
    <w:rsid w:val="00BD0949"/>
    <w:rsid w:val="00BD095A"/>
    <w:rsid w:val="00BD09B8"/>
    <w:rsid w:val="00BD09D2"/>
    <w:rsid w:val="00BD09E1"/>
    <w:rsid w:val="00BD0A0D"/>
    <w:rsid w:val="00BD0A1B"/>
    <w:rsid w:val="00BD0A22"/>
    <w:rsid w:val="00BD0A26"/>
    <w:rsid w:val="00BD0A5A"/>
    <w:rsid w:val="00BD0AE6"/>
    <w:rsid w:val="00BD0B7E"/>
    <w:rsid w:val="00BD0BA5"/>
    <w:rsid w:val="00BD0BAC"/>
    <w:rsid w:val="00BD0BBF"/>
    <w:rsid w:val="00BD0BD6"/>
    <w:rsid w:val="00BD0C5C"/>
    <w:rsid w:val="00BD0C89"/>
    <w:rsid w:val="00BD0CBE"/>
    <w:rsid w:val="00BD0CEB"/>
    <w:rsid w:val="00BD0D07"/>
    <w:rsid w:val="00BD0D09"/>
    <w:rsid w:val="00BD0D85"/>
    <w:rsid w:val="00BD0DEB"/>
    <w:rsid w:val="00BD0E9D"/>
    <w:rsid w:val="00BD0EBE"/>
    <w:rsid w:val="00BD0EC6"/>
    <w:rsid w:val="00BD0EF5"/>
    <w:rsid w:val="00BD0F1D"/>
    <w:rsid w:val="00BD0F22"/>
    <w:rsid w:val="00BD0FCA"/>
    <w:rsid w:val="00BD0FE4"/>
    <w:rsid w:val="00BD0FEB"/>
    <w:rsid w:val="00BD1027"/>
    <w:rsid w:val="00BD104C"/>
    <w:rsid w:val="00BD1066"/>
    <w:rsid w:val="00BD10FB"/>
    <w:rsid w:val="00BD11A4"/>
    <w:rsid w:val="00BD11A6"/>
    <w:rsid w:val="00BD11E3"/>
    <w:rsid w:val="00BD11F8"/>
    <w:rsid w:val="00BD120D"/>
    <w:rsid w:val="00BD1292"/>
    <w:rsid w:val="00BD1402"/>
    <w:rsid w:val="00BD14AC"/>
    <w:rsid w:val="00BD14C8"/>
    <w:rsid w:val="00BD15A8"/>
    <w:rsid w:val="00BD15C1"/>
    <w:rsid w:val="00BD15D5"/>
    <w:rsid w:val="00BD1610"/>
    <w:rsid w:val="00BD1648"/>
    <w:rsid w:val="00BD1690"/>
    <w:rsid w:val="00BD16DE"/>
    <w:rsid w:val="00BD1786"/>
    <w:rsid w:val="00BD180E"/>
    <w:rsid w:val="00BD181D"/>
    <w:rsid w:val="00BD1877"/>
    <w:rsid w:val="00BD18FE"/>
    <w:rsid w:val="00BD1938"/>
    <w:rsid w:val="00BD19B1"/>
    <w:rsid w:val="00BD19C6"/>
    <w:rsid w:val="00BD1A08"/>
    <w:rsid w:val="00BD1A0C"/>
    <w:rsid w:val="00BD1A2B"/>
    <w:rsid w:val="00BD1B0C"/>
    <w:rsid w:val="00BD1C18"/>
    <w:rsid w:val="00BD1C24"/>
    <w:rsid w:val="00BD1CA5"/>
    <w:rsid w:val="00BD1D46"/>
    <w:rsid w:val="00BD1D51"/>
    <w:rsid w:val="00BD1DBF"/>
    <w:rsid w:val="00BD1DC1"/>
    <w:rsid w:val="00BD1DE3"/>
    <w:rsid w:val="00BD1E0C"/>
    <w:rsid w:val="00BD1E44"/>
    <w:rsid w:val="00BD1E49"/>
    <w:rsid w:val="00BD1E5F"/>
    <w:rsid w:val="00BD1EA0"/>
    <w:rsid w:val="00BD1F2E"/>
    <w:rsid w:val="00BD1F59"/>
    <w:rsid w:val="00BD1F5C"/>
    <w:rsid w:val="00BD1F83"/>
    <w:rsid w:val="00BD1F9C"/>
    <w:rsid w:val="00BD1FA5"/>
    <w:rsid w:val="00BD1FD0"/>
    <w:rsid w:val="00BD1FDA"/>
    <w:rsid w:val="00BD2008"/>
    <w:rsid w:val="00BD206F"/>
    <w:rsid w:val="00BD209F"/>
    <w:rsid w:val="00BD20AD"/>
    <w:rsid w:val="00BD20EA"/>
    <w:rsid w:val="00BD2154"/>
    <w:rsid w:val="00BD218F"/>
    <w:rsid w:val="00BD221A"/>
    <w:rsid w:val="00BD221E"/>
    <w:rsid w:val="00BD2222"/>
    <w:rsid w:val="00BD22B8"/>
    <w:rsid w:val="00BD232B"/>
    <w:rsid w:val="00BD2391"/>
    <w:rsid w:val="00BD23A8"/>
    <w:rsid w:val="00BD23BE"/>
    <w:rsid w:val="00BD2479"/>
    <w:rsid w:val="00BD24F7"/>
    <w:rsid w:val="00BD2515"/>
    <w:rsid w:val="00BD255E"/>
    <w:rsid w:val="00BD25CF"/>
    <w:rsid w:val="00BD25E7"/>
    <w:rsid w:val="00BD2623"/>
    <w:rsid w:val="00BD26A8"/>
    <w:rsid w:val="00BD26AA"/>
    <w:rsid w:val="00BD26D9"/>
    <w:rsid w:val="00BD280D"/>
    <w:rsid w:val="00BD2825"/>
    <w:rsid w:val="00BD2845"/>
    <w:rsid w:val="00BD289A"/>
    <w:rsid w:val="00BD2A0A"/>
    <w:rsid w:val="00BD2A10"/>
    <w:rsid w:val="00BD2A22"/>
    <w:rsid w:val="00BD2A4B"/>
    <w:rsid w:val="00BD2A4F"/>
    <w:rsid w:val="00BD2A67"/>
    <w:rsid w:val="00BD2A71"/>
    <w:rsid w:val="00BD2AE0"/>
    <w:rsid w:val="00BD2AE3"/>
    <w:rsid w:val="00BD2B10"/>
    <w:rsid w:val="00BD2B22"/>
    <w:rsid w:val="00BD2B40"/>
    <w:rsid w:val="00BD2B5B"/>
    <w:rsid w:val="00BD2B82"/>
    <w:rsid w:val="00BD2BB0"/>
    <w:rsid w:val="00BD2C61"/>
    <w:rsid w:val="00BD2CD8"/>
    <w:rsid w:val="00BD2CE1"/>
    <w:rsid w:val="00BD2DD5"/>
    <w:rsid w:val="00BD2E21"/>
    <w:rsid w:val="00BD2E54"/>
    <w:rsid w:val="00BD2E57"/>
    <w:rsid w:val="00BD2E5C"/>
    <w:rsid w:val="00BD2E83"/>
    <w:rsid w:val="00BD2F70"/>
    <w:rsid w:val="00BD2F8B"/>
    <w:rsid w:val="00BD3018"/>
    <w:rsid w:val="00BD30C7"/>
    <w:rsid w:val="00BD30D9"/>
    <w:rsid w:val="00BD30E7"/>
    <w:rsid w:val="00BD3155"/>
    <w:rsid w:val="00BD316B"/>
    <w:rsid w:val="00BD31CB"/>
    <w:rsid w:val="00BD322B"/>
    <w:rsid w:val="00BD324F"/>
    <w:rsid w:val="00BD3273"/>
    <w:rsid w:val="00BD32B9"/>
    <w:rsid w:val="00BD32E3"/>
    <w:rsid w:val="00BD3311"/>
    <w:rsid w:val="00BD331C"/>
    <w:rsid w:val="00BD3340"/>
    <w:rsid w:val="00BD336A"/>
    <w:rsid w:val="00BD3387"/>
    <w:rsid w:val="00BD33AC"/>
    <w:rsid w:val="00BD33B2"/>
    <w:rsid w:val="00BD3430"/>
    <w:rsid w:val="00BD344F"/>
    <w:rsid w:val="00BD345F"/>
    <w:rsid w:val="00BD34B9"/>
    <w:rsid w:val="00BD34C8"/>
    <w:rsid w:val="00BD34FA"/>
    <w:rsid w:val="00BD3551"/>
    <w:rsid w:val="00BD3569"/>
    <w:rsid w:val="00BD35A8"/>
    <w:rsid w:val="00BD365A"/>
    <w:rsid w:val="00BD366C"/>
    <w:rsid w:val="00BD3676"/>
    <w:rsid w:val="00BD36C5"/>
    <w:rsid w:val="00BD3761"/>
    <w:rsid w:val="00BD3830"/>
    <w:rsid w:val="00BD3885"/>
    <w:rsid w:val="00BD38A2"/>
    <w:rsid w:val="00BD3907"/>
    <w:rsid w:val="00BD3962"/>
    <w:rsid w:val="00BD3975"/>
    <w:rsid w:val="00BD397A"/>
    <w:rsid w:val="00BD39BD"/>
    <w:rsid w:val="00BD39DE"/>
    <w:rsid w:val="00BD39EA"/>
    <w:rsid w:val="00BD3A1C"/>
    <w:rsid w:val="00BD3A33"/>
    <w:rsid w:val="00BD3A70"/>
    <w:rsid w:val="00BD3BDC"/>
    <w:rsid w:val="00BD3C21"/>
    <w:rsid w:val="00BD3C69"/>
    <w:rsid w:val="00BD3D80"/>
    <w:rsid w:val="00BD3D90"/>
    <w:rsid w:val="00BD3E0E"/>
    <w:rsid w:val="00BD3E50"/>
    <w:rsid w:val="00BD3E61"/>
    <w:rsid w:val="00BD3E70"/>
    <w:rsid w:val="00BD3E88"/>
    <w:rsid w:val="00BD3E8C"/>
    <w:rsid w:val="00BD3E92"/>
    <w:rsid w:val="00BD3F29"/>
    <w:rsid w:val="00BD3F30"/>
    <w:rsid w:val="00BD3F47"/>
    <w:rsid w:val="00BD3F59"/>
    <w:rsid w:val="00BD3F6F"/>
    <w:rsid w:val="00BD3F94"/>
    <w:rsid w:val="00BD3FA6"/>
    <w:rsid w:val="00BD3FD3"/>
    <w:rsid w:val="00BD4004"/>
    <w:rsid w:val="00BD4008"/>
    <w:rsid w:val="00BD4031"/>
    <w:rsid w:val="00BD4035"/>
    <w:rsid w:val="00BD40CC"/>
    <w:rsid w:val="00BD40DF"/>
    <w:rsid w:val="00BD412C"/>
    <w:rsid w:val="00BD4142"/>
    <w:rsid w:val="00BD41AE"/>
    <w:rsid w:val="00BD41C2"/>
    <w:rsid w:val="00BD4236"/>
    <w:rsid w:val="00BD424F"/>
    <w:rsid w:val="00BD4263"/>
    <w:rsid w:val="00BD42C9"/>
    <w:rsid w:val="00BD4384"/>
    <w:rsid w:val="00BD4411"/>
    <w:rsid w:val="00BD4459"/>
    <w:rsid w:val="00BD44B5"/>
    <w:rsid w:val="00BD44BD"/>
    <w:rsid w:val="00BD44C9"/>
    <w:rsid w:val="00BD44D4"/>
    <w:rsid w:val="00BD454F"/>
    <w:rsid w:val="00BD457D"/>
    <w:rsid w:val="00BD457E"/>
    <w:rsid w:val="00BD4600"/>
    <w:rsid w:val="00BD4609"/>
    <w:rsid w:val="00BD460D"/>
    <w:rsid w:val="00BD462E"/>
    <w:rsid w:val="00BD464B"/>
    <w:rsid w:val="00BD465C"/>
    <w:rsid w:val="00BD4660"/>
    <w:rsid w:val="00BD46E0"/>
    <w:rsid w:val="00BD4712"/>
    <w:rsid w:val="00BD47AA"/>
    <w:rsid w:val="00BD4868"/>
    <w:rsid w:val="00BD495C"/>
    <w:rsid w:val="00BD498E"/>
    <w:rsid w:val="00BD49E1"/>
    <w:rsid w:val="00BD4A9B"/>
    <w:rsid w:val="00BD4AFA"/>
    <w:rsid w:val="00BD4B19"/>
    <w:rsid w:val="00BD4B92"/>
    <w:rsid w:val="00BD4B96"/>
    <w:rsid w:val="00BD4BFE"/>
    <w:rsid w:val="00BD4C61"/>
    <w:rsid w:val="00BD4CAF"/>
    <w:rsid w:val="00BD4CE6"/>
    <w:rsid w:val="00BD4D1D"/>
    <w:rsid w:val="00BD4D29"/>
    <w:rsid w:val="00BD4DAD"/>
    <w:rsid w:val="00BD4DC7"/>
    <w:rsid w:val="00BD4DE6"/>
    <w:rsid w:val="00BD4DE9"/>
    <w:rsid w:val="00BD4E0A"/>
    <w:rsid w:val="00BD4E53"/>
    <w:rsid w:val="00BD4E59"/>
    <w:rsid w:val="00BD4E8F"/>
    <w:rsid w:val="00BD4F27"/>
    <w:rsid w:val="00BD4F40"/>
    <w:rsid w:val="00BD4F5A"/>
    <w:rsid w:val="00BD4FA7"/>
    <w:rsid w:val="00BD4FAC"/>
    <w:rsid w:val="00BD4FEC"/>
    <w:rsid w:val="00BD504A"/>
    <w:rsid w:val="00BD5101"/>
    <w:rsid w:val="00BD5122"/>
    <w:rsid w:val="00BD5128"/>
    <w:rsid w:val="00BD5140"/>
    <w:rsid w:val="00BD51A2"/>
    <w:rsid w:val="00BD51B6"/>
    <w:rsid w:val="00BD51D3"/>
    <w:rsid w:val="00BD51D6"/>
    <w:rsid w:val="00BD51DE"/>
    <w:rsid w:val="00BD5200"/>
    <w:rsid w:val="00BD5223"/>
    <w:rsid w:val="00BD5296"/>
    <w:rsid w:val="00BD52BE"/>
    <w:rsid w:val="00BD52FB"/>
    <w:rsid w:val="00BD5336"/>
    <w:rsid w:val="00BD533D"/>
    <w:rsid w:val="00BD5344"/>
    <w:rsid w:val="00BD5376"/>
    <w:rsid w:val="00BD53A9"/>
    <w:rsid w:val="00BD5440"/>
    <w:rsid w:val="00BD544D"/>
    <w:rsid w:val="00BD5454"/>
    <w:rsid w:val="00BD5467"/>
    <w:rsid w:val="00BD5473"/>
    <w:rsid w:val="00BD5474"/>
    <w:rsid w:val="00BD5490"/>
    <w:rsid w:val="00BD54A7"/>
    <w:rsid w:val="00BD54C9"/>
    <w:rsid w:val="00BD5501"/>
    <w:rsid w:val="00BD5530"/>
    <w:rsid w:val="00BD553F"/>
    <w:rsid w:val="00BD5540"/>
    <w:rsid w:val="00BD5597"/>
    <w:rsid w:val="00BD55A1"/>
    <w:rsid w:val="00BD55C2"/>
    <w:rsid w:val="00BD5683"/>
    <w:rsid w:val="00BD5729"/>
    <w:rsid w:val="00BD5767"/>
    <w:rsid w:val="00BD5769"/>
    <w:rsid w:val="00BD5770"/>
    <w:rsid w:val="00BD5806"/>
    <w:rsid w:val="00BD5906"/>
    <w:rsid w:val="00BD59A8"/>
    <w:rsid w:val="00BD59AF"/>
    <w:rsid w:val="00BD59EE"/>
    <w:rsid w:val="00BD5A3B"/>
    <w:rsid w:val="00BD5A99"/>
    <w:rsid w:val="00BD5AC0"/>
    <w:rsid w:val="00BD5AC8"/>
    <w:rsid w:val="00BD5AD4"/>
    <w:rsid w:val="00BD5B0C"/>
    <w:rsid w:val="00BD5B33"/>
    <w:rsid w:val="00BD5C92"/>
    <w:rsid w:val="00BD5CA3"/>
    <w:rsid w:val="00BD5CA9"/>
    <w:rsid w:val="00BD5E01"/>
    <w:rsid w:val="00BD5E25"/>
    <w:rsid w:val="00BD5EF7"/>
    <w:rsid w:val="00BD5F2D"/>
    <w:rsid w:val="00BD5F99"/>
    <w:rsid w:val="00BD5FEE"/>
    <w:rsid w:val="00BD6006"/>
    <w:rsid w:val="00BD6009"/>
    <w:rsid w:val="00BD6022"/>
    <w:rsid w:val="00BD607B"/>
    <w:rsid w:val="00BD6096"/>
    <w:rsid w:val="00BD6109"/>
    <w:rsid w:val="00BD6130"/>
    <w:rsid w:val="00BD6286"/>
    <w:rsid w:val="00BD62EB"/>
    <w:rsid w:val="00BD63AE"/>
    <w:rsid w:val="00BD63D6"/>
    <w:rsid w:val="00BD63F5"/>
    <w:rsid w:val="00BD6450"/>
    <w:rsid w:val="00BD645D"/>
    <w:rsid w:val="00BD64A8"/>
    <w:rsid w:val="00BD64BA"/>
    <w:rsid w:val="00BD64BB"/>
    <w:rsid w:val="00BD64D6"/>
    <w:rsid w:val="00BD651C"/>
    <w:rsid w:val="00BD6531"/>
    <w:rsid w:val="00BD65CE"/>
    <w:rsid w:val="00BD6608"/>
    <w:rsid w:val="00BD66C3"/>
    <w:rsid w:val="00BD66C9"/>
    <w:rsid w:val="00BD673C"/>
    <w:rsid w:val="00BD67BC"/>
    <w:rsid w:val="00BD67D1"/>
    <w:rsid w:val="00BD67DE"/>
    <w:rsid w:val="00BD67EE"/>
    <w:rsid w:val="00BD684E"/>
    <w:rsid w:val="00BD686D"/>
    <w:rsid w:val="00BD68F6"/>
    <w:rsid w:val="00BD6978"/>
    <w:rsid w:val="00BD6981"/>
    <w:rsid w:val="00BD69A3"/>
    <w:rsid w:val="00BD69D7"/>
    <w:rsid w:val="00BD6A03"/>
    <w:rsid w:val="00BD6A96"/>
    <w:rsid w:val="00BD6B0E"/>
    <w:rsid w:val="00BD6BA3"/>
    <w:rsid w:val="00BD6BD8"/>
    <w:rsid w:val="00BD6C36"/>
    <w:rsid w:val="00BD6C9B"/>
    <w:rsid w:val="00BD6CBE"/>
    <w:rsid w:val="00BD6D0E"/>
    <w:rsid w:val="00BD6D31"/>
    <w:rsid w:val="00BD6D77"/>
    <w:rsid w:val="00BD6D95"/>
    <w:rsid w:val="00BD6DCF"/>
    <w:rsid w:val="00BD6E01"/>
    <w:rsid w:val="00BD6E06"/>
    <w:rsid w:val="00BD6E19"/>
    <w:rsid w:val="00BD6E25"/>
    <w:rsid w:val="00BD6E4F"/>
    <w:rsid w:val="00BD6EE4"/>
    <w:rsid w:val="00BD6EF2"/>
    <w:rsid w:val="00BD6F1B"/>
    <w:rsid w:val="00BD6F1E"/>
    <w:rsid w:val="00BD6F24"/>
    <w:rsid w:val="00BD6F6F"/>
    <w:rsid w:val="00BD6F7A"/>
    <w:rsid w:val="00BD6FB0"/>
    <w:rsid w:val="00BD6FEC"/>
    <w:rsid w:val="00BD7021"/>
    <w:rsid w:val="00BD702F"/>
    <w:rsid w:val="00BD707D"/>
    <w:rsid w:val="00BD7091"/>
    <w:rsid w:val="00BD7126"/>
    <w:rsid w:val="00BD715C"/>
    <w:rsid w:val="00BD7253"/>
    <w:rsid w:val="00BD7267"/>
    <w:rsid w:val="00BD729D"/>
    <w:rsid w:val="00BD72CF"/>
    <w:rsid w:val="00BD72F8"/>
    <w:rsid w:val="00BD72FF"/>
    <w:rsid w:val="00BD7307"/>
    <w:rsid w:val="00BD731A"/>
    <w:rsid w:val="00BD7325"/>
    <w:rsid w:val="00BD7342"/>
    <w:rsid w:val="00BD7361"/>
    <w:rsid w:val="00BD73EF"/>
    <w:rsid w:val="00BD740E"/>
    <w:rsid w:val="00BD74A6"/>
    <w:rsid w:val="00BD74B0"/>
    <w:rsid w:val="00BD74EB"/>
    <w:rsid w:val="00BD7510"/>
    <w:rsid w:val="00BD75A2"/>
    <w:rsid w:val="00BD75E5"/>
    <w:rsid w:val="00BD7611"/>
    <w:rsid w:val="00BD767C"/>
    <w:rsid w:val="00BD76B3"/>
    <w:rsid w:val="00BD76CC"/>
    <w:rsid w:val="00BD76D1"/>
    <w:rsid w:val="00BD76E5"/>
    <w:rsid w:val="00BD77A5"/>
    <w:rsid w:val="00BD77C8"/>
    <w:rsid w:val="00BD77ED"/>
    <w:rsid w:val="00BD7866"/>
    <w:rsid w:val="00BD786A"/>
    <w:rsid w:val="00BD7947"/>
    <w:rsid w:val="00BD79C5"/>
    <w:rsid w:val="00BD7A8F"/>
    <w:rsid w:val="00BD7AAF"/>
    <w:rsid w:val="00BD7AEE"/>
    <w:rsid w:val="00BD7B09"/>
    <w:rsid w:val="00BD7BBA"/>
    <w:rsid w:val="00BD7BE4"/>
    <w:rsid w:val="00BD7BF5"/>
    <w:rsid w:val="00BD7C57"/>
    <w:rsid w:val="00BD7C5E"/>
    <w:rsid w:val="00BD7CB8"/>
    <w:rsid w:val="00BD7CC1"/>
    <w:rsid w:val="00BD7CD0"/>
    <w:rsid w:val="00BD7D57"/>
    <w:rsid w:val="00BD7D61"/>
    <w:rsid w:val="00BD7E3A"/>
    <w:rsid w:val="00BD7E7D"/>
    <w:rsid w:val="00BD7EB2"/>
    <w:rsid w:val="00BD7EF0"/>
    <w:rsid w:val="00BD7F26"/>
    <w:rsid w:val="00BD7F84"/>
    <w:rsid w:val="00BD7F90"/>
    <w:rsid w:val="00BD7FBD"/>
    <w:rsid w:val="00BE0019"/>
    <w:rsid w:val="00BE001E"/>
    <w:rsid w:val="00BE00DC"/>
    <w:rsid w:val="00BE0176"/>
    <w:rsid w:val="00BE01A5"/>
    <w:rsid w:val="00BE01A6"/>
    <w:rsid w:val="00BE01B9"/>
    <w:rsid w:val="00BE01E1"/>
    <w:rsid w:val="00BE021A"/>
    <w:rsid w:val="00BE0262"/>
    <w:rsid w:val="00BE0265"/>
    <w:rsid w:val="00BE0276"/>
    <w:rsid w:val="00BE028A"/>
    <w:rsid w:val="00BE02BB"/>
    <w:rsid w:val="00BE031A"/>
    <w:rsid w:val="00BE0374"/>
    <w:rsid w:val="00BE0449"/>
    <w:rsid w:val="00BE04BD"/>
    <w:rsid w:val="00BE04CD"/>
    <w:rsid w:val="00BE0501"/>
    <w:rsid w:val="00BE0505"/>
    <w:rsid w:val="00BE0536"/>
    <w:rsid w:val="00BE0542"/>
    <w:rsid w:val="00BE0546"/>
    <w:rsid w:val="00BE0582"/>
    <w:rsid w:val="00BE05A3"/>
    <w:rsid w:val="00BE05D1"/>
    <w:rsid w:val="00BE0618"/>
    <w:rsid w:val="00BE064E"/>
    <w:rsid w:val="00BE0659"/>
    <w:rsid w:val="00BE066B"/>
    <w:rsid w:val="00BE0694"/>
    <w:rsid w:val="00BE06E8"/>
    <w:rsid w:val="00BE06FB"/>
    <w:rsid w:val="00BE0730"/>
    <w:rsid w:val="00BE0734"/>
    <w:rsid w:val="00BE0831"/>
    <w:rsid w:val="00BE0855"/>
    <w:rsid w:val="00BE085B"/>
    <w:rsid w:val="00BE088E"/>
    <w:rsid w:val="00BE08A5"/>
    <w:rsid w:val="00BE08D2"/>
    <w:rsid w:val="00BE09A6"/>
    <w:rsid w:val="00BE09C0"/>
    <w:rsid w:val="00BE0A06"/>
    <w:rsid w:val="00BE0A2A"/>
    <w:rsid w:val="00BE0B96"/>
    <w:rsid w:val="00BE0BA0"/>
    <w:rsid w:val="00BE0BB9"/>
    <w:rsid w:val="00BE0C65"/>
    <w:rsid w:val="00BE0C6C"/>
    <w:rsid w:val="00BE0C74"/>
    <w:rsid w:val="00BE0CA2"/>
    <w:rsid w:val="00BE0CC5"/>
    <w:rsid w:val="00BE0D08"/>
    <w:rsid w:val="00BE0D3F"/>
    <w:rsid w:val="00BE0DE9"/>
    <w:rsid w:val="00BE0E97"/>
    <w:rsid w:val="00BE0F25"/>
    <w:rsid w:val="00BE0F4B"/>
    <w:rsid w:val="00BE0F6B"/>
    <w:rsid w:val="00BE0F95"/>
    <w:rsid w:val="00BE0FE1"/>
    <w:rsid w:val="00BE0FF3"/>
    <w:rsid w:val="00BE1063"/>
    <w:rsid w:val="00BE106C"/>
    <w:rsid w:val="00BE1093"/>
    <w:rsid w:val="00BE10B5"/>
    <w:rsid w:val="00BE10B9"/>
    <w:rsid w:val="00BE1109"/>
    <w:rsid w:val="00BE110F"/>
    <w:rsid w:val="00BE11A6"/>
    <w:rsid w:val="00BE11EE"/>
    <w:rsid w:val="00BE126A"/>
    <w:rsid w:val="00BE1371"/>
    <w:rsid w:val="00BE137A"/>
    <w:rsid w:val="00BE13A1"/>
    <w:rsid w:val="00BE13AB"/>
    <w:rsid w:val="00BE13F5"/>
    <w:rsid w:val="00BE13FD"/>
    <w:rsid w:val="00BE140C"/>
    <w:rsid w:val="00BE14A0"/>
    <w:rsid w:val="00BE14D0"/>
    <w:rsid w:val="00BE1515"/>
    <w:rsid w:val="00BE1524"/>
    <w:rsid w:val="00BE152B"/>
    <w:rsid w:val="00BE15AE"/>
    <w:rsid w:val="00BE1602"/>
    <w:rsid w:val="00BE163A"/>
    <w:rsid w:val="00BE164C"/>
    <w:rsid w:val="00BE16B7"/>
    <w:rsid w:val="00BE16D9"/>
    <w:rsid w:val="00BE17F1"/>
    <w:rsid w:val="00BE185B"/>
    <w:rsid w:val="00BE1880"/>
    <w:rsid w:val="00BE18B5"/>
    <w:rsid w:val="00BE18D1"/>
    <w:rsid w:val="00BE1928"/>
    <w:rsid w:val="00BE192E"/>
    <w:rsid w:val="00BE1934"/>
    <w:rsid w:val="00BE1A50"/>
    <w:rsid w:val="00BE1A5E"/>
    <w:rsid w:val="00BE1A71"/>
    <w:rsid w:val="00BE1B19"/>
    <w:rsid w:val="00BE1B8A"/>
    <w:rsid w:val="00BE1BA6"/>
    <w:rsid w:val="00BE1BD6"/>
    <w:rsid w:val="00BE1BDC"/>
    <w:rsid w:val="00BE1BE3"/>
    <w:rsid w:val="00BE1C2C"/>
    <w:rsid w:val="00BE1C42"/>
    <w:rsid w:val="00BE1CE7"/>
    <w:rsid w:val="00BE1D28"/>
    <w:rsid w:val="00BE1E27"/>
    <w:rsid w:val="00BE1E6A"/>
    <w:rsid w:val="00BE1E95"/>
    <w:rsid w:val="00BE1EB3"/>
    <w:rsid w:val="00BE1EB8"/>
    <w:rsid w:val="00BE1F03"/>
    <w:rsid w:val="00BE1FD7"/>
    <w:rsid w:val="00BE1FF8"/>
    <w:rsid w:val="00BE2010"/>
    <w:rsid w:val="00BE2038"/>
    <w:rsid w:val="00BE2074"/>
    <w:rsid w:val="00BE20B8"/>
    <w:rsid w:val="00BE20E4"/>
    <w:rsid w:val="00BE20F5"/>
    <w:rsid w:val="00BE20FF"/>
    <w:rsid w:val="00BE212D"/>
    <w:rsid w:val="00BE2184"/>
    <w:rsid w:val="00BE2199"/>
    <w:rsid w:val="00BE21EA"/>
    <w:rsid w:val="00BE221E"/>
    <w:rsid w:val="00BE2270"/>
    <w:rsid w:val="00BE22AC"/>
    <w:rsid w:val="00BE22CE"/>
    <w:rsid w:val="00BE2379"/>
    <w:rsid w:val="00BE23D0"/>
    <w:rsid w:val="00BE251E"/>
    <w:rsid w:val="00BE252A"/>
    <w:rsid w:val="00BE2583"/>
    <w:rsid w:val="00BE258D"/>
    <w:rsid w:val="00BE25BB"/>
    <w:rsid w:val="00BE25E5"/>
    <w:rsid w:val="00BE2702"/>
    <w:rsid w:val="00BE2721"/>
    <w:rsid w:val="00BE2727"/>
    <w:rsid w:val="00BE278C"/>
    <w:rsid w:val="00BE27D9"/>
    <w:rsid w:val="00BE27E4"/>
    <w:rsid w:val="00BE289E"/>
    <w:rsid w:val="00BE28E5"/>
    <w:rsid w:val="00BE28F5"/>
    <w:rsid w:val="00BE2958"/>
    <w:rsid w:val="00BE2994"/>
    <w:rsid w:val="00BE2997"/>
    <w:rsid w:val="00BE299A"/>
    <w:rsid w:val="00BE29A5"/>
    <w:rsid w:val="00BE2A05"/>
    <w:rsid w:val="00BE2A3C"/>
    <w:rsid w:val="00BE2A4B"/>
    <w:rsid w:val="00BE2A7B"/>
    <w:rsid w:val="00BE2A7E"/>
    <w:rsid w:val="00BE2A7F"/>
    <w:rsid w:val="00BE2B35"/>
    <w:rsid w:val="00BE2B6E"/>
    <w:rsid w:val="00BE2BAA"/>
    <w:rsid w:val="00BE2BC0"/>
    <w:rsid w:val="00BE2BC5"/>
    <w:rsid w:val="00BE2C0A"/>
    <w:rsid w:val="00BE2C2D"/>
    <w:rsid w:val="00BE2C3E"/>
    <w:rsid w:val="00BE2C51"/>
    <w:rsid w:val="00BE2C84"/>
    <w:rsid w:val="00BE2CA9"/>
    <w:rsid w:val="00BE2CED"/>
    <w:rsid w:val="00BE2D50"/>
    <w:rsid w:val="00BE2D53"/>
    <w:rsid w:val="00BE2DD1"/>
    <w:rsid w:val="00BE2DE3"/>
    <w:rsid w:val="00BE2DF7"/>
    <w:rsid w:val="00BE2E2A"/>
    <w:rsid w:val="00BE2E36"/>
    <w:rsid w:val="00BE2E68"/>
    <w:rsid w:val="00BE2E6B"/>
    <w:rsid w:val="00BE2E6E"/>
    <w:rsid w:val="00BE2EB1"/>
    <w:rsid w:val="00BE2F02"/>
    <w:rsid w:val="00BE2F2F"/>
    <w:rsid w:val="00BE2F5B"/>
    <w:rsid w:val="00BE3074"/>
    <w:rsid w:val="00BE308A"/>
    <w:rsid w:val="00BE30E3"/>
    <w:rsid w:val="00BE30FC"/>
    <w:rsid w:val="00BE311C"/>
    <w:rsid w:val="00BE3129"/>
    <w:rsid w:val="00BE31CB"/>
    <w:rsid w:val="00BE31F3"/>
    <w:rsid w:val="00BE321F"/>
    <w:rsid w:val="00BE3245"/>
    <w:rsid w:val="00BE32FA"/>
    <w:rsid w:val="00BE33F0"/>
    <w:rsid w:val="00BE341F"/>
    <w:rsid w:val="00BE34D5"/>
    <w:rsid w:val="00BE355D"/>
    <w:rsid w:val="00BE35D9"/>
    <w:rsid w:val="00BE36FE"/>
    <w:rsid w:val="00BE378B"/>
    <w:rsid w:val="00BE3802"/>
    <w:rsid w:val="00BE3871"/>
    <w:rsid w:val="00BE3895"/>
    <w:rsid w:val="00BE38B0"/>
    <w:rsid w:val="00BE38F7"/>
    <w:rsid w:val="00BE3945"/>
    <w:rsid w:val="00BE3951"/>
    <w:rsid w:val="00BE3968"/>
    <w:rsid w:val="00BE3A1B"/>
    <w:rsid w:val="00BE3A24"/>
    <w:rsid w:val="00BE3A50"/>
    <w:rsid w:val="00BE3ABC"/>
    <w:rsid w:val="00BE3B09"/>
    <w:rsid w:val="00BE3B23"/>
    <w:rsid w:val="00BE3B2B"/>
    <w:rsid w:val="00BE3B33"/>
    <w:rsid w:val="00BE3B3D"/>
    <w:rsid w:val="00BE3B52"/>
    <w:rsid w:val="00BE3B65"/>
    <w:rsid w:val="00BE3BC8"/>
    <w:rsid w:val="00BE3C8F"/>
    <w:rsid w:val="00BE3CDF"/>
    <w:rsid w:val="00BE3D44"/>
    <w:rsid w:val="00BE3D78"/>
    <w:rsid w:val="00BE3DF9"/>
    <w:rsid w:val="00BE3E0A"/>
    <w:rsid w:val="00BE3EF4"/>
    <w:rsid w:val="00BE3F06"/>
    <w:rsid w:val="00BE3F8D"/>
    <w:rsid w:val="00BE3FA5"/>
    <w:rsid w:val="00BE4081"/>
    <w:rsid w:val="00BE4097"/>
    <w:rsid w:val="00BE40BF"/>
    <w:rsid w:val="00BE4137"/>
    <w:rsid w:val="00BE4152"/>
    <w:rsid w:val="00BE4158"/>
    <w:rsid w:val="00BE4164"/>
    <w:rsid w:val="00BE41CF"/>
    <w:rsid w:val="00BE4220"/>
    <w:rsid w:val="00BE422A"/>
    <w:rsid w:val="00BE423A"/>
    <w:rsid w:val="00BE4296"/>
    <w:rsid w:val="00BE42FB"/>
    <w:rsid w:val="00BE430C"/>
    <w:rsid w:val="00BE4315"/>
    <w:rsid w:val="00BE4320"/>
    <w:rsid w:val="00BE4348"/>
    <w:rsid w:val="00BE4368"/>
    <w:rsid w:val="00BE43AB"/>
    <w:rsid w:val="00BE43C3"/>
    <w:rsid w:val="00BE4425"/>
    <w:rsid w:val="00BE45C9"/>
    <w:rsid w:val="00BE45D8"/>
    <w:rsid w:val="00BE46AB"/>
    <w:rsid w:val="00BE46F6"/>
    <w:rsid w:val="00BE4743"/>
    <w:rsid w:val="00BE481E"/>
    <w:rsid w:val="00BE4872"/>
    <w:rsid w:val="00BE4877"/>
    <w:rsid w:val="00BE48AF"/>
    <w:rsid w:val="00BE48B0"/>
    <w:rsid w:val="00BE49C8"/>
    <w:rsid w:val="00BE4A8E"/>
    <w:rsid w:val="00BE4AD5"/>
    <w:rsid w:val="00BE4B63"/>
    <w:rsid w:val="00BE4B88"/>
    <w:rsid w:val="00BE4BCF"/>
    <w:rsid w:val="00BE4BE7"/>
    <w:rsid w:val="00BE4C9B"/>
    <w:rsid w:val="00BE4CC1"/>
    <w:rsid w:val="00BE4D49"/>
    <w:rsid w:val="00BE4D59"/>
    <w:rsid w:val="00BE4E9D"/>
    <w:rsid w:val="00BE4EE5"/>
    <w:rsid w:val="00BE4F6D"/>
    <w:rsid w:val="00BE4FB9"/>
    <w:rsid w:val="00BE4FE2"/>
    <w:rsid w:val="00BE4FE9"/>
    <w:rsid w:val="00BE5024"/>
    <w:rsid w:val="00BE502B"/>
    <w:rsid w:val="00BE5059"/>
    <w:rsid w:val="00BE5066"/>
    <w:rsid w:val="00BE5103"/>
    <w:rsid w:val="00BE51A4"/>
    <w:rsid w:val="00BE5261"/>
    <w:rsid w:val="00BE52EA"/>
    <w:rsid w:val="00BE5323"/>
    <w:rsid w:val="00BE53BE"/>
    <w:rsid w:val="00BE53DB"/>
    <w:rsid w:val="00BE545E"/>
    <w:rsid w:val="00BE547F"/>
    <w:rsid w:val="00BE5487"/>
    <w:rsid w:val="00BE54B7"/>
    <w:rsid w:val="00BE54BF"/>
    <w:rsid w:val="00BE54F5"/>
    <w:rsid w:val="00BE55FE"/>
    <w:rsid w:val="00BE5636"/>
    <w:rsid w:val="00BE563C"/>
    <w:rsid w:val="00BE5670"/>
    <w:rsid w:val="00BE5683"/>
    <w:rsid w:val="00BE56CA"/>
    <w:rsid w:val="00BE56D0"/>
    <w:rsid w:val="00BE5728"/>
    <w:rsid w:val="00BE5790"/>
    <w:rsid w:val="00BE5804"/>
    <w:rsid w:val="00BE586B"/>
    <w:rsid w:val="00BE587B"/>
    <w:rsid w:val="00BE5897"/>
    <w:rsid w:val="00BE58C3"/>
    <w:rsid w:val="00BE59B7"/>
    <w:rsid w:val="00BE5A43"/>
    <w:rsid w:val="00BE5AA9"/>
    <w:rsid w:val="00BE5B30"/>
    <w:rsid w:val="00BE5B40"/>
    <w:rsid w:val="00BE5B8C"/>
    <w:rsid w:val="00BE5BBC"/>
    <w:rsid w:val="00BE5C03"/>
    <w:rsid w:val="00BE5C17"/>
    <w:rsid w:val="00BE5C35"/>
    <w:rsid w:val="00BE5C64"/>
    <w:rsid w:val="00BE5CB6"/>
    <w:rsid w:val="00BE5CD9"/>
    <w:rsid w:val="00BE5CEC"/>
    <w:rsid w:val="00BE5D0E"/>
    <w:rsid w:val="00BE5D54"/>
    <w:rsid w:val="00BE5D57"/>
    <w:rsid w:val="00BE5DB2"/>
    <w:rsid w:val="00BE5DD6"/>
    <w:rsid w:val="00BE5DFC"/>
    <w:rsid w:val="00BE5ED3"/>
    <w:rsid w:val="00BE5F1F"/>
    <w:rsid w:val="00BE5FCE"/>
    <w:rsid w:val="00BE5FD6"/>
    <w:rsid w:val="00BE6060"/>
    <w:rsid w:val="00BE606C"/>
    <w:rsid w:val="00BE606D"/>
    <w:rsid w:val="00BE60B7"/>
    <w:rsid w:val="00BE60DF"/>
    <w:rsid w:val="00BE61CA"/>
    <w:rsid w:val="00BE61D7"/>
    <w:rsid w:val="00BE61E3"/>
    <w:rsid w:val="00BE61EC"/>
    <w:rsid w:val="00BE61FC"/>
    <w:rsid w:val="00BE6284"/>
    <w:rsid w:val="00BE628F"/>
    <w:rsid w:val="00BE62A1"/>
    <w:rsid w:val="00BE62F7"/>
    <w:rsid w:val="00BE6341"/>
    <w:rsid w:val="00BE6360"/>
    <w:rsid w:val="00BE6413"/>
    <w:rsid w:val="00BE6416"/>
    <w:rsid w:val="00BE642D"/>
    <w:rsid w:val="00BE644C"/>
    <w:rsid w:val="00BE64A2"/>
    <w:rsid w:val="00BE64A4"/>
    <w:rsid w:val="00BE64B3"/>
    <w:rsid w:val="00BE64BE"/>
    <w:rsid w:val="00BE6547"/>
    <w:rsid w:val="00BE65B7"/>
    <w:rsid w:val="00BE65CF"/>
    <w:rsid w:val="00BE65D1"/>
    <w:rsid w:val="00BE65FE"/>
    <w:rsid w:val="00BE667A"/>
    <w:rsid w:val="00BE66C8"/>
    <w:rsid w:val="00BE67D4"/>
    <w:rsid w:val="00BE688F"/>
    <w:rsid w:val="00BE68BB"/>
    <w:rsid w:val="00BE68D2"/>
    <w:rsid w:val="00BE68D5"/>
    <w:rsid w:val="00BE68EA"/>
    <w:rsid w:val="00BE6950"/>
    <w:rsid w:val="00BE6991"/>
    <w:rsid w:val="00BE6995"/>
    <w:rsid w:val="00BE69F0"/>
    <w:rsid w:val="00BE69FE"/>
    <w:rsid w:val="00BE6A27"/>
    <w:rsid w:val="00BE6AB1"/>
    <w:rsid w:val="00BE6ACE"/>
    <w:rsid w:val="00BE6AE1"/>
    <w:rsid w:val="00BE6AEA"/>
    <w:rsid w:val="00BE6B6C"/>
    <w:rsid w:val="00BE6B8D"/>
    <w:rsid w:val="00BE6BB3"/>
    <w:rsid w:val="00BE6CA8"/>
    <w:rsid w:val="00BE6D26"/>
    <w:rsid w:val="00BE6D5A"/>
    <w:rsid w:val="00BE6DC7"/>
    <w:rsid w:val="00BE6DFE"/>
    <w:rsid w:val="00BE6E30"/>
    <w:rsid w:val="00BE6E82"/>
    <w:rsid w:val="00BE6E95"/>
    <w:rsid w:val="00BE6EB3"/>
    <w:rsid w:val="00BE6F09"/>
    <w:rsid w:val="00BE6F4D"/>
    <w:rsid w:val="00BE6F97"/>
    <w:rsid w:val="00BE6FDB"/>
    <w:rsid w:val="00BE70B4"/>
    <w:rsid w:val="00BE70BD"/>
    <w:rsid w:val="00BE7107"/>
    <w:rsid w:val="00BE712B"/>
    <w:rsid w:val="00BE712E"/>
    <w:rsid w:val="00BE71A6"/>
    <w:rsid w:val="00BE71B7"/>
    <w:rsid w:val="00BE7203"/>
    <w:rsid w:val="00BE723C"/>
    <w:rsid w:val="00BE7243"/>
    <w:rsid w:val="00BE7246"/>
    <w:rsid w:val="00BE7255"/>
    <w:rsid w:val="00BE726A"/>
    <w:rsid w:val="00BE7294"/>
    <w:rsid w:val="00BE72F4"/>
    <w:rsid w:val="00BE73CA"/>
    <w:rsid w:val="00BE73F4"/>
    <w:rsid w:val="00BE7428"/>
    <w:rsid w:val="00BE7443"/>
    <w:rsid w:val="00BE7494"/>
    <w:rsid w:val="00BE7528"/>
    <w:rsid w:val="00BE7555"/>
    <w:rsid w:val="00BE756F"/>
    <w:rsid w:val="00BE75A8"/>
    <w:rsid w:val="00BE75B2"/>
    <w:rsid w:val="00BE75CA"/>
    <w:rsid w:val="00BE75D0"/>
    <w:rsid w:val="00BE7666"/>
    <w:rsid w:val="00BE76B8"/>
    <w:rsid w:val="00BE76C1"/>
    <w:rsid w:val="00BE7747"/>
    <w:rsid w:val="00BE774F"/>
    <w:rsid w:val="00BE7761"/>
    <w:rsid w:val="00BE7804"/>
    <w:rsid w:val="00BE7808"/>
    <w:rsid w:val="00BE7886"/>
    <w:rsid w:val="00BE7898"/>
    <w:rsid w:val="00BE797D"/>
    <w:rsid w:val="00BE79A6"/>
    <w:rsid w:val="00BE7A19"/>
    <w:rsid w:val="00BE7A72"/>
    <w:rsid w:val="00BE7B13"/>
    <w:rsid w:val="00BE7BA4"/>
    <w:rsid w:val="00BE7BCE"/>
    <w:rsid w:val="00BE7C47"/>
    <w:rsid w:val="00BE7C49"/>
    <w:rsid w:val="00BE7C5A"/>
    <w:rsid w:val="00BE7C81"/>
    <w:rsid w:val="00BE7CC9"/>
    <w:rsid w:val="00BE7D18"/>
    <w:rsid w:val="00BE7D2F"/>
    <w:rsid w:val="00BE7D4E"/>
    <w:rsid w:val="00BE7D7C"/>
    <w:rsid w:val="00BE7DAA"/>
    <w:rsid w:val="00BE7E15"/>
    <w:rsid w:val="00BE7E8F"/>
    <w:rsid w:val="00BE7F74"/>
    <w:rsid w:val="00BE7FCA"/>
    <w:rsid w:val="00BF002A"/>
    <w:rsid w:val="00BF00C5"/>
    <w:rsid w:val="00BF0140"/>
    <w:rsid w:val="00BF01E1"/>
    <w:rsid w:val="00BF01E3"/>
    <w:rsid w:val="00BF02BF"/>
    <w:rsid w:val="00BF02C4"/>
    <w:rsid w:val="00BF02E2"/>
    <w:rsid w:val="00BF0378"/>
    <w:rsid w:val="00BF039A"/>
    <w:rsid w:val="00BF04AA"/>
    <w:rsid w:val="00BF04CC"/>
    <w:rsid w:val="00BF053F"/>
    <w:rsid w:val="00BF05E7"/>
    <w:rsid w:val="00BF05FB"/>
    <w:rsid w:val="00BF066D"/>
    <w:rsid w:val="00BF0681"/>
    <w:rsid w:val="00BF0732"/>
    <w:rsid w:val="00BF07C6"/>
    <w:rsid w:val="00BF0809"/>
    <w:rsid w:val="00BF080B"/>
    <w:rsid w:val="00BF081D"/>
    <w:rsid w:val="00BF0831"/>
    <w:rsid w:val="00BF0876"/>
    <w:rsid w:val="00BF08DF"/>
    <w:rsid w:val="00BF0962"/>
    <w:rsid w:val="00BF09E0"/>
    <w:rsid w:val="00BF0A4B"/>
    <w:rsid w:val="00BF0A50"/>
    <w:rsid w:val="00BF0AB5"/>
    <w:rsid w:val="00BF0AC7"/>
    <w:rsid w:val="00BF0B09"/>
    <w:rsid w:val="00BF0B10"/>
    <w:rsid w:val="00BF0C47"/>
    <w:rsid w:val="00BF0CC4"/>
    <w:rsid w:val="00BF0CDB"/>
    <w:rsid w:val="00BF0D18"/>
    <w:rsid w:val="00BF0D28"/>
    <w:rsid w:val="00BF0DEA"/>
    <w:rsid w:val="00BF0E60"/>
    <w:rsid w:val="00BF0EA3"/>
    <w:rsid w:val="00BF0F01"/>
    <w:rsid w:val="00BF0F0F"/>
    <w:rsid w:val="00BF0F11"/>
    <w:rsid w:val="00BF0F13"/>
    <w:rsid w:val="00BF0F6D"/>
    <w:rsid w:val="00BF0FFE"/>
    <w:rsid w:val="00BF1030"/>
    <w:rsid w:val="00BF1042"/>
    <w:rsid w:val="00BF107A"/>
    <w:rsid w:val="00BF10E7"/>
    <w:rsid w:val="00BF10F8"/>
    <w:rsid w:val="00BF112E"/>
    <w:rsid w:val="00BF1180"/>
    <w:rsid w:val="00BF119E"/>
    <w:rsid w:val="00BF11D4"/>
    <w:rsid w:val="00BF11E4"/>
    <w:rsid w:val="00BF1228"/>
    <w:rsid w:val="00BF1229"/>
    <w:rsid w:val="00BF12F4"/>
    <w:rsid w:val="00BF136C"/>
    <w:rsid w:val="00BF1370"/>
    <w:rsid w:val="00BF13C6"/>
    <w:rsid w:val="00BF13E1"/>
    <w:rsid w:val="00BF1436"/>
    <w:rsid w:val="00BF14A9"/>
    <w:rsid w:val="00BF14E4"/>
    <w:rsid w:val="00BF1564"/>
    <w:rsid w:val="00BF1606"/>
    <w:rsid w:val="00BF1661"/>
    <w:rsid w:val="00BF166C"/>
    <w:rsid w:val="00BF169C"/>
    <w:rsid w:val="00BF173D"/>
    <w:rsid w:val="00BF17DB"/>
    <w:rsid w:val="00BF181F"/>
    <w:rsid w:val="00BF1826"/>
    <w:rsid w:val="00BF182F"/>
    <w:rsid w:val="00BF1830"/>
    <w:rsid w:val="00BF1831"/>
    <w:rsid w:val="00BF1884"/>
    <w:rsid w:val="00BF18B9"/>
    <w:rsid w:val="00BF18E1"/>
    <w:rsid w:val="00BF18E8"/>
    <w:rsid w:val="00BF18F5"/>
    <w:rsid w:val="00BF191C"/>
    <w:rsid w:val="00BF193C"/>
    <w:rsid w:val="00BF1957"/>
    <w:rsid w:val="00BF19AD"/>
    <w:rsid w:val="00BF1A0E"/>
    <w:rsid w:val="00BF1A55"/>
    <w:rsid w:val="00BF1A66"/>
    <w:rsid w:val="00BF1AC0"/>
    <w:rsid w:val="00BF1AF7"/>
    <w:rsid w:val="00BF1BE9"/>
    <w:rsid w:val="00BF1BF1"/>
    <w:rsid w:val="00BF1C19"/>
    <w:rsid w:val="00BF1C69"/>
    <w:rsid w:val="00BF1CCC"/>
    <w:rsid w:val="00BF1CCF"/>
    <w:rsid w:val="00BF1CD1"/>
    <w:rsid w:val="00BF1CF3"/>
    <w:rsid w:val="00BF1D16"/>
    <w:rsid w:val="00BF1D1E"/>
    <w:rsid w:val="00BF1D56"/>
    <w:rsid w:val="00BF1D68"/>
    <w:rsid w:val="00BF1DED"/>
    <w:rsid w:val="00BF1DFC"/>
    <w:rsid w:val="00BF1E40"/>
    <w:rsid w:val="00BF1E70"/>
    <w:rsid w:val="00BF1E89"/>
    <w:rsid w:val="00BF1EBB"/>
    <w:rsid w:val="00BF1F7B"/>
    <w:rsid w:val="00BF1FFE"/>
    <w:rsid w:val="00BF2021"/>
    <w:rsid w:val="00BF2023"/>
    <w:rsid w:val="00BF2051"/>
    <w:rsid w:val="00BF206D"/>
    <w:rsid w:val="00BF20AB"/>
    <w:rsid w:val="00BF2162"/>
    <w:rsid w:val="00BF217D"/>
    <w:rsid w:val="00BF219F"/>
    <w:rsid w:val="00BF21CA"/>
    <w:rsid w:val="00BF21FF"/>
    <w:rsid w:val="00BF220B"/>
    <w:rsid w:val="00BF2235"/>
    <w:rsid w:val="00BF239B"/>
    <w:rsid w:val="00BF23AD"/>
    <w:rsid w:val="00BF242A"/>
    <w:rsid w:val="00BF245C"/>
    <w:rsid w:val="00BF247B"/>
    <w:rsid w:val="00BF25AC"/>
    <w:rsid w:val="00BF25FE"/>
    <w:rsid w:val="00BF2603"/>
    <w:rsid w:val="00BF262A"/>
    <w:rsid w:val="00BF2674"/>
    <w:rsid w:val="00BF26D6"/>
    <w:rsid w:val="00BF276A"/>
    <w:rsid w:val="00BF27B2"/>
    <w:rsid w:val="00BF27B8"/>
    <w:rsid w:val="00BF27D7"/>
    <w:rsid w:val="00BF280E"/>
    <w:rsid w:val="00BF2818"/>
    <w:rsid w:val="00BF2844"/>
    <w:rsid w:val="00BF284F"/>
    <w:rsid w:val="00BF288F"/>
    <w:rsid w:val="00BF28DD"/>
    <w:rsid w:val="00BF28E7"/>
    <w:rsid w:val="00BF290A"/>
    <w:rsid w:val="00BF2A4E"/>
    <w:rsid w:val="00BF2A7E"/>
    <w:rsid w:val="00BF2A8B"/>
    <w:rsid w:val="00BF2B0C"/>
    <w:rsid w:val="00BF2BC3"/>
    <w:rsid w:val="00BF2BFB"/>
    <w:rsid w:val="00BF2C28"/>
    <w:rsid w:val="00BF2D16"/>
    <w:rsid w:val="00BF2D5F"/>
    <w:rsid w:val="00BF2DBD"/>
    <w:rsid w:val="00BF2E09"/>
    <w:rsid w:val="00BF2E1E"/>
    <w:rsid w:val="00BF2E38"/>
    <w:rsid w:val="00BF2E44"/>
    <w:rsid w:val="00BF2E60"/>
    <w:rsid w:val="00BF2E70"/>
    <w:rsid w:val="00BF2EEF"/>
    <w:rsid w:val="00BF2EF9"/>
    <w:rsid w:val="00BF2F77"/>
    <w:rsid w:val="00BF3048"/>
    <w:rsid w:val="00BF3070"/>
    <w:rsid w:val="00BF3074"/>
    <w:rsid w:val="00BF30AE"/>
    <w:rsid w:val="00BF310D"/>
    <w:rsid w:val="00BF3148"/>
    <w:rsid w:val="00BF31AD"/>
    <w:rsid w:val="00BF3224"/>
    <w:rsid w:val="00BF334E"/>
    <w:rsid w:val="00BF33FA"/>
    <w:rsid w:val="00BF33FD"/>
    <w:rsid w:val="00BF340A"/>
    <w:rsid w:val="00BF3414"/>
    <w:rsid w:val="00BF342B"/>
    <w:rsid w:val="00BF34BC"/>
    <w:rsid w:val="00BF3521"/>
    <w:rsid w:val="00BF358D"/>
    <w:rsid w:val="00BF35C8"/>
    <w:rsid w:val="00BF35CA"/>
    <w:rsid w:val="00BF35E2"/>
    <w:rsid w:val="00BF35ED"/>
    <w:rsid w:val="00BF3713"/>
    <w:rsid w:val="00BF372F"/>
    <w:rsid w:val="00BF3737"/>
    <w:rsid w:val="00BF37A2"/>
    <w:rsid w:val="00BF37AB"/>
    <w:rsid w:val="00BF3815"/>
    <w:rsid w:val="00BF381F"/>
    <w:rsid w:val="00BF385E"/>
    <w:rsid w:val="00BF3887"/>
    <w:rsid w:val="00BF3894"/>
    <w:rsid w:val="00BF38BF"/>
    <w:rsid w:val="00BF38C0"/>
    <w:rsid w:val="00BF38D7"/>
    <w:rsid w:val="00BF38E4"/>
    <w:rsid w:val="00BF38F5"/>
    <w:rsid w:val="00BF38FC"/>
    <w:rsid w:val="00BF38FF"/>
    <w:rsid w:val="00BF3905"/>
    <w:rsid w:val="00BF3979"/>
    <w:rsid w:val="00BF39F8"/>
    <w:rsid w:val="00BF39F9"/>
    <w:rsid w:val="00BF3A43"/>
    <w:rsid w:val="00BF3A52"/>
    <w:rsid w:val="00BF3AE4"/>
    <w:rsid w:val="00BF3AF6"/>
    <w:rsid w:val="00BF3B51"/>
    <w:rsid w:val="00BF3B9F"/>
    <w:rsid w:val="00BF3BD4"/>
    <w:rsid w:val="00BF3C14"/>
    <w:rsid w:val="00BF3C23"/>
    <w:rsid w:val="00BF3D0D"/>
    <w:rsid w:val="00BF3D87"/>
    <w:rsid w:val="00BF3DD4"/>
    <w:rsid w:val="00BF3DEA"/>
    <w:rsid w:val="00BF3E83"/>
    <w:rsid w:val="00BF3E93"/>
    <w:rsid w:val="00BF3EA5"/>
    <w:rsid w:val="00BF3ED4"/>
    <w:rsid w:val="00BF3F3C"/>
    <w:rsid w:val="00BF3F96"/>
    <w:rsid w:val="00BF3FE6"/>
    <w:rsid w:val="00BF4013"/>
    <w:rsid w:val="00BF4042"/>
    <w:rsid w:val="00BF4059"/>
    <w:rsid w:val="00BF4064"/>
    <w:rsid w:val="00BF4066"/>
    <w:rsid w:val="00BF40BB"/>
    <w:rsid w:val="00BF40C0"/>
    <w:rsid w:val="00BF40D0"/>
    <w:rsid w:val="00BF40F4"/>
    <w:rsid w:val="00BF411F"/>
    <w:rsid w:val="00BF41C4"/>
    <w:rsid w:val="00BF4214"/>
    <w:rsid w:val="00BF42A6"/>
    <w:rsid w:val="00BF42B3"/>
    <w:rsid w:val="00BF42B6"/>
    <w:rsid w:val="00BF43D7"/>
    <w:rsid w:val="00BF4441"/>
    <w:rsid w:val="00BF4449"/>
    <w:rsid w:val="00BF4481"/>
    <w:rsid w:val="00BF44EE"/>
    <w:rsid w:val="00BF459D"/>
    <w:rsid w:val="00BF465C"/>
    <w:rsid w:val="00BF46CD"/>
    <w:rsid w:val="00BF46EC"/>
    <w:rsid w:val="00BF4721"/>
    <w:rsid w:val="00BF4735"/>
    <w:rsid w:val="00BF4754"/>
    <w:rsid w:val="00BF476A"/>
    <w:rsid w:val="00BF479B"/>
    <w:rsid w:val="00BF47DD"/>
    <w:rsid w:val="00BF4812"/>
    <w:rsid w:val="00BF4824"/>
    <w:rsid w:val="00BF48E1"/>
    <w:rsid w:val="00BF4913"/>
    <w:rsid w:val="00BF4933"/>
    <w:rsid w:val="00BF49A8"/>
    <w:rsid w:val="00BF49AC"/>
    <w:rsid w:val="00BF49B2"/>
    <w:rsid w:val="00BF4A27"/>
    <w:rsid w:val="00BF4B6A"/>
    <w:rsid w:val="00BF4BE4"/>
    <w:rsid w:val="00BF4C23"/>
    <w:rsid w:val="00BF4C46"/>
    <w:rsid w:val="00BF4C96"/>
    <w:rsid w:val="00BF4D06"/>
    <w:rsid w:val="00BF4D0E"/>
    <w:rsid w:val="00BF4D10"/>
    <w:rsid w:val="00BF4D4A"/>
    <w:rsid w:val="00BF4D78"/>
    <w:rsid w:val="00BF4DA9"/>
    <w:rsid w:val="00BF4E1B"/>
    <w:rsid w:val="00BF4E1D"/>
    <w:rsid w:val="00BF4EA8"/>
    <w:rsid w:val="00BF4F59"/>
    <w:rsid w:val="00BF4F6F"/>
    <w:rsid w:val="00BF5020"/>
    <w:rsid w:val="00BF5055"/>
    <w:rsid w:val="00BF5080"/>
    <w:rsid w:val="00BF5082"/>
    <w:rsid w:val="00BF50CC"/>
    <w:rsid w:val="00BF516D"/>
    <w:rsid w:val="00BF5234"/>
    <w:rsid w:val="00BF5272"/>
    <w:rsid w:val="00BF537F"/>
    <w:rsid w:val="00BF540D"/>
    <w:rsid w:val="00BF5426"/>
    <w:rsid w:val="00BF5477"/>
    <w:rsid w:val="00BF54A9"/>
    <w:rsid w:val="00BF54B5"/>
    <w:rsid w:val="00BF54B8"/>
    <w:rsid w:val="00BF54E0"/>
    <w:rsid w:val="00BF54FD"/>
    <w:rsid w:val="00BF5537"/>
    <w:rsid w:val="00BF5543"/>
    <w:rsid w:val="00BF557C"/>
    <w:rsid w:val="00BF559D"/>
    <w:rsid w:val="00BF55A3"/>
    <w:rsid w:val="00BF55B1"/>
    <w:rsid w:val="00BF55DC"/>
    <w:rsid w:val="00BF560F"/>
    <w:rsid w:val="00BF563E"/>
    <w:rsid w:val="00BF564D"/>
    <w:rsid w:val="00BF56E9"/>
    <w:rsid w:val="00BF5701"/>
    <w:rsid w:val="00BF5789"/>
    <w:rsid w:val="00BF57D5"/>
    <w:rsid w:val="00BF5866"/>
    <w:rsid w:val="00BF5879"/>
    <w:rsid w:val="00BF58BD"/>
    <w:rsid w:val="00BF58FF"/>
    <w:rsid w:val="00BF590F"/>
    <w:rsid w:val="00BF5947"/>
    <w:rsid w:val="00BF595A"/>
    <w:rsid w:val="00BF599B"/>
    <w:rsid w:val="00BF59A8"/>
    <w:rsid w:val="00BF59AC"/>
    <w:rsid w:val="00BF59C2"/>
    <w:rsid w:val="00BF5B31"/>
    <w:rsid w:val="00BF5B69"/>
    <w:rsid w:val="00BF5B7C"/>
    <w:rsid w:val="00BF5BDB"/>
    <w:rsid w:val="00BF5C12"/>
    <w:rsid w:val="00BF5CAC"/>
    <w:rsid w:val="00BF5D75"/>
    <w:rsid w:val="00BF5D95"/>
    <w:rsid w:val="00BF5DC9"/>
    <w:rsid w:val="00BF5E44"/>
    <w:rsid w:val="00BF5E4A"/>
    <w:rsid w:val="00BF5F1D"/>
    <w:rsid w:val="00BF5F23"/>
    <w:rsid w:val="00BF5F6C"/>
    <w:rsid w:val="00BF5F6F"/>
    <w:rsid w:val="00BF5F95"/>
    <w:rsid w:val="00BF5FE2"/>
    <w:rsid w:val="00BF5FEE"/>
    <w:rsid w:val="00BF6066"/>
    <w:rsid w:val="00BF6093"/>
    <w:rsid w:val="00BF60A6"/>
    <w:rsid w:val="00BF60B8"/>
    <w:rsid w:val="00BF6113"/>
    <w:rsid w:val="00BF6123"/>
    <w:rsid w:val="00BF617D"/>
    <w:rsid w:val="00BF6185"/>
    <w:rsid w:val="00BF61AB"/>
    <w:rsid w:val="00BF6267"/>
    <w:rsid w:val="00BF6269"/>
    <w:rsid w:val="00BF6291"/>
    <w:rsid w:val="00BF6297"/>
    <w:rsid w:val="00BF63FE"/>
    <w:rsid w:val="00BF652E"/>
    <w:rsid w:val="00BF6583"/>
    <w:rsid w:val="00BF65C6"/>
    <w:rsid w:val="00BF65D7"/>
    <w:rsid w:val="00BF6675"/>
    <w:rsid w:val="00BF66B2"/>
    <w:rsid w:val="00BF66ED"/>
    <w:rsid w:val="00BF674C"/>
    <w:rsid w:val="00BF6869"/>
    <w:rsid w:val="00BF68CF"/>
    <w:rsid w:val="00BF68D9"/>
    <w:rsid w:val="00BF6903"/>
    <w:rsid w:val="00BF6951"/>
    <w:rsid w:val="00BF69DF"/>
    <w:rsid w:val="00BF6A49"/>
    <w:rsid w:val="00BF6A55"/>
    <w:rsid w:val="00BF6AAC"/>
    <w:rsid w:val="00BF6AC7"/>
    <w:rsid w:val="00BF6AD7"/>
    <w:rsid w:val="00BF6ADA"/>
    <w:rsid w:val="00BF6AEB"/>
    <w:rsid w:val="00BF6AFC"/>
    <w:rsid w:val="00BF6B22"/>
    <w:rsid w:val="00BF6B40"/>
    <w:rsid w:val="00BF6D69"/>
    <w:rsid w:val="00BF6DA6"/>
    <w:rsid w:val="00BF6DB3"/>
    <w:rsid w:val="00BF6DDA"/>
    <w:rsid w:val="00BF6E27"/>
    <w:rsid w:val="00BF6E46"/>
    <w:rsid w:val="00BF6F20"/>
    <w:rsid w:val="00BF6F48"/>
    <w:rsid w:val="00BF6F66"/>
    <w:rsid w:val="00BF6FAB"/>
    <w:rsid w:val="00BF7002"/>
    <w:rsid w:val="00BF701D"/>
    <w:rsid w:val="00BF7081"/>
    <w:rsid w:val="00BF709F"/>
    <w:rsid w:val="00BF70BE"/>
    <w:rsid w:val="00BF710C"/>
    <w:rsid w:val="00BF717A"/>
    <w:rsid w:val="00BF71A5"/>
    <w:rsid w:val="00BF71D3"/>
    <w:rsid w:val="00BF71E3"/>
    <w:rsid w:val="00BF7213"/>
    <w:rsid w:val="00BF72C2"/>
    <w:rsid w:val="00BF72CB"/>
    <w:rsid w:val="00BF72D7"/>
    <w:rsid w:val="00BF7308"/>
    <w:rsid w:val="00BF7355"/>
    <w:rsid w:val="00BF743E"/>
    <w:rsid w:val="00BF7447"/>
    <w:rsid w:val="00BF7494"/>
    <w:rsid w:val="00BF7525"/>
    <w:rsid w:val="00BF7532"/>
    <w:rsid w:val="00BF7546"/>
    <w:rsid w:val="00BF759B"/>
    <w:rsid w:val="00BF759E"/>
    <w:rsid w:val="00BF75E2"/>
    <w:rsid w:val="00BF75F7"/>
    <w:rsid w:val="00BF762A"/>
    <w:rsid w:val="00BF762C"/>
    <w:rsid w:val="00BF7645"/>
    <w:rsid w:val="00BF764B"/>
    <w:rsid w:val="00BF7677"/>
    <w:rsid w:val="00BF7682"/>
    <w:rsid w:val="00BF76D9"/>
    <w:rsid w:val="00BF76FB"/>
    <w:rsid w:val="00BF7702"/>
    <w:rsid w:val="00BF7731"/>
    <w:rsid w:val="00BF77BD"/>
    <w:rsid w:val="00BF786D"/>
    <w:rsid w:val="00BF7909"/>
    <w:rsid w:val="00BF7925"/>
    <w:rsid w:val="00BF792F"/>
    <w:rsid w:val="00BF7947"/>
    <w:rsid w:val="00BF798C"/>
    <w:rsid w:val="00BF7A44"/>
    <w:rsid w:val="00BF7AF1"/>
    <w:rsid w:val="00BF7AF2"/>
    <w:rsid w:val="00BF7B01"/>
    <w:rsid w:val="00BF7B1E"/>
    <w:rsid w:val="00BF7BE4"/>
    <w:rsid w:val="00BF7BE6"/>
    <w:rsid w:val="00BF7C8A"/>
    <w:rsid w:val="00BF7D82"/>
    <w:rsid w:val="00BF7E23"/>
    <w:rsid w:val="00BF7E3E"/>
    <w:rsid w:val="00BF7E72"/>
    <w:rsid w:val="00BF7E7F"/>
    <w:rsid w:val="00BF7E9D"/>
    <w:rsid w:val="00BF7EDB"/>
    <w:rsid w:val="00BF7F03"/>
    <w:rsid w:val="00BF7F33"/>
    <w:rsid w:val="00BF7F3D"/>
    <w:rsid w:val="00BF7F53"/>
    <w:rsid w:val="00BF7F67"/>
    <w:rsid w:val="00BF7F69"/>
    <w:rsid w:val="00BF7F9A"/>
    <w:rsid w:val="00BF7FAB"/>
    <w:rsid w:val="00BF7FB5"/>
    <w:rsid w:val="00C00053"/>
    <w:rsid w:val="00C00090"/>
    <w:rsid w:val="00C00091"/>
    <w:rsid w:val="00C000AE"/>
    <w:rsid w:val="00C000D7"/>
    <w:rsid w:val="00C000D9"/>
    <w:rsid w:val="00C0012F"/>
    <w:rsid w:val="00C00188"/>
    <w:rsid w:val="00C00219"/>
    <w:rsid w:val="00C00347"/>
    <w:rsid w:val="00C0034F"/>
    <w:rsid w:val="00C003D8"/>
    <w:rsid w:val="00C0041C"/>
    <w:rsid w:val="00C0049C"/>
    <w:rsid w:val="00C004FC"/>
    <w:rsid w:val="00C00509"/>
    <w:rsid w:val="00C00512"/>
    <w:rsid w:val="00C00514"/>
    <w:rsid w:val="00C0052D"/>
    <w:rsid w:val="00C00589"/>
    <w:rsid w:val="00C0059E"/>
    <w:rsid w:val="00C005A2"/>
    <w:rsid w:val="00C005F1"/>
    <w:rsid w:val="00C00618"/>
    <w:rsid w:val="00C0061F"/>
    <w:rsid w:val="00C00622"/>
    <w:rsid w:val="00C00632"/>
    <w:rsid w:val="00C00647"/>
    <w:rsid w:val="00C00666"/>
    <w:rsid w:val="00C006A2"/>
    <w:rsid w:val="00C006AA"/>
    <w:rsid w:val="00C006BD"/>
    <w:rsid w:val="00C006E1"/>
    <w:rsid w:val="00C00706"/>
    <w:rsid w:val="00C0070F"/>
    <w:rsid w:val="00C00785"/>
    <w:rsid w:val="00C00796"/>
    <w:rsid w:val="00C0079B"/>
    <w:rsid w:val="00C0081E"/>
    <w:rsid w:val="00C008C5"/>
    <w:rsid w:val="00C00942"/>
    <w:rsid w:val="00C00954"/>
    <w:rsid w:val="00C009B1"/>
    <w:rsid w:val="00C00A06"/>
    <w:rsid w:val="00C00A56"/>
    <w:rsid w:val="00C00AA2"/>
    <w:rsid w:val="00C00C05"/>
    <w:rsid w:val="00C00C5E"/>
    <w:rsid w:val="00C00C66"/>
    <w:rsid w:val="00C00C8B"/>
    <w:rsid w:val="00C00CA2"/>
    <w:rsid w:val="00C00CD6"/>
    <w:rsid w:val="00C00CE0"/>
    <w:rsid w:val="00C00D37"/>
    <w:rsid w:val="00C00D52"/>
    <w:rsid w:val="00C00D5A"/>
    <w:rsid w:val="00C00D8E"/>
    <w:rsid w:val="00C00DDF"/>
    <w:rsid w:val="00C00E12"/>
    <w:rsid w:val="00C00EA1"/>
    <w:rsid w:val="00C00EA8"/>
    <w:rsid w:val="00C00F1A"/>
    <w:rsid w:val="00C00F3D"/>
    <w:rsid w:val="00C00F4D"/>
    <w:rsid w:val="00C00F98"/>
    <w:rsid w:val="00C00FE2"/>
    <w:rsid w:val="00C00FF6"/>
    <w:rsid w:val="00C0101B"/>
    <w:rsid w:val="00C0106D"/>
    <w:rsid w:val="00C01097"/>
    <w:rsid w:val="00C01209"/>
    <w:rsid w:val="00C01213"/>
    <w:rsid w:val="00C0122E"/>
    <w:rsid w:val="00C0128F"/>
    <w:rsid w:val="00C0131F"/>
    <w:rsid w:val="00C01341"/>
    <w:rsid w:val="00C0137D"/>
    <w:rsid w:val="00C01388"/>
    <w:rsid w:val="00C013A5"/>
    <w:rsid w:val="00C013C5"/>
    <w:rsid w:val="00C013EE"/>
    <w:rsid w:val="00C01436"/>
    <w:rsid w:val="00C014BF"/>
    <w:rsid w:val="00C014C6"/>
    <w:rsid w:val="00C014CF"/>
    <w:rsid w:val="00C014D3"/>
    <w:rsid w:val="00C014F0"/>
    <w:rsid w:val="00C015EA"/>
    <w:rsid w:val="00C01605"/>
    <w:rsid w:val="00C01630"/>
    <w:rsid w:val="00C0163E"/>
    <w:rsid w:val="00C0165D"/>
    <w:rsid w:val="00C0167A"/>
    <w:rsid w:val="00C01691"/>
    <w:rsid w:val="00C016BF"/>
    <w:rsid w:val="00C01748"/>
    <w:rsid w:val="00C01756"/>
    <w:rsid w:val="00C0176D"/>
    <w:rsid w:val="00C01775"/>
    <w:rsid w:val="00C017A7"/>
    <w:rsid w:val="00C017B6"/>
    <w:rsid w:val="00C017B9"/>
    <w:rsid w:val="00C01819"/>
    <w:rsid w:val="00C0183C"/>
    <w:rsid w:val="00C01858"/>
    <w:rsid w:val="00C01861"/>
    <w:rsid w:val="00C01878"/>
    <w:rsid w:val="00C01888"/>
    <w:rsid w:val="00C018DA"/>
    <w:rsid w:val="00C01933"/>
    <w:rsid w:val="00C019ED"/>
    <w:rsid w:val="00C01A2F"/>
    <w:rsid w:val="00C01A49"/>
    <w:rsid w:val="00C01A92"/>
    <w:rsid w:val="00C01AD1"/>
    <w:rsid w:val="00C01BA4"/>
    <w:rsid w:val="00C01BB4"/>
    <w:rsid w:val="00C01BE2"/>
    <w:rsid w:val="00C01CF4"/>
    <w:rsid w:val="00C01D26"/>
    <w:rsid w:val="00C01D2D"/>
    <w:rsid w:val="00C01D3C"/>
    <w:rsid w:val="00C01D47"/>
    <w:rsid w:val="00C01D49"/>
    <w:rsid w:val="00C01D5D"/>
    <w:rsid w:val="00C01D62"/>
    <w:rsid w:val="00C01DCC"/>
    <w:rsid w:val="00C01E6C"/>
    <w:rsid w:val="00C01E83"/>
    <w:rsid w:val="00C01EA8"/>
    <w:rsid w:val="00C01ED6"/>
    <w:rsid w:val="00C01F5D"/>
    <w:rsid w:val="00C01F9A"/>
    <w:rsid w:val="00C01FC6"/>
    <w:rsid w:val="00C02011"/>
    <w:rsid w:val="00C0201C"/>
    <w:rsid w:val="00C02029"/>
    <w:rsid w:val="00C02066"/>
    <w:rsid w:val="00C0209B"/>
    <w:rsid w:val="00C020EF"/>
    <w:rsid w:val="00C020FD"/>
    <w:rsid w:val="00C021B7"/>
    <w:rsid w:val="00C022AA"/>
    <w:rsid w:val="00C022D5"/>
    <w:rsid w:val="00C022DF"/>
    <w:rsid w:val="00C0233A"/>
    <w:rsid w:val="00C02391"/>
    <w:rsid w:val="00C023CE"/>
    <w:rsid w:val="00C0241E"/>
    <w:rsid w:val="00C02498"/>
    <w:rsid w:val="00C024FC"/>
    <w:rsid w:val="00C02583"/>
    <w:rsid w:val="00C02587"/>
    <w:rsid w:val="00C025A3"/>
    <w:rsid w:val="00C02624"/>
    <w:rsid w:val="00C02638"/>
    <w:rsid w:val="00C02662"/>
    <w:rsid w:val="00C026A3"/>
    <w:rsid w:val="00C026C4"/>
    <w:rsid w:val="00C026D0"/>
    <w:rsid w:val="00C026D9"/>
    <w:rsid w:val="00C026E0"/>
    <w:rsid w:val="00C02701"/>
    <w:rsid w:val="00C0270D"/>
    <w:rsid w:val="00C02767"/>
    <w:rsid w:val="00C027CA"/>
    <w:rsid w:val="00C027E8"/>
    <w:rsid w:val="00C02876"/>
    <w:rsid w:val="00C02884"/>
    <w:rsid w:val="00C028C4"/>
    <w:rsid w:val="00C0290D"/>
    <w:rsid w:val="00C02945"/>
    <w:rsid w:val="00C02988"/>
    <w:rsid w:val="00C029F8"/>
    <w:rsid w:val="00C02A14"/>
    <w:rsid w:val="00C02A1A"/>
    <w:rsid w:val="00C02A92"/>
    <w:rsid w:val="00C02AC8"/>
    <w:rsid w:val="00C02B3A"/>
    <w:rsid w:val="00C02B3D"/>
    <w:rsid w:val="00C02B63"/>
    <w:rsid w:val="00C02C89"/>
    <w:rsid w:val="00C02CE3"/>
    <w:rsid w:val="00C02CEF"/>
    <w:rsid w:val="00C02D0E"/>
    <w:rsid w:val="00C02DC2"/>
    <w:rsid w:val="00C02DC4"/>
    <w:rsid w:val="00C02DE2"/>
    <w:rsid w:val="00C02E93"/>
    <w:rsid w:val="00C02F54"/>
    <w:rsid w:val="00C02F5F"/>
    <w:rsid w:val="00C02F7F"/>
    <w:rsid w:val="00C02FA1"/>
    <w:rsid w:val="00C02FB1"/>
    <w:rsid w:val="00C0308B"/>
    <w:rsid w:val="00C0309F"/>
    <w:rsid w:val="00C030C9"/>
    <w:rsid w:val="00C030F7"/>
    <w:rsid w:val="00C03127"/>
    <w:rsid w:val="00C03150"/>
    <w:rsid w:val="00C03174"/>
    <w:rsid w:val="00C03182"/>
    <w:rsid w:val="00C031EF"/>
    <w:rsid w:val="00C0325A"/>
    <w:rsid w:val="00C032A3"/>
    <w:rsid w:val="00C032B7"/>
    <w:rsid w:val="00C03303"/>
    <w:rsid w:val="00C0334D"/>
    <w:rsid w:val="00C033A5"/>
    <w:rsid w:val="00C033D7"/>
    <w:rsid w:val="00C03426"/>
    <w:rsid w:val="00C03487"/>
    <w:rsid w:val="00C034F9"/>
    <w:rsid w:val="00C03547"/>
    <w:rsid w:val="00C035DE"/>
    <w:rsid w:val="00C035E4"/>
    <w:rsid w:val="00C03608"/>
    <w:rsid w:val="00C0360D"/>
    <w:rsid w:val="00C0362B"/>
    <w:rsid w:val="00C03638"/>
    <w:rsid w:val="00C03693"/>
    <w:rsid w:val="00C0377A"/>
    <w:rsid w:val="00C037D4"/>
    <w:rsid w:val="00C0382D"/>
    <w:rsid w:val="00C03869"/>
    <w:rsid w:val="00C038B4"/>
    <w:rsid w:val="00C038D0"/>
    <w:rsid w:val="00C03907"/>
    <w:rsid w:val="00C03913"/>
    <w:rsid w:val="00C03938"/>
    <w:rsid w:val="00C0394F"/>
    <w:rsid w:val="00C0398B"/>
    <w:rsid w:val="00C0399F"/>
    <w:rsid w:val="00C039AC"/>
    <w:rsid w:val="00C03A29"/>
    <w:rsid w:val="00C03A89"/>
    <w:rsid w:val="00C03B01"/>
    <w:rsid w:val="00C03B40"/>
    <w:rsid w:val="00C03B54"/>
    <w:rsid w:val="00C03B59"/>
    <w:rsid w:val="00C03B67"/>
    <w:rsid w:val="00C03B68"/>
    <w:rsid w:val="00C03BC6"/>
    <w:rsid w:val="00C03D26"/>
    <w:rsid w:val="00C03D52"/>
    <w:rsid w:val="00C03E15"/>
    <w:rsid w:val="00C03E4B"/>
    <w:rsid w:val="00C03EAD"/>
    <w:rsid w:val="00C03EC6"/>
    <w:rsid w:val="00C03ED4"/>
    <w:rsid w:val="00C03F52"/>
    <w:rsid w:val="00C03FC8"/>
    <w:rsid w:val="00C040CB"/>
    <w:rsid w:val="00C04123"/>
    <w:rsid w:val="00C04132"/>
    <w:rsid w:val="00C041CE"/>
    <w:rsid w:val="00C042AC"/>
    <w:rsid w:val="00C042C0"/>
    <w:rsid w:val="00C042C7"/>
    <w:rsid w:val="00C0431F"/>
    <w:rsid w:val="00C04332"/>
    <w:rsid w:val="00C04447"/>
    <w:rsid w:val="00C044E5"/>
    <w:rsid w:val="00C044F4"/>
    <w:rsid w:val="00C044FF"/>
    <w:rsid w:val="00C04514"/>
    <w:rsid w:val="00C045B4"/>
    <w:rsid w:val="00C046E9"/>
    <w:rsid w:val="00C046F7"/>
    <w:rsid w:val="00C04723"/>
    <w:rsid w:val="00C04789"/>
    <w:rsid w:val="00C0479E"/>
    <w:rsid w:val="00C047C1"/>
    <w:rsid w:val="00C04841"/>
    <w:rsid w:val="00C048A8"/>
    <w:rsid w:val="00C0496E"/>
    <w:rsid w:val="00C04985"/>
    <w:rsid w:val="00C04A2A"/>
    <w:rsid w:val="00C04A6A"/>
    <w:rsid w:val="00C04A90"/>
    <w:rsid w:val="00C04ACA"/>
    <w:rsid w:val="00C04ACD"/>
    <w:rsid w:val="00C04AFA"/>
    <w:rsid w:val="00C04B63"/>
    <w:rsid w:val="00C04BAE"/>
    <w:rsid w:val="00C04BE2"/>
    <w:rsid w:val="00C04C14"/>
    <w:rsid w:val="00C04CC5"/>
    <w:rsid w:val="00C04CCD"/>
    <w:rsid w:val="00C04D69"/>
    <w:rsid w:val="00C04E0A"/>
    <w:rsid w:val="00C04E7A"/>
    <w:rsid w:val="00C04F5E"/>
    <w:rsid w:val="00C04FA3"/>
    <w:rsid w:val="00C04FD3"/>
    <w:rsid w:val="00C04FDF"/>
    <w:rsid w:val="00C0501A"/>
    <w:rsid w:val="00C05020"/>
    <w:rsid w:val="00C0502E"/>
    <w:rsid w:val="00C0507A"/>
    <w:rsid w:val="00C050A6"/>
    <w:rsid w:val="00C050B5"/>
    <w:rsid w:val="00C051C1"/>
    <w:rsid w:val="00C051E5"/>
    <w:rsid w:val="00C052FC"/>
    <w:rsid w:val="00C05356"/>
    <w:rsid w:val="00C05362"/>
    <w:rsid w:val="00C05463"/>
    <w:rsid w:val="00C0547D"/>
    <w:rsid w:val="00C054A9"/>
    <w:rsid w:val="00C05508"/>
    <w:rsid w:val="00C0551E"/>
    <w:rsid w:val="00C05527"/>
    <w:rsid w:val="00C0559C"/>
    <w:rsid w:val="00C055C5"/>
    <w:rsid w:val="00C05628"/>
    <w:rsid w:val="00C05629"/>
    <w:rsid w:val="00C05632"/>
    <w:rsid w:val="00C05692"/>
    <w:rsid w:val="00C056F1"/>
    <w:rsid w:val="00C05713"/>
    <w:rsid w:val="00C05722"/>
    <w:rsid w:val="00C05726"/>
    <w:rsid w:val="00C05727"/>
    <w:rsid w:val="00C05763"/>
    <w:rsid w:val="00C057C1"/>
    <w:rsid w:val="00C057F4"/>
    <w:rsid w:val="00C057F5"/>
    <w:rsid w:val="00C0580C"/>
    <w:rsid w:val="00C0580E"/>
    <w:rsid w:val="00C0582D"/>
    <w:rsid w:val="00C05848"/>
    <w:rsid w:val="00C05880"/>
    <w:rsid w:val="00C058BE"/>
    <w:rsid w:val="00C058E2"/>
    <w:rsid w:val="00C058E9"/>
    <w:rsid w:val="00C0594B"/>
    <w:rsid w:val="00C059D1"/>
    <w:rsid w:val="00C059F9"/>
    <w:rsid w:val="00C05A13"/>
    <w:rsid w:val="00C05A27"/>
    <w:rsid w:val="00C05A62"/>
    <w:rsid w:val="00C05A73"/>
    <w:rsid w:val="00C05AB8"/>
    <w:rsid w:val="00C05AFD"/>
    <w:rsid w:val="00C05B88"/>
    <w:rsid w:val="00C05B92"/>
    <w:rsid w:val="00C05C06"/>
    <w:rsid w:val="00C05CB5"/>
    <w:rsid w:val="00C05D2D"/>
    <w:rsid w:val="00C05D52"/>
    <w:rsid w:val="00C05D57"/>
    <w:rsid w:val="00C05E2B"/>
    <w:rsid w:val="00C05E97"/>
    <w:rsid w:val="00C05EAF"/>
    <w:rsid w:val="00C05EFD"/>
    <w:rsid w:val="00C05F21"/>
    <w:rsid w:val="00C05F82"/>
    <w:rsid w:val="00C06017"/>
    <w:rsid w:val="00C06095"/>
    <w:rsid w:val="00C060E2"/>
    <w:rsid w:val="00C060F5"/>
    <w:rsid w:val="00C0618D"/>
    <w:rsid w:val="00C061A8"/>
    <w:rsid w:val="00C061EA"/>
    <w:rsid w:val="00C062C2"/>
    <w:rsid w:val="00C062FB"/>
    <w:rsid w:val="00C06368"/>
    <w:rsid w:val="00C063C2"/>
    <w:rsid w:val="00C063E2"/>
    <w:rsid w:val="00C0646B"/>
    <w:rsid w:val="00C064BE"/>
    <w:rsid w:val="00C064D3"/>
    <w:rsid w:val="00C0652B"/>
    <w:rsid w:val="00C0653F"/>
    <w:rsid w:val="00C06558"/>
    <w:rsid w:val="00C06571"/>
    <w:rsid w:val="00C0657E"/>
    <w:rsid w:val="00C065A7"/>
    <w:rsid w:val="00C065FC"/>
    <w:rsid w:val="00C06609"/>
    <w:rsid w:val="00C06679"/>
    <w:rsid w:val="00C0669C"/>
    <w:rsid w:val="00C066BD"/>
    <w:rsid w:val="00C067D9"/>
    <w:rsid w:val="00C06838"/>
    <w:rsid w:val="00C068F3"/>
    <w:rsid w:val="00C0694A"/>
    <w:rsid w:val="00C06962"/>
    <w:rsid w:val="00C069CF"/>
    <w:rsid w:val="00C069E3"/>
    <w:rsid w:val="00C069E4"/>
    <w:rsid w:val="00C06A00"/>
    <w:rsid w:val="00C06A51"/>
    <w:rsid w:val="00C06A88"/>
    <w:rsid w:val="00C06B47"/>
    <w:rsid w:val="00C06BBF"/>
    <w:rsid w:val="00C06BE1"/>
    <w:rsid w:val="00C06C0F"/>
    <w:rsid w:val="00C06C80"/>
    <w:rsid w:val="00C06C90"/>
    <w:rsid w:val="00C06CAD"/>
    <w:rsid w:val="00C06D61"/>
    <w:rsid w:val="00C06D76"/>
    <w:rsid w:val="00C06D8C"/>
    <w:rsid w:val="00C06D99"/>
    <w:rsid w:val="00C06DCE"/>
    <w:rsid w:val="00C06DFC"/>
    <w:rsid w:val="00C06E8D"/>
    <w:rsid w:val="00C06ED1"/>
    <w:rsid w:val="00C06F41"/>
    <w:rsid w:val="00C06FA2"/>
    <w:rsid w:val="00C06FCC"/>
    <w:rsid w:val="00C06FD4"/>
    <w:rsid w:val="00C07046"/>
    <w:rsid w:val="00C07084"/>
    <w:rsid w:val="00C070B4"/>
    <w:rsid w:val="00C070C1"/>
    <w:rsid w:val="00C070D1"/>
    <w:rsid w:val="00C07145"/>
    <w:rsid w:val="00C0717B"/>
    <w:rsid w:val="00C0717E"/>
    <w:rsid w:val="00C07187"/>
    <w:rsid w:val="00C071A1"/>
    <w:rsid w:val="00C07205"/>
    <w:rsid w:val="00C07235"/>
    <w:rsid w:val="00C072D5"/>
    <w:rsid w:val="00C07312"/>
    <w:rsid w:val="00C07391"/>
    <w:rsid w:val="00C0743C"/>
    <w:rsid w:val="00C07478"/>
    <w:rsid w:val="00C0748C"/>
    <w:rsid w:val="00C07497"/>
    <w:rsid w:val="00C074AA"/>
    <w:rsid w:val="00C074E8"/>
    <w:rsid w:val="00C0750D"/>
    <w:rsid w:val="00C07511"/>
    <w:rsid w:val="00C07527"/>
    <w:rsid w:val="00C0752D"/>
    <w:rsid w:val="00C075F5"/>
    <w:rsid w:val="00C07619"/>
    <w:rsid w:val="00C07667"/>
    <w:rsid w:val="00C076BA"/>
    <w:rsid w:val="00C076E1"/>
    <w:rsid w:val="00C07773"/>
    <w:rsid w:val="00C07869"/>
    <w:rsid w:val="00C078A0"/>
    <w:rsid w:val="00C078AB"/>
    <w:rsid w:val="00C07942"/>
    <w:rsid w:val="00C07957"/>
    <w:rsid w:val="00C07A8D"/>
    <w:rsid w:val="00C07AA4"/>
    <w:rsid w:val="00C07AB4"/>
    <w:rsid w:val="00C07AEE"/>
    <w:rsid w:val="00C07B04"/>
    <w:rsid w:val="00C07B47"/>
    <w:rsid w:val="00C07B56"/>
    <w:rsid w:val="00C07B64"/>
    <w:rsid w:val="00C07B66"/>
    <w:rsid w:val="00C07B6E"/>
    <w:rsid w:val="00C07B78"/>
    <w:rsid w:val="00C07B86"/>
    <w:rsid w:val="00C07BAA"/>
    <w:rsid w:val="00C07BC0"/>
    <w:rsid w:val="00C07C1A"/>
    <w:rsid w:val="00C07C1C"/>
    <w:rsid w:val="00C07C25"/>
    <w:rsid w:val="00C07CED"/>
    <w:rsid w:val="00C07D08"/>
    <w:rsid w:val="00C07D6D"/>
    <w:rsid w:val="00C07DB1"/>
    <w:rsid w:val="00C07E24"/>
    <w:rsid w:val="00C07E84"/>
    <w:rsid w:val="00C07F30"/>
    <w:rsid w:val="00C07F61"/>
    <w:rsid w:val="00C07F71"/>
    <w:rsid w:val="00C07F76"/>
    <w:rsid w:val="00C07F77"/>
    <w:rsid w:val="00C07F9F"/>
    <w:rsid w:val="00C07FA2"/>
    <w:rsid w:val="00C07FA9"/>
    <w:rsid w:val="00C07FBC"/>
    <w:rsid w:val="00C07FDA"/>
    <w:rsid w:val="00C10025"/>
    <w:rsid w:val="00C10080"/>
    <w:rsid w:val="00C100E2"/>
    <w:rsid w:val="00C1011A"/>
    <w:rsid w:val="00C10135"/>
    <w:rsid w:val="00C101AC"/>
    <w:rsid w:val="00C101C5"/>
    <w:rsid w:val="00C101CE"/>
    <w:rsid w:val="00C101E1"/>
    <w:rsid w:val="00C1022F"/>
    <w:rsid w:val="00C1027B"/>
    <w:rsid w:val="00C102A5"/>
    <w:rsid w:val="00C102AF"/>
    <w:rsid w:val="00C102FA"/>
    <w:rsid w:val="00C10301"/>
    <w:rsid w:val="00C10322"/>
    <w:rsid w:val="00C10328"/>
    <w:rsid w:val="00C10342"/>
    <w:rsid w:val="00C10355"/>
    <w:rsid w:val="00C1039B"/>
    <w:rsid w:val="00C103CE"/>
    <w:rsid w:val="00C10457"/>
    <w:rsid w:val="00C10490"/>
    <w:rsid w:val="00C104A3"/>
    <w:rsid w:val="00C104A9"/>
    <w:rsid w:val="00C104B8"/>
    <w:rsid w:val="00C104BF"/>
    <w:rsid w:val="00C104C3"/>
    <w:rsid w:val="00C104DB"/>
    <w:rsid w:val="00C10510"/>
    <w:rsid w:val="00C10558"/>
    <w:rsid w:val="00C10563"/>
    <w:rsid w:val="00C105D4"/>
    <w:rsid w:val="00C106B8"/>
    <w:rsid w:val="00C106FE"/>
    <w:rsid w:val="00C107B8"/>
    <w:rsid w:val="00C10833"/>
    <w:rsid w:val="00C108B7"/>
    <w:rsid w:val="00C10910"/>
    <w:rsid w:val="00C10920"/>
    <w:rsid w:val="00C10957"/>
    <w:rsid w:val="00C1099A"/>
    <w:rsid w:val="00C109CA"/>
    <w:rsid w:val="00C109DB"/>
    <w:rsid w:val="00C109E6"/>
    <w:rsid w:val="00C10A3A"/>
    <w:rsid w:val="00C10A42"/>
    <w:rsid w:val="00C10A6D"/>
    <w:rsid w:val="00C10B27"/>
    <w:rsid w:val="00C10BA5"/>
    <w:rsid w:val="00C10C41"/>
    <w:rsid w:val="00C10C51"/>
    <w:rsid w:val="00C10C65"/>
    <w:rsid w:val="00C10C7D"/>
    <w:rsid w:val="00C10CC6"/>
    <w:rsid w:val="00C10CF7"/>
    <w:rsid w:val="00C10D20"/>
    <w:rsid w:val="00C10D3A"/>
    <w:rsid w:val="00C10D4B"/>
    <w:rsid w:val="00C10E59"/>
    <w:rsid w:val="00C10E65"/>
    <w:rsid w:val="00C10F2E"/>
    <w:rsid w:val="00C10F38"/>
    <w:rsid w:val="00C10FB5"/>
    <w:rsid w:val="00C110A6"/>
    <w:rsid w:val="00C1113F"/>
    <w:rsid w:val="00C11227"/>
    <w:rsid w:val="00C112D6"/>
    <w:rsid w:val="00C1130A"/>
    <w:rsid w:val="00C1132C"/>
    <w:rsid w:val="00C11379"/>
    <w:rsid w:val="00C11380"/>
    <w:rsid w:val="00C1140A"/>
    <w:rsid w:val="00C1145F"/>
    <w:rsid w:val="00C114A8"/>
    <w:rsid w:val="00C114D5"/>
    <w:rsid w:val="00C11571"/>
    <w:rsid w:val="00C115B2"/>
    <w:rsid w:val="00C115E7"/>
    <w:rsid w:val="00C115E8"/>
    <w:rsid w:val="00C11610"/>
    <w:rsid w:val="00C1164A"/>
    <w:rsid w:val="00C1165A"/>
    <w:rsid w:val="00C11699"/>
    <w:rsid w:val="00C11784"/>
    <w:rsid w:val="00C117A8"/>
    <w:rsid w:val="00C117B1"/>
    <w:rsid w:val="00C1186D"/>
    <w:rsid w:val="00C118DB"/>
    <w:rsid w:val="00C118ED"/>
    <w:rsid w:val="00C11944"/>
    <w:rsid w:val="00C11972"/>
    <w:rsid w:val="00C11979"/>
    <w:rsid w:val="00C1199D"/>
    <w:rsid w:val="00C119A1"/>
    <w:rsid w:val="00C119D6"/>
    <w:rsid w:val="00C11A42"/>
    <w:rsid w:val="00C11AFA"/>
    <w:rsid w:val="00C11B20"/>
    <w:rsid w:val="00C11B54"/>
    <w:rsid w:val="00C11B94"/>
    <w:rsid w:val="00C11C92"/>
    <w:rsid w:val="00C11CF0"/>
    <w:rsid w:val="00C11D03"/>
    <w:rsid w:val="00C11D45"/>
    <w:rsid w:val="00C11DCD"/>
    <w:rsid w:val="00C11DFA"/>
    <w:rsid w:val="00C11DFE"/>
    <w:rsid w:val="00C11E3A"/>
    <w:rsid w:val="00C11EEE"/>
    <w:rsid w:val="00C11FC3"/>
    <w:rsid w:val="00C12043"/>
    <w:rsid w:val="00C12053"/>
    <w:rsid w:val="00C12112"/>
    <w:rsid w:val="00C12122"/>
    <w:rsid w:val="00C12143"/>
    <w:rsid w:val="00C12184"/>
    <w:rsid w:val="00C121BC"/>
    <w:rsid w:val="00C121D3"/>
    <w:rsid w:val="00C121FC"/>
    <w:rsid w:val="00C1221E"/>
    <w:rsid w:val="00C12223"/>
    <w:rsid w:val="00C122B2"/>
    <w:rsid w:val="00C122CF"/>
    <w:rsid w:val="00C12313"/>
    <w:rsid w:val="00C12333"/>
    <w:rsid w:val="00C1238A"/>
    <w:rsid w:val="00C123AD"/>
    <w:rsid w:val="00C123B1"/>
    <w:rsid w:val="00C123EC"/>
    <w:rsid w:val="00C123F5"/>
    <w:rsid w:val="00C12453"/>
    <w:rsid w:val="00C12459"/>
    <w:rsid w:val="00C12499"/>
    <w:rsid w:val="00C124A5"/>
    <w:rsid w:val="00C124B9"/>
    <w:rsid w:val="00C124E5"/>
    <w:rsid w:val="00C124F6"/>
    <w:rsid w:val="00C125B7"/>
    <w:rsid w:val="00C125F9"/>
    <w:rsid w:val="00C1262D"/>
    <w:rsid w:val="00C12631"/>
    <w:rsid w:val="00C1264E"/>
    <w:rsid w:val="00C126B7"/>
    <w:rsid w:val="00C126E6"/>
    <w:rsid w:val="00C126EB"/>
    <w:rsid w:val="00C1277C"/>
    <w:rsid w:val="00C12837"/>
    <w:rsid w:val="00C12855"/>
    <w:rsid w:val="00C12859"/>
    <w:rsid w:val="00C128D9"/>
    <w:rsid w:val="00C1290D"/>
    <w:rsid w:val="00C1291D"/>
    <w:rsid w:val="00C12939"/>
    <w:rsid w:val="00C12942"/>
    <w:rsid w:val="00C12981"/>
    <w:rsid w:val="00C129B4"/>
    <w:rsid w:val="00C129ED"/>
    <w:rsid w:val="00C12A09"/>
    <w:rsid w:val="00C12A42"/>
    <w:rsid w:val="00C12A4F"/>
    <w:rsid w:val="00C12A59"/>
    <w:rsid w:val="00C12AF6"/>
    <w:rsid w:val="00C12B39"/>
    <w:rsid w:val="00C12BAA"/>
    <w:rsid w:val="00C12BB9"/>
    <w:rsid w:val="00C12BD0"/>
    <w:rsid w:val="00C12C20"/>
    <w:rsid w:val="00C12CB6"/>
    <w:rsid w:val="00C12CD7"/>
    <w:rsid w:val="00C12D37"/>
    <w:rsid w:val="00C12D77"/>
    <w:rsid w:val="00C12DB8"/>
    <w:rsid w:val="00C12E41"/>
    <w:rsid w:val="00C12E67"/>
    <w:rsid w:val="00C12E78"/>
    <w:rsid w:val="00C12E8B"/>
    <w:rsid w:val="00C12E95"/>
    <w:rsid w:val="00C12EA7"/>
    <w:rsid w:val="00C12EAF"/>
    <w:rsid w:val="00C12FA2"/>
    <w:rsid w:val="00C13061"/>
    <w:rsid w:val="00C13075"/>
    <w:rsid w:val="00C130B5"/>
    <w:rsid w:val="00C130F8"/>
    <w:rsid w:val="00C130FA"/>
    <w:rsid w:val="00C13194"/>
    <w:rsid w:val="00C131BE"/>
    <w:rsid w:val="00C132A2"/>
    <w:rsid w:val="00C132DF"/>
    <w:rsid w:val="00C133C1"/>
    <w:rsid w:val="00C13424"/>
    <w:rsid w:val="00C13429"/>
    <w:rsid w:val="00C1347A"/>
    <w:rsid w:val="00C1348C"/>
    <w:rsid w:val="00C134A0"/>
    <w:rsid w:val="00C134A1"/>
    <w:rsid w:val="00C134C3"/>
    <w:rsid w:val="00C134CE"/>
    <w:rsid w:val="00C134DC"/>
    <w:rsid w:val="00C134FA"/>
    <w:rsid w:val="00C13515"/>
    <w:rsid w:val="00C13539"/>
    <w:rsid w:val="00C135B3"/>
    <w:rsid w:val="00C135CC"/>
    <w:rsid w:val="00C1360D"/>
    <w:rsid w:val="00C13611"/>
    <w:rsid w:val="00C13657"/>
    <w:rsid w:val="00C136D6"/>
    <w:rsid w:val="00C1370A"/>
    <w:rsid w:val="00C13719"/>
    <w:rsid w:val="00C1371D"/>
    <w:rsid w:val="00C13724"/>
    <w:rsid w:val="00C13739"/>
    <w:rsid w:val="00C1376D"/>
    <w:rsid w:val="00C1380C"/>
    <w:rsid w:val="00C1389B"/>
    <w:rsid w:val="00C138A8"/>
    <w:rsid w:val="00C138EF"/>
    <w:rsid w:val="00C1390F"/>
    <w:rsid w:val="00C13983"/>
    <w:rsid w:val="00C13A25"/>
    <w:rsid w:val="00C13A88"/>
    <w:rsid w:val="00C13AC9"/>
    <w:rsid w:val="00C13BA2"/>
    <w:rsid w:val="00C13BB0"/>
    <w:rsid w:val="00C13BEC"/>
    <w:rsid w:val="00C13C60"/>
    <w:rsid w:val="00C13C8B"/>
    <w:rsid w:val="00C13CA3"/>
    <w:rsid w:val="00C13CB4"/>
    <w:rsid w:val="00C13D10"/>
    <w:rsid w:val="00C13D56"/>
    <w:rsid w:val="00C13ECA"/>
    <w:rsid w:val="00C13F0F"/>
    <w:rsid w:val="00C1401C"/>
    <w:rsid w:val="00C1401D"/>
    <w:rsid w:val="00C1408B"/>
    <w:rsid w:val="00C140B1"/>
    <w:rsid w:val="00C140CF"/>
    <w:rsid w:val="00C1410F"/>
    <w:rsid w:val="00C14134"/>
    <w:rsid w:val="00C14153"/>
    <w:rsid w:val="00C141B7"/>
    <w:rsid w:val="00C141C9"/>
    <w:rsid w:val="00C141CE"/>
    <w:rsid w:val="00C14224"/>
    <w:rsid w:val="00C1423B"/>
    <w:rsid w:val="00C142E4"/>
    <w:rsid w:val="00C142FF"/>
    <w:rsid w:val="00C1430D"/>
    <w:rsid w:val="00C14319"/>
    <w:rsid w:val="00C1438B"/>
    <w:rsid w:val="00C1438C"/>
    <w:rsid w:val="00C143B4"/>
    <w:rsid w:val="00C1441A"/>
    <w:rsid w:val="00C1443B"/>
    <w:rsid w:val="00C1445D"/>
    <w:rsid w:val="00C14465"/>
    <w:rsid w:val="00C1448B"/>
    <w:rsid w:val="00C144B8"/>
    <w:rsid w:val="00C144C8"/>
    <w:rsid w:val="00C144CE"/>
    <w:rsid w:val="00C144E0"/>
    <w:rsid w:val="00C145A4"/>
    <w:rsid w:val="00C145AE"/>
    <w:rsid w:val="00C145D5"/>
    <w:rsid w:val="00C1466F"/>
    <w:rsid w:val="00C146A0"/>
    <w:rsid w:val="00C146A2"/>
    <w:rsid w:val="00C146D6"/>
    <w:rsid w:val="00C14746"/>
    <w:rsid w:val="00C147A5"/>
    <w:rsid w:val="00C147FA"/>
    <w:rsid w:val="00C14894"/>
    <w:rsid w:val="00C148B6"/>
    <w:rsid w:val="00C14948"/>
    <w:rsid w:val="00C14999"/>
    <w:rsid w:val="00C149A0"/>
    <w:rsid w:val="00C149B1"/>
    <w:rsid w:val="00C149DA"/>
    <w:rsid w:val="00C14A15"/>
    <w:rsid w:val="00C14A32"/>
    <w:rsid w:val="00C14A42"/>
    <w:rsid w:val="00C14A46"/>
    <w:rsid w:val="00C14AAA"/>
    <w:rsid w:val="00C14AB5"/>
    <w:rsid w:val="00C14ABA"/>
    <w:rsid w:val="00C14AE8"/>
    <w:rsid w:val="00C14B53"/>
    <w:rsid w:val="00C14B7E"/>
    <w:rsid w:val="00C14BAE"/>
    <w:rsid w:val="00C14C30"/>
    <w:rsid w:val="00C14C59"/>
    <w:rsid w:val="00C14C72"/>
    <w:rsid w:val="00C14C77"/>
    <w:rsid w:val="00C14CC6"/>
    <w:rsid w:val="00C14CCD"/>
    <w:rsid w:val="00C14CD0"/>
    <w:rsid w:val="00C14D13"/>
    <w:rsid w:val="00C14D17"/>
    <w:rsid w:val="00C14D87"/>
    <w:rsid w:val="00C14DC2"/>
    <w:rsid w:val="00C14DEA"/>
    <w:rsid w:val="00C14E25"/>
    <w:rsid w:val="00C14EFF"/>
    <w:rsid w:val="00C14F1F"/>
    <w:rsid w:val="00C14F74"/>
    <w:rsid w:val="00C14F7C"/>
    <w:rsid w:val="00C14FAF"/>
    <w:rsid w:val="00C14FDE"/>
    <w:rsid w:val="00C150C1"/>
    <w:rsid w:val="00C150DC"/>
    <w:rsid w:val="00C150DE"/>
    <w:rsid w:val="00C150F4"/>
    <w:rsid w:val="00C150FD"/>
    <w:rsid w:val="00C15156"/>
    <w:rsid w:val="00C15185"/>
    <w:rsid w:val="00C1519A"/>
    <w:rsid w:val="00C151A8"/>
    <w:rsid w:val="00C151C4"/>
    <w:rsid w:val="00C151F3"/>
    <w:rsid w:val="00C1523C"/>
    <w:rsid w:val="00C15269"/>
    <w:rsid w:val="00C1527E"/>
    <w:rsid w:val="00C15299"/>
    <w:rsid w:val="00C152AA"/>
    <w:rsid w:val="00C152CD"/>
    <w:rsid w:val="00C152F8"/>
    <w:rsid w:val="00C15332"/>
    <w:rsid w:val="00C1534F"/>
    <w:rsid w:val="00C1535D"/>
    <w:rsid w:val="00C153C0"/>
    <w:rsid w:val="00C153C2"/>
    <w:rsid w:val="00C15466"/>
    <w:rsid w:val="00C154F5"/>
    <w:rsid w:val="00C15536"/>
    <w:rsid w:val="00C1555E"/>
    <w:rsid w:val="00C1560D"/>
    <w:rsid w:val="00C15619"/>
    <w:rsid w:val="00C1561D"/>
    <w:rsid w:val="00C1573B"/>
    <w:rsid w:val="00C1578E"/>
    <w:rsid w:val="00C15791"/>
    <w:rsid w:val="00C157AB"/>
    <w:rsid w:val="00C157D9"/>
    <w:rsid w:val="00C15811"/>
    <w:rsid w:val="00C15823"/>
    <w:rsid w:val="00C15860"/>
    <w:rsid w:val="00C15897"/>
    <w:rsid w:val="00C158E1"/>
    <w:rsid w:val="00C158FD"/>
    <w:rsid w:val="00C15925"/>
    <w:rsid w:val="00C1597B"/>
    <w:rsid w:val="00C15A26"/>
    <w:rsid w:val="00C15A6A"/>
    <w:rsid w:val="00C15A82"/>
    <w:rsid w:val="00C15AB5"/>
    <w:rsid w:val="00C15B06"/>
    <w:rsid w:val="00C15B73"/>
    <w:rsid w:val="00C15BF0"/>
    <w:rsid w:val="00C15BF7"/>
    <w:rsid w:val="00C15C62"/>
    <w:rsid w:val="00C15C8D"/>
    <w:rsid w:val="00C15CC5"/>
    <w:rsid w:val="00C15CE1"/>
    <w:rsid w:val="00C15D01"/>
    <w:rsid w:val="00C15D0A"/>
    <w:rsid w:val="00C15DB6"/>
    <w:rsid w:val="00C15DBC"/>
    <w:rsid w:val="00C15DC3"/>
    <w:rsid w:val="00C15E24"/>
    <w:rsid w:val="00C15EFA"/>
    <w:rsid w:val="00C15F02"/>
    <w:rsid w:val="00C15F15"/>
    <w:rsid w:val="00C16058"/>
    <w:rsid w:val="00C1605D"/>
    <w:rsid w:val="00C160C3"/>
    <w:rsid w:val="00C160D5"/>
    <w:rsid w:val="00C160E4"/>
    <w:rsid w:val="00C160F4"/>
    <w:rsid w:val="00C16110"/>
    <w:rsid w:val="00C16132"/>
    <w:rsid w:val="00C16145"/>
    <w:rsid w:val="00C16163"/>
    <w:rsid w:val="00C16174"/>
    <w:rsid w:val="00C16197"/>
    <w:rsid w:val="00C1631D"/>
    <w:rsid w:val="00C1632B"/>
    <w:rsid w:val="00C16376"/>
    <w:rsid w:val="00C163AD"/>
    <w:rsid w:val="00C163BE"/>
    <w:rsid w:val="00C163F7"/>
    <w:rsid w:val="00C1640C"/>
    <w:rsid w:val="00C16422"/>
    <w:rsid w:val="00C1644A"/>
    <w:rsid w:val="00C1645B"/>
    <w:rsid w:val="00C164C0"/>
    <w:rsid w:val="00C16500"/>
    <w:rsid w:val="00C16502"/>
    <w:rsid w:val="00C16543"/>
    <w:rsid w:val="00C16548"/>
    <w:rsid w:val="00C16569"/>
    <w:rsid w:val="00C1659B"/>
    <w:rsid w:val="00C165A9"/>
    <w:rsid w:val="00C165BD"/>
    <w:rsid w:val="00C165C3"/>
    <w:rsid w:val="00C165E7"/>
    <w:rsid w:val="00C1663F"/>
    <w:rsid w:val="00C16687"/>
    <w:rsid w:val="00C1669F"/>
    <w:rsid w:val="00C166B6"/>
    <w:rsid w:val="00C166BD"/>
    <w:rsid w:val="00C166D4"/>
    <w:rsid w:val="00C1672A"/>
    <w:rsid w:val="00C16760"/>
    <w:rsid w:val="00C167E4"/>
    <w:rsid w:val="00C1680C"/>
    <w:rsid w:val="00C1682B"/>
    <w:rsid w:val="00C16855"/>
    <w:rsid w:val="00C168C1"/>
    <w:rsid w:val="00C168C2"/>
    <w:rsid w:val="00C16930"/>
    <w:rsid w:val="00C1696A"/>
    <w:rsid w:val="00C1698B"/>
    <w:rsid w:val="00C169D0"/>
    <w:rsid w:val="00C169E4"/>
    <w:rsid w:val="00C16A1C"/>
    <w:rsid w:val="00C16A4B"/>
    <w:rsid w:val="00C16A56"/>
    <w:rsid w:val="00C16A5F"/>
    <w:rsid w:val="00C16ABB"/>
    <w:rsid w:val="00C16ABF"/>
    <w:rsid w:val="00C16ADC"/>
    <w:rsid w:val="00C16B37"/>
    <w:rsid w:val="00C16C0C"/>
    <w:rsid w:val="00C16C50"/>
    <w:rsid w:val="00C16C8E"/>
    <w:rsid w:val="00C16C91"/>
    <w:rsid w:val="00C16D6D"/>
    <w:rsid w:val="00C16DB3"/>
    <w:rsid w:val="00C16DBB"/>
    <w:rsid w:val="00C16E01"/>
    <w:rsid w:val="00C16E5C"/>
    <w:rsid w:val="00C16E86"/>
    <w:rsid w:val="00C16E92"/>
    <w:rsid w:val="00C16E95"/>
    <w:rsid w:val="00C16EC0"/>
    <w:rsid w:val="00C16EC8"/>
    <w:rsid w:val="00C16ED5"/>
    <w:rsid w:val="00C16F06"/>
    <w:rsid w:val="00C16F35"/>
    <w:rsid w:val="00C17015"/>
    <w:rsid w:val="00C17072"/>
    <w:rsid w:val="00C17103"/>
    <w:rsid w:val="00C17124"/>
    <w:rsid w:val="00C17132"/>
    <w:rsid w:val="00C1716E"/>
    <w:rsid w:val="00C1716F"/>
    <w:rsid w:val="00C17178"/>
    <w:rsid w:val="00C17198"/>
    <w:rsid w:val="00C171D7"/>
    <w:rsid w:val="00C171EB"/>
    <w:rsid w:val="00C1727B"/>
    <w:rsid w:val="00C1727F"/>
    <w:rsid w:val="00C172BD"/>
    <w:rsid w:val="00C17340"/>
    <w:rsid w:val="00C17341"/>
    <w:rsid w:val="00C173BC"/>
    <w:rsid w:val="00C17406"/>
    <w:rsid w:val="00C174A9"/>
    <w:rsid w:val="00C174CC"/>
    <w:rsid w:val="00C174DD"/>
    <w:rsid w:val="00C174E1"/>
    <w:rsid w:val="00C17588"/>
    <w:rsid w:val="00C175A1"/>
    <w:rsid w:val="00C17602"/>
    <w:rsid w:val="00C17611"/>
    <w:rsid w:val="00C17694"/>
    <w:rsid w:val="00C176A2"/>
    <w:rsid w:val="00C176A8"/>
    <w:rsid w:val="00C176BE"/>
    <w:rsid w:val="00C17733"/>
    <w:rsid w:val="00C1779E"/>
    <w:rsid w:val="00C177C0"/>
    <w:rsid w:val="00C17823"/>
    <w:rsid w:val="00C17840"/>
    <w:rsid w:val="00C178C9"/>
    <w:rsid w:val="00C1790C"/>
    <w:rsid w:val="00C17948"/>
    <w:rsid w:val="00C1796D"/>
    <w:rsid w:val="00C17995"/>
    <w:rsid w:val="00C179B9"/>
    <w:rsid w:val="00C179BB"/>
    <w:rsid w:val="00C179CA"/>
    <w:rsid w:val="00C17A8D"/>
    <w:rsid w:val="00C17A9E"/>
    <w:rsid w:val="00C17AA3"/>
    <w:rsid w:val="00C17AA9"/>
    <w:rsid w:val="00C17ABE"/>
    <w:rsid w:val="00C17AD2"/>
    <w:rsid w:val="00C17ADC"/>
    <w:rsid w:val="00C17AE8"/>
    <w:rsid w:val="00C17B03"/>
    <w:rsid w:val="00C17B4B"/>
    <w:rsid w:val="00C17B4E"/>
    <w:rsid w:val="00C17B66"/>
    <w:rsid w:val="00C17C39"/>
    <w:rsid w:val="00C17C68"/>
    <w:rsid w:val="00C17D3C"/>
    <w:rsid w:val="00C17D42"/>
    <w:rsid w:val="00C17DF6"/>
    <w:rsid w:val="00C17E02"/>
    <w:rsid w:val="00C17E37"/>
    <w:rsid w:val="00C17E91"/>
    <w:rsid w:val="00C17F20"/>
    <w:rsid w:val="00C17FC9"/>
    <w:rsid w:val="00C17FE0"/>
    <w:rsid w:val="00C200E6"/>
    <w:rsid w:val="00C200F8"/>
    <w:rsid w:val="00C20102"/>
    <w:rsid w:val="00C20134"/>
    <w:rsid w:val="00C2014C"/>
    <w:rsid w:val="00C20169"/>
    <w:rsid w:val="00C20215"/>
    <w:rsid w:val="00C2021A"/>
    <w:rsid w:val="00C2024B"/>
    <w:rsid w:val="00C20264"/>
    <w:rsid w:val="00C202A7"/>
    <w:rsid w:val="00C202B3"/>
    <w:rsid w:val="00C202D1"/>
    <w:rsid w:val="00C202DA"/>
    <w:rsid w:val="00C20333"/>
    <w:rsid w:val="00C203C3"/>
    <w:rsid w:val="00C2043A"/>
    <w:rsid w:val="00C2045F"/>
    <w:rsid w:val="00C20472"/>
    <w:rsid w:val="00C204BB"/>
    <w:rsid w:val="00C204DD"/>
    <w:rsid w:val="00C2053C"/>
    <w:rsid w:val="00C20568"/>
    <w:rsid w:val="00C205D3"/>
    <w:rsid w:val="00C2062C"/>
    <w:rsid w:val="00C2065D"/>
    <w:rsid w:val="00C206C1"/>
    <w:rsid w:val="00C206D1"/>
    <w:rsid w:val="00C20702"/>
    <w:rsid w:val="00C20738"/>
    <w:rsid w:val="00C2075F"/>
    <w:rsid w:val="00C20761"/>
    <w:rsid w:val="00C2077F"/>
    <w:rsid w:val="00C20784"/>
    <w:rsid w:val="00C207B9"/>
    <w:rsid w:val="00C20824"/>
    <w:rsid w:val="00C208CE"/>
    <w:rsid w:val="00C208DA"/>
    <w:rsid w:val="00C20927"/>
    <w:rsid w:val="00C2093F"/>
    <w:rsid w:val="00C2098F"/>
    <w:rsid w:val="00C20992"/>
    <w:rsid w:val="00C209AC"/>
    <w:rsid w:val="00C209D7"/>
    <w:rsid w:val="00C20A54"/>
    <w:rsid w:val="00C20ADB"/>
    <w:rsid w:val="00C20B3F"/>
    <w:rsid w:val="00C20B68"/>
    <w:rsid w:val="00C20C78"/>
    <w:rsid w:val="00C20C95"/>
    <w:rsid w:val="00C20D59"/>
    <w:rsid w:val="00C20DD6"/>
    <w:rsid w:val="00C20DE2"/>
    <w:rsid w:val="00C20E17"/>
    <w:rsid w:val="00C20E24"/>
    <w:rsid w:val="00C20E28"/>
    <w:rsid w:val="00C20E33"/>
    <w:rsid w:val="00C20EAC"/>
    <w:rsid w:val="00C20EB7"/>
    <w:rsid w:val="00C20ED3"/>
    <w:rsid w:val="00C20F4B"/>
    <w:rsid w:val="00C20FB7"/>
    <w:rsid w:val="00C20FFA"/>
    <w:rsid w:val="00C20FFE"/>
    <w:rsid w:val="00C2101B"/>
    <w:rsid w:val="00C21067"/>
    <w:rsid w:val="00C210E1"/>
    <w:rsid w:val="00C210E6"/>
    <w:rsid w:val="00C21160"/>
    <w:rsid w:val="00C21184"/>
    <w:rsid w:val="00C21189"/>
    <w:rsid w:val="00C2118E"/>
    <w:rsid w:val="00C211C4"/>
    <w:rsid w:val="00C211CE"/>
    <w:rsid w:val="00C211E8"/>
    <w:rsid w:val="00C21200"/>
    <w:rsid w:val="00C21243"/>
    <w:rsid w:val="00C21254"/>
    <w:rsid w:val="00C2127A"/>
    <w:rsid w:val="00C2131E"/>
    <w:rsid w:val="00C21350"/>
    <w:rsid w:val="00C213BB"/>
    <w:rsid w:val="00C213DC"/>
    <w:rsid w:val="00C213E7"/>
    <w:rsid w:val="00C21451"/>
    <w:rsid w:val="00C21455"/>
    <w:rsid w:val="00C2146B"/>
    <w:rsid w:val="00C21477"/>
    <w:rsid w:val="00C214BA"/>
    <w:rsid w:val="00C21538"/>
    <w:rsid w:val="00C21545"/>
    <w:rsid w:val="00C215D2"/>
    <w:rsid w:val="00C21644"/>
    <w:rsid w:val="00C21687"/>
    <w:rsid w:val="00C21688"/>
    <w:rsid w:val="00C2169B"/>
    <w:rsid w:val="00C216B1"/>
    <w:rsid w:val="00C2178C"/>
    <w:rsid w:val="00C2183B"/>
    <w:rsid w:val="00C2184A"/>
    <w:rsid w:val="00C21918"/>
    <w:rsid w:val="00C21A1F"/>
    <w:rsid w:val="00C21A21"/>
    <w:rsid w:val="00C21A32"/>
    <w:rsid w:val="00C21ACF"/>
    <w:rsid w:val="00C21AE8"/>
    <w:rsid w:val="00C21AF4"/>
    <w:rsid w:val="00C21B0B"/>
    <w:rsid w:val="00C21B69"/>
    <w:rsid w:val="00C21B6F"/>
    <w:rsid w:val="00C21BCC"/>
    <w:rsid w:val="00C21BD5"/>
    <w:rsid w:val="00C21CD5"/>
    <w:rsid w:val="00C21CF2"/>
    <w:rsid w:val="00C21D70"/>
    <w:rsid w:val="00C21DB3"/>
    <w:rsid w:val="00C21E46"/>
    <w:rsid w:val="00C21E82"/>
    <w:rsid w:val="00C21EC2"/>
    <w:rsid w:val="00C21EE0"/>
    <w:rsid w:val="00C21FB7"/>
    <w:rsid w:val="00C21FED"/>
    <w:rsid w:val="00C22039"/>
    <w:rsid w:val="00C220EB"/>
    <w:rsid w:val="00C2211A"/>
    <w:rsid w:val="00C22193"/>
    <w:rsid w:val="00C22199"/>
    <w:rsid w:val="00C221E0"/>
    <w:rsid w:val="00C2225B"/>
    <w:rsid w:val="00C22290"/>
    <w:rsid w:val="00C222D0"/>
    <w:rsid w:val="00C2231F"/>
    <w:rsid w:val="00C2232C"/>
    <w:rsid w:val="00C22441"/>
    <w:rsid w:val="00C22453"/>
    <w:rsid w:val="00C22464"/>
    <w:rsid w:val="00C22483"/>
    <w:rsid w:val="00C2254E"/>
    <w:rsid w:val="00C2254F"/>
    <w:rsid w:val="00C225D0"/>
    <w:rsid w:val="00C225EB"/>
    <w:rsid w:val="00C22626"/>
    <w:rsid w:val="00C226A2"/>
    <w:rsid w:val="00C2272C"/>
    <w:rsid w:val="00C22769"/>
    <w:rsid w:val="00C227FB"/>
    <w:rsid w:val="00C22806"/>
    <w:rsid w:val="00C22878"/>
    <w:rsid w:val="00C228D1"/>
    <w:rsid w:val="00C22911"/>
    <w:rsid w:val="00C22916"/>
    <w:rsid w:val="00C22930"/>
    <w:rsid w:val="00C229AB"/>
    <w:rsid w:val="00C22A1F"/>
    <w:rsid w:val="00C22A31"/>
    <w:rsid w:val="00C22A67"/>
    <w:rsid w:val="00C22AFE"/>
    <w:rsid w:val="00C22B1C"/>
    <w:rsid w:val="00C22BDA"/>
    <w:rsid w:val="00C22BEE"/>
    <w:rsid w:val="00C22BEF"/>
    <w:rsid w:val="00C22BF6"/>
    <w:rsid w:val="00C22C5A"/>
    <w:rsid w:val="00C22D21"/>
    <w:rsid w:val="00C22DD5"/>
    <w:rsid w:val="00C22DDE"/>
    <w:rsid w:val="00C22DFB"/>
    <w:rsid w:val="00C22DFC"/>
    <w:rsid w:val="00C22E19"/>
    <w:rsid w:val="00C22E2D"/>
    <w:rsid w:val="00C22E8F"/>
    <w:rsid w:val="00C22EB9"/>
    <w:rsid w:val="00C22EBF"/>
    <w:rsid w:val="00C22F27"/>
    <w:rsid w:val="00C22F6B"/>
    <w:rsid w:val="00C22F75"/>
    <w:rsid w:val="00C2300D"/>
    <w:rsid w:val="00C23012"/>
    <w:rsid w:val="00C23017"/>
    <w:rsid w:val="00C2309B"/>
    <w:rsid w:val="00C23105"/>
    <w:rsid w:val="00C23155"/>
    <w:rsid w:val="00C23178"/>
    <w:rsid w:val="00C23183"/>
    <w:rsid w:val="00C23245"/>
    <w:rsid w:val="00C232F2"/>
    <w:rsid w:val="00C23312"/>
    <w:rsid w:val="00C23323"/>
    <w:rsid w:val="00C23334"/>
    <w:rsid w:val="00C23365"/>
    <w:rsid w:val="00C2338E"/>
    <w:rsid w:val="00C2340E"/>
    <w:rsid w:val="00C23411"/>
    <w:rsid w:val="00C23571"/>
    <w:rsid w:val="00C23587"/>
    <w:rsid w:val="00C235C2"/>
    <w:rsid w:val="00C23683"/>
    <w:rsid w:val="00C236BE"/>
    <w:rsid w:val="00C23731"/>
    <w:rsid w:val="00C23797"/>
    <w:rsid w:val="00C237F4"/>
    <w:rsid w:val="00C2384A"/>
    <w:rsid w:val="00C23870"/>
    <w:rsid w:val="00C23874"/>
    <w:rsid w:val="00C238FA"/>
    <w:rsid w:val="00C23971"/>
    <w:rsid w:val="00C2398E"/>
    <w:rsid w:val="00C23990"/>
    <w:rsid w:val="00C239B7"/>
    <w:rsid w:val="00C239BA"/>
    <w:rsid w:val="00C239D0"/>
    <w:rsid w:val="00C23A4E"/>
    <w:rsid w:val="00C23A51"/>
    <w:rsid w:val="00C23AA6"/>
    <w:rsid w:val="00C23ABE"/>
    <w:rsid w:val="00C23AC4"/>
    <w:rsid w:val="00C23B00"/>
    <w:rsid w:val="00C23B82"/>
    <w:rsid w:val="00C23BCD"/>
    <w:rsid w:val="00C23C07"/>
    <w:rsid w:val="00C23C18"/>
    <w:rsid w:val="00C23C33"/>
    <w:rsid w:val="00C23C78"/>
    <w:rsid w:val="00C23CBC"/>
    <w:rsid w:val="00C23CE9"/>
    <w:rsid w:val="00C23D30"/>
    <w:rsid w:val="00C23D45"/>
    <w:rsid w:val="00C23DAC"/>
    <w:rsid w:val="00C23DBB"/>
    <w:rsid w:val="00C23DD3"/>
    <w:rsid w:val="00C23DDE"/>
    <w:rsid w:val="00C23E1D"/>
    <w:rsid w:val="00C23E74"/>
    <w:rsid w:val="00C23EBF"/>
    <w:rsid w:val="00C23FFD"/>
    <w:rsid w:val="00C24085"/>
    <w:rsid w:val="00C241AE"/>
    <w:rsid w:val="00C241F1"/>
    <w:rsid w:val="00C24231"/>
    <w:rsid w:val="00C2425B"/>
    <w:rsid w:val="00C24261"/>
    <w:rsid w:val="00C24296"/>
    <w:rsid w:val="00C2430D"/>
    <w:rsid w:val="00C24368"/>
    <w:rsid w:val="00C2436E"/>
    <w:rsid w:val="00C243C5"/>
    <w:rsid w:val="00C243E4"/>
    <w:rsid w:val="00C24417"/>
    <w:rsid w:val="00C2441D"/>
    <w:rsid w:val="00C24510"/>
    <w:rsid w:val="00C245B0"/>
    <w:rsid w:val="00C245F0"/>
    <w:rsid w:val="00C24663"/>
    <w:rsid w:val="00C246ED"/>
    <w:rsid w:val="00C24724"/>
    <w:rsid w:val="00C24736"/>
    <w:rsid w:val="00C24803"/>
    <w:rsid w:val="00C2486B"/>
    <w:rsid w:val="00C24880"/>
    <w:rsid w:val="00C24897"/>
    <w:rsid w:val="00C248AF"/>
    <w:rsid w:val="00C248CF"/>
    <w:rsid w:val="00C248D6"/>
    <w:rsid w:val="00C248E9"/>
    <w:rsid w:val="00C24939"/>
    <w:rsid w:val="00C24974"/>
    <w:rsid w:val="00C24A3A"/>
    <w:rsid w:val="00C24AB5"/>
    <w:rsid w:val="00C24AFE"/>
    <w:rsid w:val="00C24BD4"/>
    <w:rsid w:val="00C24CB1"/>
    <w:rsid w:val="00C24CCD"/>
    <w:rsid w:val="00C24CD9"/>
    <w:rsid w:val="00C24D3A"/>
    <w:rsid w:val="00C24D6B"/>
    <w:rsid w:val="00C24DAA"/>
    <w:rsid w:val="00C24E47"/>
    <w:rsid w:val="00C24E5A"/>
    <w:rsid w:val="00C24F45"/>
    <w:rsid w:val="00C24F4C"/>
    <w:rsid w:val="00C24FBC"/>
    <w:rsid w:val="00C24FDB"/>
    <w:rsid w:val="00C24FEF"/>
    <w:rsid w:val="00C24FF0"/>
    <w:rsid w:val="00C2502A"/>
    <w:rsid w:val="00C25084"/>
    <w:rsid w:val="00C25096"/>
    <w:rsid w:val="00C250A0"/>
    <w:rsid w:val="00C2514D"/>
    <w:rsid w:val="00C25183"/>
    <w:rsid w:val="00C251AA"/>
    <w:rsid w:val="00C251AD"/>
    <w:rsid w:val="00C25283"/>
    <w:rsid w:val="00C2528C"/>
    <w:rsid w:val="00C252C9"/>
    <w:rsid w:val="00C2537D"/>
    <w:rsid w:val="00C253FD"/>
    <w:rsid w:val="00C25411"/>
    <w:rsid w:val="00C2541C"/>
    <w:rsid w:val="00C2543A"/>
    <w:rsid w:val="00C2544B"/>
    <w:rsid w:val="00C2545B"/>
    <w:rsid w:val="00C25489"/>
    <w:rsid w:val="00C254CD"/>
    <w:rsid w:val="00C2552B"/>
    <w:rsid w:val="00C25605"/>
    <w:rsid w:val="00C2560A"/>
    <w:rsid w:val="00C2560B"/>
    <w:rsid w:val="00C25645"/>
    <w:rsid w:val="00C2565A"/>
    <w:rsid w:val="00C25662"/>
    <w:rsid w:val="00C2567C"/>
    <w:rsid w:val="00C256FC"/>
    <w:rsid w:val="00C257C6"/>
    <w:rsid w:val="00C25888"/>
    <w:rsid w:val="00C2592E"/>
    <w:rsid w:val="00C25952"/>
    <w:rsid w:val="00C25956"/>
    <w:rsid w:val="00C25959"/>
    <w:rsid w:val="00C25A2C"/>
    <w:rsid w:val="00C25B84"/>
    <w:rsid w:val="00C25BCF"/>
    <w:rsid w:val="00C25CF8"/>
    <w:rsid w:val="00C25D31"/>
    <w:rsid w:val="00C25D3C"/>
    <w:rsid w:val="00C25D63"/>
    <w:rsid w:val="00C25D85"/>
    <w:rsid w:val="00C25DB1"/>
    <w:rsid w:val="00C25DEC"/>
    <w:rsid w:val="00C25EB3"/>
    <w:rsid w:val="00C25EFF"/>
    <w:rsid w:val="00C25FA0"/>
    <w:rsid w:val="00C26005"/>
    <w:rsid w:val="00C26010"/>
    <w:rsid w:val="00C2604A"/>
    <w:rsid w:val="00C2611B"/>
    <w:rsid w:val="00C26120"/>
    <w:rsid w:val="00C26142"/>
    <w:rsid w:val="00C2622C"/>
    <w:rsid w:val="00C262A5"/>
    <w:rsid w:val="00C262FF"/>
    <w:rsid w:val="00C26309"/>
    <w:rsid w:val="00C2630B"/>
    <w:rsid w:val="00C26337"/>
    <w:rsid w:val="00C26352"/>
    <w:rsid w:val="00C26357"/>
    <w:rsid w:val="00C2635F"/>
    <w:rsid w:val="00C26367"/>
    <w:rsid w:val="00C2637D"/>
    <w:rsid w:val="00C263AB"/>
    <w:rsid w:val="00C2648D"/>
    <w:rsid w:val="00C26494"/>
    <w:rsid w:val="00C264A1"/>
    <w:rsid w:val="00C2652F"/>
    <w:rsid w:val="00C265D4"/>
    <w:rsid w:val="00C265F8"/>
    <w:rsid w:val="00C26607"/>
    <w:rsid w:val="00C2660C"/>
    <w:rsid w:val="00C26649"/>
    <w:rsid w:val="00C266CB"/>
    <w:rsid w:val="00C2672A"/>
    <w:rsid w:val="00C267E9"/>
    <w:rsid w:val="00C26805"/>
    <w:rsid w:val="00C26850"/>
    <w:rsid w:val="00C26891"/>
    <w:rsid w:val="00C26892"/>
    <w:rsid w:val="00C268B9"/>
    <w:rsid w:val="00C268C2"/>
    <w:rsid w:val="00C26980"/>
    <w:rsid w:val="00C26986"/>
    <w:rsid w:val="00C269E3"/>
    <w:rsid w:val="00C26A72"/>
    <w:rsid w:val="00C26A82"/>
    <w:rsid w:val="00C26AF6"/>
    <w:rsid w:val="00C26AFE"/>
    <w:rsid w:val="00C26B59"/>
    <w:rsid w:val="00C26BA5"/>
    <w:rsid w:val="00C26C16"/>
    <w:rsid w:val="00C26C37"/>
    <w:rsid w:val="00C26C4E"/>
    <w:rsid w:val="00C26CAA"/>
    <w:rsid w:val="00C26CB8"/>
    <w:rsid w:val="00C26CE8"/>
    <w:rsid w:val="00C26D0C"/>
    <w:rsid w:val="00C26D76"/>
    <w:rsid w:val="00C26DE7"/>
    <w:rsid w:val="00C26E57"/>
    <w:rsid w:val="00C26F1F"/>
    <w:rsid w:val="00C26FB5"/>
    <w:rsid w:val="00C26FDC"/>
    <w:rsid w:val="00C2700D"/>
    <w:rsid w:val="00C27054"/>
    <w:rsid w:val="00C270C9"/>
    <w:rsid w:val="00C271BE"/>
    <w:rsid w:val="00C271F7"/>
    <w:rsid w:val="00C27237"/>
    <w:rsid w:val="00C2725F"/>
    <w:rsid w:val="00C27276"/>
    <w:rsid w:val="00C272E2"/>
    <w:rsid w:val="00C27331"/>
    <w:rsid w:val="00C2736E"/>
    <w:rsid w:val="00C27383"/>
    <w:rsid w:val="00C27395"/>
    <w:rsid w:val="00C273E3"/>
    <w:rsid w:val="00C273F0"/>
    <w:rsid w:val="00C2740E"/>
    <w:rsid w:val="00C2747E"/>
    <w:rsid w:val="00C2748F"/>
    <w:rsid w:val="00C274AC"/>
    <w:rsid w:val="00C274CE"/>
    <w:rsid w:val="00C274E9"/>
    <w:rsid w:val="00C2754C"/>
    <w:rsid w:val="00C27558"/>
    <w:rsid w:val="00C27571"/>
    <w:rsid w:val="00C2759C"/>
    <w:rsid w:val="00C2759E"/>
    <w:rsid w:val="00C275D8"/>
    <w:rsid w:val="00C27638"/>
    <w:rsid w:val="00C27677"/>
    <w:rsid w:val="00C2768A"/>
    <w:rsid w:val="00C27696"/>
    <w:rsid w:val="00C276B5"/>
    <w:rsid w:val="00C276F9"/>
    <w:rsid w:val="00C27711"/>
    <w:rsid w:val="00C2774B"/>
    <w:rsid w:val="00C27795"/>
    <w:rsid w:val="00C2779A"/>
    <w:rsid w:val="00C2783B"/>
    <w:rsid w:val="00C27842"/>
    <w:rsid w:val="00C27848"/>
    <w:rsid w:val="00C27866"/>
    <w:rsid w:val="00C27903"/>
    <w:rsid w:val="00C27964"/>
    <w:rsid w:val="00C27A06"/>
    <w:rsid w:val="00C27ABB"/>
    <w:rsid w:val="00C27ADD"/>
    <w:rsid w:val="00C27B64"/>
    <w:rsid w:val="00C27B9E"/>
    <w:rsid w:val="00C27C5E"/>
    <w:rsid w:val="00C27D0F"/>
    <w:rsid w:val="00C27D49"/>
    <w:rsid w:val="00C27D57"/>
    <w:rsid w:val="00C27D6C"/>
    <w:rsid w:val="00C27E81"/>
    <w:rsid w:val="00C27EFA"/>
    <w:rsid w:val="00C27F2D"/>
    <w:rsid w:val="00C27F2F"/>
    <w:rsid w:val="00C27F40"/>
    <w:rsid w:val="00C27F7E"/>
    <w:rsid w:val="00C27F89"/>
    <w:rsid w:val="00C27F9B"/>
    <w:rsid w:val="00C27FA6"/>
    <w:rsid w:val="00C27FFE"/>
    <w:rsid w:val="00C3009E"/>
    <w:rsid w:val="00C300A3"/>
    <w:rsid w:val="00C300FA"/>
    <w:rsid w:val="00C30100"/>
    <w:rsid w:val="00C30105"/>
    <w:rsid w:val="00C3012B"/>
    <w:rsid w:val="00C30167"/>
    <w:rsid w:val="00C3018E"/>
    <w:rsid w:val="00C301C9"/>
    <w:rsid w:val="00C30297"/>
    <w:rsid w:val="00C302B4"/>
    <w:rsid w:val="00C302E1"/>
    <w:rsid w:val="00C302E8"/>
    <w:rsid w:val="00C30300"/>
    <w:rsid w:val="00C30321"/>
    <w:rsid w:val="00C3039A"/>
    <w:rsid w:val="00C3040D"/>
    <w:rsid w:val="00C3041C"/>
    <w:rsid w:val="00C3045A"/>
    <w:rsid w:val="00C3049E"/>
    <w:rsid w:val="00C30519"/>
    <w:rsid w:val="00C3053D"/>
    <w:rsid w:val="00C30589"/>
    <w:rsid w:val="00C305A8"/>
    <w:rsid w:val="00C305D0"/>
    <w:rsid w:val="00C305DB"/>
    <w:rsid w:val="00C3060A"/>
    <w:rsid w:val="00C306A9"/>
    <w:rsid w:val="00C306AC"/>
    <w:rsid w:val="00C306BF"/>
    <w:rsid w:val="00C30701"/>
    <w:rsid w:val="00C30723"/>
    <w:rsid w:val="00C30769"/>
    <w:rsid w:val="00C30779"/>
    <w:rsid w:val="00C307F2"/>
    <w:rsid w:val="00C30809"/>
    <w:rsid w:val="00C3081B"/>
    <w:rsid w:val="00C3087B"/>
    <w:rsid w:val="00C308B0"/>
    <w:rsid w:val="00C308B9"/>
    <w:rsid w:val="00C309A9"/>
    <w:rsid w:val="00C309F3"/>
    <w:rsid w:val="00C30A3B"/>
    <w:rsid w:val="00C30A7D"/>
    <w:rsid w:val="00C30A90"/>
    <w:rsid w:val="00C30AD3"/>
    <w:rsid w:val="00C30AE1"/>
    <w:rsid w:val="00C30AFA"/>
    <w:rsid w:val="00C30B28"/>
    <w:rsid w:val="00C30BDE"/>
    <w:rsid w:val="00C30BE3"/>
    <w:rsid w:val="00C30BFA"/>
    <w:rsid w:val="00C30C08"/>
    <w:rsid w:val="00C30C16"/>
    <w:rsid w:val="00C30C29"/>
    <w:rsid w:val="00C30C83"/>
    <w:rsid w:val="00C30CB8"/>
    <w:rsid w:val="00C30CE6"/>
    <w:rsid w:val="00C30D36"/>
    <w:rsid w:val="00C30D3C"/>
    <w:rsid w:val="00C30D4D"/>
    <w:rsid w:val="00C30D9E"/>
    <w:rsid w:val="00C30DB8"/>
    <w:rsid w:val="00C30DF7"/>
    <w:rsid w:val="00C30E1A"/>
    <w:rsid w:val="00C30E26"/>
    <w:rsid w:val="00C30E39"/>
    <w:rsid w:val="00C30E79"/>
    <w:rsid w:val="00C30EBD"/>
    <w:rsid w:val="00C30F76"/>
    <w:rsid w:val="00C30F9D"/>
    <w:rsid w:val="00C30FD5"/>
    <w:rsid w:val="00C3105E"/>
    <w:rsid w:val="00C3106D"/>
    <w:rsid w:val="00C31086"/>
    <w:rsid w:val="00C31095"/>
    <w:rsid w:val="00C31097"/>
    <w:rsid w:val="00C310E6"/>
    <w:rsid w:val="00C3111D"/>
    <w:rsid w:val="00C31183"/>
    <w:rsid w:val="00C31193"/>
    <w:rsid w:val="00C3120F"/>
    <w:rsid w:val="00C31232"/>
    <w:rsid w:val="00C3129F"/>
    <w:rsid w:val="00C3130A"/>
    <w:rsid w:val="00C31313"/>
    <w:rsid w:val="00C3134D"/>
    <w:rsid w:val="00C31356"/>
    <w:rsid w:val="00C31445"/>
    <w:rsid w:val="00C314F5"/>
    <w:rsid w:val="00C3155B"/>
    <w:rsid w:val="00C315A6"/>
    <w:rsid w:val="00C315C9"/>
    <w:rsid w:val="00C31608"/>
    <w:rsid w:val="00C3161D"/>
    <w:rsid w:val="00C31671"/>
    <w:rsid w:val="00C316E7"/>
    <w:rsid w:val="00C316F3"/>
    <w:rsid w:val="00C3172A"/>
    <w:rsid w:val="00C317A1"/>
    <w:rsid w:val="00C317DB"/>
    <w:rsid w:val="00C317E6"/>
    <w:rsid w:val="00C317EE"/>
    <w:rsid w:val="00C31828"/>
    <w:rsid w:val="00C3182F"/>
    <w:rsid w:val="00C31853"/>
    <w:rsid w:val="00C3188D"/>
    <w:rsid w:val="00C318A0"/>
    <w:rsid w:val="00C318D8"/>
    <w:rsid w:val="00C31972"/>
    <w:rsid w:val="00C31974"/>
    <w:rsid w:val="00C3197D"/>
    <w:rsid w:val="00C319A2"/>
    <w:rsid w:val="00C319A8"/>
    <w:rsid w:val="00C31A42"/>
    <w:rsid w:val="00C31A57"/>
    <w:rsid w:val="00C31A71"/>
    <w:rsid w:val="00C31A79"/>
    <w:rsid w:val="00C31A8B"/>
    <w:rsid w:val="00C31A8F"/>
    <w:rsid w:val="00C31A90"/>
    <w:rsid w:val="00C31B2C"/>
    <w:rsid w:val="00C31BA0"/>
    <w:rsid w:val="00C31BB0"/>
    <w:rsid w:val="00C31C4F"/>
    <w:rsid w:val="00C31CC1"/>
    <w:rsid w:val="00C31D23"/>
    <w:rsid w:val="00C31DBA"/>
    <w:rsid w:val="00C32041"/>
    <w:rsid w:val="00C32050"/>
    <w:rsid w:val="00C32075"/>
    <w:rsid w:val="00C32085"/>
    <w:rsid w:val="00C3208D"/>
    <w:rsid w:val="00C3208E"/>
    <w:rsid w:val="00C32121"/>
    <w:rsid w:val="00C3213D"/>
    <w:rsid w:val="00C32241"/>
    <w:rsid w:val="00C322C0"/>
    <w:rsid w:val="00C32306"/>
    <w:rsid w:val="00C323CE"/>
    <w:rsid w:val="00C323F0"/>
    <w:rsid w:val="00C32426"/>
    <w:rsid w:val="00C32442"/>
    <w:rsid w:val="00C32511"/>
    <w:rsid w:val="00C3263F"/>
    <w:rsid w:val="00C3267B"/>
    <w:rsid w:val="00C326E6"/>
    <w:rsid w:val="00C32703"/>
    <w:rsid w:val="00C327B0"/>
    <w:rsid w:val="00C327C6"/>
    <w:rsid w:val="00C327F7"/>
    <w:rsid w:val="00C3280D"/>
    <w:rsid w:val="00C3282A"/>
    <w:rsid w:val="00C3282D"/>
    <w:rsid w:val="00C3284A"/>
    <w:rsid w:val="00C328A9"/>
    <w:rsid w:val="00C32984"/>
    <w:rsid w:val="00C32987"/>
    <w:rsid w:val="00C32A31"/>
    <w:rsid w:val="00C32A4A"/>
    <w:rsid w:val="00C32AC2"/>
    <w:rsid w:val="00C32AE7"/>
    <w:rsid w:val="00C32B59"/>
    <w:rsid w:val="00C32C16"/>
    <w:rsid w:val="00C32C41"/>
    <w:rsid w:val="00C32C42"/>
    <w:rsid w:val="00C32C45"/>
    <w:rsid w:val="00C32CDE"/>
    <w:rsid w:val="00C32D48"/>
    <w:rsid w:val="00C32DAA"/>
    <w:rsid w:val="00C32DAF"/>
    <w:rsid w:val="00C32DD5"/>
    <w:rsid w:val="00C32DEF"/>
    <w:rsid w:val="00C32E19"/>
    <w:rsid w:val="00C32EB7"/>
    <w:rsid w:val="00C32EDB"/>
    <w:rsid w:val="00C32EF4"/>
    <w:rsid w:val="00C32F39"/>
    <w:rsid w:val="00C32F77"/>
    <w:rsid w:val="00C32FA6"/>
    <w:rsid w:val="00C32FD2"/>
    <w:rsid w:val="00C3301C"/>
    <w:rsid w:val="00C33070"/>
    <w:rsid w:val="00C3307B"/>
    <w:rsid w:val="00C330AA"/>
    <w:rsid w:val="00C330B7"/>
    <w:rsid w:val="00C33105"/>
    <w:rsid w:val="00C33188"/>
    <w:rsid w:val="00C33194"/>
    <w:rsid w:val="00C331C7"/>
    <w:rsid w:val="00C33222"/>
    <w:rsid w:val="00C33245"/>
    <w:rsid w:val="00C33268"/>
    <w:rsid w:val="00C3327E"/>
    <w:rsid w:val="00C332AB"/>
    <w:rsid w:val="00C333A0"/>
    <w:rsid w:val="00C333D7"/>
    <w:rsid w:val="00C33432"/>
    <w:rsid w:val="00C33498"/>
    <w:rsid w:val="00C334CA"/>
    <w:rsid w:val="00C334D4"/>
    <w:rsid w:val="00C334E0"/>
    <w:rsid w:val="00C334F4"/>
    <w:rsid w:val="00C33543"/>
    <w:rsid w:val="00C33579"/>
    <w:rsid w:val="00C335E2"/>
    <w:rsid w:val="00C335FF"/>
    <w:rsid w:val="00C33654"/>
    <w:rsid w:val="00C3365E"/>
    <w:rsid w:val="00C33662"/>
    <w:rsid w:val="00C33664"/>
    <w:rsid w:val="00C336A7"/>
    <w:rsid w:val="00C336C5"/>
    <w:rsid w:val="00C3373F"/>
    <w:rsid w:val="00C33787"/>
    <w:rsid w:val="00C33789"/>
    <w:rsid w:val="00C337BA"/>
    <w:rsid w:val="00C337E6"/>
    <w:rsid w:val="00C33823"/>
    <w:rsid w:val="00C338F0"/>
    <w:rsid w:val="00C339D4"/>
    <w:rsid w:val="00C33A05"/>
    <w:rsid w:val="00C33A18"/>
    <w:rsid w:val="00C33A44"/>
    <w:rsid w:val="00C33AFE"/>
    <w:rsid w:val="00C33B24"/>
    <w:rsid w:val="00C33B7A"/>
    <w:rsid w:val="00C33BA4"/>
    <w:rsid w:val="00C33BAA"/>
    <w:rsid w:val="00C33C79"/>
    <w:rsid w:val="00C33D14"/>
    <w:rsid w:val="00C33D4D"/>
    <w:rsid w:val="00C33DEB"/>
    <w:rsid w:val="00C33E95"/>
    <w:rsid w:val="00C33EA7"/>
    <w:rsid w:val="00C33F0D"/>
    <w:rsid w:val="00C33F1F"/>
    <w:rsid w:val="00C33F34"/>
    <w:rsid w:val="00C33F4C"/>
    <w:rsid w:val="00C33F5E"/>
    <w:rsid w:val="00C33F6A"/>
    <w:rsid w:val="00C33FCF"/>
    <w:rsid w:val="00C3402D"/>
    <w:rsid w:val="00C3407C"/>
    <w:rsid w:val="00C340DB"/>
    <w:rsid w:val="00C3411F"/>
    <w:rsid w:val="00C34198"/>
    <w:rsid w:val="00C342B4"/>
    <w:rsid w:val="00C3431D"/>
    <w:rsid w:val="00C3434F"/>
    <w:rsid w:val="00C3438D"/>
    <w:rsid w:val="00C343BC"/>
    <w:rsid w:val="00C34498"/>
    <w:rsid w:val="00C344D2"/>
    <w:rsid w:val="00C344DA"/>
    <w:rsid w:val="00C34510"/>
    <w:rsid w:val="00C3452C"/>
    <w:rsid w:val="00C34547"/>
    <w:rsid w:val="00C34575"/>
    <w:rsid w:val="00C34586"/>
    <w:rsid w:val="00C345BE"/>
    <w:rsid w:val="00C345FE"/>
    <w:rsid w:val="00C3463A"/>
    <w:rsid w:val="00C34640"/>
    <w:rsid w:val="00C34661"/>
    <w:rsid w:val="00C346D8"/>
    <w:rsid w:val="00C3470C"/>
    <w:rsid w:val="00C34714"/>
    <w:rsid w:val="00C34734"/>
    <w:rsid w:val="00C34749"/>
    <w:rsid w:val="00C347BD"/>
    <w:rsid w:val="00C347C6"/>
    <w:rsid w:val="00C347D5"/>
    <w:rsid w:val="00C34801"/>
    <w:rsid w:val="00C348BD"/>
    <w:rsid w:val="00C348DC"/>
    <w:rsid w:val="00C348FE"/>
    <w:rsid w:val="00C349C9"/>
    <w:rsid w:val="00C34A15"/>
    <w:rsid w:val="00C34A5E"/>
    <w:rsid w:val="00C34B60"/>
    <w:rsid w:val="00C34B61"/>
    <w:rsid w:val="00C34B7D"/>
    <w:rsid w:val="00C34BB7"/>
    <w:rsid w:val="00C34BF5"/>
    <w:rsid w:val="00C34BF8"/>
    <w:rsid w:val="00C34C00"/>
    <w:rsid w:val="00C34C26"/>
    <w:rsid w:val="00C34C64"/>
    <w:rsid w:val="00C34C69"/>
    <w:rsid w:val="00C34C79"/>
    <w:rsid w:val="00C34CD4"/>
    <w:rsid w:val="00C34D0E"/>
    <w:rsid w:val="00C34E8A"/>
    <w:rsid w:val="00C34EE6"/>
    <w:rsid w:val="00C34F3B"/>
    <w:rsid w:val="00C34F66"/>
    <w:rsid w:val="00C34FDF"/>
    <w:rsid w:val="00C35083"/>
    <w:rsid w:val="00C35186"/>
    <w:rsid w:val="00C35188"/>
    <w:rsid w:val="00C351FD"/>
    <w:rsid w:val="00C3521C"/>
    <w:rsid w:val="00C3523F"/>
    <w:rsid w:val="00C35253"/>
    <w:rsid w:val="00C35295"/>
    <w:rsid w:val="00C352A2"/>
    <w:rsid w:val="00C35356"/>
    <w:rsid w:val="00C35362"/>
    <w:rsid w:val="00C3539D"/>
    <w:rsid w:val="00C353CD"/>
    <w:rsid w:val="00C353D9"/>
    <w:rsid w:val="00C35433"/>
    <w:rsid w:val="00C35490"/>
    <w:rsid w:val="00C354C7"/>
    <w:rsid w:val="00C354CE"/>
    <w:rsid w:val="00C354EC"/>
    <w:rsid w:val="00C355BC"/>
    <w:rsid w:val="00C35668"/>
    <w:rsid w:val="00C3568D"/>
    <w:rsid w:val="00C356FF"/>
    <w:rsid w:val="00C3572F"/>
    <w:rsid w:val="00C35731"/>
    <w:rsid w:val="00C3575B"/>
    <w:rsid w:val="00C357D6"/>
    <w:rsid w:val="00C35887"/>
    <w:rsid w:val="00C35896"/>
    <w:rsid w:val="00C358F3"/>
    <w:rsid w:val="00C3593D"/>
    <w:rsid w:val="00C3595D"/>
    <w:rsid w:val="00C3597A"/>
    <w:rsid w:val="00C3598F"/>
    <w:rsid w:val="00C359F7"/>
    <w:rsid w:val="00C35A32"/>
    <w:rsid w:val="00C35A9C"/>
    <w:rsid w:val="00C35AA8"/>
    <w:rsid w:val="00C35AAF"/>
    <w:rsid w:val="00C35AEF"/>
    <w:rsid w:val="00C35B55"/>
    <w:rsid w:val="00C35C99"/>
    <w:rsid w:val="00C35CAB"/>
    <w:rsid w:val="00C35CCC"/>
    <w:rsid w:val="00C35CDF"/>
    <w:rsid w:val="00C35CEB"/>
    <w:rsid w:val="00C35CEF"/>
    <w:rsid w:val="00C35CF1"/>
    <w:rsid w:val="00C35D40"/>
    <w:rsid w:val="00C35D4B"/>
    <w:rsid w:val="00C35D66"/>
    <w:rsid w:val="00C35DAC"/>
    <w:rsid w:val="00C35DB2"/>
    <w:rsid w:val="00C35E7E"/>
    <w:rsid w:val="00C35F57"/>
    <w:rsid w:val="00C36002"/>
    <w:rsid w:val="00C36013"/>
    <w:rsid w:val="00C360E1"/>
    <w:rsid w:val="00C360E6"/>
    <w:rsid w:val="00C3612C"/>
    <w:rsid w:val="00C361C6"/>
    <w:rsid w:val="00C361CA"/>
    <w:rsid w:val="00C36209"/>
    <w:rsid w:val="00C36223"/>
    <w:rsid w:val="00C36259"/>
    <w:rsid w:val="00C362CC"/>
    <w:rsid w:val="00C36315"/>
    <w:rsid w:val="00C36320"/>
    <w:rsid w:val="00C36356"/>
    <w:rsid w:val="00C3638E"/>
    <w:rsid w:val="00C363EB"/>
    <w:rsid w:val="00C36444"/>
    <w:rsid w:val="00C3644C"/>
    <w:rsid w:val="00C3644E"/>
    <w:rsid w:val="00C364CF"/>
    <w:rsid w:val="00C364E7"/>
    <w:rsid w:val="00C36541"/>
    <w:rsid w:val="00C3655A"/>
    <w:rsid w:val="00C365A6"/>
    <w:rsid w:val="00C365D0"/>
    <w:rsid w:val="00C36624"/>
    <w:rsid w:val="00C3664E"/>
    <w:rsid w:val="00C366E2"/>
    <w:rsid w:val="00C36794"/>
    <w:rsid w:val="00C36795"/>
    <w:rsid w:val="00C367B6"/>
    <w:rsid w:val="00C367CE"/>
    <w:rsid w:val="00C367F7"/>
    <w:rsid w:val="00C3696A"/>
    <w:rsid w:val="00C36990"/>
    <w:rsid w:val="00C369D7"/>
    <w:rsid w:val="00C369DD"/>
    <w:rsid w:val="00C369E1"/>
    <w:rsid w:val="00C36A2A"/>
    <w:rsid w:val="00C36A54"/>
    <w:rsid w:val="00C36A85"/>
    <w:rsid w:val="00C36AAE"/>
    <w:rsid w:val="00C36AF3"/>
    <w:rsid w:val="00C36AF4"/>
    <w:rsid w:val="00C36B67"/>
    <w:rsid w:val="00C36B69"/>
    <w:rsid w:val="00C36B94"/>
    <w:rsid w:val="00C36BF3"/>
    <w:rsid w:val="00C36C23"/>
    <w:rsid w:val="00C36C26"/>
    <w:rsid w:val="00C36C71"/>
    <w:rsid w:val="00C36C8F"/>
    <w:rsid w:val="00C36CCF"/>
    <w:rsid w:val="00C36D6F"/>
    <w:rsid w:val="00C36D88"/>
    <w:rsid w:val="00C36DA2"/>
    <w:rsid w:val="00C36DDD"/>
    <w:rsid w:val="00C36E52"/>
    <w:rsid w:val="00C36E63"/>
    <w:rsid w:val="00C36E74"/>
    <w:rsid w:val="00C36E86"/>
    <w:rsid w:val="00C36E9E"/>
    <w:rsid w:val="00C36EB2"/>
    <w:rsid w:val="00C36EEF"/>
    <w:rsid w:val="00C36F23"/>
    <w:rsid w:val="00C36F38"/>
    <w:rsid w:val="00C36F7B"/>
    <w:rsid w:val="00C36F7D"/>
    <w:rsid w:val="00C37035"/>
    <w:rsid w:val="00C37037"/>
    <w:rsid w:val="00C37050"/>
    <w:rsid w:val="00C37072"/>
    <w:rsid w:val="00C3712E"/>
    <w:rsid w:val="00C371BC"/>
    <w:rsid w:val="00C371D9"/>
    <w:rsid w:val="00C37263"/>
    <w:rsid w:val="00C3726A"/>
    <w:rsid w:val="00C3728C"/>
    <w:rsid w:val="00C3728E"/>
    <w:rsid w:val="00C372A6"/>
    <w:rsid w:val="00C372B8"/>
    <w:rsid w:val="00C3731E"/>
    <w:rsid w:val="00C37323"/>
    <w:rsid w:val="00C37344"/>
    <w:rsid w:val="00C37359"/>
    <w:rsid w:val="00C373D7"/>
    <w:rsid w:val="00C373EF"/>
    <w:rsid w:val="00C37419"/>
    <w:rsid w:val="00C3746B"/>
    <w:rsid w:val="00C37494"/>
    <w:rsid w:val="00C3749D"/>
    <w:rsid w:val="00C374AB"/>
    <w:rsid w:val="00C37625"/>
    <w:rsid w:val="00C37641"/>
    <w:rsid w:val="00C37697"/>
    <w:rsid w:val="00C376AF"/>
    <w:rsid w:val="00C376BF"/>
    <w:rsid w:val="00C3777B"/>
    <w:rsid w:val="00C377B3"/>
    <w:rsid w:val="00C377D8"/>
    <w:rsid w:val="00C37801"/>
    <w:rsid w:val="00C37813"/>
    <w:rsid w:val="00C37852"/>
    <w:rsid w:val="00C3785B"/>
    <w:rsid w:val="00C37913"/>
    <w:rsid w:val="00C37946"/>
    <w:rsid w:val="00C37950"/>
    <w:rsid w:val="00C3798A"/>
    <w:rsid w:val="00C379C1"/>
    <w:rsid w:val="00C379D1"/>
    <w:rsid w:val="00C37A17"/>
    <w:rsid w:val="00C37B1E"/>
    <w:rsid w:val="00C37B24"/>
    <w:rsid w:val="00C37B45"/>
    <w:rsid w:val="00C37B53"/>
    <w:rsid w:val="00C37B86"/>
    <w:rsid w:val="00C37B8E"/>
    <w:rsid w:val="00C37BD8"/>
    <w:rsid w:val="00C37C88"/>
    <w:rsid w:val="00C37D20"/>
    <w:rsid w:val="00C37DF9"/>
    <w:rsid w:val="00C37E11"/>
    <w:rsid w:val="00C37E29"/>
    <w:rsid w:val="00C37EE7"/>
    <w:rsid w:val="00C37EF9"/>
    <w:rsid w:val="00C37F48"/>
    <w:rsid w:val="00C37F72"/>
    <w:rsid w:val="00C37FD2"/>
    <w:rsid w:val="00C37FD8"/>
    <w:rsid w:val="00C40011"/>
    <w:rsid w:val="00C40037"/>
    <w:rsid w:val="00C40071"/>
    <w:rsid w:val="00C400BF"/>
    <w:rsid w:val="00C40142"/>
    <w:rsid w:val="00C4019F"/>
    <w:rsid w:val="00C40243"/>
    <w:rsid w:val="00C4026D"/>
    <w:rsid w:val="00C40290"/>
    <w:rsid w:val="00C402BA"/>
    <w:rsid w:val="00C4033E"/>
    <w:rsid w:val="00C4034E"/>
    <w:rsid w:val="00C4049E"/>
    <w:rsid w:val="00C404FB"/>
    <w:rsid w:val="00C40502"/>
    <w:rsid w:val="00C40585"/>
    <w:rsid w:val="00C40588"/>
    <w:rsid w:val="00C405AF"/>
    <w:rsid w:val="00C405C8"/>
    <w:rsid w:val="00C4062F"/>
    <w:rsid w:val="00C40644"/>
    <w:rsid w:val="00C40695"/>
    <w:rsid w:val="00C40720"/>
    <w:rsid w:val="00C40723"/>
    <w:rsid w:val="00C407AB"/>
    <w:rsid w:val="00C407CF"/>
    <w:rsid w:val="00C407EF"/>
    <w:rsid w:val="00C40849"/>
    <w:rsid w:val="00C4086F"/>
    <w:rsid w:val="00C40895"/>
    <w:rsid w:val="00C408A4"/>
    <w:rsid w:val="00C40906"/>
    <w:rsid w:val="00C40932"/>
    <w:rsid w:val="00C40986"/>
    <w:rsid w:val="00C409D4"/>
    <w:rsid w:val="00C40A36"/>
    <w:rsid w:val="00C40A97"/>
    <w:rsid w:val="00C40B6E"/>
    <w:rsid w:val="00C40B8F"/>
    <w:rsid w:val="00C40C04"/>
    <w:rsid w:val="00C40C59"/>
    <w:rsid w:val="00C40D31"/>
    <w:rsid w:val="00C40D59"/>
    <w:rsid w:val="00C40D6C"/>
    <w:rsid w:val="00C40D8A"/>
    <w:rsid w:val="00C40E36"/>
    <w:rsid w:val="00C40E52"/>
    <w:rsid w:val="00C40EAB"/>
    <w:rsid w:val="00C40F26"/>
    <w:rsid w:val="00C40F2F"/>
    <w:rsid w:val="00C40F62"/>
    <w:rsid w:val="00C40FF1"/>
    <w:rsid w:val="00C41010"/>
    <w:rsid w:val="00C41018"/>
    <w:rsid w:val="00C41022"/>
    <w:rsid w:val="00C4103B"/>
    <w:rsid w:val="00C4103E"/>
    <w:rsid w:val="00C410D6"/>
    <w:rsid w:val="00C410FE"/>
    <w:rsid w:val="00C41187"/>
    <w:rsid w:val="00C41198"/>
    <w:rsid w:val="00C4122F"/>
    <w:rsid w:val="00C41247"/>
    <w:rsid w:val="00C41322"/>
    <w:rsid w:val="00C41329"/>
    <w:rsid w:val="00C4135F"/>
    <w:rsid w:val="00C41360"/>
    <w:rsid w:val="00C41362"/>
    <w:rsid w:val="00C413FA"/>
    <w:rsid w:val="00C41500"/>
    <w:rsid w:val="00C4152C"/>
    <w:rsid w:val="00C41557"/>
    <w:rsid w:val="00C41560"/>
    <w:rsid w:val="00C4158A"/>
    <w:rsid w:val="00C415AB"/>
    <w:rsid w:val="00C415D7"/>
    <w:rsid w:val="00C415E5"/>
    <w:rsid w:val="00C415E7"/>
    <w:rsid w:val="00C415FC"/>
    <w:rsid w:val="00C415FF"/>
    <w:rsid w:val="00C41644"/>
    <w:rsid w:val="00C41649"/>
    <w:rsid w:val="00C41673"/>
    <w:rsid w:val="00C41690"/>
    <w:rsid w:val="00C416A2"/>
    <w:rsid w:val="00C416B7"/>
    <w:rsid w:val="00C416B9"/>
    <w:rsid w:val="00C416F0"/>
    <w:rsid w:val="00C41708"/>
    <w:rsid w:val="00C4173D"/>
    <w:rsid w:val="00C41781"/>
    <w:rsid w:val="00C417E2"/>
    <w:rsid w:val="00C41803"/>
    <w:rsid w:val="00C4187F"/>
    <w:rsid w:val="00C4188B"/>
    <w:rsid w:val="00C4189E"/>
    <w:rsid w:val="00C418B1"/>
    <w:rsid w:val="00C41959"/>
    <w:rsid w:val="00C419A1"/>
    <w:rsid w:val="00C419B5"/>
    <w:rsid w:val="00C41A40"/>
    <w:rsid w:val="00C41A43"/>
    <w:rsid w:val="00C41ABD"/>
    <w:rsid w:val="00C41ACE"/>
    <w:rsid w:val="00C41B0C"/>
    <w:rsid w:val="00C41B29"/>
    <w:rsid w:val="00C41B6C"/>
    <w:rsid w:val="00C41B8F"/>
    <w:rsid w:val="00C41B9D"/>
    <w:rsid w:val="00C41C0A"/>
    <w:rsid w:val="00C41C20"/>
    <w:rsid w:val="00C41D77"/>
    <w:rsid w:val="00C41D8D"/>
    <w:rsid w:val="00C41DA5"/>
    <w:rsid w:val="00C41DA6"/>
    <w:rsid w:val="00C41DBF"/>
    <w:rsid w:val="00C41DD3"/>
    <w:rsid w:val="00C41DD6"/>
    <w:rsid w:val="00C41E37"/>
    <w:rsid w:val="00C41E6D"/>
    <w:rsid w:val="00C41E81"/>
    <w:rsid w:val="00C41E93"/>
    <w:rsid w:val="00C41EC4"/>
    <w:rsid w:val="00C41EEA"/>
    <w:rsid w:val="00C41F58"/>
    <w:rsid w:val="00C41F7E"/>
    <w:rsid w:val="00C41FBE"/>
    <w:rsid w:val="00C41FE7"/>
    <w:rsid w:val="00C42002"/>
    <w:rsid w:val="00C42011"/>
    <w:rsid w:val="00C4206C"/>
    <w:rsid w:val="00C420C2"/>
    <w:rsid w:val="00C4213F"/>
    <w:rsid w:val="00C4214C"/>
    <w:rsid w:val="00C4216B"/>
    <w:rsid w:val="00C42177"/>
    <w:rsid w:val="00C4217D"/>
    <w:rsid w:val="00C421B6"/>
    <w:rsid w:val="00C4223D"/>
    <w:rsid w:val="00C42259"/>
    <w:rsid w:val="00C4225B"/>
    <w:rsid w:val="00C42267"/>
    <w:rsid w:val="00C42280"/>
    <w:rsid w:val="00C42318"/>
    <w:rsid w:val="00C4234D"/>
    <w:rsid w:val="00C42370"/>
    <w:rsid w:val="00C423A7"/>
    <w:rsid w:val="00C423BD"/>
    <w:rsid w:val="00C423D5"/>
    <w:rsid w:val="00C4247A"/>
    <w:rsid w:val="00C424BC"/>
    <w:rsid w:val="00C424C3"/>
    <w:rsid w:val="00C425CA"/>
    <w:rsid w:val="00C425D2"/>
    <w:rsid w:val="00C425E2"/>
    <w:rsid w:val="00C4261F"/>
    <w:rsid w:val="00C42629"/>
    <w:rsid w:val="00C426B6"/>
    <w:rsid w:val="00C42707"/>
    <w:rsid w:val="00C4270B"/>
    <w:rsid w:val="00C42766"/>
    <w:rsid w:val="00C427D5"/>
    <w:rsid w:val="00C42852"/>
    <w:rsid w:val="00C428C9"/>
    <w:rsid w:val="00C428D4"/>
    <w:rsid w:val="00C428EA"/>
    <w:rsid w:val="00C4292A"/>
    <w:rsid w:val="00C42944"/>
    <w:rsid w:val="00C42962"/>
    <w:rsid w:val="00C429A0"/>
    <w:rsid w:val="00C429D2"/>
    <w:rsid w:val="00C42A27"/>
    <w:rsid w:val="00C42A32"/>
    <w:rsid w:val="00C42AA9"/>
    <w:rsid w:val="00C42B0C"/>
    <w:rsid w:val="00C42B6A"/>
    <w:rsid w:val="00C42B6C"/>
    <w:rsid w:val="00C42BDB"/>
    <w:rsid w:val="00C42BED"/>
    <w:rsid w:val="00C42BF9"/>
    <w:rsid w:val="00C42C0E"/>
    <w:rsid w:val="00C42C11"/>
    <w:rsid w:val="00C42C31"/>
    <w:rsid w:val="00C42C8B"/>
    <w:rsid w:val="00C42C9D"/>
    <w:rsid w:val="00C42CA7"/>
    <w:rsid w:val="00C42CBF"/>
    <w:rsid w:val="00C42D05"/>
    <w:rsid w:val="00C42D54"/>
    <w:rsid w:val="00C42D79"/>
    <w:rsid w:val="00C42D7C"/>
    <w:rsid w:val="00C42DA8"/>
    <w:rsid w:val="00C42E01"/>
    <w:rsid w:val="00C42E10"/>
    <w:rsid w:val="00C42E37"/>
    <w:rsid w:val="00C42E5B"/>
    <w:rsid w:val="00C42EC5"/>
    <w:rsid w:val="00C42EE0"/>
    <w:rsid w:val="00C42F20"/>
    <w:rsid w:val="00C42F33"/>
    <w:rsid w:val="00C42F94"/>
    <w:rsid w:val="00C42F9F"/>
    <w:rsid w:val="00C42FCD"/>
    <w:rsid w:val="00C43015"/>
    <w:rsid w:val="00C43041"/>
    <w:rsid w:val="00C430A8"/>
    <w:rsid w:val="00C431D2"/>
    <w:rsid w:val="00C431D3"/>
    <w:rsid w:val="00C43313"/>
    <w:rsid w:val="00C4331B"/>
    <w:rsid w:val="00C43324"/>
    <w:rsid w:val="00C4336D"/>
    <w:rsid w:val="00C433AC"/>
    <w:rsid w:val="00C433D7"/>
    <w:rsid w:val="00C434A5"/>
    <w:rsid w:val="00C434AF"/>
    <w:rsid w:val="00C43528"/>
    <w:rsid w:val="00C43531"/>
    <w:rsid w:val="00C4355B"/>
    <w:rsid w:val="00C435E4"/>
    <w:rsid w:val="00C435F5"/>
    <w:rsid w:val="00C435F9"/>
    <w:rsid w:val="00C43612"/>
    <w:rsid w:val="00C43617"/>
    <w:rsid w:val="00C436D1"/>
    <w:rsid w:val="00C437A1"/>
    <w:rsid w:val="00C437A9"/>
    <w:rsid w:val="00C437DE"/>
    <w:rsid w:val="00C43852"/>
    <w:rsid w:val="00C438EA"/>
    <w:rsid w:val="00C4397F"/>
    <w:rsid w:val="00C439A4"/>
    <w:rsid w:val="00C439E3"/>
    <w:rsid w:val="00C43A01"/>
    <w:rsid w:val="00C43A39"/>
    <w:rsid w:val="00C43A70"/>
    <w:rsid w:val="00C43A8D"/>
    <w:rsid w:val="00C43A97"/>
    <w:rsid w:val="00C43ABC"/>
    <w:rsid w:val="00C43B03"/>
    <w:rsid w:val="00C43B1E"/>
    <w:rsid w:val="00C43B31"/>
    <w:rsid w:val="00C43B36"/>
    <w:rsid w:val="00C43BBE"/>
    <w:rsid w:val="00C43C7C"/>
    <w:rsid w:val="00C43D0B"/>
    <w:rsid w:val="00C43D93"/>
    <w:rsid w:val="00C43DC8"/>
    <w:rsid w:val="00C43E67"/>
    <w:rsid w:val="00C43E8C"/>
    <w:rsid w:val="00C43E92"/>
    <w:rsid w:val="00C43EEC"/>
    <w:rsid w:val="00C43F4D"/>
    <w:rsid w:val="00C43FF3"/>
    <w:rsid w:val="00C44080"/>
    <w:rsid w:val="00C440DC"/>
    <w:rsid w:val="00C44120"/>
    <w:rsid w:val="00C4414A"/>
    <w:rsid w:val="00C441B1"/>
    <w:rsid w:val="00C441B7"/>
    <w:rsid w:val="00C441F3"/>
    <w:rsid w:val="00C44228"/>
    <w:rsid w:val="00C44272"/>
    <w:rsid w:val="00C442BB"/>
    <w:rsid w:val="00C442F4"/>
    <w:rsid w:val="00C44302"/>
    <w:rsid w:val="00C44325"/>
    <w:rsid w:val="00C44336"/>
    <w:rsid w:val="00C44349"/>
    <w:rsid w:val="00C4438E"/>
    <w:rsid w:val="00C444BB"/>
    <w:rsid w:val="00C444DD"/>
    <w:rsid w:val="00C4453A"/>
    <w:rsid w:val="00C44564"/>
    <w:rsid w:val="00C44589"/>
    <w:rsid w:val="00C44590"/>
    <w:rsid w:val="00C445EB"/>
    <w:rsid w:val="00C445FE"/>
    <w:rsid w:val="00C44647"/>
    <w:rsid w:val="00C44668"/>
    <w:rsid w:val="00C446CE"/>
    <w:rsid w:val="00C446E0"/>
    <w:rsid w:val="00C446F6"/>
    <w:rsid w:val="00C4470D"/>
    <w:rsid w:val="00C44753"/>
    <w:rsid w:val="00C44795"/>
    <w:rsid w:val="00C44796"/>
    <w:rsid w:val="00C4480D"/>
    <w:rsid w:val="00C44833"/>
    <w:rsid w:val="00C44857"/>
    <w:rsid w:val="00C44888"/>
    <w:rsid w:val="00C4488A"/>
    <w:rsid w:val="00C448A2"/>
    <w:rsid w:val="00C4491A"/>
    <w:rsid w:val="00C4495D"/>
    <w:rsid w:val="00C44963"/>
    <w:rsid w:val="00C44978"/>
    <w:rsid w:val="00C4498A"/>
    <w:rsid w:val="00C44993"/>
    <w:rsid w:val="00C44998"/>
    <w:rsid w:val="00C449CE"/>
    <w:rsid w:val="00C449F2"/>
    <w:rsid w:val="00C44A37"/>
    <w:rsid w:val="00C44A5A"/>
    <w:rsid w:val="00C44A90"/>
    <w:rsid w:val="00C44B21"/>
    <w:rsid w:val="00C44BFE"/>
    <w:rsid w:val="00C44C0C"/>
    <w:rsid w:val="00C44CA6"/>
    <w:rsid w:val="00C44D31"/>
    <w:rsid w:val="00C44D8B"/>
    <w:rsid w:val="00C44DD9"/>
    <w:rsid w:val="00C44DEC"/>
    <w:rsid w:val="00C44E4B"/>
    <w:rsid w:val="00C44EA0"/>
    <w:rsid w:val="00C44EAF"/>
    <w:rsid w:val="00C44EEE"/>
    <w:rsid w:val="00C44EF0"/>
    <w:rsid w:val="00C44FC5"/>
    <w:rsid w:val="00C44FE1"/>
    <w:rsid w:val="00C450FD"/>
    <w:rsid w:val="00C4513E"/>
    <w:rsid w:val="00C45144"/>
    <w:rsid w:val="00C451A8"/>
    <w:rsid w:val="00C451B3"/>
    <w:rsid w:val="00C4521B"/>
    <w:rsid w:val="00C4529D"/>
    <w:rsid w:val="00C45323"/>
    <w:rsid w:val="00C45337"/>
    <w:rsid w:val="00C45338"/>
    <w:rsid w:val="00C453AF"/>
    <w:rsid w:val="00C453C2"/>
    <w:rsid w:val="00C45451"/>
    <w:rsid w:val="00C45473"/>
    <w:rsid w:val="00C454BF"/>
    <w:rsid w:val="00C45579"/>
    <w:rsid w:val="00C4561D"/>
    <w:rsid w:val="00C45654"/>
    <w:rsid w:val="00C45680"/>
    <w:rsid w:val="00C45692"/>
    <w:rsid w:val="00C456A2"/>
    <w:rsid w:val="00C45724"/>
    <w:rsid w:val="00C4572F"/>
    <w:rsid w:val="00C4575D"/>
    <w:rsid w:val="00C45780"/>
    <w:rsid w:val="00C4579D"/>
    <w:rsid w:val="00C457AE"/>
    <w:rsid w:val="00C45814"/>
    <w:rsid w:val="00C4582B"/>
    <w:rsid w:val="00C4582D"/>
    <w:rsid w:val="00C45845"/>
    <w:rsid w:val="00C4584F"/>
    <w:rsid w:val="00C458FD"/>
    <w:rsid w:val="00C4595A"/>
    <w:rsid w:val="00C4595C"/>
    <w:rsid w:val="00C459F1"/>
    <w:rsid w:val="00C45A19"/>
    <w:rsid w:val="00C45A4A"/>
    <w:rsid w:val="00C45A77"/>
    <w:rsid w:val="00C45A79"/>
    <w:rsid w:val="00C45A95"/>
    <w:rsid w:val="00C45AC5"/>
    <w:rsid w:val="00C45AED"/>
    <w:rsid w:val="00C45B31"/>
    <w:rsid w:val="00C45B49"/>
    <w:rsid w:val="00C45B5B"/>
    <w:rsid w:val="00C45B67"/>
    <w:rsid w:val="00C45B6F"/>
    <w:rsid w:val="00C45BAE"/>
    <w:rsid w:val="00C45C07"/>
    <w:rsid w:val="00C45C33"/>
    <w:rsid w:val="00C45C55"/>
    <w:rsid w:val="00C45CA7"/>
    <w:rsid w:val="00C45CB1"/>
    <w:rsid w:val="00C45CB7"/>
    <w:rsid w:val="00C45CBB"/>
    <w:rsid w:val="00C45CD6"/>
    <w:rsid w:val="00C45CFA"/>
    <w:rsid w:val="00C45D01"/>
    <w:rsid w:val="00C45D06"/>
    <w:rsid w:val="00C45D0F"/>
    <w:rsid w:val="00C45D21"/>
    <w:rsid w:val="00C45D2B"/>
    <w:rsid w:val="00C45D6B"/>
    <w:rsid w:val="00C45D6D"/>
    <w:rsid w:val="00C45D82"/>
    <w:rsid w:val="00C45DB8"/>
    <w:rsid w:val="00C45DD1"/>
    <w:rsid w:val="00C45DF1"/>
    <w:rsid w:val="00C45E03"/>
    <w:rsid w:val="00C45E44"/>
    <w:rsid w:val="00C45E57"/>
    <w:rsid w:val="00C45E65"/>
    <w:rsid w:val="00C45E8A"/>
    <w:rsid w:val="00C45E93"/>
    <w:rsid w:val="00C45EF8"/>
    <w:rsid w:val="00C45F3D"/>
    <w:rsid w:val="00C45F9A"/>
    <w:rsid w:val="00C45FAE"/>
    <w:rsid w:val="00C45FCE"/>
    <w:rsid w:val="00C45FE4"/>
    <w:rsid w:val="00C45FEF"/>
    <w:rsid w:val="00C4607A"/>
    <w:rsid w:val="00C460C3"/>
    <w:rsid w:val="00C46106"/>
    <w:rsid w:val="00C4611E"/>
    <w:rsid w:val="00C46127"/>
    <w:rsid w:val="00C461FA"/>
    <w:rsid w:val="00C46217"/>
    <w:rsid w:val="00C463C8"/>
    <w:rsid w:val="00C463CD"/>
    <w:rsid w:val="00C463E6"/>
    <w:rsid w:val="00C46403"/>
    <w:rsid w:val="00C46430"/>
    <w:rsid w:val="00C46470"/>
    <w:rsid w:val="00C464B9"/>
    <w:rsid w:val="00C46542"/>
    <w:rsid w:val="00C4655D"/>
    <w:rsid w:val="00C46662"/>
    <w:rsid w:val="00C4668B"/>
    <w:rsid w:val="00C466CA"/>
    <w:rsid w:val="00C46718"/>
    <w:rsid w:val="00C4672C"/>
    <w:rsid w:val="00C467B0"/>
    <w:rsid w:val="00C4684D"/>
    <w:rsid w:val="00C468AC"/>
    <w:rsid w:val="00C468C2"/>
    <w:rsid w:val="00C468F5"/>
    <w:rsid w:val="00C46908"/>
    <w:rsid w:val="00C46A4C"/>
    <w:rsid w:val="00C46ABE"/>
    <w:rsid w:val="00C46AE2"/>
    <w:rsid w:val="00C46B14"/>
    <w:rsid w:val="00C46B22"/>
    <w:rsid w:val="00C46B50"/>
    <w:rsid w:val="00C46B8B"/>
    <w:rsid w:val="00C46B9A"/>
    <w:rsid w:val="00C46C1A"/>
    <w:rsid w:val="00C46C75"/>
    <w:rsid w:val="00C46CD9"/>
    <w:rsid w:val="00C46D90"/>
    <w:rsid w:val="00C46DF8"/>
    <w:rsid w:val="00C46E09"/>
    <w:rsid w:val="00C46E16"/>
    <w:rsid w:val="00C46EF3"/>
    <w:rsid w:val="00C46EFF"/>
    <w:rsid w:val="00C46F33"/>
    <w:rsid w:val="00C46F4A"/>
    <w:rsid w:val="00C46FE5"/>
    <w:rsid w:val="00C470A5"/>
    <w:rsid w:val="00C47108"/>
    <w:rsid w:val="00C471D2"/>
    <w:rsid w:val="00C471F6"/>
    <w:rsid w:val="00C471F7"/>
    <w:rsid w:val="00C47210"/>
    <w:rsid w:val="00C4724B"/>
    <w:rsid w:val="00C4726B"/>
    <w:rsid w:val="00C47274"/>
    <w:rsid w:val="00C472FC"/>
    <w:rsid w:val="00C4732B"/>
    <w:rsid w:val="00C473BF"/>
    <w:rsid w:val="00C473D7"/>
    <w:rsid w:val="00C473FD"/>
    <w:rsid w:val="00C47418"/>
    <w:rsid w:val="00C47473"/>
    <w:rsid w:val="00C4747D"/>
    <w:rsid w:val="00C47482"/>
    <w:rsid w:val="00C474D1"/>
    <w:rsid w:val="00C474E9"/>
    <w:rsid w:val="00C474F9"/>
    <w:rsid w:val="00C47504"/>
    <w:rsid w:val="00C47523"/>
    <w:rsid w:val="00C475C7"/>
    <w:rsid w:val="00C47608"/>
    <w:rsid w:val="00C47677"/>
    <w:rsid w:val="00C476E8"/>
    <w:rsid w:val="00C4771D"/>
    <w:rsid w:val="00C47728"/>
    <w:rsid w:val="00C4778F"/>
    <w:rsid w:val="00C477BF"/>
    <w:rsid w:val="00C4781D"/>
    <w:rsid w:val="00C47828"/>
    <w:rsid w:val="00C47857"/>
    <w:rsid w:val="00C47960"/>
    <w:rsid w:val="00C4798E"/>
    <w:rsid w:val="00C479B7"/>
    <w:rsid w:val="00C479BE"/>
    <w:rsid w:val="00C479CA"/>
    <w:rsid w:val="00C479CF"/>
    <w:rsid w:val="00C479D7"/>
    <w:rsid w:val="00C47A37"/>
    <w:rsid w:val="00C47AAF"/>
    <w:rsid w:val="00C47ADD"/>
    <w:rsid w:val="00C47B39"/>
    <w:rsid w:val="00C47B53"/>
    <w:rsid w:val="00C47BD5"/>
    <w:rsid w:val="00C47BFF"/>
    <w:rsid w:val="00C47C10"/>
    <w:rsid w:val="00C47C33"/>
    <w:rsid w:val="00C47C76"/>
    <w:rsid w:val="00C47C8D"/>
    <w:rsid w:val="00C47C90"/>
    <w:rsid w:val="00C47CB0"/>
    <w:rsid w:val="00C47D18"/>
    <w:rsid w:val="00C47D3C"/>
    <w:rsid w:val="00C47D59"/>
    <w:rsid w:val="00C47E0D"/>
    <w:rsid w:val="00C47E95"/>
    <w:rsid w:val="00C47F62"/>
    <w:rsid w:val="00C50057"/>
    <w:rsid w:val="00C50093"/>
    <w:rsid w:val="00C500F9"/>
    <w:rsid w:val="00C5012C"/>
    <w:rsid w:val="00C50147"/>
    <w:rsid w:val="00C5028D"/>
    <w:rsid w:val="00C502E0"/>
    <w:rsid w:val="00C502FD"/>
    <w:rsid w:val="00C5034A"/>
    <w:rsid w:val="00C503B0"/>
    <w:rsid w:val="00C503F8"/>
    <w:rsid w:val="00C5046C"/>
    <w:rsid w:val="00C504AA"/>
    <w:rsid w:val="00C5058E"/>
    <w:rsid w:val="00C505BD"/>
    <w:rsid w:val="00C505CA"/>
    <w:rsid w:val="00C50623"/>
    <w:rsid w:val="00C50634"/>
    <w:rsid w:val="00C5064B"/>
    <w:rsid w:val="00C506D8"/>
    <w:rsid w:val="00C506D9"/>
    <w:rsid w:val="00C50722"/>
    <w:rsid w:val="00C50747"/>
    <w:rsid w:val="00C5074E"/>
    <w:rsid w:val="00C5077B"/>
    <w:rsid w:val="00C507A6"/>
    <w:rsid w:val="00C507C3"/>
    <w:rsid w:val="00C507E9"/>
    <w:rsid w:val="00C50848"/>
    <w:rsid w:val="00C508DC"/>
    <w:rsid w:val="00C50958"/>
    <w:rsid w:val="00C5098F"/>
    <w:rsid w:val="00C509C9"/>
    <w:rsid w:val="00C509FC"/>
    <w:rsid w:val="00C50AAF"/>
    <w:rsid w:val="00C50AD6"/>
    <w:rsid w:val="00C50B0B"/>
    <w:rsid w:val="00C50B40"/>
    <w:rsid w:val="00C50B6E"/>
    <w:rsid w:val="00C50C44"/>
    <w:rsid w:val="00C50C60"/>
    <w:rsid w:val="00C50C89"/>
    <w:rsid w:val="00C50CBB"/>
    <w:rsid w:val="00C50CE7"/>
    <w:rsid w:val="00C50CE8"/>
    <w:rsid w:val="00C50D3D"/>
    <w:rsid w:val="00C50D61"/>
    <w:rsid w:val="00C50D7D"/>
    <w:rsid w:val="00C50DF6"/>
    <w:rsid w:val="00C50E4F"/>
    <w:rsid w:val="00C50E58"/>
    <w:rsid w:val="00C50E8C"/>
    <w:rsid w:val="00C50EC6"/>
    <w:rsid w:val="00C50EFB"/>
    <w:rsid w:val="00C50F5B"/>
    <w:rsid w:val="00C50F6C"/>
    <w:rsid w:val="00C50F8D"/>
    <w:rsid w:val="00C50FBF"/>
    <w:rsid w:val="00C51007"/>
    <w:rsid w:val="00C5103C"/>
    <w:rsid w:val="00C51047"/>
    <w:rsid w:val="00C510C3"/>
    <w:rsid w:val="00C510EE"/>
    <w:rsid w:val="00C510F2"/>
    <w:rsid w:val="00C51130"/>
    <w:rsid w:val="00C511B1"/>
    <w:rsid w:val="00C51255"/>
    <w:rsid w:val="00C51290"/>
    <w:rsid w:val="00C5135E"/>
    <w:rsid w:val="00C5139D"/>
    <w:rsid w:val="00C513D1"/>
    <w:rsid w:val="00C513DA"/>
    <w:rsid w:val="00C51414"/>
    <w:rsid w:val="00C51420"/>
    <w:rsid w:val="00C5148D"/>
    <w:rsid w:val="00C5148F"/>
    <w:rsid w:val="00C514A2"/>
    <w:rsid w:val="00C514AB"/>
    <w:rsid w:val="00C514B9"/>
    <w:rsid w:val="00C514DE"/>
    <w:rsid w:val="00C514E1"/>
    <w:rsid w:val="00C514EE"/>
    <w:rsid w:val="00C514FC"/>
    <w:rsid w:val="00C51502"/>
    <w:rsid w:val="00C51560"/>
    <w:rsid w:val="00C5157B"/>
    <w:rsid w:val="00C51631"/>
    <w:rsid w:val="00C51643"/>
    <w:rsid w:val="00C5169E"/>
    <w:rsid w:val="00C517ED"/>
    <w:rsid w:val="00C518C4"/>
    <w:rsid w:val="00C518DE"/>
    <w:rsid w:val="00C51915"/>
    <w:rsid w:val="00C5191E"/>
    <w:rsid w:val="00C519BF"/>
    <w:rsid w:val="00C51A1A"/>
    <w:rsid w:val="00C51A51"/>
    <w:rsid w:val="00C51A68"/>
    <w:rsid w:val="00C51AEE"/>
    <w:rsid w:val="00C51B4D"/>
    <w:rsid w:val="00C51B76"/>
    <w:rsid w:val="00C51B9E"/>
    <w:rsid w:val="00C51BC9"/>
    <w:rsid w:val="00C51BD9"/>
    <w:rsid w:val="00C51BFF"/>
    <w:rsid w:val="00C51C10"/>
    <w:rsid w:val="00C51C38"/>
    <w:rsid w:val="00C51C97"/>
    <w:rsid w:val="00C51D38"/>
    <w:rsid w:val="00C51D65"/>
    <w:rsid w:val="00C51D69"/>
    <w:rsid w:val="00C51D6D"/>
    <w:rsid w:val="00C51DCD"/>
    <w:rsid w:val="00C51DD6"/>
    <w:rsid w:val="00C51DE8"/>
    <w:rsid w:val="00C51E2C"/>
    <w:rsid w:val="00C51E3C"/>
    <w:rsid w:val="00C51E9F"/>
    <w:rsid w:val="00C51ECF"/>
    <w:rsid w:val="00C51F2E"/>
    <w:rsid w:val="00C51FBD"/>
    <w:rsid w:val="00C51FEB"/>
    <w:rsid w:val="00C52013"/>
    <w:rsid w:val="00C52031"/>
    <w:rsid w:val="00C52032"/>
    <w:rsid w:val="00C520D7"/>
    <w:rsid w:val="00C52137"/>
    <w:rsid w:val="00C5213E"/>
    <w:rsid w:val="00C52145"/>
    <w:rsid w:val="00C521A8"/>
    <w:rsid w:val="00C521C0"/>
    <w:rsid w:val="00C521DE"/>
    <w:rsid w:val="00C521EB"/>
    <w:rsid w:val="00C5220E"/>
    <w:rsid w:val="00C52216"/>
    <w:rsid w:val="00C52241"/>
    <w:rsid w:val="00C522C3"/>
    <w:rsid w:val="00C522CC"/>
    <w:rsid w:val="00C52324"/>
    <w:rsid w:val="00C52337"/>
    <w:rsid w:val="00C52349"/>
    <w:rsid w:val="00C52389"/>
    <w:rsid w:val="00C523E3"/>
    <w:rsid w:val="00C523E9"/>
    <w:rsid w:val="00C52448"/>
    <w:rsid w:val="00C5244A"/>
    <w:rsid w:val="00C52480"/>
    <w:rsid w:val="00C5249B"/>
    <w:rsid w:val="00C5250D"/>
    <w:rsid w:val="00C52510"/>
    <w:rsid w:val="00C5252F"/>
    <w:rsid w:val="00C52535"/>
    <w:rsid w:val="00C5255B"/>
    <w:rsid w:val="00C52566"/>
    <w:rsid w:val="00C525C9"/>
    <w:rsid w:val="00C525DC"/>
    <w:rsid w:val="00C52680"/>
    <w:rsid w:val="00C526B4"/>
    <w:rsid w:val="00C526EC"/>
    <w:rsid w:val="00C52722"/>
    <w:rsid w:val="00C5275D"/>
    <w:rsid w:val="00C5278D"/>
    <w:rsid w:val="00C5279C"/>
    <w:rsid w:val="00C527E9"/>
    <w:rsid w:val="00C52831"/>
    <w:rsid w:val="00C52858"/>
    <w:rsid w:val="00C52870"/>
    <w:rsid w:val="00C528AC"/>
    <w:rsid w:val="00C528D3"/>
    <w:rsid w:val="00C52971"/>
    <w:rsid w:val="00C529A3"/>
    <w:rsid w:val="00C529BE"/>
    <w:rsid w:val="00C52A53"/>
    <w:rsid w:val="00C52A59"/>
    <w:rsid w:val="00C52A8F"/>
    <w:rsid w:val="00C52ADE"/>
    <w:rsid w:val="00C52B36"/>
    <w:rsid w:val="00C52B41"/>
    <w:rsid w:val="00C52C2E"/>
    <w:rsid w:val="00C52CFE"/>
    <w:rsid w:val="00C52DE4"/>
    <w:rsid w:val="00C52EF0"/>
    <w:rsid w:val="00C52F2F"/>
    <w:rsid w:val="00C52F5B"/>
    <w:rsid w:val="00C52FA4"/>
    <w:rsid w:val="00C52FBE"/>
    <w:rsid w:val="00C5305C"/>
    <w:rsid w:val="00C530A0"/>
    <w:rsid w:val="00C5310E"/>
    <w:rsid w:val="00C5312A"/>
    <w:rsid w:val="00C53179"/>
    <w:rsid w:val="00C53195"/>
    <w:rsid w:val="00C53249"/>
    <w:rsid w:val="00C53286"/>
    <w:rsid w:val="00C532DC"/>
    <w:rsid w:val="00C5334E"/>
    <w:rsid w:val="00C5337D"/>
    <w:rsid w:val="00C53385"/>
    <w:rsid w:val="00C5338E"/>
    <w:rsid w:val="00C533B0"/>
    <w:rsid w:val="00C533E1"/>
    <w:rsid w:val="00C533F4"/>
    <w:rsid w:val="00C53591"/>
    <w:rsid w:val="00C535FA"/>
    <w:rsid w:val="00C53632"/>
    <w:rsid w:val="00C53661"/>
    <w:rsid w:val="00C53679"/>
    <w:rsid w:val="00C536B9"/>
    <w:rsid w:val="00C53739"/>
    <w:rsid w:val="00C53791"/>
    <w:rsid w:val="00C537DE"/>
    <w:rsid w:val="00C537EA"/>
    <w:rsid w:val="00C538B3"/>
    <w:rsid w:val="00C538DB"/>
    <w:rsid w:val="00C538EF"/>
    <w:rsid w:val="00C5391D"/>
    <w:rsid w:val="00C53962"/>
    <w:rsid w:val="00C5396F"/>
    <w:rsid w:val="00C5397C"/>
    <w:rsid w:val="00C539D7"/>
    <w:rsid w:val="00C53A9B"/>
    <w:rsid w:val="00C53AB0"/>
    <w:rsid w:val="00C53B53"/>
    <w:rsid w:val="00C53B61"/>
    <w:rsid w:val="00C53C25"/>
    <w:rsid w:val="00C53C78"/>
    <w:rsid w:val="00C53C79"/>
    <w:rsid w:val="00C53CA9"/>
    <w:rsid w:val="00C53D77"/>
    <w:rsid w:val="00C53D9F"/>
    <w:rsid w:val="00C53DA3"/>
    <w:rsid w:val="00C53DA6"/>
    <w:rsid w:val="00C53DB6"/>
    <w:rsid w:val="00C53DCC"/>
    <w:rsid w:val="00C53E22"/>
    <w:rsid w:val="00C53E37"/>
    <w:rsid w:val="00C53E9D"/>
    <w:rsid w:val="00C53EDC"/>
    <w:rsid w:val="00C53EF2"/>
    <w:rsid w:val="00C53F14"/>
    <w:rsid w:val="00C53F18"/>
    <w:rsid w:val="00C53F29"/>
    <w:rsid w:val="00C53F54"/>
    <w:rsid w:val="00C53F97"/>
    <w:rsid w:val="00C53FB6"/>
    <w:rsid w:val="00C53FC2"/>
    <w:rsid w:val="00C53FF9"/>
    <w:rsid w:val="00C540EB"/>
    <w:rsid w:val="00C5415B"/>
    <w:rsid w:val="00C54170"/>
    <w:rsid w:val="00C54184"/>
    <w:rsid w:val="00C54192"/>
    <w:rsid w:val="00C54193"/>
    <w:rsid w:val="00C5419E"/>
    <w:rsid w:val="00C54270"/>
    <w:rsid w:val="00C54271"/>
    <w:rsid w:val="00C542BE"/>
    <w:rsid w:val="00C543DB"/>
    <w:rsid w:val="00C543DC"/>
    <w:rsid w:val="00C54414"/>
    <w:rsid w:val="00C54460"/>
    <w:rsid w:val="00C544A7"/>
    <w:rsid w:val="00C544C6"/>
    <w:rsid w:val="00C544CF"/>
    <w:rsid w:val="00C5450C"/>
    <w:rsid w:val="00C54522"/>
    <w:rsid w:val="00C54525"/>
    <w:rsid w:val="00C54538"/>
    <w:rsid w:val="00C54559"/>
    <w:rsid w:val="00C5458B"/>
    <w:rsid w:val="00C545BA"/>
    <w:rsid w:val="00C545C2"/>
    <w:rsid w:val="00C545D8"/>
    <w:rsid w:val="00C545FB"/>
    <w:rsid w:val="00C54655"/>
    <w:rsid w:val="00C546EE"/>
    <w:rsid w:val="00C54712"/>
    <w:rsid w:val="00C54767"/>
    <w:rsid w:val="00C54772"/>
    <w:rsid w:val="00C5479C"/>
    <w:rsid w:val="00C547B7"/>
    <w:rsid w:val="00C547F0"/>
    <w:rsid w:val="00C547FA"/>
    <w:rsid w:val="00C5481F"/>
    <w:rsid w:val="00C54851"/>
    <w:rsid w:val="00C54879"/>
    <w:rsid w:val="00C54884"/>
    <w:rsid w:val="00C548FA"/>
    <w:rsid w:val="00C54939"/>
    <w:rsid w:val="00C54969"/>
    <w:rsid w:val="00C549C7"/>
    <w:rsid w:val="00C54A1F"/>
    <w:rsid w:val="00C54A5F"/>
    <w:rsid w:val="00C54A6A"/>
    <w:rsid w:val="00C54B28"/>
    <w:rsid w:val="00C54BAE"/>
    <w:rsid w:val="00C54BCF"/>
    <w:rsid w:val="00C54C04"/>
    <w:rsid w:val="00C54C19"/>
    <w:rsid w:val="00C54C5E"/>
    <w:rsid w:val="00C54CA0"/>
    <w:rsid w:val="00C54CB1"/>
    <w:rsid w:val="00C54CD5"/>
    <w:rsid w:val="00C54D0F"/>
    <w:rsid w:val="00C54D2B"/>
    <w:rsid w:val="00C54D44"/>
    <w:rsid w:val="00C54D80"/>
    <w:rsid w:val="00C54D9C"/>
    <w:rsid w:val="00C54E30"/>
    <w:rsid w:val="00C54E33"/>
    <w:rsid w:val="00C54E38"/>
    <w:rsid w:val="00C54E49"/>
    <w:rsid w:val="00C54EF2"/>
    <w:rsid w:val="00C54EFE"/>
    <w:rsid w:val="00C54F1E"/>
    <w:rsid w:val="00C54F73"/>
    <w:rsid w:val="00C54FDE"/>
    <w:rsid w:val="00C55015"/>
    <w:rsid w:val="00C55054"/>
    <w:rsid w:val="00C5508D"/>
    <w:rsid w:val="00C550E3"/>
    <w:rsid w:val="00C55118"/>
    <w:rsid w:val="00C5511B"/>
    <w:rsid w:val="00C55135"/>
    <w:rsid w:val="00C55163"/>
    <w:rsid w:val="00C5519C"/>
    <w:rsid w:val="00C55286"/>
    <w:rsid w:val="00C553B1"/>
    <w:rsid w:val="00C553E0"/>
    <w:rsid w:val="00C5543A"/>
    <w:rsid w:val="00C5547A"/>
    <w:rsid w:val="00C554DC"/>
    <w:rsid w:val="00C55563"/>
    <w:rsid w:val="00C55575"/>
    <w:rsid w:val="00C5557E"/>
    <w:rsid w:val="00C5559E"/>
    <w:rsid w:val="00C555A6"/>
    <w:rsid w:val="00C55603"/>
    <w:rsid w:val="00C55622"/>
    <w:rsid w:val="00C5565B"/>
    <w:rsid w:val="00C5569E"/>
    <w:rsid w:val="00C556E7"/>
    <w:rsid w:val="00C556F2"/>
    <w:rsid w:val="00C556F5"/>
    <w:rsid w:val="00C556F7"/>
    <w:rsid w:val="00C55703"/>
    <w:rsid w:val="00C5579A"/>
    <w:rsid w:val="00C5584D"/>
    <w:rsid w:val="00C5586B"/>
    <w:rsid w:val="00C55891"/>
    <w:rsid w:val="00C5589E"/>
    <w:rsid w:val="00C55947"/>
    <w:rsid w:val="00C55951"/>
    <w:rsid w:val="00C55996"/>
    <w:rsid w:val="00C559CE"/>
    <w:rsid w:val="00C55A0B"/>
    <w:rsid w:val="00C55A8D"/>
    <w:rsid w:val="00C55A8F"/>
    <w:rsid w:val="00C55B66"/>
    <w:rsid w:val="00C55BBE"/>
    <w:rsid w:val="00C55BD3"/>
    <w:rsid w:val="00C55C03"/>
    <w:rsid w:val="00C55C4B"/>
    <w:rsid w:val="00C55D40"/>
    <w:rsid w:val="00C55D8A"/>
    <w:rsid w:val="00C55DA4"/>
    <w:rsid w:val="00C55E1A"/>
    <w:rsid w:val="00C55E70"/>
    <w:rsid w:val="00C55E85"/>
    <w:rsid w:val="00C55EA7"/>
    <w:rsid w:val="00C55F23"/>
    <w:rsid w:val="00C55F29"/>
    <w:rsid w:val="00C55F95"/>
    <w:rsid w:val="00C55F9E"/>
    <w:rsid w:val="00C55FB1"/>
    <w:rsid w:val="00C5609D"/>
    <w:rsid w:val="00C56146"/>
    <w:rsid w:val="00C5615C"/>
    <w:rsid w:val="00C561CD"/>
    <w:rsid w:val="00C561ED"/>
    <w:rsid w:val="00C56218"/>
    <w:rsid w:val="00C56251"/>
    <w:rsid w:val="00C5630A"/>
    <w:rsid w:val="00C5630C"/>
    <w:rsid w:val="00C5631A"/>
    <w:rsid w:val="00C5631E"/>
    <w:rsid w:val="00C56324"/>
    <w:rsid w:val="00C56385"/>
    <w:rsid w:val="00C563BC"/>
    <w:rsid w:val="00C563D4"/>
    <w:rsid w:val="00C56411"/>
    <w:rsid w:val="00C564DE"/>
    <w:rsid w:val="00C5652A"/>
    <w:rsid w:val="00C56548"/>
    <w:rsid w:val="00C565F5"/>
    <w:rsid w:val="00C565F9"/>
    <w:rsid w:val="00C56689"/>
    <w:rsid w:val="00C5668D"/>
    <w:rsid w:val="00C56720"/>
    <w:rsid w:val="00C5672F"/>
    <w:rsid w:val="00C5688E"/>
    <w:rsid w:val="00C56918"/>
    <w:rsid w:val="00C56955"/>
    <w:rsid w:val="00C56983"/>
    <w:rsid w:val="00C56A09"/>
    <w:rsid w:val="00C56A1A"/>
    <w:rsid w:val="00C56A48"/>
    <w:rsid w:val="00C56A79"/>
    <w:rsid w:val="00C56A88"/>
    <w:rsid w:val="00C56BCC"/>
    <w:rsid w:val="00C56BD3"/>
    <w:rsid w:val="00C56BDC"/>
    <w:rsid w:val="00C56C58"/>
    <w:rsid w:val="00C56C63"/>
    <w:rsid w:val="00C56C69"/>
    <w:rsid w:val="00C56CA4"/>
    <w:rsid w:val="00C56CC3"/>
    <w:rsid w:val="00C56D4D"/>
    <w:rsid w:val="00C56D6F"/>
    <w:rsid w:val="00C56DFD"/>
    <w:rsid w:val="00C56E6C"/>
    <w:rsid w:val="00C56E6E"/>
    <w:rsid w:val="00C56EA5"/>
    <w:rsid w:val="00C56EE0"/>
    <w:rsid w:val="00C56EF8"/>
    <w:rsid w:val="00C56F17"/>
    <w:rsid w:val="00C56F58"/>
    <w:rsid w:val="00C56F72"/>
    <w:rsid w:val="00C56F9A"/>
    <w:rsid w:val="00C56FA0"/>
    <w:rsid w:val="00C5704D"/>
    <w:rsid w:val="00C57094"/>
    <w:rsid w:val="00C570A7"/>
    <w:rsid w:val="00C570E5"/>
    <w:rsid w:val="00C570F9"/>
    <w:rsid w:val="00C57110"/>
    <w:rsid w:val="00C57170"/>
    <w:rsid w:val="00C5717B"/>
    <w:rsid w:val="00C571C6"/>
    <w:rsid w:val="00C571E2"/>
    <w:rsid w:val="00C571EB"/>
    <w:rsid w:val="00C57203"/>
    <w:rsid w:val="00C57219"/>
    <w:rsid w:val="00C5726C"/>
    <w:rsid w:val="00C5731E"/>
    <w:rsid w:val="00C57334"/>
    <w:rsid w:val="00C573C8"/>
    <w:rsid w:val="00C573F2"/>
    <w:rsid w:val="00C57428"/>
    <w:rsid w:val="00C57483"/>
    <w:rsid w:val="00C57492"/>
    <w:rsid w:val="00C574EB"/>
    <w:rsid w:val="00C574F3"/>
    <w:rsid w:val="00C57573"/>
    <w:rsid w:val="00C5757F"/>
    <w:rsid w:val="00C5758C"/>
    <w:rsid w:val="00C57600"/>
    <w:rsid w:val="00C577A4"/>
    <w:rsid w:val="00C577BA"/>
    <w:rsid w:val="00C57839"/>
    <w:rsid w:val="00C5787A"/>
    <w:rsid w:val="00C578BE"/>
    <w:rsid w:val="00C578C8"/>
    <w:rsid w:val="00C57910"/>
    <w:rsid w:val="00C57979"/>
    <w:rsid w:val="00C5798C"/>
    <w:rsid w:val="00C579E9"/>
    <w:rsid w:val="00C57A20"/>
    <w:rsid w:val="00C57A75"/>
    <w:rsid w:val="00C57AEE"/>
    <w:rsid w:val="00C57AFF"/>
    <w:rsid w:val="00C57B37"/>
    <w:rsid w:val="00C57B3B"/>
    <w:rsid w:val="00C57B4D"/>
    <w:rsid w:val="00C57B57"/>
    <w:rsid w:val="00C57B90"/>
    <w:rsid w:val="00C57BAB"/>
    <w:rsid w:val="00C57C0F"/>
    <w:rsid w:val="00C57C1B"/>
    <w:rsid w:val="00C57C29"/>
    <w:rsid w:val="00C57C57"/>
    <w:rsid w:val="00C57C59"/>
    <w:rsid w:val="00C57D89"/>
    <w:rsid w:val="00C57D9E"/>
    <w:rsid w:val="00C57DB2"/>
    <w:rsid w:val="00C57DE1"/>
    <w:rsid w:val="00C57E00"/>
    <w:rsid w:val="00C57E0A"/>
    <w:rsid w:val="00C57ECA"/>
    <w:rsid w:val="00C57EFE"/>
    <w:rsid w:val="00C57F0C"/>
    <w:rsid w:val="00C57FC1"/>
    <w:rsid w:val="00C60038"/>
    <w:rsid w:val="00C60049"/>
    <w:rsid w:val="00C600AB"/>
    <w:rsid w:val="00C600B1"/>
    <w:rsid w:val="00C600D5"/>
    <w:rsid w:val="00C60103"/>
    <w:rsid w:val="00C60130"/>
    <w:rsid w:val="00C6014B"/>
    <w:rsid w:val="00C60152"/>
    <w:rsid w:val="00C60191"/>
    <w:rsid w:val="00C601FE"/>
    <w:rsid w:val="00C60240"/>
    <w:rsid w:val="00C602DF"/>
    <w:rsid w:val="00C602E6"/>
    <w:rsid w:val="00C60438"/>
    <w:rsid w:val="00C60451"/>
    <w:rsid w:val="00C60457"/>
    <w:rsid w:val="00C60492"/>
    <w:rsid w:val="00C604B1"/>
    <w:rsid w:val="00C604B8"/>
    <w:rsid w:val="00C604E3"/>
    <w:rsid w:val="00C6050A"/>
    <w:rsid w:val="00C605C1"/>
    <w:rsid w:val="00C6060D"/>
    <w:rsid w:val="00C6062F"/>
    <w:rsid w:val="00C6066A"/>
    <w:rsid w:val="00C60692"/>
    <w:rsid w:val="00C60709"/>
    <w:rsid w:val="00C60769"/>
    <w:rsid w:val="00C607D8"/>
    <w:rsid w:val="00C60803"/>
    <w:rsid w:val="00C60817"/>
    <w:rsid w:val="00C60914"/>
    <w:rsid w:val="00C6094D"/>
    <w:rsid w:val="00C609B1"/>
    <w:rsid w:val="00C609E8"/>
    <w:rsid w:val="00C60A0C"/>
    <w:rsid w:val="00C60A17"/>
    <w:rsid w:val="00C60A2B"/>
    <w:rsid w:val="00C60A4E"/>
    <w:rsid w:val="00C60A85"/>
    <w:rsid w:val="00C60A89"/>
    <w:rsid w:val="00C60AB2"/>
    <w:rsid w:val="00C60B19"/>
    <w:rsid w:val="00C60B95"/>
    <w:rsid w:val="00C60BD7"/>
    <w:rsid w:val="00C60C7E"/>
    <w:rsid w:val="00C60CB5"/>
    <w:rsid w:val="00C60D34"/>
    <w:rsid w:val="00C60D98"/>
    <w:rsid w:val="00C60E29"/>
    <w:rsid w:val="00C60E41"/>
    <w:rsid w:val="00C60E84"/>
    <w:rsid w:val="00C60F19"/>
    <w:rsid w:val="00C60F9D"/>
    <w:rsid w:val="00C60FB3"/>
    <w:rsid w:val="00C60FEC"/>
    <w:rsid w:val="00C6104C"/>
    <w:rsid w:val="00C610D7"/>
    <w:rsid w:val="00C610DE"/>
    <w:rsid w:val="00C61107"/>
    <w:rsid w:val="00C611C0"/>
    <w:rsid w:val="00C611FF"/>
    <w:rsid w:val="00C61210"/>
    <w:rsid w:val="00C61286"/>
    <w:rsid w:val="00C612B7"/>
    <w:rsid w:val="00C612F3"/>
    <w:rsid w:val="00C6133E"/>
    <w:rsid w:val="00C613D7"/>
    <w:rsid w:val="00C613EA"/>
    <w:rsid w:val="00C613F9"/>
    <w:rsid w:val="00C61413"/>
    <w:rsid w:val="00C61468"/>
    <w:rsid w:val="00C6148B"/>
    <w:rsid w:val="00C614AA"/>
    <w:rsid w:val="00C614CB"/>
    <w:rsid w:val="00C6150F"/>
    <w:rsid w:val="00C6153A"/>
    <w:rsid w:val="00C615B4"/>
    <w:rsid w:val="00C615DF"/>
    <w:rsid w:val="00C61698"/>
    <w:rsid w:val="00C616A3"/>
    <w:rsid w:val="00C616F8"/>
    <w:rsid w:val="00C61736"/>
    <w:rsid w:val="00C61758"/>
    <w:rsid w:val="00C6176C"/>
    <w:rsid w:val="00C617AA"/>
    <w:rsid w:val="00C617C2"/>
    <w:rsid w:val="00C617EE"/>
    <w:rsid w:val="00C61825"/>
    <w:rsid w:val="00C6188C"/>
    <w:rsid w:val="00C618F2"/>
    <w:rsid w:val="00C6190C"/>
    <w:rsid w:val="00C619A4"/>
    <w:rsid w:val="00C619D8"/>
    <w:rsid w:val="00C61A1D"/>
    <w:rsid w:val="00C61A3B"/>
    <w:rsid w:val="00C61A84"/>
    <w:rsid w:val="00C61BF7"/>
    <w:rsid w:val="00C61C89"/>
    <w:rsid w:val="00C61C9C"/>
    <w:rsid w:val="00C61D02"/>
    <w:rsid w:val="00C61D68"/>
    <w:rsid w:val="00C61DC4"/>
    <w:rsid w:val="00C61E0D"/>
    <w:rsid w:val="00C61E3A"/>
    <w:rsid w:val="00C61E99"/>
    <w:rsid w:val="00C61EA9"/>
    <w:rsid w:val="00C61EE3"/>
    <w:rsid w:val="00C61F04"/>
    <w:rsid w:val="00C61F5A"/>
    <w:rsid w:val="00C61F8C"/>
    <w:rsid w:val="00C61F8E"/>
    <w:rsid w:val="00C61FC1"/>
    <w:rsid w:val="00C61FE6"/>
    <w:rsid w:val="00C62039"/>
    <w:rsid w:val="00C62058"/>
    <w:rsid w:val="00C62083"/>
    <w:rsid w:val="00C620BC"/>
    <w:rsid w:val="00C621D5"/>
    <w:rsid w:val="00C6230B"/>
    <w:rsid w:val="00C62311"/>
    <w:rsid w:val="00C6234A"/>
    <w:rsid w:val="00C623A4"/>
    <w:rsid w:val="00C623A7"/>
    <w:rsid w:val="00C623EA"/>
    <w:rsid w:val="00C6240D"/>
    <w:rsid w:val="00C62429"/>
    <w:rsid w:val="00C6243B"/>
    <w:rsid w:val="00C62459"/>
    <w:rsid w:val="00C6245F"/>
    <w:rsid w:val="00C62513"/>
    <w:rsid w:val="00C6252F"/>
    <w:rsid w:val="00C62557"/>
    <w:rsid w:val="00C6258D"/>
    <w:rsid w:val="00C62606"/>
    <w:rsid w:val="00C6262B"/>
    <w:rsid w:val="00C6266C"/>
    <w:rsid w:val="00C626D9"/>
    <w:rsid w:val="00C626DD"/>
    <w:rsid w:val="00C627B1"/>
    <w:rsid w:val="00C627C0"/>
    <w:rsid w:val="00C627F2"/>
    <w:rsid w:val="00C62828"/>
    <w:rsid w:val="00C62840"/>
    <w:rsid w:val="00C62A4E"/>
    <w:rsid w:val="00C62A6F"/>
    <w:rsid w:val="00C62B21"/>
    <w:rsid w:val="00C62BB6"/>
    <w:rsid w:val="00C62C16"/>
    <w:rsid w:val="00C62C8E"/>
    <w:rsid w:val="00C62CC1"/>
    <w:rsid w:val="00C62DA1"/>
    <w:rsid w:val="00C62DA5"/>
    <w:rsid w:val="00C62DBB"/>
    <w:rsid w:val="00C62DC4"/>
    <w:rsid w:val="00C62E29"/>
    <w:rsid w:val="00C62E3F"/>
    <w:rsid w:val="00C62E8E"/>
    <w:rsid w:val="00C62F11"/>
    <w:rsid w:val="00C62F25"/>
    <w:rsid w:val="00C62FDE"/>
    <w:rsid w:val="00C62FEE"/>
    <w:rsid w:val="00C62FEF"/>
    <w:rsid w:val="00C630A8"/>
    <w:rsid w:val="00C630D6"/>
    <w:rsid w:val="00C63180"/>
    <w:rsid w:val="00C6319A"/>
    <w:rsid w:val="00C631EC"/>
    <w:rsid w:val="00C63228"/>
    <w:rsid w:val="00C6325A"/>
    <w:rsid w:val="00C63273"/>
    <w:rsid w:val="00C6330F"/>
    <w:rsid w:val="00C63382"/>
    <w:rsid w:val="00C63385"/>
    <w:rsid w:val="00C633C4"/>
    <w:rsid w:val="00C63450"/>
    <w:rsid w:val="00C63470"/>
    <w:rsid w:val="00C634CC"/>
    <w:rsid w:val="00C634F2"/>
    <w:rsid w:val="00C63530"/>
    <w:rsid w:val="00C635A2"/>
    <w:rsid w:val="00C635CA"/>
    <w:rsid w:val="00C6366D"/>
    <w:rsid w:val="00C63676"/>
    <w:rsid w:val="00C636AB"/>
    <w:rsid w:val="00C63734"/>
    <w:rsid w:val="00C6375E"/>
    <w:rsid w:val="00C637A1"/>
    <w:rsid w:val="00C637A9"/>
    <w:rsid w:val="00C637B2"/>
    <w:rsid w:val="00C63808"/>
    <w:rsid w:val="00C6381C"/>
    <w:rsid w:val="00C63923"/>
    <w:rsid w:val="00C63A54"/>
    <w:rsid w:val="00C63A98"/>
    <w:rsid w:val="00C63AD9"/>
    <w:rsid w:val="00C63BA5"/>
    <w:rsid w:val="00C63BB7"/>
    <w:rsid w:val="00C63BBF"/>
    <w:rsid w:val="00C63BCB"/>
    <w:rsid w:val="00C63C4D"/>
    <w:rsid w:val="00C63CEF"/>
    <w:rsid w:val="00C63D0C"/>
    <w:rsid w:val="00C63D19"/>
    <w:rsid w:val="00C63D1D"/>
    <w:rsid w:val="00C63D4E"/>
    <w:rsid w:val="00C63DD9"/>
    <w:rsid w:val="00C63DE4"/>
    <w:rsid w:val="00C63E11"/>
    <w:rsid w:val="00C63ED0"/>
    <w:rsid w:val="00C63F83"/>
    <w:rsid w:val="00C63F8D"/>
    <w:rsid w:val="00C63F90"/>
    <w:rsid w:val="00C63F98"/>
    <w:rsid w:val="00C63FBB"/>
    <w:rsid w:val="00C64018"/>
    <w:rsid w:val="00C640D4"/>
    <w:rsid w:val="00C64134"/>
    <w:rsid w:val="00C6414C"/>
    <w:rsid w:val="00C641CD"/>
    <w:rsid w:val="00C6421F"/>
    <w:rsid w:val="00C642B1"/>
    <w:rsid w:val="00C642B8"/>
    <w:rsid w:val="00C64305"/>
    <w:rsid w:val="00C64318"/>
    <w:rsid w:val="00C6432A"/>
    <w:rsid w:val="00C64337"/>
    <w:rsid w:val="00C64368"/>
    <w:rsid w:val="00C64410"/>
    <w:rsid w:val="00C64420"/>
    <w:rsid w:val="00C64441"/>
    <w:rsid w:val="00C64448"/>
    <w:rsid w:val="00C64457"/>
    <w:rsid w:val="00C644C1"/>
    <w:rsid w:val="00C644C5"/>
    <w:rsid w:val="00C64507"/>
    <w:rsid w:val="00C64573"/>
    <w:rsid w:val="00C645B4"/>
    <w:rsid w:val="00C645D4"/>
    <w:rsid w:val="00C645D8"/>
    <w:rsid w:val="00C645FC"/>
    <w:rsid w:val="00C64640"/>
    <w:rsid w:val="00C646ED"/>
    <w:rsid w:val="00C6470F"/>
    <w:rsid w:val="00C6479B"/>
    <w:rsid w:val="00C647BD"/>
    <w:rsid w:val="00C6480A"/>
    <w:rsid w:val="00C64810"/>
    <w:rsid w:val="00C64822"/>
    <w:rsid w:val="00C64852"/>
    <w:rsid w:val="00C649B2"/>
    <w:rsid w:val="00C64A6D"/>
    <w:rsid w:val="00C64A7B"/>
    <w:rsid w:val="00C64A7C"/>
    <w:rsid w:val="00C64B02"/>
    <w:rsid w:val="00C64BC8"/>
    <w:rsid w:val="00C64C4C"/>
    <w:rsid w:val="00C64C5F"/>
    <w:rsid w:val="00C64CCB"/>
    <w:rsid w:val="00C64D07"/>
    <w:rsid w:val="00C64D30"/>
    <w:rsid w:val="00C64DA2"/>
    <w:rsid w:val="00C64DDD"/>
    <w:rsid w:val="00C64E23"/>
    <w:rsid w:val="00C64EA0"/>
    <w:rsid w:val="00C64F25"/>
    <w:rsid w:val="00C64F43"/>
    <w:rsid w:val="00C64F75"/>
    <w:rsid w:val="00C64F8B"/>
    <w:rsid w:val="00C64F96"/>
    <w:rsid w:val="00C65065"/>
    <w:rsid w:val="00C65072"/>
    <w:rsid w:val="00C650F7"/>
    <w:rsid w:val="00C65234"/>
    <w:rsid w:val="00C65236"/>
    <w:rsid w:val="00C65257"/>
    <w:rsid w:val="00C65259"/>
    <w:rsid w:val="00C65323"/>
    <w:rsid w:val="00C6533A"/>
    <w:rsid w:val="00C653D2"/>
    <w:rsid w:val="00C65413"/>
    <w:rsid w:val="00C654A7"/>
    <w:rsid w:val="00C654F4"/>
    <w:rsid w:val="00C65519"/>
    <w:rsid w:val="00C65521"/>
    <w:rsid w:val="00C65554"/>
    <w:rsid w:val="00C65587"/>
    <w:rsid w:val="00C655A7"/>
    <w:rsid w:val="00C655DB"/>
    <w:rsid w:val="00C655EA"/>
    <w:rsid w:val="00C65645"/>
    <w:rsid w:val="00C65673"/>
    <w:rsid w:val="00C65688"/>
    <w:rsid w:val="00C6568E"/>
    <w:rsid w:val="00C6573D"/>
    <w:rsid w:val="00C65768"/>
    <w:rsid w:val="00C657BB"/>
    <w:rsid w:val="00C657CE"/>
    <w:rsid w:val="00C657E0"/>
    <w:rsid w:val="00C657E2"/>
    <w:rsid w:val="00C65881"/>
    <w:rsid w:val="00C65894"/>
    <w:rsid w:val="00C65904"/>
    <w:rsid w:val="00C65945"/>
    <w:rsid w:val="00C65949"/>
    <w:rsid w:val="00C6596B"/>
    <w:rsid w:val="00C65986"/>
    <w:rsid w:val="00C659AF"/>
    <w:rsid w:val="00C659BF"/>
    <w:rsid w:val="00C65AA3"/>
    <w:rsid w:val="00C65B32"/>
    <w:rsid w:val="00C65B54"/>
    <w:rsid w:val="00C65B77"/>
    <w:rsid w:val="00C65B78"/>
    <w:rsid w:val="00C65BDA"/>
    <w:rsid w:val="00C65C6A"/>
    <w:rsid w:val="00C65CDB"/>
    <w:rsid w:val="00C65D46"/>
    <w:rsid w:val="00C65E6D"/>
    <w:rsid w:val="00C65E95"/>
    <w:rsid w:val="00C65EE3"/>
    <w:rsid w:val="00C65EF4"/>
    <w:rsid w:val="00C65F19"/>
    <w:rsid w:val="00C65F51"/>
    <w:rsid w:val="00C65FC8"/>
    <w:rsid w:val="00C66039"/>
    <w:rsid w:val="00C6604F"/>
    <w:rsid w:val="00C66067"/>
    <w:rsid w:val="00C66078"/>
    <w:rsid w:val="00C66087"/>
    <w:rsid w:val="00C6608D"/>
    <w:rsid w:val="00C6609C"/>
    <w:rsid w:val="00C660FD"/>
    <w:rsid w:val="00C66114"/>
    <w:rsid w:val="00C66132"/>
    <w:rsid w:val="00C66171"/>
    <w:rsid w:val="00C661AD"/>
    <w:rsid w:val="00C661FF"/>
    <w:rsid w:val="00C6620E"/>
    <w:rsid w:val="00C66218"/>
    <w:rsid w:val="00C66229"/>
    <w:rsid w:val="00C66279"/>
    <w:rsid w:val="00C66284"/>
    <w:rsid w:val="00C662AF"/>
    <w:rsid w:val="00C66337"/>
    <w:rsid w:val="00C66362"/>
    <w:rsid w:val="00C6636D"/>
    <w:rsid w:val="00C6637F"/>
    <w:rsid w:val="00C663B8"/>
    <w:rsid w:val="00C663E1"/>
    <w:rsid w:val="00C663F4"/>
    <w:rsid w:val="00C66402"/>
    <w:rsid w:val="00C6643A"/>
    <w:rsid w:val="00C66492"/>
    <w:rsid w:val="00C664D8"/>
    <w:rsid w:val="00C664EA"/>
    <w:rsid w:val="00C66507"/>
    <w:rsid w:val="00C6652F"/>
    <w:rsid w:val="00C665C1"/>
    <w:rsid w:val="00C665F3"/>
    <w:rsid w:val="00C66617"/>
    <w:rsid w:val="00C6664B"/>
    <w:rsid w:val="00C6670F"/>
    <w:rsid w:val="00C667AB"/>
    <w:rsid w:val="00C667D2"/>
    <w:rsid w:val="00C66826"/>
    <w:rsid w:val="00C668A6"/>
    <w:rsid w:val="00C668B7"/>
    <w:rsid w:val="00C668F0"/>
    <w:rsid w:val="00C66911"/>
    <w:rsid w:val="00C6693D"/>
    <w:rsid w:val="00C669D9"/>
    <w:rsid w:val="00C66A48"/>
    <w:rsid w:val="00C66A52"/>
    <w:rsid w:val="00C66AAE"/>
    <w:rsid w:val="00C66AF0"/>
    <w:rsid w:val="00C66AF8"/>
    <w:rsid w:val="00C66B5D"/>
    <w:rsid w:val="00C66B96"/>
    <w:rsid w:val="00C66BA4"/>
    <w:rsid w:val="00C66C25"/>
    <w:rsid w:val="00C66CA3"/>
    <w:rsid w:val="00C66CA4"/>
    <w:rsid w:val="00C66CCF"/>
    <w:rsid w:val="00C66CE9"/>
    <w:rsid w:val="00C66D28"/>
    <w:rsid w:val="00C66D34"/>
    <w:rsid w:val="00C66DC7"/>
    <w:rsid w:val="00C66DED"/>
    <w:rsid w:val="00C66DF5"/>
    <w:rsid w:val="00C66E1E"/>
    <w:rsid w:val="00C66E93"/>
    <w:rsid w:val="00C66EA8"/>
    <w:rsid w:val="00C66EB5"/>
    <w:rsid w:val="00C66EF4"/>
    <w:rsid w:val="00C66EFA"/>
    <w:rsid w:val="00C66F0A"/>
    <w:rsid w:val="00C66F21"/>
    <w:rsid w:val="00C66F45"/>
    <w:rsid w:val="00C66F7B"/>
    <w:rsid w:val="00C66F84"/>
    <w:rsid w:val="00C66FA0"/>
    <w:rsid w:val="00C66FC6"/>
    <w:rsid w:val="00C6703C"/>
    <w:rsid w:val="00C6704F"/>
    <w:rsid w:val="00C67063"/>
    <w:rsid w:val="00C6707B"/>
    <w:rsid w:val="00C670F7"/>
    <w:rsid w:val="00C67113"/>
    <w:rsid w:val="00C6714A"/>
    <w:rsid w:val="00C67245"/>
    <w:rsid w:val="00C67258"/>
    <w:rsid w:val="00C67386"/>
    <w:rsid w:val="00C673B4"/>
    <w:rsid w:val="00C673FD"/>
    <w:rsid w:val="00C67412"/>
    <w:rsid w:val="00C674A5"/>
    <w:rsid w:val="00C674E1"/>
    <w:rsid w:val="00C674FC"/>
    <w:rsid w:val="00C675FA"/>
    <w:rsid w:val="00C67603"/>
    <w:rsid w:val="00C67618"/>
    <w:rsid w:val="00C6768D"/>
    <w:rsid w:val="00C676B4"/>
    <w:rsid w:val="00C67740"/>
    <w:rsid w:val="00C67765"/>
    <w:rsid w:val="00C67781"/>
    <w:rsid w:val="00C67787"/>
    <w:rsid w:val="00C67793"/>
    <w:rsid w:val="00C677A8"/>
    <w:rsid w:val="00C677D8"/>
    <w:rsid w:val="00C677EF"/>
    <w:rsid w:val="00C67802"/>
    <w:rsid w:val="00C6781F"/>
    <w:rsid w:val="00C67827"/>
    <w:rsid w:val="00C67842"/>
    <w:rsid w:val="00C6784E"/>
    <w:rsid w:val="00C678A1"/>
    <w:rsid w:val="00C678F7"/>
    <w:rsid w:val="00C67915"/>
    <w:rsid w:val="00C67A16"/>
    <w:rsid w:val="00C67A23"/>
    <w:rsid w:val="00C67A8C"/>
    <w:rsid w:val="00C67AD9"/>
    <w:rsid w:val="00C67ADE"/>
    <w:rsid w:val="00C67AE8"/>
    <w:rsid w:val="00C67B24"/>
    <w:rsid w:val="00C67B80"/>
    <w:rsid w:val="00C67BB0"/>
    <w:rsid w:val="00C67BCD"/>
    <w:rsid w:val="00C67C12"/>
    <w:rsid w:val="00C67C4D"/>
    <w:rsid w:val="00C67C7C"/>
    <w:rsid w:val="00C67CAC"/>
    <w:rsid w:val="00C67CD5"/>
    <w:rsid w:val="00C67D32"/>
    <w:rsid w:val="00C67D49"/>
    <w:rsid w:val="00C67D8E"/>
    <w:rsid w:val="00C67D94"/>
    <w:rsid w:val="00C67DAA"/>
    <w:rsid w:val="00C67DCC"/>
    <w:rsid w:val="00C67DFC"/>
    <w:rsid w:val="00C67E19"/>
    <w:rsid w:val="00C67E46"/>
    <w:rsid w:val="00C67EB9"/>
    <w:rsid w:val="00C67ED9"/>
    <w:rsid w:val="00C67F08"/>
    <w:rsid w:val="00C67F2C"/>
    <w:rsid w:val="00C67F44"/>
    <w:rsid w:val="00C67F48"/>
    <w:rsid w:val="00C67F7C"/>
    <w:rsid w:val="00C67F8A"/>
    <w:rsid w:val="00C6F2BC"/>
    <w:rsid w:val="00C70017"/>
    <w:rsid w:val="00C7003E"/>
    <w:rsid w:val="00C70053"/>
    <w:rsid w:val="00C700DA"/>
    <w:rsid w:val="00C700E8"/>
    <w:rsid w:val="00C700E9"/>
    <w:rsid w:val="00C701ED"/>
    <w:rsid w:val="00C7024E"/>
    <w:rsid w:val="00C7027C"/>
    <w:rsid w:val="00C70317"/>
    <w:rsid w:val="00C70346"/>
    <w:rsid w:val="00C7038A"/>
    <w:rsid w:val="00C703A4"/>
    <w:rsid w:val="00C703C6"/>
    <w:rsid w:val="00C70400"/>
    <w:rsid w:val="00C7040C"/>
    <w:rsid w:val="00C70428"/>
    <w:rsid w:val="00C7042F"/>
    <w:rsid w:val="00C70439"/>
    <w:rsid w:val="00C7048A"/>
    <w:rsid w:val="00C704ED"/>
    <w:rsid w:val="00C704F0"/>
    <w:rsid w:val="00C704FE"/>
    <w:rsid w:val="00C7050A"/>
    <w:rsid w:val="00C70524"/>
    <w:rsid w:val="00C7058D"/>
    <w:rsid w:val="00C705F6"/>
    <w:rsid w:val="00C70604"/>
    <w:rsid w:val="00C70616"/>
    <w:rsid w:val="00C70643"/>
    <w:rsid w:val="00C70667"/>
    <w:rsid w:val="00C70668"/>
    <w:rsid w:val="00C706B8"/>
    <w:rsid w:val="00C70712"/>
    <w:rsid w:val="00C70727"/>
    <w:rsid w:val="00C7074A"/>
    <w:rsid w:val="00C70753"/>
    <w:rsid w:val="00C7077C"/>
    <w:rsid w:val="00C70796"/>
    <w:rsid w:val="00C70801"/>
    <w:rsid w:val="00C70846"/>
    <w:rsid w:val="00C70848"/>
    <w:rsid w:val="00C70874"/>
    <w:rsid w:val="00C70896"/>
    <w:rsid w:val="00C708DC"/>
    <w:rsid w:val="00C70977"/>
    <w:rsid w:val="00C70987"/>
    <w:rsid w:val="00C7098E"/>
    <w:rsid w:val="00C709D4"/>
    <w:rsid w:val="00C70A82"/>
    <w:rsid w:val="00C70A8D"/>
    <w:rsid w:val="00C70AEF"/>
    <w:rsid w:val="00C70B02"/>
    <w:rsid w:val="00C70BB6"/>
    <w:rsid w:val="00C70BE8"/>
    <w:rsid w:val="00C70BF4"/>
    <w:rsid w:val="00C70C09"/>
    <w:rsid w:val="00C70C4D"/>
    <w:rsid w:val="00C70C71"/>
    <w:rsid w:val="00C70C83"/>
    <w:rsid w:val="00C70C93"/>
    <w:rsid w:val="00C70C97"/>
    <w:rsid w:val="00C70CA0"/>
    <w:rsid w:val="00C70CCF"/>
    <w:rsid w:val="00C70D15"/>
    <w:rsid w:val="00C70D91"/>
    <w:rsid w:val="00C70E08"/>
    <w:rsid w:val="00C70E20"/>
    <w:rsid w:val="00C70E41"/>
    <w:rsid w:val="00C70E46"/>
    <w:rsid w:val="00C70EAD"/>
    <w:rsid w:val="00C70F25"/>
    <w:rsid w:val="00C70FA4"/>
    <w:rsid w:val="00C70FE5"/>
    <w:rsid w:val="00C71028"/>
    <w:rsid w:val="00C71031"/>
    <w:rsid w:val="00C710BE"/>
    <w:rsid w:val="00C710C4"/>
    <w:rsid w:val="00C710D1"/>
    <w:rsid w:val="00C710F0"/>
    <w:rsid w:val="00C71123"/>
    <w:rsid w:val="00C71157"/>
    <w:rsid w:val="00C7115B"/>
    <w:rsid w:val="00C711A5"/>
    <w:rsid w:val="00C711F3"/>
    <w:rsid w:val="00C7125C"/>
    <w:rsid w:val="00C71295"/>
    <w:rsid w:val="00C712EF"/>
    <w:rsid w:val="00C7131F"/>
    <w:rsid w:val="00C713FE"/>
    <w:rsid w:val="00C7147D"/>
    <w:rsid w:val="00C714D8"/>
    <w:rsid w:val="00C715F4"/>
    <w:rsid w:val="00C716E2"/>
    <w:rsid w:val="00C7177E"/>
    <w:rsid w:val="00C717D4"/>
    <w:rsid w:val="00C71821"/>
    <w:rsid w:val="00C718F6"/>
    <w:rsid w:val="00C71967"/>
    <w:rsid w:val="00C719B8"/>
    <w:rsid w:val="00C719F9"/>
    <w:rsid w:val="00C71A29"/>
    <w:rsid w:val="00C71A49"/>
    <w:rsid w:val="00C71AA4"/>
    <w:rsid w:val="00C71B21"/>
    <w:rsid w:val="00C71B51"/>
    <w:rsid w:val="00C71BA8"/>
    <w:rsid w:val="00C71C23"/>
    <w:rsid w:val="00C71C86"/>
    <w:rsid w:val="00C71CAA"/>
    <w:rsid w:val="00C71D0A"/>
    <w:rsid w:val="00C71D1F"/>
    <w:rsid w:val="00C71D3B"/>
    <w:rsid w:val="00C71D58"/>
    <w:rsid w:val="00C71E20"/>
    <w:rsid w:val="00C71E7E"/>
    <w:rsid w:val="00C71EB6"/>
    <w:rsid w:val="00C71EBB"/>
    <w:rsid w:val="00C71F08"/>
    <w:rsid w:val="00C71F11"/>
    <w:rsid w:val="00C71FB4"/>
    <w:rsid w:val="00C71FB8"/>
    <w:rsid w:val="00C71FEA"/>
    <w:rsid w:val="00C72024"/>
    <w:rsid w:val="00C720CA"/>
    <w:rsid w:val="00C720E6"/>
    <w:rsid w:val="00C72133"/>
    <w:rsid w:val="00C7213A"/>
    <w:rsid w:val="00C7216A"/>
    <w:rsid w:val="00C721C7"/>
    <w:rsid w:val="00C721F5"/>
    <w:rsid w:val="00C7220D"/>
    <w:rsid w:val="00C72282"/>
    <w:rsid w:val="00C722CB"/>
    <w:rsid w:val="00C72318"/>
    <w:rsid w:val="00C723B1"/>
    <w:rsid w:val="00C723F7"/>
    <w:rsid w:val="00C72429"/>
    <w:rsid w:val="00C72485"/>
    <w:rsid w:val="00C72489"/>
    <w:rsid w:val="00C72493"/>
    <w:rsid w:val="00C7249F"/>
    <w:rsid w:val="00C724C2"/>
    <w:rsid w:val="00C724E6"/>
    <w:rsid w:val="00C724F4"/>
    <w:rsid w:val="00C72527"/>
    <w:rsid w:val="00C72537"/>
    <w:rsid w:val="00C72592"/>
    <w:rsid w:val="00C725B0"/>
    <w:rsid w:val="00C725D6"/>
    <w:rsid w:val="00C725EE"/>
    <w:rsid w:val="00C72605"/>
    <w:rsid w:val="00C7260A"/>
    <w:rsid w:val="00C7260E"/>
    <w:rsid w:val="00C72665"/>
    <w:rsid w:val="00C72837"/>
    <w:rsid w:val="00C72874"/>
    <w:rsid w:val="00C72880"/>
    <w:rsid w:val="00C728C0"/>
    <w:rsid w:val="00C728E1"/>
    <w:rsid w:val="00C72910"/>
    <w:rsid w:val="00C7292E"/>
    <w:rsid w:val="00C72935"/>
    <w:rsid w:val="00C72940"/>
    <w:rsid w:val="00C7294D"/>
    <w:rsid w:val="00C72974"/>
    <w:rsid w:val="00C72977"/>
    <w:rsid w:val="00C72989"/>
    <w:rsid w:val="00C7299B"/>
    <w:rsid w:val="00C72A07"/>
    <w:rsid w:val="00C72A12"/>
    <w:rsid w:val="00C72AA7"/>
    <w:rsid w:val="00C72B0F"/>
    <w:rsid w:val="00C72B1A"/>
    <w:rsid w:val="00C72B55"/>
    <w:rsid w:val="00C72B83"/>
    <w:rsid w:val="00C72C1D"/>
    <w:rsid w:val="00C72C31"/>
    <w:rsid w:val="00C72C8E"/>
    <w:rsid w:val="00C72D17"/>
    <w:rsid w:val="00C72DD2"/>
    <w:rsid w:val="00C72DE0"/>
    <w:rsid w:val="00C72E22"/>
    <w:rsid w:val="00C72E77"/>
    <w:rsid w:val="00C72E8C"/>
    <w:rsid w:val="00C72E95"/>
    <w:rsid w:val="00C72EE0"/>
    <w:rsid w:val="00C72F70"/>
    <w:rsid w:val="00C72F8C"/>
    <w:rsid w:val="00C72FA0"/>
    <w:rsid w:val="00C72FB6"/>
    <w:rsid w:val="00C72FEE"/>
    <w:rsid w:val="00C73114"/>
    <w:rsid w:val="00C73320"/>
    <w:rsid w:val="00C73397"/>
    <w:rsid w:val="00C733A3"/>
    <w:rsid w:val="00C733A8"/>
    <w:rsid w:val="00C733AB"/>
    <w:rsid w:val="00C7341E"/>
    <w:rsid w:val="00C73476"/>
    <w:rsid w:val="00C7352C"/>
    <w:rsid w:val="00C73596"/>
    <w:rsid w:val="00C735C1"/>
    <w:rsid w:val="00C73637"/>
    <w:rsid w:val="00C73739"/>
    <w:rsid w:val="00C73745"/>
    <w:rsid w:val="00C7376B"/>
    <w:rsid w:val="00C737F1"/>
    <w:rsid w:val="00C7380F"/>
    <w:rsid w:val="00C7383A"/>
    <w:rsid w:val="00C73850"/>
    <w:rsid w:val="00C738D7"/>
    <w:rsid w:val="00C738E4"/>
    <w:rsid w:val="00C73947"/>
    <w:rsid w:val="00C7395F"/>
    <w:rsid w:val="00C739CD"/>
    <w:rsid w:val="00C739E5"/>
    <w:rsid w:val="00C73A0F"/>
    <w:rsid w:val="00C73A70"/>
    <w:rsid w:val="00C73A71"/>
    <w:rsid w:val="00C73AA5"/>
    <w:rsid w:val="00C73AD8"/>
    <w:rsid w:val="00C73B18"/>
    <w:rsid w:val="00C73B4A"/>
    <w:rsid w:val="00C73B5C"/>
    <w:rsid w:val="00C73B6C"/>
    <w:rsid w:val="00C73B92"/>
    <w:rsid w:val="00C73BB5"/>
    <w:rsid w:val="00C73BC4"/>
    <w:rsid w:val="00C73CB5"/>
    <w:rsid w:val="00C73CDA"/>
    <w:rsid w:val="00C73D40"/>
    <w:rsid w:val="00C73D56"/>
    <w:rsid w:val="00C73E1E"/>
    <w:rsid w:val="00C73EB3"/>
    <w:rsid w:val="00C73EF1"/>
    <w:rsid w:val="00C73F94"/>
    <w:rsid w:val="00C73FFD"/>
    <w:rsid w:val="00C74003"/>
    <w:rsid w:val="00C74033"/>
    <w:rsid w:val="00C74081"/>
    <w:rsid w:val="00C740FB"/>
    <w:rsid w:val="00C7410B"/>
    <w:rsid w:val="00C7411A"/>
    <w:rsid w:val="00C7415B"/>
    <w:rsid w:val="00C74221"/>
    <w:rsid w:val="00C742B8"/>
    <w:rsid w:val="00C742C0"/>
    <w:rsid w:val="00C742CD"/>
    <w:rsid w:val="00C7434F"/>
    <w:rsid w:val="00C7436D"/>
    <w:rsid w:val="00C74378"/>
    <w:rsid w:val="00C7444B"/>
    <w:rsid w:val="00C7445D"/>
    <w:rsid w:val="00C744B1"/>
    <w:rsid w:val="00C744CA"/>
    <w:rsid w:val="00C744DE"/>
    <w:rsid w:val="00C744E4"/>
    <w:rsid w:val="00C7452D"/>
    <w:rsid w:val="00C74533"/>
    <w:rsid w:val="00C74563"/>
    <w:rsid w:val="00C745C7"/>
    <w:rsid w:val="00C745FA"/>
    <w:rsid w:val="00C7465B"/>
    <w:rsid w:val="00C746BE"/>
    <w:rsid w:val="00C7473E"/>
    <w:rsid w:val="00C7479D"/>
    <w:rsid w:val="00C747A5"/>
    <w:rsid w:val="00C747AA"/>
    <w:rsid w:val="00C7481B"/>
    <w:rsid w:val="00C74823"/>
    <w:rsid w:val="00C748CF"/>
    <w:rsid w:val="00C748DF"/>
    <w:rsid w:val="00C74906"/>
    <w:rsid w:val="00C7495E"/>
    <w:rsid w:val="00C74974"/>
    <w:rsid w:val="00C74993"/>
    <w:rsid w:val="00C749B0"/>
    <w:rsid w:val="00C749F2"/>
    <w:rsid w:val="00C74A8F"/>
    <w:rsid w:val="00C74B51"/>
    <w:rsid w:val="00C74B9B"/>
    <w:rsid w:val="00C74BB4"/>
    <w:rsid w:val="00C74C2B"/>
    <w:rsid w:val="00C74C2F"/>
    <w:rsid w:val="00C74C59"/>
    <w:rsid w:val="00C74C70"/>
    <w:rsid w:val="00C74C94"/>
    <w:rsid w:val="00C74CA7"/>
    <w:rsid w:val="00C74CC4"/>
    <w:rsid w:val="00C74CDA"/>
    <w:rsid w:val="00C74D4B"/>
    <w:rsid w:val="00C74DCE"/>
    <w:rsid w:val="00C74E39"/>
    <w:rsid w:val="00C74E61"/>
    <w:rsid w:val="00C74E8E"/>
    <w:rsid w:val="00C74F18"/>
    <w:rsid w:val="00C74F1F"/>
    <w:rsid w:val="00C74F78"/>
    <w:rsid w:val="00C74F7F"/>
    <w:rsid w:val="00C74FF0"/>
    <w:rsid w:val="00C75089"/>
    <w:rsid w:val="00C750EB"/>
    <w:rsid w:val="00C75114"/>
    <w:rsid w:val="00C7511D"/>
    <w:rsid w:val="00C751B0"/>
    <w:rsid w:val="00C751F6"/>
    <w:rsid w:val="00C75291"/>
    <w:rsid w:val="00C75303"/>
    <w:rsid w:val="00C75360"/>
    <w:rsid w:val="00C7538A"/>
    <w:rsid w:val="00C753B1"/>
    <w:rsid w:val="00C75462"/>
    <w:rsid w:val="00C75496"/>
    <w:rsid w:val="00C75526"/>
    <w:rsid w:val="00C75549"/>
    <w:rsid w:val="00C7554C"/>
    <w:rsid w:val="00C7556D"/>
    <w:rsid w:val="00C75571"/>
    <w:rsid w:val="00C7558B"/>
    <w:rsid w:val="00C75597"/>
    <w:rsid w:val="00C75601"/>
    <w:rsid w:val="00C75614"/>
    <w:rsid w:val="00C7568A"/>
    <w:rsid w:val="00C75694"/>
    <w:rsid w:val="00C756F1"/>
    <w:rsid w:val="00C75720"/>
    <w:rsid w:val="00C7575B"/>
    <w:rsid w:val="00C75767"/>
    <w:rsid w:val="00C75772"/>
    <w:rsid w:val="00C75781"/>
    <w:rsid w:val="00C757D2"/>
    <w:rsid w:val="00C757D3"/>
    <w:rsid w:val="00C757E8"/>
    <w:rsid w:val="00C757F9"/>
    <w:rsid w:val="00C75803"/>
    <w:rsid w:val="00C75818"/>
    <w:rsid w:val="00C75973"/>
    <w:rsid w:val="00C75982"/>
    <w:rsid w:val="00C75998"/>
    <w:rsid w:val="00C759A9"/>
    <w:rsid w:val="00C759F8"/>
    <w:rsid w:val="00C75A6F"/>
    <w:rsid w:val="00C75AA9"/>
    <w:rsid w:val="00C75AFF"/>
    <w:rsid w:val="00C75C31"/>
    <w:rsid w:val="00C75C43"/>
    <w:rsid w:val="00C75C53"/>
    <w:rsid w:val="00C75C9A"/>
    <w:rsid w:val="00C75CDF"/>
    <w:rsid w:val="00C75D3F"/>
    <w:rsid w:val="00C75DD7"/>
    <w:rsid w:val="00C75DE0"/>
    <w:rsid w:val="00C75E68"/>
    <w:rsid w:val="00C75EC6"/>
    <w:rsid w:val="00C75EE1"/>
    <w:rsid w:val="00C75F05"/>
    <w:rsid w:val="00C75F0D"/>
    <w:rsid w:val="00C75F0F"/>
    <w:rsid w:val="00C75F3D"/>
    <w:rsid w:val="00C75F4A"/>
    <w:rsid w:val="00C76074"/>
    <w:rsid w:val="00C760A7"/>
    <w:rsid w:val="00C760FE"/>
    <w:rsid w:val="00C76121"/>
    <w:rsid w:val="00C7615D"/>
    <w:rsid w:val="00C761F8"/>
    <w:rsid w:val="00C7625B"/>
    <w:rsid w:val="00C762C2"/>
    <w:rsid w:val="00C76326"/>
    <w:rsid w:val="00C7633A"/>
    <w:rsid w:val="00C7638A"/>
    <w:rsid w:val="00C763B3"/>
    <w:rsid w:val="00C76424"/>
    <w:rsid w:val="00C76432"/>
    <w:rsid w:val="00C7643B"/>
    <w:rsid w:val="00C764A2"/>
    <w:rsid w:val="00C764D6"/>
    <w:rsid w:val="00C764D8"/>
    <w:rsid w:val="00C764E7"/>
    <w:rsid w:val="00C76531"/>
    <w:rsid w:val="00C76559"/>
    <w:rsid w:val="00C765D3"/>
    <w:rsid w:val="00C7660B"/>
    <w:rsid w:val="00C76645"/>
    <w:rsid w:val="00C766A2"/>
    <w:rsid w:val="00C766F2"/>
    <w:rsid w:val="00C76717"/>
    <w:rsid w:val="00C767EB"/>
    <w:rsid w:val="00C76814"/>
    <w:rsid w:val="00C768AF"/>
    <w:rsid w:val="00C768D0"/>
    <w:rsid w:val="00C76900"/>
    <w:rsid w:val="00C7690A"/>
    <w:rsid w:val="00C76924"/>
    <w:rsid w:val="00C76971"/>
    <w:rsid w:val="00C76986"/>
    <w:rsid w:val="00C769B2"/>
    <w:rsid w:val="00C769B3"/>
    <w:rsid w:val="00C769E1"/>
    <w:rsid w:val="00C769E3"/>
    <w:rsid w:val="00C769EB"/>
    <w:rsid w:val="00C76A33"/>
    <w:rsid w:val="00C76A9B"/>
    <w:rsid w:val="00C76AD1"/>
    <w:rsid w:val="00C76AD6"/>
    <w:rsid w:val="00C76AF3"/>
    <w:rsid w:val="00C76B55"/>
    <w:rsid w:val="00C76B7A"/>
    <w:rsid w:val="00C76C69"/>
    <w:rsid w:val="00C76C7C"/>
    <w:rsid w:val="00C76C89"/>
    <w:rsid w:val="00C76CCD"/>
    <w:rsid w:val="00C76D0E"/>
    <w:rsid w:val="00C76D21"/>
    <w:rsid w:val="00C76D8F"/>
    <w:rsid w:val="00C76D93"/>
    <w:rsid w:val="00C76DE7"/>
    <w:rsid w:val="00C76DE8"/>
    <w:rsid w:val="00C76DEC"/>
    <w:rsid w:val="00C76E85"/>
    <w:rsid w:val="00C76ED1"/>
    <w:rsid w:val="00C76ED4"/>
    <w:rsid w:val="00C76F00"/>
    <w:rsid w:val="00C76F46"/>
    <w:rsid w:val="00C76F6F"/>
    <w:rsid w:val="00C76F77"/>
    <w:rsid w:val="00C76F8E"/>
    <w:rsid w:val="00C76FDE"/>
    <w:rsid w:val="00C77059"/>
    <w:rsid w:val="00C77065"/>
    <w:rsid w:val="00C770D2"/>
    <w:rsid w:val="00C7711A"/>
    <w:rsid w:val="00C7716D"/>
    <w:rsid w:val="00C771B1"/>
    <w:rsid w:val="00C77200"/>
    <w:rsid w:val="00C7721C"/>
    <w:rsid w:val="00C7722F"/>
    <w:rsid w:val="00C7727A"/>
    <w:rsid w:val="00C77339"/>
    <w:rsid w:val="00C773C3"/>
    <w:rsid w:val="00C773ED"/>
    <w:rsid w:val="00C77437"/>
    <w:rsid w:val="00C77448"/>
    <w:rsid w:val="00C77486"/>
    <w:rsid w:val="00C77511"/>
    <w:rsid w:val="00C775F1"/>
    <w:rsid w:val="00C776A8"/>
    <w:rsid w:val="00C776CA"/>
    <w:rsid w:val="00C7770F"/>
    <w:rsid w:val="00C7773D"/>
    <w:rsid w:val="00C77763"/>
    <w:rsid w:val="00C7776F"/>
    <w:rsid w:val="00C77785"/>
    <w:rsid w:val="00C7778B"/>
    <w:rsid w:val="00C777D1"/>
    <w:rsid w:val="00C777F8"/>
    <w:rsid w:val="00C7780B"/>
    <w:rsid w:val="00C77830"/>
    <w:rsid w:val="00C77835"/>
    <w:rsid w:val="00C77922"/>
    <w:rsid w:val="00C77971"/>
    <w:rsid w:val="00C77973"/>
    <w:rsid w:val="00C779A2"/>
    <w:rsid w:val="00C779BE"/>
    <w:rsid w:val="00C779CB"/>
    <w:rsid w:val="00C77A70"/>
    <w:rsid w:val="00C77AF7"/>
    <w:rsid w:val="00C77B42"/>
    <w:rsid w:val="00C77C30"/>
    <w:rsid w:val="00C77C5D"/>
    <w:rsid w:val="00C77C5F"/>
    <w:rsid w:val="00C77CC5"/>
    <w:rsid w:val="00C77CF9"/>
    <w:rsid w:val="00C77D78"/>
    <w:rsid w:val="00C77D9B"/>
    <w:rsid w:val="00C77E1F"/>
    <w:rsid w:val="00C77E4E"/>
    <w:rsid w:val="00C77E72"/>
    <w:rsid w:val="00C77EF5"/>
    <w:rsid w:val="00C77F0B"/>
    <w:rsid w:val="00C77F63"/>
    <w:rsid w:val="00C77F93"/>
    <w:rsid w:val="00C77F9E"/>
    <w:rsid w:val="00C77FB5"/>
    <w:rsid w:val="00C77FC0"/>
    <w:rsid w:val="00C77FE3"/>
    <w:rsid w:val="00C8002F"/>
    <w:rsid w:val="00C80047"/>
    <w:rsid w:val="00C80052"/>
    <w:rsid w:val="00C80084"/>
    <w:rsid w:val="00C800B4"/>
    <w:rsid w:val="00C800D4"/>
    <w:rsid w:val="00C800F0"/>
    <w:rsid w:val="00C80136"/>
    <w:rsid w:val="00C80173"/>
    <w:rsid w:val="00C8018C"/>
    <w:rsid w:val="00C80195"/>
    <w:rsid w:val="00C801D7"/>
    <w:rsid w:val="00C801E9"/>
    <w:rsid w:val="00C80367"/>
    <w:rsid w:val="00C803DF"/>
    <w:rsid w:val="00C80425"/>
    <w:rsid w:val="00C80448"/>
    <w:rsid w:val="00C80470"/>
    <w:rsid w:val="00C804AD"/>
    <w:rsid w:val="00C804D4"/>
    <w:rsid w:val="00C804DC"/>
    <w:rsid w:val="00C80571"/>
    <w:rsid w:val="00C805B1"/>
    <w:rsid w:val="00C805DE"/>
    <w:rsid w:val="00C805E6"/>
    <w:rsid w:val="00C80640"/>
    <w:rsid w:val="00C806F7"/>
    <w:rsid w:val="00C80714"/>
    <w:rsid w:val="00C8075E"/>
    <w:rsid w:val="00C807B5"/>
    <w:rsid w:val="00C807BB"/>
    <w:rsid w:val="00C807D3"/>
    <w:rsid w:val="00C80802"/>
    <w:rsid w:val="00C808FE"/>
    <w:rsid w:val="00C80989"/>
    <w:rsid w:val="00C8098F"/>
    <w:rsid w:val="00C80A1A"/>
    <w:rsid w:val="00C80A1D"/>
    <w:rsid w:val="00C80A75"/>
    <w:rsid w:val="00C80B06"/>
    <w:rsid w:val="00C80B50"/>
    <w:rsid w:val="00C80B73"/>
    <w:rsid w:val="00C80BC3"/>
    <w:rsid w:val="00C80C70"/>
    <w:rsid w:val="00C80C9F"/>
    <w:rsid w:val="00C80CC9"/>
    <w:rsid w:val="00C80CD2"/>
    <w:rsid w:val="00C80D22"/>
    <w:rsid w:val="00C80D5D"/>
    <w:rsid w:val="00C80EB4"/>
    <w:rsid w:val="00C80EED"/>
    <w:rsid w:val="00C80F48"/>
    <w:rsid w:val="00C80F54"/>
    <w:rsid w:val="00C80F8E"/>
    <w:rsid w:val="00C80FAA"/>
    <w:rsid w:val="00C80FBB"/>
    <w:rsid w:val="00C81007"/>
    <w:rsid w:val="00C8104C"/>
    <w:rsid w:val="00C8104E"/>
    <w:rsid w:val="00C81072"/>
    <w:rsid w:val="00C8111C"/>
    <w:rsid w:val="00C81145"/>
    <w:rsid w:val="00C811B4"/>
    <w:rsid w:val="00C811E5"/>
    <w:rsid w:val="00C811EB"/>
    <w:rsid w:val="00C81219"/>
    <w:rsid w:val="00C81248"/>
    <w:rsid w:val="00C81278"/>
    <w:rsid w:val="00C81306"/>
    <w:rsid w:val="00C8132C"/>
    <w:rsid w:val="00C813A8"/>
    <w:rsid w:val="00C813B5"/>
    <w:rsid w:val="00C813B8"/>
    <w:rsid w:val="00C8142A"/>
    <w:rsid w:val="00C81443"/>
    <w:rsid w:val="00C8149D"/>
    <w:rsid w:val="00C814B1"/>
    <w:rsid w:val="00C814BE"/>
    <w:rsid w:val="00C814E6"/>
    <w:rsid w:val="00C815AC"/>
    <w:rsid w:val="00C815E9"/>
    <w:rsid w:val="00C81642"/>
    <w:rsid w:val="00C81674"/>
    <w:rsid w:val="00C8172A"/>
    <w:rsid w:val="00C81759"/>
    <w:rsid w:val="00C81780"/>
    <w:rsid w:val="00C81788"/>
    <w:rsid w:val="00C817E0"/>
    <w:rsid w:val="00C818AE"/>
    <w:rsid w:val="00C818C1"/>
    <w:rsid w:val="00C818C5"/>
    <w:rsid w:val="00C818DC"/>
    <w:rsid w:val="00C81900"/>
    <w:rsid w:val="00C819B8"/>
    <w:rsid w:val="00C81A22"/>
    <w:rsid w:val="00C81A70"/>
    <w:rsid w:val="00C81A85"/>
    <w:rsid w:val="00C81A8B"/>
    <w:rsid w:val="00C81A9D"/>
    <w:rsid w:val="00C81ABB"/>
    <w:rsid w:val="00C81AD5"/>
    <w:rsid w:val="00C81AE5"/>
    <w:rsid w:val="00C81B42"/>
    <w:rsid w:val="00C81B59"/>
    <w:rsid w:val="00C81B96"/>
    <w:rsid w:val="00C81C37"/>
    <w:rsid w:val="00C81C3E"/>
    <w:rsid w:val="00C81C6F"/>
    <w:rsid w:val="00C81DC7"/>
    <w:rsid w:val="00C81E6E"/>
    <w:rsid w:val="00C81E74"/>
    <w:rsid w:val="00C81EA4"/>
    <w:rsid w:val="00C81F46"/>
    <w:rsid w:val="00C81FA3"/>
    <w:rsid w:val="00C81FD6"/>
    <w:rsid w:val="00C82017"/>
    <w:rsid w:val="00C82076"/>
    <w:rsid w:val="00C8208C"/>
    <w:rsid w:val="00C82111"/>
    <w:rsid w:val="00C82185"/>
    <w:rsid w:val="00C821AE"/>
    <w:rsid w:val="00C821DC"/>
    <w:rsid w:val="00C8220C"/>
    <w:rsid w:val="00C82213"/>
    <w:rsid w:val="00C82218"/>
    <w:rsid w:val="00C8234E"/>
    <w:rsid w:val="00C82389"/>
    <w:rsid w:val="00C82394"/>
    <w:rsid w:val="00C823BD"/>
    <w:rsid w:val="00C823FD"/>
    <w:rsid w:val="00C8244B"/>
    <w:rsid w:val="00C82475"/>
    <w:rsid w:val="00C8248C"/>
    <w:rsid w:val="00C82505"/>
    <w:rsid w:val="00C82533"/>
    <w:rsid w:val="00C825BF"/>
    <w:rsid w:val="00C825D0"/>
    <w:rsid w:val="00C82626"/>
    <w:rsid w:val="00C8264F"/>
    <w:rsid w:val="00C8268C"/>
    <w:rsid w:val="00C82724"/>
    <w:rsid w:val="00C827B5"/>
    <w:rsid w:val="00C82857"/>
    <w:rsid w:val="00C828FB"/>
    <w:rsid w:val="00C82939"/>
    <w:rsid w:val="00C8293A"/>
    <w:rsid w:val="00C82986"/>
    <w:rsid w:val="00C82991"/>
    <w:rsid w:val="00C829BE"/>
    <w:rsid w:val="00C829FF"/>
    <w:rsid w:val="00C82A11"/>
    <w:rsid w:val="00C82A17"/>
    <w:rsid w:val="00C82A38"/>
    <w:rsid w:val="00C82A74"/>
    <w:rsid w:val="00C82ABB"/>
    <w:rsid w:val="00C82B09"/>
    <w:rsid w:val="00C82C51"/>
    <w:rsid w:val="00C82D4A"/>
    <w:rsid w:val="00C82D57"/>
    <w:rsid w:val="00C82DF9"/>
    <w:rsid w:val="00C82E51"/>
    <w:rsid w:val="00C82EC2"/>
    <w:rsid w:val="00C82EE0"/>
    <w:rsid w:val="00C82F2F"/>
    <w:rsid w:val="00C82F37"/>
    <w:rsid w:val="00C82F77"/>
    <w:rsid w:val="00C82FCB"/>
    <w:rsid w:val="00C83105"/>
    <w:rsid w:val="00C831B1"/>
    <w:rsid w:val="00C831DF"/>
    <w:rsid w:val="00C83223"/>
    <w:rsid w:val="00C832FD"/>
    <w:rsid w:val="00C833A5"/>
    <w:rsid w:val="00C833B0"/>
    <w:rsid w:val="00C83430"/>
    <w:rsid w:val="00C8349C"/>
    <w:rsid w:val="00C834E7"/>
    <w:rsid w:val="00C83566"/>
    <w:rsid w:val="00C8358D"/>
    <w:rsid w:val="00C835AA"/>
    <w:rsid w:val="00C835B6"/>
    <w:rsid w:val="00C835C9"/>
    <w:rsid w:val="00C83603"/>
    <w:rsid w:val="00C8364B"/>
    <w:rsid w:val="00C836CE"/>
    <w:rsid w:val="00C8371D"/>
    <w:rsid w:val="00C83735"/>
    <w:rsid w:val="00C83775"/>
    <w:rsid w:val="00C837F6"/>
    <w:rsid w:val="00C83826"/>
    <w:rsid w:val="00C83890"/>
    <w:rsid w:val="00C838AE"/>
    <w:rsid w:val="00C838CF"/>
    <w:rsid w:val="00C83985"/>
    <w:rsid w:val="00C839C4"/>
    <w:rsid w:val="00C839C6"/>
    <w:rsid w:val="00C839DD"/>
    <w:rsid w:val="00C839EC"/>
    <w:rsid w:val="00C83A5C"/>
    <w:rsid w:val="00C83A5E"/>
    <w:rsid w:val="00C83A7D"/>
    <w:rsid w:val="00C83A8D"/>
    <w:rsid w:val="00C83B35"/>
    <w:rsid w:val="00C83B53"/>
    <w:rsid w:val="00C83BF6"/>
    <w:rsid w:val="00C83C46"/>
    <w:rsid w:val="00C83C56"/>
    <w:rsid w:val="00C83CDA"/>
    <w:rsid w:val="00C83D38"/>
    <w:rsid w:val="00C83D63"/>
    <w:rsid w:val="00C83DA3"/>
    <w:rsid w:val="00C83E23"/>
    <w:rsid w:val="00C83F04"/>
    <w:rsid w:val="00C83FE9"/>
    <w:rsid w:val="00C84009"/>
    <w:rsid w:val="00C84011"/>
    <w:rsid w:val="00C8403C"/>
    <w:rsid w:val="00C840A5"/>
    <w:rsid w:val="00C840DC"/>
    <w:rsid w:val="00C8414C"/>
    <w:rsid w:val="00C841FB"/>
    <w:rsid w:val="00C8420E"/>
    <w:rsid w:val="00C84293"/>
    <w:rsid w:val="00C842A5"/>
    <w:rsid w:val="00C842A9"/>
    <w:rsid w:val="00C842AC"/>
    <w:rsid w:val="00C84337"/>
    <w:rsid w:val="00C843F5"/>
    <w:rsid w:val="00C84519"/>
    <w:rsid w:val="00C84523"/>
    <w:rsid w:val="00C8453B"/>
    <w:rsid w:val="00C845CC"/>
    <w:rsid w:val="00C847A8"/>
    <w:rsid w:val="00C847AC"/>
    <w:rsid w:val="00C8485D"/>
    <w:rsid w:val="00C84873"/>
    <w:rsid w:val="00C848CC"/>
    <w:rsid w:val="00C84955"/>
    <w:rsid w:val="00C8499E"/>
    <w:rsid w:val="00C849E9"/>
    <w:rsid w:val="00C849F4"/>
    <w:rsid w:val="00C84A6E"/>
    <w:rsid w:val="00C84A7E"/>
    <w:rsid w:val="00C84A86"/>
    <w:rsid w:val="00C84AA2"/>
    <w:rsid w:val="00C84ACB"/>
    <w:rsid w:val="00C84AEE"/>
    <w:rsid w:val="00C84C12"/>
    <w:rsid w:val="00C84C40"/>
    <w:rsid w:val="00C84CA9"/>
    <w:rsid w:val="00C84CC9"/>
    <w:rsid w:val="00C84CDD"/>
    <w:rsid w:val="00C84D15"/>
    <w:rsid w:val="00C84E09"/>
    <w:rsid w:val="00C84ECB"/>
    <w:rsid w:val="00C84EFC"/>
    <w:rsid w:val="00C84F0A"/>
    <w:rsid w:val="00C84F2C"/>
    <w:rsid w:val="00C84F82"/>
    <w:rsid w:val="00C84FB7"/>
    <w:rsid w:val="00C84FC5"/>
    <w:rsid w:val="00C85003"/>
    <w:rsid w:val="00C850AF"/>
    <w:rsid w:val="00C850BA"/>
    <w:rsid w:val="00C850C4"/>
    <w:rsid w:val="00C85109"/>
    <w:rsid w:val="00C85231"/>
    <w:rsid w:val="00C8524B"/>
    <w:rsid w:val="00C85275"/>
    <w:rsid w:val="00C85282"/>
    <w:rsid w:val="00C85306"/>
    <w:rsid w:val="00C85314"/>
    <w:rsid w:val="00C853AB"/>
    <w:rsid w:val="00C853AC"/>
    <w:rsid w:val="00C853C0"/>
    <w:rsid w:val="00C85406"/>
    <w:rsid w:val="00C8540C"/>
    <w:rsid w:val="00C85418"/>
    <w:rsid w:val="00C85493"/>
    <w:rsid w:val="00C854E0"/>
    <w:rsid w:val="00C85504"/>
    <w:rsid w:val="00C85550"/>
    <w:rsid w:val="00C85551"/>
    <w:rsid w:val="00C85564"/>
    <w:rsid w:val="00C8558A"/>
    <w:rsid w:val="00C855BD"/>
    <w:rsid w:val="00C855F6"/>
    <w:rsid w:val="00C85621"/>
    <w:rsid w:val="00C85623"/>
    <w:rsid w:val="00C8571D"/>
    <w:rsid w:val="00C8578E"/>
    <w:rsid w:val="00C85807"/>
    <w:rsid w:val="00C8583B"/>
    <w:rsid w:val="00C85869"/>
    <w:rsid w:val="00C8589D"/>
    <w:rsid w:val="00C858E7"/>
    <w:rsid w:val="00C858EE"/>
    <w:rsid w:val="00C85909"/>
    <w:rsid w:val="00C8591E"/>
    <w:rsid w:val="00C85928"/>
    <w:rsid w:val="00C85959"/>
    <w:rsid w:val="00C859FF"/>
    <w:rsid w:val="00C85A06"/>
    <w:rsid w:val="00C85A59"/>
    <w:rsid w:val="00C85ADC"/>
    <w:rsid w:val="00C85ADE"/>
    <w:rsid w:val="00C85AF5"/>
    <w:rsid w:val="00C85B3D"/>
    <w:rsid w:val="00C85B8F"/>
    <w:rsid w:val="00C85C0B"/>
    <w:rsid w:val="00C85C3C"/>
    <w:rsid w:val="00C85C4E"/>
    <w:rsid w:val="00C85C83"/>
    <w:rsid w:val="00C85C8A"/>
    <w:rsid w:val="00C85CAB"/>
    <w:rsid w:val="00C85D1D"/>
    <w:rsid w:val="00C85DBC"/>
    <w:rsid w:val="00C85DE0"/>
    <w:rsid w:val="00C85E7A"/>
    <w:rsid w:val="00C85EAD"/>
    <w:rsid w:val="00C85ED7"/>
    <w:rsid w:val="00C85EFA"/>
    <w:rsid w:val="00C85F2E"/>
    <w:rsid w:val="00C85FE4"/>
    <w:rsid w:val="00C8600C"/>
    <w:rsid w:val="00C86027"/>
    <w:rsid w:val="00C86034"/>
    <w:rsid w:val="00C8604B"/>
    <w:rsid w:val="00C8609B"/>
    <w:rsid w:val="00C860B4"/>
    <w:rsid w:val="00C860BC"/>
    <w:rsid w:val="00C8633C"/>
    <w:rsid w:val="00C86367"/>
    <w:rsid w:val="00C863CE"/>
    <w:rsid w:val="00C863FC"/>
    <w:rsid w:val="00C86434"/>
    <w:rsid w:val="00C86447"/>
    <w:rsid w:val="00C864A9"/>
    <w:rsid w:val="00C864B2"/>
    <w:rsid w:val="00C86547"/>
    <w:rsid w:val="00C8654B"/>
    <w:rsid w:val="00C865BF"/>
    <w:rsid w:val="00C865E4"/>
    <w:rsid w:val="00C86618"/>
    <w:rsid w:val="00C86630"/>
    <w:rsid w:val="00C86647"/>
    <w:rsid w:val="00C86653"/>
    <w:rsid w:val="00C86663"/>
    <w:rsid w:val="00C86678"/>
    <w:rsid w:val="00C866B4"/>
    <w:rsid w:val="00C866D4"/>
    <w:rsid w:val="00C86704"/>
    <w:rsid w:val="00C86722"/>
    <w:rsid w:val="00C86758"/>
    <w:rsid w:val="00C8676B"/>
    <w:rsid w:val="00C867EF"/>
    <w:rsid w:val="00C86806"/>
    <w:rsid w:val="00C8681F"/>
    <w:rsid w:val="00C86820"/>
    <w:rsid w:val="00C86884"/>
    <w:rsid w:val="00C86896"/>
    <w:rsid w:val="00C868E3"/>
    <w:rsid w:val="00C86935"/>
    <w:rsid w:val="00C86965"/>
    <w:rsid w:val="00C869BE"/>
    <w:rsid w:val="00C869F0"/>
    <w:rsid w:val="00C86ABE"/>
    <w:rsid w:val="00C86B3E"/>
    <w:rsid w:val="00C86B94"/>
    <w:rsid w:val="00C86D00"/>
    <w:rsid w:val="00C86DBE"/>
    <w:rsid w:val="00C86E09"/>
    <w:rsid w:val="00C86E27"/>
    <w:rsid w:val="00C86EA4"/>
    <w:rsid w:val="00C86ECB"/>
    <w:rsid w:val="00C86ECC"/>
    <w:rsid w:val="00C86ED0"/>
    <w:rsid w:val="00C86F12"/>
    <w:rsid w:val="00C86F49"/>
    <w:rsid w:val="00C86FC0"/>
    <w:rsid w:val="00C87012"/>
    <w:rsid w:val="00C8703B"/>
    <w:rsid w:val="00C87134"/>
    <w:rsid w:val="00C87184"/>
    <w:rsid w:val="00C87185"/>
    <w:rsid w:val="00C8724B"/>
    <w:rsid w:val="00C872BF"/>
    <w:rsid w:val="00C872D7"/>
    <w:rsid w:val="00C87308"/>
    <w:rsid w:val="00C87325"/>
    <w:rsid w:val="00C87373"/>
    <w:rsid w:val="00C87383"/>
    <w:rsid w:val="00C8739B"/>
    <w:rsid w:val="00C8740B"/>
    <w:rsid w:val="00C87550"/>
    <w:rsid w:val="00C87563"/>
    <w:rsid w:val="00C875AC"/>
    <w:rsid w:val="00C875B2"/>
    <w:rsid w:val="00C875E6"/>
    <w:rsid w:val="00C875F8"/>
    <w:rsid w:val="00C87648"/>
    <w:rsid w:val="00C876CF"/>
    <w:rsid w:val="00C876E2"/>
    <w:rsid w:val="00C87767"/>
    <w:rsid w:val="00C87779"/>
    <w:rsid w:val="00C87789"/>
    <w:rsid w:val="00C877A4"/>
    <w:rsid w:val="00C877EC"/>
    <w:rsid w:val="00C8780E"/>
    <w:rsid w:val="00C87813"/>
    <w:rsid w:val="00C87833"/>
    <w:rsid w:val="00C878A8"/>
    <w:rsid w:val="00C8795E"/>
    <w:rsid w:val="00C879C4"/>
    <w:rsid w:val="00C87A96"/>
    <w:rsid w:val="00C87B09"/>
    <w:rsid w:val="00C87B5E"/>
    <w:rsid w:val="00C87B6A"/>
    <w:rsid w:val="00C87BD2"/>
    <w:rsid w:val="00C87BF0"/>
    <w:rsid w:val="00C87C15"/>
    <w:rsid w:val="00C87CA0"/>
    <w:rsid w:val="00C87CA3"/>
    <w:rsid w:val="00C87CE4"/>
    <w:rsid w:val="00C87CF4"/>
    <w:rsid w:val="00C87D44"/>
    <w:rsid w:val="00C87D8B"/>
    <w:rsid w:val="00C87D94"/>
    <w:rsid w:val="00C87D99"/>
    <w:rsid w:val="00C87DB1"/>
    <w:rsid w:val="00C87DE3"/>
    <w:rsid w:val="00C87E3B"/>
    <w:rsid w:val="00C87ED9"/>
    <w:rsid w:val="00C87EFC"/>
    <w:rsid w:val="00C87F26"/>
    <w:rsid w:val="00C87F2C"/>
    <w:rsid w:val="00C87FCE"/>
    <w:rsid w:val="00C87FE2"/>
    <w:rsid w:val="00C9007B"/>
    <w:rsid w:val="00C90087"/>
    <w:rsid w:val="00C90099"/>
    <w:rsid w:val="00C900CA"/>
    <w:rsid w:val="00C900D1"/>
    <w:rsid w:val="00C9012E"/>
    <w:rsid w:val="00C90170"/>
    <w:rsid w:val="00C901A1"/>
    <w:rsid w:val="00C901D1"/>
    <w:rsid w:val="00C90229"/>
    <w:rsid w:val="00C902F8"/>
    <w:rsid w:val="00C90355"/>
    <w:rsid w:val="00C90383"/>
    <w:rsid w:val="00C903AE"/>
    <w:rsid w:val="00C903C7"/>
    <w:rsid w:val="00C903D4"/>
    <w:rsid w:val="00C90441"/>
    <w:rsid w:val="00C90454"/>
    <w:rsid w:val="00C904A5"/>
    <w:rsid w:val="00C9050B"/>
    <w:rsid w:val="00C90627"/>
    <w:rsid w:val="00C9062A"/>
    <w:rsid w:val="00C90674"/>
    <w:rsid w:val="00C9068E"/>
    <w:rsid w:val="00C90716"/>
    <w:rsid w:val="00C9077B"/>
    <w:rsid w:val="00C9079E"/>
    <w:rsid w:val="00C907BA"/>
    <w:rsid w:val="00C9086D"/>
    <w:rsid w:val="00C9087C"/>
    <w:rsid w:val="00C9088A"/>
    <w:rsid w:val="00C909C9"/>
    <w:rsid w:val="00C909CC"/>
    <w:rsid w:val="00C909CD"/>
    <w:rsid w:val="00C909F3"/>
    <w:rsid w:val="00C90A0E"/>
    <w:rsid w:val="00C90A42"/>
    <w:rsid w:val="00C90A43"/>
    <w:rsid w:val="00C90A4B"/>
    <w:rsid w:val="00C90A7C"/>
    <w:rsid w:val="00C90A93"/>
    <w:rsid w:val="00C90B7B"/>
    <w:rsid w:val="00C90BE7"/>
    <w:rsid w:val="00C90C37"/>
    <w:rsid w:val="00C90C54"/>
    <w:rsid w:val="00C90C8E"/>
    <w:rsid w:val="00C90C8F"/>
    <w:rsid w:val="00C90CB0"/>
    <w:rsid w:val="00C90CD2"/>
    <w:rsid w:val="00C90D53"/>
    <w:rsid w:val="00C90D69"/>
    <w:rsid w:val="00C90D92"/>
    <w:rsid w:val="00C90DCC"/>
    <w:rsid w:val="00C90E0E"/>
    <w:rsid w:val="00C90ECC"/>
    <w:rsid w:val="00C90EFC"/>
    <w:rsid w:val="00C90F5C"/>
    <w:rsid w:val="00C90FE8"/>
    <w:rsid w:val="00C91199"/>
    <w:rsid w:val="00C911AF"/>
    <w:rsid w:val="00C91201"/>
    <w:rsid w:val="00C91218"/>
    <w:rsid w:val="00C9122C"/>
    <w:rsid w:val="00C91232"/>
    <w:rsid w:val="00C91240"/>
    <w:rsid w:val="00C91257"/>
    <w:rsid w:val="00C9132B"/>
    <w:rsid w:val="00C91338"/>
    <w:rsid w:val="00C91444"/>
    <w:rsid w:val="00C91471"/>
    <w:rsid w:val="00C9148E"/>
    <w:rsid w:val="00C91554"/>
    <w:rsid w:val="00C915AD"/>
    <w:rsid w:val="00C915E3"/>
    <w:rsid w:val="00C915F4"/>
    <w:rsid w:val="00C915FD"/>
    <w:rsid w:val="00C9161B"/>
    <w:rsid w:val="00C91632"/>
    <w:rsid w:val="00C91635"/>
    <w:rsid w:val="00C9166F"/>
    <w:rsid w:val="00C9170D"/>
    <w:rsid w:val="00C917C0"/>
    <w:rsid w:val="00C917F0"/>
    <w:rsid w:val="00C91848"/>
    <w:rsid w:val="00C91865"/>
    <w:rsid w:val="00C918A7"/>
    <w:rsid w:val="00C918BA"/>
    <w:rsid w:val="00C918F8"/>
    <w:rsid w:val="00C91902"/>
    <w:rsid w:val="00C91908"/>
    <w:rsid w:val="00C9193F"/>
    <w:rsid w:val="00C9198F"/>
    <w:rsid w:val="00C919AD"/>
    <w:rsid w:val="00C919B7"/>
    <w:rsid w:val="00C919F7"/>
    <w:rsid w:val="00C91A52"/>
    <w:rsid w:val="00C91A87"/>
    <w:rsid w:val="00C91AAE"/>
    <w:rsid w:val="00C91B80"/>
    <w:rsid w:val="00C91C12"/>
    <w:rsid w:val="00C91C74"/>
    <w:rsid w:val="00C91CA3"/>
    <w:rsid w:val="00C91CF3"/>
    <w:rsid w:val="00C91D4E"/>
    <w:rsid w:val="00C91D52"/>
    <w:rsid w:val="00C91D74"/>
    <w:rsid w:val="00C91D79"/>
    <w:rsid w:val="00C91D7B"/>
    <w:rsid w:val="00C91D94"/>
    <w:rsid w:val="00C91DF3"/>
    <w:rsid w:val="00C91DF9"/>
    <w:rsid w:val="00C91E52"/>
    <w:rsid w:val="00C91ED9"/>
    <w:rsid w:val="00C91EE4"/>
    <w:rsid w:val="00C91F70"/>
    <w:rsid w:val="00C92004"/>
    <w:rsid w:val="00C92038"/>
    <w:rsid w:val="00C92059"/>
    <w:rsid w:val="00C9209F"/>
    <w:rsid w:val="00C9213A"/>
    <w:rsid w:val="00C92160"/>
    <w:rsid w:val="00C921BD"/>
    <w:rsid w:val="00C921C4"/>
    <w:rsid w:val="00C921F8"/>
    <w:rsid w:val="00C92238"/>
    <w:rsid w:val="00C922C2"/>
    <w:rsid w:val="00C922E7"/>
    <w:rsid w:val="00C9234D"/>
    <w:rsid w:val="00C923C8"/>
    <w:rsid w:val="00C923FB"/>
    <w:rsid w:val="00C92424"/>
    <w:rsid w:val="00C924C2"/>
    <w:rsid w:val="00C92501"/>
    <w:rsid w:val="00C9250B"/>
    <w:rsid w:val="00C925F2"/>
    <w:rsid w:val="00C9261D"/>
    <w:rsid w:val="00C92664"/>
    <w:rsid w:val="00C9269A"/>
    <w:rsid w:val="00C926B3"/>
    <w:rsid w:val="00C926CE"/>
    <w:rsid w:val="00C926E0"/>
    <w:rsid w:val="00C926E6"/>
    <w:rsid w:val="00C92714"/>
    <w:rsid w:val="00C92728"/>
    <w:rsid w:val="00C92760"/>
    <w:rsid w:val="00C92786"/>
    <w:rsid w:val="00C92787"/>
    <w:rsid w:val="00C9279F"/>
    <w:rsid w:val="00C9283F"/>
    <w:rsid w:val="00C928B1"/>
    <w:rsid w:val="00C928B7"/>
    <w:rsid w:val="00C9293F"/>
    <w:rsid w:val="00C92945"/>
    <w:rsid w:val="00C92974"/>
    <w:rsid w:val="00C929A5"/>
    <w:rsid w:val="00C929F4"/>
    <w:rsid w:val="00C92A19"/>
    <w:rsid w:val="00C92B11"/>
    <w:rsid w:val="00C92BAE"/>
    <w:rsid w:val="00C92BB5"/>
    <w:rsid w:val="00C92BD6"/>
    <w:rsid w:val="00C92BD7"/>
    <w:rsid w:val="00C92C07"/>
    <w:rsid w:val="00C92C09"/>
    <w:rsid w:val="00C92CC2"/>
    <w:rsid w:val="00C92CE1"/>
    <w:rsid w:val="00C92CE3"/>
    <w:rsid w:val="00C92D64"/>
    <w:rsid w:val="00C92D7D"/>
    <w:rsid w:val="00C92DA0"/>
    <w:rsid w:val="00C92DAB"/>
    <w:rsid w:val="00C92DB8"/>
    <w:rsid w:val="00C92E63"/>
    <w:rsid w:val="00C92E71"/>
    <w:rsid w:val="00C92ED1"/>
    <w:rsid w:val="00C92F4C"/>
    <w:rsid w:val="00C92F61"/>
    <w:rsid w:val="00C92F7B"/>
    <w:rsid w:val="00C92FF5"/>
    <w:rsid w:val="00C93035"/>
    <w:rsid w:val="00C9305C"/>
    <w:rsid w:val="00C930C6"/>
    <w:rsid w:val="00C930D2"/>
    <w:rsid w:val="00C930F3"/>
    <w:rsid w:val="00C93134"/>
    <w:rsid w:val="00C93163"/>
    <w:rsid w:val="00C93191"/>
    <w:rsid w:val="00C93230"/>
    <w:rsid w:val="00C9324D"/>
    <w:rsid w:val="00C93268"/>
    <w:rsid w:val="00C93298"/>
    <w:rsid w:val="00C932AC"/>
    <w:rsid w:val="00C932FD"/>
    <w:rsid w:val="00C93359"/>
    <w:rsid w:val="00C9338B"/>
    <w:rsid w:val="00C933CD"/>
    <w:rsid w:val="00C933DD"/>
    <w:rsid w:val="00C933EC"/>
    <w:rsid w:val="00C933F7"/>
    <w:rsid w:val="00C93466"/>
    <w:rsid w:val="00C9347A"/>
    <w:rsid w:val="00C93492"/>
    <w:rsid w:val="00C934EC"/>
    <w:rsid w:val="00C93596"/>
    <w:rsid w:val="00C935A7"/>
    <w:rsid w:val="00C935BB"/>
    <w:rsid w:val="00C9361C"/>
    <w:rsid w:val="00C93675"/>
    <w:rsid w:val="00C93698"/>
    <w:rsid w:val="00C93752"/>
    <w:rsid w:val="00C9376B"/>
    <w:rsid w:val="00C93787"/>
    <w:rsid w:val="00C937CD"/>
    <w:rsid w:val="00C93844"/>
    <w:rsid w:val="00C93865"/>
    <w:rsid w:val="00C938DF"/>
    <w:rsid w:val="00C93908"/>
    <w:rsid w:val="00C93929"/>
    <w:rsid w:val="00C9397A"/>
    <w:rsid w:val="00C93999"/>
    <w:rsid w:val="00C939A6"/>
    <w:rsid w:val="00C939B7"/>
    <w:rsid w:val="00C939CA"/>
    <w:rsid w:val="00C939DF"/>
    <w:rsid w:val="00C939ED"/>
    <w:rsid w:val="00C93A8A"/>
    <w:rsid w:val="00C93A94"/>
    <w:rsid w:val="00C93B2C"/>
    <w:rsid w:val="00C93B50"/>
    <w:rsid w:val="00C93B89"/>
    <w:rsid w:val="00C93BBF"/>
    <w:rsid w:val="00C93BEC"/>
    <w:rsid w:val="00C93C01"/>
    <w:rsid w:val="00C93C68"/>
    <w:rsid w:val="00C93CB9"/>
    <w:rsid w:val="00C93CBC"/>
    <w:rsid w:val="00C93D1A"/>
    <w:rsid w:val="00C93D20"/>
    <w:rsid w:val="00C93E05"/>
    <w:rsid w:val="00C93E30"/>
    <w:rsid w:val="00C93E4A"/>
    <w:rsid w:val="00C93E71"/>
    <w:rsid w:val="00C93EAC"/>
    <w:rsid w:val="00C93EBA"/>
    <w:rsid w:val="00C93ECB"/>
    <w:rsid w:val="00C93F3E"/>
    <w:rsid w:val="00C93F64"/>
    <w:rsid w:val="00C93F92"/>
    <w:rsid w:val="00C94026"/>
    <w:rsid w:val="00C9404C"/>
    <w:rsid w:val="00C94065"/>
    <w:rsid w:val="00C940AC"/>
    <w:rsid w:val="00C940C1"/>
    <w:rsid w:val="00C940DD"/>
    <w:rsid w:val="00C94113"/>
    <w:rsid w:val="00C9411A"/>
    <w:rsid w:val="00C94142"/>
    <w:rsid w:val="00C9416D"/>
    <w:rsid w:val="00C941B7"/>
    <w:rsid w:val="00C941D3"/>
    <w:rsid w:val="00C941DB"/>
    <w:rsid w:val="00C9421B"/>
    <w:rsid w:val="00C942EF"/>
    <w:rsid w:val="00C94306"/>
    <w:rsid w:val="00C94307"/>
    <w:rsid w:val="00C94312"/>
    <w:rsid w:val="00C94346"/>
    <w:rsid w:val="00C943AC"/>
    <w:rsid w:val="00C9441F"/>
    <w:rsid w:val="00C94441"/>
    <w:rsid w:val="00C94461"/>
    <w:rsid w:val="00C94486"/>
    <w:rsid w:val="00C9449B"/>
    <w:rsid w:val="00C944BD"/>
    <w:rsid w:val="00C944EC"/>
    <w:rsid w:val="00C944F2"/>
    <w:rsid w:val="00C944F8"/>
    <w:rsid w:val="00C944FE"/>
    <w:rsid w:val="00C94520"/>
    <w:rsid w:val="00C9452A"/>
    <w:rsid w:val="00C9456E"/>
    <w:rsid w:val="00C94577"/>
    <w:rsid w:val="00C945B0"/>
    <w:rsid w:val="00C945B8"/>
    <w:rsid w:val="00C945E1"/>
    <w:rsid w:val="00C94656"/>
    <w:rsid w:val="00C946D3"/>
    <w:rsid w:val="00C946DB"/>
    <w:rsid w:val="00C946FB"/>
    <w:rsid w:val="00C9477A"/>
    <w:rsid w:val="00C94796"/>
    <w:rsid w:val="00C947ED"/>
    <w:rsid w:val="00C9481C"/>
    <w:rsid w:val="00C94832"/>
    <w:rsid w:val="00C94878"/>
    <w:rsid w:val="00C94892"/>
    <w:rsid w:val="00C948C1"/>
    <w:rsid w:val="00C9499C"/>
    <w:rsid w:val="00C949CD"/>
    <w:rsid w:val="00C94A13"/>
    <w:rsid w:val="00C94A42"/>
    <w:rsid w:val="00C94A47"/>
    <w:rsid w:val="00C94A65"/>
    <w:rsid w:val="00C94A67"/>
    <w:rsid w:val="00C94A76"/>
    <w:rsid w:val="00C94A93"/>
    <w:rsid w:val="00C94B2A"/>
    <w:rsid w:val="00C94B40"/>
    <w:rsid w:val="00C94BB0"/>
    <w:rsid w:val="00C94C77"/>
    <w:rsid w:val="00C94CAC"/>
    <w:rsid w:val="00C94CC6"/>
    <w:rsid w:val="00C94CC8"/>
    <w:rsid w:val="00C94D22"/>
    <w:rsid w:val="00C94D6A"/>
    <w:rsid w:val="00C94D78"/>
    <w:rsid w:val="00C94D9E"/>
    <w:rsid w:val="00C94DD0"/>
    <w:rsid w:val="00C94E0B"/>
    <w:rsid w:val="00C94E17"/>
    <w:rsid w:val="00C94F29"/>
    <w:rsid w:val="00C94F86"/>
    <w:rsid w:val="00C94F90"/>
    <w:rsid w:val="00C94FAA"/>
    <w:rsid w:val="00C94FAF"/>
    <w:rsid w:val="00C95021"/>
    <w:rsid w:val="00C95046"/>
    <w:rsid w:val="00C950B6"/>
    <w:rsid w:val="00C950B9"/>
    <w:rsid w:val="00C9511D"/>
    <w:rsid w:val="00C9512B"/>
    <w:rsid w:val="00C9514B"/>
    <w:rsid w:val="00C95160"/>
    <w:rsid w:val="00C951A0"/>
    <w:rsid w:val="00C951B4"/>
    <w:rsid w:val="00C9521B"/>
    <w:rsid w:val="00C95232"/>
    <w:rsid w:val="00C95254"/>
    <w:rsid w:val="00C9527B"/>
    <w:rsid w:val="00C952A0"/>
    <w:rsid w:val="00C952DE"/>
    <w:rsid w:val="00C95370"/>
    <w:rsid w:val="00C953BA"/>
    <w:rsid w:val="00C953E1"/>
    <w:rsid w:val="00C953E5"/>
    <w:rsid w:val="00C95470"/>
    <w:rsid w:val="00C954D3"/>
    <w:rsid w:val="00C9550A"/>
    <w:rsid w:val="00C95576"/>
    <w:rsid w:val="00C9559A"/>
    <w:rsid w:val="00C955A1"/>
    <w:rsid w:val="00C95604"/>
    <w:rsid w:val="00C9560F"/>
    <w:rsid w:val="00C956B6"/>
    <w:rsid w:val="00C956CC"/>
    <w:rsid w:val="00C956E1"/>
    <w:rsid w:val="00C9571E"/>
    <w:rsid w:val="00C9572D"/>
    <w:rsid w:val="00C9574C"/>
    <w:rsid w:val="00C95758"/>
    <w:rsid w:val="00C95790"/>
    <w:rsid w:val="00C957D3"/>
    <w:rsid w:val="00C958A5"/>
    <w:rsid w:val="00C95927"/>
    <w:rsid w:val="00C9594C"/>
    <w:rsid w:val="00C9594E"/>
    <w:rsid w:val="00C95978"/>
    <w:rsid w:val="00C9597D"/>
    <w:rsid w:val="00C95982"/>
    <w:rsid w:val="00C9598F"/>
    <w:rsid w:val="00C959B8"/>
    <w:rsid w:val="00C959CF"/>
    <w:rsid w:val="00C959F2"/>
    <w:rsid w:val="00C95A55"/>
    <w:rsid w:val="00C95A57"/>
    <w:rsid w:val="00C95A5F"/>
    <w:rsid w:val="00C95A65"/>
    <w:rsid w:val="00C95ACB"/>
    <w:rsid w:val="00C95B1A"/>
    <w:rsid w:val="00C95B4F"/>
    <w:rsid w:val="00C95B6E"/>
    <w:rsid w:val="00C95B82"/>
    <w:rsid w:val="00C95BD8"/>
    <w:rsid w:val="00C95BDE"/>
    <w:rsid w:val="00C95C2B"/>
    <w:rsid w:val="00C95D2F"/>
    <w:rsid w:val="00C95D97"/>
    <w:rsid w:val="00C95DB4"/>
    <w:rsid w:val="00C95DED"/>
    <w:rsid w:val="00C95E30"/>
    <w:rsid w:val="00C95E6F"/>
    <w:rsid w:val="00C95EC5"/>
    <w:rsid w:val="00C95ECA"/>
    <w:rsid w:val="00C95ED6"/>
    <w:rsid w:val="00C95F40"/>
    <w:rsid w:val="00C95F54"/>
    <w:rsid w:val="00C95F79"/>
    <w:rsid w:val="00C95FB0"/>
    <w:rsid w:val="00C9612B"/>
    <w:rsid w:val="00C961C6"/>
    <w:rsid w:val="00C962C9"/>
    <w:rsid w:val="00C962CD"/>
    <w:rsid w:val="00C96308"/>
    <w:rsid w:val="00C9636B"/>
    <w:rsid w:val="00C96392"/>
    <w:rsid w:val="00C9642A"/>
    <w:rsid w:val="00C965AD"/>
    <w:rsid w:val="00C965C9"/>
    <w:rsid w:val="00C965D6"/>
    <w:rsid w:val="00C9660D"/>
    <w:rsid w:val="00C96644"/>
    <w:rsid w:val="00C9665D"/>
    <w:rsid w:val="00C96687"/>
    <w:rsid w:val="00C966F5"/>
    <w:rsid w:val="00C9670E"/>
    <w:rsid w:val="00C96714"/>
    <w:rsid w:val="00C96732"/>
    <w:rsid w:val="00C9677A"/>
    <w:rsid w:val="00C9677D"/>
    <w:rsid w:val="00C967B0"/>
    <w:rsid w:val="00C967CD"/>
    <w:rsid w:val="00C967E3"/>
    <w:rsid w:val="00C967F2"/>
    <w:rsid w:val="00C967F4"/>
    <w:rsid w:val="00C967F7"/>
    <w:rsid w:val="00C967FF"/>
    <w:rsid w:val="00C96882"/>
    <w:rsid w:val="00C968D1"/>
    <w:rsid w:val="00C9690D"/>
    <w:rsid w:val="00C96912"/>
    <w:rsid w:val="00C969EA"/>
    <w:rsid w:val="00C969F3"/>
    <w:rsid w:val="00C96A15"/>
    <w:rsid w:val="00C96A37"/>
    <w:rsid w:val="00C96A61"/>
    <w:rsid w:val="00C96A71"/>
    <w:rsid w:val="00C96A8F"/>
    <w:rsid w:val="00C96AD1"/>
    <w:rsid w:val="00C96B02"/>
    <w:rsid w:val="00C96B10"/>
    <w:rsid w:val="00C96B91"/>
    <w:rsid w:val="00C96BBB"/>
    <w:rsid w:val="00C96BE9"/>
    <w:rsid w:val="00C96C31"/>
    <w:rsid w:val="00C96C8E"/>
    <w:rsid w:val="00C96D02"/>
    <w:rsid w:val="00C96D63"/>
    <w:rsid w:val="00C96D67"/>
    <w:rsid w:val="00C96DAC"/>
    <w:rsid w:val="00C96DEF"/>
    <w:rsid w:val="00C96E82"/>
    <w:rsid w:val="00C96E96"/>
    <w:rsid w:val="00C96F2A"/>
    <w:rsid w:val="00C96F91"/>
    <w:rsid w:val="00C96FF7"/>
    <w:rsid w:val="00C970A3"/>
    <w:rsid w:val="00C970EB"/>
    <w:rsid w:val="00C970EF"/>
    <w:rsid w:val="00C97120"/>
    <w:rsid w:val="00C97134"/>
    <w:rsid w:val="00C971C7"/>
    <w:rsid w:val="00C971DC"/>
    <w:rsid w:val="00C971E7"/>
    <w:rsid w:val="00C97277"/>
    <w:rsid w:val="00C9728F"/>
    <w:rsid w:val="00C9737B"/>
    <w:rsid w:val="00C97413"/>
    <w:rsid w:val="00C97454"/>
    <w:rsid w:val="00C9745D"/>
    <w:rsid w:val="00C97528"/>
    <w:rsid w:val="00C97529"/>
    <w:rsid w:val="00C9752C"/>
    <w:rsid w:val="00C97538"/>
    <w:rsid w:val="00C97591"/>
    <w:rsid w:val="00C97616"/>
    <w:rsid w:val="00C97620"/>
    <w:rsid w:val="00C9763F"/>
    <w:rsid w:val="00C976D2"/>
    <w:rsid w:val="00C9774A"/>
    <w:rsid w:val="00C977CC"/>
    <w:rsid w:val="00C977FF"/>
    <w:rsid w:val="00C97889"/>
    <w:rsid w:val="00C978AB"/>
    <w:rsid w:val="00C97919"/>
    <w:rsid w:val="00C9791E"/>
    <w:rsid w:val="00C97945"/>
    <w:rsid w:val="00C97990"/>
    <w:rsid w:val="00C979B4"/>
    <w:rsid w:val="00C979FB"/>
    <w:rsid w:val="00C97A08"/>
    <w:rsid w:val="00C97A3F"/>
    <w:rsid w:val="00C97AA8"/>
    <w:rsid w:val="00C97AD3"/>
    <w:rsid w:val="00C97B09"/>
    <w:rsid w:val="00C97B27"/>
    <w:rsid w:val="00C97B30"/>
    <w:rsid w:val="00C97B87"/>
    <w:rsid w:val="00C97B8B"/>
    <w:rsid w:val="00C97B94"/>
    <w:rsid w:val="00C97B9B"/>
    <w:rsid w:val="00C97BCE"/>
    <w:rsid w:val="00C97BF9"/>
    <w:rsid w:val="00C97C2F"/>
    <w:rsid w:val="00C97C85"/>
    <w:rsid w:val="00C97DAF"/>
    <w:rsid w:val="00C97DB9"/>
    <w:rsid w:val="00C97DD0"/>
    <w:rsid w:val="00C97E1D"/>
    <w:rsid w:val="00C97E49"/>
    <w:rsid w:val="00C97EE9"/>
    <w:rsid w:val="00C97F40"/>
    <w:rsid w:val="00CA002C"/>
    <w:rsid w:val="00CA00B1"/>
    <w:rsid w:val="00CA00D9"/>
    <w:rsid w:val="00CA0116"/>
    <w:rsid w:val="00CA0126"/>
    <w:rsid w:val="00CA01AB"/>
    <w:rsid w:val="00CA01C2"/>
    <w:rsid w:val="00CA01CF"/>
    <w:rsid w:val="00CA01DE"/>
    <w:rsid w:val="00CA0223"/>
    <w:rsid w:val="00CA02AA"/>
    <w:rsid w:val="00CA032F"/>
    <w:rsid w:val="00CA038D"/>
    <w:rsid w:val="00CA03A3"/>
    <w:rsid w:val="00CA03DC"/>
    <w:rsid w:val="00CA03EA"/>
    <w:rsid w:val="00CA0419"/>
    <w:rsid w:val="00CA0456"/>
    <w:rsid w:val="00CA0459"/>
    <w:rsid w:val="00CA049C"/>
    <w:rsid w:val="00CA0507"/>
    <w:rsid w:val="00CA0525"/>
    <w:rsid w:val="00CA0556"/>
    <w:rsid w:val="00CA0626"/>
    <w:rsid w:val="00CA0630"/>
    <w:rsid w:val="00CA0645"/>
    <w:rsid w:val="00CA06B1"/>
    <w:rsid w:val="00CA0785"/>
    <w:rsid w:val="00CA080E"/>
    <w:rsid w:val="00CA081E"/>
    <w:rsid w:val="00CA086A"/>
    <w:rsid w:val="00CA08B4"/>
    <w:rsid w:val="00CA08FA"/>
    <w:rsid w:val="00CA0932"/>
    <w:rsid w:val="00CA0938"/>
    <w:rsid w:val="00CA0973"/>
    <w:rsid w:val="00CA098D"/>
    <w:rsid w:val="00CA0A35"/>
    <w:rsid w:val="00CA0A46"/>
    <w:rsid w:val="00CA0A57"/>
    <w:rsid w:val="00CA0A78"/>
    <w:rsid w:val="00CA0A7D"/>
    <w:rsid w:val="00CA0A86"/>
    <w:rsid w:val="00CA0B3B"/>
    <w:rsid w:val="00CA0B50"/>
    <w:rsid w:val="00CA0BBA"/>
    <w:rsid w:val="00CA0BF5"/>
    <w:rsid w:val="00CA0C14"/>
    <w:rsid w:val="00CA0C35"/>
    <w:rsid w:val="00CA0C56"/>
    <w:rsid w:val="00CA0C93"/>
    <w:rsid w:val="00CA0D04"/>
    <w:rsid w:val="00CA0D12"/>
    <w:rsid w:val="00CA0D60"/>
    <w:rsid w:val="00CA0DCC"/>
    <w:rsid w:val="00CA0DE6"/>
    <w:rsid w:val="00CA0DEC"/>
    <w:rsid w:val="00CA0E4B"/>
    <w:rsid w:val="00CA0E74"/>
    <w:rsid w:val="00CA0F6D"/>
    <w:rsid w:val="00CA0F8E"/>
    <w:rsid w:val="00CA10C9"/>
    <w:rsid w:val="00CA10D6"/>
    <w:rsid w:val="00CA111E"/>
    <w:rsid w:val="00CA113E"/>
    <w:rsid w:val="00CA114A"/>
    <w:rsid w:val="00CA115D"/>
    <w:rsid w:val="00CA1189"/>
    <w:rsid w:val="00CA11C0"/>
    <w:rsid w:val="00CA11C5"/>
    <w:rsid w:val="00CA11EA"/>
    <w:rsid w:val="00CA120F"/>
    <w:rsid w:val="00CA123B"/>
    <w:rsid w:val="00CA1258"/>
    <w:rsid w:val="00CA1266"/>
    <w:rsid w:val="00CA12B9"/>
    <w:rsid w:val="00CA12C0"/>
    <w:rsid w:val="00CA1383"/>
    <w:rsid w:val="00CA1398"/>
    <w:rsid w:val="00CA13EB"/>
    <w:rsid w:val="00CA141A"/>
    <w:rsid w:val="00CA1438"/>
    <w:rsid w:val="00CA143C"/>
    <w:rsid w:val="00CA14F6"/>
    <w:rsid w:val="00CA15BA"/>
    <w:rsid w:val="00CA1645"/>
    <w:rsid w:val="00CA16E7"/>
    <w:rsid w:val="00CA16FB"/>
    <w:rsid w:val="00CA1750"/>
    <w:rsid w:val="00CA17A7"/>
    <w:rsid w:val="00CA17C9"/>
    <w:rsid w:val="00CA17FB"/>
    <w:rsid w:val="00CA18F5"/>
    <w:rsid w:val="00CA190A"/>
    <w:rsid w:val="00CA1975"/>
    <w:rsid w:val="00CA19B4"/>
    <w:rsid w:val="00CA19C8"/>
    <w:rsid w:val="00CA1A37"/>
    <w:rsid w:val="00CA1A3A"/>
    <w:rsid w:val="00CA1A4A"/>
    <w:rsid w:val="00CA1A4C"/>
    <w:rsid w:val="00CA1A5C"/>
    <w:rsid w:val="00CA1A65"/>
    <w:rsid w:val="00CA1AA5"/>
    <w:rsid w:val="00CA1AE0"/>
    <w:rsid w:val="00CA1BB5"/>
    <w:rsid w:val="00CA1C15"/>
    <w:rsid w:val="00CA1C19"/>
    <w:rsid w:val="00CA1C53"/>
    <w:rsid w:val="00CA1CC4"/>
    <w:rsid w:val="00CA1D57"/>
    <w:rsid w:val="00CA1D69"/>
    <w:rsid w:val="00CA1D6B"/>
    <w:rsid w:val="00CA1D6F"/>
    <w:rsid w:val="00CA1D74"/>
    <w:rsid w:val="00CA1DE7"/>
    <w:rsid w:val="00CA1DFE"/>
    <w:rsid w:val="00CA1E2C"/>
    <w:rsid w:val="00CA1E8D"/>
    <w:rsid w:val="00CA1E96"/>
    <w:rsid w:val="00CA1EDE"/>
    <w:rsid w:val="00CA1EEC"/>
    <w:rsid w:val="00CA1EF0"/>
    <w:rsid w:val="00CA1EF3"/>
    <w:rsid w:val="00CA1F71"/>
    <w:rsid w:val="00CA2004"/>
    <w:rsid w:val="00CA2099"/>
    <w:rsid w:val="00CA20A4"/>
    <w:rsid w:val="00CA2130"/>
    <w:rsid w:val="00CA217A"/>
    <w:rsid w:val="00CA21BC"/>
    <w:rsid w:val="00CA222B"/>
    <w:rsid w:val="00CA2267"/>
    <w:rsid w:val="00CA22EB"/>
    <w:rsid w:val="00CA22F8"/>
    <w:rsid w:val="00CA2383"/>
    <w:rsid w:val="00CA238A"/>
    <w:rsid w:val="00CA23A8"/>
    <w:rsid w:val="00CA23C3"/>
    <w:rsid w:val="00CA2423"/>
    <w:rsid w:val="00CA244D"/>
    <w:rsid w:val="00CA2456"/>
    <w:rsid w:val="00CA24B7"/>
    <w:rsid w:val="00CA25DF"/>
    <w:rsid w:val="00CA2609"/>
    <w:rsid w:val="00CA2627"/>
    <w:rsid w:val="00CA2690"/>
    <w:rsid w:val="00CA2753"/>
    <w:rsid w:val="00CA27C1"/>
    <w:rsid w:val="00CA27D9"/>
    <w:rsid w:val="00CA27E7"/>
    <w:rsid w:val="00CA27ED"/>
    <w:rsid w:val="00CA2837"/>
    <w:rsid w:val="00CA2885"/>
    <w:rsid w:val="00CA28A0"/>
    <w:rsid w:val="00CA2919"/>
    <w:rsid w:val="00CA2932"/>
    <w:rsid w:val="00CA2987"/>
    <w:rsid w:val="00CA29C8"/>
    <w:rsid w:val="00CA29CE"/>
    <w:rsid w:val="00CA29E2"/>
    <w:rsid w:val="00CA29EC"/>
    <w:rsid w:val="00CA29F0"/>
    <w:rsid w:val="00CA2ADE"/>
    <w:rsid w:val="00CA2B23"/>
    <w:rsid w:val="00CA2B37"/>
    <w:rsid w:val="00CA2B43"/>
    <w:rsid w:val="00CA2B61"/>
    <w:rsid w:val="00CA2B6D"/>
    <w:rsid w:val="00CA2B93"/>
    <w:rsid w:val="00CA2B94"/>
    <w:rsid w:val="00CA2BB3"/>
    <w:rsid w:val="00CA2BF4"/>
    <w:rsid w:val="00CA2C34"/>
    <w:rsid w:val="00CA2C55"/>
    <w:rsid w:val="00CA2C56"/>
    <w:rsid w:val="00CA2C80"/>
    <w:rsid w:val="00CA2C82"/>
    <w:rsid w:val="00CA2C92"/>
    <w:rsid w:val="00CA2C97"/>
    <w:rsid w:val="00CA2CC9"/>
    <w:rsid w:val="00CA2D7E"/>
    <w:rsid w:val="00CA2D8B"/>
    <w:rsid w:val="00CA2DAF"/>
    <w:rsid w:val="00CA2DB6"/>
    <w:rsid w:val="00CA2DD4"/>
    <w:rsid w:val="00CA2DD8"/>
    <w:rsid w:val="00CA2E08"/>
    <w:rsid w:val="00CA2F2C"/>
    <w:rsid w:val="00CA2F77"/>
    <w:rsid w:val="00CA3009"/>
    <w:rsid w:val="00CA3018"/>
    <w:rsid w:val="00CA301D"/>
    <w:rsid w:val="00CA302C"/>
    <w:rsid w:val="00CA3031"/>
    <w:rsid w:val="00CA3038"/>
    <w:rsid w:val="00CA30A0"/>
    <w:rsid w:val="00CA30BB"/>
    <w:rsid w:val="00CA30C5"/>
    <w:rsid w:val="00CA3111"/>
    <w:rsid w:val="00CA3121"/>
    <w:rsid w:val="00CA31CC"/>
    <w:rsid w:val="00CA3230"/>
    <w:rsid w:val="00CA323E"/>
    <w:rsid w:val="00CA325F"/>
    <w:rsid w:val="00CA3265"/>
    <w:rsid w:val="00CA32B8"/>
    <w:rsid w:val="00CA32BC"/>
    <w:rsid w:val="00CA32E8"/>
    <w:rsid w:val="00CA3366"/>
    <w:rsid w:val="00CA33CE"/>
    <w:rsid w:val="00CA33F8"/>
    <w:rsid w:val="00CA3419"/>
    <w:rsid w:val="00CA3481"/>
    <w:rsid w:val="00CA34A1"/>
    <w:rsid w:val="00CA34C1"/>
    <w:rsid w:val="00CA34D3"/>
    <w:rsid w:val="00CA35C5"/>
    <w:rsid w:val="00CA35F4"/>
    <w:rsid w:val="00CA3659"/>
    <w:rsid w:val="00CA368C"/>
    <w:rsid w:val="00CA3693"/>
    <w:rsid w:val="00CA37AD"/>
    <w:rsid w:val="00CA37FB"/>
    <w:rsid w:val="00CA3875"/>
    <w:rsid w:val="00CA390A"/>
    <w:rsid w:val="00CA392C"/>
    <w:rsid w:val="00CA396C"/>
    <w:rsid w:val="00CA397F"/>
    <w:rsid w:val="00CA39CF"/>
    <w:rsid w:val="00CA3AA6"/>
    <w:rsid w:val="00CA3ABB"/>
    <w:rsid w:val="00CA3AC1"/>
    <w:rsid w:val="00CA3B08"/>
    <w:rsid w:val="00CA3B0E"/>
    <w:rsid w:val="00CA3B22"/>
    <w:rsid w:val="00CA3B7E"/>
    <w:rsid w:val="00CA3B93"/>
    <w:rsid w:val="00CA3C86"/>
    <w:rsid w:val="00CA3D19"/>
    <w:rsid w:val="00CA3D82"/>
    <w:rsid w:val="00CA3DA8"/>
    <w:rsid w:val="00CA3E34"/>
    <w:rsid w:val="00CA3E55"/>
    <w:rsid w:val="00CA3E8A"/>
    <w:rsid w:val="00CA3F1A"/>
    <w:rsid w:val="00CA3FD5"/>
    <w:rsid w:val="00CA4080"/>
    <w:rsid w:val="00CA412F"/>
    <w:rsid w:val="00CA4150"/>
    <w:rsid w:val="00CA4174"/>
    <w:rsid w:val="00CA4208"/>
    <w:rsid w:val="00CA4210"/>
    <w:rsid w:val="00CA429F"/>
    <w:rsid w:val="00CA42A6"/>
    <w:rsid w:val="00CA42E2"/>
    <w:rsid w:val="00CA42E9"/>
    <w:rsid w:val="00CA42F3"/>
    <w:rsid w:val="00CA4306"/>
    <w:rsid w:val="00CA431A"/>
    <w:rsid w:val="00CA433E"/>
    <w:rsid w:val="00CA436F"/>
    <w:rsid w:val="00CA4375"/>
    <w:rsid w:val="00CA4412"/>
    <w:rsid w:val="00CA4417"/>
    <w:rsid w:val="00CA4459"/>
    <w:rsid w:val="00CA4470"/>
    <w:rsid w:val="00CA44AF"/>
    <w:rsid w:val="00CA454F"/>
    <w:rsid w:val="00CA46E3"/>
    <w:rsid w:val="00CA47EF"/>
    <w:rsid w:val="00CA4878"/>
    <w:rsid w:val="00CA4879"/>
    <w:rsid w:val="00CA488A"/>
    <w:rsid w:val="00CA48C0"/>
    <w:rsid w:val="00CA48C6"/>
    <w:rsid w:val="00CA48FB"/>
    <w:rsid w:val="00CA4967"/>
    <w:rsid w:val="00CA49AB"/>
    <w:rsid w:val="00CA49AE"/>
    <w:rsid w:val="00CA4A31"/>
    <w:rsid w:val="00CA4A9C"/>
    <w:rsid w:val="00CA4B70"/>
    <w:rsid w:val="00CA4B96"/>
    <w:rsid w:val="00CA4B9F"/>
    <w:rsid w:val="00CA4BC0"/>
    <w:rsid w:val="00CA4BE5"/>
    <w:rsid w:val="00CA4C48"/>
    <w:rsid w:val="00CA4C73"/>
    <w:rsid w:val="00CA4C7D"/>
    <w:rsid w:val="00CA4C8A"/>
    <w:rsid w:val="00CA4CC1"/>
    <w:rsid w:val="00CA4D5C"/>
    <w:rsid w:val="00CA4D63"/>
    <w:rsid w:val="00CA4D69"/>
    <w:rsid w:val="00CA4D84"/>
    <w:rsid w:val="00CA4E39"/>
    <w:rsid w:val="00CA4E60"/>
    <w:rsid w:val="00CA4E68"/>
    <w:rsid w:val="00CA4ECB"/>
    <w:rsid w:val="00CA4ED7"/>
    <w:rsid w:val="00CA4F0D"/>
    <w:rsid w:val="00CA4F45"/>
    <w:rsid w:val="00CA4FDB"/>
    <w:rsid w:val="00CA5037"/>
    <w:rsid w:val="00CA50A7"/>
    <w:rsid w:val="00CA50AF"/>
    <w:rsid w:val="00CA50B1"/>
    <w:rsid w:val="00CA50D4"/>
    <w:rsid w:val="00CA50DC"/>
    <w:rsid w:val="00CA50F8"/>
    <w:rsid w:val="00CA5184"/>
    <w:rsid w:val="00CA5213"/>
    <w:rsid w:val="00CA5233"/>
    <w:rsid w:val="00CA526A"/>
    <w:rsid w:val="00CA526E"/>
    <w:rsid w:val="00CA5308"/>
    <w:rsid w:val="00CA531F"/>
    <w:rsid w:val="00CA5362"/>
    <w:rsid w:val="00CA5413"/>
    <w:rsid w:val="00CA5417"/>
    <w:rsid w:val="00CA5452"/>
    <w:rsid w:val="00CA54C0"/>
    <w:rsid w:val="00CA5535"/>
    <w:rsid w:val="00CA553B"/>
    <w:rsid w:val="00CA557C"/>
    <w:rsid w:val="00CA5592"/>
    <w:rsid w:val="00CA55A6"/>
    <w:rsid w:val="00CA55A9"/>
    <w:rsid w:val="00CA55F6"/>
    <w:rsid w:val="00CA560D"/>
    <w:rsid w:val="00CA569A"/>
    <w:rsid w:val="00CA5757"/>
    <w:rsid w:val="00CA578C"/>
    <w:rsid w:val="00CA5816"/>
    <w:rsid w:val="00CA583A"/>
    <w:rsid w:val="00CA58D5"/>
    <w:rsid w:val="00CA5994"/>
    <w:rsid w:val="00CA59A4"/>
    <w:rsid w:val="00CA59D0"/>
    <w:rsid w:val="00CA59FD"/>
    <w:rsid w:val="00CA5A22"/>
    <w:rsid w:val="00CA5A53"/>
    <w:rsid w:val="00CA5A82"/>
    <w:rsid w:val="00CA5AB0"/>
    <w:rsid w:val="00CA5AB7"/>
    <w:rsid w:val="00CA5AD4"/>
    <w:rsid w:val="00CA5B1D"/>
    <w:rsid w:val="00CA5B24"/>
    <w:rsid w:val="00CA5BA5"/>
    <w:rsid w:val="00CA5C27"/>
    <w:rsid w:val="00CA5CA8"/>
    <w:rsid w:val="00CA5CAA"/>
    <w:rsid w:val="00CA5CC0"/>
    <w:rsid w:val="00CA5CFE"/>
    <w:rsid w:val="00CA5D39"/>
    <w:rsid w:val="00CA5D5B"/>
    <w:rsid w:val="00CA5D8C"/>
    <w:rsid w:val="00CA5E0E"/>
    <w:rsid w:val="00CA5E80"/>
    <w:rsid w:val="00CA5F6B"/>
    <w:rsid w:val="00CA5FA4"/>
    <w:rsid w:val="00CA5FE3"/>
    <w:rsid w:val="00CA6031"/>
    <w:rsid w:val="00CA60AC"/>
    <w:rsid w:val="00CA60BB"/>
    <w:rsid w:val="00CA60D0"/>
    <w:rsid w:val="00CA60EC"/>
    <w:rsid w:val="00CA60F0"/>
    <w:rsid w:val="00CA615B"/>
    <w:rsid w:val="00CA616C"/>
    <w:rsid w:val="00CA61AE"/>
    <w:rsid w:val="00CA61F5"/>
    <w:rsid w:val="00CA624B"/>
    <w:rsid w:val="00CA628F"/>
    <w:rsid w:val="00CA6290"/>
    <w:rsid w:val="00CA62BA"/>
    <w:rsid w:val="00CA62E5"/>
    <w:rsid w:val="00CA633A"/>
    <w:rsid w:val="00CA6359"/>
    <w:rsid w:val="00CA6409"/>
    <w:rsid w:val="00CA646E"/>
    <w:rsid w:val="00CA647D"/>
    <w:rsid w:val="00CA64D9"/>
    <w:rsid w:val="00CA64ED"/>
    <w:rsid w:val="00CA6566"/>
    <w:rsid w:val="00CA65DB"/>
    <w:rsid w:val="00CA669D"/>
    <w:rsid w:val="00CA66EA"/>
    <w:rsid w:val="00CA66EE"/>
    <w:rsid w:val="00CA672B"/>
    <w:rsid w:val="00CA6733"/>
    <w:rsid w:val="00CA673A"/>
    <w:rsid w:val="00CA6750"/>
    <w:rsid w:val="00CA67D1"/>
    <w:rsid w:val="00CA67EB"/>
    <w:rsid w:val="00CA680E"/>
    <w:rsid w:val="00CA682B"/>
    <w:rsid w:val="00CA6858"/>
    <w:rsid w:val="00CA68BF"/>
    <w:rsid w:val="00CA68D5"/>
    <w:rsid w:val="00CA695B"/>
    <w:rsid w:val="00CA69C7"/>
    <w:rsid w:val="00CA69D6"/>
    <w:rsid w:val="00CA6A0E"/>
    <w:rsid w:val="00CA6A33"/>
    <w:rsid w:val="00CA6A3D"/>
    <w:rsid w:val="00CA6A43"/>
    <w:rsid w:val="00CA6A55"/>
    <w:rsid w:val="00CA6AB8"/>
    <w:rsid w:val="00CA6B02"/>
    <w:rsid w:val="00CA6B05"/>
    <w:rsid w:val="00CA6B56"/>
    <w:rsid w:val="00CA6BF1"/>
    <w:rsid w:val="00CA6C49"/>
    <w:rsid w:val="00CA6C5A"/>
    <w:rsid w:val="00CA6C65"/>
    <w:rsid w:val="00CA6C7D"/>
    <w:rsid w:val="00CA6C8E"/>
    <w:rsid w:val="00CA6D1C"/>
    <w:rsid w:val="00CA6D76"/>
    <w:rsid w:val="00CA6D78"/>
    <w:rsid w:val="00CA6DA6"/>
    <w:rsid w:val="00CA6DB6"/>
    <w:rsid w:val="00CA6E03"/>
    <w:rsid w:val="00CA6E26"/>
    <w:rsid w:val="00CA6E31"/>
    <w:rsid w:val="00CA6F0A"/>
    <w:rsid w:val="00CA6FCC"/>
    <w:rsid w:val="00CA7006"/>
    <w:rsid w:val="00CA701A"/>
    <w:rsid w:val="00CA702F"/>
    <w:rsid w:val="00CA7041"/>
    <w:rsid w:val="00CA7043"/>
    <w:rsid w:val="00CA706E"/>
    <w:rsid w:val="00CA7073"/>
    <w:rsid w:val="00CA7083"/>
    <w:rsid w:val="00CA7090"/>
    <w:rsid w:val="00CA720A"/>
    <w:rsid w:val="00CA7252"/>
    <w:rsid w:val="00CA7316"/>
    <w:rsid w:val="00CA734F"/>
    <w:rsid w:val="00CA7383"/>
    <w:rsid w:val="00CA73B7"/>
    <w:rsid w:val="00CA73EC"/>
    <w:rsid w:val="00CA7414"/>
    <w:rsid w:val="00CA7424"/>
    <w:rsid w:val="00CA74A8"/>
    <w:rsid w:val="00CA74CB"/>
    <w:rsid w:val="00CA7539"/>
    <w:rsid w:val="00CA7578"/>
    <w:rsid w:val="00CA75BB"/>
    <w:rsid w:val="00CA75C4"/>
    <w:rsid w:val="00CA75D7"/>
    <w:rsid w:val="00CA75E9"/>
    <w:rsid w:val="00CA75F6"/>
    <w:rsid w:val="00CA7608"/>
    <w:rsid w:val="00CA7668"/>
    <w:rsid w:val="00CA7673"/>
    <w:rsid w:val="00CA76A5"/>
    <w:rsid w:val="00CA7722"/>
    <w:rsid w:val="00CA7753"/>
    <w:rsid w:val="00CA7816"/>
    <w:rsid w:val="00CA784B"/>
    <w:rsid w:val="00CA787B"/>
    <w:rsid w:val="00CA79AD"/>
    <w:rsid w:val="00CA7A31"/>
    <w:rsid w:val="00CA7A49"/>
    <w:rsid w:val="00CA7A65"/>
    <w:rsid w:val="00CA7A83"/>
    <w:rsid w:val="00CA7AA6"/>
    <w:rsid w:val="00CA7AF8"/>
    <w:rsid w:val="00CA7B4A"/>
    <w:rsid w:val="00CA7BE0"/>
    <w:rsid w:val="00CA7BE7"/>
    <w:rsid w:val="00CA7BF0"/>
    <w:rsid w:val="00CA7BF1"/>
    <w:rsid w:val="00CA7C7E"/>
    <w:rsid w:val="00CA7CB5"/>
    <w:rsid w:val="00CA7D00"/>
    <w:rsid w:val="00CA7DBF"/>
    <w:rsid w:val="00CA7DE4"/>
    <w:rsid w:val="00CA7E28"/>
    <w:rsid w:val="00CA7E4B"/>
    <w:rsid w:val="00CA7E5C"/>
    <w:rsid w:val="00CA7EEB"/>
    <w:rsid w:val="00CA7F2E"/>
    <w:rsid w:val="00CA7F42"/>
    <w:rsid w:val="00CA7F70"/>
    <w:rsid w:val="00CA7F8C"/>
    <w:rsid w:val="00CA7FE3"/>
    <w:rsid w:val="00CB0001"/>
    <w:rsid w:val="00CB000B"/>
    <w:rsid w:val="00CB0064"/>
    <w:rsid w:val="00CB009C"/>
    <w:rsid w:val="00CB00C0"/>
    <w:rsid w:val="00CB0129"/>
    <w:rsid w:val="00CB0138"/>
    <w:rsid w:val="00CB0157"/>
    <w:rsid w:val="00CB01FB"/>
    <w:rsid w:val="00CB02BF"/>
    <w:rsid w:val="00CB02E8"/>
    <w:rsid w:val="00CB0319"/>
    <w:rsid w:val="00CB0355"/>
    <w:rsid w:val="00CB036C"/>
    <w:rsid w:val="00CB03DC"/>
    <w:rsid w:val="00CB03E5"/>
    <w:rsid w:val="00CB0401"/>
    <w:rsid w:val="00CB0446"/>
    <w:rsid w:val="00CB0449"/>
    <w:rsid w:val="00CB049F"/>
    <w:rsid w:val="00CB04D1"/>
    <w:rsid w:val="00CB04F4"/>
    <w:rsid w:val="00CB050E"/>
    <w:rsid w:val="00CB0557"/>
    <w:rsid w:val="00CB0564"/>
    <w:rsid w:val="00CB0569"/>
    <w:rsid w:val="00CB05B4"/>
    <w:rsid w:val="00CB067A"/>
    <w:rsid w:val="00CB06A1"/>
    <w:rsid w:val="00CB06D6"/>
    <w:rsid w:val="00CB06F9"/>
    <w:rsid w:val="00CB0713"/>
    <w:rsid w:val="00CB0745"/>
    <w:rsid w:val="00CB07F0"/>
    <w:rsid w:val="00CB07FF"/>
    <w:rsid w:val="00CB08A3"/>
    <w:rsid w:val="00CB08C8"/>
    <w:rsid w:val="00CB08F5"/>
    <w:rsid w:val="00CB098B"/>
    <w:rsid w:val="00CB0A8C"/>
    <w:rsid w:val="00CB0AE9"/>
    <w:rsid w:val="00CB0B47"/>
    <w:rsid w:val="00CB0B73"/>
    <w:rsid w:val="00CB0BB0"/>
    <w:rsid w:val="00CB0C04"/>
    <w:rsid w:val="00CB0C48"/>
    <w:rsid w:val="00CB0C5E"/>
    <w:rsid w:val="00CB0C8D"/>
    <w:rsid w:val="00CB0CCB"/>
    <w:rsid w:val="00CB0CF9"/>
    <w:rsid w:val="00CB0D3D"/>
    <w:rsid w:val="00CB0DAC"/>
    <w:rsid w:val="00CB0DC5"/>
    <w:rsid w:val="00CB0DD5"/>
    <w:rsid w:val="00CB0E11"/>
    <w:rsid w:val="00CB0EAB"/>
    <w:rsid w:val="00CB0EC3"/>
    <w:rsid w:val="00CB0EE4"/>
    <w:rsid w:val="00CB0F16"/>
    <w:rsid w:val="00CB0F68"/>
    <w:rsid w:val="00CB0F86"/>
    <w:rsid w:val="00CB0FCB"/>
    <w:rsid w:val="00CB1020"/>
    <w:rsid w:val="00CB106D"/>
    <w:rsid w:val="00CB1080"/>
    <w:rsid w:val="00CB1109"/>
    <w:rsid w:val="00CB1115"/>
    <w:rsid w:val="00CB1191"/>
    <w:rsid w:val="00CB11F7"/>
    <w:rsid w:val="00CB121D"/>
    <w:rsid w:val="00CB125A"/>
    <w:rsid w:val="00CB127D"/>
    <w:rsid w:val="00CB12CB"/>
    <w:rsid w:val="00CB137A"/>
    <w:rsid w:val="00CB137F"/>
    <w:rsid w:val="00CB13F7"/>
    <w:rsid w:val="00CB148D"/>
    <w:rsid w:val="00CB149E"/>
    <w:rsid w:val="00CB14FB"/>
    <w:rsid w:val="00CB15DE"/>
    <w:rsid w:val="00CB163D"/>
    <w:rsid w:val="00CB16F5"/>
    <w:rsid w:val="00CB1705"/>
    <w:rsid w:val="00CB17B2"/>
    <w:rsid w:val="00CB17EA"/>
    <w:rsid w:val="00CB17F9"/>
    <w:rsid w:val="00CB17FB"/>
    <w:rsid w:val="00CB1818"/>
    <w:rsid w:val="00CB181A"/>
    <w:rsid w:val="00CB1882"/>
    <w:rsid w:val="00CB1889"/>
    <w:rsid w:val="00CB193D"/>
    <w:rsid w:val="00CB198C"/>
    <w:rsid w:val="00CB19AC"/>
    <w:rsid w:val="00CB19DC"/>
    <w:rsid w:val="00CB19EF"/>
    <w:rsid w:val="00CB1A11"/>
    <w:rsid w:val="00CB1AD3"/>
    <w:rsid w:val="00CB1B0D"/>
    <w:rsid w:val="00CB1B76"/>
    <w:rsid w:val="00CB1BB3"/>
    <w:rsid w:val="00CB1C63"/>
    <w:rsid w:val="00CB1CC5"/>
    <w:rsid w:val="00CB1CF3"/>
    <w:rsid w:val="00CB1D11"/>
    <w:rsid w:val="00CB1D99"/>
    <w:rsid w:val="00CB1E9E"/>
    <w:rsid w:val="00CB1EA7"/>
    <w:rsid w:val="00CB1F29"/>
    <w:rsid w:val="00CB1F33"/>
    <w:rsid w:val="00CB1F86"/>
    <w:rsid w:val="00CB1FA4"/>
    <w:rsid w:val="00CB1FAD"/>
    <w:rsid w:val="00CB202B"/>
    <w:rsid w:val="00CB20AC"/>
    <w:rsid w:val="00CB20AD"/>
    <w:rsid w:val="00CB20BD"/>
    <w:rsid w:val="00CB2102"/>
    <w:rsid w:val="00CB2139"/>
    <w:rsid w:val="00CB2165"/>
    <w:rsid w:val="00CB21A2"/>
    <w:rsid w:val="00CB21BD"/>
    <w:rsid w:val="00CB21EB"/>
    <w:rsid w:val="00CB21FE"/>
    <w:rsid w:val="00CB2205"/>
    <w:rsid w:val="00CB2239"/>
    <w:rsid w:val="00CB226E"/>
    <w:rsid w:val="00CB22B8"/>
    <w:rsid w:val="00CB2350"/>
    <w:rsid w:val="00CB23C2"/>
    <w:rsid w:val="00CB23C6"/>
    <w:rsid w:val="00CB23D3"/>
    <w:rsid w:val="00CB2443"/>
    <w:rsid w:val="00CB247E"/>
    <w:rsid w:val="00CB2484"/>
    <w:rsid w:val="00CB24B2"/>
    <w:rsid w:val="00CB24F0"/>
    <w:rsid w:val="00CB256A"/>
    <w:rsid w:val="00CB2601"/>
    <w:rsid w:val="00CB2631"/>
    <w:rsid w:val="00CB265A"/>
    <w:rsid w:val="00CB2673"/>
    <w:rsid w:val="00CB2695"/>
    <w:rsid w:val="00CB26D7"/>
    <w:rsid w:val="00CB2756"/>
    <w:rsid w:val="00CB2760"/>
    <w:rsid w:val="00CB27EC"/>
    <w:rsid w:val="00CB27F1"/>
    <w:rsid w:val="00CB2800"/>
    <w:rsid w:val="00CB28D7"/>
    <w:rsid w:val="00CB28FE"/>
    <w:rsid w:val="00CB2906"/>
    <w:rsid w:val="00CB296F"/>
    <w:rsid w:val="00CB2985"/>
    <w:rsid w:val="00CB2992"/>
    <w:rsid w:val="00CB29FB"/>
    <w:rsid w:val="00CB2A6E"/>
    <w:rsid w:val="00CB2A7F"/>
    <w:rsid w:val="00CB2ADC"/>
    <w:rsid w:val="00CB2AF6"/>
    <w:rsid w:val="00CB2B01"/>
    <w:rsid w:val="00CB2B13"/>
    <w:rsid w:val="00CB2B29"/>
    <w:rsid w:val="00CB2BBA"/>
    <w:rsid w:val="00CB2BC4"/>
    <w:rsid w:val="00CB2C06"/>
    <w:rsid w:val="00CB2CA2"/>
    <w:rsid w:val="00CB2CEE"/>
    <w:rsid w:val="00CB2DFB"/>
    <w:rsid w:val="00CB2E0B"/>
    <w:rsid w:val="00CB2E7D"/>
    <w:rsid w:val="00CB2E94"/>
    <w:rsid w:val="00CB2ED6"/>
    <w:rsid w:val="00CB2F0A"/>
    <w:rsid w:val="00CB2F6F"/>
    <w:rsid w:val="00CB2F8E"/>
    <w:rsid w:val="00CB2FE4"/>
    <w:rsid w:val="00CB3051"/>
    <w:rsid w:val="00CB3063"/>
    <w:rsid w:val="00CB3091"/>
    <w:rsid w:val="00CB30D8"/>
    <w:rsid w:val="00CB30ED"/>
    <w:rsid w:val="00CB3114"/>
    <w:rsid w:val="00CB3152"/>
    <w:rsid w:val="00CB31A3"/>
    <w:rsid w:val="00CB31C8"/>
    <w:rsid w:val="00CB31EB"/>
    <w:rsid w:val="00CB3243"/>
    <w:rsid w:val="00CB3274"/>
    <w:rsid w:val="00CB3293"/>
    <w:rsid w:val="00CB3346"/>
    <w:rsid w:val="00CB3396"/>
    <w:rsid w:val="00CB33A2"/>
    <w:rsid w:val="00CB340C"/>
    <w:rsid w:val="00CB3492"/>
    <w:rsid w:val="00CB349E"/>
    <w:rsid w:val="00CB352B"/>
    <w:rsid w:val="00CB3565"/>
    <w:rsid w:val="00CB3573"/>
    <w:rsid w:val="00CB35BC"/>
    <w:rsid w:val="00CB35BE"/>
    <w:rsid w:val="00CB3647"/>
    <w:rsid w:val="00CB36F1"/>
    <w:rsid w:val="00CB3710"/>
    <w:rsid w:val="00CB3723"/>
    <w:rsid w:val="00CB3729"/>
    <w:rsid w:val="00CB3751"/>
    <w:rsid w:val="00CB3796"/>
    <w:rsid w:val="00CB3820"/>
    <w:rsid w:val="00CB382C"/>
    <w:rsid w:val="00CB3847"/>
    <w:rsid w:val="00CB385E"/>
    <w:rsid w:val="00CB397B"/>
    <w:rsid w:val="00CB397F"/>
    <w:rsid w:val="00CB39AE"/>
    <w:rsid w:val="00CB39C8"/>
    <w:rsid w:val="00CB39E0"/>
    <w:rsid w:val="00CB39EC"/>
    <w:rsid w:val="00CB3A5E"/>
    <w:rsid w:val="00CB3A93"/>
    <w:rsid w:val="00CB3AD9"/>
    <w:rsid w:val="00CB3AE5"/>
    <w:rsid w:val="00CB3B15"/>
    <w:rsid w:val="00CB3B3F"/>
    <w:rsid w:val="00CB3B7A"/>
    <w:rsid w:val="00CB3BB0"/>
    <w:rsid w:val="00CB3C08"/>
    <w:rsid w:val="00CB3C53"/>
    <w:rsid w:val="00CB3C68"/>
    <w:rsid w:val="00CB3D1D"/>
    <w:rsid w:val="00CB3DA4"/>
    <w:rsid w:val="00CB3DC6"/>
    <w:rsid w:val="00CB3DFD"/>
    <w:rsid w:val="00CB3E29"/>
    <w:rsid w:val="00CB3E74"/>
    <w:rsid w:val="00CB3ED2"/>
    <w:rsid w:val="00CB3F38"/>
    <w:rsid w:val="00CB3FD5"/>
    <w:rsid w:val="00CB3FF3"/>
    <w:rsid w:val="00CB4001"/>
    <w:rsid w:val="00CB4096"/>
    <w:rsid w:val="00CB40EA"/>
    <w:rsid w:val="00CB4122"/>
    <w:rsid w:val="00CB4132"/>
    <w:rsid w:val="00CB4136"/>
    <w:rsid w:val="00CB41AA"/>
    <w:rsid w:val="00CB41B5"/>
    <w:rsid w:val="00CB41DE"/>
    <w:rsid w:val="00CB41F2"/>
    <w:rsid w:val="00CB4204"/>
    <w:rsid w:val="00CB4227"/>
    <w:rsid w:val="00CB4231"/>
    <w:rsid w:val="00CB423F"/>
    <w:rsid w:val="00CB4249"/>
    <w:rsid w:val="00CB424F"/>
    <w:rsid w:val="00CB4310"/>
    <w:rsid w:val="00CB4360"/>
    <w:rsid w:val="00CB4367"/>
    <w:rsid w:val="00CB43D8"/>
    <w:rsid w:val="00CB43E5"/>
    <w:rsid w:val="00CB444B"/>
    <w:rsid w:val="00CB44BD"/>
    <w:rsid w:val="00CB44CC"/>
    <w:rsid w:val="00CB44DC"/>
    <w:rsid w:val="00CB4521"/>
    <w:rsid w:val="00CB4565"/>
    <w:rsid w:val="00CB45EA"/>
    <w:rsid w:val="00CB4620"/>
    <w:rsid w:val="00CB464E"/>
    <w:rsid w:val="00CB46B4"/>
    <w:rsid w:val="00CB4701"/>
    <w:rsid w:val="00CB4772"/>
    <w:rsid w:val="00CB47D5"/>
    <w:rsid w:val="00CB4861"/>
    <w:rsid w:val="00CB4930"/>
    <w:rsid w:val="00CB495E"/>
    <w:rsid w:val="00CB4966"/>
    <w:rsid w:val="00CB4982"/>
    <w:rsid w:val="00CB49B8"/>
    <w:rsid w:val="00CB4A22"/>
    <w:rsid w:val="00CB4A5E"/>
    <w:rsid w:val="00CB4A77"/>
    <w:rsid w:val="00CB4B0C"/>
    <w:rsid w:val="00CB4B0E"/>
    <w:rsid w:val="00CB4B57"/>
    <w:rsid w:val="00CB4BB7"/>
    <w:rsid w:val="00CB4BEC"/>
    <w:rsid w:val="00CB4C29"/>
    <w:rsid w:val="00CB4C44"/>
    <w:rsid w:val="00CB4CF5"/>
    <w:rsid w:val="00CB4D2F"/>
    <w:rsid w:val="00CB4D41"/>
    <w:rsid w:val="00CB4D71"/>
    <w:rsid w:val="00CB4DBF"/>
    <w:rsid w:val="00CB4DCE"/>
    <w:rsid w:val="00CB4DF6"/>
    <w:rsid w:val="00CB4E4B"/>
    <w:rsid w:val="00CB4E6B"/>
    <w:rsid w:val="00CB4E86"/>
    <w:rsid w:val="00CB4F0A"/>
    <w:rsid w:val="00CB4F1F"/>
    <w:rsid w:val="00CB4FAC"/>
    <w:rsid w:val="00CB4FF9"/>
    <w:rsid w:val="00CB5080"/>
    <w:rsid w:val="00CB5159"/>
    <w:rsid w:val="00CB5168"/>
    <w:rsid w:val="00CB518E"/>
    <w:rsid w:val="00CB51BC"/>
    <w:rsid w:val="00CB5205"/>
    <w:rsid w:val="00CB5238"/>
    <w:rsid w:val="00CB523F"/>
    <w:rsid w:val="00CB5280"/>
    <w:rsid w:val="00CB52E8"/>
    <w:rsid w:val="00CB52F1"/>
    <w:rsid w:val="00CB530F"/>
    <w:rsid w:val="00CB5351"/>
    <w:rsid w:val="00CB53BA"/>
    <w:rsid w:val="00CB53FF"/>
    <w:rsid w:val="00CB540B"/>
    <w:rsid w:val="00CB5446"/>
    <w:rsid w:val="00CB547D"/>
    <w:rsid w:val="00CB54F4"/>
    <w:rsid w:val="00CB5566"/>
    <w:rsid w:val="00CB5574"/>
    <w:rsid w:val="00CB5585"/>
    <w:rsid w:val="00CB55BD"/>
    <w:rsid w:val="00CB55DA"/>
    <w:rsid w:val="00CB561B"/>
    <w:rsid w:val="00CB56D3"/>
    <w:rsid w:val="00CB56DD"/>
    <w:rsid w:val="00CB570F"/>
    <w:rsid w:val="00CB571E"/>
    <w:rsid w:val="00CB57DD"/>
    <w:rsid w:val="00CB5807"/>
    <w:rsid w:val="00CB58DB"/>
    <w:rsid w:val="00CB5926"/>
    <w:rsid w:val="00CB5936"/>
    <w:rsid w:val="00CB596A"/>
    <w:rsid w:val="00CB59C9"/>
    <w:rsid w:val="00CB59FC"/>
    <w:rsid w:val="00CB5A14"/>
    <w:rsid w:val="00CB5A1E"/>
    <w:rsid w:val="00CB5AB7"/>
    <w:rsid w:val="00CB5B2A"/>
    <w:rsid w:val="00CB5B4A"/>
    <w:rsid w:val="00CB5BAD"/>
    <w:rsid w:val="00CB5BCE"/>
    <w:rsid w:val="00CB5BD9"/>
    <w:rsid w:val="00CB5C50"/>
    <w:rsid w:val="00CB5C99"/>
    <w:rsid w:val="00CB5CF8"/>
    <w:rsid w:val="00CB5D12"/>
    <w:rsid w:val="00CB5D6E"/>
    <w:rsid w:val="00CB5D83"/>
    <w:rsid w:val="00CB5D9F"/>
    <w:rsid w:val="00CB5DBD"/>
    <w:rsid w:val="00CB5DE4"/>
    <w:rsid w:val="00CB5E3B"/>
    <w:rsid w:val="00CB5E50"/>
    <w:rsid w:val="00CB5E99"/>
    <w:rsid w:val="00CB5ED9"/>
    <w:rsid w:val="00CB5EF5"/>
    <w:rsid w:val="00CB5FB8"/>
    <w:rsid w:val="00CB606E"/>
    <w:rsid w:val="00CB6131"/>
    <w:rsid w:val="00CB6185"/>
    <w:rsid w:val="00CB619F"/>
    <w:rsid w:val="00CB61FC"/>
    <w:rsid w:val="00CB6232"/>
    <w:rsid w:val="00CB627E"/>
    <w:rsid w:val="00CB62B7"/>
    <w:rsid w:val="00CB62CD"/>
    <w:rsid w:val="00CB62D7"/>
    <w:rsid w:val="00CB634B"/>
    <w:rsid w:val="00CB6398"/>
    <w:rsid w:val="00CB6406"/>
    <w:rsid w:val="00CB6496"/>
    <w:rsid w:val="00CB64A1"/>
    <w:rsid w:val="00CB64BC"/>
    <w:rsid w:val="00CB64DE"/>
    <w:rsid w:val="00CB6585"/>
    <w:rsid w:val="00CB659A"/>
    <w:rsid w:val="00CB6627"/>
    <w:rsid w:val="00CB6639"/>
    <w:rsid w:val="00CB663D"/>
    <w:rsid w:val="00CB6641"/>
    <w:rsid w:val="00CB6681"/>
    <w:rsid w:val="00CB66C1"/>
    <w:rsid w:val="00CB66C4"/>
    <w:rsid w:val="00CB66D4"/>
    <w:rsid w:val="00CB670F"/>
    <w:rsid w:val="00CB6723"/>
    <w:rsid w:val="00CB683C"/>
    <w:rsid w:val="00CB693B"/>
    <w:rsid w:val="00CB6949"/>
    <w:rsid w:val="00CB6967"/>
    <w:rsid w:val="00CB69C5"/>
    <w:rsid w:val="00CB69F5"/>
    <w:rsid w:val="00CB69FB"/>
    <w:rsid w:val="00CB6A01"/>
    <w:rsid w:val="00CB6A1D"/>
    <w:rsid w:val="00CB6A2C"/>
    <w:rsid w:val="00CB6A4A"/>
    <w:rsid w:val="00CB6AA8"/>
    <w:rsid w:val="00CB6AAB"/>
    <w:rsid w:val="00CB6ACE"/>
    <w:rsid w:val="00CB6B2D"/>
    <w:rsid w:val="00CB6B58"/>
    <w:rsid w:val="00CB6C6B"/>
    <w:rsid w:val="00CB6C99"/>
    <w:rsid w:val="00CB6CD1"/>
    <w:rsid w:val="00CB6CE1"/>
    <w:rsid w:val="00CB6D08"/>
    <w:rsid w:val="00CB6D1A"/>
    <w:rsid w:val="00CB6D1F"/>
    <w:rsid w:val="00CB6D74"/>
    <w:rsid w:val="00CB6D95"/>
    <w:rsid w:val="00CB6E24"/>
    <w:rsid w:val="00CB6E32"/>
    <w:rsid w:val="00CB6E43"/>
    <w:rsid w:val="00CB6E55"/>
    <w:rsid w:val="00CB6EB0"/>
    <w:rsid w:val="00CB6F7C"/>
    <w:rsid w:val="00CB6FC9"/>
    <w:rsid w:val="00CB7016"/>
    <w:rsid w:val="00CB7035"/>
    <w:rsid w:val="00CB7037"/>
    <w:rsid w:val="00CB704B"/>
    <w:rsid w:val="00CB7059"/>
    <w:rsid w:val="00CB7098"/>
    <w:rsid w:val="00CB70F3"/>
    <w:rsid w:val="00CB7104"/>
    <w:rsid w:val="00CB7170"/>
    <w:rsid w:val="00CB71B4"/>
    <w:rsid w:val="00CB71DE"/>
    <w:rsid w:val="00CB7200"/>
    <w:rsid w:val="00CB7276"/>
    <w:rsid w:val="00CB72C8"/>
    <w:rsid w:val="00CB732A"/>
    <w:rsid w:val="00CB7340"/>
    <w:rsid w:val="00CB73AA"/>
    <w:rsid w:val="00CB73BA"/>
    <w:rsid w:val="00CB7439"/>
    <w:rsid w:val="00CB745E"/>
    <w:rsid w:val="00CB7489"/>
    <w:rsid w:val="00CB749D"/>
    <w:rsid w:val="00CB74E9"/>
    <w:rsid w:val="00CB752B"/>
    <w:rsid w:val="00CB7561"/>
    <w:rsid w:val="00CB7566"/>
    <w:rsid w:val="00CB7619"/>
    <w:rsid w:val="00CB763A"/>
    <w:rsid w:val="00CB7640"/>
    <w:rsid w:val="00CB764E"/>
    <w:rsid w:val="00CB76E2"/>
    <w:rsid w:val="00CB7704"/>
    <w:rsid w:val="00CB777F"/>
    <w:rsid w:val="00CB77CB"/>
    <w:rsid w:val="00CB7822"/>
    <w:rsid w:val="00CB7873"/>
    <w:rsid w:val="00CB7874"/>
    <w:rsid w:val="00CB7893"/>
    <w:rsid w:val="00CB7899"/>
    <w:rsid w:val="00CB7901"/>
    <w:rsid w:val="00CB790F"/>
    <w:rsid w:val="00CB7985"/>
    <w:rsid w:val="00CB799C"/>
    <w:rsid w:val="00CB7A11"/>
    <w:rsid w:val="00CB7BC9"/>
    <w:rsid w:val="00CB7C15"/>
    <w:rsid w:val="00CB7C21"/>
    <w:rsid w:val="00CB7C6B"/>
    <w:rsid w:val="00CB7C85"/>
    <w:rsid w:val="00CB7D03"/>
    <w:rsid w:val="00CB7D2B"/>
    <w:rsid w:val="00CB7D8C"/>
    <w:rsid w:val="00CB7D97"/>
    <w:rsid w:val="00CB7D98"/>
    <w:rsid w:val="00CB7DEA"/>
    <w:rsid w:val="00CB7E03"/>
    <w:rsid w:val="00CB7E09"/>
    <w:rsid w:val="00CB7E4C"/>
    <w:rsid w:val="00CB7E76"/>
    <w:rsid w:val="00CB7EBB"/>
    <w:rsid w:val="00CB7EE0"/>
    <w:rsid w:val="00CB7F72"/>
    <w:rsid w:val="00CB7F82"/>
    <w:rsid w:val="00CB7FAD"/>
    <w:rsid w:val="00CB7FC1"/>
    <w:rsid w:val="00CB7FD4"/>
    <w:rsid w:val="00CB7FF9"/>
    <w:rsid w:val="00CC008B"/>
    <w:rsid w:val="00CC00C4"/>
    <w:rsid w:val="00CC0127"/>
    <w:rsid w:val="00CC01FE"/>
    <w:rsid w:val="00CC0298"/>
    <w:rsid w:val="00CC02A9"/>
    <w:rsid w:val="00CC031F"/>
    <w:rsid w:val="00CC032F"/>
    <w:rsid w:val="00CC033F"/>
    <w:rsid w:val="00CC0385"/>
    <w:rsid w:val="00CC040D"/>
    <w:rsid w:val="00CC0433"/>
    <w:rsid w:val="00CC04BE"/>
    <w:rsid w:val="00CC052A"/>
    <w:rsid w:val="00CC0545"/>
    <w:rsid w:val="00CC0549"/>
    <w:rsid w:val="00CC0570"/>
    <w:rsid w:val="00CC0572"/>
    <w:rsid w:val="00CC05C0"/>
    <w:rsid w:val="00CC05C3"/>
    <w:rsid w:val="00CC05CD"/>
    <w:rsid w:val="00CC05D2"/>
    <w:rsid w:val="00CC061A"/>
    <w:rsid w:val="00CC062A"/>
    <w:rsid w:val="00CC06A8"/>
    <w:rsid w:val="00CC06DF"/>
    <w:rsid w:val="00CC077F"/>
    <w:rsid w:val="00CC07BE"/>
    <w:rsid w:val="00CC0868"/>
    <w:rsid w:val="00CC0893"/>
    <w:rsid w:val="00CC093A"/>
    <w:rsid w:val="00CC0940"/>
    <w:rsid w:val="00CC0950"/>
    <w:rsid w:val="00CC099F"/>
    <w:rsid w:val="00CC09A2"/>
    <w:rsid w:val="00CC09B2"/>
    <w:rsid w:val="00CC09BB"/>
    <w:rsid w:val="00CC09D3"/>
    <w:rsid w:val="00CC0A57"/>
    <w:rsid w:val="00CC0A8C"/>
    <w:rsid w:val="00CC0A93"/>
    <w:rsid w:val="00CC0AC6"/>
    <w:rsid w:val="00CC0B2A"/>
    <w:rsid w:val="00CC0B54"/>
    <w:rsid w:val="00CC0B55"/>
    <w:rsid w:val="00CC0B5A"/>
    <w:rsid w:val="00CC0C65"/>
    <w:rsid w:val="00CC0C71"/>
    <w:rsid w:val="00CC0DA5"/>
    <w:rsid w:val="00CC0DAA"/>
    <w:rsid w:val="00CC0DDD"/>
    <w:rsid w:val="00CC0E07"/>
    <w:rsid w:val="00CC0EEF"/>
    <w:rsid w:val="00CC0F15"/>
    <w:rsid w:val="00CC0F37"/>
    <w:rsid w:val="00CC0F3C"/>
    <w:rsid w:val="00CC0F5B"/>
    <w:rsid w:val="00CC0F81"/>
    <w:rsid w:val="00CC0FAB"/>
    <w:rsid w:val="00CC1004"/>
    <w:rsid w:val="00CC102C"/>
    <w:rsid w:val="00CC105A"/>
    <w:rsid w:val="00CC111A"/>
    <w:rsid w:val="00CC113E"/>
    <w:rsid w:val="00CC1150"/>
    <w:rsid w:val="00CC1162"/>
    <w:rsid w:val="00CC11AF"/>
    <w:rsid w:val="00CC11C1"/>
    <w:rsid w:val="00CC11E4"/>
    <w:rsid w:val="00CC1220"/>
    <w:rsid w:val="00CC1223"/>
    <w:rsid w:val="00CC12A5"/>
    <w:rsid w:val="00CC12A7"/>
    <w:rsid w:val="00CC12DC"/>
    <w:rsid w:val="00CC130A"/>
    <w:rsid w:val="00CC133C"/>
    <w:rsid w:val="00CC134D"/>
    <w:rsid w:val="00CC136C"/>
    <w:rsid w:val="00CC13C8"/>
    <w:rsid w:val="00CC13E7"/>
    <w:rsid w:val="00CC13F3"/>
    <w:rsid w:val="00CC1407"/>
    <w:rsid w:val="00CC141B"/>
    <w:rsid w:val="00CC1461"/>
    <w:rsid w:val="00CC1496"/>
    <w:rsid w:val="00CC14A4"/>
    <w:rsid w:val="00CC14B2"/>
    <w:rsid w:val="00CC1512"/>
    <w:rsid w:val="00CC155C"/>
    <w:rsid w:val="00CC1560"/>
    <w:rsid w:val="00CC1612"/>
    <w:rsid w:val="00CC1641"/>
    <w:rsid w:val="00CC1643"/>
    <w:rsid w:val="00CC1650"/>
    <w:rsid w:val="00CC1670"/>
    <w:rsid w:val="00CC16D7"/>
    <w:rsid w:val="00CC16D9"/>
    <w:rsid w:val="00CC16DE"/>
    <w:rsid w:val="00CC16E8"/>
    <w:rsid w:val="00CC16F0"/>
    <w:rsid w:val="00CC1706"/>
    <w:rsid w:val="00CC1714"/>
    <w:rsid w:val="00CC1717"/>
    <w:rsid w:val="00CC1730"/>
    <w:rsid w:val="00CC1765"/>
    <w:rsid w:val="00CC179F"/>
    <w:rsid w:val="00CC17F4"/>
    <w:rsid w:val="00CC17FB"/>
    <w:rsid w:val="00CC182A"/>
    <w:rsid w:val="00CC188C"/>
    <w:rsid w:val="00CC1896"/>
    <w:rsid w:val="00CC18BC"/>
    <w:rsid w:val="00CC18D8"/>
    <w:rsid w:val="00CC1951"/>
    <w:rsid w:val="00CC195C"/>
    <w:rsid w:val="00CC199B"/>
    <w:rsid w:val="00CC19A6"/>
    <w:rsid w:val="00CC1AA1"/>
    <w:rsid w:val="00CC1AA7"/>
    <w:rsid w:val="00CC1B1B"/>
    <w:rsid w:val="00CC1B2F"/>
    <w:rsid w:val="00CC1B30"/>
    <w:rsid w:val="00CC1B6A"/>
    <w:rsid w:val="00CC1B86"/>
    <w:rsid w:val="00CC1BA1"/>
    <w:rsid w:val="00CC1C09"/>
    <w:rsid w:val="00CC1C24"/>
    <w:rsid w:val="00CC1C79"/>
    <w:rsid w:val="00CC1CCF"/>
    <w:rsid w:val="00CC1D45"/>
    <w:rsid w:val="00CC1D70"/>
    <w:rsid w:val="00CC1DCC"/>
    <w:rsid w:val="00CC1E0A"/>
    <w:rsid w:val="00CC1E18"/>
    <w:rsid w:val="00CC1EA7"/>
    <w:rsid w:val="00CC1EB9"/>
    <w:rsid w:val="00CC1EF9"/>
    <w:rsid w:val="00CC1F23"/>
    <w:rsid w:val="00CC1F2F"/>
    <w:rsid w:val="00CC1F56"/>
    <w:rsid w:val="00CC1F6A"/>
    <w:rsid w:val="00CC1F99"/>
    <w:rsid w:val="00CC2003"/>
    <w:rsid w:val="00CC2043"/>
    <w:rsid w:val="00CC208D"/>
    <w:rsid w:val="00CC208F"/>
    <w:rsid w:val="00CC20AA"/>
    <w:rsid w:val="00CC21E5"/>
    <w:rsid w:val="00CC2202"/>
    <w:rsid w:val="00CC2209"/>
    <w:rsid w:val="00CC2215"/>
    <w:rsid w:val="00CC2220"/>
    <w:rsid w:val="00CC2280"/>
    <w:rsid w:val="00CC2292"/>
    <w:rsid w:val="00CC22A4"/>
    <w:rsid w:val="00CC22B5"/>
    <w:rsid w:val="00CC22CE"/>
    <w:rsid w:val="00CC230E"/>
    <w:rsid w:val="00CC2360"/>
    <w:rsid w:val="00CC238C"/>
    <w:rsid w:val="00CC239B"/>
    <w:rsid w:val="00CC23DE"/>
    <w:rsid w:val="00CC23EB"/>
    <w:rsid w:val="00CC2458"/>
    <w:rsid w:val="00CC24B4"/>
    <w:rsid w:val="00CC24BF"/>
    <w:rsid w:val="00CC250B"/>
    <w:rsid w:val="00CC250E"/>
    <w:rsid w:val="00CC2552"/>
    <w:rsid w:val="00CC25C8"/>
    <w:rsid w:val="00CC2652"/>
    <w:rsid w:val="00CC269A"/>
    <w:rsid w:val="00CC26C8"/>
    <w:rsid w:val="00CC2703"/>
    <w:rsid w:val="00CC271B"/>
    <w:rsid w:val="00CC287A"/>
    <w:rsid w:val="00CC28C9"/>
    <w:rsid w:val="00CC292B"/>
    <w:rsid w:val="00CC29C7"/>
    <w:rsid w:val="00CC29CA"/>
    <w:rsid w:val="00CC2A06"/>
    <w:rsid w:val="00CC2A13"/>
    <w:rsid w:val="00CC2A46"/>
    <w:rsid w:val="00CC2A82"/>
    <w:rsid w:val="00CC2A9A"/>
    <w:rsid w:val="00CC2A9D"/>
    <w:rsid w:val="00CC2AAD"/>
    <w:rsid w:val="00CC2B15"/>
    <w:rsid w:val="00CC2B20"/>
    <w:rsid w:val="00CC2B45"/>
    <w:rsid w:val="00CC2B5E"/>
    <w:rsid w:val="00CC2B78"/>
    <w:rsid w:val="00CC2BA4"/>
    <w:rsid w:val="00CC2BD0"/>
    <w:rsid w:val="00CC2BDE"/>
    <w:rsid w:val="00CC2C32"/>
    <w:rsid w:val="00CC2C46"/>
    <w:rsid w:val="00CC2CAA"/>
    <w:rsid w:val="00CC2D36"/>
    <w:rsid w:val="00CC2D3B"/>
    <w:rsid w:val="00CC2DB6"/>
    <w:rsid w:val="00CC2E12"/>
    <w:rsid w:val="00CC2E35"/>
    <w:rsid w:val="00CC2EAC"/>
    <w:rsid w:val="00CC2ED4"/>
    <w:rsid w:val="00CC2EFA"/>
    <w:rsid w:val="00CC2F4E"/>
    <w:rsid w:val="00CC3012"/>
    <w:rsid w:val="00CC3039"/>
    <w:rsid w:val="00CC3066"/>
    <w:rsid w:val="00CC3147"/>
    <w:rsid w:val="00CC31EC"/>
    <w:rsid w:val="00CC3227"/>
    <w:rsid w:val="00CC3246"/>
    <w:rsid w:val="00CC330D"/>
    <w:rsid w:val="00CC33C5"/>
    <w:rsid w:val="00CC3404"/>
    <w:rsid w:val="00CC3437"/>
    <w:rsid w:val="00CC3443"/>
    <w:rsid w:val="00CC3459"/>
    <w:rsid w:val="00CC3464"/>
    <w:rsid w:val="00CC34F1"/>
    <w:rsid w:val="00CC3522"/>
    <w:rsid w:val="00CC3568"/>
    <w:rsid w:val="00CC356A"/>
    <w:rsid w:val="00CC3577"/>
    <w:rsid w:val="00CC35B1"/>
    <w:rsid w:val="00CC364A"/>
    <w:rsid w:val="00CC368A"/>
    <w:rsid w:val="00CC36AF"/>
    <w:rsid w:val="00CC3754"/>
    <w:rsid w:val="00CC378A"/>
    <w:rsid w:val="00CC382D"/>
    <w:rsid w:val="00CC386C"/>
    <w:rsid w:val="00CC396E"/>
    <w:rsid w:val="00CC3A18"/>
    <w:rsid w:val="00CC3A75"/>
    <w:rsid w:val="00CC3A98"/>
    <w:rsid w:val="00CC3ACF"/>
    <w:rsid w:val="00CC3B1E"/>
    <w:rsid w:val="00CC3B28"/>
    <w:rsid w:val="00CC3B7E"/>
    <w:rsid w:val="00CC3BF7"/>
    <w:rsid w:val="00CC3C7B"/>
    <w:rsid w:val="00CC3D5E"/>
    <w:rsid w:val="00CC3DAA"/>
    <w:rsid w:val="00CC3E1B"/>
    <w:rsid w:val="00CC3E5A"/>
    <w:rsid w:val="00CC3E71"/>
    <w:rsid w:val="00CC3E9D"/>
    <w:rsid w:val="00CC3EDC"/>
    <w:rsid w:val="00CC3F04"/>
    <w:rsid w:val="00CC3F0C"/>
    <w:rsid w:val="00CC3F3C"/>
    <w:rsid w:val="00CC3FB7"/>
    <w:rsid w:val="00CC3FC0"/>
    <w:rsid w:val="00CC3FC7"/>
    <w:rsid w:val="00CC4005"/>
    <w:rsid w:val="00CC400E"/>
    <w:rsid w:val="00CC4073"/>
    <w:rsid w:val="00CC409E"/>
    <w:rsid w:val="00CC40FB"/>
    <w:rsid w:val="00CC417A"/>
    <w:rsid w:val="00CC4192"/>
    <w:rsid w:val="00CC41A3"/>
    <w:rsid w:val="00CC41A8"/>
    <w:rsid w:val="00CC41B2"/>
    <w:rsid w:val="00CC41DF"/>
    <w:rsid w:val="00CC4280"/>
    <w:rsid w:val="00CC429B"/>
    <w:rsid w:val="00CC42E2"/>
    <w:rsid w:val="00CC42E3"/>
    <w:rsid w:val="00CC4330"/>
    <w:rsid w:val="00CC4337"/>
    <w:rsid w:val="00CC439C"/>
    <w:rsid w:val="00CC43A8"/>
    <w:rsid w:val="00CC43B2"/>
    <w:rsid w:val="00CC4424"/>
    <w:rsid w:val="00CC44A2"/>
    <w:rsid w:val="00CC44AA"/>
    <w:rsid w:val="00CC457C"/>
    <w:rsid w:val="00CC4584"/>
    <w:rsid w:val="00CC45B1"/>
    <w:rsid w:val="00CC4636"/>
    <w:rsid w:val="00CC4648"/>
    <w:rsid w:val="00CC4688"/>
    <w:rsid w:val="00CC46D5"/>
    <w:rsid w:val="00CC4720"/>
    <w:rsid w:val="00CC4721"/>
    <w:rsid w:val="00CC4762"/>
    <w:rsid w:val="00CC478E"/>
    <w:rsid w:val="00CC47BA"/>
    <w:rsid w:val="00CC47E7"/>
    <w:rsid w:val="00CC4852"/>
    <w:rsid w:val="00CC4854"/>
    <w:rsid w:val="00CC4926"/>
    <w:rsid w:val="00CC4946"/>
    <w:rsid w:val="00CC496B"/>
    <w:rsid w:val="00CC4977"/>
    <w:rsid w:val="00CC49A9"/>
    <w:rsid w:val="00CC4A08"/>
    <w:rsid w:val="00CC4A4B"/>
    <w:rsid w:val="00CC4A7C"/>
    <w:rsid w:val="00CC4B4A"/>
    <w:rsid w:val="00CC4B6B"/>
    <w:rsid w:val="00CC4B7A"/>
    <w:rsid w:val="00CC4BB4"/>
    <w:rsid w:val="00CC4BB5"/>
    <w:rsid w:val="00CC4BBE"/>
    <w:rsid w:val="00CC4BED"/>
    <w:rsid w:val="00CC4D03"/>
    <w:rsid w:val="00CC4D05"/>
    <w:rsid w:val="00CC4DA7"/>
    <w:rsid w:val="00CC4DC8"/>
    <w:rsid w:val="00CC4DFF"/>
    <w:rsid w:val="00CC4E13"/>
    <w:rsid w:val="00CC4E8B"/>
    <w:rsid w:val="00CC4EA8"/>
    <w:rsid w:val="00CC4EBC"/>
    <w:rsid w:val="00CC4F73"/>
    <w:rsid w:val="00CC4F79"/>
    <w:rsid w:val="00CC4FBA"/>
    <w:rsid w:val="00CC4FE9"/>
    <w:rsid w:val="00CC5027"/>
    <w:rsid w:val="00CC503C"/>
    <w:rsid w:val="00CC5077"/>
    <w:rsid w:val="00CC508C"/>
    <w:rsid w:val="00CC5127"/>
    <w:rsid w:val="00CC5146"/>
    <w:rsid w:val="00CC514B"/>
    <w:rsid w:val="00CC514E"/>
    <w:rsid w:val="00CC517B"/>
    <w:rsid w:val="00CC51A2"/>
    <w:rsid w:val="00CC52AF"/>
    <w:rsid w:val="00CC532D"/>
    <w:rsid w:val="00CC53B2"/>
    <w:rsid w:val="00CC543B"/>
    <w:rsid w:val="00CC5445"/>
    <w:rsid w:val="00CC544B"/>
    <w:rsid w:val="00CC547F"/>
    <w:rsid w:val="00CC54AD"/>
    <w:rsid w:val="00CC551E"/>
    <w:rsid w:val="00CC5524"/>
    <w:rsid w:val="00CC559D"/>
    <w:rsid w:val="00CC559E"/>
    <w:rsid w:val="00CC5601"/>
    <w:rsid w:val="00CC561B"/>
    <w:rsid w:val="00CC5639"/>
    <w:rsid w:val="00CC5650"/>
    <w:rsid w:val="00CC5679"/>
    <w:rsid w:val="00CC56BC"/>
    <w:rsid w:val="00CC5705"/>
    <w:rsid w:val="00CC572B"/>
    <w:rsid w:val="00CC583C"/>
    <w:rsid w:val="00CC5870"/>
    <w:rsid w:val="00CC589B"/>
    <w:rsid w:val="00CC58B1"/>
    <w:rsid w:val="00CC58DD"/>
    <w:rsid w:val="00CC58EF"/>
    <w:rsid w:val="00CC590E"/>
    <w:rsid w:val="00CC591B"/>
    <w:rsid w:val="00CC592E"/>
    <w:rsid w:val="00CC5957"/>
    <w:rsid w:val="00CC5999"/>
    <w:rsid w:val="00CC5A44"/>
    <w:rsid w:val="00CC5A48"/>
    <w:rsid w:val="00CC5A4F"/>
    <w:rsid w:val="00CC5AAB"/>
    <w:rsid w:val="00CC5ABE"/>
    <w:rsid w:val="00CC5BC9"/>
    <w:rsid w:val="00CC5C6F"/>
    <w:rsid w:val="00CC5D18"/>
    <w:rsid w:val="00CC5D3E"/>
    <w:rsid w:val="00CC5DA0"/>
    <w:rsid w:val="00CC5DB1"/>
    <w:rsid w:val="00CC5DED"/>
    <w:rsid w:val="00CC5DFF"/>
    <w:rsid w:val="00CC5E02"/>
    <w:rsid w:val="00CC5EEC"/>
    <w:rsid w:val="00CC5F19"/>
    <w:rsid w:val="00CC5F6F"/>
    <w:rsid w:val="00CC5FB4"/>
    <w:rsid w:val="00CC6014"/>
    <w:rsid w:val="00CC6190"/>
    <w:rsid w:val="00CC61A6"/>
    <w:rsid w:val="00CC61A8"/>
    <w:rsid w:val="00CC61AB"/>
    <w:rsid w:val="00CC61E1"/>
    <w:rsid w:val="00CC6259"/>
    <w:rsid w:val="00CC62B8"/>
    <w:rsid w:val="00CC62D6"/>
    <w:rsid w:val="00CC62E2"/>
    <w:rsid w:val="00CC62E3"/>
    <w:rsid w:val="00CC630F"/>
    <w:rsid w:val="00CC634B"/>
    <w:rsid w:val="00CC6394"/>
    <w:rsid w:val="00CC639B"/>
    <w:rsid w:val="00CC63CA"/>
    <w:rsid w:val="00CC6479"/>
    <w:rsid w:val="00CC64AE"/>
    <w:rsid w:val="00CC6504"/>
    <w:rsid w:val="00CC6508"/>
    <w:rsid w:val="00CC6510"/>
    <w:rsid w:val="00CC65B1"/>
    <w:rsid w:val="00CC65B5"/>
    <w:rsid w:val="00CC6605"/>
    <w:rsid w:val="00CC6622"/>
    <w:rsid w:val="00CC6645"/>
    <w:rsid w:val="00CC6662"/>
    <w:rsid w:val="00CC6697"/>
    <w:rsid w:val="00CC66BA"/>
    <w:rsid w:val="00CC6725"/>
    <w:rsid w:val="00CC673D"/>
    <w:rsid w:val="00CC678F"/>
    <w:rsid w:val="00CC67AD"/>
    <w:rsid w:val="00CC67D8"/>
    <w:rsid w:val="00CC6877"/>
    <w:rsid w:val="00CC68ED"/>
    <w:rsid w:val="00CC6917"/>
    <w:rsid w:val="00CC69DE"/>
    <w:rsid w:val="00CC6A35"/>
    <w:rsid w:val="00CC6A89"/>
    <w:rsid w:val="00CC6ABF"/>
    <w:rsid w:val="00CC6AE5"/>
    <w:rsid w:val="00CC6AED"/>
    <w:rsid w:val="00CC6B04"/>
    <w:rsid w:val="00CC6B23"/>
    <w:rsid w:val="00CC6B28"/>
    <w:rsid w:val="00CC6B29"/>
    <w:rsid w:val="00CC6B2E"/>
    <w:rsid w:val="00CC6B56"/>
    <w:rsid w:val="00CC6B5C"/>
    <w:rsid w:val="00CC6B84"/>
    <w:rsid w:val="00CC6BE9"/>
    <w:rsid w:val="00CC6CA9"/>
    <w:rsid w:val="00CC6CAE"/>
    <w:rsid w:val="00CC6CD5"/>
    <w:rsid w:val="00CC6CDF"/>
    <w:rsid w:val="00CC6D78"/>
    <w:rsid w:val="00CC6DB0"/>
    <w:rsid w:val="00CC6DE7"/>
    <w:rsid w:val="00CC6E38"/>
    <w:rsid w:val="00CC6E7C"/>
    <w:rsid w:val="00CC6F0D"/>
    <w:rsid w:val="00CC6F1B"/>
    <w:rsid w:val="00CC6F55"/>
    <w:rsid w:val="00CC6F70"/>
    <w:rsid w:val="00CC70E0"/>
    <w:rsid w:val="00CC7116"/>
    <w:rsid w:val="00CC711F"/>
    <w:rsid w:val="00CC71E0"/>
    <w:rsid w:val="00CC71F9"/>
    <w:rsid w:val="00CC722D"/>
    <w:rsid w:val="00CC723D"/>
    <w:rsid w:val="00CC7264"/>
    <w:rsid w:val="00CC7289"/>
    <w:rsid w:val="00CC7377"/>
    <w:rsid w:val="00CC73C3"/>
    <w:rsid w:val="00CC74A8"/>
    <w:rsid w:val="00CC74AE"/>
    <w:rsid w:val="00CC7502"/>
    <w:rsid w:val="00CC7519"/>
    <w:rsid w:val="00CC75D3"/>
    <w:rsid w:val="00CC75FC"/>
    <w:rsid w:val="00CC7618"/>
    <w:rsid w:val="00CC7652"/>
    <w:rsid w:val="00CC7718"/>
    <w:rsid w:val="00CC7771"/>
    <w:rsid w:val="00CC7789"/>
    <w:rsid w:val="00CC77A0"/>
    <w:rsid w:val="00CC77BD"/>
    <w:rsid w:val="00CC7839"/>
    <w:rsid w:val="00CC7862"/>
    <w:rsid w:val="00CC7873"/>
    <w:rsid w:val="00CC78BC"/>
    <w:rsid w:val="00CC78CE"/>
    <w:rsid w:val="00CC791E"/>
    <w:rsid w:val="00CC7948"/>
    <w:rsid w:val="00CC795A"/>
    <w:rsid w:val="00CC79AF"/>
    <w:rsid w:val="00CC79E7"/>
    <w:rsid w:val="00CC79F6"/>
    <w:rsid w:val="00CC7A22"/>
    <w:rsid w:val="00CC7A23"/>
    <w:rsid w:val="00CC7A47"/>
    <w:rsid w:val="00CC7A8E"/>
    <w:rsid w:val="00CC7ABF"/>
    <w:rsid w:val="00CC7B0C"/>
    <w:rsid w:val="00CC7B2A"/>
    <w:rsid w:val="00CC7B81"/>
    <w:rsid w:val="00CC7C08"/>
    <w:rsid w:val="00CC7C1E"/>
    <w:rsid w:val="00CC7C2F"/>
    <w:rsid w:val="00CC7C4E"/>
    <w:rsid w:val="00CC7C59"/>
    <w:rsid w:val="00CC7CC2"/>
    <w:rsid w:val="00CC7D5A"/>
    <w:rsid w:val="00CC7D97"/>
    <w:rsid w:val="00CC7DC1"/>
    <w:rsid w:val="00CC7DDC"/>
    <w:rsid w:val="00CC7E1A"/>
    <w:rsid w:val="00CC7E35"/>
    <w:rsid w:val="00CC7E47"/>
    <w:rsid w:val="00CD005D"/>
    <w:rsid w:val="00CD00F0"/>
    <w:rsid w:val="00CD018E"/>
    <w:rsid w:val="00CD018F"/>
    <w:rsid w:val="00CD01B0"/>
    <w:rsid w:val="00CD021C"/>
    <w:rsid w:val="00CD0239"/>
    <w:rsid w:val="00CD02A5"/>
    <w:rsid w:val="00CD02BD"/>
    <w:rsid w:val="00CD0305"/>
    <w:rsid w:val="00CD0364"/>
    <w:rsid w:val="00CD0375"/>
    <w:rsid w:val="00CD03BB"/>
    <w:rsid w:val="00CD0453"/>
    <w:rsid w:val="00CD04AC"/>
    <w:rsid w:val="00CD04D8"/>
    <w:rsid w:val="00CD04E2"/>
    <w:rsid w:val="00CD04E3"/>
    <w:rsid w:val="00CD0530"/>
    <w:rsid w:val="00CD0538"/>
    <w:rsid w:val="00CD0541"/>
    <w:rsid w:val="00CD05E1"/>
    <w:rsid w:val="00CD05E4"/>
    <w:rsid w:val="00CD0612"/>
    <w:rsid w:val="00CD06BD"/>
    <w:rsid w:val="00CD06CF"/>
    <w:rsid w:val="00CD075C"/>
    <w:rsid w:val="00CD0767"/>
    <w:rsid w:val="00CD076B"/>
    <w:rsid w:val="00CD07D3"/>
    <w:rsid w:val="00CD0844"/>
    <w:rsid w:val="00CD0853"/>
    <w:rsid w:val="00CD08B9"/>
    <w:rsid w:val="00CD0920"/>
    <w:rsid w:val="00CD094B"/>
    <w:rsid w:val="00CD095D"/>
    <w:rsid w:val="00CD09AE"/>
    <w:rsid w:val="00CD0A0A"/>
    <w:rsid w:val="00CD0A54"/>
    <w:rsid w:val="00CD0A7B"/>
    <w:rsid w:val="00CD0AEA"/>
    <w:rsid w:val="00CD0B55"/>
    <w:rsid w:val="00CD0BAF"/>
    <w:rsid w:val="00CD0BD5"/>
    <w:rsid w:val="00CD0BE9"/>
    <w:rsid w:val="00CD0C00"/>
    <w:rsid w:val="00CD0C1B"/>
    <w:rsid w:val="00CD0CCB"/>
    <w:rsid w:val="00CD0CD1"/>
    <w:rsid w:val="00CD0CD7"/>
    <w:rsid w:val="00CD0D1F"/>
    <w:rsid w:val="00CD0D40"/>
    <w:rsid w:val="00CD0E1E"/>
    <w:rsid w:val="00CD0E47"/>
    <w:rsid w:val="00CD0E7E"/>
    <w:rsid w:val="00CD0EA6"/>
    <w:rsid w:val="00CD0F04"/>
    <w:rsid w:val="00CD0FD1"/>
    <w:rsid w:val="00CD1065"/>
    <w:rsid w:val="00CD1091"/>
    <w:rsid w:val="00CD10C4"/>
    <w:rsid w:val="00CD11D5"/>
    <w:rsid w:val="00CD1288"/>
    <w:rsid w:val="00CD1323"/>
    <w:rsid w:val="00CD1383"/>
    <w:rsid w:val="00CD13D0"/>
    <w:rsid w:val="00CD1412"/>
    <w:rsid w:val="00CD1456"/>
    <w:rsid w:val="00CD145F"/>
    <w:rsid w:val="00CD14D8"/>
    <w:rsid w:val="00CD14DC"/>
    <w:rsid w:val="00CD1555"/>
    <w:rsid w:val="00CD15BA"/>
    <w:rsid w:val="00CD1704"/>
    <w:rsid w:val="00CD172B"/>
    <w:rsid w:val="00CD176F"/>
    <w:rsid w:val="00CD1772"/>
    <w:rsid w:val="00CD17DA"/>
    <w:rsid w:val="00CD182B"/>
    <w:rsid w:val="00CD187C"/>
    <w:rsid w:val="00CD18B3"/>
    <w:rsid w:val="00CD18B8"/>
    <w:rsid w:val="00CD18C3"/>
    <w:rsid w:val="00CD1925"/>
    <w:rsid w:val="00CD1936"/>
    <w:rsid w:val="00CD1963"/>
    <w:rsid w:val="00CD1971"/>
    <w:rsid w:val="00CD19EF"/>
    <w:rsid w:val="00CD1A23"/>
    <w:rsid w:val="00CD1A28"/>
    <w:rsid w:val="00CD1A46"/>
    <w:rsid w:val="00CD1B5C"/>
    <w:rsid w:val="00CD1BDC"/>
    <w:rsid w:val="00CD1C60"/>
    <w:rsid w:val="00CD1C98"/>
    <w:rsid w:val="00CD1CBC"/>
    <w:rsid w:val="00CD1CD4"/>
    <w:rsid w:val="00CD1D14"/>
    <w:rsid w:val="00CD1D1D"/>
    <w:rsid w:val="00CD1D35"/>
    <w:rsid w:val="00CD1D55"/>
    <w:rsid w:val="00CD1DAC"/>
    <w:rsid w:val="00CD1E0E"/>
    <w:rsid w:val="00CD1E5A"/>
    <w:rsid w:val="00CD1EDD"/>
    <w:rsid w:val="00CD1F59"/>
    <w:rsid w:val="00CD1FD3"/>
    <w:rsid w:val="00CD2014"/>
    <w:rsid w:val="00CD2024"/>
    <w:rsid w:val="00CD2084"/>
    <w:rsid w:val="00CD20AB"/>
    <w:rsid w:val="00CD20C1"/>
    <w:rsid w:val="00CD20CF"/>
    <w:rsid w:val="00CD2164"/>
    <w:rsid w:val="00CD216E"/>
    <w:rsid w:val="00CD2188"/>
    <w:rsid w:val="00CD219E"/>
    <w:rsid w:val="00CD21AE"/>
    <w:rsid w:val="00CD21B5"/>
    <w:rsid w:val="00CD21D5"/>
    <w:rsid w:val="00CD2235"/>
    <w:rsid w:val="00CD233A"/>
    <w:rsid w:val="00CD23C7"/>
    <w:rsid w:val="00CD2418"/>
    <w:rsid w:val="00CD24A9"/>
    <w:rsid w:val="00CD2535"/>
    <w:rsid w:val="00CD2539"/>
    <w:rsid w:val="00CD253A"/>
    <w:rsid w:val="00CD255D"/>
    <w:rsid w:val="00CD256A"/>
    <w:rsid w:val="00CD25DF"/>
    <w:rsid w:val="00CD2602"/>
    <w:rsid w:val="00CD2616"/>
    <w:rsid w:val="00CD261C"/>
    <w:rsid w:val="00CD26AC"/>
    <w:rsid w:val="00CD26D8"/>
    <w:rsid w:val="00CD2742"/>
    <w:rsid w:val="00CD274A"/>
    <w:rsid w:val="00CD2765"/>
    <w:rsid w:val="00CD27B6"/>
    <w:rsid w:val="00CD27C5"/>
    <w:rsid w:val="00CD27E5"/>
    <w:rsid w:val="00CD27ED"/>
    <w:rsid w:val="00CD2810"/>
    <w:rsid w:val="00CD2819"/>
    <w:rsid w:val="00CD285F"/>
    <w:rsid w:val="00CD28C6"/>
    <w:rsid w:val="00CD292C"/>
    <w:rsid w:val="00CD2983"/>
    <w:rsid w:val="00CD29DF"/>
    <w:rsid w:val="00CD2A7D"/>
    <w:rsid w:val="00CD2A91"/>
    <w:rsid w:val="00CD2B3C"/>
    <w:rsid w:val="00CD2B3E"/>
    <w:rsid w:val="00CD2B44"/>
    <w:rsid w:val="00CD2B70"/>
    <w:rsid w:val="00CD2BC4"/>
    <w:rsid w:val="00CD2C30"/>
    <w:rsid w:val="00CD2C4A"/>
    <w:rsid w:val="00CD2C84"/>
    <w:rsid w:val="00CD2CAB"/>
    <w:rsid w:val="00CD2CD4"/>
    <w:rsid w:val="00CD2CEA"/>
    <w:rsid w:val="00CD2D13"/>
    <w:rsid w:val="00CD2D1A"/>
    <w:rsid w:val="00CD2D6E"/>
    <w:rsid w:val="00CD2D83"/>
    <w:rsid w:val="00CD2E55"/>
    <w:rsid w:val="00CD2EE3"/>
    <w:rsid w:val="00CD2F5F"/>
    <w:rsid w:val="00CD2F63"/>
    <w:rsid w:val="00CD2F91"/>
    <w:rsid w:val="00CD2FA1"/>
    <w:rsid w:val="00CD2FB5"/>
    <w:rsid w:val="00CD2FD6"/>
    <w:rsid w:val="00CD2FE0"/>
    <w:rsid w:val="00CD2FE3"/>
    <w:rsid w:val="00CD305A"/>
    <w:rsid w:val="00CD30AB"/>
    <w:rsid w:val="00CD30C7"/>
    <w:rsid w:val="00CD3119"/>
    <w:rsid w:val="00CD3126"/>
    <w:rsid w:val="00CD31B0"/>
    <w:rsid w:val="00CD31CA"/>
    <w:rsid w:val="00CD31D7"/>
    <w:rsid w:val="00CD3227"/>
    <w:rsid w:val="00CD3254"/>
    <w:rsid w:val="00CD330E"/>
    <w:rsid w:val="00CD3327"/>
    <w:rsid w:val="00CD3398"/>
    <w:rsid w:val="00CD339B"/>
    <w:rsid w:val="00CD33F1"/>
    <w:rsid w:val="00CD341E"/>
    <w:rsid w:val="00CD3454"/>
    <w:rsid w:val="00CD3484"/>
    <w:rsid w:val="00CD3500"/>
    <w:rsid w:val="00CD356F"/>
    <w:rsid w:val="00CD3573"/>
    <w:rsid w:val="00CD35E8"/>
    <w:rsid w:val="00CD3633"/>
    <w:rsid w:val="00CD363C"/>
    <w:rsid w:val="00CD3654"/>
    <w:rsid w:val="00CD369E"/>
    <w:rsid w:val="00CD36B0"/>
    <w:rsid w:val="00CD36D6"/>
    <w:rsid w:val="00CD36DE"/>
    <w:rsid w:val="00CD36E9"/>
    <w:rsid w:val="00CD36FA"/>
    <w:rsid w:val="00CD374E"/>
    <w:rsid w:val="00CD3773"/>
    <w:rsid w:val="00CD3787"/>
    <w:rsid w:val="00CD37BA"/>
    <w:rsid w:val="00CD385F"/>
    <w:rsid w:val="00CD38A9"/>
    <w:rsid w:val="00CD38E8"/>
    <w:rsid w:val="00CD38FF"/>
    <w:rsid w:val="00CD393F"/>
    <w:rsid w:val="00CD3945"/>
    <w:rsid w:val="00CD39FC"/>
    <w:rsid w:val="00CD39FF"/>
    <w:rsid w:val="00CD3A08"/>
    <w:rsid w:val="00CD3A18"/>
    <w:rsid w:val="00CD3A20"/>
    <w:rsid w:val="00CD3A70"/>
    <w:rsid w:val="00CD3AAC"/>
    <w:rsid w:val="00CD3B00"/>
    <w:rsid w:val="00CD3BBD"/>
    <w:rsid w:val="00CD3C04"/>
    <w:rsid w:val="00CD3C65"/>
    <w:rsid w:val="00CD3C88"/>
    <w:rsid w:val="00CD3C94"/>
    <w:rsid w:val="00CD3CA4"/>
    <w:rsid w:val="00CD3CE1"/>
    <w:rsid w:val="00CD3D71"/>
    <w:rsid w:val="00CD3D8B"/>
    <w:rsid w:val="00CD3DA5"/>
    <w:rsid w:val="00CD3DDF"/>
    <w:rsid w:val="00CD3DFF"/>
    <w:rsid w:val="00CD3E19"/>
    <w:rsid w:val="00CD3E4E"/>
    <w:rsid w:val="00CD3E5D"/>
    <w:rsid w:val="00CD3EC7"/>
    <w:rsid w:val="00CD3ECE"/>
    <w:rsid w:val="00CD3EE3"/>
    <w:rsid w:val="00CD3F25"/>
    <w:rsid w:val="00CD3FCD"/>
    <w:rsid w:val="00CD3FD9"/>
    <w:rsid w:val="00CD3FDC"/>
    <w:rsid w:val="00CD4073"/>
    <w:rsid w:val="00CD409E"/>
    <w:rsid w:val="00CD40B5"/>
    <w:rsid w:val="00CD40D7"/>
    <w:rsid w:val="00CD40E7"/>
    <w:rsid w:val="00CD40EF"/>
    <w:rsid w:val="00CD410A"/>
    <w:rsid w:val="00CD419A"/>
    <w:rsid w:val="00CD41A5"/>
    <w:rsid w:val="00CD41DE"/>
    <w:rsid w:val="00CD41E0"/>
    <w:rsid w:val="00CD4270"/>
    <w:rsid w:val="00CD429B"/>
    <w:rsid w:val="00CD42F2"/>
    <w:rsid w:val="00CD42F6"/>
    <w:rsid w:val="00CD431B"/>
    <w:rsid w:val="00CD4338"/>
    <w:rsid w:val="00CD4340"/>
    <w:rsid w:val="00CD43B3"/>
    <w:rsid w:val="00CD43EC"/>
    <w:rsid w:val="00CD4433"/>
    <w:rsid w:val="00CD4489"/>
    <w:rsid w:val="00CD44EC"/>
    <w:rsid w:val="00CD4532"/>
    <w:rsid w:val="00CD4542"/>
    <w:rsid w:val="00CD45DD"/>
    <w:rsid w:val="00CD460C"/>
    <w:rsid w:val="00CD460F"/>
    <w:rsid w:val="00CD4650"/>
    <w:rsid w:val="00CD4688"/>
    <w:rsid w:val="00CD469D"/>
    <w:rsid w:val="00CD474F"/>
    <w:rsid w:val="00CD477F"/>
    <w:rsid w:val="00CD4799"/>
    <w:rsid w:val="00CD47A3"/>
    <w:rsid w:val="00CD47B6"/>
    <w:rsid w:val="00CD47E8"/>
    <w:rsid w:val="00CD480B"/>
    <w:rsid w:val="00CD487C"/>
    <w:rsid w:val="00CD4886"/>
    <w:rsid w:val="00CD4890"/>
    <w:rsid w:val="00CD48C7"/>
    <w:rsid w:val="00CD48C9"/>
    <w:rsid w:val="00CD4904"/>
    <w:rsid w:val="00CD4941"/>
    <w:rsid w:val="00CD496A"/>
    <w:rsid w:val="00CD4A07"/>
    <w:rsid w:val="00CD4A0A"/>
    <w:rsid w:val="00CD4A2E"/>
    <w:rsid w:val="00CD4A54"/>
    <w:rsid w:val="00CD4A66"/>
    <w:rsid w:val="00CD4A88"/>
    <w:rsid w:val="00CD4ADD"/>
    <w:rsid w:val="00CD4B15"/>
    <w:rsid w:val="00CD4B27"/>
    <w:rsid w:val="00CD4BD0"/>
    <w:rsid w:val="00CD4C0E"/>
    <w:rsid w:val="00CD4C85"/>
    <w:rsid w:val="00CD4C93"/>
    <w:rsid w:val="00CD4CA7"/>
    <w:rsid w:val="00CD4CC3"/>
    <w:rsid w:val="00CD4CC9"/>
    <w:rsid w:val="00CD4CD9"/>
    <w:rsid w:val="00CD4D0C"/>
    <w:rsid w:val="00CD4D20"/>
    <w:rsid w:val="00CD4D53"/>
    <w:rsid w:val="00CD4D7F"/>
    <w:rsid w:val="00CD4DCF"/>
    <w:rsid w:val="00CD4DE2"/>
    <w:rsid w:val="00CD4E16"/>
    <w:rsid w:val="00CD4E77"/>
    <w:rsid w:val="00CD4E83"/>
    <w:rsid w:val="00CD4E95"/>
    <w:rsid w:val="00CD4F33"/>
    <w:rsid w:val="00CD4F8E"/>
    <w:rsid w:val="00CD4F96"/>
    <w:rsid w:val="00CD4FCA"/>
    <w:rsid w:val="00CD5011"/>
    <w:rsid w:val="00CD50BA"/>
    <w:rsid w:val="00CD50DB"/>
    <w:rsid w:val="00CD50F4"/>
    <w:rsid w:val="00CD510A"/>
    <w:rsid w:val="00CD511E"/>
    <w:rsid w:val="00CD51AD"/>
    <w:rsid w:val="00CD5230"/>
    <w:rsid w:val="00CD525D"/>
    <w:rsid w:val="00CD5291"/>
    <w:rsid w:val="00CD52A5"/>
    <w:rsid w:val="00CD52DE"/>
    <w:rsid w:val="00CD5342"/>
    <w:rsid w:val="00CD53D8"/>
    <w:rsid w:val="00CD53E3"/>
    <w:rsid w:val="00CD5425"/>
    <w:rsid w:val="00CD5450"/>
    <w:rsid w:val="00CD5470"/>
    <w:rsid w:val="00CD5493"/>
    <w:rsid w:val="00CD54AA"/>
    <w:rsid w:val="00CD556E"/>
    <w:rsid w:val="00CD561F"/>
    <w:rsid w:val="00CD5627"/>
    <w:rsid w:val="00CD5646"/>
    <w:rsid w:val="00CD56C8"/>
    <w:rsid w:val="00CD56F9"/>
    <w:rsid w:val="00CD5726"/>
    <w:rsid w:val="00CD575F"/>
    <w:rsid w:val="00CD57EB"/>
    <w:rsid w:val="00CD5823"/>
    <w:rsid w:val="00CD5870"/>
    <w:rsid w:val="00CD58AF"/>
    <w:rsid w:val="00CD594C"/>
    <w:rsid w:val="00CD595E"/>
    <w:rsid w:val="00CD598C"/>
    <w:rsid w:val="00CD59C1"/>
    <w:rsid w:val="00CD5A54"/>
    <w:rsid w:val="00CD5AC1"/>
    <w:rsid w:val="00CD5B23"/>
    <w:rsid w:val="00CD5B2B"/>
    <w:rsid w:val="00CD5B49"/>
    <w:rsid w:val="00CD5BB3"/>
    <w:rsid w:val="00CD5C8A"/>
    <w:rsid w:val="00CD5CA2"/>
    <w:rsid w:val="00CD5D1E"/>
    <w:rsid w:val="00CD5E4E"/>
    <w:rsid w:val="00CD5ECC"/>
    <w:rsid w:val="00CD5EF8"/>
    <w:rsid w:val="00CD5F0A"/>
    <w:rsid w:val="00CD5F57"/>
    <w:rsid w:val="00CD5F63"/>
    <w:rsid w:val="00CD5FC0"/>
    <w:rsid w:val="00CD6045"/>
    <w:rsid w:val="00CD610D"/>
    <w:rsid w:val="00CD6113"/>
    <w:rsid w:val="00CD6143"/>
    <w:rsid w:val="00CD6165"/>
    <w:rsid w:val="00CD6171"/>
    <w:rsid w:val="00CD618E"/>
    <w:rsid w:val="00CD6246"/>
    <w:rsid w:val="00CD626E"/>
    <w:rsid w:val="00CD628A"/>
    <w:rsid w:val="00CD6296"/>
    <w:rsid w:val="00CD6322"/>
    <w:rsid w:val="00CD6349"/>
    <w:rsid w:val="00CD63CE"/>
    <w:rsid w:val="00CD648C"/>
    <w:rsid w:val="00CD64A6"/>
    <w:rsid w:val="00CD64B0"/>
    <w:rsid w:val="00CD64BF"/>
    <w:rsid w:val="00CD64D1"/>
    <w:rsid w:val="00CD64F4"/>
    <w:rsid w:val="00CD651B"/>
    <w:rsid w:val="00CD654B"/>
    <w:rsid w:val="00CD65FF"/>
    <w:rsid w:val="00CD6715"/>
    <w:rsid w:val="00CD6835"/>
    <w:rsid w:val="00CD6853"/>
    <w:rsid w:val="00CD6868"/>
    <w:rsid w:val="00CD68A0"/>
    <w:rsid w:val="00CD68C5"/>
    <w:rsid w:val="00CD68C7"/>
    <w:rsid w:val="00CD68F6"/>
    <w:rsid w:val="00CD691D"/>
    <w:rsid w:val="00CD6976"/>
    <w:rsid w:val="00CD69BB"/>
    <w:rsid w:val="00CD69BC"/>
    <w:rsid w:val="00CD6A3D"/>
    <w:rsid w:val="00CD6A92"/>
    <w:rsid w:val="00CD6AB2"/>
    <w:rsid w:val="00CD6B17"/>
    <w:rsid w:val="00CD6B58"/>
    <w:rsid w:val="00CD6B9F"/>
    <w:rsid w:val="00CD6C4F"/>
    <w:rsid w:val="00CD6C6B"/>
    <w:rsid w:val="00CD6C74"/>
    <w:rsid w:val="00CD6C97"/>
    <w:rsid w:val="00CD6CAA"/>
    <w:rsid w:val="00CD6CF6"/>
    <w:rsid w:val="00CD6D41"/>
    <w:rsid w:val="00CD6DE0"/>
    <w:rsid w:val="00CD6E23"/>
    <w:rsid w:val="00CD6E56"/>
    <w:rsid w:val="00CD6E59"/>
    <w:rsid w:val="00CD6EF6"/>
    <w:rsid w:val="00CD6F53"/>
    <w:rsid w:val="00CD6F83"/>
    <w:rsid w:val="00CD6FC6"/>
    <w:rsid w:val="00CD6FEB"/>
    <w:rsid w:val="00CD6FF6"/>
    <w:rsid w:val="00CD7009"/>
    <w:rsid w:val="00CD701C"/>
    <w:rsid w:val="00CD7091"/>
    <w:rsid w:val="00CD70B1"/>
    <w:rsid w:val="00CD710A"/>
    <w:rsid w:val="00CD7132"/>
    <w:rsid w:val="00CD7140"/>
    <w:rsid w:val="00CD7174"/>
    <w:rsid w:val="00CD7176"/>
    <w:rsid w:val="00CD71FC"/>
    <w:rsid w:val="00CD72BE"/>
    <w:rsid w:val="00CD730D"/>
    <w:rsid w:val="00CD7318"/>
    <w:rsid w:val="00CD73DB"/>
    <w:rsid w:val="00CD7416"/>
    <w:rsid w:val="00CD7491"/>
    <w:rsid w:val="00CD74D0"/>
    <w:rsid w:val="00CD7585"/>
    <w:rsid w:val="00CD766C"/>
    <w:rsid w:val="00CD7678"/>
    <w:rsid w:val="00CD76C1"/>
    <w:rsid w:val="00CD76D5"/>
    <w:rsid w:val="00CD76D7"/>
    <w:rsid w:val="00CD7713"/>
    <w:rsid w:val="00CD774F"/>
    <w:rsid w:val="00CD7769"/>
    <w:rsid w:val="00CD77A5"/>
    <w:rsid w:val="00CD77D7"/>
    <w:rsid w:val="00CD77DA"/>
    <w:rsid w:val="00CD781D"/>
    <w:rsid w:val="00CD7890"/>
    <w:rsid w:val="00CD78A6"/>
    <w:rsid w:val="00CD78C6"/>
    <w:rsid w:val="00CD794C"/>
    <w:rsid w:val="00CD7963"/>
    <w:rsid w:val="00CD797C"/>
    <w:rsid w:val="00CD79A2"/>
    <w:rsid w:val="00CD79B8"/>
    <w:rsid w:val="00CD79CB"/>
    <w:rsid w:val="00CD79CC"/>
    <w:rsid w:val="00CD7A26"/>
    <w:rsid w:val="00CD7A4D"/>
    <w:rsid w:val="00CD7AD6"/>
    <w:rsid w:val="00CD7AE8"/>
    <w:rsid w:val="00CD7B14"/>
    <w:rsid w:val="00CD7B48"/>
    <w:rsid w:val="00CD7C09"/>
    <w:rsid w:val="00CD7C16"/>
    <w:rsid w:val="00CD7C20"/>
    <w:rsid w:val="00CD7C44"/>
    <w:rsid w:val="00CD7C74"/>
    <w:rsid w:val="00CD7CD4"/>
    <w:rsid w:val="00CD7CE5"/>
    <w:rsid w:val="00CD7D0F"/>
    <w:rsid w:val="00CD7DB8"/>
    <w:rsid w:val="00CD7DE7"/>
    <w:rsid w:val="00CD7E23"/>
    <w:rsid w:val="00CD7E44"/>
    <w:rsid w:val="00CD7E5D"/>
    <w:rsid w:val="00CD7E5E"/>
    <w:rsid w:val="00CD7E86"/>
    <w:rsid w:val="00CD7EA5"/>
    <w:rsid w:val="00CD7F46"/>
    <w:rsid w:val="00CD7F78"/>
    <w:rsid w:val="00CD7FE1"/>
    <w:rsid w:val="00CE0002"/>
    <w:rsid w:val="00CE0011"/>
    <w:rsid w:val="00CE0018"/>
    <w:rsid w:val="00CE00A2"/>
    <w:rsid w:val="00CE00B7"/>
    <w:rsid w:val="00CE011E"/>
    <w:rsid w:val="00CE0140"/>
    <w:rsid w:val="00CE015B"/>
    <w:rsid w:val="00CE01D1"/>
    <w:rsid w:val="00CE0243"/>
    <w:rsid w:val="00CE0286"/>
    <w:rsid w:val="00CE02BF"/>
    <w:rsid w:val="00CE033C"/>
    <w:rsid w:val="00CE0398"/>
    <w:rsid w:val="00CE03D7"/>
    <w:rsid w:val="00CE0452"/>
    <w:rsid w:val="00CE0466"/>
    <w:rsid w:val="00CE046B"/>
    <w:rsid w:val="00CE047D"/>
    <w:rsid w:val="00CE047E"/>
    <w:rsid w:val="00CE0480"/>
    <w:rsid w:val="00CE04BA"/>
    <w:rsid w:val="00CE050B"/>
    <w:rsid w:val="00CE0525"/>
    <w:rsid w:val="00CE0570"/>
    <w:rsid w:val="00CE0578"/>
    <w:rsid w:val="00CE0598"/>
    <w:rsid w:val="00CE059B"/>
    <w:rsid w:val="00CE05E9"/>
    <w:rsid w:val="00CE05FB"/>
    <w:rsid w:val="00CE0678"/>
    <w:rsid w:val="00CE0682"/>
    <w:rsid w:val="00CE0715"/>
    <w:rsid w:val="00CE076A"/>
    <w:rsid w:val="00CE0791"/>
    <w:rsid w:val="00CE0901"/>
    <w:rsid w:val="00CE0906"/>
    <w:rsid w:val="00CE0918"/>
    <w:rsid w:val="00CE0935"/>
    <w:rsid w:val="00CE0968"/>
    <w:rsid w:val="00CE096C"/>
    <w:rsid w:val="00CE09A7"/>
    <w:rsid w:val="00CE0A00"/>
    <w:rsid w:val="00CE0ABB"/>
    <w:rsid w:val="00CE0AD3"/>
    <w:rsid w:val="00CE0AFE"/>
    <w:rsid w:val="00CE0B4C"/>
    <w:rsid w:val="00CE0BA9"/>
    <w:rsid w:val="00CE0BB4"/>
    <w:rsid w:val="00CE0BC4"/>
    <w:rsid w:val="00CE0C33"/>
    <w:rsid w:val="00CE0C85"/>
    <w:rsid w:val="00CE0C8D"/>
    <w:rsid w:val="00CE0CAE"/>
    <w:rsid w:val="00CE0D04"/>
    <w:rsid w:val="00CE0D0F"/>
    <w:rsid w:val="00CE0D1E"/>
    <w:rsid w:val="00CE0D23"/>
    <w:rsid w:val="00CE0D59"/>
    <w:rsid w:val="00CE0D5D"/>
    <w:rsid w:val="00CE0D8F"/>
    <w:rsid w:val="00CE0DAA"/>
    <w:rsid w:val="00CE0DB7"/>
    <w:rsid w:val="00CE0E45"/>
    <w:rsid w:val="00CE0E94"/>
    <w:rsid w:val="00CE0EE3"/>
    <w:rsid w:val="00CE0F06"/>
    <w:rsid w:val="00CE0F3B"/>
    <w:rsid w:val="00CE0F4C"/>
    <w:rsid w:val="00CE0F6F"/>
    <w:rsid w:val="00CE0FCE"/>
    <w:rsid w:val="00CE0FD5"/>
    <w:rsid w:val="00CE0FDD"/>
    <w:rsid w:val="00CE0FE2"/>
    <w:rsid w:val="00CE1041"/>
    <w:rsid w:val="00CE104B"/>
    <w:rsid w:val="00CE1056"/>
    <w:rsid w:val="00CE1064"/>
    <w:rsid w:val="00CE1102"/>
    <w:rsid w:val="00CE11B1"/>
    <w:rsid w:val="00CE1209"/>
    <w:rsid w:val="00CE1283"/>
    <w:rsid w:val="00CE128D"/>
    <w:rsid w:val="00CE1298"/>
    <w:rsid w:val="00CE12B8"/>
    <w:rsid w:val="00CE1310"/>
    <w:rsid w:val="00CE1353"/>
    <w:rsid w:val="00CE136A"/>
    <w:rsid w:val="00CE1381"/>
    <w:rsid w:val="00CE1439"/>
    <w:rsid w:val="00CE14A6"/>
    <w:rsid w:val="00CE1562"/>
    <w:rsid w:val="00CE15C2"/>
    <w:rsid w:val="00CE15FE"/>
    <w:rsid w:val="00CE161F"/>
    <w:rsid w:val="00CE1644"/>
    <w:rsid w:val="00CE1665"/>
    <w:rsid w:val="00CE168F"/>
    <w:rsid w:val="00CE1734"/>
    <w:rsid w:val="00CE178B"/>
    <w:rsid w:val="00CE17CD"/>
    <w:rsid w:val="00CE17DE"/>
    <w:rsid w:val="00CE181D"/>
    <w:rsid w:val="00CE18AE"/>
    <w:rsid w:val="00CE18B6"/>
    <w:rsid w:val="00CE18F6"/>
    <w:rsid w:val="00CE195D"/>
    <w:rsid w:val="00CE197C"/>
    <w:rsid w:val="00CE19D6"/>
    <w:rsid w:val="00CE1A4E"/>
    <w:rsid w:val="00CE1A55"/>
    <w:rsid w:val="00CE1AD8"/>
    <w:rsid w:val="00CE1AE6"/>
    <w:rsid w:val="00CE1AEB"/>
    <w:rsid w:val="00CE1AF6"/>
    <w:rsid w:val="00CE1B22"/>
    <w:rsid w:val="00CE1B3E"/>
    <w:rsid w:val="00CE1C65"/>
    <w:rsid w:val="00CE1C77"/>
    <w:rsid w:val="00CE1CE8"/>
    <w:rsid w:val="00CE1D7C"/>
    <w:rsid w:val="00CE1D87"/>
    <w:rsid w:val="00CE1DF2"/>
    <w:rsid w:val="00CE1E1F"/>
    <w:rsid w:val="00CE1E9E"/>
    <w:rsid w:val="00CE1EA3"/>
    <w:rsid w:val="00CE1EAC"/>
    <w:rsid w:val="00CE1ED1"/>
    <w:rsid w:val="00CE1EF8"/>
    <w:rsid w:val="00CE1EF9"/>
    <w:rsid w:val="00CE1F4B"/>
    <w:rsid w:val="00CE1F4E"/>
    <w:rsid w:val="00CE1FC4"/>
    <w:rsid w:val="00CE208F"/>
    <w:rsid w:val="00CE20E1"/>
    <w:rsid w:val="00CE2152"/>
    <w:rsid w:val="00CE2182"/>
    <w:rsid w:val="00CE21DA"/>
    <w:rsid w:val="00CE21FF"/>
    <w:rsid w:val="00CE223E"/>
    <w:rsid w:val="00CE227B"/>
    <w:rsid w:val="00CE2291"/>
    <w:rsid w:val="00CE22F4"/>
    <w:rsid w:val="00CE2311"/>
    <w:rsid w:val="00CE2374"/>
    <w:rsid w:val="00CE237C"/>
    <w:rsid w:val="00CE2380"/>
    <w:rsid w:val="00CE2383"/>
    <w:rsid w:val="00CE240B"/>
    <w:rsid w:val="00CE243F"/>
    <w:rsid w:val="00CE2470"/>
    <w:rsid w:val="00CE2503"/>
    <w:rsid w:val="00CE252D"/>
    <w:rsid w:val="00CE253A"/>
    <w:rsid w:val="00CE256D"/>
    <w:rsid w:val="00CE262E"/>
    <w:rsid w:val="00CE2675"/>
    <w:rsid w:val="00CE2703"/>
    <w:rsid w:val="00CE2705"/>
    <w:rsid w:val="00CE2730"/>
    <w:rsid w:val="00CE2737"/>
    <w:rsid w:val="00CE27A4"/>
    <w:rsid w:val="00CE281A"/>
    <w:rsid w:val="00CE283C"/>
    <w:rsid w:val="00CE2861"/>
    <w:rsid w:val="00CE2885"/>
    <w:rsid w:val="00CE289E"/>
    <w:rsid w:val="00CE28A3"/>
    <w:rsid w:val="00CE28C0"/>
    <w:rsid w:val="00CE28CD"/>
    <w:rsid w:val="00CE28F5"/>
    <w:rsid w:val="00CE2917"/>
    <w:rsid w:val="00CE2945"/>
    <w:rsid w:val="00CE295A"/>
    <w:rsid w:val="00CE2978"/>
    <w:rsid w:val="00CE29CC"/>
    <w:rsid w:val="00CE29DD"/>
    <w:rsid w:val="00CE29EA"/>
    <w:rsid w:val="00CE2A3B"/>
    <w:rsid w:val="00CE2A69"/>
    <w:rsid w:val="00CE2AC3"/>
    <w:rsid w:val="00CE2ADF"/>
    <w:rsid w:val="00CE2AF4"/>
    <w:rsid w:val="00CE2B10"/>
    <w:rsid w:val="00CE2B53"/>
    <w:rsid w:val="00CE2B94"/>
    <w:rsid w:val="00CE2BF7"/>
    <w:rsid w:val="00CE2C5D"/>
    <w:rsid w:val="00CE2C7C"/>
    <w:rsid w:val="00CE2CBA"/>
    <w:rsid w:val="00CE2CC8"/>
    <w:rsid w:val="00CE2CD5"/>
    <w:rsid w:val="00CE2D19"/>
    <w:rsid w:val="00CE2D88"/>
    <w:rsid w:val="00CE2DE1"/>
    <w:rsid w:val="00CE2E16"/>
    <w:rsid w:val="00CE2E73"/>
    <w:rsid w:val="00CE2EC5"/>
    <w:rsid w:val="00CE2F09"/>
    <w:rsid w:val="00CE2FAC"/>
    <w:rsid w:val="00CE2FBE"/>
    <w:rsid w:val="00CE2FD2"/>
    <w:rsid w:val="00CE2FD6"/>
    <w:rsid w:val="00CE30B0"/>
    <w:rsid w:val="00CE30F2"/>
    <w:rsid w:val="00CE3113"/>
    <w:rsid w:val="00CE3191"/>
    <w:rsid w:val="00CE31D9"/>
    <w:rsid w:val="00CE31FD"/>
    <w:rsid w:val="00CE321A"/>
    <w:rsid w:val="00CE3245"/>
    <w:rsid w:val="00CE3284"/>
    <w:rsid w:val="00CE328A"/>
    <w:rsid w:val="00CE32AF"/>
    <w:rsid w:val="00CE32E5"/>
    <w:rsid w:val="00CE3311"/>
    <w:rsid w:val="00CE332D"/>
    <w:rsid w:val="00CE33A9"/>
    <w:rsid w:val="00CE33BF"/>
    <w:rsid w:val="00CE33FC"/>
    <w:rsid w:val="00CE3442"/>
    <w:rsid w:val="00CE3450"/>
    <w:rsid w:val="00CE349F"/>
    <w:rsid w:val="00CE34FF"/>
    <w:rsid w:val="00CE3521"/>
    <w:rsid w:val="00CE354F"/>
    <w:rsid w:val="00CE35CE"/>
    <w:rsid w:val="00CE3628"/>
    <w:rsid w:val="00CE3688"/>
    <w:rsid w:val="00CE371F"/>
    <w:rsid w:val="00CE375B"/>
    <w:rsid w:val="00CE375D"/>
    <w:rsid w:val="00CE3770"/>
    <w:rsid w:val="00CE3777"/>
    <w:rsid w:val="00CE37CF"/>
    <w:rsid w:val="00CE3821"/>
    <w:rsid w:val="00CE38F3"/>
    <w:rsid w:val="00CE38FE"/>
    <w:rsid w:val="00CE394B"/>
    <w:rsid w:val="00CE397B"/>
    <w:rsid w:val="00CE39C2"/>
    <w:rsid w:val="00CE39E6"/>
    <w:rsid w:val="00CE39F1"/>
    <w:rsid w:val="00CE3A2B"/>
    <w:rsid w:val="00CE3A7B"/>
    <w:rsid w:val="00CE3A9A"/>
    <w:rsid w:val="00CE3A9E"/>
    <w:rsid w:val="00CE3AF4"/>
    <w:rsid w:val="00CE3B03"/>
    <w:rsid w:val="00CE3B39"/>
    <w:rsid w:val="00CE3B3B"/>
    <w:rsid w:val="00CE3B80"/>
    <w:rsid w:val="00CE3BE0"/>
    <w:rsid w:val="00CE3C99"/>
    <w:rsid w:val="00CE3CAF"/>
    <w:rsid w:val="00CE3CBE"/>
    <w:rsid w:val="00CE3D2F"/>
    <w:rsid w:val="00CE3DBF"/>
    <w:rsid w:val="00CE3E00"/>
    <w:rsid w:val="00CE3E1D"/>
    <w:rsid w:val="00CE3E34"/>
    <w:rsid w:val="00CE3E74"/>
    <w:rsid w:val="00CE3ECF"/>
    <w:rsid w:val="00CE3F04"/>
    <w:rsid w:val="00CE3F40"/>
    <w:rsid w:val="00CE3F41"/>
    <w:rsid w:val="00CE3FAA"/>
    <w:rsid w:val="00CE41AE"/>
    <w:rsid w:val="00CE41CB"/>
    <w:rsid w:val="00CE41FB"/>
    <w:rsid w:val="00CE42D7"/>
    <w:rsid w:val="00CE4322"/>
    <w:rsid w:val="00CE43C6"/>
    <w:rsid w:val="00CE43C7"/>
    <w:rsid w:val="00CE4430"/>
    <w:rsid w:val="00CE443D"/>
    <w:rsid w:val="00CE4441"/>
    <w:rsid w:val="00CE446E"/>
    <w:rsid w:val="00CE4498"/>
    <w:rsid w:val="00CE449C"/>
    <w:rsid w:val="00CE44A5"/>
    <w:rsid w:val="00CE44B3"/>
    <w:rsid w:val="00CE4502"/>
    <w:rsid w:val="00CE453A"/>
    <w:rsid w:val="00CE4556"/>
    <w:rsid w:val="00CE457E"/>
    <w:rsid w:val="00CE45FD"/>
    <w:rsid w:val="00CE4687"/>
    <w:rsid w:val="00CE46F9"/>
    <w:rsid w:val="00CE4701"/>
    <w:rsid w:val="00CE476B"/>
    <w:rsid w:val="00CE4794"/>
    <w:rsid w:val="00CE47B5"/>
    <w:rsid w:val="00CE4810"/>
    <w:rsid w:val="00CE4820"/>
    <w:rsid w:val="00CE4877"/>
    <w:rsid w:val="00CE48C5"/>
    <w:rsid w:val="00CE48D8"/>
    <w:rsid w:val="00CE49B5"/>
    <w:rsid w:val="00CE4A00"/>
    <w:rsid w:val="00CE4A18"/>
    <w:rsid w:val="00CE4A5F"/>
    <w:rsid w:val="00CE4B5E"/>
    <w:rsid w:val="00CE4B97"/>
    <w:rsid w:val="00CE4B9C"/>
    <w:rsid w:val="00CE4BEA"/>
    <w:rsid w:val="00CE4C4D"/>
    <w:rsid w:val="00CE4CA6"/>
    <w:rsid w:val="00CE4CC4"/>
    <w:rsid w:val="00CE4D18"/>
    <w:rsid w:val="00CE4D64"/>
    <w:rsid w:val="00CE4D79"/>
    <w:rsid w:val="00CE4D93"/>
    <w:rsid w:val="00CE4DA1"/>
    <w:rsid w:val="00CE4DAC"/>
    <w:rsid w:val="00CE4DB1"/>
    <w:rsid w:val="00CE4DCD"/>
    <w:rsid w:val="00CE4DDB"/>
    <w:rsid w:val="00CE4DE7"/>
    <w:rsid w:val="00CE4E07"/>
    <w:rsid w:val="00CE4E09"/>
    <w:rsid w:val="00CE4E0C"/>
    <w:rsid w:val="00CE4E0F"/>
    <w:rsid w:val="00CE4E58"/>
    <w:rsid w:val="00CE4E82"/>
    <w:rsid w:val="00CE4ED2"/>
    <w:rsid w:val="00CE4EFF"/>
    <w:rsid w:val="00CE4FFB"/>
    <w:rsid w:val="00CE5005"/>
    <w:rsid w:val="00CE5021"/>
    <w:rsid w:val="00CE50F2"/>
    <w:rsid w:val="00CE510A"/>
    <w:rsid w:val="00CE514C"/>
    <w:rsid w:val="00CE515F"/>
    <w:rsid w:val="00CE516C"/>
    <w:rsid w:val="00CE517E"/>
    <w:rsid w:val="00CE51EE"/>
    <w:rsid w:val="00CE52B9"/>
    <w:rsid w:val="00CE5308"/>
    <w:rsid w:val="00CE5318"/>
    <w:rsid w:val="00CE533B"/>
    <w:rsid w:val="00CE5342"/>
    <w:rsid w:val="00CE536A"/>
    <w:rsid w:val="00CE53C4"/>
    <w:rsid w:val="00CE53C6"/>
    <w:rsid w:val="00CE5470"/>
    <w:rsid w:val="00CE547F"/>
    <w:rsid w:val="00CE54C4"/>
    <w:rsid w:val="00CE5501"/>
    <w:rsid w:val="00CE5511"/>
    <w:rsid w:val="00CE5526"/>
    <w:rsid w:val="00CE552E"/>
    <w:rsid w:val="00CE553C"/>
    <w:rsid w:val="00CE55B3"/>
    <w:rsid w:val="00CE55D6"/>
    <w:rsid w:val="00CE55E9"/>
    <w:rsid w:val="00CE55FE"/>
    <w:rsid w:val="00CE562A"/>
    <w:rsid w:val="00CE569D"/>
    <w:rsid w:val="00CE56AD"/>
    <w:rsid w:val="00CE56FC"/>
    <w:rsid w:val="00CE5728"/>
    <w:rsid w:val="00CE57CC"/>
    <w:rsid w:val="00CE57E8"/>
    <w:rsid w:val="00CE5809"/>
    <w:rsid w:val="00CE5835"/>
    <w:rsid w:val="00CE58C5"/>
    <w:rsid w:val="00CE591D"/>
    <w:rsid w:val="00CE5944"/>
    <w:rsid w:val="00CE59A5"/>
    <w:rsid w:val="00CE5A2C"/>
    <w:rsid w:val="00CE5A6A"/>
    <w:rsid w:val="00CE5AB3"/>
    <w:rsid w:val="00CE5AD6"/>
    <w:rsid w:val="00CE5AE9"/>
    <w:rsid w:val="00CE5B01"/>
    <w:rsid w:val="00CE5B37"/>
    <w:rsid w:val="00CE5B6B"/>
    <w:rsid w:val="00CE5B73"/>
    <w:rsid w:val="00CE5BA8"/>
    <w:rsid w:val="00CE5C2F"/>
    <w:rsid w:val="00CE5C48"/>
    <w:rsid w:val="00CE5CDF"/>
    <w:rsid w:val="00CE5D10"/>
    <w:rsid w:val="00CE5D17"/>
    <w:rsid w:val="00CE5DAC"/>
    <w:rsid w:val="00CE5E24"/>
    <w:rsid w:val="00CE5E3A"/>
    <w:rsid w:val="00CE5E78"/>
    <w:rsid w:val="00CE5EB9"/>
    <w:rsid w:val="00CE5F54"/>
    <w:rsid w:val="00CE5F6F"/>
    <w:rsid w:val="00CE6015"/>
    <w:rsid w:val="00CE601F"/>
    <w:rsid w:val="00CE6063"/>
    <w:rsid w:val="00CE6069"/>
    <w:rsid w:val="00CE611E"/>
    <w:rsid w:val="00CE618D"/>
    <w:rsid w:val="00CE6284"/>
    <w:rsid w:val="00CE6349"/>
    <w:rsid w:val="00CE6379"/>
    <w:rsid w:val="00CE6457"/>
    <w:rsid w:val="00CE6461"/>
    <w:rsid w:val="00CE64DF"/>
    <w:rsid w:val="00CE653B"/>
    <w:rsid w:val="00CE6590"/>
    <w:rsid w:val="00CE65AE"/>
    <w:rsid w:val="00CE65F0"/>
    <w:rsid w:val="00CE6661"/>
    <w:rsid w:val="00CE666A"/>
    <w:rsid w:val="00CE667B"/>
    <w:rsid w:val="00CE6686"/>
    <w:rsid w:val="00CE6699"/>
    <w:rsid w:val="00CE669D"/>
    <w:rsid w:val="00CE66A8"/>
    <w:rsid w:val="00CE66F7"/>
    <w:rsid w:val="00CE6720"/>
    <w:rsid w:val="00CE673D"/>
    <w:rsid w:val="00CE6833"/>
    <w:rsid w:val="00CE6844"/>
    <w:rsid w:val="00CE6903"/>
    <w:rsid w:val="00CE693D"/>
    <w:rsid w:val="00CE6961"/>
    <w:rsid w:val="00CE6985"/>
    <w:rsid w:val="00CE6997"/>
    <w:rsid w:val="00CE69B2"/>
    <w:rsid w:val="00CE69BC"/>
    <w:rsid w:val="00CE69D1"/>
    <w:rsid w:val="00CE6A10"/>
    <w:rsid w:val="00CE6B3E"/>
    <w:rsid w:val="00CE6B70"/>
    <w:rsid w:val="00CE6B94"/>
    <w:rsid w:val="00CE6C43"/>
    <w:rsid w:val="00CE6C5B"/>
    <w:rsid w:val="00CE6C84"/>
    <w:rsid w:val="00CE6CA0"/>
    <w:rsid w:val="00CE6CA5"/>
    <w:rsid w:val="00CE6D1B"/>
    <w:rsid w:val="00CE6DB8"/>
    <w:rsid w:val="00CE6DC4"/>
    <w:rsid w:val="00CE6DF1"/>
    <w:rsid w:val="00CE6E1B"/>
    <w:rsid w:val="00CE6E57"/>
    <w:rsid w:val="00CE6E77"/>
    <w:rsid w:val="00CE6EA2"/>
    <w:rsid w:val="00CE6F39"/>
    <w:rsid w:val="00CE6F47"/>
    <w:rsid w:val="00CE6F74"/>
    <w:rsid w:val="00CE6FC1"/>
    <w:rsid w:val="00CE7003"/>
    <w:rsid w:val="00CE706B"/>
    <w:rsid w:val="00CE712F"/>
    <w:rsid w:val="00CE7163"/>
    <w:rsid w:val="00CE7183"/>
    <w:rsid w:val="00CE7191"/>
    <w:rsid w:val="00CE719D"/>
    <w:rsid w:val="00CE71A9"/>
    <w:rsid w:val="00CE71B6"/>
    <w:rsid w:val="00CE71B9"/>
    <w:rsid w:val="00CE71C2"/>
    <w:rsid w:val="00CE7232"/>
    <w:rsid w:val="00CE727C"/>
    <w:rsid w:val="00CE7281"/>
    <w:rsid w:val="00CE72CB"/>
    <w:rsid w:val="00CE72D1"/>
    <w:rsid w:val="00CE72D9"/>
    <w:rsid w:val="00CE7374"/>
    <w:rsid w:val="00CE7388"/>
    <w:rsid w:val="00CE73BA"/>
    <w:rsid w:val="00CE73FD"/>
    <w:rsid w:val="00CE7441"/>
    <w:rsid w:val="00CE748D"/>
    <w:rsid w:val="00CE7547"/>
    <w:rsid w:val="00CE758D"/>
    <w:rsid w:val="00CE7591"/>
    <w:rsid w:val="00CE75C7"/>
    <w:rsid w:val="00CE75FD"/>
    <w:rsid w:val="00CE7614"/>
    <w:rsid w:val="00CE7679"/>
    <w:rsid w:val="00CE76C4"/>
    <w:rsid w:val="00CE7725"/>
    <w:rsid w:val="00CE774C"/>
    <w:rsid w:val="00CE7753"/>
    <w:rsid w:val="00CE7767"/>
    <w:rsid w:val="00CE777B"/>
    <w:rsid w:val="00CE777D"/>
    <w:rsid w:val="00CE7811"/>
    <w:rsid w:val="00CE781B"/>
    <w:rsid w:val="00CE788C"/>
    <w:rsid w:val="00CE7916"/>
    <w:rsid w:val="00CE7917"/>
    <w:rsid w:val="00CE791A"/>
    <w:rsid w:val="00CE7955"/>
    <w:rsid w:val="00CE7A31"/>
    <w:rsid w:val="00CE7AD4"/>
    <w:rsid w:val="00CE7AF1"/>
    <w:rsid w:val="00CE7B69"/>
    <w:rsid w:val="00CE7BC4"/>
    <w:rsid w:val="00CE7BDF"/>
    <w:rsid w:val="00CE7C00"/>
    <w:rsid w:val="00CE7C6C"/>
    <w:rsid w:val="00CE7CE3"/>
    <w:rsid w:val="00CE7D1C"/>
    <w:rsid w:val="00CE7D29"/>
    <w:rsid w:val="00CE7D53"/>
    <w:rsid w:val="00CE7D99"/>
    <w:rsid w:val="00CE7DA1"/>
    <w:rsid w:val="00CE7DFD"/>
    <w:rsid w:val="00CE7E70"/>
    <w:rsid w:val="00CE7F66"/>
    <w:rsid w:val="00CE7F77"/>
    <w:rsid w:val="00CF006F"/>
    <w:rsid w:val="00CF00AA"/>
    <w:rsid w:val="00CF00BA"/>
    <w:rsid w:val="00CF00CC"/>
    <w:rsid w:val="00CF016F"/>
    <w:rsid w:val="00CF0187"/>
    <w:rsid w:val="00CF01A3"/>
    <w:rsid w:val="00CF01BC"/>
    <w:rsid w:val="00CF0207"/>
    <w:rsid w:val="00CF0229"/>
    <w:rsid w:val="00CF0281"/>
    <w:rsid w:val="00CF02AD"/>
    <w:rsid w:val="00CF02CC"/>
    <w:rsid w:val="00CF02E4"/>
    <w:rsid w:val="00CF0306"/>
    <w:rsid w:val="00CF03AF"/>
    <w:rsid w:val="00CF04A9"/>
    <w:rsid w:val="00CF04B6"/>
    <w:rsid w:val="00CF0571"/>
    <w:rsid w:val="00CF0581"/>
    <w:rsid w:val="00CF058C"/>
    <w:rsid w:val="00CF05B3"/>
    <w:rsid w:val="00CF05B6"/>
    <w:rsid w:val="00CF05D0"/>
    <w:rsid w:val="00CF05E1"/>
    <w:rsid w:val="00CF0620"/>
    <w:rsid w:val="00CF06B8"/>
    <w:rsid w:val="00CF0749"/>
    <w:rsid w:val="00CF0775"/>
    <w:rsid w:val="00CF0777"/>
    <w:rsid w:val="00CF07FD"/>
    <w:rsid w:val="00CF08A8"/>
    <w:rsid w:val="00CF0922"/>
    <w:rsid w:val="00CF0935"/>
    <w:rsid w:val="00CF094B"/>
    <w:rsid w:val="00CF0951"/>
    <w:rsid w:val="00CF096B"/>
    <w:rsid w:val="00CF09C1"/>
    <w:rsid w:val="00CF0A55"/>
    <w:rsid w:val="00CF0A5D"/>
    <w:rsid w:val="00CF0AB1"/>
    <w:rsid w:val="00CF0ABD"/>
    <w:rsid w:val="00CF0B05"/>
    <w:rsid w:val="00CF0B47"/>
    <w:rsid w:val="00CF0B54"/>
    <w:rsid w:val="00CF0B67"/>
    <w:rsid w:val="00CF0BCE"/>
    <w:rsid w:val="00CF0C39"/>
    <w:rsid w:val="00CF0C97"/>
    <w:rsid w:val="00CF0D22"/>
    <w:rsid w:val="00CF0D37"/>
    <w:rsid w:val="00CF0D40"/>
    <w:rsid w:val="00CF0D55"/>
    <w:rsid w:val="00CF0E33"/>
    <w:rsid w:val="00CF0E3B"/>
    <w:rsid w:val="00CF0EEB"/>
    <w:rsid w:val="00CF0F19"/>
    <w:rsid w:val="00CF0F23"/>
    <w:rsid w:val="00CF0F64"/>
    <w:rsid w:val="00CF0F67"/>
    <w:rsid w:val="00CF0F6D"/>
    <w:rsid w:val="00CF0FA5"/>
    <w:rsid w:val="00CF0FB1"/>
    <w:rsid w:val="00CF0FD8"/>
    <w:rsid w:val="00CF1006"/>
    <w:rsid w:val="00CF10A1"/>
    <w:rsid w:val="00CF10D3"/>
    <w:rsid w:val="00CF10F9"/>
    <w:rsid w:val="00CF1104"/>
    <w:rsid w:val="00CF1161"/>
    <w:rsid w:val="00CF1171"/>
    <w:rsid w:val="00CF11AD"/>
    <w:rsid w:val="00CF11BE"/>
    <w:rsid w:val="00CF11CB"/>
    <w:rsid w:val="00CF1220"/>
    <w:rsid w:val="00CF1280"/>
    <w:rsid w:val="00CF12A0"/>
    <w:rsid w:val="00CF12E6"/>
    <w:rsid w:val="00CF131B"/>
    <w:rsid w:val="00CF1345"/>
    <w:rsid w:val="00CF1377"/>
    <w:rsid w:val="00CF1393"/>
    <w:rsid w:val="00CF13AD"/>
    <w:rsid w:val="00CF13D6"/>
    <w:rsid w:val="00CF13FA"/>
    <w:rsid w:val="00CF14D1"/>
    <w:rsid w:val="00CF14DF"/>
    <w:rsid w:val="00CF14E8"/>
    <w:rsid w:val="00CF1504"/>
    <w:rsid w:val="00CF1505"/>
    <w:rsid w:val="00CF1569"/>
    <w:rsid w:val="00CF156A"/>
    <w:rsid w:val="00CF158B"/>
    <w:rsid w:val="00CF15BF"/>
    <w:rsid w:val="00CF15D1"/>
    <w:rsid w:val="00CF1629"/>
    <w:rsid w:val="00CF1632"/>
    <w:rsid w:val="00CF16BF"/>
    <w:rsid w:val="00CF16C9"/>
    <w:rsid w:val="00CF16DC"/>
    <w:rsid w:val="00CF1714"/>
    <w:rsid w:val="00CF1716"/>
    <w:rsid w:val="00CF1746"/>
    <w:rsid w:val="00CF1748"/>
    <w:rsid w:val="00CF17AB"/>
    <w:rsid w:val="00CF17FC"/>
    <w:rsid w:val="00CF17FE"/>
    <w:rsid w:val="00CF1811"/>
    <w:rsid w:val="00CF189C"/>
    <w:rsid w:val="00CF18A2"/>
    <w:rsid w:val="00CF1966"/>
    <w:rsid w:val="00CF19EE"/>
    <w:rsid w:val="00CF1A85"/>
    <w:rsid w:val="00CF1AC7"/>
    <w:rsid w:val="00CF1B0F"/>
    <w:rsid w:val="00CF1B96"/>
    <w:rsid w:val="00CF1BB4"/>
    <w:rsid w:val="00CF1BB8"/>
    <w:rsid w:val="00CF1CCB"/>
    <w:rsid w:val="00CF1CD3"/>
    <w:rsid w:val="00CF1CF6"/>
    <w:rsid w:val="00CF1CFB"/>
    <w:rsid w:val="00CF1D4E"/>
    <w:rsid w:val="00CF1D69"/>
    <w:rsid w:val="00CF1DB3"/>
    <w:rsid w:val="00CF1DD6"/>
    <w:rsid w:val="00CF1E00"/>
    <w:rsid w:val="00CF1E71"/>
    <w:rsid w:val="00CF1EFE"/>
    <w:rsid w:val="00CF1F67"/>
    <w:rsid w:val="00CF1F92"/>
    <w:rsid w:val="00CF1FB4"/>
    <w:rsid w:val="00CF1FC9"/>
    <w:rsid w:val="00CF1FF3"/>
    <w:rsid w:val="00CF2000"/>
    <w:rsid w:val="00CF201F"/>
    <w:rsid w:val="00CF2033"/>
    <w:rsid w:val="00CF2067"/>
    <w:rsid w:val="00CF2088"/>
    <w:rsid w:val="00CF209D"/>
    <w:rsid w:val="00CF209E"/>
    <w:rsid w:val="00CF20B7"/>
    <w:rsid w:val="00CF2135"/>
    <w:rsid w:val="00CF21CA"/>
    <w:rsid w:val="00CF21EE"/>
    <w:rsid w:val="00CF22B1"/>
    <w:rsid w:val="00CF2376"/>
    <w:rsid w:val="00CF237E"/>
    <w:rsid w:val="00CF2395"/>
    <w:rsid w:val="00CF23BC"/>
    <w:rsid w:val="00CF249E"/>
    <w:rsid w:val="00CF24A6"/>
    <w:rsid w:val="00CF24EF"/>
    <w:rsid w:val="00CF2523"/>
    <w:rsid w:val="00CF2548"/>
    <w:rsid w:val="00CF25A8"/>
    <w:rsid w:val="00CF25B8"/>
    <w:rsid w:val="00CF2663"/>
    <w:rsid w:val="00CF268D"/>
    <w:rsid w:val="00CF2698"/>
    <w:rsid w:val="00CF2775"/>
    <w:rsid w:val="00CF27AE"/>
    <w:rsid w:val="00CF27C0"/>
    <w:rsid w:val="00CF27D7"/>
    <w:rsid w:val="00CF2821"/>
    <w:rsid w:val="00CF28CA"/>
    <w:rsid w:val="00CF2930"/>
    <w:rsid w:val="00CF2945"/>
    <w:rsid w:val="00CF2953"/>
    <w:rsid w:val="00CF2A29"/>
    <w:rsid w:val="00CF2B05"/>
    <w:rsid w:val="00CF2B4C"/>
    <w:rsid w:val="00CF2B71"/>
    <w:rsid w:val="00CF2C19"/>
    <w:rsid w:val="00CF2C42"/>
    <w:rsid w:val="00CF2C81"/>
    <w:rsid w:val="00CF2CB4"/>
    <w:rsid w:val="00CF2CC0"/>
    <w:rsid w:val="00CF2D25"/>
    <w:rsid w:val="00CF2D30"/>
    <w:rsid w:val="00CF2D6B"/>
    <w:rsid w:val="00CF2DA3"/>
    <w:rsid w:val="00CF2DCD"/>
    <w:rsid w:val="00CF2E38"/>
    <w:rsid w:val="00CF2E71"/>
    <w:rsid w:val="00CF2EC2"/>
    <w:rsid w:val="00CF2F98"/>
    <w:rsid w:val="00CF3045"/>
    <w:rsid w:val="00CF30C5"/>
    <w:rsid w:val="00CF3115"/>
    <w:rsid w:val="00CF315C"/>
    <w:rsid w:val="00CF31CA"/>
    <w:rsid w:val="00CF3202"/>
    <w:rsid w:val="00CF3216"/>
    <w:rsid w:val="00CF324C"/>
    <w:rsid w:val="00CF3250"/>
    <w:rsid w:val="00CF3296"/>
    <w:rsid w:val="00CF32B6"/>
    <w:rsid w:val="00CF32DB"/>
    <w:rsid w:val="00CF3318"/>
    <w:rsid w:val="00CF3343"/>
    <w:rsid w:val="00CF3346"/>
    <w:rsid w:val="00CF33D4"/>
    <w:rsid w:val="00CF343E"/>
    <w:rsid w:val="00CF3442"/>
    <w:rsid w:val="00CF3472"/>
    <w:rsid w:val="00CF34C7"/>
    <w:rsid w:val="00CF34E2"/>
    <w:rsid w:val="00CF3557"/>
    <w:rsid w:val="00CF3562"/>
    <w:rsid w:val="00CF35E6"/>
    <w:rsid w:val="00CF363D"/>
    <w:rsid w:val="00CF3655"/>
    <w:rsid w:val="00CF367C"/>
    <w:rsid w:val="00CF3683"/>
    <w:rsid w:val="00CF36A6"/>
    <w:rsid w:val="00CF36A8"/>
    <w:rsid w:val="00CF36B4"/>
    <w:rsid w:val="00CF377C"/>
    <w:rsid w:val="00CF37A6"/>
    <w:rsid w:val="00CF3860"/>
    <w:rsid w:val="00CF3969"/>
    <w:rsid w:val="00CF397A"/>
    <w:rsid w:val="00CF3993"/>
    <w:rsid w:val="00CF3A39"/>
    <w:rsid w:val="00CF3A6B"/>
    <w:rsid w:val="00CF3A95"/>
    <w:rsid w:val="00CF3B46"/>
    <w:rsid w:val="00CF3B65"/>
    <w:rsid w:val="00CF3B69"/>
    <w:rsid w:val="00CF3C25"/>
    <w:rsid w:val="00CF3C38"/>
    <w:rsid w:val="00CF3C44"/>
    <w:rsid w:val="00CF3C4F"/>
    <w:rsid w:val="00CF3C6A"/>
    <w:rsid w:val="00CF3CD9"/>
    <w:rsid w:val="00CF3D13"/>
    <w:rsid w:val="00CF3D52"/>
    <w:rsid w:val="00CF3D6D"/>
    <w:rsid w:val="00CF3D81"/>
    <w:rsid w:val="00CF3D84"/>
    <w:rsid w:val="00CF3DAB"/>
    <w:rsid w:val="00CF3DD3"/>
    <w:rsid w:val="00CF3E56"/>
    <w:rsid w:val="00CF3F0D"/>
    <w:rsid w:val="00CF3FB7"/>
    <w:rsid w:val="00CF4021"/>
    <w:rsid w:val="00CF4061"/>
    <w:rsid w:val="00CF4078"/>
    <w:rsid w:val="00CF411A"/>
    <w:rsid w:val="00CF4145"/>
    <w:rsid w:val="00CF4148"/>
    <w:rsid w:val="00CF4188"/>
    <w:rsid w:val="00CF41A1"/>
    <w:rsid w:val="00CF41B2"/>
    <w:rsid w:val="00CF41BC"/>
    <w:rsid w:val="00CF41E5"/>
    <w:rsid w:val="00CF4201"/>
    <w:rsid w:val="00CF4221"/>
    <w:rsid w:val="00CF4233"/>
    <w:rsid w:val="00CF4246"/>
    <w:rsid w:val="00CF428F"/>
    <w:rsid w:val="00CF4293"/>
    <w:rsid w:val="00CF42AA"/>
    <w:rsid w:val="00CF42DF"/>
    <w:rsid w:val="00CF42EA"/>
    <w:rsid w:val="00CF432A"/>
    <w:rsid w:val="00CF4395"/>
    <w:rsid w:val="00CF441D"/>
    <w:rsid w:val="00CF443D"/>
    <w:rsid w:val="00CF444C"/>
    <w:rsid w:val="00CF450B"/>
    <w:rsid w:val="00CF45B5"/>
    <w:rsid w:val="00CF4622"/>
    <w:rsid w:val="00CF466C"/>
    <w:rsid w:val="00CF467E"/>
    <w:rsid w:val="00CF46CF"/>
    <w:rsid w:val="00CF470D"/>
    <w:rsid w:val="00CF4748"/>
    <w:rsid w:val="00CF4750"/>
    <w:rsid w:val="00CF488D"/>
    <w:rsid w:val="00CF48BD"/>
    <w:rsid w:val="00CF48C4"/>
    <w:rsid w:val="00CF48C5"/>
    <w:rsid w:val="00CF48CD"/>
    <w:rsid w:val="00CF49A2"/>
    <w:rsid w:val="00CF4A14"/>
    <w:rsid w:val="00CF4A68"/>
    <w:rsid w:val="00CF4AA3"/>
    <w:rsid w:val="00CF4BD2"/>
    <w:rsid w:val="00CF4C88"/>
    <w:rsid w:val="00CF4CC9"/>
    <w:rsid w:val="00CF4D0F"/>
    <w:rsid w:val="00CF4D11"/>
    <w:rsid w:val="00CF4D5B"/>
    <w:rsid w:val="00CF4DBA"/>
    <w:rsid w:val="00CF4DE0"/>
    <w:rsid w:val="00CF4DE7"/>
    <w:rsid w:val="00CF4E7E"/>
    <w:rsid w:val="00CF4E92"/>
    <w:rsid w:val="00CF4EA4"/>
    <w:rsid w:val="00CF4EAB"/>
    <w:rsid w:val="00CF4EE1"/>
    <w:rsid w:val="00CF4F06"/>
    <w:rsid w:val="00CF4F6D"/>
    <w:rsid w:val="00CF4F9F"/>
    <w:rsid w:val="00CF5019"/>
    <w:rsid w:val="00CF5030"/>
    <w:rsid w:val="00CF50A9"/>
    <w:rsid w:val="00CF50C6"/>
    <w:rsid w:val="00CF5212"/>
    <w:rsid w:val="00CF529A"/>
    <w:rsid w:val="00CF52A3"/>
    <w:rsid w:val="00CF52DF"/>
    <w:rsid w:val="00CF5374"/>
    <w:rsid w:val="00CF5383"/>
    <w:rsid w:val="00CF5390"/>
    <w:rsid w:val="00CF5398"/>
    <w:rsid w:val="00CF53D8"/>
    <w:rsid w:val="00CF5418"/>
    <w:rsid w:val="00CF553B"/>
    <w:rsid w:val="00CF556F"/>
    <w:rsid w:val="00CF55D9"/>
    <w:rsid w:val="00CF55E3"/>
    <w:rsid w:val="00CF55E9"/>
    <w:rsid w:val="00CF55F6"/>
    <w:rsid w:val="00CF560D"/>
    <w:rsid w:val="00CF5639"/>
    <w:rsid w:val="00CF563F"/>
    <w:rsid w:val="00CF5664"/>
    <w:rsid w:val="00CF56C3"/>
    <w:rsid w:val="00CF56E0"/>
    <w:rsid w:val="00CF5775"/>
    <w:rsid w:val="00CF577E"/>
    <w:rsid w:val="00CF57C5"/>
    <w:rsid w:val="00CF5842"/>
    <w:rsid w:val="00CF5897"/>
    <w:rsid w:val="00CF58AA"/>
    <w:rsid w:val="00CF5931"/>
    <w:rsid w:val="00CF5A65"/>
    <w:rsid w:val="00CF5B21"/>
    <w:rsid w:val="00CF5B2A"/>
    <w:rsid w:val="00CF5B35"/>
    <w:rsid w:val="00CF5B3A"/>
    <w:rsid w:val="00CF5B52"/>
    <w:rsid w:val="00CF5B6F"/>
    <w:rsid w:val="00CF5B8F"/>
    <w:rsid w:val="00CF5BE4"/>
    <w:rsid w:val="00CF5BFF"/>
    <w:rsid w:val="00CF5C10"/>
    <w:rsid w:val="00CF5D12"/>
    <w:rsid w:val="00CF5D5A"/>
    <w:rsid w:val="00CF5E02"/>
    <w:rsid w:val="00CF5E19"/>
    <w:rsid w:val="00CF5E58"/>
    <w:rsid w:val="00CF5E64"/>
    <w:rsid w:val="00CF5F7D"/>
    <w:rsid w:val="00CF5FB0"/>
    <w:rsid w:val="00CF5FDD"/>
    <w:rsid w:val="00CF6062"/>
    <w:rsid w:val="00CF608F"/>
    <w:rsid w:val="00CF60B5"/>
    <w:rsid w:val="00CF60E5"/>
    <w:rsid w:val="00CF60FE"/>
    <w:rsid w:val="00CF611D"/>
    <w:rsid w:val="00CF6150"/>
    <w:rsid w:val="00CF616C"/>
    <w:rsid w:val="00CF6172"/>
    <w:rsid w:val="00CF6268"/>
    <w:rsid w:val="00CF62EA"/>
    <w:rsid w:val="00CF637B"/>
    <w:rsid w:val="00CF6388"/>
    <w:rsid w:val="00CF6390"/>
    <w:rsid w:val="00CF646E"/>
    <w:rsid w:val="00CF6470"/>
    <w:rsid w:val="00CF64B6"/>
    <w:rsid w:val="00CF6513"/>
    <w:rsid w:val="00CF6569"/>
    <w:rsid w:val="00CF65B5"/>
    <w:rsid w:val="00CF65C0"/>
    <w:rsid w:val="00CF660E"/>
    <w:rsid w:val="00CF666E"/>
    <w:rsid w:val="00CF66E5"/>
    <w:rsid w:val="00CF6721"/>
    <w:rsid w:val="00CF67A8"/>
    <w:rsid w:val="00CF67E0"/>
    <w:rsid w:val="00CF67FC"/>
    <w:rsid w:val="00CF6897"/>
    <w:rsid w:val="00CF68A0"/>
    <w:rsid w:val="00CF6922"/>
    <w:rsid w:val="00CF699D"/>
    <w:rsid w:val="00CF6AD2"/>
    <w:rsid w:val="00CF6AF0"/>
    <w:rsid w:val="00CF6B35"/>
    <w:rsid w:val="00CF6B50"/>
    <w:rsid w:val="00CF6B76"/>
    <w:rsid w:val="00CF6BFB"/>
    <w:rsid w:val="00CF6C47"/>
    <w:rsid w:val="00CF6CC0"/>
    <w:rsid w:val="00CF6D2B"/>
    <w:rsid w:val="00CF6D82"/>
    <w:rsid w:val="00CF6D90"/>
    <w:rsid w:val="00CF6DB8"/>
    <w:rsid w:val="00CF6E66"/>
    <w:rsid w:val="00CF6E8F"/>
    <w:rsid w:val="00CF6EB0"/>
    <w:rsid w:val="00CF6F26"/>
    <w:rsid w:val="00CF6F53"/>
    <w:rsid w:val="00CF6F5A"/>
    <w:rsid w:val="00CF6F91"/>
    <w:rsid w:val="00CF7030"/>
    <w:rsid w:val="00CF7084"/>
    <w:rsid w:val="00CF7092"/>
    <w:rsid w:val="00CF70A3"/>
    <w:rsid w:val="00CF70D3"/>
    <w:rsid w:val="00CF70F5"/>
    <w:rsid w:val="00CF71AB"/>
    <w:rsid w:val="00CF71AD"/>
    <w:rsid w:val="00CF71B1"/>
    <w:rsid w:val="00CF72AC"/>
    <w:rsid w:val="00CF72B6"/>
    <w:rsid w:val="00CF72BD"/>
    <w:rsid w:val="00CF730A"/>
    <w:rsid w:val="00CF7346"/>
    <w:rsid w:val="00CF73AA"/>
    <w:rsid w:val="00CF73F2"/>
    <w:rsid w:val="00CF740A"/>
    <w:rsid w:val="00CF7447"/>
    <w:rsid w:val="00CF745C"/>
    <w:rsid w:val="00CF7486"/>
    <w:rsid w:val="00CF7490"/>
    <w:rsid w:val="00CF7573"/>
    <w:rsid w:val="00CF75AD"/>
    <w:rsid w:val="00CF75FB"/>
    <w:rsid w:val="00CF760B"/>
    <w:rsid w:val="00CF7673"/>
    <w:rsid w:val="00CF76F0"/>
    <w:rsid w:val="00CF7739"/>
    <w:rsid w:val="00CF7771"/>
    <w:rsid w:val="00CF7788"/>
    <w:rsid w:val="00CF77BD"/>
    <w:rsid w:val="00CF782A"/>
    <w:rsid w:val="00CF782D"/>
    <w:rsid w:val="00CF7857"/>
    <w:rsid w:val="00CF793D"/>
    <w:rsid w:val="00CF7942"/>
    <w:rsid w:val="00CF7969"/>
    <w:rsid w:val="00CF79A2"/>
    <w:rsid w:val="00CF79B4"/>
    <w:rsid w:val="00CF7A97"/>
    <w:rsid w:val="00CF7B93"/>
    <w:rsid w:val="00CF7BB2"/>
    <w:rsid w:val="00CF7BEA"/>
    <w:rsid w:val="00CF7C0D"/>
    <w:rsid w:val="00CF7C29"/>
    <w:rsid w:val="00CF7C42"/>
    <w:rsid w:val="00CF7C4C"/>
    <w:rsid w:val="00CF7CB1"/>
    <w:rsid w:val="00CF7D01"/>
    <w:rsid w:val="00CF7D18"/>
    <w:rsid w:val="00CF7D34"/>
    <w:rsid w:val="00CF7D87"/>
    <w:rsid w:val="00CF7DC0"/>
    <w:rsid w:val="00CF7DD3"/>
    <w:rsid w:val="00CF7DF6"/>
    <w:rsid w:val="00CF7E82"/>
    <w:rsid w:val="00CF7E93"/>
    <w:rsid w:val="00CF7EA0"/>
    <w:rsid w:val="00CF7F19"/>
    <w:rsid w:val="00CF7F2D"/>
    <w:rsid w:val="00CF7F32"/>
    <w:rsid w:val="00CF7F76"/>
    <w:rsid w:val="00CF7F90"/>
    <w:rsid w:val="00D00005"/>
    <w:rsid w:val="00D00021"/>
    <w:rsid w:val="00D00022"/>
    <w:rsid w:val="00D0006C"/>
    <w:rsid w:val="00D00091"/>
    <w:rsid w:val="00D000B9"/>
    <w:rsid w:val="00D000D2"/>
    <w:rsid w:val="00D0012F"/>
    <w:rsid w:val="00D0015A"/>
    <w:rsid w:val="00D00172"/>
    <w:rsid w:val="00D00199"/>
    <w:rsid w:val="00D001B2"/>
    <w:rsid w:val="00D001C1"/>
    <w:rsid w:val="00D001C6"/>
    <w:rsid w:val="00D001DF"/>
    <w:rsid w:val="00D002AE"/>
    <w:rsid w:val="00D003DC"/>
    <w:rsid w:val="00D003EA"/>
    <w:rsid w:val="00D00455"/>
    <w:rsid w:val="00D004B4"/>
    <w:rsid w:val="00D004D1"/>
    <w:rsid w:val="00D00537"/>
    <w:rsid w:val="00D0058B"/>
    <w:rsid w:val="00D00643"/>
    <w:rsid w:val="00D0064E"/>
    <w:rsid w:val="00D00736"/>
    <w:rsid w:val="00D0076C"/>
    <w:rsid w:val="00D00771"/>
    <w:rsid w:val="00D00794"/>
    <w:rsid w:val="00D007A1"/>
    <w:rsid w:val="00D007C8"/>
    <w:rsid w:val="00D0085E"/>
    <w:rsid w:val="00D0088A"/>
    <w:rsid w:val="00D008B2"/>
    <w:rsid w:val="00D008C7"/>
    <w:rsid w:val="00D008FC"/>
    <w:rsid w:val="00D00912"/>
    <w:rsid w:val="00D009D4"/>
    <w:rsid w:val="00D00A13"/>
    <w:rsid w:val="00D00A51"/>
    <w:rsid w:val="00D00A9B"/>
    <w:rsid w:val="00D00AA6"/>
    <w:rsid w:val="00D00AA9"/>
    <w:rsid w:val="00D00B6A"/>
    <w:rsid w:val="00D00BFE"/>
    <w:rsid w:val="00D00C34"/>
    <w:rsid w:val="00D00C41"/>
    <w:rsid w:val="00D00C64"/>
    <w:rsid w:val="00D00C8E"/>
    <w:rsid w:val="00D00CBC"/>
    <w:rsid w:val="00D00CF8"/>
    <w:rsid w:val="00D00D5F"/>
    <w:rsid w:val="00D00D84"/>
    <w:rsid w:val="00D00E84"/>
    <w:rsid w:val="00D00E8B"/>
    <w:rsid w:val="00D00E8F"/>
    <w:rsid w:val="00D00E9A"/>
    <w:rsid w:val="00D00EB9"/>
    <w:rsid w:val="00D00EDD"/>
    <w:rsid w:val="00D00FA9"/>
    <w:rsid w:val="00D00FB1"/>
    <w:rsid w:val="00D00FB2"/>
    <w:rsid w:val="00D00FB9"/>
    <w:rsid w:val="00D0100B"/>
    <w:rsid w:val="00D01041"/>
    <w:rsid w:val="00D0107D"/>
    <w:rsid w:val="00D0111D"/>
    <w:rsid w:val="00D01156"/>
    <w:rsid w:val="00D01178"/>
    <w:rsid w:val="00D011FA"/>
    <w:rsid w:val="00D0123B"/>
    <w:rsid w:val="00D01258"/>
    <w:rsid w:val="00D012DA"/>
    <w:rsid w:val="00D01470"/>
    <w:rsid w:val="00D01487"/>
    <w:rsid w:val="00D01519"/>
    <w:rsid w:val="00D015A2"/>
    <w:rsid w:val="00D015C0"/>
    <w:rsid w:val="00D015DF"/>
    <w:rsid w:val="00D01618"/>
    <w:rsid w:val="00D01638"/>
    <w:rsid w:val="00D016AC"/>
    <w:rsid w:val="00D016C6"/>
    <w:rsid w:val="00D016CF"/>
    <w:rsid w:val="00D016D2"/>
    <w:rsid w:val="00D01704"/>
    <w:rsid w:val="00D017B2"/>
    <w:rsid w:val="00D01850"/>
    <w:rsid w:val="00D01878"/>
    <w:rsid w:val="00D0199F"/>
    <w:rsid w:val="00D019A4"/>
    <w:rsid w:val="00D019F0"/>
    <w:rsid w:val="00D01A6E"/>
    <w:rsid w:val="00D01AFB"/>
    <w:rsid w:val="00D01B02"/>
    <w:rsid w:val="00D01B08"/>
    <w:rsid w:val="00D01B42"/>
    <w:rsid w:val="00D01B9E"/>
    <w:rsid w:val="00D01C4C"/>
    <w:rsid w:val="00D01CDC"/>
    <w:rsid w:val="00D01D06"/>
    <w:rsid w:val="00D01D45"/>
    <w:rsid w:val="00D01D89"/>
    <w:rsid w:val="00D01DD8"/>
    <w:rsid w:val="00D01E3A"/>
    <w:rsid w:val="00D01E6C"/>
    <w:rsid w:val="00D01E8F"/>
    <w:rsid w:val="00D01EC2"/>
    <w:rsid w:val="00D01EDE"/>
    <w:rsid w:val="00D01EF5"/>
    <w:rsid w:val="00D01F3A"/>
    <w:rsid w:val="00D01F42"/>
    <w:rsid w:val="00D01FBA"/>
    <w:rsid w:val="00D02028"/>
    <w:rsid w:val="00D020B3"/>
    <w:rsid w:val="00D020DD"/>
    <w:rsid w:val="00D02129"/>
    <w:rsid w:val="00D02141"/>
    <w:rsid w:val="00D02165"/>
    <w:rsid w:val="00D02179"/>
    <w:rsid w:val="00D02213"/>
    <w:rsid w:val="00D02223"/>
    <w:rsid w:val="00D02235"/>
    <w:rsid w:val="00D02278"/>
    <w:rsid w:val="00D02289"/>
    <w:rsid w:val="00D022BC"/>
    <w:rsid w:val="00D022FF"/>
    <w:rsid w:val="00D0232C"/>
    <w:rsid w:val="00D023DE"/>
    <w:rsid w:val="00D0242C"/>
    <w:rsid w:val="00D02468"/>
    <w:rsid w:val="00D02491"/>
    <w:rsid w:val="00D024A9"/>
    <w:rsid w:val="00D024D4"/>
    <w:rsid w:val="00D024EB"/>
    <w:rsid w:val="00D02625"/>
    <w:rsid w:val="00D02657"/>
    <w:rsid w:val="00D026B9"/>
    <w:rsid w:val="00D026CF"/>
    <w:rsid w:val="00D0270E"/>
    <w:rsid w:val="00D0271F"/>
    <w:rsid w:val="00D0277D"/>
    <w:rsid w:val="00D0278F"/>
    <w:rsid w:val="00D027A4"/>
    <w:rsid w:val="00D027FA"/>
    <w:rsid w:val="00D028AC"/>
    <w:rsid w:val="00D028E8"/>
    <w:rsid w:val="00D0293B"/>
    <w:rsid w:val="00D02983"/>
    <w:rsid w:val="00D02996"/>
    <w:rsid w:val="00D0299D"/>
    <w:rsid w:val="00D029B7"/>
    <w:rsid w:val="00D02A32"/>
    <w:rsid w:val="00D02A3A"/>
    <w:rsid w:val="00D02A9F"/>
    <w:rsid w:val="00D02AA2"/>
    <w:rsid w:val="00D02B56"/>
    <w:rsid w:val="00D02B66"/>
    <w:rsid w:val="00D02BC9"/>
    <w:rsid w:val="00D02C58"/>
    <w:rsid w:val="00D02C83"/>
    <w:rsid w:val="00D02CAD"/>
    <w:rsid w:val="00D02CD6"/>
    <w:rsid w:val="00D02D17"/>
    <w:rsid w:val="00D02D21"/>
    <w:rsid w:val="00D02DA9"/>
    <w:rsid w:val="00D02DAB"/>
    <w:rsid w:val="00D02DFB"/>
    <w:rsid w:val="00D02E4D"/>
    <w:rsid w:val="00D02EEC"/>
    <w:rsid w:val="00D02F2F"/>
    <w:rsid w:val="00D02F57"/>
    <w:rsid w:val="00D02F5F"/>
    <w:rsid w:val="00D02FF5"/>
    <w:rsid w:val="00D03051"/>
    <w:rsid w:val="00D03068"/>
    <w:rsid w:val="00D030AA"/>
    <w:rsid w:val="00D030C7"/>
    <w:rsid w:val="00D030D7"/>
    <w:rsid w:val="00D030E6"/>
    <w:rsid w:val="00D030F9"/>
    <w:rsid w:val="00D03108"/>
    <w:rsid w:val="00D03126"/>
    <w:rsid w:val="00D0313D"/>
    <w:rsid w:val="00D03161"/>
    <w:rsid w:val="00D03170"/>
    <w:rsid w:val="00D031DE"/>
    <w:rsid w:val="00D03226"/>
    <w:rsid w:val="00D0328C"/>
    <w:rsid w:val="00D03340"/>
    <w:rsid w:val="00D033B8"/>
    <w:rsid w:val="00D033BF"/>
    <w:rsid w:val="00D033ED"/>
    <w:rsid w:val="00D034A5"/>
    <w:rsid w:val="00D0359D"/>
    <w:rsid w:val="00D035C1"/>
    <w:rsid w:val="00D035D2"/>
    <w:rsid w:val="00D0363B"/>
    <w:rsid w:val="00D03658"/>
    <w:rsid w:val="00D036F5"/>
    <w:rsid w:val="00D03707"/>
    <w:rsid w:val="00D03731"/>
    <w:rsid w:val="00D0373B"/>
    <w:rsid w:val="00D0374C"/>
    <w:rsid w:val="00D03784"/>
    <w:rsid w:val="00D037A1"/>
    <w:rsid w:val="00D037D9"/>
    <w:rsid w:val="00D037EC"/>
    <w:rsid w:val="00D03861"/>
    <w:rsid w:val="00D038CF"/>
    <w:rsid w:val="00D038F5"/>
    <w:rsid w:val="00D0390E"/>
    <w:rsid w:val="00D03953"/>
    <w:rsid w:val="00D0397D"/>
    <w:rsid w:val="00D03999"/>
    <w:rsid w:val="00D039DE"/>
    <w:rsid w:val="00D03A61"/>
    <w:rsid w:val="00D03A93"/>
    <w:rsid w:val="00D03ABB"/>
    <w:rsid w:val="00D03AF5"/>
    <w:rsid w:val="00D03B1D"/>
    <w:rsid w:val="00D03B93"/>
    <w:rsid w:val="00D03B94"/>
    <w:rsid w:val="00D03C14"/>
    <w:rsid w:val="00D03C24"/>
    <w:rsid w:val="00D03C62"/>
    <w:rsid w:val="00D03C9A"/>
    <w:rsid w:val="00D03CA9"/>
    <w:rsid w:val="00D03CFD"/>
    <w:rsid w:val="00D03D61"/>
    <w:rsid w:val="00D03DAC"/>
    <w:rsid w:val="00D03DC5"/>
    <w:rsid w:val="00D03DD8"/>
    <w:rsid w:val="00D03DDB"/>
    <w:rsid w:val="00D03DFA"/>
    <w:rsid w:val="00D03E6A"/>
    <w:rsid w:val="00D03EF2"/>
    <w:rsid w:val="00D03F0F"/>
    <w:rsid w:val="00D03F73"/>
    <w:rsid w:val="00D03F7E"/>
    <w:rsid w:val="00D03F92"/>
    <w:rsid w:val="00D03F94"/>
    <w:rsid w:val="00D03FE8"/>
    <w:rsid w:val="00D03FEA"/>
    <w:rsid w:val="00D0408D"/>
    <w:rsid w:val="00D040CD"/>
    <w:rsid w:val="00D04142"/>
    <w:rsid w:val="00D0421C"/>
    <w:rsid w:val="00D0422F"/>
    <w:rsid w:val="00D042A5"/>
    <w:rsid w:val="00D042A7"/>
    <w:rsid w:val="00D042C3"/>
    <w:rsid w:val="00D042CA"/>
    <w:rsid w:val="00D042EC"/>
    <w:rsid w:val="00D0434D"/>
    <w:rsid w:val="00D04384"/>
    <w:rsid w:val="00D04580"/>
    <w:rsid w:val="00D045D1"/>
    <w:rsid w:val="00D045DF"/>
    <w:rsid w:val="00D0460C"/>
    <w:rsid w:val="00D0464F"/>
    <w:rsid w:val="00D04658"/>
    <w:rsid w:val="00D0468B"/>
    <w:rsid w:val="00D04698"/>
    <w:rsid w:val="00D046A9"/>
    <w:rsid w:val="00D046D3"/>
    <w:rsid w:val="00D0473F"/>
    <w:rsid w:val="00D04781"/>
    <w:rsid w:val="00D047AB"/>
    <w:rsid w:val="00D047FF"/>
    <w:rsid w:val="00D0480E"/>
    <w:rsid w:val="00D0483C"/>
    <w:rsid w:val="00D048F7"/>
    <w:rsid w:val="00D0493B"/>
    <w:rsid w:val="00D04949"/>
    <w:rsid w:val="00D0495F"/>
    <w:rsid w:val="00D04965"/>
    <w:rsid w:val="00D04A21"/>
    <w:rsid w:val="00D04A32"/>
    <w:rsid w:val="00D04A42"/>
    <w:rsid w:val="00D04A80"/>
    <w:rsid w:val="00D04B03"/>
    <w:rsid w:val="00D04B3C"/>
    <w:rsid w:val="00D04BB6"/>
    <w:rsid w:val="00D04BD4"/>
    <w:rsid w:val="00D04BEC"/>
    <w:rsid w:val="00D04C1D"/>
    <w:rsid w:val="00D04C7E"/>
    <w:rsid w:val="00D04C92"/>
    <w:rsid w:val="00D04C9A"/>
    <w:rsid w:val="00D04CA8"/>
    <w:rsid w:val="00D04CE4"/>
    <w:rsid w:val="00D04DC0"/>
    <w:rsid w:val="00D04E0C"/>
    <w:rsid w:val="00D04E4C"/>
    <w:rsid w:val="00D04ED9"/>
    <w:rsid w:val="00D04EDE"/>
    <w:rsid w:val="00D04EEF"/>
    <w:rsid w:val="00D04F14"/>
    <w:rsid w:val="00D04F6E"/>
    <w:rsid w:val="00D05003"/>
    <w:rsid w:val="00D0503E"/>
    <w:rsid w:val="00D0504B"/>
    <w:rsid w:val="00D05053"/>
    <w:rsid w:val="00D050BD"/>
    <w:rsid w:val="00D050CD"/>
    <w:rsid w:val="00D050D3"/>
    <w:rsid w:val="00D05166"/>
    <w:rsid w:val="00D05178"/>
    <w:rsid w:val="00D05180"/>
    <w:rsid w:val="00D051B4"/>
    <w:rsid w:val="00D051DE"/>
    <w:rsid w:val="00D05288"/>
    <w:rsid w:val="00D05290"/>
    <w:rsid w:val="00D052AD"/>
    <w:rsid w:val="00D052C1"/>
    <w:rsid w:val="00D052DF"/>
    <w:rsid w:val="00D052E5"/>
    <w:rsid w:val="00D052F7"/>
    <w:rsid w:val="00D05323"/>
    <w:rsid w:val="00D05342"/>
    <w:rsid w:val="00D05375"/>
    <w:rsid w:val="00D05398"/>
    <w:rsid w:val="00D053A6"/>
    <w:rsid w:val="00D053BA"/>
    <w:rsid w:val="00D05433"/>
    <w:rsid w:val="00D05448"/>
    <w:rsid w:val="00D05472"/>
    <w:rsid w:val="00D054C3"/>
    <w:rsid w:val="00D05569"/>
    <w:rsid w:val="00D055B0"/>
    <w:rsid w:val="00D0560E"/>
    <w:rsid w:val="00D05622"/>
    <w:rsid w:val="00D0562D"/>
    <w:rsid w:val="00D05632"/>
    <w:rsid w:val="00D0565C"/>
    <w:rsid w:val="00D05662"/>
    <w:rsid w:val="00D0567E"/>
    <w:rsid w:val="00D05680"/>
    <w:rsid w:val="00D05683"/>
    <w:rsid w:val="00D056B8"/>
    <w:rsid w:val="00D056E6"/>
    <w:rsid w:val="00D05713"/>
    <w:rsid w:val="00D0579E"/>
    <w:rsid w:val="00D0580B"/>
    <w:rsid w:val="00D05821"/>
    <w:rsid w:val="00D05878"/>
    <w:rsid w:val="00D058A3"/>
    <w:rsid w:val="00D058C7"/>
    <w:rsid w:val="00D05986"/>
    <w:rsid w:val="00D059CB"/>
    <w:rsid w:val="00D05A22"/>
    <w:rsid w:val="00D05A5E"/>
    <w:rsid w:val="00D05A88"/>
    <w:rsid w:val="00D05A9B"/>
    <w:rsid w:val="00D05AA7"/>
    <w:rsid w:val="00D05AF3"/>
    <w:rsid w:val="00D05AFD"/>
    <w:rsid w:val="00D05B0B"/>
    <w:rsid w:val="00D05BC6"/>
    <w:rsid w:val="00D05BE9"/>
    <w:rsid w:val="00D05C10"/>
    <w:rsid w:val="00D05C9F"/>
    <w:rsid w:val="00D05CE2"/>
    <w:rsid w:val="00D05D02"/>
    <w:rsid w:val="00D05D39"/>
    <w:rsid w:val="00D05D3A"/>
    <w:rsid w:val="00D05D67"/>
    <w:rsid w:val="00D05D8F"/>
    <w:rsid w:val="00D05E48"/>
    <w:rsid w:val="00D05E76"/>
    <w:rsid w:val="00D05EEA"/>
    <w:rsid w:val="00D05F2D"/>
    <w:rsid w:val="00D05F34"/>
    <w:rsid w:val="00D05F8B"/>
    <w:rsid w:val="00D05FC1"/>
    <w:rsid w:val="00D0600F"/>
    <w:rsid w:val="00D06016"/>
    <w:rsid w:val="00D0601A"/>
    <w:rsid w:val="00D0603E"/>
    <w:rsid w:val="00D060C2"/>
    <w:rsid w:val="00D060EE"/>
    <w:rsid w:val="00D0615B"/>
    <w:rsid w:val="00D06192"/>
    <w:rsid w:val="00D061D6"/>
    <w:rsid w:val="00D061F1"/>
    <w:rsid w:val="00D06239"/>
    <w:rsid w:val="00D06281"/>
    <w:rsid w:val="00D06293"/>
    <w:rsid w:val="00D062B3"/>
    <w:rsid w:val="00D0631E"/>
    <w:rsid w:val="00D063D4"/>
    <w:rsid w:val="00D063DC"/>
    <w:rsid w:val="00D0641A"/>
    <w:rsid w:val="00D064A3"/>
    <w:rsid w:val="00D064D3"/>
    <w:rsid w:val="00D06525"/>
    <w:rsid w:val="00D06544"/>
    <w:rsid w:val="00D06595"/>
    <w:rsid w:val="00D06598"/>
    <w:rsid w:val="00D06603"/>
    <w:rsid w:val="00D06681"/>
    <w:rsid w:val="00D066C5"/>
    <w:rsid w:val="00D06718"/>
    <w:rsid w:val="00D067D9"/>
    <w:rsid w:val="00D0681F"/>
    <w:rsid w:val="00D0685C"/>
    <w:rsid w:val="00D06892"/>
    <w:rsid w:val="00D068C1"/>
    <w:rsid w:val="00D068EC"/>
    <w:rsid w:val="00D06972"/>
    <w:rsid w:val="00D06A32"/>
    <w:rsid w:val="00D06A43"/>
    <w:rsid w:val="00D06A81"/>
    <w:rsid w:val="00D06A98"/>
    <w:rsid w:val="00D06A99"/>
    <w:rsid w:val="00D06B04"/>
    <w:rsid w:val="00D06B23"/>
    <w:rsid w:val="00D06B3C"/>
    <w:rsid w:val="00D06B50"/>
    <w:rsid w:val="00D06B5B"/>
    <w:rsid w:val="00D06B83"/>
    <w:rsid w:val="00D06BDF"/>
    <w:rsid w:val="00D06BF7"/>
    <w:rsid w:val="00D06C18"/>
    <w:rsid w:val="00D06C2D"/>
    <w:rsid w:val="00D06CF3"/>
    <w:rsid w:val="00D06DEF"/>
    <w:rsid w:val="00D06DF1"/>
    <w:rsid w:val="00D06DFC"/>
    <w:rsid w:val="00D06E18"/>
    <w:rsid w:val="00D06EA8"/>
    <w:rsid w:val="00D06EF3"/>
    <w:rsid w:val="00D06F46"/>
    <w:rsid w:val="00D06F4E"/>
    <w:rsid w:val="00D07012"/>
    <w:rsid w:val="00D0702A"/>
    <w:rsid w:val="00D0705E"/>
    <w:rsid w:val="00D07069"/>
    <w:rsid w:val="00D070A1"/>
    <w:rsid w:val="00D070CB"/>
    <w:rsid w:val="00D0711F"/>
    <w:rsid w:val="00D0714E"/>
    <w:rsid w:val="00D071C8"/>
    <w:rsid w:val="00D071E5"/>
    <w:rsid w:val="00D071F6"/>
    <w:rsid w:val="00D07217"/>
    <w:rsid w:val="00D07219"/>
    <w:rsid w:val="00D07247"/>
    <w:rsid w:val="00D0724B"/>
    <w:rsid w:val="00D072A2"/>
    <w:rsid w:val="00D0730F"/>
    <w:rsid w:val="00D0732A"/>
    <w:rsid w:val="00D0734C"/>
    <w:rsid w:val="00D0735D"/>
    <w:rsid w:val="00D0738A"/>
    <w:rsid w:val="00D073D2"/>
    <w:rsid w:val="00D073E6"/>
    <w:rsid w:val="00D073FB"/>
    <w:rsid w:val="00D073FC"/>
    <w:rsid w:val="00D0743B"/>
    <w:rsid w:val="00D0746B"/>
    <w:rsid w:val="00D074B1"/>
    <w:rsid w:val="00D074BB"/>
    <w:rsid w:val="00D075BC"/>
    <w:rsid w:val="00D075BF"/>
    <w:rsid w:val="00D07603"/>
    <w:rsid w:val="00D07612"/>
    <w:rsid w:val="00D07666"/>
    <w:rsid w:val="00D0766E"/>
    <w:rsid w:val="00D07682"/>
    <w:rsid w:val="00D076A8"/>
    <w:rsid w:val="00D076D4"/>
    <w:rsid w:val="00D0771A"/>
    <w:rsid w:val="00D07732"/>
    <w:rsid w:val="00D07777"/>
    <w:rsid w:val="00D077A9"/>
    <w:rsid w:val="00D0785B"/>
    <w:rsid w:val="00D0788F"/>
    <w:rsid w:val="00D078FD"/>
    <w:rsid w:val="00D079EA"/>
    <w:rsid w:val="00D079EF"/>
    <w:rsid w:val="00D079FF"/>
    <w:rsid w:val="00D07A5D"/>
    <w:rsid w:val="00D07A84"/>
    <w:rsid w:val="00D07A87"/>
    <w:rsid w:val="00D07ACB"/>
    <w:rsid w:val="00D07AE0"/>
    <w:rsid w:val="00D07B00"/>
    <w:rsid w:val="00D07B04"/>
    <w:rsid w:val="00D07BE0"/>
    <w:rsid w:val="00D07BE7"/>
    <w:rsid w:val="00D07BF0"/>
    <w:rsid w:val="00D07C88"/>
    <w:rsid w:val="00D07D3F"/>
    <w:rsid w:val="00D07D42"/>
    <w:rsid w:val="00D07E12"/>
    <w:rsid w:val="00D07F5A"/>
    <w:rsid w:val="00D07FD3"/>
    <w:rsid w:val="00D10070"/>
    <w:rsid w:val="00D1008E"/>
    <w:rsid w:val="00D10114"/>
    <w:rsid w:val="00D101AA"/>
    <w:rsid w:val="00D101BC"/>
    <w:rsid w:val="00D101F7"/>
    <w:rsid w:val="00D1021A"/>
    <w:rsid w:val="00D1028C"/>
    <w:rsid w:val="00D102C3"/>
    <w:rsid w:val="00D10338"/>
    <w:rsid w:val="00D10372"/>
    <w:rsid w:val="00D103CD"/>
    <w:rsid w:val="00D1044F"/>
    <w:rsid w:val="00D10496"/>
    <w:rsid w:val="00D10508"/>
    <w:rsid w:val="00D10513"/>
    <w:rsid w:val="00D1064A"/>
    <w:rsid w:val="00D10660"/>
    <w:rsid w:val="00D1066F"/>
    <w:rsid w:val="00D106F5"/>
    <w:rsid w:val="00D106FC"/>
    <w:rsid w:val="00D10731"/>
    <w:rsid w:val="00D10799"/>
    <w:rsid w:val="00D107EE"/>
    <w:rsid w:val="00D10843"/>
    <w:rsid w:val="00D10849"/>
    <w:rsid w:val="00D10884"/>
    <w:rsid w:val="00D109C9"/>
    <w:rsid w:val="00D10B30"/>
    <w:rsid w:val="00D10B3D"/>
    <w:rsid w:val="00D10C67"/>
    <w:rsid w:val="00D10CBF"/>
    <w:rsid w:val="00D10CCF"/>
    <w:rsid w:val="00D10D47"/>
    <w:rsid w:val="00D10D6C"/>
    <w:rsid w:val="00D10D90"/>
    <w:rsid w:val="00D10E59"/>
    <w:rsid w:val="00D10E89"/>
    <w:rsid w:val="00D10F35"/>
    <w:rsid w:val="00D10F47"/>
    <w:rsid w:val="00D10FB7"/>
    <w:rsid w:val="00D10FD9"/>
    <w:rsid w:val="00D1108D"/>
    <w:rsid w:val="00D110A6"/>
    <w:rsid w:val="00D110FF"/>
    <w:rsid w:val="00D11118"/>
    <w:rsid w:val="00D1116E"/>
    <w:rsid w:val="00D111D3"/>
    <w:rsid w:val="00D111FA"/>
    <w:rsid w:val="00D1127A"/>
    <w:rsid w:val="00D11285"/>
    <w:rsid w:val="00D1128A"/>
    <w:rsid w:val="00D11302"/>
    <w:rsid w:val="00D11342"/>
    <w:rsid w:val="00D11390"/>
    <w:rsid w:val="00D113D1"/>
    <w:rsid w:val="00D113D9"/>
    <w:rsid w:val="00D11452"/>
    <w:rsid w:val="00D11480"/>
    <w:rsid w:val="00D11482"/>
    <w:rsid w:val="00D11488"/>
    <w:rsid w:val="00D1148A"/>
    <w:rsid w:val="00D114C7"/>
    <w:rsid w:val="00D1154B"/>
    <w:rsid w:val="00D1155A"/>
    <w:rsid w:val="00D115E2"/>
    <w:rsid w:val="00D1161C"/>
    <w:rsid w:val="00D11652"/>
    <w:rsid w:val="00D11664"/>
    <w:rsid w:val="00D116C8"/>
    <w:rsid w:val="00D116DE"/>
    <w:rsid w:val="00D116FD"/>
    <w:rsid w:val="00D1172D"/>
    <w:rsid w:val="00D118CC"/>
    <w:rsid w:val="00D11938"/>
    <w:rsid w:val="00D11983"/>
    <w:rsid w:val="00D119A8"/>
    <w:rsid w:val="00D119F9"/>
    <w:rsid w:val="00D11A38"/>
    <w:rsid w:val="00D11A3E"/>
    <w:rsid w:val="00D11A4C"/>
    <w:rsid w:val="00D11A64"/>
    <w:rsid w:val="00D11B22"/>
    <w:rsid w:val="00D11B41"/>
    <w:rsid w:val="00D11B42"/>
    <w:rsid w:val="00D11BBB"/>
    <w:rsid w:val="00D11BDE"/>
    <w:rsid w:val="00D11BF6"/>
    <w:rsid w:val="00D11BFE"/>
    <w:rsid w:val="00D11C4B"/>
    <w:rsid w:val="00D11C56"/>
    <w:rsid w:val="00D11D45"/>
    <w:rsid w:val="00D11D81"/>
    <w:rsid w:val="00D11DD2"/>
    <w:rsid w:val="00D11DFE"/>
    <w:rsid w:val="00D11E0A"/>
    <w:rsid w:val="00D11E19"/>
    <w:rsid w:val="00D11E55"/>
    <w:rsid w:val="00D11EB1"/>
    <w:rsid w:val="00D11EFA"/>
    <w:rsid w:val="00D11F18"/>
    <w:rsid w:val="00D11F4A"/>
    <w:rsid w:val="00D11F4E"/>
    <w:rsid w:val="00D11F57"/>
    <w:rsid w:val="00D11F8F"/>
    <w:rsid w:val="00D11FC9"/>
    <w:rsid w:val="00D11FCC"/>
    <w:rsid w:val="00D12034"/>
    <w:rsid w:val="00D12039"/>
    <w:rsid w:val="00D1205F"/>
    <w:rsid w:val="00D120CE"/>
    <w:rsid w:val="00D120E9"/>
    <w:rsid w:val="00D12147"/>
    <w:rsid w:val="00D1214E"/>
    <w:rsid w:val="00D1217A"/>
    <w:rsid w:val="00D12222"/>
    <w:rsid w:val="00D12292"/>
    <w:rsid w:val="00D12295"/>
    <w:rsid w:val="00D122A1"/>
    <w:rsid w:val="00D122D8"/>
    <w:rsid w:val="00D122F5"/>
    <w:rsid w:val="00D1239D"/>
    <w:rsid w:val="00D123E7"/>
    <w:rsid w:val="00D1242C"/>
    <w:rsid w:val="00D124CE"/>
    <w:rsid w:val="00D124D2"/>
    <w:rsid w:val="00D124F1"/>
    <w:rsid w:val="00D12582"/>
    <w:rsid w:val="00D125BD"/>
    <w:rsid w:val="00D125E0"/>
    <w:rsid w:val="00D1265C"/>
    <w:rsid w:val="00D126C9"/>
    <w:rsid w:val="00D12716"/>
    <w:rsid w:val="00D12774"/>
    <w:rsid w:val="00D127C3"/>
    <w:rsid w:val="00D127DE"/>
    <w:rsid w:val="00D12844"/>
    <w:rsid w:val="00D1287D"/>
    <w:rsid w:val="00D12882"/>
    <w:rsid w:val="00D128EB"/>
    <w:rsid w:val="00D128FA"/>
    <w:rsid w:val="00D12916"/>
    <w:rsid w:val="00D12932"/>
    <w:rsid w:val="00D12968"/>
    <w:rsid w:val="00D12988"/>
    <w:rsid w:val="00D129A2"/>
    <w:rsid w:val="00D129DD"/>
    <w:rsid w:val="00D129E6"/>
    <w:rsid w:val="00D12A18"/>
    <w:rsid w:val="00D12A3F"/>
    <w:rsid w:val="00D12A65"/>
    <w:rsid w:val="00D12AD1"/>
    <w:rsid w:val="00D12AFD"/>
    <w:rsid w:val="00D12B3F"/>
    <w:rsid w:val="00D12B66"/>
    <w:rsid w:val="00D12B6B"/>
    <w:rsid w:val="00D12B84"/>
    <w:rsid w:val="00D12BA9"/>
    <w:rsid w:val="00D12C1D"/>
    <w:rsid w:val="00D12C38"/>
    <w:rsid w:val="00D12D27"/>
    <w:rsid w:val="00D12D84"/>
    <w:rsid w:val="00D12D88"/>
    <w:rsid w:val="00D12E48"/>
    <w:rsid w:val="00D12E5B"/>
    <w:rsid w:val="00D12E74"/>
    <w:rsid w:val="00D12E8F"/>
    <w:rsid w:val="00D12F10"/>
    <w:rsid w:val="00D12F85"/>
    <w:rsid w:val="00D12FA7"/>
    <w:rsid w:val="00D13028"/>
    <w:rsid w:val="00D13039"/>
    <w:rsid w:val="00D1305F"/>
    <w:rsid w:val="00D130C3"/>
    <w:rsid w:val="00D13133"/>
    <w:rsid w:val="00D13138"/>
    <w:rsid w:val="00D13164"/>
    <w:rsid w:val="00D131BB"/>
    <w:rsid w:val="00D131C9"/>
    <w:rsid w:val="00D13213"/>
    <w:rsid w:val="00D13245"/>
    <w:rsid w:val="00D132DD"/>
    <w:rsid w:val="00D132E0"/>
    <w:rsid w:val="00D133BF"/>
    <w:rsid w:val="00D133DC"/>
    <w:rsid w:val="00D13401"/>
    <w:rsid w:val="00D1341D"/>
    <w:rsid w:val="00D13440"/>
    <w:rsid w:val="00D13483"/>
    <w:rsid w:val="00D134FA"/>
    <w:rsid w:val="00D1353A"/>
    <w:rsid w:val="00D1353F"/>
    <w:rsid w:val="00D1359B"/>
    <w:rsid w:val="00D1361C"/>
    <w:rsid w:val="00D13644"/>
    <w:rsid w:val="00D13655"/>
    <w:rsid w:val="00D1365A"/>
    <w:rsid w:val="00D1366F"/>
    <w:rsid w:val="00D136BA"/>
    <w:rsid w:val="00D136E9"/>
    <w:rsid w:val="00D1373C"/>
    <w:rsid w:val="00D13764"/>
    <w:rsid w:val="00D13779"/>
    <w:rsid w:val="00D13812"/>
    <w:rsid w:val="00D13856"/>
    <w:rsid w:val="00D13859"/>
    <w:rsid w:val="00D1385A"/>
    <w:rsid w:val="00D13887"/>
    <w:rsid w:val="00D138D8"/>
    <w:rsid w:val="00D138E5"/>
    <w:rsid w:val="00D13967"/>
    <w:rsid w:val="00D13981"/>
    <w:rsid w:val="00D13999"/>
    <w:rsid w:val="00D13A45"/>
    <w:rsid w:val="00D13B38"/>
    <w:rsid w:val="00D13B49"/>
    <w:rsid w:val="00D13BED"/>
    <w:rsid w:val="00D13C34"/>
    <w:rsid w:val="00D13C4D"/>
    <w:rsid w:val="00D13C51"/>
    <w:rsid w:val="00D13C8A"/>
    <w:rsid w:val="00D13CAE"/>
    <w:rsid w:val="00D13D57"/>
    <w:rsid w:val="00D13D63"/>
    <w:rsid w:val="00D13DD9"/>
    <w:rsid w:val="00D13DE0"/>
    <w:rsid w:val="00D13DE9"/>
    <w:rsid w:val="00D13E26"/>
    <w:rsid w:val="00D13E67"/>
    <w:rsid w:val="00D13EC7"/>
    <w:rsid w:val="00D13F25"/>
    <w:rsid w:val="00D13F85"/>
    <w:rsid w:val="00D13F94"/>
    <w:rsid w:val="00D13FF4"/>
    <w:rsid w:val="00D13FF7"/>
    <w:rsid w:val="00D14010"/>
    <w:rsid w:val="00D1408B"/>
    <w:rsid w:val="00D14097"/>
    <w:rsid w:val="00D140DF"/>
    <w:rsid w:val="00D140FA"/>
    <w:rsid w:val="00D14204"/>
    <w:rsid w:val="00D14235"/>
    <w:rsid w:val="00D1424C"/>
    <w:rsid w:val="00D14271"/>
    <w:rsid w:val="00D1429B"/>
    <w:rsid w:val="00D142C9"/>
    <w:rsid w:val="00D1431E"/>
    <w:rsid w:val="00D143E8"/>
    <w:rsid w:val="00D1445F"/>
    <w:rsid w:val="00D144A6"/>
    <w:rsid w:val="00D144D0"/>
    <w:rsid w:val="00D144D4"/>
    <w:rsid w:val="00D1450C"/>
    <w:rsid w:val="00D1451F"/>
    <w:rsid w:val="00D145C3"/>
    <w:rsid w:val="00D145F5"/>
    <w:rsid w:val="00D145FA"/>
    <w:rsid w:val="00D14634"/>
    <w:rsid w:val="00D14667"/>
    <w:rsid w:val="00D146E6"/>
    <w:rsid w:val="00D14727"/>
    <w:rsid w:val="00D14771"/>
    <w:rsid w:val="00D147E4"/>
    <w:rsid w:val="00D147E5"/>
    <w:rsid w:val="00D14859"/>
    <w:rsid w:val="00D14924"/>
    <w:rsid w:val="00D14936"/>
    <w:rsid w:val="00D1497B"/>
    <w:rsid w:val="00D1499A"/>
    <w:rsid w:val="00D149A1"/>
    <w:rsid w:val="00D14A01"/>
    <w:rsid w:val="00D14A0D"/>
    <w:rsid w:val="00D14A4E"/>
    <w:rsid w:val="00D14A6D"/>
    <w:rsid w:val="00D14AA0"/>
    <w:rsid w:val="00D14ABC"/>
    <w:rsid w:val="00D14B5B"/>
    <w:rsid w:val="00D14B5C"/>
    <w:rsid w:val="00D14BAF"/>
    <w:rsid w:val="00D14C70"/>
    <w:rsid w:val="00D14C79"/>
    <w:rsid w:val="00D14C9F"/>
    <w:rsid w:val="00D14D0F"/>
    <w:rsid w:val="00D14D33"/>
    <w:rsid w:val="00D14D3D"/>
    <w:rsid w:val="00D14DC3"/>
    <w:rsid w:val="00D14DED"/>
    <w:rsid w:val="00D14E26"/>
    <w:rsid w:val="00D14E5E"/>
    <w:rsid w:val="00D14EE9"/>
    <w:rsid w:val="00D14F01"/>
    <w:rsid w:val="00D14FCB"/>
    <w:rsid w:val="00D15002"/>
    <w:rsid w:val="00D1504E"/>
    <w:rsid w:val="00D15054"/>
    <w:rsid w:val="00D15093"/>
    <w:rsid w:val="00D150EC"/>
    <w:rsid w:val="00D150F5"/>
    <w:rsid w:val="00D1517D"/>
    <w:rsid w:val="00D1520E"/>
    <w:rsid w:val="00D1522E"/>
    <w:rsid w:val="00D15277"/>
    <w:rsid w:val="00D15278"/>
    <w:rsid w:val="00D152A4"/>
    <w:rsid w:val="00D15334"/>
    <w:rsid w:val="00D153CB"/>
    <w:rsid w:val="00D15400"/>
    <w:rsid w:val="00D15437"/>
    <w:rsid w:val="00D1543A"/>
    <w:rsid w:val="00D154C0"/>
    <w:rsid w:val="00D154D0"/>
    <w:rsid w:val="00D154E0"/>
    <w:rsid w:val="00D1551E"/>
    <w:rsid w:val="00D15545"/>
    <w:rsid w:val="00D1554B"/>
    <w:rsid w:val="00D155A1"/>
    <w:rsid w:val="00D15638"/>
    <w:rsid w:val="00D156A4"/>
    <w:rsid w:val="00D156CC"/>
    <w:rsid w:val="00D156D4"/>
    <w:rsid w:val="00D156FD"/>
    <w:rsid w:val="00D1570E"/>
    <w:rsid w:val="00D157C6"/>
    <w:rsid w:val="00D1583B"/>
    <w:rsid w:val="00D15867"/>
    <w:rsid w:val="00D1589C"/>
    <w:rsid w:val="00D158C3"/>
    <w:rsid w:val="00D15910"/>
    <w:rsid w:val="00D15917"/>
    <w:rsid w:val="00D1595A"/>
    <w:rsid w:val="00D15984"/>
    <w:rsid w:val="00D15A29"/>
    <w:rsid w:val="00D15A2B"/>
    <w:rsid w:val="00D15A72"/>
    <w:rsid w:val="00D15A7A"/>
    <w:rsid w:val="00D15AA3"/>
    <w:rsid w:val="00D15AAE"/>
    <w:rsid w:val="00D15AC6"/>
    <w:rsid w:val="00D15B11"/>
    <w:rsid w:val="00D15B2D"/>
    <w:rsid w:val="00D15B60"/>
    <w:rsid w:val="00D15B88"/>
    <w:rsid w:val="00D15C60"/>
    <w:rsid w:val="00D15C91"/>
    <w:rsid w:val="00D15CD1"/>
    <w:rsid w:val="00D15CF1"/>
    <w:rsid w:val="00D15D2F"/>
    <w:rsid w:val="00D15D3B"/>
    <w:rsid w:val="00D15D88"/>
    <w:rsid w:val="00D15D89"/>
    <w:rsid w:val="00D15DAF"/>
    <w:rsid w:val="00D15DE7"/>
    <w:rsid w:val="00D15E09"/>
    <w:rsid w:val="00D15E2B"/>
    <w:rsid w:val="00D15F57"/>
    <w:rsid w:val="00D15FDB"/>
    <w:rsid w:val="00D15FE4"/>
    <w:rsid w:val="00D15FFA"/>
    <w:rsid w:val="00D16000"/>
    <w:rsid w:val="00D16005"/>
    <w:rsid w:val="00D1600E"/>
    <w:rsid w:val="00D1603B"/>
    <w:rsid w:val="00D1607B"/>
    <w:rsid w:val="00D160B7"/>
    <w:rsid w:val="00D1614E"/>
    <w:rsid w:val="00D16191"/>
    <w:rsid w:val="00D16204"/>
    <w:rsid w:val="00D16231"/>
    <w:rsid w:val="00D1625C"/>
    <w:rsid w:val="00D162B1"/>
    <w:rsid w:val="00D162FF"/>
    <w:rsid w:val="00D16300"/>
    <w:rsid w:val="00D16309"/>
    <w:rsid w:val="00D16334"/>
    <w:rsid w:val="00D16339"/>
    <w:rsid w:val="00D16353"/>
    <w:rsid w:val="00D163BE"/>
    <w:rsid w:val="00D16404"/>
    <w:rsid w:val="00D16428"/>
    <w:rsid w:val="00D16476"/>
    <w:rsid w:val="00D1652A"/>
    <w:rsid w:val="00D165D9"/>
    <w:rsid w:val="00D16628"/>
    <w:rsid w:val="00D1663B"/>
    <w:rsid w:val="00D16676"/>
    <w:rsid w:val="00D16680"/>
    <w:rsid w:val="00D16690"/>
    <w:rsid w:val="00D16704"/>
    <w:rsid w:val="00D16741"/>
    <w:rsid w:val="00D167E5"/>
    <w:rsid w:val="00D1683F"/>
    <w:rsid w:val="00D16840"/>
    <w:rsid w:val="00D1685F"/>
    <w:rsid w:val="00D16869"/>
    <w:rsid w:val="00D168B5"/>
    <w:rsid w:val="00D168DD"/>
    <w:rsid w:val="00D168EC"/>
    <w:rsid w:val="00D168F6"/>
    <w:rsid w:val="00D169D3"/>
    <w:rsid w:val="00D16A37"/>
    <w:rsid w:val="00D16A57"/>
    <w:rsid w:val="00D16ADB"/>
    <w:rsid w:val="00D16BB2"/>
    <w:rsid w:val="00D16C03"/>
    <w:rsid w:val="00D16C54"/>
    <w:rsid w:val="00D16C82"/>
    <w:rsid w:val="00D16CA8"/>
    <w:rsid w:val="00D16CEB"/>
    <w:rsid w:val="00D16CF1"/>
    <w:rsid w:val="00D16D2A"/>
    <w:rsid w:val="00D16D66"/>
    <w:rsid w:val="00D16D6B"/>
    <w:rsid w:val="00D16EC1"/>
    <w:rsid w:val="00D16EC7"/>
    <w:rsid w:val="00D16F71"/>
    <w:rsid w:val="00D16FA8"/>
    <w:rsid w:val="00D16FAA"/>
    <w:rsid w:val="00D16FAF"/>
    <w:rsid w:val="00D1700D"/>
    <w:rsid w:val="00D17010"/>
    <w:rsid w:val="00D17074"/>
    <w:rsid w:val="00D170BA"/>
    <w:rsid w:val="00D17128"/>
    <w:rsid w:val="00D1716C"/>
    <w:rsid w:val="00D17194"/>
    <w:rsid w:val="00D171CB"/>
    <w:rsid w:val="00D1720F"/>
    <w:rsid w:val="00D17231"/>
    <w:rsid w:val="00D1724A"/>
    <w:rsid w:val="00D17291"/>
    <w:rsid w:val="00D172C5"/>
    <w:rsid w:val="00D17358"/>
    <w:rsid w:val="00D17369"/>
    <w:rsid w:val="00D17373"/>
    <w:rsid w:val="00D17395"/>
    <w:rsid w:val="00D17397"/>
    <w:rsid w:val="00D173EA"/>
    <w:rsid w:val="00D173EC"/>
    <w:rsid w:val="00D17429"/>
    <w:rsid w:val="00D1744B"/>
    <w:rsid w:val="00D17457"/>
    <w:rsid w:val="00D1746E"/>
    <w:rsid w:val="00D174B1"/>
    <w:rsid w:val="00D174E9"/>
    <w:rsid w:val="00D17510"/>
    <w:rsid w:val="00D1754B"/>
    <w:rsid w:val="00D17550"/>
    <w:rsid w:val="00D1760E"/>
    <w:rsid w:val="00D17630"/>
    <w:rsid w:val="00D17636"/>
    <w:rsid w:val="00D17677"/>
    <w:rsid w:val="00D1768A"/>
    <w:rsid w:val="00D17770"/>
    <w:rsid w:val="00D1782D"/>
    <w:rsid w:val="00D17867"/>
    <w:rsid w:val="00D17881"/>
    <w:rsid w:val="00D178E6"/>
    <w:rsid w:val="00D17ABA"/>
    <w:rsid w:val="00D17B2A"/>
    <w:rsid w:val="00D17BCA"/>
    <w:rsid w:val="00D17BCD"/>
    <w:rsid w:val="00D17C14"/>
    <w:rsid w:val="00D17C74"/>
    <w:rsid w:val="00D17CF8"/>
    <w:rsid w:val="00D17D88"/>
    <w:rsid w:val="00D17D96"/>
    <w:rsid w:val="00D17DCB"/>
    <w:rsid w:val="00D17E0C"/>
    <w:rsid w:val="00D17E21"/>
    <w:rsid w:val="00D17E7C"/>
    <w:rsid w:val="00D17E7E"/>
    <w:rsid w:val="00D17F22"/>
    <w:rsid w:val="00D17F2A"/>
    <w:rsid w:val="00D17F4C"/>
    <w:rsid w:val="00D17F4D"/>
    <w:rsid w:val="00D17FB0"/>
    <w:rsid w:val="00D20100"/>
    <w:rsid w:val="00D20127"/>
    <w:rsid w:val="00D201F9"/>
    <w:rsid w:val="00D202AA"/>
    <w:rsid w:val="00D20331"/>
    <w:rsid w:val="00D2033F"/>
    <w:rsid w:val="00D20353"/>
    <w:rsid w:val="00D20366"/>
    <w:rsid w:val="00D203BF"/>
    <w:rsid w:val="00D203D6"/>
    <w:rsid w:val="00D2049A"/>
    <w:rsid w:val="00D204C7"/>
    <w:rsid w:val="00D20506"/>
    <w:rsid w:val="00D20523"/>
    <w:rsid w:val="00D20567"/>
    <w:rsid w:val="00D20569"/>
    <w:rsid w:val="00D2065F"/>
    <w:rsid w:val="00D20790"/>
    <w:rsid w:val="00D207AA"/>
    <w:rsid w:val="00D207F9"/>
    <w:rsid w:val="00D20800"/>
    <w:rsid w:val="00D20867"/>
    <w:rsid w:val="00D20870"/>
    <w:rsid w:val="00D2089B"/>
    <w:rsid w:val="00D2089F"/>
    <w:rsid w:val="00D20906"/>
    <w:rsid w:val="00D2091E"/>
    <w:rsid w:val="00D2096B"/>
    <w:rsid w:val="00D20999"/>
    <w:rsid w:val="00D209C5"/>
    <w:rsid w:val="00D209C9"/>
    <w:rsid w:val="00D209D7"/>
    <w:rsid w:val="00D20A4B"/>
    <w:rsid w:val="00D20A96"/>
    <w:rsid w:val="00D20ACD"/>
    <w:rsid w:val="00D20AEC"/>
    <w:rsid w:val="00D20B1F"/>
    <w:rsid w:val="00D20B30"/>
    <w:rsid w:val="00D20B61"/>
    <w:rsid w:val="00D20BDF"/>
    <w:rsid w:val="00D20BFF"/>
    <w:rsid w:val="00D20CA0"/>
    <w:rsid w:val="00D20CEC"/>
    <w:rsid w:val="00D20D14"/>
    <w:rsid w:val="00D20D41"/>
    <w:rsid w:val="00D20D7E"/>
    <w:rsid w:val="00D20D9A"/>
    <w:rsid w:val="00D20DC6"/>
    <w:rsid w:val="00D20DE9"/>
    <w:rsid w:val="00D20E26"/>
    <w:rsid w:val="00D20EF1"/>
    <w:rsid w:val="00D20F20"/>
    <w:rsid w:val="00D20F3A"/>
    <w:rsid w:val="00D20F49"/>
    <w:rsid w:val="00D20F60"/>
    <w:rsid w:val="00D21058"/>
    <w:rsid w:val="00D2111D"/>
    <w:rsid w:val="00D21171"/>
    <w:rsid w:val="00D2120F"/>
    <w:rsid w:val="00D21281"/>
    <w:rsid w:val="00D212AD"/>
    <w:rsid w:val="00D21332"/>
    <w:rsid w:val="00D21401"/>
    <w:rsid w:val="00D21443"/>
    <w:rsid w:val="00D21461"/>
    <w:rsid w:val="00D2150D"/>
    <w:rsid w:val="00D21512"/>
    <w:rsid w:val="00D21515"/>
    <w:rsid w:val="00D2153E"/>
    <w:rsid w:val="00D215B3"/>
    <w:rsid w:val="00D21601"/>
    <w:rsid w:val="00D21619"/>
    <w:rsid w:val="00D2162E"/>
    <w:rsid w:val="00D21738"/>
    <w:rsid w:val="00D2175C"/>
    <w:rsid w:val="00D21792"/>
    <w:rsid w:val="00D217CD"/>
    <w:rsid w:val="00D217DB"/>
    <w:rsid w:val="00D21837"/>
    <w:rsid w:val="00D21838"/>
    <w:rsid w:val="00D21891"/>
    <w:rsid w:val="00D218BC"/>
    <w:rsid w:val="00D218D0"/>
    <w:rsid w:val="00D218DE"/>
    <w:rsid w:val="00D21958"/>
    <w:rsid w:val="00D219F7"/>
    <w:rsid w:val="00D21A4F"/>
    <w:rsid w:val="00D21A66"/>
    <w:rsid w:val="00D21A81"/>
    <w:rsid w:val="00D21ADD"/>
    <w:rsid w:val="00D21AE4"/>
    <w:rsid w:val="00D21B28"/>
    <w:rsid w:val="00D21B3D"/>
    <w:rsid w:val="00D21B41"/>
    <w:rsid w:val="00D21B95"/>
    <w:rsid w:val="00D21BD2"/>
    <w:rsid w:val="00D21BFD"/>
    <w:rsid w:val="00D21C05"/>
    <w:rsid w:val="00D21C2C"/>
    <w:rsid w:val="00D21C4F"/>
    <w:rsid w:val="00D21C71"/>
    <w:rsid w:val="00D21CA9"/>
    <w:rsid w:val="00D21CBA"/>
    <w:rsid w:val="00D21CED"/>
    <w:rsid w:val="00D21D0E"/>
    <w:rsid w:val="00D21D13"/>
    <w:rsid w:val="00D21D24"/>
    <w:rsid w:val="00D21DA8"/>
    <w:rsid w:val="00D21DBD"/>
    <w:rsid w:val="00D21E0A"/>
    <w:rsid w:val="00D21E3F"/>
    <w:rsid w:val="00D21EB3"/>
    <w:rsid w:val="00D21EDF"/>
    <w:rsid w:val="00D21F98"/>
    <w:rsid w:val="00D21FB8"/>
    <w:rsid w:val="00D21FD5"/>
    <w:rsid w:val="00D22014"/>
    <w:rsid w:val="00D2201A"/>
    <w:rsid w:val="00D22054"/>
    <w:rsid w:val="00D22068"/>
    <w:rsid w:val="00D22075"/>
    <w:rsid w:val="00D22129"/>
    <w:rsid w:val="00D2217F"/>
    <w:rsid w:val="00D2228F"/>
    <w:rsid w:val="00D222A1"/>
    <w:rsid w:val="00D222D9"/>
    <w:rsid w:val="00D222E4"/>
    <w:rsid w:val="00D22347"/>
    <w:rsid w:val="00D2234A"/>
    <w:rsid w:val="00D223FA"/>
    <w:rsid w:val="00D22414"/>
    <w:rsid w:val="00D224A1"/>
    <w:rsid w:val="00D224F0"/>
    <w:rsid w:val="00D22511"/>
    <w:rsid w:val="00D2252A"/>
    <w:rsid w:val="00D22550"/>
    <w:rsid w:val="00D22572"/>
    <w:rsid w:val="00D22594"/>
    <w:rsid w:val="00D22661"/>
    <w:rsid w:val="00D22672"/>
    <w:rsid w:val="00D22678"/>
    <w:rsid w:val="00D226D6"/>
    <w:rsid w:val="00D22765"/>
    <w:rsid w:val="00D22809"/>
    <w:rsid w:val="00D2284C"/>
    <w:rsid w:val="00D228E7"/>
    <w:rsid w:val="00D22907"/>
    <w:rsid w:val="00D22951"/>
    <w:rsid w:val="00D229AC"/>
    <w:rsid w:val="00D22A82"/>
    <w:rsid w:val="00D22ABA"/>
    <w:rsid w:val="00D22AC9"/>
    <w:rsid w:val="00D22B36"/>
    <w:rsid w:val="00D22B7F"/>
    <w:rsid w:val="00D22C70"/>
    <w:rsid w:val="00D22CEC"/>
    <w:rsid w:val="00D22D21"/>
    <w:rsid w:val="00D22D3E"/>
    <w:rsid w:val="00D22D59"/>
    <w:rsid w:val="00D22DE9"/>
    <w:rsid w:val="00D22E1A"/>
    <w:rsid w:val="00D22E4A"/>
    <w:rsid w:val="00D22E63"/>
    <w:rsid w:val="00D22EA2"/>
    <w:rsid w:val="00D22F77"/>
    <w:rsid w:val="00D22F83"/>
    <w:rsid w:val="00D22FFE"/>
    <w:rsid w:val="00D23030"/>
    <w:rsid w:val="00D2304B"/>
    <w:rsid w:val="00D2309B"/>
    <w:rsid w:val="00D230EC"/>
    <w:rsid w:val="00D23187"/>
    <w:rsid w:val="00D2324A"/>
    <w:rsid w:val="00D2329F"/>
    <w:rsid w:val="00D232CE"/>
    <w:rsid w:val="00D232FA"/>
    <w:rsid w:val="00D23325"/>
    <w:rsid w:val="00D23348"/>
    <w:rsid w:val="00D2338B"/>
    <w:rsid w:val="00D233EB"/>
    <w:rsid w:val="00D23427"/>
    <w:rsid w:val="00D23482"/>
    <w:rsid w:val="00D234B4"/>
    <w:rsid w:val="00D234E3"/>
    <w:rsid w:val="00D234E4"/>
    <w:rsid w:val="00D234FF"/>
    <w:rsid w:val="00D23531"/>
    <w:rsid w:val="00D23599"/>
    <w:rsid w:val="00D235A9"/>
    <w:rsid w:val="00D235C4"/>
    <w:rsid w:val="00D2360A"/>
    <w:rsid w:val="00D2361F"/>
    <w:rsid w:val="00D23669"/>
    <w:rsid w:val="00D236AC"/>
    <w:rsid w:val="00D236F4"/>
    <w:rsid w:val="00D2372D"/>
    <w:rsid w:val="00D2376D"/>
    <w:rsid w:val="00D23846"/>
    <w:rsid w:val="00D23876"/>
    <w:rsid w:val="00D238A9"/>
    <w:rsid w:val="00D23907"/>
    <w:rsid w:val="00D23940"/>
    <w:rsid w:val="00D23943"/>
    <w:rsid w:val="00D23976"/>
    <w:rsid w:val="00D239BF"/>
    <w:rsid w:val="00D239D7"/>
    <w:rsid w:val="00D23A35"/>
    <w:rsid w:val="00D23A5D"/>
    <w:rsid w:val="00D23A67"/>
    <w:rsid w:val="00D23A68"/>
    <w:rsid w:val="00D23B0B"/>
    <w:rsid w:val="00D23BA4"/>
    <w:rsid w:val="00D23BE0"/>
    <w:rsid w:val="00D23BED"/>
    <w:rsid w:val="00D23BF7"/>
    <w:rsid w:val="00D23C12"/>
    <w:rsid w:val="00D23CE0"/>
    <w:rsid w:val="00D23D53"/>
    <w:rsid w:val="00D23DB6"/>
    <w:rsid w:val="00D23DCE"/>
    <w:rsid w:val="00D23DF6"/>
    <w:rsid w:val="00D23E08"/>
    <w:rsid w:val="00D23EC9"/>
    <w:rsid w:val="00D23F1B"/>
    <w:rsid w:val="00D23F29"/>
    <w:rsid w:val="00D23F3A"/>
    <w:rsid w:val="00D23FA1"/>
    <w:rsid w:val="00D23FB7"/>
    <w:rsid w:val="00D23FE1"/>
    <w:rsid w:val="00D24024"/>
    <w:rsid w:val="00D2409B"/>
    <w:rsid w:val="00D240DE"/>
    <w:rsid w:val="00D2413B"/>
    <w:rsid w:val="00D2419D"/>
    <w:rsid w:val="00D241A5"/>
    <w:rsid w:val="00D24223"/>
    <w:rsid w:val="00D24232"/>
    <w:rsid w:val="00D24233"/>
    <w:rsid w:val="00D24239"/>
    <w:rsid w:val="00D2425A"/>
    <w:rsid w:val="00D2426D"/>
    <w:rsid w:val="00D242AB"/>
    <w:rsid w:val="00D242C4"/>
    <w:rsid w:val="00D242EC"/>
    <w:rsid w:val="00D24333"/>
    <w:rsid w:val="00D243B3"/>
    <w:rsid w:val="00D243C2"/>
    <w:rsid w:val="00D24404"/>
    <w:rsid w:val="00D24435"/>
    <w:rsid w:val="00D24455"/>
    <w:rsid w:val="00D24493"/>
    <w:rsid w:val="00D2450A"/>
    <w:rsid w:val="00D24523"/>
    <w:rsid w:val="00D24543"/>
    <w:rsid w:val="00D24547"/>
    <w:rsid w:val="00D24577"/>
    <w:rsid w:val="00D24640"/>
    <w:rsid w:val="00D246DE"/>
    <w:rsid w:val="00D246ED"/>
    <w:rsid w:val="00D247D2"/>
    <w:rsid w:val="00D247FE"/>
    <w:rsid w:val="00D2482A"/>
    <w:rsid w:val="00D2482D"/>
    <w:rsid w:val="00D24832"/>
    <w:rsid w:val="00D2485C"/>
    <w:rsid w:val="00D24872"/>
    <w:rsid w:val="00D2487C"/>
    <w:rsid w:val="00D2499D"/>
    <w:rsid w:val="00D249C5"/>
    <w:rsid w:val="00D24A4A"/>
    <w:rsid w:val="00D24AB1"/>
    <w:rsid w:val="00D24B13"/>
    <w:rsid w:val="00D24B41"/>
    <w:rsid w:val="00D24B78"/>
    <w:rsid w:val="00D24BBD"/>
    <w:rsid w:val="00D24C89"/>
    <w:rsid w:val="00D24C98"/>
    <w:rsid w:val="00D24CA9"/>
    <w:rsid w:val="00D24D05"/>
    <w:rsid w:val="00D24DF6"/>
    <w:rsid w:val="00D24E43"/>
    <w:rsid w:val="00D24E73"/>
    <w:rsid w:val="00D24E85"/>
    <w:rsid w:val="00D24F02"/>
    <w:rsid w:val="00D24F81"/>
    <w:rsid w:val="00D24F86"/>
    <w:rsid w:val="00D24FA3"/>
    <w:rsid w:val="00D24FBC"/>
    <w:rsid w:val="00D24FBF"/>
    <w:rsid w:val="00D2504B"/>
    <w:rsid w:val="00D25063"/>
    <w:rsid w:val="00D2508A"/>
    <w:rsid w:val="00D25098"/>
    <w:rsid w:val="00D250D2"/>
    <w:rsid w:val="00D25153"/>
    <w:rsid w:val="00D2518A"/>
    <w:rsid w:val="00D25194"/>
    <w:rsid w:val="00D251BD"/>
    <w:rsid w:val="00D2523C"/>
    <w:rsid w:val="00D25282"/>
    <w:rsid w:val="00D252BA"/>
    <w:rsid w:val="00D2532C"/>
    <w:rsid w:val="00D25332"/>
    <w:rsid w:val="00D25339"/>
    <w:rsid w:val="00D25389"/>
    <w:rsid w:val="00D2542F"/>
    <w:rsid w:val="00D254D7"/>
    <w:rsid w:val="00D25584"/>
    <w:rsid w:val="00D255A3"/>
    <w:rsid w:val="00D255B1"/>
    <w:rsid w:val="00D255FB"/>
    <w:rsid w:val="00D2563F"/>
    <w:rsid w:val="00D256B1"/>
    <w:rsid w:val="00D2574F"/>
    <w:rsid w:val="00D25755"/>
    <w:rsid w:val="00D2585A"/>
    <w:rsid w:val="00D258BB"/>
    <w:rsid w:val="00D25913"/>
    <w:rsid w:val="00D2594A"/>
    <w:rsid w:val="00D25AB0"/>
    <w:rsid w:val="00D25ADB"/>
    <w:rsid w:val="00D25AF0"/>
    <w:rsid w:val="00D25B1C"/>
    <w:rsid w:val="00D25B5F"/>
    <w:rsid w:val="00D25B81"/>
    <w:rsid w:val="00D25BC4"/>
    <w:rsid w:val="00D25C25"/>
    <w:rsid w:val="00D25CCC"/>
    <w:rsid w:val="00D25CE6"/>
    <w:rsid w:val="00D25D37"/>
    <w:rsid w:val="00D25D7E"/>
    <w:rsid w:val="00D25E5B"/>
    <w:rsid w:val="00D25E8D"/>
    <w:rsid w:val="00D25EB9"/>
    <w:rsid w:val="00D25F2E"/>
    <w:rsid w:val="00D25FE3"/>
    <w:rsid w:val="00D25FF5"/>
    <w:rsid w:val="00D260F8"/>
    <w:rsid w:val="00D260FA"/>
    <w:rsid w:val="00D2612B"/>
    <w:rsid w:val="00D26174"/>
    <w:rsid w:val="00D261F8"/>
    <w:rsid w:val="00D26210"/>
    <w:rsid w:val="00D2622D"/>
    <w:rsid w:val="00D26237"/>
    <w:rsid w:val="00D26260"/>
    <w:rsid w:val="00D26274"/>
    <w:rsid w:val="00D262E4"/>
    <w:rsid w:val="00D262FE"/>
    <w:rsid w:val="00D2631C"/>
    <w:rsid w:val="00D26328"/>
    <w:rsid w:val="00D263AC"/>
    <w:rsid w:val="00D263D4"/>
    <w:rsid w:val="00D26506"/>
    <w:rsid w:val="00D26548"/>
    <w:rsid w:val="00D26554"/>
    <w:rsid w:val="00D2655B"/>
    <w:rsid w:val="00D265C3"/>
    <w:rsid w:val="00D26676"/>
    <w:rsid w:val="00D266EB"/>
    <w:rsid w:val="00D26701"/>
    <w:rsid w:val="00D26706"/>
    <w:rsid w:val="00D2675B"/>
    <w:rsid w:val="00D267BD"/>
    <w:rsid w:val="00D26806"/>
    <w:rsid w:val="00D268B1"/>
    <w:rsid w:val="00D2695F"/>
    <w:rsid w:val="00D269DB"/>
    <w:rsid w:val="00D26A0F"/>
    <w:rsid w:val="00D26A7C"/>
    <w:rsid w:val="00D26A97"/>
    <w:rsid w:val="00D26AAF"/>
    <w:rsid w:val="00D26AD4"/>
    <w:rsid w:val="00D26AD7"/>
    <w:rsid w:val="00D26AEB"/>
    <w:rsid w:val="00D26B31"/>
    <w:rsid w:val="00D26B65"/>
    <w:rsid w:val="00D26C45"/>
    <w:rsid w:val="00D26C58"/>
    <w:rsid w:val="00D26C75"/>
    <w:rsid w:val="00D26C8E"/>
    <w:rsid w:val="00D26C93"/>
    <w:rsid w:val="00D26CCE"/>
    <w:rsid w:val="00D26D40"/>
    <w:rsid w:val="00D26D75"/>
    <w:rsid w:val="00D26D8B"/>
    <w:rsid w:val="00D26DAC"/>
    <w:rsid w:val="00D26E98"/>
    <w:rsid w:val="00D26F5F"/>
    <w:rsid w:val="00D26FA5"/>
    <w:rsid w:val="00D26FDC"/>
    <w:rsid w:val="00D26FF4"/>
    <w:rsid w:val="00D27020"/>
    <w:rsid w:val="00D27021"/>
    <w:rsid w:val="00D270A9"/>
    <w:rsid w:val="00D270BC"/>
    <w:rsid w:val="00D270DD"/>
    <w:rsid w:val="00D270EB"/>
    <w:rsid w:val="00D27123"/>
    <w:rsid w:val="00D2715A"/>
    <w:rsid w:val="00D27189"/>
    <w:rsid w:val="00D2723F"/>
    <w:rsid w:val="00D27249"/>
    <w:rsid w:val="00D27269"/>
    <w:rsid w:val="00D272C2"/>
    <w:rsid w:val="00D272F1"/>
    <w:rsid w:val="00D27311"/>
    <w:rsid w:val="00D273B4"/>
    <w:rsid w:val="00D273C6"/>
    <w:rsid w:val="00D273CA"/>
    <w:rsid w:val="00D273EA"/>
    <w:rsid w:val="00D27470"/>
    <w:rsid w:val="00D274C3"/>
    <w:rsid w:val="00D27505"/>
    <w:rsid w:val="00D2750E"/>
    <w:rsid w:val="00D27582"/>
    <w:rsid w:val="00D27593"/>
    <w:rsid w:val="00D275CF"/>
    <w:rsid w:val="00D27606"/>
    <w:rsid w:val="00D27693"/>
    <w:rsid w:val="00D2770F"/>
    <w:rsid w:val="00D2778F"/>
    <w:rsid w:val="00D277A8"/>
    <w:rsid w:val="00D277EC"/>
    <w:rsid w:val="00D27905"/>
    <w:rsid w:val="00D2791F"/>
    <w:rsid w:val="00D2797B"/>
    <w:rsid w:val="00D279E4"/>
    <w:rsid w:val="00D27A26"/>
    <w:rsid w:val="00D27A44"/>
    <w:rsid w:val="00D27A51"/>
    <w:rsid w:val="00D27BC2"/>
    <w:rsid w:val="00D27BCE"/>
    <w:rsid w:val="00D27BD2"/>
    <w:rsid w:val="00D27C4D"/>
    <w:rsid w:val="00D27C76"/>
    <w:rsid w:val="00D27C91"/>
    <w:rsid w:val="00D27D02"/>
    <w:rsid w:val="00D27DB8"/>
    <w:rsid w:val="00D27E62"/>
    <w:rsid w:val="00D27E80"/>
    <w:rsid w:val="00D27EE4"/>
    <w:rsid w:val="00D27F0B"/>
    <w:rsid w:val="00D27F0D"/>
    <w:rsid w:val="00D27FA7"/>
    <w:rsid w:val="00D30095"/>
    <w:rsid w:val="00D300B8"/>
    <w:rsid w:val="00D300EC"/>
    <w:rsid w:val="00D300F4"/>
    <w:rsid w:val="00D3015A"/>
    <w:rsid w:val="00D30188"/>
    <w:rsid w:val="00D301C7"/>
    <w:rsid w:val="00D30205"/>
    <w:rsid w:val="00D30214"/>
    <w:rsid w:val="00D30267"/>
    <w:rsid w:val="00D3028B"/>
    <w:rsid w:val="00D30294"/>
    <w:rsid w:val="00D302A5"/>
    <w:rsid w:val="00D30347"/>
    <w:rsid w:val="00D3039C"/>
    <w:rsid w:val="00D30408"/>
    <w:rsid w:val="00D30423"/>
    <w:rsid w:val="00D30430"/>
    <w:rsid w:val="00D30444"/>
    <w:rsid w:val="00D304B1"/>
    <w:rsid w:val="00D304C6"/>
    <w:rsid w:val="00D30503"/>
    <w:rsid w:val="00D3050F"/>
    <w:rsid w:val="00D30519"/>
    <w:rsid w:val="00D3052E"/>
    <w:rsid w:val="00D305D1"/>
    <w:rsid w:val="00D305D8"/>
    <w:rsid w:val="00D306AD"/>
    <w:rsid w:val="00D306B6"/>
    <w:rsid w:val="00D306D4"/>
    <w:rsid w:val="00D30734"/>
    <w:rsid w:val="00D3081B"/>
    <w:rsid w:val="00D30831"/>
    <w:rsid w:val="00D30862"/>
    <w:rsid w:val="00D308A5"/>
    <w:rsid w:val="00D308FC"/>
    <w:rsid w:val="00D308FD"/>
    <w:rsid w:val="00D30914"/>
    <w:rsid w:val="00D30966"/>
    <w:rsid w:val="00D3099B"/>
    <w:rsid w:val="00D309B3"/>
    <w:rsid w:val="00D309CD"/>
    <w:rsid w:val="00D30A24"/>
    <w:rsid w:val="00D30A56"/>
    <w:rsid w:val="00D30A99"/>
    <w:rsid w:val="00D30ABD"/>
    <w:rsid w:val="00D30AEC"/>
    <w:rsid w:val="00D30AF6"/>
    <w:rsid w:val="00D30B3C"/>
    <w:rsid w:val="00D30B95"/>
    <w:rsid w:val="00D30C26"/>
    <w:rsid w:val="00D30C36"/>
    <w:rsid w:val="00D30CD2"/>
    <w:rsid w:val="00D30DF2"/>
    <w:rsid w:val="00D30E1A"/>
    <w:rsid w:val="00D30E95"/>
    <w:rsid w:val="00D30EA9"/>
    <w:rsid w:val="00D30EAA"/>
    <w:rsid w:val="00D30EB9"/>
    <w:rsid w:val="00D30EEC"/>
    <w:rsid w:val="00D30F28"/>
    <w:rsid w:val="00D30F67"/>
    <w:rsid w:val="00D30FA9"/>
    <w:rsid w:val="00D30FB3"/>
    <w:rsid w:val="00D31025"/>
    <w:rsid w:val="00D3103C"/>
    <w:rsid w:val="00D31048"/>
    <w:rsid w:val="00D310A5"/>
    <w:rsid w:val="00D310E9"/>
    <w:rsid w:val="00D3125D"/>
    <w:rsid w:val="00D31266"/>
    <w:rsid w:val="00D3126E"/>
    <w:rsid w:val="00D31341"/>
    <w:rsid w:val="00D3134B"/>
    <w:rsid w:val="00D31398"/>
    <w:rsid w:val="00D3142C"/>
    <w:rsid w:val="00D31441"/>
    <w:rsid w:val="00D31447"/>
    <w:rsid w:val="00D31464"/>
    <w:rsid w:val="00D31562"/>
    <w:rsid w:val="00D31583"/>
    <w:rsid w:val="00D31613"/>
    <w:rsid w:val="00D31687"/>
    <w:rsid w:val="00D316B0"/>
    <w:rsid w:val="00D31708"/>
    <w:rsid w:val="00D31772"/>
    <w:rsid w:val="00D31798"/>
    <w:rsid w:val="00D317A1"/>
    <w:rsid w:val="00D317B5"/>
    <w:rsid w:val="00D317DA"/>
    <w:rsid w:val="00D318BD"/>
    <w:rsid w:val="00D318D9"/>
    <w:rsid w:val="00D318F1"/>
    <w:rsid w:val="00D31914"/>
    <w:rsid w:val="00D31A4F"/>
    <w:rsid w:val="00D31ACE"/>
    <w:rsid w:val="00D31AF1"/>
    <w:rsid w:val="00D31B23"/>
    <w:rsid w:val="00D31B71"/>
    <w:rsid w:val="00D31B78"/>
    <w:rsid w:val="00D31BB1"/>
    <w:rsid w:val="00D31C21"/>
    <w:rsid w:val="00D31C66"/>
    <w:rsid w:val="00D31C9C"/>
    <w:rsid w:val="00D31CAE"/>
    <w:rsid w:val="00D31D2A"/>
    <w:rsid w:val="00D31D40"/>
    <w:rsid w:val="00D31E20"/>
    <w:rsid w:val="00D31E44"/>
    <w:rsid w:val="00D31E5A"/>
    <w:rsid w:val="00D31E71"/>
    <w:rsid w:val="00D31E92"/>
    <w:rsid w:val="00D31F26"/>
    <w:rsid w:val="00D31F5E"/>
    <w:rsid w:val="00D31FFE"/>
    <w:rsid w:val="00D32042"/>
    <w:rsid w:val="00D32063"/>
    <w:rsid w:val="00D320C6"/>
    <w:rsid w:val="00D32109"/>
    <w:rsid w:val="00D3216F"/>
    <w:rsid w:val="00D321C2"/>
    <w:rsid w:val="00D321DB"/>
    <w:rsid w:val="00D32237"/>
    <w:rsid w:val="00D32259"/>
    <w:rsid w:val="00D322B3"/>
    <w:rsid w:val="00D322D5"/>
    <w:rsid w:val="00D322FE"/>
    <w:rsid w:val="00D3233C"/>
    <w:rsid w:val="00D32348"/>
    <w:rsid w:val="00D32394"/>
    <w:rsid w:val="00D323DD"/>
    <w:rsid w:val="00D3246E"/>
    <w:rsid w:val="00D32470"/>
    <w:rsid w:val="00D324F2"/>
    <w:rsid w:val="00D32506"/>
    <w:rsid w:val="00D32525"/>
    <w:rsid w:val="00D3252C"/>
    <w:rsid w:val="00D32540"/>
    <w:rsid w:val="00D3259F"/>
    <w:rsid w:val="00D325B1"/>
    <w:rsid w:val="00D325CA"/>
    <w:rsid w:val="00D3262D"/>
    <w:rsid w:val="00D3269C"/>
    <w:rsid w:val="00D326A0"/>
    <w:rsid w:val="00D32775"/>
    <w:rsid w:val="00D32790"/>
    <w:rsid w:val="00D327BA"/>
    <w:rsid w:val="00D327C3"/>
    <w:rsid w:val="00D327C7"/>
    <w:rsid w:val="00D327CA"/>
    <w:rsid w:val="00D327CE"/>
    <w:rsid w:val="00D328D2"/>
    <w:rsid w:val="00D32907"/>
    <w:rsid w:val="00D32963"/>
    <w:rsid w:val="00D329B1"/>
    <w:rsid w:val="00D329C1"/>
    <w:rsid w:val="00D329F3"/>
    <w:rsid w:val="00D32A0D"/>
    <w:rsid w:val="00D32A1D"/>
    <w:rsid w:val="00D32A29"/>
    <w:rsid w:val="00D32A50"/>
    <w:rsid w:val="00D32A63"/>
    <w:rsid w:val="00D32AFE"/>
    <w:rsid w:val="00D32B24"/>
    <w:rsid w:val="00D32B59"/>
    <w:rsid w:val="00D32C0A"/>
    <w:rsid w:val="00D32C1A"/>
    <w:rsid w:val="00D32C50"/>
    <w:rsid w:val="00D32CC5"/>
    <w:rsid w:val="00D32D04"/>
    <w:rsid w:val="00D32D1A"/>
    <w:rsid w:val="00D32D20"/>
    <w:rsid w:val="00D32D88"/>
    <w:rsid w:val="00D32DC4"/>
    <w:rsid w:val="00D32DE4"/>
    <w:rsid w:val="00D32E09"/>
    <w:rsid w:val="00D32E1D"/>
    <w:rsid w:val="00D32E2B"/>
    <w:rsid w:val="00D32ED1"/>
    <w:rsid w:val="00D32F1B"/>
    <w:rsid w:val="00D32F37"/>
    <w:rsid w:val="00D32F76"/>
    <w:rsid w:val="00D32F91"/>
    <w:rsid w:val="00D32FA4"/>
    <w:rsid w:val="00D32FBA"/>
    <w:rsid w:val="00D32FEA"/>
    <w:rsid w:val="00D33018"/>
    <w:rsid w:val="00D33026"/>
    <w:rsid w:val="00D33036"/>
    <w:rsid w:val="00D33049"/>
    <w:rsid w:val="00D330A9"/>
    <w:rsid w:val="00D33169"/>
    <w:rsid w:val="00D331C2"/>
    <w:rsid w:val="00D331E1"/>
    <w:rsid w:val="00D33286"/>
    <w:rsid w:val="00D332DA"/>
    <w:rsid w:val="00D3335C"/>
    <w:rsid w:val="00D33388"/>
    <w:rsid w:val="00D333D7"/>
    <w:rsid w:val="00D335C9"/>
    <w:rsid w:val="00D33628"/>
    <w:rsid w:val="00D33666"/>
    <w:rsid w:val="00D336F3"/>
    <w:rsid w:val="00D3371C"/>
    <w:rsid w:val="00D33836"/>
    <w:rsid w:val="00D33883"/>
    <w:rsid w:val="00D338CD"/>
    <w:rsid w:val="00D338D7"/>
    <w:rsid w:val="00D33934"/>
    <w:rsid w:val="00D33984"/>
    <w:rsid w:val="00D339A7"/>
    <w:rsid w:val="00D339C2"/>
    <w:rsid w:val="00D339C9"/>
    <w:rsid w:val="00D339CC"/>
    <w:rsid w:val="00D33A5A"/>
    <w:rsid w:val="00D33AAB"/>
    <w:rsid w:val="00D33AD7"/>
    <w:rsid w:val="00D33B05"/>
    <w:rsid w:val="00D33B0F"/>
    <w:rsid w:val="00D33B4B"/>
    <w:rsid w:val="00D33BB2"/>
    <w:rsid w:val="00D33C0B"/>
    <w:rsid w:val="00D33C0C"/>
    <w:rsid w:val="00D33C4E"/>
    <w:rsid w:val="00D33C54"/>
    <w:rsid w:val="00D33C57"/>
    <w:rsid w:val="00D33C6D"/>
    <w:rsid w:val="00D33C71"/>
    <w:rsid w:val="00D33CE0"/>
    <w:rsid w:val="00D33D5F"/>
    <w:rsid w:val="00D33DB0"/>
    <w:rsid w:val="00D33DCD"/>
    <w:rsid w:val="00D33E16"/>
    <w:rsid w:val="00D33E4B"/>
    <w:rsid w:val="00D33E80"/>
    <w:rsid w:val="00D33EEE"/>
    <w:rsid w:val="00D33F10"/>
    <w:rsid w:val="00D33F8A"/>
    <w:rsid w:val="00D33FCD"/>
    <w:rsid w:val="00D33FDA"/>
    <w:rsid w:val="00D33FDF"/>
    <w:rsid w:val="00D3403C"/>
    <w:rsid w:val="00D3406A"/>
    <w:rsid w:val="00D34146"/>
    <w:rsid w:val="00D3415B"/>
    <w:rsid w:val="00D3416C"/>
    <w:rsid w:val="00D341B9"/>
    <w:rsid w:val="00D34216"/>
    <w:rsid w:val="00D3421E"/>
    <w:rsid w:val="00D34260"/>
    <w:rsid w:val="00D34271"/>
    <w:rsid w:val="00D34292"/>
    <w:rsid w:val="00D342B1"/>
    <w:rsid w:val="00D342C6"/>
    <w:rsid w:val="00D342DD"/>
    <w:rsid w:val="00D3432D"/>
    <w:rsid w:val="00D343CE"/>
    <w:rsid w:val="00D3440B"/>
    <w:rsid w:val="00D34411"/>
    <w:rsid w:val="00D34447"/>
    <w:rsid w:val="00D3446D"/>
    <w:rsid w:val="00D3448D"/>
    <w:rsid w:val="00D34495"/>
    <w:rsid w:val="00D344AD"/>
    <w:rsid w:val="00D344BB"/>
    <w:rsid w:val="00D34552"/>
    <w:rsid w:val="00D3455B"/>
    <w:rsid w:val="00D3459D"/>
    <w:rsid w:val="00D345DC"/>
    <w:rsid w:val="00D34603"/>
    <w:rsid w:val="00D346D7"/>
    <w:rsid w:val="00D346DA"/>
    <w:rsid w:val="00D3475E"/>
    <w:rsid w:val="00D34795"/>
    <w:rsid w:val="00D347D1"/>
    <w:rsid w:val="00D34862"/>
    <w:rsid w:val="00D34911"/>
    <w:rsid w:val="00D3493E"/>
    <w:rsid w:val="00D3494E"/>
    <w:rsid w:val="00D34A2F"/>
    <w:rsid w:val="00D34A52"/>
    <w:rsid w:val="00D34A83"/>
    <w:rsid w:val="00D34A89"/>
    <w:rsid w:val="00D34AB5"/>
    <w:rsid w:val="00D34B62"/>
    <w:rsid w:val="00D34B6F"/>
    <w:rsid w:val="00D34B78"/>
    <w:rsid w:val="00D34BB3"/>
    <w:rsid w:val="00D34BCE"/>
    <w:rsid w:val="00D34BD8"/>
    <w:rsid w:val="00D34C62"/>
    <w:rsid w:val="00D34D40"/>
    <w:rsid w:val="00D34D54"/>
    <w:rsid w:val="00D34DB0"/>
    <w:rsid w:val="00D34DFA"/>
    <w:rsid w:val="00D34E58"/>
    <w:rsid w:val="00D34E5F"/>
    <w:rsid w:val="00D34E87"/>
    <w:rsid w:val="00D34E91"/>
    <w:rsid w:val="00D34EE6"/>
    <w:rsid w:val="00D34F10"/>
    <w:rsid w:val="00D34F2C"/>
    <w:rsid w:val="00D34F31"/>
    <w:rsid w:val="00D34F43"/>
    <w:rsid w:val="00D34F6B"/>
    <w:rsid w:val="00D34F93"/>
    <w:rsid w:val="00D34FCB"/>
    <w:rsid w:val="00D34FD4"/>
    <w:rsid w:val="00D350D9"/>
    <w:rsid w:val="00D351FB"/>
    <w:rsid w:val="00D35207"/>
    <w:rsid w:val="00D35233"/>
    <w:rsid w:val="00D35234"/>
    <w:rsid w:val="00D3523B"/>
    <w:rsid w:val="00D3526B"/>
    <w:rsid w:val="00D35331"/>
    <w:rsid w:val="00D35374"/>
    <w:rsid w:val="00D353A8"/>
    <w:rsid w:val="00D353B5"/>
    <w:rsid w:val="00D353C6"/>
    <w:rsid w:val="00D353E2"/>
    <w:rsid w:val="00D353E3"/>
    <w:rsid w:val="00D35459"/>
    <w:rsid w:val="00D3550E"/>
    <w:rsid w:val="00D3553A"/>
    <w:rsid w:val="00D35570"/>
    <w:rsid w:val="00D35588"/>
    <w:rsid w:val="00D355F0"/>
    <w:rsid w:val="00D35604"/>
    <w:rsid w:val="00D356A1"/>
    <w:rsid w:val="00D356AD"/>
    <w:rsid w:val="00D356BB"/>
    <w:rsid w:val="00D3572F"/>
    <w:rsid w:val="00D35767"/>
    <w:rsid w:val="00D357A5"/>
    <w:rsid w:val="00D358EF"/>
    <w:rsid w:val="00D3591B"/>
    <w:rsid w:val="00D3592D"/>
    <w:rsid w:val="00D359CD"/>
    <w:rsid w:val="00D35A02"/>
    <w:rsid w:val="00D35A18"/>
    <w:rsid w:val="00D35AAE"/>
    <w:rsid w:val="00D35AB2"/>
    <w:rsid w:val="00D35ACF"/>
    <w:rsid w:val="00D35AF9"/>
    <w:rsid w:val="00D35BEA"/>
    <w:rsid w:val="00D35BFB"/>
    <w:rsid w:val="00D35C18"/>
    <w:rsid w:val="00D35C64"/>
    <w:rsid w:val="00D35D0F"/>
    <w:rsid w:val="00D35D81"/>
    <w:rsid w:val="00D35E00"/>
    <w:rsid w:val="00D35E80"/>
    <w:rsid w:val="00D35E9A"/>
    <w:rsid w:val="00D35F95"/>
    <w:rsid w:val="00D35FBF"/>
    <w:rsid w:val="00D35FC7"/>
    <w:rsid w:val="00D35FDC"/>
    <w:rsid w:val="00D35FED"/>
    <w:rsid w:val="00D36065"/>
    <w:rsid w:val="00D36076"/>
    <w:rsid w:val="00D3608A"/>
    <w:rsid w:val="00D36152"/>
    <w:rsid w:val="00D3616C"/>
    <w:rsid w:val="00D3619C"/>
    <w:rsid w:val="00D361B5"/>
    <w:rsid w:val="00D3620B"/>
    <w:rsid w:val="00D36217"/>
    <w:rsid w:val="00D362AA"/>
    <w:rsid w:val="00D362E9"/>
    <w:rsid w:val="00D3632D"/>
    <w:rsid w:val="00D36375"/>
    <w:rsid w:val="00D363AB"/>
    <w:rsid w:val="00D363DD"/>
    <w:rsid w:val="00D363F5"/>
    <w:rsid w:val="00D36429"/>
    <w:rsid w:val="00D3642E"/>
    <w:rsid w:val="00D3652D"/>
    <w:rsid w:val="00D365DE"/>
    <w:rsid w:val="00D36697"/>
    <w:rsid w:val="00D366FA"/>
    <w:rsid w:val="00D3670F"/>
    <w:rsid w:val="00D3674E"/>
    <w:rsid w:val="00D36794"/>
    <w:rsid w:val="00D367B5"/>
    <w:rsid w:val="00D36848"/>
    <w:rsid w:val="00D368BE"/>
    <w:rsid w:val="00D36923"/>
    <w:rsid w:val="00D3694C"/>
    <w:rsid w:val="00D369E6"/>
    <w:rsid w:val="00D36A0F"/>
    <w:rsid w:val="00D36A2C"/>
    <w:rsid w:val="00D36A30"/>
    <w:rsid w:val="00D36A58"/>
    <w:rsid w:val="00D36A66"/>
    <w:rsid w:val="00D36A8A"/>
    <w:rsid w:val="00D36AE1"/>
    <w:rsid w:val="00D36B3A"/>
    <w:rsid w:val="00D36B49"/>
    <w:rsid w:val="00D36B62"/>
    <w:rsid w:val="00D36BDF"/>
    <w:rsid w:val="00D36BE9"/>
    <w:rsid w:val="00D36C3E"/>
    <w:rsid w:val="00D36C5F"/>
    <w:rsid w:val="00D36CF8"/>
    <w:rsid w:val="00D36D65"/>
    <w:rsid w:val="00D36E08"/>
    <w:rsid w:val="00D36E4C"/>
    <w:rsid w:val="00D36E5D"/>
    <w:rsid w:val="00D36EE8"/>
    <w:rsid w:val="00D36EF6"/>
    <w:rsid w:val="00D36F96"/>
    <w:rsid w:val="00D36FE3"/>
    <w:rsid w:val="00D370C9"/>
    <w:rsid w:val="00D37154"/>
    <w:rsid w:val="00D37183"/>
    <w:rsid w:val="00D371BE"/>
    <w:rsid w:val="00D371D6"/>
    <w:rsid w:val="00D3722A"/>
    <w:rsid w:val="00D37235"/>
    <w:rsid w:val="00D3733D"/>
    <w:rsid w:val="00D37371"/>
    <w:rsid w:val="00D373B8"/>
    <w:rsid w:val="00D373E9"/>
    <w:rsid w:val="00D373F1"/>
    <w:rsid w:val="00D373FB"/>
    <w:rsid w:val="00D37401"/>
    <w:rsid w:val="00D37405"/>
    <w:rsid w:val="00D374BB"/>
    <w:rsid w:val="00D375AA"/>
    <w:rsid w:val="00D375F3"/>
    <w:rsid w:val="00D375FB"/>
    <w:rsid w:val="00D375FC"/>
    <w:rsid w:val="00D37654"/>
    <w:rsid w:val="00D37752"/>
    <w:rsid w:val="00D37798"/>
    <w:rsid w:val="00D377D2"/>
    <w:rsid w:val="00D377DE"/>
    <w:rsid w:val="00D37831"/>
    <w:rsid w:val="00D378A0"/>
    <w:rsid w:val="00D378FF"/>
    <w:rsid w:val="00D379B3"/>
    <w:rsid w:val="00D379C6"/>
    <w:rsid w:val="00D379DA"/>
    <w:rsid w:val="00D37A82"/>
    <w:rsid w:val="00D37A8F"/>
    <w:rsid w:val="00D37AB7"/>
    <w:rsid w:val="00D37ACC"/>
    <w:rsid w:val="00D37AD6"/>
    <w:rsid w:val="00D37B1D"/>
    <w:rsid w:val="00D37B1E"/>
    <w:rsid w:val="00D37B58"/>
    <w:rsid w:val="00D37BC9"/>
    <w:rsid w:val="00D37BDC"/>
    <w:rsid w:val="00D37C6C"/>
    <w:rsid w:val="00D37C7E"/>
    <w:rsid w:val="00D37CAA"/>
    <w:rsid w:val="00D37CAB"/>
    <w:rsid w:val="00D37D89"/>
    <w:rsid w:val="00D37D98"/>
    <w:rsid w:val="00D37DBB"/>
    <w:rsid w:val="00D37DC6"/>
    <w:rsid w:val="00D37E30"/>
    <w:rsid w:val="00D37F0C"/>
    <w:rsid w:val="00D37F47"/>
    <w:rsid w:val="00D37F74"/>
    <w:rsid w:val="00D37FAD"/>
    <w:rsid w:val="00D37FED"/>
    <w:rsid w:val="00D40006"/>
    <w:rsid w:val="00D4003F"/>
    <w:rsid w:val="00D40098"/>
    <w:rsid w:val="00D400B4"/>
    <w:rsid w:val="00D401E5"/>
    <w:rsid w:val="00D40215"/>
    <w:rsid w:val="00D40240"/>
    <w:rsid w:val="00D4024D"/>
    <w:rsid w:val="00D402EE"/>
    <w:rsid w:val="00D40311"/>
    <w:rsid w:val="00D40351"/>
    <w:rsid w:val="00D4039C"/>
    <w:rsid w:val="00D403E7"/>
    <w:rsid w:val="00D40402"/>
    <w:rsid w:val="00D40411"/>
    <w:rsid w:val="00D4043D"/>
    <w:rsid w:val="00D404AE"/>
    <w:rsid w:val="00D404E7"/>
    <w:rsid w:val="00D40503"/>
    <w:rsid w:val="00D40530"/>
    <w:rsid w:val="00D4053E"/>
    <w:rsid w:val="00D4056E"/>
    <w:rsid w:val="00D405EB"/>
    <w:rsid w:val="00D40606"/>
    <w:rsid w:val="00D406E1"/>
    <w:rsid w:val="00D4078C"/>
    <w:rsid w:val="00D407A0"/>
    <w:rsid w:val="00D407B9"/>
    <w:rsid w:val="00D407F6"/>
    <w:rsid w:val="00D4083D"/>
    <w:rsid w:val="00D40847"/>
    <w:rsid w:val="00D40848"/>
    <w:rsid w:val="00D4088F"/>
    <w:rsid w:val="00D408F7"/>
    <w:rsid w:val="00D409C2"/>
    <w:rsid w:val="00D409D5"/>
    <w:rsid w:val="00D409DD"/>
    <w:rsid w:val="00D409ED"/>
    <w:rsid w:val="00D40A3A"/>
    <w:rsid w:val="00D40A4A"/>
    <w:rsid w:val="00D40A4F"/>
    <w:rsid w:val="00D40AC9"/>
    <w:rsid w:val="00D40AF4"/>
    <w:rsid w:val="00D40BB1"/>
    <w:rsid w:val="00D40BD4"/>
    <w:rsid w:val="00D40C02"/>
    <w:rsid w:val="00D40C07"/>
    <w:rsid w:val="00D40C2D"/>
    <w:rsid w:val="00D40C44"/>
    <w:rsid w:val="00D40CA8"/>
    <w:rsid w:val="00D40CBB"/>
    <w:rsid w:val="00D40CDB"/>
    <w:rsid w:val="00D40D6E"/>
    <w:rsid w:val="00D40E34"/>
    <w:rsid w:val="00D40E61"/>
    <w:rsid w:val="00D40E7E"/>
    <w:rsid w:val="00D40EBA"/>
    <w:rsid w:val="00D41048"/>
    <w:rsid w:val="00D41090"/>
    <w:rsid w:val="00D410EC"/>
    <w:rsid w:val="00D41169"/>
    <w:rsid w:val="00D4118E"/>
    <w:rsid w:val="00D41223"/>
    <w:rsid w:val="00D412A6"/>
    <w:rsid w:val="00D412BA"/>
    <w:rsid w:val="00D41307"/>
    <w:rsid w:val="00D4132D"/>
    <w:rsid w:val="00D41348"/>
    <w:rsid w:val="00D4136F"/>
    <w:rsid w:val="00D413B1"/>
    <w:rsid w:val="00D413FE"/>
    <w:rsid w:val="00D4141F"/>
    <w:rsid w:val="00D4142E"/>
    <w:rsid w:val="00D41447"/>
    <w:rsid w:val="00D414BB"/>
    <w:rsid w:val="00D414DB"/>
    <w:rsid w:val="00D41502"/>
    <w:rsid w:val="00D415CB"/>
    <w:rsid w:val="00D415D0"/>
    <w:rsid w:val="00D415FC"/>
    <w:rsid w:val="00D41644"/>
    <w:rsid w:val="00D41651"/>
    <w:rsid w:val="00D4165F"/>
    <w:rsid w:val="00D41667"/>
    <w:rsid w:val="00D41676"/>
    <w:rsid w:val="00D416AF"/>
    <w:rsid w:val="00D416B8"/>
    <w:rsid w:val="00D41821"/>
    <w:rsid w:val="00D4189F"/>
    <w:rsid w:val="00D418CA"/>
    <w:rsid w:val="00D41998"/>
    <w:rsid w:val="00D419EC"/>
    <w:rsid w:val="00D41A32"/>
    <w:rsid w:val="00D41A3A"/>
    <w:rsid w:val="00D41A53"/>
    <w:rsid w:val="00D41A59"/>
    <w:rsid w:val="00D41A67"/>
    <w:rsid w:val="00D41AB5"/>
    <w:rsid w:val="00D41B07"/>
    <w:rsid w:val="00D41B34"/>
    <w:rsid w:val="00D41BE3"/>
    <w:rsid w:val="00D41C25"/>
    <w:rsid w:val="00D41C33"/>
    <w:rsid w:val="00D41CAB"/>
    <w:rsid w:val="00D41CDD"/>
    <w:rsid w:val="00D41CE8"/>
    <w:rsid w:val="00D41D6C"/>
    <w:rsid w:val="00D41D8B"/>
    <w:rsid w:val="00D41E20"/>
    <w:rsid w:val="00D41EDC"/>
    <w:rsid w:val="00D41F00"/>
    <w:rsid w:val="00D41F11"/>
    <w:rsid w:val="00D41F35"/>
    <w:rsid w:val="00D41F48"/>
    <w:rsid w:val="00D4205D"/>
    <w:rsid w:val="00D42068"/>
    <w:rsid w:val="00D4206B"/>
    <w:rsid w:val="00D42082"/>
    <w:rsid w:val="00D42092"/>
    <w:rsid w:val="00D420E7"/>
    <w:rsid w:val="00D421C1"/>
    <w:rsid w:val="00D421C3"/>
    <w:rsid w:val="00D4221B"/>
    <w:rsid w:val="00D42277"/>
    <w:rsid w:val="00D42294"/>
    <w:rsid w:val="00D4229B"/>
    <w:rsid w:val="00D422B0"/>
    <w:rsid w:val="00D423B8"/>
    <w:rsid w:val="00D42409"/>
    <w:rsid w:val="00D4242B"/>
    <w:rsid w:val="00D42497"/>
    <w:rsid w:val="00D424C9"/>
    <w:rsid w:val="00D424F5"/>
    <w:rsid w:val="00D42508"/>
    <w:rsid w:val="00D42531"/>
    <w:rsid w:val="00D42555"/>
    <w:rsid w:val="00D42572"/>
    <w:rsid w:val="00D4258F"/>
    <w:rsid w:val="00D42607"/>
    <w:rsid w:val="00D42637"/>
    <w:rsid w:val="00D426B8"/>
    <w:rsid w:val="00D4277C"/>
    <w:rsid w:val="00D427A7"/>
    <w:rsid w:val="00D427AE"/>
    <w:rsid w:val="00D427EB"/>
    <w:rsid w:val="00D42807"/>
    <w:rsid w:val="00D42847"/>
    <w:rsid w:val="00D42909"/>
    <w:rsid w:val="00D4290E"/>
    <w:rsid w:val="00D42950"/>
    <w:rsid w:val="00D42986"/>
    <w:rsid w:val="00D42997"/>
    <w:rsid w:val="00D42A7D"/>
    <w:rsid w:val="00D42A94"/>
    <w:rsid w:val="00D42ABE"/>
    <w:rsid w:val="00D42C7A"/>
    <w:rsid w:val="00D42CA7"/>
    <w:rsid w:val="00D42D55"/>
    <w:rsid w:val="00D42E08"/>
    <w:rsid w:val="00D42E14"/>
    <w:rsid w:val="00D42E9A"/>
    <w:rsid w:val="00D42F09"/>
    <w:rsid w:val="00D42FB6"/>
    <w:rsid w:val="00D42FD4"/>
    <w:rsid w:val="00D4305D"/>
    <w:rsid w:val="00D43070"/>
    <w:rsid w:val="00D43087"/>
    <w:rsid w:val="00D430EB"/>
    <w:rsid w:val="00D4311E"/>
    <w:rsid w:val="00D4317A"/>
    <w:rsid w:val="00D431DB"/>
    <w:rsid w:val="00D431F6"/>
    <w:rsid w:val="00D4325F"/>
    <w:rsid w:val="00D4331C"/>
    <w:rsid w:val="00D43392"/>
    <w:rsid w:val="00D43417"/>
    <w:rsid w:val="00D4343B"/>
    <w:rsid w:val="00D434DD"/>
    <w:rsid w:val="00D4353C"/>
    <w:rsid w:val="00D43540"/>
    <w:rsid w:val="00D43543"/>
    <w:rsid w:val="00D435CC"/>
    <w:rsid w:val="00D43607"/>
    <w:rsid w:val="00D43624"/>
    <w:rsid w:val="00D4364F"/>
    <w:rsid w:val="00D43679"/>
    <w:rsid w:val="00D436BE"/>
    <w:rsid w:val="00D436C1"/>
    <w:rsid w:val="00D436F6"/>
    <w:rsid w:val="00D436FD"/>
    <w:rsid w:val="00D43718"/>
    <w:rsid w:val="00D43734"/>
    <w:rsid w:val="00D43767"/>
    <w:rsid w:val="00D43787"/>
    <w:rsid w:val="00D4378A"/>
    <w:rsid w:val="00D437FB"/>
    <w:rsid w:val="00D43808"/>
    <w:rsid w:val="00D43815"/>
    <w:rsid w:val="00D43824"/>
    <w:rsid w:val="00D43915"/>
    <w:rsid w:val="00D43932"/>
    <w:rsid w:val="00D43953"/>
    <w:rsid w:val="00D43A18"/>
    <w:rsid w:val="00D43A6F"/>
    <w:rsid w:val="00D43AAB"/>
    <w:rsid w:val="00D43AC8"/>
    <w:rsid w:val="00D43ACB"/>
    <w:rsid w:val="00D43AF0"/>
    <w:rsid w:val="00D43B11"/>
    <w:rsid w:val="00D43BE4"/>
    <w:rsid w:val="00D43C11"/>
    <w:rsid w:val="00D43C15"/>
    <w:rsid w:val="00D43C39"/>
    <w:rsid w:val="00D43CB6"/>
    <w:rsid w:val="00D43D2F"/>
    <w:rsid w:val="00D43D3E"/>
    <w:rsid w:val="00D43D4F"/>
    <w:rsid w:val="00D43E2B"/>
    <w:rsid w:val="00D43E51"/>
    <w:rsid w:val="00D43E6C"/>
    <w:rsid w:val="00D43EA8"/>
    <w:rsid w:val="00D43F2F"/>
    <w:rsid w:val="00D43F32"/>
    <w:rsid w:val="00D43F7A"/>
    <w:rsid w:val="00D43FD5"/>
    <w:rsid w:val="00D4404B"/>
    <w:rsid w:val="00D44070"/>
    <w:rsid w:val="00D440A0"/>
    <w:rsid w:val="00D440C7"/>
    <w:rsid w:val="00D440DD"/>
    <w:rsid w:val="00D440F8"/>
    <w:rsid w:val="00D44108"/>
    <w:rsid w:val="00D4411B"/>
    <w:rsid w:val="00D44136"/>
    <w:rsid w:val="00D4415A"/>
    <w:rsid w:val="00D44187"/>
    <w:rsid w:val="00D44209"/>
    <w:rsid w:val="00D4426F"/>
    <w:rsid w:val="00D442C3"/>
    <w:rsid w:val="00D442C5"/>
    <w:rsid w:val="00D44322"/>
    <w:rsid w:val="00D44329"/>
    <w:rsid w:val="00D4434E"/>
    <w:rsid w:val="00D44399"/>
    <w:rsid w:val="00D4439E"/>
    <w:rsid w:val="00D443B8"/>
    <w:rsid w:val="00D443C6"/>
    <w:rsid w:val="00D44443"/>
    <w:rsid w:val="00D4446B"/>
    <w:rsid w:val="00D4449F"/>
    <w:rsid w:val="00D444F2"/>
    <w:rsid w:val="00D44552"/>
    <w:rsid w:val="00D445AE"/>
    <w:rsid w:val="00D445B2"/>
    <w:rsid w:val="00D445CD"/>
    <w:rsid w:val="00D445E7"/>
    <w:rsid w:val="00D4460E"/>
    <w:rsid w:val="00D44617"/>
    <w:rsid w:val="00D44622"/>
    <w:rsid w:val="00D44635"/>
    <w:rsid w:val="00D44650"/>
    <w:rsid w:val="00D44655"/>
    <w:rsid w:val="00D44656"/>
    <w:rsid w:val="00D44669"/>
    <w:rsid w:val="00D4468A"/>
    <w:rsid w:val="00D4468B"/>
    <w:rsid w:val="00D44722"/>
    <w:rsid w:val="00D44726"/>
    <w:rsid w:val="00D44749"/>
    <w:rsid w:val="00D447A3"/>
    <w:rsid w:val="00D44835"/>
    <w:rsid w:val="00D4485C"/>
    <w:rsid w:val="00D448C2"/>
    <w:rsid w:val="00D448FD"/>
    <w:rsid w:val="00D44945"/>
    <w:rsid w:val="00D44981"/>
    <w:rsid w:val="00D449CD"/>
    <w:rsid w:val="00D44A3C"/>
    <w:rsid w:val="00D44A45"/>
    <w:rsid w:val="00D44A53"/>
    <w:rsid w:val="00D44A8B"/>
    <w:rsid w:val="00D44BAC"/>
    <w:rsid w:val="00D44BC6"/>
    <w:rsid w:val="00D44BDD"/>
    <w:rsid w:val="00D44BDF"/>
    <w:rsid w:val="00D44C57"/>
    <w:rsid w:val="00D44CBA"/>
    <w:rsid w:val="00D44CE1"/>
    <w:rsid w:val="00D44CF8"/>
    <w:rsid w:val="00D44D84"/>
    <w:rsid w:val="00D44D96"/>
    <w:rsid w:val="00D44DE2"/>
    <w:rsid w:val="00D44DE3"/>
    <w:rsid w:val="00D44E05"/>
    <w:rsid w:val="00D44E15"/>
    <w:rsid w:val="00D44ED6"/>
    <w:rsid w:val="00D44F71"/>
    <w:rsid w:val="00D44FAC"/>
    <w:rsid w:val="00D44FCB"/>
    <w:rsid w:val="00D44FD0"/>
    <w:rsid w:val="00D45038"/>
    <w:rsid w:val="00D4505B"/>
    <w:rsid w:val="00D45091"/>
    <w:rsid w:val="00D4509A"/>
    <w:rsid w:val="00D450CD"/>
    <w:rsid w:val="00D450DA"/>
    <w:rsid w:val="00D4516E"/>
    <w:rsid w:val="00D45181"/>
    <w:rsid w:val="00D451BC"/>
    <w:rsid w:val="00D45223"/>
    <w:rsid w:val="00D45306"/>
    <w:rsid w:val="00D45319"/>
    <w:rsid w:val="00D4531B"/>
    <w:rsid w:val="00D45349"/>
    <w:rsid w:val="00D45388"/>
    <w:rsid w:val="00D453A1"/>
    <w:rsid w:val="00D453B7"/>
    <w:rsid w:val="00D453C6"/>
    <w:rsid w:val="00D453CC"/>
    <w:rsid w:val="00D453D2"/>
    <w:rsid w:val="00D453D4"/>
    <w:rsid w:val="00D453F8"/>
    <w:rsid w:val="00D4544F"/>
    <w:rsid w:val="00D4547A"/>
    <w:rsid w:val="00D454AD"/>
    <w:rsid w:val="00D454B1"/>
    <w:rsid w:val="00D454B7"/>
    <w:rsid w:val="00D4550A"/>
    <w:rsid w:val="00D45527"/>
    <w:rsid w:val="00D45595"/>
    <w:rsid w:val="00D455CF"/>
    <w:rsid w:val="00D455E0"/>
    <w:rsid w:val="00D45619"/>
    <w:rsid w:val="00D45644"/>
    <w:rsid w:val="00D45708"/>
    <w:rsid w:val="00D45714"/>
    <w:rsid w:val="00D45734"/>
    <w:rsid w:val="00D45736"/>
    <w:rsid w:val="00D457A9"/>
    <w:rsid w:val="00D457C4"/>
    <w:rsid w:val="00D4583D"/>
    <w:rsid w:val="00D45841"/>
    <w:rsid w:val="00D458E7"/>
    <w:rsid w:val="00D4596E"/>
    <w:rsid w:val="00D45A19"/>
    <w:rsid w:val="00D45A4C"/>
    <w:rsid w:val="00D45A4D"/>
    <w:rsid w:val="00D45B09"/>
    <w:rsid w:val="00D45B1A"/>
    <w:rsid w:val="00D45B88"/>
    <w:rsid w:val="00D45BBE"/>
    <w:rsid w:val="00D45C58"/>
    <w:rsid w:val="00D45C79"/>
    <w:rsid w:val="00D45CB5"/>
    <w:rsid w:val="00D45CBF"/>
    <w:rsid w:val="00D45D1B"/>
    <w:rsid w:val="00D45D30"/>
    <w:rsid w:val="00D45D66"/>
    <w:rsid w:val="00D45D8E"/>
    <w:rsid w:val="00D45E52"/>
    <w:rsid w:val="00D45EBD"/>
    <w:rsid w:val="00D45F6A"/>
    <w:rsid w:val="00D45FBF"/>
    <w:rsid w:val="00D45FCB"/>
    <w:rsid w:val="00D46020"/>
    <w:rsid w:val="00D46030"/>
    <w:rsid w:val="00D46045"/>
    <w:rsid w:val="00D4605E"/>
    <w:rsid w:val="00D46120"/>
    <w:rsid w:val="00D46127"/>
    <w:rsid w:val="00D46179"/>
    <w:rsid w:val="00D46190"/>
    <w:rsid w:val="00D461B2"/>
    <w:rsid w:val="00D461E5"/>
    <w:rsid w:val="00D46234"/>
    <w:rsid w:val="00D462CC"/>
    <w:rsid w:val="00D46333"/>
    <w:rsid w:val="00D46339"/>
    <w:rsid w:val="00D4634D"/>
    <w:rsid w:val="00D4637D"/>
    <w:rsid w:val="00D463A3"/>
    <w:rsid w:val="00D463E3"/>
    <w:rsid w:val="00D464D1"/>
    <w:rsid w:val="00D464FD"/>
    <w:rsid w:val="00D46520"/>
    <w:rsid w:val="00D4655E"/>
    <w:rsid w:val="00D46586"/>
    <w:rsid w:val="00D465EB"/>
    <w:rsid w:val="00D4660C"/>
    <w:rsid w:val="00D46611"/>
    <w:rsid w:val="00D4661E"/>
    <w:rsid w:val="00D4664C"/>
    <w:rsid w:val="00D46740"/>
    <w:rsid w:val="00D4675F"/>
    <w:rsid w:val="00D4676C"/>
    <w:rsid w:val="00D4677B"/>
    <w:rsid w:val="00D467A0"/>
    <w:rsid w:val="00D467C7"/>
    <w:rsid w:val="00D46847"/>
    <w:rsid w:val="00D468A2"/>
    <w:rsid w:val="00D468D7"/>
    <w:rsid w:val="00D468F4"/>
    <w:rsid w:val="00D4692B"/>
    <w:rsid w:val="00D46972"/>
    <w:rsid w:val="00D46A5B"/>
    <w:rsid w:val="00D46A83"/>
    <w:rsid w:val="00D46AAC"/>
    <w:rsid w:val="00D46ACD"/>
    <w:rsid w:val="00D46BF1"/>
    <w:rsid w:val="00D46BF9"/>
    <w:rsid w:val="00D46C2E"/>
    <w:rsid w:val="00D46D6B"/>
    <w:rsid w:val="00D46E45"/>
    <w:rsid w:val="00D46E48"/>
    <w:rsid w:val="00D46E56"/>
    <w:rsid w:val="00D46E77"/>
    <w:rsid w:val="00D46EB2"/>
    <w:rsid w:val="00D46EE8"/>
    <w:rsid w:val="00D46F1A"/>
    <w:rsid w:val="00D46F52"/>
    <w:rsid w:val="00D46FEC"/>
    <w:rsid w:val="00D47042"/>
    <w:rsid w:val="00D4708D"/>
    <w:rsid w:val="00D47100"/>
    <w:rsid w:val="00D47109"/>
    <w:rsid w:val="00D47127"/>
    <w:rsid w:val="00D47170"/>
    <w:rsid w:val="00D47194"/>
    <w:rsid w:val="00D471D0"/>
    <w:rsid w:val="00D47255"/>
    <w:rsid w:val="00D47273"/>
    <w:rsid w:val="00D47289"/>
    <w:rsid w:val="00D472C9"/>
    <w:rsid w:val="00D47338"/>
    <w:rsid w:val="00D47378"/>
    <w:rsid w:val="00D473B2"/>
    <w:rsid w:val="00D47424"/>
    <w:rsid w:val="00D4744F"/>
    <w:rsid w:val="00D47495"/>
    <w:rsid w:val="00D4749A"/>
    <w:rsid w:val="00D474CC"/>
    <w:rsid w:val="00D47528"/>
    <w:rsid w:val="00D47530"/>
    <w:rsid w:val="00D475A4"/>
    <w:rsid w:val="00D475AE"/>
    <w:rsid w:val="00D475C5"/>
    <w:rsid w:val="00D4767E"/>
    <w:rsid w:val="00D4768D"/>
    <w:rsid w:val="00D476C7"/>
    <w:rsid w:val="00D476CC"/>
    <w:rsid w:val="00D4770E"/>
    <w:rsid w:val="00D47715"/>
    <w:rsid w:val="00D47793"/>
    <w:rsid w:val="00D4779A"/>
    <w:rsid w:val="00D477AF"/>
    <w:rsid w:val="00D477E3"/>
    <w:rsid w:val="00D47857"/>
    <w:rsid w:val="00D47873"/>
    <w:rsid w:val="00D4788B"/>
    <w:rsid w:val="00D4789E"/>
    <w:rsid w:val="00D478E7"/>
    <w:rsid w:val="00D47908"/>
    <w:rsid w:val="00D47953"/>
    <w:rsid w:val="00D479CC"/>
    <w:rsid w:val="00D47A85"/>
    <w:rsid w:val="00D47B0C"/>
    <w:rsid w:val="00D47BB2"/>
    <w:rsid w:val="00D47BEA"/>
    <w:rsid w:val="00D47BEC"/>
    <w:rsid w:val="00D47BF1"/>
    <w:rsid w:val="00D47C57"/>
    <w:rsid w:val="00D47C8D"/>
    <w:rsid w:val="00D47CD1"/>
    <w:rsid w:val="00D47D1D"/>
    <w:rsid w:val="00D47DE2"/>
    <w:rsid w:val="00D47DEF"/>
    <w:rsid w:val="00D47E18"/>
    <w:rsid w:val="00D47E82"/>
    <w:rsid w:val="00D47EB4"/>
    <w:rsid w:val="00D47EFD"/>
    <w:rsid w:val="00D47F15"/>
    <w:rsid w:val="00D47F9A"/>
    <w:rsid w:val="00D50104"/>
    <w:rsid w:val="00D501B5"/>
    <w:rsid w:val="00D501BD"/>
    <w:rsid w:val="00D501F7"/>
    <w:rsid w:val="00D501F8"/>
    <w:rsid w:val="00D50204"/>
    <w:rsid w:val="00D50221"/>
    <w:rsid w:val="00D50224"/>
    <w:rsid w:val="00D50227"/>
    <w:rsid w:val="00D50230"/>
    <w:rsid w:val="00D5023C"/>
    <w:rsid w:val="00D50250"/>
    <w:rsid w:val="00D50255"/>
    <w:rsid w:val="00D5028E"/>
    <w:rsid w:val="00D502B2"/>
    <w:rsid w:val="00D5035D"/>
    <w:rsid w:val="00D50437"/>
    <w:rsid w:val="00D50459"/>
    <w:rsid w:val="00D50461"/>
    <w:rsid w:val="00D504C1"/>
    <w:rsid w:val="00D504DA"/>
    <w:rsid w:val="00D50534"/>
    <w:rsid w:val="00D505EC"/>
    <w:rsid w:val="00D50668"/>
    <w:rsid w:val="00D50679"/>
    <w:rsid w:val="00D50680"/>
    <w:rsid w:val="00D506AB"/>
    <w:rsid w:val="00D5071E"/>
    <w:rsid w:val="00D507A6"/>
    <w:rsid w:val="00D507DF"/>
    <w:rsid w:val="00D507FB"/>
    <w:rsid w:val="00D50854"/>
    <w:rsid w:val="00D50878"/>
    <w:rsid w:val="00D508D3"/>
    <w:rsid w:val="00D508FA"/>
    <w:rsid w:val="00D50963"/>
    <w:rsid w:val="00D5096D"/>
    <w:rsid w:val="00D5096E"/>
    <w:rsid w:val="00D5097E"/>
    <w:rsid w:val="00D509E1"/>
    <w:rsid w:val="00D509F2"/>
    <w:rsid w:val="00D50A07"/>
    <w:rsid w:val="00D50A94"/>
    <w:rsid w:val="00D50AD4"/>
    <w:rsid w:val="00D50B44"/>
    <w:rsid w:val="00D50B8B"/>
    <w:rsid w:val="00D50C7A"/>
    <w:rsid w:val="00D50C8F"/>
    <w:rsid w:val="00D50CBA"/>
    <w:rsid w:val="00D50D5E"/>
    <w:rsid w:val="00D50D91"/>
    <w:rsid w:val="00D50DCA"/>
    <w:rsid w:val="00D50DE4"/>
    <w:rsid w:val="00D50E39"/>
    <w:rsid w:val="00D50E41"/>
    <w:rsid w:val="00D50E82"/>
    <w:rsid w:val="00D50EE4"/>
    <w:rsid w:val="00D50F14"/>
    <w:rsid w:val="00D50F4E"/>
    <w:rsid w:val="00D50FB3"/>
    <w:rsid w:val="00D51005"/>
    <w:rsid w:val="00D5102D"/>
    <w:rsid w:val="00D51070"/>
    <w:rsid w:val="00D51091"/>
    <w:rsid w:val="00D510ED"/>
    <w:rsid w:val="00D5111B"/>
    <w:rsid w:val="00D51136"/>
    <w:rsid w:val="00D51158"/>
    <w:rsid w:val="00D51171"/>
    <w:rsid w:val="00D511C2"/>
    <w:rsid w:val="00D511C3"/>
    <w:rsid w:val="00D511E7"/>
    <w:rsid w:val="00D511F6"/>
    <w:rsid w:val="00D51281"/>
    <w:rsid w:val="00D51284"/>
    <w:rsid w:val="00D51294"/>
    <w:rsid w:val="00D512A4"/>
    <w:rsid w:val="00D512E0"/>
    <w:rsid w:val="00D512EA"/>
    <w:rsid w:val="00D512FB"/>
    <w:rsid w:val="00D51313"/>
    <w:rsid w:val="00D51314"/>
    <w:rsid w:val="00D5133B"/>
    <w:rsid w:val="00D5135C"/>
    <w:rsid w:val="00D51498"/>
    <w:rsid w:val="00D514A7"/>
    <w:rsid w:val="00D514DF"/>
    <w:rsid w:val="00D51566"/>
    <w:rsid w:val="00D515ED"/>
    <w:rsid w:val="00D51657"/>
    <w:rsid w:val="00D516CA"/>
    <w:rsid w:val="00D5171D"/>
    <w:rsid w:val="00D51760"/>
    <w:rsid w:val="00D517BF"/>
    <w:rsid w:val="00D517CB"/>
    <w:rsid w:val="00D517DB"/>
    <w:rsid w:val="00D517FD"/>
    <w:rsid w:val="00D51849"/>
    <w:rsid w:val="00D51852"/>
    <w:rsid w:val="00D5186C"/>
    <w:rsid w:val="00D518A7"/>
    <w:rsid w:val="00D518CB"/>
    <w:rsid w:val="00D519CE"/>
    <w:rsid w:val="00D519EF"/>
    <w:rsid w:val="00D51A37"/>
    <w:rsid w:val="00D51A9E"/>
    <w:rsid w:val="00D51AA2"/>
    <w:rsid w:val="00D51B2A"/>
    <w:rsid w:val="00D51B5E"/>
    <w:rsid w:val="00D51B67"/>
    <w:rsid w:val="00D51B93"/>
    <w:rsid w:val="00D51C2C"/>
    <w:rsid w:val="00D51CFF"/>
    <w:rsid w:val="00D51E1B"/>
    <w:rsid w:val="00D51E3A"/>
    <w:rsid w:val="00D51E99"/>
    <w:rsid w:val="00D51E9D"/>
    <w:rsid w:val="00D51EC2"/>
    <w:rsid w:val="00D51F22"/>
    <w:rsid w:val="00D51F33"/>
    <w:rsid w:val="00D51F49"/>
    <w:rsid w:val="00D51F52"/>
    <w:rsid w:val="00D51F62"/>
    <w:rsid w:val="00D51F6B"/>
    <w:rsid w:val="00D51F9E"/>
    <w:rsid w:val="00D51FB2"/>
    <w:rsid w:val="00D51FB7"/>
    <w:rsid w:val="00D51FC4"/>
    <w:rsid w:val="00D51FF2"/>
    <w:rsid w:val="00D52060"/>
    <w:rsid w:val="00D5207E"/>
    <w:rsid w:val="00D52089"/>
    <w:rsid w:val="00D520BD"/>
    <w:rsid w:val="00D52165"/>
    <w:rsid w:val="00D52272"/>
    <w:rsid w:val="00D522AC"/>
    <w:rsid w:val="00D522CB"/>
    <w:rsid w:val="00D523EE"/>
    <w:rsid w:val="00D52487"/>
    <w:rsid w:val="00D525FB"/>
    <w:rsid w:val="00D52687"/>
    <w:rsid w:val="00D526B0"/>
    <w:rsid w:val="00D526BE"/>
    <w:rsid w:val="00D526E9"/>
    <w:rsid w:val="00D52702"/>
    <w:rsid w:val="00D52738"/>
    <w:rsid w:val="00D527F5"/>
    <w:rsid w:val="00D52825"/>
    <w:rsid w:val="00D52853"/>
    <w:rsid w:val="00D528B3"/>
    <w:rsid w:val="00D528C8"/>
    <w:rsid w:val="00D528DA"/>
    <w:rsid w:val="00D528DF"/>
    <w:rsid w:val="00D52983"/>
    <w:rsid w:val="00D5299E"/>
    <w:rsid w:val="00D529DA"/>
    <w:rsid w:val="00D529DF"/>
    <w:rsid w:val="00D529FC"/>
    <w:rsid w:val="00D52AA5"/>
    <w:rsid w:val="00D52AF1"/>
    <w:rsid w:val="00D52B25"/>
    <w:rsid w:val="00D52B5E"/>
    <w:rsid w:val="00D52B8A"/>
    <w:rsid w:val="00D52B91"/>
    <w:rsid w:val="00D52C00"/>
    <w:rsid w:val="00D52C53"/>
    <w:rsid w:val="00D52C58"/>
    <w:rsid w:val="00D52C5A"/>
    <w:rsid w:val="00D52C77"/>
    <w:rsid w:val="00D52C93"/>
    <w:rsid w:val="00D52CF0"/>
    <w:rsid w:val="00D52D96"/>
    <w:rsid w:val="00D52DC6"/>
    <w:rsid w:val="00D52DD3"/>
    <w:rsid w:val="00D52E32"/>
    <w:rsid w:val="00D52EBF"/>
    <w:rsid w:val="00D52EC2"/>
    <w:rsid w:val="00D52F06"/>
    <w:rsid w:val="00D52F5C"/>
    <w:rsid w:val="00D52F5F"/>
    <w:rsid w:val="00D52FDF"/>
    <w:rsid w:val="00D53006"/>
    <w:rsid w:val="00D53067"/>
    <w:rsid w:val="00D53124"/>
    <w:rsid w:val="00D53148"/>
    <w:rsid w:val="00D531F4"/>
    <w:rsid w:val="00D531FE"/>
    <w:rsid w:val="00D53222"/>
    <w:rsid w:val="00D53259"/>
    <w:rsid w:val="00D5325C"/>
    <w:rsid w:val="00D532D8"/>
    <w:rsid w:val="00D532E8"/>
    <w:rsid w:val="00D53315"/>
    <w:rsid w:val="00D5332C"/>
    <w:rsid w:val="00D53360"/>
    <w:rsid w:val="00D5337D"/>
    <w:rsid w:val="00D533B9"/>
    <w:rsid w:val="00D53441"/>
    <w:rsid w:val="00D53445"/>
    <w:rsid w:val="00D53461"/>
    <w:rsid w:val="00D53493"/>
    <w:rsid w:val="00D534BC"/>
    <w:rsid w:val="00D534CF"/>
    <w:rsid w:val="00D534DE"/>
    <w:rsid w:val="00D534E7"/>
    <w:rsid w:val="00D53597"/>
    <w:rsid w:val="00D53598"/>
    <w:rsid w:val="00D535C7"/>
    <w:rsid w:val="00D535EE"/>
    <w:rsid w:val="00D53639"/>
    <w:rsid w:val="00D53670"/>
    <w:rsid w:val="00D53738"/>
    <w:rsid w:val="00D5375C"/>
    <w:rsid w:val="00D537D0"/>
    <w:rsid w:val="00D537F1"/>
    <w:rsid w:val="00D53805"/>
    <w:rsid w:val="00D53813"/>
    <w:rsid w:val="00D5381F"/>
    <w:rsid w:val="00D53884"/>
    <w:rsid w:val="00D538D2"/>
    <w:rsid w:val="00D538FC"/>
    <w:rsid w:val="00D5391D"/>
    <w:rsid w:val="00D53939"/>
    <w:rsid w:val="00D539CB"/>
    <w:rsid w:val="00D539F5"/>
    <w:rsid w:val="00D53A29"/>
    <w:rsid w:val="00D53A33"/>
    <w:rsid w:val="00D53A3C"/>
    <w:rsid w:val="00D53A71"/>
    <w:rsid w:val="00D53A72"/>
    <w:rsid w:val="00D53AF0"/>
    <w:rsid w:val="00D53AF2"/>
    <w:rsid w:val="00D53B09"/>
    <w:rsid w:val="00D53B1F"/>
    <w:rsid w:val="00D53B97"/>
    <w:rsid w:val="00D53BDB"/>
    <w:rsid w:val="00D53C7B"/>
    <w:rsid w:val="00D53D30"/>
    <w:rsid w:val="00D53DAA"/>
    <w:rsid w:val="00D53E13"/>
    <w:rsid w:val="00D53E7C"/>
    <w:rsid w:val="00D53E95"/>
    <w:rsid w:val="00D53E9D"/>
    <w:rsid w:val="00D53EA2"/>
    <w:rsid w:val="00D53EBD"/>
    <w:rsid w:val="00D53ECA"/>
    <w:rsid w:val="00D53ECB"/>
    <w:rsid w:val="00D53F3A"/>
    <w:rsid w:val="00D53F5E"/>
    <w:rsid w:val="00D53F94"/>
    <w:rsid w:val="00D53FC4"/>
    <w:rsid w:val="00D53FDA"/>
    <w:rsid w:val="00D5404C"/>
    <w:rsid w:val="00D540EC"/>
    <w:rsid w:val="00D540F1"/>
    <w:rsid w:val="00D5410A"/>
    <w:rsid w:val="00D54124"/>
    <w:rsid w:val="00D54158"/>
    <w:rsid w:val="00D54168"/>
    <w:rsid w:val="00D54183"/>
    <w:rsid w:val="00D54207"/>
    <w:rsid w:val="00D54250"/>
    <w:rsid w:val="00D54275"/>
    <w:rsid w:val="00D5436A"/>
    <w:rsid w:val="00D54392"/>
    <w:rsid w:val="00D543FE"/>
    <w:rsid w:val="00D5440E"/>
    <w:rsid w:val="00D54421"/>
    <w:rsid w:val="00D54477"/>
    <w:rsid w:val="00D545D6"/>
    <w:rsid w:val="00D54670"/>
    <w:rsid w:val="00D546F1"/>
    <w:rsid w:val="00D546F5"/>
    <w:rsid w:val="00D54702"/>
    <w:rsid w:val="00D5470C"/>
    <w:rsid w:val="00D54740"/>
    <w:rsid w:val="00D547EB"/>
    <w:rsid w:val="00D547F8"/>
    <w:rsid w:val="00D54804"/>
    <w:rsid w:val="00D5482E"/>
    <w:rsid w:val="00D5484D"/>
    <w:rsid w:val="00D548A1"/>
    <w:rsid w:val="00D548EB"/>
    <w:rsid w:val="00D5490E"/>
    <w:rsid w:val="00D5495B"/>
    <w:rsid w:val="00D5499C"/>
    <w:rsid w:val="00D549DE"/>
    <w:rsid w:val="00D549E3"/>
    <w:rsid w:val="00D54A6F"/>
    <w:rsid w:val="00D54A9A"/>
    <w:rsid w:val="00D54AF1"/>
    <w:rsid w:val="00D54B13"/>
    <w:rsid w:val="00D54B34"/>
    <w:rsid w:val="00D54BDF"/>
    <w:rsid w:val="00D54C7A"/>
    <w:rsid w:val="00D54C86"/>
    <w:rsid w:val="00D54D17"/>
    <w:rsid w:val="00D54D54"/>
    <w:rsid w:val="00D54D6B"/>
    <w:rsid w:val="00D54DAB"/>
    <w:rsid w:val="00D54DD0"/>
    <w:rsid w:val="00D54E0A"/>
    <w:rsid w:val="00D54E2A"/>
    <w:rsid w:val="00D54EA3"/>
    <w:rsid w:val="00D54F6B"/>
    <w:rsid w:val="00D54FB8"/>
    <w:rsid w:val="00D54FEC"/>
    <w:rsid w:val="00D55056"/>
    <w:rsid w:val="00D5509B"/>
    <w:rsid w:val="00D550E2"/>
    <w:rsid w:val="00D55102"/>
    <w:rsid w:val="00D5514B"/>
    <w:rsid w:val="00D55155"/>
    <w:rsid w:val="00D551F8"/>
    <w:rsid w:val="00D55245"/>
    <w:rsid w:val="00D552BF"/>
    <w:rsid w:val="00D55329"/>
    <w:rsid w:val="00D5536A"/>
    <w:rsid w:val="00D5537D"/>
    <w:rsid w:val="00D55399"/>
    <w:rsid w:val="00D55430"/>
    <w:rsid w:val="00D55482"/>
    <w:rsid w:val="00D5549F"/>
    <w:rsid w:val="00D554B3"/>
    <w:rsid w:val="00D5552C"/>
    <w:rsid w:val="00D55545"/>
    <w:rsid w:val="00D5556D"/>
    <w:rsid w:val="00D5558C"/>
    <w:rsid w:val="00D555CE"/>
    <w:rsid w:val="00D555F5"/>
    <w:rsid w:val="00D556B1"/>
    <w:rsid w:val="00D556B7"/>
    <w:rsid w:val="00D5570C"/>
    <w:rsid w:val="00D5575D"/>
    <w:rsid w:val="00D5576E"/>
    <w:rsid w:val="00D557CA"/>
    <w:rsid w:val="00D557FA"/>
    <w:rsid w:val="00D55809"/>
    <w:rsid w:val="00D5580F"/>
    <w:rsid w:val="00D55814"/>
    <w:rsid w:val="00D5582E"/>
    <w:rsid w:val="00D55869"/>
    <w:rsid w:val="00D5587C"/>
    <w:rsid w:val="00D558AF"/>
    <w:rsid w:val="00D558CA"/>
    <w:rsid w:val="00D558EE"/>
    <w:rsid w:val="00D5590B"/>
    <w:rsid w:val="00D5599C"/>
    <w:rsid w:val="00D559CC"/>
    <w:rsid w:val="00D55A13"/>
    <w:rsid w:val="00D55A3E"/>
    <w:rsid w:val="00D55AA3"/>
    <w:rsid w:val="00D55ABF"/>
    <w:rsid w:val="00D55AE6"/>
    <w:rsid w:val="00D55B72"/>
    <w:rsid w:val="00D55BD2"/>
    <w:rsid w:val="00D55C5D"/>
    <w:rsid w:val="00D55C6F"/>
    <w:rsid w:val="00D55CA2"/>
    <w:rsid w:val="00D55CB5"/>
    <w:rsid w:val="00D55CDE"/>
    <w:rsid w:val="00D55CF1"/>
    <w:rsid w:val="00D55D50"/>
    <w:rsid w:val="00D55D66"/>
    <w:rsid w:val="00D55D91"/>
    <w:rsid w:val="00D55DC0"/>
    <w:rsid w:val="00D55DD2"/>
    <w:rsid w:val="00D55DE0"/>
    <w:rsid w:val="00D55E2F"/>
    <w:rsid w:val="00D55E60"/>
    <w:rsid w:val="00D55E77"/>
    <w:rsid w:val="00D55E98"/>
    <w:rsid w:val="00D55EE7"/>
    <w:rsid w:val="00D55EFB"/>
    <w:rsid w:val="00D55EFC"/>
    <w:rsid w:val="00D55F32"/>
    <w:rsid w:val="00D55FC3"/>
    <w:rsid w:val="00D55FE8"/>
    <w:rsid w:val="00D5602A"/>
    <w:rsid w:val="00D56035"/>
    <w:rsid w:val="00D5603B"/>
    <w:rsid w:val="00D5608B"/>
    <w:rsid w:val="00D56113"/>
    <w:rsid w:val="00D561D9"/>
    <w:rsid w:val="00D5622E"/>
    <w:rsid w:val="00D56245"/>
    <w:rsid w:val="00D5625D"/>
    <w:rsid w:val="00D562F2"/>
    <w:rsid w:val="00D56329"/>
    <w:rsid w:val="00D563AC"/>
    <w:rsid w:val="00D564BE"/>
    <w:rsid w:val="00D564BF"/>
    <w:rsid w:val="00D564FA"/>
    <w:rsid w:val="00D5658A"/>
    <w:rsid w:val="00D5666D"/>
    <w:rsid w:val="00D566E1"/>
    <w:rsid w:val="00D5670C"/>
    <w:rsid w:val="00D5678B"/>
    <w:rsid w:val="00D567C9"/>
    <w:rsid w:val="00D568C4"/>
    <w:rsid w:val="00D568DF"/>
    <w:rsid w:val="00D568F6"/>
    <w:rsid w:val="00D56909"/>
    <w:rsid w:val="00D5694C"/>
    <w:rsid w:val="00D56990"/>
    <w:rsid w:val="00D569B4"/>
    <w:rsid w:val="00D569D4"/>
    <w:rsid w:val="00D56A3D"/>
    <w:rsid w:val="00D56B09"/>
    <w:rsid w:val="00D56B93"/>
    <w:rsid w:val="00D56B96"/>
    <w:rsid w:val="00D56BAC"/>
    <w:rsid w:val="00D56C4A"/>
    <w:rsid w:val="00D56C63"/>
    <w:rsid w:val="00D56CEA"/>
    <w:rsid w:val="00D56CEF"/>
    <w:rsid w:val="00D56D00"/>
    <w:rsid w:val="00D56DD8"/>
    <w:rsid w:val="00D56DEC"/>
    <w:rsid w:val="00D56E04"/>
    <w:rsid w:val="00D56EA2"/>
    <w:rsid w:val="00D56EC8"/>
    <w:rsid w:val="00D56F26"/>
    <w:rsid w:val="00D56F30"/>
    <w:rsid w:val="00D56F6F"/>
    <w:rsid w:val="00D56FE3"/>
    <w:rsid w:val="00D57088"/>
    <w:rsid w:val="00D570FC"/>
    <w:rsid w:val="00D57104"/>
    <w:rsid w:val="00D5713E"/>
    <w:rsid w:val="00D57162"/>
    <w:rsid w:val="00D57163"/>
    <w:rsid w:val="00D571C4"/>
    <w:rsid w:val="00D5723E"/>
    <w:rsid w:val="00D5728B"/>
    <w:rsid w:val="00D572B0"/>
    <w:rsid w:val="00D572C9"/>
    <w:rsid w:val="00D572F0"/>
    <w:rsid w:val="00D57307"/>
    <w:rsid w:val="00D57327"/>
    <w:rsid w:val="00D5734B"/>
    <w:rsid w:val="00D57398"/>
    <w:rsid w:val="00D573F2"/>
    <w:rsid w:val="00D5746C"/>
    <w:rsid w:val="00D574B1"/>
    <w:rsid w:val="00D574B7"/>
    <w:rsid w:val="00D574EE"/>
    <w:rsid w:val="00D5751B"/>
    <w:rsid w:val="00D57544"/>
    <w:rsid w:val="00D5754B"/>
    <w:rsid w:val="00D57584"/>
    <w:rsid w:val="00D5759A"/>
    <w:rsid w:val="00D575AC"/>
    <w:rsid w:val="00D575B4"/>
    <w:rsid w:val="00D575FC"/>
    <w:rsid w:val="00D5765D"/>
    <w:rsid w:val="00D57677"/>
    <w:rsid w:val="00D576C3"/>
    <w:rsid w:val="00D57768"/>
    <w:rsid w:val="00D5778F"/>
    <w:rsid w:val="00D577D3"/>
    <w:rsid w:val="00D577FE"/>
    <w:rsid w:val="00D57834"/>
    <w:rsid w:val="00D5790F"/>
    <w:rsid w:val="00D57921"/>
    <w:rsid w:val="00D57941"/>
    <w:rsid w:val="00D5799D"/>
    <w:rsid w:val="00D57ABB"/>
    <w:rsid w:val="00D57ADF"/>
    <w:rsid w:val="00D57B34"/>
    <w:rsid w:val="00D57BA0"/>
    <w:rsid w:val="00D57BAD"/>
    <w:rsid w:val="00D57C3B"/>
    <w:rsid w:val="00D57C83"/>
    <w:rsid w:val="00D57C84"/>
    <w:rsid w:val="00D57E31"/>
    <w:rsid w:val="00D57E5A"/>
    <w:rsid w:val="00D57E5D"/>
    <w:rsid w:val="00D57F0C"/>
    <w:rsid w:val="00D57FCC"/>
    <w:rsid w:val="00D57FE8"/>
    <w:rsid w:val="00D6002D"/>
    <w:rsid w:val="00D60037"/>
    <w:rsid w:val="00D60064"/>
    <w:rsid w:val="00D6006E"/>
    <w:rsid w:val="00D60078"/>
    <w:rsid w:val="00D600FF"/>
    <w:rsid w:val="00D60117"/>
    <w:rsid w:val="00D601B9"/>
    <w:rsid w:val="00D601C0"/>
    <w:rsid w:val="00D601F3"/>
    <w:rsid w:val="00D60277"/>
    <w:rsid w:val="00D60290"/>
    <w:rsid w:val="00D602D9"/>
    <w:rsid w:val="00D6031A"/>
    <w:rsid w:val="00D60389"/>
    <w:rsid w:val="00D60393"/>
    <w:rsid w:val="00D603A1"/>
    <w:rsid w:val="00D60444"/>
    <w:rsid w:val="00D60480"/>
    <w:rsid w:val="00D60516"/>
    <w:rsid w:val="00D6051F"/>
    <w:rsid w:val="00D60536"/>
    <w:rsid w:val="00D605E7"/>
    <w:rsid w:val="00D605F0"/>
    <w:rsid w:val="00D60607"/>
    <w:rsid w:val="00D6068B"/>
    <w:rsid w:val="00D606EF"/>
    <w:rsid w:val="00D60735"/>
    <w:rsid w:val="00D607BD"/>
    <w:rsid w:val="00D607CD"/>
    <w:rsid w:val="00D607D0"/>
    <w:rsid w:val="00D607DF"/>
    <w:rsid w:val="00D607F2"/>
    <w:rsid w:val="00D607F4"/>
    <w:rsid w:val="00D6082F"/>
    <w:rsid w:val="00D608A6"/>
    <w:rsid w:val="00D6090C"/>
    <w:rsid w:val="00D6091A"/>
    <w:rsid w:val="00D60923"/>
    <w:rsid w:val="00D60939"/>
    <w:rsid w:val="00D60972"/>
    <w:rsid w:val="00D609C4"/>
    <w:rsid w:val="00D60A06"/>
    <w:rsid w:val="00D60A2E"/>
    <w:rsid w:val="00D60A43"/>
    <w:rsid w:val="00D60A53"/>
    <w:rsid w:val="00D60A7D"/>
    <w:rsid w:val="00D60ABB"/>
    <w:rsid w:val="00D60ACC"/>
    <w:rsid w:val="00D60AD6"/>
    <w:rsid w:val="00D60B0F"/>
    <w:rsid w:val="00D60B11"/>
    <w:rsid w:val="00D60BD8"/>
    <w:rsid w:val="00D60C1D"/>
    <w:rsid w:val="00D60C8C"/>
    <w:rsid w:val="00D60CED"/>
    <w:rsid w:val="00D60D32"/>
    <w:rsid w:val="00D60D56"/>
    <w:rsid w:val="00D60D79"/>
    <w:rsid w:val="00D60DBD"/>
    <w:rsid w:val="00D60E08"/>
    <w:rsid w:val="00D60E74"/>
    <w:rsid w:val="00D60EBF"/>
    <w:rsid w:val="00D60EFB"/>
    <w:rsid w:val="00D60F2E"/>
    <w:rsid w:val="00D60F57"/>
    <w:rsid w:val="00D60FC3"/>
    <w:rsid w:val="00D60FCF"/>
    <w:rsid w:val="00D60FF2"/>
    <w:rsid w:val="00D6104B"/>
    <w:rsid w:val="00D61063"/>
    <w:rsid w:val="00D6106F"/>
    <w:rsid w:val="00D6107C"/>
    <w:rsid w:val="00D6113C"/>
    <w:rsid w:val="00D6113D"/>
    <w:rsid w:val="00D61150"/>
    <w:rsid w:val="00D611E6"/>
    <w:rsid w:val="00D611E7"/>
    <w:rsid w:val="00D611F3"/>
    <w:rsid w:val="00D6126C"/>
    <w:rsid w:val="00D61278"/>
    <w:rsid w:val="00D612B5"/>
    <w:rsid w:val="00D612BB"/>
    <w:rsid w:val="00D612E3"/>
    <w:rsid w:val="00D61322"/>
    <w:rsid w:val="00D61347"/>
    <w:rsid w:val="00D613CA"/>
    <w:rsid w:val="00D6140C"/>
    <w:rsid w:val="00D614F2"/>
    <w:rsid w:val="00D6151A"/>
    <w:rsid w:val="00D61591"/>
    <w:rsid w:val="00D615D3"/>
    <w:rsid w:val="00D61639"/>
    <w:rsid w:val="00D616A5"/>
    <w:rsid w:val="00D616A7"/>
    <w:rsid w:val="00D616AD"/>
    <w:rsid w:val="00D616E5"/>
    <w:rsid w:val="00D61754"/>
    <w:rsid w:val="00D617BB"/>
    <w:rsid w:val="00D6184B"/>
    <w:rsid w:val="00D6191F"/>
    <w:rsid w:val="00D619BB"/>
    <w:rsid w:val="00D619C4"/>
    <w:rsid w:val="00D61A02"/>
    <w:rsid w:val="00D61AE2"/>
    <w:rsid w:val="00D61B11"/>
    <w:rsid w:val="00D61B51"/>
    <w:rsid w:val="00D61B61"/>
    <w:rsid w:val="00D61B73"/>
    <w:rsid w:val="00D61B8F"/>
    <w:rsid w:val="00D61C10"/>
    <w:rsid w:val="00D61C22"/>
    <w:rsid w:val="00D61C39"/>
    <w:rsid w:val="00D61C4C"/>
    <w:rsid w:val="00D61C7C"/>
    <w:rsid w:val="00D61C88"/>
    <w:rsid w:val="00D61D2B"/>
    <w:rsid w:val="00D61D8D"/>
    <w:rsid w:val="00D61DA1"/>
    <w:rsid w:val="00D61DDA"/>
    <w:rsid w:val="00D61E13"/>
    <w:rsid w:val="00D61E3A"/>
    <w:rsid w:val="00D61E7C"/>
    <w:rsid w:val="00D61E7D"/>
    <w:rsid w:val="00D61E99"/>
    <w:rsid w:val="00D61EB7"/>
    <w:rsid w:val="00D620EB"/>
    <w:rsid w:val="00D620F5"/>
    <w:rsid w:val="00D62119"/>
    <w:rsid w:val="00D62190"/>
    <w:rsid w:val="00D621C9"/>
    <w:rsid w:val="00D621ED"/>
    <w:rsid w:val="00D62267"/>
    <w:rsid w:val="00D62285"/>
    <w:rsid w:val="00D6232C"/>
    <w:rsid w:val="00D62340"/>
    <w:rsid w:val="00D62395"/>
    <w:rsid w:val="00D623E8"/>
    <w:rsid w:val="00D62402"/>
    <w:rsid w:val="00D624A0"/>
    <w:rsid w:val="00D624F0"/>
    <w:rsid w:val="00D6251A"/>
    <w:rsid w:val="00D625AF"/>
    <w:rsid w:val="00D62604"/>
    <w:rsid w:val="00D6266B"/>
    <w:rsid w:val="00D6267C"/>
    <w:rsid w:val="00D62701"/>
    <w:rsid w:val="00D6272B"/>
    <w:rsid w:val="00D62730"/>
    <w:rsid w:val="00D627F5"/>
    <w:rsid w:val="00D62862"/>
    <w:rsid w:val="00D628BE"/>
    <w:rsid w:val="00D628DC"/>
    <w:rsid w:val="00D628E5"/>
    <w:rsid w:val="00D628EF"/>
    <w:rsid w:val="00D6293B"/>
    <w:rsid w:val="00D629DF"/>
    <w:rsid w:val="00D62A19"/>
    <w:rsid w:val="00D62A75"/>
    <w:rsid w:val="00D62AC4"/>
    <w:rsid w:val="00D62AD3"/>
    <w:rsid w:val="00D62AF3"/>
    <w:rsid w:val="00D62B2C"/>
    <w:rsid w:val="00D62B38"/>
    <w:rsid w:val="00D62BB3"/>
    <w:rsid w:val="00D62BCA"/>
    <w:rsid w:val="00D62BF8"/>
    <w:rsid w:val="00D62C37"/>
    <w:rsid w:val="00D62C85"/>
    <w:rsid w:val="00D62D2D"/>
    <w:rsid w:val="00D62D60"/>
    <w:rsid w:val="00D62D9A"/>
    <w:rsid w:val="00D62DCE"/>
    <w:rsid w:val="00D62E02"/>
    <w:rsid w:val="00D62E82"/>
    <w:rsid w:val="00D62EB4"/>
    <w:rsid w:val="00D62EFE"/>
    <w:rsid w:val="00D62F2F"/>
    <w:rsid w:val="00D62F3B"/>
    <w:rsid w:val="00D62FFC"/>
    <w:rsid w:val="00D63005"/>
    <w:rsid w:val="00D63077"/>
    <w:rsid w:val="00D63080"/>
    <w:rsid w:val="00D63083"/>
    <w:rsid w:val="00D63089"/>
    <w:rsid w:val="00D630C2"/>
    <w:rsid w:val="00D630C4"/>
    <w:rsid w:val="00D6319B"/>
    <w:rsid w:val="00D6323B"/>
    <w:rsid w:val="00D63243"/>
    <w:rsid w:val="00D63259"/>
    <w:rsid w:val="00D63286"/>
    <w:rsid w:val="00D63295"/>
    <w:rsid w:val="00D632C2"/>
    <w:rsid w:val="00D632F5"/>
    <w:rsid w:val="00D632FE"/>
    <w:rsid w:val="00D63327"/>
    <w:rsid w:val="00D63341"/>
    <w:rsid w:val="00D63365"/>
    <w:rsid w:val="00D633A2"/>
    <w:rsid w:val="00D633A3"/>
    <w:rsid w:val="00D63408"/>
    <w:rsid w:val="00D63439"/>
    <w:rsid w:val="00D634D1"/>
    <w:rsid w:val="00D63528"/>
    <w:rsid w:val="00D635D0"/>
    <w:rsid w:val="00D635E1"/>
    <w:rsid w:val="00D636AC"/>
    <w:rsid w:val="00D636B8"/>
    <w:rsid w:val="00D636BE"/>
    <w:rsid w:val="00D6371F"/>
    <w:rsid w:val="00D63725"/>
    <w:rsid w:val="00D637D0"/>
    <w:rsid w:val="00D637D7"/>
    <w:rsid w:val="00D6382A"/>
    <w:rsid w:val="00D638F1"/>
    <w:rsid w:val="00D63988"/>
    <w:rsid w:val="00D6398B"/>
    <w:rsid w:val="00D639AC"/>
    <w:rsid w:val="00D639C3"/>
    <w:rsid w:val="00D639D9"/>
    <w:rsid w:val="00D63A3A"/>
    <w:rsid w:val="00D63AA0"/>
    <w:rsid w:val="00D63AC4"/>
    <w:rsid w:val="00D63AF3"/>
    <w:rsid w:val="00D63B3E"/>
    <w:rsid w:val="00D63B4D"/>
    <w:rsid w:val="00D63BA0"/>
    <w:rsid w:val="00D63BDB"/>
    <w:rsid w:val="00D63C64"/>
    <w:rsid w:val="00D63CE8"/>
    <w:rsid w:val="00D63D53"/>
    <w:rsid w:val="00D63EAA"/>
    <w:rsid w:val="00D63F3F"/>
    <w:rsid w:val="00D64015"/>
    <w:rsid w:val="00D64018"/>
    <w:rsid w:val="00D6402B"/>
    <w:rsid w:val="00D64081"/>
    <w:rsid w:val="00D64086"/>
    <w:rsid w:val="00D64170"/>
    <w:rsid w:val="00D64174"/>
    <w:rsid w:val="00D641B9"/>
    <w:rsid w:val="00D641C8"/>
    <w:rsid w:val="00D6423C"/>
    <w:rsid w:val="00D64294"/>
    <w:rsid w:val="00D642E0"/>
    <w:rsid w:val="00D6432B"/>
    <w:rsid w:val="00D643D3"/>
    <w:rsid w:val="00D64497"/>
    <w:rsid w:val="00D6456C"/>
    <w:rsid w:val="00D64573"/>
    <w:rsid w:val="00D6458D"/>
    <w:rsid w:val="00D645E8"/>
    <w:rsid w:val="00D64645"/>
    <w:rsid w:val="00D6465D"/>
    <w:rsid w:val="00D64743"/>
    <w:rsid w:val="00D6476A"/>
    <w:rsid w:val="00D64814"/>
    <w:rsid w:val="00D64835"/>
    <w:rsid w:val="00D648C2"/>
    <w:rsid w:val="00D64923"/>
    <w:rsid w:val="00D6493E"/>
    <w:rsid w:val="00D64954"/>
    <w:rsid w:val="00D64992"/>
    <w:rsid w:val="00D649CA"/>
    <w:rsid w:val="00D649DC"/>
    <w:rsid w:val="00D649F8"/>
    <w:rsid w:val="00D64A10"/>
    <w:rsid w:val="00D64A19"/>
    <w:rsid w:val="00D64A54"/>
    <w:rsid w:val="00D64A62"/>
    <w:rsid w:val="00D64A92"/>
    <w:rsid w:val="00D64AD8"/>
    <w:rsid w:val="00D64B64"/>
    <w:rsid w:val="00D64B97"/>
    <w:rsid w:val="00D64BCF"/>
    <w:rsid w:val="00D64BD9"/>
    <w:rsid w:val="00D64C73"/>
    <w:rsid w:val="00D64CB4"/>
    <w:rsid w:val="00D64CC8"/>
    <w:rsid w:val="00D64D19"/>
    <w:rsid w:val="00D64E04"/>
    <w:rsid w:val="00D64E3B"/>
    <w:rsid w:val="00D64EB8"/>
    <w:rsid w:val="00D64F42"/>
    <w:rsid w:val="00D64FC6"/>
    <w:rsid w:val="00D64FD6"/>
    <w:rsid w:val="00D65028"/>
    <w:rsid w:val="00D65057"/>
    <w:rsid w:val="00D65087"/>
    <w:rsid w:val="00D65089"/>
    <w:rsid w:val="00D650A4"/>
    <w:rsid w:val="00D650EC"/>
    <w:rsid w:val="00D650FA"/>
    <w:rsid w:val="00D65108"/>
    <w:rsid w:val="00D65130"/>
    <w:rsid w:val="00D65137"/>
    <w:rsid w:val="00D65150"/>
    <w:rsid w:val="00D65181"/>
    <w:rsid w:val="00D65187"/>
    <w:rsid w:val="00D651A3"/>
    <w:rsid w:val="00D651AC"/>
    <w:rsid w:val="00D651E9"/>
    <w:rsid w:val="00D651EF"/>
    <w:rsid w:val="00D651F5"/>
    <w:rsid w:val="00D65229"/>
    <w:rsid w:val="00D65250"/>
    <w:rsid w:val="00D6525B"/>
    <w:rsid w:val="00D65291"/>
    <w:rsid w:val="00D65301"/>
    <w:rsid w:val="00D65395"/>
    <w:rsid w:val="00D653A3"/>
    <w:rsid w:val="00D6544D"/>
    <w:rsid w:val="00D6549D"/>
    <w:rsid w:val="00D654A7"/>
    <w:rsid w:val="00D65618"/>
    <w:rsid w:val="00D6562C"/>
    <w:rsid w:val="00D65661"/>
    <w:rsid w:val="00D65672"/>
    <w:rsid w:val="00D656A1"/>
    <w:rsid w:val="00D656FC"/>
    <w:rsid w:val="00D65728"/>
    <w:rsid w:val="00D6572D"/>
    <w:rsid w:val="00D657AE"/>
    <w:rsid w:val="00D657E9"/>
    <w:rsid w:val="00D65823"/>
    <w:rsid w:val="00D658D9"/>
    <w:rsid w:val="00D658EF"/>
    <w:rsid w:val="00D65931"/>
    <w:rsid w:val="00D659A0"/>
    <w:rsid w:val="00D659A9"/>
    <w:rsid w:val="00D65A0B"/>
    <w:rsid w:val="00D65A79"/>
    <w:rsid w:val="00D65A8B"/>
    <w:rsid w:val="00D65AD5"/>
    <w:rsid w:val="00D65AED"/>
    <w:rsid w:val="00D65AEF"/>
    <w:rsid w:val="00D65AFF"/>
    <w:rsid w:val="00D65B2A"/>
    <w:rsid w:val="00D65B2E"/>
    <w:rsid w:val="00D65B78"/>
    <w:rsid w:val="00D65B9A"/>
    <w:rsid w:val="00D65C31"/>
    <w:rsid w:val="00D65C46"/>
    <w:rsid w:val="00D65C5F"/>
    <w:rsid w:val="00D65CA6"/>
    <w:rsid w:val="00D65D03"/>
    <w:rsid w:val="00D65D06"/>
    <w:rsid w:val="00D65D35"/>
    <w:rsid w:val="00D65D54"/>
    <w:rsid w:val="00D65DF3"/>
    <w:rsid w:val="00D65E4C"/>
    <w:rsid w:val="00D65E61"/>
    <w:rsid w:val="00D65E73"/>
    <w:rsid w:val="00D65EB4"/>
    <w:rsid w:val="00D65ED4"/>
    <w:rsid w:val="00D65FAA"/>
    <w:rsid w:val="00D66010"/>
    <w:rsid w:val="00D6601A"/>
    <w:rsid w:val="00D66054"/>
    <w:rsid w:val="00D660BF"/>
    <w:rsid w:val="00D66100"/>
    <w:rsid w:val="00D66107"/>
    <w:rsid w:val="00D6611C"/>
    <w:rsid w:val="00D66153"/>
    <w:rsid w:val="00D66168"/>
    <w:rsid w:val="00D661C4"/>
    <w:rsid w:val="00D66231"/>
    <w:rsid w:val="00D66260"/>
    <w:rsid w:val="00D662CC"/>
    <w:rsid w:val="00D662DB"/>
    <w:rsid w:val="00D662F9"/>
    <w:rsid w:val="00D66323"/>
    <w:rsid w:val="00D66389"/>
    <w:rsid w:val="00D663F7"/>
    <w:rsid w:val="00D6644D"/>
    <w:rsid w:val="00D6645D"/>
    <w:rsid w:val="00D664FA"/>
    <w:rsid w:val="00D6651F"/>
    <w:rsid w:val="00D66547"/>
    <w:rsid w:val="00D6654A"/>
    <w:rsid w:val="00D66564"/>
    <w:rsid w:val="00D665D6"/>
    <w:rsid w:val="00D66624"/>
    <w:rsid w:val="00D66675"/>
    <w:rsid w:val="00D66693"/>
    <w:rsid w:val="00D666D7"/>
    <w:rsid w:val="00D6670A"/>
    <w:rsid w:val="00D66775"/>
    <w:rsid w:val="00D66843"/>
    <w:rsid w:val="00D66846"/>
    <w:rsid w:val="00D668DC"/>
    <w:rsid w:val="00D66946"/>
    <w:rsid w:val="00D66952"/>
    <w:rsid w:val="00D6697D"/>
    <w:rsid w:val="00D6698C"/>
    <w:rsid w:val="00D669C8"/>
    <w:rsid w:val="00D669CF"/>
    <w:rsid w:val="00D66A70"/>
    <w:rsid w:val="00D66A77"/>
    <w:rsid w:val="00D66AE8"/>
    <w:rsid w:val="00D66B1E"/>
    <w:rsid w:val="00D66BCA"/>
    <w:rsid w:val="00D66BF0"/>
    <w:rsid w:val="00D66BF2"/>
    <w:rsid w:val="00D66C25"/>
    <w:rsid w:val="00D66C43"/>
    <w:rsid w:val="00D66CBF"/>
    <w:rsid w:val="00D66CD7"/>
    <w:rsid w:val="00D66D03"/>
    <w:rsid w:val="00D66D04"/>
    <w:rsid w:val="00D66D44"/>
    <w:rsid w:val="00D66D88"/>
    <w:rsid w:val="00D66DCE"/>
    <w:rsid w:val="00D66DD2"/>
    <w:rsid w:val="00D66E0B"/>
    <w:rsid w:val="00D66EAB"/>
    <w:rsid w:val="00D66EB5"/>
    <w:rsid w:val="00D66ECB"/>
    <w:rsid w:val="00D66F2F"/>
    <w:rsid w:val="00D66F9D"/>
    <w:rsid w:val="00D66FD6"/>
    <w:rsid w:val="00D67031"/>
    <w:rsid w:val="00D670B7"/>
    <w:rsid w:val="00D670E7"/>
    <w:rsid w:val="00D67176"/>
    <w:rsid w:val="00D67182"/>
    <w:rsid w:val="00D671B6"/>
    <w:rsid w:val="00D671F7"/>
    <w:rsid w:val="00D67292"/>
    <w:rsid w:val="00D672A1"/>
    <w:rsid w:val="00D672DD"/>
    <w:rsid w:val="00D672E2"/>
    <w:rsid w:val="00D67327"/>
    <w:rsid w:val="00D67395"/>
    <w:rsid w:val="00D673C9"/>
    <w:rsid w:val="00D67448"/>
    <w:rsid w:val="00D67514"/>
    <w:rsid w:val="00D67521"/>
    <w:rsid w:val="00D6754E"/>
    <w:rsid w:val="00D67556"/>
    <w:rsid w:val="00D67572"/>
    <w:rsid w:val="00D6759B"/>
    <w:rsid w:val="00D675C1"/>
    <w:rsid w:val="00D675FA"/>
    <w:rsid w:val="00D67600"/>
    <w:rsid w:val="00D6763E"/>
    <w:rsid w:val="00D67696"/>
    <w:rsid w:val="00D6769C"/>
    <w:rsid w:val="00D676AF"/>
    <w:rsid w:val="00D67734"/>
    <w:rsid w:val="00D6778D"/>
    <w:rsid w:val="00D677E6"/>
    <w:rsid w:val="00D6780E"/>
    <w:rsid w:val="00D6781A"/>
    <w:rsid w:val="00D67832"/>
    <w:rsid w:val="00D6784C"/>
    <w:rsid w:val="00D6786B"/>
    <w:rsid w:val="00D67893"/>
    <w:rsid w:val="00D6789D"/>
    <w:rsid w:val="00D67985"/>
    <w:rsid w:val="00D679B1"/>
    <w:rsid w:val="00D679DF"/>
    <w:rsid w:val="00D67A29"/>
    <w:rsid w:val="00D67A58"/>
    <w:rsid w:val="00D67A5F"/>
    <w:rsid w:val="00D67B14"/>
    <w:rsid w:val="00D67B8F"/>
    <w:rsid w:val="00D67BA2"/>
    <w:rsid w:val="00D67BC4"/>
    <w:rsid w:val="00D67C07"/>
    <w:rsid w:val="00D67CC3"/>
    <w:rsid w:val="00D67CC9"/>
    <w:rsid w:val="00D67D85"/>
    <w:rsid w:val="00D67DB8"/>
    <w:rsid w:val="00D67E37"/>
    <w:rsid w:val="00D67E88"/>
    <w:rsid w:val="00D67F02"/>
    <w:rsid w:val="00D67F2B"/>
    <w:rsid w:val="00D7001E"/>
    <w:rsid w:val="00D700BC"/>
    <w:rsid w:val="00D700BE"/>
    <w:rsid w:val="00D7013A"/>
    <w:rsid w:val="00D7021C"/>
    <w:rsid w:val="00D70235"/>
    <w:rsid w:val="00D702C2"/>
    <w:rsid w:val="00D702F5"/>
    <w:rsid w:val="00D70305"/>
    <w:rsid w:val="00D70341"/>
    <w:rsid w:val="00D7035A"/>
    <w:rsid w:val="00D7044A"/>
    <w:rsid w:val="00D7045A"/>
    <w:rsid w:val="00D70485"/>
    <w:rsid w:val="00D704A2"/>
    <w:rsid w:val="00D704BD"/>
    <w:rsid w:val="00D704D5"/>
    <w:rsid w:val="00D704F4"/>
    <w:rsid w:val="00D70511"/>
    <w:rsid w:val="00D70516"/>
    <w:rsid w:val="00D7053C"/>
    <w:rsid w:val="00D70547"/>
    <w:rsid w:val="00D7054A"/>
    <w:rsid w:val="00D70570"/>
    <w:rsid w:val="00D70580"/>
    <w:rsid w:val="00D70595"/>
    <w:rsid w:val="00D70634"/>
    <w:rsid w:val="00D70635"/>
    <w:rsid w:val="00D70642"/>
    <w:rsid w:val="00D7064D"/>
    <w:rsid w:val="00D7067E"/>
    <w:rsid w:val="00D706A0"/>
    <w:rsid w:val="00D706CB"/>
    <w:rsid w:val="00D70796"/>
    <w:rsid w:val="00D7087A"/>
    <w:rsid w:val="00D708C5"/>
    <w:rsid w:val="00D708C6"/>
    <w:rsid w:val="00D70961"/>
    <w:rsid w:val="00D7096C"/>
    <w:rsid w:val="00D709B1"/>
    <w:rsid w:val="00D70A94"/>
    <w:rsid w:val="00D70AB8"/>
    <w:rsid w:val="00D70B46"/>
    <w:rsid w:val="00D70BED"/>
    <w:rsid w:val="00D70BF8"/>
    <w:rsid w:val="00D70C04"/>
    <w:rsid w:val="00D70CDB"/>
    <w:rsid w:val="00D70CFF"/>
    <w:rsid w:val="00D70D3A"/>
    <w:rsid w:val="00D70D49"/>
    <w:rsid w:val="00D70D65"/>
    <w:rsid w:val="00D70D9E"/>
    <w:rsid w:val="00D70DD9"/>
    <w:rsid w:val="00D70DEA"/>
    <w:rsid w:val="00D70E51"/>
    <w:rsid w:val="00D70FA4"/>
    <w:rsid w:val="00D71029"/>
    <w:rsid w:val="00D71081"/>
    <w:rsid w:val="00D71093"/>
    <w:rsid w:val="00D71115"/>
    <w:rsid w:val="00D711CE"/>
    <w:rsid w:val="00D71260"/>
    <w:rsid w:val="00D71325"/>
    <w:rsid w:val="00D71366"/>
    <w:rsid w:val="00D71381"/>
    <w:rsid w:val="00D713AE"/>
    <w:rsid w:val="00D713BD"/>
    <w:rsid w:val="00D713F1"/>
    <w:rsid w:val="00D71408"/>
    <w:rsid w:val="00D71421"/>
    <w:rsid w:val="00D71450"/>
    <w:rsid w:val="00D714AC"/>
    <w:rsid w:val="00D71520"/>
    <w:rsid w:val="00D71547"/>
    <w:rsid w:val="00D715DA"/>
    <w:rsid w:val="00D71617"/>
    <w:rsid w:val="00D7163C"/>
    <w:rsid w:val="00D71643"/>
    <w:rsid w:val="00D7167E"/>
    <w:rsid w:val="00D716D0"/>
    <w:rsid w:val="00D716EF"/>
    <w:rsid w:val="00D716F6"/>
    <w:rsid w:val="00D71705"/>
    <w:rsid w:val="00D71742"/>
    <w:rsid w:val="00D71779"/>
    <w:rsid w:val="00D717B8"/>
    <w:rsid w:val="00D717BF"/>
    <w:rsid w:val="00D71841"/>
    <w:rsid w:val="00D7184C"/>
    <w:rsid w:val="00D7184E"/>
    <w:rsid w:val="00D71864"/>
    <w:rsid w:val="00D71883"/>
    <w:rsid w:val="00D718E2"/>
    <w:rsid w:val="00D718ED"/>
    <w:rsid w:val="00D71912"/>
    <w:rsid w:val="00D71960"/>
    <w:rsid w:val="00D719A8"/>
    <w:rsid w:val="00D71AE4"/>
    <w:rsid w:val="00D71B2C"/>
    <w:rsid w:val="00D71B3F"/>
    <w:rsid w:val="00D71BA6"/>
    <w:rsid w:val="00D71BB4"/>
    <w:rsid w:val="00D71BEA"/>
    <w:rsid w:val="00D71C12"/>
    <w:rsid w:val="00D71C60"/>
    <w:rsid w:val="00D71CFC"/>
    <w:rsid w:val="00D71D3C"/>
    <w:rsid w:val="00D71DF4"/>
    <w:rsid w:val="00D71DFE"/>
    <w:rsid w:val="00D71EE5"/>
    <w:rsid w:val="00D71EE6"/>
    <w:rsid w:val="00D71F89"/>
    <w:rsid w:val="00D72056"/>
    <w:rsid w:val="00D7209B"/>
    <w:rsid w:val="00D720C6"/>
    <w:rsid w:val="00D721A9"/>
    <w:rsid w:val="00D721BE"/>
    <w:rsid w:val="00D72243"/>
    <w:rsid w:val="00D722B6"/>
    <w:rsid w:val="00D722CC"/>
    <w:rsid w:val="00D72328"/>
    <w:rsid w:val="00D72329"/>
    <w:rsid w:val="00D72375"/>
    <w:rsid w:val="00D72385"/>
    <w:rsid w:val="00D723DA"/>
    <w:rsid w:val="00D723E7"/>
    <w:rsid w:val="00D7243C"/>
    <w:rsid w:val="00D72452"/>
    <w:rsid w:val="00D72463"/>
    <w:rsid w:val="00D724A2"/>
    <w:rsid w:val="00D725B7"/>
    <w:rsid w:val="00D725D1"/>
    <w:rsid w:val="00D725FC"/>
    <w:rsid w:val="00D726AD"/>
    <w:rsid w:val="00D726CB"/>
    <w:rsid w:val="00D726E4"/>
    <w:rsid w:val="00D726EC"/>
    <w:rsid w:val="00D7273B"/>
    <w:rsid w:val="00D727BC"/>
    <w:rsid w:val="00D727BF"/>
    <w:rsid w:val="00D72844"/>
    <w:rsid w:val="00D7286E"/>
    <w:rsid w:val="00D72889"/>
    <w:rsid w:val="00D729D0"/>
    <w:rsid w:val="00D729F5"/>
    <w:rsid w:val="00D72A0B"/>
    <w:rsid w:val="00D72A46"/>
    <w:rsid w:val="00D72A8E"/>
    <w:rsid w:val="00D72AE0"/>
    <w:rsid w:val="00D72B20"/>
    <w:rsid w:val="00D72B2E"/>
    <w:rsid w:val="00D72B93"/>
    <w:rsid w:val="00D72BAC"/>
    <w:rsid w:val="00D72BBF"/>
    <w:rsid w:val="00D72BD3"/>
    <w:rsid w:val="00D72C24"/>
    <w:rsid w:val="00D72C31"/>
    <w:rsid w:val="00D72C9B"/>
    <w:rsid w:val="00D72D1B"/>
    <w:rsid w:val="00D72D28"/>
    <w:rsid w:val="00D72D82"/>
    <w:rsid w:val="00D72DDB"/>
    <w:rsid w:val="00D72DDC"/>
    <w:rsid w:val="00D72E1B"/>
    <w:rsid w:val="00D72E4A"/>
    <w:rsid w:val="00D72E4D"/>
    <w:rsid w:val="00D72E6D"/>
    <w:rsid w:val="00D72EB7"/>
    <w:rsid w:val="00D72EC4"/>
    <w:rsid w:val="00D72EC5"/>
    <w:rsid w:val="00D72FB5"/>
    <w:rsid w:val="00D72FDA"/>
    <w:rsid w:val="00D73015"/>
    <w:rsid w:val="00D73019"/>
    <w:rsid w:val="00D7304A"/>
    <w:rsid w:val="00D7304D"/>
    <w:rsid w:val="00D7306F"/>
    <w:rsid w:val="00D73088"/>
    <w:rsid w:val="00D730CC"/>
    <w:rsid w:val="00D730FD"/>
    <w:rsid w:val="00D73120"/>
    <w:rsid w:val="00D7315E"/>
    <w:rsid w:val="00D7318C"/>
    <w:rsid w:val="00D731CB"/>
    <w:rsid w:val="00D73218"/>
    <w:rsid w:val="00D73298"/>
    <w:rsid w:val="00D732C2"/>
    <w:rsid w:val="00D73344"/>
    <w:rsid w:val="00D733AD"/>
    <w:rsid w:val="00D733F2"/>
    <w:rsid w:val="00D73402"/>
    <w:rsid w:val="00D7343D"/>
    <w:rsid w:val="00D7345C"/>
    <w:rsid w:val="00D73505"/>
    <w:rsid w:val="00D7353A"/>
    <w:rsid w:val="00D7353E"/>
    <w:rsid w:val="00D73673"/>
    <w:rsid w:val="00D7367B"/>
    <w:rsid w:val="00D7368C"/>
    <w:rsid w:val="00D736FB"/>
    <w:rsid w:val="00D73717"/>
    <w:rsid w:val="00D73746"/>
    <w:rsid w:val="00D73779"/>
    <w:rsid w:val="00D737F0"/>
    <w:rsid w:val="00D7387A"/>
    <w:rsid w:val="00D738A3"/>
    <w:rsid w:val="00D738A9"/>
    <w:rsid w:val="00D738CC"/>
    <w:rsid w:val="00D738D4"/>
    <w:rsid w:val="00D738FE"/>
    <w:rsid w:val="00D73923"/>
    <w:rsid w:val="00D73953"/>
    <w:rsid w:val="00D73999"/>
    <w:rsid w:val="00D739CE"/>
    <w:rsid w:val="00D739F7"/>
    <w:rsid w:val="00D73A93"/>
    <w:rsid w:val="00D73AD6"/>
    <w:rsid w:val="00D73AE1"/>
    <w:rsid w:val="00D73B03"/>
    <w:rsid w:val="00D73B05"/>
    <w:rsid w:val="00D73B0A"/>
    <w:rsid w:val="00D73B1B"/>
    <w:rsid w:val="00D73B3E"/>
    <w:rsid w:val="00D73B87"/>
    <w:rsid w:val="00D73BCE"/>
    <w:rsid w:val="00D73C67"/>
    <w:rsid w:val="00D73CAB"/>
    <w:rsid w:val="00D73CC8"/>
    <w:rsid w:val="00D73D1C"/>
    <w:rsid w:val="00D73D20"/>
    <w:rsid w:val="00D73D33"/>
    <w:rsid w:val="00D73DA3"/>
    <w:rsid w:val="00D73DC4"/>
    <w:rsid w:val="00D73DC9"/>
    <w:rsid w:val="00D73DDA"/>
    <w:rsid w:val="00D73DE9"/>
    <w:rsid w:val="00D73E0C"/>
    <w:rsid w:val="00D73E37"/>
    <w:rsid w:val="00D73E69"/>
    <w:rsid w:val="00D73F16"/>
    <w:rsid w:val="00D73F1F"/>
    <w:rsid w:val="00D73F8B"/>
    <w:rsid w:val="00D73FAC"/>
    <w:rsid w:val="00D73FD2"/>
    <w:rsid w:val="00D74036"/>
    <w:rsid w:val="00D74074"/>
    <w:rsid w:val="00D74077"/>
    <w:rsid w:val="00D7413D"/>
    <w:rsid w:val="00D74169"/>
    <w:rsid w:val="00D741F4"/>
    <w:rsid w:val="00D74231"/>
    <w:rsid w:val="00D74237"/>
    <w:rsid w:val="00D7423D"/>
    <w:rsid w:val="00D74262"/>
    <w:rsid w:val="00D74269"/>
    <w:rsid w:val="00D74272"/>
    <w:rsid w:val="00D742DC"/>
    <w:rsid w:val="00D742FB"/>
    <w:rsid w:val="00D74314"/>
    <w:rsid w:val="00D7434F"/>
    <w:rsid w:val="00D74367"/>
    <w:rsid w:val="00D743D7"/>
    <w:rsid w:val="00D7440C"/>
    <w:rsid w:val="00D7441B"/>
    <w:rsid w:val="00D74482"/>
    <w:rsid w:val="00D74489"/>
    <w:rsid w:val="00D7449B"/>
    <w:rsid w:val="00D7449F"/>
    <w:rsid w:val="00D744BD"/>
    <w:rsid w:val="00D74572"/>
    <w:rsid w:val="00D745FE"/>
    <w:rsid w:val="00D74667"/>
    <w:rsid w:val="00D74670"/>
    <w:rsid w:val="00D746CD"/>
    <w:rsid w:val="00D74704"/>
    <w:rsid w:val="00D7471E"/>
    <w:rsid w:val="00D74758"/>
    <w:rsid w:val="00D7475B"/>
    <w:rsid w:val="00D74777"/>
    <w:rsid w:val="00D7477D"/>
    <w:rsid w:val="00D7478D"/>
    <w:rsid w:val="00D747A1"/>
    <w:rsid w:val="00D747A3"/>
    <w:rsid w:val="00D74806"/>
    <w:rsid w:val="00D74821"/>
    <w:rsid w:val="00D74860"/>
    <w:rsid w:val="00D748B4"/>
    <w:rsid w:val="00D748BD"/>
    <w:rsid w:val="00D748E3"/>
    <w:rsid w:val="00D74910"/>
    <w:rsid w:val="00D7496B"/>
    <w:rsid w:val="00D74980"/>
    <w:rsid w:val="00D74A11"/>
    <w:rsid w:val="00D74A44"/>
    <w:rsid w:val="00D74AA7"/>
    <w:rsid w:val="00D74AEA"/>
    <w:rsid w:val="00D74AEC"/>
    <w:rsid w:val="00D74B55"/>
    <w:rsid w:val="00D74B66"/>
    <w:rsid w:val="00D74B84"/>
    <w:rsid w:val="00D74C08"/>
    <w:rsid w:val="00D74CD5"/>
    <w:rsid w:val="00D74DD5"/>
    <w:rsid w:val="00D74E17"/>
    <w:rsid w:val="00D74EB4"/>
    <w:rsid w:val="00D74EF8"/>
    <w:rsid w:val="00D74F16"/>
    <w:rsid w:val="00D74F90"/>
    <w:rsid w:val="00D74FB2"/>
    <w:rsid w:val="00D74FC1"/>
    <w:rsid w:val="00D75012"/>
    <w:rsid w:val="00D7504C"/>
    <w:rsid w:val="00D7505F"/>
    <w:rsid w:val="00D750CF"/>
    <w:rsid w:val="00D7515B"/>
    <w:rsid w:val="00D7515C"/>
    <w:rsid w:val="00D75180"/>
    <w:rsid w:val="00D751BC"/>
    <w:rsid w:val="00D751DF"/>
    <w:rsid w:val="00D751F9"/>
    <w:rsid w:val="00D75224"/>
    <w:rsid w:val="00D75293"/>
    <w:rsid w:val="00D75338"/>
    <w:rsid w:val="00D7535D"/>
    <w:rsid w:val="00D75494"/>
    <w:rsid w:val="00D7554D"/>
    <w:rsid w:val="00D75555"/>
    <w:rsid w:val="00D7556A"/>
    <w:rsid w:val="00D75594"/>
    <w:rsid w:val="00D75677"/>
    <w:rsid w:val="00D756C5"/>
    <w:rsid w:val="00D756CA"/>
    <w:rsid w:val="00D75706"/>
    <w:rsid w:val="00D75751"/>
    <w:rsid w:val="00D7578F"/>
    <w:rsid w:val="00D757B9"/>
    <w:rsid w:val="00D757F4"/>
    <w:rsid w:val="00D7582D"/>
    <w:rsid w:val="00D7583D"/>
    <w:rsid w:val="00D7583E"/>
    <w:rsid w:val="00D75885"/>
    <w:rsid w:val="00D758E2"/>
    <w:rsid w:val="00D7593C"/>
    <w:rsid w:val="00D759B5"/>
    <w:rsid w:val="00D759D7"/>
    <w:rsid w:val="00D759F8"/>
    <w:rsid w:val="00D75AA4"/>
    <w:rsid w:val="00D75B5E"/>
    <w:rsid w:val="00D75BE3"/>
    <w:rsid w:val="00D75C00"/>
    <w:rsid w:val="00D75C2D"/>
    <w:rsid w:val="00D75C30"/>
    <w:rsid w:val="00D75C61"/>
    <w:rsid w:val="00D75C9D"/>
    <w:rsid w:val="00D75D40"/>
    <w:rsid w:val="00D75D57"/>
    <w:rsid w:val="00D75DB3"/>
    <w:rsid w:val="00D75DB5"/>
    <w:rsid w:val="00D75DE9"/>
    <w:rsid w:val="00D75E06"/>
    <w:rsid w:val="00D75E69"/>
    <w:rsid w:val="00D75E9C"/>
    <w:rsid w:val="00D75F08"/>
    <w:rsid w:val="00D75F8B"/>
    <w:rsid w:val="00D75FD1"/>
    <w:rsid w:val="00D75FF0"/>
    <w:rsid w:val="00D76076"/>
    <w:rsid w:val="00D76078"/>
    <w:rsid w:val="00D760CE"/>
    <w:rsid w:val="00D760EB"/>
    <w:rsid w:val="00D76128"/>
    <w:rsid w:val="00D7613B"/>
    <w:rsid w:val="00D7614F"/>
    <w:rsid w:val="00D76157"/>
    <w:rsid w:val="00D7615C"/>
    <w:rsid w:val="00D76174"/>
    <w:rsid w:val="00D7619B"/>
    <w:rsid w:val="00D7629E"/>
    <w:rsid w:val="00D762B0"/>
    <w:rsid w:val="00D762B6"/>
    <w:rsid w:val="00D76326"/>
    <w:rsid w:val="00D76329"/>
    <w:rsid w:val="00D7634C"/>
    <w:rsid w:val="00D76380"/>
    <w:rsid w:val="00D763BC"/>
    <w:rsid w:val="00D763C9"/>
    <w:rsid w:val="00D763D4"/>
    <w:rsid w:val="00D763F2"/>
    <w:rsid w:val="00D76441"/>
    <w:rsid w:val="00D76465"/>
    <w:rsid w:val="00D76488"/>
    <w:rsid w:val="00D7653E"/>
    <w:rsid w:val="00D76541"/>
    <w:rsid w:val="00D7657D"/>
    <w:rsid w:val="00D76580"/>
    <w:rsid w:val="00D765AF"/>
    <w:rsid w:val="00D765F6"/>
    <w:rsid w:val="00D76619"/>
    <w:rsid w:val="00D766D2"/>
    <w:rsid w:val="00D76779"/>
    <w:rsid w:val="00D76797"/>
    <w:rsid w:val="00D767E6"/>
    <w:rsid w:val="00D76832"/>
    <w:rsid w:val="00D7686F"/>
    <w:rsid w:val="00D768B1"/>
    <w:rsid w:val="00D768C0"/>
    <w:rsid w:val="00D76925"/>
    <w:rsid w:val="00D76A13"/>
    <w:rsid w:val="00D76A2A"/>
    <w:rsid w:val="00D76A84"/>
    <w:rsid w:val="00D76A90"/>
    <w:rsid w:val="00D76AAC"/>
    <w:rsid w:val="00D76B41"/>
    <w:rsid w:val="00D76B4F"/>
    <w:rsid w:val="00D76B5E"/>
    <w:rsid w:val="00D76B6F"/>
    <w:rsid w:val="00D76BB3"/>
    <w:rsid w:val="00D76C19"/>
    <w:rsid w:val="00D76C20"/>
    <w:rsid w:val="00D76C35"/>
    <w:rsid w:val="00D76C62"/>
    <w:rsid w:val="00D76C90"/>
    <w:rsid w:val="00D76D3E"/>
    <w:rsid w:val="00D76DC3"/>
    <w:rsid w:val="00D76DCD"/>
    <w:rsid w:val="00D76DE1"/>
    <w:rsid w:val="00D76E0A"/>
    <w:rsid w:val="00D76E0E"/>
    <w:rsid w:val="00D76E36"/>
    <w:rsid w:val="00D76E96"/>
    <w:rsid w:val="00D76F37"/>
    <w:rsid w:val="00D76F77"/>
    <w:rsid w:val="00D76F8C"/>
    <w:rsid w:val="00D76F9E"/>
    <w:rsid w:val="00D76FAA"/>
    <w:rsid w:val="00D76FC1"/>
    <w:rsid w:val="00D77016"/>
    <w:rsid w:val="00D77090"/>
    <w:rsid w:val="00D770E9"/>
    <w:rsid w:val="00D77197"/>
    <w:rsid w:val="00D771FF"/>
    <w:rsid w:val="00D77273"/>
    <w:rsid w:val="00D7727B"/>
    <w:rsid w:val="00D772E7"/>
    <w:rsid w:val="00D7731E"/>
    <w:rsid w:val="00D77329"/>
    <w:rsid w:val="00D7735F"/>
    <w:rsid w:val="00D773F9"/>
    <w:rsid w:val="00D77409"/>
    <w:rsid w:val="00D7746E"/>
    <w:rsid w:val="00D774A8"/>
    <w:rsid w:val="00D77550"/>
    <w:rsid w:val="00D77577"/>
    <w:rsid w:val="00D775C3"/>
    <w:rsid w:val="00D775CA"/>
    <w:rsid w:val="00D775D2"/>
    <w:rsid w:val="00D775D9"/>
    <w:rsid w:val="00D7763D"/>
    <w:rsid w:val="00D77684"/>
    <w:rsid w:val="00D776A9"/>
    <w:rsid w:val="00D7774B"/>
    <w:rsid w:val="00D77750"/>
    <w:rsid w:val="00D7776E"/>
    <w:rsid w:val="00D77785"/>
    <w:rsid w:val="00D777D2"/>
    <w:rsid w:val="00D77813"/>
    <w:rsid w:val="00D7787A"/>
    <w:rsid w:val="00D778B8"/>
    <w:rsid w:val="00D779B0"/>
    <w:rsid w:val="00D77A21"/>
    <w:rsid w:val="00D77AD1"/>
    <w:rsid w:val="00D77B55"/>
    <w:rsid w:val="00D77B78"/>
    <w:rsid w:val="00D77BFB"/>
    <w:rsid w:val="00D77C29"/>
    <w:rsid w:val="00D77C68"/>
    <w:rsid w:val="00D77CA2"/>
    <w:rsid w:val="00D77D40"/>
    <w:rsid w:val="00D77DAA"/>
    <w:rsid w:val="00D77E34"/>
    <w:rsid w:val="00D77E67"/>
    <w:rsid w:val="00D77ED6"/>
    <w:rsid w:val="00D77F3B"/>
    <w:rsid w:val="00D77F60"/>
    <w:rsid w:val="00D77F86"/>
    <w:rsid w:val="00D80004"/>
    <w:rsid w:val="00D8000C"/>
    <w:rsid w:val="00D80024"/>
    <w:rsid w:val="00D8002F"/>
    <w:rsid w:val="00D80067"/>
    <w:rsid w:val="00D80071"/>
    <w:rsid w:val="00D80128"/>
    <w:rsid w:val="00D80139"/>
    <w:rsid w:val="00D8014B"/>
    <w:rsid w:val="00D801A6"/>
    <w:rsid w:val="00D801F7"/>
    <w:rsid w:val="00D80211"/>
    <w:rsid w:val="00D8022E"/>
    <w:rsid w:val="00D80270"/>
    <w:rsid w:val="00D802E3"/>
    <w:rsid w:val="00D80332"/>
    <w:rsid w:val="00D8033B"/>
    <w:rsid w:val="00D80346"/>
    <w:rsid w:val="00D80354"/>
    <w:rsid w:val="00D803A3"/>
    <w:rsid w:val="00D803B3"/>
    <w:rsid w:val="00D803D2"/>
    <w:rsid w:val="00D80422"/>
    <w:rsid w:val="00D8042D"/>
    <w:rsid w:val="00D80440"/>
    <w:rsid w:val="00D80452"/>
    <w:rsid w:val="00D8049B"/>
    <w:rsid w:val="00D804BA"/>
    <w:rsid w:val="00D8054A"/>
    <w:rsid w:val="00D806EE"/>
    <w:rsid w:val="00D8071D"/>
    <w:rsid w:val="00D80742"/>
    <w:rsid w:val="00D8081F"/>
    <w:rsid w:val="00D8088E"/>
    <w:rsid w:val="00D8089D"/>
    <w:rsid w:val="00D80928"/>
    <w:rsid w:val="00D8095E"/>
    <w:rsid w:val="00D80987"/>
    <w:rsid w:val="00D80998"/>
    <w:rsid w:val="00D809BA"/>
    <w:rsid w:val="00D80A65"/>
    <w:rsid w:val="00D80AF1"/>
    <w:rsid w:val="00D80AF7"/>
    <w:rsid w:val="00D80B06"/>
    <w:rsid w:val="00D80B19"/>
    <w:rsid w:val="00D80B69"/>
    <w:rsid w:val="00D80B6B"/>
    <w:rsid w:val="00D80B72"/>
    <w:rsid w:val="00D80BB1"/>
    <w:rsid w:val="00D80C17"/>
    <w:rsid w:val="00D80CEA"/>
    <w:rsid w:val="00D80D23"/>
    <w:rsid w:val="00D80DD4"/>
    <w:rsid w:val="00D80E06"/>
    <w:rsid w:val="00D80E1B"/>
    <w:rsid w:val="00D80E2B"/>
    <w:rsid w:val="00D80E59"/>
    <w:rsid w:val="00D80E77"/>
    <w:rsid w:val="00D80E79"/>
    <w:rsid w:val="00D80EAD"/>
    <w:rsid w:val="00D80F22"/>
    <w:rsid w:val="00D80F4D"/>
    <w:rsid w:val="00D80FB4"/>
    <w:rsid w:val="00D80FBE"/>
    <w:rsid w:val="00D80FE1"/>
    <w:rsid w:val="00D81011"/>
    <w:rsid w:val="00D8102B"/>
    <w:rsid w:val="00D81090"/>
    <w:rsid w:val="00D8109C"/>
    <w:rsid w:val="00D810A4"/>
    <w:rsid w:val="00D810B7"/>
    <w:rsid w:val="00D810DC"/>
    <w:rsid w:val="00D810DD"/>
    <w:rsid w:val="00D8111C"/>
    <w:rsid w:val="00D8113F"/>
    <w:rsid w:val="00D81151"/>
    <w:rsid w:val="00D811AC"/>
    <w:rsid w:val="00D811CD"/>
    <w:rsid w:val="00D811D2"/>
    <w:rsid w:val="00D811D6"/>
    <w:rsid w:val="00D81250"/>
    <w:rsid w:val="00D8128F"/>
    <w:rsid w:val="00D812E9"/>
    <w:rsid w:val="00D8132C"/>
    <w:rsid w:val="00D8137B"/>
    <w:rsid w:val="00D813B3"/>
    <w:rsid w:val="00D8140D"/>
    <w:rsid w:val="00D8141C"/>
    <w:rsid w:val="00D814A4"/>
    <w:rsid w:val="00D814E4"/>
    <w:rsid w:val="00D815BC"/>
    <w:rsid w:val="00D815D1"/>
    <w:rsid w:val="00D81617"/>
    <w:rsid w:val="00D8164D"/>
    <w:rsid w:val="00D81666"/>
    <w:rsid w:val="00D81668"/>
    <w:rsid w:val="00D81677"/>
    <w:rsid w:val="00D81683"/>
    <w:rsid w:val="00D81690"/>
    <w:rsid w:val="00D816A6"/>
    <w:rsid w:val="00D8170E"/>
    <w:rsid w:val="00D81875"/>
    <w:rsid w:val="00D818F9"/>
    <w:rsid w:val="00D8192C"/>
    <w:rsid w:val="00D8199F"/>
    <w:rsid w:val="00D819A1"/>
    <w:rsid w:val="00D819C1"/>
    <w:rsid w:val="00D819D2"/>
    <w:rsid w:val="00D81A29"/>
    <w:rsid w:val="00D81B04"/>
    <w:rsid w:val="00D81B3C"/>
    <w:rsid w:val="00D81B3D"/>
    <w:rsid w:val="00D81C0A"/>
    <w:rsid w:val="00D81C71"/>
    <w:rsid w:val="00D81C7F"/>
    <w:rsid w:val="00D81CF8"/>
    <w:rsid w:val="00D81D36"/>
    <w:rsid w:val="00D81D61"/>
    <w:rsid w:val="00D81D98"/>
    <w:rsid w:val="00D81D9A"/>
    <w:rsid w:val="00D81DAD"/>
    <w:rsid w:val="00D81E9A"/>
    <w:rsid w:val="00D81ECB"/>
    <w:rsid w:val="00D81EE1"/>
    <w:rsid w:val="00D81EE2"/>
    <w:rsid w:val="00D81F0B"/>
    <w:rsid w:val="00D81F54"/>
    <w:rsid w:val="00D81F7F"/>
    <w:rsid w:val="00D81FB8"/>
    <w:rsid w:val="00D82027"/>
    <w:rsid w:val="00D820E8"/>
    <w:rsid w:val="00D82170"/>
    <w:rsid w:val="00D82174"/>
    <w:rsid w:val="00D82299"/>
    <w:rsid w:val="00D822FC"/>
    <w:rsid w:val="00D8236F"/>
    <w:rsid w:val="00D82372"/>
    <w:rsid w:val="00D8239D"/>
    <w:rsid w:val="00D823CB"/>
    <w:rsid w:val="00D823DA"/>
    <w:rsid w:val="00D82440"/>
    <w:rsid w:val="00D82465"/>
    <w:rsid w:val="00D824CF"/>
    <w:rsid w:val="00D825A1"/>
    <w:rsid w:val="00D825A9"/>
    <w:rsid w:val="00D825C5"/>
    <w:rsid w:val="00D825DC"/>
    <w:rsid w:val="00D8264D"/>
    <w:rsid w:val="00D826A1"/>
    <w:rsid w:val="00D826A4"/>
    <w:rsid w:val="00D826B0"/>
    <w:rsid w:val="00D826DA"/>
    <w:rsid w:val="00D826FC"/>
    <w:rsid w:val="00D82741"/>
    <w:rsid w:val="00D827A0"/>
    <w:rsid w:val="00D827CF"/>
    <w:rsid w:val="00D827ED"/>
    <w:rsid w:val="00D82809"/>
    <w:rsid w:val="00D8288E"/>
    <w:rsid w:val="00D8288F"/>
    <w:rsid w:val="00D82904"/>
    <w:rsid w:val="00D82935"/>
    <w:rsid w:val="00D82957"/>
    <w:rsid w:val="00D829B2"/>
    <w:rsid w:val="00D829B3"/>
    <w:rsid w:val="00D829D2"/>
    <w:rsid w:val="00D829D5"/>
    <w:rsid w:val="00D829DA"/>
    <w:rsid w:val="00D829DC"/>
    <w:rsid w:val="00D82A68"/>
    <w:rsid w:val="00D82AFA"/>
    <w:rsid w:val="00D82B21"/>
    <w:rsid w:val="00D82B2C"/>
    <w:rsid w:val="00D82B90"/>
    <w:rsid w:val="00D82BF0"/>
    <w:rsid w:val="00D82C08"/>
    <w:rsid w:val="00D82C2E"/>
    <w:rsid w:val="00D82C6E"/>
    <w:rsid w:val="00D82C70"/>
    <w:rsid w:val="00D82C7D"/>
    <w:rsid w:val="00D82C8A"/>
    <w:rsid w:val="00D82CD0"/>
    <w:rsid w:val="00D82CE4"/>
    <w:rsid w:val="00D82CF1"/>
    <w:rsid w:val="00D82D71"/>
    <w:rsid w:val="00D82E16"/>
    <w:rsid w:val="00D82E27"/>
    <w:rsid w:val="00D82E6C"/>
    <w:rsid w:val="00D82F78"/>
    <w:rsid w:val="00D82FA7"/>
    <w:rsid w:val="00D82FCE"/>
    <w:rsid w:val="00D83061"/>
    <w:rsid w:val="00D830A6"/>
    <w:rsid w:val="00D830B0"/>
    <w:rsid w:val="00D830DC"/>
    <w:rsid w:val="00D83144"/>
    <w:rsid w:val="00D83173"/>
    <w:rsid w:val="00D831A2"/>
    <w:rsid w:val="00D83261"/>
    <w:rsid w:val="00D832C3"/>
    <w:rsid w:val="00D83395"/>
    <w:rsid w:val="00D833CC"/>
    <w:rsid w:val="00D833D9"/>
    <w:rsid w:val="00D834C3"/>
    <w:rsid w:val="00D834FA"/>
    <w:rsid w:val="00D8350D"/>
    <w:rsid w:val="00D8354A"/>
    <w:rsid w:val="00D835B6"/>
    <w:rsid w:val="00D835C0"/>
    <w:rsid w:val="00D835DB"/>
    <w:rsid w:val="00D835EB"/>
    <w:rsid w:val="00D83619"/>
    <w:rsid w:val="00D83665"/>
    <w:rsid w:val="00D836B4"/>
    <w:rsid w:val="00D83701"/>
    <w:rsid w:val="00D83721"/>
    <w:rsid w:val="00D837A6"/>
    <w:rsid w:val="00D837CF"/>
    <w:rsid w:val="00D837D2"/>
    <w:rsid w:val="00D837DF"/>
    <w:rsid w:val="00D837E7"/>
    <w:rsid w:val="00D837EB"/>
    <w:rsid w:val="00D83864"/>
    <w:rsid w:val="00D83890"/>
    <w:rsid w:val="00D838B5"/>
    <w:rsid w:val="00D83927"/>
    <w:rsid w:val="00D83984"/>
    <w:rsid w:val="00D839B3"/>
    <w:rsid w:val="00D839CA"/>
    <w:rsid w:val="00D83A54"/>
    <w:rsid w:val="00D83A56"/>
    <w:rsid w:val="00D83B03"/>
    <w:rsid w:val="00D83B18"/>
    <w:rsid w:val="00D83B54"/>
    <w:rsid w:val="00D83B56"/>
    <w:rsid w:val="00D83B7C"/>
    <w:rsid w:val="00D83BD9"/>
    <w:rsid w:val="00D83BF9"/>
    <w:rsid w:val="00D83C26"/>
    <w:rsid w:val="00D83C2B"/>
    <w:rsid w:val="00D83C87"/>
    <w:rsid w:val="00D83CAB"/>
    <w:rsid w:val="00D83D55"/>
    <w:rsid w:val="00D83D7B"/>
    <w:rsid w:val="00D83D84"/>
    <w:rsid w:val="00D83DBD"/>
    <w:rsid w:val="00D83DCE"/>
    <w:rsid w:val="00D83EAC"/>
    <w:rsid w:val="00D83EAD"/>
    <w:rsid w:val="00D83F6D"/>
    <w:rsid w:val="00D83FB0"/>
    <w:rsid w:val="00D83FF2"/>
    <w:rsid w:val="00D84078"/>
    <w:rsid w:val="00D840B2"/>
    <w:rsid w:val="00D840C3"/>
    <w:rsid w:val="00D8411E"/>
    <w:rsid w:val="00D84125"/>
    <w:rsid w:val="00D84175"/>
    <w:rsid w:val="00D84197"/>
    <w:rsid w:val="00D8419F"/>
    <w:rsid w:val="00D84216"/>
    <w:rsid w:val="00D84233"/>
    <w:rsid w:val="00D84244"/>
    <w:rsid w:val="00D8432B"/>
    <w:rsid w:val="00D843B4"/>
    <w:rsid w:val="00D843C3"/>
    <w:rsid w:val="00D843D1"/>
    <w:rsid w:val="00D843F6"/>
    <w:rsid w:val="00D84407"/>
    <w:rsid w:val="00D84461"/>
    <w:rsid w:val="00D84468"/>
    <w:rsid w:val="00D84525"/>
    <w:rsid w:val="00D84562"/>
    <w:rsid w:val="00D8457B"/>
    <w:rsid w:val="00D8459E"/>
    <w:rsid w:val="00D845F7"/>
    <w:rsid w:val="00D84620"/>
    <w:rsid w:val="00D84652"/>
    <w:rsid w:val="00D84697"/>
    <w:rsid w:val="00D846C2"/>
    <w:rsid w:val="00D84729"/>
    <w:rsid w:val="00D84783"/>
    <w:rsid w:val="00D847C0"/>
    <w:rsid w:val="00D847CC"/>
    <w:rsid w:val="00D847CD"/>
    <w:rsid w:val="00D8480F"/>
    <w:rsid w:val="00D848F6"/>
    <w:rsid w:val="00D8490C"/>
    <w:rsid w:val="00D84919"/>
    <w:rsid w:val="00D8492A"/>
    <w:rsid w:val="00D849FF"/>
    <w:rsid w:val="00D84A06"/>
    <w:rsid w:val="00D84A07"/>
    <w:rsid w:val="00D84A5F"/>
    <w:rsid w:val="00D84A83"/>
    <w:rsid w:val="00D84A9C"/>
    <w:rsid w:val="00D84AAB"/>
    <w:rsid w:val="00D84ACB"/>
    <w:rsid w:val="00D84AFC"/>
    <w:rsid w:val="00D84B0F"/>
    <w:rsid w:val="00D84B5E"/>
    <w:rsid w:val="00D84B88"/>
    <w:rsid w:val="00D84C2D"/>
    <w:rsid w:val="00D84C7D"/>
    <w:rsid w:val="00D84CB2"/>
    <w:rsid w:val="00D84CD0"/>
    <w:rsid w:val="00D84D19"/>
    <w:rsid w:val="00D84D2E"/>
    <w:rsid w:val="00D84D44"/>
    <w:rsid w:val="00D84D78"/>
    <w:rsid w:val="00D84E02"/>
    <w:rsid w:val="00D84E69"/>
    <w:rsid w:val="00D84E7E"/>
    <w:rsid w:val="00D84E92"/>
    <w:rsid w:val="00D84EB0"/>
    <w:rsid w:val="00D84EE7"/>
    <w:rsid w:val="00D84F08"/>
    <w:rsid w:val="00D84FB5"/>
    <w:rsid w:val="00D84FC4"/>
    <w:rsid w:val="00D84FD1"/>
    <w:rsid w:val="00D84FEF"/>
    <w:rsid w:val="00D850CC"/>
    <w:rsid w:val="00D850D9"/>
    <w:rsid w:val="00D85133"/>
    <w:rsid w:val="00D8513A"/>
    <w:rsid w:val="00D8515E"/>
    <w:rsid w:val="00D851BE"/>
    <w:rsid w:val="00D851C3"/>
    <w:rsid w:val="00D851D2"/>
    <w:rsid w:val="00D851D3"/>
    <w:rsid w:val="00D851E9"/>
    <w:rsid w:val="00D8520D"/>
    <w:rsid w:val="00D85285"/>
    <w:rsid w:val="00D852A4"/>
    <w:rsid w:val="00D8534F"/>
    <w:rsid w:val="00D8536F"/>
    <w:rsid w:val="00D8543B"/>
    <w:rsid w:val="00D85474"/>
    <w:rsid w:val="00D854E7"/>
    <w:rsid w:val="00D85583"/>
    <w:rsid w:val="00D85613"/>
    <w:rsid w:val="00D8568B"/>
    <w:rsid w:val="00D8574F"/>
    <w:rsid w:val="00D8575A"/>
    <w:rsid w:val="00D857C2"/>
    <w:rsid w:val="00D857D2"/>
    <w:rsid w:val="00D858F0"/>
    <w:rsid w:val="00D8597C"/>
    <w:rsid w:val="00D859A1"/>
    <w:rsid w:val="00D859A8"/>
    <w:rsid w:val="00D859BB"/>
    <w:rsid w:val="00D859E4"/>
    <w:rsid w:val="00D85A00"/>
    <w:rsid w:val="00D85B52"/>
    <w:rsid w:val="00D85C0E"/>
    <w:rsid w:val="00D85C1A"/>
    <w:rsid w:val="00D85C9B"/>
    <w:rsid w:val="00D85CA0"/>
    <w:rsid w:val="00D85CC0"/>
    <w:rsid w:val="00D85D47"/>
    <w:rsid w:val="00D85D88"/>
    <w:rsid w:val="00D85D91"/>
    <w:rsid w:val="00D85DD4"/>
    <w:rsid w:val="00D85E37"/>
    <w:rsid w:val="00D85E56"/>
    <w:rsid w:val="00D85E6F"/>
    <w:rsid w:val="00D85E82"/>
    <w:rsid w:val="00D85E9A"/>
    <w:rsid w:val="00D85EE3"/>
    <w:rsid w:val="00D85EF6"/>
    <w:rsid w:val="00D85F40"/>
    <w:rsid w:val="00D85F4C"/>
    <w:rsid w:val="00D85F87"/>
    <w:rsid w:val="00D85FB4"/>
    <w:rsid w:val="00D85FE8"/>
    <w:rsid w:val="00D86031"/>
    <w:rsid w:val="00D86086"/>
    <w:rsid w:val="00D860E4"/>
    <w:rsid w:val="00D8612E"/>
    <w:rsid w:val="00D8615E"/>
    <w:rsid w:val="00D86180"/>
    <w:rsid w:val="00D86197"/>
    <w:rsid w:val="00D861B6"/>
    <w:rsid w:val="00D861BA"/>
    <w:rsid w:val="00D861C8"/>
    <w:rsid w:val="00D861EC"/>
    <w:rsid w:val="00D86239"/>
    <w:rsid w:val="00D8631C"/>
    <w:rsid w:val="00D8636D"/>
    <w:rsid w:val="00D86393"/>
    <w:rsid w:val="00D863B4"/>
    <w:rsid w:val="00D86456"/>
    <w:rsid w:val="00D8645F"/>
    <w:rsid w:val="00D8646E"/>
    <w:rsid w:val="00D8652C"/>
    <w:rsid w:val="00D8662B"/>
    <w:rsid w:val="00D86684"/>
    <w:rsid w:val="00D866E1"/>
    <w:rsid w:val="00D866EB"/>
    <w:rsid w:val="00D86713"/>
    <w:rsid w:val="00D8671C"/>
    <w:rsid w:val="00D8685D"/>
    <w:rsid w:val="00D8685F"/>
    <w:rsid w:val="00D868AE"/>
    <w:rsid w:val="00D868BA"/>
    <w:rsid w:val="00D868F9"/>
    <w:rsid w:val="00D86951"/>
    <w:rsid w:val="00D8695A"/>
    <w:rsid w:val="00D86983"/>
    <w:rsid w:val="00D869B1"/>
    <w:rsid w:val="00D86A1D"/>
    <w:rsid w:val="00D86A46"/>
    <w:rsid w:val="00D86A82"/>
    <w:rsid w:val="00D86AD4"/>
    <w:rsid w:val="00D86AD5"/>
    <w:rsid w:val="00D86AE8"/>
    <w:rsid w:val="00D86B32"/>
    <w:rsid w:val="00D86B51"/>
    <w:rsid w:val="00D86B65"/>
    <w:rsid w:val="00D86BA2"/>
    <w:rsid w:val="00D86C11"/>
    <w:rsid w:val="00D86C1C"/>
    <w:rsid w:val="00D86C44"/>
    <w:rsid w:val="00D86C47"/>
    <w:rsid w:val="00D86C7B"/>
    <w:rsid w:val="00D86CDD"/>
    <w:rsid w:val="00D86CEB"/>
    <w:rsid w:val="00D86D42"/>
    <w:rsid w:val="00D86D84"/>
    <w:rsid w:val="00D86DDC"/>
    <w:rsid w:val="00D86E1A"/>
    <w:rsid w:val="00D86E21"/>
    <w:rsid w:val="00D86E35"/>
    <w:rsid w:val="00D86E4C"/>
    <w:rsid w:val="00D86E71"/>
    <w:rsid w:val="00D86EDB"/>
    <w:rsid w:val="00D86EE1"/>
    <w:rsid w:val="00D86EF6"/>
    <w:rsid w:val="00D86F7C"/>
    <w:rsid w:val="00D86F8A"/>
    <w:rsid w:val="00D86F9F"/>
    <w:rsid w:val="00D86FAF"/>
    <w:rsid w:val="00D86FF7"/>
    <w:rsid w:val="00D87047"/>
    <w:rsid w:val="00D8704D"/>
    <w:rsid w:val="00D8705B"/>
    <w:rsid w:val="00D87069"/>
    <w:rsid w:val="00D870B5"/>
    <w:rsid w:val="00D870D3"/>
    <w:rsid w:val="00D871A0"/>
    <w:rsid w:val="00D871BB"/>
    <w:rsid w:val="00D871F2"/>
    <w:rsid w:val="00D87226"/>
    <w:rsid w:val="00D8723C"/>
    <w:rsid w:val="00D87306"/>
    <w:rsid w:val="00D87347"/>
    <w:rsid w:val="00D873FE"/>
    <w:rsid w:val="00D87430"/>
    <w:rsid w:val="00D8748A"/>
    <w:rsid w:val="00D874BD"/>
    <w:rsid w:val="00D874CE"/>
    <w:rsid w:val="00D874FA"/>
    <w:rsid w:val="00D874FE"/>
    <w:rsid w:val="00D87593"/>
    <w:rsid w:val="00D875B7"/>
    <w:rsid w:val="00D87609"/>
    <w:rsid w:val="00D87679"/>
    <w:rsid w:val="00D87684"/>
    <w:rsid w:val="00D876D7"/>
    <w:rsid w:val="00D877A4"/>
    <w:rsid w:val="00D877DD"/>
    <w:rsid w:val="00D87813"/>
    <w:rsid w:val="00D8782D"/>
    <w:rsid w:val="00D87850"/>
    <w:rsid w:val="00D878AD"/>
    <w:rsid w:val="00D878F9"/>
    <w:rsid w:val="00D8792E"/>
    <w:rsid w:val="00D8797F"/>
    <w:rsid w:val="00D8799D"/>
    <w:rsid w:val="00D879B8"/>
    <w:rsid w:val="00D879BB"/>
    <w:rsid w:val="00D87A6B"/>
    <w:rsid w:val="00D87AC2"/>
    <w:rsid w:val="00D87ADB"/>
    <w:rsid w:val="00D87AF4"/>
    <w:rsid w:val="00D87B15"/>
    <w:rsid w:val="00D87B32"/>
    <w:rsid w:val="00D87B3B"/>
    <w:rsid w:val="00D87B5D"/>
    <w:rsid w:val="00D87BC9"/>
    <w:rsid w:val="00D87C5D"/>
    <w:rsid w:val="00D87C72"/>
    <w:rsid w:val="00D87C7F"/>
    <w:rsid w:val="00D87C9E"/>
    <w:rsid w:val="00D87CA7"/>
    <w:rsid w:val="00D87CBA"/>
    <w:rsid w:val="00D87CC2"/>
    <w:rsid w:val="00D87D4B"/>
    <w:rsid w:val="00D87D86"/>
    <w:rsid w:val="00D87DAB"/>
    <w:rsid w:val="00D87DB4"/>
    <w:rsid w:val="00D87DC5"/>
    <w:rsid w:val="00D87DC7"/>
    <w:rsid w:val="00D87E2A"/>
    <w:rsid w:val="00D87ECC"/>
    <w:rsid w:val="00D87F02"/>
    <w:rsid w:val="00D87F13"/>
    <w:rsid w:val="00D87F68"/>
    <w:rsid w:val="00D87F99"/>
    <w:rsid w:val="00D87FE5"/>
    <w:rsid w:val="00D87FE6"/>
    <w:rsid w:val="00D9000E"/>
    <w:rsid w:val="00D90024"/>
    <w:rsid w:val="00D90026"/>
    <w:rsid w:val="00D90044"/>
    <w:rsid w:val="00D900B5"/>
    <w:rsid w:val="00D9014A"/>
    <w:rsid w:val="00D90174"/>
    <w:rsid w:val="00D9019A"/>
    <w:rsid w:val="00D901C3"/>
    <w:rsid w:val="00D90200"/>
    <w:rsid w:val="00D9022E"/>
    <w:rsid w:val="00D90230"/>
    <w:rsid w:val="00D90234"/>
    <w:rsid w:val="00D90237"/>
    <w:rsid w:val="00D90269"/>
    <w:rsid w:val="00D9031A"/>
    <w:rsid w:val="00D9031C"/>
    <w:rsid w:val="00D90346"/>
    <w:rsid w:val="00D903AB"/>
    <w:rsid w:val="00D903BF"/>
    <w:rsid w:val="00D903FD"/>
    <w:rsid w:val="00D9044F"/>
    <w:rsid w:val="00D90473"/>
    <w:rsid w:val="00D90540"/>
    <w:rsid w:val="00D90551"/>
    <w:rsid w:val="00D905C3"/>
    <w:rsid w:val="00D9060A"/>
    <w:rsid w:val="00D90688"/>
    <w:rsid w:val="00D906AC"/>
    <w:rsid w:val="00D906CD"/>
    <w:rsid w:val="00D9070F"/>
    <w:rsid w:val="00D90811"/>
    <w:rsid w:val="00D9083C"/>
    <w:rsid w:val="00D90869"/>
    <w:rsid w:val="00D90947"/>
    <w:rsid w:val="00D90953"/>
    <w:rsid w:val="00D90974"/>
    <w:rsid w:val="00D90981"/>
    <w:rsid w:val="00D909A2"/>
    <w:rsid w:val="00D90A47"/>
    <w:rsid w:val="00D90A55"/>
    <w:rsid w:val="00D90A78"/>
    <w:rsid w:val="00D90AE1"/>
    <w:rsid w:val="00D90B00"/>
    <w:rsid w:val="00D90B32"/>
    <w:rsid w:val="00D90B7A"/>
    <w:rsid w:val="00D90C5D"/>
    <w:rsid w:val="00D90C69"/>
    <w:rsid w:val="00D90C79"/>
    <w:rsid w:val="00D90D37"/>
    <w:rsid w:val="00D90DD5"/>
    <w:rsid w:val="00D90E7E"/>
    <w:rsid w:val="00D90E95"/>
    <w:rsid w:val="00D90EAC"/>
    <w:rsid w:val="00D90ED3"/>
    <w:rsid w:val="00D90ED8"/>
    <w:rsid w:val="00D90EDA"/>
    <w:rsid w:val="00D90F11"/>
    <w:rsid w:val="00D90F5A"/>
    <w:rsid w:val="00D90F7C"/>
    <w:rsid w:val="00D91031"/>
    <w:rsid w:val="00D91052"/>
    <w:rsid w:val="00D910E5"/>
    <w:rsid w:val="00D910FE"/>
    <w:rsid w:val="00D91150"/>
    <w:rsid w:val="00D91257"/>
    <w:rsid w:val="00D912A0"/>
    <w:rsid w:val="00D912C2"/>
    <w:rsid w:val="00D9133E"/>
    <w:rsid w:val="00D913CD"/>
    <w:rsid w:val="00D9140D"/>
    <w:rsid w:val="00D9141B"/>
    <w:rsid w:val="00D91465"/>
    <w:rsid w:val="00D91468"/>
    <w:rsid w:val="00D9147B"/>
    <w:rsid w:val="00D9148C"/>
    <w:rsid w:val="00D914AD"/>
    <w:rsid w:val="00D914B7"/>
    <w:rsid w:val="00D9150B"/>
    <w:rsid w:val="00D91582"/>
    <w:rsid w:val="00D915AF"/>
    <w:rsid w:val="00D915BF"/>
    <w:rsid w:val="00D915C9"/>
    <w:rsid w:val="00D91654"/>
    <w:rsid w:val="00D9165E"/>
    <w:rsid w:val="00D916A1"/>
    <w:rsid w:val="00D916CA"/>
    <w:rsid w:val="00D916E3"/>
    <w:rsid w:val="00D916EE"/>
    <w:rsid w:val="00D91708"/>
    <w:rsid w:val="00D9171D"/>
    <w:rsid w:val="00D917E0"/>
    <w:rsid w:val="00D9180B"/>
    <w:rsid w:val="00D918A0"/>
    <w:rsid w:val="00D918AB"/>
    <w:rsid w:val="00D918B6"/>
    <w:rsid w:val="00D918BB"/>
    <w:rsid w:val="00D918E4"/>
    <w:rsid w:val="00D91920"/>
    <w:rsid w:val="00D91944"/>
    <w:rsid w:val="00D91A27"/>
    <w:rsid w:val="00D91AA8"/>
    <w:rsid w:val="00D91AB6"/>
    <w:rsid w:val="00D91AC0"/>
    <w:rsid w:val="00D91AC2"/>
    <w:rsid w:val="00D91ACA"/>
    <w:rsid w:val="00D91ACE"/>
    <w:rsid w:val="00D91AD9"/>
    <w:rsid w:val="00D91B01"/>
    <w:rsid w:val="00D91B3F"/>
    <w:rsid w:val="00D91B6F"/>
    <w:rsid w:val="00D91B75"/>
    <w:rsid w:val="00D91B9E"/>
    <w:rsid w:val="00D91BD6"/>
    <w:rsid w:val="00D91C34"/>
    <w:rsid w:val="00D91C92"/>
    <w:rsid w:val="00D91C93"/>
    <w:rsid w:val="00D91C9C"/>
    <w:rsid w:val="00D91CC4"/>
    <w:rsid w:val="00D91CD2"/>
    <w:rsid w:val="00D91CFD"/>
    <w:rsid w:val="00D91D41"/>
    <w:rsid w:val="00D91DD9"/>
    <w:rsid w:val="00D91E13"/>
    <w:rsid w:val="00D91E77"/>
    <w:rsid w:val="00D91EC1"/>
    <w:rsid w:val="00D91F87"/>
    <w:rsid w:val="00D9208E"/>
    <w:rsid w:val="00D920B2"/>
    <w:rsid w:val="00D920B8"/>
    <w:rsid w:val="00D920C6"/>
    <w:rsid w:val="00D9211D"/>
    <w:rsid w:val="00D92256"/>
    <w:rsid w:val="00D9228B"/>
    <w:rsid w:val="00D922AC"/>
    <w:rsid w:val="00D922EA"/>
    <w:rsid w:val="00D92306"/>
    <w:rsid w:val="00D9231E"/>
    <w:rsid w:val="00D92378"/>
    <w:rsid w:val="00D92444"/>
    <w:rsid w:val="00D9247A"/>
    <w:rsid w:val="00D92481"/>
    <w:rsid w:val="00D92492"/>
    <w:rsid w:val="00D924D4"/>
    <w:rsid w:val="00D924E6"/>
    <w:rsid w:val="00D924FB"/>
    <w:rsid w:val="00D92547"/>
    <w:rsid w:val="00D92566"/>
    <w:rsid w:val="00D9259F"/>
    <w:rsid w:val="00D9264F"/>
    <w:rsid w:val="00D92654"/>
    <w:rsid w:val="00D92681"/>
    <w:rsid w:val="00D926C7"/>
    <w:rsid w:val="00D926EA"/>
    <w:rsid w:val="00D92744"/>
    <w:rsid w:val="00D92789"/>
    <w:rsid w:val="00D927B3"/>
    <w:rsid w:val="00D927FD"/>
    <w:rsid w:val="00D92803"/>
    <w:rsid w:val="00D9282E"/>
    <w:rsid w:val="00D92862"/>
    <w:rsid w:val="00D928F6"/>
    <w:rsid w:val="00D92979"/>
    <w:rsid w:val="00D929A9"/>
    <w:rsid w:val="00D929F7"/>
    <w:rsid w:val="00D92A0A"/>
    <w:rsid w:val="00D92A34"/>
    <w:rsid w:val="00D92AA3"/>
    <w:rsid w:val="00D92AFB"/>
    <w:rsid w:val="00D92AFC"/>
    <w:rsid w:val="00D92B2F"/>
    <w:rsid w:val="00D92B6C"/>
    <w:rsid w:val="00D92BA3"/>
    <w:rsid w:val="00D92BCC"/>
    <w:rsid w:val="00D92C71"/>
    <w:rsid w:val="00D92C8D"/>
    <w:rsid w:val="00D92C94"/>
    <w:rsid w:val="00D92CE2"/>
    <w:rsid w:val="00D92CE6"/>
    <w:rsid w:val="00D92D07"/>
    <w:rsid w:val="00D92D8B"/>
    <w:rsid w:val="00D92DDB"/>
    <w:rsid w:val="00D92E4E"/>
    <w:rsid w:val="00D92E91"/>
    <w:rsid w:val="00D92EA8"/>
    <w:rsid w:val="00D92EB2"/>
    <w:rsid w:val="00D92EB6"/>
    <w:rsid w:val="00D92F01"/>
    <w:rsid w:val="00D92F23"/>
    <w:rsid w:val="00D92F4B"/>
    <w:rsid w:val="00D92FAB"/>
    <w:rsid w:val="00D92FCA"/>
    <w:rsid w:val="00D92FD4"/>
    <w:rsid w:val="00D93040"/>
    <w:rsid w:val="00D93045"/>
    <w:rsid w:val="00D9307E"/>
    <w:rsid w:val="00D9308A"/>
    <w:rsid w:val="00D931DA"/>
    <w:rsid w:val="00D9324D"/>
    <w:rsid w:val="00D93256"/>
    <w:rsid w:val="00D93284"/>
    <w:rsid w:val="00D93297"/>
    <w:rsid w:val="00D932C2"/>
    <w:rsid w:val="00D932CA"/>
    <w:rsid w:val="00D9331A"/>
    <w:rsid w:val="00D9333E"/>
    <w:rsid w:val="00D933E8"/>
    <w:rsid w:val="00D93458"/>
    <w:rsid w:val="00D934E3"/>
    <w:rsid w:val="00D9351A"/>
    <w:rsid w:val="00D9359D"/>
    <w:rsid w:val="00D935FB"/>
    <w:rsid w:val="00D93680"/>
    <w:rsid w:val="00D9368C"/>
    <w:rsid w:val="00D936FD"/>
    <w:rsid w:val="00D9370B"/>
    <w:rsid w:val="00D93718"/>
    <w:rsid w:val="00D9375F"/>
    <w:rsid w:val="00D93771"/>
    <w:rsid w:val="00D93790"/>
    <w:rsid w:val="00D93846"/>
    <w:rsid w:val="00D93874"/>
    <w:rsid w:val="00D938A5"/>
    <w:rsid w:val="00D938BC"/>
    <w:rsid w:val="00D9393D"/>
    <w:rsid w:val="00D939A3"/>
    <w:rsid w:val="00D939DE"/>
    <w:rsid w:val="00D93B0C"/>
    <w:rsid w:val="00D93B29"/>
    <w:rsid w:val="00D93BB7"/>
    <w:rsid w:val="00D93BC8"/>
    <w:rsid w:val="00D93C16"/>
    <w:rsid w:val="00D93CEF"/>
    <w:rsid w:val="00D93CF1"/>
    <w:rsid w:val="00D93CF7"/>
    <w:rsid w:val="00D93CFA"/>
    <w:rsid w:val="00D93D24"/>
    <w:rsid w:val="00D93D86"/>
    <w:rsid w:val="00D93DD7"/>
    <w:rsid w:val="00D93DF1"/>
    <w:rsid w:val="00D93E01"/>
    <w:rsid w:val="00D93E28"/>
    <w:rsid w:val="00D93E70"/>
    <w:rsid w:val="00D93EBC"/>
    <w:rsid w:val="00D93EF7"/>
    <w:rsid w:val="00D93F50"/>
    <w:rsid w:val="00D93F5E"/>
    <w:rsid w:val="00D93FA9"/>
    <w:rsid w:val="00D93FFA"/>
    <w:rsid w:val="00D9400E"/>
    <w:rsid w:val="00D9402B"/>
    <w:rsid w:val="00D9406A"/>
    <w:rsid w:val="00D9407D"/>
    <w:rsid w:val="00D940F4"/>
    <w:rsid w:val="00D9418A"/>
    <w:rsid w:val="00D94206"/>
    <w:rsid w:val="00D9429F"/>
    <w:rsid w:val="00D942AC"/>
    <w:rsid w:val="00D9432C"/>
    <w:rsid w:val="00D943AF"/>
    <w:rsid w:val="00D943DE"/>
    <w:rsid w:val="00D944C6"/>
    <w:rsid w:val="00D9450D"/>
    <w:rsid w:val="00D94552"/>
    <w:rsid w:val="00D94560"/>
    <w:rsid w:val="00D94585"/>
    <w:rsid w:val="00D94593"/>
    <w:rsid w:val="00D94597"/>
    <w:rsid w:val="00D945B4"/>
    <w:rsid w:val="00D94620"/>
    <w:rsid w:val="00D9466B"/>
    <w:rsid w:val="00D946BB"/>
    <w:rsid w:val="00D946C1"/>
    <w:rsid w:val="00D946D4"/>
    <w:rsid w:val="00D9473B"/>
    <w:rsid w:val="00D94744"/>
    <w:rsid w:val="00D94762"/>
    <w:rsid w:val="00D94813"/>
    <w:rsid w:val="00D9483F"/>
    <w:rsid w:val="00D94880"/>
    <w:rsid w:val="00D948B8"/>
    <w:rsid w:val="00D948C8"/>
    <w:rsid w:val="00D948D5"/>
    <w:rsid w:val="00D94916"/>
    <w:rsid w:val="00D949AC"/>
    <w:rsid w:val="00D949B8"/>
    <w:rsid w:val="00D949E3"/>
    <w:rsid w:val="00D94A13"/>
    <w:rsid w:val="00D94A8F"/>
    <w:rsid w:val="00D94A9F"/>
    <w:rsid w:val="00D94AAB"/>
    <w:rsid w:val="00D94B4C"/>
    <w:rsid w:val="00D94B56"/>
    <w:rsid w:val="00D94B6E"/>
    <w:rsid w:val="00D94BBC"/>
    <w:rsid w:val="00D94BF6"/>
    <w:rsid w:val="00D94C17"/>
    <w:rsid w:val="00D94C34"/>
    <w:rsid w:val="00D94C77"/>
    <w:rsid w:val="00D94CAF"/>
    <w:rsid w:val="00D94CD4"/>
    <w:rsid w:val="00D94D08"/>
    <w:rsid w:val="00D94D0E"/>
    <w:rsid w:val="00D94D1D"/>
    <w:rsid w:val="00D94D4B"/>
    <w:rsid w:val="00D94DB6"/>
    <w:rsid w:val="00D94DC1"/>
    <w:rsid w:val="00D94DCF"/>
    <w:rsid w:val="00D94E55"/>
    <w:rsid w:val="00D94E76"/>
    <w:rsid w:val="00D94E9A"/>
    <w:rsid w:val="00D94EAE"/>
    <w:rsid w:val="00D94ED0"/>
    <w:rsid w:val="00D94F0D"/>
    <w:rsid w:val="00D94F63"/>
    <w:rsid w:val="00D94F66"/>
    <w:rsid w:val="00D94F79"/>
    <w:rsid w:val="00D94F7D"/>
    <w:rsid w:val="00D94F85"/>
    <w:rsid w:val="00D94FA6"/>
    <w:rsid w:val="00D95043"/>
    <w:rsid w:val="00D95060"/>
    <w:rsid w:val="00D95156"/>
    <w:rsid w:val="00D9519D"/>
    <w:rsid w:val="00D951C3"/>
    <w:rsid w:val="00D9520E"/>
    <w:rsid w:val="00D95213"/>
    <w:rsid w:val="00D9523E"/>
    <w:rsid w:val="00D9528A"/>
    <w:rsid w:val="00D95318"/>
    <w:rsid w:val="00D953A8"/>
    <w:rsid w:val="00D953C1"/>
    <w:rsid w:val="00D95408"/>
    <w:rsid w:val="00D95410"/>
    <w:rsid w:val="00D95420"/>
    <w:rsid w:val="00D9547A"/>
    <w:rsid w:val="00D95481"/>
    <w:rsid w:val="00D954A3"/>
    <w:rsid w:val="00D95550"/>
    <w:rsid w:val="00D95560"/>
    <w:rsid w:val="00D95577"/>
    <w:rsid w:val="00D95590"/>
    <w:rsid w:val="00D956B9"/>
    <w:rsid w:val="00D956C2"/>
    <w:rsid w:val="00D956E5"/>
    <w:rsid w:val="00D956F7"/>
    <w:rsid w:val="00D95716"/>
    <w:rsid w:val="00D9574A"/>
    <w:rsid w:val="00D95798"/>
    <w:rsid w:val="00D957A4"/>
    <w:rsid w:val="00D957FA"/>
    <w:rsid w:val="00D95839"/>
    <w:rsid w:val="00D9583B"/>
    <w:rsid w:val="00D9587D"/>
    <w:rsid w:val="00D95965"/>
    <w:rsid w:val="00D95994"/>
    <w:rsid w:val="00D959A9"/>
    <w:rsid w:val="00D95AFF"/>
    <w:rsid w:val="00D95B0F"/>
    <w:rsid w:val="00D95B4F"/>
    <w:rsid w:val="00D95B7B"/>
    <w:rsid w:val="00D95C00"/>
    <w:rsid w:val="00D95C72"/>
    <w:rsid w:val="00D95C85"/>
    <w:rsid w:val="00D95C94"/>
    <w:rsid w:val="00D95CA2"/>
    <w:rsid w:val="00D95CA4"/>
    <w:rsid w:val="00D95D1F"/>
    <w:rsid w:val="00D95DD7"/>
    <w:rsid w:val="00D95E1B"/>
    <w:rsid w:val="00D95EA8"/>
    <w:rsid w:val="00D95ECA"/>
    <w:rsid w:val="00D95ECC"/>
    <w:rsid w:val="00D95EE7"/>
    <w:rsid w:val="00D95EEA"/>
    <w:rsid w:val="00D95F0B"/>
    <w:rsid w:val="00D95F11"/>
    <w:rsid w:val="00D95F12"/>
    <w:rsid w:val="00D95F14"/>
    <w:rsid w:val="00D95F55"/>
    <w:rsid w:val="00D95F63"/>
    <w:rsid w:val="00D95FA7"/>
    <w:rsid w:val="00D96127"/>
    <w:rsid w:val="00D961AF"/>
    <w:rsid w:val="00D961CF"/>
    <w:rsid w:val="00D962E4"/>
    <w:rsid w:val="00D963A5"/>
    <w:rsid w:val="00D963E4"/>
    <w:rsid w:val="00D964B1"/>
    <w:rsid w:val="00D964E1"/>
    <w:rsid w:val="00D96539"/>
    <w:rsid w:val="00D9657E"/>
    <w:rsid w:val="00D96583"/>
    <w:rsid w:val="00D965AB"/>
    <w:rsid w:val="00D96622"/>
    <w:rsid w:val="00D9663C"/>
    <w:rsid w:val="00D96674"/>
    <w:rsid w:val="00D9667C"/>
    <w:rsid w:val="00D966F7"/>
    <w:rsid w:val="00D9671E"/>
    <w:rsid w:val="00D96752"/>
    <w:rsid w:val="00D967DE"/>
    <w:rsid w:val="00D967EB"/>
    <w:rsid w:val="00D96840"/>
    <w:rsid w:val="00D968DD"/>
    <w:rsid w:val="00D968ED"/>
    <w:rsid w:val="00D968EE"/>
    <w:rsid w:val="00D968F6"/>
    <w:rsid w:val="00D96918"/>
    <w:rsid w:val="00D969A0"/>
    <w:rsid w:val="00D969D3"/>
    <w:rsid w:val="00D96A3C"/>
    <w:rsid w:val="00D96AA8"/>
    <w:rsid w:val="00D96AF7"/>
    <w:rsid w:val="00D96B29"/>
    <w:rsid w:val="00D96B2B"/>
    <w:rsid w:val="00D96B31"/>
    <w:rsid w:val="00D96B34"/>
    <w:rsid w:val="00D96B7B"/>
    <w:rsid w:val="00D96BDB"/>
    <w:rsid w:val="00D96BDE"/>
    <w:rsid w:val="00D96C25"/>
    <w:rsid w:val="00D96C57"/>
    <w:rsid w:val="00D96C58"/>
    <w:rsid w:val="00D96C97"/>
    <w:rsid w:val="00D96C9B"/>
    <w:rsid w:val="00D96CA0"/>
    <w:rsid w:val="00D96D1D"/>
    <w:rsid w:val="00D96D1E"/>
    <w:rsid w:val="00D96D37"/>
    <w:rsid w:val="00D96DAD"/>
    <w:rsid w:val="00D96E1A"/>
    <w:rsid w:val="00D96E23"/>
    <w:rsid w:val="00D96E98"/>
    <w:rsid w:val="00D96EA4"/>
    <w:rsid w:val="00D96ED9"/>
    <w:rsid w:val="00D96F2B"/>
    <w:rsid w:val="00D96F38"/>
    <w:rsid w:val="00D96FA8"/>
    <w:rsid w:val="00D96FD7"/>
    <w:rsid w:val="00D9702B"/>
    <w:rsid w:val="00D97171"/>
    <w:rsid w:val="00D971A7"/>
    <w:rsid w:val="00D971C8"/>
    <w:rsid w:val="00D97204"/>
    <w:rsid w:val="00D9721B"/>
    <w:rsid w:val="00D9722E"/>
    <w:rsid w:val="00D9727E"/>
    <w:rsid w:val="00D972EB"/>
    <w:rsid w:val="00D97307"/>
    <w:rsid w:val="00D97338"/>
    <w:rsid w:val="00D973EA"/>
    <w:rsid w:val="00D97403"/>
    <w:rsid w:val="00D974C6"/>
    <w:rsid w:val="00D974E0"/>
    <w:rsid w:val="00D974E2"/>
    <w:rsid w:val="00D974F3"/>
    <w:rsid w:val="00D97505"/>
    <w:rsid w:val="00D9750F"/>
    <w:rsid w:val="00D9751F"/>
    <w:rsid w:val="00D975AE"/>
    <w:rsid w:val="00D9763E"/>
    <w:rsid w:val="00D97651"/>
    <w:rsid w:val="00D976B7"/>
    <w:rsid w:val="00D976DC"/>
    <w:rsid w:val="00D9774E"/>
    <w:rsid w:val="00D9778F"/>
    <w:rsid w:val="00D977BD"/>
    <w:rsid w:val="00D977C4"/>
    <w:rsid w:val="00D977F0"/>
    <w:rsid w:val="00D977F6"/>
    <w:rsid w:val="00D977FE"/>
    <w:rsid w:val="00D97831"/>
    <w:rsid w:val="00D9783D"/>
    <w:rsid w:val="00D9784F"/>
    <w:rsid w:val="00D97855"/>
    <w:rsid w:val="00D9790D"/>
    <w:rsid w:val="00D97943"/>
    <w:rsid w:val="00D979AC"/>
    <w:rsid w:val="00D979B8"/>
    <w:rsid w:val="00D97A07"/>
    <w:rsid w:val="00D97A2F"/>
    <w:rsid w:val="00D97ABA"/>
    <w:rsid w:val="00D97AD0"/>
    <w:rsid w:val="00D97B5E"/>
    <w:rsid w:val="00D97B7E"/>
    <w:rsid w:val="00D97B81"/>
    <w:rsid w:val="00D97B9E"/>
    <w:rsid w:val="00D97C21"/>
    <w:rsid w:val="00D97C6F"/>
    <w:rsid w:val="00D97CAE"/>
    <w:rsid w:val="00D97CD4"/>
    <w:rsid w:val="00D97D12"/>
    <w:rsid w:val="00D97D44"/>
    <w:rsid w:val="00D97DD7"/>
    <w:rsid w:val="00D97E7C"/>
    <w:rsid w:val="00D97E7E"/>
    <w:rsid w:val="00D97ECE"/>
    <w:rsid w:val="00D97FAC"/>
    <w:rsid w:val="00DA000F"/>
    <w:rsid w:val="00DA0064"/>
    <w:rsid w:val="00DA00C5"/>
    <w:rsid w:val="00DA00C7"/>
    <w:rsid w:val="00DA0178"/>
    <w:rsid w:val="00DA018A"/>
    <w:rsid w:val="00DA01CD"/>
    <w:rsid w:val="00DA02E4"/>
    <w:rsid w:val="00DA031C"/>
    <w:rsid w:val="00DA0340"/>
    <w:rsid w:val="00DA03C9"/>
    <w:rsid w:val="00DA03CF"/>
    <w:rsid w:val="00DA048D"/>
    <w:rsid w:val="00DA04A5"/>
    <w:rsid w:val="00DA04A6"/>
    <w:rsid w:val="00DA0649"/>
    <w:rsid w:val="00DA066B"/>
    <w:rsid w:val="00DA06BD"/>
    <w:rsid w:val="00DA06DF"/>
    <w:rsid w:val="00DA0707"/>
    <w:rsid w:val="00DA07A6"/>
    <w:rsid w:val="00DA07BD"/>
    <w:rsid w:val="00DA08F5"/>
    <w:rsid w:val="00DA0905"/>
    <w:rsid w:val="00DA090C"/>
    <w:rsid w:val="00DA096F"/>
    <w:rsid w:val="00DA0974"/>
    <w:rsid w:val="00DA09B0"/>
    <w:rsid w:val="00DA09DB"/>
    <w:rsid w:val="00DA0A11"/>
    <w:rsid w:val="00DA0A14"/>
    <w:rsid w:val="00DA0A2B"/>
    <w:rsid w:val="00DA0A5A"/>
    <w:rsid w:val="00DA0A5C"/>
    <w:rsid w:val="00DA0A60"/>
    <w:rsid w:val="00DA0A6D"/>
    <w:rsid w:val="00DA0A82"/>
    <w:rsid w:val="00DA0A98"/>
    <w:rsid w:val="00DA0AE6"/>
    <w:rsid w:val="00DA0B03"/>
    <w:rsid w:val="00DA0B06"/>
    <w:rsid w:val="00DA0B14"/>
    <w:rsid w:val="00DA0C03"/>
    <w:rsid w:val="00DA0C67"/>
    <w:rsid w:val="00DA0CE3"/>
    <w:rsid w:val="00DA0D13"/>
    <w:rsid w:val="00DA0D3F"/>
    <w:rsid w:val="00DA0E03"/>
    <w:rsid w:val="00DA0E4B"/>
    <w:rsid w:val="00DA0EB3"/>
    <w:rsid w:val="00DA0EED"/>
    <w:rsid w:val="00DA0F02"/>
    <w:rsid w:val="00DA0F4B"/>
    <w:rsid w:val="00DA0FA8"/>
    <w:rsid w:val="00DA0FAF"/>
    <w:rsid w:val="00DA0FBD"/>
    <w:rsid w:val="00DA0FCA"/>
    <w:rsid w:val="00DA0FE7"/>
    <w:rsid w:val="00DA0FED"/>
    <w:rsid w:val="00DA1013"/>
    <w:rsid w:val="00DA1017"/>
    <w:rsid w:val="00DA1042"/>
    <w:rsid w:val="00DA1085"/>
    <w:rsid w:val="00DA10DC"/>
    <w:rsid w:val="00DA10E4"/>
    <w:rsid w:val="00DA1130"/>
    <w:rsid w:val="00DA113F"/>
    <w:rsid w:val="00DA1177"/>
    <w:rsid w:val="00DA11D3"/>
    <w:rsid w:val="00DA12B3"/>
    <w:rsid w:val="00DA12EC"/>
    <w:rsid w:val="00DA1314"/>
    <w:rsid w:val="00DA133A"/>
    <w:rsid w:val="00DA1368"/>
    <w:rsid w:val="00DA1383"/>
    <w:rsid w:val="00DA13FA"/>
    <w:rsid w:val="00DA1420"/>
    <w:rsid w:val="00DA1446"/>
    <w:rsid w:val="00DA14C0"/>
    <w:rsid w:val="00DA14CF"/>
    <w:rsid w:val="00DA1584"/>
    <w:rsid w:val="00DA15E7"/>
    <w:rsid w:val="00DA1628"/>
    <w:rsid w:val="00DA162F"/>
    <w:rsid w:val="00DA1637"/>
    <w:rsid w:val="00DA1699"/>
    <w:rsid w:val="00DA1781"/>
    <w:rsid w:val="00DA17BA"/>
    <w:rsid w:val="00DA17BD"/>
    <w:rsid w:val="00DA17C1"/>
    <w:rsid w:val="00DA17EF"/>
    <w:rsid w:val="00DA182F"/>
    <w:rsid w:val="00DA1891"/>
    <w:rsid w:val="00DA1898"/>
    <w:rsid w:val="00DA18B3"/>
    <w:rsid w:val="00DA18C1"/>
    <w:rsid w:val="00DA1910"/>
    <w:rsid w:val="00DA1937"/>
    <w:rsid w:val="00DA193D"/>
    <w:rsid w:val="00DA1997"/>
    <w:rsid w:val="00DA199D"/>
    <w:rsid w:val="00DA19A5"/>
    <w:rsid w:val="00DA19A8"/>
    <w:rsid w:val="00DA19D1"/>
    <w:rsid w:val="00DA1A36"/>
    <w:rsid w:val="00DA1A61"/>
    <w:rsid w:val="00DA1A72"/>
    <w:rsid w:val="00DA1A78"/>
    <w:rsid w:val="00DA1AFD"/>
    <w:rsid w:val="00DA1B2B"/>
    <w:rsid w:val="00DA1B7B"/>
    <w:rsid w:val="00DA1B82"/>
    <w:rsid w:val="00DA1BAF"/>
    <w:rsid w:val="00DA1BD5"/>
    <w:rsid w:val="00DA1BEA"/>
    <w:rsid w:val="00DA1C25"/>
    <w:rsid w:val="00DA1C2F"/>
    <w:rsid w:val="00DA1C4F"/>
    <w:rsid w:val="00DA1C58"/>
    <w:rsid w:val="00DA1CF4"/>
    <w:rsid w:val="00DA1D1C"/>
    <w:rsid w:val="00DA1DAA"/>
    <w:rsid w:val="00DA1DD6"/>
    <w:rsid w:val="00DA1E1D"/>
    <w:rsid w:val="00DA1E55"/>
    <w:rsid w:val="00DA1EAF"/>
    <w:rsid w:val="00DA1EE1"/>
    <w:rsid w:val="00DA1EE3"/>
    <w:rsid w:val="00DA1F3B"/>
    <w:rsid w:val="00DA1F50"/>
    <w:rsid w:val="00DA1F89"/>
    <w:rsid w:val="00DA20DE"/>
    <w:rsid w:val="00DA20EA"/>
    <w:rsid w:val="00DA210A"/>
    <w:rsid w:val="00DA2140"/>
    <w:rsid w:val="00DA214D"/>
    <w:rsid w:val="00DA215C"/>
    <w:rsid w:val="00DA21B5"/>
    <w:rsid w:val="00DA2279"/>
    <w:rsid w:val="00DA2284"/>
    <w:rsid w:val="00DA22A1"/>
    <w:rsid w:val="00DA2307"/>
    <w:rsid w:val="00DA2312"/>
    <w:rsid w:val="00DA2393"/>
    <w:rsid w:val="00DA23DB"/>
    <w:rsid w:val="00DA241C"/>
    <w:rsid w:val="00DA242A"/>
    <w:rsid w:val="00DA245D"/>
    <w:rsid w:val="00DA2475"/>
    <w:rsid w:val="00DA24A7"/>
    <w:rsid w:val="00DA24D0"/>
    <w:rsid w:val="00DA24F2"/>
    <w:rsid w:val="00DA2562"/>
    <w:rsid w:val="00DA2566"/>
    <w:rsid w:val="00DA257A"/>
    <w:rsid w:val="00DA25D6"/>
    <w:rsid w:val="00DA273D"/>
    <w:rsid w:val="00DA27E1"/>
    <w:rsid w:val="00DA28EF"/>
    <w:rsid w:val="00DA2926"/>
    <w:rsid w:val="00DA2969"/>
    <w:rsid w:val="00DA2993"/>
    <w:rsid w:val="00DA29BA"/>
    <w:rsid w:val="00DA29D5"/>
    <w:rsid w:val="00DA29E8"/>
    <w:rsid w:val="00DA2AA2"/>
    <w:rsid w:val="00DA2AB4"/>
    <w:rsid w:val="00DA2ABF"/>
    <w:rsid w:val="00DA2B63"/>
    <w:rsid w:val="00DA2C2F"/>
    <w:rsid w:val="00DA2C5E"/>
    <w:rsid w:val="00DA2C61"/>
    <w:rsid w:val="00DA2CD2"/>
    <w:rsid w:val="00DA2CD6"/>
    <w:rsid w:val="00DA2CF4"/>
    <w:rsid w:val="00DA2D10"/>
    <w:rsid w:val="00DA2DB9"/>
    <w:rsid w:val="00DA2E38"/>
    <w:rsid w:val="00DA2EC8"/>
    <w:rsid w:val="00DA2F35"/>
    <w:rsid w:val="00DA2F49"/>
    <w:rsid w:val="00DA2F92"/>
    <w:rsid w:val="00DA2FB5"/>
    <w:rsid w:val="00DA2FB8"/>
    <w:rsid w:val="00DA2FED"/>
    <w:rsid w:val="00DA3004"/>
    <w:rsid w:val="00DA3007"/>
    <w:rsid w:val="00DA3018"/>
    <w:rsid w:val="00DA30B3"/>
    <w:rsid w:val="00DA30FA"/>
    <w:rsid w:val="00DA31BC"/>
    <w:rsid w:val="00DA32E3"/>
    <w:rsid w:val="00DA3322"/>
    <w:rsid w:val="00DA337F"/>
    <w:rsid w:val="00DA33AD"/>
    <w:rsid w:val="00DA33D4"/>
    <w:rsid w:val="00DA3468"/>
    <w:rsid w:val="00DA3479"/>
    <w:rsid w:val="00DA34D5"/>
    <w:rsid w:val="00DA34E2"/>
    <w:rsid w:val="00DA3520"/>
    <w:rsid w:val="00DA3532"/>
    <w:rsid w:val="00DA3566"/>
    <w:rsid w:val="00DA35D7"/>
    <w:rsid w:val="00DA35F7"/>
    <w:rsid w:val="00DA361D"/>
    <w:rsid w:val="00DA3629"/>
    <w:rsid w:val="00DA3630"/>
    <w:rsid w:val="00DA3637"/>
    <w:rsid w:val="00DA36AB"/>
    <w:rsid w:val="00DA36BE"/>
    <w:rsid w:val="00DA36D8"/>
    <w:rsid w:val="00DA36FA"/>
    <w:rsid w:val="00DA3707"/>
    <w:rsid w:val="00DA3779"/>
    <w:rsid w:val="00DA37A3"/>
    <w:rsid w:val="00DA37CA"/>
    <w:rsid w:val="00DA3820"/>
    <w:rsid w:val="00DA3858"/>
    <w:rsid w:val="00DA389F"/>
    <w:rsid w:val="00DA38AB"/>
    <w:rsid w:val="00DA38BD"/>
    <w:rsid w:val="00DA38EC"/>
    <w:rsid w:val="00DA390E"/>
    <w:rsid w:val="00DA3939"/>
    <w:rsid w:val="00DA393E"/>
    <w:rsid w:val="00DA3991"/>
    <w:rsid w:val="00DA39D4"/>
    <w:rsid w:val="00DA39DA"/>
    <w:rsid w:val="00DA3A16"/>
    <w:rsid w:val="00DA3A41"/>
    <w:rsid w:val="00DA3AD8"/>
    <w:rsid w:val="00DA3B40"/>
    <w:rsid w:val="00DA3B78"/>
    <w:rsid w:val="00DA3BC3"/>
    <w:rsid w:val="00DA3C3E"/>
    <w:rsid w:val="00DA3C42"/>
    <w:rsid w:val="00DA3D03"/>
    <w:rsid w:val="00DA3D30"/>
    <w:rsid w:val="00DA3D64"/>
    <w:rsid w:val="00DA3DF8"/>
    <w:rsid w:val="00DA3E32"/>
    <w:rsid w:val="00DA3E4F"/>
    <w:rsid w:val="00DA3E67"/>
    <w:rsid w:val="00DA3EC9"/>
    <w:rsid w:val="00DA3ED3"/>
    <w:rsid w:val="00DA3F50"/>
    <w:rsid w:val="00DA3F9C"/>
    <w:rsid w:val="00DA3FC4"/>
    <w:rsid w:val="00DA3FF0"/>
    <w:rsid w:val="00DA4095"/>
    <w:rsid w:val="00DA4097"/>
    <w:rsid w:val="00DA40CC"/>
    <w:rsid w:val="00DA4128"/>
    <w:rsid w:val="00DA4149"/>
    <w:rsid w:val="00DA41B2"/>
    <w:rsid w:val="00DA41B7"/>
    <w:rsid w:val="00DA4245"/>
    <w:rsid w:val="00DA4260"/>
    <w:rsid w:val="00DA4271"/>
    <w:rsid w:val="00DA4367"/>
    <w:rsid w:val="00DA4381"/>
    <w:rsid w:val="00DA43BB"/>
    <w:rsid w:val="00DA43C7"/>
    <w:rsid w:val="00DA43EC"/>
    <w:rsid w:val="00DA4428"/>
    <w:rsid w:val="00DA44B2"/>
    <w:rsid w:val="00DA44E5"/>
    <w:rsid w:val="00DA44EC"/>
    <w:rsid w:val="00DA450C"/>
    <w:rsid w:val="00DA45ED"/>
    <w:rsid w:val="00DA461D"/>
    <w:rsid w:val="00DA47BD"/>
    <w:rsid w:val="00DA47C0"/>
    <w:rsid w:val="00DA47CE"/>
    <w:rsid w:val="00DA47EA"/>
    <w:rsid w:val="00DA484F"/>
    <w:rsid w:val="00DA48B4"/>
    <w:rsid w:val="00DA48EB"/>
    <w:rsid w:val="00DA4940"/>
    <w:rsid w:val="00DA4987"/>
    <w:rsid w:val="00DA49ED"/>
    <w:rsid w:val="00DA4A96"/>
    <w:rsid w:val="00DA4AAA"/>
    <w:rsid w:val="00DA4B46"/>
    <w:rsid w:val="00DA4C06"/>
    <w:rsid w:val="00DA4C22"/>
    <w:rsid w:val="00DA4C5F"/>
    <w:rsid w:val="00DA4C89"/>
    <w:rsid w:val="00DA4C95"/>
    <w:rsid w:val="00DA4CB8"/>
    <w:rsid w:val="00DA4CDD"/>
    <w:rsid w:val="00DA4CE4"/>
    <w:rsid w:val="00DA4CED"/>
    <w:rsid w:val="00DA4D84"/>
    <w:rsid w:val="00DA4D8E"/>
    <w:rsid w:val="00DA4D91"/>
    <w:rsid w:val="00DA4D94"/>
    <w:rsid w:val="00DA4D99"/>
    <w:rsid w:val="00DA4DB7"/>
    <w:rsid w:val="00DA4DF9"/>
    <w:rsid w:val="00DA4E0A"/>
    <w:rsid w:val="00DA4E70"/>
    <w:rsid w:val="00DA4EB1"/>
    <w:rsid w:val="00DA4F83"/>
    <w:rsid w:val="00DA4F86"/>
    <w:rsid w:val="00DA4FB1"/>
    <w:rsid w:val="00DA4FF4"/>
    <w:rsid w:val="00DA50C8"/>
    <w:rsid w:val="00DA514D"/>
    <w:rsid w:val="00DA5162"/>
    <w:rsid w:val="00DA518A"/>
    <w:rsid w:val="00DA519B"/>
    <w:rsid w:val="00DA51B9"/>
    <w:rsid w:val="00DA51FC"/>
    <w:rsid w:val="00DA52A0"/>
    <w:rsid w:val="00DA52EC"/>
    <w:rsid w:val="00DA5360"/>
    <w:rsid w:val="00DA537B"/>
    <w:rsid w:val="00DA5478"/>
    <w:rsid w:val="00DA5495"/>
    <w:rsid w:val="00DA54E4"/>
    <w:rsid w:val="00DA5546"/>
    <w:rsid w:val="00DA5567"/>
    <w:rsid w:val="00DA556B"/>
    <w:rsid w:val="00DA55F8"/>
    <w:rsid w:val="00DA562A"/>
    <w:rsid w:val="00DA562C"/>
    <w:rsid w:val="00DA563E"/>
    <w:rsid w:val="00DA56B8"/>
    <w:rsid w:val="00DA574B"/>
    <w:rsid w:val="00DA5775"/>
    <w:rsid w:val="00DA57F4"/>
    <w:rsid w:val="00DA57FC"/>
    <w:rsid w:val="00DA5800"/>
    <w:rsid w:val="00DA5801"/>
    <w:rsid w:val="00DA586F"/>
    <w:rsid w:val="00DA5871"/>
    <w:rsid w:val="00DA5919"/>
    <w:rsid w:val="00DA593C"/>
    <w:rsid w:val="00DA5948"/>
    <w:rsid w:val="00DA5979"/>
    <w:rsid w:val="00DA5984"/>
    <w:rsid w:val="00DA59D3"/>
    <w:rsid w:val="00DA5A02"/>
    <w:rsid w:val="00DA5A42"/>
    <w:rsid w:val="00DA5A4A"/>
    <w:rsid w:val="00DA5AB7"/>
    <w:rsid w:val="00DA5ADA"/>
    <w:rsid w:val="00DA5B19"/>
    <w:rsid w:val="00DA5B43"/>
    <w:rsid w:val="00DA5B5E"/>
    <w:rsid w:val="00DA5BEC"/>
    <w:rsid w:val="00DA5BF7"/>
    <w:rsid w:val="00DA5C10"/>
    <w:rsid w:val="00DA5C73"/>
    <w:rsid w:val="00DA5C80"/>
    <w:rsid w:val="00DA5D34"/>
    <w:rsid w:val="00DA5D52"/>
    <w:rsid w:val="00DA5D5B"/>
    <w:rsid w:val="00DA5DC7"/>
    <w:rsid w:val="00DA5DC8"/>
    <w:rsid w:val="00DA5DDD"/>
    <w:rsid w:val="00DA5DF1"/>
    <w:rsid w:val="00DA5DFC"/>
    <w:rsid w:val="00DA5E2F"/>
    <w:rsid w:val="00DA5EE3"/>
    <w:rsid w:val="00DA5F0A"/>
    <w:rsid w:val="00DA5F33"/>
    <w:rsid w:val="00DA5F74"/>
    <w:rsid w:val="00DA5F83"/>
    <w:rsid w:val="00DA5FE1"/>
    <w:rsid w:val="00DA5FE5"/>
    <w:rsid w:val="00DA6006"/>
    <w:rsid w:val="00DA602B"/>
    <w:rsid w:val="00DA606B"/>
    <w:rsid w:val="00DA60D6"/>
    <w:rsid w:val="00DA60DB"/>
    <w:rsid w:val="00DA611B"/>
    <w:rsid w:val="00DA619F"/>
    <w:rsid w:val="00DA61AC"/>
    <w:rsid w:val="00DA61CA"/>
    <w:rsid w:val="00DA61E0"/>
    <w:rsid w:val="00DA61FF"/>
    <w:rsid w:val="00DA620C"/>
    <w:rsid w:val="00DA6256"/>
    <w:rsid w:val="00DA626C"/>
    <w:rsid w:val="00DA627A"/>
    <w:rsid w:val="00DA62E2"/>
    <w:rsid w:val="00DA6336"/>
    <w:rsid w:val="00DA633A"/>
    <w:rsid w:val="00DA633D"/>
    <w:rsid w:val="00DA6364"/>
    <w:rsid w:val="00DA6382"/>
    <w:rsid w:val="00DA638F"/>
    <w:rsid w:val="00DA6414"/>
    <w:rsid w:val="00DA6490"/>
    <w:rsid w:val="00DA64BB"/>
    <w:rsid w:val="00DA6559"/>
    <w:rsid w:val="00DA65AA"/>
    <w:rsid w:val="00DA65AF"/>
    <w:rsid w:val="00DA661E"/>
    <w:rsid w:val="00DA6621"/>
    <w:rsid w:val="00DA6622"/>
    <w:rsid w:val="00DA6686"/>
    <w:rsid w:val="00DA6690"/>
    <w:rsid w:val="00DA6691"/>
    <w:rsid w:val="00DA6694"/>
    <w:rsid w:val="00DA673F"/>
    <w:rsid w:val="00DA6782"/>
    <w:rsid w:val="00DA67CA"/>
    <w:rsid w:val="00DA67FA"/>
    <w:rsid w:val="00DA688C"/>
    <w:rsid w:val="00DA697E"/>
    <w:rsid w:val="00DA698B"/>
    <w:rsid w:val="00DA69A5"/>
    <w:rsid w:val="00DA69B1"/>
    <w:rsid w:val="00DA69CB"/>
    <w:rsid w:val="00DA69E2"/>
    <w:rsid w:val="00DA6ACF"/>
    <w:rsid w:val="00DA6ADD"/>
    <w:rsid w:val="00DA6B5B"/>
    <w:rsid w:val="00DA6BB0"/>
    <w:rsid w:val="00DA6BDA"/>
    <w:rsid w:val="00DA6BEF"/>
    <w:rsid w:val="00DA6C91"/>
    <w:rsid w:val="00DA6CA6"/>
    <w:rsid w:val="00DA6CD8"/>
    <w:rsid w:val="00DA6D04"/>
    <w:rsid w:val="00DA6D15"/>
    <w:rsid w:val="00DA6D90"/>
    <w:rsid w:val="00DA6E2C"/>
    <w:rsid w:val="00DA6EAD"/>
    <w:rsid w:val="00DA6F12"/>
    <w:rsid w:val="00DA6F8C"/>
    <w:rsid w:val="00DA6FBC"/>
    <w:rsid w:val="00DA706A"/>
    <w:rsid w:val="00DA7081"/>
    <w:rsid w:val="00DA7095"/>
    <w:rsid w:val="00DA70DE"/>
    <w:rsid w:val="00DA71DB"/>
    <w:rsid w:val="00DA71F6"/>
    <w:rsid w:val="00DA727B"/>
    <w:rsid w:val="00DA72A0"/>
    <w:rsid w:val="00DA72D3"/>
    <w:rsid w:val="00DA72DA"/>
    <w:rsid w:val="00DA7391"/>
    <w:rsid w:val="00DA7454"/>
    <w:rsid w:val="00DA7484"/>
    <w:rsid w:val="00DA748D"/>
    <w:rsid w:val="00DA74B3"/>
    <w:rsid w:val="00DA7506"/>
    <w:rsid w:val="00DA752B"/>
    <w:rsid w:val="00DA753F"/>
    <w:rsid w:val="00DA756F"/>
    <w:rsid w:val="00DA75C0"/>
    <w:rsid w:val="00DA75CC"/>
    <w:rsid w:val="00DA75DB"/>
    <w:rsid w:val="00DA760A"/>
    <w:rsid w:val="00DA76C7"/>
    <w:rsid w:val="00DA775E"/>
    <w:rsid w:val="00DA78B5"/>
    <w:rsid w:val="00DA7905"/>
    <w:rsid w:val="00DA7948"/>
    <w:rsid w:val="00DA7A29"/>
    <w:rsid w:val="00DA7A4B"/>
    <w:rsid w:val="00DA7A7A"/>
    <w:rsid w:val="00DA7AA7"/>
    <w:rsid w:val="00DA7B03"/>
    <w:rsid w:val="00DA7B0D"/>
    <w:rsid w:val="00DA7B15"/>
    <w:rsid w:val="00DA7B70"/>
    <w:rsid w:val="00DA7B9C"/>
    <w:rsid w:val="00DA7BCF"/>
    <w:rsid w:val="00DA7BE3"/>
    <w:rsid w:val="00DA7C3E"/>
    <w:rsid w:val="00DA7C40"/>
    <w:rsid w:val="00DA7C64"/>
    <w:rsid w:val="00DA7C94"/>
    <w:rsid w:val="00DA7CB6"/>
    <w:rsid w:val="00DA7D6B"/>
    <w:rsid w:val="00DA7D78"/>
    <w:rsid w:val="00DA7DAC"/>
    <w:rsid w:val="00DA7DDB"/>
    <w:rsid w:val="00DA7E47"/>
    <w:rsid w:val="00DA7E8C"/>
    <w:rsid w:val="00DA7F2B"/>
    <w:rsid w:val="00DA7F3D"/>
    <w:rsid w:val="00DA7F5A"/>
    <w:rsid w:val="00DA7F83"/>
    <w:rsid w:val="00DA7FA4"/>
    <w:rsid w:val="00DB0011"/>
    <w:rsid w:val="00DB00AB"/>
    <w:rsid w:val="00DB0157"/>
    <w:rsid w:val="00DB01A3"/>
    <w:rsid w:val="00DB01A4"/>
    <w:rsid w:val="00DB022B"/>
    <w:rsid w:val="00DB0272"/>
    <w:rsid w:val="00DB031C"/>
    <w:rsid w:val="00DB033E"/>
    <w:rsid w:val="00DB039A"/>
    <w:rsid w:val="00DB03F3"/>
    <w:rsid w:val="00DB04DD"/>
    <w:rsid w:val="00DB052A"/>
    <w:rsid w:val="00DB0535"/>
    <w:rsid w:val="00DB0555"/>
    <w:rsid w:val="00DB05A5"/>
    <w:rsid w:val="00DB05FC"/>
    <w:rsid w:val="00DB061B"/>
    <w:rsid w:val="00DB063D"/>
    <w:rsid w:val="00DB0659"/>
    <w:rsid w:val="00DB067D"/>
    <w:rsid w:val="00DB06B8"/>
    <w:rsid w:val="00DB06C6"/>
    <w:rsid w:val="00DB06D3"/>
    <w:rsid w:val="00DB06DF"/>
    <w:rsid w:val="00DB06ED"/>
    <w:rsid w:val="00DB072F"/>
    <w:rsid w:val="00DB0751"/>
    <w:rsid w:val="00DB0768"/>
    <w:rsid w:val="00DB077B"/>
    <w:rsid w:val="00DB078F"/>
    <w:rsid w:val="00DB07EA"/>
    <w:rsid w:val="00DB0805"/>
    <w:rsid w:val="00DB0880"/>
    <w:rsid w:val="00DB08C5"/>
    <w:rsid w:val="00DB08DA"/>
    <w:rsid w:val="00DB08DD"/>
    <w:rsid w:val="00DB097E"/>
    <w:rsid w:val="00DB09C2"/>
    <w:rsid w:val="00DB09C9"/>
    <w:rsid w:val="00DB0A2F"/>
    <w:rsid w:val="00DB0ADA"/>
    <w:rsid w:val="00DB0AE0"/>
    <w:rsid w:val="00DB0B02"/>
    <w:rsid w:val="00DB0B68"/>
    <w:rsid w:val="00DB0BF8"/>
    <w:rsid w:val="00DB0CD3"/>
    <w:rsid w:val="00DB0CDE"/>
    <w:rsid w:val="00DB0CE7"/>
    <w:rsid w:val="00DB0D1E"/>
    <w:rsid w:val="00DB0E05"/>
    <w:rsid w:val="00DB0E7C"/>
    <w:rsid w:val="00DB0E7E"/>
    <w:rsid w:val="00DB0EAB"/>
    <w:rsid w:val="00DB0EE2"/>
    <w:rsid w:val="00DB0F15"/>
    <w:rsid w:val="00DB0F84"/>
    <w:rsid w:val="00DB0FB4"/>
    <w:rsid w:val="00DB0FF2"/>
    <w:rsid w:val="00DB100F"/>
    <w:rsid w:val="00DB101E"/>
    <w:rsid w:val="00DB10C3"/>
    <w:rsid w:val="00DB10ED"/>
    <w:rsid w:val="00DB1109"/>
    <w:rsid w:val="00DB1110"/>
    <w:rsid w:val="00DB114A"/>
    <w:rsid w:val="00DB11C2"/>
    <w:rsid w:val="00DB1212"/>
    <w:rsid w:val="00DB1224"/>
    <w:rsid w:val="00DB1243"/>
    <w:rsid w:val="00DB129F"/>
    <w:rsid w:val="00DB1361"/>
    <w:rsid w:val="00DB13E5"/>
    <w:rsid w:val="00DB13F0"/>
    <w:rsid w:val="00DB1418"/>
    <w:rsid w:val="00DB1464"/>
    <w:rsid w:val="00DB1465"/>
    <w:rsid w:val="00DB1476"/>
    <w:rsid w:val="00DB147B"/>
    <w:rsid w:val="00DB14AE"/>
    <w:rsid w:val="00DB14E2"/>
    <w:rsid w:val="00DB14E8"/>
    <w:rsid w:val="00DB14F6"/>
    <w:rsid w:val="00DB155D"/>
    <w:rsid w:val="00DB1594"/>
    <w:rsid w:val="00DB15CC"/>
    <w:rsid w:val="00DB1601"/>
    <w:rsid w:val="00DB1615"/>
    <w:rsid w:val="00DB161D"/>
    <w:rsid w:val="00DB168D"/>
    <w:rsid w:val="00DB16F8"/>
    <w:rsid w:val="00DB1726"/>
    <w:rsid w:val="00DB1754"/>
    <w:rsid w:val="00DB176D"/>
    <w:rsid w:val="00DB182E"/>
    <w:rsid w:val="00DB1841"/>
    <w:rsid w:val="00DB1914"/>
    <w:rsid w:val="00DB1989"/>
    <w:rsid w:val="00DB19B3"/>
    <w:rsid w:val="00DB19C0"/>
    <w:rsid w:val="00DB19C7"/>
    <w:rsid w:val="00DB19CC"/>
    <w:rsid w:val="00DB1A05"/>
    <w:rsid w:val="00DB1A47"/>
    <w:rsid w:val="00DB1AFF"/>
    <w:rsid w:val="00DB1B2B"/>
    <w:rsid w:val="00DB1B74"/>
    <w:rsid w:val="00DB1C1C"/>
    <w:rsid w:val="00DB1C3B"/>
    <w:rsid w:val="00DB1C78"/>
    <w:rsid w:val="00DB1C9F"/>
    <w:rsid w:val="00DB1CC6"/>
    <w:rsid w:val="00DB1D42"/>
    <w:rsid w:val="00DB1D4A"/>
    <w:rsid w:val="00DB1DB6"/>
    <w:rsid w:val="00DB1E2E"/>
    <w:rsid w:val="00DB1E7D"/>
    <w:rsid w:val="00DB1E92"/>
    <w:rsid w:val="00DB1EB5"/>
    <w:rsid w:val="00DB1F0F"/>
    <w:rsid w:val="00DB1F28"/>
    <w:rsid w:val="00DB2010"/>
    <w:rsid w:val="00DB2067"/>
    <w:rsid w:val="00DB20CA"/>
    <w:rsid w:val="00DB2147"/>
    <w:rsid w:val="00DB2235"/>
    <w:rsid w:val="00DB22B5"/>
    <w:rsid w:val="00DB22D6"/>
    <w:rsid w:val="00DB22D9"/>
    <w:rsid w:val="00DB22DC"/>
    <w:rsid w:val="00DB231F"/>
    <w:rsid w:val="00DB23A9"/>
    <w:rsid w:val="00DB23AF"/>
    <w:rsid w:val="00DB242A"/>
    <w:rsid w:val="00DB2465"/>
    <w:rsid w:val="00DB2487"/>
    <w:rsid w:val="00DB2492"/>
    <w:rsid w:val="00DB249C"/>
    <w:rsid w:val="00DB2516"/>
    <w:rsid w:val="00DB253C"/>
    <w:rsid w:val="00DB25CE"/>
    <w:rsid w:val="00DB25D7"/>
    <w:rsid w:val="00DB25F7"/>
    <w:rsid w:val="00DB26D5"/>
    <w:rsid w:val="00DB26E6"/>
    <w:rsid w:val="00DB26F2"/>
    <w:rsid w:val="00DB26F6"/>
    <w:rsid w:val="00DB26F7"/>
    <w:rsid w:val="00DB2784"/>
    <w:rsid w:val="00DB27AF"/>
    <w:rsid w:val="00DB2857"/>
    <w:rsid w:val="00DB28A0"/>
    <w:rsid w:val="00DB2954"/>
    <w:rsid w:val="00DB2962"/>
    <w:rsid w:val="00DB29CD"/>
    <w:rsid w:val="00DB2A1C"/>
    <w:rsid w:val="00DB2A49"/>
    <w:rsid w:val="00DB2A9A"/>
    <w:rsid w:val="00DB2AA1"/>
    <w:rsid w:val="00DB2AC5"/>
    <w:rsid w:val="00DB2ACD"/>
    <w:rsid w:val="00DB2B43"/>
    <w:rsid w:val="00DB2B67"/>
    <w:rsid w:val="00DB2BB0"/>
    <w:rsid w:val="00DB2C46"/>
    <w:rsid w:val="00DB2C95"/>
    <w:rsid w:val="00DB2CCC"/>
    <w:rsid w:val="00DB2CE0"/>
    <w:rsid w:val="00DB2D06"/>
    <w:rsid w:val="00DB2D1A"/>
    <w:rsid w:val="00DB2D69"/>
    <w:rsid w:val="00DB2DAA"/>
    <w:rsid w:val="00DB2DDA"/>
    <w:rsid w:val="00DB2E55"/>
    <w:rsid w:val="00DB2E75"/>
    <w:rsid w:val="00DB2E95"/>
    <w:rsid w:val="00DB2EC5"/>
    <w:rsid w:val="00DB2ED5"/>
    <w:rsid w:val="00DB2F76"/>
    <w:rsid w:val="00DB30A9"/>
    <w:rsid w:val="00DB30B1"/>
    <w:rsid w:val="00DB3118"/>
    <w:rsid w:val="00DB31C1"/>
    <w:rsid w:val="00DB31D4"/>
    <w:rsid w:val="00DB3222"/>
    <w:rsid w:val="00DB32DB"/>
    <w:rsid w:val="00DB339E"/>
    <w:rsid w:val="00DB3413"/>
    <w:rsid w:val="00DB345C"/>
    <w:rsid w:val="00DB34C9"/>
    <w:rsid w:val="00DB34E3"/>
    <w:rsid w:val="00DB34F8"/>
    <w:rsid w:val="00DB3502"/>
    <w:rsid w:val="00DB3576"/>
    <w:rsid w:val="00DB35B1"/>
    <w:rsid w:val="00DB3618"/>
    <w:rsid w:val="00DB3638"/>
    <w:rsid w:val="00DB3698"/>
    <w:rsid w:val="00DB36CC"/>
    <w:rsid w:val="00DB36D2"/>
    <w:rsid w:val="00DB370D"/>
    <w:rsid w:val="00DB373C"/>
    <w:rsid w:val="00DB3749"/>
    <w:rsid w:val="00DB3794"/>
    <w:rsid w:val="00DB37A9"/>
    <w:rsid w:val="00DB37EB"/>
    <w:rsid w:val="00DB380F"/>
    <w:rsid w:val="00DB3859"/>
    <w:rsid w:val="00DB3884"/>
    <w:rsid w:val="00DB38B3"/>
    <w:rsid w:val="00DB3910"/>
    <w:rsid w:val="00DB3942"/>
    <w:rsid w:val="00DB3964"/>
    <w:rsid w:val="00DB397F"/>
    <w:rsid w:val="00DB39BC"/>
    <w:rsid w:val="00DB39FB"/>
    <w:rsid w:val="00DB3A1F"/>
    <w:rsid w:val="00DB3A48"/>
    <w:rsid w:val="00DB3A74"/>
    <w:rsid w:val="00DB3B40"/>
    <w:rsid w:val="00DB3B9B"/>
    <w:rsid w:val="00DB3BA6"/>
    <w:rsid w:val="00DB3BB4"/>
    <w:rsid w:val="00DB3BBB"/>
    <w:rsid w:val="00DB3BC9"/>
    <w:rsid w:val="00DB3C81"/>
    <w:rsid w:val="00DB3D20"/>
    <w:rsid w:val="00DB3D4A"/>
    <w:rsid w:val="00DB3D51"/>
    <w:rsid w:val="00DB3D7C"/>
    <w:rsid w:val="00DB3D88"/>
    <w:rsid w:val="00DB3DC4"/>
    <w:rsid w:val="00DB3DD2"/>
    <w:rsid w:val="00DB3DD7"/>
    <w:rsid w:val="00DB3E20"/>
    <w:rsid w:val="00DB3E66"/>
    <w:rsid w:val="00DB3EF6"/>
    <w:rsid w:val="00DB3F34"/>
    <w:rsid w:val="00DB3F81"/>
    <w:rsid w:val="00DB403D"/>
    <w:rsid w:val="00DB4046"/>
    <w:rsid w:val="00DB409F"/>
    <w:rsid w:val="00DB411F"/>
    <w:rsid w:val="00DB4168"/>
    <w:rsid w:val="00DB416A"/>
    <w:rsid w:val="00DB416B"/>
    <w:rsid w:val="00DB417C"/>
    <w:rsid w:val="00DB41BA"/>
    <w:rsid w:val="00DB41CA"/>
    <w:rsid w:val="00DB41EB"/>
    <w:rsid w:val="00DB421A"/>
    <w:rsid w:val="00DB4269"/>
    <w:rsid w:val="00DB4284"/>
    <w:rsid w:val="00DB42B3"/>
    <w:rsid w:val="00DB42CA"/>
    <w:rsid w:val="00DB42E6"/>
    <w:rsid w:val="00DB4355"/>
    <w:rsid w:val="00DB4370"/>
    <w:rsid w:val="00DB4398"/>
    <w:rsid w:val="00DB4454"/>
    <w:rsid w:val="00DB44F2"/>
    <w:rsid w:val="00DB4573"/>
    <w:rsid w:val="00DB4585"/>
    <w:rsid w:val="00DB4599"/>
    <w:rsid w:val="00DB45AC"/>
    <w:rsid w:val="00DB45DE"/>
    <w:rsid w:val="00DB46BA"/>
    <w:rsid w:val="00DB4700"/>
    <w:rsid w:val="00DB4732"/>
    <w:rsid w:val="00DB47B8"/>
    <w:rsid w:val="00DB47D2"/>
    <w:rsid w:val="00DB47D5"/>
    <w:rsid w:val="00DB487E"/>
    <w:rsid w:val="00DB48E7"/>
    <w:rsid w:val="00DB4903"/>
    <w:rsid w:val="00DB4993"/>
    <w:rsid w:val="00DB49C7"/>
    <w:rsid w:val="00DB49E5"/>
    <w:rsid w:val="00DB49F5"/>
    <w:rsid w:val="00DB4A39"/>
    <w:rsid w:val="00DB4A56"/>
    <w:rsid w:val="00DB4A76"/>
    <w:rsid w:val="00DB4A8A"/>
    <w:rsid w:val="00DB4AD4"/>
    <w:rsid w:val="00DB4AD9"/>
    <w:rsid w:val="00DB4AEF"/>
    <w:rsid w:val="00DB4B70"/>
    <w:rsid w:val="00DB4BD3"/>
    <w:rsid w:val="00DB4BE1"/>
    <w:rsid w:val="00DB4C1A"/>
    <w:rsid w:val="00DB4C3F"/>
    <w:rsid w:val="00DB4CFF"/>
    <w:rsid w:val="00DB4D87"/>
    <w:rsid w:val="00DB4E23"/>
    <w:rsid w:val="00DB4E7D"/>
    <w:rsid w:val="00DB4ED0"/>
    <w:rsid w:val="00DB4EEC"/>
    <w:rsid w:val="00DB4F58"/>
    <w:rsid w:val="00DB4F65"/>
    <w:rsid w:val="00DB4F73"/>
    <w:rsid w:val="00DB4F83"/>
    <w:rsid w:val="00DB4F95"/>
    <w:rsid w:val="00DB503E"/>
    <w:rsid w:val="00DB5066"/>
    <w:rsid w:val="00DB5152"/>
    <w:rsid w:val="00DB5188"/>
    <w:rsid w:val="00DB5193"/>
    <w:rsid w:val="00DB51D9"/>
    <w:rsid w:val="00DB51F5"/>
    <w:rsid w:val="00DB527C"/>
    <w:rsid w:val="00DB52E0"/>
    <w:rsid w:val="00DB532D"/>
    <w:rsid w:val="00DB5393"/>
    <w:rsid w:val="00DB542A"/>
    <w:rsid w:val="00DB546A"/>
    <w:rsid w:val="00DB547F"/>
    <w:rsid w:val="00DB54B4"/>
    <w:rsid w:val="00DB54B9"/>
    <w:rsid w:val="00DB54BF"/>
    <w:rsid w:val="00DB5538"/>
    <w:rsid w:val="00DB567A"/>
    <w:rsid w:val="00DB5696"/>
    <w:rsid w:val="00DB56C5"/>
    <w:rsid w:val="00DB56C8"/>
    <w:rsid w:val="00DB56E3"/>
    <w:rsid w:val="00DB5729"/>
    <w:rsid w:val="00DB5798"/>
    <w:rsid w:val="00DB57CE"/>
    <w:rsid w:val="00DB5831"/>
    <w:rsid w:val="00DB587C"/>
    <w:rsid w:val="00DB5892"/>
    <w:rsid w:val="00DB589C"/>
    <w:rsid w:val="00DB58D1"/>
    <w:rsid w:val="00DB592D"/>
    <w:rsid w:val="00DB599E"/>
    <w:rsid w:val="00DB59DE"/>
    <w:rsid w:val="00DB59F5"/>
    <w:rsid w:val="00DB5A42"/>
    <w:rsid w:val="00DB5A59"/>
    <w:rsid w:val="00DB5A93"/>
    <w:rsid w:val="00DB5AE7"/>
    <w:rsid w:val="00DB5B21"/>
    <w:rsid w:val="00DB5B2E"/>
    <w:rsid w:val="00DB5B52"/>
    <w:rsid w:val="00DB5B79"/>
    <w:rsid w:val="00DB5BCD"/>
    <w:rsid w:val="00DB5C55"/>
    <w:rsid w:val="00DB5C65"/>
    <w:rsid w:val="00DB5C93"/>
    <w:rsid w:val="00DB5CAB"/>
    <w:rsid w:val="00DB5CCF"/>
    <w:rsid w:val="00DB5CF4"/>
    <w:rsid w:val="00DB5D10"/>
    <w:rsid w:val="00DB5D41"/>
    <w:rsid w:val="00DB5D63"/>
    <w:rsid w:val="00DB5E6C"/>
    <w:rsid w:val="00DB5E9A"/>
    <w:rsid w:val="00DB5EF5"/>
    <w:rsid w:val="00DB5F3B"/>
    <w:rsid w:val="00DB5F66"/>
    <w:rsid w:val="00DB5F7C"/>
    <w:rsid w:val="00DB5FA4"/>
    <w:rsid w:val="00DB5FC1"/>
    <w:rsid w:val="00DB6051"/>
    <w:rsid w:val="00DB6093"/>
    <w:rsid w:val="00DB609A"/>
    <w:rsid w:val="00DB60A8"/>
    <w:rsid w:val="00DB60BE"/>
    <w:rsid w:val="00DB6129"/>
    <w:rsid w:val="00DB617C"/>
    <w:rsid w:val="00DB6197"/>
    <w:rsid w:val="00DB61E0"/>
    <w:rsid w:val="00DB6264"/>
    <w:rsid w:val="00DB6292"/>
    <w:rsid w:val="00DB62DF"/>
    <w:rsid w:val="00DB6317"/>
    <w:rsid w:val="00DB632D"/>
    <w:rsid w:val="00DB6330"/>
    <w:rsid w:val="00DB63FC"/>
    <w:rsid w:val="00DB6481"/>
    <w:rsid w:val="00DB64F6"/>
    <w:rsid w:val="00DB659B"/>
    <w:rsid w:val="00DB65A6"/>
    <w:rsid w:val="00DB662E"/>
    <w:rsid w:val="00DB6661"/>
    <w:rsid w:val="00DB6671"/>
    <w:rsid w:val="00DB66DE"/>
    <w:rsid w:val="00DB678B"/>
    <w:rsid w:val="00DB67B3"/>
    <w:rsid w:val="00DB67E6"/>
    <w:rsid w:val="00DB685A"/>
    <w:rsid w:val="00DB6898"/>
    <w:rsid w:val="00DB689E"/>
    <w:rsid w:val="00DB68C9"/>
    <w:rsid w:val="00DB6920"/>
    <w:rsid w:val="00DB6974"/>
    <w:rsid w:val="00DB6976"/>
    <w:rsid w:val="00DB6993"/>
    <w:rsid w:val="00DB69B9"/>
    <w:rsid w:val="00DB69EB"/>
    <w:rsid w:val="00DB6A1C"/>
    <w:rsid w:val="00DB6A81"/>
    <w:rsid w:val="00DB6A98"/>
    <w:rsid w:val="00DB6AD8"/>
    <w:rsid w:val="00DB6B21"/>
    <w:rsid w:val="00DB6B37"/>
    <w:rsid w:val="00DB6BB6"/>
    <w:rsid w:val="00DB6BEF"/>
    <w:rsid w:val="00DB6C04"/>
    <w:rsid w:val="00DB6C67"/>
    <w:rsid w:val="00DB6CA7"/>
    <w:rsid w:val="00DB6CB0"/>
    <w:rsid w:val="00DB6D95"/>
    <w:rsid w:val="00DB6DA1"/>
    <w:rsid w:val="00DB6E2D"/>
    <w:rsid w:val="00DB6E5F"/>
    <w:rsid w:val="00DB6EC3"/>
    <w:rsid w:val="00DB6F22"/>
    <w:rsid w:val="00DB6F6E"/>
    <w:rsid w:val="00DB6FA4"/>
    <w:rsid w:val="00DB6FBA"/>
    <w:rsid w:val="00DB7002"/>
    <w:rsid w:val="00DB700D"/>
    <w:rsid w:val="00DB7057"/>
    <w:rsid w:val="00DB70A4"/>
    <w:rsid w:val="00DB70F4"/>
    <w:rsid w:val="00DB70FB"/>
    <w:rsid w:val="00DB7179"/>
    <w:rsid w:val="00DB7183"/>
    <w:rsid w:val="00DB720B"/>
    <w:rsid w:val="00DB7231"/>
    <w:rsid w:val="00DB7241"/>
    <w:rsid w:val="00DB729C"/>
    <w:rsid w:val="00DB72D9"/>
    <w:rsid w:val="00DB72ED"/>
    <w:rsid w:val="00DB7306"/>
    <w:rsid w:val="00DB7371"/>
    <w:rsid w:val="00DB73A2"/>
    <w:rsid w:val="00DB73B9"/>
    <w:rsid w:val="00DB73BB"/>
    <w:rsid w:val="00DB741F"/>
    <w:rsid w:val="00DB743B"/>
    <w:rsid w:val="00DB7452"/>
    <w:rsid w:val="00DB7460"/>
    <w:rsid w:val="00DB74AD"/>
    <w:rsid w:val="00DB753E"/>
    <w:rsid w:val="00DB75B8"/>
    <w:rsid w:val="00DB75CB"/>
    <w:rsid w:val="00DB7643"/>
    <w:rsid w:val="00DB767A"/>
    <w:rsid w:val="00DB76A6"/>
    <w:rsid w:val="00DB76AB"/>
    <w:rsid w:val="00DB76EE"/>
    <w:rsid w:val="00DB77A5"/>
    <w:rsid w:val="00DB77B4"/>
    <w:rsid w:val="00DB77FE"/>
    <w:rsid w:val="00DB782E"/>
    <w:rsid w:val="00DB7835"/>
    <w:rsid w:val="00DB783A"/>
    <w:rsid w:val="00DB7881"/>
    <w:rsid w:val="00DB7908"/>
    <w:rsid w:val="00DB791F"/>
    <w:rsid w:val="00DB7936"/>
    <w:rsid w:val="00DB7974"/>
    <w:rsid w:val="00DB798C"/>
    <w:rsid w:val="00DB79B4"/>
    <w:rsid w:val="00DB79F5"/>
    <w:rsid w:val="00DB7A0A"/>
    <w:rsid w:val="00DB7A12"/>
    <w:rsid w:val="00DB7A7A"/>
    <w:rsid w:val="00DB7AB5"/>
    <w:rsid w:val="00DB7ACC"/>
    <w:rsid w:val="00DB7B2B"/>
    <w:rsid w:val="00DB7B3E"/>
    <w:rsid w:val="00DB7B44"/>
    <w:rsid w:val="00DB7C05"/>
    <w:rsid w:val="00DB7C7A"/>
    <w:rsid w:val="00DB7CAE"/>
    <w:rsid w:val="00DB7CBD"/>
    <w:rsid w:val="00DB7D30"/>
    <w:rsid w:val="00DB7E0E"/>
    <w:rsid w:val="00DB7E2D"/>
    <w:rsid w:val="00DB7E51"/>
    <w:rsid w:val="00DB7EFC"/>
    <w:rsid w:val="00DB7F05"/>
    <w:rsid w:val="00DB7F09"/>
    <w:rsid w:val="00DB7F28"/>
    <w:rsid w:val="00DB7F2C"/>
    <w:rsid w:val="00DB7F93"/>
    <w:rsid w:val="00DB7FBD"/>
    <w:rsid w:val="00DC0003"/>
    <w:rsid w:val="00DC0060"/>
    <w:rsid w:val="00DC009C"/>
    <w:rsid w:val="00DC00A0"/>
    <w:rsid w:val="00DC00E8"/>
    <w:rsid w:val="00DC0113"/>
    <w:rsid w:val="00DC0189"/>
    <w:rsid w:val="00DC018C"/>
    <w:rsid w:val="00DC01A6"/>
    <w:rsid w:val="00DC0258"/>
    <w:rsid w:val="00DC028A"/>
    <w:rsid w:val="00DC02E4"/>
    <w:rsid w:val="00DC0316"/>
    <w:rsid w:val="00DC03E7"/>
    <w:rsid w:val="00DC03FD"/>
    <w:rsid w:val="00DC0448"/>
    <w:rsid w:val="00DC046C"/>
    <w:rsid w:val="00DC049A"/>
    <w:rsid w:val="00DC04B4"/>
    <w:rsid w:val="00DC04B9"/>
    <w:rsid w:val="00DC04BE"/>
    <w:rsid w:val="00DC04D4"/>
    <w:rsid w:val="00DC04FF"/>
    <w:rsid w:val="00DC0518"/>
    <w:rsid w:val="00DC053E"/>
    <w:rsid w:val="00DC0592"/>
    <w:rsid w:val="00DC05AA"/>
    <w:rsid w:val="00DC05BB"/>
    <w:rsid w:val="00DC067B"/>
    <w:rsid w:val="00DC06BF"/>
    <w:rsid w:val="00DC06FE"/>
    <w:rsid w:val="00DC0757"/>
    <w:rsid w:val="00DC077D"/>
    <w:rsid w:val="00DC0799"/>
    <w:rsid w:val="00DC07B5"/>
    <w:rsid w:val="00DC0811"/>
    <w:rsid w:val="00DC0812"/>
    <w:rsid w:val="00DC0867"/>
    <w:rsid w:val="00DC08C8"/>
    <w:rsid w:val="00DC08D3"/>
    <w:rsid w:val="00DC0902"/>
    <w:rsid w:val="00DC090F"/>
    <w:rsid w:val="00DC0963"/>
    <w:rsid w:val="00DC09D8"/>
    <w:rsid w:val="00DC0A0B"/>
    <w:rsid w:val="00DC0A0E"/>
    <w:rsid w:val="00DC0A41"/>
    <w:rsid w:val="00DC0A70"/>
    <w:rsid w:val="00DC0AAC"/>
    <w:rsid w:val="00DC0B19"/>
    <w:rsid w:val="00DC0B4F"/>
    <w:rsid w:val="00DC0BA1"/>
    <w:rsid w:val="00DC0BB2"/>
    <w:rsid w:val="00DC0C2F"/>
    <w:rsid w:val="00DC0C7E"/>
    <w:rsid w:val="00DC0C97"/>
    <w:rsid w:val="00DC0CAD"/>
    <w:rsid w:val="00DC0CC0"/>
    <w:rsid w:val="00DC0CC4"/>
    <w:rsid w:val="00DC0D0E"/>
    <w:rsid w:val="00DC0D4E"/>
    <w:rsid w:val="00DC0D5D"/>
    <w:rsid w:val="00DC0D6C"/>
    <w:rsid w:val="00DC0DD0"/>
    <w:rsid w:val="00DC0E3F"/>
    <w:rsid w:val="00DC0E46"/>
    <w:rsid w:val="00DC0E95"/>
    <w:rsid w:val="00DC0F4A"/>
    <w:rsid w:val="00DC0FA6"/>
    <w:rsid w:val="00DC102E"/>
    <w:rsid w:val="00DC1030"/>
    <w:rsid w:val="00DC10C8"/>
    <w:rsid w:val="00DC1113"/>
    <w:rsid w:val="00DC1160"/>
    <w:rsid w:val="00DC1202"/>
    <w:rsid w:val="00DC121F"/>
    <w:rsid w:val="00DC1262"/>
    <w:rsid w:val="00DC12DE"/>
    <w:rsid w:val="00DC130E"/>
    <w:rsid w:val="00DC1362"/>
    <w:rsid w:val="00DC1369"/>
    <w:rsid w:val="00DC1386"/>
    <w:rsid w:val="00DC1390"/>
    <w:rsid w:val="00DC13E0"/>
    <w:rsid w:val="00DC14CB"/>
    <w:rsid w:val="00DC14E0"/>
    <w:rsid w:val="00DC14FB"/>
    <w:rsid w:val="00DC14FD"/>
    <w:rsid w:val="00DC1526"/>
    <w:rsid w:val="00DC1530"/>
    <w:rsid w:val="00DC1552"/>
    <w:rsid w:val="00DC1576"/>
    <w:rsid w:val="00DC1596"/>
    <w:rsid w:val="00DC15ED"/>
    <w:rsid w:val="00DC15FE"/>
    <w:rsid w:val="00DC1610"/>
    <w:rsid w:val="00DC162E"/>
    <w:rsid w:val="00DC1643"/>
    <w:rsid w:val="00DC165C"/>
    <w:rsid w:val="00DC16AA"/>
    <w:rsid w:val="00DC173D"/>
    <w:rsid w:val="00DC174C"/>
    <w:rsid w:val="00DC17B5"/>
    <w:rsid w:val="00DC17BA"/>
    <w:rsid w:val="00DC17D3"/>
    <w:rsid w:val="00DC17E2"/>
    <w:rsid w:val="00DC190D"/>
    <w:rsid w:val="00DC192E"/>
    <w:rsid w:val="00DC1A31"/>
    <w:rsid w:val="00DC1B41"/>
    <w:rsid w:val="00DC1B74"/>
    <w:rsid w:val="00DC1B86"/>
    <w:rsid w:val="00DC1B97"/>
    <w:rsid w:val="00DC1BB4"/>
    <w:rsid w:val="00DC1BBB"/>
    <w:rsid w:val="00DC1C56"/>
    <w:rsid w:val="00DC1CE1"/>
    <w:rsid w:val="00DC1D0E"/>
    <w:rsid w:val="00DC1D2B"/>
    <w:rsid w:val="00DC1D50"/>
    <w:rsid w:val="00DC1D98"/>
    <w:rsid w:val="00DC1DAC"/>
    <w:rsid w:val="00DC1DBC"/>
    <w:rsid w:val="00DC1DCF"/>
    <w:rsid w:val="00DC1E37"/>
    <w:rsid w:val="00DC1E7A"/>
    <w:rsid w:val="00DC1E7C"/>
    <w:rsid w:val="00DC1EEA"/>
    <w:rsid w:val="00DC1F2B"/>
    <w:rsid w:val="00DC1F53"/>
    <w:rsid w:val="00DC1F7F"/>
    <w:rsid w:val="00DC1FB8"/>
    <w:rsid w:val="00DC1FCC"/>
    <w:rsid w:val="00DC2055"/>
    <w:rsid w:val="00DC209B"/>
    <w:rsid w:val="00DC2228"/>
    <w:rsid w:val="00DC225E"/>
    <w:rsid w:val="00DC2281"/>
    <w:rsid w:val="00DC22A1"/>
    <w:rsid w:val="00DC22D9"/>
    <w:rsid w:val="00DC2329"/>
    <w:rsid w:val="00DC2395"/>
    <w:rsid w:val="00DC23AE"/>
    <w:rsid w:val="00DC23B8"/>
    <w:rsid w:val="00DC23CF"/>
    <w:rsid w:val="00DC23D4"/>
    <w:rsid w:val="00DC23DA"/>
    <w:rsid w:val="00DC23E4"/>
    <w:rsid w:val="00DC2431"/>
    <w:rsid w:val="00DC2443"/>
    <w:rsid w:val="00DC2456"/>
    <w:rsid w:val="00DC2489"/>
    <w:rsid w:val="00DC250F"/>
    <w:rsid w:val="00DC2558"/>
    <w:rsid w:val="00DC2566"/>
    <w:rsid w:val="00DC2584"/>
    <w:rsid w:val="00DC258B"/>
    <w:rsid w:val="00DC25CD"/>
    <w:rsid w:val="00DC2609"/>
    <w:rsid w:val="00DC26B5"/>
    <w:rsid w:val="00DC2744"/>
    <w:rsid w:val="00DC274E"/>
    <w:rsid w:val="00DC2813"/>
    <w:rsid w:val="00DC297B"/>
    <w:rsid w:val="00DC29F5"/>
    <w:rsid w:val="00DC2A27"/>
    <w:rsid w:val="00DC2A58"/>
    <w:rsid w:val="00DC2AB1"/>
    <w:rsid w:val="00DC2ADD"/>
    <w:rsid w:val="00DC2BAD"/>
    <w:rsid w:val="00DC2BEC"/>
    <w:rsid w:val="00DC2C71"/>
    <w:rsid w:val="00DC2C76"/>
    <w:rsid w:val="00DC2C98"/>
    <w:rsid w:val="00DC2D05"/>
    <w:rsid w:val="00DC2D0C"/>
    <w:rsid w:val="00DC2D67"/>
    <w:rsid w:val="00DC2D90"/>
    <w:rsid w:val="00DC2DAF"/>
    <w:rsid w:val="00DC2DB3"/>
    <w:rsid w:val="00DC2DB8"/>
    <w:rsid w:val="00DC2DF3"/>
    <w:rsid w:val="00DC2E43"/>
    <w:rsid w:val="00DC2E44"/>
    <w:rsid w:val="00DC2E5F"/>
    <w:rsid w:val="00DC2E8D"/>
    <w:rsid w:val="00DC2ED3"/>
    <w:rsid w:val="00DC2F32"/>
    <w:rsid w:val="00DC2F7B"/>
    <w:rsid w:val="00DC2F8C"/>
    <w:rsid w:val="00DC2FD2"/>
    <w:rsid w:val="00DC2FEC"/>
    <w:rsid w:val="00DC2FED"/>
    <w:rsid w:val="00DC2FF2"/>
    <w:rsid w:val="00DC3078"/>
    <w:rsid w:val="00DC3081"/>
    <w:rsid w:val="00DC311C"/>
    <w:rsid w:val="00DC3129"/>
    <w:rsid w:val="00DC3156"/>
    <w:rsid w:val="00DC3169"/>
    <w:rsid w:val="00DC31CB"/>
    <w:rsid w:val="00DC327C"/>
    <w:rsid w:val="00DC329B"/>
    <w:rsid w:val="00DC32AE"/>
    <w:rsid w:val="00DC32BE"/>
    <w:rsid w:val="00DC32E7"/>
    <w:rsid w:val="00DC3359"/>
    <w:rsid w:val="00DC33D3"/>
    <w:rsid w:val="00DC3455"/>
    <w:rsid w:val="00DC346F"/>
    <w:rsid w:val="00DC3576"/>
    <w:rsid w:val="00DC358B"/>
    <w:rsid w:val="00DC35DD"/>
    <w:rsid w:val="00DC3640"/>
    <w:rsid w:val="00DC36C4"/>
    <w:rsid w:val="00DC37DF"/>
    <w:rsid w:val="00DC3834"/>
    <w:rsid w:val="00DC3836"/>
    <w:rsid w:val="00DC3858"/>
    <w:rsid w:val="00DC387F"/>
    <w:rsid w:val="00DC3884"/>
    <w:rsid w:val="00DC38A1"/>
    <w:rsid w:val="00DC38FB"/>
    <w:rsid w:val="00DC3905"/>
    <w:rsid w:val="00DC397F"/>
    <w:rsid w:val="00DC39BD"/>
    <w:rsid w:val="00DC39D8"/>
    <w:rsid w:val="00DC3A2B"/>
    <w:rsid w:val="00DC3A35"/>
    <w:rsid w:val="00DC3A41"/>
    <w:rsid w:val="00DC3A8F"/>
    <w:rsid w:val="00DC3AFD"/>
    <w:rsid w:val="00DC3B8B"/>
    <w:rsid w:val="00DC3C16"/>
    <w:rsid w:val="00DC3C65"/>
    <w:rsid w:val="00DC3D09"/>
    <w:rsid w:val="00DC3D4E"/>
    <w:rsid w:val="00DC3DF3"/>
    <w:rsid w:val="00DC3E22"/>
    <w:rsid w:val="00DC3F5D"/>
    <w:rsid w:val="00DC3FE3"/>
    <w:rsid w:val="00DC403F"/>
    <w:rsid w:val="00DC40A8"/>
    <w:rsid w:val="00DC40EA"/>
    <w:rsid w:val="00DC40FA"/>
    <w:rsid w:val="00DC4106"/>
    <w:rsid w:val="00DC410D"/>
    <w:rsid w:val="00DC41C3"/>
    <w:rsid w:val="00DC41D6"/>
    <w:rsid w:val="00DC4232"/>
    <w:rsid w:val="00DC4307"/>
    <w:rsid w:val="00DC447C"/>
    <w:rsid w:val="00DC450A"/>
    <w:rsid w:val="00DC4598"/>
    <w:rsid w:val="00DC45AD"/>
    <w:rsid w:val="00DC45D2"/>
    <w:rsid w:val="00DC4621"/>
    <w:rsid w:val="00DC469A"/>
    <w:rsid w:val="00DC46A5"/>
    <w:rsid w:val="00DC4756"/>
    <w:rsid w:val="00DC479E"/>
    <w:rsid w:val="00DC47BF"/>
    <w:rsid w:val="00DC480D"/>
    <w:rsid w:val="00DC4852"/>
    <w:rsid w:val="00DC48CD"/>
    <w:rsid w:val="00DC48E5"/>
    <w:rsid w:val="00DC4911"/>
    <w:rsid w:val="00DC49A1"/>
    <w:rsid w:val="00DC4A59"/>
    <w:rsid w:val="00DC4A75"/>
    <w:rsid w:val="00DC4A87"/>
    <w:rsid w:val="00DC4A9D"/>
    <w:rsid w:val="00DC4B22"/>
    <w:rsid w:val="00DC4B80"/>
    <w:rsid w:val="00DC4BF2"/>
    <w:rsid w:val="00DC4CF0"/>
    <w:rsid w:val="00DC4D2D"/>
    <w:rsid w:val="00DC4D40"/>
    <w:rsid w:val="00DC4D5F"/>
    <w:rsid w:val="00DC4E89"/>
    <w:rsid w:val="00DC4EC1"/>
    <w:rsid w:val="00DC4ECE"/>
    <w:rsid w:val="00DC4EF2"/>
    <w:rsid w:val="00DC4F67"/>
    <w:rsid w:val="00DC4F80"/>
    <w:rsid w:val="00DC4FE4"/>
    <w:rsid w:val="00DC5005"/>
    <w:rsid w:val="00DC5013"/>
    <w:rsid w:val="00DC503E"/>
    <w:rsid w:val="00DC50A7"/>
    <w:rsid w:val="00DC5151"/>
    <w:rsid w:val="00DC5156"/>
    <w:rsid w:val="00DC5159"/>
    <w:rsid w:val="00DC51A1"/>
    <w:rsid w:val="00DC51A4"/>
    <w:rsid w:val="00DC51CB"/>
    <w:rsid w:val="00DC51EF"/>
    <w:rsid w:val="00DC5322"/>
    <w:rsid w:val="00DC5345"/>
    <w:rsid w:val="00DC5387"/>
    <w:rsid w:val="00DC53A8"/>
    <w:rsid w:val="00DC53BC"/>
    <w:rsid w:val="00DC5405"/>
    <w:rsid w:val="00DC541C"/>
    <w:rsid w:val="00DC542B"/>
    <w:rsid w:val="00DC542E"/>
    <w:rsid w:val="00DC5434"/>
    <w:rsid w:val="00DC5477"/>
    <w:rsid w:val="00DC5491"/>
    <w:rsid w:val="00DC5514"/>
    <w:rsid w:val="00DC55B8"/>
    <w:rsid w:val="00DC55F5"/>
    <w:rsid w:val="00DC5678"/>
    <w:rsid w:val="00DC569E"/>
    <w:rsid w:val="00DC574E"/>
    <w:rsid w:val="00DC579B"/>
    <w:rsid w:val="00DC57B2"/>
    <w:rsid w:val="00DC57FE"/>
    <w:rsid w:val="00DC5863"/>
    <w:rsid w:val="00DC587E"/>
    <w:rsid w:val="00DC5911"/>
    <w:rsid w:val="00DC5976"/>
    <w:rsid w:val="00DC599A"/>
    <w:rsid w:val="00DC5B1F"/>
    <w:rsid w:val="00DC5B6C"/>
    <w:rsid w:val="00DC5BBB"/>
    <w:rsid w:val="00DC5BC3"/>
    <w:rsid w:val="00DC5BC6"/>
    <w:rsid w:val="00DC5C71"/>
    <w:rsid w:val="00DC5C7A"/>
    <w:rsid w:val="00DC5CFD"/>
    <w:rsid w:val="00DC5D14"/>
    <w:rsid w:val="00DC5D5E"/>
    <w:rsid w:val="00DC5D8B"/>
    <w:rsid w:val="00DC5D9C"/>
    <w:rsid w:val="00DC5DC2"/>
    <w:rsid w:val="00DC5E3C"/>
    <w:rsid w:val="00DC5E45"/>
    <w:rsid w:val="00DC5E7A"/>
    <w:rsid w:val="00DC5EC0"/>
    <w:rsid w:val="00DC5F68"/>
    <w:rsid w:val="00DC5F75"/>
    <w:rsid w:val="00DC5F86"/>
    <w:rsid w:val="00DC6061"/>
    <w:rsid w:val="00DC60C1"/>
    <w:rsid w:val="00DC60DC"/>
    <w:rsid w:val="00DC60DF"/>
    <w:rsid w:val="00DC60EF"/>
    <w:rsid w:val="00DC611B"/>
    <w:rsid w:val="00DC612F"/>
    <w:rsid w:val="00DC6156"/>
    <w:rsid w:val="00DC6199"/>
    <w:rsid w:val="00DC61D4"/>
    <w:rsid w:val="00DC61E9"/>
    <w:rsid w:val="00DC6277"/>
    <w:rsid w:val="00DC6295"/>
    <w:rsid w:val="00DC62BC"/>
    <w:rsid w:val="00DC62E0"/>
    <w:rsid w:val="00DC62EB"/>
    <w:rsid w:val="00DC6304"/>
    <w:rsid w:val="00DC6312"/>
    <w:rsid w:val="00DC6320"/>
    <w:rsid w:val="00DC6348"/>
    <w:rsid w:val="00DC634F"/>
    <w:rsid w:val="00DC6357"/>
    <w:rsid w:val="00DC6379"/>
    <w:rsid w:val="00DC638B"/>
    <w:rsid w:val="00DC640D"/>
    <w:rsid w:val="00DC64D0"/>
    <w:rsid w:val="00DC660F"/>
    <w:rsid w:val="00DC6622"/>
    <w:rsid w:val="00DC6689"/>
    <w:rsid w:val="00DC66A1"/>
    <w:rsid w:val="00DC670B"/>
    <w:rsid w:val="00DC6735"/>
    <w:rsid w:val="00DC673A"/>
    <w:rsid w:val="00DC674C"/>
    <w:rsid w:val="00DC6762"/>
    <w:rsid w:val="00DC67B3"/>
    <w:rsid w:val="00DC67F5"/>
    <w:rsid w:val="00DC6827"/>
    <w:rsid w:val="00DC6851"/>
    <w:rsid w:val="00DC6856"/>
    <w:rsid w:val="00DC6866"/>
    <w:rsid w:val="00DC68C9"/>
    <w:rsid w:val="00DC691F"/>
    <w:rsid w:val="00DC6949"/>
    <w:rsid w:val="00DC695B"/>
    <w:rsid w:val="00DC696F"/>
    <w:rsid w:val="00DC6984"/>
    <w:rsid w:val="00DC6A2F"/>
    <w:rsid w:val="00DC6AA8"/>
    <w:rsid w:val="00DC6B2D"/>
    <w:rsid w:val="00DC6B48"/>
    <w:rsid w:val="00DC6BE3"/>
    <w:rsid w:val="00DC6C10"/>
    <w:rsid w:val="00DC6C21"/>
    <w:rsid w:val="00DC6C28"/>
    <w:rsid w:val="00DC6C73"/>
    <w:rsid w:val="00DC6C8F"/>
    <w:rsid w:val="00DC6D0D"/>
    <w:rsid w:val="00DC6D24"/>
    <w:rsid w:val="00DC6D80"/>
    <w:rsid w:val="00DC6DA8"/>
    <w:rsid w:val="00DC6DC0"/>
    <w:rsid w:val="00DC6DC1"/>
    <w:rsid w:val="00DC6DDA"/>
    <w:rsid w:val="00DC6E48"/>
    <w:rsid w:val="00DC6E4C"/>
    <w:rsid w:val="00DC6E4E"/>
    <w:rsid w:val="00DC6E61"/>
    <w:rsid w:val="00DC6EA9"/>
    <w:rsid w:val="00DC6F52"/>
    <w:rsid w:val="00DC6F6A"/>
    <w:rsid w:val="00DC6F91"/>
    <w:rsid w:val="00DC6FA0"/>
    <w:rsid w:val="00DC704C"/>
    <w:rsid w:val="00DC704E"/>
    <w:rsid w:val="00DC7069"/>
    <w:rsid w:val="00DC7071"/>
    <w:rsid w:val="00DC70D4"/>
    <w:rsid w:val="00DC70F2"/>
    <w:rsid w:val="00DC710D"/>
    <w:rsid w:val="00DC716E"/>
    <w:rsid w:val="00DC7187"/>
    <w:rsid w:val="00DC71E4"/>
    <w:rsid w:val="00DC7222"/>
    <w:rsid w:val="00DC722D"/>
    <w:rsid w:val="00DC7271"/>
    <w:rsid w:val="00DC72A2"/>
    <w:rsid w:val="00DC72E8"/>
    <w:rsid w:val="00DC72F2"/>
    <w:rsid w:val="00DC736B"/>
    <w:rsid w:val="00DC736E"/>
    <w:rsid w:val="00DC740E"/>
    <w:rsid w:val="00DC7434"/>
    <w:rsid w:val="00DC7463"/>
    <w:rsid w:val="00DC749E"/>
    <w:rsid w:val="00DC74B0"/>
    <w:rsid w:val="00DC750A"/>
    <w:rsid w:val="00DC752B"/>
    <w:rsid w:val="00DC7565"/>
    <w:rsid w:val="00DC75B7"/>
    <w:rsid w:val="00DC75BB"/>
    <w:rsid w:val="00DC7614"/>
    <w:rsid w:val="00DC7620"/>
    <w:rsid w:val="00DC763B"/>
    <w:rsid w:val="00DC7684"/>
    <w:rsid w:val="00DC76AB"/>
    <w:rsid w:val="00DC76AF"/>
    <w:rsid w:val="00DC76E4"/>
    <w:rsid w:val="00DC7724"/>
    <w:rsid w:val="00DC7740"/>
    <w:rsid w:val="00DC7758"/>
    <w:rsid w:val="00DC77B2"/>
    <w:rsid w:val="00DC7857"/>
    <w:rsid w:val="00DC7886"/>
    <w:rsid w:val="00DC789D"/>
    <w:rsid w:val="00DC78B1"/>
    <w:rsid w:val="00DC78BE"/>
    <w:rsid w:val="00DC78D6"/>
    <w:rsid w:val="00DC78E1"/>
    <w:rsid w:val="00DC78F9"/>
    <w:rsid w:val="00DC78FD"/>
    <w:rsid w:val="00DC791F"/>
    <w:rsid w:val="00DC794F"/>
    <w:rsid w:val="00DC798B"/>
    <w:rsid w:val="00DC79B1"/>
    <w:rsid w:val="00DC7A87"/>
    <w:rsid w:val="00DC7A9D"/>
    <w:rsid w:val="00DC7ADE"/>
    <w:rsid w:val="00DC7B4C"/>
    <w:rsid w:val="00DC7B93"/>
    <w:rsid w:val="00DC7DA1"/>
    <w:rsid w:val="00DC7DBC"/>
    <w:rsid w:val="00DC7DF6"/>
    <w:rsid w:val="00DC7E4A"/>
    <w:rsid w:val="00DC7E85"/>
    <w:rsid w:val="00DC7EE1"/>
    <w:rsid w:val="00DC7F0A"/>
    <w:rsid w:val="00DC7F67"/>
    <w:rsid w:val="00DC7F9A"/>
    <w:rsid w:val="00DC7FC7"/>
    <w:rsid w:val="00DD0020"/>
    <w:rsid w:val="00DD0084"/>
    <w:rsid w:val="00DD00A5"/>
    <w:rsid w:val="00DD00C7"/>
    <w:rsid w:val="00DD00E1"/>
    <w:rsid w:val="00DD0112"/>
    <w:rsid w:val="00DD0149"/>
    <w:rsid w:val="00DD017D"/>
    <w:rsid w:val="00DD0282"/>
    <w:rsid w:val="00DD02E9"/>
    <w:rsid w:val="00DD02F0"/>
    <w:rsid w:val="00DD0364"/>
    <w:rsid w:val="00DD03EC"/>
    <w:rsid w:val="00DD048A"/>
    <w:rsid w:val="00DD0490"/>
    <w:rsid w:val="00DD04C9"/>
    <w:rsid w:val="00DD04F1"/>
    <w:rsid w:val="00DD04F7"/>
    <w:rsid w:val="00DD0595"/>
    <w:rsid w:val="00DD05CC"/>
    <w:rsid w:val="00DD065B"/>
    <w:rsid w:val="00DD066B"/>
    <w:rsid w:val="00DD068A"/>
    <w:rsid w:val="00DD06C6"/>
    <w:rsid w:val="00DD070D"/>
    <w:rsid w:val="00DD0718"/>
    <w:rsid w:val="00DD0724"/>
    <w:rsid w:val="00DD0752"/>
    <w:rsid w:val="00DD0767"/>
    <w:rsid w:val="00DD079B"/>
    <w:rsid w:val="00DD07A3"/>
    <w:rsid w:val="00DD07AA"/>
    <w:rsid w:val="00DD07AB"/>
    <w:rsid w:val="00DD0838"/>
    <w:rsid w:val="00DD085D"/>
    <w:rsid w:val="00DD08BB"/>
    <w:rsid w:val="00DD092B"/>
    <w:rsid w:val="00DD095B"/>
    <w:rsid w:val="00DD099C"/>
    <w:rsid w:val="00DD09BA"/>
    <w:rsid w:val="00DD09C3"/>
    <w:rsid w:val="00DD09E2"/>
    <w:rsid w:val="00DD09EC"/>
    <w:rsid w:val="00DD0AD2"/>
    <w:rsid w:val="00DD0B03"/>
    <w:rsid w:val="00DD0B1B"/>
    <w:rsid w:val="00DD0B33"/>
    <w:rsid w:val="00DD0B3E"/>
    <w:rsid w:val="00DD0B43"/>
    <w:rsid w:val="00DD0B70"/>
    <w:rsid w:val="00DD0BA9"/>
    <w:rsid w:val="00DD0BB8"/>
    <w:rsid w:val="00DD0BCB"/>
    <w:rsid w:val="00DD0BF3"/>
    <w:rsid w:val="00DD0C01"/>
    <w:rsid w:val="00DD0C24"/>
    <w:rsid w:val="00DD0C2E"/>
    <w:rsid w:val="00DD0D51"/>
    <w:rsid w:val="00DD0D86"/>
    <w:rsid w:val="00DD0DD4"/>
    <w:rsid w:val="00DD0E5C"/>
    <w:rsid w:val="00DD0E99"/>
    <w:rsid w:val="00DD0EB2"/>
    <w:rsid w:val="00DD0ED1"/>
    <w:rsid w:val="00DD0ED3"/>
    <w:rsid w:val="00DD0EF5"/>
    <w:rsid w:val="00DD0F0C"/>
    <w:rsid w:val="00DD0FC4"/>
    <w:rsid w:val="00DD0FE0"/>
    <w:rsid w:val="00DD108D"/>
    <w:rsid w:val="00DD11A0"/>
    <w:rsid w:val="00DD1219"/>
    <w:rsid w:val="00DD1296"/>
    <w:rsid w:val="00DD12A0"/>
    <w:rsid w:val="00DD12D0"/>
    <w:rsid w:val="00DD12DC"/>
    <w:rsid w:val="00DD13D6"/>
    <w:rsid w:val="00DD13EB"/>
    <w:rsid w:val="00DD149D"/>
    <w:rsid w:val="00DD14A3"/>
    <w:rsid w:val="00DD153F"/>
    <w:rsid w:val="00DD1544"/>
    <w:rsid w:val="00DD1551"/>
    <w:rsid w:val="00DD1567"/>
    <w:rsid w:val="00DD156A"/>
    <w:rsid w:val="00DD15CC"/>
    <w:rsid w:val="00DD1611"/>
    <w:rsid w:val="00DD16A1"/>
    <w:rsid w:val="00DD1701"/>
    <w:rsid w:val="00DD1718"/>
    <w:rsid w:val="00DD1784"/>
    <w:rsid w:val="00DD1796"/>
    <w:rsid w:val="00DD180A"/>
    <w:rsid w:val="00DD1883"/>
    <w:rsid w:val="00DD1897"/>
    <w:rsid w:val="00DD194E"/>
    <w:rsid w:val="00DD1981"/>
    <w:rsid w:val="00DD1A6A"/>
    <w:rsid w:val="00DD1A8B"/>
    <w:rsid w:val="00DD1A95"/>
    <w:rsid w:val="00DD1AD5"/>
    <w:rsid w:val="00DD1B00"/>
    <w:rsid w:val="00DD1B31"/>
    <w:rsid w:val="00DD1BEC"/>
    <w:rsid w:val="00DD1BF8"/>
    <w:rsid w:val="00DD1C25"/>
    <w:rsid w:val="00DD1C2A"/>
    <w:rsid w:val="00DD1C3D"/>
    <w:rsid w:val="00DD1C4B"/>
    <w:rsid w:val="00DD1CAA"/>
    <w:rsid w:val="00DD1CC4"/>
    <w:rsid w:val="00DD1CF3"/>
    <w:rsid w:val="00DD1D6A"/>
    <w:rsid w:val="00DD1D6F"/>
    <w:rsid w:val="00DD1D8E"/>
    <w:rsid w:val="00DD1D95"/>
    <w:rsid w:val="00DD1DCF"/>
    <w:rsid w:val="00DD1DF0"/>
    <w:rsid w:val="00DD1E08"/>
    <w:rsid w:val="00DD1EA9"/>
    <w:rsid w:val="00DD1EE0"/>
    <w:rsid w:val="00DD1EEE"/>
    <w:rsid w:val="00DD1F8A"/>
    <w:rsid w:val="00DD1FD7"/>
    <w:rsid w:val="00DD2004"/>
    <w:rsid w:val="00DD2026"/>
    <w:rsid w:val="00DD203E"/>
    <w:rsid w:val="00DD2040"/>
    <w:rsid w:val="00DD2055"/>
    <w:rsid w:val="00DD2095"/>
    <w:rsid w:val="00DD20FE"/>
    <w:rsid w:val="00DD2163"/>
    <w:rsid w:val="00DD2179"/>
    <w:rsid w:val="00DD21EC"/>
    <w:rsid w:val="00DD2221"/>
    <w:rsid w:val="00DD2237"/>
    <w:rsid w:val="00DD224E"/>
    <w:rsid w:val="00DD227F"/>
    <w:rsid w:val="00DD22F7"/>
    <w:rsid w:val="00DD22FC"/>
    <w:rsid w:val="00DD23DA"/>
    <w:rsid w:val="00DD2409"/>
    <w:rsid w:val="00DD243A"/>
    <w:rsid w:val="00DD2487"/>
    <w:rsid w:val="00DD2512"/>
    <w:rsid w:val="00DD255C"/>
    <w:rsid w:val="00DD2569"/>
    <w:rsid w:val="00DD25EE"/>
    <w:rsid w:val="00DD265C"/>
    <w:rsid w:val="00DD2680"/>
    <w:rsid w:val="00DD274C"/>
    <w:rsid w:val="00DD27DA"/>
    <w:rsid w:val="00DD2800"/>
    <w:rsid w:val="00DD2806"/>
    <w:rsid w:val="00DD282F"/>
    <w:rsid w:val="00DD2865"/>
    <w:rsid w:val="00DD29C3"/>
    <w:rsid w:val="00DD29F1"/>
    <w:rsid w:val="00DD2A18"/>
    <w:rsid w:val="00DD2A93"/>
    <w:rsid w:val="00DD2AB4"/>
    <w:rsid w:val="00DD2B50"/>
    <w:rsid w:val="00DD2B51"/>
    <w:rsid w:val="00DD2B9A"/>
    <w:rsid w:val="00DD2BE2"/>
    <w:rsid w:val="00DD2C70"/>
    <w:rsid w:val="00DD2D34"/>
    <w:rsid w:val="00DD2D3A"/>
    <w:rsid w:val="00DD2D6C"/>
    <w:rsid w:val="00DD2E39"/>
    <w:rsid w:val="00DD2EA3"/>
    <w:rsid w:val="00DD2EA7"/>
    <w:rsid w:val="00DD2ECE"/>
    <w:rsid w:val="00DD2EF2"/>
    <w:rsid w:val="00DD2F25"/>
    <w:rsid w:val="00DD2F6A"/>
    <w:rsid w:val="00DD2FA5"/>
    <w:rsid w:val="00DD310A"/>
    <w:rsid w:val="00DD310F"/>
    <w:rsid w:val="00DD3126"/>
    <w:rsid w:val="00DD3133"/>
    <w:rsid w:val="00DD3149"/>
    <w:rsid w:val="00DD3186"/>
    <w:rsid w:val="00DD31E8"/>
    <w:rsid w:val="00DD31F4"/>
    <w:rsid w:val="00DD32A7"/>
    <w:rsid w:val="00DD32A9"/>
    <w:rsid w:val="00DD32FE"/>
    <w:rsid w:val="00DD336B"/>
    <w:rsid w:val="00DD3395"/>
    <w:rsid w:val="00DD33D3"/>
    <w:rsid w:val="00DD33DE"/>
    <w:rsid w:val="00DD3412"/>
    <w:rsid w:val="00DD3416"/>
    <w:rsid w:val="00DD347B"/>
    <w:rsid w:val="00DD34B4"/>
    <w:rsid w:val="00DD34C1"/>
    <w:rsid w:val="00DD34EC"/>
    <w:rsid w:val="00DD354B"/>
    <w:rsid w:val="00DD35C3"/>
    <w:rsid w:val="00DD35CE"/>
    <w:rsid w:val="00DD35F8"/>
    <w:rsid w:val="00DD3637"/>
    <w:rsid w:val="00DD3698"/>
    <w:rsid w:val="00DD36BE"/>
    <w:rsid w:val="00DD36D2"/>
    <w:rsid w:val="00DD36F9"/>
    <w:rsid w:val="00DD3719"/>
    <w:rsid w:val="00DD3775"/>
    <w:rsid w:val="00DD3799"/>
    <w:rsid w:val="00DD37DA"/>
    <w:rsid w:val="00DD383C"/>
    <w:rsid w:val="00DD3AD5"/>
    <w:rsid w:val="00DD3AEA"/>
    <w:rsid w:val="00DD3B27"/>
    <w:rsid w:val="00DD3B40"/>
    <w:rsid w:val="00DD3C43"/>
    <w:rsid w:val="00DD3C6F"/>
    <w:rsid w:val="00DD3C93"/>
    <w:rsid w:val="00DD3C94"/>
    <w:rsid w:val="00DD3D33"/>
    <w:rsid w:val="00DD3D57"/>
    <w:rsid w:val="00DD3D72"/>
    <w:rsid w:val="00DD3DAD"/>
    <w:rsid w:val="00DD3DC3"/>
    <w:rsid w:val="00DD3DEB"/>
    <w:rsid w:val="00DD3E49"/>
    <w:rsid w:val="00DD3EB7"/>
    <w:rsid w:val="00DD4075"/>
    <w:rsid w:val="00DD40B3"/>
    <w:rsid w:val="00DD4171"/>
    <w:rsid w:val="00DD42B5"/>
    <w:rsid w:val="00DD43BA"/>
    <w:rsid w:val="00DD43BF"/>
    <w:rsid w:val="00DD445E"/>
    <w:rsid w:val="00DD4467"/>
    <w:rsid w:val="00DD449A"/>
    <w:rsid w:val="00DD4534"/>
    <w:rsid w:val="00DD4536"/>
    <w:rsid w:val="00DD4553"/>
    <w:rsid w:val="00DD4563"/>
    <w:rsid w:val="00DD45C1"/>
    <w:rsid w:val="00DD463E"/>
    <w:rsid w:val="00DD465C"/>
    <w:rsid w:val="00DD4686"/>
    <w:rsid w:val="00DD4695"/>
    <w:rsid w:val="00DD46BB"/>
    <w:rsid w:val="00DD472B"/>
    <w:rsid w:val="00DD476B"/>
    <w:rsid w:val="00DD4841"/>
    <w:rsid w:val="00DD4844"/>
    <w:rsid w:val="00DD491A"/>
    <w:rsid w:val="00DD4948"/>
    <w:rsid w:val="00DD494E"/>
    <w:rsid w:val="00DD496A"/>
    <w:rsid w:val="00DD4975"/>
    <w:rsid w:val="00DD49A7"/>
    <w:rsid w:val="00DD49B4"/>
    <w:rsid w:val="00DD4A67"/>
    <w:rsid w:val="00DD4AAA"/>
    <w:rsid w:val="00DD4AC5"/>
    <w:rsid w:val="00DD4AD3"/>
    <w:rsid w:val="00DD4B00"/>
    <w:rsid w:val="00DD4BBD"/>
    <w:rsid w:val="00DD4BCD"/>
    <w:rsid w:val="00DD4BE5"/>
    <w:rsid w:val="00DD4C2A"/>
    <w:rsid w:val="00DD4C40"/>
    <w:rsid w:val="00DD4C86"/>
    <w:rsid w:val="00DD4D53"/>
    <w:rsid w:val="00DD4D75"/>
    <w:rsid w:val="00DD4DC2"/>
    <w:rsid w:val="00DD4E02"/>
    <w:rsid w:val="00DD4E25"/>
    <w:rsid w:val="00DD4E52"/>
    <w:rsid w:val="00DD4E7C"/>
    <w:rsid w:val="00DD4E9A"/>
    <w:rsid w:val="00DD4EC4"/>
    <w:rsid w:val="00DD4FD0"/>
    <w:rsid w:val="00DD4FE0"/>
    <w:rsid w:val="00DD5032"/>
    <w:rsid w:val="00DD5049"/>
    <w:rsid w:val="00DD509C"/>
    <w:rsid w:val="00DD50AA"/>
    <w:rsid w:val="00DD5101"/>
    <w:rsid w:val="00DD5191"/>
    <w:rsid w:val="00DD5196"/>
    <w:rsid w:val="00DD51A0"/>
    <w:rsid w:val="00DD5231"/>
    <w:rsid w:val="00DD5263"/>
    <w:rsid w:val="00DD5289"/>
    <w:rsid w:val="00DD528E"/>
    <w:rsid w:val="00DD52B0"/>
    <w:rsid w:val="00DD52F9"/>
    <w:rsid w:val="00DD5393"/>
    <w:rsid w:val="00DD5405"/>
    <w:rsid w:val="00DD544A"/>
    <w:rsid w:val="00DD544C"/>
    <w:rsid w:val="00DD546D"/>
    <w:rsid w:val="00DD5482"/>
    <w:rsid w:val="00DD549B"/>
    <w:rsid w:val="00DD54AA"/>
    <w:rsid w:val="00DD54BE"/>
    <w:rsid w:val="00DD54C6"/>
    <w:rsid w:val="00DD54E7"/>
    <w:rsid w:val="00DD54E8"/>
    <w:rsid w:val="00DD55AA"/>
    <w:rsid w:val="00DD55B0"/>
    <w:rsid w:val="00DD55FD"/>
    <w:rsid w:val="00DD5604"/>
    <w:rsid w:val="00DD5690"/>
    <w:rsid w:val="00DD5698"/>
    <w:rsid w:val="00DD56AE"/>
    <w:rsid w:val="00DD56E3"/>
    <w:rsid w:val="00DD5716"/>
    <w:rsid w:val="00DD5769"/>
    <w:rsid w:val="00DD5793"/>
    <w:rsid w:val="00DD579D"/>
    <w:rsid w:val="00DD579F"/>
    <w:rsid w:val="00DD57CA"/>
    <w:rsid w:val="00DD581B"/>
    <w:rsid w:val="00DD5825"/>
    <w:rsid w:val="00DD589F"/>
    <w:rsid w:val="00DD58B4"/>
    <w:rsid w:val="00DD58C3"/>
    <w:rsid w:val="00DD596A"/>
    <w:rsid w:val="00DD59A0"/>
    <w:rsid w:val="00DD59A1"/>
    <w:rsid w:val="00DD59A3"/>
    <w:rsid w:val="00DD59C8"/>
    <w:rsid w:val="00DD59D5"/>
    <w:rsid w:val="00DD5A01"/>
    <w:rsid w:val="00DD5A05"/>
    <w:rsid w:val="00DD5A35"/>
    <w:rsid w:val="00DD5A69"/>
    <w:rsid w:val="00DD5A6B"/>
    <w:rsid w:val="00DD5A6F"/>
    <w:rsid w:val="00DD5AA7"/>
    <w:rsid w:val="00DD5AB8"/>
    <w:rsid w:val="00DD5ACF"/>
    <w:rsid w:val="00DD5AF9"/>
    <w:rsid w:val="00DD5BDE"/>
    <w:rsid w:val="00DD5BE9"/>
    <w:rsid w:val="00DD5C87"/>
    <w:rsid w:val="00DD5CA5"/>
    <w:rsid w:val="00DD5D82"/>
    <w:rsid w:val="00DD5DA2"/>
    <w:rsid w:val="00DD5DBC"/>
    <w:rsid w:val="00DD5DE3"/>
    <w:rsid w:val="00DD5E88"/>
    <w:rsid w:val="00DD5EA8"/>
    <w:rsid w:val="00DD5EE9"/>
    <w:rsid w:val="00DD5F6E"/>
    <w:rsid w:val="00DD5F88"/>
    <w:rsid w:val="00DD5F95"/>
    <w:rsid w:val="00DD5FA1"/>
    <w:rsid w:val="00DD5FDD"/>
    <w:rsid w:val="00DD600E"/>
    <w:rsid w:val="00DD603F"/>
    <w:rsid w:val="00DD61DC"/>
    <w:rsid w:val="00DD61E3"/>
    <w:rsid w:val="00DD6259"/>
    <w:rsid w:val="00DD6269"/>
    <w:rsid w:val="00DD630F"/>
    <w:rsid w:val="00DD6311"/>
    <w:rsid w:val="00DD633C"/>
    <w:rsid w:val="00DD6468"/>
    <w:rsid w:val="00DD6472"/>
    <w:rsid w:val="00DD647A"/>
    <w:rsid w:val="00DD64FE"/>
    <w:rsid w:val="00DD6598"/>
    <w:rsid w:val="00DD6622"/>
    <w:rsid w:val="00DD668C"/>
    <w:rsid w:val="00DD6692"/>
    <w:rsid w:val="00DD66A5"/>
    <w:rsid w:val="00DD675F"/>
    <w:rsid w:val="00DD67B6"/>
    <w:rsid w:val="00DD68A5"/>
    <w:rsid w:val="00DD68B7"/>
    <w:rsid w:val="00DD68E1"/>
    <w:rsid w:val="00DD68EE"/>
    <w:rsid w:val="00DD690B"/>
    <w:rsid w:val="00DD6925"/>
    <w:rsid w:val="00DD6962"/>
    <w:rsid w:val="00DD6966"/>
    <w:rsid w:val="00DD697F"/>
    <w:rsid w:val="00DD6991"/>
    <w:rsid w:val="00DD69BC"/>
    <w:rsid w:val="00DD69C2"/>
    <w:rsid w:val="00DD69E2"/>
    <w:rsid w:val="00DD69FB"/>
    <w:rsid w:val="00DD6A64"/>
    <w:rsid w:val="00DD6AC3"/>
    <w:rsid w:val="00DD6ACF"/>
    <w:rsid w:val="00DD6B2B"/>
    <w:rsid w:val="00DD6B34"/>
    <w:rsid w:val="00DD6B63"/>
    <w:rsid w:val="00DD6B69"/>
    <w:rsid w:val="00DD6B70"/>
    <w:rsid w:val="00DD6C39"/>
    <w:rsid w:val="00DD6C6E"/>
    <w:rsid w:val="00DD6D0D"/>
    <w:rsid w:val="00DD6D6E"/>
    <w:rsid w:val="00DD6D72"/>
    <w:rsid w:val="00DD6DFB"/>
    <w:rsid w:val="00DD6E1E"/>
    <w:rsid w:val="00DD6E53"/>
    <w:rsid w:val="00DD6E81"/>
    <w:rsid w:val="00DD6F29"/>
    <w:rsid w:val="00DD70CD"/>
    <w:rsid w:val="00DD711C"/>
    <w:rsid w:val="00DD71B3"/>
    <w:rsid w:val="00DD720A"/>
    <w:rsid w:val="00DD7226"/>
    <w:rsid w:val="00DD723A"/>
    <w:rsid w:val="00DD72C3"/>
    <w:rsid w:val="00DD743E"/>
    <w:rsid w:val="00DD748B"/>
    <w:rsid w:val="00DD752B"/>
    <w:rsid w:val="00DD7566"/>
    <w:rsid w:val="00DD7568"/>
    <w:rsid w:val="00DD757A"/>
    <w:rsid w:val="00DD75AD"/>
    <w:rsid w:val="00DD75CF"/>
    <w:rsid w:val="00DD75F5"/>
    <w:rsid w:val="00DD7741"/>
    <w:rsid w:val="00DD77BA"/>
    <w:rsid w:val="00DD789E"/>
    <w:rsid w:val="00DD78E5"/>
    <w:rsid w:val="00DD7929"/>
    <w:rsid w:val="00DD794D"/>
    <w:rsid w:val="00DD7980"/>
    <w:rsid w:val="00DD79A7"/>
    <w:rsid w:val="00DD79D8"/>
    <w:rsid w:val="00DD7A03"/>
    <w:rsid w:val="00DD7A10"/>
    <w:rsid w:val="00DD7A1E"/>
    <w:rsid w:val="00DD7A43"/>
    <w:rsid w:val="00DD7A8B"/>
    <w:rsid w:val="00DD7A9D"/>
    <w:rsid w:val="00DD7AE7"/>
    <w:rsid w:val="00DD7B0B"/>
    <w:rsid w:val="00DD7B24"/>
    <w:rsid w:val="00DD7B33"/>
    <w:rsid w:val="00DD7C2E"/>
    <w:rsid w:val="00DD7C3A"/>
    <w:rsid w:val="00DD7CDC"/>
    <w:rsid w:val="00DD7CEB"/>
    <w:rsid w:val="00DD7D47"/>
    <w:rsid w:val="00DD7DC3"/>
    <w:rsid w:val="00DD7DDD"/>
    <w:rsid w:val="00DD7E15"/>
    <w:rsid w:val="00DD7EE3"/>
    <w:rsid w:val="00DD7F0E"/>
    <w:rsid w:val="00DD7F29"/>
    <w:rsid w:val="00DD7F94"/>
    <w:rsid w:val="00DE001E"/>
    <w:rsid w:val="00DE002E"/>
    <w:rsid w:val="00DE005B"/>
    <w:rsid w:val="00DE0070"/>
    <w:rsid w:val="00DE00CC"/>
    <w:rsid w:val="00DE00EE"/>
    <w:rsid w:val="00DE010B"/>
    <w:rsid w:val="00DE013A"/>
    <w:rsid w:val="00DE015D"/>
    <w:rsid w:val="00DE0168"/>
    <w:rsid w:val="00DE0173"/>
    <w:rsid w:val="00DE018F"/>
    <w:rsid w:val="00DE01CA"/>
    <w:rsid w:val="00DE01FF"/>
    <w:rsid w:val="00DE0258"/>
    <w:rsid w:val="00DE02AA"/>
    <w:rsid w:val="00DE02DB"/>
    <w:rsid w:val="00DE0362"/>
    <w:rsid w:val="00DE03E9"/>
    <w:rsid w:val="00DE04BB"/>
    <w:rsid w:val="00DE05D9"/>
    <w:rsid w:val="00DE0650"/>
    <w:rsid w:val="00DE0668"/>
    <w:rsid w:val="00DE0698"/>
    <w:rsid w:val="00DE06BC"/>
    <w:rsid w:val="00DE076B"/>
    <w:rsid w:val="00DE078F"/>
    <w:rsid w:val="00DE0792"/>
    <w:rsid w:val="00DE07F8"/>
    <w:rsid w:val="00DE084D"/>
    <w:rsid w:val="00DE085A"/>
    <w:rsid w:val="00DE0885"/>
    <w:rsid w:val="00DE08AE"/>
    <w:rsid w:val="00DE08C7"/>
    <w:rsid w:val="00DE08E9"/>
    <w:rsid w:val="00DE090E"/>
    <w:rsid w:val="00DE0925"/>
    <w:rsid w:val="00DE0932"/>
    <w:rsid w:val="00DE0933"/>
    <w:rsid w:val="00DE093D"/>
    <w:rsid w:val="00DE09C0"/>
    <w:rsid w:val="00DE09FE"/>
    <w:rsid w:val="00DE0A5E"/>
    <w:rsid w:val="00DE0A7F"/>
    <w:rsid w:val="00DE0A88"/>
    <w:rsid w:val="00DE0B20"/>
    <w:rsid w:val="00DE0B2C"/>
    <w:rsid w:val="00DE0B31"/>
    <w:rsid w:val="00DE0CE1"/>
    <w:rsid w:val="00DE0D76"/>
    <w:rsid w:val="00DE0D87"/>
    <w:rsid w:val="00DE0DB4"/>
    <w:rsid w:val="00DE0DED"/>
    <w:rsid w:val="00DE0DFD"/>
    <w:rsid w:val="00DE0E73"/>
    <w:rsid w:val="00DE0EAA"/>
    <w:rsid w:val="00DE0EF4"/>
    <w:rsid w:val="00DE0F2D"/>
    <w:rsid w:val="00DE0F71"/>
    <w:rsid w:val="00DE0FE4"/>
    <w:rsid w:val="00DE0FF6"/>
    <w:rsid w:val="00DE1079"/>
    <w:rsid w:val="00DE10E5"/>
    <w:rsid w:val="00DE1115"/>
    <w:rsid w:val="00DE111C"/>
    <w:rsid w:val="00DE116A"/>
    <w:rsid w:val="00DE11A3"/>
    <w:rsid w:val="00DE11B5"/>
    <w:rsid w:val="00DE11CD"/>
    <w:rsid w:val="00DE11E8"/>
    <w:rsid w:val="00DE11F9"/>
    <w:rsid w:val="00DE126E"/>
    <w:rsid w:val="00DE12EE"/>
    <w:rsid w:val="00DE1300"/>
    <w:rsid w:val="00DE133D"/>
    <w:rsid w:val="00DE133F"/>
    <w:rsid w:val="00DE1353"/>
    <w:rsid w:val="00DE1374"/>
    <w:rsid w:val="00DE1375"/>
    <w:rsid w:val="00DE1390"/>
    <w:rsid w:val="00DE13CB"/>
    <w:rsid w:val="00DE13DB"/>
    <w:rsid w:val="00DE1402"/>
    <w:rsid w:val="00DE1436"/>
    <w:rsid w:val="00DE149D"/>
    <w:rsid w:val="00DE1506"/>
    <w:rsid w:val="00DE150B"/>
    <w:rsid w:val="00DE157C"/>
    <w:rsid w:val="00DE1623"/>
    <w:rsid w:val="00DE16A3"/>
    <w:rsid w:val="00DE16DF"/>
    <w:rsid w:val="00DE1700"/>
    <w:rsid w:val="00DE1726"/>
    <w:rsid w:val="00DE172A"/>
    <w:rsid w:val="00DE172F"/>
    <w:rsid w:val="00DE1733"/>
    <w:rsid w:val="00DE176A"/>
    <w:rsid w:val="00DE1900"/>
    <w:rsid w:val="00DE1972"/>
    <w:rsid w:val="00DE198D"/>
    <w:rsid w:val="00DE19B0"/>
    <w:rsid w:val="00DE19C3"/>
    <w:rsid w:val="00DE1A00"/>
    <w:rsid w:val="00DE1A04"/>
    <w:rsid w:val="00DE1A24"/>
    <w:rsid w:val="00DE1B20"/>
    <w:rsid w:val="00DE1B35"/>
    <w:rsid w:val="00DE1B46"/>
    <w:rsid w:val="00DE1BAE"/>
    <w:rsid w:val="00DE1BB6"/>
    <w:rsid w:val="00DE1BC8"/>
    <w:rsid w:val="00DE1BD7"/>
    <w:rsid w:val="00DE1C23"/>
    <w:rsid w:val="00DE1C49"/>
    <w:rsid w:val="00DE1C71"/>
    <w:rsid w:val="00DE1CE5"/>
    <w:rsid w:val="00DE1D08"/>
    <w:rsid w:val="00DE1DC8"/>
    <w:rsid w:val="00DE1E96"/>
    <w:rsid w:val="00DE1E9A"/>
    <w:rsid w:val="00DE1F01"/>
    <w:rsid w:val="00DE1F6F"/>
    <w:rsid w:val="00DE1F80"/>
    <w:rsid w:val="00DE1F8D"/>
    <w:rsid w:val="00DE202B"/>
    <w:rsid w:val="00DE2121"/>
    <w:rsid w:val="00DE2131"/>
    <w:rsid w:val="00DE2140"/>
    <w:rsid w:val="00DE216F"/>
    <w:rsid w:val="00DE2177"/>
    <w:rsid w:val="00DE2216"/>
    <w:rsid w:val="00DE2229"/>
    <w:rsid w:val="00DE2251"/>
    <w:rsid w:val="00DE227C"/>
    <w:rsid w:val="00DE2287"/>
    <w:rsid w:val="00DE2309"/>
    <w:rsid w:val="00DE234C"/>
    <w:rsid w:val="00DE235D"/>
    <w:rsid w:val="00DE2376"/>
    <w:rsid w:val="00DE23C0"/>
    <w:rsid w:val="00DE23F5"/>
    <w:rsid w:val="00DE240A"/>
    <w:rsid w:val="00DE24F9"/>
    <w:rsid w:val="00DE2556"/>
    <w:rsid w:val="00DE25AC"/>
    <w:rsid w:val="00DE25C9"/>
    <w:rsid w:val="00DE2611"/>
    <w:rsid w:val="00DE2664"/>
    <w:rsid w:val="00DE268F"/>
    <w:rsid w:val="00DE2695"/>
    <w:rsid w:val="00DE26CD"/>
    <w:rsid w:val="00DE26DF"/>
    <w:rsid w:val="00DE26F1"/>
    <w:rsid w:val="00DE271C"/>
    <w:rsid w:val="00DE276E"/>
    <w:rsid w:val="00DE277C"/>
    <w:rsid w:val="00DE2786"/>
    <w:rsid w:val="00DE2840"/>
    <w:rsid w:val="00DE284C"/>
    <w:rsid w:val="00DE288C"/>
    <w:rsid w:val="00DE289D"/>
    <w:rsid w:val="00DE28D0"/>
    <w:rsid w:val="00DE2917"/>
    <w:rsid w:val="00DE2973"/>
    <w:rsid w:val="00DE297C"/>
    <w:rsid w:val="00DE2993"/>
    <w:rsid w:val="00DE2ABF"/>
    <w:rsid w:val="00DE2B11"/>
    <w:rsid w:val="00DE2B32"/>
    <w:rsid w:val="00DE2B4F"/>
    <w:rsid w:val="00DE2C03"/>
    <w:rsid w:val="00DE2C25"/>
    <w:rsid w:val="00DE2C43"/>
    <w:rsid w:val="00DE2C87"/>
    <w:rsid w:val="00DE2CA7"/>
    <w:rsid w:val="00DE2CBE"/>
    <w:rsid w:val="00DE2CDB"/>
    <w:rsid w:val="00DE2D03"/>
    <w:rsid w:val="00DE2DEE"/>
    <w:rsid w:val="00DE2E06"/>
    <w:rsid w:val="00DE2E5C"/>
    <w:rsid w:val="00DE2EC8"/>
    <w:rsid w:val="00DE2F28"/>
    <w:rsid w:val="00DE2F2D"/>
    <w:rsid w:val="00DE2F96"/>
    <w:rsid w:val="00DE2FC9"/>
    <w:rsid w:val="00DE2FCD"/>
    <w:rsid w:val="00DE3014"/>
    <w:rsid w:val="00DE302D"/>
    <w:rsid w:val="00DE3055"/>
    <w:rsid w:val="00DE30C2"/>
    <w:rsid w:val="00DE30CB"/>
    <w:rsid w:val="00DE30F7"/>
    <w:rsid w:val="00DE320D"/>
    <w:rsid w:val="00DE321B"/>
    <w:rsid w:val="00DE3224"/>
    <w:rsid w:val="00DE325F"/>
    <w:rsid w:val="00DE32B3"/>
    <w:rsid w:val="00DE32B7"/>
    <w:rsid w:val="00DE3390"/>
    <w:rsid w:val="00DE3398"/>
    <w:rsid w:val="00DE33FD"/>
    <w:rsid w:val="00DE3404"/>
    <w:rsid w:val="00DE3425"/>
    <w:rsid w:val="00DE3462"/>
    <w:rsid w:val="00DE3468"/>
    <w:rsid w:val="00DE3478"/>
    <w:rsid w:val="00DE34A5"/>
    <w:rsid w:val="00DE34AA"/>
    <w:rsid w:val="00DE34EA"/>
    <w:rsid w:val="00DE3527"/>
    <w:rsid w:val="00DE3583"/>
    <w:rsid w:val="00DE3595"/>
    <w:rsid w:val="00DE360B"/>
    <w:rsid w:val="00DE3629"/>
    <w:rsid w:val="00DE3642"/>
    <w:rsid w:val="00DE3663"/>
    <w:rsid w:val="00DE36C1"/>
    <w:rsid w:val="00DE3874"/>
    <w:rsid w:val="00DE390D"/>
    <w:rsid w:val="00DE399D"/>
    <w:rsid w:val="00DE3A58"/>
    <w:rsid w:val="00DE3A6A"/>
    <w:rsid w:val="00DE3AAB"/>
    <w:rsid w:val="00DE3B5B"/>
    <w:rsid w:val="00DE3B82"/>
    <w:rsid w:val="00DE3BB1"/>
    <w:rsid w:val="00DE3BD8"/>
    <w:rsid w:val="00DE3C2C"/>
    <w:rsid w:val="00DE3C6B"/>
    <w:rsid w:val="00DE3C71"/>
    <w:rsid w:val="00DE3C75"/>
    <w:rsid w:val="00DE3C77"/>
    <w:rsid w:val="00DE3D44"/>
    <w:rsid w:val="00DE3E0B"/>
    <w:rsid w:val="00DE3E17"/>
    <w:rsid w:val="00DE3E23"/>
    <w:rsid w:val="00DE3E32"/>
    <w:rsid w:val="00DE3E3B"/>
    <w:rsid w:val="00DE3E59"/>
    <w:rsid w:val="00DE3EA2"/>
    <w:rsid w:val="00DE3EF4"/>
    <w:rsid w:val="00DE3F35"/>
    <w:rsid w:val="00DE3F42"/>
    <w:rsid w:val="00DE3FF7"/>
    <w:rsid w:val="00DE4056"/>
    <w:rsid w:val="00DE4146"/>
    <w:rsid w:val="00DE4185"/>
    <w:rsid w:val="00DE423F"/>
    <w:rsid w:val="00DE42F2"/>
    <w:rsid w:val="00DE436F"/>
    <w:rsid w:val="00DE4384"/>
    <w:rsid w:val="00DE4445"/>
    <w:rsid w:val="00DE44A7"/>
    <w:rsid w:val="00DE453F"/>
    <w:rsid w:val="00DE4577"/>
    <w:rsid w:val="00DE45FE"/>
    <w:rsid w:val="00DE4608"/>
    <w:rsid w:val="00DE4610"/>
    <w:rsid w:val="00DE462F"/>
    <w:rsid w:val="00DE463D"/>
    <w:rsid w:val="00DE4690"/>
    <w:rsid w:val="00DE46F4"/>
    <w:rsid w:val="00DE476E"/>
    <w:rsid w:val="00DE48AD"/>
    <w:rsid w:val="00DE48AF"/>
    <w:rsid w:val="00DE48E3"/>
    <w:rsid w:val="00DE48E7"/>
    <w:rsid w:val="00DE4978"/>
    <w:rsid w:val="00DE49AB"/>
    <w:rsid w:val="00DE49EB"/>
    <w:rsid w:val="00DE4AAB"/>
    <w:rsid w:val="00DE4AF0"/>
    <w:rsid w:val="00DE4B00"/>
    <w:rsid w:val="00DE4B09"/>
    <w:rsid w:val="00DE4B30"/>
    <w:rsid w:val="00DE4B4D"/>
    <w:rsid w:val="00DE4B5E"/>
    <w:rsid w:val="00DE4C03"/>
    <w:rsid w:val="00DE4C1B"/>
    <w:rsid w:val="00DE4C2E"/>
    <w:rsid w:val="00DE4C99"/>
    <w:rsid w:val="00DE4D6E"/>
    <w:rsid w:val="00DE4D88"/>
    <w:rsid w:val="00DE4DC3"/>
    <w:rsid w:val="00DE4DD5"/>
    <w:rsid w:val="00DE4DF6"/>
    <w:rsid w:val="00DE4EC2"/>
    <w:rsid w:val="00DE4F49"/>
    <w:rsid w:val="00DE4FB1"/>
    <w:rsid w:val="00DE4FCE"/>
    <w:rsid w:val="00DE5009"/>
    <w:rsid w:val="00DE5079"/>
    <w:rsid w:val="00DE509E"/>
    <w:rsid w:val="00DE5114"/>
    <w:rsid w:val="00DE512A"/>
    <w:rsid w:val="00DE513A"/>
    <w:rsid w:val="00DE514C"/>
    <w:rsid w:val="00DE51FD"/>
    <w:rsid w:val="00DE5291"/>
    <w:rsid w:val="00DE5346"/>
    <w:rsid w:val="00DE5391"/>
    <w:rsid w:val="00DE53C4"/>
    <w:rsid w:val="00DE540E"/>
    <w:rsid w:val="00DE54FC"/>
    <w:rsid w:val="00DE55B5"/>
    <w:rsid w:val="00DE55D7"/>
    <w:rsid w:val="00DE569A"/>
    <w:rsid w:val="00DE56CE"/>
    <w:rsid w:val="00DE5703"/>
    <w:rsid w:val="00DE5763"/>
    <w:rsid w:val="00DE5798"/>
    <w:rsid w:val="00DE5831"/>
    <w:rsid w:val="00DE5835"/>
    <w:rsid w:val="00DE58A5"/>
    <w:rsid w:val="00DE58D2"/>
    <w:rsid w:val="00DE58DE"/>
    <w:rsid w:val="00DE5933"/>
    <w:rsid w:val="00DE5A1A"/>
    <w:rsid w:val="00DE5ACC"/>
    <w:rsid w:val="00DE5AE9"/>
    <w:rsid w:val="00DE5AFE"/>
    <w:rsid w:val="00DE5B2E"/>
    <w:rsid w:val="00DE5B41"/>
    <w:rsid w:val="00DE5B4B"/>
    <w:rsid w:val="00DE5B61"/>
    <w:rsid w:val="00DE5B89"/>
    <w:rsid w:val="00DE5B8A"/>
    <w:rsid w:val="00DE5B98"/>
    <w:rsid w:val="00DE5B9F"/>
    <w:rsid w:val="00DE5C26"/>
    <w:rsid w:val="00DE5CC3"/>
    <w:rsid w:val="00DE5D20"/>
    <w:rsid w:val="00DE5D80"/>
    <w:rsid w:val="00DE5D9F"/>
    <w:rsid w:val="00DE5DF1"/>
    <w:rsid w:val="00DE5E14"/>
    <w:rsid w:val="00DE5E92"/>
    <w:rsid w:val="00DE5EBE"/>
    <w:rsid w:val="00DE5EC0"/>
    <w:rsid w:val="00DE5F10"/>
    <w:rsid w:val="00DE5FBB"/>
    <w:rsid w:val="00DE5FE5"/>
    <w:rsid w:val="00DE5FF3"/>
    <w:rsid w:val="00DE609C"/>
    <w:rsid w:val="00DE60DF"/>
    <w:rsid w:val="00DE6126"/>
    <w:rsid w:val="00DE613B"/>
    <w:rsid w:val="00DE6151"/>
    <w:rsid w:val="00DE616B"/>
    <w:rsid w:val="00DE627E"/>
    <w:rsid w:val="00DE630E"/>
    <w:rsid w:val="00DE6354"/>
    <w:rsid w:val="00DE635C"/>
    <w:rsid w:val="00DE63AB"/>
    <w:rsid w:val="00DE6406"/>
    <w:rsid w:val="00DE6430"/>
    <w:rsid w:val="00DE6441"/>
    <w:rsid w:val="00DE650E"/>
    <w:rsid w:val="00DE650F"/>
    <w:rsid w:val="00DE651E"/>
    <w:rsid w:val="00DE653B"/>
    <w:rsid w:val="00DE6545"/>
    <w:rsid w:val="00DE6568"/>
    <w:rsid w:val="00DE6579"/>
    <w:rsid w:val="00DE6617"/>
    <w:rsid w:val="00DE66F0"/>
    <w:rsid w:val="00DE6714"/>
    <w:rsid w:val="00DE671F"/>
    <w:rsid w:val="00DE6741"/>
    <w:rsid w:val="00DE6789"/>
    <w:rsid w:val="00DE6796"/>
    <w:rsid w:val="00DE679A"/>
    <w:rsid w:val="00DE679B"/>
    <w:rsid w:val="00DE680D"/>
    <w:rsid w:val="00DE6834"/>
    <w:rsid w:val="00DE6839"/>
    <w:rsid w:val="00DE6865"/>
    <w:rsid w:val="00DE686B"/>
    <w:rsid w:val="00DE68DD"/>
    <w:rsid w:val="00DE6937"/>
    <w:rsid w:val="00DE6A6D"/>
    <w:rsid w:val="00DE6A7A"/>
    <w:rsid w:val="00DE6A8D"/>
    <w:rsid w:val="00DE6AFF"/>
    <w:rsid w:val="00DE6B3D"/>
    <w:rsid w:val="00DE6B5C"/>
    <w:rsid w:val="00DE6C0B"/>
    <w:rsid w:val="00DE6C3A"/>
    <w:rsid w:val="00DE6C64"/>
    <w:rsid w:val="00DE6C78"/>
    <w:rsid w:val="00DE6C87"/>
    <w:rsid w:val="00DE6CE2"/>
    <w:rsid w:val="00DE6CFC"/>
    <w:rsid w:val="00DE6D47"/>
    <w:rsid w:val="00DE6D59"/>
    <w:rsid w:val="00DE6D74"/>
    <w:rsid w:val="00DE6EB4"/>
    <w:rsid w:val="00DE6EC9"/>
    <w:rsid w:val="00DE6F02"/>
    <w:rsid w:val="00DE6F05"/>
    <w:rsid w:val="00DE6F19"/>
    <w:rsid w:val="00DE6F1E"/>
    <w:rsid w:val="00DE6F3F"/>
    <w:rsid w:val="00DE6FA0"/>
    <w:rsid w:val="00DE6FC2"/>
    <w:rsid w:val="00DE6FCC"/>
    <w:rsid w:val="00DE6FF5"/>
    <w:rsid w:val="00DE7035"/>
    <w:rsid w:val="00DE7066"/>
    <w:rsid w:val="00DE7097"/>
    <w:rsid w:val="00DE7127"/>
    <w:rsid w:val="00DE7189"/>
    <w:rsid w:val="00DE7331"/>
    <w:rsid w:val="00DE747E"/>
    <w:rsid w:val="00DE74F0"/>
    <w:rsid w:val="00DE7512"/>
    <w:rsid w:val="00DE757A"/>
    <w:rsid w:val="00DE75DC"/>
    <w:rsid w:val="00DE75EA"/>
    <w:rsid w:val="00DE75EE"/>
    <w:rsid w:val="00DE760F"/>
    <w:rsid w:val="00DE7696"/>
    <w:rsid w:val="00DE769F"/>
    <w:rsid w:val="00DE7757"/>
    <w:rsid w:val="00DE7808"/>
    <w:rsid w:val="00DE787D"/>
    <w:rsid w:val="00DE78BA"/>
    <w:rsid w:val="00DE78D5"/>
    <w:rsid w:val="00DE78F6"/>
    <w:rsid w:val="00DE7947"/>
    <w:rsid w:val="00DE796F"/>
    <w:rsid w:val="00DE7974"/>
    <w:rsid w:val="00DE799B"/>
    <w:rsid w:val="00DE79AD"/>
    <w:rsid w:val="00DE7A03"/>
    <w:rsid w:val="00DE7A60"/>
    <w:rsid w:val="00DE7B8C"/>
    <w:rsid w:val="00DE7BA6"/>
    <w:rsid w:val="00DE7BEC"/>
    <w:rsid w:val="00DE7C1B"/>
    <w:rsid w:val="00DE7CEA"/>
    <w:rsid w:val="00DE7D07"/>
    <w:rsid w:val="00DE7D67"/>
    <w:rsid w:val="00DE7D72"/>
    <w:rsid w:val="00DE7D88"/>
    <w:rsid w:val="00DE7DFF"/>
    <w:rsid w:val="00DE7E17"/>
    <w:rsid w:val="00DE7E43"/>
    <w:rsid w:val="00DE7E5B"/>
    <w:rsid w:val="00DE7E70"/>
    <w:rsid w:val="00DE7EE2"/>
    <w:rsid w:val="00DE7F25"/>
    <w:rsid w:val="00DE7F44"/>
    <w:rsid w:val="00DE7FA1"/>
    <w:rsid w:val="00DF00BB"/>
    <w:rsid w:val="00DF00E5"/>
    <w:rsid w:val="00DF00F5"/>
    <w:rsid w:val="00DF00F8"/>
    <w:rsid w:val="00DF020F"/>
    <w:rsid w:val="00DF0213"/>
    <w:rsid w:val="00DF023E"/>
    <w:rsid w:val="00DF0253"/>
    <w:rsid w:val="00DF0270"/>
    <w:rsid w:val="00DF02A9"/>
    <w:rsid w:val="00DF02BF"/>
    <w:rsid w:val="00DF02F5"/>
    <w:rsid w:val="00DF02F8"/>
    <w:rsid w:val="00DF032D"/>
    <w:rsid w:val="00DF0397"/>
    <w:rsid w:val="00DF03DC"/>
    <w:rsid w:val="00DF04E5"/>
    <w:rsid w:val="00DF04FF"/>
    <w:rsid w:val="00DF057F"/>
    <w:rsid w:val="00DF05C8"/>
    <w:rsid w:val="00DF05DB"/>
    <w:rsid w:val="00DF05EA"/>
    <w:rsid w:val="00DF063E"/>
    <w:rsid w:val="00DF0671"/>
    <w:rsid w:val="00DF0687"/>
    <w:rsid w:val="00DF068F"/>
    <w:rsid w:val="00DF0696"/>
    <w:rsid w:val="00DF0700"/>
    <w:rsid w:val="00DF07ED"/>
    <w:rsid w:val="00DF085B"/>
    <w:rsid w:val="00DF0873"/>
    <w:rsid w:val="00DF089E"/>
    <w:rsid w:val="00DF08AD"/>
    <w:rsid w:val="00DF0920"/>
    <w:rsid w:val="00DF0975"/>
    <w:rsid w:val="00DF099C"/>
    <w:rsid w:val="00DF0A4E"/>
    <w:rsid w:val="00DF0ABC"/>
    <w:rsid w:val="00DF0ADD"/>
    <w:rsid w:val="00DF0AFB"/>
    <w:rsid w:val="00DF0B0C"/>
    <w:rsid w:val="00DF0B6D"/>
    <w:rsid w:val="00DF0B7A"/>
    <w:rsid w:val="00DF0BAB"/>
    <w:rsid w:val="00DF0BE8"/>
    <w:rsid w:val="00DF0C15"/>
    <w:rsid w:val="00DF0D22"/>
    <w:rsid w:val="00DF0D54"/>
    <w:rsid w:val="00DF0D6A"/>
    <w:rsid w:val="00DF0D93"/>
    <w:rsid w:val="00DF0D9C"/>
    <w:rsid w:val="00DF0D9F"/>
    <w:rsid w:val="00DF0E3C"/>
    <w:rsid w:val="00DF0E4A"/>
    <w:rsid w:val="00DF0E79"/>
    <w:rsid w:val="00DF0E93"/>
    <w:rsid w:val="00DF0E97"/>
    <w:rsid w:val="00DF0E9E"/>
    <w:rsid w:val="00DF0EC2"/>
    <w:rsid w:val="00DF0F16"/>
    <w:rsid w:val="00DF0F6C"/>
    <w:rsid w:val="00DF0FAD"/>
    <w:rsid w:val="00DF1045"/>
    <w:rsid w:val="00DF1096"/>
    <w:rsid w:val="00DF109B"/>
    <w:rsid w:val="00DF10A4"/>
    <w:rsid w:val="00DF11C3"/>
    <w:rsid w:val="00DF121F"/>
    <w:rsid w:val="00DF1269"/>
    <w:rsid w:val="00DF12B5"/>
    <w:rsid w:val="00DF12F0"/>
    <w:rsid w:val="00DF138E"/>
    <w:rsid w:val="00DF141E"/>
    <w:rsid w:val="00DF142E"/>
    <w:rsid w:val="00DF1440"/>
    <w:rsid w:val="00DF1473"/>
    <w:rsid w:val="00DF1490"/>
    <w:rsid w:val="00DF14BB"/>
    <w:rsid w:val="00DF14D3"/>
    <w:rsid w:val="00DF154F"/>
    <w:rsid w:val="00DF1646"/>
    <w:rsid w:val="00DF1672"/>
    <w:rsid w:val="00DF16DE"/>
    <w:rsid w:val="00DF1738"/>
    <w:rsid w:val="00DF1766"/>
    <w:rsid w:val="00DF17BC"/>
    <w:rsid w:val="00DF17C2"/>
    <w:rsid w:val="00DF1812"/>
    <w:rsid w:val="00DF1816"/>
    <w:rsid w:val="00DF1821"/>
    <w:rsid w:val="00DF188D"/>
    <w:rsid w:val="00DF18B3"/>
    <w:rsid w:val="00DF1968"/>
    <w:rsid w:val="00DF19AD"/>
    <w:rsid w:val="00DF19D7"/>
    <w:rsid w:val="00DF1A42"/>
    <w:rsid w:val="00DF1AA7"/>
    <w:rsid w:val="00DF1B2B"/>
    <w:rsid w:val="00DF1BCB"/>
    <w:rsid w:val="00DF1BF6"/>
    <w:rsid w:val="00DF1C38"/>
    <w:rsid w:val="00DF1CA4"/>
    <w:rsid w:val="00DF1CAD"/>
    <w:rsid w:val="00DF1D5F"/>
    <w:rsid w:val="00DF1DB8"/>
    <w:rsid w:val="00DF1E3C"/>
    <w:rsid w:val="00DF1E5C"/>
    <w:rsid w:val="00DF1E78"/>
    <w:rsid w:val="00DF1E87"/>
    <w:rsid w:val="00DF1EAC"/>
    <w:rsid w:val="00DF1EBF"/>
    <w:rsid w:val="00DF1EE6"/>
    <w:rsid w:val="00DF1F0E"/>
    <w:rsid w:val="00DF1F25"/>
    <w:rsid w:val="00DF1F3C"/>
    <w:rsid w:val="00DF1F44"/>
    <w:rsid w:val="00DF1FB0"/>
    <w:rsid w:val="00DF2054"/>
    <w:rsid w:val="00DF2074"/>
    <w:rsid w:val="00DF20B1"/>
    <w:rsid w:val="00DF20FB"/>
    <w:rsid w:val="00DF21B2"/>
    <w:rsid w:val="00DF21F1"/>
    <w:rsid w:val="00DF2264"/>
    <w:rsid w:val="00DF22E4"/>
    <w:rsid w:val="00DF231C"/>
    <w:rsid w:val="00DF2321"/>
    <w:rsid w:val="00DF2333"/>
    <w:rsid w:val="00DF2336"/>
    <w:rsid w:val="00DF2413"/>
    <w:rsid w:val="00DF244B"/>
    <w:rsid w:val="00DF247B"/>
    <w:rsid w:val="00DF2488"/>
    <w:rsid w:val="00DF25A9"/>
    <w:rsid w:val="00DF25AD"/>
    <w:rsid w:val="00DF2656"/>
    <w:rsid w:val="00DF2658"/>
    <w:rsid w:val="00DF26E0"/>
    <w:rsid w:val="00DF271D"/>
    <w:rsid w:val="00DF2791"/>
    <w:rsid w:val="00DF27B9"/>
    <w:rsid w:val="00DF2888"/>
    <w:rsid w:val="00DF28E2"/>
    <w:rsid w:val="00DF28F2"/>
    <w:rsid w:val="00DF28F6"/>
    <w:rsid w:val="00DF2908"/>
    <w:rsid w:val="00DF296C"/>
    <w:rsid w:val="00DF2975"/>
    <w:rsid w:val="00DF29B6"/>
    <w:rsid w:val="00DF2A97"/>
    <w:rsid w:val="00DF2A9F"/>
    <w:rsid w:val="00DF2B01"/>
    <w:rsid w:val="00DF2B28"/>
    <w:rsid w:val="00DF2B2E"/>
    <w:rsid w:val="00DF2BC4"/>
    <w:rsid w:val="00DF2BC5"/>
    <w:rsid w:val="00DF2C19"/>
    <w:rsid w:val="00DF2C30"/>
    <w:rsid w:val="00DF2D0B"/>
    <w:rsid w:val="00DF2D34"/>
    <w:rsid w:val="00DF2D80"/>
    <w:rsid w:val="00DF2DCD"/>
    <w:rsid w:val="00DF2DDD"/>
    <w:rsid w:val="00DF2DE7"/>
    <w:rsid w:val="00DF2DFE"/>
    <w:rsid w:val="00DF2EB7"/>
    <w:rsid w:val="00DF2ECE"/>
    <w:rsid w:val="00DF2F1F"/>
    <w:rsid w:val="00DF2F3E"/>
    <w:rsid w:val="00DF2FB7"/>
    <w:rsid w:val="00DF3063"/>
    <w:rsid w:val="00DF30F0"/>
    <w:rsid w:val="00DF30F8"/>
    <w:rsid w:val="00DF311A"/>
    <w:rsid w:val="00DF312C"/>
    <w:rsid w:val="00DF316F"/>
    <w:rsid w:val="00DF31CC"/>
    <w:rsid w:val="00DF31D5"/>
    <w:rsid w:val="00DF31FD"/>
    <w:rsid w:val="00DF3200"/>
    <w:rsid w:val="00DF3237"/>
    <w:rsid w:val="00DF32CD"/>
    <w:rsid w:val="00DF330D"/>
    <w:rsid w:val="00DF3323"/>
    <w:rsid w:val="00DF339C"/>
    <w:rsid w:val="00DF33C7"/>
    <w:rsid w:val="00DF33DB"/>
    <w:rsid w:val="00DF33DD"/>
    <w:rsid w:val="00DF3405"/>
    <w:rsid w:val="00DF347A"/>
    <w:rsid w:val="00DF353C"/>
    <w:rsid w:val="00DF3563"/>
    <w:rsid w:val="00DF3582"/>
    <w:rsid w:val="00DF35C0"/>
    <w:rsid w:val="00DF3623"/>
    <w:rsid w:val="00DF3634"/>
    <w:rsid w:val="00DF3636"/>
    <w:rsid w:val="00DF3685"/>
    <w:rsid w:val="00DF36B8"/>
    <w:rsid w:val="00DF36D1"/>
    <w:rsid w:val="00DF36D9"/>
    <w:rsid w:val="00DF3746"/>
    <w:rsid w:val="00DF3787"/>
    <w:rsid w:val="00DF380A"/>
    <w:rsid w:val="00DF381D"/>
    <w:rsid w:val="00DF3880"/>
    <w:rsid w:val="00DF38D3"/>
    <w:rsid w:val="00DF3906"/>
    <w:rsid w:val="00DF392B"/>
    <w:rsid w:val="00DF395D"/>
    <w:rsid w:val="00DF399E"/>
    <w:rsid w:val="00DF3A04"/>
    <w:rsid w:val="00DF3A45"/>
    <w:rsid w:val="00DF3A85"/>
    <w:rsid w:val="00DF3AAA"/>
    <w:rsid w:val="00DF3B48"/>
    <w:rsid w:val="00DF3B50"/>
    <w:rsid w:val="00DF3B96"/>
    <w:rsid w:val="00DF3B9D"/>
    <w:rsid w:val="00DF3BDA"/>
    <w:rsid w:val="00DF3C1C"/>
    <w:rsid w:val="00DF3C24"/>
    <w:rsid w:val="00DF3C41"/>
    <w:rsid w:val="00DF3C48"/>
    <w:rsid w:val="00DF3C8B"/>
    <w:rsid w:val="00DF3CAA"/>
    <w:rsid w:val="00DF3CC1"/>
    <w:rsid w:val="00DF3CE8"/>
    <w:rsid w:val="00DF3D05"/>
    <w:rsid w:val="00DF3D25"/>
    <w:rsid w:val="00DF3DCA"/>
    <w:rsid w:val="00DF3E51"/>
    <w:rsid w:val="00DF3E69"/>
    <w:rsid w:val="00DF3E6D"/>
    <w:rsid w:val="00DF3ECF"/>
    <w:rsid w:val="00DF3F20"/>
    <w:rsid w:val="00DF3F37"/>
    <w:rsid w:val="00DF3FB2"/>
    <w:rsid w:val="00DF3FB5"/>
    <w:rsid w:val="00DF3FD6"/>
    <w:rsid w:val="00DF409C"/>
    <w:rsid w:val="00DF40B7"/>
    <w:rsid w:val="00DF40E1"/>
    <w:rsid w:val="00DF416A"/>
    <w:rsid w:val="00DF4187"/>
    <w:rsid w:val="00DF4195"/>
    <w:rsid w:val="00DF4201"/>
    <w:rsid w:val="00DF4237"/>
    <w:rsid w:val="00DF4285"/>
    <w:rsid w:val="00DF42E7"/>
    <w:rsid w:val="00DF43D0"/>
    <w:rsid w:val="00DF43D8"/>
    <w:rsid w:val="00DF43E8"/>
    <w:rsid w:val="00DF441B"/>
    <w:rsid w:val="00DF4456"/>
    <w:rsid w:val="00DF44A9"/>
    <w:rsid w:val="00DF4567"/>
    <w:rsid w:val="00DF457E"/>
    <w:rsid w:val="00DF460C"/>
    <w:rsid w:val="00DF463C"/>
    <w:rsid w:val="00DF467C"/>
    <w:rsid w:val="00DF4708"/>
    <w:rsid w:val="00DF4724"/>
    <w:rsid w:val="00DF479B"/>
    <w:rsid w:val="00DF47BC"/>
    <w:rsid w:val="00DF47F4"/>
    <w:rsid w:val="00DF47FE"/>
    <w:rsid w:val="00DF4816"/>
    <w:rsid w:val="00DF483B"/>
    <w:rsid w:val="00DF4864"/>
    <w:rsid w:val="00DF4880"/>
    <w:rsid w:val="00DF48A9"/>
    <w:rsid w:val="00DF4998"/>
    <w:rsid w:val="00DF49CD"/>
    <w:rsid w:val="00DF49F4"/>
    <w:rsid w:val="00DF4A54"/>
    <w:rsid w:val="00DF4A69"/>
    <w:rsid w:val="00DF4A8C"/>
    <w:rsid w:val="00DF4AA6"/>
    <w:rsid w:val="00DF4B40"/>
    <w:rsid w:val="00DF4B73"/>
    <w:rsid w:val="00DF4C29"/>
    <w:rsid w:val="00DF4C47"/>
    <w:rsid w:val="00DF4D76"/>
    <w:rsid w:val="00DF4E2C"/>
    <w:rsid w:val="00DF4E4A"/>
    <w:rsid w:val="00DF4E52"/>
    <w:rsid w:val="00DF4EA0"/>
    <w:rsid w:val="00DF4F6D"/>
    <w:rsid w:val="00DF4FF4"/>
    <w:rsid w:val="00DF500C"/>
    <w:rsid w:val="00DF5031"/>
    <w:rsid w:val="00DF5058"/>
    <w:rsid w:val="00DF50C8"/>
    <w:rsid w:val="00DF5123"/>
    <w:rsid w:val="00DF514F"/>
    <w:rsid w:val="00DF516E"/>
    <w:rsid w:val="00DF51F1"/>
    <w:rsid w:val="00DF5255"/>
    <w:rsid w:val="00DF52BB"/>
    <w:rsid w:val="00DF52FA"/>
    <w:rsid w:val="00DF5319"/>
    <w:rsid w:val="00DF5365"/>
    <w:rsid w:val="00DF5394"/>
    <w:rsid w:val="00DF53A1"/>
    <w:rsid w:val="00DF53CD"/>
    <w:rsid w:val="00DF5414"/>
    <w:rsid w:val="00DF5460"/>
    <w:rsid w:val="00DF5485"/>
    <w:rsid w:val="00DF5496"/>
    <w:rsid w:val="00DF5511"/>
    <w:rsid w:val="00DF555B"/>
    <w:rsid w:val="00DF558B"/>
    <w:rsid w:val="00DF55E7"/>
    <w:rsid w:val="00DF5710"/>
    <w:rsid w:val="00DF575F"/>
    <w:rsid w:val="00DF5796"/>
    <w:rsid w:val="00DF57D1"/>
    <w:rsid w:val="00DF5814"/>
    <w:rsid w:val="00DF5823"/>
    <w:rsid w:val="00DF5824"/>
    <w:rsid w:val="00DF584D"/>
    <w:rsid w:val="00DF58E8"/>
    <w:rsid w:val="00DF590D"/>
    <w:rsid w:val="00DF590F"/>
    <w:rsid w:val="00DF599A"/>
    <w:rsid w:val="00DF59AC"/>
    <w:rsid w:val="00DF5AED"/>
    <w:rsid w:val="00DF5B19"/>
    <w:rsid w:val="00DF5BEB"/>
    <w:rsid w:val="00DF5BED"/>
    <w:rsid w:val="00DF5C28"/>
    <w:rsid w:val="00DF5C6A"/>
    <w:rsid w:val="00DF5D3C"/>
    <w:rsid w:val="00DF5D52"/>
    <w:rsid w:val="00DF5DC8"/>
    <w:rsid w:val="00DF5E10"/>
    <w:rsid w:val="00DF5E19"/>
    <w:rsid w:val="00DF5E2E"/>
    <w:rsid w:val="00DF5E3A"/>
    <w:rsid w:val="00DF5E4B"/>
    <w:rsid w:val="00DF5E7C"/>
    <w:rsid w:val="00DF5EB7"/>
    <w:rsid w:val="00DF5ECB"/>
    <w:rsid w:val="00DF5EE3"/>
    <w:rsid w:val="00DF5F2D"/>
    <w:rsid w:val="00DF5F84"/>
    <w:rsid w:val="00DF5FB6"/>
    <w:rsid w:val="00DF601D"/>
    <w:rsid w:val="00DF60D8"/>
    <w:rsid w:val="00DF6153"/>
    <w:rsid w:val="00DF6157"/>
    <w:rsid w:val="00DF61A8"/>
    <w:rsid w:val="00DF61D1"/>
    <w:rsid w:val="00DF61E0"/>
    <w:rsid w:val="00DF61F1"/>
    <w:rsid w:val="00DF61F6"/>
    <w:rsid w:val="00DF6303"/>
    <w:rsid w:val="00DF631B"/>
    <w:rsid w:val="00DF6357"/>
    <w:rsid w:val="00DF6376"/>
    <w:rsid w:val="00DF63A4"/>
    <w:rsid w:val="00DF63F0"/>
    <w:rsid w:val="00DF643F"/>
    <w:rsid w:val="00DF6452"/>
    <w:rsid w:val="00DF645B"/>
    <w:rsid w:val="00DF6477"/>
    <w:rsid w:val="00DF6483"/>
    <w:rsid w:val="00DF64AD"/>
    <w:rsid w:val="00DF6594"/>
    <w:rsid w:val="00DF6596"/>
    <w:rsid w:val="00DF65D5"/>
    <w:rsid w:val="00DF65F4"/>
    <w:rsid w:val="00DF65F6"/>
    <w:rsid w:val="00DF6625"/>
    <w:rsid w:val="00DF6653"/>
    <w:rsid w:val="00DF66E8"/>
    <w:rsid w:val="00DF671C"/>
    <w:rsid w:val="00DF6729"/>
    <w:rsid w:val="00DF6797"/>
    <w:rsid w:val="00DF67AB"/>
    <w:rsid w:val="00DF67DC"/>
    <w:rsid w:val="00DF681E"/>
    <w:rsid w:val="00DF6831"/>
    <w:rsid w:val="00DF687D"/>
    <w:rsid w:val="00DF6927"/>
    <w:rsid w:val="00DF69E2"/>
    <w:rsid w:val="00DF69F6"/>
    <w:rsid w:val="00DF6A43"/>
    <w:rsid w:val="00DF6A94"/>
    <w:rsid w:val="00DF6AEA"/>
    <w:rsid w:val="00DF6B0E"/>
    <w:rsid w:val="00DF6B15"/>
    <w:rsid w:val="00DF6B5D"/>
    <w:rsid w:val="00DF6B8F"/>
    <w:rsid w:val="00DF6BCA"/>
    <w:rsid w:val="00DF6C1A"/>
    <w:rsid w:val="00DF6C2D"/>
    <w:rsid w:val="00DF6CA2"/>
    <w:rsid w:val="00DF6CD0"/>
    <w:rsid w:val="00DF6CFE"/>
    <w:rsid w:val="00DF6D88"/>
    <w:rsid w:val="00DF6DE2"/>
    <w:rsid w:val="00DF6E30"/>
    <w:rsid w:val="00DF6E75"/>
    <w:rsid w:val="00DF6E9F"/>
    <w:rsid w:val="00DF6EE4"/>
    <w:rsid w:val="00DF6F2A"/>
    <w:rsid w:val="00DF6F2C"/>
    <w:rsid w:val="00DF6F43"/>
    <w:rsid w:val="00DF6F61"/>
    <w:rsid w:val="00DF704F"/>
    <w:rsid w:val="00DF7086"/>
    <w:rsid w:val="00DF70EF"/>
    <w:rsid w:val="00DF70F7"/>
    <w:rsid w:val="00DF71F5"/>
    <w:rsid w:val="00DF721F"/>
    <w:rsid w:val="00DF7224"/>
    <w:rsid w:val="00DF7235"/>
    <w:rsid w:val="00DF7241"/>
    <w:rsid w:val="00DF725D"/>
    <w:rsid w:val="00DF72D9"/>
    <w:rsid w:val="00DF73B6"/>
    <w:rsid w:val="00DF73BE"/>
    <w:rsid w:val="00DF73E2"/>
    <w:rsid w:val="00DF740F"/>
    <w:rsid w:val="00DF741F"/>
    <w:rsid w:val="00DF7454"/>
    <w:rsid w:val="00DF7476"/>
    <w:rsid w:val="00DF7517"/>
    <w:rsid w:val="00DF75C3"/>
    <w:rsid w:val="00DF75E2"/>
    <w:rsid w:val="00DF75FF"/>
    <w:rsid w:val="00DF7639"/>
    <w:rsid w:val="00DF7666"/>
    <w:rsid w:val="00DF76A6"/>
    <w:rsid w:val="00DF76C9"/>
    <w:rsid w:val="00DF7739"/>
    <w:rsid w:val="00DF774C"/>
    <w:rsid w:val="00DF7858"/>
    <w:rsid w:val="00DF78D1"/>
    <w:rsid w:val="00DF78DD"/>
    <w:rsid w:val="00DF790E"/>
    <w:rsid w:val="00DF797B"/>
    <w:rsid w:val="00DF797D"/>
    <w:rsid w:val="00DF79F3"/>
    <w:rsid w:val="00DF79FE"/>
    <w:rsid w:val="00DF7A86"/>
    <w:rsid w:val="00DF7AE2"/>
    <w:rsid w:val="00DF7B00"/>
    <w:rsid w:val="00DF7B0C"/>
    <w:rsid w:val="00DF7B7B"/>
    <w:rsid w:val="00DF7C12"/>
    <w:rsid w:val="00DF7C5F"/>
    <w:rsid w:val="00DF7C68"/>
    <w:rsid w:val="00DF7CE9"/>
    <w:rsid w:val="00DF7D4D"/>
    <w:rsid w:val="00DF7D66"/>
    <w:rsid w:val="00DF7DE1"/>
    <w:rsid w:val="00DF7DE6"/>
    <w:rsid w:val="00DF7E30"/>
    <w:rsid w:val="00DF7E6C"/>
    <w:rsid w:val="00DF7E9B"/>
    <w:rsid w:val="00DF7F05"/>
    <w:rsid w:val="00DF7F37"/>
    <w:rsid w:val="00DF7F46"/>
    <w:rsid w:val="00DF7FF0"/>
    <w:rsid w:val="00DF7FFC"/>
    <w:rsid w:val="00E00000"/>
    <w:rsid w:val="00E00030"/>
    <w:rsid w:val="00E00068"/>
    <w:rsid w:val="00E000A0"/>
    <w:rsid w:val="00E000E1"/>
    <w:rsid w:val="00E000E5"/>
    <w:rsid w:val="00E0011A"/>
    <w:rsid w:val="00E0017C"/>
    <w:rsid w:val="00E001CE"/>
    <w:rsid w:val="00E001E9"/>
    <w:rsid w:val="00E001F2"/>
    <w:rsid w:val="00E0027C"/>
    <w:rsid w:val="00E00288"/>
    <w:rsid w:val="00E0028A"/>
    <w:rsid w:val="00E002C0"/>
    <w:rsid w:val="00E002CE"/>
    <w:rsid w:val="00E002D1"/>
    <w:rsid w:val="00E002DA"/>
    <w:rsid w:val="00E002F0"/>
    <w:rsid w:val="00E00314"/>
    <w:rsid w:val="00E0036C"/>
    <w:rsid w:val="00E003FB"/>
    <w:rsid w:val="00E003FF"/>
    <w:rsid w:val="00E00422"/>
    <w:rsid w:val="00E00440"/>
    <w:rsid w:val="00E00486"/>
    <w:rsid w:val="00E004FF"/>
    <w:rsid w:val="00E00524"/>
    <w:rsid w:val="00E005C9"/>
    <w:rsid w:val="00E005D8"/>
    <w:rsid w:val="00E005EF"/>
    <w:rsid w:val="00E0064A"/>
    <w:rsid w:val="00E0068A"/>
    <w:rsid w:val="00E006B7"/>
    <w:rsid w:val="00E00787"/>
    <w:rsid w:val="00E007EE"/>
    <w:rsid w:val="00E0080F"/>
    <w:rsid w:val="00E0081C"/>
    <w:rsid w:val="00E0084D"/>
    <w:rsid w:val="00E00872"/>
    <w:rsid w:val="00E00879"/>
    <w:rsid w:val="00E00884"/>
    <w:rsid w:val="00E00889"/>
    <w:rsid w:val="00E0089E"/>
    <w:rsid w:val="00E0094D"/>
    <w:rsid w:val="00E009BE"/>
    <w:rsid w:val="00E009C0"/>
    <w:rsid w:val="00E009F3"/>
    <w:rsid w:val="00E009FF"/>
    <w:rsid w:val="00E00A1B"/>
    <w:rsid w:val="00E00A24"/>
    <w:rsid w:val="00E00A4F"/>
    <w:rsid w:val="00E00B31"/>
    <w:rsid w:val="00E00B3B"/>
    <w:rsid w:val="00E00B5B"/>
    <w:rsid w:val="00E00B5F"/>
    <w:rsid w:val="00E00BAC"/>
    <w:rsid w:val="00E00C77"/>
    <w:rsid w:val="00E00C92"/>
    <w:rsid w:val="00E00C95"/>
    <w:rsid w:val="00E00C9A"/>
    <w:rsid w:val="00E00CA5"/>
    <w:rsid w:val="00E00CD5"/>
    <w:rsid w:val="00E00CF3"/>
    <w:rsid w:val="00E00D0E"/>
    <w:rsid w:val="00E00DA5"/>
    <w:rsid w:val="00E00DC4"/>
    <w:rsid w:val="00E00DD2"/>
    <w:rsid w:val="00E00DD5"/>
    <w:rsid w:val="00E00DE0"/>
    <w:rsid w:val="00E00E09"/>
    <w:rsid w:val="00E00E35"/>
    <w:rsid w:val="00E00E40"/>
    <w:rsid w:val="00E00E43"/>
    <w:rsid w:val="00E00E86"/>
    <w:rsid w:val="00E00FE8"/>
    <w:rsid w:val="00E0103A"/>
    <w:rsid w:val="00E01063"/>
    <w:rsid w:val="00E010BB"/>
    <w:rsid w:val="00E010ED"/>
    <w:rsid w:val="00E010F3"/>
    <w:rsid w:val="00E0121E"/>
    <w:rsid w:val="00E0123A"/>
    <w:rsid w:val="00E0123B"/>
    <w:rsid w:val="00E01253"/>
    <w:rsid w:val="00E0128F"/>
    <w:rsid w:val="00E012BA"/>
    <w:rsid w:val="00E012C1"/>
    <w:rsid w:val="00E01398"/>
    <w:rsid w:val="00E013CD"/>
    <w:rsid w:val="00E014B7"/>
    <w:rsid w:val="00E01506"/>
    <w:rsid w:val="00E01508"/>
    <w:rsid w:val="00E0153F"/>
    <w:rsid w:val="00E01570"/>
    <w:rsid w:val="00E0163D"/>
    <w:rsid w:val="00E0171B"/>
    <w:rsid w:val="00E0178E"/>
    <w:rsid w:val="00E01790"/>
    <w:rsid w:val="00E01860"/>
    <w:rsid w:val="00E0186C"/>
    <w:rsid w:val="00E018B5"/>
    <w:rsid w:val="00E018FF"/>
    <w:rsid w:val="00E01996"/>
    <w:rsid w:val="00E019E3"/>
    <w:rsid w:val="00E01A0C"/>
    <w:rsid w:val="00E01A83"/>
    <w:rsid w:val="00E01AA0"/>
    <w:rsid w:val="00E01AB6"/>
    <w:rsid w:val="00E01AE5"/>
    <w:rsid w:val="00E01B79"/>
    <w:rsid w:val="00E01BA4"/>
    <w:rsid w:val="00E01BB2"/>
    <w:rsid w:val="00E01BBA"/>
    <w:rsid w:val="00E01C38"/>
    <w:rsid w:val="00E01C56"/>
    <w:rsid w:val="00E01C61"/>
    <w:rsid w:val="00E01CA3"/>
    <w:rsid w:val="00E01CF6"/>
    <w:rsid w:val="00E01DC1"/>
    <w:rsid w:val="00E01DC3"/>
    <w:rsid w:val="00E01DE4"/>
    <w:rsid w:val="00E01E47"/>
    <w:rsid w:val="00E01EB0"/>
    <w:rsid w:val="00E01EB9"/>
    <w:rsid w:val="00E01EC8"/>
    <w:rsid w:val="00E01EED"/>
    <w:rsid w:val="00E01F49"/>
    <w:rsid w:val="00E01F6B"/>
    <w:rsid w:val="00E01FB3"/>
    <w:rsid w:val="00E01FC5"/>
    <w:rsid w:val="00E01FF6"/>
    <w:rsid w:val="00E02034"/>
    <w:rsid w:val="00E02037"/>
    <w:rsid w:val="00E02069"/>
    <w:rsid w:val="00E020CD"/>
    <w:rsid w:val="00E020D8"/>
    <w:rsid w:val="00E02118"/>
    <w:rsid w:val="00E0213F"/>
    <w:rsid w:val="00E021F4"/>
    <w:rsid w:val="00E0228B"/>
    <w:rsid w:val="00E02361"/>
    <w:rsid w:val="00E02376"/>
    <w:rsid w:val="00E0238A"/>
    <w:rsid w:val="00E023A2"/>
    <w:rsid w:val="00E023B6"/>
    <w:rsid w:val="00E0241A"/>
    <w:rsid w:val="00E0246B"/>
    <w:rsid w:val="00E024FC"/>
    <w:rsid w:val="00E024FD"/>
    <w:rsid w:val="00E02522"/>
    <w:rsid w:val="00E02553"/>
    <w:rsid w:val="00E025BC"/>
    <w:rsid w:val="00E02634"/>
    <w:rsid w:val="00E02646"/>
    <w:rsid w:val="00E02667"/>
    <w:rsid w:val="00E026C0"/>
    <w:rsid w:val="00E02717"/>
    <w:rsid w:val="00E0272F"/>
    <w:rsid w:val="00E02764"/>
    <w:rsid w:val="00E02771"/>
    <w:rsid w:val="00E02787"/>
    <w:rsid w:val="00E027AE"/>
    <w:rsid w:val="00E027F0"/>
    <w:rsid w:val="00E02837"/>
    <w:rsid w:val="00E02877"/>
    <w:rsid w:val="00E02880"/>
    <w:rsid w:val="00E02889"/>
    <w:rsid w:val="00E028CF"/>
    <w:rsid w:val="00E02943"/>
    <w:rsid w:val="00E02946"/>
    <w:rsid w:val="00E02980"/>
    <w:rsid w:val="00E029D3"/>
    <w:rsid w:val="00E02A15"/>
    <w:rsid w:val="00E02A1D"/>
    <w:rsid w:val="00E02A6D"/>
    <w:rsid w:val="00E02A84"/>
    <w:rsid w:val="00E02AC3"/>
    <w:rsid w:val="00E02BC3"/>
    <w:rsid w:val="00E02BED"/>
    <w:rsid w:val="00E02BF6"/>
    <w:rsid w:val="00E02CCA"/>
    <w:rsid w:val="00E02D20"/>
    <w:rsid w:val="00E02D4F"/>
    <w:rsid w:val="00E02D53"/>
    <w:rsid w:val="00E02D87"/>
    <w:rsid w:val="00E02D8F"/>
    <w:rsid w:val="00E02DC5"/>
    <w:rsid w:val="00E02DD3"/>
    <w:rsid w:val="00E02E0B"/>
    <w:rsid w:val="00E02EEA"/>
    <w:rsid w:val="00E02EF2"/>
    <w:rsid w:val="00E02F74"/>
    <w:rsid w:val="00E02FD3"/>
    <w:rsid w:val="00E0301B"/>
    <w:rsid w:val="00E0305D"/>
    <w:rsid w:val="00E03095"/>
    <w:rsid w:val="00E0309E"/>
    <w:rsid w:val="00E030CC"/>
    <w:rsid w:val="00E030F0"/>
    <w:rsid w:val="00E03114"/>
    <w:rsid w:val="00E0313F"/>
    <w:rsid w:val="00E0315A"/>
    <w:rsid w:val="00E03173"/>
    <w:rsid w:val="00E031C7"/>
    <w:rsid w:val="00E0323F"/>
    <w:rsid w:val="00E03242"/>
    <w:rsid w:val="00E0328A"/>
    <w:rsid w:val="00E032B2"/>
    <w:rsid w:val="00E03300"/>
    <w:rsid w:val="00E03348"/>
    <w:rsid w:val="00E0339E"/>
    <w:rsid w:val="00E033B2"/>
    <w:rsid w:val="00E034F0"/>
    <w:rsid w:val="00E03519"/>
    <w:rsid w:val="00E0358A"/>
    <w:rsid w:val="00E035A0"/>
    <w:rsid w:val="00E035B9"/>
    <w:rsid w:val="00E03626"/>
    <w:rsid w:val="00E036BC"/>
    <w:rsid w:val="00E0370C"/>
    <w:rsid w:val="00E03725"/>
    <w:rsid w:val="00E037D9"/>
    <w:rsid w:val="00E037E3"/>
    <w:rsid w:val="00E03802"/>
    <w:rsid w:val="00E03855"/>
    <w:rsid w:val="00E03856"/>
    <w:rsid w:val="00E038AD"/>
    <w:rsid w:val="00E038B3"/>
    <w:rsid w:val="00E03938"/>
    <w:rsid w:val="00E03A1D"/>
    <w:rsid w:val="00E03A2B"/>
    <w:rsid w:val="00E03A68"/>
    <w:rsid w:val="00E03B73"/>
    <w:rsid w:val="00E03CDB"/>
    <w:rsid w:val="00E03CF5"/>
    <w:rsid w:val="00E03CF6"/>
    <w:rsid w:val="00E03CFB"/>
    <w:rsid w:val="00E03D27"/>
    <w:rsid w:val="00E03D35"/>
    <w:rsid w:val="00E03D59"/>
    <w:rsid w:val="00E03D82"/>
    <w:rsid w:val="00E03D96"/>
    <w:rsid w:val="00E03DA2"/>
    <w:rsid w:val="00E03E29"/>
    <w:rsid w:val="00E03E33"/>
    <w:rsid w:val="00E03E81"/>
    <w:rsid w:val="00E03E9F"/>
    <w:rsid w:val="00E03ED0"/>
    <w:rsid w:val="00E03F65"/>
    <w:rsid w:val="00E03F6A"/>
    <w:rsid w:val="00E03FCE"/>
    <w:rsid w:val="00E03FD0"/>
    <w:rsid w:val="00E040B9"/>
    <w:rsid w:val="00E040E0"/>
    <w:rsid w:val="00E0414B"/>
    <w:rsid w:val="00E0414F"/>
    <w:rsid w:val="00E04179"/>
    <w:rsid w:val="00E0417D"/>
    <w:rsid w:val="00E0425A"/>
    <w:rsid w:val="00E04262"/>
    <w:rsid w:val="00E04263"/>
    <w:rsid w:val="00E04379"/>
    <w:rsid w:val="00E043A3"/>
    <w:rsid w:val="00E043BD"/>
    <w:rsid w:val="00E043F6"/>
    <w:rsid w:val="00E0444D"/>
    <w:rsid w:val="00E04490"/>
    <w:rsid w:val="00E04535"/>
    <w:rsid w:val="00E0457C"/>
    <w:rsid w:val="00E045C6"/>
    <w:rsid w:val="00E045D0"/>
    <w:rsid w:val="00E04677"/>
    <w:rsid w:val="00E046CC"/>
    <w:rsid w:val="00E04737"/>
    <w:rsid w:val="00E04771"/>
    <w:rsid w:val="00E04784"/>
    <w:rsid w:val="00E04859"/>
    <w:rsid w:val="00E048D2"/>
    <w:rsid w:val="00E04927"/>
    <w:rsid w:val="00E04930"/>
    <w:rsid w:val="00E04989"/>
    <w:rsid w:val="00E049BC"/>
    <w:rsid w:val="00E04A08"/>
    <w:rsid w:val="00E04A32"/>
    <w:rsid w:val="00E04A4E"/>
    <w:rsid w:val="00E04AB8"/>
    <w:rsid w:val="00E04ADA"/>
    <w:rsid w:val="00E04AF6"/>
    <w:rsid w:val="00E04B11"/>
    <w:rsid w:val="00E04B1E"/>
    <w:rsid w:val="00E04B6D"/>
    <w:rsid w:val="00E04B8B"/>
    <w:rsid w:val="00E04BD3"/>
    <w:rsid w:val="00E04C06"/>
    <w:rsid w:val="00E04C4F"/>
    <w:rsid w:val="00E04C84"/>
    <w:rsid w:val="00E04CA0"/>
    <w:rsid w:val="00E04CD3"/>
    <w:rsid w:val="00E04CE7"/>
    <w:rsid w:val="00E04D2E"/>
    <w:rsid w:val="00E04D35"/>
    <w:rsid w:val="00E04D9B"/>
    <w:rsid w:val="00E04E1C"/>
    <w:rsid w:val="00E04EBD"/>
    <w:rsid w:val="00E04EC2"/>
    <w:rsid w:val="00E04F13"/>
    <w:rsid w:val="00E04F22"/>
    <w:rsid w:val="00E04F74"/>
    <w:rsid w:val="00E04FB2"/>
    <w:rsid w:val="00E04FED"/>
    <w:rsid w:val="00E0507C"/>
    <w:rsid w:val="00E050AF"/>
    <w:rsid w:val="00E0513B"/>
    <w:rsid w:val="00E05157"/>
    <w:rsid w:val="00E051BA"/>
    <w:rsid w:val="00E051FE"/>
    <w:rsid w:val="00E051FF"/>
    <w:rsid w:val="00E05247"/>
    <w:rsid w:val="00E05284"/>
    <w:rsid w:val="00E052DE"/>
    <w:rsid w:val="00E05306"/>
    <w:rsid w:val="00E0533E"/>
    <w:rsid w:val="00E0541C"/>
    <w:rsid w:val="00E05426"/>
    <w:rsid w:val="00E0553E"/>
    <w:rsid w:val="00E05568"/>
    <w:rsid w:val="00E0558A"/>
    <w:rsid w:val="00E055A0"/>
    <w:rsid w:val="00E0567C"/>
    <w:rsid w:val="00E056B0"/>
    <w:rsid w:val="00E056CF"/>
    <w:rsid w:val="00E056D1"/>
    <w:rsid w:val="00E05720"/>
    <w:rsid w:val="00E0574A"/>
    <w:rsid w:val="00E0576F"/>
    <w:rsid w:val="00E057F5"/>
    <w:rsid w:val="00E0580B"/>
    <w:rsid w:val="00E05860"/>
    <w:rsid w:val="00E05884"/>
    <w:rsid w:val="00E05925"/>
    <w:rsid w:val="00E05950"/>
    <w:rsid w:val="00E05982"/>
    <w:rsid w:val="00E059A2"/>
    <w:rsid w:val="00E059CC"/>
    <w:rsid w:val="00E059FA"/>
    <w:rsid w:val="00E05A0F"/>
    <w:rsid w:val="00E05A1D"/>
    <w:rsid w:val="00E05A4E"/>
    <w:rsid w:val="00E05AED"/>
    <w:rsid w:val="00E05C6C"/>
    <w:rsid w:val="00E05C94"/>
    <w:rsid w:val="00E05CF5"/>
    <w:rsid w:val="00E05D16"/>
    <w:rsid w:val="00E05D2A"/>
    <w:rsid w:val="00E05D65"/>
    <w:rsid w:val="00E05D84"/>
    <w:rsid w:val="00E05D9D"/>
    <w:rsid w:val="00E05DF4"/>
    <w:rsid w:val="00E05E25"/>
    <w:rsid w:val="00E05E26"/>
    <w:rsid w:val="00E05E27"/>
    <w:rsid w:val="00E05E7F"/>
    <w:rsid w:val="00E05F37"/>
    <w:rsid w:val="00E05F94"/>
    <w:rsid w:val="00E05FA3"/>
    <w:rsid w:val="00E05FC3"/>
    <w:rsid w:val="00E06039"/>
    <w:rsid w:val="00E060C3"/>
    <w:rsid w:val="00E061B2"/>
    <w:rsid w:val="00E061E5"/>
    <w:rsid w:val="00E06271"/>
    <w:rsid w:val="00E0627B"/>
    <w:rsid w:val="00E0631D"/>
    <w:rsid w:val="00E06392"/>
    <w:rsid w:val="00E063B9"/>
    <w:rsid w:val="00E063D1"/>
    <w:rsid w:val="00E0643A"/>
    <w:rsid w:val="00E0643B"/>
    <w:rsid w:val="00E0645D"/>
    <w:rsid w:val="00E064AF"/>
    <w:rsid w:val="00E0650F"/>
    <w:rsid w:val="00E06544"/>
    <w:rsid w:val="00E06581"/>
    <w:rsid w:val="00E0661C"/>
    <w:rsid w:val="00E06624"/>
    <w:rsid w:val="00E06644"/>
    <w:rsid w:val="00E0668D"/>
    <w:rsid w:val="00E066CA"/>
    <w:rsid w:val="00E066FF"/>
    <w:rsid w:val="00E06799"/>
    <w:rsid w:val="00E067B9"/>
    <w:rsid w:val="00E067E0"/>
    <w:rsid w:val="00E067FA"/>
    <w:rsid w:val="00E068A3"/>
    <w:rsid w:val="00E068BA"/>
    <w:rsid w:val="00E06953"/>
    <w:rsid w:val="00E06985"/>
    <w:rsid w:val="00E069CE"/>
    <w:rsid w:val="00E069D9"/>
    <w:rsid w:val="00E06A02"/>
    <w:rsid w:val="00E06A5C"/>
    <w:rsid w:val="00E06AA4"/>
    <w:rsid w:val="00E06AB3"/>
    <w:rsid w:val="00E06ADF"/>
    <w:rsid w:val="00E06B4E"/>
    <w:rsid w:val="00E06B80"/>
    <w:rsid w:val="00E06BE3"/>
    <w:rsid w:val="00E06BEC"/>
    <w:rsid w:val="00E06C28"/>
    <w:rsid w:val="00E06CEC"/>
    <w:rsid w:val="00E06DB2"/>
    <w:rsid w:val="00E06DCD"/>
    <w:rsid w:val="00E06E83"/>
    <w:rsid w:val="00E06EBC"/>
    <w:rsid w:val="00E06EC8"/>
    <w:rsid w:val="00E06ED0"/>
    <w:rsid w:val="00E06F68"/>
    <w:rsid w:val="00E06F97"/>
    <w:rsid w:val="00E06FB2"/>
    <w:rsid w:val="00E06FF7"/>
    <w:rsid w:val="00E0701B"/>
    <w:rsid w:val="00E07042"/>
    <w:rsid w:val="00E07072"/>
    <w:rsid w:val="00E07110"/>
    <w:rsid w:val="00E07161"/>
    <w:rsid w:val="00E071D3"/>
    <w:rsid w:val="00E0721F"/>
    <w:rsid w:val="00E07282"/>
    <w:rsid w:val="00E073AA"/>
    <w:rsid w:val="00E07453"/>
    <w:rsid w:val="00E07462"/>
    <w:rsid w:val="00E07485"/>
    <w:rsid w:val="00E074D8"/>
    <w:rsid w:val="00E0756C"/>
    <w:rsid w:val="00E0757B"/>
    <w:rsid w:val="00E075DB"/>
    <w:rsid w:val="00E075F5"/>
    <w:rsid w:val="00E07648"/>
    <w:rsid w:val="00E07669"/>
    <w:rsid w:val="00E07682"/>
    <w:rsid w:val="00E076F6"/>
    <w:rsid w:val="00E076FC"/>
    <w:rsid w:val="00E07738"/>
    <w:rsid w:val="00E07757"/>
    <w:rsid w:val="00E07761"/>
    <w:rsid w:val="00E0778B"/>
    <w:rsid w:val="00E0778D"/>
    <w:rsid w:val="00E077A7"/>
    <w:rsid w:val="00E077DB"/>
    <w:rsid w:val="00E077F4"/>
    <w:rsid w:val="00E0781E"/>
    <w:rsid w:val="00E07862"/>
    <w:rsid w:val="00E07876"/>
    <w:rsid w:val="00E078BD"/>
    <w:rsid w:val="00E078C1"/>
    <w:rsid w:val="00E078EB"/>
    <w:rsid w:val="00E07934"/>
    <w:rsid w:val="00E07A52"/>
    <w:rsid w:val="00E07A72"/>
    <w:rsid w:val="00E07AFF"/>
    <w:rsid w:val="00E07B13"/>
    <w:rsid w:val="00E07B2E"/>
    <w:rsid w:val="00E07B3D"/>
    <w:rsid w:val="00E07B7B"/>
    <w:rsid w:val="00E07BB5"/>
    <w:rsid w:val="00E07C24"/>
    <w:rsid w:val="00E07C2F"/>
    <w:rsid w:val="00E07C83"/>
    <w:rsid w:val="00E07D77"/>
    <w:rsid w:val="00E07DC0"/>
    <w:rsid w:val="00E07E04"/>
    <w:rsid w:val="00E07E40"/>
    <w:rsid w:val="00E07ED7"/>
    <w:rsid w:val="00E07EE5"/>
    <w:rsid w:val="00E07F03"/>
    <w:rsid w:val="00E07F61"/>
    <w:rsid w:val="00E07F74"/>
    <w:rsid w:val="00E07F7B"/>
    <w:rsid w:val="00E07F8A"/>
    <w:rsid w:val="00E07F9D"/>
    <w:rsid w:val="00E07FE7"/>
    <w:rsid w:val="00E07FEB"/>
    <w:rsid w:val="00E1001C"/>
    <w:rsid w:val="00E10022"/>
    <w:rsid w:val="00E10067"/>
    <w:rsid w:val="00E100D9"/>
    <w:rsid w:val="00E100DB"/>
    <w:rsid w:val="00E10101"/>
    <w:rsid w:val="00E10186"/>
    <w:rsid w:val="00E101BC"/>
    <w:rsid w:val="00E101C6"/>
    <w:rsid w:val="00E101CD"/>
    <w:rsid w:val="00E1020D"/>
    <w:rsid w:val="00E1023D"/>
    <w:rsid w:val="00E1035B"/>
    <w:rsid w:val="00E10378"/>
    <w:rsid w:val="00E10380"/>
    <w:rsid w:val="00E103F2"/>
    <w:rsid w:val="00E10406"/>
    <w:rsid w:val="00E1043B"/>
    <w:rsid w:val="00E10449"/>
    <w:rsid w:val="00E10451"/>
    <w:rsid w:val="00E10594"/>
    <w:rsid w:val="00E105B4"/>
    <w:rsid w:val="00E10699"/>
    <w:rsid w:val="00E106A0"/>
    <w:rsid w:val="00E106A4"/>
    <w:rsid w:val="00E10719"/>
    <w:rsid w:val="00E10763"/>
    <w:rsid w:val="00E1079C"/>
    <w:rsid w:val="00E1080A"/>
    <w:rsid w:val="00E1084E"/>
    <w:rsid w:val="00E10881"/>
    <w:rsid w:val="00E10896"/>
    <w:rsid w:val="00E108CF"/>
    <w:rsid w:val="00E108EC"/>
    <w:rsid w:val="00E1092E"/>
    <w:rsid w:val="00E10938"/>
    <w:rsid w:val="00E10939"/>
    <w:rsid w:val="00E1093B"/>
    <w:rsid w:val="00E1094A"/>
    <w:rsid w:val="00E1099D"/>
    <w:rsid w:val="00E109AC"/>
    <w:rsid w:val="00E109FA"/>
    <w:rsid w:val="00E10A59"/>
    <w:rsid w:val="00E10A92"/>
    <w:rsid w:val="00E10B24"/>
    <w:rsid w:val="00E10BAA"/>
    <w:rsid w:val="00E10C1B"/>
    <w:rsid w:val="00E10C81"/>
    <w:rsid w:val="00E10CA7"/>
    <w:rsid w:val="00E10CB2"/>
    <w:rsid w:val="00E10CDB"/>
    <w:rsid w:val="00E10D6F"/>
    <w:rsid w:val="00E10D78"/>
    <w:rsid w:val="00E10DAA"/>
    <w:rsid w:val="00E10DB2"/>
    <w:rsid w:val="00E10DC3"/>
    <w:rsid w:val="00E10E09"/>
    <w:rsid w:val="00E10E60"/>
    <w:rsid w:val="00E10E81"/>
    <w:rsid w:val="00E10ECA"/>
    <w:rsid w:val="00E10F20"/>
    <w:rsid w:val="00E10F37"/>
    <w:rsid w:val="00E10F3A"/>
    <w:rsid w:val="00E10F54"/>
    <w:rsid w:val="00E10F72"/>
    <w:rsid w:val="00E10FB5"/>
    <w:rsid w:val="00E10FD7"/>
    <w:rsid w:val="00E11096"/>
    <w:rsid w:val="00E110B7"/>
    <w:rsid w:val="00E110D1"/>
    <w:rsid w:val="00E11135"/>
    <w:rsid w:val="00E11154"/>
    <w:rsid w:val="00E11177"/>
    <w:rsid w:val="00E1117B"/>
    <w:rsid w:val="00E11204"/>
    <w:rsid w:val="00E1120E"/>
    <w:rsid w:val="00E1128E"/>
    <w:rsid w:val="00E1134E"/>
    <w:rsid w:val="00E113C1"/>
    <w:rsid w:val="00E113E5"/>
    <w:rsid w:val="00E11403"/>
    <w:rsid w:val="00E11417"/>
    <w:rsid w:val="00E11418"/>
    <w:rsid w:val="00E114A7"/>
    <w:rsid w:val="00E114BE"/>
    <w:rsid w:val="00E114ED"/>
    <w:rsid w:val="00E11564"/>
    <w:rsid w:val="00E11660"/>
    <w:rsid w:val="00E116AA"/>
    <w:rsid w:val="00E116BE"/>
    <w:rsid w:val="00E116ED"/>
    <w:rsid w:val="00E117A0"/>
    <w:rsid w:val="00E117FC"/>
    <w:rsid w:val="00E11846"/>
    <w:rsid w:val="00E1185B"/>
    <w:rsid w:val="00E11883"/>
    <w:rsid w:val="00E11885"/>
    <w:rsid w:val="00E1188E"/>
    <w:rsid w:val="00E1192B"/>
    <w:rsid w:val="00E11953"/>
    <w:rsid w:val="00E11998"/>
    <w:rsid w:val="00E11B12"/>
    <w:rsid w:val="00E11B44"/>
    <w:rsid w:val="00E11B4C"/>
    <w:rsid w:val="00E11B95"/>
    <w:rsid w:val="00E11C07"/>
    <w:rsid w:val="00E11C11"/>
    <w:rsid w:val="00E11C4E"/>
    <w:rsid w:val="00E11CAC"/>
    <w:rsid w:val="00E11CD9"/>
    <w:rsid w:val="00E11CDD"/>
    <w:rsid w:val="00E11CEB"/>
    <w:rsid w:val="00E11D0C"/>
    <w:rsid w:val="00E11D4A"/>
    <w:rsid w:val="00E11DF7"/>
    <w:rsid w:val="00E11E32"/>
    <w:rsid w:val="00E11E41"/>
    <w:rsid w:val="00E11E4A"/>
    <w:rsid w:val="00E11F2E"/>
    <w:rsid w:val="00E11F56"/>
    <w:rsid w:val="00E11F5E"/>
    <w:rsid w:val="00E11F99"/>
    <w:rsid w:val="00E11FA6"/>
    <w:rsid w:val="00E11FA8"/>
    <w:rsid w:val="00E11FCA"/>
    <w:rsid w:val="00E12136"/>
    <w:rsid w:val="00E12195"/>
    <w:rsid w:val="00E12215"/>
    <w:rsid w:val="00E12235"/>
    <w:rsid w:val="00E12281"/>
    <w:rsid w:val="00E12287"/>
    <w:rsid w:val="00E12386"/>
    <w:rsid w:val="00E1239D"/>
    <w:rsid w:val="00E123B3"/>
    <w:rsid w:val="00E1243D"/>
    <w:rsid w:val="00E12447"/>
    <w:rsid w:val="00E1247C"/>
    <w:rsid w:val="00E1248A"/>
    <w:rsid w:val="00E12494"/>
    <w:rsid w:val="00E12524"/>
    <w:rsid w:val="00E12537"/>
    <w:rsid w:val="00E12549"/>
    <w:rsid w:val="00E12579"/>
    <w:rsid w:val="00E1258E"/>
    <w:rsid w:val="00E125A2"/>
    <w:rsid w:val="00E12658"/>
    <w:rsid w:val="00E126C8"/>
    <w:rsid w:val="00E12766"/>
    <w:rsid w:val="00E127AD"/>
    <w:rsid w:val="00E127CC"/>
    <w:rsid w:val="00E12804"/>
    <w:rsid w:val="00E12806"/>
    <w:rsid w:val="00E1282C"/>
    <w:rsid w:val="00E12832"/>
    <w:rsid w:val="00E12860"/>
    <w:rsid w:val="00E128A3"/>
    <w:rsid w:val="00E128F6"/>
    <w:rsid w:val="00E1290B"/>
    <w:rsid w:val="00E12910"/>
    <w:rsid w:val="00E1291B"/>
    <w:rsid w:val="00E1299D"/>
    <w:rsid w:val="00E129B0"/>
    <w:rsid w:val="00E129D3"/>
    <w:rsid w:val="00E12AED"/>
    <w:rsid w:val="00E12AFD"/>
    <w:rsid w:val="00E12B04"/>
    <w:rsid w:val="00E12B4F"/>
    <w:rsid w:val="00E12B5D"/>
    <w:rsid w:val="00E12BE5"/>
    <w:rsid w:val="00E12C44"/>
    <w:rsid w:val="00E12CB9"/>
    <w:rsid w:val="00E12CDF"/>
    <w:rsid w:val="00E12CFA"/>
    <w:rsid w:val="00E12D35"/>
    <w:rsid w:val="00E12D53"/>
    <w:rsid w:val="00E12D98"/>
    <w:rsid w:val="00E12DB9"/>
    <w:rsid w:val="00E12DFE"/>
    <w:rsid w:val="00E12DFF"/>
    <w:rsid w:val="00E12E45"/>
    <w:rsid w:val="00E12ED4"/>
    <w:rsid w:val="00E12F1A"/>
    <w:rsid w:val="00E12F51"/>
    <w:rsid w:val="00E12F78"/>
    <w:rsid w:val="00E12F7B"/>
    <w:rsid w:val="00E12F98"/>
    <w:rsid w:val="00E12FA5"/>
    <w:rsid w:val="00E12FAF"/>
    <w:rsid w:val="00E12FCE"/>
    <w:rsid w:val="00E12FE4"/>
    <w:rsid w:val="00E1302D"/>
    <w:rsid w:val="00E1304C"/>
    <w:rsid w:val="00E13062"/>
    <w:rsid w:val="00E1306F"/>
    <w:rsid w:val="00E13089"/>
    <w:rsid w:val="00E1314D"/>
    <w:rsid w:val="00E13209"/>
    <w:rsid w:val="00E13236"/>
    <w:rsid w:val="00E13276"/>
    <w:rsid w:val="00E1327B"/>
    <w:rsid w:val="00E132E1"/>
    <w:rsid w:val="00E1330F"/>
    <w:rsid w:val="00E13320"/>
    <w:rsid w:val="00E13327"/>
    <w:rsid w:val="00E13371"/>
    <w:rsid w:val="00E13433"/>
    <w:rsid w:val="00E13484"/>
    <w:rsid w:val="00E134B7"/>
    <w:rsid w:val="00E134E7"/>
    <w:rsid w:val="00E13524"/>
    <w:rsid w:val="00E135C7"/>
    <w:rsid w:val="00E1365C"/>
    <w:rsid w:val="00E13665"/>
    <w:rsid w:val="00E136B2"/>
    <w:rsid w:val="00E136E0"/>
    <w:rsid w:val="00E136EA"/>
    <w:rsid w:val="00E136EC"/>
    <w:rsid w:val="00E1375A"/>
    <w:rsid w:val="00E1379F"/>
    <w:rsid w:val="00E137B8"/>
    <w:rsid w:val="00E137F8"/>
    <w:rsid w:val="00E138F4"/>
    <w:rsid w:val="00E1397B"/>
    <w:rsid w:val="00E139A8"/>
    <w:rsid w:val="00E13A54"/>
    <w:rsid w:val="00E13AC7"/>
    <w:rsid w:val="00E13AE0"/>
    <w:rsid w:val="00E13AE2"/>
    <w:rsid w:val="00E13B17"/>
    <w:rsid w:val="00E13B32"/>
    <w:rsid w:val="00E13B63"/>
    <w:rsid w:val="00E13B93"/>
    <w:rsid w:val="00E13BE0"/>
    <w:rsid w:val="00E13C13"/>
    <w:rsid w:val="00E13C1F"/>
    <w:rsid w:val="00E13C34"/>
    <w:rsid w:val="00E13C82"/>
    <w:rsid w:val="00E13D17"/>
    <w:rsid w:val="00E13D43"/>
    <w:rsid w:val="00E13DB9"/>
    <w:rsid w:val="00E13E18"/>
    <w:rsid w:val="00E13E21"/>
    <w:rsid w:val="00E13E3B"/>
    <w:rsid w:val="00E13E5E"/>
    <w:rsid w:val="00E13E74"/>
    <w:rsid w:val="00E13EB2"/>
    <w:rsid w:val="00E13F39"/>
    <w:rsid w:val="00E13F3A"/>
    <w:rsid w:val="00E13FE6"/>
    <w:rsid w:val="00E14073"/>
    <w:rsid w:val="00E14105"/>
    <w:rsid w:val="00E14115"/>
    <w:rsid w:val="00E1412F"/>
    <w:rsid w:val="00E1414F"/>
    <w:rsid w:val="00E1416D"/>
    <w:rsid w:val="00E1422C"/>
    <w:rsid w:val="00E142E9"/>
    <w:rsid w:val="00E142ED"/>
    <w:rsid w:val="00E143CF"/>
    <w:rsid w:val="00E143F7"/>
    <w:rsid w:val="00E14472"/>
    <w:rsid w:val="00E1448E"/>
    <w:rsid w:val="00E144A9"/>
    <w:rsid w:val="00E144C4"/>
    <w:rsid w:val="00E144EC"/>
    <w:rsid w:val="00E14518"/>
    <w:rsid w:val="00E145D0"/>
    <w:rsid w:val="00E145DB"/>
    <w:rsid w:val="00E14649"/>
    <w:rsid w:val="00E14652"/>
    <w:rsid w:val="00E1467B"/>
    <w:rsid w:val="00E146A3"/>
    <w:rsid w:val="00E146FC"/>
    <w:rsid w:val="00E146FD"/>
    <w:rsid w:val="00E14703"/>
    <w:rsid w:val="00E14713"/>
    <w:rsid w:val="00E14723"/>
    <w:rsid w:val="00E14758"/>
    <w:rsid w:val="00E1475F"/>
    <w:rsid w:val="00E1476D"/>
    <w:rsid w:val="00E1479F"/>
    <w:rsid w:val="00E147D6"/>
    <w:rsid w:val="00E14818"/>
    <w:rsid w:val="00E148D1"/>
    <w:rsid w:val="00E148E1"/>
    <w:rsid w:val="00E148ED"/>
    <w:rsid w:val="00E14949"/>
    <w:rsid w:val="00E1496D"/>
    <w:rsid w:val="00E14987"/>
    <w:rsid w:val="00E14998"/>
    <w:rsid w:val="00E149B4"/>
    <w:rsid w:val="00E149BC"/>
    <w:rsid w:val="00E14A30"/>
    <w:rsid w:val="00E14A48"/>
    <w:rsid w:val="00E14A6C"/>
    <w:rsid w:val="00E14ADA"/>
    <w:rsid w:val="00E14AF4"/>
    <w:rsid w:val="00E14B08"/>
    <w:rsid w:val="00E14B2D"/>
    <w:rsid w:val="00E14B34"/>
    <w:rsid w:val="00E14B62"/>
    <w:rsid w:val="00E14B8C"/>
    <w:rsid w:val="00E14B91"/>
    <w:rsid w:val="00E14C73"/>
    <w:rsid w:val="00E14CD1"/>
    <w:rsid w:val="00E14D55"/>
    <w:rsid w:val="00E14D65"/>
    <w:rsid w:val="00E14DD5"/>
    <w:rsid w:val="00E14DEA"/>
    <w:rsid w:val="00E14E26"/>
    <w:rsid w:val="00E14E64"/>
    <w:rsid w:val="00E14E95"/>
    <w:rsid w:val="00E14E96"/>
    <w:rsid w:val="00E14E9A"/>
    <w:rsid w:val="00E14EE7"/>
    <w:rsid w:val="00E14F23"/>
    <w:rsid w:val="00E15045"/>
    <w:rsid w:val="00E1504F"/>
    <w:rsid w:val="00E150CF"/>
    <w:rsid w:val="00E15127"/>
    <w:rsid w:val="00E1514D"/>
    <w:rsid w:val="00E151C0"/>
    <w:rsid w:val="00E151CF"/>
    <w:rsid w:val="00E151DD"/>
    <w:rsid w:val="00E15274"/>
    <w:rsid w:val="00E15282"/>
    <w:rsid w:val="00E152A1"/>
    <w:rsid w:val="00E152B5"/>
    <w:rsid w:val="00E152BA"/>
    <w:rsid w:val="00E152FA"/>
    <w:rsid w:val="00E15316"/>
    <w:rsid w:val="00E15350"/>
    <w:rsid w:val="00E15367"/>
    <w:rsid w:val="00E15386"/>
    <w:rsid w:val="00E15387"/>
    <w:rsid w:val="00E1540E"/>
    <w:rsid w:val="00E1544D"/>
    <w:rsid w:val="00E155B1"/>
    <w:rsid w:val="00E155B4"/>
    <w:rsid w:val="00E15611"/>
    <w:rsid w:val="00E156E0"/>
    <w:rsid w:val="00E1570A"/>
    <w:rsid w:val="00E15740"/>
    <w:rsid w:val="00E15756"/>
    <w:rsid w:val="00E1579C"/>
    <w:rsid w:val="00E158CC"/>
    <w:rsid w:val="00E1594D"/>
    <w:rsid w:val="00E159D4"/>
    <w:rsid w:val="00E15A55"/>
    <w:rsid w:val="00E15A8B"/>
    <w:rsid w:val="00E15A9C"/>
    <w:rsid w:val="00E15B0D"/>
    <w:rsid w:val="00E15B6A"/>
    <w:rsid w:val="00E15B84"/>
    <w:rsid w:val="00E15BA0"/>
    <w:rsid w:val="00E15BA5"/>
    <w:rsid w:val="00E15C76"/>
    <w:rsid w:val="00E15CA1"/>
    <w:rsid w:val="00E15CB3"/>
    <w:rsid w:val="00E15CE3"/>
    <w:rsid w:val="00E15D33"/>
    <w:rsid w:val="00E15DB9"/>
    <w:rsid w:val="00E15DD2"/>
    <w:rsid w:val="00E15E52"/>
    <w:rsid w:val="00E15E5E"/>
    <w:rsid w:val="00E15E8B"/>
    <w:rsid w:val="00E15EA8"/>
    <w:rsid w:val="00E15F43"/>
    <w:rsid w:val="00E15F4E"/>
    <w:rsid w:val="00E15F91"/>
    <w:rsid w:val="00E15FB0"/>
    <w:rsid w:val="00E15FD7"/>
    <w:rsid w:val="00E15FF2"/>
    <w:rsid w:val="00E16004"/>
    <w:rsid w:val="00E16008"/>
    <w:rsid w:val="00E16060"/>
    <w:rsid w:val="00E16061"/>
    <w:rsid w:val="00E1607B"/>
    <w:rsid w:val="00E160A5"/>
    <w:rsid w:val="00E160AB"/>
    <w:rsid w:val="00E160B7"/>
    <w:rsid w:val="00E160B9"/>
    <w:rsid w:val="00E160C0"/>
    <w:rsid w:val="00E160D9"/>
    <w:rsid w:val="00E16113"/>
    <w:rsid w:val="00E1611F"/>
    <w:rsid w:val="00E16134"/>
    <w:rsid w:val="00E161E6"/>
    <w:rsid w:val="00E161FD"/>
    <w:rsid w:val="00E16249"/>
    <w:rsid w:val="00E16255"/>
    <w:rsid w:val="00E1625F"/>
    <w:rsid w:val="00E16289"/>
    <w:rsid w:val="00E16290"/>
    <w:rsid w:val="00E162B8"/>
    <w:rsid w:val="00E16358"/>
    <w:rsid w:val="00E16385"/>
    <w:rsid w:val="00E163AA"/>
    <w:rsid w:val="00E163AC"/>
    <w:rsid w:val="00E163BC"/>
    <w:rsid w:val="00E163C5"/>
    <w:rsid w:val="00E163C7"/>
    <w:rsid w:val="00E163F7"/>
    <w:rsid w:val="00E1640B"/>
    <w:rsid w:val="00E16421"/>
    <w:rsid w:val="00E16426"/>
    <w:rsid w:val="00E1644E"/>
    <w:rsid w:val="00E164AF"/>
    <w:rsid w:val="00E16571"/>
    <w:rsid w:val="00E165BB"/>
    <w:rsid w:val="00E165C2"/>
    <w:rsid w:val="00E16644"/>
    <w:rsid w:val="00E1667E"/>
    <w:rsid w:val="00E166A7"/>
    <w:rsid w:val="00E166AE"/>
    <w:rsid w:val="00E166B9"/>
    <w:rsid w:val="00E166BD"/>
    <w:rsid w:val="00E1670B"/>
    <w:rsid w:val="00E16712"/>
    <w:rsid w:val="00E16739"/>
    <w:rsid w:val="00E16766"/>
    <w:rsid w:val="00E16767"/>
    <w:rsid w:val="00E1678E"/>
    <w:rsid w:val="00E16833"/>
    <w:rsid w:val="00E16860"/>
    <w:rsid w:val="00E1686A"/>
    <w:rsid w:val="00E16890"/>
    <w:rsid w:val="00E168CE"/>
    <w:rsid w:val="00E168D6"/>
    <w:rsid w:val="00E168DC"/>
    <w:rsid w:val="00E1693B"/>
    <w:rsid w:val="00E1695D"/>
    <w:rsid w:val="00E16A46"/>
    <w:rsid w:val="00E16B40"/>
    <w:rsid w:val="00E16BD0"/>
    <w:rsid w:val="00E16BE3"/>
    <w:rsid w:val="00E16BE7"/>
    <w:rsid w:val="00E16C6A"/>
    <w:rsid w:val="00E16C8C"/>
    <w:rsid w:val="00E16D74"/>
    <w:rsid w:val="00E16D9D"/>
    <w:rsid w:val="00E16DD9"/>
    <w:rsid w:val="00E16E11"/>
    <w:rsid w:val="00E16E27"/>
    <w:rsid w:val="00E16E6B"/>
    <w:rsid w:val="00E16EA7"/>
    <w:rsid w:val="00E16EDC"/>
    <w:rsid w:val="00E16FB8"/>
    <w:rsid w:val="00E16FBE"/>
    <w:rsid w:val="00E16FC7"/>
    <w:rsid w:val="00E16FF9"/>
    <w:rsid w:val="00E17007"/>
    <w:rsid w:val="00E170A7"/>
    <w:rsid w:val="00E170C6"/>
    <w:rsid w:val="00E170D3"/>
    <w:rsid w:val="00E170EC"/>
    <w:rsid w:val="00E171B9"/>
    <w:rsid w:val="00E171C3"/>
    <w:rsid w:val="00E171C6"/>
    <w:rsid w:val="00E171E2"/>
    <w:rsid w:val="00E1722C"/>
    <w:rsid w:val="00E17297"/>
    <w:rsid w:val="00E172DE"/>
    <w:rsid w:val="00E17330"/>
    <w:rsid w:val="00E173B1"/>
    <w:rsid w:val="00E173BA"/>
    <w:rsid w:val="00E173BE"/>
    <w:rsid w:val="00E174A4"/>
    <w:rsid w:val="00E174B1"/>
    <w:rsid w:val="00E174CF"/>
    <w:rsid w:val="00E17528"/>
    <w:rsid w:val="00E1754C"/>
    <w:rsid w:val="00E17587"/>
    <w:rsid w:val="00E1760C"/>
    <w:rsid w:val="00E17645"/>
    <w:rsid w:val="00E17673"/>
    <w:rsid w:val="00E17684"/>
    <w:rsid w:val="00E17700"/>
    <w:rsid w:val="00E1771D"/>
    <w:rsid w:val="00E17748"/>
    <w:rsid w:val="00E17779"/>
    <w:rsid w:val="00E17788"/>
    <w:rsid w:val="00E17824"/>
    <w:rsid w:val="00E178EE"/>
    <w:rsid w:val="00E17927"/>
    <w:rsid w:val="00E1794D"/>
    <w:rsid w:val="00E1797C"/>
    <w:rsid w:val="00E17987"/>
    <w:rsid w:val="00E179CC"/>
    <w:rsid w:val="00E179FD"/>
    <w:rsid w:val="00E17A09"/>
    <w:rsid w:val="00E17A0E"/>
    <w:rsid w:val="00E17AF0"/>
    <w:rsid w:val="00E17B25"/>
    <w:rsid w:val="00E17B79"/>
    <w:rsid w:val="00E17BC6"/>
    <w:rsid w:val="00E17BEB"/>
    <w:rsid w:val="00E17C53"/>
    <w:rsid w:val="00E17CB5"/>
    <w:rsid w:val="00E17E75"/>
    <w:rsid w:val="00E17EA1"/>
    <w:rsid w:val="00E17EE7"/>
    <w:rsid w:val="00E17F85"/>
    <w:rsid w:val="00E17FB0"/>
    <w:rsid w:val="00E2007D"/>
    <w:rsid w:val="00E20090"/>
    <w:rsid w:val="00E200AB"/>
    <w:rsid w:val="00E200DA"/>
    <w:rsid w:val="00E20162"/>
    <w:rsid w:val="00E20290"/>
    <w:rsid w:val="00E202BB"/>
    <w:rsid w:val="00E202BC"/>
    <w:rsid w:val="00E20319"/>
    <w:rsid w:val="00E2032C"/>
    <w:rsid w:val="00E2032F"/>
    <w:rsid w:val="00E203A3"/>
    <w:rsid w:val="00E203D6"/>
    <w:rsid w:val="00E20409"/>
    <w:rsid w:val="00E20471"/>
    <w:rsid w:val="00E20474"/>
    <w:rsid w:val="00E204DB"/>
    <w:rsid w:val="00E2055E"/>
    <w:rsid w:val="00E2056F"/>
    <w:rsid w:val="00E20650"/>
    <w:rsid w:val="00E2066A"/>
    <w:rsid w:val="00E206BF"/>
    <w:rsid w:val="00E206DE"/>
    <w:rsid w:val="00E206EF"/>
    <w:rsid w:val="00E2074C"/>
    <w:rsid w:val="00E207F1"/>
    <w:rsid w:val="00E20824"/>
    <w:rsid w:val="00E20826"/>
    <w:rsid w:val="00E208EE"/>
    <w:rsid w:val="00E20947"/>
    <w:rsid w:val="00E209B2"/>
    <w:rsid w:val="00E209BB"/>
    <w:rsid w:val="00E209BC"/>
    <w:rsid w:val="00E209CA"/>
    <w:rsid w:val="00E209D1"/>
    <w:rsid w:val="00E20A2F"/>
    <w:rsid w:val="00E20A8C"/>
    <w:rsid w:val="00E20AAD"/>
    <w:rsid w:val="00E20B0E"/>
    <w:rsid w:val="00E20B98"/>
    <w:rsid w:val="00E20C0C"/>
    <w:rsid w:val="00E20C31"/>
    <w:rsid w:val="00E20C60"/>
    <w:rsid w:val="00E20CB7"/>
    <w:rsid w:val="00E20CBB"/>
    <w:rsid w:val="00E20CE9"/>
    <w:rsid w:val="00E20D0F"/>
    <w:rsid w:val="00E20D2E"/>
    <w:rsid w:val="00E20DE4"/>
    <w:rsid w:val="00E20DFE"/>
    <w:rsid w:val="00E20E23"/>
    <w:rsid w:val="00E20E3B"/>
    <w:rsid w:val="00E20E81"/>
    <w:rsid w:val="00E20EA1"/>
    <w:rsid w:val="00E20F1B"/>
    <w:rsid w:val="00E20F3B"/>
    <w:rsid w:val="00E20F70"/>
    <w:rsid w:val="00E20F90"/>
    <w:rsid w:val="00E20F91"/>
    <w:rsid w:val="00E2100F"/>
    <w:rsid w:val="00E21015"/>
    <w:rsid w:val="00E2102C"/>
    <w:rsid w:val="00E2105B"/>
    <w:rsid w:val="00E210A5"/>
    <w:rsid w:val="00E21110"/>
    <w:rsid w:val="00E2111C"/>
    <w:rsid w:val="00E21151"/>
    <w:rsid w:val="00E21201"/>
    <w:rsid w:val="00E2120F"/>
    <w:rsid w:val="00E21222"/>
    <w:rsid w:val="00E212B2"/>
    <w:rsid w:val="00E21328"/>
    <w:rsid w:val="00E21332"/>
    <w:rsid w:val="00E213F4"/>
    <w:rsid w:val="00E213F9"/>
    <w:rsid w:val="00E2150D"/>
    <w:rsid w:val="00E21539"/>
    <w:rsid w:val="00E215AA"/>
    <w:rsid w:val="00E215AC"/>
    <w:rsid w:val="00E215E8"/>
    <w:rsid w:val="00E215EF"/>
    <w:rsid w:val="00E215FF"/>
    <w:rsid w:val="00E2162A"/>
    <w:rsid w:val="00E21638"/>
    <w:rsid w:val="00E216BF"/>
    <w:rsid w:val="00E216E8"/>
    <w:rsid w:val="00E21748"/>
    <w:rsid w:val="00E217B6"/>
    <w:rsid w:val="00E21879"/>
    <w:rsid w:val="00E2187E"/>
    <w:rsid w:val="00E218F9"/>
    <w:rsid w:val="00E21917"/>
    <w:rsid w:val="00E21930"/>
    <w:rsid w:val="00E21938"/>
    <w:rsid w:val="00E2193A"/>
    <w:rsid w:val="00E2193C"/>
    <w:rsid w:val="00E21970"/>
    <w:rsid w:val="00E21987"/>
    <w:rsid w:val="00E219AE"/>
    <w:rsid w:val="00E219B6"/>
    <w:rsid w:val="00E219C2"/>
    <w:rsid w:val="00E219D5"/>
    <w:rsid w:val="00E219DD"/>
    <w:rsid w:val="00E21A3B"/>
    <w:rsid w:val="00E21A67"/>
    <w:rsid w:val="00E21A88"/>
    <w:rsid w:val="00E21AA7"/>
    <w:rsid w:val="00E21B4A"/>
    <w:rsid w:val="00E21B7B"/>
    <w:rsid w:val="00E21BBF"/>
    <w:rsid w:val="00E21CC5"/>
    <w:rsid w:val="00E21CCA"/>
    <w:rsid w:val="00E21D24"/>
    <w:rsid w:val="00E21D36"/>
    <w:rsid w:val="00E21DCF"/>
    <w:rsid w:val="00E21DDB"/>
    <w:rsid w:val="00E21E55"/>
    <w:rsid w:val="00E21EBD"/>
    <w:rsid w:val="00E21F7A"/>
    <w:rsid w:val="00E21FCE"/>
    <w:rsid w:val="00E21FDD"/>
    <w:rsid w:val="00E22003"/>
    <w:rsid w:val="00E22022"/>
    <w:rsid w:val="00E22030"/>
    <w:rsid w:val="00E2203C"/>
    <w:rsid w:val="00E2203F"/>
    <w:rsid w:val="00E22043"/>
    <w:rsid w:val="00E22071"/>
    <w:rsid w:val="00E220ED"/>
    <w:rsid w:val="00E2210C"/>
    <w:rsid w:val="00E221B3"/>
    <w:rsid w:val="00E2222A"/>
    <w:rsid w:val="00E2223E"/>
    <w:rsid w:val="00E222B3"/>
    <w:rsid w:val="00E222E8"/>
    <w:rsid w:val="00E22322"/>
    <w:rsid w:val="00E22348"/>
    <w:rsid w:val="00E223DD"/>
    <w:rsid w:val="00E223EE"/>
    <w:rsid w:val="00E22422"/>
    <w:rsid w:val="00E2247C"/>
    <w:rsid w:val="00E224E7"/>
    <w:rsid w:val="00E224EA"/>
    <w:rsid w:val="00E2250D"/>
    <w:rsid w:val="00E22512"/>
    <w:rsid w:val="00E22530"/>
    <w:rsid w:val="00E22539"/>
    <w:rsid w:val="00E22571"/>
    <w:rsid w:val="00E22580"/>
    <w:rsid w:val="00E2259A"/>
    <w:rsid w:val="00E225B0"/>
    <w:rsid w:val="00E225D8"/>
    <w:rsid w:val="00E2261C"/>
    <w:rsid w:val="00E2265C"/>
    <w:rsid w:val="00E22694"/>
    <w:rsid w:val="00E226F1"/>
    <w:rsid w:val="00E22729"/>
    <w:rsid w:val="00E2275E"/>
    <w:rsid w:val="00E22789"/>
    <w:rsid w:val="00E227B5"/>
    <w:rsid w:val="00E22836"/>
    <w:rsid w:val="00E22857"/>
    <w:rsid w:val="00E22860"/>
    <w:rsid w:val="00E2287A"/>
    <w:rsid w:val="00E228C7"/>
    <w:rsid w:val="00E228C9"/>
    <w:rsid w:val="00E228DC"/>
    <w:rsid w:val="00E22967"/>
    <w:rsid w:val="00E2298D"/>
    <w:rsid w:val="00E2299E"/>
    <w:rsid w:val="00E229A8"/>
    <w:rsid w:val="00E229AC"/>
    <w:rsid w:val="00E229CA"/>
    <w:rsid w:val="00E22A22"/>
    <w:rsid w:val="00E22AA6"/>
    <w:rsid w:val="00E22AD9"/>
    <w:rsid w:val="00E22AE8"/>
    <w:rsid w:val="00E22B18"/>
    <w:rsid w:val="00E22B42"/>
    <w:rsid w:val="00E22BBE"/>
    <w:rsid w:val="00E22BD3"/>
    <w:rsid w:val="00E22CF3"/>
    <w:rsid w:val="00E22D0E"/>
    <w:rsid w:val="00E22D51"/>
    <w:rsid w:val="00E22D62"/>
    <w:rsid w:val="00E22DC7"/>
    <w:rsid w:val="00E22DE1"/>
    <w:rsid w:val="00E22E3F"/>
    <w:rsid w:val="00E22E6C"/>
    <w:rsid w:val="00E22E71"/>
    <w:rsid w:val="00E22E9F"/>
    <w:rsid w:val="00E22EAF"/>
    <w:rsid w:val="00E22EBC"/>
    <w:rsid w:val="00E22EC4"/>
    <w:rsid w:val="00E22EF6"/>
    <w:rsid w:val="00E23094"/>
    <w:rsid w:val="00E2309C"/>
    <w:rsid w:val="00E230AA"/>
    <w:rsid w:val="00E23180"/>
    <w:rsid w:val="00E231CB"/>
    <w:rsid w:val="00E2328A"/>
    <w:rsid w:val="00E232BD"/>
    <w:rsid w:val="00E23327"/>
    <w:rsid w:val="00E2338C"/>
    <w:rsid w:val="00E233A0"/>
    <w:rsid w:val="00E233FA"/>
    <w:rsid w:val="00E23404"/>
    <w:rsid w:val="00E23419"/>
    <w:rsid w:val="00E2348E"/>
    <w:rsid w:val="00E234C1"/>
    <w:rsid w:val="00E234D2"/>
    <w:rsid w:val="00E234F6"/>
    <w:rsid w:val="00E23516"/>
    <w:rsid w:val="00E23556"/>
    <w:rsid w:val="00E235AB"/>
    <w:rsid w:val="00E235CC"/>
    <w:rsid w:val="00E235E9"/>
    <w:rsid w:val="00E237F2"/>
    <w:rsid w:val="00E237F6"/>
    <w:rsid w:val="00E23841"/>
    <w:rsid w:val="00E23881"/>
    <w:rsid w:val="00E23889"/>
    <w:rsid w:val="00E2388B"/>
    <w:rsid w:val="00E238A4"/>
    <w:rsid w:val="00E238A8"/>
    <w:rsid w:val="00E238B9"/>
    <w:rsid w:val="00E238EB"/>
    <w:rsid w:val="00E23961"/>
    <w:rsid w:val="00E239AF"/>
    <w:rsid w:val="00E239BB"/>
    <w:rsid w:val="00E23A43"/>
    <w:rsid w:val="00E23A6F"/>
    <w:rsid w:val="00E23AE6"/>
    <w:rsid w:val="00E23B67"/>
    <w:rsid w:val="00E23BE2"/>
    <w:rsid w:val="00E23C47"/>
    <w:rsid w:val="00E23C82"/>
    <w:rsid w:val="00E23C8A"/>
    <w:rsid w:val="00E23C94"/>
    <w:rsid w:val="00E23C97"/>
    <w:rsid w:val="00E23D57"/>
    <w:rsid w:val="00E23D70"/>
    <w:rsid w:val="00E23D9E"/>
    <w:rsid w:val="00E23E16"/>
    <w:rsid w:val="00E24023"/>
    <w:rsid w:val="00E240B6"/>
    <w:rsid w:val="00E240DF"/>
    <w:rsid w:val="00E24137"/>
    <w:rsid w:val="00E2414B"/>
    <w:rsid w:val="00E24155"/>
    <w:rsid w:val="00E241A9"/>
    <w:rsid w:val="00E241BA"/>
    <w:rsid w:val="00E241F4"/>
    <w:rsid w:val="00E24205"/>
    <w:rsid w:val="00E24231"/>
    <w:rsid w:val="00E24241"/>
    <w:rsid w:val="00E24248"/>
    <w:rsid w:val="00E2424B"/>
    <w:rsid w:val="00E24250"/>
    <w:rsid w:val="00E242D1"/>
    <w:rsid w:val="00E243D2"/>
    <w:rsid w:val="00E24429"/>
    <w:rsid w:val="00E24483"/>
    <w:rsid w:val="00E244D9"/>
    <w:rsid w:val="00E24504"/>
    <w:rsid w:val="00E24520"/>
    <w:rsid w:val="00E24522"/>
    <w:rsid w:val="00E24532"/>
    <w:rsid w:val="00E2456D"/>
    <w:rsid w:val="00E245E3"/>
    <w:rsid w:val="00E245E4"/>
    <w:rsid w:val="00E245EC"/>
    <w:rsid w:val="00E245FA"/>
    <w:rsid w:val="00E2460B"/>
    <w:rsid w:val="00E2462F"/>
    <w:rsid w:val="00E2464C"/>
    <w:rsid w:val="00E246A1"/>
    <w:rsid w:val="00E246D2"/>
    <w:rsid w:val="00E24760"/>
    <w:rsid w:val="00E2477E"/>
    <w:rsid w:val="00E24815"/>
    <w:rsid w:val="00E24903"/>
    <w:rsid w:val="00E24917"/>
    <w:rsid w:val="00E2493A"/>
    <w:rsid w:val="00E2496A"/>
    <w:rsid w:val="00E24973"/>
    <w:rsid w:val="00E24A01"/>
    <w:rsid w:val="00E24A1A"/>
    <w:rsid w:val="00E24AA0"/>
    <w:rsid w:val="00E24AF0"/>
    <w:rsid w:val="00E24B1B"/>
    <w:rsid w:val="00E24B40"/>
    <w:rsid w:val="00E24C2F"/>
    <w:rsid w:val="00E24C43"/>
    <w:rsid w:val="00E24CE8"/>
    <w:rsid w:val="00E24D07"/>
    <w:rsid w:val="00E24D1C"/>
    <w:rsid w:val="00E24D27"/>
    <w:rsid w:val="00E24D5F"/>
    <w:rsid w:val="00E24D90"/>
    <w:rsid w:val="00E24DB6"/>
    <w:rsid w:val="00E24DE4"/>
    <w:rsid w:val="00E24DEB"/>
    <w:rsid w:val="00E24E33"/>
    <w:rsid w:val="00E24EBC"/>
    <w:rsid w:val="00E24EFB"/>
    <w:rsid w:val="00E24F88"/>
    <w:rsid w:val="00E24F9C"/>
    <w:rsid w:val="00E24FA8"/>
    <w:rsid w:val="00E24FAC"/>
    <w:rsid w:val="00E24FC4"/>
    <w:rsid w:val="00E24FC9"/>
    <w:rsid w:val="00E25046"/>
    <w:rsid w:val="00E250AA"/>
    <w:rsid w:val="00E2511F"/>
    <w:rsid w:val="00E251A5"/>
    <w:rsid w:val="00E251DB"/>
    <w:rsid w:val="00E251F0"/>
    <w:rsid w:val="00E25227"/>
    <w:rsid w:val="00E25268"/>
    <w:rsid w:val="00E2528C"/>
    <w:rsid w:val="00E252BF"/>
    <w:rsid w:val="00E252FE"/>
    <w:rsid w:val="00E25328"/>
    <w:rsid w:val="00E25361"/>
    <w:rsid w:val="00E253AE"/>
    <w:rsid w:val="00E25409"/>
    <w:rsid w:val="00E25442"/>
    <w:rsid w:val="00E25487"/>
    <w:rsid w:val="00E254A1"/>
    <w:rsid w:val="00E254B7"/>
    <w:rsid w:val="00E254F4"/>
    <w:rsid w:val="00E25512"/>
    <w:rsid w:val="00E25520"/>
    <w:rsid w:val="00E25548"/>
    <w:rsid w:val="00E255A7"/>
    <w:rsid w:val="00E2561D"/>
    <w:rsid w:val="00E25672"/>
    <w:rsid w:val="00E2569B"/>
    <w:rsid w:val="00E256CA"/>
    <w:rsid w:val="00E256E4"/>
    <w:rsid w:val="00E257A9"/>
    <w:rsid w:val="00E257E8"/>
    <w:rsid w:val="00E257EC"/>
    <w:rsid w:val="00E25828"/>
    <w:rsid w:val="00E2585C"/>
    <w:rsid w:val="00E258CD"/>
    <w:rsid w:val="00E2598C"/>
    <w:rsid w:val="00E259AF"/>
    <w:rsid w:val="00E25A2D"/>
    <w:rsid w:val="00E25A7F"/>
    <w:rsid w:val="00E25B00"/>
    <w:rsid w:val="00E25B0F"/>
    <w:rsid w:val="00E25C63"/>
    <w:rsid w:val="00E25C73"/>
    <w:rsid w:val="00E25C86"/>
    <w:rsid w:val="00E25CB9"/>
    <w:rsid w:val="00E25CE2"/>
    <w:rsid w:val="00E25D54"/>
    <w:rsid w:val="00E25DDD"/>
    <w:rsid w:val="00E25E6C"/>
    <w:rsid w:val="00E25E99"/>
    <w:rsid w:val="00E25ED7"/>
    <w:rsid w:val="00E25F13"/>
    <w:rsid w:val="00E25F83"/>
    <w:rsid w:val="00E2600E"/>
    <w:rsid w:val="00E26021"/>
    <w:rsid w:val="00E2605D"/>
    <w:rsid w:val="00E2606C"/>
    <w:rsid w:val="00E2609E"/>
    <w:rsid w:val="00E260E4"/>
    <w:rsid w:val="00E26165"/>
    <w:rsid w:val="00E26204"/>
    <w:rsid w:val="00E26219"/>
    <w:rsid w:val="00E2622B"/>
    <w:rsid w:val="00E262EB"/>
    <w:rsid w:val="00E26384"/>
    <w:rsid w:val="00E263A0"/>
    <w:rsid w:val="00E263A3"/>
    <w:rsid w:val="00E263AC"/>
    <w:rsid w:val="00E263AF"/>
    <w:rsid w:val="00E263ED"/>
    <w:rsid w:val="00E26414"/>
    <w:rsid w:val="00E26439"/>
    <w:rsid w:val="00E2644D"/>
    <w:rsid w:val="00E26466"/>
    <w:rsid w:val="00E264A4"/>
    <w:rsid w:val="00E264BB"/>
    <w:rsid w:val="00E26544"/>
    <w:rsid w:val="00E26572"/>
    <w:rsid w:val="00E2657D"/>
    <w:rsid w:val="00E265E4"/>
    <w:rsid w:val="00E265F9"/>
    <w:rsid w:val="00E2663C"/>
    <w:rsid w:val="00E26647"/>
    <w:rsid w:val="00E2669C"/>
    <w:rsid w:val="00E26716"/>
    <w:rsid w:val="00E267AF"/>
    <w:rsid w:val="00E267BA"/>
    <w:rsid w:val="00E267D0"/>
    <w:rsid w:val="00E267E8"/>
    <w:rsid w:val="00E2688F"/>
    <w:rsid w:val="00E26894"/>
    <w:rsid w:val="00E268D3"/>
    <w:rsid w:val="00E268E5"/>
    <w:rsid w:val="00E268F9"/>
    <w:rsid w:val="00E268FF"/>
    <w:rsid w:val="00E2695B"/>
    <w:rsid w:val="00E269A0"/>
    <w:rsid w:val="00E269AA"/>
    <w:rsid w:val="00E269BC"/>
    <w:rsid w:val="00E269DD"/>
    <w:rsid w:val="00E26A4A"/>
    <w:rsid w:val="00E26A8F"/>
    <w:rsid w:val="00E26AA7"/>
    <w:rsid w:val="00E26AEA"/>
    <w:rsid w:val="00E26B04"/>
    <w:rsid w:val="00E26B05"/>
    <w:rsid w:val="00E26B20"/>
    <w:rsid w:val="00E26B79"/>
    <w:rsid w:val="00E26BA2"/>
    <w:rsid w:val="00E26BAE"/>
    <w:rsid w:val="00E26BC0"/>
    <w:rsid w:val="00E26BC7"/>
    <w:rsid w:val="00E26BF4"/>
    <w:rsid w:val="00E26BFA"/>
    <w:rsid w:val="00E26C00"/>
    <w:rsid w:val="00E26C11"/>
    <w:rsid w:val="00E26D1F"/>
    <w:rsid w:val="00E26D24"/>
    <w:rsid w:val="00E26DFA"/>
    <w:rsid w:val="00E26EBE"/>
    <w:rsid w:val="00E26F52"/>
    <w:rsid w:val="00E26F5A"/>
    <w:rsid w:val="00E26F76"/>
    <w:rsid w:val="00E26F88"/>
    <w:rsid w:val="00E26FB9"/>
    <w:rsid w:val="00E26FFB"/>
    <w:rsid w:val="00E2702E"/>
    <w:rsid w:val="00E27080"/>
    <w:rsid w:val="00E27085"/>
    <w:rsid w:val="00E27089"/>
    <w:rsid w:val="00E270B1"/>
    <w:rsid w:val="00E270CE"/>
    <w:rsid w:val="00E270D5"/>
    <w:rsid w:val="00E27108"/>
    <w:rsid w:val="00E27164"/>
    <w:rsid w:val="00E27181"/>
    <w:rsid w:val="00E2718C"/>
    <w:rsid w:val="00E27279"/>
    <w:rsid w:val="00E272B0"/>
    <w:rsid w:val="00E272B2"/>
    <w:rsid w:val="00E272D3"/>
    <w:rsid w:val="00E272DF"/>
    <w:rsid w:val="00E27301"/>
    <w:rsid w:val="00E2737D"/>
    <w:rsid w:val="00E2739D"/>
    <w:rsid w:val="00E273BC"/>
    <w:rsid w:val="00E273E8"/>
    <w:rsid w:val="00E2741B"/>
    <w:rsid w:val="00E27452"/>
    <w:rsid w:val="00E27459"/>
    <w:rsid w:val="00E27542"/>
    <w:rsid w:val="00E2756A"/>
    <w:rsid w:val="00E275DB"/>
    <w:rsid w:val="00E27641"/>
    <w:rsid w:val="00E27665"/>
    <w:rsid w:val="00E27679"/>
    <w:rsid w:val="00E2769A"/>
    <w:rsid w:val="00E276E5"/>
    <w:rsid w:val="00E27708"/>
    <w:rsid w:val="00E2776C"/>
    <w:rsid w:val="00E27775"/>
    <w:rsid w:val="00E277CC"/>
    <w:rsid w:val="00E277DF"/>
    <w:rsid w:val="00E27822"/>
    <w:rsid w:val="00E2793A"/>
    <w:rsid w:val="00E27979"/>
    <w:rsid w:val="00E27A46"/>
    <w:rsid w:val="00E27A50"/>
    <w:rsid w:val="00E27A70"/>
    <w:rsid w:val="00E27B21"/>
    <w:rsid w:val="00E27B6E"/>
    <w:rsid w:val="00E27BA7"/>
    <w:rsid w:val="00E27C8B"/>
    <w:rsid w:val="00E27CCC"/>
    <w:rsid w:val="00E27CD6"/>
    <w:rsid w:val="00E27CE5"/>
    <w:rsid w:val="00E27CFE"/>
    <w:rsid w:val="00E27D23"/>
    <w:rsid w:val="00E27D9D"/>
    <w:rsid w:val="00E27DD7"/>
    <w:rsid w:val="00E27DE3"/>
    <w:rsid w:val="00E27E4C"/>
    <w:rsid w:val="00E27E9A"/>
    <w:rsid w:val="00E27F10"/>
    <w:rsid w:val="00E27F78"/>
    <w:rsid w:val="00E27FB6"/>
    <w:rsid w:val="00E27FB9"/>
    <w:rsid w:val="00E30040"/>
    <w:rsid w:val="00E3006A"/>
    <w:rsid w:val="00E30083"/>
    <w:rsid w:val="00E300CB"/>
    <w:rsid w:val="00E30127"/>
    <w:rsid w:val="00E3012B"/>
    <w:rsid w:val="00E3014D"/>
    <w:rsid w:val="00E30167"/>
    <w:rsid w:val="00E3018F"/>
    <w:rsid w:val="00E301AE"/>
    <w:rsid w:val="00E301B4"/>
    <w:rsid w:val="00E301C7"/>
    <w:rsid w:val="00E30229"/>
    <w:rsid w:val="00E30286"/>
    <w:rsid w:val="00E302D4"/>
    <w:rsid w:val="00E30328"/>
    <w:rsid w:val="00E3036A"/>
    <w:rsid w:val="00E30483"/>
    <w:rsid w:val="00E304C3"/>
    <w:rsid w:val="00E304CF"/>
    <w:rsid w:val="00E3057E"/>
    <w:rsid w:val="00E30611"/>
    <w:rsid w:val="00E30664"/>
    <w:rsid w:val="00E306DD"/>
    <w:rsid w:val="00E30727"/>
    <w:rsid w:val="00E30733"/>
    <w:rsid w:val="00E30790"/>
    <w:rsid w:val="00E30850"/>
    <w:rsid w:val="00E30858"/>
    <w:rsid w:val="00E30874"/>
    <w:rsid w:val="00E308D0"/>
    <w:rsid w:val="00E308E2"/>
    <w:rsid w:val="00E30953"/>
    <w:rsid w:val="00E309D7"/>
    <w:rsid w:val="00E309DB"/>
    <w:rsid w:val="00E30A46"/>
    <w:rsid w:val="00E30AD0"/>
    <w:rsid w:val="00E30B34"/>
    <w:rsid w:val="00E30B6F"/>
    <w:rsid w:val="00E30BF3"/>
    <w:rsid w:val="00E30C30"/>
    <w:rsid w:val="00E30C60"/>
    <w:rsid w:val="00E30C81"/>
    <w:rsid w:val="00E30CAA"/>
    <w:rsid w:val="00E30CBE"/>
    <w:rsid w:val="00E30CFA"/>
    <w:rsid w:val="00E30D14"/>
    <w:rsid w:val="00E30D39"/>
    <w:rsid w:val="00E30D85"/>
    <w:rsid w:val="00E30DA7"/>
    <w:rsid w:val="00E30E05"/>
    <w:rsid w:val="00E30E0A"/>
    <w:rsid w:val="00E30E3B"/>
    <w:rsid w:val="00E30E71"/>
    <w:rsid w:val="00E30E92"/>
    <w:rsid w:val="00E30EA2"/>
    <w:rsid w:val="00E30ECD"/>
    <w:rsid w:val="00E30EFB"/>
    <w:rsid w:val="00E30F86"/>
    <w:rsid w:val="00E31049"/>
    <w:rsid w:val="00E3104E"/>
    <w:rsid w:val="00E310A9"/>
    <w:rsid w:val="00E3114C"/>
    <w:rsid w:val="00E312D4"/>
    <w:rsid w:val="00E31348"/>
    <w:rsid w:val="00E313F1"/>
    <w:rsid w:val="00E3143F"/>
    <w:rsid w:val="00E3149A"/>
    <w:rsid w:val="00E314AF"/>
    <w:rsid w:val="00E314FD"/>
    <w:rsid w:val="00E31503"/>
    <w:rsid w:val="00E31512"/>
    <w:rsid w:val="00E3155D"/>
    <w:rsid w:val="00E31580"/>
    <w:rsid w:val="00E315AB"/>
    <w:rsid w:val="00E315F6"/>
    <w:rsid w:val="00E3160C"/>
    <w:rsid w:val="00E3161C"/>
    <w:rsid w:val="00E3161D"/>
    <w:rsid w:val="00E31620"/>
    <w:rsid w:val="00E31626"/>
    <w:rsid w:val="00E3165F"/>
    <w:rsid w:val="00E31668"/>
    <w:rsid w:val="00E31693"/>
    <w:rsid w:val="00E316A4"/>
    <w:rsid w:val="00E316C0"/>
    <w:rsid w:val="00E3179E"/>
    <w:rsid w:val="00E317C2"/>
    <w:rsid w:val="00E318EC"/>
    <w:rsid w:val="00E31908"/>
    <w:rsid w:val="00E3197F"/>
    <w:rsid w:val="00E319AB"/>
    <w:rsid w:val="00E31A31"/>
    <w:rsid w:val="00E31A7A"/>
    <w:rsid w:val="00E31AAD"/>
    <w:rsid w:val="00E31B0B"/>
    <w:rsid w:val="00E31B4A"/>
    <w:rsid w:val="00E31B64"/>
    <w:rsid w:val="00E31B91"/>
    <w:rsid w:val="00E31B95"/>
    <w:rsid w:val="00E31BC8"/>
    <w:rsid w:val="00E31BDF"/>
    <w:rsid w:val="00E31C1D"/>
    <w:rsid w:val="00E31C4F"/>
    <w:rsid w:val="00E31C79"/>
    <w:rsid w:val="00E31CC9"/>
    <w:rsid w:val="00E31CE8"/>
    <w:rsid w:val="00E31DD6"/>
    <w:rsid w:val="00E31DF9"/>
    <w:rsid w:val="00E31E0C"/>
    <w:rsid w:val="00E31E26"/>
    <w:rsid w:val="00E31E57"/>
    <w:rsid w:val="00E31E69"/>
    <w:rsid w:val="00E31E7E"/>
    <w:rsid w:val="00E31EAA"/>
    <w:rsid w:val="00E31EEA"/>
    <w:rsid w:val="00E31FAA"/>
    <w:rsid w:val="00E31FF0"/>
    <w:rsid w:val="00E32025"/>
    <w:rsid w:val="00E32059"/>
    <w:rsid w:val="00E3206B"/>
    <w:rsid w:val="00E320D5"/>
    <w:rsid w:val="00E3211C"/>
    <w:rsid w:val="00E3219C"/>
    <w:rsid w:val="00E321AF"/>
    <w:rsid w:val="00E321DF"/>
    <w:rsid w:val="00E32219"/>
    <w:rsid w:val="00E32296"/>
    <w:rsid w:val="00E322AF"/>
    <w:rsid w:val="00E322E6"/>
    <w:rsid w:val="00E3231D"/>
    <w:rsid w:val="00E32383"/>
    <w:rsid w:val="00E323BE"/>
    <w:rsid w:val="00E323C0"/>
    <w:rsid w:val="00E32412"/>
    <w:rsid w:val="00E32482"/>
    <w:rsid w:val="00E324A8"/>
    <w:rsid w:val="00E324AC"/>
    <w:rsid w:val="00E32510"/>
    <w:rsid w:val="00E32537"/>
    <w:rsid w:val="00E325C1"/>
    <w:rsid w:val="00E3265F"/>
    <w:rsid w:val="00E326C6"/>
    <w:rsid w:val="00E32723"/>
    <w:rsid w:val="00E32778"/>
    <w:rsid w:val="00E327BF"/>
    <w:rsid w:val="00E327DE"/>
    <w:rsid w:val="00E32812"/>
    <w:rsid w:val="00E32821"/>
    <w:rsid w:val="00E328E7"/>
    <w:rsid w:val="00E3291B"/>
    <w:rsid w:val="00E3291F"/>
    <w:rsid w:val="00E3292F"/>
    <w:rsid w:val="00E3293C"/>
    <w:rsid w:val="00E3296D"/>
    <w:rsid w:val="00E329F0"/>
    <w:rsid w:val="00E32A3B"/>
    <w:rsid w:val="00E32A4E"/>
    <w:rsid w:val="00E32A65"/>
    <w:rsid w:val="00E32A68"/>
    <w:rsid w:val="00E32AC8"/>
    <w:rsid w:val="00E32AF9"/>
    <w:rsid w:val="00E32BC8"/>
    <w:rsid w:val="00E32BE7"/>
    <w:rsid w:val="00E32C14"/>
    <w:rsid w:val="00E32C6F"/>
    <w:rsid w:val="00E32D5B"/>
    <w:rsid w:val="00E32D82"/>
    <w:rsid w:val="00E32D90"/>
    <w:rsid w:val="00E32E4B"/>
    <w:rsid w:val="00E32E6A"/>
    <w:rsid w:val="00E32E73"/>
    <w:rsid w:val="00E32E9B"/>
    <w:rsid w:val="00E32EBA"/>
    <w:rsid w:val="00E32EF7"/>
    <w:rsid w:val="00E32F7A"/>
    <w:rsid w:val="00E32FB0"/>
    <w:rsid w:val="00E32FC0"/>
    <w:rsid w:val="00E32FE1"/>
    <w:rsid w:val="00E3304B"/>
    <w:rsid w:val="00E3309C"/>
    <w:rsid w:val="00E330D4"/>
    <w:rsid w:val="00E330F0"/>
    <w:rsid w:val="00E330F2"/>
    <w:rsid w:val="00E3319A"/>
    <w:rsid w:val="00E331DB"/>
    <w:rsid w:val="00E3322F"/>
    <w:rsid w:val="00E3324C"/>
    <w:rsid w:val="00E33287"/>
    <w:rsid w:val="00E33304"/>
    <w:rsid w:val="00E33340"/>
    <w:rsid w:val="00E3338F"/>
    <w:rsid w:val="00E333B8"/>
    <w:rsid w:val="00E333BA"/>
    <w:rsid w:val="00E333CA"/>
    <w:rsid w:val="00E33485"/>
    <w:rsid w:val="00E334C2"/>
    <w:rsid w:val="00E33539"/>
    <w:rsid w:val="00E33576"/>
    <w:rsid w:val="00E335A1"/>
    <w:rsid w:val="00E335E9"/>
    <w:rsid w:val="00E33689"/>
    <w:rsid w:val="00E336AC"/>
    <w:rsid w:val="00E33722"/>
    <w:rsid w:val="00E33766"/>
    <w:rsid w:val="00E33814"/>
    <w:rsid w:val="00E33821"/>
    <w:rsid w:val="00E3382E"/>
    <w:rsid w:val="00E33862"/>
    <w:rsid w:val="00E33874"/>
    <w:rsid w:val="00E338FB"/>
    <w:rsid w:val="00E339B5"/>
    <w:rsid w:val="00E339FA"/>
    <w:rsid w:val="00E33A23"/>
    <w:rsid w:val="00E33ABA"/>
    <w:rsid w:val="00E33AE5"/>
    <w:rsid w:val="00E33B25"/>
    <w:rsid w:val="00E33B34"/>
    <w:rsid w:val="00E33B77"/>
    <w:rsid w:val="00E33B88"/>
    <w:rsid w:val="00E33BEF"/>
    <w:rsid w:val="00E33C3F"/>
    <w:rsid w:val="00E33C55"/>
    <w:rsid w:val="00E33C7D"/>
    <w:rsid w:val="00E33C94"/>
    <w:rsid w:val="00E33D0D"/>
    <w:rsid w:val="00E33D15"/>
    <w:rsid w:val="00E33DC3"/>
    <w:rsid w:val="00E33DC5"/>
    <w:rsid w:val="00E33E63"/>
    <w:rsid w:val="00E33E6E"/>
    <w:rsid w:val="00E33EA7"/>
    <w:rsid w:val="00E33F60"/>
    <w:rsid w:val="00E33F81"/>
    <w:rsid w:val="00E33FC7"/>
    <w:rsid w:val="00E33FF8"/>
    <w:rsid w:val="00E340E7"/>
    <w:rsid w:val="00E34100"/>
    <w:rsid w:val="00E3418A"/>
    <w:rsid w:val="00E34192"/>
    <w:rsid w:val="00E341B9"/>
    <w:rsid w:val="00E341DE"/>
    <w:rsid w:val="00E34212"/>
    <w:rsid w:val="00E34237"/>
    <w:rsid w:val="00E3423D"/>
    <w:rsid w:val="00E34277"/>
    <w:rsid w:val="00E342B4"/>
    <w:rsid w:val="00E342B9"/>
    <w:rsid w:val="00E342CD"/>
    <w:rsid w:val="00E342CF"/>
    <w:rsid w:val="00E342EA"/>
    <w:rsid w:val="00E34353"/>
    <w:rsid w:val="00E343DA"/>
    <w:rsid w:val="00E3448F"/>
    <w:rsid w:val="00E344AE"/>
    <w:rsid w:val="00E344B2"/>
    <w:rsid w:val="00E344F8"/>
    <w:rsid w:val="00E34510"/>
    <w:rsid w:val="00E34605"/>
    <w:rsid w:val="00E3461B"/>
    <w:rsid w:val="00E34679"/>
    <w:rsid w:val="00E346B2"/>
    <w:rsid w:val="00E34733"/>
    <w:rsid w:val="00E34742"/>
    <w:rsid w:val="00E34747"/>
    <w:rsid w:val="00E347A8"/>
    <w:rsid w:val="00E347B6"/>
    <w:rsid w:val="00E347E6"/>
    <w:rsid w:val="00E34820"/>
    <w:rsid w:val="00E3484B"/>
    <w:rsid w:val="00E34896"/>
    <w:rsid w:val="00E348A2"/>
    <w:rsid w:val="00E348A3"/>
    <w:rsid w:val="00E348BF"/>
    <w:rsid w:val="00E34928"/>
    <w:rsid w:val="00E34938"/>
    <w:rsid w:val="00E34973"/>
    <w:rsid w:val="00E3498A"/>
    <w:rsid w:val="00E34A21"/>
    <w:rsid w:val="00E34A4D"/>
    <w:rsid w:val="00E34B25"/>
    <w:rsid w:val="00E34B29"/>
    <w:rsid w:val="00E34B97"/>
    <w:rsid w:val="00E34BE3"/>
    <w:rsid w:val="00E34BE8"/>
    <w:rsid w:val="00E34C1C"/>
    <w:rsid w:val="00E34C95"/>
    <w:rsid w:val="00E34C96"/>
    <w:rsid w:val="00E34CD3"/>
    <w:rsid w:val="00E34CD8"/>
    <w:rsid w:val="00E34CFB"/>
    <w:rsid w:val="00E34D2F"/>
    <w:rsid w:val="00E34D57"/>
    <w:rsid w:val="00E34D64"/>
    <w:rsid w:val="00E34D99"/>
    <w:rsid w:val="00E34DBA"/>
    <w:rsid w:val="00E34DBB"/>
    <w:rsid w:val="00E34E19"/>
    <w:rsid w:val="00E34F2E"/>
    <w:rsid w:val="00E34FC5"/>
    <w:rsid w:val="00E34FF1"/>
    <w:rsid w:val="00E3508B"/>
    <w:rsid w:val="00E350BC"/>
    <w:rsid w:val="00E350ED"/>
    <w:rsid w:val="00E3510B"/>
    <w:rsid w:val="00E3514A"/>
    <w:rsid w:val="00E3515D"/>
    <w:rsid w:val="00E3516D"/>
    <w:rsid w:val="00E351A6"/>
    <w:rsid w:val="00E351E6"/>
    <w:rsid w:val="00E35224"/>
    <w:rsid w:val="00E35233"/>
    <w:rsid w:val="00E352A6"/>
    <w:rsid w:val="00E352B5"/>
    <w:rsid w:val="00E352E6"/>
    <w:rsid w:val="00E352FE"/>
    <w:rsid w:val="00E3532D"/>
    <w:rsid w:val="00E35366"/>
    <w:rsid w:val="00E35381"/>
    <w:rsid w:val="00E353B8"/>
    <w:rsid w:val="00E353E6"/>
    <w:rsid w:val="00E35429"/>
    <w:rsid w:val="00E354E0"/>
    <w:rsid w:val="00E354F8"/>
    <w:rsid w:val="00E354FB"/>
    <w:rsid w:val="00E35657"/>
    <w:rsid w:val="00E35661"/>
    <w:rsid w:val="00E356B9"/>
    <w:rsid w:val="00E356C9"/>
    <w:rsid w:val="00E356E0"/>
    <w:rsid w:val="00E3571B"/>
    <w:rsid w:val="00E35761"/>
    <w:rsid w:val="00E357E4"/>
    <w:rsid w:val="00E35831"/>
    <w:rsid w:val="00E35A55"/>
    <w:rsid w:val="00E35A9F"/>
    <w:rsid w:val="00E35AA7"/>
    <w:rsid w:val="00E35ABD"/>
    <w:rsid w:val="00E35B19"/>
    <w:rsid w:val="00E35B6A"/>
    <w:rsid w:val="00E35B75"/>
    <w:rsid w:val="00E35C2A"/>
    <w:rsid w:val="00E35C32"/>
    <w:rsid w:val="00E35C3E"/>
    <w:rsid w:val="00E35C42"/>
    <w:rsid w:val="00E35CA4"/>
    <w:rsid w:val="00E35CC0"/>
    <w:rsid w:val="00E35D67"/>
    <w:rsid w:val="00E35D69"/>
    <w:rsid w:val="00E35E41"/>
    <w:rsid w:val="00E35E8F"/>
    <w:rsid w:val="00E35E96"/>
    <w:rsid w:val="00E35E9F"/>
    <w:rsid w:val="00E35EE2"/>
    <w:rsid w:val="00E35F73"/>
    <w:rsid w:val="00E35FD9"/>
    <w:rsid w:val="00E35FFB"/>
    <w:rsid w:val="00E3600C"/>
    <w:rsid w:val="00E3605A"/>
    <w:rsid w:val="00E36077"/>
    <w:rsid w:val="00E36081"/>
    <w:rsid w:val="00E360DD"/>
    <w:rsid w:val="00E360DF"/>
    <w:rsid w:val="00E36168"/>
    <w:rsid w:val="00E36179"/>
    <w:rsid w:val="00E361A6"/>
    <w:rsid w:val="00E361EB"/>
    <w:rsid w:val="00E36206"/>
    <w:rsid w:val="00E36210"/>
    <w:rsid w:val="00E36211"/>
    <w:rsid w:val="00E362D6"/>
    <w:rsid w:val="00E3631D"/>
    <w:rsid w:val="00E36342"/>
    <w:rsid w:val="00E36396"/>
    <w:rsid w:val="00E363B4"/>
    <w:rsid w:val="00E36433"/>
    <w:rsid w:val="00E36481"/>
    <w:rsid w:val="00E364E4"/>
    <w:rsid w:val="00E36546"/>
    <w:rsid w:val="00E365B4"/>
    <w:rsid w:val="00E3661E"/>
    <w:rsid w:val="00E36621"/>
    <w:rsid w:val="00E3662D"/>
    <w:rsid w:val="00E3662E"/>
    <w:rsid w:val="00E36639"/>
    <w:rsid w:val="00E3664A"/>
    <w:rsid w:val="00E367A3"/>
    <w:rsid w:val="00E367AC"/>
    <w:rsid w:val="00E3686A"/>
    <w:rsid w:val="00E3686E"/>
    <w:rsid w:val="00E3689B"/>
    <w:rsid w:val="00E368F5"/>
    <w:rsid w:val="00E36947"/>
    <w:rsid w:val="00E369D8"/>
    <w:rsid w:val="00E36AFD"/>
    <w:rsid w:val="00E36B1A"/>
    <w:rsid w:val="00E36C7C"/>
    <w:rsid w:val="00E36D13"/>
    <w:rsid w:val="00E36D23"/>
    <w:rsid w:val="00E36D57"/>
    <w:rsid w:val="00E36D7D"/>
    <w:rsid w:val="00E36E25"/>
    <w:rsid w:val="00E36E29"/>
    <w:rsid w:val="00E36E7B"/>
    <w:rsid w:val="00E36EA5"/>
    <w:rsid w:val="00E36ECD"/>
    <w:rsid w:val="00E36F0F"/>
    <w:rsid w:val="00E36FE2"/>
    <w:rsid w:val="00E37012"/>
    <w:rsid w:val="00E3707B"/>
    <w:rsid w:val="00E370CB"/>
    <w:rsid w:val="00E370EC"/>
    <w:rsid w:val="00E3710E"/>
    <w:rsid w:val="00E37175"/>
    <w:rsid w:val="00E3717A"/>
    <w:rsid w:val="00E37182"/>
    <w:rsid w:val="00E37186"/>
    <w:rsid w:val="00E371BA"/>
    <w:rsid w:val="00E371CE"/>
    <w:rsid w:val="00E371E6"/>
    <w:rsid w:val="00E371EC"/>
    <w:rsid w:val="00E371F9"/>
    <w:rsid w:val="00E37210"/>
    <w:rsid w:val="00E3723D"/>
    <w:rsid w:val="00E37248"/>
    <w:rsid w:val="00E3735C"/>
    <w:rsid w:val="00E373DB"/>
    <w:rsid w:val="00E373F1"/>
    <w:rsid w:val="00E37431"/>
    <w:rsid w:val="00E37467"/>
    <w:rsid w:val="00E3748C"/>
    <w:rsid w:val="00E3749C"/>
    <w:rsid w:val="00E374AD"/>
    <w:rsid w:val="00E374B4"/>
    <w:rsid w:val="00E37528"/>
    <w:rsid w:val="00E375B4"/>
    <w:rsid w:val="00E375E6"/>
    <w:rsid w:val="00E375F1"/>
    <w:rsid w:val="00E37605"/>
    <w:rsid w:val="00E3760D"/>
    <w:rsid w:val="00E37697"/>
    <w:rsid w:val="00E376CC"/>
    <w:rsid w:val="00E37724"/>
    <w:rsid w:val="00E3785C"/>
    <w:rsid w:val="00E3787E"/>
    <w:rsid w:val="00E3789F"/>
    <w:rsid w:val="00E37901"/>
    <w:rsid w:val="00E3796C"/>
    <w:rsid w:val="00E379C5"/>
    <w:rsid w:val="00E37A42"/>
    <w:rsid w:val="00E37A75"/>
    <w:rsid w:val="00E37AEB"/>
    <w:rsid w:val="00E37AF3"/>
    <w:rsid w:val="00E37AFA"/>
    <w:rsid w:val="00E37B16"/>
    <w:rsid w:val="00E37B43"/>
    <w:rsid w:val="00E37B77"/>
    <w:rsid w:val="00E37B91"/>
    <w:rsid w:val="00E37BF9"/>
    <w:rsid w:val="00E37C99"/>
    <w:rsid w:val="00E37CE5"/>
    <w:rsid w:val="00E37D17"/>
    <w:rsid w:val="00E37D1C"/>
    <w:rsid w:val="00E37D9B"/>
    <w:rsid w:val="00E37DAB"/>
    <w:rsid w:val="00E37DCF"/>
    <w:rsid w:val="00E37EA1"/>
    <w:rsid w:val="00E37EBB"/>
    <w:rsid w:val="00E37ED4"/>
    <w:rsid w:val="00E37EEF"/>
    <w:rsid w:val="00E37F24"/>
    <w:rsid w:val="00E37F4C"/>
    <w:rsid w:val="00E37F55"/>
    <w:rsid w:val="00E37F57"/>
    <w:rsid w:val="00E4000A"/>
    <w:rsid w:val="00E40057"/>
    <w:rsid w:val="00E40062"/>
    <w:rsid w:val="00E4006A"/>
    <w:rsid w:val="00E40077"/>
    <w:rsid w:val="00E4008C"/>
    <w:rsid w:val="00E400C2"/>
    <w:rsid w:val="00E4015E"/>
    <w:rsid w:val="00E40171"/>
    <w:rsid w:val="00E40187"/>
    <w:rsid w:val="00E40222"/>
    <w:rsid w:val="00E4023C"/>
    <w:rsid w:val="00E4023E"/>
    <w:rsid w:val="00E40249"/>
    <w:rsid w:val="00E4025E"/>
    <w:rsid w:val="00E402AF"/>
    <w:rsid w:val="00E4033C"/>
    <w:rsid w:val="00E40369"/>
    <w:rsid w:val="00E403F9"/>
    <w:rsid w:val="00E40404"/>
    <w:rsid w:val="00E40496"/>
    <w:rsid w:val="00E4055C"/>
    <w:rsid w:val="00E405AD"/>
    <w:rsid w:val="00E40689"/>
    <w:rsid w:val="00E406A8"/>
    <w:rsid w:val="00E406B5"/>
    <w:rsid w:val="00E406DF"/>
    <w:rsid w:val="00E4072A"/>
    <w:rsid w:val="00E40743"/>
    <w:rsid w:val="00E407CC"/>
    <w:rsid w:val="00E407F9"/>
    <w:rsid w:val="00E40839"/>
    <w:rsid w:val="00E4084E"/>
    <w:rsid w:val="00E408E0"/>
    <w:rsid w:val="00E40939"/>
    <w:rsid w:val="00E40996"/>
    <w:rsid w:val="00E40A81"/>
    <w:rsid w:val="00E40AF6"/>
    <w:rsid w:val="00E40AFE"/>
    <w:rsid w:val="00E40B0D"/>
    <w:rsid w:val="00E40B11"/>
    <w:rsid w:val="00E40B24"/>
    <w:rsid w:val="00E40B41"/>
    <w:rsid w:val="00E40C34"/>
    <w:rsid w:val="00E40C58"/>
    <w:rsid w:val="00E40C6D"/>
    <w:rsid w:val="00E40CAA"/>
    <w:rsid w:val="00E40CB2"/>
    <w:rsid w:val="00E40DB5"/>
    <w:rsid w:val="00E40DB8"/>
    <w:rsid w:val="00E40E8C"/>
    <w:rsid w:val="00E40E90"/>
    <w:rsid w:val="00E40EB5"/>
    <w:rsid w:val="00E40EE4"/>
    <w:rsid w:val="00E40F39"/>
    <w:rsid w:val="00E40F3A"/>
    <w:rsid w:val="00E40F54"/>
    <w:rsid w:val="00E40F80"/>
    <w:rsid w:val="00E40F91"/>
    <w:rsid w:val="00E40FA0"/>
    <w:rsid w:val="00E40FBC"/>
    <w:rsid w:val="00E40FE8"/>
    <w:rsid w:val="00E41042"/>
    <w:rsid w:val="00E41057"/>
    <w:rsid w:val="00E4107E"/>
    <w:rsid w:val="00E41127"/>
    <w:rsid w:val="00E41133"/>
    <w:rsid w:val="00E4115E"/>
    <w:rsid w:val="00E41187"/>
    <w:rsid w:val="00E4118A"/>
    <w:rsid w:val="00E4118B"/>
    <w:rsid w:val="00E4123A"/>
    <w:rsid w:val="00E41264"/>
    <w:rsid w:val="00E41312"/>
    <w:rsid w:val="00E4135D"/>
    <w:rsid w:val="00E413DA"/>
    <w:rsid w:val="00E413FF"/>
    <w:rsid w:val="00E41418"/>
    <w:rsid w:val="00E41424"/>
    <w:rsid w:val="00E414B6"/>
    <w:rsid w:val="00E4150A"/>
    <w:rsid w:val="00E4155E"/>
    <w:rsid w:val="00E415BB"/>
    <w:rsid w:val="00E415E5"/>
    <w:rsid w:val="00E41660"/>
    <w:rsid w:val="00E416C7"/>
    <w:rsid w:val="00E41743"/>
    <w:rsid w:val="00E41769"/>
    <w:rsid w:val="00E417CD"/>
    <w:rsid w:val="00E41829"/>
    <w:rsid w:val="00E4182F"/>
    <w:rsid w:val="00E41885"/>
    <w:rsid w:val="00E41918"/>
    <w:rsid w:val="00E41921"/>
    <w:rsid w:val="00E4192E"/>
    <w:rsid w:val="00E4194B"/>
    <w:rsid w:val="00E4194C"/>
    <w:rsid w:val="00E41975"/>
    <w:rsid w:val="00E41982"/>
    <w:rsid w:val="00E419A0"/>
    <w:rsid w:val="00E419AC"/>
    <w:rsid w:val="00E41A49"/>
    <w:rsid w:val="00E41A53"/>
    <w:rsid w:val="00E41A59"/>
    <w:rsid w:val="00E41A7A"/>
    <w:rsid w:val="00E41A89"/>
    <w:rsid w:val="00E41AD3"/>
    <w:rsid w:val="00E41AD5"/>
    <w:rsid w:val="00E41B05"/>
    <w:rsid w:val="00E41B41"/>
    <w:rsid w:val="00E41BB9"/>
    <w:rsid w:val="00E41BE5"/>
    <w:rsid w:val="00E41C3E"/>
    <w:rsid w:val="00E41C66"/>
    <w:rsid w:val="00E41C96"/>
    <w:rsid w:val="00E41CDC"/>
    <w:rsid w:val="00E41CEE"/>
    <w:rsid w:val="00E41D58"/>
    <w:rsid w:val="00E41D5F"/>
    <w:rsid w:val="00E41D99"/>
    <w:rsid w:val="00E41DB3"/>
    <w:rsid w:val="00E41E0C"/>
    <w:rsid w:val="00E41F5F"/>
    <w:rsid w:val="00E41FB2"/>
    <w:rsid w:val="00E42022"/>
    <w:rsid w:val="00E42036"/>
    <w:rsid w:val="00E4204D"/>
    <w:rsid w:val="00E4205F"/>
    <w:rsid w:val="00E420CA"/>
    <w:rsid w:val="00E42120"/>
    <w:rsid w:val="00E4215C"/>
    <w:rsid w:val="00E42191"/>
    <w:rsid w:val="00E42198"/>
    <w:rsid w:val="00E421A1"/>
    <w:rsid w:val="00E42281"/>
    <w:rsid w:val="00E42282"/>
    <w:rsid w:val="00E422B3"/>
    <w:rsid w:val="00E422B7"/>
    <w:rsid w:val="00E42308"/>
    <w:rsid w:val="00E4235C"/>
    <w:rsid w:val="00E4235D"/>
    <w:rsid w:val="00E42366"/>
    <w:rsid w:val="00E4236A"/>
    <w:rsid w:val="00E423B0"/>
    <w:rsid w:val="00E423F9"/>
    <w:rsid w:val="00E42479"/>
    <w:rsid w:val="00E424AE"/>
    <w:rsid w:val="00E424F5"/>
    <w:rsid w:val="00E42574"/>
    <w:rsid w:val="00E42608"/>
    <w:rsid w:val="00E4262C"/>
    <w:rsid w:val="00E42686"/>
    <w:rsid w:val="00E426A5"/>
    <w:rsid w:val="00E426D1"/>
    <w:rsid w:val="00E42727"/>
    <w:rsid w:val="00E42814"/>
    <w:rsid w:val="00E4284A"/>
    <w:rsid w:val="00E428CD"/>
    <w:rsid w:val="00E42927"/>
    <w:rsid w:val="00E429E7"/>
    <w:rsid w:val="00E42A3B"/>
    <w:rsid w:val="00E42A85"/>
    <w:rsid w:val="00E42B6D"/>
    <w:rsid w:val="00E42C6F"/>
    <w:rsid w:val="00E42C93"/>
    <w:rsid w:val="00E42D38"/>
    <w:rsid w:val="00E42D9C"/>
    <w:rsid w:val="00E42DDD"/>
    <w:rsid w:val="00E42DEF"/>
    <w:rsid w:val="00E42DFD"/>
    <w:rsid w:val="00E42E9A"/>
    <w:rsid w:val="00E42EC0"/>
    <w:rsid w:val="00E42F15"/>
    <w:rsid w:val="00E42FC3"/>
    <w:rsid w:val="00E4307F"/>
    <w:rsid w:val="00E4309F"/>
    <w:rsid w:val="00E430BB"/>
    <w:rsid w:val="00E430DA"/>
    <w:rsid w:val="00E4314F"/>
    <w:rsid w:val="00E43175"/>
    <w:rsid w:val="00E4318C"/>
    <w:rsid w:val="00E431AA"/>
    <w:rsid w:val="00E431FB"/>
    <w:rsid w:val="00E43266"/>
    <w:rsid w:val="00E4327C"/>
    <w:rsid w:val="00E43285"/>
    <w:rsid w:val="00E432D1"/>
    <w:rsid w:val="00E432D3"/>
    <w:rsid w:val="00E43367"/>
    <w:rsid w:val="00E434F2"/>
    <w:rsid w:val="00E43508"/>
    <w:rsid w:val="00E43576"/>
    <w:rsid w:val="00E43593"/>
    <w:rsid w:val="00E436C4"/>
    <w:rsid w:val="00E436F3"/>
    <w:rsid w:val="00E4371C"/>
    <w:rsid w:val="00E43720"/>
    <w:rsid w:val="00E4374F"/>
    <w:rsid w:val="00E4375F"/>
    <w:rsid w:val="00E437AA"/>
    <w:rsid w:val="00E437C3"/>
    <w:rsid w:val="00E43840"/>
    <w:rsid w:val="00E43852"/>
    <w:rsid w:val="00E43876"/>
    <w:rsid w:val="00E438A9"/>
    <w:rsid w:val="00E438B0"/>
    <w:rsid w:val="00E438BE"/>
    <w:rsid w:val="00E438C7"/>
    <w:rsid w:val="00E438E3"/>
    <w:rsid w:val="00E4392D"/>
    <w:rsid w:val="00E43930"/>
    <w:rsid w:val="00E43943"/>
    <w:rsid w:val="00E43944"/>
    <w:rsid w:val="00E439D2"/>
    <w:rsid w:val="00E439DE"/>
    <w:rsid w:val="00E439ED"/>
    <w:rsid w:val="00E43A44"/>
    <w:rsid w:val="00E43A78"/>
    <w:rsid w:val="00E43A7E"/>
    <w:rsid w:val="00E43ABC"/>
    <w:rsid w:val="00E43B16"/>
    <w:rsid w:val="00E43B63"/>
    <w:rsid w:val="00E43B87"/>
    <w:rsid w:val="00E43BB4"/>
    <w:rsid w:val="00E43C36"/>
    <w:rsid w:val="00E43C7C"/>
    <w:rsid w:val="00E43CC8"/>
    <w:rsid w:val="00E43D73"/>
    <w:rsid w:val="00E43E29"/>
    <w:rsid w:val="00E43E77"/>
    <w:rsid w:val="00E43EAE"/>
    <w:rsid w:val="00E43ED0"/>
    <w:rsid w:val="00E43ED9"/>
    <w:rsid w:val="00E43EFD"/>
    <w:rsid w:val="00E43F08"/>
    <w:rsid w:val="00E43F32"/>
    <w:rsid w:val="00E43F92"/>
    <w:rsid w:val="00E43FAE"/>
    <w:rsid w:val="00E4404C"/>
    <w:rsid w:val="00E44080"/>
    <w:rsid w:val="00E4414C"/>
    <w:rsid w:val="00E441A8"/>
    <w:rsid w:val="00E44217"/>
    <w:rsid w:val="00E44247"/>
    <w:rsid w:val="00E4425A"/>
    <w:rsid w:val="00E442A8"/>
    <w:rsid w:val="00E442C5"/>
    <w:rsid w:val="00E442D3"/>
    <w:rsid w:val="00E442E3"/>
    <w:rsid w:val="00E442F4"/>
    <w:rsid w:val="00E44305"/>
    <w:rsid w:val="00E44382"/>
    <w:rsid w:val="00E4444F"/>
    <w:rsid w:val="00E4445C"/>
    <w:rsid w:val="00E444B9"/>
    <w:rsid w:val="00E44553"/>
    <w:rsid w:val="00E44588"/>
    <w:rsid w:val="00E445DF"/>
    <w:rsid w:val="00E445EF"/>
    <w:rsid w:val="00E44676"/>
    <w:rsid w:val="00E44694"/>
    <w:rsid w:val="00E4471A"/>
    <w:rsid w:val="00E44732"/>
    <w:rsid w:val="00E44735"/>
    <w:rsid w:val="00E447DE"/>
    <w:rsid w:val="00E447F1"/>
    <w:rsid w:val="00E44808"/>
    <w:rsid w:val="00E44869"/>
    <w:rsid w:val="00E44879"/>
    <w:rsid w:val="00E448CA"/>
    <w:rsid w:val="00E448F6"/>
    <w:rsid w:val="00E4491E"/>
    <w:rsid w:val="00E44973"/>
    <w:rsid w:val="00E44988"/>
    <w:rsid w:val="00E4498A"/>
    <w:rsid w:val="00E44A1A"/>
    <w:rsid w:val="00E44A57"/>
    <w:rsid w:val="00E44A7A"/>
    <w:rsid w:val="00E44AD2"/>
    <w:rsid w:val="00E44AFA"/>
    <w:rsid w:val="00E44BA5"/>
    <w:rsid w:val="00E44BA9"/>
    <w:rsid w:val="00E44BAE"/>
    <w:rsid w:val="00E44BB5"/>
    <w:rsid w:val="00E44BD0"/>
    <w:rsid w:val="00E44BD1"/>
    <w:rsid w:val="00E44BE3"/>
    <w:rsid w:val="00E44BF2"/>
    <w:rsid w:val="00E44C14"/>
    <w:rsid w:val="00E44C74"/>
    <w:rsid w:val="00E44C87"/>
    <w:rsid w:val="00E44D05"/>
    <w:rsid w:val="00E44D70"/>
    <w:rsid w:val="00E44DDD"/>
    <w:rsid w:val="00E44DEF"/>
    <w:rsid w:val="00E44E1F"/>
    <w:rsid w:val="00E44E5A"/>
    <w:rsid w:val="00E44E8A"/>
    <w:rsid w:val="00E44E9D"/>
    <w:rsid w:val="00E44EC5"/>
    <w:rsid w:val="00E44F00"/>
    <w:rsid w:val="00E44F14"/>
    <w:rsid w:val="00E4515F"/>
    <w:rsid w:val="00E4516B"/>
    <w:rsid w:val="00E45182"/>
    <w:rsid w:val="00E451DF"/>
    <w:rsid w:val="00E4522C"/>
    <w:rsid w:val="00E45246"/>
    <w:rsid w:val="00E452ED"/>
    <w:rsid w:val="00E45328"/>
    <w:rsid w:val="00E4534B"/>
    <w:rsid w:val="00E453F7"/>
    <w:rsid w:val="00E45482"/>
    <w:rsid w:val="00E4549E"/>
    <w:rsid w:val="00E454B1"/>
    <w:rsid w:val="00E454D0"/>
    <w:rsid w:val="00E45630"/>
    <w:rsid w:val="00E45650"/>
    <w:rsid w:val="00E456AD"/>
    <w:rsid w:val="00E456E0"/>
    <w:rsid w:val="00E4577C"/>
    <w:rsid w:val="00E457CA"/>
    <w:rsid w:val="00E45874"/>
    <w:rsid w:val="00E45890"/>
    <w:rsid w:val="00E458BE"/>
    <w:rsid w:val="00E458E9"/>
    <w:rsid w:val="00E45961"/>
    <w:rsid w:val="00E45A23"/>
    <w:rsid w:val="00E45A31"/>
    <w:rsid w:val="00E45A35"/>
    <w:rsid w:val="00E45A71"/>
    <w:rsid w:val="00E45A84"/>
    <w:rsid w:val="00E45AA9"/>
    <w:rsid w:val="00E45AAC"/>
    <w:rsid w:val="00E45AC5"/>
    <w:rsid w:val="00E45AF4"/>
    <w:rsid w:val="00E45BB0"/>
    <w:rsid w:val="00E45BC9"/>
    <w:rsid w:val="00E45C03"/>
    <w:rsid w:val="00E45C0C"/>
    <w:rsid w:val="00E45C9C"/>
    <w:rsid w:val="00E45CB6"/>
    <w:rsid w:val="00E45D16"/>
    <w:rsid w:val="00E45D9D"/>
    <w:rsid w:val="00E45DB3"/>
    <w:rsid w:val="00E45E57"/>
    <w:rsid w:val="00E45E5B"/>
    <w:rsid w:val="00E45E5F"/>
    <w:rsid w:val="00E45EA9"/>
    <w:rsid w:val="00E45F02"/>
    <w:rsid w:val="00E45F44"/>
    <w:rsid w:val="00E45FE8"/>
    <w:rsid w:val="00E45FF3"/>
    <w:rsid w:val="00E46022"/>
    <w:rsid w:val="00E46084"/>
    <w:rsid w:val="00E460D0"/>
    <w:rsid w:val="00E460E8"/>
    <w:rsid w:val="00E46119"/>
    <w:rsid w:val="00E46172"/>
    <w:rsid w:val="00E4619E"/>
    <w:rsid w:val="00E4623B"/>
    <w:rsid w:val="00E46265"/>
    <w:rsid w:val="00E462A4"/>
    <w:rsid w:val="00E462A5"/>
    <w:rsid w:val="00E462DD"/>
    <w:rsid w:val="00E462EB"/>
    <w:rsid w:val="00E462F3"/>
    <w:rsid w:val="00E46323"/>
    <w:rsid w:val="00E4639D"/>
    <w:rsid w:val="00E4639E"/>
    <w:rsid w:val="00E46402"/>
    <w:rsid w:val="00E46551"/>
    <w:rsid w:val="00E4657F"/>
    <w:rsid w:val="00E46583"/>
    <w:rsid w:val="00E46586"/>
    <w:rsid w:val="00E46587"/>
    <w:rsid w:val="00E465D6"/>
    <w:rsid w:val="00E46615"/>
    <w:rsid w:val="00E4661A"/>
    <w:rsid w:val="00E4667C"/>
    <w:rsid w:val="00E4670B"/>
    <w:rsid w:val="00E4672E"/>
    <w:rsid w:val="00E4675B"/>
    <w:rsid w:val="00E46791"/>
    <w:rsid w:val="00E46826"/>
    <w:rsid w:val="00E46843"/>
    <w:rsid w:val="00E46864"/>
    <w:rsid w:val="00E468D8"/>
    <w:rsid w:val="00E468DF"/>
    <w:rsid w:val="00E46919"/>
    <w:rsid w:val="00E46982"/>
    <w:rsid w:val="00E46997"/>
    <w:rsid w:val="00E469E3"/>
    <w:rsid w:val="00E469EE"/>
    <w:rsid w:val="00E469F1"/>
    <w:rsid w:val="00E46A38"/>
    <w:rsid w:val="00E46A3B"/>
    <w:rsid w:val="00E46A6A"/>
    <w:rsid w:val="00E46A77"/>
    <w:rsid w:val="00E46AB4"/>
    <w:rsid w:val="00E46BFA"/>
    <w:rsid w:val="00E46C24"/>
    <w:rsid w:val="00E46C37"/>
    <w:rsid w:val="00E46C67"/>
    <w:rsid w:val="00E46CA3"/>
    <w:rsid w:val="00E46CEA"/>
    <w:rsid w:val="00E46D39"/>
    <w:rsid w:val="00E46D6F"/>
    <w:rsid w:val="00E46D85"/>
    <w:rsid w:val="00E46D96"/>
    <w:rsid w:val="00E46DCC"/>
    <w:rsid w:val="00E46E09"/>
    <w:rsid w:val="00E46E45"/>
    <w:rsid w:val="00E46E87"/>
    <w:rsid w:val="00E46EF3"/>
    <w:rsid w:val="00E46F39"/>
    <w:rsid w:val="00E46F62"/>
    <w:rsid w:val="00E4701E"/>
    <w:rsid w:val="00E470A8"/>
    <w:rsid w:val="00E470CC"/>
    <w:rsid w:val="00E470DC"/>
    <w:rsid w:val="00E47176"/>
    <w:rsid w:val="00E47184"/>
    <w:rsid w:val="00E47195"/>
    <w:rsid w:val="00E471E2"/>
    <w:rsid w:val="00E47267"/>
    <w:rsid w:val="00E47294"/>
    <w:rsid w:val="00E472B5"/>
    <w:rsid w:val="00E472E6"/>
    <w:rsid w:val="00E47378"/>
    <w:rsid w:val="00E47382"/>
    <w:rsid w:val="00E473D9"/>
    <w:rsid w:val="00E47432"/>
    <w:rsid w:val="00E474AD"/>
    <w:rsid w:val="00E474AF"/>
    <w:rsid w:val="00E474F2"/>
    <w:rsid w:val="00E47582"/>
    <w:rsid w:val="00E47619"/>
    <w:rsid w:val="00E47646"/>
    <w:rsid w:val="00E476ED"/>
    <w:rsid w:val="00E47709"/>
    <w:rsid w:val="00E477C4"/>
    <w:rsid w:val="00E477E0"/>
    <w:rsid w:val="00E47812"/>
    <w:rsid w:val="00E47844"/>
    <w:rsid w:val="00E47885"/>
    <w:rsid w:val="00E478C1"/>
    <w:rsid w:val="00E47985"/>
    <w:rsid w:val="00E47994"/>
    <w:rsid w:val="00E4799F"/>
    <w:rsid w:val="00E47A1A"/>
    <w:rsid w:val="00E47A31"/>
    <w:rsid w:val="00E47A45"/>
    <w:rsid w:val="00E47B66"/>
    <w:rsid w:val="00E47B6E"/>
    <w:rsid w:val="00E47BB0"/>
    <w:rsid w:val="00E47BB5"/>
    <w:rsid w:val="00E47BB8"/>
    <w:rsid w:val="00E47BF1"/>
    <w:rsid w:val="00E47C2E"/>
    <w:rsid w:val="00E47CA4"/>
    <w:rsid w:val="00E47CE1"/>
    <w:rsid w:val="00E47CF6"/>
    <w:rsid w:val="00E47D34"/>
    <w:rsid w:val="00E47D51"/>
    <w:rsid w:val="00E47DA5"/>
    <w:rsid w:val="00E47DC6"/>
    <w:rsid w:val="00E47DD7"/>
    <w:rsid w:val="00E47E10"/>
    <w:rsid w:val="00E47E82"/>
    <w:rsid w:val="00E47E9F"/>
    <w:rsid w:val="00E47EC5"/>
    <w:rsid w:val="00E47EF9"/>
    <w:rsid w:val="00E47F2C"/>
    <w:rsid w:val="00E47F53"/>
    <w:rsid w:val="00E47F84"/>
    <w:rsid w:val="00E47F97"/>
    <w:rsid w:val="00E47FA4"/>
    <w:rsid w:val="00E47FAF"/>
    <w:rsid w:val="00E47FB4"/>
    <w:rsid w:val="00E47FB6"/>
    <w:rsid w:val="00E50017"/>
    <w:rsid w:val="00E5007A"/>
    <w:rsid w:val="00E50183"/>
    <w:rsid w:val="00E50195"/>
    <w:rsid w:val="00E501AC"/>
    <w:rsid w:val="00E50297"/>
    <w:rsid w:val="00E502F2"/>
    <w:rsid w:val="00E5036A"/>
    <w:rsid w:val="00E503EE"/>
    <w:rsid w:val="00E503F8"/>
    <w:rsid w:val="00E5043E"/>
    <w:rsid w:val="00E50445"/>
    <w:rsid w:val="00E50446"/>
    <w:rsid w:val="00E50592"/>
    <w:rsid w:val="00E505BA"/>
    <w:rsid w:val="00E505F7"/>
    <w:rsid w:val="00E50617"/>
    <w:rsid w:val="00E5061E"/>
    <w:rsid w:val="00E5061F"/>
    <w:rsid w:val="00E5062D"/>
    <w:rsid w:val="00E50758"/>
    <w:rsid w:val="00E5076E"/>
    <w:rsid w:val="00E50781"/>
    <w:rsid w:val="00E507D9"/>
    <w:rsid w:val="00E50826"/>
    <w:rsid w:val="00E5082A"/>
    <w:rsid w:val="00E50867"/>
    <w:rsid w:val="00E50995"/>
    <w:rsid w:val="00E50A8D"/>
    <w:rsid w:val="00E50B3D"/>
    <w:rsid w:val="00E50B56"/>
    <w:rsid w:val="00E50B69"/>
    <w:rsid w:val="00E50BE2"/>
    <w:rsid w:val="00E50C41"/>
    <w:rsid w:val="00E50C98"/>
    <w:rsid w:val="00E50CDF"/>
    <w:rsid w:val="00E50CE0"/>
    <w:rsid w:val="00E50D1C"/>
    <w:rsid w:val="00E50D36"/>
    <w:rsid w:val="00E50D8F"/>
    <w:rsid w:val="00E50DB1"/>
    <w:rsid w:val="00E50DD9"/>
    <w:rsid w:val="00E50E2F"/>
    <w:rsid w:val="00E50E43"/>
    <w:rsid w:val="00E50E7C"/>
    <w:rsid w:val="00E50ECC"/>
    <w:rsid w:val="00E50F05"/>
    <w:rsid w:val="00E50F4E"/>
    <w:rsid w:val="00E50F59"/>
    <w:rsid w:val="00E51023"/>
    <w:rsid w:val="00E5107B"/>
    <w:rsid w:val="00E51092"/>
    <w:rsid w:val="00E510BF"/>
    <w:rsid w:val="00E5112F"/>
    <w:rsid w:val="00E5115F"/>
    <w:rsid w:val="00E5118B"/>
    <w:rsid w:val="00E5119D"/>
    <w:rsid w:val="00E51243"/>
    <w:rsid w:val="00E5127E"/>
    <w:rsid w:val="00E51320"/>
    <w:rsid w:val="00E51405"/>
    <w:rsid w:val="00E514DE"/>
    <w:rsid w:val="00E51545"/>
    <w:rsid w:val="00E51599"/>
    <w:rsid w:val="00E5164C"/>
    <w:rsid w:val="00E51668"/>
    <w:rsid w:val="00E51686"/>
    <w:rsid w:val="00E5169A"/>
    <w:rsid w:val="00E516EA"/>
    <w:rsid w:val="00E51793"/>
    <w:rsid w:val="00E51797"/>
    <w:rsid w:val="00E517AD"/>
    <w:rsid w:val="00E517DF"/>
    <w:rsid w:val="00E51831"/>
    <w:rsid w:val="00E5184D"/>
    <w:rsid w:val="00E51892"/>
    <w:rsid w:val="00E518E3"/>
    <w:rsid w:val="00E518FC"/>
    <w:rsid w:val="00E51945"/>
    <w:rsid w:val="00E51946"/>
    <w:rsid w:val="00E51947"/>
    <w:rsid w:val="00E5195E"/>
    <w:rsid w:val="00E51960"/>
    <w:rsid w:val="00E5196C"/>
    <w:rsid w:val="00E51982"/>
    <w:rsid w:val="00E51995"/>
    <w:rsid w:val="00E519C7"/>
    <w:rsid w:val="00E519E4"/>
    <w:rsid w:val="00E51A08"/>
    <w:rsid w:val="00E51A0E"/>
    <w:rsid w:val="00E51A89"/>
    <w:rsid w:val="00E51AFE"/>
    <w:rsid w:val="00E51B54"/>
    <w:rsid w:val="00E51B59"/>
    <w:rsid w:val="00E51B5E"/>
    <w:rsid w:val="00E51B79"/>
    <w:rsid w:val="00E51C44"/>
    <w:rsid w:val="00E51C75"/>
    <w:rsid w:val="00E51CA2"/>
    <w:rsid w:val="00E51D24"/>
    <w:rsid w:val="00E51D3A"/>
    <w:rsid w:val="00E51D9E"/>
    <w:rsid w:val="00E51DD2"/>
    <w:rsid w:val="00E51DDA"/>
    <w:rsid w:val="00E51E5B"/>
    <w:rsid w:val="00E51E84"/>
    <w:rsid w:val="00E51E88"/>
    <w:rsid w:val="00E51EBE"/>
    <w:rsid w:val="00E51ED1"/>
    <w:rsid w:val="00E51EE1"/>
    <w:rsid w:val="00E51EE2"/>
    <w:rsid w:val="00E51EEE"/>
    <w:rsid w:val="00E51F91"/>
    <w:rsid w:val="00E51FB3"/>
    <w:rsid w:val="00E52021"/>
    <w:rsid w:val="00E52096"/>
    <w:rsid w:val="00E520C2"/>
    <w:rsid w:val="00E52117"/>
    <w:rsid w:val="00E52120"/>
    <w:rsid w:val="00E52195"/>
    <w:rsid w:val="00E521BB"/>
    <w:rsid w:val="00E521BD"/>
    <w:rsid w:val="00E52241"/>
    <w:rsid w:val="00E52260"/>
    <w:rsid w:val="00E522B1"/>
    <w:rsid w:val="00E522D9"/>
    <w:rsid w:val="00E522E9"/>
    <w:rsid w:val="00E5232E"/>
    <w:rsid w:val="00E52341"/>
    <w:rsid w:val="00E523F2"/>
    <w:rsid w:val="00E52587"/>
    <w:rsid w:val="00E525BE"/>
    <w:rsid w:val="00E525FD"/>
    <w:rsid w:val="00E52611"/>
    <w:rsid w:val="00E526AA"/>
    <w:rsid w:val="00E526CB"/>
    <w:rsid w:val="00E52716"/>
    <w:rsid w:val="00E5272F"/>
    <w:rsid w:val="00E5276C"/>
    <w:rsid w:val="00E52785"/>
    <w:rsid w:val="00E52799"/>
    <w:rsid w:val="00E527B9"/>
    <w:rsid w:val="00E527FD"/>
    <w:rsid w:val="00E5283A"/>
    <w:rsid w:val="00E52855"/>
    <w:rsid w:val="00E52940"/>
    <w:rsid w:val="00E529AE"/>
    <w:rsid w:val="00E52A54"/>
    <w:rsid w:val="00E52AAF"/>
    <w:rsid w:val="00E52ADC"/>
    <w:rsid w:val="00E52AF0"/>
    <w:rsid w:val="00E52B31"/>
    <w:rsid w:val="00E52B9F"/>
    <w:rsid w:val="00E52BDA"/>
    <w:rsid w:val="00E52C50"/>
    <w:rsid w:val="00E52C89"/>
    <w:rsid w:val="00E52CB7"/>
    <w:rsid w:val="00E52CF1"/>
    <w:rsid w:val="00E52DB0"/>
    <w:rsid w:val="00E52E2F"/>
    <w:rsid w:val="00E52E3B"/>
    <w:rsid w:val="00E52E3C"/>
    <w:rsid w:val="00E52F1D"/>
    <w:rsid w:val="00E52F3F"/>
    <w:rsid w:val="00E52F7F"/>
    <w:rsid w:val="00E52F87"/>
    <w:rsid w:val="00E52FBA"/>
    <w:rsid w:val="00E52FCB"/>
    <w:rsid w:val="00E5304D"/>
    <w:rsid w:val="00E53059"/>
    <w:rsid w:val="00E5307B"/>
    <w:rsid w:val="00E530B4"/>
    <w:rsid w:val="00E5310F"/>
    <w:rsid w:val="00E53199"/>
    <w:rsid w:val="00E531B9"/>
    <w:rsid w:val="00E531F3"/>
    <w:rsid w:val="00E53241"/>
    <w:rsid w:val="00E53294"/>
    <w:rsid w:val="00E532CA"/>
    <w:rsid w:val="00E53313"/>
    <w:rsid w:val="00E53319"/>
    <w:rsid w:val="00E533F1"/>
    <w:rsid w:val="00E53403"/>
    <w:rsid w:val="00E53413"/>
    <w:rsid w:val="00E53440"/>
    <w:rsid w:val="00E5344B"/>
    <w:rsid w:val="00E5345D"/>
    <w:rsid w:val="00E534B6"/>
    <w:rsid w:val="00E535C6"/>
    <w:rsid w:val="00E5362D"/>
    <w:rsid w:val="00E536E6"/>
    <w:rsid w:val="00E5371D"/>
    <w:rsid w:val="00E53762"/>
    <w:rsid w:val="00E5379D"/>
    <w:rsid w:val="00E537D1"/>
    <w:rsid w:val="00E537E0"/>
    <w:rsid w:val="00E537E4"/>
    <w:rsid w:val="00E53812"/>
    <w:rsid w:val="00E53830"/>
    <w:rsid w:val="00E5387F"/>
    <w:rsid w:val="00E538AD"/>
    <w:rsid w:val="00E538FD"/>
    <w:rsid w:val="00E53927"/>
    <w:rsid w:val="00E53964"/>
    <w:rsid w:val="00E5399D"/>
    <w:rsid w:val="00E539CB"/>
    <w:rsid w:val="00E539ED"/>
    <w:rsid w:val="00E53A0E"/>
    <w:rsid w:val="00E53A8B"/>
    <w:rsid w:val="00E53AF5"/>
    <w:rsid w:val="00E53B14"/>
    <w:rsid w:val="00E53B64"/>
    <w:rsid w:val="00E53C51"/>
    <w:rsid w:val="00E53C54"/>
    <w:rsid w:val="00E53C6D"/>
    <w:rsid w:val="00E53C89"/>
    <w:rsid w:val="00E53D39"/>
    <w:rsid w:val="00E53D58"/>
    <w:rsid w:val="00E53D6A"/>
    <w:rsid w:val="00E53DE5"/>
    <w:rsid w:val="00E53E05"/>
    <w:rsid w:val="00E53E4F"/>
    <w:rsid w:val="00E53E8D"/>
    <w:rsid w:val="00E53EB6"/>
    <w:rsid w:val="00E53EB7"/>
    <w:rsid w:val="00E53ED0"/>
    <w:rsid w:val="00E53F0F"/>
    <w:rsid w:val="00E53F9D"/>
    <w:rsid w:val="00E5403D"/>
    <w:rsid w:val="00E540F2"/>
    <w:rsid w:val="00E5410F"/>
    <w:rsid w:val="00E54121"/>
    <w:rsid w:val="00E541A7"/>
    <w:rsid w:val="00E541E9"/>
    <w:rsid w:val="00E541EB"/>
    <w:rsid w:val="00E541F3"/>
    <w:rsid w:val="00E54286"/>
    <w:rsid w:val="00E542D6"/>
    <w:rsid w:val="00E5430F"/>
    <w:rsid w:val="00E54362"/>
    <w:rsid w:val="00E54388"/>
    <w:rsid w:val="00E54439"/>
    <w:rsid w:val="00E544D1"/>
    <w:rsid w:val="00E5456C"/>
    <w:rsid w:val="00E5457F"/>
    <w:rsid w:val="00E545B2"/>
    <w:rsid w:val="00E54635"/>
    <w:rsid w:val="00E54638"/>
    <w:rsid w:val="00E54668"/>
    <w:rsid w:val="00E54677"/>
    <w:rsid w:val="00E546A4"/>
    <w:rsid w:val="00E546B6"/>
    <w:rsid w:val="00E54762"/>
    <w:rsid w:val="00E54830"/>
    <w:rsid w:val="00E54869"/>
    <w:rsid w:val="00E5489C"/>
    <w:rsid w:val="00E548EC"/>
    <w:rsid w:val="00E548F3"/>
    <w:rsid w:val="00E54935"/>
    <w:rsid w:val="00E549A0"/>
    <w:rsid w:val="00E549C0"/>
    <w:rsid w:val="00E549CC"/>
    <w:rsid w:val="00E54A26"/>
    <w:rsid w:val="00E54A91"/>
    <w:rsid w:val="00E54AB5"/>
    <w:rsid w:val="00E54B3D"/>
    <w:rsid w:val="00E54B5A"/>
    <w:rsid w:val="00E54B60"/>
    <w:rsid w:val="00E54BEE"/>
    <w:rsid w:val="00E54C0F"/>
    <w:rsid w:val="00E54CB1"/>
    <w:rsid w:val="00E54CCB"/>
    <w:rsid w:val="00E54CDA"/>
    <w:rsid w:val="00E54D19"/>
    <w:rsid w:val="00E54D36"/>
    <w:rsid w:val="00E54D5D"/>
    <w:rsid w:val="00E54DD2"/>
    <w:rsid w:val="00E54E66"/>
    <w:rsid w:val="00E54E93"/>
    <w:rsid w:val="00E54EA4"/>
    <w:rsid w:val="00E54F0B"/>
    <w:rsid w:val="00E54F9C"/>
    <w:rsid w:val="00E55012"/>
    <w:rsid w:val="00E550E4"/>
    <w:rsid w:val="00E55123"/>
    <w:rsid w:val="00E55134"/>
    <w:rsid w:val="00E5528A"/>
    <w:rsid w:val="00E552FD"/>
    <w:rsid w:val="00E553E7"/>
    <w:rsid w:val="00E553ED"/>
    <w:rsid w:val="00E55449"/>
    <w:rsid w:val="00E55472"/>
    <w:rsid w:val="00E55474"/>
    <w:rsid w:val="00E554D9"/>
    <w:rsid w:val="00E55523"/>
    <w:rsid w:val="00E55569"/>
    <w:rsid w:val="00E55647"/>
    <w:rsid w:val="00E55669"/>
    <w:rsid w:val="00E556C2"/>
    <w:rsid w:val="00E55737"/>
    <w:rsid w:val="00E55761"/>
    <w:rsid w:val="00E55784"/>
    <w:rsid w:val="00E55856"/>
    <w:rsid w:val="00E55884"/>
    <w:rsid w:val="00E558C1"/>
    <w:rsid w:val="00E558DF"/>
    <w:rsid w:val="00E558F4"/>
    <w:rsid w:val="00E5592C"/>
    <w:rsid w:val="00E559F7"/>
    <w:rsid w:val="00E55A3E"/>
    <w:rsid w:val="00E55A42"/>
    <w:rsid w:val="00E55A73"/>
    <w:rsid w:val="00E55A7B"/>
    <w:rsid w:val="00E55A7D"/>
    <w:rsid w:val="00E55A8B"/>
    <w:rsid w:val="00E55B6A"/>
    <w:rsid w:val="00E55BDF"/>
    <w:rsid w:val="00E55C6D"/>
    <w:rsid w:val="00E55CA0"/>
    <w:rsid w:val="00E55CB2"/>
    <w:rsid w:val="00E55CE9"/>
    <w:rsid w:val="00E55D26"/>
    <w:rsid w:val="00E55DBC"/>
    <w:rsid w:val="00E55E24"/>
    <w:rsid w:val="00E55E64"/>
    <w:rsid w:val="00E55E80"/>
    <w:rsid w:val="00E55F09"/>
    <w:rsid w:val="00E55F45"/>
    <w:rsid w:val="00E55FCD"/>
    <w:rsid w:val="00E55FD7"/>
    <w:rsid w:val="00E56007"/>
    <w:rsid w:val="00E5605C"/>
    <w:rsid w:val="00E56091"/>
    <w:rsid w:val="00E560E8"/>
    <w:rsid w:val="00E560E9"/>
    <w:rsid w:val="00E560FA"/>
    <w:rsid w:val="00E5622D"/>
    <w:rsid w:val="00E56231"/>
    <w:rsid w:val="00E562CB"/>
    <w:rsid w:val="00E56358"/>
    <w:rsid w:val="00E56383"/>
    <w:rsid w:val="00E563BD"/>
    <w:rsid w:val="00E56405"/>
    <w:rsid w:val="00E5647B"/>
    <w:rsid w:val="00E564C3"/>
    <w:rsid w:val="00E56522"/>
    <w:rsid w:val="00E56598"/>
    <w:rsid w:val="00E56633"/>
    <w:rsid w:val="00E5664D"/>
    <w:rsid w:val="00E5669B"/>
    <w:rsid w:val="00E567E6"/>
    <w:rsid w:val="00E56818"/>
    <w:rsid w:val="00E5681B"/>
    <w:rsid w:val="00E56820"/>
    <w:rsid w:val="00E5683B"/>
    <w:rsid w:val="00E56861"/>
    <w:rsid w:val="00E568A5"/>
    <w:rsid w:val="00E56929"/>
    <w:rsid w:val="00E56960"/>
    <w:rsid w:val="00E56971"/>
    <w:rsid w:val="00E5697B"/>
    <w:rsid w:val="00E56994"/>
    <w:rsid w:val="00E569A4"/>
    <w:rsid w:val="00E569B2"/>
    <w:rsid w:val="00E56A04"/>
    <w:rsid w:val="00E56A6D"/>
    <w:rsid w:val="00E56A83"/>
    <w:rsid w:val="00E56B07"/>
    <w:rsid w:val="00E56B19"/>
    <w:rsid w:val="00E56B53"/>
    <w:rsid w:val="00E56BD1"/>
    <w:rsid w:val="00E56C45"/>
    <w:rsid w:val="00E56CCA"/>
    <w:rsid w:val="00E56CCB"/>
    <w:rsid w:val="00E56CD3"/>
    <w:rsid w:val="00E56D29"/>
    <w:rsid w:val="00E56D38"/>
    <w:rsid w:val="00E56DFF"/>
    <w:rsid w:val="00E56E1C"/>
    <w:rsid w:val="00E56E87"/>
    <w:rsid w:val="00E56E8B"/>
    <w:rsid w:val="00E56EBF"/>
    <w:rsid w:val="00E56F0E"/>
    <w:rsid w:val="00E56F34"/>
    <w:rsid w:val="00E56F3E"/>
    <w:rsid w:val="00E56F8C"/>
    <w:rsid w:val="00E5700F"/>
    <w:rsid w:val="00E57061"/>
    <w:rsid w:val="00E570AA"/>
    <w:rsid w:val="00E570F5"/>
    <w:rsid w:val="00E57188"/>
    <w:rsid w:val="00E571C8"/>
    <w:rsid w:val="00E571CB"/>
    <w:rsid w:val="00E5729A"/>
    <w:rsid w:val="00E572DC"/>
    <w:rsid w:val="00E572EC"/>
    <w:rsid w:val="00E572F8"/>
    <w:rsid w:val="00E5734B"/>
    <w:rsid w:val="00E5737F"/>
    <w:rsid w:val="00E573EF"/>
    <w:rsid w:val="00E574B7"/>
    <w:rsid w:val="00E574D3"/>
    <w:rsid w:val="00E57507"/>
    <w:rsid w:val="00E57577"/>
    <w:rsid w:val="00E57647"/>
    <w:rsid w:val="00E5765E"/>
    <w:rsid w:val="00E5766E"/>
    <w:rsid w:val="00E576B7"/>
    <w:rsid w:val="00E576E6"/>
    <w:rsid w:val="00E57713"/>
    <w:rsid w:val="00E57767"/>
    <w:rsid w:val="00E577E9"/>
    <w:rsid w:val="00E5780F"/>
    <w:rsid w:val="00E57848"/>
    <w:rsid w:val="00E57894"/>
    <w:rsid w:val="00E578C5"/>
    <w:rsid w:val="00E578E2"/>
    <w:rsid w:val="00E5790B"/>
    <w:rsid w:val="00E57939"/>
    <w:rsid w:val="00E57971"/>
    <w:rsid w:val="00E57A48"/>
    <w:rsid w:val="00E57AC3"/>
    <w:rsid w:val="00E57B04"/>
    <w:rsid w:val="00E57B25"/>
    <w:rsid w:val="00E57B68"/>
    <w:rsid w:val="00E57B9B"/>
    <w:rsid w:val="00E57CB4"/>
    <w:rsid w:val="00E57CCF"/>
    <w:rsid w:val="00E57D34"/>
    <w:rsid w:val="00E57D9C"/>
    <w:rsid w:val="00E57DD5"/>
    <w:rsid w:val="00E57E72"/>
    <w:rsid w:val="00E57EDE"/>
    <w:rsid w:val="00E57F37"/>
    <w:rsid w:val="00E57F4C"/>
    <w:rsid w:val="00E57F53"/>
    <w:rsid w:val="00E57FE2"/>
    <w:rsid w:val="00E60010"/>
    <w:rsid w:val="00E60018"/>
    <w:rsid w:val="00E60039"/>
    <w:rsid w:val="00E600B0"/>
    <w:rsid w:val="00E60159"/>
    <w:rsid w:val="00E60172"/>
    <w:rsid w:val="00E60175"/>
    <w:rsid w:val="00E601B3"/>
    <w:rsid w:val="00E601E9"/>
    <w:rsid w:val="00E60214"/>
    <w:rsid w:val="00E60248"/>
    <w:rsid w:val="00E60289"/>
    <w:rsid w:val="00E6031F"/>
    <w:rsid w:val="00E603C3"/>
    <w:rsid w:val="00E603C9"/>
    <w:rsid w:val="00E60421"/>
    <w:rsid w:val="00E6053D"/>
    <w:rsid w:val="00E60540"/>
    <w:rsid w:val="00E6055F"/>
    <w:rsid w:val="00E605E6"/>
    <w:rsid w:val="00E605F6"/>
    <w:rsid w:val="00E605FC"/>
    <w:rsid w:val="00E605FF"/>
    <w:rsid w:val="00E6061F"/>
    <w:rsid w:val="00E60783"/>
    <w:rsid w:val="00E607B3"/>
    <w:rsid w:val="00E6081D"/>
    <w:rsid w:val="00E6084B"/>
    <w:rsid w:val="00E6087D"/>
    <w:rsid w:val="00E6089B"/>
    <w:rsid w:val="00E60963"/>
    <w:rsid w:val="00E6097D"/>
    <w:rsid w:val="00E609A5"/>
    <w:rsid w:val="00E609B3"/>
    <w:rsid w:val="00E609CB"/>
    <w:rsid w:val="00E609E4"/>
    <w:rsid w:val="00E60A0B"/>
    <w:rsid w:val="00E60AA3"/>
    <w:rsid w:val="00E60B09"/>
    <w:rsid w:val="00E60B1C"/>
    <w:rsid w:val="00E60B2B"/>
    <w:rsid w:val="00E60B3A"/>
    <w:rsid w:val="00E60B72"/>
    <w:rsid w:val="00E60B94"/>
    <w:rsid w:val="00E60BB6"/>
    <w:rsid w:val="00E60C19"/>
    <w:rsid w:val="00E60C9D"/>
    <w:rsid w:val="00E60CC3"/>
    <w:rsid w:val="00E60CC4"/>
    <w:rsid w:val="00E60CE3"/>
    <w:rsid w:val="00E60D16"/>
    <w:rsid w:val="00E60D1D"/>
    <w:rsid w:val="00E60D28"/>
    <w:rsid w:val="00E60DD4"/>
    <w:rsid w:val="00E60E51"/>
    <w:rsid w:val="00E60EE3"/>
    <w:rsid w:val="00E60F02"/>
    <w:rsid w:val="00E60F07"/>
    <w:rsid w:val="00E60F72"/>
    <w:rsid w:val="00E60F8A"/>
    <w:rsid w:val="00E60F9B"/>
    <w:rsid w:val="00E60FC8"/>
    <w:rsid w:val="00E60FDF"/>
    <w:rsid w:val="00E60FE7"/>
    <w:rsid w:val="00E61038"/>
    <w:rsid w:val="00E6113D"/>
    <w:rsid w:val="00E61214"/>
    <w:rsid w:val="00E6121F"/>
    <w:rsid w:val="00E61251"/>
    <w:rsid w:val="00E612B9"/>
    <w:rsid w:val="00E61337"/>
    <w:rsid w:val="00E61349"/>
    <w:rsid w:val="00E61392"/>
    <w:rsid w:val="00E61472"/>
    <w:rsid w:val="00E61473"/>
    <w:rsid w:val="00E61484"/>
    <w:rsid w:val="00E6149A"/>
    <w:rsid w:val="00E614D8"/>
    <w:rsid w:val="00E614E7"/>
    <w:rsid w:val="00E61529"/>
    <w:rsid w:val="00E615F4"/>
    <w:rsid w:val="00E61614"/>
    <w:rsid w:val="00E61628"/>
    <w:rsid w:val="00E6164E"/>
    <w:rsid w:val="00E616C8"/>
    <w:rsid w:val="00E61732"/>
    <w:rsid w:val="00E6174C"/>
    <w:rsid w:val="00E61772"/>
    <w:rsid w:val="00E6177A"/>
    <w:rsid w:val="00E618C2"/>
    <w:rsid w:val="00E6191E"/>
    <w:rsid w:val="00E61972"/>
    <w:rsid w:val="00E6198A"/>
    <w:rsid w:val="00E61A8E"/>
    <w:rsid w:val="00E61A9A"/>
    <w:rsid w:val="00E61AB3"/>
    <w:rsid w:val="00E61AFD"/>
    <w:rsid w:val="00E61B21"/>
    <w:rsid w:val="00E61B2F"/>
    <w:rsid w:val="00E61B54"/>
    <w:rsid w:val="00E61B6B"/>
    <w:rsid w:val="00E61C5A"/>
    <w:rsid w:val="00E61C6F"/>
    <w:rsid w:val="00E61CCE"/>
    <w:rsid w:val="00E61CF8"/>
    <w:rsid w:val="00E61D1F"/>
    <w:rsid w:val="00E61D65"/>
    <w:rsid w:val="00E61D92"/>
    <w:rsid w:val="00E61DE0"/>
    <w:rsid w:val="00E61E45"/>
    <w:rsid w:val="00E61E62"/>
    <w:rsid w:val="00E61EA8"/>
    <w:rsid w:val="00E61EEF"/>
    <w:rsid w:val="00E61F01"/>
    <w:rsid w:val="00E61F40"/>
    <w:rsid w:val="00E61F4B"/>
    <w:rsid w:val="00E61F55"/>
    <w:rsid w:val="00E61FC8"/>
    <w:rsid w:val="00E61FE6"/>
    <w:rsid w:val="00E62036"/>
    <w:rsid w:val="00E6204E"/>
    <w:rsid w:val="00E62122"/>
    <w:rsid w:val="00E6215C"/>
    <w:rsid w:val="00E621B6"/>
    <w:rsid w:val="00E621C4"/>
    <w:rsid w:val="00E62228"/>
    <w:rsid w:val="00E6222E"/>
    <w:rsid w:val="00E62259"/>
    <w:rsid w:val="00E622A3"/>
    <w:rsid w:val="00E622BA"/>
    <w:rsid w:val="00E622FF"/>
    <w:rsid w:val="00E6230F"/>
    <w:rsid w:val="00E62320"/>
    <w:rsid w:val="00E6233A"/>
    <w:rsid w:val="00E62359"/>
    <w:rsid w:val="00E623AD"/>
    <w:rsid w:val="00E623CE"/>
    <w:rsid w:val="00E623E6"/>
    <w:rsid w:val="00E62467"/>
    <w:rsid w:val="00E62475"/>
    <w:rsid w:val="00E624DC"/>
    <w:rsid w:val="00E624FF"/>
    <w:rsid w:val="00E6255B"/>
    <w:rsid w:val="00E62568"/>
    <w:rsid w:val="00E6256C"/>
    <w:rsid w:val="00E6262E"/>
    <w:rsid w:val="00E6268A"/>
    <w:rsid w:val="00E62692"/>
    <w:rsid w:val="00E62735"/>
    <w:rsid w:val="00E62797"/>
    <w:rsid w:val="00E627C3"/>
    <w:rsid w:val="00E627EC"/>
    <w:rsid w:val="00E62829"/>
    <w:rsid w:val="00E62867"/>
    <w:rsid w:val="00E62891"/>
    <w:rsid w:val="00E62974"/>
    <w:rsid w:val="00E629C6"/>
    <w:rsid w:val="00E629CF"/>
    <w:rsid w:val="00E629F0"/>
    <w:rsid w:val="00E629FB"/>
    <w:rsid w:val="00E62A19"/>
    <w:rsid w:val="00E62B8F"/>
    <w:rsid w:val="00E62BB2"/>
    <w:rsid w:val="00E62C0C"/>
    <w:rsid w:val="00E62C98"/>
    <w:rsid w:val="00E62CAC"/>
    <w:rsid w:val="00E62D2C"/>
    <w:rsid w:val="00E62D5A"/>
    <w:rsid w:val="00E62D5F"/>
    <w:rsid w:val="00E62D72"/>
    <w:rsid w:val="00E62DD5"/>
    <w:rsid w:val="00E62DF9"/>
    <w:rsid w:val="00E62E3A"/>
    <w:rsid w:val="00E62E60"/>
    <w:rsid w:val="00E62E8B"/>
    <w:rsid w:val="00E62EA4"/>
    <w:rsid w:val="00E62EE4"/>
    <w:rsid w:val="00E62EEE"/>
    <w:rsid w:val="00E62F61"/>
    <w:rsid w:val="00E62F7D"/>
    <w:rsid w:val="00E62FB2"/>
    <w:rsid w:val="00E62FDB"/>
    <w:rsid w:val="00E62FF4"/>
    <w:rsid w:val="00E62FFA"/>
    <w:rsid w:val="00E6301D"/>
    <w:rsid w:val="00E63088"/>
    <w:rsid w:val="00E630AC"/>
    <w:rsid w:val="00E63132"/>
    <w:rsid w:val="00E6315B"/>
    <w:rsid w:val="00E63161"/>
    <w:rsid w:val="00E63181"/>
    <w:rsid w:val="00E6320D"/>
    <w:rsid w:val="00E6321B"/>
    <w:rsid w:val="00E6321E"/>
    <w:rsid w:val="00E63294"/>
    <w:rsid w:val="00E632CB"/>
    <w:rsid w:val="00E632F7"/>
    <w:rsid w:val="00E6332B"/>
    <w:rsid w:val="00E63331"/>
    <w:rsid w:val="00E633DF"/>
    <w:rsid w:val="00E633EC"/>
    <w:rsid w:val="00E6346E"/>
    <w:rsid w:val="00E63500"/>
    <w:rsid w:val="00E63522"/>
    <w:rsid w:val="00E63590"/>
    <w:rsid w:val="00E635C2"/>
    <w:rsid w:val="00E636DF"/>
    <w:rsid w:val="00E636E3"/>
    <w:rsid w:val="00E6373C"/>
    <w:rsid w:val="00E6374A"/>
    <w:rsid w:val="00E63766"/>
    <w:rsid w:val="00E63865"/>
    <w:rsid w:val="00E63887"/>
    <w:rsid w:val="00E638A1"/>
    <w:rsid w:val="00E638A5"/>
    <w:rsid w:val="00E638B3"/>
    <w:rsid w:val="00E63949"/>
    <w:rsid w:val="00E639C0"/>
    <w:rsid w:val="00E63A19"/>
    <w:rsid w:val="00E63A3D"/>
    <w:rsid w:val="00E63A4D"/>
    <w:rsid w:val="00E63A93"/>
    <w:rsid w:val="00E63ACA"/>
    <w:rsid w:val="00E63AFA"/>
    <w:rsid w:val="00E63B0E"/>
    <w:rsid w:val="00E63B67"/>
    <w:rsid w:val="00E63B9E"/>
    <w:rsid w:val="00E63CCF"/>
    <w:rsid w:val="00E63D03"/>
    <w:rsid w:val="00E63D26"/>
    <w:rsid w:val="00E63DA8"/>
    <w:rsid w:val="00E63DAD"/>
    <w:rsid w:val="00E63DD1"/>
    <w:rsid w:val="00E63DF2"/>
    <w:rsid w:val="00E63E15"/>
    <w:rsid w:val="00E63E20"/>
    <w:rsid w:val="00E63E87"/>
    <w:rsid w:val="00E63EA3"/>
    <w:rsid w:val="00E63F50"/>
    <w:rsid w:val="00E63F97"/>
    <w:rsid w:val="00E63FC5"/>
    <w:rsid w:val="00E63FE1"/>
    <w:rsid w:val="00E6409C"/>
    <w:rsid w:val="00E640BA"/>
    <w:rsid w:val="00E64119"/>
    <w:rsid w:val="00E64123"/>
    <w:rsid w:val="00E6413B"/>
    <w:rsid w:val="00E6416A"/>
    <w:rsid w:val="00E64196"/>
    <w:rsid w:val="00E641AF"/>
    <w:rsid w:val="00E641F6"/>
    <w:rsid w:val="00E6426B"/>
    <w:rsid w:val="00E642C8"/>
    <w:rsid w:val="00E642FC"/>
    <w:rsid w:val="00E6431B"/>
    <w:rsid w:val="00E6434C"/>
    <w:rsid w:val="00E6435C"/>
    <w:rsid w:val="00E643EA"/>
    <w:rsid w:val="00E64563"/>
    <w:rsid w:val="00E6459B"/>
    <w:rsid w:val="00E645DE"/>
    <w:rsid w:val="00E6465F"/>
    <w:rsid w:val="00E6466C"/>
    <w:rsid w:val="00E646FA"/>
    <w:rsid w:val="00E6475C"/>
    <w:rsid w:val="00E648A3"/>
    <w:rsid w:val="00E64940"/>
    <w:rsid w:val="00E6498B"/>
    <w:rsid w:val="00E649BB"/>
    <w:rsid w:val="00E649FF"/>
    <w:rsid w:val="00E64A33"/>
    <w:rsid w:val="00E64A57"/>
    <w:rsid w:val="00E64B20"/>
    <w:rsid w:val="00E64B21"/>
    <w:rsid w:val="00E64B4C"/>
    <w:rsid w:val="00E64B58"/>
    <w:rsid w:val="00E64B5B"/>
    <w:rsid w:val="00E64B8A"/>
    <w:rsid w:val="00E64B8F"/>
    <w:rsid w:val="00E64BCF"/>
    <w:rsid w:val="00E64BE7"/>
    <w:rsid w:val="00E64C29"/>
    <w:rsid w:val="00E64C35"/>
    <w:rsid w:val="00E64CB7"/>
    <w:rsid w:val="00E64D02"/>
    <w:rsid w:val="00E64D36"/>
    <w:rsid w:val="00E64D37"/>
    <w:rsid w:val="00E64DC0"/>
    <w:rsid w:val="00E64DC5"/>
    <w:rsid w:val="00E64E6C"/>
    <w:rsid w:val="00E64EB4"/>
    <w:rsid w:val="00E64EED"/>
    <w:rsid w:val="00E64EF8"/>
    <w:rsid w:val="00E64F6D"/>
    <w:rsid w:val="00E64F8A"/>
    <w:rsid w:val="00E64F93"/>
    <w:rsid w:val="00E64FDC"/>
    <w:rsid w:val="00E64FEB"/>
    <w:rsid w:val="00E6506F"/>
    <w:rsid w:val="00E65088"/>
    <w:rsid w:val="00E65091"/>
    <w:rsid w:val="00E650BF"/>
    <w:rsid w:val="00E650C0"/>
    <w:rsid w:val="00E65119"/>
    <w:rsid w:val="00E65128"/>
    <w:rsid w:val="00E65134"/>
    <w:rsid w:val="00E6515C"/>
    <w:rsid w:val="00E65161"/>
    <w:rsid w:val="00E651BF"/>
    <w:rsid w:val="00E6527F"/>
    <w:rsid w:val="00E65295"/>
    <w:rsid w:val="00E652C0"/>
    <w:rsid w:val="00E65351"/>
    <w:rsid w:val="00E65381"/>
    <w:rsid w:val="00E653DB"/>
    <w:rsid w:val="00E653FF"/>
    <w:rsid w:val="00E65410"/>
    <w:rsid w:val="00E6546F"/>
    <w:rsid w:val="00E65475"/>
    <w:rsid w:val="00E65487"/>
    <w:rsid w:val="00E6549B"/>
    <w:rsid w:val="00E654C7"/>
    <w:rsid w:val="00E65512"/>
    <w:rsid w:val="00E6551F"/>
    <w:rsid w:val="00E655C5"/>
    <w:rsid w:val="00E655D1"/>
    <w:rsid w:val="00E65669"/>
    <w:rsid w:val="00E656AC"/>
    <w:rsid w:val="00E656F4"/>
    <w:rsid w:val="00E6573B"/>
    <w:rsid w:val="00E657D5"/>
    <w:rsid w:val="00E65810"/>
    <w:rsid w:val="00E6582D"/>
    <w:rsid w:val="00E65884"/>
    <w:rsid w:val="00E6588F"/>
    <w:rsid w:val="00E658CB"/>
    <w:rsid w:val="00E658F2"/>
    <w:rsid w:val="00E6591A"/>
    <w:rsid w:val="00E6597F"/>
    <w:rsid w:val="00E6599D"/>
    <w:rsid w:val="00E65A07"/>
    <w:rsid w:val="00E65A54"/>
    <w:rsid w:val="00E65A71"/>
    <w:rsid w:val="00E65AA2"/>
    <w:rsid w:val="00E65ABE"/>
    <w:rsid w:val="00E65AFD"/>
    <w:rsid w:val="00E65B45"/>
    <w:rsid w:val="00E65B75"/>
    <w:rsid w:val="00E65C2F"/>
    <w:rsid w:val="00E65CB7"/>
    <w:rsid w:val="00E65CC6"/>
    <w:rsid w:val="00E65CFD"/>
    <w:rsid w:val="00E65D16"/>
    <w:rsid w:val="00E65D29"/>
    <w:rsid w:val="00E65D5C"/>
    <w:rsid w:val="00E65DB0"/>
    <w:rsid w:val="00E65DDE"/>
    <w:rsid w:val="00E65E2B"/>
    <w:rsid w:val="00E65E59"/>
    <w:rsid w:val="00E65F08"/>
    <w:rsid w:val="00E6604D"/>
    <w:rsid w:val="00E66058"/>
    <w:rsid w:val="00E66068"/>
    <w:rsid w:val="00E6606D"/>
    <w:rsid w:val="00E661A5"/>
    <w:rsid w:val="00E66219"/>
    <w:rsid w:val="00E66289"/>
    <w:rsid w:val="00E662A5"/>
    <w:rsid w:val="00E66324"/>
    <w:rsid w:val="00E663A5"/>
    <w:rsid w:val="00E663C2"/>
    <w:rsid w:val="00E6640B"/>
    <w:rsid w:val="00E66545"/>
    <w:rsid w:val="00E6659D"/>
    <w:rsid w:val="00E665C8"/>
    <w:rsid w:val="00E6661D"/>
    <w:rsid w:val="00E666CF"/>
    <w:rsid w:val="00E66711"/>
    <w:rsid w:val="00E667E4"/>
    <w:rsid w:val="00E667E9"/>
    <w:rsid w:val="00E667EE"/>
    <w:rsid w:val="00E66929"/>
    <w:rsid w:val="00E66930"/>
    <w:rsid w:val="00E669A4"/>
    <w:rsid w:val="00E66A39"/>
    <w:rsid w:val="00E66A53"/>
    <w:rsid w:val="00E66A5B"/>
    <w:rsid w:val="00E66A9E"/>
    <w:rsid w:val="00E66ADE"/>
    <w:rsid w:val="00E66B25"/>
    <w:rsid w:val="00E66B42"/>
    <w:rsid w:val="00E66C2B"/>
    <w:rsid w:val="00E66C80"/>
    <w:rsid w:val="00E66CD3"/>
    <w:rsid w:val="00E66D60"/>
    <w:rsid w:val="00E66D91"/>
    <w:rsid w:val="00E66E36"/>
    <w:rsid w:val="00E66E44"/>
    <w:rsid w:val="00E66E9B"/>
    <w:rsid w:val="00E66F01"/>
    <w:rsid w:val="00E66FA1"/>
    <w:rsid w:val="00E66FC1"/>
    <w:rsid w:val="00E6700A"/>
    <w:rsid w:val="00E6706C"/>
    <w:rsid w:val="00E670F6"/>
    <w:rsid w:val="00E6710F"/>
    <w:rsid w:val="00E67141"/>
    <w:rsid w:val="00E671EB"/>
    <w:rsid w:val="00E6722B"/>
    <w:rsid w:val="00E6726F"/>
    <w:rsid w:val="00E67296"/>
    <w:rsid w:val="00E67376"/>
    <w:rsid w:val="00E673CE"/>
    <w:rsid w:val="00E673E6"/>
    <w:rsid w:val="00E67424"/>
    <w:rsid w:val="00E674B4"/>
    <w:rsid w:val="00E674E9"/>
    <w:rsid w:val="00E674F4"/>
    <w:rsid w:val="00E674FA"/>
    <w:rsid w:val="00E6760F"/>
    <w:rsid w:val="00E676C7"/>
    <w:rsid w:val="00E676E3"/>
    <w:rsid w:val="00E6772A"/>
    <w:rsid w:val="00E6774A"/>
    <w:rsid w:val="00E677BC"/>
    <w:rsid w:val="00E67860"/>
    <w:rsid w:val="00E67965"/>
    <w:rsid w:val="00E6798C"/>
    <w:rsid w:val="00E6799A"/>
    <w:rsid w:val="00E679A0"/>
    <w:rsid w:val="00E679DD"/>
    <w:rsid w:val="00E67A77"/>
    <w:rsid w:val="00E67BC6"/>
    <w:rsid w:val="00E67C02"/>
    <w:rsid w:val="00E67C0E"/>
    <w:rsid w:val="00E67CEC"/>
    <w:rsid w:val="00E67CFE"/>
    <w:rsid w:val="00E67D12"/>
    <w:rsid w:val="00E67D28"/>
    <w:rsid w:val="00E67D5E"/>
    <w:rsid w:val="00E67D60"/>
    <w:rsid w:val="00E67DA3"/>
    <w:rsid w:val="00E67DF7"/>
    <w:rsid w:val="00E67E54"/>
    <w:rsid w:val="00E67F0A"/>
    <w:rsid w:val="00E67FC7"/>
    <w:rsid w:val="00E67FE4"/>
    <w:rsid w:val="00E7001B"/>
    <w:rsid w:val="00E7005E"/>
    <w:rsid w:val="00E700AD"/>
    <w:rsid w:val="00E70178"/>
    <w:rsid w:val="00E70183"/>
    <w:rsid w:val="00E7020D"/>
    <w:rsid w:val="00E7021F"/>
    <w:rsid w:val="00E7028F"/>
    <w:rsid w:val="00E702D4"/>
    <w:rsid w:val="00E702E5"/>
    <w:rsid w:val="00E70326"/>
    <w:rsid w:val="00E703A6"/>
    <w:rsid w:val="00E703C9"/>
    <w:rsid w:val="00E7043B"/>
    <w:rsid w:val="00E70469"/>
    <w:rsid w:val="00E7048A"/>
    <w:rsid w:val="00E704D4"/>
    <w:rsid w:val="00E704FB"/>
    <w:rsid w:val="00E70500"/>
    <w:rsid w:val="00E70517"/>
    <w:rsid w:val="00E70554"/>
    <w:rsid w:val="00E70555"/>
    <w:rsid w:val="00E70644"/>
    <w:rsid w:val="00E7066A"/>
    <w:rsid w:val="00E7070A"/>
    <w:rsid w:val="00E7071E"/>
    <w:rsid w:val="00E7072A"/>
    <w:rsid w:val="00E70750"/>
    <w:rsid w:val="00E70793"/>
    <w:rsid w:val="00E70795"/>
    <w:rsid w:val="00E70830"/>
    <w:rsid w:val="00E7087E"/>
    <w:rsid w:val="00E708C4"/>
    <w:rsid w:val="00E708D9"/>
    <w:rsid w:val="00E7090F"/>
    <w:rsid w:val="00E70925"/>
    <w:rsid w:val="00E70A33"/>
    <w:rsid w:val="00E70A6D"/>
    <w:rsid w:val="00E70AFC"/>
    <w:rsid w:val="00E70B35"/>
    <w:rsid w:val="00E70BA8"/>
    <w:rsid w:val="00E70BEE"/>
    <w:rsid w:val="00E70C22"/>
    <w:rsid w:val="00E70CB5"/>
    <w:rsid w:val="00E70D82"/>
    <w:rsid w:val="00E70DAC"/>
    <w:rsid w:val="00E70DDC"/>
    <w:rsid w:val="00E70DFA"/>
    <w:rsid w:val="00E70E07"/>
    <w:rsid w:val="00E70E1A"/>
    <w:rsid w:val="00E70E9B"/>
    <w:rsid w:val="00E70EE2"/>
    <w:rsid w:val="00E70EEC"/>
    <w:rsid w:val="00E70F76"/>
    <w:rsid w:val="00E70FE3"/>
    <w:rsid w:val="00E71011"/>
    <w:rsid w:val="00E7101C"/>
    <w:rsid w:val="00E71037"/>
    <w:rsid w:val="00E71072"/>
    <w:rsid w:val="00E710B6"/>
    <w:rsid w:val="00E710E4"/>
    <w:rsid w:val="00E711D7"/>
    <w:rsid w:val="00E71223"/>
    <w:rsid w:val="00E7133F"/>
    <w:rsid w:val="00E71342"/>
    <w:rsid w:val="00E71360"/>
    <w:rsid w:val="00E71410"/>
    <w:rsid w:val="00E71458"/>
    <w:rsid w:val="00E71485"/>
    <w:rsid w:val="00E714A1"/>
    <w:rsid w:val="00E714C9"/>
    <w:rsid w:val="00E714D7"/>
    <w:rsid w:val="00E7152A"/>
    <w:rsid w:val="00E7158C"/>
    <w:rsid w:val="00E71592"/>
    <w:rsid w:val="00E715BD"/>
    <w:rsid w:val="00E715F0"/>
    <w:rsid w:val="00E71626"/>
    <w:rsid w:val="00E716A0"/>
    <w:rsid w:val="00E716AA"/>
    <w:rsid w:val="00E716C0"/>
    <w:rsid w:val="00E716CD"/>
    <w:rsid w:val="00E716ED"/>
    <w:rsid w:val="00E71747"/>
    <w:rsid w:val="00E7175B"/>
    <w:rsid w:val="00E717CF"/>
    <w:rsid w:val="00E717F9"/>
    <w:rsid w:val="00E7185B"/>
    <w:rsid w:val="00E7186B"/>
    <w:rsid w:val="00E71989"/>
    <w:rsid w:val="00E7198C"/>
    <w:rsid w:val="00E719A3"/>
    <w:rsid w:val="00E719A9"/>
    <w:rsid w:val="00E719AD"/>
    <w:rsid w:val="00E71A03"/>
    <w:rsid w:val="00E71A7E"/>
    <w:rsid w:val="00E71AAC"/>
    <w:rsid w:val="00E71AFE"/>
    <w:rsid w:val="00E71B22"/>
    <w:rsid w:val="00E71B2A"/>
    <w:rsid w:val="00E71B2D"/>
    <w:rsid w:val="00E71B43"/>
    <w:rsid w:val="00E71B78"/>
    <w:rsid w:val="00E71BD4"/>
    <w:rsid w:val="00E71BFA"/>
    <w:rsid w:val="00E71CAB"/>
    <w:rsid w:val="00E71D24"/>
    <w:rsid w:val="00E71DCE"/>
    <w:rsid w:val="00E71DD1"/>
    <w:rsid w:val="00E71E10"/>
    <w:rsid w:val="00E71E22"/>
    <w:rsid w:val="00E71E3C"/>
    <w:rsid w:val="00E71E61"/>
    <w:rsid w:val="00E71E69"/>
    <w:rsid w:val="00E71EA6"/>
    <w:rsid w:val="00E71EBB"/>
    <w:rsid w:val="00E71EF6"/>
    <w:rsid w:val="00E71F6C"/>
    <w:rsid w:val="00E71F78"/>
    <w:rsid w:val="00E71FD0"/>
    <w:rsid w:val="00E71FDE"/>
    <w:rsid w:val="00E720CA"/>
    <w:rsid w:val="00E720CC"/>
    <w:rsid w:val="00E720FE"/>
    <w:rsid w:val="00E7215D"/>
    <w:rsid w:val="00E72170"/>
    <w:rsid w:val="00E7219C"/>
    <w:rsid w:val="00E7225D"/>
    <w:rsid w:val="00E7228C"/>
    <w:rsid w:val="00E72299"/>
    <w:rsid w:val="00E72308"/>
    <w:rsid w:val="00E7233A"/>
    <w:rsid w:val="00E72343"/>
    <w:rsid w:val="00E72349"/>
    <w:rsid w:val="00E7240C"/>
    <w:rsid w:val="00E7241F"/>
    <w:rsid w:val="00E72466"/>
    <w:rsid w:val="00E7246C"/>
    <w:rsid w:val="00E7246F"/>
    <w:rsid w:val="00E724B9"/>
    <w:rsid w:val="00E724E6"/>
    <w:rsid w:val="00E72522"/>
    <w:rsid w:val="00E7254E"/>
    <w:rsid w:val="00E725A7"/>
    <w:rsid w:val="00E725CD"/>
    <w:rsid w:val="00E725E4"/>
    <w:rsid w:val="00E725F4"/>
    <w:rsid w:val="00E7263F"/>
    <w:rsid w:val="00E7266A"/>
    <w:rsid w:val="00E726E4"/>
    <w:rsid w:val="00E72746"/>
    <w:rsid w:val="00E72760"/>
    <w:rsid w:val="00E727EA"/>
    <w:rsid w:val="00E7282D"/>
    <w:rsid w:val="00E72881"/>
    <w:rsid w:val="00E72883"/>
    <w:rsid w:val="00E72943"/>
    <w:rsid w:val="00E72A1B"/>
    <w:rsid w:val="00E72A96"/>
    <w:rsid w:val="00E72B28"/>
    <w:rsid w:val="00E72B52"/>
    <w:rsid w:val="00E72BCC"/>
    <w:rsid w:val="00E72C0E"/>
    <w:rsid w:val="00E72C1E"/>
    <w:rsid w:val="00E72C4F"/>
    <w:rsid w:val="00E72C58"/>
    <w:rsid w:val="00E72C67"/>
    <w:rsid w:val="00E72CA2"/>
    <w:rsid w:val="00E72CD4"/>
    <w:rsid w:val="00E72D0E"/>
    <w:rsid w:val="00E72DD3"/>
    <w:rsid w:val="00E72DD4"/>
    <w:rsid w:val="00E72E03"/>
    <w:rsid w:val="00E72EA9"/>
    <w:rsid w:val="00E72F2F"/>
    <w:rsid w:val="00E72FDF"/>
    <w:rsid w:val="00E7300A"/>
    <w:rsid w:val="00E730F8"/>
    <w:rsid w:val="00E731CA"/>
    <w:rsid w:val="00E73205"/>
    <w:rsid w:val="00E7320E"/>
    <w:rsid w:val="00E732B3"/>
    <w:rsid w:val="00E732C0"/>
    <w:rsid w:val="00E73376"/>
    <w:rsid w:val="00E733E7"/>
    <w:rsid w:val="00E73463"/>
    <w:rsid w:val="00E73466"/>
    <w:rsid w:val="00E7348F"/>
    <w:rsid w:val="00E734B0"/>
    <w:rsid w:val="00E73565"/>
    <w:rsid w:val="00E73602"/>
    <w:rsid w:val="00E7361C"/>
    <w:rsid w:val="00E73621"/>
    <w:rsid w:val="00E7363A"/>
    <w:rsid w:val="00E73642"/>
    <w:rsid w:val="00E73685"/>
    <w:rsid w:val="00E73694"/>
    <w:rsid w:val="00E73789"/>
    <w:rsid w:val="00E7378B"/>
    <w:rsid w:val="00E737CB"/>
    <w:rsid w:val="00E737EC"/>
    <w:rsid w:val="00E73815"/>
    <w:rsid w:val="00E7381B"/>
    <w:rsid w:val="00E7389C"/>
    <w:rsid w:val="00E7395F"/>
    <w:rsid w:val="00E73969"/>
    <w:rsid w:val="00E7397E"/>
    <w:rsid w:val="00E739B5"/>
    <w:rsid w:val="00E73ABA"/>
    <w:rsid w:val="00E73AD3"/>
    <w:rsid w:val="00E73B13"/>
    <w:rsid w:val="00E73B31"/>
    <w:rsid w:val="00E73B34"/>
    <w:rsid w:val="00E73BA8"/>
    <w:rsid w:val="00E73BC5"/>
    <w:rsid w:val="00E73C18"/>
    <w:rsid w:val="00E73C25"/>
    <w:rsid w:val="00E73C2B"/>
    <w:rsid w:val="00E73C66"/>
    <w:rsid w:val="00E73C7D"/>
    <w:rsid w:val="00E73CDB"/>
    <w:rsid w:val="00E73D18"/>
    <w:rsid w:val="00E73DD5"/>
    <w:rsid w:val="00E73DE7"/>
    <w:rsid w:val="00E73E2A"/>
    <w:rsid w:val="00E73E45"/>
    <w:rsid w:val="00E73E84"/>
    <w:rsid w:val="00E73EC1"/>
    <w:rsid w:val="00E73ED6"/>
    <w:rsid w:val="00E73EDF"/>
    <w:rsid w:val="00E73F6C"/>
    <w:rsid w:val="00E73F6E"/>
    <w:rsid w:val="00E73F93"/>
    <w:rsid w:val="00E73FB0"/>
    <w:rsid w:val="00E73FBB"/>
    <w:rsid w:val="00E740F9"/>
    <w:rsid w:val="00E74159"/>
    <w:rsid w:val="00E7417B"/>
    <w:rsid w:val="00E7418D"/>
    <w:rsid w:val="00E74312"/>
    <w:rsid w:val="00E743B2"/>
    <w:rsid w:val="00E743FF"/>
    <w:rsid w:val="00E74403"/>
    <w:rsid w:val="00E74416"/>
    <w:rsid w:val="00E744AE"/>
    <w:rsid w:val="00E744BF"/>
    <w:rsid w:val="00E744F4"/>
    <w:rsid w:val="00E74539"/>
    <w:rsid w:val="00E745B4"/>
    <w:rsid w:val="00E74613"/>
    <w:rsid w:val="00E74660"/>
    <w:rsid w:val="00E74673"/>
    <w:rsid w:val="00E746D8"/>
    <w:rsid w:val="00E746E3"/>
    <w:rsid w:val="00E746FD"/>
    <w:rsid w:val="00E7471E"/>
    <w:rsid w:val="00E7472E"/>
    <w:rsid w:val="00E747D4"/>
    <w:rsid w:val="00E747DD"/>
    <w:rsid w:val="00E748E2"/>
    <w:rsid w:val="00E74917"/>
    <w:rsid w:val="00E7492C"/>
    <w:rsid w:val="00E7497D"/>
    <w:rsid w:val="00E749AE"/>
    <w:rsid w:val="00E749E2"/>
    <w:rsid w:val="00E749EB"/>
    <w:rsid w:val="00E74A98"/>
    <w:rsid w:val="00E74AA9"/>
    <w:rsid w:val="00E74AB5"/>
    <w:rsid w:val="00E74AFA"/>
    <w:rsid w:val="00E74B0A"/>
    <w:rsid w:val="00E74B0F"/>
    <w:rsid w:val="00E74B16"/>
    <w:rsid w:val="00E74B56"/>
    <w:rsid w:val="00E74B9E"/>
    <w:rsid w:val="00E74C6E"/>
    <w:rsid w:val="00E74CE6"/>
    <w:rsid w:val="00E74CF4"/>
    <w:rsid w:val="00E74D2A"/>
    <w:rsid w:val="00E74DAD"/>
    <w:rsid w:val="00E74E1A"/>
    <w:rsid w:val="00E74E22"/>
    <w:rsid w:val="00E74E29"/>
    <w:rsid w:val="00E74E68"/>
    <w:rsid w:val="00E74EBE"/>
    <w:rsid w:val="00E74EC0"/>
    <w:rsid w:val="00E74EE6"/>
    <w:rsid w:val="00E74F00"/>
    <w:rsid w:val="00E74F6F"/>
    <w:rsid w:val="00E74F9A"/>
    <w:rsid w:val="00E74FFD"/>
    <w:rsid w:val="00E7504D"/>
    <w:rsid w:val="00E75063"/>
    <w:rsid w:val="00E75077"/>
    <w:rsid w:val="00E7516A"/>
    <w:rsid w:val="00E75172"/>
    <w:rsid w:val="00E75184"/>
    <w:rsid w:val="00E751C4"/>
    <w:rsid w:val="00E752BD"/>
    <w:rsid w:val="00E752C5"/>
    <w:rsid w:val="00E753B6"/>
    <w:rsid w:val="00E753F1"/>
    <w:rsid w:val="00E75422"/>
    <w:rsid w:val="00E75442"/>
    <w:rsid w:val="00E7547B"/>
    <w:rsid w:val="00E754AA"/>
    <w:rsid w:val="00E754AD"/>
    <w:rsid w:val="00E75545"/>
    <w:rsid w:val="00E7558D"/>
    <w:rsid w:val="00E755ED"/>
    <w:rsid w:val="00E75694"/>
    <w:rsid w:val="00E756B4"/>
    <w:rsid w:val="00E756CB"/>
    <w:rsid w:val="00E75736"/>
    <w:rsid w:val="00E75779"/>
    <w:rsid w:val="00E75783"/>
    <w:rsid w:val="00E75803"/>
    <w:rsid w:val="00E75805"/>
    <w:rsid w:val="00E7587B"/>
    <w:rsid w:val="00E758C8"/>
    <w:rsid w:val="00E758EB"/>
    <w:rsid w:val="00E75940"/>
    <w:rsid w:val="00E75979"/>
    <w:rsid w:val="00E75A25"/>
    <w:rsid w:val="00E75AB2"/>
    <w:rsid w:val="00E75ACC"/>
    <w:rsid w:val="00E75B48"/>
    <w:rsid w:val="00E75B63"/>
    <w:rsid w:val="00E75B70"/>
    <w:rsid w:val="00E75BB7"/>
    <w:rsid w:val="00E75C25"/>
    <w:rsid w:val="00E75C2E"/>
    <w:rsid w:val="00E75C83"/>
    <w:rsid w:val="00E75CE7"/>
    <w:rsid w:val="00E75CF8"/>
    <w:rsid w:val="00E75D16"/>
    <w:rsid w:val="00E75D7B"/>
    <w:rsid w:val="00E75D92"/>
    <w:rsid w:val="00E75D95"/>
    <w:rsid w:val="00E75E01"/>
    <w:rsid w:val="00E75E61"/>
    <w:rsid w:val="00E75E65"/>
    <w:rsid w:val="00E75E8C"/>
    <w:rsid w:val="00E75EDC"/>
    <w:rsid w:val="00E75F0F"/>
    <w:rsid w:val="00E75F15"/>
    <w:rsid w:val="00E75F7B"/>
    <w:rsid w:val="00E75F92"/>
    <w:rsid w:val="00E75F99"/>
    <w:rsid w:val="00E75FE8"/>
    <w:rsid w:val="00E75FF2"/>
    <w:rsid w:val="00E7602B"/>
    <w:rsid w:val="00E7606C"/>
    <w:rsid w:val="00E76081"/>
    <w:rsid w:val="00E760B4"/>
    <w:rsid w:val="00E760C5"/>
    <w:rsid w:val="00E760DA"/>
    <w:rsid w:val="00E760FA"/>
    <w:rsid w:val="00E7610E"/>
    <w:rsid w:val="00E76193"/>
    <w:rsid w:val="00E761E2"/>
    <w:rsid w:val="00E76203"/>
    <w:rsid w:val="00E7629D"/>
    <w:rsid w:val="00E7629F"/>
    <w:rsid w:val="00E762D0"/>
    <w:rsid w:val="00E7637D"/>
    <w:rsid w:val="00E763A4"/>
    <w:rsid w:val="00E763D6"/>
    <w:rsid w:val="00E76484"/>
    <w:rsid w:val="00E76506"/>
    <w:rsid w:val="00E7654E"/>
    <w:rsid w:val="00E76564"/>
    <w:rsid w:val="00E7656A"/>
    <w:rsid w:val="00E765AC"/>
    <w:rsid w:val="00E76708"/>
    <w:rsid w:val="00E7672B"/>
    <w:rsid w:val="00E76760"/>
    <w:rsid w:val="00E767BB"/>
    <w:rsid w:val="00E767F8"/>
    <w:rsid w:val="00E76819"/>
    <w:rsid w:val="00E76870"/>
    <w:rsid w:val="00E7688B"/>
    <w:rsid w:val="00E768F4"/>
    <w:rsid w:val="00E7692E"/>
    <w:rsid w:val="00E76958"/>
    <w:rsid w:val="00E7695C"/>
    <w:rsid w:val="00E76979"/>
    <w:rsid w:val="00E7697A"/>
    <w:rsid w:val="00E7697F"/>
    <w:rsid w:val="00E769E0"/>
    <w:rsid w:val="00E76A58"/>
    <w:rsid w:val="00E76A6C"/>
    <w:rsid w:val="00E76A7B"/>
    <w:rsid w:val="00E76AA1"/>
    <w:rsid w:val="00E76AB0"/>
    <w:rsid w:val="00E76AC5"/>
    <w:rsid w:val="00E76ADD"/>
    <w:rsid w:val="00E76B49"/>
    <w:rsid w:val="00E76B5B"/>
    <w:rsid w:val="00E76BB5"/>
    <w:rsid w:val="00E76BB9"/>
    <w:rsid w:val="00E76C21"/>
    <w:rsid w:val="00E76CD0"/>
    <w:rsid w:val="00E76D40"/>
    <w:rsid w:val="00E76DCB"/>
    <w:rsid w:val="00E76DF0"/>
    <w:rsid w:val="00E76E19"/>
    <w:rsid w:val="00E76E1E"/>
    <w:rsid w:val="00E76E5C"/>
    <w:rsid w:val="00E76E97"/>
    <w:rsid w:val="00E76EBC"/>
    <w:rsid w:val="00E76ECA"/>
    <w:rsid w:val="00E76EED"/>
    <w:rsid w:val="00E76F85"/>
    <w:rsid w:val="00E76FB3"/>
    <w:rsid w:val="00E76FC1"/>
    <w:rsid w:val="00E77001"/>
    <w:rsid w:val="00E7701B"/>
    <w:rsid w:val="00E770B4"/>
    <w:rsid w:val="00E770C1"/>
    <w:rsid w:val="00E770D8"/>
    <w:rsid w:val="00E77101"/>
    <w:rsid w:val="00E77111"/>
    <w:rsid w:val="00E7712B"/>
    <w:rsid w:val="00E771E8"/>
    <w:rsid w:val="00E77253"/>
    <w:rsid w:val="00E77265"/>
    <w:rsid w:val="00E7728E"/>
    <w:rsid w:val="00E772A3"/>
    <w:rsid w:val="00E772BC"/>
    <w:rsid w:val="00E772E6"/>
    <w:rsid w:val="00E772FA"/>
    <w:rsid w:val="00E7730C"/>
    <w:rsid w:val="00E77357"/>
    <w:rsid w:val="00E7735B"/>
    <w:rsid w:val="00E77369"/>
    <w:rsid w:val="00E773B2"/>
    <w:rsid w:val="00E773C0"/>
    <w:rsid w:val="00E7740C"/>
    <w:rsid w:val="00E7744B"/>
    <w:rsid w:val="00E774AB"/>
    <w:rsid w:val="00E774F8"/>
    <w:rsid w:val="00E774FA"/>
    <w:rsid w:val="00E774FE"/>
    <w:rsid w:val="00E7755D"/>
    <w:rsid w:val="00E77563"/>
    <w:rsid w:val="00E77568"/>
    <w:rsid w:val="00E775A0"/>
    <w:rsid w:val="00E776FD"/>
    <w:rsid w:val="00E77726"/>
    <w:rsid w:val="00E77785"/>
    <w:rsid w:val="00E7779A"/>
    <w:rsid w:val="00E777BD"/>
    <w:rsid w:val="00E777DA"/>
    <w:rsid w:val="00E777F7"/>
    <w:rsid w:val="00E7780C"/>
    <w:rsid w:val="00E7781A"/>
    <w:rsid w:val="00E77834"/>
    <w:rsid w:val="00E778E8"/>
    <w:rsid w:val="00E779D9"/>
    <w:rsid w:val="00E779E5"/>
    <w:rsid w:val="00E779FA"/>
    <w:rsid w:val="00E77A0C"/>
    <w:rsid w:val="00E77A12"/>
    <w:rsid w:val="00E77A4C"/>
    <w:rsid w:val="00E77B1D"/>
    <w:rsid w:val="00E77B36"/>
    <w:rsid w:val="00E77B57"/>
    <w:rsid w:val="00E77B65"/>
    <w:rsid w:val="00E77BC3"/>
    <w:rsid w:val="00E77C1D"/>
    <w:rsid w:val="00E77C28"/>
    <w:rsid w:val="00E77C33"/>
    <w:rsid w:val="00E77C41"/>
    <w:rsid w:val="00E77C71"/>
    <w:rsid w:val="00E77DC1"/>
    <w:rsid w:val="00E77E09"/>
    <w:rsid w:val="00E77E32"/>
    <w:rsid w:val="00E77E46"/>
    <w:rsid w:val="00E77E84"/>
    <w:rsid w:val="00E77EB1"/>
    <w:rsid w:val="00E77EF3"/>
    <w:rsid w:val="00E77FB4"/>
    <w:rsid w:val="00E80039"/>
    <w:rsid w:val="00E8003E"/>
    <w:rsid w:val="00E80072"/>
    <w:rsid w:val="00E800AC"/>
    <w:rsid w:val="00E800DB"/>
    <w:rsid w:val="00E800DD"/>
    <w:rsid w:val="00E80126"/>
    <w:rsid w:val="00E80133"/>
    <w:rsid w:val="00E8013F"/>
    <w:rsid w:val="00E8015B"/>
    <w:rsid w:val="00E801BB"/>
    <w:rsid w:val="00E801F5"/>
    <w:rsid w:val="00E80208"/>
    <w:rsid w:val="00E80333"/>
    <w:rsid w:val="00E80340"/>
    <w:rsid w:val="00E80367"/>
    <w:rsid w:val="00E803CC"/>
    <w:rsid w:val="00E803D7"/>
    <w:rsid w:val="00E8040A"/>
    <w:rsid w:val="00E80432"/>
    <w:rsid w:val="00E80480"/>
    <w:rsid w:val="00E804E9"/>
    <w:rsid w:val="00E80509"/>
    <w:rsid w:val="00E8059B"/>
    <w:rsid w:val="00E8061D"/>
    <w:rsid w:val="00E80690"/>
    <w:rsid w:val="00E806A5"/>
    <w:rsid w:val="00E806E3"/>
    <w:rsid w:val="00E80725"/>
    <w:rsid w:val="00E80744"/>
    <w:rsid w:val="00E808A3"/>
    <w:rsid w:val="00E808BC"/>
    <w:rsid w:val="00E808C4"/>
    <w:rsid w:val="00E808F1"/>
    <w:rsid w:val="00E80948"/>
    <w:rsid w:val="00E809C1"/>
    <w:rsid w:val="00E80A9A"/>
    <w:rsid w:val="00E80B00"/>
    <w:rsid w:val="00E80B0E"/>
    <w:rsid w:val="00E80BDD"/>
    <w:rsid w:val="00E80C5A"/>
    <w:rsid w:val="00E80CF4"/>
    <w:rsid w:val="00E80CF9"/>
    <w:rsid w:val="00E80D2A"/>
    <w:rsid w:val="00E80D6D"/>
    <w:rsid w:val="00E80DBB"/>
    <w:rsid w:val="00E80DDC"/>
    <w:rsid w:val="00E80DEA"/>
    <w:rsid w:val="00E80E06"/>
    <w:rsid w:val="00E80E2B"/>
    <w:rsid w:val="00E80E48"/>
    <w:rsid w:val="00E80E77"/>
    <w:rsid w:val="00E80E89"/>
    <w:rsid w:val="00E80ED3"/>
    <w:rsid w:val="00E80ED9"/>
    <w:rsid w:val="00E80F59"/>
    <w:rsid w:val="00E80FD3"/>
    <w:rsid w:val="00E81077"/>
    <w:rsid w:val="00E8117F"/>
    <w:rsid w:val="00E8119B"/>
    <w:rsid w:val="00E811B3"/>
    <w:rsid w:val="00E811E5"/>
    <w:rsid w:val="00E811F8"/>
    <w:rsid w:val="00E81246"/>
    <w:rsid w:val="00E81286"/>
    <w:rsid w:val="00E812C5"/>
    <w:rsid w:val="00E812D7"/>
    <w:rsid w:val="00E8130B"/>
    <w:rsid w:val="00E813B4"/>
    <w:rsid w:val="00E8140A"/>
    <w:rsid w:val="00E8143F"/>
    <w:rsid w:val="00E81442"/>
    <w:rsid w:val="00E814C1"/>
    <w:rsid w:val="00E814F5"/>
    <w:rsid w:val="00E81524"/>
    <w:rsid w:val="00E81540"/>
    <w:rsid w:val="00E81586"/>
    <w:rsid w:val="00E8158F"/>
    <w:rsid w:val="00E815E1"/>
    <w:rsid w:val="00E81634"/>
    <w:rsid w:val="00E816B4"/>
    <w:rsid w:val="00E816E8"/>
    <w:rsid w:val="00E8174A"/>
    <w:rsid w:val="00E81758"/>
    <w:rsid w:val="00E817AC"/>
    <w:rsid w:val="00E81830"/>
    <w:rsid w:val="00E818DF"/>
    <w:rsid w:val="00E81942"/>
    <w:rsid w:val="00E81A2D"/>
    <w:rsid w:val="00E81AA2"/>
    <w:rsid w:val="00E81B1B"/>
    <w:rsid w:val="00E81B4F"/>
    <w:rsid w:val="00E81B70"/>
    <w:rsid w:val="00E81BD7"/>
    <w:rsid w:val="00E81C21"/>
    <w:rsid w:val="00E81C25"/>
    <w:rsid w:val="00E81C52"/>
    <w:rsid w:val="00E81C8C"/>
    <w:rsid w:val="00E81CA5"/>
    <w:rsid w:val="00E81CB4"/>
    <w:rsid w:val="00E81CC7"/>
    <w:rsid w:val="00E81CF4"/>
    <w:rsid w:val="00E81D4B"/>
    <w:rsid w:val="00E81D6D"/>
    <w:rsid w:val="00E81DA1"/>
    <w:rsid w:val="00E81DA5"/>
    <w:rsid w:val="00E81DB0"/>
    <w:rsid w:val="00E81DEE"/>
    <w:rsid w:val="00E81E10"/>
    <w:rsid w:val="00E81F0C"/>
    <w:rsid w:val="00E81F80"/>
    <w:rsid w:val="00E81FA5"/>
    <w:rsid w:val="00E81FA8"/>
    <w:rsid w:val="00E81FB7"/>
    <w:rsid w:val="00E81FEF"/>
    <w:rsid w:val="00E82138"/>
    <w:rsid w:val="00E82139"/>
    <w:rsid w:val="00E82182"/>
    <w:rsid w:val="00E82201"/>
    <w:rsid w:val="00E8223F"/>
    <w:rsid w:val="00E82248"/>
    <w:rsid w:val="00E82253"/>
    <w:rsid w:val="00E822B4"/>
    <w:rsid w:val="00E82337"/>
    <w:rsid w:val="00E82339"/>
    <w:rsid w:val="00E824B9"/>
    <w:rsid w:val="00E824CE"/>
    <w:rsid w:val="00E824E3"/>
    <w:rsid w:val="00E82544"/>
    <w:rsid w:val="00E8254B"/>
    <w:rsid w:val="00E8267E"/>
    <w:rsid w:val="00E82682"/>
    <w:rsid w:val="00E8268B"/>
    <w:rsid w:val="00E82706"/>
    <w:rsid w:val="00E82715"/>
    <w:rsid w:val="00E8271A"/>
    <w:rsid w:val="00E8274D"/>
    <w:rsid w:val="00E82756"/>
    <w:rsid w:val="00E827BD"/>
    <w:rsid w:val="00E827CC"/>
    <w:rsid w:val="00E827E5"/>
    <w:rsid w:val="00E827E7"/>
    <w:rsid w:val="00E82811"/>
    <w:rsid w:val="00E82976"/>
    <w:rsid w:val="00E829B0"/>
    <w:rsid w:val="00E829BA"/>
    <w:rsid w:val="00E829C6"/>
    <w:rsid w:val="00E82A04"/>
    <w:rsid w:val="00E82A4A"/>
    <w:rsid w:val="00E82A5D"/>
    <w:rsid w:val="00E82A5E"/>
    <w:rsid w:val="00E82A70"/>
    <w:rsid w:val="00E82AAA"/>
    <w:rsid w:val="00E82AE4"/>
    <w:rsid w:val="00E82B25"/>
    <w:rsid w:val="00E82B9A"/>
    <w:rsid w:val="00E82C43"/>
    <w:rsid w:val="00E82CF3"/>
    <w:rsid w:val="00E82D33"/>
    <w:rsid w:val="00E82D5D"/>
    <w:rsid w:val="00E82DA0"/>
    <w:rsid w:val="00E82DA7"/>
    <w:rsid w:val="00E82E32"/>
    <w:rsid w:val="00E82EBF"/>
    <w:rsid w:val="00E82EE1"/>
    <w:rsid w:val="00E82F05"/>
    <w:rsid w:val="00E82F6C"/>
    <w:rsid w:val="00E82FB9"/>
    <w:rsid w:val="00E82FC5"/>
    <w:rsid w:val="00E82FF4"/>
    <w:rsid w:val="00E830FF"/>
    <w:rsid w:val="00E8315E"/>
    <w:rsid w:val="00E831D2"/>
    <w:rsid w:val="00E831FD"/>
    <w:rsid w:val="00E83242"/>
    <w:rsid w:val="00E83259"/>
    <w:rsid w:val="00E8327F"/>
    <w:rsid w:val="00E832B6"/>
    <w:rsid w:val="00E83328"/>
    <w:rsid w:val="00E8337A"/>
    <w:rsid w:val="00E83409"/>
    <w:rsid w:val="00E834CB"/>
    <w:rsid w:val="00E834E1"/>
    <w:rsid w:val="00E834EB"/>
    <w:rsid w:val="00E83506"/>
    <w:rsid w:val="00E8351F"/>
    <w:rsid w:val="00E8355C"/>
    <w:rsid w:val="00E83645"/>
    <w:rsid w:val="00E8365D"/>
    <w:rsid w:val="00E836D5"/>
    <w:rsid w:val="00E8374A"/>
    <w:rsid w:val="00E83792"/>
    <w:rsid w:val="00E837EF"/>
    <w:rsid w:val="00E83837"/>
    <w:rsid w:val="00E8391A"/>
    <w:rsid w:val="00E839A9"/>
    <w:rsid w:val="00E839B9"/>
    <w:rsid w:val="00E83A0C"/>
    <w:rsid w:val="00E83A22"/>
    <w:rsid w:val="00E83A3F"/>
    <w:rsid w:val="00E83A71"/>
    <w:rsid w:val="00E83AEE"/>
    <w:rsid w:val="00E83BB6"/>
    <w:rsid w:val="00E83BE4"/>
    <w:rsid w:val="00E83C3E"/>
    <w:rsid w:val="00E83CC6"/>
    <w:rsid w:val="00E83CFC"/>
    <w:rsid w:val="00E83D7B"/>
    <w:rsid w:val="00E83DF6"/>
    <w:rsid w:val="00E83E0C"/>
    <w:rsid w:val="00E83E1C"/>
    <w:rsid w:val="00E83E73"/>
    <w:rsid w:val="00E83EBD"/>
    <w:rsid w:val="00E83EC3"/>
    <w:rsid w:val="00E83EEC"/>
    <w:rsid w:val="00E83F25"/>
    <w:rsid w:val="00E83F58"/>
    <w:rsid w:val="00E83FC7"/>
    <w:rsid w:val="00E840A1"/>
    <w:rsid w:val="00E8416B"/>
    <w:rsid w:val="00E84171"/>
    <w:rsid w:val="00E84179"/>
    <w:rsid w:val="00E84191"/>
    <w:rsid w:val="00E841F1"/>
    <w:rsid w:val="00E84222"/>
    <w:rsid w:val="00E842C3"/>
    <w:rsid w:val="00E842D0"/>
    <w:rsid w:val="00E84341"/>
    <w:rsid w:val="00E84384"/>
    <w:rsid w:val="00E843CD"/>
    <w:rsid w:val="00E843DB"/>
    <w:rsid w:val="00E8442F"/>
    <w:rsid w:val="00E84440"/>
    <w:rsid w:val="00E8449F"/>
    <w:rsid w:val="00E844A9"/>
    <w:rsid w:val="00E844DA"/>
    <w:rsid w:val="00E84543"/>
    <w:rsid w:val="00E84563"/>
    <w:rsid w:val="00E845E3"/>
    <w:rsid w:val="00E84663"/>
    <w:rsid w:val="00E8467E"/>
    <w:rsid w:val="00E8468F"/>
    <w:rsid w:val="00E846AA"/>
    <w:rsid w:val="00E8475E"/>
    <w:rsid w:val="00E8475F"/>
    <w:rsid w:val="00E847EC"/>
    <w:rsid w:val="00E84810"/>
    <w:rsid w:val="00E8482C"/>
    <w:rsid w:val="00E84835"/>
    <w:rsid w:val="00E84861"/>
    <w:rsid w:val="00E848D5"/>
    <w:rsid w:val="00E848D6"/>
    <w:rsid w:val="00E8492B"/>
    <w:rsid w:val="00E849A1"/>
    <w:rsid w:val="00E849DC"/>
    <w:rsid w:val="00E849EF"/>
    <w:rsid w:val="00E84A5E"/>
    <w:rsid w:val="00E84B0F"/>
    <w:rsid w:val="00E84B36"/>
    <w:rsid w:val="00E84B43"/>
    <w:rsid w:val="00E84B4F"/>
    <w:rsid w:val="00E84BA4"/>
    <w:rsid w:val="00E84BBD"/>
    <w:rsid w:val="00E84BCD"/>
    <w:rsid w:val="00E84BEA"/>
    <w:rsid w:val="00E84C06"/>
    <w:rsid w:val="00E84C38"/>
    <w:rsid w:val="00E84C94"/>
    <w:rsid w:val="00E84D04"/>
    <w:rsid w:val="00E84D8B"/>
    <w:rsid w:val="00E84DBB"/>
    <w:rsid w:val="00E84E0E"/>
    <w:rsid w:val="00E84E1B"/>
    <w:rsid w:val="00E84E1D"/>
    <w:rsid w:val="00E84E5E"/>
    <w:rsid w:val="00E84E95"/>
    <w:rsid w:val="00E84FA6"/>
    <w:rsid w:val="00E84FC4"/>
    <w:rsid w:val="00E84FFA"/>
    <w:rsid w:val="00E85085"/>
    <w:rsid w:val="00E850C9"/>
    <w:rsid w:val="00E850E5"/>
    <w:rsid w:val="00E8514F"/>
    <w:rsid w:val="00E851D1"/>
    <w:rsid w:val="00E852B2"/>
    <w:rsid w:val="00E85301"/>
    <w:rsid w:val="00E8533E"/>
    <w:rsid w:val="00E85347"/>
    <w:rsid w:val="00E85391"/>
    <w:rsid w:val="00E853F2"/>
    <w:rsid w:val="00E853F4"/>
    <w:rsid w:val="00E85453"/>
    <w:rsid w:val="00E85456"/>
    <w:rsid w:val="00E8549A"/>
    <w:rsid w:val="00E854E3"/>
    <w:rsid w:val="00E85553"/>
    <w:rsid w:val="00E855A5"/>
    <w:rsid w:val="00E855CC"/>
    <w:rsid w:val="00E85604"/>
    <w:rsid w:val="00E8563D"/>
    <w:rsid w:val="00E85668"/>
    <w:rsid w:val="00E856BB"/>
    <w:rsid w:val="00E856ED"/>
    <w:rsid w:val="00E85734"/>
    <w:rsid w:val="00E8575A"/>
    <w:rsid w:val="00E85796"/>
    <w:rsid w:val="00E857BD"/>
    <w:rsid w:val="00E857D2"/>
    <w:rsid w:val="00E85806"/>
    <w:rsid w:val="00E85835"/>
    <w:rsid w:val="00E85836"/>
    <w:rsid w:val="00E85841"/>
    <w:rsid w:val="00E8585B"/>
    <w:rsid w:val="00E85864"/>
    <w:rsid w:val="00E85880"/>
    <w:rsid w:val="00E858E1"/>
    <w:rsid w:val="00E85930"/>
    <w:rsid w:val="00E85938"/>
    <w:rsid w:val="00E85995"/>
    <w:rsid w:val="00E85A09"/>
    <w:rsid w:val="00E85A8E"/>
    <w:rsid w:val="00E85AE9"/>
    <w:rsid w:val="00E85B06"/>
    <w:rsid w:val="00E85B0C"/>
    <w:rsid w:val="00E85B1A"/>
    <w:rsid w:val="00E85B58"/>
    <w:rsid w:val="00E85BF3"/>
    <w:rsid w:val="00E85BF7"/>
    <w:rsid w:val="00E85C26"/>
    <w:rsid w:val="00E85C52"/>
    <w:rsid w:val="00E85C85"/>
    <w:rsid w:val="00E85CCC"/>
    <w:rsid w:val="00E85D1F"/>
    <w:rsid w:val="00E85E17"/>
    <w:rsid w:val="00E85E1D"/>
    <w:rsid w:val="00E85E22"/>
    <w:rsid w:val="00E85E4D"/>
    <w:rsid w:val="00E85E5E"/>
    <w:rsid w:val="00E85E6F"/>
    <w:rsid w:val="00E85E72"/>
    <w:rsid w:val="00E85ED3"/>
    <w:rsid w:val="00E85F1D"/>
    <w:rsid w:val="00E8600B"/>
    <w:rsid w:val="00E86094"/>
    <w:rsid w:val="00E860EB"/>
    <w:rsid w:val="00E86173"/>
    <w:rsid w:val="00E861B7"/>
    <w:rsid w:val="00E861BA"/>
    <w:rsid w:val="00E861C3"/>
    <w:rsid w:val="00E8621A"/>
    <w:rsid w:val="00E8623E"/>
    <w:rsid w:val="00E86272"/>
    <w:rsid w:val="00E862FC"/>
    <w:rsid w:val="00E86307"/>
    <w:rsid w:val="00E86310"/>
    <w:rsid w:val="00E86313"/>
    <w:rsid w:val="00E8631F"/>
    <w:rsid w:val="00E86348"/>
    <w:rsid w:val="00E863A1"/>
    <w:rsid w:val="00E863C2"/>
    <w:rsid w:val="00E863D1"/>
    <w:rsid w:val="00E863E6"/>
    <w:rsid w:val="00E86425"/>
    <w:rsid w:val="00E86456"/>
    <w:rsid w:val="00E86498"/>
    <w:rsid w:val="00E864AC"/>
    <w:rsid w:val="00E864E1"/>
    <w:rsid w:val="00E8656B"/>
    <w:rsid w:val="00E8657E"/>
    <w:rsid w:val="00E8659D"/>
    <w:rsid w:val="00E8659F"/>
    <w:rsid w:val="00E865AE"/>
    <w:rsid w:val="00E865AF"/>
    <w:rsid w:val="00E86602"/>
    <w:rsid w:val="00E86603"/>
    <w:rsid w:val="00E866DC"/>
    <w:rsid w:val="00E86710"/>
    <w:rsid w:val="00E86746"/>
    <w:rsid w:val="00E8677A"/>
    <w:rsid w:val="00E8683E"/>
    <w:rsid w:val="00E8686C"/>
    <w:rsid w:val="00E86878"/>
    <w:rsid w:val="00E868C9"/>
    <w:rsid w:val="00E868E4"/>
    <w:rsid w:val="00E86935"/>
    <w:rsid w:val="00E869A8"/>
    <w:rsid w:val="00E869AC"/>
    <w:rsid w:val="00E869B6"/>
    <w:rsid w:val="00E869F2"/>
    <w:rsid w:val="00E86A24"/>
    <w:rsid w:val="00E86A50"/>
    <w:rsid w:val="00E86A73"/>
    <w:rsid w:val="00E86A7F"/>
    <w:rsid w:val="00E86B14"/>
    <w:rsid w:val="00E86B2A"/>
    <w:rsid w:val="00E86B8E"/>
    <w:rsid w:val="00E86BA4"/>
    <w:rsid w:val="00E86BA6"/>
    <w:rsid w:val="00E86C19"/>
    <w:rsid w:val="00E86C5E"/>
    <w:rsid w:val="00E86C7C"/>
    <w:rsid w:val="00E86C8B"/>
    <w:rsid w:val="00E86C9A"/>
    <w:rsid w:val="00E86CB2"/>
    <w:rsid w:val="00E86CD4"/>
    <w:rsid w:val="00E86D05"/>
    <w:rsid w:val="00E86E26"/>
    <w:rsid w:val="00E86E2F"/>
    <w:rsid w:val="00E86E6C"/>
    <w:rsid w:val="00E86ECA"/>
    <w:rsid w:val="00E86FBF"/>
    <w:rsid w:val="00E86FC9"/>
    <w:rsid w:val="00E86FF9"/>
    <w:rsid w:val="00E8702B"/>
    <w:rsid w:val="00E870A9"/>
    <w:rsid w:val="00E870FB"/>
    <w:rsid w:val="00E87162"/>
    <w:rsid w:val="00E8716B"/>
    <w:rsid w:val="00E871A4"/>
    <w:rsid w:val="00E8723A"/>
    <w:rsid w:val="00E8728C"/>
    <w:rsid w:val="00E87297"/>
    <w:rsid w:val="00E87337"/>
    <w:rsid w:val="00E8734D"/>
    <w:rsid w:val="00E87364"/>
    <w:rsid w:val="00E87429"/>
    <w:rsid w:val="00E8752B"/>
    <w:rsid w:val="00E8755C"/>
    <w:rsid w:val="00E87576"/>
    <w:rsid w:val="00E8758C"/>
    <w:rsid w:val="00E875A4"/>
    <w:rsid w:val="00E87604"/>
    <w:rsid w:val="00E87627"/>
    <w:rsid w:val="00E8762F"/>
    <w:rsid w:val="00E87684"/>
    <w:rsid w:val="00E87699"/>
    <w:rsid w:val="00E876CE"/>
    <w:rsid w:val="00E876E8"/>
    <w:rsid w:val="00E877A4"/>
    <w:rsid w:val="00E877BB"/>
    <w:rsid w:val="00E87833"/>
    <w:rsid w:val="00E878B9"/>
    <w:rsid w:val="00E878EC"/>
    <w:rsid w:val="00E878F6"/>
    <w:rsid w:val="00E878F8"/>
    <w:rsid w:val="00E87945"/>
    <w:rsid w:val="00E8794F"/>
    <w:rsid w:val="00E87979"/>
    <w:rsid w:val="00E87983"/>
    <w:rsid w:val="00E8799D"/>
    <w:rsid w:val="00E879AC"/>
    <w:rsid w:val="00E879C2"/>
    <w:rsid w:val="00E879C9"/>
    <w:rsid w:val="00E879FB"/>
    <w:rsid w:val="00E87A09"/>
    <w:rsid w:val="00E87ABC"/>
    <w:rsid w:val="00E87B1A"/>
    <w:rsid w:val="00E87B6B"/>
    <w:rsid w:val="00E87B99"/>
    <w:rsid w:val="00E87BB6"/>
    <w:rsid w:val="00E87C7E"/>
    <w:rsid w:val="00E87CD9"/>
    <w:rsid w:val="00E87D1F"/>
    <w:rsid w:val="00E87D9C"/>
    <w:rsid w:val="00E87DA4"/>
    <w:rsid w:val="00E87DE8"/>
    <w:rsid w:val="00E87E1B"/>
    <w:rsid w:val="00E87E24"/>
    <w:rsid w:val="00E87E35"/>
    <w:rsid w:val="00E87E7E"/>
    <w:rsid w:val="00E87E9E"/>
    <w:rsid w:val="00E87EA0"/>
    <w:rsid w:val="00E87EAE"/>
    <w:rsid w:val="00E87EBE"/>
    <w:rsid w:val="00E87EC8"/>
    <w:rsid w:val="00E87F36"/>
    <w:rsid w:val="00E87FA1"/>
    <w:rsid w:val="00E90056"/>
    <w:rsid w:val="00E9006D"/>
    <w:rsid w:val="00E90072"/>
    <w:rsid w:val="00E9018B"/>
    <w:rsid w:val="00E90253"/>
    <w:rsid w:val="00E902AD"/>
    <w:rsid w:val="00E902B0"/>
    <w:rsid w:val="00E902B7"/>
    <w:rsid w:val="00E902E8"/>
    <w:rsid w:val="00E903C0"/>
    <w:rsid w:val="00E903E8"/>
    <w:rsid w:val="00E903F9"/>
    <w:rsid w:val="00E90428"/>
    <w:rsid w:val="00E9053C"/>
    <w:rsid w:val="00E9054A"/>
    <w:rsid w:val="00E90574"/>
    <w:rsid w:val="00E90634"/>
    <w:rsid w:val="00E90641"/>
    <w:rsid w:val="00E906F6"/>
    <w:rsid w:val="00E906FC"/>
    <w:rsid w:val="00E90763"/>
    <w:rsid w:val="00E90768"/>
    <w:rsid w:val="00E907AC"/>
    <w:rsid w:val="00E9083F"/>
    <w:rsid w:val="00E9087D"/>
    <w:rsid w:val="00E9089F"/>
    <w:rsid w:val="00E908D8"/>
    <w:rsid w:val="00E908FC"/>
    <w:rsid w:val="00E9092D"/>
    <w:rsid w:val="00E909F2"/>
    <w:rsid w:val="00E90A03"/>
    <w:rsid w:val="00E90A27"/>
    <w:rsid w:val="00E90A2E"/>
    <w:rsid w:val="00E90ABB"/>
    <w:rsid w:val="00E90AC7"/>
    <w:rsid w:val="00E90B0F"/>
    <w:rsid w:val="00E90B69"/>
    <w:rsid w:val="00E90B95"/>
    <w:rsid w:val="00E90B96"/>
    <w:rsid w:val="00E90BB9"/>
    <w:rsid w:val="00E90BBF"/>
    <w:rsid w:val="00E90C15"/>
    <w:rsid w:val="00E90C62"/>
    <w:rsid w:val="00E90D4A"/>
    <w:rsid w:val="00E90DD2"/>
    <w:rsid w:val="00E90DEA"/>
    <w:rsid w:val="00E90DED"/>
    <w:rsid w:val="00E90E2F"/>
    <w:rsid w:val="00E90E72"/>
    <w:rsid w:val="00E90F13"/>
    <w:rsid w:val="00E90F19"/>
    <w:rsid w:val="00E90F7A"/>
    <w:rsid w:val="00E91021"/>
    <w:rsid w:val="00E910AC"/>
    <w:rsid w:val="00E91132"/>
    <w:rsid w:val="00E911E5"/>
    <w:rsid w:val="00E911EA"/>
    <w:rsid w:val="00E9132B"/>
    <w:rsid w:val="00E9134E"/>
    <w:rsid w:val="00E91387"/>
    <w:rsid w:val="00E913B8"/>
    <w:rsid w:val="00E913EE"/>
    <w:rsid w:val="00E913F6"/>
    <w:rsid w:val="00E9142E"/>
    <w:rsid w:val="00E91449"/>
    <w:rsid w:val="00E914A3"/>
    <w:rsid w:val="00E914B9"/>
    <w:rsid w:val="00E91551"/>
    <w:rsid w:val="00E91571"/>
    <w:rsid w:val="00E9157E"/>
    <w:rsid w:val="00E91610"/>
    <w:rsid w:val="00E91627"/>
    <w:rsid w:val="00E91666"/>
    <w:rsid w:val="00E916A0"/>
    <w:rsid w:val="00E916B3"/>
    <w:rsid w:val="00E916CB"/>
    <w:rsid w:val="00E916DC"/>
    <w:rsid w:val="00E916FE"/>
    <w:rsid w:val="00E91707"/>
    <w:rsid w:val="00E9173C"/>
    <w:rsid w:val="00E91767"/>
    <w:rsid w:val="00E9184D"/>
    <w:rsid w:val="00E918D4"/>
    <w:rsid w:val="00E918D6"/>
    <w:rsid w:val="00E91904"/>
    <w:rsid w:val="00E91929"/>
    <w:rsid w:val="00E91973"/>
    <w:rsid w:val="00E91996"/>
    <w:rsid w:val="00E919A5"/>
    <w:rsid w:val="00E919EC"/>
    <w:rsid w:val="00E91A1D"/>
    <w:rsid w:val="00E91A34"/>
    <w:rsid w:val="00E91A66"/>
    <w:rsid w:val="00E91AD6"/>
    <w:rsid w:val="00E91B00"/>
    <w:rsid w:val="00E91B02"/>
    <w:rsid w:val="00E91B36"/>
    <w:rsid w:val="00E91B72"/>
    <w:rsid w:val="00E91B91"/>
    <w:rsid w:val="00E91BC6"/>
    <w:rsid w:val="00E91BF0"/>
    <w:rsid w:val="00E91C00"/>
    <w:rsid w:val="00E91C06"/>
    <w:rsid w:val="00E91C1F"/>
    <w:rsid w:val="00E91C7B"/>
    <w:rsid w:val="00E91CA5"/>
    <w:rsid w:val="00E91CB9"/>
    <w:rsid w:val="00E91D63"/>
    <w:rsid w:val="00E91D97"/>
    <w:rsid w:val="00E91E04"/>
    <w:rsid w:val="00E91E26"/>
    <w:rsid w:val="00E91E78"/>
    <w:rsid w:val="00E91ECE"/>
    <w:rsid w:val="00E91F40"/>
    <w:rsid w:val="00E91F50"/>
    <w:rsid w:val="00E91F67"/>
    <w:rsid w:val="00E91F8D"/>
    <w:rsid w:val="00E91FA9"/>
    <w:rsid w:val="00E920D0"/>
    <w:rsid w:val="00E92107"/>
    <w:rsid w:val="00E92117"/>
    <w:rsid w:val="00E92138"/>
    <w:rsid w:val="00E92163"/>
    <w:rsid w:val="00E92189"/>
    <w:rsid w:val="00E92205"/>
    <w:rsid w:val="00E9223D"/>
    <w:rsid w:val="00E9226A"/>
    <w:rsid w:val="00E92287"/>
    <w:rsid w:val="00E922BB"/>
    <w:rsid w:val="00E92310"/>
    <w:rsid w:val="00E92313"/>
    <w:rsid w:val="00E92334"/>
    <w:rsid w:val="00E923C1"/>
    <w:rsid w:val="00E923DC"/>
    <w:rsid w:val="00E92400"/>
    <w:rsid w:val="00E92419"/>
    <w:rsid w:val="00E92456"/>
    <w:rsid w:val="00E9246E"/>
    <w:rsid w:val="00E924B3"/>
    <w:rsid w:val="00E924CA"/>
    <w:rsid w:val="00E924E3"/>
    <w:rsid w:val="00E92501"/>
    <w:rsid w:val="00E92510"/>
    <w:rsid w:val="00E92513"/>
    <w:rsid w:val="00E92541"/>
    <w:rsid w:val="00E92555"/>
    <w:rsid w:val="00E9258D"/>
    <w:rsid w:val="00E925A7"/>
    <w:rsid w:val="00E925DB"/>
    <w:rsid w:val="00E925F3"/>
    <w:rsid w:val="00E92646"/>
    <w:rsid w:val="00E9265D"/>
    <w:rsid w:val="00E926EF"/>
    <w:rsid w:val="00E92733"/>
    <w:rsid w:val="00E92770"/>
    <w:rsid w:val="00E927C7"/>
    <w:rsid w:val="00E927CC"/>
    <w:rsid w:val="00E927E3"/>
    <w:rsid w:val="00E9281D"/>
    <w:rsid w:val="00E9282E"/>
    <w:rsid w:val="00E92854"/>
    <w:rsid w:val="00E92880"/>
    <w:rsid w:val="00E928FE"/>
    <w:rsid w:val="00E9291D"/>
    <w:rsid w:val="00E92940"/>
    <w:rsid w:val="00E9296C"/>
    <w:rsid w:val="00E92A03"/>
    <w:rsid w:val="00E92B95"/>
    <w:rsid w:val="00E92C62"/>
    <w:rsid w:val="00E92C99"/>
    <w:rsid w:val="00E92CBA"/>
    <w:rsid w:val="00E92CDB"/>
    <w:rsid w:val="00E92CEF"/>
    <w:rsid w:val="00E92D48"/>
    <w:rsid w:val="00E92D76"/>
    <w:rsid w:val="00E92D8A"/>
    <w:rsid w:val="00E92DCD"/>
    <w:rsid w:val="00E92EB1"/>
    <w:rsid w:val="00E92EDB"/>
    <w:rsid w:val="00E92EFC"/>
    <w:rsid w:val="00E92F35"/>
    <w:rsid w:val="00E92F3C"/>
    <w:rsid w:val="00E92FB9"/>
    <w:rsid w:val="00E92FD6"/>
    <w:rsid w:val="00E92FDE"/>
    <w:rsid w:val="00E9302C"/>
    <w:rsid w:val="00E93035"/>
    <w:rsid w:val="00E930C9"/>
    <w:rsid w:val="00E930CE"/>
    <w:rsid w:val="00E9310A"/>
    <w:rsid w:val="00E93115"/>
    <w:rsid w:val="00E93142"/>
    <w:rsid w:val="00E93194"/>
    <w:rsid w:val="00E931A4"/>
    <w:rsid w:val="00E93204"/>
    <w:rsid w:val="00E93232"/>
    <w:rsid w:val="00E932BD"/>
    <w:rsid w:val="00E932F2"/>
    <w:rsid w:val="00E933F3"/>
    <w:rsid w:val="00E933FC"/>
    <w:rsid w:val="00E9341A"/>
    <w:rsid w:val="00E9345C"/>
    <w:rsid w:val="00E93471"/>
    <w:rsid w:val="00E934B3"/>
    <w:rsid w:val="00E93547"/>
    <w:rsid w:val="00E9354B"/>
    <w:rsid w:val="00E935C5"/>
    <w:rsid w:val="00E935FA"/>
    <w:rsid w:val="00E9367E"/>
    <w:rsid w:val="00E936E6"/>
    <w:rsid w:val="00E9375C"/>
    <w:rsid w:val="00E9376C"/>
    <w:rsid w:val="00E9377B"/>
    <w:rsid w:val="00E93798"/>
    <w:rsid w:val="00E937CA"/>
    <w:rsid w:val="00E937E9"/>
    <w:rsid w:val="00E937F5"/>
    <w:rsid w:val="00E9388C"/>
    <w:rsid w:val="00E938D8"/>
    <w:rsid w:val="00E93921"/>
    <w:rsid w:val="00E93940"/>
    <w:rsid w:val="00E9394F"/>
    <w:rsid w:val="00E93A32"/>
    <w:rsid w:val="00E93AB5"/>
    <w:rsid w:val="00E93AB6"/>
    <w:rsid w:val="00E93B5B"/>
    <w:rsid w:val="00E93B85"/>
    <w:rsid w:val="00E93BC5"/>
    <w:rsid w:val="00E93BC6"/>
    <w:rsid w:val="00E93BF1"/>
    <w:rsid w:val="00E93C6C"/>
    <w:rsid w:val="00E93CCA"/>
    <w:rsid w:val="00E93DBC"/>
    <w:rsid w:val="00E93DC8"/>
    <w:rsid w:val="00E93DEF"/>
    <w:rsid w:val="00E93E10"/>
    <w:rsid w:val="00E93E1B"/>
    <w:rsid w:val="00E93EAD"/>
    <w:rsid w:val="00E93F19"/>
    <w:rsid w:val="00E93F69"/>
    <w:rsid w:val="00E93FA0"/>
    <w:rsid w:val="00E940EE"/>
    <w:rsid w:val="00E940FB"/>
    <w:rsid w:val="00E94195"/>
    <w:rsid w:val="00E9419B"/>
    <w:rsid w:val="00E941D1"/>
    <w:rsid w:val="00E94260"/>
    <w:rsid w:val="00E94278"/>
    <w:rsid w:val="00E943BC"/>
    <w:rsid w:val="00E943C7"/>
    <w:rsid w:val="00E94431"/>
    <w:rsid w:val="00E94484"/>
    <w:rsid w:val="00E944A4"/>
    <w:rsid w:val="00E944C7"/>
    <w:rsid w:val="00E944D6"/>
    <w:rsid w:val="00E9453A"/>
    <w:rsid w:val="00E9455E"/>
    <w:rsid w:val="00E94653"/>
    <w:rsid w:val="00E946CB"/>
    <w:rsid w:val="00E94702"/>
    <w:rsid w:val="00E94709"/>
    <w:rsid w:val="00E9472D"/>
    <w:rsid w:val="00E9477E"/>
    <w:rsid w:val="00E947DA"/>
    <w:rsid w:val="00E9486C"/>
    <w:rsid w:val="00E948B2"/>
    <w:rsid w:val="00E94921"/>
    <w:rsid w:val="00E94928"/>
    <w:rsid w:val="00E9497C"/>
    <w:rsid w:val="00E949DE"/>
    <w:rsid w:val="00E949EC"/>
    <w:rsid w:val="00E949F7"/>
    <w:rsid w:val="00E94A8B"/>
    <w:rsid w:val="00E94AD2"/>
    <w:rsid w:val="00E94AEC"/>
    <w:rsid w:val="00E94B2B"/>
    <w:rsid w:val="00E94B77"/>
    <w:rsid w:val="00E94C41"/>
    <w:rsid w:val="00E94C4A"/>
    <w:rsid w:val="00E94C68"/>
    <w:rsid w:val="00E94CC3"/>
    <w:rsid w:val="00E94CDF"/>
    <w:rsid w:val="00E94D0F"/>
    <w:rsid w:val="00E94DB5"/>
    <w:rsid w:val="00E94DF3"/>
    <w:rsid w:val="00E94E9A"/>
    <w:rsid w:val="00E94ED0"/>
    <w:rsid w:val="00E94EDB"/>
    <w:rsid w:val="00E94FBD"/>
    <w:rsid w:val="00E94FE7"/>
    <w:rsid w:val="00E950B6"/>
    <w:rsid w:val="00E950C3"/>
    <w:rsid w:val="00E950DD"/>
    <w:rsid w:val="00E950FB"/>
    <w:rsid w:val="00E95115"/>
    <w:rsid w:val="00E95126"/>
    <w:rsid w:val="00E951A9"/>
    <w:rsid w:val="00E951E6"/>
    <w:rsid w:val="00E95210"/>
    <w:rsid w:val="00E9526D"/>
    <w:rsid w:val="00E9529B"/>
    <w:rsid w:val="00E952DC"/>
    <w:rsid w:val="00E9532A"/>
    <w:rsid w:val="00E9533F"/>
    <w:rsid w:val="00E95341"/>
    <w:rsid w:val="00E95389"/>
    <w:rsid w:val="00E9539A"/>
    <w:rsid w:val="00E953B5"/>
    <w:rsid w:val="00E953F2"/>
    <w:rsid w:val="00E95438"/>
    <w:rsid w:val="00E95486"/>
    <w:rsid w:val="00E954DC"/>
    <w:rsid w:val="00E954EF"/>
    <w:rsid w:val="00E9550C"/>
    <w:rsid w:val="00E9551F"/>
    <w:rsid w:val="00E9553C"/>
    <w:rsid w:val="00E95562"/>
    <w:rsid w:val="00E955F7"/>
    <w:rsid w:val="00E95617"/>
    <w:rsid w:val="00E95657"/>
    <w:rsid w:val="00E956D1"/>
    <w:rsid w:val="00E95743"/>
    <w:rsid w:val="00E9579C"/>
    <w:rsid w:val="00E957C8"/>
    <w:rsid w:val="00E957CD"/>
    <w:rsid w:val="00E957D5"/>
    <w:rsid w:val="00E9580A"/>
    <w:rsid w:val="00E95820"/>
    <w:rsid w:val="00E9582C"/>
    <w:rsid w:val="00E95865"/>
    <w:rsid w:val="00E95871"/>
    <w:rsid w:val="00E958AC"/>
    <w:rsid w:val="00E958AD"/>
    <w:rsid w:val="00E958AE"/>
    <w:rsid w:val="00E95908"/>
    <w:rsid w:val="00E9593F"/>
    <w:rsid w:val="00E95942"/>
    <w:rsid w:val="00E95961"/>
    <w:rsid w:val="00E9596C"/>
    <w:rsid w:val="00E95A1D"/>
    <w:rsid w:val="00E95A2E"/>
    <w:rsid w:val="00E95A30"/>
    <w:rsid w:val="00E95A38"/>
    <w:rsid w:val="00E95A79"/>
    <w:rsid w:val="00E95A7E"/>
    <w:rsid w:val="00E95AEC"/>
    <w:rsid w:val="00E95B64"/>
    <w:rsid w:val="00E95B6A"/>
    <w:rsid w:val="00E95BBA"/>
    <w:rsid w:val="00E95C64"/>
    <w:rsid w:val="00E95D17"/>
    <w:rsid w:val="00E95DD9"/>
    <w:rsid w:val="00E95E2C"/>
    <w:rsid w:val="00E95E6D"/>
    <w:rsid w:val="00E95ED4"/>
    <w:rsid w:val="00E95EEE"/>
    <w:rsid w:val="00E95F27"/>
    <w:rsid w:val="00E95F3F"/>
    <w:rsid w:val="00E95F81"/>
    <w:rsid w:val="00E95FAB"/>
    <w:rsid w:val="00E95FDD"/>
    <w:rsid w:val="00E9603B"/>
    <w:rsid w:val="00E960C8"/>
    <w:rsid w:val="00E960CF"/>
    <w:rsid w:val="00E96136"/>
    <w:rsid w:val="00E961C3"/>
    <w:rsid w:val="00E96259"/>
    <w:rsid w:val="00E96267"/>
    <w:rsid w:val="00E96354"/>
    <w:rsid w:val="00E9637C"/>
    <w:rsid w:val="00E963A8"/>
    <w:rsid w:val="00E963AE"/>
    <w:rsid w:val="00E963CB"/>
    <w:rsid w:val="00E963CC"/>
    <w:rsid w:val="00E963D2"/>
    <w:rsid w:val="00E963FB"/>
    <w:rsid w:val="00E963FF"/>
    <w:rsid w:val="00E96429"/>
    <w:rsid w:val="00E9644A"/>
    <w:rsid w:val="00E964E2"/>
    <w:rsid w:val="00E964FA"/>
    <w:rsid w:val="00E9656B"/>
    <w:rsid w:val="00E965BA"/>
    <w:rsid w:val="00E9665F"/>
    <w:rsid w:val="00E9668F"/>
    <w:rsid w:val="00E966DB"/>
    <w:rsid w:val="00E96705"/>
    <w:rsid w:val="00E96759"/>
    <w:rsid w:val="00E96762"/>
    <w:rsid w:val="00E967D2"/>
    <w:rsid w:val="00E967F0"/>
    <w:rsid w:val="00E96845"/>
    <w:rsid w:val="00E96848"/>
    <w:rsid w:val="00E9685E"/>
    <w:rsid w:val="00E968CD"/>
    <w:rsid w:val="00E9692F"/>
    <w:rsid w:val="00E96A40"/>
    <w:rsid w:val="00E96A64"/>
    <w:rsid w:val="00E96A67"/>
    <w:rsid w:val="00E96A7A"/>
    <w:rsid w:val="00E96B00"/>
    <w:rsid w:val="00E96B21"/>
    <w:rsid w:val="00E96B59"/>
    <w:rsid w:val="00E96BB2"/>
    <w:rsid w:val="00E96BC3"/>
    <w:rsid w:val="00E96BC8"/>
    <w:rsid w:val="00E96D1F"/>
    <w:rsid w:val="00E96D74"/>
    <w:rsid w:val="00E96D96"/>
    <w:rsid w:val="00E96DE3"/>
    <w:rsid w:val="00E96DEE"/>
    <w:rsid w:val="00E96E74"/>
    <w:rsid w:val="00E96F2F"/>
    <w:rsid w:val="00E96F3D"/>
    <w:rsid w:val="00E96FB2"/>
    <w:rsid w:val="00E970A3"/>
    <w:rsid w:val="00E970E5"/>
    <w:rsid w:val="00E97115"/>
    <w:rsid w:val="00E9716D"/>
    <w:rsid w:val="00E97170"/>
    <w:rsid w:val="00E971E3"/>
    <w:rsid w:val="00E971F1"/>
    <w:rsid w:val="00E97266"/>
    <w:rsid w:val="00E97327"/>
    <w:rsid w:val="00E97355"/>
    <w:rsid w:val="00E97450"/>
    <w:rsid w:val="00E97462"/>
    <w:rsid w:val="00E9747A"/>
    <w:rsid w:val="00E97490"/>
    <w:rsid w:val="00E974EF"/>
    <w:rsid w:val="00E975C0"/>
    <w:rsid w:val="00E975D1"/>
    <w:rsid w:val="00E975FC"/>
    <w:rsid w:val="00E97630"/>
    <w:rsid w:val="00E97696"/>
    <w:rsid w:val="00E97735"/>
    <w:rsid w:val="00E97770"/>
    <w:rsid w:val="00E9778F"/>
    <w:rsid w:val="00E977A2"/>
    <w:rsid w:val="00E978B7"/>
    <w:rsid w:val="00E978D2"/>
    <w:rsid w:val="00E979AC"/>
    <w:rsid w:val="00E979CF"/>
    <w:rsid w:val="00E97A40"/>
    <w:rsid w:val="00E97A57"/>
    <w:rsid w:val="00E97A72"/>
    <w:rsid w:val="00E97A98"/>
    <w:rsid w:val="00E97B29"/>
    <w:rsid w:val="00E97B5D"/>
    <w:rsid w:val="00E97B66"/>
    <w:rsid w:val="00E97BFF"/>
    <w:rsid w:val="00E97C6F"/>
    <w:rsid w:val="00E97CD7"/>
    <w:rsid w:val="00E97D06"/>
    <w:rsid w:val="00E97D08"/>
    <w:rsid w:val="00E97DA9"/>
    <w:rsid w:val="00E97DFA"/>
    <w:rsid w:val="00E97E32"/>
    <w:rsid w:val="00E97E37"/>
    <w:rsid w:val="00E97E4D"/>
    <w:rsid w:val="00E97EC0"/>
    <w:rsid w:val="00E97EF2"/>
    <w:rsid w:val="00E97F6C"/>
    <w:rsid w:val="00E97F71"/>
    <w:rsid w:val="00EA002C"/>
    <w:rsid w:val="00EA002D"/>
    <w:rsid w:val="00EA0066"/>
    <w:rsid w:val="00EA0090"/>
    <w:rsid w:val="00EA00BC"/>
    <w:rsid w:val="00EA00D0"/>
    <w:rsid w:val="00EA015F"/>
    <w:rsid w:val="00EA01B3"/>
    <w:rsid w:val="00EA01D9"/>
    <w:rsid w:val="00EA01FD"/>
    <w:rsid w:val="00EA0204"/>
    <w:rsid w:val="00EA0244"/>
    <w:rsid w:val="00EA026D"/>
    <w:rsid w:val="00EA028E"/>
    <w:rsid w:val="00EA029A"/>
    <w:rsid w:val="00EA02C0"/>
    <w:rsid w:val="00EA02EB"/>
    <w:rsid w:val="00EA032E"/>
    <w:rsid w:val="00EA03D5"/>
    <w:rsid w:val="00EA0446"/>
    <w:rsid w:val="00EA0458"/>
    <w:rsid w:val="00EA04B0"/>
    <w:rsid w:val="00EA04C1"/>
    <w:rsid w:val="00EA04D0"/>
    <w:rsid w:val="00EA051B"/>
    <w:rsid w:val="00EA057B"/>
    <w:rsid w:val="00EA0586"/>
    <w:rsid w:val="00EA0617"/>
    <w:rsid w:val="00EA069A"/>
    <w:rsid w:val="00EA06C6"/>
    <w:rsid w:val="00EA0723"/>
    <w:rsid w:val="00EA0741"/>
    <w:rsid w:val="00EA074D"/>
    <w:rsid w:val="00EA076D"/>
    <w:rsid w:val="00EA078C"/>
    <w:rsid w:val="00EA0858"/>
    <w:rsid w:val="00EA0886"/>
    <w:rsid w:val="00EA089C"/>
    <w:rsid w:val="00EA092B"/>
    <w:rsid w:val="00EA0935"/>
    <w:rsid w:val="00EA0954"/>
    <w:rsid w:val="00EA0978"/>
    <w:rsid w:val="00EA0981"/>
    <w:rsid w:val="00EA09C4"/>
    <w:rsid w:val="00EA0A3A"/>
    <w:rsid w:val="00EA0A99"/>
    <w:rsid w:val="00EA0A9B"/>
    <w:rsid w:val="00EA0AA6"/>
    <w:rsid w:val="00EA0AA9"/>
    <w:rsid w:val="00EA0AB8"/>
    <w:rsid w:val="00EA0AF3"/>
    <w:rsid w:val="00EA0B3E"/>
    <w:rsid w:val="00EA0B72"/>
    <w:rsid w:val="00EA0B88"/>
    <w:rsid w:val="00EA0BF4"/>
    <w:rsid w:val="00EA0C74"/>
    <w:rsid w:val="00EA0CBB"/>
    <w:rsid w:val="00EA0CE5"/>
    <w:rsid w:val="00EA0D5C"/>
    <w:rsid w:val="00EA0DA8"/>
    <w:rsid w:val="00EA0DC7"/>
    <w:rsid w:val="00EA0E54"/>
    <w:rsid w:val="00EA0E70"/>
    <w:rsid w:val="00EA0E7A"/>
    <w:rsid w:val="00EA0EC9"/>
    <w:rsid w:val="00EA10BF"/>
    <w:rsid w:val="00EA10C7"/>
    <w:rsid w:val="00EA10F1"/>
    <w:rsid w:val="00EA1107"/>
    <w:rsid w:val="00EA116A"/>
    <w:rsid w:val="00EA11A9"/>
    <w:rsid w:val="00EA12A1"/>
    <w:rsid w:val="00EA12E8"/>
    <w:rsid w:val="00EA130F"/>
    <w:rsid w:val="00EA1327"/>
    <w:rsid w:val="00EA1357"/>
    <w:rsid w:val="00EA1386"/>
    <w:rsid w:val="00EA13DD"/>
    <w:rsid w:val="00EA140C"/>
    <w:rsid w:val="00EA1421"/>
    <w:rsid w:val="00EA1441"/>
    <w:rsid w:val="00EA14AA"/>
    <w:rsid w:val="00EA1540"/>
    <w:rsid w:val="00EA1552"/>
    <w:rsid w:val="00EA156F"/>
    <w:rsid w:val="00EA157E"/>
    <w:rsid w:val="00EA160C"/>
    <w:rsid w:val="00EA165C"/>
    <w:rsid w:val="00EA1668"/>
    <w:rsid w:val="00EA1686"/>
    <w:rsid w:val="00EA173F"/>
    <w:rsid w:val="00EA1746"/>
    <w:rsid w:val="00EA1754"/>
    <w:rsid w:val="00EA1767"/>
    <w:rsid w:val="00EA17A3"/>
    <w:rsid w:val="00EA17F9"/>
    <w:rsid w:val="00EA1803"/>
    <w:rsid w:val="00EA181D"/>
    <w:rsid w:val="00EA1830"/>
    <w:rsid w:val="00EA187D"/>
    <w:rsid w:val="00EA1899"/>
    <w:rsid w:val="00EA18A8"/>
    <w:rsid w:val="00EA18D2"/>
    <w:rsid w:val="00EA18E9"/>
    <w:rsid w:val="00EA18F2"/>
    <w:rsid w:val="00EA1903"/>
    <w:rsid w:val="00EA190E"/>
    <w:rsid w:val="00EA1913"/>
    <w:rsid w:val="00EA1949"/>
    <w:rsid w:val="00EA197F"/>
    <w:rsid w:val="00EA19A4"/>
    <w:rsid w:val="00EA19E9"/>
    <w:rsid w:val="00EA1A15"/>
    <w:rsid w:val="00EA1A35"/>
    <w:rsid w:val="00EA1ADC"/>
    <w:rsid w:val="00EA1AF6"/>
    <w:rsid w:val="00EA1B5A"/>
    <w:rsid w:val="00EA1C0D"/>
    <w:rsid w:val="00EA1D68"/>
    <w:rsid w:val="00EA1D8E"/>
    <w:rsid w:val="00EA1DDE"/>
    <w:rsid w:val="00EA1E27"/>
    <w:rsid w:val="00EA1E68"/>
    <w:rsid w:val="00EA1EA7"/>
    <w:rsid w:val="00EA1EBB"/>
    <w:rsid w:val="00EA1ECE"/>
    <w:rsid w:val="00EA1ED0"/>
    <w:rsid w:val="00EA1F50"/>
    <w:rsid w:val="00EA2072"/>
    <w:rsid w:val="00EA20B8"/>
    <w:rsid w:val="00EA20ED"/>
    <w:rsid w:val="00EA216E"/>
    <w:rsid w:val="00EA21D5"/>
    <w:rsid w:val="00EA21D9"/>
    <w:rsid w:val="00EA21DE"/>
    <w:rsid w:val="00EA220F"/>
    <w:rsid w:val="00EA222C"/>
    <w:rsid w:val="00EA2288"/>
    <w:rsid w:val="00EA228E"/>
    <w:rsid w:val="00EA22B6"/>
    <w:rsid w:val="00EA22E4"/>
    <w:rsid w:val="00EA22F7"/>
    <w:rsid w:val="00EA2363"/>
    <w:rsid w:val="00EA23A4"/>
    <w:rsid w:val="00EA23AC"/>
    <w:rsid w:val="00EA2410"/>
    <w:rsid w:val="00EA2439"/>
    <w:rsid w:val="00EA2478"/>
    <w:rsid w:val="00EA249A"/>
    <w:rsid w:val="00EA24D9"/>
    <w:rsid w:val="00EA2541"/>
    <w:rsid w:val="00EA2552"/>
    <w:rsid w:val="00EA2565"/>
    <w:rsid w:val="00EA2577"/>
    <w:rsid w:val="00EA25CC"/>
    <w:rsid w:val="00EA25ED"/>
    <w:rsid w:val="00EA2614"/>
    <w:rsid w:val="00EA2662"/>
    <w:rsid w:val="00EA267F"/>
    <w:rsid w:val="00EA2727"/>
    <w:rsid w:val="00EA272C"/>
    <w:rsid w:val="00EA272D"/>
    <w:rsid w:val="00EA2792"/>
    <w:rsid w:val="00EA27AF"/>
    <w:rsid w:val="00EA27B4"/>
    <w:rsid w:val="00EA27B9"/>
    <w:rsid w:val="00EA2816"/>
    <w:rsid w:val="00EA2823"/>
    <w:rsid w:val="00EA2872"/>
    <w:rsid w:val="00EA28DD"/>
    <w:rsid w:val="00EA28E6"/>
    <w:rsid w:val="00EA291B"/>
    <w:rsid w:val="00EA291D"/>
    <w:rsid w:val="00EA2933"/>
    <w:rsid w:val="00EA294C"/>
    <w:rsid w:val="00EA298C"/>
    <w:rsid w:val="00EA29A2"/>
    <w:rsid w:val="00EA29DA"/>
    <w:rsid w:val="00EA2A35"/>
    <w:rsid w:val="00EA2A4B"/>
    <w:rsid w:val="00EA2A63"/>
    <w:rsid w:val="00EA2A7F"/>
    <w:rsid w:val="00EA2A85"/>
    <w:rsid w:val="00EA2A9C"/>
    <w:rsid w:val="00EA2B22"/>
    <w:rsid w:val="00EA2BF4"/>
    <w:rsid w:val="00EA2C3A"/>
    <w:rsid w:val="00EA2C47"/>
    <w:rsid w:val="00EA2CC1"/>
    <w:rsid w:val="00EA2CFC"/>
    <w:rsid w:val="00EA2D2F"/>
    <w:rsid w:val="00EA2D7A"/>
    <w:rsid w:val="00EA2D9B"/>
    <w:rsid w:val="00EA2DB6"/>
    <w:rsid w:val="00EA2DF0"/>
    <w:rsid w:val="00EA2E83"/>
    <w:rsid w:val="00EA2EE4"/>
    <w:rsid w:val="00EA2EF4"/>
    <w:rsid w:val="00EA2F91"/>
    <w:rsid w:val="00EA2FA5"/>
    <w:rsid w:val="00EA2FFE"/>
    <w:rsid w:val="00EA3003"/>
    <w:rsid w:val="00EA3033"/>
    <w:rsid w:val="00EA3051"/>
    <w:rsid w:val="00EA30A0"/>
    <w:rsid w:val="00EA30DA"/>
    <w:rsid w:val="00EA30E0"/>
    <w:rsid w:val="00EA315B"/>
    <w:rsid w:val="00EA320A"/>
    <w:rsid w:val="00EA3257"/>
    <w:rsid w:val="00EA32CA"/>
    <w:rsid w:val="00EA32E9"/>
    <w:rsid w:val="00EA331C"/>
    <w:rsid w:val="00EA33BA"/>
    <w:rsid w:val="00EA33C5"/>
    <w:rsid w:val="00EA33C9"/>
    <w:rsid w:val="00EA33DA"/>
    <w:rsid w:val="00EA33E9"/>
    <w:rsid w:val="00EA347F"/>
    <w:rsid w:val="00EA34AA"/>
    <w:rsid w:val="00EA34AF"/>
    <w:rsid w:val="00EA34F6"/>
    <w:rsid w:val="00EA3530"/>
    <w:rsid w:val="00EA3548"/>
    <w:rsid w:val="00EA35AD"/>
    <w:rsid w:val="00EA3605"/>
    <w:rsid w:val="00EA3619"/>
    <w:rsid w:val="00EA361F"/>
    <w:rsid w:val="00EA36A3"/>
    <w:rsid w:val="00EA36BF"/>
    <w:rsid w:val="00EA372E"/>
    <w:rsid w:val="00EA379A"/>
    <w:rsid w:val="00EA37AA"/>
    <w:rsid w:val="00EA3850"/>
    <w:rsid w:val="00EA389C"/>
    <w:rsid w:val="00EA38BC"/>
    <w:rsid w:val="00EA38D8"/>
    <w:rsid w:val="00EA38FF"/>
    <w:rsid w:val="00EA3953"/>
    <w:rsid w:val="00EA395B"/>
    <w:rsid w:val="00EA396D"/>
    <w:rsid w:val="00EA399C"/>
    <w:rsid w:val="00EA39DC"/>
    <w:rsid w:val="00EA3ACC"/>
    <w:rsid w:val="00EA3AD1"/>
    <w:rsid w:val="00EA3B06"/>
    <w:rsid w:val="00EA3B2C"/>
    <w:rsid w:val="00EA3B5F"/>
    <w:rsid w:val="00EA3B6A"/>
    <w:rsid w:val="00EA3B9A"/>
    <w:rsid w:val="00EA3C14"/>
    <w:rsid w:val="00EA3C28"/>
    <w:rsid w:val="00EA3C60"/>
    <w:rsid w:val="00EA3C68"/>
    <w:rsid w:val="00EA3C82"/>
    <w:rsid w:val="00EA3D01"/>
    <w:rsid w:val="00EA3D06"/>
    <w:rsid w:val="00EA3D09"/>
    <w:rsid w:val="00EA3D46"/>
    <w:rsid w:val="00EA3D54"/>
    <w:rsid w:val="00EA3DA7"/>
    <w:rsid w:val="00EA3DC0"/>
    <w:rsid w:val="00EA3DC8"/>
    <w:rsid w:val="00EA3E03"/>
    <w:rsid w:val="00EA3E73"/>
    <w:rsid w:val="00EA3F2A"/>
    <w:rsid w:val="00EA3F58"/>
    <w:rsid w:val="00EA4006"/>
    <w:rsid w:val="00EA4016"/>
    <w:rsid w:val="00EA403D"/>
    <w:rsid w:val="00EA403E"/>
    <w:rsid w:val="00EA4041"/>
    <w:rsid w:val="00EA4079"/>
    <w:rsid w:val="00EA4094"/>
    <w:rsid w:val="00EA40CC"/>
    <w:rsid w:val="00EA40DB"/>
    <w:rsid w:val="00EA4121"/>
    <w:rsid w:val="00EA4135"/>
    <w:rsid w:val="00EA414A"/>
    <w:rsid w:val="00EA41D9"/>
    <w:rsid w:val="00EA41F5"/>
    <w:rsid w:val="00EA4224"/>
    <w:rsid w:val="00EA4276"/>
    <w:rsid w:val="00EA42D7"/>
    <w:rsid w:val="00EA4308"/>
    <w:rsid w:val="00EA4388"/>
    <w:rsid w:val="00EA43DE"/>
    <w:rsid w:val="00EA43E9"/>
    <w:rsid w:val="00EA4463"/>
    <w:rsid w:val="00EA44BD"/>
    <w:rsid w:val="00EA4514"/>
    <w:rsid w:val="00EA45A4"/>
    <w:rsid w:val="00EA45AC"/>
    <w:rsid w:val="00EA45D8"/>
    <w:rsid w:val="00EA461D"/>
    <w:rsid w:val="00EA46AD"/>
    <w:rsid w:val="00EA4723"/>
    <w:rsid w:val="00EA476C"/>
    <w:rsid w:val="00EA477C"/>
    <w:rsid w:val="00EA4791"/>
    <w:rsid w:val="00EA47BF"/>
    <w:rsid w:val="00EA47CE"/>
    <w:rsid w:val="00EA47F0"/>
    <w:rsid w:val="00EA4892"/>
    <w:rsid w:val="00EA48C0"/>
    <w:rsid w:val="00EA48D4"/>
    <w:rsid w:val="00EA48DB"/>
    <w:rsid w:val="00EA4916"/>
    <w:rsid w:val="00EA4923"/>
    <w:rsid w:val="00EA496D"/>
    <w:rsid w:val="00EA49B7"/>
    <w:rsid w:val="00EA4A3A"/>
    <w:rsid w:val="00EA4A51"/>
    <w:rsid w:val="00EA4A71"/>
    <w:rsid w:val="00EA4ADD"/>
    <w:rsid w:val="00EA4B4C"/>
    <w:rsid w:val="00EA4B58"/>
    <w:rsid w:val="00EA4B5E"/>
    <w:rsid w:val="00EA4B70"/>
    <w:rsid w:val="00EA4B75"/>
    <w:rsid w:val="00EA4B80"/>
    <w:rsid w:val="00EA4BC9"/>
    <w:rsid w:val="00EA4BDC"/>
    <w:rsid w:val="00EA4BDD"/>
    <w:rsid w:val="00EA4BFE"/>
    <w:rsid w:val="00EA4C04"/>
    <w:rsid w:val="00EA4C0E"/>
    <w:rsid w:val="00EA4C1B"/>
    <w:rsid w:val="00EA4C90"/>
    <w:rsid w:val="00EA4CEE"/>
    <w:rsid w:val="00EA4DDC"/>
    <w:rsid w:val="00EA4DEA"/>
    <w:rsid w:val="00EA4DFB"/>
    <w:rsid w:val="00EA4E52"/>
    <w:rsid w:val="00EA4E85"/>
    <w:rsid w:val="00EA4EA3"/>
    <w:rsid w:val="00EA4EBD"/>
    <w:rsid w:val="00EA4FF3"/>
    <w:rsid w:val="00EA5036"/>
    <w:rsid w:val="00EA507F"/>
    <w:rsid w:val="00EA5084"/>
    <w:rsid w:val="00EA5086"/>
    <w:rsid w:val="00EA50A0"/>
    <w:rsid w:val="00EA50AD"/>
    <w:rsid w:val="00EA50C5"/>
    <w:rsid w:val="00EA5127"/>
    <w:rsid w:val="00EA513F"/>
    <w:rsid w:val="00EA516E"/>
    <w:rsid w:val="00EA518F"/>
    <w:rsid w:val="00EA519A"/>
    <w:rsid w:val="00EA520B"/>
    <w:rsid w:val="00EA5248"/>
    <w:rsid w:val="00EA5298"/>
    <w:rsid w:val="00EA529B"/>
    <w:rsid w:val="00EA5347"/>
    <w:rsid w:val="00EA537F"/>
    <w:rsid w:val="00EA53E0"/>
    <w:rsid w:val="00EA53F1"/>
    <w:rsid w:val="00EA5406"/>
    <w:rsid w:val="00EA540A"/>
    <w:rsid w:val="00EA5474"/>
    <w:rsid w:val="00EA54FB"/>
    <w:rsid w:val="00EA5508"/>
    <w:rsid w:val="00EA550C"/>
    <w:rsid w:val="00EA553A"/>
    <w:rsid w:val="00EA5578"/>
    <w:rsid w:val="00EA5587"/>
    <w:rsid w:val="00EA559D"/>
    <w:rsid w:val="00EA55B5"/>
    <w:rsid w:val="00EA5739"/>
    <w:rsid w:val="00EA576E"/>
    <w:rsid w:val="00EA57BA"/>
    <w:rsid w:val="00EA57C7"/>
    <w:rsid w:val="00EA57F8"/>
    <w:rsid w:val="00EA580A"/>
    <w:rsid w:val="00EA580D"/>
    <w:rsid w:val="00EA58CA"/>
    <w:rsid w:val="00EA58D5"/>
    <w:rsid w:val="00EA5931"/>
    <w:rsid w:val="00EA5963"/>
    <w:rsid w:val="00EA597A"/>
    <w:rsid w:val="00EA5988"/>
    <w:rsid w:val="00EA5994"/>
    <w:rsid w:val="00EA59BD"/>
    <w:rsid w:val="00EA59BF"/>
    <w:rsid w:val="00EA5A0A"/>
    <w:rsid w:val="00EA5A19"/>
    <w:rsid w:val="00EA5A78"/>
    <w:rsid w:val="00EA5A97"/>
    <w:rsid w:val="00EA5B5C"/>
    <w:rsid w:val="00EA5B9D"/>
    <w:rsid w:val="00EA5BA8"/>
    <w:rsid w:val="00EA5BAD"/>
    <w:rsid w:val="00EA5BEE"/>
    <w:rsid w:val="00EA5BEF"/>
    <w:rsid w:val="00EA5C20"/>
    <w:rsid w:val="00EA5C6E"/>
    <w:rsid w:val="00EA5CA3"/>
    <w:rsid w:val="00EA5D9C"/>
    <w:rsid w:val="00EA5DDB"/>
    <w:rsid w:val="00EA5E09"/>
    <w:rsid w:val="00EA5E42"/>
    <w:rsid w:val="00EA5E4D"/>
    <w:rsid w:val="00EA5E56"/>
    <w:rsid w:val="00EA5E81"/>
    <w:rsid w:val="00EA5E92"/>
    <w:rsid w:val="00EA5EAD"/>
    <w:rsid w:val="00EA5EDB"/>
    <w:rsid w:val="00EA5EFF"/>
    <w:rsid w:val="00EA5F44"/>
    <w:rsid w:val="00EA5F4D"/>
    <w:rsid w:val="00EA5F52"/>
    <w:rsid w:val="00EA5FD1"/>
    <w:rsid w:val="00EA5FF1"/>
    <w:rsid w:val="00EA6057"/>
    <w:rsid w:val="00EA60B2"/>
    <w:rsid w:val="00EA60DA"/>
    <w:rsid w:val="00EA612F"/>
    <w:rsid w:val="00EA615D"/>
    <w:rsid w:val="00EA61C8"/>
    <w:rsid w:val="00EA61CC"/>
    <w:rsid w:val="00EA6259"/>
    <w:rsid w:val="00EA6282"/>
    <w:rsid w:val="00EA62B2"/>
    <w:rsid w:val="00EA6353"/>
    <w:rsid w:val="00EA6366"/>
    <w:rsid w:val="00EA63A9"/>
    <w:rsid w:val="00EA63CC"/>
    <w:rsid w:val="00EA63F8"/>
    <w:rsid w:val="00EA6477"/>
    <w:rsid w:val="00EA6535"/>
    <w:rsid w:val="00EA6575"/>
    <w:rsid w:val="00EA65D8"/>
    <w:rsid w:val="00EA660F"/>
    <w:rsid w:val="00EA6637"/>
    <w:rsid w:val="00EA6644"/>
    <w:rsid w:val="00EA673E"/>
    <w:rsid w:val="00EA6778"/>
    <w:rsid w:val="00EA6796"/>
    <w:rsid w:val="00EA67BC"/>
    <w:rsid w:val="00EA6809"/>
    <w:rsid w:val="00EA681B"/>
    <w:rsid w:val="00EA6845"/>
    <w:rsid w:val="00EA68D8"/>
    <w:rsid w:val="00EA68E7"/>
    <w:rsid w:val="00EA6902"/>
    <w:rsid w:val="00EA6903"/>
    <w:rsid w:val="00EA6961"/>
    <w:rsid w:val="00EA6995"/>
    <w:rsid w:val="00EA69DA"/>
    <w:rsid w:val="00EA6A68"/>
    <w:rsid w:val="00EA6A83"/>
    <w:rsid w:val="00EA6AD2"/>
    <w:rsid w:val="00EA6AE8"/>
    <w:rsid w:val="00EA6B45"/>
    <w:rsid w:val="00EA6B75"/>
    <w:rsid w:val="00EA6B88"/>
    <w:rsid w:val="00EA6BB9"/>
    <w:rsid w:val="00EA6C08"/>
    <w:rsid w:val="00EA6C34"/>
    <w:rsid w:val="00EA6C3A"/>
    <w:rsid w:val="00EA6C9F"/>
    <w:rsid w:val="00EA6CA1"/>
    <w:rsid w:val="00EA6CB6"/>
    <w:rsid w:val="00EA6CD5"/>
    <w:rsid w:val="00EA6D1D"/>
    <w:rsid w:val="00EA6D39"/>
    <w:rsid w:val="00EA6D56"/>
    <w:rsid w:val="00EA6DBC"/>
    <w:rsid w:val="00EA6E55"/>
    <w:rsid w:val="00EA6E59"/>
    <w:rsid w:val="00EA6E9D"/>
    <w:rsid w:val="00EA6EE2"/>
    <w:rsid w:val="00EA6F21"/>
    <w:rsid w:val="00EA6F3C"/>
    <w:rsid w:val="00EA6F52"/>
    <w:rsid w:val="00EA6F5D"/>
    <w:rsid w:val="00EA6F6D"/>
    <w:rsid w:val="00EA6FE8"/>
    <w:rsid w:val="00EA7013"/>
    <w:rsid w:val="00EA7025"/>
    <w:rsid w:val="00EA7060"/>
    <w:rsid w:val="00EA706C"/>
    <w:rsid w:val="00EA70A6"/>
    <w:rsid w:val="00EA7132"/>
    <w:rsid w:val="00EA7295"/>
    <w:rsid w:val="00EA72E9"/>
    <w:rsid w:val="00EA73A6"/>
    <w:rsid w:val="00EA73B9"/>
    <w:rsid w:val="00EA73D8"/>
    <w:rsid w:val="00EA7460"/>
    <w:rsid w:val="00EA7465"/>
    <w:rsid w:val="00EA74C3"/>
    <w:rsid w:val="00EA7508"/>
    <w:rsid w:val="00EA7572"/>
    <w:rsid w:val="00EA75C2"/>
    <w:rsid w:val="00EA7644"/>
    <w:rsid w:val="00EA7687"/>
    <w:rsid w:val="00EA76E5"/>
    <w:rsid w:val="00EA76E8"/>
    <w:rsid w:val="00EA7714"/>
    <w:rsid w:val="00EA7736"/>
    <w:rsid w:val="00EA775E"/>
    <w:rsid w:val="00EA77E8"/>
    <w:rsid w:val="00EA7872"/>
    <w:rsid w:val="00EA78C8"/>
    <w:rsid w:val="00EA79E1"/>
    <w:rsid w:val="00EA7A18"/>
    <w:rsid w:val="00EA7A62"/>
    <w:rsid w:val="00EA7A97"/>
    <w:rsid w:val="00EA7AD0"/>
    <w:rsid w:val="00EA7AFD"/>
    <w:rsid w:val="00EA7B03"/>
    <w:rsid w:val="00EA7B0C"/>
    <w:rsid w:val="00EA7B21"/>
    <w:rsid w:val="00EA7B25"/>
    <w:rsid w:val="00EA7B8B"/>
    <w:rsid w:val="00EA7BEE"/>
    <w:rsid w:val="00EA7C3D"/>
    <w:rsid w:val="00EA7C66"/>
    <w:rsid w:val="00EA7C9F"/>
    <w:rsid w:val="00EA7CB0"/>
    <w:rsid w:val="00EA7CB8"/>
    <w:rsid w:val="00EA7CEF"/>
    <w:rsid w:val="00EA7D63"/>
    <w:rsid w:val="00EA7DA1"/>
    <w:rsid w:val="00EA7DCA"/>
    <w:rsid w:val="00EA7E0E"/>
    <w:rsid w:val="00EA7EC5"/>
    <w:rsid w:val="00EA7EDA"/>
    <w:rsid w:val="00EA7F17"/>
    <w:rsid w:val="00EA7F19"/>
    <w:rsid w:val="00EA7FA4"/>
    <w:rsid w:val="00EA7FC2"/>
    <w:rsid w:val="00EA7FD7"/>
    <w:rsid w:val="00EB0060"/>
    <w:rsid w:val="00EB00B1"/>
    <w:rsid w:val="00EB00C6"/>
    <w:rsid w:val="00EB00F4"/>
    <w:rsid w:val="00EB014A"/>
    <w:rsid w:val="00EB0161"/>
    <w:rsid w:val="00EB0177"/>
    <w:rsid w:val="00EB01CF"/>
    <w:rsid w:val="00EB01F2"/>
    <w:rsid w:val="00EB0270"/>
    <w:rsid w:val="00EB0275"/>
    <w:rsid w:val="00EB0379"/>
    <w:rsid w:val="00EB0406"/>
    <w:rsid w:val="00EB042E"/>
    <w:rsid w:val="00EB046A"/>
    <w:rsid w:val="00EB04A0"/>
    <w:rsid w:val="00EB059F"/>
    <w:rsid w:val="00EB05A0"/>
    <w:rsid w:val="00EB05C4"/>
    <w:rsid w:val="00EB05E3"/>
    <w:rsid w:val="00EB0660"/>
    <w:rsid w:val="00EB0669"/>
    <w:rsid w:val="00EB0675"/>
    <w:rsid w:val="00EB06CA"/>
    <w:rsid w:val="00EB06F6"/>
    <w:rsid w:val="00EB0704"/>
    <w:rsid w:val="00EB073E"/>
    <w:rsid w:val="00EB0780"/>
    <w:rsid w:val="00EB0787"/>
    <w:rsid w:val="00EB081B"/>
    <w:rsid w:val="00EB0846"/>
    <w:rsid w:val="00EB0854"/>
    <w:rsid w:val="00EB0877"/>
    <w:rsid w:val="00EB08BD"/>
    <w:rsid w:val="00EB08E0"/>
    <w:rsid w:val="00EB0939"/>
    <w:rsid w:val="00EB0982"/>
    <w:rsid w:val="00EB099D"/>
    <w:rsid w:val="00EB0A73"/>
    <w:rsid w:val="00EB0A8F"/>
    <w:rsid w:val="00EB0ABF"/>
    <w:rsid w:val="00EB0B08"/>
    <w:rsid w:val="00EB0B14"/>
    <w:rsid w:val="00EB0B18"/>
    <w:rsid w:val="00EB0B1C"/>
    <w:rsid w:val="00EB0B57"/>
    <w:rsid w:val="00EB0BA0"/>
    <w:rsid w:val="00EB0BBB"/>
    <w:rsid w:val="00EB0BDF"/>
    <w:rsid w:val="00EB0BE2"/>
    <w:rsid w:val="00EB0C06"/>
    <w:rsid w:val="00EB0C14"/>
    <w:rsid w:val="00EB0C67"/>
    <w:rsid w:val="00EB0C6D"/>
    <w:rsid w:val="00EB0D46"/>
    <w:rsid w:val="00EB0D4E"/>
    <w:rsid w:val="00EB0D7B"/>
    <w:rsid w:val="00EB0DDA"/>
    <w:rsid w:val="00EB0E30"/>
    <w:rsid w:val="00EB0E3F"/>
    <w:rsid w:val="00EB0E49"/>
    <w:rsid w:val="00EB0ED9"/>
    <w:rsid w:val="00EB0EDF"/>
    <w:rsid w:val="00EB0EEA"/>
    <w:rsid w:val="00EB0F4F"/>
    <w:rsid w:val="00EB0F64"/>
    <w:rsid w:val="00EB0F88"/>
    <w:rsid w:val="00EB0F90"/>
    <w:rsid w:val="00EB1002"/>
    <w:rsid w:val="00EB108E"/>
    <w:rsid w:val="00EB11A2"/>
    <w:rsid w:val="00EB11BA"/>
    <w:rsid w:val="00EB11F3"/>
    <w:rsid w:val="00EB123D"/>
    <w:rsid w:val="00EB123F"/>
    <w:rsid w:val="00EB12F1"/>
    <w:rsid w:val="00EB1336"/>
    <w:rsid w:val="00EB13C7"/>
    <w:rsid w:val="00EB13D0"/>
    <w:rsid w:val="00EB13D3"/>
    <w:rsid w:val="00EB13FA"/>
    <w:rsid w:val="00EB142B"/>
    <w:rsid w:val="00EB143D"/>
    <w:rsid w:val="00EB1493"/>
    <w:rsid w:val="00EB14A4"/>
    <w:rsid w:val="00EB150A"/>
    <w:rsid w:val="00EB1510"/>
    <w:rsid w:val="00EB1553"/>
    <w:rsid w:val="00EB155C"/>
    <w:rsid w:val="00EB1576"/>
    <w:rsid w:val="00EB15B1"/>
    <w:rsid w:val="00EB15CA"/>
    <w:rsid w:val="00EB15FD"/>
    <w:rsid w:val="00EB1638"/>
    <w:rsid w:val="00EB1689"/>
    <w:rsid w:val="00EB16FB"/>
    <w:rsid w:val="00EB1759"/>
    <w:rsid w:val="00EB1763"/>
    <w:rsid w:val="00EB17B6"/>
    <w:rsid w:val="00EB17CC"/>
    <w:rsid w:val="00EB17DB"/>
    <w:rsid w:val="00EB1854"/>
    <w:rsid w:val="00EB18D7"/>
    <w:rsid w:val="00EB1972"/>
    <w:rsid w:val="00EB19BB"/>
    <w:rsid w:val="00EB19C6"/>
    <w:rsid w:val="00EB1A14"/>
    <w:rsid w:val="00EB1A5B"/>
    <w:rsid w:val="00EB1B43"/>
    <w:rsid w:val="00EB1CA5"/>
    <w:rsid w:val="00EB1D99"/>
    <w:rsid w:val="00EB1DBF"/>
    <w:rsid w:val="00EB1DCB"/>
    <w:rsid w:val="00EB1DD5"/>
    <w:rsid w:val="00EB1E1B"/>
    <w:rsid w:val="00EB1E20"/>
    <w:rsid w:val="00EB1E59"/>
    <w:rsid w:val="00EB1EEA"/>
    <w:rsid w:val="00EB1EF5"/>
    <w:rsid w:val="00EB1F6D"/>
    <w:rsid w:val="00EB2160"/>
    <w:rsid w:val="00EB218E"/>
    <w:rsid w:val="00EB21A5"/>
    <w:rsid w:val="00EB22A7"/>
    <w:rsid w:val="00EB230F"/>
    <w:rsid w:val="00EB234D"/>
    <w:rsid w:val="00EB2387"/>
    <w:rsid w:val="00EB2393"/>
    <w:rsid w:val="00EB23C6"/>
    <w:rsid w:val="00EB2406"/>
    <w:rsid w:val="00EB246C"/>
    <w:rsid w:val="00EB246E"/>
    <w:rsid w:val="00EB248B"/>
    <w:rsid w:val="00EB25FF"/>
    <w:rsid w:val="00EB2611"/>
    <w:rsid w:val="00EB2627"/>
    <w:rsid w:val="00EB2652"/>
    <w:rsid w:val="00EB265B"/>
    <w:rsid w:val="00EB2688"/>
    <w:rsid w:val="00EB2738"/>
    <w:rsid w:val="00EB276F"/>
    <w:rsid w:val="00EB2772"/>
    <w:rsid w:val="00EB27C9"/>
    <w:rsid w:val="00EB286B"/>
    <w:rsid w:val="00EB289F"/>
    <w:rsid w:val="00EB28B6"/>
    <w:rsid w:val="00EB2918"/>
    <w:rsid w:val="00EB299A"/>
    <w:rsid w:val="00EB2A29"/>
    <w:rsid w:val="00EB2A55"/>
    <w:rsid w:val="00EB2AE6"/>
    <w:rsid w:val="00EB2AE7"/>
    <w:rsid w:val="00EB2AE9"/>
    <w:rsid w:val="00EB2B09"/>
    <w:rsid w:val="00EB2BB4"/>
    <w:rsid w:val="00EB2BBB"/>
    <w:rsid w:val="00EB2C1F"/>
    <w:rsid w:val="00EB2C75"/>
    <w:rsid w:val="00EB2CDA"/>
    <w:rsid w:val="00EB2D5C"/>
    <w:rsid w:val="00EB2DA6"/>
    <w:rsid w:val="00EB2E39"/>
    <w:rsid w:val="00EB2EB3"/>
    <w:rsid w:val="00EB2EBC"/>
    <w:rsid w:val="00EB2EE9"/>
    <w:rsid w:val="00EB2F39"/>
    <w:rsid w:val="00EB2F73"/>
    <w:rsid w:val="00EB302C"/>
    <w:rsid w:val="00EB308B"/>
    <w:rsid w:val="00EB30DE"/>
    <w:rsid w:val="00EB3177"/>
    <w:rsid w:val="00EB3199"/>
    <w:rsid w:val="00EB31E4"/>
    <w:rsid w:val="00EB320A"/>
    <w:rsid w:val="00EB324E"/>
    <w:rsid w:val="00EB3266"/>
    <w:rsid w:val="00EB328B"/>
    <w:rsid w:val="00EB3290"/>
    <w:rsid w:val="00EB32CF"/>
    <w:rsid w:val="00EB32EC"/>
    <w:rsid w:val="00EB3410"/>
    <w:rsid w:val="00EB343B"/>
    <w:rsid w:val="00EB345E"/>
    <w:rsid w:val="00EB34BC"/>
    <w:rsid w:val="00EB34CB"/>
    <w:rsid w:val="00EB3524"/>
    <w:rsid w:val="00EB3527"/>
    <w:rsid w:val="00EB352A"/>
    <w:rsid w:val="00EB3547"/>
    <w:rsid w:val="00EB354F"/>
    <w:rsid w:val="00EB3553"/>
    <w:rsid w:val="00EB357B"/>
    <w:rsid w:val="00EB3610"/>
    <w:rsid w:val="00EB363F"/>
    <w:rsid w:val="00EB368B"/>
    <w:rsid w:val="00EB36AC"/>
    <w:rsid w:val="00EB37AB"/>
    <w:rsid w:val="00EB37AF"/>
    <w:rsid w:val="00EB37CF"/>
    <w:rsid w:val="00EB37D4"/>
    <w:rsid w:val="00EB38E2"/>
    <w:rsid w:val="00EB3915"/>
    <w:rsid w:val="00EB3985"/>
    <w:rsid w:val="00EB39A1"/>
    <w:rsid w:val="00EB3AC7"/>
    <w:rsid w:val="00EB3BDB"/>
    <w:rsid w:val="00EB3D33"/>
    <w:rsid w:val="00EB3D77"/>
    <w:rsid w:val="00EB3D8A"/>
    <w:rsid w:val="00EB3DE4"/>
    <w:rsid w:val="00EB3DF4"/>
    <w:rsid w:val="00EB3E09"/>
    <w:rsid w:val="00EB3E83"/>
    <w:rsid w:val="00EB3EBC"/>
    <w:rsid w:val="00EB3EF5"/>
    <w:rsid w:val="00EB3F32"/>
    <w:rsid w:val="00EB3F41"/>
    <w:rsid w:val="00EB3F49"/>
    <w:rsid w:val="00EB4017"/>
    <w:rsid w:val="00EB4047"/>
    <w:rsid w:val="00EB40B9"/>
    <w:rsid w:val="00EB40C4"/>
    <w:rsid w:val="00EB410F"/>
    <w:rsid w:val="00EB4129"/>
    <w:rsid w:val="00EB4144"/>
    <w:rsid w:val="00EB421B"/>
    <w:rsid w:val="00EB427E"/>
    <w:rsid w:val="00EB42B9"/>
    <w:rsid w:val="00EB4384"/>
    <w:rsid w:val="00EB440E"/>
    <w:rsid w:val="00EB4429"/>
    <w:rsid w:val="00EB4450"/>
    <w:rsid w:val="00EB4453"/>
    <w:rsid w:val="00EB4474"/>
    <w:rsid w:val="00EB448F"/>
    <w:rsid w:val="00EB44A9"/>
    <w:rsid w:val="00EB4512"/>
    <w:rsid w:val="00EB4525"/>
    <w:rsid w:val="00EB453A"/>
    <w:rsid w:val="00EB4546"/>
    <w:rsid w:val="00EB4550"/>
    <w:rsid w:val="00EB459D"/>
    <w:rsid w:val="00EB45A1"/>
    <w:rsid w:val="00EB4607"/>
    <w:rsid w:val="00EB463C"/>
    <w:rsid w:val="00EB4642"/>
    <w:rsid w:val="00EB4667"/>
    <w:rsid w:val="00EB4689"/>
    <w:rsid w:val="00EB46C2"/>
    <w:rsid w:val="00EB46E8"/>
    <w:rsid w:val="00EB4767"/>
    <w:rsid w:val="00EB4776"/>
    <w:rsid w:val="00EB47DC"/>
    <w:rsid w:val="00EB4808"/>
    <w:rsid w:val="00EB4861"/>
    <w:rsid w:val="00EB487F"/>
    <w:rsid w:val="00EB4905"/>
    <w:rsid w:val="00EB492E"/>
    <w:rsid w:val="00EB4966"/>
    <w:rsid w:val="00EB49C6"/>
    <w:rsid w:val="00EB4A04"/>
    <w:rsid w:val="00EB4A09"/>
    <w:rsid w:val="00EB4A22"/>
    <w:rsid w:val="00EB4A77"/>
    <w:rsid w:val="00EB4AB2"/>
    <w:rsid w:val="00EB4ABE"/>
    <w:rsid w:val="00EB4B28"/>
    <w:rsid w:val="00EB4BB7"/>
    <w:rsid w:val="00EB4BD1"/>
    <w:rsid w:val="00EB4C08"/>
    <w:rsid w:val="00EB4C48"/>
    <w:rsid w:val="00EB4C72"/>
    <w:rsid w:val="00EB4C9F"/>
    <w:rsid w:val="00EB4CBF"/>
    <w:rsid w:val="00EB4CC3"/>
    <w:rsid w:val="00EB4CD0"/>
    <w:rsid w:val="00EB4DAB"/>
    <w:rsid w:val="00EB4F4B"/>
    <w:rsid w:val="00EB4FE7"/>
    <w:rsid w:val="00EB5052"/>
    <w:rsid w:val="00EB507E"/>
    <w:rsid w:val="00EB508E"/>
    <w:rsid w:val="00EB50DF"/>
    <w:rsid w:val="00EB5159"/>
    <w:rsid w:val="00EB51F8"/>
    <w:rsid w:val="00EB52C3"/>
    <w:rsid w:val="00EB531D"/>
    <w:rsid w:val="00EB536A"/>
    <w:rsid w:val="00EB5374"/>
    <w:rsid w:val="00EB540F"/>
    <w:rsid w:val="00EB5475"/>
    <w:rsid w:val="00EB547B"/>
    <w:rsid w:val="00EB5510"/>
    <w:rsid w:val="00EB557B"/>
    <w:rsid w:val="00EB55DF"/>
    <w:rsid w:val="00EB55FF"/>
    <w:rsid w:val="00EB5606"/>
    <w:rsid w:val="00EB560F"/>
    <w:rsid w:val="00EB56CB"/>
    <w:rsid w:val="00EB56CD"/>
    <w:rsid w:val="00EB56D3"/>
    <w:rsid w:val="00EB57CA"/>
    <w:rsid w:val="00EB57F2"/>
    <w:rsid w:val="00EB57FD"/>
    <w:rsid w:val="00EB58B3"/>
    <w:rsid w:val="00EB58EB"/>
    <w:rsid w:val="00EB5902"/>
    <w:rsid w:val="00EB59C4"/>
    <w:rsid w:val="00EB59D6"/>
    <w:rsid w:val="00EB5A61"/>
    <w:rsid w:val="00EB5A64"/>
    <w:rsid w:val="00EB5AA4"/>
    <w:rsid w:val="00EB5AB0"/>
    <w:rsid w:val="00EB5ADC"/>
    <w:rsid w:val="00EB5BE7"/>
    <w:rsid w:val="00EB5BFD"/>
    <w:rsid w:val="00EB5C6F"/>
    <w:rsid w:val="00EB5C7E"/>
    <w:rsid w:val="00EB5C99"/>
    <w:rsid w:val="00EB5CDD"/>
    <w:rsid w:val="00EB5DCD"/>
    <w:rsid w:val="00EB5E87"/>
    <w:rsid w:val="00EB5ED5"/>
    <w:rsid w:val="00EB5EFB"/>
    <w:rsid w:val="00EB5F01"/>
    <w:rsid w:val="00EB5F7A"/>
    <w:rsid w:val="00EB5F94"/>
    <w:rsid w:val="00EB5FE3"/>
    <w:rsid w:val="00EB5FE5"/>
    <w:rsid w:val="00EB6052"/>
    <w:rsid w:val="00EB6074"/>
    <w:rsid w:val="00EB60C0"/>
    <w:rsid w:val="00EB60FD"/>
    <w:rsid w:val="00EB6134"/>
    <w:rsid w:val="00EB614E"/>
    <w:rsid w:val="00EB6172"/>
    <w:rsid w:val="00EB61A8"/>
    <w:rsid w:val="00EB61B8"/>
    <w:rsid w:val="00EB61E1"/>
    <w:rsid w:val="00EB625C"/>
    <w:rsid w:val="00EB6272"/>
    <w:rsid w:val="00EB62B7"/>
    <w:rsid w:val="00EB62BF"/>
    <w:rsid w:val="00EB62F3"/>
    <w:rsid w:val="00EB6320"/>
    <w:rsid w:val="00EB635D"/>
    <w:rsid w:val="00EB6361"/>
    <w:rsid w:val="00EB6385"/>
    <w:rsid w:val="00EB6434"/>
    <w:rsid w:val="00EB6480"/>
    <w:rsid w:val="00EB64B7"/>
    <w:rsid w:val="00EB64FC"/>
    <w:rsid w:val="00EB6500"/>
    <w:rsid w:val="00EB6508"/>
    <w:rsid w:val="00EB651C"/>
    <w:rsid w:val="00EB656F"/>
    <w:rsid w:val="00EB659D"/>
    <w:rsid w:val="00EB6619"/>
    <w:rsid w:val="00EB6689"/>
    <w:rsid w:val="00EB6696"/>
    <w:rsid w:val="00EB671E"/>
    <w:rsid w:val="00EB6721"/>
    <w:rsid w:val="00EB672E"/>
    <w:rsid w:val="00EB67FC"/>
    <w:rsid w:val="00EB67FD"/>
    <w:rsid w:val="00EB681B"/>
    <w:rsid w:val="00EB6878"/>
    <w:rsid w:val="00EB6879"/>
    <w:rsid w:val="00EB691A"/>
    <w:rsid w:val="00EB693A"/>
    <w:rsid w:val="00EB6949"/>
    <w:rsid w:val="00EB6A00"/>
    <w:rsid w:val="00EB6A07"/>
    <w:rsid w:val="00EB6A5A"/>
    <w:rsid w:val="00EB6AB2"/>
    <w:rsid w:val="00EB6ABB"/>
    <w:rsid w:val="00EB6B10"/>
    <w:rsid w:val="00EB6B4C"/>
    <w:rsid w:val="00EB6B9C"/>
    <w:rsid w:val="00EB6BA7"/>
    <w:rsid w:val="00EB6BC7"/>
    <w:rsid w:val="00EB6BF1"/>
    <w:rsid w:val="00EB6C00"/>
    <w:rsid w:val="00EB6C41"/>
    <w:rsid w:val="00EB6CE1"/>
    <w:rsid w:val="00EB6CE8"/>
    <w:rsid w:val="00EB6D22"/>
    <w:rsid w:val="00EB6D5D"/>
    <w:rsid w:val="00EB6DB4"/>
    <w:rsid w:val="00EB70D8"/>
    <w:rsid w:val="00EB710B"/>
    <w:rsid w:val="00EB710D"/>
    <w:rsid w:val="00EB7131"/>
    <w:rsid w:val="00EB7195"/>
    <w:rsid w:val="00EB719A"/>
    <w:rsid w:val="00EB71FB"/>
    <w:rsid w:val="00EB7205"/>
    <w:rsid w:val="00EB7214"/>
    <w:rsid w:val="00EB7262"/>
    <w:rsid w:val="00EB72C0"/>
    <w:rsid w:val="00EB72D8"/>
    <w:rsid w:val="00EB72ED"/>
    <w:rsid w:val="00EB730D"/>
    <w:rsid w:val="00EB7339"/>
    <w:rsid w:val="00EB7346"/>
    <w:rsid w:val="00EB734A"/>
    <w:rsid w:val="00EB734F"/>
    <w:rsid w:val="00EB73C7"/>
    <w:rsid w:val="00EB73EB"/>
    <w:rsid w:val="00EB7433"/>
    <w:rsid w:val="00EB743A"/>
    <w:rsid w:val="00EB745B"/>
    <w:rsid w:val="00EB748B"/>
    <w:rsid w:val="00EB7493"/>
    <w:rsid w:val="00EB74C7"/>
    <w:rsid w:val="00EB7591"/>
    <w:rsid w:val="00EB759C"/>
    <w:rsid w:val="00EB75F4"/>
    <w:rsid w:val="00EB7613"/>
    <w:rsid w:val="00EB762D"/>
    <w:rsid w:val="00EB7653"/>
    <w:rsid w:val="00EB766A"/>
    <w:rsid w:val="00EB76CD"/>
    <w:rsid w:val="00EB7768"/>
    <w:rsid w:val="00EB778F"/>
    <w:rsid w:val="00EB77AB"/>
    <w:rsid w:val="00EB7888"/>
    <w:rsid w:val="00EB78C8"/>
    <w:rsid w:val="00EB78D1"/>
    <w:rsid w:val="00EB78D8"/>
    <w:rsid w:val="00EB7935"/>
    <w:rsid w:val="00EB7940"/>
    <w:rsid w:val="00EB7961"/>
    <w:rsid w:val="00EB79AA"/>
    <w:rsid w:val="00EB79FD"/>
    <w:rsid w:val="00EB7A9C"/>
    <w:rsid w:val="00EB7ACF"/>
    <w:rsid w:val="00EB7B40"/>
    <w:rsid w:val="00EB7B82"/>
    <w:rsid w:val="00EB7B97"/>
    <w:rsid w:val="00EB7BF7"/>
    <w:rsid w:val="00EB7C14"/>
    <w:rsid w:val="00EB7CAD"/>
    <w:rsid w:val="00EB7CB0"/>
    <w:rsid w:val="00EB7CDC"/>
    <w:rsid w:val="00EB7D06"/>
    <w:rsid w:val="00EB7D19"/>
    <w:rsid w:val="00EB7D5A"/>
    <w:rsid w:val="00EB7DDB"/>
    <w:rsid w:val="00EB7DED"/>
    <w:rsid w:val="00EB7DEF"/>
    <w:rsid w:val="00EB7E29"/>
    <w:rsid w:val="00EB7E49"/>
    <w:rsid w:val="00EB7EB6"/>
    <w:rsid w:val="00EB7EF8"/>
    <w:rsid w:val="00EB7EFC"/>
    <w:rsid w:val="00EB7F0A"/>
    <w:rsid w:val="00EB7F35"/>
    <w:rsid w:val="00EB7F6C"/>
    <w:rsid w:val="00EB7F75"/>
    <w:rsid w:val="00EB7FB0"/>
    <w:rsid w:val="00EC0040"/>
    <w:rsid w:val="00EC004F"/>
    <w:rsid w:val="00EC0055"/>
    <w:rsid w:val="00EC013B"/>
    <w:rsid w:val="00EC0158"/>
    <w:rsid w:val="00EC01D2"/>
    <w:rsid w:val="00EC0243"/>
    <w:rsid w:val="00EC0271"/>
    <w:rsid w:val="00EC02E8"/>
    <w:rsid w:val="00EC0370"/>
    <w:rsid w:val="00EC0375"/>
    <w:rsid w:val="00EC0391"/>
    <w:rsid w:val="00EC03A4"/>
    <w:rsid w:val="00EC03C0"/>
    <w:rsid w:val="00EC03D0"/>
    <w:rsid w:val="00EC045F"/>
    <w:rsid w:val="00EC0492"/>
    <w:rsid w:val="00EC04CD"/>
    <w:rsid w:val="00EC04D2"/>
    <w:rsid w:val="00EC05B3"/>
    <w:rsid w:val="00EC0627"/>
    <w:rsid w:val="00EC0679"/>
    <w:rsid w:val="00EC078B"/>
    <w:rsid w:val="00EC0814"/>
    <w:rsid w:val="00EC0818"/>
    <w:rsid w:val="00EC0862"/>
    <w:rsid w:val="00EC086B"/>
    <w:rsid w:val="00EC086E"/>
    <w:rsid w:val="00EC08A1"/>
    <w:rsid w:val="00EC08C2"/>
    <w:rsid w:val="00EC08C8"/>
    <w:rsid w:val="00EC099E"/>
    <w:rsid w:val="00EC0A4F"/>
    <w:rsid w:val="00EC0A9D"/>
    <w:rsid w:val="00EC0AFA"/>
    <w:rsid w:val="00EC0B12"/>
    <w:rsid w:val="00EC0B23"/>
    <w:rsid w:val="00EC0B7F"/>
    <w:rsid w:val="00EC0BAB"/>
    <w:rsid w:val="00EC0C0F"/>
    <w:rsid w:val="00EC0C1C"/>
    <w:rsid w:val="00EC0C22"/>
    <w:rsid w:val="00EC0C80"/>
    <w:rsid w:val="00EC0D43"/>
    <w:rsid w:val="00EC0D68"/>
    <w:rsid w:val="00EC0D79"/>
    <w:rsid w:val="00EC0D7C"/>
    <w:rsid w:val="00EC0D97"/>
    <w:rsid w:val="00EC0E2A"/>
    <w:rsid w:val="00EC0E3D"/>
    <w:rsid w:val="00EC0E8B"/>
    <w:rsid w:val="00EC0EC5"/>
    <w:rsid w:val="00EC0F0C"/>
    <w:rsid w:val="00EC0F70"/>
    <w:rsid w:val="00EC0F85"/>
    <w:rsid w:val="00EC100D"/>
    <w:rsid w:val="00EC106B"/>
    <w:rsid w:val="00EC10A0"/>
    <w:rsid w:val="00EC1141"/>
    <w:rsid w:val="00EC1172"/>
    <w:rsid w:val="00EC11A6"/>
    <w:rsid w:val="00EC1246"/>
    <w:rsid w:val="00EC1288"/>
    <w:rsid w:val="00EC12D1"/>
    <w:rsid w:val="00EC12DB"/>
    <w:rsid w:val="00EC1368"/>
    <w:rsid w:val="00EC1417"/>
    <w:rsid w:val="00EC144F"/>
    <w:rsid w:val="00EC1495"/>
    <w:rsid w:val="00EC14E4"/>
    <w:rsid w:val="00EC14E9"/>
    <w:rsid w:val="00EC14FC"/>
    <w:rsid w:val="00EC1570"/>
    <w:rsid w:val="00EC15B0"/>
    <w:rsid w:val="00EC15F5"/>
    <w:rsid w:val="00EC1619"/>
    <w:rsid w:val="00EC1652"/>
    <w:rsid w:val="00EC16EF"/>
    <w:rsid w:val="00EC174A"/>
    <w:rsid w:val="00EC177E"/>
    <w:rsid w:val="00EC1816"/>
    <w:rsid w:val="00EC1870"/>
    <w:rsid w:val="00EC18B6"/>
    <w:rsid w:val="00EC18D0"/>
    <w:rsid w:val="00EC18EF"/>
    <w:rsid w:val="00EC1965"/>
    <w:rsid w:val="00EC1987"/>
    <w:rsid w:val="00EC19B2"/>
    <w:rsid w:val="00EC19E7"/>
    <w:rsid w:val="00EC1A7D"/>
    <w:rsid w:val="00EC1AE3"/>
    <w:rsid w:val="00EC1B0F"/>
    <w:rsid w:val="00EC1B62"/>
    <w:rsid w:val="00EC1B7B"/>
    <w:rsid w:val="00EC1BF5"/>
    <w:rsid w:val="00EC1C2F"/>
    <w:rsid w:val="00EC1C9E"/>
    <w:rsid w:val="00EC1CB1"/>
    <w:rsid w:val="00EC1CE8"/>
    <w:rsid w:val="00EC1D0A"/>
    <w:rsid w:val="00EC1D36"/>
    <w:rsid w:val="00EC1D44"/>
    <w:rsid w:val="00EC1D90"/>
    <w:rsid w:val="00EC1D9B"/>
    <w:rsid w:val="00EC1DCF"/>
    <w:rsid w:val="00EC1E0E"/>
    <w:rsid w:val="00EC1E26"/>
    <w:rsid w:val="00EC1E37"/>
    <w:rsid w:val="00EC1F21"/>
    <w:rsid w:val="00EC1F2D"/>
    <w:rsid w:val="00EC1F7E"/>
    <w:rsid w:val="00EC1FE6"/>
    <w:rsid w:val="00EC2091"/>
    <w:rsid w:val="00EC219A"/>
    <w:rsid w:val="00EC2210"/>
    <w:rsid w:val="00EC222C"/>
    <w:rsid w:val="00EC2278"/>
    <w:rsid w:val="00EC236D"/>
    <w:rsid w:val="00EC23F2"/>
    <w:rsid w:val="00EC253C"/>
    <w:rsid w:val="00EC2548"/>
    <w:rsid w:val="00EC254F"/>
    <w:rsid w:val="00EC26C1"/>
    <w:rsid w:val="00EC26C7"/>
    <w:rsid w:val="00EC271C"/>
    <w:rsid w:val="00EC2752"/>
    <w:rsid w:val="00EC2753"/>
    <w:rsid w:val="00EC27AA"/>
    <w:rsid w:val="00EC2823"/>
    <w:rsid w:val="00EC2861"/>
    <w:rsid w:val="00EC28CF"/>
    <w:rsid w:val="00EC28FB"/>
    <w:rsid w:val="00EC293C"/>
    <w:rsid w:val="00EC295F"/>
    <w:rsid w:val="00EC2963"/>
    <w:rsid w:val="00EC2973"/>
    <w:rsid w:val="00EC298D"/>
    <w:rsid w:val="00EC29E3"/>
    <w:rsid w:val="00EC29F0"/>
    <w:rsid w:val="00EC2A01"/>
    <w:rsid w:val="00EC2A6B"/>
    <w:rsid w:val="00EC2AA9"/>
    <w:rsid w:val="00EC2AAD"/>
    <w:rsid w:val="00EC2AC5"/>
    <w:rsid w:val="00EC2BD7"/>
    <w:rsid w:val="00EC2BF2"/>
    <w:rsid w:val="00EC2C4C"/>
    <w:rsid w:val="00EC2C60"/>
    <w:rsid w:val="00EC2C87"/>
    <w:rsid w:val="00EC2C9B"/>
    <w:rsid w:val="00EC2D03"/>
    <w:rsid w:val="00EC2D7A"/>
    <w:rsid w:val="00EC2D89"/>
    <w:rsid w:val="00EC2DB5"/>
    <w:rsid w:val="00EC2E10"/>
    <w:rsid w:val="00EC2E4B"/>
    <w:rsid w:val="00EC2E73"/>
    <w:rsid w:val="00EC2ED2"/>
    <w:rsid w:val="00EC2F62"/>
    <w:rsid w:val="00EC3008"/>
    <w:rsid w:val="00EC3113"/>
    <w:rsid w:val="00EC311F"/>
    <w:rsid w:val="00EC313D"/>
    <w:rsid w:val="00EC3167"/>
    <w:rsid w:val="00EC317A"/>
    <w:rsid w:val="00EC3182"/>
    <w:rsid w:val="00EC31CD"/>
    <w:rsid w:val="00EC3201"/>
    <w:rsid w:val="00EC323D"/>
    <w:rsid w:val="00EC3248"/>
    <w:rsid w:val="00EC32D5"/>
    <w:rsid w:val="00EC3332"/>
    <w:rsid w:val="00EC3371"/>
    <w:rsid w:val="00EC3375"/>
    <w:rsid w:val="00EC3386"/>
    <w:rsid w:val="00EC338A"/>
    <w:rsid w:val="00EC3439"/>
    <w:rsid w:val="00EC3495"/>
    <w:rsid w:val="00EC3509"/>
    <w:rsid w:val="00EC35D0"/>
    <w:rsid w:val="00EC35D6"/>
    <w:rsid w:val="00EC35E5"/>
    <w:rsid w:val="00EC35F2"/>
    <w:rsid w:val="00EC364D"/>
    <w:rsid w:val="00EC36D1"/>
    <w:rsid w:val="00EC36D4"/>
    <w:rsid w:val="00EC36FF"/>
    <w:rsid w:val="00EC3715"/>
    <w:rsid w:val="00EC3731"/>
    <w:rsid w:val="00EC3732"/>
    <w:rsid w:val="00EC3768"/>
    <w:rsid w:val="00EC37A1"/>
    <w:rsid w:val="00EC3813"/>
    <w:rsid w:val="00EC3882"/>
    <w:rsid w:val="00EC38BD"/>
    <w:rsid w:val="00EC38EA"/>
    <w:rsid w:val="00EC394E"/>
    <w:rsid w:val="00EC3974"/>
    <w:rsid w:val="00EC39A2"/>
    <w:rsid w:val="00EC39C3"/>
    <w:rsid w:val="00EC39FF"/>
    <w:rsid w:val="00EC3A0B"/>
    <w:rsid w:val="00EC3A51"/>
    <w:rsid w:val="00EC3ACB"/>
    <w:rsid w:val="00EC3AD4"/>
    <w:rsid w:val="00EC3B04"/>
    <w:rsid w:val="00EC3B76"/>
    <w:rsid w:val="00EC3B80"/>
    <w:rsid w:val="00EC3BE6"/>
    <w:rsid w:val="00EC3C10"/>
    <w:rsid w:val="00EC3C34"/>
    <w:rsid w:val="00EC3C64"/>
    <w:rsid w:val="00EC3CC8"/>
    <w:rsid w:val="00EC3CD2"/>
    <w:rsid w:val="00EC3D0A"/>
    <w:rsid w:val="00EC3D18"/>
    <w:rsid w:val="00EC3D1D"/>
    <w:rsid w:val="00EC3D66"/>
    <w:rsid w:val="00EC3D9E"/>
    <w:rsid w:val="00EC3DFC"/>
    <w:rsid w:val="00EC3E73"/>
    <w:rsid w:val="00EC3F18"/>
    <w:rsid w:val="00EC3F41"/>
    <w:rsid w:val="00EC3F5C"/>
    <w:rsid w:val="00EC3FA0"/>
    <w:rsid w:val="00EC4077"/>
    <w:rsid w:val="00EC40A2"/>
    <w:rsid w:val="00EC4191"/>
    <w:rsid w:val="00EC419B"/>
    <w:rsid w:val="00EC41AF"/>
    <w:rsid w:val="00EC41E4"/>
    <w:rsid w:val="00EC41FA"/>
    <w:rsid w:val="00EC425C"/>
    <w:rsid w:val="00EC4303"/>
    <w:rsid w:val="00EC431D"/>
    <w:rsid w:val="00EC4393"/>
    <w:rsid w:val="00EC43DD"/>
    <w:rsid w:val="00EC447B"/>
    <w:rsid w:val="00EC4513"/>
    <w:rsid w:val="00EC4527"/>
    <w:rsid w:val="00EC455D"/>
    <w:rsid w:val="00EC45E4"/>
    <w:rsid w:val="00EC45EA"/>
    <w:rsid w:val="00EC4601"/>
    <w:rsid w:val="00EC463E"/>
    <w:rsid w:val="00EC464B"/>
    <w:rsid w:val="00EC467C"/>
    <w:rsid w:val="00EC46DB"/>
    <w:rsid w:val="00EC46E8"/>
    <w:rsid w:val="00EC46E9"/>
    <w:rsid w:val="00EC471B"/>
    <w:rsid w:val="00EC475F"/>
    <w:rsid w:val="00EC4765"/>
    <w:rsid w:val="00EC47A8"/>
    <w:rsid w:val="00EC4848"/>
    <w:rsid w:val="00EC48A7"/>
    <w:rsid w:val="00EC48C0"/>
    <w:rsid w:val="00EC4926"/>
    <w:rsid w:val="00EC49E7"/>
    <w:rsid w:val="00EC4A65"/>
    <w:rsid w:val="00EC4A85"/>
    <w:rsid w:val="00EC4A8A"/>
    <w:rsid w:val="00EC4A97"/>
    <w:rsid w:val="00EC4B48"/>
    <w:rsid w:val="00EC4B67"/>
    <w:rsid w:val="00EC4B7D"/>
    <w:rsid w:val="00EC4B7F"/>
    <w:rsid w:val="00EC4B8B"/>
    <w:rsid w:val="00EC4B90"/>
    <w:rsid w:val="00EC4BA4"/>
    <w:rsid w:val="00EC4BAD"/>
    <w:rsid w:val="00EC4C5F"/>
    <w:rsid w:val="00EC4CA4"/>
    <w:rsid w:val="00EC4CBC"/>
    <w:rsid w:val="00EC4CD4"/>
    <w:rsid w:val="00EC4CE6"/>
    <w:rsid w:val="00EC4CEB"/>
    <w:rsid w:val="00EC4CF2"/>
    <w:rsid w:val="00EC4D2E"/>
    <w:rsid w:val="00EC4DBC"/>
    <w:rsid w:val="00EC4DF8"/>
    <w:rsid w:val="00EC4DFE"/>
    <w:rsid w:val="00EC4E2E"/>
    <w:rsid w:val="00EC4E34"/>
    <w:rsid w:val="00EC4EEB"/>
    <w:rsid w:val="00EC4EED"/>
    <w:rsid w:val="00EC4F75"/>
    <w:rsid w:val="00EC4F9A"/>
    <w:rsid w:val="00EC4F9D"/>
    <w:rsid w:val="00EC4FD5"/>
    <w:rsid w:val="00EC502E"/>
    <w:rsid w:val="00EC505E"/>
    <w:rsid w:val="00EC5066"/>
    <w:rsid w:val="00EC5075"/>
    <w:rsid w:val="00EC511E"/>
    <w:rsid w:val="00EC5124"/>
    <w:rsid w:val="00EC5166"/>
    <w:rsid w:val="00EC516C"/>
    <w:rsid w:val="00EC5224"/>
    <w:rsid w:val="00EC525B"/>
    <w:rsid w:val="00EC52E1"/>
    <w:rsid w:val="00EC5326"/>
    <w:rsid w:val="00EC532B"/>
    <w:rsid w:val="00EC535D"/>
    <w:rsid w:val="00EC53C1"/>
    <w:rsid w:val="00EC540B"/>
    <w:rsid w:val="00EC541A"/>
    <w:rsid w:val="00EC5423"/>
    <w:rsid w:val="00EC546C"/>
    <w:rsid w:val="00EC547B"/>
    <w:rsid w:val="00EC547E"/>
    <w:rsid w:val="00EC54B3"/>
    <w:rsid w:val="00EC54D7"/>
    <w:rsid w:val="00EC54F3"/>
    <w:rsid w:val="00EC55AD"/>
    <w:rsid w:val="00EC55BA"/>
    <w:rsid w:val="00EC5619"/>
    <w:rsid w:val="00EC5637"/>
    <w:rsid w:val="00EC564A"/>
    <w:rsid w:val="00EC5655"/>
    <w:rsid w:val="00EC567C"/>
    <w:rsid w:val="00EC568C"/>
    <w:rsid w:val="00EC5727"/>
    <w:rsid w:val="00EC582F"/>
    <w:rsid w:val="00EC5850"/>
    <w:rsid w:val="00EC586D"/>
    <w:rsid w:val="00EC58F9"/>
    <w:rsid w:val="00EC593E"/>
    <w:rsid w:val="00EC5949"/>
    <w:rsid w:val="00EC59D6"/>
    <w:rsid w:val="00EC59E9"/>
    <w:rsid w:val="00EC5A0F"/>
    <w:rsid w:val="00EC5A21"/>
    <w:rsid w:val="00EC5B46"/>
    <w:rsid w:val="00EC5BB4"/>
    <w:rsid w:val="00EC5C25"/>
    <w:rsid w:val="00EC5C3D"/>
    <w:rsid w:val="00EC5C4A"/>
    <w:rsid w:val="00EC5C70"/>
    <w:rsid w:val="00EC5C93"/>
    <w:rsid w:val="00EC5CA9"/>
    <w:rsid w:val="00EC5D31"/>
    <w:rsid w:val="00EC5D3B"/>
    <w:rsid w:val="00EC5D6D"/>
    <w:rsid w:val="00EC5D76"/>
    <w:rsid w:val="00EC5E0E"/>
    <w:rsid w:val="00EC5EA2"/>
    <w:rsid w:val="00EC5ECF"/>
    <w:rsid w:val="00EC5EEB"/>
    <w:rsid w:val="00EC5EEE"/>
    <w:rsid w:val="00EC5EF1"/>
    <w:rsid w:val="00EC5F18"/>
    <w:rsid w:val="00EC5F1D"/>
    <w:rsid w:val="00EC5F79"/>
    <w:rsid w:val="00EC5F89"/>
    <w:rsid w:val="00EC5FA5"/>
    <w:rsid w:val="00EC601F"/>
    <w:rsid w:val="00EC6072"/>
    <w:rsid w:val="00EC60A2"/>
    <w:rsid w:val="00EC60E5"/>
    <w:rsid w:val="00EC610D"/>
    <w:rsid w:val="00EC620F"/>
    <w:rsid w:val="00EC6239"/>
    <w:rsid w:val="00EC628C"/>
    <w:rsid w:val="00EC6296"/>
    <w:rsid w:val="00EC62C4"/>
    <w:rsid w:val="00EC6326"/>
    <w:rsid w:val="00EC6351"/>
    <w:rsid w:val="00EC63E9"/>
    <w:rsid w:val="00EC6451"/>
    <w:rsid w:val="00EC6470"/>
    <w:rsid w:val="00EC64A5"/>
    <w:rsid w:val="00EC651C"/>
    <w:rsid w:val="00EC651E"/>
    <w:rsid w:val="00EC653E"/>
    <w:rsid w:val="00EC659C"/>
    <w:rsid w:val="00EC65AA"/>
    <w:rsid w:val="00EC65E7"/>
    <w:rsid w:val="00EC6641"/>
    <w:rsid w:val="00EC667A"/>
    <w:rsid w:val="00EC668C"/>
    <w:rsid w:val="00EC669F"/>
    <w:rsid w:val="00EC6735"/>
    <w:rsid w:val="00EC676A"/>
    <w:rsid w:val="00EC680D"/>
    <w:rsid w:val="00EC683A"/>
    <w:rsid w:val="00EC6860"/>
    <w:rsid w:val="00EC68BB"/>
    <w:rsid w:val="00EC68D2"/>
    <w:rsid w:val="00EC6904"/>
    <w:rsid w:val="00EC6917"/>
    <w:rsid w:val="00EC691C"/>
    <w:rsid w:val="00EC699F"/>
    <w:rsid w:val="00EC69BC"/>
    <w:rsid w:val="00EC6B16"/>
    <w:rsid w:val="00EC6B5E"/>
    <w:rsid w:val="00EC6B83"/>
    <w:rsid w:val="00EC6BA3"/>
    <w:rsid w:val="00EC6BE7"/>
    <w:rsid w:val="00EC6C54"/>
    <w:rsid w:val="00EC6D0D"/>
    <w:rsid w:val="00EC6D13"/>
    <w:rsid w:val="00EC6D27"/>
    <w:rsid w:val="00EC6D5D"/>
    <w:rsid w:val="00EC6D61"/>
    <w:rsid w:val="00EC6D8A"/>
    <w:rsid w:val="00EC6DBD"/>
    <w:rsid w:val="00EC6DC8"/>
    <w:rsid w:val="00EC6DE9"/>
    <w:rsid w:val="00EC6E14"/>
    <w:rsid w:val="00EC6E67"/>
    <w:rsid w:val="00EC6EDF"/>
    <w:rsid w:val="00EC6F29"/>
    <w:rsid w:val="00EC7036"/>
    <w:rsid w:val="00EC7041"/>
    <w:rsid w:val="00EC709B"/>
    <w:rsid w:val="00EC70CB"/>
    <w:rsid w:val="00EC7106"/>
    <w:rsid w:val="00EC714F"/>
    <w:rsid w:val="00EC7197"/>
    <w:rsid w:val="00EC719C"/>
    <w:rsid w:val="00EC71E5"/>
    <w:rsid w:val="00EC71F3"/>
    <w:rsid w:val="00EC7211"/>
    <w:rsid w:val="00EC723D"/>
    <w:rsid w:val="00EC72C4"/>
    <w:rsid w:val="00EC72D0"/>
    <w:rsid w:val="00EC72EC"/>
    <w:rsid w:val="00EC72F5"/>
    <w:rsid w:val="00EC7321"/>
    <w:rsid w:val="00EC7368"/>
    <w:rsid w:val="00EC73BB"/>
    <w:rsid w:val="00EC73E6"/>
    <w:rsid w:val="00EC744F"/>
    <w:rsid w:val="00EC7467"/>
    <w:rsid w:val="00EC74BA"/>
    <w:rsid w:val="00EC74C5"/>
    <w:rsid w:val="00EC74F4"/>
    <w:rsid w:val="00EC750F"/>
    <w:rsid w:val="00EC7556"/>
    <w:rsid w:val="00EC7581"/>
    <w:rsid w:val="00EC75D0"/>
    <w:rsid w:val="00EC75F7"/>
    <w:rsid w:val="00EC7645"/>
    <w:rsid w:val="00EC7693"/>
    <w:rsid w:val="00EC769D"/>
    <w:rsid w:val="00EC76E1"/>
    <w:rsid w:val="00EC7746"/>
    <w:rsid w:val="00EC774B"/>
    <w:rsid w:val="00EC779A"/>
    <w:rsid w:val="00EC77D2"/>
    <w:rsid w:val="00EC77E4"/>
    <w:rsid w:val="00EC7853"/>
    <w:rsid w:val="00EC7867"/>
    <w:rsid w:val="00EC78C1"/>
    <w:rsid w:val="00EC7908"/>
    <w:rsid w:val="00EC79DD"/>
    <w:rsid w:val="00EC79F1"/>
    <w:rsid w:val="00EC79FA"/>
    <w:rsid w:val="00EC7A58"/>
    <w:rsid w:val="00EC7A80"/>
    <w:rsid w:val="00EC7A96"/>
    <w:rsid w:val="00EC7AAD"/>
    <w:rsid w:val="00EC7B73"/>
    <w:rsid w:val="00EC7BDA"/>
    <w:rsid w:val="00EC7C80"/>
    <w:rsid w:val="00EC7C98"/>
    <w:rsid w:val="00EC7CAE"/>
    <w:rsid w:val="00EC7D4C"/>
    <w:rsid w:val="00EC7DCF"/>
    <w:rsid w:val="00EC7E49"/>
    <w:rsid w:val="00EC7EE7"/>
    <w:rsid w:val="00EC7F61"/>
    <w:rsid w:val="00EC7F69"/>
    <w:rsid w:val="00EC7F7A"/>
    <w:rsid w:val="00ED004D"/>
    <w:rsid w:val="00ED00EB"/>
    <w:rsid w:val="00ED00EC"/>
    <w:rsid w:val="00ED011E"/>
    <w:rsid w:val="00ED0185"/>
    <w:rsid w:val="00ED019A"/>
    <w:rsid w:val="00ED01BF"/>
    <w:rsid w:val="00ED01FF"/>
    <w:rsid w:val="00ED0210"/>
    <w:rsid w:val="00ED0291"/>
    <w:rsid w:val="00ED034D"/>
    <w:rsid w:val="00ED0408"/>
    <w:rsid w:val="00ED041B"/>
    <w:rsid w:val="00ED0427"/>
    <w:rsid w:val="00ED0464"/>
    <w:rsid w:val="00ED046C"/>
    <w:rsid w:val="00ED04F0"/>
    <w:rsid w:val="00ED0502"/>
    <w:rsid w:val="00ED051C"/>
    <w:rsid w:val="00ED0614"/>
    <w:rsid w:val="00ED0627"/>
    <w:rsid w:val="00ED06C0"/>
    <w:rsid w:val="00ED0713"/>
    <w:rsid w:val="00ED0714"/>
    <w:rsid w:val="00ED0774"/>
    <w:rsid w:val="00ED0792"/>
    <w:rsid w:val="00ED0805"/>
    <w:rsid w:val="00ED08B7"/>
    <w:rsid w:val="00ED08F1"/>
    <w:rsid w:val="00ED08F2"/>
    <w:rsid w:val="00ED09C2"/>
    <w:rsid w:val="00ED0A0E"/>
    <w:rsid w:val="00ED0A21"/>
    <w:rsid w:val="00ED0A3F"/>
    <w:rsid w:val="00ED0A46"/>
    <w:rsid w:val="00ED0A74"/>
    <w:rsid w:val="00ED0A7A"/>
    <w:rsid w:val="00ED0A9E"/>
    <w:rsid w:val="00ED0AB3"/>
    <w:rsid w:val="00ED0AEF"/>
    <w:rsid w:val="00ED0B18"/>
    <w:rsid w:val="00ED0C12"/>
    <w:rsid w:val="00ED0C2D"/>
    <w:rsid w:val="00ED0C3E"/>
    <w:rsid w:val="00ED0C66"/>
    <w:rsid w:val="00ED0C6D"/>
    <w:rsid w:val="00ED0CD6"/>
    <w:rsid w:val="00ED0D72"/>
    <w:rsid w:val="00ED0DA8"/>
    <w:rsid w:val="00ED0ED5"/>
    <w:rsid w:val="00ED0ED8"/>
    <w:rsid w:val="00ED0FC2"/>
    <w:rsid w:val="00ED0FDD"/>
    <w:rsid w:val="00ED1038"/>
    <w:rsid w:val="00ED1053"/>
    <w:rsid w:val="00ED1062"/>
    <w:rsid w:val="00ED10A4"/>
    <w:rsid w:val="00ED10BB"/>
    <w:rsid w:val="00ED111B"/>
    <w:rsid w:val="00ED1150"/>
    <w:rsid w:val="00ED11D8"/>
    <w:rsid w:val="00ED11FB"/>
    <w:rsid w:val="00ED1206"/>
    <w:rsid w:val="00ED1209"/>
    <w:rsid w:val="00ED122E"/>
    <w:rsid w:val="00ED123B"/>
    <w:rsid w:val="00ED1242"/>
    <w:rsid w:val="00ED124D"/>
    <w:rsid w:val="00ED130D"/>
    <w:rsid w:val="00ED1358"/>
    <w:rsid w:val="00ED145F"/>
    <w:rsid w:val="00ED1506"/>
    <w:rsid w:val="00ED1556"/>
    <w:rsid w:val="00ED1590"/>
    <w:rsid w:val="00ED15BD"/>
    <w:rsid w:val="00ED1614"/>
    <w:rsid w:val="00ED1648"/>
    <w:rsid w:val="00ED1664"/>
    <w:rsid w:val="00ED16F0"/>
    <w:rsid w:val="00ED1747"/>
    <w:rsid w:val="00ED17BA"/>
    <w:rsid w:val="00ED17BE"/>
    <w:rsid w:val="00ED181D"/>
    <w:rsid w:val="00ED18B4"/>
    <w:rsid w:val="00ED191D"/>
    <w:rsid w:val="00ED198A"/>
    <w:rsid w:val="00ED1990"/>
    <w:rsid w:val="00ED1998"/>
    <w:rsid w:val="00ED199F"/>
    <w:rsid w:val="00ED19F1"/>
    <w:rsid w:val="00ED19F3"/>
    <w:rsid w:val="00ED1A09"/>
    <w:rsid w:val="00ED1A23"/>
    <w:rsid w:val="00ED1A85"/>
    <w:rsid w:val="00ED1AA2"/>
    <w:rsid w:val="00ED1AEE"/>
    <w:rsid w:val="00ED1B5D"/>
    <w:rsid w:val="00ED1B6E"/>
    <w:rsid w:val="00ED1B7F"/>
    <w:rsid w:val="00ED1B9B"/>
    <w:rsid w:val="00ED1BF5"/>
    <w:rsid w:val="00ED1C11"/>
    <w:rsid w:val="00ED1C4F"/>
    <w:rsid w:val="00ED1D8C"/>
    <w:rsid w:val="00ED1D97"/>
    <w:rsid w:val="00ED1DA7"/>
    <w:rsid w:val="00ED1DB6"/>
    <w:rsid w:val="00ED1DFA"/>
    <w:rsid w:val="00ED1E0E"/>
    <w:rsid w:val="00ED1E4D"/>
    <w:rsid w:val="00ED1EA0"/>
    <w:rsid w:val="00ED1EBB"/>
    <w:rsid w:val="00ED1EC9"/>
    <w:rsid w:val="00ED1F3A"/>
    <w:rsid w:val="00ED1F72"/>
    <w:rsid w:val="00ED1F9C"/>
    <w:rsid w:val="00ED1FD6"/>
    <w:rsid w:val="00ED1FE6"/>
    <w:rsid w:val="00ED2100"/>
    <w:rsid w:val="00ED2156"/>
    <w:rsid w:val="00ED2167"/>
    <w:rsid w:val="00ED217F"/>
    <w:rsid w:val="00ED2188"/>
    <w:rsid w:val="00ED2196"/>
    <w:rsid w:val="00ED22A9"/>
    <w:rsid w:val="00ED22B7"/>
    <w:rsid w:val="00ED22CB"/>
    <w:rsid w:val="00ED2318"/>
    <w:rsid w:val="00ED23B8"/>
    <w:rsid w:val="00ED244F"/>
    <w:rsid w:val="00ED2473"/>
    <w:rsid w:val="00ED256D"/>
    <w:rsid w:val="00ED25DC"/>
    <w:rsid w:val="00ED25F3"/>
    <w:rsid w:val="00ED260E"/>
    <w:rsid w:val="00ED2667"/>
    <w:rsid w:val="00ED267A"/>
    <w:rsid w:val="00ED26E1"/>
    <w:rsid w:val="00ED2744"/>
    <w:rsid w:val="00ED2753"/>
    <w:rsid w:val="00ED2779"/>
    <w:rsid w:val="00ED27CD"/>
    <w:rsid w:val="00ED28F7"/>
    <w:rsid w:val="00ED2908"/>
    <w:rsid w:val="00ED291D"/>
    <w:rsid w:val="00ED295E"/>
    <w:rsid w:val="00ED296B"/>
    <w:rsid w:val="00ED298C"/>
    <w:rsid w:val="00ED298D"/>
    <w:rsid w:val="00ED29FC"/>
    <w:rsid w:val="00ED2A33"/>
    <w:rsid w:val="00ED2ABA"/>
    <w:rsid w:val="00ED2ADB"/>
    <w:rsid w:val="00ED2B05"/>
    <w:rsid w:val="00ED2B12"/>
    <w:rsid w:val="00ED2B4C"/>
    <w:rsid w:val="00ED2BB3"/>
    <w:rsid w:val="00ED2BD2"/>
    <w:rsid w:val="00ED2C02"/>
    <w:rsid w:val="00ED2C8D"/>
    <w:rsid w:val="00ED2C95"/>
    <w:rsid w:val="00ED2CC0"/>
    <w:rsid w:val="00ED2CC6"/>
    <w:rsid w:val="00ED2CD2"/>
    <w:rsid w:val="00ED2CF1"/>
    <w:rsid w:val="00ED2D51"/>
    <w:rsid w:val="00ED2D52"/>
    <w:rsid w:val="00ED2D86"/>
    <w:rsid w:val="00ED2DA6"/>
    <w:rsid w:val="00ED2DDD"/>
    <w:rsid w:val="00ED2E62"/>
    <w:rsid w:val="00ED2E85"/>
    <w:rsid w:val="00ED2EC2"/>
    <w:rsid w:val="00ED2EDF"/>
    <w:rsid w:val="00ED2F0C"/>
    <w:rsid w:val="00ED2F48"/>
    <w:rsid w:val="00ED2F63"/>
    <w:rsid w:val="00ED2FCD"/>
    <w:rsid w:val="00ED2FCF"/>
    <w:rsid w:val="00ED3023"/>
    <w:rsid w:val="00ED3047"/>
    <w:rsid w:val="00ED304E"/>
    <w:rsid w:val="00ED305F"/>
    <w:rsid w:val="00ED30F5"/>
    <w:rsid w:val="00ED312E"/>
    <w:rsid w:val="00ED31DD"/>
    <w:rsid w:val="00ED31FC"/>
    <w:rsid w:val="00ED3204"/>
    <w:rsid w:val="00ED322B"/>
    <w:rsid w:val="00ED322E"/>
    <w:rsid w:val="00ED3287"/>
    <w:rsid w:val="00ED32B1"/>
    <w:rsid w:val="00ED33D2"/>
    <w:rsid w:val="00ED3460"/>
    <w:rsid w:val="00ED3492"/>
    <w:rsid w:val="00ED34BC"/>
    <w:rsid w:val="00ED34C7"/>
    <w:rsid w:val="00ED34CB"/>
    <w:rsid w:val="00ED350B"/>
    <w:rsid w:val="00ED3513"/>
    <w:rsid w:val="00ED351E"/>
    <w:rsid w:val="00ED3529"/>
    <w:rsid w:val="00ED352B"/>
    <w:rsid w:val="00ED35D7"/>
    <w:rsid w:val="00ED3611"/>
    <w:rsid w:val="00ED369B"/>
    <w:rsid w:val="00ED36F6"/>
    <w:rsid w:val="00ED371D"/>
    <w:rsid w:val="00ED3728"/>
    <w:rsid w:val="00ED3787"/>
    <w:rsid w:val="00ED379A"/>
    <w:rsid w:val="00ED37AE"/>
    <w:rsid w:val="00ED381D"/>
    <w:rsid w:val="00ED3868"/>
    <w:rsid w:val="00ED386E"/>
    <w:rsid w:val="00ED3905"/>
    <w:rsid w:val="00ED392F"/>
    <w:rsid w:val="00ED3945"/>
    <w:rsid w:val="00ED3955"/>
    <w:rsid w:val="00ED395C"/>
    <w:rsid w:val="00ED3A08"/>
    <w:rsid w:val="00ED3A72"/>
    <w:rsid w:val="00ED3AA7"/>
    <w:rsid w:val="00ED3ADF"/>
    <w:rsid w:val="00ED3B0F"/>
    <w:rsid w:val="00ED3B8C"/>
    <w:rsid w:val="00ED3BA3"/>
    <w:rsid w:val="00ED3BCB"/>
    <w:rsid w:val="00ED3C10"/>
    <w:rsid w:val="00ED3C31"/>
    <w:rsid w:val="00ED3C6A"/>
    <w:rsid w:val="00ED3C7F"/>
    <w:rsid w:val="00ED3C91"/>
    <w:rsid w:val="00ED3CB6"/>
    <w:rsid w:val="00ED3CCD"/>
    <w:rsid w:val="00ED3CEE"/>
    <w:rsid w:val="00ED3D0E"/>
    <w:rsid w:val="00ED3D99"/>
    <w:rsid w:val="00ED3E0D"/>
    <w:rsid w:val="00ED3E30"/>
    <w:rsid w:val="00ED3E5D"/>
    <w:rsid w:val="00ED3E67"/>
    <w:rsid w:val="00ED3EAA"/>
    <w:rsid w:val="00ED3FEB"/>
    <w:rsid w:val="00ED4087"/>
    <w:rsid w:val="00ED4095"/>
    <w:rsid w:val="00ED40AD"/>
    <w:rsid w:val="00ED40D5"/>
    <w:rsid w:val="00ED4152"/>
    <w:rsid w:val="00ED4170"/>
    <w:rsid w:val="00ED41C9"/>
    <w:rsid w:val="00ED4318"/>
    <w:rsid w:val="00ED434B"/>
    <w:rsid w:val="00ED4358"/>
    <w:rsid w:val="00ED43B6"/>
    <w:rsid w:val="00ED43C4"/>
    <w:rsid w:val="00ED43E7"/>
    <w:rsid w:val="00ED444F"/>
    <w:rsid w:val="00ED44E2"/>
    <w:rsid w:val="00ED44EC"/>
    <w:rsid w:val="00ED457F"/>
    <w:rsid w:val="00ED4583"/>
    <w:rsid w:val="00ED4607"/>
    <w:rsid w:val="00ED4614"/>
    <w:rsid w:val="00ED46FC"/>
    <w:rsid w:val="00ED4712"/>
    <w:rsid w:val="00ED471D"/>
    <w:rsid w:val="00ED4735"/>
    <w:rsid w:val="00ED4793"/>
    <w:rsid w:val="00ED483A"/>
    <w:rsid w:val="00ED4854"/>
    <w:rsid w:val="00ED4880"/>
    <w:rsid w:val="00ED4955"/>
    <w:rsid w:val="00ED4A1A"/>
    <w:rsid w:val="00ED4A4F"/>
    <w:rsid w:val="00ED4A8F"/>
    <w:rsid w:val="00ED4AB7"/>
    <w:rsid w:val="00ED4ACB"/>
    <w:rsid w:val="00ED4AD9"/>
    <w:rsid w:val="00ED4B30"/>
    <w:rsid w:val="00ED4B53"/>
    <w:rsid w:val="00ED4BEC"/>
    <w:rsid w:val="00ED4BF7"/>
    <w:rsid w:val="00ED4C19"/>
    <w:rsid w:val="00ED4C6C"/>
    <w:rsid w:val="00ED4CD0"/>
    <w:rsid w:val="00ED4CF8"/>
    <w:rsid w:val="00ED4DD8"/>
    <w:rsid w:val="00ED4E23"/>
    <w:rsid w:val="00ED4E3A"/>
    <w:rsid w:val="00ED4E40"/>
    <w:rsid w:val="00ED4E5D"/>
    <w:rsid w:val="00ED4E78"/>
    <w:rsid w:val="00ED4F73"/>
    <w:rsid w:val="00ED4FE2"/>
    <w:rsid w:val="00ED4FEA"/>
    <w:rsid w:val="00ED502B"/>
    <w:rsid w:val="00ED5040"/>
    <w:rsid w:val="00ED504F"/>
    <w:rsid w:val="00ED50D0"/>
    <w:rsid w:val="00ED5155"/>
    <w:rsid w:val="00ED517D"/>
    <w:rsid w:val="00ED519B"/>
    <w:rsid w:val="00ED519E"/>
    <w:rsid w:val="00ED51C9"/>
    <w:rsid w:val="00ED51E4"/>
    <w:rsid w:val="00ED5209"/>
    <w:rsid w:val="00ED5250"/>
    <w:rsid w:val="00ED5354"/>
    <w:rsid w:val="00ED537E"/>
    <w:rsid w:val="00ED5423"/>
    <w:rsid w:val="00ED5528"/>
    <w:rsid w:val="00ED55BE"/>
    <w:rsid w:val="00ED55CF"/>
    <w:rsid w:val="00ED56E2"/>
    <w:rsid w:val="00ED5758"/>
    <w:rsid w:val="00ED57FE"/>
    <w:rsid w:val="00ED58D1"/>
    <w:rsid w:val="00ED590E"/>
    <w:rsid w:val="00ED5917"/>
    <w:rsid w:val="00ED5978"/>
    <w:rsid w:val="00ED5988"/>
    <w:rsid w:val="00ED59B4"/>
    <w:rsid w:val="00ED5A9A"/>
    <w:rsid w:val="00ED5AB9"/>
    <w:rsid w:val="00ED5B08"/>
    <w:rsid w:val="00ED5B7B"/>
    <w:rsid w:val="00ED5B9E"/>
    <w:rsid w:val="00ED5BBB"/>
    <w:rsid w:val="00ED5BC9"/>
    <w:rsid w:val="00ED5BD1"/>
    <w:rsid w:val="00ED5CE0"/>
    <w:rsid w:val="00ED5D1D"/>
    <w:rsid w:val="00ED5D30"/>
    <w:rsid w:val="00ED5DE0"/>
    <w:rsid w:val="00ED5E3B"/>
    <w:rsid w:val="00ED5EFA"/>
    <w:rsid w:val="00ED5F36"/>
    <w:rsid w:val="00ED5F9F"/>
    <w:rsid w:val="00ED5FBB"/>
    <w:rsid w:val="00ED5FCB"/>
    <w:rsid w:val="00ED5FDE"/>
    <w:rsid w:val="00ED6058"/>
    <w:rsid w:val="00ED60ED"/>
    <w:rsid w:val="00ED60F8"/>
    <w:rsid w:val="00ED610B"/>
    <w:rsid w:val="00ED6151"/>
    <w:rsid w:val="00ED6183"/>
    <w:rsid w:val="00ED61B0"/>
    <w:rsid w:val="00ED61B4"/>
    <w:rsid w:val="00ED61C9"/>
    <w:rsid w:val="00ED61D5"/>
    <w:rsid w:val="00ED6215"/>
    <w:rsid w:val="00ED6262"/>
    <w:rsid w:val="00ED628A"/>
    <w:rsid w:val="00ED62B7"/>
    <w:rsid w:val="00ED63B7"/>
    <w:rsid w:val="00ED63CA"/>
    <w:rsid w:val="00ED6448"/>
    <w:rsid w:val="00ED645C"/>
    <w:rsid w:val="00ED6460"/>
    <w:rsid w:val="00ED64DD"/>
    <w:rsid w:val="00ED6508"/>
    <w:rsid w:val="00ED6551"/>
    <w:rsid w:val="00ED6555"/>
    <w:rsid w:val="00ED6583"/>
    <w:rsid w:val="00ED658D"/>
    <w:rsid w:val="00ED65C2"/>
    <w:rsid w:val="00ED65EE"/>
    <w:rsid w:val="00ED667E"/>
    <w:rsid w:val="00ED66BE"/>
    <w:rsid w:val="00ED66FC"/>
    <w:rsid w:val="00ED673B"/>
    <w:rsid w:val="00ED673C"/>
    <w:rsid w:val="00ED6773"/>
    <w:rsid w:val="00ED67EC"/>
    <w:rsid w:val="00ED6883"/>
    <w:rsid w:val="00ED68BF"/>
    <w:rsid w:val="00ED691C"/>
    <w:rsid w:val="00ED6924"/>
    <w:rsid w:val="00ED69A4"/>
    <w:rsid w:val="00ED69E3"/>
    <w:rsid w:val="00ED6A1E"/>
    <w:rsid w:val="00ED6A5B"/>
    <w:rsid w:val="00ED6B63"/>
    <w:rsid w:val="00ED6B8E"/>
    <w:rsid w:val="00ED6D34"/>
    <w:rsid w:val="00ED6D9D"/>
    <w:rsid w:val="00ED6DEA"/>
    <w:rsid w:val="00ED6DF3"/>
    <w:rsid w:val="00ED6DFA"/>
    <w:rsid w:val="00ED6DFB"/>
    <w:rsid w:val="00ED6E28"/>
    <w:rsid w:val="00ED6E38"/>
    <w:rsid w:val="00ED6E50"/>
    <w:rsid w:val="00ED6E7A"/>
    <w:rsid w:val="00ED6F22"/>
    <w:rsid w:val="00ED6F7B"/>
    <w:rsid w:val="00ED6F83"/>
    <w:rsid w:val="00ED6F87"/>
    <w:rsid w:val="00ED6FCE"/>
    <w:rsid w:val="00ED6FD0"/>
    <w:rsid w:val="00ED7025"/>
    <w:rsid w:val="00ED7083"/>
    <w:rsid w:val="00ED70B1"/>
    <w:rsid w:val="00ED70C3"/>
    <w:rsid w:val="00ED70D7"/>
    <w:rsid w:val="00ED70FF"/>
    <w:rsid w:val="00ED715F"/>
    <w:rsid w:val="00ED719D"/>
    <w:rsid w:val="00ED71C5"/>
    <w:rsid w:val="00ED71C9"/>
    <w:rsid w:val="00ED71EE"/>
    <w:rsid w:val="00ED71FB"/>
    <w:rsid w:val="00ED72EF"/>
    <w:rsid w:val="00ED734E"/>
    <w:rsid w:val="00ED735C"/>
    <w:rsid w:val="00ED73B7"/>
    <w:rsid w:val="00ED745C"/>
    <w:rsid w:val="00ED747F"/>
    <w:rsid w:val="00ED74B3"/>
    <w:rsid w:val="00ED753E"/>
    <w:rsid w:val="00ED7545"/>
    <w:rsid w:val="00ED75F9"/>
    <w:rsid w:val="00ED7602"/>
    <w:rsid w:val="00ED7631"/>
    <w:rsid w:val="00ED771A"/>
    <w:rsid w:val="00ED7749"/>
    <w:rsid w:val="00ED774F"/>
    <w:rsid w:val="00ED7846"/>
    <w:rsid w:val="00ED7853"/>
    <w:rsid w:val="00ED785C"/>
    <w:rsid w:val="00ED7877"/>
    <w:rsid w:val="00ED7881"/>
    <w:rsid w:val="00ED78A6"/>
    <w:rsid w:val="00ED78AA"/>
    <w:rsid w:val="00ED78C5"/>
    <w:rsid w:val="00ED7922"/>
    <w:rsid w:val="00ED7961"/>
    <w:rsid w:val="00ED7964"/>
    <w:rsid w:val="00ED7972"/>
    <w:rsid w:val="00ED7985"/>
    <w:rsid w:val="00ED79DC"/>
    <w:rsid w:val="00ED7A21"/>
    <w:rsid w:val="00ED7A60"/>
    <w:rsid w:val="00ED7B4F"/>
    <w:rsid w:val="00ED7BA8"/>
    <w:rsid w:val="00ED7BC4"/>
    <w:rsid w:val="00ED7BDC"/>
    <w:rsid w:val="00ED7C36"/>
    <w:rsid w:val="00ED7D28"/>
    <w:rsid w:val="00ED7D67"/>
    <w:rsid w:val="00ED7D9F"/>
    <w:rsid w:val="00ED7E04"/>
    <w:rsid w:val="00ED7E1F"/>
    <w:rsid w:val="00ED7E51"/>
    <w:rsid w:val="00ED7E6D"/>
    <w:rsid w:val="00ED7E75"/>
    <w:rsid w:val="00ED7EA0"/>
    <w:rsid w:val="00ED7EC8"/>
    <w:rsid w:val="00ED7F15"/>
    <w:rsid w:val="00ED7F63"/>
    <w:rsid w:val="00ED7F9A"/>
    <w:rsid w:val="00ED7FA3"/>
    <w:rsid w:val="00ED7FA4"/>
    <w:rsid w:val="00ED7FE7"/>
    <w:rsid w:val="00EE006A"/>
    <w:rsid w:val="00EE01AC"/>
    <w:rsid w:val="00EE01C4"/>
    <w:rsid w:val="00EE0294"/>
    <w:rsid w:val="00EE02B2"/>
    <w:rsid w:val="00EE0316"/>
    <w:rsid w:val="00EE03AC"/>
    <w:rsid w:val="00EE03B8"/>
    <w:rsid w:val="00EE03BC"/>
    <w:rsid w:val="00EE03C6"/>
    <w:rsid w:val="00EE03C9"/>
    <w:rsid w:val="00EE0431"/>
    <w:rsid w:val="00EE0438"/>
    <w:rsid w:val="00EE04E3"/>
    <w:rsid w:val="00EE053B"/>
    <w:rsid w:val="00EE059D"/>
    <w:rsid w:val="00EE0609"/>
    <w:rsid w:val="00EE06A6"/>
    <w:rsid w:val="00EE0731"/>
    <w:rsid w:val="00EE0767"/>
    <w:rsid w:val="00EE07C1"/>
    <w:rsid w:val="00EE081C"/>
    <w:rsid w:val="00EE082B"/>
    <w:rsid w:val="00EE0842"/>
    <w:rsid w:val="00EE0858"/>
    <w:rsid w:val="00EE08AD"/>
    <w:rsid w:val="00EE0932"/>
    <w:rsid w:val="00EE0968"/>
    <w:rsid w:val="00EE09B2"/>
    <w:rsid w:val="00EE0A2D"/>
    <w:rsid w:val="00EE0A2E"/>
    <w:rsid w:val="00EE0A78"/>
    <w:rsid w:val="00EE0A90"/>
    <w:rsid w:val="00EE0AA0"/>
    <w:rsid w:val="00EE0B10"/>
    <w:rsid w:val="00EE0B5A"/>
    <w:rsid w:val="00EE0B87"/>
    <w:rsid w:val="00EE0B9A"/>
    <w:rsid w:val="00EE0C24"/>
    <w:rsid w:val="00EE0C4B"/>
    <w:rsid w:val="00EE0C52"/>
    <w:rsid w:val="00EE0CB5"/>
    <w:rsid w:val="00EE0CC6"/>
    <w:rsid w:val="00EE0CCD"/>
    <w:rsid w:val="00EE0D62"/>
    <w:rsid w:val="00EE0DB5"/>
    <w:rsid w:val="00EE0E19"/>
    <w:rsid w:val="00EE0E8B"/>
    <w:rsid w:val="00EE0EC8"/>
    <w:rsid w:val="00EE0F08"/>
    <w:rsid w:val="00EE0F41"/>
    <w:rsid w:val="00EE0F47"/>
    <w:rsid w:val="00EE0F66"/>
    <w:rsid w:val="00EE0F79"/>
    <w:rsid w:val="00EE1028"/>
    <w:rsid w:val="00EE102C"/>
    <w:rsid w:val="00EE106C"/>
    <w:rsid w:val="00EE10E2"/>
    <w:rsid w:val="00EE1193"/>
    <w:rsid w:val="00EE119E"/>
    <w:rsid w:val="00EE11FC"/>
    <w:rsid w:val="00EE1219"/>
    <w:rsid w:val="00EE122B"/>
    <w:rsid w:val="00EE126D"/>
    <w:rsid w:val="00EE1277"/>
    <w:rsid w:val="00EE12DC"/>
    <w:rsid w:val="00EE12FB"/>
    <w:rsid w:val="00EE138F"/>
    <w:rsid w:val="00EE1392"/>
    <w:rsid w:val="00EE13C6"/>
    <w:rsid w:val="00EE1415"/>
    <w:rsid w:val="00EE1447"/>
    <w:rsid w:val="00EE14BB"/>
    <w:rsid w:val="00EE14E2"/>
    <w:rsid w:val="00EE14F7"/>
    <w:rsid w:val="00EE1501"/>
    <w:rsid w:val="00EE1544"/>
    <w:rsid w:val="00EE15DD"/>
    <w:rsid w:val="00EE1634"/>
    <w:rsid w:val="00EE1636"/>
    <w:rsid w:val="00EE16C9"/>
    <w:rsid w:val="00EE16E9"/>
    <w:rsid w:val="00EE1718"/>
    <w:rsid w:val="00EE171A"/>
    <w:rsid w:val="00EE1723"/>
    <w:rsid w:val="00EE172C"/>
    <w:rsid w:val="00EE1738"/>
    <w:rsid w:val="00EE1793"/>
    <w:rsid w:val="00EE17AF"/>
    <w:rsid w:val="00EE1868"/>
    <w:rsid w:val="00EE1892"/>
    <w:rsid w:val="00EE1894"/>
    <w:rsid w:val="00EE18A6"/>
    <w:rsid w:val="00EE18BB"/>
    <w:rsid w:val="00EE1987"/>
    <w:rsid w:val="00EE1A38"/>
    <w:rsid w:val="00EE1A8C"/>
    <w:rsid w:val="00EE1AB5"/>
    <w:rsid w:val="00EE1ADB"/>
    <w:rsid w:val="00EE1AE6"/>
    <w:rsid w:val="00EE1AED"/>
    <w:rsid w:val="00EE1B05"/>
    <w:rsid w:val="00EE1B5F"/>
    <w:rsid w:val="00EE1BE1"/>
    <w:rsid w:val="00EE1C37"/>
    <w:rsid w:val="00EE1CA3"/>
    <w:rsid w:val="00EE1D37"/>
    <w:rsid w:val="00EE1D4E"/>
    <w:rsid w:val="00EE1D96"/>
    <w:rsid w:val="00EE1E04"/>
    <w:rsid w:val="00EE1E56"/>
    <w:rsid w:val="00EE1F7C"/>
    <w:rsid w:val="00EE1FA8"/>
    <w:rsid w:val="00EE1FCA"/>
    <w:rsid w:val="00EE2028"/>
    <w:rsid w:val="00EE20DE"/>
    <w:rsid w:val="00EE20F8"/>
    <w:rsid w:val="00EE2128"/>
    <w:rsid w:val="00EE2232"/>
    <w:rsid w:val="00EE2235"/>
    <w:rsid w:val="00EE2263"/>
    <w:rsid w:val="00EE22E8"/>
    <w:rsid w:val="00EE23B5"/>
    <w:rsid w:val="00EE2439"/>
    <w:rsid w:val="00EE2442"/>
    <w:rsid w:val="00EE2453"/>
    <w:rsid w:val="00EE246C"/>
    <w:rsid w:val="00EE24B0"/>
    <w:rsid w:val="00EE24B3"/>
    <w:rsid w:val="00EE2500"/>
    <w:rsid w:val="00EE2512"/>
    <w:rsid w:val="00EE253F"/>
    <w:rsid w:val="00EE255D"/>
    <w:rsid w:val="00EE2585"/>
    <w:rsid w:val="00EE2632"/>
    <w:rsid w:val="00EE2653"/>
    <w:rsid w:val="00EE266F"/>
    <w:rsid w:val="00EE2688"/>
    <w:rsid w:val="00EE268E"/>
    <w:rsid w:val="00EE26EF"/>
    <w:rsid w:val="00EE26FB"/>
    <w:rsid w:val="00EE2753"/>
    <w:rsid w:val="00EE277C"/>
    <w:rsid w:val="00EE2796"/>
    <w:rsid w:val="00EE27A6"/>
    <w:rsid w:val="00EE2801"/>
    <w:rsid w:val="00EE2810"/>
    <w:rsid w:val="00EE2850"/>
    <w:rsid w:val="00EE2892"/>
    <w:rsid w:val="00EE28FA"/>
    <w:rsid w:val="00EE2902"/>
    <w:rsid w:val="00EE2908"/>
    <w:rsid w:val="00EE29BE"/>
    <w:rsid w:val="00EE2A4F"/>
    <w:rsid w:val="00EE2A8C"/>
    <w:rsid w:val="00EE2AA5"/>
    <w:rsid w:val="00EE2AE1"/>
    <w:rsid w:val="00EE2AFB"/>
    <w:rsid w:val="00EE2B0F"/>
    <w:rsid w:val="00EE2B14"/>
    <w:rsid w:val="00EE2B21"/>
    <w:rsid w:val="00EE2B4E"/>
    <w:rsid w:val="00EE2B6F"/>
    <w:rsid w:val="00EE2BF8"/>
    <w:rsid w:val="00EE2BFF"/>
    <w:rsid w:val="00EE2C5B"/>
    <w:rsid w:val="00EE2C62"/>
    <w:rsid w:val="00EE2D36"/>
    <w:rsid w:val="00EE2DB7"/>
    <w:rsid w:val="00EE2DF0"/>
    <w:rsid w:val="00EE2E06"/>
    <w:rsid w:val="00EE2E92"/>
    <w:rsid w:val="00EE2ED8"/>
    <w:rsid w:val="00EE2EFA"/>
    <w:rsid w:val="00EE2F6F"/>
    <w:rsid w:val="00EE2FF9"/>
    <w:rsid w:val="00EE306A"/>
    <w:rsid w:val="00EE30BA"/>
    <w:rsid w:val="00EE3104"/>
    <w:rsid w:val="00EE3123"/>
    <w:rsid w:val="00EE3136"/>
    <w:rsid w:val="00EE3137"/>
    <w:rsid w:val="00EE314A"/>
    <w:rsid w:val="00EE31AC"/>
    <w:rsid w:val="00EE31B2"/>
    <w:rsid w:val="00EE31CD"/>
    <w:rsid w:val="00EE324C"/>
    <w:rsid w:val="00EE3288"/>
    <w:rsid w:val="00EE32B5"/>
    <w:rsid w:val="00EE3311"/>
    <w:rsid w:val="00EE331A"/>
    <w:rsid w:val="00EE3326"/>
    <w:rsid w:val="00EE3328"/>
    <w:rsid w:val="00EE3334"/>
    <w:rsid w:val="00EE334D"/>
    <w:rsid w:val="00EE338C"/>
    <w:rsid w:val="00EE33EE"/>
    <w:rsid w:val="00EE34A9"/>
    <w:rsid w:val="00EE34DC"/>
    <w:rsid w:val="00EE34E2"/>
    <w:rsid w:val="00EE3527"/>
    <w:rsid w:val="00EE3558"/>
    <w:rsid w:val="00EE3581"/>
    <w:rsid w:val="00EE3596"/>
    <w:rsid w:val="00EE35BC"/>
    <w:rsid w:val="00EE365D"/>
    <w:rsid w:val="00EE365F"/>
    <w:rsid w:val="00EE3665"/>
    <w:rsid w:val="00EE36A2"/>
    <w:rsid w:val="00EE3702"/>
    <w:rsid w:val="00EE394C"/>
    <w:rsid w:val="00EE396D"/>
    <w:rsid w:val="00EE397F"/>
    <w:rsid w:val="00EE39B6"/>
    <w:rsid w:val="00EE3A2F"/>
    <w:rsid w:val="00EE3A56"/>
    <w:rsid w:val="00EE3A86"/>
    <w:rsid w:val="00EE3A8E"/>
    <w:rsid w:val="00EE3AD0"/>
    <w:rsid w:val="00EE3AE1"/>
    <w:rsid w:val="00EE3BC5"/>
    <w:rsid w:val="00EE3C9B"/>
    <w:rsid w:val="00EE3CCD"/>
    <w:rsid w:val="00EE3D00"/>
    <w:rsid w:val="00EE3D05"/>
    <w:rsid w:val="00EE3D5A"/>
    <w:rsid w:val="00EE3D80"/>
    <w:rsid w:val="00EE3DB4"/>
    <w:rsid w:val="00EE3E26"/>
    <w:rsid w:val="00EE3E49"/>
    <w:rsid w:val="00EE3E76"/>
    <w:rsid w:val="00EE3E8D"/>
    <w:rsid w:val="00EE3EC2"/>
    <w:rsid w:val="00EE3EE1"/>
    <w:rsid w:val="00EE3F59"/>
    <w:rsid w:val="00EE3F66"/>
    <w:rsid w:val="00EE3FBA"/>
    <w:rsid w:val="00EE3FCF"/>
    <w:rsid w:val="00EE3FE5"/>
    <w:rsid w:val="00EE406D"/>
    <w:rsid w:val="00EE407A"/>
    <w:rsid w:val="00EE4082"/>
    <w:rsid w:val="00EE4093"/>
    <w:rsid w:val="00EE40E7"/>
    <w:rsid w:val="00EE414F"/>
    <w:rsid w:val="00EE418B"/>
    <w:rsid w:val="00EE419A"/>
    <w:rsid w:val="00EE41BB"/>
    <w:rsid w:val="00EE435B"/>
    <w:rsid w:val="00EE436D"/>
    <w:rsid w:val="00EE439E"/>
    <w:rsid w:val="00EE43C4"/>
    <w:rsid w:val="00EE43CD"/>
    <w:rsid w:val="00EE4464"/>
    <w:rsid w:val="00EE4481"/>
    <w:rsid w:val="00EE4486"/>
    <w:rsid w:val="00EE44C0"/>
    <w:rsid w:val="00EE44C1"/>
    <w:rsid w:val="00EE453A"/>
    <w:rsid w:val="00EE459E"/>
    <w:rsid w:val="00EE45D1"/>
    <w:rsid w:val="00EE45EF"/>
    <w:rsid w:val="00EE46BE"/>
    <w:rsid w:val="00EE46C4"/>
    <w:rsid w:val="00EE46E7"/>
    <w:rsid w:val="00EE4767"/>
    <w:rsid w:val="00EE4777"/>
    <w:rsid w:val="00EE47AD"/>
    <w:rsid w:val="00EE47CA"/>
    <w:rsid w:val="00EE48DC"/>
    <w:rsid w:val="00EE48E5"/>
    <w:rsid w:val="00EE48EC"/>
    <w:rsid w:val="00EE4902"/>
    <w:rsid w:val="00EE4945"/>
    <w:rsid w:val="00EE495F"/>
    <w:rsid w:val="00EE4970"/>
    <w:rsid w:val="00EE4A3C"/>
    <w:rsid w:val="00EE4A68"/>
    <w:rsid w:val="00EE4AD2"/>
    <w:rsid w:val="00EE4B58"/>
    <w:rsid w:val="00EE4B81"/>
    <w:rsid w:val="00EE4BC8"/>
    <w:rsid w:val="00EE4C13"/>
    <w:rsid w:val="00EE4C1B"/>
    <w:rsid w:val="00EE4C29"/>
    <w:rsid w:val="00EE4C2C"/>
    <w:rsid w:val="00EE4CD2"/>
    <w:rsid w:val="00EE4D4C"/>
    <w:rsid w:val="00EE4E36"/>
    <w:rsid w:val="00EE4EA5"/>
    <w:rsid w:val="00EE4EAF"/>
    <w:rsid w:val="00EE4EDD"/>
    <w:rsid w:val="00EE4F54"/>
    <w:rsid w:val="00EE4F70"/>
    <w:rsid w:val="00EE4FAE"/>
    <w:rsid w:val="00EE4FC9"/>
    <w:rsid w:val="00EE5010"/>
    <w:rsid w:val="00EE505A"/>
    <w:rsid w:val="00EE50AA"/>
    <w:rsid w:val="00EE50D1"/>
    <w:rsid w:val="00EE50F7"/>
    <w:rsid w:val="00EE511A"/>
    <w:rsid w:val="00EE51D7"/>
    <w:rsid w:val="00EE53CA"/>
    <w:rsid w:val="00EE5458"/>
    <w:rsid w:val="00EE5498"/>
    <w:rsid w:val="00EE54A0"/>
    <w:rsid w:val="00EE54EE"/>
    <w:rsid w:val="00EE54FA"/>
    <w:rsid w:val="00EE556D"/>
    <w:rsid w:val="00EE55B2"/>
    <w:rsid w:val="00EE55F9"/>
    <w:rsid w:val="00EE560F"/>
    <w:rsid w:val="00EE5623"/>
    <w:rsid w:val="00EE567E"/>
    <w:rsid w:val="00EE56B1"/>
    <w:rsid w:val="00EE56CE"/>
    <w:rsid w:val="00EE5712"/>
    <w:rsid w:val="00EE573B"/>
    <w:rsid w:val="00EE57B6"/>
    <w:rsid w:val="00EE57BF"/>
    <w:rsid w:val="00EE57E0"/>
    <w:rsid w:val="00EE5854"/>
    <w:rsid w:val="00EE5861"/>
    <w:rsid w:val="00EE5879"/>
    <w:rsid w:val="00EE588A"/>
    <w:rsid w:val="00EE58E3"/>
    <w:rsid w:val="00EE58E6"/>
    <w:rsid w:val="00EE58E8"/>
    <w:rsid w:val="00EE58EA"/>
    <w:rsid w:val="00EE58F7"/>
    <w:rsid w:val="00EE595F"/>
    <w:rsid w:val="00EE5977"/>
    <w:rsid w:val="00EE5A43"/>
    <w:rsid w:val="00EE5AB0"/>
    <w:rsid w:val="00EE5AD5"/>
    <w:rsid w:val="00EE5AEC"/>
    <w:rsid w:val="00EE5B30"/>
    <w:rsid w:val="00EE5B43"/>
    <w:rsid w:val="00EE5B63"/>
    <w:rsid w:val="00EE5B93"/>
    <w:rsid w:val="00EE5C32"/>
    <w:rsid w:val="00EE5CC7"/>
    <w:rsid w:val="00EE5CCA"/>
    <w:rsid w:val="00EE5CEE"/>
    <w:rsid w:val="00EE5D7D"/>
    <w:rsid w:val="00EE5D9C"/>
    <w:rsid w:val="00EE5DB2"/>
    <w:rsid w:val="00EE5E4C"/>
    <w:rsid w:val="00EE5E4F"/>
    <w:rsid w:val="00EE5E5D"/>
    <w:rsid w:val="00EE5EE8"/>
    <w:rsid w:val="00EE5EEB"/>
    <w:rsid w:val="00EE5F0E"/>
    <w:rsid w:val="00EE5FCC"/>
    <w:rsid w:val="00EE5FFE"/>
    <w:rsid w:val="00EE6098"/>
    <w:rsid w:val="00EE60AD"/>
    <w:rsid w:val="00EE612B"/>
    <w:rsid w:val="00EE6180"/>
    <w:rsid w:val="00EE61F4"/>
    <w:rsid w:val="00EE625E"/>
    <w:rsid w:val="00EE6265"/>
    <w:rsid w:val="00EE6268"/>
    <w:rsid w:val="00EE62CB"/>
    <w:rsid w:val="00EE6360"/>
    <w:rsid w:val="00EE6400"/>
    <w:rsid w:val="00EE6441"/>
    <w:rsid w:val="00EE6494"/>
    <w:rsid w:val="00EE6497"/>
    <w:rsid w:val="00EE6627"/>
    <w:rsid w:val="00EE668A"/>
    <w:rsid w:val="00EE66CA"/>
    <w:rsid w:val="00EE6728"/>
    <w:rsid w:val="00EE6743"/>
    <w:rsid w:val="00EE6764"/>
    <w:rsid w:val="00EE676D"/>
    <w:rsid w:val="00EE678C"/>
    <w:rsid w:val="00EE6797"/>
    <w:rsid w:val="00EE67AE"/>
    <w:rsid w:val="00EE6813"/>
    <w:rsid w:val="00EE6820"/>
    <w:rsid w:val="00EE6825"/>
    <w:rsid w:val="00EE6877"/>
    <w:rsid w:val="00EE691B"/>
    <w:rsid w:val="00EE6952"/>
    <w:rsid w:val="00EE6964"/>
    <w:rsid w:val="00EE6A7A"/>
    <w:rsid w:val="00EE6AB7"/>
    <w:rsid w:val="00EE6AC1"/>
    <w:rsid w:val="00EE6B30"/>
    <w:rsid w:val="00EE6B56"/>
    <w:rsid w:val="00EE6B62"/>
    <w:rsid w:val="00EE6BB8"/>
    <w:rsid w:val="00EE6BCD"/>
    <w:rsid w:val="00EE6BF6"/>
    <w:rsid w:val="00EE6C12"/>
    <w:rsid w:val="00EE6C31"/>
    <w:rsid w:val="00EE6C4D"/>
    <w:rsid w:val="00EE6C78"/>
    <w:rsid w:val="00EE6CCA"/>
    <w:rsid w:val="00EE6D4B"/>
    <w:rsid w:val="00EE6E68"/>
    <w:rsid w:val="00EE6E99"/>
    <w:rsid w:val="00EE6F31"/>
    <w:rsid w:val="00EE6F40"/>
    <w:rsid w:val="00EE6FED"/>
    <w:rsid w:val="00EE7007"/>
    <w:rsid w:val="00EE7069"/>
    <w:rsid w:val="00EE710A"/>
    <w:rsid w:val="00EE7193"/>
    <w:rsid w:val="00EE7206"/>
    <w:rsid w:val="00EE7218"/>
    <w:rsid w:val="00EE72A8"/>
    <w:rsid w:val="00EE72AC"/>
    <w:rsid w:val="00EE72CC"/>
    <w:rsid w:val="00EE72DC"/>
    <w:rsid w:val="00EE72E9"/>
    <w:rsid w:val="00EE72ED"/>
    <w:rsid w:val="00EE72FB"/>
    <w:rsid w:val="00EE7370"/>
    <w:rsid w:val="00EE74EA"/>
    <w:rsid w:val="00EE7546"/>
    <w:rsid w:val="00EE7570"/>
    <w:rsid w:val="00EE75AB"/>
    <w:rsid w:val="00EE75D4"/>
    <w:rsid w:val="00EE75E7"/>
    <w:rsid w:val="00EE760F"/>
    <w:rsid w:val="00EE7626"/>
    <w:rsid w:val="00EE7647"/>
    <w:rsid w:val="00EE76E9"/>
    <w:rsid w:val="00EE772C"/>
    <w:rsid w:val="00EE7743"/>
    <w:rsid w:val="00EE7748"/>
    <w:rsid w:val="00EE77CC"/>
    <w:rsid w:val="00EE7835"/>
    <w:rsid w:val="00EE7856"/>
    <w:rsid w:val="00EE787D"/>
    <w:rsid w:val="00EE788E"/>
    <w:rsid w:val="00EE78EC"/>
    <w:rsid w:val="00EE78EF"/>
    <w:rsid w:val="00EE791A"/>
    <w:rsid w:val="00EE799A"/>
    <w:rsid w:val="00EE79B3"/>
    <w:rsid w:val="00EE7A16"/>
    <w:rsid w:val="00EE7A27"/>
    <w:rsid w:val="00EE7ABB"/>
    <w:rsid w:val="00EE7AFE"/>
    <w:rsid w:val="00EE7B82"/>
    <w:rsid w:val="00EE7BE7"/>
    <w:rsid w:val="00EE7C50"/>
    <w:rsid w:val="00EE7CAB"/>
    <w:rsid w:val="00EE7CB0"/>
    <w:rsid w:val="00EE7CB5"/>
    <w:rsid w:val="00EE7CC6"/>
    <w:rsid w:val="00EE7CD1"/>
    <w:rsid w:val="00EE7CD2"/>
    <w:rsid w:val="00EE7CFB"/>
    <w:rsid w:val="00EE7D8E"/>
    <w:rsid w:val="00EE7DC5"/>
    <w:rsid w:val="00EE7DF0"/>
    <w:rsid w:val="00EE7E0D"/>
    <w:rsid w:val="00EE7E22"/>
    <w:rsid w:val="00EE7F00"/>
    <w:rsid w:val="00EE7F4E"/>
    <w:rsid w:val="00EE7FF2"/>
    <w:rsid w:val="00EF0072"/>
    <w:rsid w:val="00EF008D"/>
    <w:rsid w:val="00EF0099"/>
    <w:rsid w:val="00EF00F8"/>
    <w:rsid w:val="00EF0106"/>
    <w:rsid w:val="00EF011D"/>
    <w:rsid w:val="00EF0154"/>
    <w:rsid w:val="00EF01D6"/>
    <w:rsid w:val="00EF01E7"/>
    <w:rsid w:val="00EF0206"/>
    <w:rsid w:val="00EF0221"/>
    <w:rsid w:val="00EF025A"/>
    <w:rsid w:val="00EF0290"/>
    <w:rsid w:val="00EF02DE"/>
    <w:rsid w:val="00EF0302"/>
    <w:rsid w:val="00EF0307"/>
    <w:rsid w:val="00EF036D"/>
    <w:rsid w:val="00EF039F"/>
    <w:rsid w:val="00EF03C1"/>
    <w:rsid w:val="00EF03D0"/>
    <w:rsid w:val="00EF0425"/>
    <w:rsid w:val="00EF04C6"/>
    <w:rsid w:val="00EF04FD"/>
    <w:rsid w:val="00EF0511"/>
    <w:rsid w:val="00EF0525"/>
    <w:rsid w:val="00EF0534"/>
    <w:rsid w:val="00EF056F"/>
    <w:rsid w:val="00EF0582"/>
    <w:rsid w:val="00EF05AB"/>
    <w:rsid w:val="00EF060F"/>
    <w:rsid w:val="00EF06FB"/>
    <w:rsid w:val="00EF075B"/>
    <w:rsid w:val="00EF07FF"/>
    <w:rsid w:val="00EF0812"/>
    <w:rsid w:val="00EF0847"/>
    <w:rsid w:val="00EF084E"/>
    <w:rsid w:val="00EF086B"/>
    <w:rsid w:val="00EF08A8"/>
    <w:rsid w:val="00EF092B"/>
    <w:rsid w:val="00EF0932"/>
    <w:rsid w:val="00EF0989"/>
    <w:rsid w:val="00EF09AA"/>
    <w:rsid w:val="00EF0A2B"/>
    <w:rsid w:val="00EF0A45"/>
    <w:rsid w:val="00EF0A57"/>
    <w:rsid w:val="00EF0A5B"/>
    <w:rsid w:val="00EF0A69"/>
    <w:rsid w:val="00EF0A77"/>
    <w:rsid w:val="00EF0B2A"/>
    <w:rsid w:val="00EF0B6F"/>
    <w:rsid w:val="00EF0BBF"/>
    <w:rsid w:val="00EF0BE8"/>
    <w:rsid w:val="00EF0C31"/>
    <w:rsid w:val="00EF0C4F"/>
    <w:rsid w:val="00EF0C7C"/>
    <w:rsid w:val="00EF0CF2"/>
    <w:rsid w:val="00EF0D26"/>
    <w:rsid w:val="00EF0D43"/>
    <w:rsid w:val="00EF0D4F"/>
    <w:rsid w:val="00EF0E2B"/>
    <w:rsid w:val="00EF0E30"/>
    <w:rsid w:val="00EF0EC5"/>
    <w:rsid w:val="00EF0F0F"/>
    <w:rsid w:val="00EF0F29"/>
    <w:rsid w:val="00EF0F87"/>
    <w:rsid w:val="00EF1020"/>
    <w:rsid w:val="00EF1043"/>
    <w:rsid w:val="00EF1083"/>
    <w:rsid w:val="00EF1090"/>
    <w:rsid w:val="00EF1109"/>
    <w:rsid w:val="00EF111D"/>
    <w:rsid w:val="00EF117D"/>
    <w:rsid w:val="00EF11EB"/>
    <w:rsid w:val="00EF11F0"/>
    <w:rsid w:val="00EF12F3"/>
    <w:rsid w:val="00EF1324"/>
    <w:rsid w:val="00EF1327"/>
    <w:rsid w:val="00EF138F"/>
    <w:rsid w:val="00EF1395"/>
    <w:rsid w:val="00EF13AE"/>
    <w:rsid w:val="00EF13ED"/>
    <w:rsid w:val="00EF1435"/>
    <w:rsid w:val="00EF145E"/>
    <w:rsid w:val="00EF149E"/>
    <w:rsid w:val="00EF14C8"/>
    <w:rsid w:val="00EF150A"/>
    <w:rsid w:val="00EF1527"/>
    <w:rsid w:val="00EF153D"/>
    <w:rsid w:val="00EF1577"/>
    <w:rsid w:val="00EF1585"/>
    <w:rsid w:val="00EF1593"/>
    <w:rsid w:val="00EF15FA"/>
    <w:rsid w:val="00EF161A"/>
    <w:rsid w:val="00EF162E"/>
    <w:rsid w:val="00EF1635"/>
    <w:rsid w:val="00EF167D"/>
    <w:rsid w:val="00EF16C1"/>
    <w:rsid w:val="00EF16F8"/>
    <w:rsid w:val="00EF1723"/>
    <w:rsid w:val="00EF175B"/>
    <w:rsid w:val="00EF180B"/>
    <w:rsid w:val="00EF1865"/>
    <w:rsid w:val="00EF186D"/>
    <w:rsid w:val="00EF18DD"/>
    <w:rsid w:val="00EF1916"/>
    <w:rsid w:val="00EF192D"/>
    <w:rsid w:val="00EF1962"/>
    <w:rsid w:val="00EF1975"/>
    <w:rsid w:val="00EF1976"/>
    <w:rsid w:val="00EF1985"/>
    <w:rsid w:val="00EF1A04"/>
    <w:rsid w:val="00EF1A72"/>
    <w:rsid w:val="00EF1ACB"/>
    <w:rsid w:val="00EF1AE1"/>
    <w:rsid w:val="00EF1B11"/>
    <w:rsid w:val="00EF1B4C"/>
    <w:rsid w:val="00EF1BA6"/>
    <w:rsid w:val="00EF1BD4"/>
    <w:rsid w:val="00EF1C34"/>
    <w:rsid w:val="00EF1C3B"/>
    <w:rsid w:val="00EF1C6D"/>
    <w:rsid w:val="00EF1C91"/>
    <w:rsid w:val="00EF1CC7"/>
    <w:rsid w:val="00EF1D0A"/>
    <w:rsid w:val="00EF1D34"/>
    <w:rsid w:val="00EF1D4F"/>
    <w:rsid w:val="00EF1D75"/>
    <w:rsid w:val="00EF1D9C"/>
    <w:rsid w:val="00EF1DA4"/>
    <w:rsid w:val="00EF1DAE"/>
    <w:rsid w:val="00EF1DBC"/>
    <w:rsid w:val="00EF1DC6"/>
    <w:rsid w:val="00EF1E0C"/>
    <w:rsid w:val="00EF1E40"/>
    <w:rsid w:val="00EF1E53"/>
    <w:rsid w:val="00EF1ED1"/>
    <w:rsid w:val="00EF1F08"/>
    <w:rsid w:val="00EF1F10"/>
    <w:rsid w:val="00EF1F62"/>
    <w:rsid w:val="00EF1F98"/>
    <w:rsid w:val="00EF1FC2"/>
    <w:rsid w:val="00EF2015"/>
    <w:rsid w:val="00EF2071"/>
    <w:rsid w:val="00EF20D8"/>
    <w:rsid w:val="00EF20EC"/>
    <w:rsid w:val="00EF2137"/>
    <w:rsid w:val="00EF214D"/>
    <w:rsid w:val="00EF21AB"/>
    <w:rsid w:val="00EF22BD"/>
    <w:rsid w:val="00EF22F9"/>
    <w:rsid w:val="00EF2344"/>
    <w:rsid w:val="00EF23D2"/>
    <w:rsid w:val="00EF240D"/>
    <w:rsid w:val="00EF24F1"/>
    <w:rsid w:val="00EF24FA"/>
    <w:rsid w:val="00EF256A"/>
    <w:rsid w:val="00EF25E6"/>
    <w:rsid w:val="00EF26B0"/>
    <w:rsid w:val="00EF2739"/>
    <w:rsid w:val="00EF274A"/>
    <w:rsid w:val="00EF277A"/>
    <w:rsid w:val="00EF27C2"/>
    <w:rsid w:val="00EF27D0"/>
    <w:rsid w:val="00EF27DB"/>
    <w:rsid w:val="00EF27DC"/>
    <w:rsid w:val="00EF2806"/>
    <w:rsid w:val="00EF2814"/>
    <w:rsid w:val="00EF2819"/>
    <w:rsid w:val="00EF2884"/>
    <w:rsid w:val="00EF2892"/>
    <w:rsid w:val="00EF28E0"/>
    <w:rsid w:val="00EF292F"/>
    <w:rsid w:val="00EF2A45"/>
    <w:rsid w:val="00EF2A6D"/>
    <w:rsid w:val="00EF2A78"/>
    <w:rsid w:val="00EF2AA2"/>
    <w:rsid w:val="00EF2AAC"/>
    <w:rsid w:val="00EF2B01"/>
    <w:rsid w:val="00EF2B24"/>
    <w:rsid w:val="00EF2BBB"/>
    <w:rsid w:val="00EF2BCE"/>
    <w:rsid w:val="00EF2C67"/>
    <w:rsid w:val="00EF2C7B"/>
    <w:rsid w:val="00EF2CB7"/>
    <w:rsid w:val="00EF2D27"/>
    <w:rsid w:val="00EF2D2E"/>
    <w:rsid w:val="00EF2DFC"/>
    <w:rsid w:val="00EF2E53"/>
    <w:rsid w:val="00EF2E9A"/>
    <w:rsid w:val="00EF2EBE"/>
    <w:rsid w:val="00EF2ED5"/>
    <w:rsid w:val="00EF2F11"/>
    <w:rsid w:val="00EF2F3A"/>
    <w:rsid w:val="00EF2F3E"/>
    <w:rsid w:val="00EF2F8D"/>
    <w:rsid w:val="00EF2F97"/>
    <w:rsid w:val="00EF2FE0"/>
    <w:rsid w:val="00EF2FE7"/>
    <w:rsid w:val="00EF2FF4"/>
    <w:rsid w:val="00EF2FFF"/>
    <w:rsid w:val="00EF305F"/>
    <w:rsid w:val="00EF30E8"/>
    <w:rsid w:val="00EF318B"/>
    <w:rsid w:val="00EF318E"/>
    <w:rsid w:val="00EF320E"/>
    <w:rsid w:val="00EF3257"/>
    <w:rsid w:val="00EF3266"/>
    <w:rsid w:val="00EF3284"/>
    <w:rsid w:val="00EF32DF"/>
    <w:rsid w:val="00EF32F2"/>
    <w:rsid w:val="00EF331B"/>
    <w:rsid w:val="00EF3341"/>
    <w:rsid w:val="00EF3344"/>
    <w:rsid w:val="00EF3367"/>
    <w:rsid w:val="00EF3377"/>
    <w:rsid w:val="00EF339D"/>
    <w:rsid w:val="00EF33BF"/>
    <w:rsid w:val="00EF33CB"/>
    <w:rsid w:val="00EF341A"/>
    <w:rsid w:val="00EF343C"/>
    <w:rsid w:val="00EF3450"/>
    <w:rsid w:val="00EF3478"/>
    <w:rsid w:val="00EF349A"/>
    <w:rsid w:val="00EF351E"/>
    <w:rsid w:val="00EF3529"/>
    <w:rsid w:val="00EF3582"/>
    <w:rsid w:val="00EF3668"/>
    <w:rsid w:val="00EF3679"/>
    <w:rsid w:val="00EF36BF"/>
    <w:rsid w:val="00EF373D"/>
    <w:rsid w:val="00EF3752"/>
    <w:rsid w:val="00EF376D"/>
    <w:rsid w:val="00EF37AD"/>
    <w:rsid w:val="00EF38AA"/>
    <w:rsid w:val="00EF38CE"/>
    <w:rsid w:val="00EF390D"/>
    <w:rsid w:val="00EF39AD"/>
    <w:rsid w:val="00EF39CE"/>
    <w:rsid w:val="00EF3A68"/>
    <w:rsid w:val="00EF3A83"/>
    <w:rsid w:val="00EF3B14"/>
    <w:rsid w:val="00EF3B30"/>
    <w:rsid w:val="00EF3B51"/>
    <w:rsid w:val="00EF3B5B"/>
    <w:rsid w:val="00EF3B68"/>
    <w:rsid w:val="00EF3BB0"/>
    <w:rsid w:val="00EF3BBD"/>
    <w:rsid w:val="00EF3BC1"/>
    <w:rsid w:val="00EF3C33"/>
    <w:rsid w:val="00EF3C58"/>
    <w:rsid w:val="00EF3C64"/>
    <w:rsid w:val="00EF3C6C"/>
    <w:rsid w:val="00EF3CBC"/>
    <w:rsid w:val="00EF3CF1"/>
    <w:rsid w:val="00EF3D0D"/>
    <w:rsid w:val="00EF3D45"/>
    <w:rsid w:val="00EF3DC9"/>
    <w:rsid w:val="00EF3DF2"/>
    <w:rsid w:val="00EF3E5D"/>
    <w:rsid w:val="00EF3E5F"/>
    <w:rsid w:val="00EF3E70"/>
    <w:rsid w:val="00EF3F6B"/>
    <w:rsid w:val="00EF3FA3"/>
    <w:rsid w:val="00EF3FB6"/>
    <w:rsid w:val="00EF402F"/>
    <w:rsid w:val="00EF403E"/>
    <w:rsid w:val="00EF408D"/>
    <w:rsid w:val="00EF40B3"/>
    <w:rsid w:val="00EF40B7"/>
    <w:rsid w:val="00EF4126"/>
    <w:rsid w:val="00EF41A0"/>
    <w:rsid w:val="00EF4215"/>
    <w:rsid w:val="00EF423D"/>
    <w:rsid w:val="00EF426B"/>
    <w:rsid w:val="00EF4296"/>
    <w:rsid w:val="00EF42B0"/>
    <w:rsid w:val="00EF4331"/>
    <w:rsid w:val="00EF4373"/>
    <w:rsid w:val="00EF4378"/>
    <w:rsid w:val="00EF43C2"/>
    <w:rsid w:val="00EF4412"/>
    <w:rsid w:val="00EF4569"/>
    <w:rsid w:val="00EF4582"/>
    <w:rsid w:val="00EF45ED"/>
    <w:rsid w:val="00EF461F"/>
    <w:rsid w:val="00EF4684"/>
    <w:rsid w:val="00EF469D"/>
    <w:rsid w:val="00EF46E1"/>
    <w:rsid w:val="00EF46EF"/>
    <w:rsid w:val="00EF4746"/>
    <w:rsid w:val="00EF478E"/>
    <w:rsid w:val="00EF4803"/>
    <w:rsid w:val="00EF481C"/>
    <w:rsid w:val="00EF4841"/>
    <w:rsid w:val="00EF48E8"/>
    <w:rsid w:val="00EF491D"/>
    <w:rsid w:val="00EF4952"/>
    <w:rsid w:val="00EF4966"/>
    <w:rsid w:val="00EF4A3D"/>
    <w:rsid w:val="00EF4A61"/>
    <w:rsid w:val="00EF4AEA"/>
    <w:rsid w:val="00EF4B70"/>
    <w:rsid w:val="00EF4BD7"/>
    <w:rsid w:val="00EF4C50"/>
    <w:rsid w:val="00EF4C56"/>
    <w:rsid w:val="00EF4C9E"/>
    <w:rsid w:val="00EF4CEA"/>
    <w:rsid w:val="00EF4CF2"/>
    <w:rsid w:val="00EF4D5A"/>
    <w:rsid w:val="00EF4DBC"/>
    <w:rsid w:val="00EF4E4B"/>
    <w:rsid w:val="00EF4F2F"/>
    <w:rsid w:val="00EF4F55"/>
    <w:rsid w:val="00EF4FCD"/>
    <w:rsid w:val="00EF4FDE"/>
    <w:rsid w:val="00EF500F"/>
    <w:rsid w:val="00EF509E"/>
    <w:rsid w:val="00EF50A5"/>
    <w:rsid w:val="00EF50D9"/>
    <w:rsid w:val="00EF5150"/>
    <w:rsid w:val="00EF5169"/>
    <w:rsid w:val="00EF5173"/>
    <w:rsid w:val="00EF518A"/>
    <w:rsid w:val="00EF52F4"/>
    <w:rsid w:val="00EF530C"/>
    <w:rsid w:val="00EF5368"/>
    <w:rsid w:val="00EF537C"/>
    <w:rsid w:val="00EF53B7"/>
    <w:rsid w:val="00EF5412"/>
    <w:rsid w:val="00EF541A"/>
    <w:rsid w:val="00EF54A7"/>
    <w:rsid w:val="00EF54B1"/>
    <w:rsid w:val="00EF54CD"/>
    <w:rsid w:val="00EF54DC"/>
    <w:rsid w:val="00EF5547"/>
    <w:rsid w:val="00EF557B"/>
    <w:rsid w:val="00EF5581"/>
    <w:rsid w:val="00EF5592"/>
    <w:rsid w:val="00EF55AB"/>
    <w:rsid w:val="00EF55CC"/>
    <w:rsid w:val="00EF5668"/>
    <w:rsid w:val="00EF568B"/>
    <w:rsid w:val="00EF5693"/>
    <w:rsid w:val="00EF56CF"/>
    <w:rsid w:val="00EF56E0"/>
    <w:rsid w:val="00EF5716"/>
    <w:rsid w:val="00EF5733"/>
    <w:rsid w:val="00EF5744"/>
    <w:rsid w:val="00EF577C"/>
    <w:rsid w:val="00EF57A9"/>
    <w:rsid w:val="00EF57C9"/>
    <w:rsid w:val="00EF57D7"/>
    <w:rsid w:val="00EF57E4"/>
    <w:rsid w:val="00EF57F7"/>
    <w:rsid w:val="00EF58B0"/>
    <w:rsid w:val="00EF58D7"/>
    <w:rsid w:val="00EF58FB"/>
    <w:rsid w:val="00EF5927"/>
    <w:rsid w:val="00EF5950"/>
    <w:rsid w:val="00EF5A0D"/>
    <w:rsid w:val="00EF5A35"/>
    <w:rsid w:val="00EF5A55"/>
    <w:rsid w:val="00EF5A7C"/>
    <w:rsid w:val="00EF5AA6"/>
    <w:rsid w:val="00EF5B1A"/>
    <w:rsid w:val="00EF5B2E"/>
    <w:rsid w:val="00EF5B60"/>
    <w:rsid w:val="00EF5BB1"/>
    <w:rsid w:val="00EF5BEC"/>
    <w:rsid w:val="00EF5C4F"/>
    <w:rsid w:val="00EF5C8A"/>
    <w:rsid w:val="00EF5C8F"/>
    <w:rsid w:val="00EF5CC8"/>
    <w:rsid w:val="00EF5D1B"/>
    <w:rsid w:val="00EF5D59"/>
    <w:rsid w:val="00EF5DE7"/>
    <w:rsid w:val="00EF5DED"/>
    <w:rsid w:val="00EF5E55"/>
    <w:rsid w:val="00EF5F21"/>
    <w:rsid w:val="00EF5FEE"/>
    <w:rsid w:val="00EF604E"/>
    <w:rsid w:val="00EF60A4"/>
    <w:rsid w:val="00EF610F"/>
    <w:rsid w:val="00EF61B2"/>
    <w:rsid w:val="00EF61CD"/>
    <w:rsid w:val="00EF621A"/>
    <w:rsid w:val="00EF6226"/>
    <w:rsid w:val="00EF623A"/>
    <w:rsid w:val="00EF6247"/>
    <w:rsid w:val="00EF62AE"/>
    <w:rsid w:val="00EF6312"/>
    <w:rsid w:val="00EF631F"/>
    <w:rsid w:val="00EF6346"/>
    <w:rsid w:val="00EF63B6"/>
    <w:rsid w:val="00EF641C"/>
    <w:rsid w:val="00EF648A"/>
    <w:rsid w:val="00EF648D"/>
    <w:rsid w:val="00EF64AC"/>
    <w:rsid w:val="00EF64BE"/>
    <w:rsid w:val="00EF64D3"/>
    <w:rsid w:val="00EF652F"/>
    <w:rsid w:val="00EF6557"/>
    <w:rsid w:val="00EF6571"/>
    <w:rsid w:val="00EF6610"/>
    <w:rsid w:val="00EF6613"/>
    <w:rsid w:val="00EF6629"/>
    <w:rsid w:val="00EF6682"/>
    <w:rsid w:val="00EF669D"/>
    <w:rsid w:val="00EF66BD"/>
    <w:rsid w:val="00EF66FE"/>
    <w:rsid w:val="00EF672A"/>
    <w:rsid w:val="00EF6759"/>
    <w:rsid w:val="00EF6837"/>
    <w:rsid w:val="00EF694A"/>
    <w:rsid w:val="00EF6950"/>
    <w:rsid w:val="00EF6973"/>
    <w:rsid w:val="00EF6976"/>
    <w:rsid w:val="00EF69A6"/>
    <w:rsid w:val="00EF6A05"/>
    <w:rsid w:val="00EF6B9A"/>
    <w:rsid w:val="00EF6BE8"/>
    <w:rsid w:val="00EF6BEB"/>
    <w:rsid w:val="00EF6BF9"/>
    <w:rsid w:val="00EF6C21"/>
    <w:rsid w:val="00EF6C54"/>
    <w:rsid w:val="00EF6D32"/>
    <w:rsid w:val="00EF6DF2"/>
    <w:rsid w:val="00EF6E16"/>
    <w:rsid w:val="00EF6E54"/>
    <w:rsid w:val="00EF6E8B"/>
    <w:rsid w:val="00EF6EDE"/>
    <w:rsid w:val="00EF6F7E"/>
    <w:rsid w:val="00EF6FE2"/>
    <w:rsid w:val="00EF7042"/>
    <w:rsid w:val="00EF7050"/>
    <w:rsid w:val="00EF7084"/>
    <w:rsid w:val="00EF7089"/>
    <w:rsid w:val="00EF71B8"/>
    <w:rsid w:val="00EF71BB"/>
    <w:rsid w:val="00EF71CF"/>
    <w:rsid w:val="00EF7224"/>
    <w:rsid w:val="00EF7245"/>
    <w:rsid w:val="00EF724A"/>
    <w:rsid w:val="00EF727D"/>
    <w:rsid w:val="00EF72BD"/>
    <w:rsid w:val="00EF7332"/>
    <w:rsid w:val="00EF7341"/>
    <w:rsid w:val="00EF7344"/>
    <w:rsid w:val="00EF7351"/>
    <w:rsid w:val="00EF7356"/>
    <w:rsid w:val="00EF73A7"/>
    <w:rsid w:val="00EF73D2"/>
    <w:rsid w:val="00EF7405"/>
    <w:rsid w:val="00EF7406"/>
    <w:rsid w:val="00EF7417"/>
    <w:rsid w:val="00EF7484"/>
    <w:rsid w:val="00EF74DE"/>
    <w:rsid w:val="00EF74E4"/>
    <w:rsid w:val="00EF7504"/>
    <w:rsid w:val="00EF75BB"/>
    <w:rsid w:val="00EF7660"/>
    <w:rsid w:val="00EF76CC"/>
    <w:rsid w:val="00EF7701"/>
    <w:rsid w:val="00EF7733"/>
    <w:rsid w:val="00EF7739"/>
    <w:rsid w:val="00EF7778"/>
    <w:rsid w:val="00EF777D"/>
    <w:rsid w:val="00EF779C"/>
    <w:rsid w:val="00EF78FE"/>
    <w:rsid w:val="00EF7977"/>
    <w:rsid w:val="00EF7A28"/>
    <w:rsid w:val="00EF7A5E"/>
    <w:rsid w:val="00EF7A8A"/>
    <w:rsid w:val="00EF7AE2"/>
    <w:rsid w:val="00EF7B7F"/>
    <w:rsid w:val="00EF7B82"/>
    <w:rsid w:val="00EF7BBF"/>
    <w:rsid w:val="00EF7BE7"/>
    <w:rsid w:val="00EF7C4E"/>
    <w:rsid w:val="00EF7CD6"/>
    <w:rsid w:val="00EF7DAA"/>
    <w:rsid w:val="00EF7DF1"/>
    <w:rsid w:val="00EF7E08"/>
    <w:rsid w:val="00EF7E6B"/>
    <w:rsid w:val="00EF7E9C"/>
    <w:rsid w:val="00EF7EDA"/>
    <w:rsid w:val="00EF7F0A"/>
    <w:rsid w:val="00EF7F1D"/>
    <w:rsid w:val="00EF7F22"/>
    <w:rsid w:val="00EF7F44"/>
    <w:rsid w:val="00EF7F8F"/>
    <w:rsid w:val="00EF7FA7"/>
    <w:rsid w:val="00EF7FB9"/>
    <w:rsid w:val="00EF7FD1"/>
    <w:rsid w:val="00EF7FEF"/>
    <w:rsid w:val="00F0007D"/>
    <w:rsid w:val="00F000D7"/>
    <w:rsid w:val="00F000EF"/>
    <w:rsid w:val="00F000F6"/>
    <w:rsid w:val="00F000F7"/>
    <w:rsid w:val="00F00104"/>
    <w:rsid w:val="00F00115"/>
    <w:rsid w:val="00F0017B"/>
    <w:rsid w:val="00F001AE"/>
    <w:rsid w:val="00F0020C"/>
    <w:rsid w:val="00F00251"/>
    <w:rsid w:val="00F002E8"/>
    <w:rsid w:val="00F00341"/>
    <w:rsid w:val="00F00360"/>
    <w:rsid w:val="00F00363"/>
    <w:rsid w:val="00F0043B"/>
    <w:rsid w:val="00F00446"/>
    <w:rsid w:val="00F004AF"/>
    <w:rsid w:val="00F004BD"/>
    <w:rsid w:val="00F004EC"/>
    <w:rsid w:val="00F00577"/>
    <w:rsid w:val="00F00619"/>
    <w:rsid w:val="00F0063F"/>
    <w:rsid w:val="00F006B2"/>
    <w:rsid w:val="00F006B7"/>
    <w:rsid w:val="00F006EA"/>
    <w:rsid w:val="00F006EB"/>
    <w:rsid w:val="00F00766"/>
    <w:rsid w:val="00F00781"/>
    <w:rsid w:val="00F00785"/>
    <w:rsid w:val="00F007BF"/>
    <w:rsid w:val="00F00829"/>
    <w:rsid w:val="00F0082D"/>
    <w:rsid w:val="00F00838"/>
    <w:rsid w:val="00F00862"/>
    <w:rsid w:val="00F00875"/>
    <w:rsid w:val="00F00952"/>
    <w:rsid w:val="00F00987"/>
    <w:rsid w:val="00F009E2"/>
    <w:rsid w:val="00F00A8E"/>
    <w:rsid w:val="00F00B08"/>
    <w:rsid w:val="00F00B6D"/>
    <w:rsid w:val="00F00C0C"/>
    <w:rsid w:val="00F00C18"/>
    <w:rsid w:val="00F00C38"/>
    <w:rsid w:val="00F00CD9"/>
    <w:rsid w:val="00F00D45"/>
    <w:rsid w:val="00F00D86"/>
    <w:rsid w:val="00F00D96"/>
    <w:rsid w:val="00F00D9C"/>
    <w:rsid w:val="00F00DD6"/>
    <w:rsid w:val="00F00E20"/>
    <w:rsid w:val="00F00E3F"/>
    <w:rsid w:val="00F00E5F"/>
    <w:rsid w:val="00F00F03"/>
    <w:rsid w:val="00F00F54"/>
    <w:rsid w:val="00F00F5E"/>
    <w:rsid w:val="00F00F91"/>
    <w:rsid w:val="00F00FC7"/>
    <w:rsid w:val="00F0100A"/>
    <w:rsid w:val="00F01036"/>
    <w:rsid w:val="00F01084"/>
    <w:rsid w:val="00F0108B"/>
    <w:rsid w:val="00F010D4"/>
    <w:rsid w:val="00F0113F"/>
    <w:rsid w:val="00F0115B"/>
    <w:rsid w:val="00F01168"/>
    <w:rsid w:val="00F011DB"/>
    <w:rsid w:val="00F0123C"/>
    <w:rsid w:val="00F012CA"/>
    <w:rsid w:val="00F012EC"/>
    <w:rsid w:val="00F012FB"/>
    <w:rsid w:val="00F01388"/>
    <w:rsid w:val="00F01397"/>
    <w:rsid w:val="00F013F7"/>
    <w:rsid w:val="00F0140D"/>
    <w:rsid w:val="00F01429"/>
    <w:rsid w:val="00F01497"/>
    <w:rsid w:val="00F014C8"/>
    <w:rsid w:val="00F014E7"/>
    <w:rsid w:val="00F01500"/>
    <w:rsid w:val="00F01559"/>
    <w:rsid w:val="00F0158F"/>
    <w:rsid w:val="00F015AB"/>
    <w:rsid w:val="00F015C5"/>
    <w:rsid w:val="00F0165B"/>
    <w:rsid w:val="00F01661"/>
    <w:rsid w:val="00F01669"/>
    <w:rsid w:val="00F01672"/>
    <w:rsid w:val="00F016B0"/>
    <w:rsid w:val="00F016F4"/>
    <w:rsid w:val="00F01701"/>
    <w:rsid w:val="00F01745"/>
    <w:rsid w:val="00F0174A"/>
    <w:rsid w:val="00F01769"/>
    <w:rsid w:val="00F017D4"/>
    <w:rsid w:val="00F017F7"/>
    <w:rsid w:val="00F01830"/>
    <w:rsid w:val="00F0186B"/>
    <w:rsid w:val="00F018A4"/>
    <w:rsid w:val="00F018AA"/>
    <w:rsid w:val="00F018AC"/>
    <w:rsid w:val="00F018BA"/>
    <w:rsid w:val="00F018F6"/>
    <w:rsid w:val="00F0196A"/>
    <w:rsid w:val="00F019C8"/>
    <w:rsid w:val="00F019D4"/>
    <w:rsid w:val="00F01A01"/>
    <w:rsid w:val="00F01A03"/>
    <w:rsid w:val="00F01A36"/>
    <w:rsid w:val="00F01A46"/>
    <w:rsid w:val="00F01A77"/>
    <w:rsid w:val="00F01AB5"/>
    <w:rsid w:val="00F01ADD"/>
    <w:rsid w:val="00F01AE5"/>
    <w:rsid w:val="00F01AEC"/>
    <w:rsid w:val="00F01AF9"/>
    <w:rsid w:val="00F01BD8"/>
    <w:rsid w:val="00F01BDB"/>
    <w:rsid w:val="00F01C0C"/>
    <w:rsid w:val="00F01C67"/>
    <w:rsid w:val="00F01CCD"/>
    <w:rsid w:val="00F01CE5"/>
    <w:rsid w:val="00F01D30"/>
    <w:rsid w:val="00F01D5C"/>
    <w:rsid w:val="00F01D5E"/>
    <w:rsid w:val="00F01DB0"/>
    <w:rsid w:val="00F01E12"/>
    <w:rsid w:val="00F01E85"/>
    <w:rsid w:val="00F01F00"/>
    <w:rsid w:val="00F01F17"/>
    <w:rsid w:val="00F01FB1"/>
    <w:rsid w:val="00F01FD9"/>
    <w:rsid w:val="00F02018"/>
    <w:rsid w:val="00F02047"/>
    <w:rsid w:val="00F02055"/>
    <w:rsid w:val="00F02059"/>
    <w:rsid w:val="00F0209D"/>
    <w:rsid w:val="00F020CF"/>
    <w:rsid w:val="00F020DD"/>
    <w:rsid w:val="00F02110"/>
    <w:rsid w:val="00F02120"/>
    <w:rsid w:val="00F0212D"/>
    <w:rsid w:val="00F02196"/>
    <w:rsid w:val="00F021D6"/>
    <w:rsid w:val="00F021FA"/>
    <w:rsid w:val="00F022E2"/>
    <w:rsid w:val="00F02330"/>
    <w:rsid w:val="00F023C9"/>
    <w:rsid w:val="00F02427"/>
    <w:rsid w:val="00F0242D"/>
    <w:rsid w:val="00F02461"/>
    <w:rsid w:val="00F024B2"/>
    <w:rsid w:val="00F02527"/>
    <w:rsid w:val="00F02536"/>
    <w:rsid w:val="00F02545"/>
    <w:rsid w:val="00F0257B"/>
    <w:rsid w:val="00F0258D"/>
    <w:rsid w:val="00F025D8"/>
    <w:rsid w:val="00F0269B"/>
    <w:rsid w:val="00F026F2"/>
    <w:rsid w:val="00F0275A"/>
    <w:rsid w:val="00F027A0"/>
    <w:rsid w:val="00F027C1"/>
    <w:rsid w:val="00F027E4"/>
    <w:rsid w:val="00F027F7"/>
    <w:rsid w:val="00F02890"/>
    <w:rsid w:val="00F02897"/>
    <w:rsid w:val="00F028CC"/>
    <w:rsid w:val="00F028CD"/>
    <w:rsid w:val="00F028E6"/>
    <w:rsid w:val="00F028FA"/>
    <w:rsid w:val="00F02908"/>
    <w:rsid w:val="00F02910"/>
    <w:rsid w:val="00F02985"/>
    <w:rsid w:val="00F02986"/>
    <w:rsid w:val="00F029F7"/>
    <w:rsid w:val="00F02A1A"/>
    <w:rsid w:val="00F02A24"/>
    <w:rsid w:val="00F02A93"/>
    <w:rsid w:val="00F02A96"/>
    <w:rsid w:val="00F02B14"/>
    <w:rsid w:val="00F02B4B"/>
    <w:rsid w:val="00F02B80"/>
    <w:rsid w:val="00F02B9A"/>
    <w:rsid w:val="00F02BA1"/>
    <w:rsid w:val="00F02BFF"/>
    <w:rsid w:val="00F02C59"/>
    <w:rsid w:val="00F02C76"/>
    <w:rsid w:val="00F02E03"/>
    <w:rsid w:val="00F02E13"/>
    <w:rsid w:val="00F02E22"/>
    <w:rsid w:val="00F02EBF"/>
    <w:rsid w:val="00F02ED1"/>
    <w:rsid w:val="00F02EF6"/>
    <w:rsid w:val="00F02F56"/>
    <w:rsid w:val="00F02F5E"/>
    <w:rsid w:val="00F02F8D"/>
    <w:rsid w:val="00F02FBA"/>
    <w:rsid w:val="00F03047"/>
    <w:rsid w:val="00F030C4"/>
    <w:rsid w:val="00F030DB"/>
    <w:rsid w:val="00F030E8"/>
    <w:rsid w:val="00F03129"/>
    <w:rsid w:val="00F03153"/>
    <w:rsid w:val="00F03185"/>
    <w:rsid w:val="00F031AF"/>
    <w:rsid w:val="00F031B8"/>
    <w:rsid w:val="00F031C6"/>
    <w:rsid w:val="00F03239"/>
    <w:rsid w:val="00F032C4"/>
    <w:rsid w:val="00F032D8"/>
    <w:rsid w:val="00F032FB"/>
    <w:rsid w:val="00F0332C"/>
    <w:rsid w:val="00F03338"/>
    <w:rsid w:val="00F033A3"/>
    <w:rsid w:val="00F033EA"/>
    <w:rsid w:val="00F03417"/>
    <w:rsid w:val="00F0341B"/>
    <w:rsid w:val="00F03462"/>
    <w:rsid w:val="00F03478"/>
    <w:rsid w:val="00F034C2"/>
    <w:rsid w:val="00F0355B"/>
    <w:rsid w:val="00F03566"/>
    <w:rsid w:val="00F0356F"/>
    <w:rsid w:val="00F0357D"/>
    <w:rsid w:val="00F035BB"/>
    <w:rsid w:val="00F035EA"/>
    <w:rsid w:val="00F0360A"/>
    <w:rsid w:val="00F03614"/>
    <w:rsid w:val="00F03691"/>
    <w:rsid w:val="00F036A7"/>
    <w:rsid w:val="00F036EF"/>
    <w:rsid w:val="00F03716"/>
    <w:rsid w:val="00F0373F"/>
    <w:rsid w:val="00F03763"/>
    <w:rsid w:val="00F0377C"/>
    <w:rsid w:val="00F037BB"/>
    <w:rsid w:val="00F03807"/>
    <w:rsid w:val="00F03813"/>
    <w:rsid w:val="00F0383A"/>
    <w:rsid w:val="00F03848"/>
    <w:rsid w:val="00F0386B"/>
    <w:rsid w:val="00F03879"/>
    <w:rsid w:val="00F03942"/>
    <w:rsid w:val="00F03948"/>
    <w:rsid w:val="00F03983"/>
    <w:rsid w:val="00F039AB"/>
    <w:rsid w:val="00F039C8"/>
    <w:rsid w:val="00F03A9F"/>
    <w:rsid w:val="00F03AD5"/>
    <w:rsid w:val="00F03BA8"/>
    <w:rsid w:val="00F03BB9"/>
    <w:rsid w:val="00F03BCA"/>
    <w:rsid w:val="00F03C7A"/>
    <w:rsid w:val="00F03C97"/>
    <w:rsid w:val="00F03D90"/>
    <w:rsid w:val="00F03E22"/>
    <w:rsid w:val="00F03E50"/>
    <w:rsid w:val="00F03EAD"/>
    <w:rsid w:val="00F03EB4"/>
    <w:rsid w:val="00F03F25"/>
    <w:rsid w:val="00F03F9B"/>
    <w:rsid w:val="00F03FA0"/>
    <w:rsid w:val="00F03FED"/>
    <w:rsid w:val="00F04039"/>
    <w:rsid w:val="00F04052"/>
    <w:rsid w:val="00F04080"/>
    <w:rsid w:val="00F04081"/>
    <w:rsid w:val="00F04083"/>
    <w:rsid w:val="00F0413E"/>
    <w:rsid w:val="00F0413F"/>
    <w:rsid w:val="00F04154"/>
    <w:rsid w:val="00F041E5"/>
    <w:rsid w:val="00F041FF"/>
    <w:rsid w:val="00F04221"/>
    <w:rsid w:val="00F042E2"/>
    <w:rsid w:val="00F04317"/>
    <w:rsid w:val="00F0437D"/>
    <w:rsid w:val="00F04386"/>
    <w:rsid w:val="00F043CD"/>
    <w:rsid w:val="00F0441B"/>
    <w:rsid w:val="00F0441E"/>
    <w:rsid w:val="00F04484"/>
    <w:rsid w:val="00F04497"/>
    <w:rsid w:val="00F044B4"/>
    <w:rsid w:val="00F04541"/>
    <w:rsid w:val="00F045E5"/>
    <w:rsid w:val="00F04602"/>
    <w:rsid w:val="00F04687"/>
    <w:rsid w:val="00F046AB"/>
    <w:rsid w:val="00F04708"/>
    <w:rsid w:val="00F0476A"/>
    <w:rsid w:val="00F047F6"/>
    <w:rsid w:val="00F04814"/>
    <w:rsid w:val="00F04835"/>
    <w:rsid w:val="00F04877"/>
    <w:rsid w:val="00F048B2"/>
    <w:rsid w:val="00F048CF"/>
    <w:rsid w:val="00F04981"/>
    <w:rsid w:val="00F049C0"/>
    <w:rsid w:val="00F049D9"/>
    <w:rsid w:val="00F049E4"/>
    <w:rsid w:val="00F049F5"/>
    <w:rsid w:val="00F04A49"/>
    <w:rsid w:val="00F04A5C"/>
    <w:rsid w:val="00F04B1C"/>
    <w:rsid w:val="00F04C02"/>
    <w:rsid w:val="00F04C2C"/>
    <w:rsid w:val="00F04C5F"/>
    <w:rsid w:val="00F04C62"/>
    <w:rsid w:val="00F04CA0"/>
    <w:rsid w:val="00F04CE5"/>
    <w:rsid w:val="00F04D22"/>
    <w:rsid w:val="00F04D71"/>
    <w:rsid w:val="00F04D99"/>
    <w:rsid w:val="00F04DAB"/>
    <w:rsid w:val="00F04DBB"/>
    <w:rsid w:val="00F04DC2"/>
    <w:rsid w:val="00F04E86"/>
    <w:rsid w:val="00F04EA8"/>
    <w:rsid w:val="00F04EDE"/>
    <w:rsid w:val="00F04F29"/>
    <w:rsid w:val="00F04F54"/>
    <w:rsid w:val="00F04FC7"/>
    <w:rsid w:val="00F04FD3"/>
    <w:rsid w:val="00F04FD7"/>
    <w:rsid w:val="00F05056"/>
    <w:rsid w:val="00F050B9"/>
    <w:rsid w:val="00F05128"/>
    <w:rsid w:val="00F05131"/>
    <w:rsid w:val="00F05163"/>
    <w:rsid w:val="00F051B2"/>
    <w:rsid w:val="00F051CE"/>
    <w:rsid w:val="00F05202"/>
    <w:rsid w:val="00F052AF"/>
    <w:rsid w:val="00F05336"/>
    <w:rsid w:val="00F05369"/>
    <w:rsid w:val="00F053B5"/>
    <w:rsid w:val="00F05451"/>
    <w:rsid w:val="00F0549A"/>
    <w:rsid w:val="00F054DD"/>
    <w:rsid w:val="00F05575"/>
    <w:rsid w:val="00F05599"/>
    <w:rsid w:val="00F055BE"/>
    <w:rsid w:val="00F055EE"/>
    <w:rsid w:val="00F0561E"/>
    <w:rsid w:val="00F05664"/>
    <w:rsid w:val="00F056B4"/>
    <w:rsid w:val="00F056C6"/>
    <w:rsid w:val="00F056CD"/>
    <w:rsid w:val="00F057D9"/>
    <w:rsid w:val="00F057E9"/>
    <w:rsid w:val="00F05834"/>
    <w:rsid w:val="00F05837"/>
    <w:rsid w:val="00F058B8"/>
    <w:rsid w:val="00F058EE"/>
    <w:rsid w:val="00F0592A"/>
    <w:rsid w:val="00F05947"/>
    <w:rsid w:val="00F05969"/>
    <w:rsid w:val="00F0599B"/>
    <w:rsid w:val="00F059AF"/>
    <w:rsid w:val="00F059E9"/>
    <w:rsid w:val="00F059F8"/>
    <w:rsid w:val="00F05A19"/>
    <w:rsid w:val="00F05A3F"/>
    <w:rsid w:val="00F05A43"/>
    <w:rsid w:val="00F05AD1"/>
    <w:rsid w:val="00F05B53"/>
    <w:rsid w:val="00F05BA3"/>
    <w:rsid w:val="00F05BE4"/>
    <w:rsid w:val="00F05C02"/>
    <w:rsid w:val="00F05C26"/>
    <w:rsid w:val="00F05C62"/>
    <w:rsid w:val="00F05C9F"/>
    <w:rsid w:val="00F05CCC"/>
    <w:rsid w:val="00F05D5E"/>
    <w:rsid w:val="00F05D7E"/>
    <w:rsid w:val="00F05D85"/>
    <w:rsid w:val="00F05DEE"/>
    <w:rsid w:val="00F05E4E"/>
    <w:rsid w:val="00F05EFB"/>
    <w:rsid w:val="00F05F92"/>
    <w:rsid w:val="00F06013"/>
    <w:rsid w:val="00F060CD"/>
    <w:rsid w:val="00F06123"/>
    <w:rsid w:val="00F061C9"/>
    <w:rsid w:val="00F06200"/>
    <w:rsid w:val="00F06226"/>
    <w:rsid w:val="00F06290"/>
    <w:rsid w:val="00F06294"/>
    <w:rsid w:val="00F062B6"/>
    <w:rsid w:val="00F062BA"/>
    <w:rsid w:val="00F062C9"/>
    <w:rsid w:val="00F062CE"/>
    <w:rsid w:val="00F0637D"/>
    <w:rsid w:val="00F06394"/>
    <w:rsid w:val="00F063CB"/>
    <w:rsid w:val="00F063D9"/>
    <w:rsid w:val="00F063DD"/>
    <w:rsid w:val="00F063F3"/>
    <w:rsid w:val="00F06418"/>
    <w:rsid w:val="00F0641D"/>
    <w:rsid w:val="00F06445"/>
    <w:rsid w:val="00F06462"/>
    <w:rsid w:val="00F0646B"/>
    <w:rsid w:val="00F0647A"/>
    <w:rsid w:val="00F0647F"/>
    <w:rsid w:val="00F064DD"/>
    <w:rsid w:val="00F064E8"/>
    <w:rsid w:val="00F06528"/>
    <w:rsid w:val="00F065C4"/>
    <w:rsid w:val="00F065C7"/>
    <w:rsid w:val="00F0665D"/>
    <w:rsid w:val="00F06696"/>
    <w:rsid w:val="00F066FD"/>
    <w:rsid w:val="00F067A0"/>
    <w:rsid w:val="00F067F0"/>
    <w:rsid w:val="00F06804"/>
    <w:rsid w:val="00F068BD"/>
    <w:rsid w:val="00F0690B"/>
    <w:rsid w:val="00F06916"/>
    <w:rsid w:val="00F0692C"/>
    <w:rsid w:val="00F06A5D"/>
    <w:rsid w:val="00F06B4E"/>
    <w:rsid w:val="00F06BA3"/>
    <w:rsid w:val="00F06BC6"/>
    <w:rsid w:val="00F06BD2"/>
    <w:rsid w:val="00F06C16"/>
    <w:rsid w:val="00F06CB6"/>
    <w:rsid w:val="00F06D13"/>
    <w:rsid w:val="00F06E00"/>
    <w:rsid w:val="00F06E4D"/>
    <w:rsid w:val="00F06E65"/>
    <w:rsid w:val="00F06ED9"/>
    <w:rsid w:val="00F06F7E"/>
    <w:rsid w:val="00F06FC6"/>
    <w:rsid w:val="00F06FC7"/>
    <w:rsid w:val="00F07023"/>
    <w:rsid w:val="00F07041"/>
    <w:rsid w:val="00F07058"/>
    <w:rsid w:val="00F070B6"/>
    <w:rsid w:val="00F070CB"/>
    <w:rsid w:val="00F070D5"/>
    <w:rsid w:val="00F070EA"/>
    <w:rsid w:val="00F07101"/>
    <w:rsid w:val="00F07105"/>
    <w:rsid w:val="00F07128"/>
    <w:rsid w:val="00F0716B"/>
    <w:rsid w:val="00F07173"/>
    <w:rsid w:val="00F0717C"/>
    <w:rsid w:val="00F07216"/>
    <w:rsid w:val="00F07231"/>
    <w:rsid w:val="00F07240"/>
    <w:rsid w:val="00F07399"/>
    <w:rsid w:val="00F07417"/>
    <w:rsid w:val="00F0741C"/>
    <w:rsid w:val="00F07481"/>
    <w:rsid w:val="00F0748E"/>
    <w:rsid w:val="00F074BC"/>
    <w:rsid w:val="00F074BF"/>
    <w:rsid w:val="00F07512"/>
    <w:rsid w:val="00F07588"/>
    <w:rsid w:val="00F07590"/>
    <w:rsid w:val="00F07591"/>
    <w:rsid w:val="00F076E2"/>
    <w:rsid w:val="00F076F0"/>
    <w:rsid w:val="00F07732"/>
    <w:rsid w:val="00F077E7"/>
    <w:rsid w:val="00F078BF"/>
    <w:rsid w:val="00F078E5"/>
    <w:rsid w:val="00F079F2"/>
    <w:rsid w:val="00F07AA6"/>
    <w:rsid w:val="00F07ABC"/>
    <w:rsid w:val="00F07AF4"/>
    <w:rsid w:val="00F07BF8"/>
    <w:rsid w:val="00F07C90"/>
    <w:rsid w:val="00F07CE1"/>
    <w:rsid w:val="00F07CF6"/>
    <w:rsid w:val="00F07D2A"/>
    <w:rsid w:val="00F07D9A"/>
    <w:rsid w:val="00F07DB1"/>
    <w:rsid w:val="00F07E24"/>
    <w:rsid w:val="00F07ED0"/>
    <w:rsid w:val="00F07EE1"/>
    <w:rsid w:val="00F07F33"/>
    <w:rsid w:val="00F07F89"/>
    <w:rsid w:val="00F07F9B"/>
    <w:rsid w:val="00F1002B"/>
    <w:rsid w:val="00F10050"/>
    <w:rsid w:val="00F100CD"/>
    <w:rsid w:val="00F10101"/>
    <w:rsid w:val="00F101CA"/>
    <w:rsid w:val="00F10374"/>
    <w:rsid w:val="00F103AE"/>
    <w:rsid w:val="00F103D7"/>
    <w:rsid w:val="00F103F8"/>
    <w:rsid w:val="00F104E5"/>
    <w:rsid w:val="00F1050B"/>
    <w:rsid w:val="00F1052D"/>
    <w:rsid w:val="00F10587"/>
    <w:rsid w:val="00F10597"/>
    <w:rsid w:val="00F105D5"/>
    <w:rsid w:val="00F10630"/>
    <w:rsid w:val="00F1066E"/>
    <w:rsid w:val="00F106CD"/>
    <w:rsid w:val="00F106FA"/>
    <w:rsid w:val="00F1071A"/>
    <w:rsid w:val="00F10789"/>
    <w:rsid w:val="00F1079F"/>
    <w:rsid w:val="00F107F1"/>
    <w:rsid w:val="00F1085A"/>
    <w:rsid w:val="00F1087A"/>
    <w:rsid w:val="00F108F3"/>
    <w:rsid w:val="00F10907"/>
    <w:rsid w:val="00F10918"/>
    <w:rsid w:val="00F1093F"/>
    <w:rsid w:val="00F10962"/>
    <w:rsid w:val="00F10988"/>
    <w:rsid w:val="00F109B6"/>
    <w:rsid w:val="00F10A58"/>
    <w:rsid w:val="00F10AAE"/>
    <w:rsid w:val="00F10AC5"/>
    <w:rsid w:val="00F10B37"/>
    <w:rsid w:val="00F10B5A"/>
    <w:rsid w:val="00F10B7A"/>
    <w:rsid w:val="00F10C0C"/>
    <w:rsid w:val="00F10C18"/>
    <w:rsid w:val="00F10C2C"/>
    <w:rsid w:val="00F10C77"/>
    <w:rsid w:val="00F10C9A"/>
    <w:rsid w:val="00F10D1E"/>
    <w:rsid w:val="00F10D36"/>
    <w:rsid w:val="00F10D53"/>
    <w:rsid w:val="00F10DA6"/>
    <w:rsid w:val="00F10F23"/>
    <w:rsid w:val="00F10F32"/>
    <w:rsid w:val="00F10F3C"/>
    <w:rsid w:val="00F10F63"/>
    <w:rsid w:val="00F10FA7"/>
    <w:rsid w:val="00F10FAF"/>
    <w:rsid w:val="00F10FBB"/>
    <w:rsid w:val="00F10FF5"/>
    <w:rsid w:val="00F1105A"/>
    <w:rsid w:val="00F11085"/>
    <w:rsid w:val="00F110B8"/>
    <w:rsid w:val="00F110CA"/>
    <w:rsid w:val="00F110E2"/>
    <w:rsid w:val="00F110E3"/>
    <w:rsid w:val="00F11124"/>
    <w:rsid w:val="00F11137"/>
    <w:rsid w:val="00F111B2"/>
    <w:rsid w:val="00F111BA"/>
    <w:rsid w:val="00F111D8"/>
    <w:rsid w:val="00F11237"/>
    <w:rsid w:val="00F1127E"/>
    <w:rsid w:val="00F11287"/>
    <w:rsid w:val="00F1129F"/>
    <w:rsid w:val="00F112B6"/>
    <w:rsid w:val="00F112EE"/>
    <w:rsid w:val="00F11330"/>
    <w:rsid w:val="00F11363"/>
    <w:rsid w:val="00F1137C"/>
    <w:rsid w:val="00F1145E"/>
    <w:rsid w:val="00F114DD"/>
    <w:rsid w:val="00F11542"/>
    <w:rsid w:val="00F11550"/>
    <w:rsid w:val="00F1156B"/>
    <w:rsid w:val="00F115A6"/>
    <w:rsid w:val="00F115B3"/>
    <w:rsid w:val="00F115F1"/>
    <w:rsid w:val="00F11699"/>
    <w:rsid w:val="00F116C6"/>
    <w:rsid w:val="00F116F7"/>
    <w:rsid w:val="00F1171F"/>
    <w:rsid w:val="00F11722"/>
    <w:rsid w:val="00F1172A"/>
    <w:rsid w:val="00F117D5"/>
    <w:rsid w:val="00F1181F"/>
    <w:rsid w:val="00F11843"/>
    <w:rsid w:val="00F11864"/>
    <w:rsid w:val="00F118F7"/>
    <w:rsid w:val="00F1190C"/>
    <w:rsid w:val="00F11945"/>
    <w:rsid w:val="00F11967"/>
    <w:rsid w:val="00F1196B"/>
    <w:rsid w:val="00F11A19"/>
    <w:rsid w:val="00F11A23"/>
    <w:rsid w:val="00F11A27"/>
    <w:rsid w:val="00F11A8D"/>
    <w:rsid w:val="00F11A97"/>
    <w:rsid w:val="00F11A99"/>
    <w:rsid w:val="00F11AB6"/>
    <w:rsid w:val="00F11AD9"/>
    <w:rsid w:val="00F11AED"/>
    <w:rsid w:val="00F11BBD"/>
    <w:rsid w:val="00F11BC5"/>
    <w:rsid w:val="00F11C25"/>
    <w:rsid w:val="00F11C54"/>
    <w:rsid w:val="00F11C86"/>
    <w:rsid w:val="00F11CB2"/>
    <w:rsid w:val="00F11CF0"/>
    <w:rsid w:val="00F11CF1"/>
    <w:rsid w:val="00F11DA5"/>
    <w:rsid w:val="00F11E68"/>
    <w:rsid w:val="00F11EE0"/>
    <w:rsid w:val="00F11F7D"/>
    <w:rsid w:val="00F11FE5"/>
    <w:rsid w:val="00F12017"/>
    <w:rsid w:val="00F12023"/>
    <w:rsid w:val="00F1202E"/>
    <w:rsid w:val="00F1206C"/>
    <w:rsid w:val="00F120A0"/>
    <w:rsid w:val="00F12102"/>
    <w:rsid w:val="00F12111"/>
    <w:rsid w:val="00F12158"/>
    <w:rsid w:val="00F12164"/>
    <w:rsid w:val="00F1216B"/>
    <w:rsid w:val="00F121D7"/>
    <w:rsid w:val="00F121E9"/>
    <w:rsid w:val="00F121F5"/>
    <w:rsid w:val="00F12251"/>
    <w:rsid w:val="00F122B4"/>
    <w:rsid w:val="00F122DA"/>
    <w:rsid w:val="00F122E8"/>
    <w:rsid w:val="00F122EF"/>
    <w:rsid w:val="00F12316"/>
    <w:rsid w:val="00F12374"/>
    <w:rsid w:val="00F1238B"/>
    <w:rsid w:val="00F12393"/>
    <w:rsid w:val="00F123C6"/>
    <w:rsid w:val="00F123FD"/>
    <w:rsid w:val="00F1240C"/>
    <w:rsid w:val="00F12419"/>
    <w:rsid w:val="00F12459"/>
    <w:rsid w:val="00F1250E"/>
    <w:rsid w:val="00F125E2"/>
    <w:rsid w:val="00F12612"/>
    <w:rsid w:val="00F12653"/>
    <w:rsid w:val="00F12662"/>
    <w:rsid w:val="00F12744"/>
    <w:rsid w:val="00F1276E"/>
    <w:rsid w:val="00F12829"/>
    <w:rsid w:val="00F12892"/>
    <w:rsid w:val="00F128C7"/>
    <w:rsid w:val="00F128F6"/>
    <w:rsid w:val="00F1290D"/>
    <w:rsid w:val="00F12917"/>
    <w:rsid w:val="00F1297E"/>
    <w:rsid w:val="00F129E5"/>
    <w:rsid w:val="00F12A38"/>
    <w:rsid w:val="00F12A86"/>
    <w:rsid w:val="00F12B61"/>
    <w:rsid w:val="00F12BD6"/>
    <w:rsid w:val="00F12C0B"/>
    <w:rsid w:val="00F12C14"/>
    <w:rsid w:val="00F12C66"/>
    <w:rsid w:val="00F12C9E"/>
    <w:rsid w:val="00F12D2D"/>
    <w:rsid w:val="00F12D41"/>
    <w:rsid w:val="00F12D94"/>
    <w:rsid w:val="00F12D9C"/>
    <w:rsid w:val="00F12E1B"/>
    <w:rsid w:val="00F12E9D"/>
    <w:rsid w:val="00F12F46"/>
    <w:rsid w:val="00F1305E"/>
    <w:rsid w:val="00F130EB"/>
    <w:rsid w:val="00F13115"/>
    <w:rsid w:val="00F1315B"/>
    <w:rsid w:val="00F1315C"/>
    <w:rsid w:val="00F13182"/>
    <w:rsid w:val="00F13203"/>
    <w:rsid w:val="00F13249"/>
    <w:rsid w:val="00F132E9"/>
    <w:rsid w:val="00F13355"/>
    <w:rsid w:val="00F133E2"/>
    <w:rsid w:val="00F13417"/>
    <w:rsid w:val="00F13570"/>
    <w:rsid w:val="00F1357D"/>
    <w:rsid w:val="00F1358D"/>
    <w:rsid w:val="00F135E6"/>
    <w:rsid w:val="00F135EB"/>
    <w:rsid w:val="00F13627"/>
    <w:rsid w:val="00F13654"/>
    <w:rsid w:val="00F136EB"/>
    <w:rsid w:val="00F13731"/>
    <w:rsid w:val="00F13784"/>
    <w:rsid w:val="00F13816"/>
    <w:rsid w:val="00F1386E"/>
    <w:rsid w:val="00F1388A"/>
    <w:rsid w:val="00F138A9"/>
    <w:rsid w:val="00F138C3"/>
    <w:rsid w:val="00F138EA"/>
    <w:rsid w:val="00F13984"/>
    <w:rsid w:val="00F13985"/>
    <w:rsid w:val="00F13A54"/>
    <w:rsid w:val="00F13AA9"/>
    <w:rsid w:val="00F13AC1"/>
    <w:rsid w:val="00F13AE8"/>
    <w:rsid w:val="00F13B24"/>
    <w:rsid w:val="00F13B2D"/>
    <w:rsid w:val="00F13C13"/>
    <w:rsid w:val="00F13CC3"/>
    <w:rsid w:val="00F13CD6"/>
    <w:rsid w:val="00F13CF5"/>
    <w:rsid w:val="00F13D20"/>
    <w:rsid w:val="00F13D50"/>
    <w:rsid w:val="00F13DD5"/>
    <w:rsid w:val="00F13E2B"/>
    <w:rsid w:val="00F13E4A"/>
    <w:rsid w:val="00F13EC5"/>
    <w:rsid w:val="00F13EE6"/>
    <w:rsid w:val="00F13F57"/>
    <w:rsid w:val="00F14003"/>
    <w:rsid w:val="00F14057"/>
    <w:rsid w:val="00F14091"/>
    <w:rsid w:val="00F14099"/>
    <w:rsid w:val="00F140E8"/>
    <w:rsid w:val="00F140FE"/>
    <w:rsid w:val="00F14100"/>
    <w:rsid w:val="00F1410C"/>
    <w:rsid w:val="00F14111"/>
    <w:rsid w:val="00F1413D"/>
    <w:rsid w:val="00F14140"/>
    <w:rsid w:val="00F14181"/>
    <w:rsid w:val="00F141C0"/>
    <w:rsid w:val="00F141F2"/>
    <w:rsid w:val="00F14262"/>
    <w:rsid w:val="00F142E7"/>
    <w:rsid w:val="00F14311"/>
    <w:rsid w:val="00F14316"/>
    <w:rsid w:val="00F14356"/>
    <w:rsid w:val="00F14363"/>
    <w:rsid w:val="00F1438B"/>
    <w:rsid w:val="00F1440B"/>
    <w:rsid w:val="00F1441E"/>
    <w:rsid w:val="00F14440"/>
    <w:rsid w:val="00F14452"/>
    <w:rsid w:val="00F144EE"/>
    <w:rsid w:val="00F1451B"/>
    <w:rsid w:val="00F14567"/>
    <w:rsid w:val="00F14574"/>
    <w:rsid w:val="00F14599"/>
    <w:rsid w:val="00F145C8"/>
    <w:rsid w:val="00F14614"/>
    <w:rsid w:val="00F14646"/>
    <w:rsid w:val="00F14650"/>
    <w:rsid w:val="00F146FC"/>
    <w:rsid w:val="00F14701"/>
    <w:rsid w:val="00F14760"/>
    <w:rsid w:val="00F147A0"/>
    <w:rsid w:val="00F147E5"/>
    <w:rsid w:val="00F1480D"/>
    <w:rsid w:val="00F14812"/>
    <w:rsid w:val="00F1482F"/>
    <w:rsid w:val="00F14845"/>
    <w:rsid w:val="00F14888"/>
    <w:rsid w:val="00F148BE"/>
    <w:rsid w:val="00F148C0"/>
    <w:rsid w:val="00F148E4"/>
    <w:rsid w:val="00F14912"/>
    <w:rsid w:val="00F14938"/>
    <w:rsid w:val="00F1494C"/>
    <w:rsid w:val="00F149E8"/>
    <w:rsid w:val="00F14A47"/>
    <w:rsid w:val="00F14A7D"/>
    <w:rsid w:val="00F14A99"/>
    <w:rsid w:val="00F14B4B"/>
    <w:rsid w:val="00F14BF2"/>
    <w:rsid w:val="00F14C2B"/>
    <w:rsid w:val="00F14CC6"/>
    <w:rsid w:val="00F14D9D"/>
    <w:rsid w:val="00F14DD1"/>
    <w:rsid w:val="00F14E66"/>
    <w:rsid w:val="00F14EDF"/>
    <w:rsid w:val="00F14F7A"/>
    <w:rsid w:val="00F15023"/>
    <w:rsid w:val="00F150DD"/>
    <w:rsid w:val="00F150E7"/>
    <w:rsid w:val="00F151C7"/>
    <w:rsid w:val="00F15259"/>
    <w:rsid w:val="00F152A9"/>
    <w:rsid w:val="00F15310"/>
    <w:rsid w:val="00F1531E"/>
    <w:rsid w:val="00F1534F"/>
    <w:rsid w:val="00F153AD"/>
    <w:rsid w:val="00F154D8"/>
    <w:rsid w:val="00F15532"/>
    <w:rsid w:val="00F155C1"/>
    <w:rsid w:val="00F155EE"/>
    <w:rsid w:val="00F1564B"/>
    <w:rsid w:val="00F1564E"/>
    <w:rsid w:val="00F1566F"/>
    <w:rsid w:val="00F1567D"/>
    <w:rsid w:val="00F15690"/>
    <w:rsid w:val="00F156EF"/>
    <w:rsid w:val="00F156F7"/>
    <w:rsid w:val="00F1574E"/>
    <w:rsid w:val="00F1575C"/>
    <w:rsid w:val="00F157A7"/>
    <w:rsid w:val="00F157F5"/>
    <w:rsid w:val="00F159DF"/>
    <w:rsid w:val="00F159E7"/>
    <w:rsid w:val="00F15A02"/>
    <w:rsid w:val="00F15A14"/>
    <w:rsid w:val="00F15ADD"/>
    <w:rsid w:val="00F15AF9"/>
    <w:rsid w:val="00F15AFE"/>
    <w:rsid w:val="00F15B66"/>
    <w:rsid w:val="00F15B9B"/>
    <w:rsid w:val="00F15BC1"/>
    <w:rsid w:val="00F15BF0"/>
    <w:rsid w:val="00F15C50"/>
    <w:rsid w:val="00F15C9A"/>
    <w:rsid w:val="00F15CB2"/>
    <w:rsid w:val="00F15CF1"/>
    <w:rsid w:val="00F15D3D"/>
    <w:rsid w:val="00F15D43"/>
    <w:rsid w:val="00F15D9C"/>
    <w:rsid w:val="00F15DDC"/>
    <w:rsid w:val="00F15E27"/>
    <w:rsid w:val="00F15E6E"/>
    <w:rsid w:val="00F15E72"/>
    <w:rsid w:val="00F15E7C"/>
    <w:rsid w:val="00F15EDF"/>
    <w:rsid w:val="00F15EF0"/>
    <w:rsid w:val="00F15F19"/>
    <w:rsid w:val="00F15F73"/>
    <w:rsid w:val="00F15FBC"/>
    <w:rsid w:val="00F16007"/>
    <w:rsid w:val="00F160CF"/>
    <w:rsid w:val="00F161B6"/>
    <w:rsid w:val="00F1620C"/>
    <w:rsid w:val="00F16247"/>
    <w:rsid w:val="00F1629B"/>
    <w:rsid w:val="00F16351"/>
    <w:rsid w:val="00F163A2"/>
    <w:rsid w:val="00F163CF"/>
    <w:rsid w:val="00F1649B"/>
    <w:rsid w:val="00F1651C"/>
    <w:rsid w:val="00F16527"/>
    <w:rsid w:val="00F16539"/>
    <w:rsid w:val="00F1658D"/>
    <w:rsid w:val="00F1660C"/>
    <w:rsid w:val="00F16653"/>
    <w:rsid w:val="00F16660"/>
    <w:rsid w:val="00F1668F"/>
    <w:rsid w:val="00F166EE"/>
    <w:rsid w:val="00F16718"/>
    <w:rsid w:val="00F1671F"/>
    <w:rsid w:val="00F16761"/>
    <w:rsid w:val="00F16784"/>
    <w:rsid w:val="00F16793"/>
    <w:rsid w:val="00F16803"/>
    <w:rsid w:val="00F16908"/>
    <w:rsid w:val="00F1697E"/>
    <w:rsid w:val="00F1698A"/>
    <w:rsid w:val="00F16990"/>
    <w:rsid w:val="00F169CA"/>
    <w:rsid w:val="00F16A01"/>
    <w:rsid w:val="00F16A24"/>
    <w:rsid w:val="00F16A5D"/>
    <w:rsid w:val="00F16B2D"/>
    <w:rsid w:val="00F16B65"/>
    <w:rsid w:val="00F16BDE"/>
    <w:rsid w:val="00F16D10"/>
    <w:rsid w:val="00F16D6F"/>
    <w:rsid w:val="00F16D77"/>
    <w:rsid w:val="00F16D91"/>
    <w:rsid w:val="00F16E01"/>
    <w:rsid w:val="00F16E3A"/>
    <w:rsid w:val="00F16E8A"/>
    <w:rsid w:val="00F16F2D"/>
    <w:rsid w:val="00F16FBB"/>
    <w:rsid w:val="00F17019"/>
    <w:rsid w:val="00F17036"/>
    <w:rsid w:val="00F17054"/>
    <w:rsid w:val="00F17157"/>
    <w:rsid w:val="00F17199"/>
    <w:rsid w:val="00F1719F"/>
    <w:rsid w:val="00F171CE"/>
    <w:rsid w:val="00F171ED"/>
    <w:rsid w:val="00F171EE"/>
    <w:rsid w:val="00F17233"/>
    <w:rsid w:val="00F17280"/>
    <w:rsid w:val="00F172AB"/>
    <w:rsid w:val="00F17322"/>
    <w:rsid w:val="00F17435"/>
    <w:rsid w:val="00F1744C"/>
    <w:rsid w:val="00F17458"/>
    <w:rsid w:val="00F174C9"/>
    <w:rsid w:val="00F174F8"/>
    <w:rsid w:val="00F174FB"/>
    <w:rsid w:val="00F174FE"/>
    <w:rsid w:val="00F1753B"/>
    <w:rsid w:val="00F17575"/>
    <w:rsid w:val="00F175B9"/>
    <w:rsid w:val="00F175FD"/>
    <w:rsid w:val="00F1763C"/>
    <w:rsid w:val="00F17698"/>
    <w:rsid w:val="00F1769B"/>
    <w:rsid w:val="00F176B0"/>
    <w:rsid w:val="00F176CE"/>
    <w:rsid w:val="00F176FE"/>
    <w:rsid w:val="00F1774D"/>
    <w:rsid w:val="00F17779"/>
    <w:rsid w:val="00F177DC"/>
    <w:rsid w:val="00F177F3"/>
    <w:rsid w:val="00F17824"/>
    <w:rsid w:val="00F17862"/>
    <w:rsid w:val="00F17881"/>
    <w:rsid w:val="00F17887"/>
    <w:rsid w:val="00F1791C"/>
    <w:rsid w:val="00F17977"/>
    <w:rsid w:val="00F179AA"/>
    <w:rsid w:val="00F179FF"/>
    <w:rsid w:val="00F17A05"/>
    <w:rsid w:val="00F17A57"/>
    <w:rsid w:val="00F17ADA"/>
    <w:rsid w:val="00F17B81"/>
    <w:rsid w:val="00F17B89"/>
    <w:rsid w:val="00F17C25"/>
    <w:rsid w:val="00F17C3B"/>
    <w:rsid w:val="00F17C48"/>
    <w:rsid w:val="00F17CFB"/>
    <w:rsid w:val="00F17D6B"/>
    <w:rsid w:val="00F17DBC"/>
    <w:rsid w:val="00F17E02"/>
    <w:rsid w:val="00F17E60"/>
    <w:rsid w:val="00F17E8F"/>
    <w:rsid w:val="00F17EB6"/>
    <w:rsid w:val="00F17EF3"/>
    <w:rsid w:val="00F17EFA"/>
    <w:rsid w:val="00F17F0C"/>
    <w:rsid w:val="00F17F40"/>
    <w:rsid w:val="00F17F64"/>
    <w:rsid w:val="00F200A4"/>
    <w:rsid w:val="00F200F2"/>
    <w:rsid w:val="00F201A4"/>
    <w:rsid w:val="00F201BD"/>
    <w:rsid w:val="00F201E3"/>
    <w:rsid w:val="00F2021E"/>
    <w:rsid w:val="00F2026D"/>
    <w:rsid w:val="00F20291"/>
    <w:rsid w:val="00F20306"/>
    <w:rsid w:val="00F20397"/>
    <w:rsid w:val="00F203A8"/>
    <w:rsid w:val="00F203BC"/>
    <w:rsid w:val="00F204A8"/>
    <w:rsid w:val="00F20580"/>
    <w:rsid w:val="00F205F5"/>
    <w:rsid w:val="00F20637"/>
    <w:rsid w:val="00F2075A"/>
    <w:rsid w:val="00F2075D"/>
    <w:rsid w:val="00F20764"/>
    <w:rsid w:val="00F207BA"/>
    <w:rsid w:val="00F207E5"/>
    <w:rsid w:val="00F207F9"/>
    <w:rsid w:val="00F208AE"/>
    <w:rsid w:val="00F208D3"/>
    <w:rsid w:val="00F2099F"/>
    <w:rsid w:val="00F209C0"/>
    <w:rsid w:val="00F209D3"/>
    <w:rsid w:val="00F20A08"/>
    <w:rsid w:val="00F20A38"/>
    <w:rsid w:val="00F20A58"/>
    <w:rsid w:val="00F20AA0"/>
    <w:rsid w:val="00F20AD3"/>
    <w:rsid w:val="00F20AFE"/>
    <w:rsid w:val="00F20B03"/>
    <w:rsid w:val="00F20B8E"/>
    <w:rsid w:val="00F20BAE"/>
    <w:rsid w:val="00F20BF6"/>
    <w:rsid w:val="00F20BFD"/>
    <w:rsid w:val="00F20C66"/>
    <w:rsid w:val="00F20C93"/>
    <w:rsid w:val="00F20D2E"/>
    <w:rsid w:val="00F20D46"/>
    <w:rsid w:val="00F20D69"/>
    <w:rsid w:val="00F20D76"/>
    <w:rsid w:val="00F20D83"/>
    <w:rsid w:val="00F20DA4"/>
    <w:rsid w:val="00F20E0D"/>
    <w:rsid w:val="00F20E1D"/>
    <w:rsid w:val="00F20F1A"/>
    <w:rsid w:val="00F20F37"/>
    <w:rsid w:val="00F20F79"/>
    <w:rsid w:val="00F20F83"/>
    <w:rsid w:val="00F20FEC"/>
    <w:rsid w:val="00F21035"/>
    <w:rsid w:val="00F2104C"/>
    <w:rsid w:val="00F21089"/>
    <w:rsid w:val="00F21099"/>
    <w:rsid w:val="00F210A7"/>
    <w:rsid w:val="00F2113B"/>
    <w:rsid w:val="00F21171"/>
    <w:rsid w:val="00F2127D"/>
    <w:rsid w:val="00F212EB"/>
    <w:rsid w:val="00F21356"/>
    <w:rsid w:val="00F21374"/>
    <w:rsid w:val="00F21407"/>
    <w:rsid w:val="00F2141A"/>
    <w:rsid w:val="00F21430"/>
    <w:rsid w:val="00F21442"/>
    <w:rsid w:val="00F214C0"/>
    <w:rsid w:val="00F214D4"/>
    <w:rsid w:val="00F21507"/>
    <w:rsid w:val="00F2162E"/>
    <w:rsid w:val="00F2164C"/>
    <w:rsid w:val="00F2165A"/>
    <w:rsid w:val="00F2166D"/>
    <w:rsid w:val="00F2167B"/>
    <w:rsid w:val="00F21683"/>
    <w:rsid w:val="00F216BA"/>
    <w:rsid w:val="00F21753"/>
    <w:rsid w:val="00F2175A"/>
    <w:rsid w:val="00F21778"/>
    <w:rsid w:val="00F2179E"/>
    <w:rsid w:val="00F218F7"/>
    <w:rsid w:val="00F2190D"/>
    <w:rsid w:val="00F2197B"/>
    <w:rsid w:val="00F219A6"/>
    <w:rsid w:val="00F219B1"/>
    <w:rsid w:val="00F219C3"/>
    <w:rsid w:val="00F21A38"/>
    <w:rsid w:val="00F21A6B"/>
    <w:rsid w:val="00F21A72"/>
    <w:rsid w:val="00F21AEA"/>
    <w:rsid w:val="00F21B14"/>
    <w:rsid w:val="00F21B43"/>
    <w:rsid w:val="00F21B92"/>
    <w:rsid w:val="00F21BB7"/>
    <w:rsid w:val="00F21BDF"/>
    <w:rsid w:val="00F21C4B"/>
    <w:rsid w:val="00F21C59"/>
    <w:rsid w:val="00F21CE2"/>
    <w:rsid w:val="00F21D24"/>
    <w:rsid w:val="00F21D94"/>
    <w:rsid w:val="00F21E93"/>
    <w:rsid w:val="00F21E9D"/>
    <w:rsid w:val="00F21EC7"/>
    <w:rsid w:val="00F21F2F"/>
    <w:rsid w:val="00F21F59"/>
    <w:rsid w:val="00F21F80"/>
    <w:rsid w:val="00F21FC5"/>
    <w:rsid w:val="00F21FDB"/>
    <w:rsid w:val="00F22023"/>
    <w:rsid w:val="00F2203C"/>
    <w:rsid w:val="00F22047"/>
    <w:rsid w:val="00F2204D"/>
    <w:rsid w:val="00F2213C"/>
    <w:rsid w:val="00F2219F"/>
    <w:rsid w:val="00F221B0"/>
    <w:rsid w:val="00F2227D"/>
    <w:rsid w:val="00F2228B"/>
    <w:rsid w:val="00F2235F"/>
    <w:rsid w:val="00F2238C"/>
    <w:rsid w:val="00F223FB"/>
    <w:rsid w:val="00F22461"/>
    <w:rsid w:val="00F2246C"/>
    <w:rsid w:val="00F224C6"/>
    <w:rsid w:val="00F22517"/>
    <w:rsid w:val="00F2252A"/>
    <w:rsid w:val="00F22533"/>
    <w:rsid w:val="00F2256A"/>
    <w:rsid w:val="00F2258A"/>
    <w:rsid w:val="00F22653"/>
    <w:rsid w:val="00F226FD"/>
    <w:rsid w:val="00F22785"/>
    <w:rsid w:val="00F227AD"/>
    <w:rsid w:val="00F2283B"/>
    <w:rsid w:val="00F22895"/>
    <w:rsid w:val="00F2289A"/>
    <w:rsid w:val="00F228C1"/>
    <w:rsid w:val="00F2295C"/>
    <w:rsid w:val="00F22986"/>
    <w:rsid w:val="00F229A2"/>
    <w:rsid w:val="00F22A03"/>
    <w:rsid w:val="00F22A52"/>
    <w:rsid w:val="00F22A6E"/>
    <w:rsid w:val="00F22B1D"/>
    <w:rsid w:val="00F22B2D"/>
    <w:rsid w:val="00F22B36"/>
    <w:rsid w:val="00F22BA8"/>
    <w:rsid w:val="00F22BFC"/>
    <w:rsid w:val="00F22C19"/>
    <w:rsid w:val="00F22C31"/>
    <w:rsid w:val="00F22C86"/>
    <w:rsid w:val="00F22CB4"/>
    <w:rsid w:val="00F22D42"/>
    <w:rsid w:val="00F22DA3"/>
    <w:rsid w:val="00F22E1A"/>
    <w:rsid w:val="00F22E6A"/>
    <w:rsid w:val="00F22EA6"/>
    <w:rsid w:val="00F22F2D"/>
    <w:rsid w:val="00F22F35"/>
    <w:rsid w:val="00F22F63"/>
    <w:rsid w:val="00F22F65"/>
    <w:rsid w:val="00F22F8B"/>
    <w:rsid w:val="00F22FD4"/>
    <w:rsid w:val="00F230A2"/>
    <w:rsid w:val="00F230D4"/>
    <w:rsid w:val="00F2310D"/>
    <w:rsid w:val="00F23126"/>
    <w:rsid w:val="00F23144"/>
    <w:rsid w:val="00F23156"/>
    <w:rsid w:val="00F23161"/>
    <w:rsid w:val="00F23204"/>
    <w:rsid w:val="00F23214"/>
    <w:rsid w:val="00F23263"/>
    <w:rsid w:val="00F232A1"/>
    <w:rsid w:val="00F232C4"/>
    <w:rsid w:val="00F232E4"/>
    <w:rsid w:val="00F23305"/>
    <w:rsid w:val="00F2332B"/>
    <w:rsid w:val="00F23398"/>
    <w:rsid w:val="00F2339F"/>
    <w:rsid w:val="00F233D2"/>
    <w:rsid w:val="00F23435"/>
    <w:rsid w:val="00F23463"/>
    <w:rsid w:val="00F234B0"/>
    <w:rsid w:val="00F23517"/>
    <w:rsid w:val="00F2361D"/>
    <w:rsid w:val="00F236C2"/>
    <w:rsid w:val="00F23749"/>
    <w:rsid w:val="00F23768"/>
    <w:rsid w:val="00F238AA"/>
    <w:rsid w:val="00F238FB"/>
    <w:rsid w:val="00F23919"/>
    <w:rsid w:val="00F23943"/>
    <w:rsid w:val="00F2397E"/>
    <w:rsid w:val="00F2399C"/>
    <w:rsid w:val="00F23A68"/>
    <w:rsid w:val="00F23ABC"/>
    <w:rsid w:val="00F23AF0"/>
    <w:rsid w:val="00F23B73"/>
    <w:rsid w:val="00F23B88"/>
    <w:rsid w:val="00F23C02"/>
    <w:rsid w:val="00F23C3F"/>
    <w:rsid w:val="00F23C7F"/>
    <w:rsid w:val="00F23C93"/>
    <w:rsid w:val="00F23D1A"/>
    <w:rsid w:val="00F23D21"/>
    <w:rsid w:val="00F23D35"/>
    <w:rsid w:val="00F23D36"/>
    <w:rsid w:val="00F23D38"/>
    <w:rsid w:val="00F23D66"/>
    <w:rsid w:val="00F23D9C"/>
    <w:rsid w:val="00F23DA7"/>
    <w:rsid w:val="00F23DFC"/>
    <w:rsid w:val="00F23DFF"/>
    <w:rsid w:val="00F23E05"/>
    <w:rsid w:val="00F23E50"/>
    <w:rsid w:val="00F23E54"/>
    <w:rsid w:val="00F23E8A"/>
    <w:rsid w:val="00F23E93"/>
    <w:rsid w:val="00F23EA5"/>
    <w:rsid w:val="00F23F69"/>
    <w:rsid w:val="00F23F76"/>
    <w:rsid w:val="00F23FB2"/>
    <w:rsid w:val="00F23FE8"/>
    <w:rsid w:val="00F24018"/>
    <w:rsid w:val="00F24031"/>
    <w:rsid w:val="00F2407A"/>
    <w:rsid w:val="00F240CD"/>
    <w:rsid w:val="00F24109"/>
    <w:rsid w:val="00F2410F"/>
    <w:rsid w:val="00F2412F"/>
    <w:rsid w:val="00F24154"/>
    <w:rsid w:val="00F24169"/>
    <w:rsid w:val="00F2419A"/>
    <w:rsid w:val="00F2424F"/>
    <w:rsid w:val="00F2428D"/>
    <w:rsid w:val="00F2429A"/>
    <w:rsid w:val="00F242C6"/>
    <w:rsid w:val="00F24391"/>
    <w:rsid w:val="00F243D2"/>
    <w:rsid w:val="00F24456"/>
    <w:rsid w:val="00F2445C"/>
    <w:rsid w:val="00F24488"/>
    <w:rsid w:val="00F244C7"/>
    <w:rsid w:val="00F24513"/>
    <w:rsid w:val="00F24611"/>
    <w:rsid w:val="00F2462B"/>
    <w:rsid w:val="00F2462D"/>
    <w:rsid w:val="00F24667"/>
    <w:rsid w:val="00F246A0"/>
    <w:rsid w:val="00F246CC"/>
    <w:rsid w:val="00F246E6"/>
    <w:rsid w:val="00F24745"/>
    <w:rsid w:val="00F24752"/>
    <w:rsid w:val="00F2477C"/>
    <w:rsid w:val="00F2478D"/>
    <w:rsid w:val="00F247A1"/>
    <w:rsid w:val="00F24802"/>
    <w:rsid w:val="00F24856"/>
    <w:rsid w:val="00F24862"/>
    <w:rsid w:val="00F24881"/>
    <w:rsid w:val="00F24908"/>
    <w:rsid w:val="00F2490E"/>
    <w:rsid w:val="00F2490F"/>
    <w:rsid w:val="00F2495B"/>
    <w:rsid w:val="00F24961"/>
    <w:rsid w:val="00F24999"/>
    <w:rsid w:val="00F2499D"/>
    <w:rsid w:val="00F249C4"/>
    <w:rsid w:val="00F249DD"/>
    <w:rsid w:val="00F249E8"/>
    <w:rsid w:val="00F24A1B"/>
    <w:rsid w:val="00F24A2A"/>
    <w:rsid w:val="00F24AB4"/>
    <w:rsid w:val="00F24B2E"/>
    <w:rsid w:val="00F24B43"/>
    <w:rsid w:val="00F24C31"/>
    <w:rsid w:val="00F24C3E"/>
    <w:rsid w:val="00F24CB7"/>
    <w:rsid w:val="00F24CE5"/>
    <w:rsid w:val="00F24CFE"/>
    <w:rsid w:val="00F24D57"/>
    <w:rsid w:val="00F24D59"/>
    <w:rsid w:val="00F24D7B"/>
    <w:rsid w:val="00F24DD7"/>
    <w:rsid w:val="00F24DF9"/>
    <w:rsid w:val="00F24E37"/>
    <w:rsid w:val="00F24E81"/>
    <w:rsid w:val="00F24FE0"/>
    <w:rsid w:val="00F2500B"/>
    <w:rsid w:val="00F25067"/>
    <w:rsid w:val="00F250BE"/>
    <w:rsid w:val="00F2511A"/>
    <w:rsid w:val="00F25128"/>
    <w:rsid w:val="00F251DC"/>
    <w:rsid w:val="00F2521B"/>
    <w:rsid w:val="00F2523B"/>
    <w:rsid w:val="00F25269"/>
    <w:rsid w:val="00F25288"/>
    <w:rsid w:val="00F252F1"/>
    <w:rsid w:val="00F25305"/>
    <w:rsid w:val="00F2535F"/>
    <w:rsid w:val="00F25392"/>
    <w:rsid w:val="00F253CE"/>
    <w:rsid w:val="00F253F3"/>
    <w:rsid w:val="00F253FF"/>
    <w:rsid w:val="00F25406"/>
    <w:rsid w:val="00F25462"/>
    <w:rsid w:val="00F2546A"/>
    <w:rsid w:val="00F25487"/>
    <w:rsid w:val="00F25567"/>
    <w:rsid w:val="00F25572"/>
    <w:rsid w:val="00F25575"/>
    <w:rsid w:val="00F255A2"/>
    <w:rsid w:val="00F255CF"/>
    <w:rsid w:val="00F255EE"/>
    <w:rsid w:val="00F2561B"/>
    <w:rsid w:val="00F25655"/>
    <w:rsid w:val="00F2568A"/>
    <w:rsid w:val="00F25695"/>
    <w:rsid w:val="00F256B1"/>
    <w:rsid w:val="00F25762"/>
    <w:rsid w:val="00F257EC"/>
    <w:rsid w:val="00F258B7"/>
    <w:rsid w:val="00F25925"/>
    <w:rsid w:val="00F2598C"/>
    <w:rsid w:val="00F259AF"/>
    <w:rsid w:val="00F259FA"/>
    <w:rsid w:val="00F25A0A"/>
    <w:rsid w:val="00F25A78"/>
    <w:rsid w:val="00F25B64"/>
    <w:rsid w:val="00F25B6A"/>
    <w:rsid w:val="00F25B96"/>
    <w:rsid w:val="00F25C6C"/>
    <w:rsid w:val="00F25CE9"/>
    <w:rsid w:val="00F25CED"/>
    <w:rsid w:val="00F25CFC"/>
    <w:rsid w:val="00F25DFA"/>
    <w:rsid w:val="00F25E1F"/>
    <w:rsid w:val="00F25E3E"/>
    <w:rsid w:val="00F25E5E"/>
    <w:rsid w:val="00F25E64"/>
    <w:rsid w:val="00F25EE4"/>
    <w:rsid w:val="00F25F00"/>
    <w:rsid w:val="00F25F66"/>
    <w:rsid w:val="00F25F8E"/>
    <w:rsid w:val="00F25FD2"/>
    <w:rsid w:val="00F26017"/>
    <w:rsid w:val="00F2604C"/>
    <w:rsid w:val="00F26076"/>
    <w:rsid w:val="00F260B7"/>
    <w:rsid w:val="00F260C3"/>
    <w:rsid w:val="00F260D2"/>
    <w:rsid w:val="00F260F6"/>
    <w:rsid w:val="00F26141"/>
    <w:rsid w:val="00F26199"/>
    <w:rsid w:val="00F261C0"/>
    <w:rsid w:val="00F261DA"/>
    <w:rsid w:val="00F261E9"/>
    <w:rsid w:val="00F26216"/>
    <w:rsid w:val="00F26217"/>
    <w:rsid w:val="00F26234"/>
    <w:rsid w:val="00F26350"/>
    <w:rsid w:val="00F26388"/>
    <w:rsid w:val="00F2638E"/>
    <w:rsid w:val="00F263B3"/>
    <w:rsid w:val="00F263CA"/>
    <w:rsid w:val="00F263D0"/>
    <w:rsid w:val="00F263F3"/>
    <w:rsid w:val="00F26417"/>
    <w:rsid w:val="00F26442"/>
    <w:rsid w:val="00F2645D"/>
    <w:rsid w:val="00F2647C"/>
    <w:rsid w:val="00F26491"/>
    <w:rsid w:val="00F2651E"/>
    <w:rsid w:val="00F2651F"/>
    <w:rsid w:val="00F2658D"/>
    <w:rsid w:val="00F265A4"/>
    <w:rsid w:val="00F265A9"/>
    <w:rsid w:val="00F2661F"/>
    <w:rsid w:val="00F266A6"/>
    <w:rsid w:val="00F266A8"/>
    <w:rsid w:val="00F266BD"/>
    <w:rsid w:val="00F266E5"/>
    <w:rsid w:val="00F26747"/>
    <w:rsid w:val="00F2683F"/>
    <w:rsid w:val="00F268DA"/>
    <w:rsid w:val="00F26917"/>
    <w:rsid w:val="00F26922"/>
    <w:rsid w:val="00F26943"/>
    <w:rsid w:val="00F269AC"/>
    <w:rsid w:val="00F26A4F"/>
    <w:rsid w:val="00F26A81"/>
    <w:rsid w:val="00F26AA1"/>
    <w:rsid w:val="00F26B54"/>
    <w:rsid w:val="00F26BCB"/>
    <w:rsid w:val="00F26C2C"/>
    <w:rsid w:val="00F26C4C"/>
    <w:rsid w:val="00F26C63"/>
    <w:rsid w:val="00F26CD2"/>
    <w:rsid w:val="00F26CE6"/>
    <w:rsid w:val="00F26D02"/>
    <w:rsid w:val="00F26D17"/>
    <w:rsid w:val="00F26D6D"/>
    <w:rsid w:val="00F26DE3"/>
    <w:rsid w:val="00F26DEE"/>
    <w:rsid w:val="00F26E93"/>
    <w:rsid w:val="00F26EEC"/>
    <w:rsid w:val="00F26F1A"/>
    <w:rsid w:val="00F26FA2"/>
    <w:rsid w:val="00F26FAF"/>
    <w:rsid w:val="00F27046"/>
    <w:rsid w:val="00F27124"/>
    <w:rsid w:val="00F27126"/>
    <w:rsid w:val="00F271D9"/>
    <w:rsid w:val="00F271E0"/>
    <w:rsid w:val="00F2720B"/>
    <w:rsid w:val="00F27220"/>
    <w:rsid w:val="00F2725E"/>
    <w:rsid w:val="00F27264"/>
    <w:rsid w:val="00F27325"/>
    <w:rsid w:val="00F27357"/>
    <w:rsid w:val="00F2737F"/>
    <w:rsid w:val="00F2738E"/>
    <w:rsid w:val="00F273D6"/>
    <w:rsid w:val="00F27406"/>
    <w:rsid w:val="00F2740A"/>
    <w:rsid w:val="00F27465"/>
    <w:rsid w:val="00F274B3"/>
    <w:rsid w:val="00F27513"/>
    <w:rsid w:val="00F27547"/>
    <w:rsid w:val="00F2754D"/>
    <w:rsid w:val="00F275BB"/>
    <w:rsid w:val="00F27607"/>
    <w:rsid w:val="00F27650"/>
    <w:rsid w:val="00F2767D"/>
    <w:rsid w:val="00F2769D"/>
    <w:rsid w:val="00F276D2"/>
    <w:rsid w:val="00F27731"/>
    <w:rsid w:val="00F27743"/>
    <w:rsid w:val="00F2775B"/>
    <w:rsid w:val="00F27763"/>
    <w:rsid w:val="00F277A1"/>
    <w:rsid w:val="00F27932"/>
    <w:rsid w:val="00F2794D"/>
    <w:rsid w:val="00F27969"/>
    <w:rsid w:val="00F2796C"/>
    <w:rsid w:val="00F2796E"/>
    <w:rsid w:val="00F27975"/>
    <w:rsid w:val="00F2797A"/>
    <w:rsid w:val="00F2798E"/>
    <w:rsid w:val="00F27996"/>
    <w:rsid w:val="00F279C8"/>
    <w:rsid w:val="00F279F1"/>
    <w:rsid w:val="00F27A13"/>
    <w:rsid w:val="00F27A2C"/>
    <w:rsid w:val="00F27A43"/>
    <w:rsid w:val="00F27A5B"/>
    <w:rsid w:val="00F27A5F"/>
    <w:rsid w:val="00F27A7B"/>
    <w:rsid w:val="00F27AC3"/>
    <w:rsid w:val="00F27AEB"/>
    <w:rsid w:val="00F27AF4"/>
    <w:rsid w:val="00F27B21"/>
    <w:rsid w:val="00F27BAD"/>
    <w:rsid w:val="00F27BD5"/>
    <w:rsid w:val="00F27BFD"/>
    <w:rsid w:val="00F27C21"/>
    <w:rsid w:val="00F27C60"/>
    <w:rsid w:val="00F27C8C"/>
    <w:rsid w:val="00F27CF3"/>
    <w:rsid w:val="00F27E57"/>
    <w:rsid w:val="00F27E82"/>
    <w:rsid w:val="00F27E84"/>
    <w:rsid w:val="00F27EC4"/>
    <w:rsid w:val="00F27F09"/>
    <w:rsid w:val="00F27FBA"/>
    <w:rsid w:val="00F27FCF"/>
    <w:rsid w:val="00F27FE0"/>
    <w:rsid w:val="00F30015"/>
    <w:rsid w:val="00F30033"/>
    <w:rsid w:val="00F300A5"/>
    <w:rsid w:val="00F300DB"/>
    <w:rsid w:val="00F300DE"/>
    <w:rsid w:val="00F3012A"/>
    <w:rsid w:val="00F3018D"/>
    <w:rsid w:val="00F301EE"/>
    <w:rsid w:val="00F301F0"/>
    <w:rsid w:val="00F301F7"/>
    <w:rsid w:val="00F30206"/>
    <w:rsid w:val="00F3026D"/>
    <w:rsid w:val="00F302F9"/>
    <w:rsid w:val="00F3035E"/>
    <w:rsid w:val="00F3039C"/>
    <w:rsid w:val="00F303AC"/>
    <w:rsid w:val="00F303B5"/>
    <w:rsid w:val="00F303D5"/>
    <w:rsid w:val="00F303FE"/>
    <w:rsid w:val="00F30400"/>
    <w:rsid w:val="00F3049B"/>
    <w:rsid w:val="00F304AD"/>
    <w:rsid w:val="00F304CC"/>
    <w:rsid w:val="00F304E5"/>
    <w:rsid w:val="00F304EA"/>
    <w:rsid w:val="00F30501"/>
    <w:rsid w:val="00F30518"/>
    <w:rsid w:val="00F30538"/>
    <w:rsid w:val="00F30564"/>
    <w:rsid w:val="00F305D7"/>
    <w:rsid w:val="00F305D8"/>
    <w:rsid w:val="00F30668"/>
    <w:rsid w:val="00F306AA"/>
    <w:rsid w:val="00F306B4"/>
    <w:rsid w:val="00F30741"/>
    <w:rsid w:val="00F3076F"/>
    <w:rsid w:val="00F307AC"/>
    <w:rsid w:val="00F307B1"/>
    <w:rsid w:val="00F307D2"/>
    <w:rsid w:val="00F307FA"/>
    <w:rsid w:val="00F3080B"/>
    <w:rsid w:val="00F3083D"/>
    <w:rsid w:val="00F30852"/>
    <w:rsid w:val="00F30859"/>
    <w:rsid w:val="00F3086E"/>
    <w:rsid w:val="00F308D2"/>
    <w:rsid w:val="00F308D6"/>
    <w:rsid w:val="00F30961"/>
    <w:rsid w:val="00F30A8F"/>
    <w:rsid w:val="00F30ACE"/>
    <w:rsid w:val="00F30AD0"/>
    <w:rsid w:val="00F30B2C"/>
    <w:rsid w:val="00F30B35"/>
    <w:rsid w:val="00F30B57"/>
    <w:rsid w:val="00F30B6E"/>
    <w:rsid w:val="00F30B81"/>
    <w:rsid w:val="00F30BA6"/>
    <w:rsid w:val="00F30BD2"/>
    <w:rsid w:val="00F30C22"/>
    <w:rsid w:val="00F30C38"/>
    <w:rsid w:val="00F30C6B"/>
    <w:rsid w:val="00F30CB4"/>
    <w:rsid w:val="00F30D9F"/>
    <w:rsid w:val="00F30DF4"/>
    <w:rsid w:val="00F30E2E"/>
    <w:rsid w:val="00F30E3F"/>
    <w:rsid w:val="00F30EC0"/>
    <w:rsid w:val="00F30ED8"/>
    <w:rsid w:val="00F30F5C"/>
    <w:rsid w:val="00F30F8C"/>
    <w:rsid w:val="00F30FBC"/>
    <w:rsid w:val="00F31155"/>
    <w:rsid w:val="00F311AA"/>
    <w:rsid w:val="00F311AE"/>
    <w:rsid w:val="00F311B2"/>
    <w:rsid w:val="00F31242"/>
    <w:rsid w:val="00F31248"/>
    <w:rsid w:val="00F31258"/>
    <w:rsid w:val="00F312DE"/>
    <w:rsid w:val="00F312E0"/>
    <w:rsid w:val="00F3133D"/>
    <w:rsid w:val="00F31371"/>
    <w:rsid w:val="00F31391"/>
    <w:rsid w:val="00F313A9"/>
    <w:rsid w:val="00F313DB"/>
    <w:rsid w:val="00F31463"/>
    <w:rsid w:val="00F31496"/>
    <w:rsid w:val="00F314EA"/>
    <w:rsid w:val="00F3150A"/>
    <w:rsid w:val="00F31524"/>
    <w:rsid w:val="00F3154E"/>
    <w:rsid w:val="00F3155E"/>
    <w:rsid w:val="00F31572"/>
    <w:rsid w:val="00F31584"/>
    <w:rsid w:val="00F315DF"/>
    <w:rsid w:val="00F31632"/>
    <w:rsid w:val="00F3165F"/>
    <w:rsid w:val="00F31777"/>
    <w:rsid w:val="00F31792"/>
    <w:rsid w:val="00F317B0"/>
    <w:rsid w:val="00F317D8"/>
    <w:rsid w:val="00F31805"/>
    <w:rsid w:val="00F31823"/>
    <w:rsid w:val="00F31855"/>
    <w:rsid w:val="00F318F7"/>
    <w:rsid w:val="00F31953"/>
    <w:rsid w:val="00F31997"/>
    <w:rsid w:val="00F31998"/>
    <w:rsid w:val="00F319C0"/>
    <w:rsid w:val="00F319DD"/>
    <w:rsid w:val="00F31A37"/>
    <w:rsid w:val="00F31A46"/>
    <w:rsid w:val="00F31A68"/>
    <w:rsid w:val="00F31AB8"/>
    <w:rsid w:val="00F31B07"/>
    <w:rsid w:val="00F31B2E"/>
    <w:rsid w:val="00F31B67"/>
    <w:rsid w:val="00F31BDA"/>
    <w:rsid w:val="00F31C22"/>
    <w:rsid w:val="00F31C35"/>
    <w:rsid w:val="00F31C56"/>
    <w:rsid w:val="00F31C57"/>
    <w:rsid w:val="00F31C59"/>
    <w:rsid w:val="00F31C79"/>
    <w:rsid w:val="00F31D70"/>
    <w:rsid w:val="00F31E4C"/>
    <w:rsid w:val="00F31E7C"/>
    <w:rsid w:val="00F31E86"/>
    <w:rsid w:val="00F31EDD"/>
    <w:rsid w:val="00F31EDE"/>
    <w:rsid w:val="00F31EF2"/>
    <w:rsid w:val="00F31F2B"/>
    <w:rsid w:val="00F31F82"/>
    <w:rsid w:val="00F31F83"/>
    <w:rsid w:val="00F3200B"/>
    <w:rsid w:val="00F3203B"/>
    <w:rsid w:val="00F32076"/>
    <w:rsid w:val="00F320B0"/>
    <w:rsid w:val="00F320F8"/>
    <w:rsid w:val="00F32125"/>
    <w:rsid w:val="00F3212F"/>
    <w:rsid w:val="00F32166"/>
    <w:rsid w:val="00F321E1"/>
    <w:rsid w:val="00F321EB"/>
    <w:rsid w:val="00F32213"/>
    <w:rsid w:val="00F322F0"/>
    <w:rsid w:val="00F32360"/>
    <w:rsid w:val="00F323AB"/>
    <w:rsid w:val="00F323B2"/>
    <w:rsid w:val="00F32481"/>
    <w:rsid w:val="00F32492"/>
    <w:rsid w:val="00F324A2"/>
    <w:rsid w:val="00F32526"/>
    <w:rsid w:val="00F3257C"/>
    <w:rsid w:val="00F325B5"/>
    <w:rsid w:val="00F325C5"/>
    <w:rsid w:val="00F325E7"/>
    <w:rsid w:val="00F32606"/>
    <w:rsid w:val="00F32618"/>
    <w:rsid w:val="00F3262B"/>
    <w:rsid w:val="00F3263C"/>
    <w:rsid w:val="00F32645"/>
    <w:rsid w:val="00F326FB"/>
    <w:rsid w:val="00F32715"/>
    <w:rsid w:val="00F3272C"/>
    <w:rsid w:val="00F327BC"/>
    <w:rsid w:val="00F327E1"/>
    <w:rsid w:val="00F32878"/>
    <w:rsid w:val="00F3287E"/>
    <w:rsid w:val="00F3288F"/>
    <w:rsid w:val="00F328EE"/>
    <w:rsid w:val="00F3294A"/>
    <w:rsid w:val="00F329BC"/>
    <w:rsid w:val="00F329BE"/>
    <w:rsid w:val="00F32A46"/>
    <w:rsid w:val="00F32ACC"/>
    <w:rsid w:val="00F32B27"/>
    <w:rsid w:val="00F32B3D"/>
    <w:rsid w:val="00F32BBD"/>
    <w:rsid w:val="00F32BDC"/>
    <w:rsid w:val="00F32BF8"/>
    <w:rsid w:val="00F32C75"/>
    <w:rsid w:val="00F32C88"/>
    <w:rsid w:val="00F32CE5"/>
    <w:rsid w:val="00F32D6F"/>
    <w:rsid w:val="00F32D78"/>
    <w:rsid w:val="00F32D80"/>
    <w:rsid w:val="00F32DA0"/>
    <w:rsid w:val="00F32DC0"/>
    <w:rsid w:val="00F32E51"/>
    <w:rsid w:val="00F32E64"/>
    <w:rsid w:val="00F32EA5"/>
    <w:rsid w:val="00F32F3D"/>
    <w:rsid w:val="00F32FAE"/>
    <w:rsid w:val="00F3305E"/>
    <w:rsid w:val="00F330B1"/>
    <w:rsid w:val="00F330B7"/>
    <w:rsid w:val="00F330C3"/>
    <w:rsid w:val="00F33117"/>
    <w:rsid w:val="00F33194"/>
    <w:rsid w:val="00F331F3"/>
    <w:rsid w:val="00F33243"/>
    <w:rsid w:val="00F3324B"/>
    <w:rsid w:val="00F3324D"/>
    <w:rsid w:val="00F332DC"/>
    <w:rsid w:val="00F33337"/>
    <w:rsid w:val="00F333B1"/>
    <w:rsid w:val="00F333D5"/>
    <w:rsid w:val="00F333F5"/>
    <w:rsid w:val="00F3345E"/>
    <w:rsid w:val="00F334BB"/>
    <w:rsid w:val="00F334D2"/>
    <w:rsid w:val="00F33508"/>
    <w:rsid w:val="00F3354D"/>
    <w:rsid w:val="00F335AB"/>
    <w:rsid w:val="00F335C4"/>
    <w:rsid w:val="00F3363A"/>
    <w:rsid w:val="00F337B4"/>
    <w:rsid w:val="00F337EF"/>
    <w:rsid w:val="00F3385A"/>
    <w:rsid w:val="00F3387D"/>
    <w:rsid w:val="00F338A1"/>
    <w:rsid w:val="00F338D5"/>
    <w:rsid w:val="00F3390B"/>
    <w:rsid w:val="00F33983"/>
    <w:rsid w:val="00F339F3"/>
    <w:rsid w:val="00F33A44"/>
    <w:rsid w:val="00F33AB7"/>
    <w:rsid w:val="00F33ABA"/>
    <w:rsid w:val="00F33B33"/>
    <w:rsid w:val="00F33B5C"/>
    <w:rsid w:val="00F33B73"/>
    <w:rsid w:val="00F33CD4"/>
    <w:rsid w:val="00F33CE6"/>
    <w:rsid w:val="00F33D19"/>
    <w:rsid w:val="00F33D1C"/>
    <w:rsid w:val="00F33D4A"/>
    <w:rsid w:val="00F33D9E"/>
    <w:rsid w:val="00F33D9F"/>
    <w:rsid w:val="00F33DA9"/>
    <w:rsid w:val="00F33DB8"/>
    <w:rsid w:val="00F33DB9"/>
    <w:rsid w:val="00F33E2D"/>
    <w:rsid w:val="00F33EC1"/>
    <w:rsid w:val="00F33EE5"/>
    <w:rsid w:val="00F33EF1"/>
    <w:rsid w:val="00F33F4E"/>
    <w:rsid w:val="00F33F59"/>
    <w:rsid w:val="00F33F6F"/>
    <w:rsid w:val="00F33F85"/>
    <w:rsid w:val="00F33FC7"/>
    <w:rsid w:val="00F34001"/>
    <w:rsid w:val="00F34004"/>
    <w:rsid w:val="00F3402E"/>
    <w:rsid w:val="00F34068"/>
    <w:rsid w:val="00F34086"/>
    <w:rsid w:val="00F340F2"/>
    <w:rsid w:val="00F3412C"/>
    <w:rsid w:val="00F34136"/>
    <w:rsid w:val="00F3414A"/>
    <w:rsid w:val="00F34193"/>
    <w:rsid w:val="00F34250"/>
    <w:rsid w:val="00F342DE"/>
    <w:rsid w:val="00F34327"/>
    <w:rsid w:val="00F34335"/>
    <w:rsid w:val="00F343A3"/>
    <w:rsid w:val="00F343B3"/>
    <w:rsid w:val="00F343D3"/>
    <w:rsid w:val="00F344F1"/>
    <w:rsid w:val="00F3456E"/>
    <w:rsid w:val="00F34585"/>
    <w:rsid w:val="00F34589"/>
    <w:rsid w:val="00F34590"/>
    <w:rsid w:val="00F34598"/>
    <w:rsid w:val="00F345CE"/>
    <w:rsid w:val="00F345D7"/>
    <w:rsid w:val="00F3460D"/>
    <w:rsid w:val="00F3463B"/>
    <w:rsid w:val="00F3467E"/>
    <w:rsid w:val="00F3469A"/>
    <w:rsid w:val="00F346CD"/>
    <w:rsid w:val="00F346E4"/>
    <w:rsid w:val="00F34704"/>
    <w:rsid w:val="00F34761"/>
    <w:rsid w:val="00F347B4"/>
    <w:rsid w:val="00F347E6"/>
    <w:rsid w:val="00F3482A"/>
    <w:rsid w:val="00F3490E"/>
    <w:rsid w:val="00F34918"/>
    <w:rsid w:val="00F3496B"/>
    <w:rsid w:val="00F349BD"/>
    <w:rsid w:val="00F349FD"/>
    <w:rsid w:val="00F34A47"/>
    <w:rsid w:val="00F34A63"/>
    <w:rsid w:val="00F34A94"/>
    <w:rsid w:val="00F34A9C"/>
    <w:rsid w:val="00F34AA9"/>
    <w:rsid w:val="00F34AAC"/>
    <w:rsid w:val="00F34AB3"/>
    <w:rsid w:val="00F34AB9"/>
    <w:rsid w:val="00F34B08"/>
    <w:rsid w:val="00F34B4C"/>
    <w:rsid w:val="00F34CBD"/>
    <w:rsid w:val="00F34CCB"/>
    <w:rsid w:val="00F34D02"/>
    <w:rsid w:val="00F34D45"/>
    <w:rsid w:val="00F34D6D"/>
    <w:rsid w:val="00F34D8A"/>
    <w:rsid w:val="00F34DC4"/>
    <w:rsid w:val="00F34DE8"/>
    <w:rsid w:val="00F34E8E"/>
    <w:rsid w:val="00F34EB7"/>
    <w:rsid w:val="00F34ECD"/>
    <w:rsid w:val="00F34F4E"/>
    <w:rsid w:val="00F34F69"/>
    <w:rsid w:val="00F34F73"/>
    <w:rsid w:val="00F34FBC"/>
    <w:rsid w:val="00F34FC5"/>
    <w:rsid w:val="00F35096"/>
    <w:rsid w:val="00F350A2"/>
    <w:rsid w:val="00F350FB"/>
    <w:rsid w:val="00F3523B"/>
    <w:rsid w:val="00F35278"/>
    <w:rsid w:val="00F352F9"/>
    <w:rsid w:val="00F3530F"/>
    <w:rsid w:val="00F3535F"/>
    <w:rsid w:val="00F353D7"/>
    <w:rsid w:val="00F353D8"/>
    <w:rsid w:val="00F35460"/>
    <w:rsid w:val="00F35471"/>
    <w:rsid w:val="00F354D3"/>
    <w:rsid w:val="00F354F5"/>
    <w:rsid w:val="00F3551D"/>
    <w:rsid w:val="00F35537"/>
    <w:rsid w:val="00F35576"/>
    <w:rsid w:val="00F35607"/>
    <w:rsid w:val="00F35690"/>
    <w:rsid w:val="00F35693"/>
    <w:rsid w:val="00F356CA"/>
    <w:rsid w:val="00F356E8"/>
    <w:rsid w:val="00F35720"/>
    <w:rsid w:val="00F3573C"/>
    <w:rsid w:val="00F35754"/>
    <w:rsid w:val="00F35783"/>
    <w:rsid w:val="00F358A2"/>
    <w:rsid w:val="00F35906"/>
    <w:rsid w:val="00F35918"/>
    <w:rsid w:val="00F3595D"/>
    <w:rsid w:val="00F359B9"/>
    <w:rsid w:val="00F35A01"/>
    <w:rsid w:val="00F35A34"/>
    <w:rsid w:val="00F35A4B"/>
    <w:rsid w:val="00F35A53"/>
    <w:rsid w:val="00F35A6E"/>
    <w:rsid w:val="00F35A9B"/>
    <w:rsid w:val="00F35B2A"/>
    <w:rsid w:val="00F35B41"/>
    <w:rsid w:val="00F35B47"/>
    <w:rsid w:val="00F35B62"/>
    <w:rsid w:val="00F35BA6"/>
    <w:rsid w:val="00F35BA9"/>
    <w:rsid w:val="00F35BEC"/>
    <w:rsid w:val="00F35C63"/>
    <w:rsid w:val="00F35C94"/>
    <w:rsid w:val="00F35C9D"/>
    <w:rsid w:val="00F35D1A"/>
    <w:rsid w:val="00F35E58"/>
    <w:rsid w:val="00F35E64"/>
    <w:rsid w:val="00F35E6B"/>
    <w:rsid w:val="00F35EA5"/>
    <w:rsid w:val="00F35F05"/>
    <w:rsid w:val="00F35F16"/>
    <w:rsid w:val="00F35F2E"/>
    <w:rsid w:val="00F35F39"/>
    <w:rsid w:val="00F35F8E"/>
    <w:rsid w:val="00F35FA7"/>
    <w:rsid w:val="00F35FD1"/>
    <w:rsid w:val="00F36026"/>
    <w:rsid w:val="00F3603B"/>
    <w:rsid w:val="00F36051"/>
    <w:rsid w:val="00F3609E"/>
    <w:rsid w:val="00F360AB"/>
    <w:rsid w:val="00F3617E"/>
    <w:rsid w:val="00F36206"/>
    <w:rsid w:val="00F36213"/>
    <w:rsid w:val="00F36217"/>
    <w:rsid w:val="00F3622C"/>
    <w:rsid w:val="00F36253"/>
    <w:rsid w:val="00F36260"/>
    <w:rsid w:val="00F3635D"/>
    <w:rsid w:val="00F3636B"/>
    <w:rsid w:val="00F36446"/>
    <w:rsid w:val="00F36450"/>
    <w:rsid w:val="00F364A0"/>
    <w:rsid w:val="00F3651B"/>
    <w:rsid w:val="00F3658A"/>
    <w:rsid w:val="00F365C7"/>
    <w:rsid w:val="00F365E7"/>
    <w:rsid w:val="00F36630"/>
    <w:rsid w:val="00F36632"/>
    <w:rsid w:val="00F36636"/>
    <w:rsid w:val="00F36660"/>
    <w:rsid w:val="00F36671"/>
    <w:rsid w:val="00F3667C"/>
    <w:rsid w:val="00F366D0"/>
    <w:rsid w:val="00F36854"/>
    <w:rsid w:val="00F3685F"/>
    <w:rsid w:val="00F36905"/>
    <w:rsid w:val="00F3695F"/>
    <w:rsid w:val="00F3699E"/>
    <w:rsid w:val="00F369D2"/>
    <w:rsid w:val="00F369D6"/>
    <w:rsid w:val="00F369E3"/>
    <w:rsid w:val="00F369F1"/>
    <w:rsid w:val="00F36A45"/>
    <w:rsid w:val="00F36A4D"/>
    <w:rsid w:val="00F36A65"/>
    <w:rsid w:val="00F36AA6"/>
    <w:rsid w:val="00F36B1A"/>
    <w:rsid w:val="00F36B8F"/>
    <w:rsid w:val="00F36B90"/>
    <w:rsid w:val="00F36BC2"/>
    <w:rsid w:val="00F36BF7"/>
    <w:rsid w:val="00F36C5A"/>
    <w:rsid w:val="00F36CCA"/>
    <w:rsid w:val="00F36CEE"/>
    <w:rsid w:val="00F36CFB"/>
    <w:rsid w:val="00F36D26"/>
    <w:rsid w:val="00F36D45"/>
    <w:rsid w:val="00F36D93"/>
    <w:rsid w:val="00F36DC0"/>
    <w:rsid w:val="00F36E02"/>
    <w:rsid w:val="00F36E6D"/>
    <w:rsid w:val="00F36E7E"/>
    <w:rsid w:val="00F36EBA"/>
    <w:rsid w:val="00F36EE4"/>
    <w:rsid w:val="00F36F0E"/>
    <w:rsid w:val="00F36F2B"/>
    <w:rsid w:val="00F36F91"/>
    <w:rsid w:val="00F36FE7"/>
    <w:rsid w:val="00F36FF6"/>
    <w:rsid w:val="00F3701C"/>
    <w:rsid w:val="00F37070"/>
    <w:rsid w:val="00F37082"/>
    <w:rsid w:val="00F3711D"/>
    <w:rsid w:val="00F3712B"/>
    <w:rsid w:val="00F37176"/>
    <w:rsid w:val="00F37183"/>
    <w:rsid w:val="00F371CC"/>
    <w:rsid w:val="00F3726C"/>
    <w:rsid w:val="00F372F6"/>
    <w:rsid w:val="00F3730C"/>
    <w:rsid w:val="00F37326"/>
    <w:rsid w:val="00F37364"/>
    <w:rsid w:val="00F37393"/>
    <w:rsid w:val="00F37464"/>
    <w:rsid w:val="00F37466"/>
    <w:rsid w:val="00F3754C"/>
    <w:rsid w:val="00F37583"/>
    <w:rsid w:val="00F375A0"/>
    <w:rsid w:val="00F376E5"/>
    <w:rsid w:val="00F376F6"/>
    <w:rsid w:val="00F3771B"/>
    <w:rsid w:val="00F37733"/>
    <w:rsid w:val="00F3785F"/>
    <w:rsid w:val="00F3786A"/>
    <w:rsid w:val="00F37908"/>
    <w:rsid w:val="00F37958"/>
    <w:rsid w:val="00F3796F"/>
    <w:rsid w:val="00F37A03"/>
    <w:rsid w:val="00F37A0C"/>
    <w:rsid w:val="00F37AC7"/>
    <w:rsid w:val="00F37AF7"/>
    <w:rsid w:val="00F37B0E"/>
    <w:rsid w:val="00F37B13"/>
    <w:rsid w:val="00F37BE4"/>
    <w:rsid w:val="00F37C10"/>
    <w:rsid w:val="00F37C45"/>
    <w:rsid w:val="00F37C4B"/>
    <w:rsid w:val="00F37C55"/>
    <w:rsid w:val="00F37CA4"/>
    <w:rsid w:val="00F37D7E"/>
    <w:rsid w:val="00F37DA4"/>
    <w:rsid w:val="00F37DAE"/>
    <w:rsid w:val="00F37DD6"/>
    <w:rsid w:val="00F37E4A"/>
    <w:rsid w:val="00F37E89"/>
    <w:rsid w:val="00F37EC1"/>
    <w:rsid w:val="00F37ECF"/>
    <w:rsid w:val="00F37F1A"/>
    <w:rsid w:val="00F37F1D"/>
    <w:rsid w:val="00F37F30"/>
    <w:rsid w:val="00F37FA3"/>
    <w:rsid w:val="00F40044"/>
    <w:rsid w:val="00F40066"/>
    <w:rsid w:val="00F400F1"/>
    <w:rsid w:val="00F400FE"/>
    <w:rsid w:val="00F40102"/>
    <w:rsid w:val="00F40137"/>
    <w:rsid w:val="00F40154"/>
    <w:rsid w:val="00F40188"/>
    <w:rsid w:val="00F401A0"/>
    <w:rsid w:val="00F401B4"/>
    <w:rsid w:val="00F401F3"/>
    <w:rsid w:val="00F40226"/>
    <w:rsid w:val="00F4024C"/>
    <w:rsid w:val="00F4027A"/>
    <w:rsid w:val="00F402AF"/>
    <w:rsid w:val="00F403BD"/>
    <w:rsid w:val="00F40448"/>
    <w:rsid w:val="00F40493"/>
    <w:rsid w:val="00F404F6"/>
    <w:rsid w:val="00F4051A"/>
    <w:rsid w:val="00F4052E"/>
    <w:rsid w:val="00F40545"/>
    <w:rsid w:val="00F405AB"/>
    <w:rsid w:val="00F405AE"/>
    <w:rsid w:val="00F405C7"/>
    <w:rsid w:val="00F4062B"/>
    <w:rsid w:val="00F4069B"/>
    <w:rsid w:val="00F40715"/>
    <w:rsid w:val="00F4073A"/>
    <w:rsid w:val="00F407AD"/>
    <w:rsid w:val="00F407CD"/>
    <w:rsid w:val="00F40802"/>
    <w:rsid w:val="00F40814"/>
    <w:rsid w:val="00F40842"/>
    <w:rsid w:val="00F40846"/>
    <w:rsid w:val="00F40906"/>
    <w:rsid w:val="00F4095F"/>
    <w:rsid w:val="00F409DA"/>
    <w:rsid w:val="00F40A79"/>
    <w:rsid w:val="00F40A9D"/>
    <w:rsid w:val="00F40A9F"/>
    <w:rsid w:val="00F40AB6"/>
    <w:rsid w:val="00F40B87"/>
    <w:rsid w:val="00F40BC5"/>
    <w:rsid w:val="00F40C44"/>
    <w:rsid w:val="00F40C46"/>
    <w:rsid w:val="00F40C87"/>
    <w:rsid w:val="00F40C88"/>
    <w:rsid w:val="00F40C94"/>
    <w:rsid w:val="00F40DE3"/>
    <w:rsid w:val="00F40E14"/>
    <w:rsid w:val="00F40EC5"/>
    <w:rsid w:val="00F40F1B"/>
    <w:rsid w:val="00F40F1C"/>
    <w:rsid w:val="00F40F2D"/>
    <w:rsid w:val="00F40F86"/>
    <w:rsid w:val="00F40FB9"/>
    <w:rsid w:val="00F40FE1"/>
    <w:rsid w:val="00F40FE9"/>
    <w:rsid w:val="00F41048"/>
    <w:rsid w:val="00F41106"/>
    <w:rsid w:val="00F4111A"/>
    <w:rsid w:val="00F4112B"/>
    <w:rsid w:val="00F411D8"/>
    <w:rsid w:val="00F411DA"/>
    <w:rsid w:val="00F411EA"/>
    <w:rsid w:val="00F411EF"/>
    <w:rsid w:val="00F411FE"/>
    <w:rsid w:val="00F4127F"/>
    <w:rsid w:val="00F412A2"/>
    <w:rsid w:val="00F4136E"/>
    <w:rsid w:val="00F41387"/>
    <w:rsid w:val="00F4138C"/>
    <w:rsid w:val="00F413F5"/>
    <w:rsid w:val="00F41407"/>
    <w:rsid w:val="00F41529"/>
    <w:rsid w:val="00F4157B"/>
    <w:rsid w:val="00F415F2"/>
    <w:rsid w:val="00F41601"/>
    <w:rsid w:val="00F41641"/>
    <w:rsid w:val="00F416AE"/>
    <w:rsid w:val="00F416B6"/>
    <w:rsid w:val="00F4174C"/>
    <w:rsid w:val="00F41760"/>
    <w:rsid w:val="00F4178C"/>
    <w:rsid w:val="00F417BE"/>
    <w:rsid w:val="00F41861"/>
    <w:rsid w:val="00F4187F"/>
    <w:rsid w:val="00F4189E"/>
    <w:rsid w:val="00F418A2"/>
    <w:rsid w:val="00F418BA"/>
    <w:rsid w:val="00F418CD"/>
    <w:rsid w:val="00F4195E"/>
    <w:rsid w:val="00F4195F"/>
    <w:rsid w:val="00F41962"/>
    <w:rsid w:val="00F41978"/>
    <w:rsid w:val="00F419A2"/>
    <w:rsid w:val="00F41A18"/>
    <w:rsid w:val="00F41A43"/>
    <w:rsid w:val="00F41A7D"/>
    <w:rsid w:val="00F41AD8"/>
    <w:rsid w:val="00F41B42"/>
    <w:rsid w:val="00F41B4E"/>
    <w:rsid w:val="00F41BAA"/>
    <w:rsid w:val="00F41BB9"/>
    <w:rsid w:val="00F41C0A"/>
    <w:rsid w:val="00F41C1B"/>
    <w:rsid w:val="00F41C1F"/>
    <w:rsid w:val="00F41C59"/>
    <w:rsid w:val="00F41C83"/>
    <w:rsid w:val="00F41D2F"/>
    <w:rsid w:val="00F41D3F"/>
    <w:rsid w:val="00F41DE5"/>
    <w:rsid w:val="00F41E05"/>
    <w:rsid w:val="00F41E1E"/>
    <w:rsid w:val="00F41E36"/>
    <w:rsid w:val="00F41EBB"/>
    <w:rsid w:val="00F41EC4"/>
    <w:rsid w:val="00F41EC7"/>
    <w:rsid w:val="00F41F0A"/>
    <w:rsid w:val="00F41FA1"/>
    <w:rsid w:val="00F41FBF"/>
    <w:rsid w:val="00F41FD9"/>
    <w:rsid w:val="00F42019"/>
    <w:rsid w:val="00F42033"/>
    <w:rsid w:val="00F4206C"/>
    <w:rsid w:val="00F42070"/>
    <w:rsid w:val="00F42135"/>
    <w:rsid w:val="00F42149"/>
    <w:rsid w:val="00F42175"/>
    <w:rsid w:val="00F4223D"/>
    <w:rsid w:val="00F42274"/>
    <w:rsid w:val="00F4229B"/>
    <w:rsid w:val="00F422A1"/>
    <w:rsid w:val="00F4230A"/>
    <w:rsid w:val="00F4230F"/>
    <w:rsid w:val="00F42344"/>
    <w:rsid w:val="00F42377"/>
    <w:rsid w:val="00F423B7"/>
    <w:rsid w:val="00F42412"/>
    <w:rsid w:val="00F4242F"/>
    <w:rsid w:val="00F424D7"/>
    <w:rsid w:val="00F42523"/>
    <w:rsid w:val="00F42547"/>
    <w:rsid w:val="00F425B2"/>
    <w:rsid w:val="00F425C0"/>
    <w:rsid w:val="00F425CD"/>
    <w:rsid w:val="00F425F3"/>
    <w:rsid w:val="00F42604"/>
    <w:rsid w:val="00F42625"/>
    <w:rsid w:val="00F4266A"/>
    <w:rsid w:val="00F426BD"/>
    <w:rsid w:val="00F426F4"/>
    <w:rsid w:val="00F4273D"/>
    <w:rsid w:val="00F427A3"/>
    <w:rsid w:val="00F427E2"/>
    <w:rsid w:val="00F42802"/>
    <w:rsid w:val="00F4281B"/>
    <w:rsid w:val="00F4289A"/>
    <w:rsid w:val="00F428D0"/>
    <w:rsid w:val="00F42971"/>
    <w:rsid w:val="00F429A1"/>
    <w:rsid w:val="00F42A21"/>
    <w:rsid w:val="00F42B68"/>
    <w:rsid w:val="00F42B70"/>
    <w:rsid w:val="00F42BB7"/>
    <w:rsid w:val="00F42BE3"/>
    <w:rsid w:val="00F42BF2"/>
    <w:rsid w:val="00F42BFD"/>
    <w:rsid w:val="00F42C01"/>
    <w:rsid w:val="00F42C20"/>
    <w:rsid w:val="00F42C29"/>
    <w:rsid w:val="00F42C2A"/>
    <w:rsid w:val="00F42C78"/>
    <w:rsid w:val="00F42C93"/>
    <w:rsid w:val="00F42CF2"/>
    <w:rsid w:val="00F42DD3"/>
    <w:rsid w:val="00F42E0F"/>
    <w:rsid w:val="00F42E56"/>
    <w:rsid w:val="00F42E99"/>
    <w:rsid w:val="00F42E9F"/>
    <w:rsid w:val="00F42EA8"/>
    <w:rsid w:val="00F42ED8"/>
    <w:rsid w:val="00F42F0D"/>
    <w:rsid w:val="00F42F3F"/>
    <w:rsid w:val="00F42F42"/>
    <w:rsid w:val="00F42F4A"/>
    <w:rsid w:val="00F42FBC"/>
    <w:rsid w:val="00F42FC8"/>
    <w:rsid w:val="00F42FD9"/>
    <w:rsid w:val="00F4301E"/>
    <w:rsid w:val="00F430E0"/>
    <w:rsid w:val="00F4311A"/>
    <w:rsid w:val="00F43150"/>
    <w:rsid w:val="00F4315E"/>
    <w:rsid w:val="00F4316B"/>
    <w:rsid w:val="00F431B6"/>
    <w:rsid w:val="00F431C2"/>
    <w:rsid w:val="00F43242"/>
    <w:rsid w:val="00F4325E"/>
    <w:rsid w:val="00F432D3"/>
    <w:rsid w:val="00F432E1"/>
    <w:rsid w:val="00F4335E"/>
    <w:rsid w:val="00F4338E"/>
    <w:rsid w:val="00F433AD"/>
    <w:rsid w:val="00F433E3"/>
    <w:rsid w:val="00F43462"/>
    <w:rsid w:val="00F43485"/>
    <w:rsid w:val="00F434C4"/>
    <w:rsid w:val="00F43500"/>
    <w:rsid w:val="00F43512"/>
    <w:rsid w:val="00F43515"/>
    <w:rsid w:val="00F43517"/>
    <w:rsid w:val="00F43561"/>
    <w:rsid w:val="00F435CA"/>
    <w:rsid w:val="00F435FB"/>
    <w:rsid w:val="00F43617"/>
    <w:rsid w:val="00F4362D"/>
    <w:rsid w:val="00F43669"/>
    <w:rsid w:val="00F43697"/>
    <w:rsid w:val="00F436AC"/>
    <w:rsid w:val="00F436B8"/>
    <w:rsid w:val="00F436D2"/>
    <w:rsid w:val="00F43746"/>
    <w:rsid w:val="00F4378D"/>
    <w:rsid w:val="00F43798"/>
    <w:rsid w:val="00F437C3"/>
    <w:rsid w:val="00F437F8"/>
    <w:rsid w:val="00F438F2"/>
    <w:rsid w:val="00F43913"/>
    <w:rsid w:val="00F4392B"/>
    <w:rsid w:val="00F4397C"/>
    <w:rsid w:val="00F43985"/>
    <w:rsid w:val="00F43999"/>
    <w:rsid w:val="00F439B9"/>
    <w:rsid w:val="00F439DE"/>
    <w:rsid w:val="00F439E3"/>
    <w:rsid w:val="00F43AB1"/>
    <w:rsid w:val="00F43ABF"/>
    <w:rsid w:val="00F43AEE"/>
    <w:rsid w:val="00F43B08"/>
    <w:rsid w:val="00F43B14"/>
    <w:rsid w:val="00F43B9E"/>
    <w:rsid w:val="00F43BDC"/>
    <w:rsid w:val="00F43C47"/>
    <w:rsid w:val="00F43C65"/>
    <w:rsid w:val="00F43CDA"/>
    <w:rsid w:val="00F43D00"/>
    <w:rsid w:val="00F43D46"/>
    <w:rsid w:val="00F43DD1"/>
    <w:rsid w:val="00F43DFC"/>
    <w:rsid w:val="00F43E2F"/>
    <w:rsid w:val="00F43E62"/>
    <w:rsid w:val="00F43E82"/>
    <w:rsid w:val="00F43EB1"/>
    <w:rsid w:val="00F43F3C"/>
    <w:rsid w:val="00F43F45"/>
    <w:rsid w:val="00F43F80"/>
    <w:rsid w:val="00F43FE1"/>
    <w:rsid w:val="00F44038"/>
    <w:rsid w:val="00F4404B"/>
    <w:rsid w:val="00F44060"/>
    <w:rsid w:val="00F44085"/>
    <w:rsid w:val="00F4409B"/>
    <w:rsid w:val="00F4414F"/>
    <w:rsid w:val="00F44185"/>
    <w:rsid w:val="00F44186"/>
    <w:rsid w:val="00F441FE"/>
    <w:rsid w:val="00F44213"/>
    <w:rsid w:val="00F4423B"/>
    <w:rsid w:val="00F4424E"/>
    <w:rsid w:val="00F442BF"/>
    <w:rsid w:val="00F4431B"/>
    <w:rsid w:val="00F44338"/>
    <w:rsid w:val="00F443B0"/>
    <w:rsid w:val="00F44409"/>
    <w:rsid w:val="00F44472"/>
    <w:rsid w:val="00F444D0"/>
    <w:rsid w:val="00F44506"/>
    <w:rsid w:val="00F44550"/>
    <w:rsid w:val="00F445BB"/>
    <w:rsid w:val="00F4464B"/>
    <w:rsid w:val="00F4465B"/>
    <w:rsid w:val="00F44674"/>
    <w:rsid w:val="00F4469F"/>
    <w:rsid w:val="00F446C9"/>
    <w:rsid w:val="00F44712"/>
    <w:rsid w:val="00F44737"/>
    <w:rsid w:val="00F44740"/>
    <w:rsid w:val="00F4477B"/>
    <w:rsid w:val="00F4478F"/>
    <w:rsid w:val="00F447A0"/>
    <w:rsid w:val="00F44839"/>
    <w:rsid w:val="00F448DD"/>
    <w:rsid w:val="00F44953"/>
    <w:rsid w:val="00F44A34"/>
    <w:rsid w:val="00F44A42"/>
    <w:rsid w:val="00F44A64"/>
    <w:rsid w:val="00F44BED"/>
    <w:rsid w:val="00F44C0C"/>
    <w:rsid w:val="00F44C20"/>
    <w:rsid w:val="00F44C58"/>
    <w:rsid w:val="00F44C89"/>
    <w:rsid w:val="00F44C8A"/>
    <w:rsid w:val="00F44CC6"/>
    <w:rsid w:val="00F44CE3"/>
    <w:rsid w:val="00F44D04"/>
    <w:rsid w:val="00F44D32"/>
    <w:rsid w:val="00F44D6A"/>
    <w:rsid w:val="00F44D73"/>
    <w:rsid w:val="00F44E02"/>
    <w:rsid w:val="00F44E5C"/>
    <w:rsid w:val="00F44EB1"/>
    <w:rsid w:val="00F44EE3"/>
    <w:rsid w:val="00F44F1C"/>
    <w:rsid w:val="00F44F1F"/>
    <w:rsid w:val="00F44F90"/>
    <w:rsid w:val="00F44FCD"/>
    <w:rsid w:val="00F44FD9"/>
    <w:rsid w:val="00F45052"/>
    <w:rsid w:val="00F4506B"/>
    <w:rsid w:val="00F450C4"/>
    <w:rsid w:val="00F450D1"/>
    <w:rsid w:val="00F450E5"/>
    <w:rsid w:val="00F451E1"/>
    <w:rsid w:val="00F452A1"/>
    <w:rsid w:val="00F452AF"/>
    <w:rsid w:val="00F452B7"/>
    <w:rsid w:val="00F452DD"/>
    <w:rsid w:val="00F45323"/>
    <w:rsid w:val="00F45326"/>
    <w:rsid w:val="00F4533E"/>
    <w:rsid w:val="00F45355"/>
    <w:rsid w:val="00F4540A"/>
    <w:rsid w:val="00F45436"/>
    <w:rsid w:val="00F45475"/>
    <w:rsid w:val="00F4547C"/>
    <w:rsid w:val="00F45494"/>
    <w:rsid w:val="00F454E9"/>
    <w:rsid w:val="00F454EB"/>
    <w:rsid w:val="00F4554B"/>
    <w:rsid w:val="00F45550"/>
    <w:rsid w:val="00F45610"/>
    <w:rsid w:val="00F4562A"/>
    <w:rsid w:val="00F4565B"/>
    <w:rsid w:val="00F45667"/>
    <w:rsid w:val="00F456B2"/>
    <w:rsid w:val="00F456CE"/>
    <w:rsid w:val="00F4570E"/>
    <w:rsid w:val="00F4577C"/>
    <w:rsid w:val="00F45802"/>
    <w:rsid w:val="00F45835"/>
    <w:rsid w:val="00F45877"/>
    <w:rsid w:val="00F458B8"/>
    <w:rsid w:val="00F45906"/>
    <w:rsid w:val="00F45912"/>
    <w:rsid w:val="00F45966"/>
    <w:rsid w:val="00F45967"/>
    <w:rsid w:val="00F45982"/>
    <w:rsid w:val="00F459DD"/>
    <w:rsid w:val="00F45AAF"/>
    <w:rsid w:val="00F45AE4"/>
    <w:rsid w:val="00F45B20"/>
    <w:rsid w:val="00F45B35"/>
    <w:rsid w:val="00F45B43"/>
    <w:rsid w:val="00F45B4B"/>
    <w:rsid w:val="00F45B58"/>
    <w:rsid w:val="00F45B7E"/>
    <w:rsid w:val="00F45C3F"/>
    <w:rsid w:val="00F45C96"/>
    <w:rsid w:val="00F45CA7"/>
    <w:rsid w:val="00F45CE0"/>
    <w:rsid w:val="00F45D13"/>
    <w:rsid w:val="00F45D55"/>
    <w:rsid w:val="00F45DCD"/>
    <w:rsid w:val="00F45E9C"/>
    <w:rsid w:val="00F45EAF"/>
    <w:rsid w:val="00F45F09"/>
    <w:rsid w:val="00F45F43"/>
    <w:rsid w:val="00F45F68"/>
    <w:rsid w:val="00F45F8E"/>
    <w:rsid w:val="00F45FDC"/>
    <w:rsid w:val="00F45FEA"/>
    <w:rsid w:val="00F46079"/>
    <w:rsid w:val="00F460B0"/>
    <w:rsid w:val="00F46194"/>
    <w:rsid w:val="00F461B9"/>
    <w:rsid w:val="00F46215"/>
    <w:rsid w:val="00F46270"/>
    <w:rsid w:val="00F462DC"/>
    <w:rsid w:val="00F4637C"/>
    <w:rsid w:val="00F464F4"/>
    <w:rsid w:val="00F464FC"/>
    <w:rsid w:val="00F46555"/>
    <w:rsid w:val="00F46562"/>
    <w:rsid w:val="00F465A5"/>
    <w:rsid w:val="00F465B0"/>
    <w:rsid w:val="00F46766"/>
    <w:rsid w:val="00F46785"/>
    <w:rsid w:val="00F467A2"/>
    <w:rsid w:val="00F467E7"/>
    <w:rsid w:val="00F46819"/>
    <w:rsid w:val="00F46834"/>
    <w:rsid w:val="00F4684A"/>
    <w:rsid w:val="00F46852"/>
    <w:rsid w:val="00F468A9"/>
    <w:rsid w:val="00F468C0"/>
    <w:rsid w:val="00F468FA"/>
    <w:rsid w:val="00F46919"/>
    <w:rsid w:val="00F4694B"/>
    <w:rsid w:val="00F46955"/>
    <w:rsid w:val="00F46A06"/>
    <w:rsid w:val="00F46A55"/>
    <w:rsid w:val="00F46AB6"/>
    <w:rsid w:val="00F46B18"/>
    <w:rsid w:val="00F46B38"/>
    <w:rsid w:val="00F46BB5"/>
    <w:rsid w:val="00F46BBE"/>
    <w:rsid w:val="00F46C01"/>
    <w:rsid w:val="00F46C0F"/>
    <w:rsid w:val="00F46D52"/>
    <w:rsid w:val="00F46D5B"/>
    <w:rsid w:val="00F46DC1"/>
    <w:rsid w:val="00F46DD6"/>
    <w:rsid w:val="00F46E1D"/>
    <w:rsid w:val="00F46E64"/>
    <w:rsid w:val="00F46EE3"/>
    <w:rsid w:val="00F46EE7"/>
    <w:rsid w:val="00F46F4E"/>
    <w:rsid w:val="00F46FDE"/>
    <w:rsid w:val="00F46FE1"/>
    <w:rsid w:val="00F4710F"/>
    <w:rsid w:val="00F4717D"/>
    <w:rsid w:val="00F4719A"/>
    <w:rsid w:val="00F4721A"/>
    <w:rsid w:val="00F4724F"/>
    <w:rsid w:val="00F47252"/>
    <w:rsid w:val="00F4727B"/>
    <w:rsid w:val="00F47291"/>
    <w:rsid w:val="00F472F8"/>
    <w:rsid w:val="00F472FC"/>
    <w:rsid w:val="00F47368"/>
    <w:rsid w:val="00F473C3"/>
    <w:rsid w:val="00F473CB"/>
    <w:rsid w:val="00F473DD"/>
    <w:rsid w:val="00F47400"/>
    <w:rsid w:val="00F474BE"/>
    <w:rsid w:val="00F474D2"/>
    <w:rsid w:val="00F47515"/>
    <w:rsid w:val="00F47531"/>
    <w:rsid w:val="00F47577"/>
    <w:rsid w:val="00F47585"/>
    <w:rsid w:val="00F475EF"/>
    <w:rsid w:val="00F47650"/>
    <w:rsid w:val="00F47653"/>
    <w:rsid w:val="00F47661"/>
    <w:rsid w:val="00F47689"/>
    <w:rsid w:val="00F476C8"/>
    <w:rsid w:val="00F47702"/>
    <w:rsid w:val="00F47703"/>
    <w:rsid w:val="00F4770C"/>
    <w:rsid w:val="00F47714"/>
    <w:rsid w:val="00F47738"/>
    <w:rsid w:val="00F47751"/>
    <w:rsid w:val="00F47777"/>
    <w:rsid w:val="00F477F7"/>
    <w:rsid w:val="00F4782A"/>
    <w:rsid w:val="00F47864"/>
    <w:rsid w:val="00F4787D"/>
    <w:rsid w:val="00F478F3"/>
    <w:rsid w:val="00F47955"/>
    <w:rsid w:val="00F4798D"/>
    <w:rsid w:val="00F479AC"/>
    <w:rsid w:val="00F479DA"/>
    <w:rsid w:val="00F479E1"/>
    <w:rsid w:val="00F47A22"/>
    <w:rsid w:val="00F47A7A"/>
    <w:rsid w:val="00F47AB1"/>
    <w:rsid w:val="00F47AC3"/>
    <w:rsid w:val="00F47ACF"/>
    <w:rsid w:val="00F47BEA"/>
    <w:rsid w:val="00F47C59"/>
    <w:rsid w:val="00F47D66"/>
    <w:rsid w:val="00F47D67"/>
    <w:rsid w:val="00F47DA1"/>
    <w:rsid w:val="00F47DA3"/>
    <w:rsid w:val="00F47DBA"/>
    <w:rsid w:val="00F47E3B"/>
    <w:rsid w:val="00F47E4B"/>
    <w:rsid w:val="00F47ED5"/>
    <w:rsid w:val="00F47F2E"/>
    <w:rsid w:val="00F47F74"/>
    <w:rsid w:val="00F47F7D"/>
    <w:rsid w:val="00F47FE3"/>
    <w:rsid w:val="00F47FF0"/>
    <w:rsid w:val="00F5002E"/>
    <w:rsid w:val="00F5006A"/>
    <w:rsid w:val="00F5007E"/>
    <w:rsid w:val="00F50095"/>
    <w:rsid w:val="00F500F6"/>
    <w:rsid w:val="00F5017D"/>
    <w:rsid w:val="00F501A5"/>
    <w:rsid w:val="00F50278"/>
    <w:rsid w:val="00F502A6"/>
    <w:rsid w:val="00F502E7"/>
    <w:rsid w:val="00F502F6"/>
    <w:rsid w:val="00F50341"/>
    <w:rsid w:val="00F5036E"/>
    <w:rsid w:val="00F503EF"/>
    <w:rsid w:val="00F5042F"/>
    <w:rsid w:val="00F50494"/>
    <w:rsid w:val="00F504AE"/>
    <w:rsid w:val="00F504FA"/>
    <w:rsid w:val="00F505FD"/>
    <w:rsid w:val="00F5060D"/>
    <w:rsid w:val="00F50615"/>
    <w:rsid w:val="00F5069A"/>
    <w:rsid w:val="00F5069D"/>
    <w:rsid w:val="00F50763"/>
    <w:rsid w:val="00F50790"/>
    <w:rsid w:val="00F5080D"/>
    <w:rsid w:val="00F50830"/>
    <w:rsid w:val="00F508B2"/>
    <w:rsid w:val="00F508DB"/>
    <w:rsid w:val="00F508EA"/>
    <w:rsid w:val="00F5099C"/>
    <w:rsid w:val="00F5099F"/>
    <w:rsid w:val="00F50A4F"/>
    <w:rsid w:val="00F50AA9"/>
    <w:rsid w:val="00F50B9C"/>
    <w:rsid w:val="00F50BAD"/>
    <w:rsid w:val="00F50BB8"/>
    <w:rsid w:val="00F50C2B"/>
    <w:rsid w:val="00F50C39"/>
    <w:rsid w:val="00F50C4B"/>
    <w:rsid w:val="00F50C5A"/>
    <w:rsid w:val="00F50CC1"/>
    <w:rsid w:val="00F50D32"/>
    <w:rsid w:val="00F50D65"/>
    <w:rsid w:val="00F50DD4"/>
    <w:rsid w:val="00F50DE2"/>
    <w:rsid w:val="00F50E6F"/>
    <w:rsid w:val="00F50EAB"/>
    <w:rsid w:val="00F50EB9"/>
    <w:rsid w:val="00F50ED5"/>
    <w:rsid w:val="00F50F07"/>
    <w:rsid w:val="00F50F1B"/>
    <w:rsid w:val="00F50F54"/>
    <w:rsid w:val="00F50F6A"/>
    <w:rsid w:val="00F50F8A"/>
    <w:rsid w:val="00F50FC6"/>
    <w:rsid w:val="00F50FDD"/>
    <w:rsid w:val="00F51022"/>
    <w:rsid w:val="00F51031"/>
    <w:rsid w:val="00F51035"/>
    <w:rsid w:val="00F51049"/>
    <w:rsid w:val="00F510A9"/>
    <w:rsid w:val="00F51100"/>
    <w:rsid w:val="00F51108"/>
    <w:rsid w:val="00F51126"/>
    <w:rsid w:val="00F51149"/>
    <w:rsid w:val="00F5119D"/>
    <w:rsid w:val="00F512E0"/>
    <w:rsid w:val="00F51345"/>
    <w:rsid w:val="00F5138C"/>
    <w:rsid w:val="00F5139C"/>
    <w:rsid w:val="00F51495"/>
    <w:rsid w:val="00F51551"/>
    <w:rsid w:val="00F51552"/>
    <w:rsid w:val="00F5155B"/>
    <w:rsid w:val="00F5156E"/>
    <w:rsid w:val="00F51575"/>
    <w:rsid w:val="00F5159C"/>
    <w:rsid w:val="00F5166A"/>
    <w:rsid w:val="00F51690"/>
    <w:rsid w:val="00F5169B"/>
    <w:rsid w:val="00F516DA"/>
    <w:rsid w:val="00F5176F"/>
    <w:rsid w:val="00F517C0"/>
    <w:rsid w:val="00F517DC"/>
    <w:rsid w:val="00F517F5"/>
    <w:rsid w:val="00F51811"/>
    <w:rsid w:val="00F5186D"/>
    <w:rsid w:val="00F518A1"/>
    <w:rsid w:val="00F518FF"/>
    <w:rsid w:val="00F5190E"/>
    <w:rsid w:val="00F51938"/>
    <w:rsid w:val="00F5199C"/>
    <w:rsid w:val="00F519D5"/>
    <w:rsid w:val="00F51A1B"/>
    <w:rsid w:val="00F51ADE"/>
    <w:rsid w:val="00F51B2D"/>
    <w:rsid w:val="00F51B8B"/>
    <w:rsid w:val="00F51CF1"/>
    <w:rsid w:val="00F51D62"/>
    <w:rsid w:val="00F51DAE"/>
    <w:rsid w:val="00F51DC4"/>
    <w:rsid w:val="00F51DF8"/>
    <w:rsid w:val="00F51EA3"/>
    <w:rsid w:val="00F51EFC"/>
    <w:rsid w:val="00F51F41"/>
    <w:rsid w:val="00F51F5C"/>
    <w:rsid w:val="00F51FA3"/>
    <w:rsid w:val="00F51FE2"/>
    <w:rsid w:val="00F51FEC"/>
    <w:rsid w:val="00F52003"/>
    <w:rsid w:val="00F52006"/>
    <w:rsid w:val="00F5206C"/>
    <w:rsid w:val="00F520CE"/>
    <w:rsid w:val="00F520D0"/>
    <w:rsid w:val="00F5214C"/>
    <w:rsid w:val="00F52157"/>
    <w:rsid w:val="00F5217D"/>
    <w:rsid w:val="00F5218B"/>
    <w:rsid w:val="00F521C6"/>
    <w:rsid w:val="00F521E9"/>
    <w:rsid w:val="00F52202"/>
    <w:rsid w:val="00F52250"/>
    <w:rsid w:val="00F522EC"/>
    <w:rsid w:val="00F522F4"/>
    <w:rsid w:val="00F5232E"/>
    <w:rsid w:val="00F52378"/>
    <w:rsid w:val="00F523E6"/>
    <w:rsid w:val="00F5242B"/>
    <w:rsid w:val="00F52479"/>
    <w:rsid w:val="00F5249E"/>
    <w:rsid w:val="00F524B7"/>
    <w:rsid w:val="00F524CB"/>
    <w:rsid w:val="00F52535"/>
    <w:rsid w:val="00F525CA"/>
    <w:rsid w:val="00F52616"/>
    <w:rsid w:val="00F52638"/>
    <w:rsid w:val="00F52731"/>
    <w:rsid w:val="00F5273E"/>
    <w:rsid w:val="00F52740"/>
    <w:rsid w:val="00F527AA"/>
    <w:rsid w:val="00F527D8"/>
    <w:rsid w:val="00F527F7"/>
    <w:rsid w:val="00F52804"/>
    <w:rsid w:val="00F52808"/>
    <w:rsid w:val="00F52810"/>
    <w:rsid w:val="00F5286D"/>
    <w:rsid w:val="00F52890"/>
    <w:rsid w:val="00F528CF"/>
    <w:rsid w:val="00F52998"/>
    <w:rsid w:val="00F529DA"/>
    <w:rsid w:val="00F52A04"/>
    <w:rsid w:val="00F52A2C"/>
    <w:rsid w:val="00F52A6F"/>
    <w:rsid w:val="00F52A74"/>
    <w:rsid w:val="00F52A92"/>
    <w:rsid w:val="00F52B29"/>
    <w:rsid w:val="00F52B59"/>
    <w:rsid w:val="00F52B94"/>
    <w:rsid w:val="00F52BA5"/>
    <w:rsid w:val="00F52BAE"/>
    <w:rsid w:val="00F52C1F"/>
    <w:rsid w:val="00F52E16"/>
    <w:rsid w:val="00F52E2A"/>
    <w:rsid w:val="00F52EAD"/>
    <w:rsid w:val="00F52F14"/>
    <w:rsid w:val="00F53014"/>
    <w:rsid w:val="00F53018"/>
    <w:rsid w:val="00F53084"/>
    <w:rsid w:val="00F53092"/>
    <w:rsid w:val="00F530D1"/>
    <w:rsid w:val="00F53169"/>
    <w:rsid w:val="00F5317D"/>
    <w:rsid w:val="00F53210"/>
    <w:rsid w:val="00F53274"/>
    <w:rsid w:val="00F5330E"/>
    <w:rsid w:val="00F53323"/>
    <w:rsid w:val="00F53341"/>
    <w:rsid w:val="00F533A8"/>
    <w:rsid w:val="00F533C3"/>
    <w:rsid w:val="00F533D4"/>
    <w:rsid w:val="00F534A8"/>
    <w:rsid w:val="00F534BD"/>
    <w:rsid w:val="00F534CE"/>
    <w:rsid w:val="00F5350F"/>
    <w:rsid w:val="00F53518"/>
    <w:rsid w:val="00F53523"/>
    <w:rsid w:val="00F53558"/>
    <w:rsid w:val="00F5357C"/>
    <w:rsid w:val="00F535F2"/>
    <w:rsid w:val="00F535F9"/>
    <w:rsid w:val="00F536B1"/>
    <w:rsid w:val="00F536C7"/>
    <w:rsid w:val="00F53755"/>
    <w:rsid w:val="00F537C6"/>
    <w:rsid w:val="00F537D1"/>
    <w:rsid w:val="00F53807"/>
    <w:rsid w:val="00F5391A"/>
    <w:rsid w:val="00F53969"/>
    <w:rsid w:val="00F539A3"/>
    <w:rsid w:val="00F539F9"/>
    <w:rsid w:val="00F53A19"/>
    <w:rsid w:val="00F53B65"/>
    <w:rsid w:val="00F53B82"/>
    <w:rsid w:val="00F53CE9"/>
    <w:rsid w:val="00F53CED"/>
    <w:rsid w:val="00F53D10"/>
    <w:rsid w:val="00F53D1B"/>
    <w:rsid w:val="00F53D28"/>
    <w:rsid w:val="00F53D9F"/>
    <w:rsid w:val="00F53DAF"/>
    <w:rsid w:val="00F53F2E"/>
    <w:rsid w:val="00F53F5C"/>
    <w:rsid w:val="00F53F5F"/>
    <w:rsid w:val="00F53F65"/>
    <w:rsid w:val="00F53FCA"/>
    <w:rsid w:val="00F53FCC"/>
    <w:rsid w:val="00F53FD4"/>
    <w:rsid w:val="00F53FEC"/>
    <w:rsid w:val="00F53FF0"/>
    <w:rsid w:val="00F54093"/>
    <w:rsid w:val="00F540A9"/>
    <w:rsid w:val="00F540AD"/>
    <w:rsid w:val="00F540FC"/>
    <w:rsid w:val="00F54101"/>
    <w:rsid w:val="00F54155"/>
    <w:rsid w:val="00F54176"/>
    <w:rsid w:val="00F541BF"/>
    <w:rsid w:val="00F541FE"/>
    <w:rsid w:val="00F5426B"/>
    <w:rsid w:val="00F54275"/>
    <w:rsid w:val="00F54288"/>
    <w:rsid w:val="00F54316"/>
    <w:rsid w:val="00F54367"/>
    <w:rsid w:val="00F543F1"/>
    <w:rsid w:val="00F54481"/>
    <w:rsid w:val="00F5448D"/>
    <w:rsid w:val="00F544BA"/>
    <w:rsid w:val="00F544C8"/>
    <w:rsid w:val="00F544D8"/>
    <w:rsid w:val="00F544E2"/>
    <w:rsid w:val="00F544F7"/>
    <w:rsid w:val="00F54501"/>
    <w:rsid w:val="00F54517"/>
    <w:rsid w:val="00F54573"/>
    <w:rsid w:val="00F545AB"/>
    <w:rsid w:val="00F545CF"/>
    <w:rsid w:val="00F54651"/>
    <w:rsid w:val="00F54675"/>
    <w:rsid w:val="00F5467B"/>
    <w:rsid w:val="00F546F8"/>
    <w:rsid w:val="00F54712"/>
    <w:rsid w:val="00F5476E"/>
    <w:rsid w:val="00F547DC"/>
    <w:rsid w:val="00F54828"/>
    <w:rsid w:val="00F548AA"/>
    <w:rsid w:val="00F548BD"/>
    <w:rsid w:val="00F548BF"/>
    <w:rsid w:val="00F5493D"/>
    <w:rsid w:val="00F54965"/>
    <w:rsid w:val="00F54988"/>
    <w:rsid w:val="00F54997"/>
    <w:rsid w:val="00F549D2"/>
    <w:rsid w:val="00F54A04"/>
    <w:rsid w:val="00F54A8A"/>
    <w:rsid w:val="00F54B17"/>
    <w:rsid w:val="00F54B53"/>
    <w:rsid w:val="00F54CAA"/>
    <w:rsid w:val="00F54D0C"/>
    <w:rsid w:val="00F54D4E"/>
    <w:rsid w:val="00F54D71"/>
    <w:rsid w:val="00F54DDC"/>
    <w:rsid w:val="00F54E0F"/>
    <w:rsid w:val="00F54E2C"/>
    <w:rsid w:val="00F54E76"/>
    <w:rsid w:val="00F54E9D"/>
    <w:rsid w:val="00F54EE0"/>
    <w:rsid w:val="00F54F1D"/>
    <w:rsid w:val="00F54F49"/>
    <w:rsid w:val="00F54F55"/>
    <w:rsid w:val="00F54F72"/>
    <w:rsid w:val="00F55022"/>
    <w:rsid w:val="00F55028"/>
    <w:rsid w:val="00F550DA"/>
    <w:rsid w:val="00F550E1"/>
    <w:rsid w:val="00F550F0"/>
    <w:rsid w:val="00F5511E"/>
    <w:rsid w:val="00F55126"/>
    <w:rsid w:val="00F5514B"/>
    <w:rsid w:val="00F55162"/>
    <w:rsid w:val="00F551A6"/>
    <w:rsid w:val="00F5522D"/>
    <w:rsid w:val="00F55248"/>
    <w:rsid w:val="00F5529D"/>
    <w:rsid w:val="00F552DD"/>
    <w:rsid w:val="00F552EA"/>
    <w:rsid w:val="00F55355"/>
    <w:rsid w:val="00F5536A"/>
    <w:rsid w:val="00F553E0"/>
    <w:rsid w:val="00F5548D"/>
    <w:rsid w:val="00F55499"/>
    <w:rsid w:val="00F554B4"/>
    <w:rsid w:val="00F554DF"/>
    <w:rsid w:val="00F55534"/>
    <w:rsid w:val="00F555E6"/>
    <w:rsid w:val="00F55615"/>
    <w:rsid w:val="00F55683"/>
    <w:rsid w:val="00F55697"/>
    <w:rsid w:val="00F556A6"/>
    <w:rsid w:val="00F556AD"/>
    <w:rsid w:val="00F556B3"/>
    <w:rsid w:val="00F556E8"/>
    <w:rsid w:val="00F556EF"/>
    <w:rsid w:val="00F55729"/>
    <w:rsid w:val="00F55789"/>
    <w:rsid w:val="00F557B0"/>
    <w:rsid w:val="00F557CB"/>
    <w:rsid w:val="00F557D1"/>
    <w:rsid w:val="00F5580D"/>
    <w:rsid w:val="00F55843"/>
    <w:rsid w:val="00F55862"/>
    <w:rsid w:val="00F55877"/>
    <w:rsid w:val="00F55892"/>
    <w:rsid w:val="00F558F2"/>
    <w:rsid w:val="00F5590A"/>
    <w:rsid w:val="00F5592B"/>
    <w:rsid w:val="00F55A9C"/>
    <w:rsid w:val="00F55AC6"/>
    <w:rsid w:val="00F55AD8"/>
    <w:rsid w:val="00F55AE1"/>
    <w:rsid w:val="00F55B08"/>
    <w:rsid w:val="00F55B10"/>
    <w:rsid w:val="00F55B44"/>
    <w:rsid w:val="00F55B5F"/>
    <w:rsid w:val="00F55B68"/>
    <w:rsid w:val="00F55B8E"/>
    <w:rsid w:val="00F55C22"/>
    <w:rsid w:val="00F55CDA"/>
    <w:rsid w:val="00F55CF5"/>
    <w:rsid w:val="00F55D2F"/>
    <w:rsid w:val="00F55D40"/>
    <w:rsid w:val="00F55D85"/>
    <w:rsid w:val="00F55DB8"/>
    <w:rsid w:val="00F55DE0"/>
    <w:rsid w:val="00F55E42"/>
    <w:rsid w:val="00F55E81"/>
    <w:rsid w:val="00F55E9A"/>
    <w:rsid w:val="00F55EC0"/>
    <w:rsid w:val="00F55ECE"/>
    <w:rsid w:val="00F55EF4"/>
    <w:rsid w:val="00F55F0F"/>
    <w:rsid w:val="00F55F1A"/>
    <w:rsid w:val="00F55F92"/>
    <w:rsid w:val="00F55F97"/>
    <w:rsid w:val="00F5609A"/>
    <w:rsid w:val="00F561B5"/>
    <w:rsid w:val="00F561F9"/>
    <w:rsid w:val="00F56229"/>
    <w:rsid w:val="00F5624B"/>
    <w:rsid w:val="00F56279"/>
    <w:rsid w:val="00F5633C"/>
    <w:rsid w:val="00F56375"/>
    <w:rsid w:val="00F563D8"/>
    <w:rsid w:val="00F56401"/>
    <w:rsid w:val="00F5643E"/>
    <w:rsid w:val="00F56466"/>
    <w:rsid w:val="00F564E9"/>
    <w:rsid w:val="00F56504"/>
    <w:rsid w:val="00F56582"/>
    <w:rsid w:val="00F565B4"/>
    <w:rsid w:val="00F565B9"/>
    <w:rsid w:val="00F565F5"/>
    <w:rsid w:val="00F56608"/>
    <w:rsid w:val="00F5660D"/>
    <w:rsid w:val="00F5663E"/>
    <w:rsid w:val="00F566A8"/>
    <w:rsid w:val="00F56709"/>
    <w:rsid w:val="00F5679E"/>
    <w:rsid w:val="00F56800"/>
    <w:rsid w:val="00F568AE"/>
    <w:rsid w:val="00F568C4"/>
    <w:rsid w:val="00F568DE"/>
    <w:rsid w:val="00F56903"/>
    <w:rsid w:val="00F56951"/>
    <w:rsid w:val="00F569FB"/>
    <w:rsid w:val="00F56A37"/>
    <w:rsid w:val="00F56A38"/>
    <w:rsid w:val="00F56A68"/>
    <w:rsid w:val="00F56A73"/>
    <w:rsid w:val="00F56A85"/>
    <w:rsid w:val="00F56A9F"/>
    <w:rsid w:val="00F56AB6"/>
    <w:rsid w:val="00F56B0D"/>
    <w:rsid w:val="00F56B29"/>
    <w:rsid w:val="00F56B6D"/>
    <w:rsid w:val="00F56BBF"/>
    <w:rsid w:val="00F56CDA"/>
    <w:rsid w:val="00F56D45"/>
    <w:rsid w:val="00F56D56"/>
    <w:rsid w:val="00F56D5C"/>
    <w:rsid w:val="00F56DC8"/>
    <w:rsid w:val="00F56DD4"/>
    <w:rsid w:val="00F56E08"/>
    <w:rsid w:val="00F56E38"/>
    <w:rsid w:val="00F56E3B"/>
    <w:rsid w:val="00F56E48"/>
    <w:rsid w:val="00F56E79"/>
    <w:rsid w:val="00F56EBE"/>
    <w:rsid w:val="00F56EE4"/>
    <w:rsid w:val="00F56FB5"/>
    <w:rsid w:val="00F5700A"/>
    <w:rsid w:val="00F57014"/>
    <w:rsid w:val="00F57029"/>
    <w:rsid w:val="00F5714A"/>
    <w:rsid w:val="00F5716D"/>
    <w:rsid w:val="00F5719C"/>
    <w:rsid w:val="00F57271"/>
    <w:rsid w:val="00F5732D"/>
    <w:rsid w:val="00F5733A"/>
    <w:rsid w:val="00F57344"/>
    <w:rsid w:val="00F5736B"/>
    <w:rsid w:val="00F5737C"/>
    <w:rsid w:val="00F573FB"/>
    <w:rsid w:val="00F57476"/>
    <w:rsid w:val="00F574AE"/>
    <w:rsid w:val="00F574CA"/>
    <w:rsid w:val="00F574D5"/>
    <w:rsid w:val="00F57524"/>
    <w:rsid w:val="00F5756A"/>
    <w:rsid w:val="00F57577"/>
    <w:rsid w:val="00F57597"/>
    <w:rsid w:val="00F575CB"/>
    <w:rsid w:val="00F57669"/>
    <w:rsid w:val="00F5766C"/>
    <w:rsid w:val="00F576DF"/>
    <w:rsid w:val="00F57725"/>
    <w:rsid w:val="00F57777"/>
    <w:rsid w:val="00F577AA"/>
    <w:rsid w:val="00F577E6"/>
    <w:rsid w:val="00F57800"/>
    <w:rsid w:val="00F57875"/>
    <w:rsid w:val="00F578B4"/>
    <w:rsid w:val="00F578F3"/>
    <w:rsid w:val="00F57919"/>
    <w:rsid w:val="00F57941"/>
    <w:rsid w:val="00F579C9"/>
    <w:rsid w:val="00F579D4"/>
    <w:rsid w:val="00F57AD5"/>
    <w:rsid w:val="00F57B69"/>
    <w:rsid w:val="00F57B94"/>
    <w:rsid w:val="00F57B99"/>
    <w:rsid w:val="00F57BAE"/>
    <w:rsid w:val="00F57BE0"/>
    <w:rsid w:val="00F57BE3"/>
    <w:rsid w:val="00F57BED"/>
    <w:rsid w:val="00F57CAE"/>
    <w:rsid w:val="00F57CB4"/>
    <w:rsid w:val="00F57CE9"/>
    <w:rsid w:val="00F57CF6"/>
    <w:rsid w:val="00F57D58"/>
    <w:rsid w:val="00F57D82"/>
    <w:rsid w:val="00F57DA5"/>
    <w:rsid w:val="00F57DFA"/>
    <w:rsid w:val="00F57E20"/>
    <w:rsid w:val="00F57E4D"/>
    <w:rsid w:val="00F57E5B"/>
    <w:rsid w:val="00F57ECE"/>
    <w:rsid w:val="00F57ED0"/>
    <w:rsid w:val="00F57EF4"/>
    <w:rsid w:val="00F57FF7"/>
    <w:rsid w:val="00F60042"/>
    <w:rsid w:val="00F6006E"/>
    <w:rsid w:val="00F600D6"/>
    <w:rsid w:val="00F60165"/>
    <w:rsid w:val="00F60198"/>
    <w:rsid w:val="00F601C6"/>
    <w:rsid w:val="00F601CD"/>
    <w:rsid w:val="00F60237"/>
    <w:rsid w:val="00F60241"/>
    <w:rsid w:val="00F6026F"/>
    <w:rsid w:val="00F602EB"/>
    <w:rsid w:val="00F602F0"/>
    <w:rsid w:val="00F60357"/>
    <w:rsid w:val="00F6036D"/>
    <w:rsid w:val="00F60392"/>
    <w:rsid w:val="00F603BF"/>
    <w:rsid w:val="00F60417"/>
    <w:rsid w:val="00F60446"/>
    <w:rsid w:val="00F60470"/>
    <w:rsid w:val="00F604CA"/>
    <w:rsid w:val="00F6051B"/>
    <w:rsid w:val="00F60528"/>
    <w:rsid w:val="00F6055C"/>
    <w:rsid w:val="00F60595"/>
    <w:rsid w:val="00F605C6"/>
    <w:rsid w:val="00F605E7"/>
    <w:rsid w:val="00F605FE"/>
    <w:rsid w:val="00F6060D"/>
    <w:rsid w:val="00F6062F"/>
    <w:rsid w:val="00F6064E"/>
    <w:rsid w:val="00F6068C"/>
    <w:rsid w:val="00F606AD"/>
    <w:rsid w:val="00F606CE"/>
    <w:rsid w:val="00F606D6"/>
    <w:rsid w:val="00F606D7"/>
    <w:rsid w:val="00F606EC"/>
    <w:rsid w:val="00F6072F"/>
    <w:rsid w:val="00F607D1"/>
    <w:rsid w:val="00F60823"/>
    <w:rsid w:val="00F60824"/>
    <w:rsid w:val="00F60852"/>
    <w:rsid w:val="00F60866"/>
    <w:rsid w:val="00F608B5"/>
    <w:rsid w:val="00F6091D"/>
    <w:rsid w:val="00F6094E"/>
    <w:rsid w:val="00F6099F"/>
    <w:rsid w:val="00F609C0"/>
    <w:rsid w:val="00F609EF"/>
    <w:rsid w:val="00F60AC0"/>
    <w:rsid w:val="00F60ACB"/>
    <w:rsid w:val="00F60AF3"/>
    <w:rsid w:val="00F60C3B"/>
    <w:rsid w:val="00F60C4A"/>
    <w:rsid w:val="00F60C94"/>
    <w:rsid w:val="00F60DEE"/>
    <w:rsid w:val="00F60E15"/>
    <w:rsid w:val="00F60E4A"/>
    <w:rsid w:val="00F60E59"/>
    <w:rsid w:val="00F60E9B"/>
    <w:rsid w:val="00F60EC7"/>
    <w:rsid w:val="00F60ED4"/>
    <w:rsid w:val="00F60EEC"/>
    <w:rsid w:val="00F60F0D"/>
    <w:rsid w:val="00F60F59"/>
    <w:rsid w:val="00F60FA7"/>
    <w:rsid w:val="00F60FCB"/>
    <w:rsid w:val="00F6105E"/>
    <w:rsid w:val="00F61067"/>
    <w:rsid w:val="00F61095"/>
    <w:rsid w:val="00F610C9"/>
    <w:rsid w:val="00F61112"/>
    <w:rsid w:val="00F61122"/>
    <w:rsid w:val="00F61137"/>
    <w:rsid w:val="00F61157"/>
    <w:rsid w:val="00F611CE"/>
    <w:rsid w:val="00F611EB"/>
    <w:rsid w:val="00F611F2"/>
    <w:rsid w:val="00F61270"/>
    <w:rsid w:val="00F612A3"/>
    <w:rsid w:val="00F61420"/>
    <w:rsid w:val="00F61423"/>
    <w:rsid w:val="00F614FF"/>
    <w:rsid w:val="00F6155C"/>
    <w:rsid w:val="00F615CF"/>
    <w:rsid w:val="00F615F9"/>
    <w:rsid w:val="00F6162E"/>
    <w:rsid w:val="00F616A4"/>
    <w:rsid w:val="00F616EC"/>
    <w:rsid w:val="00F616F2"/>
    <w:rsid w:val="00F61708"/>
    <w:rsid w:val="00F6172F"/>
    <w:rsid w:val="00F6173B"/>
    <w:rsid w:val="00F61772"/>
    <w:rsid w:val="00F61780"/>
    <w:rsid w:val="00F61786"/>
    <w:rsid w:val="00F617EA"/>
    <w:rsid w:val="00F61801"/>
    <w:rsid w:val="00F6180A"/>
    <w:rsid w:val="00F618CF"/>
    <w:rsid w:val="00F618DC"/>
    <w:rsid w:val="00F6191E"/>
    <w:rsid w:val="00F6197C"/>
    <w:rsid w:val="00F61990"/>
    <w:rsid w:val="00F619B6"/>
    <w:rsid w:val="00F61A0C"/>
    <w:rsid w:val="00F61A1D"/>
    <w:rsid w:val="00F61A3F"/>
    <w:rsid w:val="00F61A48"/>
    <w:rsid w:val="00F61A5A"/>
    <w:rsid w:val="00F61AD1"/>
    <w:rsid w:val="00F61AE2"/>
    <w:rsid w:val="00F61B20"/>
    <w:rsid w:val="00F61B4C"/>
    <w:rsid w:val="00F61BC6"/>
    <w:rsid w:val="00F61C2F"/>
    <w:rsid w:val="00F61C44"/>
    <w:rsid w:val="00F61CA5"/>
    <w:rsid w:val="00F61CCA"/>
    <w:rsid w:val="00F61D69"/>
    <w:rsid w:val="00F61DA7"/>
    <w:rsid w:val="00F61DDE"/>
    <w:rsid w:val="00F61E06"/>
    <w:rsid w:val="00F61E59"/>
    <w:rsid w:val="00F61E5E"/>
    <w:rsid w:val="00F61E82"/>
    <w:rsid w:val="00F61EA8"/>
    <w:rsid w:val="00F61ED1"/>
    <w:rsid w:val="00F61F0A"/>
    <w:rsid w:val="00F61F52"/>
    <w:rsid w:val="00F61F66"/>
    <w:rsid w:val="00F61F69"/>
    <w:rsid w:val="00F61F88"/>
    <w:rsid w:val="00F61FE8"/>
    <w:rsid w:val="00F6204F"/>
    <w:rsid w:val="00F62062"/>
    <w:rsid w:val="00F6208D"/>
    <w:rsid w:val="00F620E2"/>
    <w:rsid w:val="00F6210E"/>
    <w:rsid w:val="00F62163"/>
    <w:rsid w:val="00F621F7"/>
    <w:rsid w:val="00F6221B"/>
    <w:rsid w:val="00F62238"/>
    <w:rsid w:val="00F6237C"/>
    <w:rsid w:val="00F62483"/>
    <w:rsid w:val="00F6249B"/>
    <w:rsid w:val="00F6257D"/>
    <w:rsid w:val="00F625CA"/>
    <w:rsid w:val="00F62625"/>
    <w:rsid w:val="00F62627"/>
    <w:rsid w:val="00F62663"/>
    <w:rsid w:val="00F62667"/>
    <w:rsid w:val="00F62680"/>
    <w:rsid w:val="00F626E8"/>
    <w:rsid w:val="00F6287A"/>
    <w:rsid w:val="00F628F6"/>
    <w:rsid w:val="00F62995"/>
    <w:rsid w:val="00F629A4"/>
    <w:rsid w:val="00F629AA"/>
    <w:rsid w:val="00F629F5"/>
    <w:rsid w:val="00F62A25"/>
    <w:rsid w:val="00F62AB4"/>
    <w:rsid w:val="00F62ACB"/>
    <w:rsid w:val="00F62AF6"/>
    <w:rsid w:val="00F62B15"/>
    <w:rsid w:val="00F62B1F"/>
    <w:rsid w:val="00F62B3B"/>
    <w:rsid w:val="00F62B98"/>
    <w:rsid w:val="00F62BCF"/>
    <w:rsid w:val="00F62BDD"/>
    <w:rsid w:val="00F62C28"/>
    <w:rsid w:val="00F62C4D"/>
    <w:rsid w:val="00F62C9E"/>
    <w:rsid w:val="00F62D0B"/>
    <w:rsid w:val="00F62D40"/>
    <w:rsid w:val="00F62D42"/>
    <w:rsid w:val="00F62D68"/>
    <w:rsid w:val="00F62DC4"/>
    <w:rsid w:val="00F62DFC"/>
    <w:rsid w:val="00F62E53"/>
    <w:rsid w:val="00F62F7F"/>
    <w:rsid w:val="00F62FA0"/>
    <w:rsid w:val="00F62FA8"/>
    <w:rsid w:val="00F63011"/>
    <w:rsid w:val="00F630A3"/>
    <w:rsid w:val="00F630AA"/>
    <w:rsid w:val="00F630CA"/>
    <w:rsid w:val="00F63102"/>
    <w:rsid w:val="00F63122"/>
    <w:rsid w:val="00F63168"/>
    <w:rsid w:val="00F6321C"/>
    <w:rsid w:val="00F63228"/>
    <w:rsid w:val="00F63259"/>
    <w:rsid w:val="00F63297"/>
    <w:rsid w:val="00F632A7"/>
    <w:rsid w:val="00F632D3"/>
    <w:rsid w:val="00F632D6"/>
    <w:rsid w:val="00F6331D"/>
    <w:rsid w:val="00F6342A"/>
    <w:rsid w:val="00F6342E"/>
    <w:rsid w:val="00F634A5"/>
    <w:rsid w:val="00F634B2"/>
    <w:rsid w:val="00F63513"/>
    <w:rsid w:val="00F6352F"/>
    <w:rsid w:val="00F63593"/>
    <w:rsid w:val="00F63679"/>
    <w:rsid w:val="00F63683"/>
    <w:rsid w:val="00F6369D"/>
    <w:rsid w:val="00F636A7"/>
    <w:rsid w:val="00F636DD"/>
    <w:rsid w:val="00F63712"/>
    <w:rsid w:val="00F63736"/>
    <w:rsid w:val="00F63767"/>
    <w:rsid w:val="00F63787"/>
    <w:rsid w:val="00F63797"/>
    <w:rsid w:val="00F637B9"/>
    <w:rsid w:val="00F637BB"/>
    <w:rsid w:val="00F63811"/>
    <w:rsid w:val="00F6384C"/>
    <w:rsid w:val="00F638FF"/>
    <w:rsid w:val="00F6390A"/>
    <w:rsid w:val="00F6391E"/>
    <w:rsid w:val="00F6398B"/>
    <w:rsid w:val="00F639C7"/>
    <w:rsid w:val="00F639E7"/>
    <w:rsid w:val="00F639F8"/>
    <w:rsid w:val="00F63AD2"/>
    <w:rsid w:val="00F63B12"/>
    <w:rsid w:val="00F63B39"/>
    <w:rsid w:val="00F63B4F"/>
    <w:rsid w:val="00F63B9D"/>
    <w:rsid w:val="00F63BA9"/>
    <w:rsid w:val="00F63CD9"/>
    <w:rsid w:val="00F63D95"/>
    <w:rsid w:val="00F63DD4"/>
    <w:rsid w:val="00F63E28"/>
    <w:rsid w:val="00F63E66"/>
    <w:rsid w:val="00F63EA7"/>
    <w:rsid w:val="00F63F1E"/>
    <w:rsid w:val="00F63FBB"/>
    <w:rsid w:val="00F63FDF"/>
    <w:rsid w:val="00F63FFE"/>
    <w:rsid w:val="00F6404B"/>
    <w:rsid w:val="00F6404E"/>
    <w:rsid w:val="00F6408D"/>
    <w:rsid w:val="00F640A8"/>
    <w:rsid w:val="00F6413A"/>
    <w:rsid w:val="00F641DE"/>
    <w:rsid w:val="00F642D9"/>
    <w:rsid w:val="00F64303"/>
    <w:rsid w:val="00F64320"/>
    <w:rsid w:val="00F64334"/>
    <w:rsid w:val="00F64356"/>
    <w:rsid w:val="00F643F3"/>
    <w:rsid w:val="00F643FC"/>
    <w:rsid w:val="00F6440A"/>
    <w:rsid w:val="00F64411"/>
    <w:rsid w:val="00F64458"/>
    <w:rsid w:val="00F6453A"/>
    <w:rsid w:val="00F64597"/>
    <w:rsid w:val="00F646DB"/>
    <w:rsid w:val="00F646FE"/>
    <w:rsid w:val="00F64713"/>
    <w:rsid w:val="00F647A0"/>
    <w:rsid w:val="00F647CA"/>
    <w:rsid w:val="00F6488D"/>
    <w:rsid w:val="00F648AA"/>
    <w:rsid w:val="00F648AE"/>
    <w:rsid w:val="00F64929"/>
    <w:rsid w:val="00F64972"/>
    <w:rsid w:val="00F6498D"/>
    <w:rsid w:val="00F649BE"/>
    <w:rsid w:val="00F64A07"/>
    <w:rsid w:val="00F64A82"/>
    <w:rsid w:val="00F64B72"/>
    <w:rsid w:val="00F64B9A"/>
    <w:rsid w:val="00F64BCA"/>
    <w:rsid w:val="00F64C6E"/>
    <w:rsid w:val="00F64C6F"/>
    <w:rsid w:val="00F64CAB"/>
    <w:rsid w:val="00F64CFE"/>
    <w:rsid w:val="00F64D29"/>
    <w:rsid w:val="00F64D2C"/>
    <w:rsid w:val="00F64D41"/>
    <w:rsid w:val="00F64D45"/>
    <w:rsid w:val="00F64DB8"/>
    <w:rsid w:val="00F64E09"/>
    <w:rsid w:val="00F64E37"/>
    <w:rsid w:val="00F64E79"/>
    <w:rsid w:val="00F64E83"/>
    <w:rsid w:val="00F64EAF"/>
    <w:rsid w:val="00F64ED1"/>
    <w:rsid w:val="00F64F55"/>
    <w:rsid w:val="00F64F9A"/>
    <w:rsid w:val="00F64F9E"/>
    <w:rsid w:val="00F64FB9"/>
    <w:rsid w:val="00F64FEA"/>
    <w:rsid w:val="00F6504B"/>
    <w:rsid w:val="00F650A0"/>
    <w:rsid w:val="00F650DD"/>
    <w:rsid w:val="00F650EA"/>
    <w:rsid w:val="00F65134"/>
    <w:rsid w:val="00F65139"/>
    <w:rsid w:val="00F65143"/>
    <w:rsid w:val="00F65154"/>
    <w:rsid w:val="00F65164"/>
    <w:rsid w:val="00F65179"/>
    <w:rsid w:val="00F651A8"/>
    <w:rsid w:val="00F6522D"/>
    <w:rsid w:val="00F6525B"/>
    <w:rsid w:val="00F65292"/>
    <w:rsid w:val="00F65300"/>
    <w:rsid w:val="00F65301"/>
    <w:rsid w:val="00F65319"/>
    <w:rsid w:val="00F6534F"/>
    <w:rsid w:val="00F65394"/>
    <w:rsid w:val="00F653CB"/>
    <w:rsid w:val="00F65417"/>
    <w:rsid w:val="00F6544C"/>
    <w:rsid w:val="00F65461"/>
    <w:rsid w:val="00F6547B"/>
    <w:rsid w:val="00F654A4"/>
    <w:rsid w:val="00F654BD"/>
    <w:rsid w:val="00F65512"/>
    <w:rsid w:val="00F6552C"/>
    <w:rsid w:val="00F6554E"/>
    <w:rsid w:val="00F655CC"/>
    <w:rsid w:val="00F655D2"/>
    <w:rsid w:val="00F655E5"/>
    <w:rsid w:val="00F656C0"/>
    <w:rsid w:val="00F656D1"/>
    <w:rsid w:val="00F6580A"/>
    <w:rsid w:val="00F65846"/>
    <w:rsid w:val="00F65848"/>
    <w:rsid w:val="00F65886"/>
    <w:rsid w:val="00F65894"/>
    <w:rsid w:val="00F658AA"/>
    <w:rsid w:val="00F658FB"/>
    <w:rsid w:val="00F659B0"/>
    <w:rsid w:val="00F659E9"/>
    <w:rsid w:val="00F65A57"/>
    <w:rsid w:val="00F65A96"/>
    <w:rsid w:val="00F65AE5"/>
    <w:rsid w:val="00F65AED"/>
    <w:rsid w:val="00F65B0D"/>
    <w:rsid w:val="00F65B16"/>
    <w:rsid w:val="00F65B1D"/>
    <w:rsid w:val="00F65D5C"/>
    <w:rsid w:val="00F65DF6"/>
    <w:rsid w:val="00F65E19"/>
    <w:rsid w:val="00F65E1B"/>
    <w:rsid w:val="00F65EE2"/>
    <w:rsid w:val="00F65F1D"/>
    <w:rsid w:val="00F65F4A"/>
    <w:rsid w:val="00F65F8B"/>
    <w:rsid w:val="00F65FB8"/>
    <w:rsid w:val="00F65FBF"/>
    <w:rsid w:val="00F66041"/>
    <w:rsid w:val="00F66082"/>
    <w:rsid w:val="00F660C8"/>
    <w:rsid w:val="00F6615F"/>
    <w:rsid w:val="00F661C5"/>
    <w:rsid w:val="00F66201"/>
    <w:rsid w:val="00F6625F"/>
    <w:rsid w:val="00F662D0"/>
    <w:rsid w:val="00F662F7"/>
    <w:rsid w:val="00F6636F"/>
    <w:rsid w:val="00F6639A"/>
    <w:rsid w:val="00F663A2"/>
    <w:rsid w:val="00F663AD"/>
    <w:rsid w:val="00F66529"/>
    <w:rsid w:val="00F6653C"/>
    <w:rsid w:val="00F665BE"/>
    <w:rsid w:val="00F66660"/>
    <w:rsid w:val="00F66720"/>
    <w:rsid w:val="00F66766"/>
    <w:rsid w:val="00F66767"/>
    <w:rsid w:val="00F667AD"/>
    <w:rsid w:val="00F667C9"/>
    <w:rsid w:val="00F6686A"/>
    <w:rsid w:val="00F66943"/>
    <w:rsid w:val="00F66944"/>
    <w:rsid w:val="00F6695B"/>
    <w:rsid w:val="00F66994"/>
    <w:rsid w:val="00F669D8"/>
    <w:rsid w:val="00F66A17"/>
    <w:rsid w:val="00F66A37"/>
    <w:rsid w:val="00F66A62"/>
    <w:rsid w:val="00F66A6D"/>
    <w:rsid w:val="00F66A94"/>
    <w:rsid w:val="00F66AF3"/>
    <w:rsid w:val="00F66AFB"/>
    <w:rsid w:val="00F66B06"/>
    <w:rsid w:val="00F66B82"/>
    <w:rsid w:val="00F66BEF"/>
    <w:rsid w:val="00F66C4F"/>
    <w:rsid w:val="00F66C5F"/>
    <w:rsid w:val="00F66D8A"/>
    <w:rsid w:val="00F66DEA"/>
    <w:rsid w:val="00F66E25"/>
    <w:rsid w:val="00F66F6B"/>
    <w:rsid w:val="00F66F7F"/>
    <w:rsid w:val="00F66F8C"/>
    <w:rsid w:val="00F67012"/>
    <w:rsid w:val="00F67051"/>
    <w:rsid w:val="00F6706E"/>
    <w:rsid w:val="00F670C1"/>
    <w:rsid w:val="00F670EE"/>
    <w:rsid w:val="00F670FD"/>
    <w:rsid w:val="00F67138"/>
    <w:rsid w:val="00F6713A"/>
    <w:rsid w:val="00F6713B"/>
    <w:rsid w:val="00F67185"/>
    <w:rsid w:val="00F67193"/>
    <w:rsid w:val="00F67232"/>
    <w:rsid w:val="00F67407"/>
    <w:rsid w:val="00F67473"/>
    <w:rsid w:val="00F674AF"/>
    <w:rsid w:val="00F674D5"/>
    <w:rsid w:val="00F674E8"/>
    <w:rsid w:val="00F674ED"/>
    <w:rsid w:val="00F67504"/>
    <w:rsid w:val="00F675FB"/>
    <w:rsid w:val="00F675FC"/>
    <w:rsid w:val="00F6760F"/>
    <w:rsid w:val="00F6761B"/>
    <w:rsid w:val="00F67649"/>
    <w:rsid w:val="00F676CD"/>
    <w:rsid w:val="00F67706"/>
    <w:rsid w:val="00F67736"/>
    <w:rsid w:val="00F67747"/>
    <w:rsid w:val="00F6777D"/>
    <w:rsid w:val="00F677DD"/>
    <w:rsid w:val="00F67803"/>
    <w:rsid w:val="00F67833"/>
    <w:rsid w:val="00F6787A"/>
    <w:rsid w:val="00F678EC"/>
    <w:rsid w:val="00F6796A"/>
    <w:rsid w:val="00F67A44"/>
    <w:rsid w:val="00F67A57"/>
    <w:rsid w:val="00F67A62"/>
    <w:rsid w:val="00F67A7C"/>
    <w:rsid w:val="00F67AFF"/>
    <w:rsid w:val="00F67B7A"/>
    <w:rsid w:val="00F67B8A"/>
    <w:rsid w:val="00F67BE1"/>
    <w:rsid w:val="00F67C11"/>
    <w:rsid w:val="00F67DB6"/>
    <w:rsid w:val="00F67DD0"/>
    <w:rsid w:val="00F67DF9"/>
    <w:rsid w:val="00F67E0F"/>
    <w:rsid w:val="00F67E7F"/>
    <w:rsid w:val="00F67F0D"/>
    <w:rsid w:val="00F67F7E"/>
    <w:rsid w:val="00F700F8"/>
    <w:rsid w:val="00F7014C"/>
    <w:rsid w:val="00F70163"/>
    <w:rsid w:val="00F7016A"/>
    <w:rsid w:val="00F70199"/>
    <w:rsid w:val="00F701B3"/>
    <w:rsid w:val="00F701F7"/>
    <w:rsid w:val="00F70225"/>
    <w:rsid w:val="00F7022C"/>
    <w:rsid w:val="00F702D2"/>
    <w:rsid w:val="00F703A1"/>
    <w:rsid w:val="00F703D3"/>
    <w:rsid w:val="00F7043B"/>
    <w:rsid w:val="00F704B6"/>
    <w:rsid w:val="00F704D7"/>
    <w:rsid w:val="00F704FC"/>
    <w:rsid w:val="00F7051F"/>
    <w:rsid w:val="00F7052D"/>
    <w:rsid w:val="00F70534"/>
    <w:rsid w:val="00F70568"/>
    <w:rsid w:val="00F70573"/>
    <w:rsid w:val="00F705F2"/>
    <w:rsid w:val="00F706CF"/>
    <w:rsid w:val="00F7076D"/>
    <w:rsid w:val="00F707C2"/>
    <w:rsid w:val="00F707F6"/>
    <w:rsid w:val="00F70806"/>
    <w:rsid w:val="00F70807"/>
    <w:rsid w:val="00F7082D"/>
    <w:rsid w:val="00F7087F"/>
    <w:rsid w:val="00F708DE"/>
    <w:rsid w:val="00F70956"/>
    <w:rsid w:val="00F709A9"/>
    <w:rsid w:val="00F709F5"/>
    <w:rsid w:val="00F70A4B"/>
    <w:rsid w:val="00F70AC3"/>
    <w:rsid w:val="00F70B41"/>
    <w:rsid w:val="00F70B65"/>
    <w:rsid w:val="00F70B76"/>
    <w:rsid w:val="00F70B82"/>
    <w:rsid w:val="00F70BAB"/>
    <w:rsid w:val="00F70BBA"/>
    <w:rsid w:val="00F70BBC"/>
    <w:rsid w:val="00F70BC6"/>
    <w:rsid w:val="00F70C39"/>
    <w:rsid w:val="00F70CA5"/>
    <w:rsid w:val="00F70D2D"/>
    <w:rsid w:val="00F70DC0"/>
    <w:rsid w:val="00F70DF0"/>
    <w:rsid w:val="00F70E27"/>
    <w:rsid w:val="00F70E57"/>
    <w:rsid w:val="00F70EA1"/>
    <w:rsid w:val="00F70F3B"/>
    <w:rsid w:val="00F70F6C"/>
    <w:rsid w:val="00F70F78"/>
    <w:rsid w:val="00F70FC1"/>
    <w:rsid w:val="00F71023"/>
    <w:rsid w:val="00F710FF"/>
    <w:rsid w:val="00F71198"/>
    <w:rsid w:val="00F711B4"/>
    <w:rsid w:val="00F711CE"/>
    <w:rsid w:val="00F711FB"/>
    <w:rsid w:val="00F711FE"/>
    <w:rsid w:val="00F712BF"/>
    <w:rsid w:val="00F712F0"/>
    <w:rsid w:val="00F71349"/>
    <w:rsid w:val="00F71376"/>
    <w:rsid w:val="00F71395"/>
    <w:rsid w:val="00F713CE"/>
    <w:rsid w:val="00F71411"/>
    <w:rsid w:val="00F7141A"/>
    <w:rsid w:val="00F7148E"/>
    <w:rsid w:val="00F71531"/>
    <w:rsid w:val="00F7163F"/>
    <w:rsid w:val="00F7169E"/>
    <w:rsid w:val="00F716A8"/>
    <w:rsid w:val="00F717A8"/>
    <w:rsid w:val="00F71814"/>
    <w:rsid w:val="00F718AA"/>
    <w:rsid w:val="00F718D0"/>
    <w:rsid w:val="00F718DF"/>
    <w:rsid w:val="00F71924"/>
    <w:rsid w:val="00F71961"/>
    <w:rsid w:val="00F719CC"/>
    <w:rsid w:val="00F719FF"/>
    <w:rsid w:val="00F71A0B"/>
    <w:rsid w:val="00F71A80"/>
    <w:rsid w:val="00F71AC8"/>
    <w:rsid w:val="00F71AF0"/>
    <w:rsid w:val="00F71B0B"/>
    <w:rsid w:val="00F71B83"/>
    <w:rsid w:val="00F71BA6"/>
    <w:rsid w:val="00F71BBE"/>
    <w:rsid w:val="00F71BC9"/>
    <w:rsid w:val="00F71BCC"/>
    <w:rsid w:val="00F71BE8"/>
    <w:rsid w:val="00F71C4C"/>
    <w:rsid w:val="00F71C69"/>
    <w:rsid w:val="00F71CC8"/>
    <w:rsid w:val="00F71CCD"/>
    <w:rsid w:val="00F71CDC"/>
    <w:rsid w:val="00F71CEE"/>
    <w:rsid w:val="00F71D0C"/>
    <w:rsid w:val="00F71D95"/>
    <w:rsid w:val="00F71DEE"/>
    <w:rsid w:val="00F71DF8"/>
    <w:rsid w:val="00F71E2B"/>
    <w:rsid w:val="00F71E42"/>
    <w:rsid w:val="00F71ED3"/>
    <w:rsid w:val="00F71FFC"/>
    <w:rsid w:val="00F72043"/>
    <w:rsid w:val="00F72044"/>
    <w:rsid w:val="00F7208A"/>
    <w:rsid w:val="00F720AA"/>
    <w:rsid w:val="00F720B6"/>
    <w:rsid w:val="00F72110"/>
    <w:rsid w:val="00F72183"/>
    <w:rsid w:val="00F7218C"/>
    <w:rsid w:val="00F721C4"/>
    <w:rsid w:val="00F72212"/>
    <w:rsid w:val="00F7223A"/>
    <w:rsid w:val="00F72257"/>
    <w:rsid w:val="00F72258"/>
    <w:rsid w:val="00F7228F"/>
    <w:rsid w:val="00F722B2"/>
    <w:rsid w:val="00F72340"/>
    <w:rsid w:val="00F72346"/>
    <w:rsid w:val="00F72372"/>
    <w:rsid w:val="00F72408"/>
    <w:rsid w:val="00F7246D"/>
    <w:rsid w:val="00F724A2"/>
    <w:rsid w:val="00F724C6"/>
    <w:rsid w:val="00F72513"/>
    <w:rsid w:val="00F7254A"/>
    <w:rsid w:val="00F725AB"/>
    <w:rsid w:val="00F725B9"/>
    <w:rsid w:val="00F725EF"/>
    <w:rsid w:val="00F7264C"/>
    <w:rsid w:val="00F72664"/>
    <w:rsid w:val="00F7266D"/>
    <w:rsid w:val="00F726A8"/>
    <w:rsid w:val="00F726FB"/>
    <w:rsid w:val="00F72701"/>
    <w:rsid w:val="00F7272F"/>
    <w:rsid w:val="00F7277B"/>
    <w:rsid w:val="00F72791"/>
    <w:rsid w:val="00F72806"/>
    <w:rsid w:val="00F72845"/>
    <w:rsid w:val="00F72852"/>
    <w:rsid w:val="00F7287B"/>
    <w:rsid w:val="00F728AB"/>
    <w:rsid w:val="00F72948"/>
    <w:rsid w:val="00F72949"/>
    <w:rsid w:val="00F7297D"/>
    <w:rsid w:val="00F729D4"/>
    <w:rsid w:val="00F729F2"/>
    <w:rsid w:val="00F72A76"/>
    <w:rsid w:val="00F72ADF"/>
    <w:rsid w:val="00F72AE6"/>
    <w:rsid w:val="00F72B21"/>
    <w:rsid w:val="00F72B3F"/>
    <w:rsid w:val="00F72B80"/>
    <w:rsid w:val="00F72BA9"/>
    <w:rsid w:val="00F72C6C"/>
    <w:rsid w:val="00F72CA0"/>
    <w:rsid w:val="00F72D1A"/>
    <w:rsid w:val="00F72D5E"/>
    <w:rsid w:val="00F72DB4"/>
    <w:rsid w:val="00F72E2A"/>
    <w:rsid w:val="00F72E2C"/>
    <w:rsid w:val="00F72E9B"/>
    <w:rsid w:val="00F72EE1"/>
    <w:rsid w:val="00F72EED"/>
    <w:rsid w:val="00F72F0B"/>
    <w:rsid w:val="00F72F11"/>
    <w:rsid w:val="00F72F18"/>
    <w:rsid w:val="00F72F3A"/>
    <w:rsid w:val="00F72F52"/>
    <w:rsid w:val="00F72F99"/>
    <w:rsid w:val="00F72FBB"/>
    <w:rsid w:val="00F73023"/>
    <w:rsid w:val="00F73051"/>
    <w:rsid w:val="00F730A3"/>
    <w:rsid w:val="00F730FF"/>
    <w:rsid w:val="00F7312C"/>
    <w:rsid w:val="00F73159"/>
    <w:rsid w:val="00F7322B"/>
    <w:rsid w:val="00F73282"/>
    <w:rsid w:val="00F73289"/>
    <w:rsid w:val="00F7329C"/>
    <w:rsid w:val="00F73429"/>
    <w:rsid w:val="00F7344B"/>
    <w:rsid w:val="00F734B8"/>
    <w:rsid w:val="00F734E5"/>
    <w:rsid w:val="00F7351A"/>
    <w:rsid w:val="00F7351E"/>
    <w:rsid w:val="00F73543"/>
    <w:rsid w:val="00F73549"/>
    <w:rsid w:val="00F7354F"/>
    <w:rsid w:val="00F735AF"/>
    <w:rsid w:val="00F7361B"/>
    <w:rsid w:val="00F73670"/>
    <w:rsid w:val="00F736B7"/>
    <w:rsid w:val="00F73743"/>
    <w:rsid w:val="00F737A2"/>
    <w:rsid w:val="00F737B8"/>
    <w:rsid w:val="00F737C9"/>
    <w:rsid w:val="00F737EB"/>
    <w:rsid w:val="00F73804"/>
    <w:rsid w:val="00F7382D"/>
    <w:rsid w:val="00F73861"/>
    <w:rsid w:val="00F73870"/>
    <w:rsid w:val="00F73882"/>
    <w:rsid w:val="00F738C8"/>
    <w:rsid w:val="00F7393F"/>
    <w:rsid w:val="00F73954"/>
    <w:rsid w:val="00F7397E"/>
    <w:rsid w:val="00F73995"/>
    <w:rsid w:val="00F73996"/>
    <w:rsid w:val="00F739CD"/>
    <w:rsid w:val="00F739D6"/>
    <w:rsid w:val="00F739E1"/>
    <w:rsid w:val="00F73A3D"/>
    <w:rsid w:val="00F73A82"/>
    <w:rsid w:val="00F73ABF"/>
    <w:rsid w:val="00F73B24"/>
    <w:rsid w:val="00F73B59"/>
    <w:rsid w:val="00F73BDA"/>
    <w:rsid w:val="00F73BDE"/>
    <w:rsid w:val="00F73CAD"/>
    <w:rsid w:val="00F73CD7"/>
    <w:rsid w:val="00F73D6B"/>
    <w:rsid w:val="00F73D72"/>
    <w:rsid w:val="00F73D80"/>
    <w:rsid w:val="00F73D9A"/>
    <w:rsid w:val="00F73E03"/>
    <w:rsid w:val="00F73E6C"/>
    <w:rsid w:val="00F73E92"/>
    <w:rsid w:val="00F73FE1"/>
    <w:rsid w:val="00F73FF7"/>
    <w:rsid w:val="00F7403B"/>
    <w:rsid w:val="00F7405B"/>
    <w:rsid w:val="00F74061"/>
    <w:rsid w:val="00F74077"/>
    <w:rsid w:val="00F7409C"/>
    <w:rsid w:val="00F740A3"/>
    <w:rsid w:val="00F740EE"/>
    <w:rsid w:val="00F74136"/>
    <w:rsid w:val="00F741FE"/>
    <w:rsid w:val="00F7422C"/>
    <w:rsid w:val="00F7423D"/>
    <w:rsid w:val="00F742F7"/>
    <w:rsid w:val="00F74307"/>
    <w:rsid w:val="00F74343"/>
    <w:rsid w:val="00F7434B"/>
    <w:rsid w:val="00F743C8"/>
    <w:rsid w:val="00F74510"/>
    <w:rsid w:val="00F74598"/>
    <w:rsid w:val="00F745D4"/>
    <w:rsid w:val="00F74644"/>
    <w:rsid w:val="00F746A4"/>
    <w:rsid w:val="00F746EB"/>
    <w:rsid w:val="00F747E3"/>
    <w:rsid w:val="00F7487C"/>
    <w:rsid w:val="00F748A9"/>
    <w:rsid w:val="00F748AE"/>
    <w:rsid w:val="00F748B7"/>
    <w:rsid w:val="00F74919"/>
    <w:rsid w:val="00F7492D"/>
    <w:rsid w:val="00F74936"/>
    <w:rsid w:val="00F74969"/>
    <w:rsid w:val="00F74975"/>
    <w:rsid w:val="00F749D6"/>
    <w:rsid w:val="00F74A0A"/>
    <w:rsid w:val="00F74A32"/>
    <w:rsid w:val="00F74A78"/>
    <w:rsid w:val="00F74A79"/>
    <w:rsid w:val="00F74A7C"/>
    <w:rsid w:val="00F74B9F"/>
    <w:rsid w:val="00F74BBF"/>
    <w:rsid w:val="00F74C66"/>
    <w:rsid w:val="00F74CCD"/>
    <w:rsid w:val="00F74D54"/>
    <w:rsid w:val="00F74D94"/>
    <w:rsid w:val="00F74DE2"/>
    <w:rsid w:val="00F74E8E"/>
    <w:rsid w:val="00F74F06"/>
    <w:rsid w:val="00F74F6B"/>
    <w:rsid w:val="00F74F76"/>
    <w:rsid w:val="00F74F95"/>
    <w:rsid w:val="00F74F9D"/>
    <w:rsid w:val="00F74FB7"/>
    <w:rsid w:val="00F74FDA"/>
    <w:rsid w:val="00F75027"/>
    <w:rsid w:val="00F75045"/>
    <w:rsid w:val="00F75100"/>
    <w:rsid w:val="00F7512A"/>
    <w:rsid w:val="00F7515E"/>
    <w:rsid w:val="00F75161"/>
    <w:rsid w:val="00F7517E"/>
    <w:rsid w:val="00F751EC"/>
    <w:rsid w:val="00F7520F"/>
    <w:rsid w:val="00F75212"/>
    <w:rsid w:val="00F7522E"/>
    <w:rsid w:val="00F75271"/>
    <w:rsid w:val="00F75294"/>
    <w:rsid w:val="00F752AC"/>
    <w:rsid w:val="00F752E5"/>
    <w:rsid w:val="00F7531A"/>
    <w:rsid w:val="00F7533E"/>
    <w:rsid w:val="00F75362"/>
    <w:rsid w:val="00F753E6"/>
    <w:rsid w:val="00F75486"/>
    <w:rsid w:val="00F754AA"/>
    <w:rsid w:val="00F754B2"/>
    <w:rsid w:val="00F754D8"/>
    <w:rsid w:val="00F754E0"/>
    <w:rsid w:val="00F7553A"/>
    <w:rsid w:val="00F755DA"/>
    <w:rsid w:val="00F75631"/>
    <w:rsid w:val="00F756C7"/>
    <w:rsid w:val="00F756DF"/>
    <w:rsid w:val="00F756E4"/>
    <w:rsid w:val="00F75751"/>
    <w:rsid w:val="00F757D0"/>
    <w:rsid w:val="00F757F0"/>
    <w:rsid w:val="00F757F1"/>
    <w:rsid w:val="00F75871"/>
    <w:rsid w:val="00F758D5"/>
    <w:rsid w:val="00F75921"/>
    <w:rsid w:val="00F7592F"/>
    <w:rsid w:val="00F759FF"/>
    <w:rsid w:val="00F75A13"/>
    <w:rsid w:val="00F75A5C"/>
    <w:rsid w:val="00F75A83"/>
    <w:rsid w:val="00F75AC1"/>
    <w:rsid w:val="00F75AE4"/>
    <w:rsid w:val="00F75B44"/>
    <w:rsid w:val="00F75B75"/>
    <w:rsid w:val="00F75B8A"/>
    <w:rsid w:val="00F75BFC"/>
    <w:rsid w:val="00F75C81"/>
    <w:rsid w:val="00F75D08"/>
    <w:rsid w:val="00F75D3E"/>
    <w:rsid w:val="00F75D7B"/>
    <w:rsid w:val="00F75DC1"/>
    <w:rsid w:val="00F75E08"/>
    <w:rsid w:val="00F75E18"/>
    <w:rsid w:val="00F75E38"/>
    <w:rsid w:val="00F75E47"/>
    <w:rsid w:val="00F75E8A"/>
    <w:rsid w:val="00F75EAD"/>
    <w:rsid w:val="00F75ED1"/>
    <w:rsid w:val="00F75F44"/>
    <w:rsid w:val="00F75FCB"/>
    <w:rsid w:val="00F76007"/>
    <w:rsid w:val="00F76030"/>
    <w:rsid w:val="00F7613A"/>
    <w:rsid w:val="00F761A8"/>
    <w:rsid w:val="00F76250"/>
    <w:rsid w:val="00F76277"/>
    <w:rsid w:val="00F7628B"/>
    <w:rsid w:val="00F7630B"/>
    <w:rsid w:val="00F7631D"/>
    <w:rsid w:val="00F76324"/>
    <w:rsid w:val="00F76366"/>
    <w:rsid w:val="00F763E9"/>
    <w:rsid w:val="00F7646E"/>
    <w:rsid w:val="00F76495"/>
    <w:rsid w:val="00F76564"/>
    <w:rsid w:val="00F765A9"/>
    <w:rsid w:val="00F765B2"/>
    <w:rsid w:val="00F765C9"/>
    <w:rsid w:val="00F765EB"/>
    <w:rsid w:val="00F76633"/>
    <w:rsid w:val="00F7667C"/>
    <w:rsid w:val="00F76699"/>
    <w:rsid w:val="00F767A8"/>
    <w:rsid w:val="00F767C3"/>
    <w:rsid w:val="00F76833"/>
    <w:rsid w:val="00F7686D"/>
    <w:rsid w:val="00F7687E"/>
    <w:rsid w:val="00F7688C"/>
    <w:rsid w:val="00F76892"/>
    <w:rsid w:val="00F7695F"/>
    <w:rsid w:val="00F76971"/>
    <w:rsid w:val="00F76975"/>
    <w:rsid w:val="00F76A36"/>
    <w:rsid w:val="00F76A64"/>
    <w:rsid w:val="00F76A78"/>
    <w:rsid w:val="00F76AA1"/>
    <w:rsid w:val="00F76AB4"/>
    <w:rsid w:val="00F76B1F"/>
    <w:rsid w:val="00F76B37"/>
    <w:rsid w:val="00F76BEB"/>
    <w:rsid w:val="00F76C0A"/>
    <w:rsid w:val="00F76C28"/>
    <w:rsid w:val="00F76C7F"/>
    <w:rsid w:val="00F76CB6"/>
    <w:rsid w:val="00F76D0B"/>
    <w:rsid w:val="00F76D66"/>
    <w:rsid w:val="00F76D68"/>
    <w:rsid w:val="00F76DAB"/>
    <w:rsid w:val="00F76DB0"/>
    <w:rsid w:val="00F76DEB"/>
    <w:rsid w:val="00F76E28"/>
    <w:rsid w:val="00F76E8A"/>
    <w:rsid w:val="00F76ED8"/>
    <w:rsid w:val="00F76EE8"/>
    <w:rsid w:val="00F76F08"/>
    <w:rsid w:val="00F76F42"/>
    <w:rsid w:val="00F76F5B"/>
    <w:rsid w:val="00F76F71"/>
    <w:rsid w:val="00F76F78"/>
    <w:rsid w:val="00F76FE0"/>
    <w:rsid w:val="00F76FEC"/>
    <w:rsid w:val="00F76FF4"/>
    <w:rsid w:val="00F77024"/>
    <w:rsid w:val="00F77090"/>
    <w:rsid w:val="00F770A8"/>
    <w:rsid w:val="00F770C9"/>
    <w:rsid w:val="00F7713B"/>
    <w:rsid w:val="00F77143"/>
    <w:rsid w:val="00F77152"/>
    <w:rsid w:val="00F77161"/>
    <w:rsid w:val="00F771C5"/>
    <w:rsid w:val="00F771F1"/>
    <w:rsid w:val="00F772E9"/>
    <w:rsid w:val="00F77358"/>
    <w:rsid w:val="00F77359"/>
    <w:rsid w:val="00F77392"/>
    <w:rsid w:val="00F773C8"/>
    <w:rsid w:val="00F773DB"/>
    <w:rsid w:val="00F773E0"/>
    <w:rsid w:val="00F77410"/>
    <w:rsid w:val="00F774A0"/>
    <w:rsid w:val="00F774AC"/>
    <w:rsid w:val="00F774AE"/>
    <w:rsid w:val="00F774C9"/>
    <w:rsid w:val="00F774CB"/>
    <w:rsid w:val="00F774D9"/>
    <w:rsid w:val="00F774E0"/>
    <w:rsid w:val="00F77537"/>
    <w:rsid w:val="00F77570"/>
    <w:rsid w:val="00F7757F"/>
    <w:rsid w:val="00F77582"/>
    <w:rsid w:val="00F775A7"/>
    <w:rsid w:val="00F775C6"/>
    <w:rsid w:val="00F775FB"/>
    <w:rsid w:val="00F77646"/>
    <w:rsid w:val="00F77688"/>
    <w:rsid w:val="00F776B0"/>
    <w:rsid w:val="00F77749"/>
    <w:rsid w:val="00F77762"/>
    <w:rsid w:val="00F778D3"/>
    <w:rsid w:val="00F77944"/>
    <w:rsid w:val="00F77A8D"/>
    <w:rsid w:val="00F77A8F"/>
    <w:rsid w:val="00F77AC1"/>
    <w:rsid w:val="00F77AE7"/>
    <w:rsid w:val="00F77B12"/>
    <w:rsid w:val="00F77B1E"/>
    <w:rsid w:val="00F77B2C"/>
    <w:rsid w:val="00F77B6A"/>
    <w:rsid w:val="00F77B8E"/>
    <w:rsid w:val="00F77BE3"/>
    <w:rsid w:val="00F77CAE"/>
    <w:rsid w:val="00F77CEB"/>
    <w:rsid w:val="00F77CF3"/>
    <w:rsid w:val="00F77CF7"/>
    <w:rsid w:val="00F77D13"/>
    <w:rsid w:val="00F77D35"/>
    <w:rsid w:val="00F77D8C"/>
    <w:rsid w:val="00F77D8D"/>
    <w:rsid w:val="00F77E12"/>
    <w:rsid w:val="00F77E4A"/>
    <w:rsid w:val="00F77E7B"/>
    <w:rsid w:val="00F77EEF"/>
    <w:rsid w:val="00F77F4E"/>
    <w:rsid w:val="00F77FB8"/>
    <w:rsid w:val="00F80001"/>
    <w:rsid w:val="00F80079"/>
    <w:rsid w:val="00F80098"/>
    <w:rsid w:val="00F80111"/>
    <w:rsid w:val="00F80129"/>
    <w:rsid w:val="00F80130"/>
    <w:rsid w:val="00F80162"/>
    <w:rsid w:val="00F801D3"/>
    <w:rsid w:val="00F8021A"/>
    <w:rsid w:val="00F80226"/>
    <w:rsid w:val="00F802B5"/>
    <w:rsid w:val="00F8032E"/>
    <w:rsid w:val="00F80331"/>
    <w:rsid w:val="00F8036D"/>
    <w:rsid w:val="00F80376"/>
    <w:rsid w:val="00F80405"/>
    <w:rsid w:val="00F80489"/>
    <w:rsid w:val="00F804A5"/>
    <w:rsid w:val="00F8050B"/>
    <w:rsid w:val="00F80551"/>
    <w:rsid w:val="00F80572"/>
    <w:rsid w:val="00F80615"/>
    <w:rsid w:val="00F80618"/>
    <w:rsid w:val="00F8062A"/>
    <w:rsid w:val="00F8062D"/>
    <w:rsid w:val="00F8064A"/>
    <w:rsid w:val="00F80669"/>
    <w:rsid w:val="00F806E7"/>
    <w:rsid w:val="00F80703"/>
    <w:rsid w:val="00F80753"/>
    <w:rsid w:val="00F80770"/>
    <w:rsid w:val="00F80777"/>
    <w:rsid w:val="00F80829"/>
    <w:rsid w:val="00F80837"/>
    <w:rsid w:val="00F808A9"/>
    <w:rsid w:val="00F808B1"/>
    <w:rsid w:val="00F808C0"/>
    <w:rsid w:val="00F808C5"/>
    <w:rsid w:val="00F808D5"/>
    <w:rsid w:val="00F808DF"/>
    <w:rsid w:val="00F808F6"/>
    <w:rsid w:val="00F8092A"/>
    <w:rsid w:val="00F80975"/>
    <w:rsid w:val="00F8097E"/>
    <w:rsid w:val="00F809A5"/>
    <w:rsid w:val="00F809D9"/>
    <w:rsid w:val="00F80A09"/>
    <w:rsid w:val="00F80A2C"/>
    <w:rsid w:val="00F80A35"/>
    <w:rsid w:val="00F80A4C"/>
    <w:rsid w:val="00F80A74"/>
    <w:rsid w:val="00F80B14"/>
    <w:rsid w:val="00F80B87"/>
    <w:rsid w:val="00F80C8E"/>
    <w:rsid w:val="00F80CAA"/>
    <w:rsid w:val="00F80CE2"/>
    <w:rsid w:val="00F80CEF"/>
    <w:rsid w:val="00F80DF5"/>
    <w:rsid w:val="00F80DF6"/>
    <w:rsid w:val="00F80E8A"/>
    <w:rsid w:val="00F80EAB"/>
    <w:rsid w:val="00F80EC2"/>
    <w:rsid w:val="00F80EE6"/>
    <w:rsid w:val="00F80F1D"/>
    <w:rsid w:val="00F80F42"/>
    <w:rsid w:val="00F80FB4"/>
    <w:rsid w:val="00F8100C"/>
    <w:rsid w:val="00F81031"/>
    <w:rsid w:val="00F81076"/>
    <w:rsid w:val="00F810B8"/>
    <w:rsid w:val="00F81110"/>
    <w:rsid w:val="00F81139"/>
    <w:rsid w:val="00F81165"/>
    <w:rsid w:val="00F8121F"/>
    <w:rsid w:val="00F81264"/>
    <w:rsid w:val="00F81278"/>
    <w:rsid w:val="00F8128B"/>
    <w:rsid w:val="00F8131E"/>
    <w:rsid w:val="00F81339"/>
    <w:rsid w:val="00F81348"/>
    <w:rsid w:val="00F81365"/>
    <w:rsid w:val="00F8136E"/>
    <w:rsid w:val="00F81392"/>
    <w:rsid w:val="00F8139A"/>
    <w:rsid w:val="00F813D5"/>
    <w:rsid w:val="00F813EC"/>
    <w:rsid w:val="00F8145A"/>
    <w:rsid w:val="00F8145C"/>
    <w:rsid w:val="00F814D0"/>
    <w:rsid w:val="00F81520"/>
    <w:rsid w:val="00F8161E"/>
    <w:rsid w:val="00F81674"/>
    <w:rsid w:val="00F8167F"/>
    <w:rsid w:val="00F8169B"/>
    <w:rsid w:val="00F816A4"/>
    <w:rsid w:val="00F816A5"/>
    <w:rsid w:val="00F816DD"/>
    <w:rsid w:val="00F8173C"/>
    <w:rsid w:val="00F8178F"/>
    <w:rsid w:val="00F817B4"/>
    <w:rsid w:val="00F817DE"/>
    <w:rsid w:val="00F8180D"/>
    <w:rsid w:val="00F81834"/>
    <w:rsid w:val="00F81837"/>
    <w:rsid w:val="00F81875"/>
    <w:rsid w:val="00F81878"/>
    <w:rsid w:val="00F818D0"/>
    <w:rsid w:val="00F81942"/>
    <w:rsid w:val="00F819CD"/>
    <w:rsid w:val="00F81A08"/>
    <w:rsid w:val="00F81A0B"/>
    <w:rsid w:val="00F81A22"/>
    <w:rsid w:val="00F81A45"/>
    <w:rsid w:val="00F81A75"/>
    <w:rsid w:val="00F81A8F"/>
    <w:rsid w:val="00F81AAA"/>
    <w:rsid w:val="00F81B10"/>
    <w:rsid w:val="00F81B44"/>
    <w:rsid w:val="00F81BD8"/>
    <w:rsid w:val="00F81C22"/>
    <w:rsid w:val="00F81C32"/>
    <w:rsid w:val="00F81C44"/>
    <w:rsid w:val="00F81C76"/>
    <w:rsid w:val="00F81C90"/>
    <w:rsid w:val="00F81CA6"/>
    <w:rsid w:val="00F81CBB"/>
    <w:rsid w:val="00F81CD9"/>
    <w:rsid w:val="00F81D1B"/>
    <w:rsid w:val="00F81D2E"/>
    <w:rsid w:val="00F81D5F"/>
    <w:rsid w:val="00F81D90"/>
    <w:rsid w:val="00F81EA3"/>
    <w:rsid w:val="00F81EA5"/>
    <w:rsid w:val="00F81EB0"/>
    <w:rsid w:val="00F81EB4"/>
    <w:rsid w:val="00F81ED9"/>
    <w:rsid w:val="00F81F03"/>
    <w:rsid w:val="00F81FA2"/>
    <w:rsid w:val="00F81FEB"/>
    <w:rsid w:val="00F81FF4"/>
    <w:rsid w:val="00F82095"/>
    <w:rsid w:val="00F820B8"/>
    <w:rsid w:val="00F82113"/>
    <w:rsid w:val="00F82183"/>
    <w:rsid w:val="00F821B2"/>
    <w:rsid w:val="00F821C3"/>
    <w:rsid w:val="00F821D2"/>
    <w:rsid w:val="00F82221"/>
    <w:rsid w:val="00F822E2"/>
    <w:rsid w:val="00F822ED"/>
    <w:rsid w:val="00F822F2"/>
    <w:rsid w:val="00F82317"/>
    <w:rsid w:val="00F82353"/>
    <w:rsid w:val="00F823A4"/>
    <w:rsid w:val="00F823CB"/>
    <w:rsid w:val="00F823E1"/>
    <w:rsid w:val="00F82401"/>
    <w:rsid w:val="00F8240C"/>
    <w:rsid w:val="00F82423"/>
    <w:rsid w:val="00F82488"/>
    <w:rsid w:val="00F8248E"/>
    <w:rsid w:val="00F824CA"/>
    <w:rsid w:val="00F824EA"/>
    <w:rsid w:val="00F824EE"/>
    <w:rsid w:val="00F82543"/>
    <w:rsid w:val="00F82576"/>
    <w:rsid w:val="00F82615"/>
    <w:rsid w:val="00F8264B"/>
    <w:rsid w:val="00F82685"/>
    <w:rsid w:val="00F82746"/>
    <w:rsid w:val="00F827DF"/>
    <w:rsid w:val="00F8280E"/>
    <w:rsid w:val="00F8287A"/>
    <w:rsid w:val="00F828AD"/>
    <w:rsid w:val="00F828E6"/>
    <w:rsid w:val="00F828E7"/>
    <w:rsid w:val="00F82902"/>
    <w:rsid w:val="00F82944"/>
    <w:rsid w:val="00F8296E"/>
    <w:rsid w:val="00F82991"/>
    <w:rsid w:val="00F829C7"/>
    <w:rsid w:val="00F82A36"/>
    <w:rsid w:val="00F82A58"/>
    <w:rsid w:val="00F82A7B"/>
    <w:rsid w:val="00F82AB1"/>
    <w:rsid w:val="00F82B42"/>
    <w:rsid w:val="00F82B8B"/>
    <w:rsid w:val="00F82B90"/>
    <w:rsid w:val="00F82BDC"/>
    <w:rsid w:val="00F82BF6"/>
    <w:rsid w:val="00F82C61"/>
    <w:rsid w:val="00F82C6D"/>
    <w:rsid w:val="00F82CA0"/>
    <w:rsid w:val="00F82CF5"/>
    <w:rsid w:val="00F82CFB"/>
    <w:rsid w:val="00F82D03"/>
    <w:rsid w:val="00F82D0F"/>
    <w:rsid w:val="00F82D24"/>
    <w:rsid w:val="00F82D29"/>
    <w:rsid w:val="00F82D64"/>
    <w:rsid w:val="00F82DBC"/>
    <w:rsid w:val="00F82E3F"/>
    <w:rsid w:val="00F82E41"/>
    <w:rsid w:val="00F82ED0"/>
    <w:rsid w:val="00F82ED3"/>
    <w:rsid w:val="00F82EDE"/>
    <w:rsid w:val="00F82F0F"/>
    <w:rsid w:val="00F82F29"/>
    <w:rsid w:val="00F82FB4"/>
    <w:rsid w:val="00F82FCE"/>
    <w:rsid w:val="00F830C0"/>
    <w:rsid w:val="00F830CD"/>
    <w:rsid w:val="00F8310B"/>
    <w:rsid w:val="00F83250"/>
    <w:rsid w:val="00F83263"/>
    <w:rsid w:val="00F83264"/>
    <w:rsid w:val="00F83272"/>
    <w:rsid w:val="00F832A5"/>
    <w:rsid w:val="00F83356"/>
    <w:rsid w:val="00F83381"/>
    <w:rsid w:val="00F83386"/>
    <w:rsid w:val="00F833FB"/>
    <w:rsid w:val="00F83446"/>
    <w:rsid w:val="00F834BE"/>
    <w:rsid w:val="00F834D8"/>
    <w:rsid w:val="00F834DF"/>
    <w:rsid w:val="00F835B7"/>
    <w:rsid w:val="00F835F9"/>
    <w:rsid w:val="00F8367C"/>
    <w:rsid w:val="00F8367E"/>
    <w:rsid w:val="00F836F9"/>
    <w:rsid w:val="00F8376B"/>
    <w:rsid w:val="00F837AE"/>
    <w:rsid w:val="00F837F2"/>
    <w:rsid w:val="00F83828"/>
    <w:rsid w:val="00F83849"/>
    <w:rsid w:val="00F838E6"/>
    <w:rsid w:val="00F838EC"/>
    <w:rsid w:val="00F83932"/>
    <w:rsid w:val="00F83976"/>
    <w:rsid w:val="00F83987"/>
    <w:rsid w:val="00F83990"/>
    <w:rsid w:val="00F839FC"/>
    <w:rsid w:val="00F83A62"/>
    <w:rsid w:val="00F83A95"/>
    <w:rsid w:val="00F83A96"/>
    <w:rsid w:val="00F83B71"/>
    <w:rsid w:val="00F83B8C"/>
    <w:rsid w:val="00F83BD1"/>
    <w:rsid w:val="00F83C41"/>
    <w:rsid w:val="00F83C46"/>
    <w:rsid w:val="00F83C99"/>
    <w:rsid w:val="00F83CE8"/>
    <w:rsid w:val="00F83D7A"/>
    <w:rsid w:val="00F83E33"/>
    <w:rsid w:val="00F83EE0"/>
    <w:rsid w:val="00F83EFB"/>
    <w:rsid w:val="00F83F12"/>
    <w:rsid w:val="00F83FAA"/>
    <w:rsid w:val="00F84003"/>
    <w:rsid w:val="00F840A8"/>
    <w:rsid w:val="00F840F4"/>
    <w:rsid w:val="00F84165"/>
    <w:rsid w:val="00F8421A"/>
    <w:rsid w:val="00F84245"/>
    <w:rsid w:val="00F842A5"/>
    <w:rsid w:val="00F842BF"/>
    <w:rsid w:val="00F8434E"/>
    <w:rsid w:val="00F8434F"/>
    <w:rsid w:val="00F8435D"/>
    <w:rsid w:val="00F84384"/>
    <w:rsid w:val="00F843CD"/>
    <w:rsid w:val="00F84455"/>
    <w:rsid w:val="00F84504"/>
    <w:rsid w:val="00F845CD"/>
    <w:rsid w:val="00F845D7"/>
    <w:rsid w:val="00F8462F"/>
    <w:rsid w:val="00F84678"/>
    <w:rsid w:val="00F8468B"/>
    <w:rsid w:val="00F846B8"/>
    <w:rsid w:val="00F846DE"/>
    <w:rsid w:val="00F846F0"/>
    <w:rsid w:val="00F846F2"/>
    <w:rsid w:val="00F846F4"/>
    <w:rsid w:val="00F8470B"/>
    <w:rsid w:val="00F84757"/>
    <w:rsid w:val="00F84784"/>
    <w:rsid w:val="00F8478D"/>
    <w:rsid w:val="00F8479C"/>
    <w:rsid w:val="00F847DB"/>
    <w:rsid w:val="00F847E6"/>
    <w:rsid w:val="00F847EF"/>
    <w:rsid w:val="00F848FC"/>
    <w:rsid w:val="00F8496A"/>
    <w:rsid w:val="00F8499F"/>
    <w:rsid w:val="00F84A25"/>
    <w:rsid w:val="00F84A6D"/>
    <w:rsid w:val="00F84A78"/>
    <w:rsid w:val="00F84A8A"/>
    <w:rsid w:val="00F84AA7"/>
    <w:rsid w:val="00F84ABE"/>
    <w:rsid w:val="00F84ADE"/>
    <w:rsid w:val="00F84AFE"/>
    <w:rsid w:val="00F84B72"/>
    <w:rsid w:val="00F84B8A"/>
    <w:rsid w:val="00F84BF5"/>
    <w:rsid w:val="00F84C49"/>
    <w:rsid w:val="00F84C69"/>
    <w:rsid w:val="00F84C73"/>
    <w:rsid w:val="00F84C88"/>
    <w:rsid w:val="00F84C92"/>
    <w:rsid w:val="00F84DA0"/>
    <w:rsid w:val="00F84DBA"/>
    <w:rsid w:val="00F84EBC"/>
    <w:rsid w:val="00F84F3B"/>
    <w:rsid w:val="00F84F4B"/>
    <w:rsid w:val="00F84F73"/>
    <w:rsid w:val="00F84F84"/>
    <w:rsid w:val="00F84F8E"/>
    <w:rsid w:val="00F84F8F"/>
    <w:rsid w:val="00F84FDD"/>
    <w:rsid w:val="00F8506B"/>
    <w:rsid w:val="00F850AF"/>
    <w:rsid w:val="00F850CC"/>
    <w:rsid w:val="00F8518F"/>
    <w:rsid w:val="00F851A2"/>
    <w:rsid w:val="00F851D2"/>
    <w:rsid w:val="00F852F1"/>
    <w:rsid w:val="00F8530F"/>
    <w:rsid w:val="00F85359"/>
    <w:rsid w:val="00F85363"/>
    <w:rsid w:val="00F853C6"/>
    <w:rsid w:val="00F853D9"/>
    <w:rsid w:val="00F853F1"/>
    <w:rsid w:val="00F8543B"/>
    <w:rsid w:val="00F8549C"/>
    <w:rsid w:val="00F854B8"/>
    <w:rsid w:val="00F854E1"/>
    <w:rsid w:val="00F8552B"/>
    <w:rsid w:val="00F85608"/>
    <w:rsid w:val="00F8560E"/>
    <w:rsid w:val="00F8562A"/>
    <w:rsid w:val="00F8563E"/>
    <w:rsid w:val="00F85688"/>
    <w:rsid w:val="00F856E7"/>
    <w:rsid w:val="00F856F9"/>
    <w:rsid w:val="00F8580F"/>
    <w:rsid w:val="00F858D0"/>
    <w:rsid w:val="00F858D6"/>
    <w:rsid w:val="00F858DE"/>
    <w:rsid w:val="00F858E1"/>
    <w:rsid w:val="00F858E7"/>
    <w:rsid w:val="00F8590D"/>
    <w:rsid w:val="00F85967"/>
    <w:rsid w:val="00F85983"/>
    <w:rsid w:val="00F859B8"/>
    <w:rsid w:val="00F85A2F"/>
    <w:rsid w:val="00F85A32"/>
    <w:rsid w:val="00F85A34"/>
    <w:rsid w:val="00F85AB4"/>
    <w:rsid w:val="00F85B88"/>
    <w:rsid w:val="00F85BB2"/>
    <w:rsid w:val="00F85BBD"/>
    <w:rsid w:val="00F85C68"/>
    <w:rsid w:val="00F85CA2"/>
    <w:rsid w:val="00F85CA5"/>
    <w:rsid w:val="00F85CAE"/>
    <w:rsid w:val="00F85CEE"/>
    <w:rsid w:val="00F85CF9"/>
    <w:rsid w:val="00F85DC2"/>
    <w:rsid w:val="00F85DDA"/>
    <w:rsid w:val="00F85DE6"/>
    <w:rsid w:val="00F85EAA"/>
    <w:rsid w:val="00F85EC3"/>
    <w:rsid w:val="00F85EEA"/>
    <w:rsid w:val="00F85F16"/>
    <w:rsid w:val="00F85F54"/>
    <w:rsid w:val="00F85FA4"/>
    <w:rsid w:val="00F85FF9"/>
    <w:rsid w:val="00F86010"/>
    <w:rsid w:val="00F86026"/>
    <w:rsid w:val="00F8602B"/>
    <w:rsid w:val="00F8602D"/>
    <w:rsid w:val="00F86059"/>
    <w:rsid w:val="00F86077"/>
    <w:rsid w:val="00F860AD"/>
    <w:rsid w:val="00F860BA"/>
    <w:rsid w:val="00F86156"/>
    <w:rsid w:val="00F861BC"/>
    <w:rsid w:val="00F8624E"/>
    <w:rsid w:val="00F862F6"/>
    <w:rsid w:val="00F862FB"/>
    <w:rsid w:val="00F863FE"/>
    <w:rsid w:val="00F86415"/>
    <w:rsid w:val="00F86422"/>
    <w:rsid w:val="00F86429"/>
    <w:rsid w:val="00F86456"/>
    <w:rsid w:val="00F86591"/>
    <w:rsid w:val="00F865D8"/>
    <w:rsid w:val="00F865D9"/>
    <w:rsid w:val="00F86628"/>
    <w:rsid w:val="00F866E7"/>
    <w:rsid w:val="00F866EF"/>
    <w:rsid w:val="00F86704"/>
    <w:rsid w:val="00F8672A"/>
    <w:rsid w:val="00F86744"/>
    <w:rsid w:val="00F867B6"/>
    <w:rsid w:val="00F867DB"/>
    <w:rsid w:val="00F867DC"/>
    <w:rsid w:val="00F867E7"/>
    <w:rsid w:val="00F868A4"/>
    <w:rsid w:val="00F868C7"/>
    <w:rsid w:val="00F868D5"/>
    <w:rsid w:val="00F86938"/>
    <w:rsid w:val="00F8695E"/>
    <w:rsid w:val="00F8697A"/>
    <w:rsid w:val="00F869A2"/>
    <w:rsid w:val="00F86A00"/>
    <w:rsid w:val="00F86A02"/>
    <w:rsid w:val="00F86A05"/>
    <w:rsid w:val="00F86B11"/>
    <w:rsid w:val="00F86B72"/>
    <w:rsid w:val="00F86C33"/>
    <w:rsid w:val="00F86CD5"/>
    <w:rsid w:val="00F86D19"/>
    <w:rsid w:val="00F86D3F"/>
    <w:rsid w:val="00F86E1A"/>
    <w:rsid w:val="00F86E1D"/>
    <w:rsid w:val="00F86E25"/>
    <w:rsid w:val="00F86E38"/>
    <w:rsid w:val="00F86EA6"/>
    <w:rsid w:val="00F86EB8"/>
    <w:rsid w:val="00F86EDF"/>
    <w:rsid w:val="00F86F17"/>
    <w:rsid w:val="00F86F47"/>
    <w:rsid w:val="00F86FB6"/>
    <w:rsid w:val="00F86FC8"/>
    <w:rsid w:val="00F86FD8"/>
    <w:rsid w:val="00F86FED"/>
    <w:rsid w:val="00F87004"/>
    <w:rsid w:val="00F8707F"/>
    <w:rsid w:val="00F870B0"/>
    <w:rsid w:val="00F870EB"/>
    <w:rsid w:val="00F870EC"/>
    <w:rsid w:val="00F870F5"/>
    <w:rsid w:val="00F87179"/>
    <w:rsid w:val="00F871AF"/>
    <w:rsid w:val="00F87217"/>
    <w:rsid w:val="00F87247"/>
    <w:rsid w:val="00F8728A"/>
    <w:rsid w:val="00F872D7"/>
    <w:rsid w:val="00F8731D"/>
    <w:rsid w:val="00F87327"/>
    <w:rsid w:val="00F87339"/>
    <w:rsid w:val="00F873B7"/>
    <w:rsid w:val="00F873DE"/>
    <w:rsid w:val="00F873E2"/>
    <w:rsid w:val="00F873EC"/>
    <w:rsid w:val="00F8740C"/>
    <w:rsid w:val="00F87410"/>
    <w:rsid w:val="00F87448"/>
    <w:rsid w:val="00F8744D"/>
    <w:rsid w:val="00F874CA"/>
    <w:rsid w:val="00F874FA"/>
    <w:rsid w:val="00F8752F"/>
    <w:rsid w:val="00F875C9"/>
    <w:rsid w:val="00F87614"/>
    <w:rsid w:val="00F87627"/>
    <w:rsid w:val="00F8763D"/>
    <w:rsid w:val="00F8764C"/>
    <w:rsid w:val="00F87655"/>
    <w:rsid w:val="00F87676"/>
    <w:rsid w:val="00F8768C"/>
    <w:rsid w:val="00F876F7"/>
    <w:rsid w:val="00F87702"/>
    <w:rsid w:val="00F87708"/>
    <w:rsid w:val="00F8773C"/>
    <w:rsid w:val="00F87747"/>
    <w:rsid w:val="00F87769"/>
    <w:rsid w:val="00F877A9"/>
    <w:rsid w:val="00F877D1"/>
    <w:rsid w:val="00F87895"/>
    <w:rsid w:val="00F878C9"/>
    <w:rsid w:val="00F878DB"/>
    <w:rsid w:val="00F87902"/>
    <w:rsid w:val="00F8791B"/>
    <w:rsid w:val="00F87938"/>
    <w:rsid w:val="00F8795A"/>
    <w:rsid w:val="00F8799F"/>
    <w:rsid w:val="00F879BD"/>
    <w:rsid w:val="00F87A06"/>
    <w:rsid w:val="00F87A5E"/>
    <w:rsid w:val="00F87A7D"/>
    <w:rsid w:val="00F87A9B"/>
    <w:rsid w:val="00F87AD2"/>
    <w:rsid w:val="00F87AD8"/>
    <w:rsid w:val="00F87B1E"/>
    <w:rsid w:val="00F87B65"/>
    <w:rsid w:val="00F87B6F"/>
    <w:rsid w:val="00F87BA8"/>
    <w:rsid w:val="00F87BB6"/>
    <w:rsid w:val="00F87C54"/>
    <w:rsid w:val="00F87C65"/>
    <w:rsid w:val="00F87C85"/>
    <w:rsid w:val="00F87C97"/>
    <w:rsid w:val="00F87CD8"/>
    <w:rsid w:val="00F87D00"/>
    <w:rsid w:val="00F87D63"/>
    <w:rsid w:val="00F87D76"/>
    <w:rsid w:val="00F87E04"/>
    <w:rsid w:val="00F87E30"/>
    <w:rsid w:val="00F87ED1"/>
    <w:rsid w:val="00F87EFD"/>
    <w:rsid w:val="00F87F0D"/>
    <w:rsid w:val="00F87F70"/>
    <w:rsid w:val="00F87FA2"/>
    <w:rsid w:val="00F87FD4"/>
    <w:rsid w:val="00F90015"/>
    <w:rsid w:val="00F90041"/>
    <w:rsid w:val="00F9004E"/>
    <w:rsid w:val="00F900B2"/>
    <w:rsid w:val="00F900B4"/>
    <w:rsid w:val="00F900C7"/>
    <w:rsid w:val="00F9013A"/>
    <w:rsid w:val="00F9018A"/>
    <w:rsid w:val="00F901A9"/>
    <w:rsid w:val="00F90269"/>
    <w:rsid w:val="00F9034E"/>
    <w:rsid w:val="00F903C5"/>
    <w:rsid w:val="00F903D5"/>
    <w:rsid w:val="00F90448"/>
    <w:rsid w:val="00F90467"/>
    <w:rsid w:val="00F904C2"/>
    <w:rsid w:val="00F904DB"/>
    <w:rsid w:val="00F90505"/>
    <w:rsid w:val="00F90566"/>
    <w:rsid w:val="00F9056E"/>
    <w:rsid w:val="00F905D0"/>
    <w:rsid w:val="00F90607"/>
    <w:rsid w:val="00F90649"/>
    <w:rsid w:val="00F9065E"/>
    <w:rsid w:val="00F9069C"/>
    <w:rsid w:val="00F906DB"/>
    <w:rsid w:val="00F9070F"/>
    <w:rsid w:val="00F9072D"/>
    <w:rsid w:val="00F90751"/>
    <w:rsid w:val="00F90758"/>
    <w:rsid w:val="00F9075D"/>
    <w:rsid w:val="00F907EA"/>
    <w:rsid w:val="00F9082B"/>
    <w:rsid w:val="00F9084B"/>
    <w:rsid w:val="00F90850"/>
    <w:rsid w:val="00F9089D"/>
    <w:rsid w:val="00F908AD"/>
    <w:rsid w:val="00F908C5"/>
    <w:rsid w:val="00F908D8"/>
    <w:rsid w:val="00F908E1"/>
    <w:rsid w:val="00F908EC"/>
    <w:rsid w:val="00F908FA"/>
    <w:rsid w:val="00F90937"/>
    <w:rsid w:val="00F90944"/>
    <w:rsid w:val="00F9096F"/>
    <w:rsid w:val="00F9099F"/>
    <w:rsid w:val="00F909A8"/>
    <w:rsid w:val="00F909B0"/>
    <w:rsid w:val="00F909BD"/>
    <w:rsid w:val="00F909D6"/>
    <w:rsid w:val="00F909D7"/>
    <w:rsid w:val="00F909F0"/>
    <w:rsid w:val="00F90A0E"/>
    <w:rsid w:val="00F90A3E"/>
    <w:rsid w:val="00F90B00"/>
    <w:rsid w:val="00F90B25"/>
    <w:rsid w:val="00F90B2E"/>
    <w:rsid w:val="00F90B50"/>
    <w:rsid w:val="00F90B8D"/>
    <w:rsid w:val="00F90C21"/>
    <w:rsid w:val="00F90C8E"/>
    <w:rsid w:val="00F90C99"/>
    <w:rsid w:val="00F90CAF"/>
    <w:rsid w:val="00F90CD9"/>
    <w:rsid w:val="00F90CF8"/>
    <w:rsid w:val="00F90D37"/>
    <w:rsid w:val="00F90DB9"/>
    <w:rsid w:val="00F90DBC"/>
    <w:rsid w:val="00F90E0A"/>
    <w:rsid w:val="00F90E0D"/>
    <w:rsid w:val="00F90ED7"/>
    <w:rsid w:val="00F90FCF"/>
    <w:rsid w:val="00F90FE3"/>
    <w:rsid w:val="00F90FEC"/>
    <w:rsid w:val="00F90FF0"/>
    <w:rsid w:val="00F9105B"/>
    <w:rsid w:val="00F91090"/>
    <w:rsid w:val="00F910C8"/>
    <w:rsid w:val="00F9114C"/>
    <w:rsid w:val="00F911CB"/>
    <w:rsid w:val="00F91295"/>
    <w:rsid w:val="00F912A7"/>
    <w:rsid w:val="00F91383"/>
    <w:rsid w:val="00F913AD"/>
    <w:rsid w:val="00F913E1"/>
    <w:rsid w:val="00F91413"/>
    <w:rsid w:val="00F9141C"/>
    <w:rsid w:val="00F91467"/>
    <w:rsid w:val="00F9146E"/>
    <w:rsid w:val="00F9147A"/>
    <w:rsid w:val="00F914C7"/>
    <w:rsid w:val="00F91500"/>
    <w:rsid w:val="00F91506"/>
    <w:rsid w:val="00F91507"/>
    <w:rsid w:val="00F91533"/>
    <w:rsid w:val="00F9154A"/>
    <w:rsid w:val="00F915DA"/>
    <w:rsid w:val="00F91671"/>
    <w:rsid w:val="00F916A2"/>
    <w:rsid w:val="00F916B0"/>
    <w:rsid w:val="00F916D2"/>
    <w:rsid w:val="00F916F9"/>
    <w:rsid w:val="00F91743"/>
    <w:rsid w:val="00F91768"/>
    <w:rsid w:val="00F9179D"/>
    <w:rsid w:val="00F917DA"/>
    <w:rsid w:val="00F917E8"/>
    <w:rsid w:val="00F9183E"/>
    <w:rsid w:val="00F9194D"/>
    <w:rsid w:val="00F9198E"/>
    <w:rsid w:val="00F919BA"/>
    <w:rsid w:val="00F919C4"/>
    <w:rsid w:val="00F919E9"/>
    <w:rsid w:val="00F919FE"/>
    <w:rsid w:val="00F91A05"/>
    <w:rsid w:val="00F91A3E"/>
    <w:rsid w:val="00F91AB2"/>
    <w:rsid w:val="00F91B12"/>
    <w:rsid w:val="00F91B72"/>
    <w:rsid w:val="00F91BBE"/>
    <w:rsid w:val="00F91BC5"/>
    <w:rsid w:val="00F91C43"/>
    <w:rsid w:val="00F91C44"/>
    <w:rsid w:val="00F91CB9"/>
    <w:rsid w:val="00F91CE5"/>
    <w:rsid w:val="00F91D01"/>
    <w:rsid w:val="00F91D1A"/>
    <w:rsid w:val="00F91D64"/>
    <w:rsid w:val="00F91D92"/>
    <w:rsid w:val="00F91DB8"/>
    <w:rsid w:val="00F91E69"/>
    <w:rsid w:val="00F91E8C"/>
    <w:rsid w:val="00F91ED0"/>
    <w:rsid w:val="00F91EDE"/>
    <w:rsid w:val="00F91F00"/>
    <w:rsid w:val="00F91F0C"/>
    <w:rsid w:val="00F91F3D"/>
    <w:rsid w:val="00F91F47"/>
    <w:rsid w:val="00F91F87"/>
    <w:rsid w:val="00F91FC5"/>
    <w:rsid w:val="00F91FF6"/>
    <w:rsid w:val="00F9209D"/>
    <w:rsid w:val="00F9212B"/>
    <w:rsid w:val="00F9215E"/>
    <w:rsid w:val="00F9216C"/>
    <w:rsid w:val="00F921B7"/>
    <w:rsid w:val="00F921E4"/>
    <w:rsid w:val="00F9225F"/>
    <w:rsid w:val="00F92279"/>
    <w:rsid w:val="00F9234D"/>
    <w:rsid w:val="00F923E7"/>
    <w:rsid w:val="00F923FE"/>
    <w:rsid w:val="00F92419"/>
    <w:rsid w:val="00F9246F"/>
    <w:rsid w:val="00F924A9"/>
    <w:rsid w:val="00F924BA"/>
    <w:rsid w:val="00F924F2"/>
    <w:rsid w:val="00F9255B"/>
    <w:rsid w:val="00F92568"/>
    <w:rsid w:val="00F926A8"/>
    <w:rsid w:val="00F926AA"/>
    <w:rsid w:val="00F926D4"/>
    <w:rsid w:val="00F92777"/>
    <w:rsid w:val="00F9278E"/>
    <w:rsid w:val="00F927FB"/>
    <w:rsid w:val="00F9281D"/>
    <w:rsid w:val="00F9288A"/>
    <w:rsid w:val="00F928EF"/>
    <w:rsid w:val="00F92926"/>
    <w:rsid w:val="00F9292F"/>
    <w:rsid w:val="00F92961"/>
    <w:rsid w:val="00F929F8"/>
    <w:rsid w:val="00F92A57"/>
    <w:rsid w:val="00F92A72"/>
    <w:rsid w:val="00F92A89"/>
    <w:rsid w:val="00F92AE7"/>
    <w:rsid w:val="00F92B04"/>
    <w:rsid w:val="00F92C11"/>
    <w:rsid w:val="00F92C44"/>
    <w:rsid w:val="00F92C46"/>
    <w:rsid w:val="00F92C5E"/>
    <w:rsid w:val="00F92CF6"/>
    <w:rsid w:val="00F92D39"/>
    <w:rsid w:val="00F92D59"/>
    <w:rsid w:val="00F92D81"/>
    <w:rsid w:val="00F92F4C"/>
    <w:rsid w:val="00F92F6A"/>
    <w:rsid w:val="00F92FA2"/>
    <w:rsid w:val="00F92FFC"/>
    <w:rsid w:val="00F9301D"/>
    <w:rsid w:val="00F93099"/>
    <w:rsid w:val="00F9318D"/>
    <w:rsid w:val="00F93199"/>
    <w:rsid w:val="00F931BA"/>
    <w:rsid w:val="00F931F7"/>
    <w:rsid w:val="00F93236"/>
    <w:rsid w:val="00F93246"/>
    <w:rsid w:val="00F93250"/>
    <w:rsid w:val="00F932CA"/>
    <w:rsid w:val="00F932D0"/>
    <w:rsid w:val="00F93335"/>
    <w:rsid w:val="00F93365"/>
    <w:rsid w:val="00F933E8"/>
    <w:rsid w:val="00F933EF"/>
    <w:rsid w:val="00F9347C"/>
    <w:rsid w:val="00F934A4"/>
    <w:rsid w:val="00F934C7"/>
    <w:rsid w:val="00F934E5"/>
    <w:rsid w:val="00F934EF"/>
    <w:rsid w:val="00F93534"/>
    <w:rsid w:val="00F93536"/>
    <w:rsid w:val="00F93542"/>
    <w:rsid w:val="00F935AD"/>
    <w:rsid w:val="00F93617"/>
    <w:rsid w:val="00F9364D"/>
    <w:rsid w:val="00F9367A"/>
    <w:rsid w:val="00F93722"/>
    <w:rsid w:val="00F937A8"/>
    <w:rsid w:val="00F937AA"/>
    <w:rsid w:val="00F937AF"/>
    <w:rsid w:val="00F937CE"/>
    <w:rsid w:val="00F937D3"/>
    <w:rsid w:val="00F937EF"/>
    <w:rsid w:val="00F93809"/>
    <w:rsid w:val="00F938FE"/>
    <w:rsid w:val="00F93943"/>
    <w:rsid w:val="00F93A20"/>
    <w:rsid w:val="00F93AEE"/>
    <w:rsid w:val="00F93B4E"/>
    <w:rsid w:val="00F93B62"/>
    <w:rsid w:val="00F93BA1"/>
    <w:rsid w:val="00F93BEE"/>
    <w:rsid w:val="00F93C45"/>
    <w:rsid w:val="00F93CCB"/>
    <w:rsid w:val="00F93CDE"/>
    <w:rsid w:val="00F93D3C"/>
    <w:rsid w:val="00F93D43"/>
    <w:rsid w:val="00F93D54"/>
    <w:rsid w:val="00F93D65"/>
    <w:rsid w:val="00F93D7E"/>
    <w:rsid w:val="00F93E61"/>
    <w:rsid w:val="00F93F10"/>
    <w:rsid w:val="00F93F33"/>
    <w:rsid w:val="00F93F4C"/>
    <w:rsid w:val="00F93F5F"/>
    <w:rsid w:val="00F9402A"/>
    <w:rsid w:val="00F9407C"/>
    <w:rsid w:val="00F940EB"/>
    <w:rsid w:val="00F940F2"/>
    <w:rsid w:val="00F94135"/>
    <w:rsid w:val="00F941BD"/>
    <w:rsid w:val="00F941EF"/>
    <w:rsid w:val="00F94202"/>
    <w:rsid w:val="00F94228"/>
    <w:rsid w:val="00F94236"/>
    <w:rsid w:val="00F94254"/>
    <w:rsid w:val="00F94294"/>
    <w:rsid w:val="00F942BF"/>
    <w:rsid w:val="00F942EE"/>
    <w:rsid w:val="00F9434D"/>
    <w:rsid w:val="00F943F2"/>
    <w:rsid w:val="00F94415"/>
    <w:rsid w:val="00F94427"/>
    <w:rsid w:val="00F94433"/>
    <w:rsid w:val="00F94435"/>
    <w:rsid w:val="00F94485"/>
    <w:rsid w:val="00F9451A"/>
    <w:rsid w:val="00F94541"/>
    <w:rsid w:val="00F94567"/>
    <w:rsid w:val="00F94588"/>
    <w:rsid w:val="00F945EE"/>
    <w:rsid w:val="00F9462E"/>
    <w:rsid w:val="00F9465C"/>
    <w:rsid w:val="00F9465E"/>
    <w:rsid w:val="00F946B0"/>
    <w:rsid w:val="00F946BB"/>
    <w:rsid w:val="00F946BF"/>
    <w:rsid w:val="00F946CA"/>
    <w:rsid w:val="00F94745"/>
    <w:rsid w:val="00F94754"/>
    <w:rsid w:val="00F94781"/>
    <w:rsid w:val="00F947B6"/>
    <w:rsid w:val="00F94840"/>
    <w:rsid w:val="00F94848"/>
    <w:rsid w:val="00F948BB"/>
    <w:rsid w:val="00F94904"/>
    <w:rsid w:val="00F949A1"/>
    <w:rsid w:val="00F94A73"/>
    <w:rsid w:val="00F94A9B"/>
    <w:rsid w:val="00F94AE5"/>
    <w:rsid w:val="00F94B01"/>
    <w:rsid w:val="00F94B55"/>
    <w:rsid w:val="00F94B66"/>
    <w:rsid w:val="00F94B76"/>
    <w:rsid w:val="00F94B7B"/>
    <w:rsid w:val="00F94BDC"/>
    <w:rsid w:val="00F94C29"/>
    <w:rsid w:val="00F94C75"/>
    <w:rsid w:val="00F94D07"/>
    <w:rsid w:val="00F94D3E"/>
    <w:rsid w:val="00F94D85"/>
    <w:rsid w:val="00F94D97"/>
    <w:rsid w:val="00F94D9C"/>
    <w:rsid w:val="00F94E12"/>
    <w:rsid w:val="00F94E6E"/>
    <w:rsid w:val="00F94ED0"/>
    <w:rsid w:val="00F94F07"/>
    <w:rsid w:val="00F94F0B"/>
    <w:rsid w:val="00F94F5B"/>
    <w:rsid w:val="00F94FB6"/>
    <w:rsid w:val="00F94FD7"/>
    <w:rsid w:val="00F95036"/>
    <w:rsid w:val="00F9503B"/>
    <w:rsid w:val="00F95041"/>
    <w:rsid w:val="00F95201"/>
    <w:rsid w:val="00F95242"/>
    <w:rsid w:val="00F9529D"/>
    <w:rsid w:val="00F952AC"/>
    <w:rsid w:val="00F9532E"/>
    <w:rsid w:val="00F95379"/>
    <w:rsid w:val="00F95389"/>
    <w:rsid w:val="00F95439"/>
    <w:rsid w:val="00F95494"/>
    <w:rsid w:val="00F9549D"/>
    <w:rsid w:val="00F9549F"/>
    <w:rsid w:val="00F954AC"/>
    <w:rsid w:val="00F954BA"/>
    <w:rsid w:val="00F954ED"/>
    <w:rsid w:val="00F95502"/>
    <w:rsid w:val="00F95522"/>
    <w:rsid w:val="00F95524"/>
    <w:rsid w:val="00F95537"/>
    <w:rsid w:val="00F955B1"/>
    <w:rsid w:val="00F95602"/>
    <w:rsid w:val="00F956C7"/>
    <w:rsid w:val="00F956E5"/>
    <w:rsid w:val="00F95753"/>
    <w:rsid w:val="00F9576D"/>
    <w:rsid w:val="00F9579A"/>
    <w:rsid w:val="00F9588F"/>
    <w:rsid w:val="00F958D5"/>
    <w:rsid w:val="00F958E1"/>
    <w:rsid w:val="00F95933"/>
    <w:rsid w:val="00F9594E"/>
    <w:rsid w:val="00F9599A"/>
    <w:rsid w:val="00F959E6"/>
    <w:rsid w:val="00F959F8"/>
    <w:rsid w:val="00F95A16"/>
    <w:rsid w:val="00F95A84"/>
    <w:rsid w:val="00F95A97"/>
    <w:rsid w:val="00F95AB5"/>
    <w:rsid w:val="00F95AE0"/>
    <w:rsid w:val="00F95B50"/>
    <w:rsid w:val="00F95B51"/>
    <w:rsid w:val="00F95BB6"/>
    <w:rsid w:val="00F95C45"/>
    <w:rsid w:val="00F95D04"/>
    <w:rsid w:val="00F95D17"/>
    <w:rsid w:val="00F95D3D"/>
    <w:rsid w:val="00F95D84"/>
    <w:rsid w:val="00F95DB7"/>
    <w:rsid w:val="00F95DC9"/>
    <w:rsid w:val="00F95DCF"/>
    <w:rsid w:val="00F95E01"/>
    <w:rsid w:val="00F95E3A"/>
    <w:rsid w:val="00F95E3B"/>
    <w:rsid w:val="00F95E41"/>
    <w:rsid w:val="00F95F2D"/>
    <w:rsid w:val="00F95F30"/>
    <w:rsid w:val="00F9609A"/>
    <w:rsid w:val="00F960EA"/>
    <w:rsid w:val="00F9613F"/>
    <w:rsid w:val="00F9616C"/>
    <w:rsid w:val="00F961A3"/>
    <w:rsid w:val="00F961E7"/>
    <w:rsid w:val="00F961F6"/>
    <w:rsid w:val="00F96203"/>
    <w:rsid w:val="00F9624A"/>
    <w:rsid w:val="00F96253"/>
    <w:rsid w:val="00F96296"/>
    <w:rsid w:val="00F962ED"/>
    <w:rsid w:val="00F962FC"/>
    <w:rsid w:val="00F96366"/>
    <w:rsid w:val="00F9636F"/>
    <w:rsid w:val="00F96390"/>
    <w:rsid w:val="00F9646B"/>
    <w:rsid w:val="00F9646F"/>
    <w:rsid w:val="00F96473"/>
    <w:rsid w:val="00F96475"/>
    <w:rsid w:val="00F964FB"/>
    <w:rsid w:val="00F96512"/>
    <w:rsid w:val="00F96553"/>
    <w:rsid w:val="00F9659A"/>
    <w:rsid w:val="00F965A5"/>
    <w:rsid w:val="00F965AE"/>
    <w:rsid w:val="00F965E7"/>
    <w:rsid w:val="00F96688"/>
    <w:rsid w:val="00F966A5"/>
    <w:rsid w:val="00F966F1"/>
    <w:rsid w:val="00F967B8"/>
    <w:rsid w:val="00F967B9"/>
    <w:rsid w:val="00F9681A"/>
    <w:rsid w:val="00F96879"/>
    <w:rsid w:val="00F968D2"/>
    <w:rsid w:val="00F9691C"/>
    <w:rsid w:val="00F96923"/>
    <w:rsid w:val="00F96A04"/>
    <w:rsid w:val="00F96A29"/>
    <w:rsid w:val="00F96A58"/>
    <w:rsid w:val="00F96A9B"/>
    <w:rsid w:val="00F96AAD"/>
    <w:rsid w:val="00F96AF0"/>
    <w:rsid w:val="00F96B1D"/>
    <w:rsid w:val="00F96BDF"/>
    <w:rsid w:val="00F96BEB"/>
    <w:rsid w:val="00F96BFF"/>
    <w:rsid w:val="00F96C1F"/>
    <w:rsid w:val="00F96C48"/>
    <w:rsid w:val="00F96C92"/>
    <w:rsid w:val="00F96CD3"/>
    <w:rsid w:val="00F96CE4"/>
    <w:rsid w:val="00F96D45"/>
    <w:rsid w:val="00F96D48"/>
    <w:rsid w:val="00F96E34"/>
    <w:rsid w:val="00F96E36"/>
    <w:rsid w:val="00F96E38"/>
    <w:rsid w:val="00F96E80"/>
    <w:rsid w:val="00F96EF2"/>
    <w:rsid w:val="00F96F34"/>
    <w:rsid w:val="00F97060"/>
    <w:rsid w:val="00F97073"/>
    <w:rsid w:val="00F97092"/>
    <w:rsid w:val="00F9709C"/>
    <w:rsid w:val="00F97151"/>
    <w:rsid w:val="00F97156"/>
    <w:rsid w:val="00F97157"/>
    <w:rsid w:val="00F9719D"/>
    <w:rsid w:val="00F9719E"/>
    <w:rsid w:val="00F971F6"/>
    <w:rsid w:val="00F971F9"/>
    <w:rsid w:val="00F97207"/>
    <w:rsid w:val="00F97233"/>
    <w:rsid w:val="00F9727D"/>
    <w:rsid w:val="00F97293"/>
    <w:rsid w:val="00F972DB"/>
    <w:rsid w:val="00F972E6"/>
    <w:rsid w:val="00F97350"/>
    <w:rsid w:val="00F97360"/>
    <w:rsid w:val="00F97364"/>
    <w:rsid w:val="00F97365"/>
    <w:rsid w:val="00F9736D"/>
    <w:rsid w:val="00F97383"/>
    <w:rsid w:val="00F9740C"/>
    <w:rsid w:val="00F97413"/>
    <w:rsid w:val="00F97459"/>
    <w:rsid w:val="00F974D2"/>
    <w:rsid w:val="00F974E0"/>
    <w:rsid w:val="00F974EB"/>
    <w:rsid w:val="00F97502"/>
    <w:rsid w:val="00F9750A"/>
    <w:rsid w:val="00F97553"/>
    <w:rsid w:val="00F9758A"/>
    <w:rsid w:val="00F9758F"/>
    <w:rsid w:val="00F97592"/>
    <w:rsid w:val="00F975AD"/>
    <w:rsid w:val="00F97607"/>
    <w:rsid w:val="00F97640"/>
    <w:rsid w:val="00F97641"/>
    <w:rsid w:val="00F976A4"/>
    <w:rsid w:val="00F976A7"/>
    <w:rsid w:val="00F976E0"/>
    <w:rsid w:val="00F9777A"/>
    <w:rsid w:val="00F977EA"/>
    <w:rsid w:val="00F9780B"/>
    <w:rsid w:val="00F9782D"/>
    <w:rsid w:val="00F97852"/>
    <w:rsid w:val="00F97853"/>
    <w:rsid w:val="00F97873"/>
    <w:rsid w:val="00F978B7"/>
    <w:rsid w:val="00F978C6"/>
    <w:rsid w:val="00F978E4"/>
    <w:rsid w:val="00F9795C"/>
    <w:rsid w:val="00F97987"/>
    <w:rsid w:val="00F97A8F"/>
    <w:rsid w:val="00F97AA8"/>
    <w:rsid w:val="00F97ABB"/>
    <w:rsid w:val="00F97AC9"/>
    <w:rsid w:val="00F97ACB"/>
    <w:rsid w:val="00F97ADD"/>
    <w:rsid w:val="00F97B57"/>
    <w:rsid w:val="00F97B7F"/>
    <w:rsid w:val="00F97BF0"/>
    <w:rsid w:val="00F97C1A"/>
    <w:rsid w:val="00F97C1F"/>
    <w:rsid w:val="00F97C44"/>
    <w:rsid w:val="00F97C48"/>
    <w:rsid w:val="00F97CBC"/>
    <w:rsid w:val="00F97CD0"/>
    <w:rsid w:val="00F97D3B"/>
    <w:rsid w:val="00F97D67"/>
    <w:rsid w:val="00F97D6C"/>
    <w:rsid w:val="00F97D84"/>
    <w:rsid w:val="00F97DAF"/>
    <w:rsid w:val="00F97DEC"/>
    <w:rsid w:val="00F97E24"/>
    <w:rsid w:val="00F97E2E"/>
    <w:rsid w:val="00F97E76"/>
    <w:rsid w:val="00F97EB1"/>
    <w:rsid w:val="00F97EEF"/>
    <w:rsid w:val="00F97F2E"/>
    <w:rsid w:val="00F97F34"/>
    <w:rsid w:val="00F97F75"/>
    <w:rsid w:val="00F97F95"/>
    <w:rsid w:val="00F97FB4"/>
    <w:rsid w:val="00FA005D"/>
    <w:rsid w:val="00FA0097"/>
    <w:rsid w:val="00FA00AE"/>
    <w:rsid w:val="00FA00B3"/>
    <w:rsid w:val="00FA00C5"/>
    <w:rsid w:val="00FA00DB"/>
    <w:rsid w:val="00FA014F"/>
    <w:rsid w:val="00FA0150"/>
    <w:rsid w:val="00FA0183"/>
    <w:rsid w:val="00FA01D2"/>
    <w:rsid w:val="00FA0265"/>
    <w:rsid w:val="00FA029C"/>
    <w:rsid w:val="00FA02A8"/>
    <w:rsid w:val="00FA02DF"/>
    <w:rsid w:val="00FA0395"/>
    <w:rsid w:val="00FA03F4"/>
    <w:rsid w:val="00FA043F"/>
    <w:rsid w:val="00FA0447"/>
    <w:rsid w:val="00FA044F"/>
    <w:rsid w:val="00FA0475"/>
    <w:rsid w:val="00FA0477"/>
    <w:rsid w:val="00FA0497"/>
    <w:rsid w:val="00FA04C8"/>
    <w:rsid w:val="00FA04DC"/>
    <w:rsid w:val="00FA0529"/>
    <w:rsid w:val="00FA0588"/>
    <w:rsid w:val="00FA0620"/>
    <w:rsid w:val="00FA0651"/>
    <w:rsid w:val="00FA0660"/>
    <w:rsid w:val="00FA071C"/>
    <w:rsid w:val="00FA0748"/>
    <w:rsid w:val="00FA0775"/>
    <w:rsid w:val="00FA087E"/>
    <w:rsid w:val="00FA0880"/>
    <w:rsid w:val="00FA08AC"/>
    <w:rsid w:val="00FA0908"/>
    <w:rsid w:val="00FA0920"/>
    <w:rsid w:val="00FA0941"/>
    <w:rsid w:val="00FA095E"/>
    <w:rsid w:val="00FA0993"/>
    <w:rsid w:val="00FA099C"/>
    <w:rsid w:val="00FA09F2"/>
    <w:rsid w:val="00FA09FD"/>
    <w:rsid w:val="00FA0A3D"/>
    <w:rsid w:val="00FA0A3E"/>
    <w:rsid w:val="00FA0A92"/>
    <w:rsid w:val="00FA0AD3"/>
    <w:rsid w:val="00FA0AD7"/>
    <w:rsid w:val="00FA0ADF"/>
    <w:rsid w:val="00FA0AEC"/>
    <w:rsid w:val="00FA0B06"/>
    <w:rsid w:val="00FA0B3B"/>
    <w:rsid w:val="00FA0B75"/>
    <w:rsid w:val="00FA0BAE"/>
    <w:rsid w:val="00FA0BB5"/>
    <w:rsid w:val="00FA0BD4"/>
    <w:rsid w:val="00FA0C29"/>
    <w:rsid w:val="00FA0C65"/>
    <w:rsid w:val="00FA0C7F"/>
    <w:rsid w:val="00FA0D33"/>
    <w:rsid w:val="00FA0D34"/>
    <w:rsid w:val="00FA0D82"/>
    <w:rsid w:val="00FA0D96"/>
    <w:rsid w:val="00FA0DBE"/>
    <w:rsid w:val="00FA0DC3"/>
    <w:rsid w:val="00FA0E3D"/>
    <w:rsid w:val="00FA0EEE"/>
    <w:rsid w:val="00FA0F0D"/>
    <w:rsid w:val="00FA0F6A"/>
    <w:rsid w:val="00FA0FB6"/>
    <w:rsid w:val="00FA1012"/>
    <w:rsid w:val="00FA1076"/>
    <w:rsid w:val="00FA1100"/>
    <w:rsid w:val="00FA1103"/>
    <w:rsid w:val="00FA1104"/>
    <w:rsid w:val="00FA1124"/>
    <w:rsid w:val="00FA1129"/>
    <w:rsid w:val="00FA112C"/>
    <w:rsid w:val="00FA112F"/>
    <w:rsid w:val="00FA11DA"/>
    <w:rsid w:val="00FA1204"/>
    <w:rsid w:val="00FA12E0"/>
    <w:rsid w:val="00FA12F2"/>
    <w:rsid w:val="00FA1352"/>
    <w:rsid w:val="00FA1359"/>
    <w:rsid w:val="00FA1393"/>
    <w:rsid w:val="00FA13F7"/>
    <w:rsid w:val="00FA13FB"/>
    <w:rsid w:val="00FA14A0"/>
    <w:rsid w:val="00FA14A2"/>
    <w:rsid w:val="00FA14C2"/>
    <w:rsid w:val="00FA14CF"/>
    <w:rsid w:val="00FA14E0"/>
    <w:rsid w:val="00FA1502"/>
    <w:rsid w:val="00FA154F"/>
    <w:rsid w:val="00FA15C5"/>
    <w:rsid w:val="00FA15EF"/>
    <w:rsid w:val="00FA15F7"/>
    <w:rsid w:val="00FA1611"/>
    <w:rsid w:val="00FA1621"/>
    <w:rsid w:val="00FA1629"/>
    <w:rsid w:val="00FA16A0"/>
    <w:rsid w:val="00FA1718"/>
    <w:rsid w:val="00FA1731"/>
    <w:rsid w:val="00FA175E"/>
    <w:rsid w:val="00FA176A"/>
    <w:rsid w:val="00FA1793"/>
    <w:rsid w:val="00FA17A9"/>
    <w:rsid w:val="00FA184A"/>
    <w:rsid w:val="00FA1882"/>
    <w:rsid w:val="00FA1886"/>
    <w:rsid w:val="00FA188F"/>
    <w:rsid w:val="00FA18CA"/>
    <w:rsid w:val="00FA18FE"/>
    <w:rsid w:val="00FA1922"/>
    <w:rsid w:val="00FA1988"/>
    <w:rsid w:val="00FA1A69"/>
    <w:rsid w:val="00FA1A6D"/>
    <w:rsid w:val="00FA1A82"/>
    <w:rsid w:val="00FA1AB9"/>
    <w:rsid w:val="00FA1AC8"/>
    <w:rsid w:val="00FA1B09"/>
    <w:rsid w:val="00FA1B42"/>
    <w:rsid w:val="00FA1C26"/>
    <w:rsid w:val="00FA1CCC"/>
    <w:rsid w:val="00FA1CF7"/>
    <w:rsid w:val="00FA1D3C"/>
    <w:rsid w:val="00FA1D57"/>
    <w:rsid w:val="00FA1D62"/>
    <w:rsid w:val="00FA1D6E"/>
    <w:rsid w:val="00FA1D79"/>
    <w:rsid w:val="00FA1E15"/>
    <w:rsid w:val="00FA1E9D"/>
    <w:rsid w:val="00FA1EE8"/>
    <w:rsid w:val="00FA1F0D"/>
    <w:rsid w:val="00FA1F0F"/>
    <w:rsid w:val="00FA2001"/>
    <w:rsid w:val="00FA2009"/>
    <w:rsid w:val="00FA2066"/>
    <w:rsid w:val="00FA2068"/>
    <w:rsid w:val="00FA208A"/>
    <w:rsid w:val="00FA20A1"/>
    <w:rsid w:val="00FA20A7"/>
    <w:rsid w:val="00FA2137"/>
    <w:rsid w:val="00FA213F"/>
    <w:rsid w:val="00FA2167"/>
    <w:rsid w:val="00FA224B"/>
    <w:rsid w:val="00FA224D"/>
    <w:rsid w:val="00FA2276"/>
    <w:rsid w:val="00FA2283"/>
    <w:rsid w:val="00FA2289"/>
    <w:rsid w:val="00FA22BF"/>
    <w:rsid w:val="00FA23DD"/>
    <w:rsid w:val="00FA2497"/>
    <w:rsid w:val="00FA24BE"/>
    <w:rsid w:val="00FA25A0"/>
    <w:rsid w:val="00FA25BF"/>
    <w:rsid w:val="00FA2645"/>
    <w:rsid w:val="00FA2692"/>
    <w:rsid w:val="00FA2745"/>
    <w:rsid w:val="00FA2763"/>
    <w:rsid w:val="00FA2768"/>
    <w:rsid w:val="00FA279A"/>
    <w:rsid w:val="00FA2878"/>
    <w:rsid w:val="00FA28C9"/>
    <w:rsid w:val="00FA290B"/>
    <w:rsid w:val="00FA2924"/>
    <w:rsid w:val="00FA293D"/>
    <w:rsid w:val="00FA2AF0"/>
    <w:rsid w:val="00FA2B18"/>
    <w:rsid w:val="00FA2B52"/>
    <w:rsid w:val="00FA2B89"/>
    <w:rsid w:val="00FA2C07"/>
    <w:rsid w:val="00FA2C68"/>
    <w:rsid w:val="00FA2CC2"/>
    <w:rsid w:val="00FA2CCF"/>
    <w:rsid w:val="00FA2CE5"/>
    <w:rsid w:val="00FA2CE9"/>
    <w:rsid w:val="00FA2D0D"/>
    <w:rsid w:val="00FA2D2F"/>
    <w:rsid w:val="00FA2D4C"/>
    <w:rsid w:val="00FA2D9B"/>
    <w:rsid w:val="00FA2DA1"/>
    <w:rsid w:val="00FA2E0E"/>
    <w:rsid w:val="00FA2E48"/>
    <w:rsid w:val="00FA2ECD"/>
    <w:rsid w:val="00FA2ED8"/>
    <w:rsid w:val="00FA2EF9"/>
    <w:rsid w:val="00FA2F39"/>
    <w:rsid w:val="00FA2FC4"/>
    <w:rsid w:val="00FA3083"/>
    <w:rsid w:val="00FA3098"/>
    <w:rsid w:val="00FA309F"/>
    <w:rsid w:val="00FA30C4"/>
    <w:rsid w:val="00FA30E0"/>
    <w:rsid w:val="00FA30E1"/>
    <w:rsid w:val="00FA3122"/>
    <w:rsid w:val="00FA3156"/>
    <w:rsid w:val="00FA317C"/>
    <w:rsid w:val="00FA3189"/>
    <w:rsid w:val="00FA3195"/>
    <w:rsid w:val="00FA31A0"/>
    <w:rsid w:val="00FA31E7"/>
    <w:rsid w:val="00FA327B"/>
    <w:rsid w:val="00FA32D6"/>
    <w:rsid w:val="00FA32E0"/>
    <w:rsid w:val="00FA3302"/>
    <w:rsid w:val="00FA3322"/>
    <w:rsid w:val="00FA3365"/>
    <w:rsid w:val="00FA33C3"/>
    <w:rsid w:val="00FA33D3"/>
    <w:rsid w:val="00FA33E1"/>
    <w:rsid w:val="00FA3425"/>
    <w:rsid w:val="00FA34AF"/>
    <w:rsid w:val="00FA34F8"/>
    <w:rsid w:val="00FA3501"/>
    <w:rsid w:val="00FA3559"/>
    <w:rsid w:val="00FA35F9"/>
    <w:rsid w:val="00FA3628"/>
    <w:rsid w:val="00FA3639"/>
    <w:rsid w:val="00FA36C8"/>
    <w:rsid w:val="00FA36FF"/>
    <w:rsid w:val="00FA3779"/>
    <w:rsid w:val="00FA37C1"/>
    <w:rsid w:val="00FA37E2"/>
    <w:rsid w:val="00FA3846"/>
    <w:rsid w:val="00FA38C0"/>
    <w:rsid w:val="00FA38F0"/>
    <w:rsid w:val="00FA390B"/>
    <w:rsid w:val="00FA3924"/>
    <w:rsid w:val="00FA3934"/>
    <w:rsid w:val="00FA39D8"/>
    <w:rsid w:val="00FA39F8"/>
    <w:rsid w:val="00FA3A20"/>
    <w:rsid w:val="00FA3A6D"/>
    <w:rsid w:val="00FA3A80"/>
    <w:rsid w:val="00FA3B17"/>
    <w:rsid w:val="00FA3B53"/>
    <w:rsid w:val="00FA3BEF"/>
    <w:rsid w:val="00FA3C3F"/>
    <w:rsid w:val="00FA3C67"/>
    <w:rsid w:val="00FA3C81"/>
    <w:rsid w:val="00FA3C95"/>
    <w:rsid w:val="00FA3CB7"/>
    <w:rsid w:val="00FA3CEF"/>
    <w:rsid w:val="00FA3D48"/>
    <w:rsid w:val="00FA3D4F"/>
    <w:rsid w:val="00FA3D56"/>
    <w:rsid w:val="00FA3D5C"/>
    <w:rsid w:val="00FA3D81"/>
    <w:rsid w:val="00FA3DB9"/>
    <w:rsid w:val="00FA3DDA"/>
    <w:rsid w:val="00FA3E1C"/>
    <w:rsid w:val="00FA3E31"/>
    <w:rsid w:val="00FA3E6E"/>
    <w:rsid w:val="00FA3F01"/>
    <w:rsid w:val="00FA3FAB"/>
    <w:rsid w:val="00FA3FCD"/>
    <w:rsid w:val="00FA40A9"/>
    <w:rsid w:val="00FA41D2"/>
    <w:rsid w:val="00FA41E5"/>
    <w:rsid w:val="00FA423B"/>
    <w:rsid w:val="00FA423E"/>
    <w:rsid w:val="00FA4377"/>
    <w:rsid w:val="00FA4394"/>
    <w:rsid w:val="00FA4431"/>
    <w:rsid w:val="00FA4478"/>
    <w:rsid w:val="00FA44ED"/>
    <w:rsid w:val="00FA4554"/>
    <w:rsid w:val="00FA4575"/>
    <w:rsid w:val="00FA45C7"/>
    <w:rsid w:val="00FA45F4"/>
    <w:rsid w:val="00FA4691"/>
    <w:rsid w:val="00FA4698"/>
    <w:rsid w:val="00FA469A"/>
    <w:rsid w:val="00FA46B3"/>
    <w:rsid w:val="00FA46BE"/>
    <w:rsid w:val="00FA46E2"/>
    <w:rsid w:val="00FA4718"/>
    <w:rsid w:val="00FA474B"/>
    <w:rsid w:val="00FA4769"/>
    <w:rsid w:val="00FA47C2"/>
    <w:rsid w:val="00FA48C5"/>
    <w:rsid w:val="00FA48F4"/>
    <w:rsid w:val="00FA48FA"/>
    <w:rsid w:val="00FA4904"/>
    <w:rsid w:val="00FA4969"/>
    <w:rsid w:val="00FA4A1D"/>
    <w:rsid w:val="00FA4AA5"/>
    <w:rsid w:val="00FA4AF9"/>
    <w:rsid w:val="00FA4B58"/>
    <w:rsid w:val="00FA4BA4"/>
    <w:rsid w:val="00FA4BDD"/>
    <w:rsid w:val="00FA4C33"/>
    <w:rsid w:val="00FA4C42"/>
    <w:rsid w:val="00FA4CD6"/>
    <w:rsid w:val="00FA4CF8"/>
    <w:rsid w:val="00FA4D37"/>
    <w:rsid w:val="00FA4D4A"/>
    <w:rsid w:val="00FA4E04"/>
    <w:rsid w:val="00FA4E10"/>
    <w:rsid w:val="00FA4E7F"/>
    <w:rsid w:val="00FA4E8F"/>
    <w:rsid w:val="00FA4EFC"/>
    <w:rsid w:val="00FA4F43"/>
    <w:rsid w:val="00FA4FBB"/>
    <w:rsid w:val="00FA4FBF"/>
    <w:rsid w:val="00FA4FCE"/>
    <w:rsid w:val="00FA5060"/>
    <w:rsid w:val="00FA5132"/>
    <w:rsid w:val="00FA513B"/>
    <w:rsid w:val="00FA513D"/>
    <w:rsid w:val="00FA51E3"/>
    <w:rsid w:val="00FA521D"/>
    <w:rsid w:val="00FA526B"/>
    <w:rsid w:val="00FA528F"/>
    <w:rsid w:val="00FA52EF"/>
    <w:rsid w:val="00FA5368"/>
    <w:rsid w:val="00FA53CF"/>
    <w:rsid w:val="00FA5409"/>
    <w:rsid w:val="00FA5455"/>
    <w:rsid w:val="00FA5457"/>
    <w:rsid w:val="00FA546F"/>
    <w:rsid w:val="00FA5472"/>
    <w:rsid w:val="00FA54E6"/>
    <w:rsid w:val="00FA5539"/>
    <w:rsid w:val="00FA555D"/>
    <w:rsid w:val="00FA5584"/>
    <w:rsid w:val="00FA55FD"/>
    <w:rsid w:val="00FA5642"/>
    <w:rsid w:val="00FA56A9"/>
    <w:rsid w:val="00FA56C1"/>
    <w:rsid w:val="00FA56C5"/>
    <w:rsid w:val="00FA5701"/>
    <w:rsid w:val="00FA575F"/>
    <w:rsid w:val="00FA5789"/>
    <w:rsid w:val="00FA5790"/>
    <w:rsid w:val="00FA57BB"/>
    <w:rsid w:val="00FA57D4"/>
    <w:rsid w:val="00FA57D5"/>
    <w:rsid w:val="00FA5866"/>
    <w:rsid w:val="00FA5907"/>
    <w:rsid w:val="00FA5913"/>
    <w:rsid w:val="00FA5916"/>
    <w:rsid w:val="00FA5918"/>
    <w:rsid w:val="00FA5A18"/>
    <w:rsid w:val="00FA5A34"/>
    <w:rsid w:val="00FA5A58"/>
    <w:rsid w:val="00FA5A84"/>
    <w:rsid w:val="00FA5A97"/>
    <w:rsid w:val="00FA5AB4"/>
    <w:rsid w:val="00FA5AE9"/>
    <w:rsid w:val="00FA5B28"/>
    <w:rsid w:val="00FA5B35"/>
    <w:rsid w:val="00FA5B3B"/>
    <w:rsid w:val="00FA5B91"/>
    <w:rsid w:val="00FA5BC3"/>
    <w:rsid w:val="00FA5BD2"/>
    <w:rsid w:val="00FA5C12"/>
    <w:rsid w:val="00FA5C5F"/>
    <w:rsid w:val="00FA5C80"/>
    <w:rsid w:val="00FA5CF4"/>
    <w:rsid w:val="00FA5D1D"/>
    <w:rsid w:val="00FA5DD3"/>
    <w:rsid w:val="00FA5E5A"/>
    <w:rsid w:val="00FA5EB1"/>
    <w:rsid w:val="00FA5ECC"/>
    <w:rsid w:val="00FA5EE1"/>
    <w:rsid w:val="00FA5F06"/>
    <w:rsid w:val="00FA5F2C"/>
    <w:rsid w:val="00FA5F36"/>
    <w:rsid w:val="00FA5F86"/>
    <w:rsid w:val="00FA5FA4"/>
    <w:rsid w:val="00FA5FB5"/>
    <w:rsid w:val="00FA603A"/>
    <w:rsid w:val="00FA608E"/>
    <w:rsid w:val="00FA6099"/>
    <w:rsid w:val="00FA610C"/>
    <w:rsid w:val="00FA6147"/>
    <w:rsid w:val="00FA6179"/>
    <w:rsid w:val="00FA623E"/>
    <w:rsid w:val="00FA62F2"/>
    <w:rsid w:val="00FA6330"/>
    <w:rsid w:val="00FA636B"/>
    <w:rsid w:val="00FA6378"/>
    <w:rsid w:val="00FA637E"/>
    <w:rsid w:val="00FA63A9"/>
    <w:rsid w:val="00FA63E6"/>
    <w:rsid w:val="00FA640F"/>
    <w:rsid w:val="00FA6441"/>
    <w:rsid w:val="00FA644C"/>
    <w:rsid w:val="00FA6452"/>
    <w:rsid w:val="00FA64CD"/>
    <w:rsid w:val="00FA64D7"/>
    <w:rsid w:val="00FA6590"/>
    <w:rsid w:val="00FA65AE"/>
    <w:rsid w:val="00FA65FE"/>
    <w:rsid w:val="00FA663E"/>
    <w:rsid w:val="00FA666E"/>
    <w:rsid w:val="00FA66B5"/>
    <w:rsid w:val="00FA6707"/>
    <w:rsid w:val="00FA6721"/>
    <w:rsid w:val="00FA6739"/>
    <w:rsid w:val="00FA6783"/>
    <w:rsid w:val="00FA67CB"/>
    <w:rsid w:val="00FA680C"/>
    <w:rsid w:val="00FA6825"/>
    <w:rsid w:val="00FA6894"/>
    <w:rsid w:val="00FA68E0"/>
    <w:rsid w:val="00FA68F2"/>
    <w:rsid w:val="00FA68FF"/>
    <w:rsid w:val="00FA6905"/>
    <w:rsid w:val="00FA690F"/>
    <w:rsid w:val="00FA6981"/>
    <w:rsid w:val="00FA69F6"/>
    <w:rsid w:val="00FA6A1D"/>
    <w:rsid w:val="00FA6A41"/>
    <w:rsid w:val="00FA6A51"/>
    <w:rsid w:val="00FA6B0D"/>
    <w:rsid w:val="00FA6B6C"/>
    <w:rsid w:val="00FA6BAC"/>
    <w:rsid w:val="00FA6BD3"/>
    <w:rsid w:val="00FA6BD4"/>
    <w:rsid w:val="00FA6D73"/>
    <w:rsid w:val="00FA6DE5"/>
    <w:rsid w:val="00FA6E16"/>
    <w:rsid w:val="00FA6E64"/>
    <w:rsid w:val="00FA6E74"/>
    <w:rsid w:val="00FA6F30"/>
    <w:rsid w:val="00FA6F34"/>
    <w:rsid w:val="00FA6F40"/>
    <w:rsid w:val="00FA6F99"/>
    <w:rsid w:val="00FA704A"/>
    <w:rsid w:val="00FA70B4"/>
    <w:rsid w:val="00FA7255"/>
    <w:rsid w:val="00FA727A"/>
    <w:rsid w:val="00FA7310"/>
    <w:rsid w:val="00FA7323"/>
    <w:rsid w:val="00FA7328"/>
    <w:rsid w:val="00FA7332"/>
    <w:rsid w:val="00FA73CE"/>
    <w:rsid w:val="00FA73E2"/>
    <w:rsid w:val="00FA746D"/>
    <w:rsid w:val="00FA74AE"/>
    <w:rsid w:val="00FA754A"/>
    <w:rsid w:val="00FA7566"/>
    <w:rsid w:val="00FA75D0"/>
    <w:rsid w:val="00FA75E1"/>
    <w:rsid w:val="00FA7640"/>
    <w:rsid w:val="00FA7670"/>
    <w:rsid w:val="00FA76C5"/>
    <w:rsid w:val="00FA76DE"/>
    <w:rsid w:val="00FA7779"/>
    <w:rsid w:val="00FA777B"/>
    <w:rsid w:val="00FA7799"/>
    <w:rsid w:val="00FA77FD"/>
    <w:rsid w:val="00FA780E"/>
    <w:rsid w:val="00FA780F"/>
    <w:rsid w:val="00FA7818"/>
    <w:rsid w:val="00FA7819"/>
    <w:rsid w:val="00FA7850"/>
    <w:rsid w:val="00FA78BB"/>
    <w:rsid w:val="00FA78FF"/>
    <w:rsid w:val="00FA791D"/>
    <w:rsid w:val="00FA791E"/>
    <w:rsid w:val="00FA7940"/>
    <w:rsid w:val="00FA7955"/>
    <w:rsid w:val="00FA796E"/>
    <w:rsid w:val="00FA7996"/>
    <w:rsid w:val="00FA79C7"/>
    <w:rsid w:val="00FA7A09"/>
    <w:rsid w:val="00FA7A16"/>
    <w:rsid w:val="00FA7A25"/>
    <w:rsid w:val="00FA7A27"/>
    <w:rsid w:val="00FA7A2A"/>
    <w:rsid w:val="00FA7A34"/>
    <w:rsid w:val="00FA7A8B"/>
    <w:rsid w:val="00FA7AFE"/>
    <w:rsid w:val="00FA7B14"/>
    <w:rsid w:val="00FA7B5D"/>
    <w:rsid w:val="00FA7BBA"/>
    <w:rsid w:val="00FA7C04"/>
    <w:rsid w:val="00FA7C73"/>
    <w:rsid w:val="00FA7CC4"/>
    <w:rsid w:val="00FA7D56"/>
    <w:rsid w:val="00FA7D86"/>
    <w:rsid w:val="00FA7D93"/>
    <w:rsid w:val="00FA7DA6"/>
    <w:rsid w:val="00FA7DAC"/>
    <w:rsid w:val="00FA7DEF"/>
    <w:rsid w:val="00FA7E0B"/>
    <w:rsid w:val="00FA7E2B"/>
    <w:rsid w:val="00FA7E81"/>
    <w:rsid w:val="00FA7EE4"/>
    <w:rsid w:val="00FA7F1F"/>
    <w:rsid w:val="00FA7F47"/>
    <w:rsid w:val="00FA7F82"/>
    <w:rsid w:val="00FA7FEF"/>
    <w:rsid w:val="00FB0007"/>
    <w:rsid w:val="00FB004A"/>
    <w:rsid w:val="00FB0077"/>
    <w:rsid w:val="00FB00E0"/>
    <w:rsid w:val="00FB00E8"/>
    <w:rsid w:val="00FB00F9"/>
    <w:rsid w:val="00FB01A5"/>
    <w:rsid w:val="00FB01B6"/>
    <w:rsid w:val="00FB01D0"/>
    <w:rsid w:val="00FB0254"/>
    <w:rsid w:val="00FB02A9"/>
    <w:rsid w:val="00FB02D3"/>
    <w:rsid w:val="00FB02D5"/>
    <w:rsid w:val="00FB02EB"/>
    <w:rsid w:val="00FB031C"/>
    <w:rsid w:val="00FB03B0"/>
    <w:rsid w:val="00FB03FC"/>
    <w:rsid w:val="00FB0404"/>
    <w:rsid w:val="00FB04B9"/>
    <w:rsid w:val="00FB0518"/>
    <w:rsid w:val="00FB05D8"/>
    <w:rsid w:val="00FB05ED"/>
    <w:rsid w:val="00FB064D"/>
    <w:rsid w:val="00FB0674"/>
    <w:rsid w:val="00FB06E4"/>
    <w:rsid w:val="00FB06FC"/>
    <w:rsid w:val="00FB0738"/>
    <w:rsid w:val="00FB07A4"/>
    <w:rsid w:val="00FB07A5"/>
    <w:rsid w:val="00FB07F9"/>
    <w:rsid w:val="00FB0802"/>
    <w:rsid w:val="00FB0936"/>
    <w:rsid w:val="00FB0983"/>
    <w:rsid w:val="00FB0991"/>
    <w:rsid w:val="00FB09AA"/>
    <w:rsid w:val="00FB09E5"/>
    <w:rsid w:val="00FB0A15"/>
    <w:rsid w:val="00FB0A23"/>
    <w:rsid w:val="00FB0A7D"/>
    <w:rsid w:val="00FB0AE6"/>
    <w:rsid w:val="00FB0B38"/>
    <w:rsid w:val="00FB0BAA"/>
    <w:rsid w:val="00FB0BF9"/>
    <w:rsid w:val="00FB0C5A"/>
    <w:rsid w:val="00FB0C71"/>
    <w:rsid w:val="00FB0D40"/>
    <w:rsid w:val="00FB0D41"/>
    <w:rsid w:val="00FB0D4A"/>
    <w:rsid w:val="00FB0D68"/>
    <w:rsid w:val="00FB0D73"/>
    <w:rsid w:val="00FB0DBC"/>
    <w:rsid w:val="00FB0E68"/>
    <w:rsid w:val="00FB0EC8"/>
    <w:rsid w:val="00FB0F38"/>
    <w:rsid w:val="00FB0F98"/>
    <w:rsid w:val="00FB102B"/>
    <w:rsid w:val="00FB1031"/>
    <w:rsid w:val="00FB1073"/>
    <w:rsid w:val="00FB1096"/>
    <w:rsid w:val="00FB10B3"/>
    <w:rsid w:val="00FB11CB"/>
    <w:rsid w:val="00FB1238"/>
    <w:rsid w:val="00FB1251"/>
    <w:rsid w:val="00FB1256"/>
    <w:rsid w:val="00FB129E"/>
    <w:rsid w:val="00FB12C5"/>
    <w:rsid w:val="00FB12DF"/>
    <w:rsid w:val="00FB1314"/>
    <w:rsid w:val="00FB1337"/>
    <w:rsid w:val="00FB136E"/>
    <w:rsid w:val="00FB137B"/>
    <w:rsid w:val="00FB1386"/>
    <w:rsid w:val="00FB138A"/>
    <w:rsid w:val="00FB13C9"/>
    <w:rsid w:val="00FB144A"/>
    <w:rsid w:val="00FB146D"/>
    <w:rsid w:val="00FB14BC"/>
    <w:rsid w:val="00FB153D"/>
    <w:rsid w:val="00FB1688"/>
    <w:rsid w:val="00FB170D"/>
    <w:rsid w:val="00FB178B"/>
    <w:rsid w:val="00FB1826"/>
    <w:rsid w:val="00FB1829"/>
    <w:rsid w:val="00FB1849"/>
    <w:rsid w:val="00FB188E"/>
    <w:rsid w:val="00FB18BC"/>
    <w:rsid w:val="00FB1958"/>
    <w:rsid w:val="00FB19AA"/>
    <w:rsid w:val="00FB1A7E"/>
    <w:rsid w:val="00FB1AB2"/>
    <w:rsid w:val="00FB1AC1"/>
    <w:rsid w:val="00FB1AD3"/>
    <w:rsid w:val="00FB1B1F"/>
    <w:rsid w:val="00FB1B33"/>
    <w:rsid w:val="00FB1BC1"/>
    <w:rsid w:val="00FB1BD3"/>
    <w:rsid w:val="00FB1C09"/>
    <w:rsid w:val="00FB1C4D"/>
    <w:rsid w:val="00FB1C57"/>
    <w:rsid w:val="00FB1C74"/>
    <w:rsid w:val="00FB1CBE"/>
    <w:rsid w:val="00FB1CEE"/>
    <w:rsid w:val="00FB1D1C"/>
    <w:rsid w:val="00FB1D9F"/>
    <w:rsid w:val="00FB1DA7"/>
    <w:rsid w:val="00FB1E60"/>
    <w:rsid w:val="00FB1EA9"/>
    <w:rsid w:val="00FB1EC4"/>
    <w:rsid w:val="00FB1F17"/>
    <w:rsid w:val="00FB1F32"/>
    <w:rsid w:val="00FB1F9F"/>
    <w:rsid w:val="00FB1FFE"/>
    <w:rsid w:val="00FB20CA"/>
    <w:rsid w:val="00FB20FB"/>
    <w:rsid w:val="00FB2108"/>
    <w:rsid w:val="00FB2146"/>
    <w:rsid w:val="00FB215A"/>
    <w:rsid w:val="00FB2205"/>
    <w:rsid w:val="00FB2214"/>
    <w:rsid w:val="00FB228B"/>
    <w:rsid w:val="00FB22C8"/>
    <w:rsid w:val="00FB2375"/>
    <w:rsid w:val="00FB2399"/>
    <w:rsid w:val="00FB240B"/>
    <w:rsid w:val="00FB2473"/>
    <w:rsid w:val="00FB2492"/>
    <w:rsid w:val="00FB24CF"/>
    <w:rsid w:val="00FB24DC"/>
    <w:rsid w:val="00FB24FA"/>
    <w:rsid w:val="00FB2529"/>
    <w:rsid w:val="00FB2538"/>
    <w:rsid w:val="00FB2545"/>
    <w:rsid w:val="00FB2561"/>
    <w:rsid w:val="00FB2595"/>
    <w:rsid w:val="00FB25E6"/>
    <w:rsid w:val="00FB25EA"/>
    <w:rsid w:val="00FB2616"/>
    <w:rsid w:val="00FB2684"/>
    <w:rsid w:val="00FB2693"/>
    <w:rsid w:val="00FB26BF"/>
    <w:rsid w:val="00FB270E"/>
    <w:rsid w:val="00FB2729"/>
    <w:rsid w:val="00FB2885"/>
    <w:rsid w:val="00FB28A1"/>
    <w:rsid w:val="00FB291D"/>
    <w:rsid w:val="00FB2962"/>
    <w:rsid w:val="00FB2990"/>
    <w:rsid w:val="00FB2A4B"/>
    <w:rsid w:val="00FB2A8E"/>
    <w:rsid w:val="00FB2A92"/>
    <w:rsid w:val="00FB2ACD"/>
    <w:rsid w:val="00FB2B47"/>
    <w:rsid w:val="00FB2B6C"/>
    <w:rsid w:val="00FB2BEF"/>
    <w:rsid w:val="00FB2C9E"/>
    <w:rsid w:val="00FB2CBB"/>
    <w:rsid w:val="00FB2CF5"/>
    <w:rsid w:val="00FB2D44"/>
    <w:rsid w:val="00FB2D7E"/>
    <w:rsid w:val="00FB2D89"/>
    <w:rsid w:val="00FB2EA5"/>
    <w:rsid w:val="00FB2EBB"/>
    <w:rsid w:val="00FB2F0D"/>
    <w:rsid w:val="00FB2F47"/>
    <w:rsid w:val="00FB2F75"/>
    <w:rsid w:val="00FB2FA1"/>
    <w:rsid w:val="00FB3024"/>
    <w:rsid w:val="00FB30BE"/>
    <w:rsid w:val="00FB311F"/>
    <w:rsid w:val="00FB314A"/>
    <w:rsid w:val="00FB31C0"/>
    <w:rsid w:val="00FB31EB"/>
    <w:rsid w:val="00FB3243"/>
    <w:rsid w:val="00FB3246"/>
    <w:rsid w:val="00FB3271"/>
    <w:rsid w:val="00FB32AA"/>
    <w:rsid w:val="00FB32C9"/>
    <w:rsid w:val="00FB3322"/>
    <w:rsid w:val="00FB3328"/>
    <w:rsid w:val="00FB3364"/>
    <w:rsid w:val="00FB3368"/>
    <w:rsid w:val="00FB338E"/>
    <w:rsid w:val="00FB33C5"/>
    <w:rsid w:val="00FB33CC"/>
    <w:rsid w:val="00FB33FE"/>
    <w:rsid w:val="00FB3417"/>
    <w:rsid w:val="00FB3426"/>
    <w:rsid w:val="00FB3427"/>
    <w:rsid w:val="00FB3450"/>
    <w:rsid w:val="00FB345B"/>
    <w:rsid w:val="00FB346D"/>
    <w:rsid w:val="00FB3470"/>
    <w:rsid w:val="00FB3478"/>
    <w:rsid w:val="00FB3494"/>
    <w:rsid w:val="00FB349C"/>
    <w:rsid w:val="00FB34AE"/>
    <w:rsid w:val="00FB353F"/>
    <w:rsid w:val="00FB3577"/>
    <w:rsid w:val="00FB357A"/>
    <w:rsid w:val="00FB35A2"/>
    <w:rsid w:val="00FB35E9"/>
    <w:rsid w:val="00FB363E"/>
    <w:rsid w:val="00FB3671"/>
    <w:rsid w:val="00FB3693"/>
    <w:rsid w:val="00FB36CE"/>
    <w:rsid w:val="00FB3716"/>
    <w:rsid w:val="00FB3722"/>
    <w:rsid w:val="00FB377C"/>
    <w:rsid w:val="00FB37A5"/>
    <w:rsid w:val="00FB37F1"/>
    <w:rsid w:val="00FB380E"/>
    <w:rsid w:val="00FB3825"/>
    <w:rsid w:val="00FB384A"/>
    <w:rsid w:val="00FB3876"/>
    <w:rsid w:val="00FB38BF"/>
    <w:rsid w:val="00FB38D3"/>
    <w:rsid w:val="00FB38EA"/>
    <w:rsid w:val="00FB3943"/>
    <w:rsid w:val="00FB39A7"/>
    <w:rsid w:val="00FB39D4"/>
    <w:rsid w:val="00FB3A44"/>
    <w:rsid w:val="00FB3A4C"/>
    <w:rsid w:val="00FB3A68"/>
    <w:rsid w:val="00FB3A69"/>
    <w:rsid w:val="00FB3AB6"/>
    <w:rsid w:val="00FB3AF6"/>
    <w:rsid w:val="00FB3B98"/>
    <w:rsid w:val="00FB3BC9"/>
    <w:rsid w:val="00FB3C39"/>
    <w:rsid w:val="00FB3CBC"/>
    <w:rsid w:val="00FB3CCF"/>
    <w:rsid w:val="00FB3D04"/>
    <w:rsid w:val="00FB3D29"/>
    <w:rsid w:val="00FB3DA6"/>
    <w:rsid w:val="00FB3E52"/>
    <w:rsid w:val="00FB3E67"/>
    <w:rsid w:val="00FB3F14"/>
    <w:rsid w:val="00FB3F78"/>
    <w:rsid w:val="00FB3FDB"/>
    <w:rsid w:val="00FB4009"/>
    <w:rsid w:val="00FB400E"/>
    <w:rsid w:val="00FB417B"/>
    <w:rsid w:val="00FB4193"/>
    <w:rsid w:val="00FB4225"/>
    <w:rsid w:val="00FB4259"/>
    <w:rsid w:val="00FB428F"/>
    <w:rsid w:val="00FB42AE"/>
    <w:rsid w:val="00FB42F0"/>
    <w:rsid w:val="00FB4384"/>
    <w:rsid w:val="00FB4393"/>
    <w:rsid w:val="00FB43B0"/>
    <w:rsid w:val="00FB4410"/>
    <w:rsid w:val="00FB4455"/>
    <w:rsid w:val="00FB458D"/>
    <w:rsid w:val="00FB45A5"/>
    <w:rsid w:val="00FB4607"/>
    <w:rsid w:val="00FB461E"/>
    <w:rsid w:val="00FB462E"/>
    <w:rsid w:val="00FB464C"/>
    <w:rsid w:val="00FB466C"/>
    <w:rsid w:val="00FB4678"/>
    <w:rsid w:val="00FB46E3"/>
    <w:rsid w:val="00FB4734"/>
    <w:rsid w:val="00FB474A"/>
    <w:rsid w:val="00FB477A"/>
    <w:rsid w:val="00FB47A8"/>
    <w:rsid w:val="00FB47AD"/>
    <w:rsid w:val="00FB47CC"/>
    <w:rsid w:val="00FB47D6"/>
    <w:rsid w:val="00FB47EC"/>
    <w:rsid w:val="00FB4820"/>
    <w:rsid w:val="00FB48AD"/>
    <w:rsid w:val="00FB48F9"/>
    <w:rsid w:val="00FB4906"/>
    <w:rsid w:val="00FB4943"/>
    <w:rsid w:val="00FB4987"/>
    <w:rsid w:val="00FB4A31"/>
    <w:rsid w:val="00FB4A57"/>
    <w:rsid w:val="00FB4A5B"/>
    <w:rsid w:val="00FB4AA5"/>
    <w:rsid w:val="00FB4B65"/>
    <w:rsid w:val="00FB4BB4"/>
    <w:rsid w:val="00FB4BE5"/>
    <w:rsid w:val="00FB4C16"/>
    <w:rsid w:val="00FB4C4E"/>
    <w:rsid w:val="00FB4C73"/>
    <w:rsid w:val="00FB4C8B"/>
    <w:rsid w:val="00FB4CBF"/>
    <w:rsid w:val="00FB4CE2"/>
    <w:rsid w:val="00FB4CF5"/>
    <w:rsid w:val="00FB4D08"/>
    <w:rsid w:val="00FB4D21"/>
    <w:rsid w:val="00FB4D4C"/>
    <w:rsid w:val="00FB4D82"/>
    <w:rsid w:val="00FB4DAD"/>
    <w:rsid w:val="00FB4E2A"/>
    <w:rsid w:val="00FB4F8C"/>
    <w:rsid w:val="00FB4FE8"/>
    <w:rsid w:val="00FB5047"/>
    <w:rsid w:val="00FB508A"/>
    <w:rsid w:val="00FB509C"/>
    <w:rsid w:val="00FB5159"/>
    <w:rsid w:val="00FB51E7"/>
    <w:rsid w:val="00FB51E8"/>
    <w:rsid w:val="00FB51E9"/>
    <w:rsid w:val="00FB5234"/>
    <w:rsid w:val="00FB5238"/>
    <w:rsid w:val="00FB5300"/>
    <w:rsid w:val="00FB53CD"/>
    <w:rsid w:val="00FB53ED"/>
    <w:rsid w:val="00FB5429"/>
    <w:rsid w:val="00FB5435"/>
    <w:rsid w:val="00FB545C"/>
    <w:rsid w:val="00FB54C5"/>
    <w:rsid w:val="00FB5535"/>
    <w:rsid w:val="00FB55DD"/>
    <w:rsid w:val="00FB55F4"/>
    <w:rsid w:val="00FB5670"/>
    <w:rsid w:val="00FB56A2"/>
    <w:rsid w:val="00FB56F1"/>
    <w:rsid w:val="00FB573D"/>
    <w:rsid w:val="00FB575D"/>
    <w:rsid w:val="00FB576E"/>
    <w:rsid w:val="00FB57B6"/>
    <w:rsid w:val="00FB5876"/>
    <w:rsid w:val="00FB58EB"/>
    <w:rsid w:val="00FB5907"/>
    <w:rsid w:val="00FB590B"/>
    <w:rsid w:val="00FB591D"/>
    <w:rsid w:val="00FB59F0"/>
    <w:rsid w:val="00FB5A0C"/>
    <w:rsid w:val="00FB5A42"/>
    <w:rsid w:val="00FB5A57"/>
    <w:rsid w:val="00FB5A87"/>
    <w:rsid w:val="00FB5AB3"/>
    <w:rsid w:val="00FB5AB5"/>
    <w:rsid w:val="00FB5ABD"/>
    <w:rsid w:val="00FB5AE2"/>
    <w:rsid w:val="00FB5B6D"/>
    <w:rsid w:val="00FB5B7E"/>
    <w:rsid w:val="00FB5C0A"/>
    <w:rsid w:val="00FB5C38"/>
    <w:rsid w:val="00FB5C3B"/>
    <w:rsid w:val="00FB5C54"/>
    <w:rsid w:val="00FB5C80"/>
    <w:rsid w:val="00FB5C99"/>
    <w:rsid w:val="00FB5CD5"/>
    <w:rsid w:val="00FB5CF5"/>
    <w:rsid w:val="00FB5D48"/>
    <w:rsid w:val="00FB5E64"/>
    <w:rsid w:val="00FB5E96"/>
    <w:rsid w:val="00FB5E9F"/>
    <w:rsid w:val="00FB5EBE"/>
    <w:rsid w:val="00FB5F37"/>
    <w:rsid w:val="00FB5F4A"/>
    <w:rsid w:val="00FB5FD6"/>
    <w:rsid w:val="00FB5FEA"/>
    <w:rsid w:val="00FB5FF3"/>
    <w:rsid w:val="00FB60A1"/>
    <w:rsid w:val="00FB60AC"/>
    <w:rsid w:val="00FB60D4"/>
    <w:rsid w:val="00FB615F"/>
    <w:rsid w:val="00FB6163"/>
    <w:rsid w:val="00FB6216"/>
    <w:rsid w:val="00FB6223"/>
    <w:rsid w:val="00FB623C"/>
    <w:rsid w:val="00FB62E1"/>
    <w:rsid w:val="00FB632D"/>
    <w:rsid w:val="00FB63E9"/>
    <w:rsid w:val="00FB63EE"/>
    <w:rsid w:val="00FB6422"/>
    <w:rsid w:val="00FB6474"/>
    <w:rsid w:val="00FB6498"/>
    <w:rsid w:val="00FB6501"/>
    <w:rsid w:val="00FB6544"/>
    <w:rsid w:val="00FB6569"/>
    <w:rsid w:val="00FB659F"/>
    <w:rsid w:val="00FB65A0"/>
    <w:rsid w:val="00FB65C9"/>
    <w:rsid w:val="00FB65D3"/>
    <w:rsid w:val="00FB65DD"/>
    <w:rsid w:val="00FB65FB"/>
    <w:rsid w:val="00FB66CE"/>
    <w:rsid w:val="00FB674A"/>
    <w:rsid w:val="00FB6750"/>
    <w:rsid w:val="00FB67B1"/>
    <w:rsid w:val="00FB67F3"/>
    <w:rsid w:val="00FB67F8"/>
    <w:rsid w:val="00FB684D"/>
    <w:rsid w:val="00FB685A"/>
    <w:rsid w:val="00FB685E"/>
    <w:rsid w:val="00FB68BF"/>
    <w:rsid w:val="00FB68DE"/>
    <w:rsid w:val="00FB68EF"/>
    <w:rsid w:val="00FB6906"/>
    <w:rsid w:val="00FB6947"/>
    <w:rsid w:val="00FB6960"/>
    <w:rsid w:val="00FB697C"/>
    <w:rsid w:val="00FB69AB"/>
    <w:rsid w:val="00FB69E7"/>
    <w:rsid w:val="00FB6A04"/>
    <w:rsid w:val="00FB6A0A"/>
    <w:rsid w:val="00FB6A2B"/>
    <w:rsid w:val="00FB6A93"/>
    <w:rsid w:val="00FB6B22"/>
    <w:rsid w:val="00FB6B76"/>
    <w:rsid w:val="00FB6BA6"/>
    <w:rsid w:val="00FB6BD5"/>
    <w:rsid w:val="00FB6BEA"/>
    <w:rsid w:val="00FB6C16"/>
    <w:rsid w:val="00FB6C6B"/>
    <w:rsid w:val="00FB6CDD"/>
    <w:rsid w:val="00FB6CF2"/>
    <w:rsid w:val="00FB6DC7"/>
    <w:rsid w:val="00FB6DCD"/>
    <w:rsid w:val="00FB6DE0"/>
    <w:rsid w:val="00FB6DEE"/>
    <w:rsid w:val="00FB6E3A"/>
    <w:rsid w:val="00FB6E49"/>
    <w:rsid w:val="00FB6EB5"/>
    <w:rsid w:val="00FB6F7F"/>
    <w:rsid w:val="00FB7031"/>
    <w:rsid w:val="00FB7033"/>
    <w:rsid w:val="00FB7144"/>
    <w:rsid w:val="00FB715F"/>
    <w:rsid w:val="00FB716E"/>
    <w:rsid w:val="00FB7181"/>
    <w:rsid w:val="00FB7184"/>
    <w:rsid w:val="00FB71D0"/>
    <w:rsid w:val="00FB71F0"/>
    <w:rsid w:val="00FB7261"/>
    <w:rsid w:val="00FB727D"/>
    <w:rsid w:val="00FB7294"/>
    <w:rsid w:val="00FB72E6"/>
    <w:rsid w:val="00FB7316"/>
    <w:rsid w:val="00FB7327"/>
    <w:rsid w:val="00FB7346"/>
    <w:rsid w:val="00FB7358"/>
    <w:rsid w:val="00FB7374"/>
    <w:rsid w:val="00FB73E5"/>
    <w:rsid w:val="00FB7404"/>
    <w:rsid w:val="00FB7417"/>
    <w:rsid w:val="00FB7445"/>
    <w:rsid w:val="00FB7452"/>
    <w:rsid w:val="00FB745A"/>
    <w:rsid w:val="00FB7461"/>
    <w:rsid w:val="00FB7564"/>
    <w:rsid w:val="00FB757A"/>
    <w:rsid w:val="00FB7591"/>
    <w:rsid w:val="00FB75E5"/>
    <w:rsid w:val="00FB7611"/>
    <w:rsid w:val="00FB762B"/>
    <w:rsid w:val="00FB7665"/>
    <w:rsid w:val="00FB76C1"/>
    <w:rsid w:val="00FB7713"/>
    <w:rsid w:val="00FB771A"/>
    <w:rsid w:val="00FB773C"/>
    <w:rsid w:val="00FB77E6"/>
    <w:rsid w:val="00FB77F3"/>
    <w:rsid w:val="00FB786A"/>
    <w:rsid w:val="00FB7895"/>
    <w:rsid w:val="00FB790A"/>
    <w:rsid w:val="00FB7A5C"/>
    <w:rsid w:val="00FB7A86"/>
    <w:rsid w:val="00FB7AEB"/>
    <w:rsid w:val="00FB7AF5"/>
    <w:rsid w:val="00FB7AF7"/>
    <w:rsid w:val="00FB7B4F"/>
    <w:rsid w:val="00FB7B77"/>
    <w:rsid w:val="00FB7B7D"/>
    <w:rsid w:val="00FB7B8B"/>
    <w:rsid w:val="00FB7BE7"/>
    <w:rsid w:val="00FB7BF9"/>
    <w:rsid w:val="00FB7C2F"/>
    <w:rsid w:val="00FB7C86"/>
    <w:rsid w:val="00FB7CC6"/>
    <w:rsid w:val="00FB7CC8"/>
    <w:rsid w:val="00FB7CF2"/>
    <w:rsid w:val="00FB7CFE"/>
    <w:rsid w:val="00FB7D7A"/>
    <w:rsid w:val="00FB7DB1"/>
    <w:rsid w:val="00FB7E1C"/>
    <w:rsid w:val="00FB7E1E"/>
    <w:rsid w:val="00FB7E4A"/>
    <w:rsid w:val="00FB7E4E"/>
    <w:rsid w:val="00FB7EC5"/>
    <w:rsid w:val="00FB7F81"/>
    <w:rsid w:val="00FC00A5"/>
    <w:rsid w:val="00FC00AD"/>
    <w:rsid w:val="00FC0128"/>
    <w:rsid w:val="00FC0147"/>
    <w:rsid w:val="00FC0159"/>
    <w:rsid w:val="00FC01DE"/>
    <w:rsid w:val="00FC0283"/>
    <w:rsid w:val="00FC02D0"/>
    <w:rsid w:val="00FC02F6"/>
    <w:rsid w:val="00FC03AB"/>
    <w:rsid w:val="00FC041B"/>
    <w:rsid w:val="00FC041E"/>
    <w:rsid w:val="00FC0431"/>
    <w:rsid w:val="00FC0445"/>
    <w:rsid w:val="00FC045E"/>
    <w:rsid w:val="00FC046A"/>
    <w:rsid w:val="00FC0492"/>
    <w:rsid w:val="00FC05A7"/>
    <w:rsid w:val="00FC05F6"/>
    <w:rsid w:val="00FC0614"/>
    <w:rsid w:val="00FC06B9"/>
    <w:rsid w:val="00FC0708"/>
    <w:rsid w:val="00FC071F"/>
    <w:rsid w:val="00FC0787"/>
    <w:rsid w:val="00FC0797"/>
    <w:rsid w:val="00FC07D3"/>
    <w:rsid w:val="00FC07D6"/>
    <w:rsid w:val="00FC07DE"/>
    <w:rsid w:val="00FC07F0"/>
    <w:rsid w:val="00FC0810"/>
    <w:rsid w:val="00FC0870"/>
    <w:rsid w:val="00FC08C0"/>
    <w:rsid w:val="00FC099A"/>
    <w:rsid w:val="00FC09DC"/>
    <w:rsid w:val="00FC09F9"/>
    <w:rsid w:val="00FC09FA"/>
    <w:rsid w:val="00FC0A57"/>
    <w:rsid w:val="00FC0A66"/>
    <w:rsid w:val="00FC0A6D"/>
    <w:rsid w:val="00FC0A79"/>
    <w:rsid w:val="00FC0A86"/>
    <w:rsid w:val="00FC0AF1"/>
    <w:rsid w:val="00FC0AFC"/>
    <w:rsid w:val="00FC0B7F"/>
    <w:rsid w:val="00FC0C12"/>
    <w:rsid w:val="00FC0CA6"/>
    <w:rsid w:val="00FC0D2C"/>
    <w:rsid w:val="00FC0D8A"/>
    <w:rsid w:val="00FC0D8F"/>
    <w:rsid w:val="00FC0E7B"/>
    <w:rsid w:val="00FC0E86"/>
    <w:rsid w:val="00FC0E97"/>
    <w:rsid w:val="00FC0E9E"/>
    <w:rsid w:val="00FC0F01"/>
    <w:rsid w:val="00FC0F31"/>
    <w:rsid w:val="00FC0F93"/>
    <w:rsid w:val="00FC0FB9"/>
    <w:rsid w:val="00FC100C"/>
    <w:rsid w:val="00FC1034"/>
    <w:rsid w:val="00FC105C"/>
    <w:rsid w:val="00FC107C"/>
    <w:rsid w:val="00FC10C4"/>
    <w:rsid w:val="00FC111C"/>
    <w:rsid w:val="00FC1132"/>
    <w:rsid w:val="00FC1157"/>
    <w:rsid w:val="00FC11B1"/>
    <w:rsid w:val="00FC11EC"/>
    <w:rsid w:val="00FC12A2"/>
    <w:rsid w:val="00FC12C0"/>
    <w:rsid w:val="00FC1390"/>
    <w:rsid w:val="00FC145C"/>
    <w:rsid w:val="00FC1477"/>
    <w:rsid w:val="00FC1484"/>
    <w:rsid w:val="00FC1509"/>
    <w:rsid w:val="00FC1591"/>
    <w:rsid w:val="00FC15C4"/>
    <w:rsid w:val="00FC162E"/>
    <w:rsid w:val="00FC168B"/>
    <w:rsid w:val="00FC16A7"/>
    <w:rsid w:val="00FC1725"/>
    <w:rsid w:val="00FC1789"/>
    <w:rsid w:val="00FC17BB"/>
    <w:rsid w:val="00FC17D1"/>
    <w:rsid w:val="00FC18AF"/>
    <w:rsid w:val="00FC18B1"/>
    <w:rsid w:val="00FC18C8"/>
    <w:rsid w:val="00FC18D0"/>
    <w:rsid w:val="00FC18D8"/>
    <w:rsid w:val="00FC1940"/>
    <w:rsid w:val="00FC1962"/>
    <w:rsid w:val="00FC1989"/>
    <w:rsid w:val="00FC19CB"/>
    <w:rsid w:val="00FC19DC"/>
    <w:rsid w:val="00FC1A00"/>
    <w:rsid w:val="00FC1A34"/>
    <w:rsid w:val="00FC1A37"/>
    <w:rsid w:val="00FC1A3A"/>
    <w:rsid w:val="00FC1B33"/>
    <w:rsid w:val="00FC1BB5"/>
    <w:rsid w:val="00FC1BB7"/>
    <w:rsid w:val="00FC1BD2"/>
    <w:rsid w:val="00FC1C06"/>
    <w:rsid w:val="00FC1C0C"/>
    <w:rsid w:val="00FC1C28"/>
    <w:rsid w:val="00FC1C78"/>
    <w:rsid w:val="00FC1CBC"/>
    <w:rsid w:val="00FC1D29"/>
    <w:rsid w:val="00FC1DA0"/>
    <w:rsid w:val="00FC1DB7"/>
    <w:rsid w:val="00FC1DEC"/>
    <w:rsid w:val="00FC1E8C"/>
    <w:rsid w:val="00FC1E91"/>
    <w:rsid w:val="00FC1EF0"/>
    <w:rsid w:val="00FC1F31"/>
    <w:rsid w:val="00FC1F6A"/>
    <w:rsid w:val="00FC1F9B"/>
    <w:rsid w:val="00FC2051"/>
    <w:rsid w:val="00FC20D9"/>
    <w:rsid w:val="00FC20DF"/>
    <w:rsid w:val="00FC2109"/>
    <w:rsid w:val="00FC2129"/>
    <w:rsid w:val="00FC216B"/>
    <w:rsid w:val="00FC21A0"/>
    <w:rsid w:val="00FC21E2"/>
    <w:rsid w:val="00FC2228"/>
    <w:rsid w:val="00FC224B"/>
    <w:rsid w:val="00FC224D"/>
    <w:rsid w:val="00FC2259"/>
    <w:rsid w:val="00FC2282"/>
    <w:rsid w:val="00FC2404"/>
    <w:rsid w:val="00FC240F"/>
    <w:rsid w:val="00FC2425"/>
    <w:rsid w:val="00FC24D7"/>
    <w:rsid w:val="00FC2514"/>
    <w:rsid w:val="00FC251D"/>
    <w:rsid w:val="00FC255A"/>
    <w:rsid w:val="00FC255E"/>
    <w:rsid w:val="00FC2570"/>
    <w:rsid w:val="00FC258E"/>
    <w:rsid w:val="00FC26AF"/>
    <w:rsid w:val="00FC26E5"/>
    <w:rsid w:val="00FC26F1"/>
    <w:rsid w:val="00FC26FA"/>
    <w:rsid w:val="00FC274B"/>
    <w:rsid w:val="00FC275D"/>
    <w:rsid w:val="00FC2763"/>
    <w:rsid w:val="00FC2772"/>
    <w:rsid w:val="00FC279F"/>
    <w:rsid w:val="00FC27A8"/>
    <w:rsid w:val="00FC27C6"/>
    <w:rsid w:val="00FC27C7"/>
    <w:rsid w:val="00FC27E3"/>
    <w:rsid w:val="00FC2852"/>
    <w:rsid w:val="00FC28A8"/>
    <w:rsid w:val="00FC2928"/>
    <w:rsid w:val="00FC295A"/>
    <w:rsid w:val="00FC2990"/>
    <w:rsid w:val="00FC29C0"/>
    <w:rsid w:val="00FC29C1"/>
    <w:rsid w:val="00FC29E8"/>
    <w:rsid w:val="00FC29EA"/>
    <w:rsid w:val="00FC2A2E"/>
    <w:rsid w:val="00FC2AB5"/>
    <w:rsid w:val="00FC2B0C"/>
    <w:rsid w:val="00FC2B22"/>
    <w:rsid w:val="00FC2BCA"/>
    <w:rsid w:val="00FC2BD0"/>
    <w:rsid w:val="00FC2C6F"/>
    <w:rsid w:val="00FC2C96"/>
    <w:rsid w:val="00FC2D21"/>
    <w:rsid w:val="00FC2D2C"/>
    <w:rsid w:val="00FC2D51"/>
    <w:rsid w:val="00FC2D6A"/>
    <w:rsid w:val="00FC2D8C"/>
    <w:rsid w:val="00FC2DF7"/>
    <w:rsid w:val="00FC2E0F"/>
    <w:rsid w:val="00FC2E4C"/>
    <w:rsid w:val="00FC2E85"/>
    <w:rsid w:val="00FC2F18"/>
    <w:rsid w:val="00FC2F19"/>
    <w:rsid w:val="00FC2F36"/>
    <w:rsid w:val="00FC2F4B"/>
    <w:rsid w:val="00FC2F50"/>
    <w:rsid w:val="00FC301F"/>
    <w:rsid w:val="00FC3028"/>
    <w:rsid w:val="00FC307F"/>
    <w:rsid w:val="00FC30B5"/>
    <w:rsid w:val="00FC30DA"/>
    <w:rsid w:val="00FC30E1"/>
    <w:rsid w:val="00FC30FC"/>
    <w:rsid w:val="00FC3100"/>
    <w:rsid w:val="00FC3179"/>
    <w:rsid w:val="00FC3192"/>
    <w:rsid w:val="00FC3195"/>
    <w:rsid w:val="00FC31BF"/>
    <w:rsid w:val="00FC31C2"/>
    <w:rsid w:val="00FC3285"/>
    <w:rsid w:val="00FC32F0"/>
    <w:rsid w:val="00FC330F"/>
    <w:rsid w:val="00FC3348"/>
    <w:rsid w:val="00FC3399"/>
    <w:rsid w:val="00FC33B8"/>
    <w:rsid w:val="00FC341B"/>
    <w:rsid w:val="00FC342E"/>
    <w:rsid w:val="00FC345F"/>
    <w:rsid w:val="00FC3499"/>
    <w:rsid w:val="00FC3568"/>
    <w:rsid w:val="00FC35D9"/>
    <w:rsid w:val="00FC35F5"/>
    <w:rsid w:val="00FC365B"/>
    <w:rsid w:val="00FC36B3"/>
    <w:rsid w:val="00FC36CE"/>
    <w:rsid w:val="00FC36F4"/>
    <w:rsid w:val="00FC37AD"/>
    <w:rsid w:val="00FC3856"/>
    <w:rsid w:val="00FC38BB"/>
    <w:rsid w:val="00FC3914"/>
    <w:rsid w:val="00FC3955"/>
    <w:rsid w:val="00FC396F"/>
    <w:rsid w:val="00FC3995"/>
    <w:rsid w:val="00FC3A39"/>
    <w:rsid w:val="00FC3A4F"/>
    <w:rsid w:val="00FC3AF4"/>
    <w:rsid w:val="00FC3B12"/>
    <w:rsid w:val="00FC3B2D"/>
    <w:rsid w:val="00FC3B5A"/>
    <w:rsid w:val="00FC3BDD"/>
    <w:rsid w:val="00FC3C12"/>
    <w:rsid w:val="00FC3C17"/>
    <w:rsid w:val="00FC3C32"/>
    <w:rsid w:val="00FC3C94"/>
    <w:rsid w:val="00FC3CA8"/>
    <w:rsid w:val="00FC3CBD"/>
    <w:rsid w:val="00FC3CBE"/>
    <w:rsid w:val="00FC3CDC"/>
    <w:rsid w:val="00FC3D82"/>
    <w:rsid w:val="00FC3DCC"/>
    <w:rsid w:val="00FC3DDE"/>
    <w:rsid w:val="00FC3E1A"/>
    <w:rsid w:val="00FC3E65"/>
    <w:rsid w:val="00FC3E66"/>
    <w:rsid w:val="00FC3E6F"/>
    <w:rsid w:val="00FC3E8F"/>
    <w:rsid w:val="00FC3EAB"/>
    <w:rsid w:val="00FC3F58"/>
    <w:rsid w:val="00FC3FBD"/>
    <w:rsid w:val="00FC3FC7"/>
    <w:rsid w:val="00FC3FC9"/>
    <w:rsid w:val="00FC3FE0"/>
    <w:rsid w:val="00FC4065"/>
    <w:rsid w:val="00FC40A7"/>
    <w:rsid w:val="00FC40F0"/>
    <w:rsid w:val="00FC4123"/>
    <w:rsid w:val="00FC4137"/>
    <w:rsid w:val="00FC4151"/>
    <w:rsid w:val="00FC41D8"/>
    <w:rsid w:val="00FC4252"/>
    <w:rsid w:val="00FC4265"/>
    <w:rsid w:val="00FC42E6"/>
    <w:rsid w:val="00FC430A"/>
    <w:rsid w:val="00FC432E"/>
    <w:rsid w:val="00FC43DC"/>
    <w:rsid w:val="00FC43EE"/>
    <w:rsid w:val="00FC4404"/>
    <w:rsid w:val="00FC444A"/>
    <w:rsid w:val="00FC4461"/>
    <w:rsid w:val="00FC4469"/>
    <w:rsid w:val="00FC44C2"/>
    <w:rsid w:val="00FC4509"/>
    <w:rsid w:val="00FC4514"/>
    <w:rsid w:val="00FC4559"/>
    <w:rsid w:val="00FC45B9"/>
    <w:rsid w:val="00FC45D1"/>
    <w:rsid w:val="00FC45D9"/>
    <w:rsid w:val="00FC4612"/>
    <w:rsid w:val="00FC4683"/>
    <w:rsid w:val="00FC46B0"/>
    <w:rsid w:val="00FC46D9"/>
    <w:rsid w:val="00FC4710"/>
    <w:rsid w:val="00FC472B"/>
    <w:rsid w:val="00FC472C"/>
    <w:rsid w:val="00FC477B"/>
    <w:rsid w:val="00FC4809"/>
    <w:rsid w:val="00FC4849"/>
    <w:rsid w:val="00FC486A"/>
    <w:rsid w:val="00FC48DC"/>
    <w:rsid w:val="00FC490A"/>
    <w:rsid w:val="00FC492B"/>
    <w:rsid w:val="00FC49C1"/>
    <w:rsid w:val="00FC4AE1"/>
    <w:rsid w:val="00FC4AE3"/>
    <w:rsid w:val="00FC4B07"/>
    <w:rsid w:val="00FC4B97"/>
    <w:rsid w:val="00FC4BE4"/>
    <w:rsid w:val="00FC4BE5"/>
    <w:rsid w:val="00FC4C3D"/>
    <w:rsid w:val="00FC4D1D"/>
    <w:rsid w:val="00FC4D53"/>
    <w:rsid w:val="00FC4E54"/>
    <w:rsid w:val="00FC4E6B"/>
    <w:rsid w:val="00FC4E8C"/>
    <w:rsid w:val="00FC4EF1"/>
    <w:rsid w:val="00FC4F53"/>
    <w:rsid w:val="00FC4FF8"/>
    <w:rsid w:val="00FC5006"/>
    <w:rsid w:val="00FC5019"/>
    <w:rsid w:val="00FC5048"/>
    <w:rsid w:val="00FC5062"/>
    <w:rsid w:val="00FC507B"/>
    <w:rsid w:val="00FC508B"/>
    <w:rsid w:val="00FC50B7"/>
    <w:rsid w:val="00FC50D3"/>
    <w:rsid w:val="00FC50D5"/>
    <w:rsid w:val="00FC50E2"/>
    <w:rsid w:val="00FC50EF"/>
    <w:rsid w:val="00FC50F1"/>
    <w:rsid w:val="00FC5159"/>
    <w:rsid w:val="00FC51D2"/>
    <w:rsid w:val="00FC51D4"/>
    <w:rsid w:val="00FC521B"/>
    <w:rsid w:val="00FC5227"/>
    <w:rsid w:val="00FC5284"/>
    <w:rsid w:val="00FC52AF"/>
    <w:rsid w:val="00FC52C9"/>
    <w:rsid w:val="00FC5306"/>
    <w:rsid w:val="00FC5462"/>
    <w:rsid w:val="00FC54A4"/>
    <w:rsid w:val="00FC54D6"/>
    <w:rsid w:val="00FC5572"/>
    <w:rsid w:val="00FC558A"/>
    <w:rsid w:val="00FC558C"/>
    <w:rsid w:val="00FC55CC"/>
    <w:rsid w:val="00FC5627"/>
    <w:rsid w:val="00FC5673"/>
    <w:rsid w:val="00FC56AE"/>
    <w:rsid w:val="00FC56C6"/>
    <w:rsid w:val="00FC56D1"/>
    <w:rsid w:val="00FC56DF"/>
    <w:rsid w:val="00FC5738"/>
    <w:rsid w:val="00FC5770"/>
    <w:rsid w:val="00FC5783"/>
    <w:rsid w:val="00FC57B4"/>
    <w:rsid w:val="00FC57BB"/>
    <w:rsid w:val="00FC5803"/>
    <w:rsid w:val="00FC5809"/>
    <w:rsid w:val="00FC5865"/>
    <w:rsid w:val="00FC5887"/>
    <w:rsid w:val="00FC58B7"/>
    <w:rsid w:val="00FC58BC"/>
    <w:rsid w:val="00FC5965"/>
    <w:rsid w:val="00FC59E3"/>
    <w:rsid w:val="00FC5A70"/>
    <w:rsid w:val="00FC5AB8"/>
    <w:rsid w:val="00FC5AEB"/>
    <w:rsid w:val="00FC5B15"/>
    <w:rsid w:val="00FC5B65"/>
    <w:rsid w:val="00FC5B73"/>
    <w:rsid w:val="00FC5B9A"/>
    <w:rsid w:val="00FC5C09"/>
    <w:rsid w:val="00FC5C5A"/>
    <w:rsid w:val="00FC5CB7"/>
    <w:rsid w:val="00FC5CC5"/>
    <w:rsid w:val="00FC5CDF"/>
    <w:rsid w:val="00FC5D17"/>
    <w:rsid w:val="00FC5D1E"/>
    <w:rsid w:val="00FC5D38"/>
    <w:rsid w:val="00FC5DB0"/>
    <w:rsid w:val="00FC5DDA"/>
    <w:rsid w:val="00FC5E6C"/>
    <w:rsid w:val="00FC5EC4"/>
    <w:rsid w:val="00FC5F86"/>
    <w:rsid w:val="00FC5FAB"/>
    <w:rsid w:val="00FC5FE8"/>
    <w:rsid w:val="00FC6001"/>
    <w:rsid w:val="00FC6032"/>
    <w:rsid w:val="00FC604B"/>
    <w:rsid w:val="00FC60A4"/>
    <w:rsid w:val="00FC60BD"/>
    <w:rsid w:val="00FC60DE"/>
    <w:rsid w:val="00FC6194"/>
    <w:rsid w:val="00FC61BD"/>
    <w:rsid w:val="00FC61CE"/>
    <w:rsid w:val="00FC61D4"/>
    <w:rsid w:val="00FC61D7"/>
    <w:rsid w:val="00FC61DD"/>
    <w:rsid w:val="00FC625B"/>
    <w:rsid w:val="00FC6287"/>
    <w:rsid w:val="00FC62DB"/>
    <w:rsid w:val="00FC6377"/>
    <w:rsid w:val="00FC638E"/>
    <w:rsid w:val="00FC63D7"/>
    <w:rsid w:val="00FC63FB"/>
    <w:rsid w:val="00FC645B"/>
    <w:rsid w:val="00FC64C9"/>
    <w:rsid w:val="00FC64FC"/>
    <w:rsid w:val="00FC6550"/>
    <w:rsid w:val="00FC6557"/>
    <w:rsid w:val="00FC65C9"/>
    <w:rsid w:val="00FC6620"/>
    <w:rsid w:val="00FC6655"/>
    <w:rsid w:val="00FC6656"/>
    <w:rsid w:val="00FC6676"/>
    <w:rsid w:val="00FC6691"/>
    <w:rsid w:val="00FC66BC"/>
    <w:rsid w:val="00FC66F8"/>
    <w:rsid w:val="00FC6713"/>
    <w:rsid w:val="00FC673B"/>
    <w:rsid w:val="00FC674C"/>
    <w:rsid w:val="00FC6792"/>
    <w:rsid w:val="00FC6799"/>
    <w:rsid w:val="00FC681D"/>
    <w:rsid w:val="00FC6820"/>
    <w:rsid w:val="00FC682A"/>
    <w:rsid w:val="00FC6831"/>
    <w:rsid w:val="00FC683F"/>
    <w:rsid w:val="00FC68AD"/>
    <w:rsid w:val="00FC68B5"/>
    <w:rsid w:val="00FC68CE"/>
    <w:rsid w:val="00FC68D2"/>
    <w:rsid w:val="00FC68D7"/>
    <w:rsid w:val="00FC6937"/>
    <w:rsid w:val="00FC6973"/>
    <w:rsid w:val="00FC697E"/>
    <w:rsid w:val="00FC6983"/>
    <w:rsid w:val="00FC6A48"/>
    <w:rsid w:val="00FC6A81"/>
    <w:rsid w:val="00FC6AA3"/>
    <w:rsid w:val="00FC6ABC"/>
    <w:rsid w:val="00FC6ACB"/>
    <w:rsid w:val="00FC6ADA"/>
    <w:rsid w:val="00FC6AF6"/>
    <w:rsid w:val="00FC6B0F"/>
    <w:rsid w:val="00FC6B10"/>
    <w:rsid w:val="00FC6B45"/>
    <w:rsid w:val="00FC6B63"/>
    <w:rsid w:val="00FC6BC2"/>
    <w:rsid w:val="00FC6BFC"/>
    <w:rsid w:val="00FC6C29"/>
    <w:rsid w:val="00FC6C85"/>
    <w:rsid w:val="00FC6CE1"/>
    <w:rsid w:val="00FC6D54"/>
    <w:rsid w:val="00FC6D6D"/>
    <w:rsid w:val="00FC6D8A"/>
    <w:rsid w:val="00FC6DC5"/>
    <w:rsid w:val="00FC6E6C"/>
    <w:rsid w:val="00FC6E9C"/>
    <w:rsid w:val="00FC6EE1"/>
    <w:rsid w:val="00FC6F5E"/>
    <w:rsid w:val="00FC6F7E"/>
    <w:rsid w:val="00FC6FD4"/>
    <w:rsid w:val="00FC6FFB"/>
    <w:rsid w:val="00FC7008"/>
    <w:rsid w:val="00FC7012"/>
    <w:rsid w:val="00FC7038"/>
    <w:rsid w:val="00FC7073"/>
    <w:rsid w:val="00FC70E8"/>
    <w:rsid w:val="00FC712C"/>
    <w:rsid w:val="00FC7186"/>
    <w:rsid w:val="00FC71AE"/>
    <w:rsid w:val="00FC71D6"/>
    <w:rsid w:val="00FC7226"/>
    <w:rsid w:val="00FC7255"/>
    <w:rsid w:val="00FC725C"/>
    <w:rsid w:val="00FC7266"/>
    <w:rsid w:val="00FC7285"/>
    <w:rsid w:val="00FC72A1"/>
    <w:rsid w:val="00FC72FD"/>
    <w:rsid w:val="00FC7332"/>
    <w:rsid w:val="00FC7384"/>
    <w:rsid w:val="00FC73AC"/>
    <w:rsid w:val="00FC73B7"/>
    <w:rsid w:val="00FC73D7"/>
    <w:rsid w:val="00FC73E9"/>
    <w:rsid w:val="00FC74A3"/>
    <w:rsid w:val="00FC74A4"/>
    <w:rsid w:val="00FC74AE"/>
    <w:rsid w:val="00FC74BD"/>
    <w:rsid w:val="00FC7561"/>
    <w:rsid w:val="00FC7571"/>
    <w:rsid w:val="00FC7589"/>
    <w:rsid w:val="00FC75B8"/>
    <w:rsid w:val="00FC75C1"/>
    <w:rsid w:val="00FC75E9"/>
    <w:rsid w:val="00FC7629"/>
    <w:rsid w:val="00FC766A"/>
    <w:rsid w:val="00FC76A0"/>
    <w:rsid w:val="00FC76DE"/>
    <w:rsid w:val="00FC76F3"/>
    <w:rsid w:val="00FC776A"/>
    <w:rsid w:val="00FC77F2"/>
    <w:rsid w:val="00FC780F"/>
    <w:rsid w:val="00FC7872"/>
    <w:rsid w:val="00FC78F1"/>
    <w:rsid w:val="00FC7939"/>
    <w:rsid w:val="00FC794A"/>
    <w:rsid w:val="00FC79E3"/>
    <w:rsid w:val="00FC79F7"/>
    <w:rsid w:val="00FC7A36"/>
    <w:rsid w:val="00FC7A3F"/>
    <w:rsid w:val="00FC7A49"/>
    <w:rsid w:val="00FC7A4F"/>
    <w:rsid w:val="00FC7A5C"/>
    <w:rsid w:val="00FC7B42"/>
    <w:rsid w:val="00FC7B5C"/>
    <w:rsid w:val="00FC7B72"/>
    <w:rsid w:val="00FC7BA8"/>
    <w:rsid w:val="00FC7BD0"/>
    <w:rsid w:val="00FC7BF3"/>
    <w:rsid w:val="00FC7BFF"/>
    <w:rsid w:val="00FC7C7C"/>
    <w:rsid w:val="00FC7C92"/>
    <w:rsid w:val="00FC7CA1"/>
    <w:rsid w:val="00FC7CB8"/>
    <w:rsid w:val="00FC7CC9"/>
    <w:rsid w:val="00FC7E9D"/>
    <w:rsid w:val="00FC7F20"/>
    <w:rsid w:val="00FC7F3B"/>
    <w:rsid w:val="00FC7FA5"/>
    <w:rsid w:val="00FC7FC9"/>
    <w:rsid w:val="00FC7FD4"/>
    <w:rsid w:val="00FD0001"/>
    <w:rsid w:val="00FD0127"/>
    <w:rsid w:val="00FD0228"/>
    <w:rsid w:val="00FD024C"/>
    <w:rsid w:val="00FD029F"/>
    <w:rsid w:val="00FD02E6"/>
    <w:rsid w:val="00FD0352"/>
    <w:rsid w:val="00FD0393"/>
    <w:rsid w:val="00FD03C2"/>
    <w:rsid w:val="00FD0478"/>
    <w:rsid w:val="00FD0495"/>
    <w:rsid w:val="00FD04D8"/>
    <w:rsid w:val="00FD059B"/>
    <w:rsid w:val="00FD05F1"/>
    <w:rsid w:val="00FD0605"/>
    <w:rsid w:val="00FD0617"/>
    <w:rsid w:val="00FD0625"/>
    <w:rsid w:val="00FD063A"/>
    <w:rsid w:val="00FD06A3"/>
    <w:rsid w:val="00FD06DC"/>
    <w:rsid w:val="00FD0740"/>
    <w:rsid w:val="00FD07B0"/>
    <w:rsid w:val="00FD07EB"/>
    <w:rsid w:val="00FD092D"/>
    <w:rsid w:val="00FD0961"/>
    <w:rsid w:val="00FD09BA"/>
    <w:rsid w:val="00FD09D6"/>
    <w:rsid w:val="00FD09EB"/>
    <w:rsid w:val="00FD09FD"/>
    <w:rsid w:val="00FD09FE"/>
    <w:rsid w:val="00FD0A35"/>
    <w:rsid w:val="00FD0A60"/>
    <w:rsid w:val="00FD0A6B"/>
    <w:rsid w:val="00FD0AAE"/>
    <w:rsid w:val="00FD0AC4"/>
    <w:rsid w:val="00FD0AFA"/>
    <w:rsid w:val="00FD0B1C"/>
    <w:rsid w:val="00FD0B26"/>
    <w:rsid w:val="00FD0BEB"/>
    <w:rsid w:val="00FD0C3B"/>
    <w:rsid w:val="00FD0C9B"/>
    <w:rsid w:val="00FD0C9E"/>
    <w:rsid w:val="00FD0C9F"/>
    <w:rsid w:val="00FD0CA1"/>
    <w:rsid w:val="00FD0CB1"/>
    <w:rsid w:val="00FD0D70"/>
    <w:rsid w:val="00FD0D93"/>
    <w:rsid w:val="00FD0DB9"/>
    <w:rsid w:val="00FD0DE8"/>
    <w:rsid w:val="00FD0E71"/>
    <w:rsid w:val="00FD0EAA"/>
    <w:rsid w:val="00FD0F3E"/>
    <w:rsid w:val="00FD0F88"/>
    <w:rsid w:val="00FD0FEA"/>
    <w:rsid w:val="00FD106D"/>
    <w:rsid w:val="00FD1135"/>
    <w:rsid w:val="00FD1155"/>
    <w:rsid w:val="00FD117A"/>
    <w:rsid w:val="00FD11A9"/>
    <w:rsid w:val="00FD11FC"/>
    <w:rsid w:val="00FD1224"/>
    <w:rsid w:val="00FD1235"/>
    <w:rsid w:val="00FD12A5"/>
    <w:rsid w:val="00FD12BE"/>
    <w:rsid w:val="00FD12FC"/>
    <w:rsid w:val="00FD130F"/>
    <w:rsid w:val="00FD134F"/>
    <w:rsid w:val="00FD13D6"/>
    <w:rsid w:val="00FD141B"/>
    <w:rsid w:val="00FD146F"/>
    <w:rsid w:val="00FD147F"/>
    <w:rsid w:val="00FD14BE"/>
    <w:rsid w:val="00FD1585"/>
    <w:rsid w:val="00FD15BE"/>
    <w:rsid w:val="00FD15D6"/>
    <w:rsid w:val="00FD15DF"/>
    <w:rsid w:val="00FD15F6"/>
    <w:rsid w:val="00FD1665"/>
    <w:rsid w:val="00FD1689"/>
    <w:rsid w:val="00FD16D2"/>
    <w:rsid w:val="00FD16F0"/>
    <w:rsid w:val="00FD1707"/>
    <w:rsid w:val="00FD175B"/>
    <w:rsid w:val="00FD1780"/>
    <w:rsid w:val="00FD1860"/>
    <w:rsid w:val="00FD1861"/>
    <w:rsid w:val="00FD18F9"/>
    <w:rsid w:val="00FD1915"/>
    <w:rsid w:val="00FD1926"/>
    <w:rsid w:val="00FD196E"/>
    <w:rsid w:val="00FD19F7"/>
    <w:rsid w:val="00FD1A38"/>
    <w:rsid w:val="00FD1A63"/>
    <w:rsid w:val="00FD1AB1"/>
    <w:rsid w:val="00FD1AEE"/>
    <w:rsid w:val="00FD1AF9"/>
    <w:rsid w:val="00FD1B6D"/>
    <w:rsid w:val="00FD1BE5"/>
    <w:rsid w:val="00FD1BE9"/>
    <w:rsid w:val="00FD1BF2"/>
    <w:rsid w:val="00FD1BF3"/>
    <w:rsid w:val="00FD1C50"/>
    <w:rsid w:val="00FD1CCC"/>
    <w:rsid w:val="00FD1D4A"/>
    <w:rsid w:val="00FD1DCA"/>
    <w:rsid w:val="00FD1DDA"/>
    <w:rsid w:val="00FD1E36"/>
    <w:rsid w:val="00FD1E66"/>
    <w:rsid w:val="00FD1E82"/>
    <w:rsid w:val="00FD1E86"/>
    <w:rsid w:val="00FD1EB9"/>
    <w:rsid w:val="00FD1EEB"/>
    <w:rsid w:val="00FD1F27"/>
    <w:rsid w:val="00FD1F50"/>
    <w:rsid w:val="00FD1F63"/>
    <w:rsid w:val="00FD2036"/>
    <w:rsid w:val="00FD2050"/>
    <w:rsid w:val="00FD2080"/>
    <w:rsid w:val="00FD20BC"/>
    <w:rsid w:val="00FD20D9"/>
    <w:rsid w:val="00FD211D"/>
    <w:rsid w:val="00FD213D"/>
    <w:rsid w:val="00FD217C"/>
    <w:rsid w:val="00FD219D"/>
    <w:rsid w:val="00FD2246"/>
    <w:rsid w:val="00FD2272"/>
    <w:rsid w:val="00FD2296"/>
    <w:rsid w:val="00FD22D1"/>
    <w:rsid w:val="00FD2324"/>
    <w:rsid w:val="00FD2363"/>
    <w:rsid w:val="00FD244D"/>
    <w:rsid w:val="00FD24D6"/>
    <w:rsid w:val="00FD24EE"/>
    <w:rsid w:val="00FD2541"/>
    <w:rsid w:val="00FD2544"/>
    <w:rsid w:val="00FD256C"/>
    <w:rsid w:val="00FD25AC"/>
    <w:rsid w:val="00FD263A"/>
    <w:rsid w:val="00FD2677"/>
    <w:rsid w:val="00FD26E4"/>
    <w:rsid w:val="00FD2777"/>
    <w:rsid w:val="00FD27C4"/>
    <w:rsid w:val="00FD2861"/>
    <w:rsid w:val="00FD28B2"/>
    <w:rsid w:val="00FD28D6"/>
    <w:rsid w:val="00FD28E8"/>
    <w:rsid w:val="00FD293F"/>
    <w:rsid w:val="00FD29A2"/>
    <w:rsid w:val="00FD29F5"/>
    <w:rsid w:val="00FD2A61"/>
    <w:rsid w:val="00FD2AA4"/>
    <w:rsid w:val="00FD2AF5"/>
    <w:rsid w:val="00FD2AFC"/>
    <w:rsid w:val="00FD2B68"/>
    <w:rsid w:val="00FD2BA1"/>
    <w:rsid w:val="00FD2BC2"/>
    <w:rsid w:val="00FD2C86"/>
    <w:rsid w:val="00FD2CB6"/>
    <w:rsid w:val="00FD2CDC"/>
    <w:rsid w:val="00FD2D37"/>
    <w:rsid w:val="00FD2D82"/>
    <w:rsid w:val="00FD2E0D"/>
    <w:rsid w:val="00FD2E3B"/>
    <w:rsid w:val="00FD2E42"/>
    <w:rsid w:val="00FD2E4E"/>
    <w:rsid w:val="00FD2E98"/>
    <w:rsid w:val="00FD2EB7"/>
    <w:rsid w:val="00FD2EBF"/>
    <w:rsid w:val="00FD2F2C"/>
    <w:rsid w:val="00FD2F8D"/>
    <w:rsid w:val="00FD2FBF"/>
    <w:rsid w:val="00FD302A"/>
    <w:rsid w:val="00FD3037"/>
    <w:rsid w:val="00FD303F"/>
    <w:rsid w:val="00FD3045"/>
    <w:rsid w:val="00FD3115"/>
    <w:rsid w:val="00FD3151"/>
    <w:rsid w:val="00FD3165"/>
    <w:rsid w:val="00FD3173"/>
    <w:rsid w:val="00FD31F8"/>
    <w:rsid w:val="00FD32B3"/>
    <w:rsid w:val="00FD3366"/>
    <w:rsid w:val="00FD33EA"/>
    <w:rsid w:val="00FD34A5"/>
    <w:rsid w:val="00FD34C6"/>
    <w:rsid w:val="00FD34E7"/>
    <w:rsid w:val="00FD353E"/>
    <w:rsid w:val="00FD3567"/>
    <w:rsid w:val="00FD356E"/>
    <w:rsid w:val="00FD3595"/>
    <w:rsid w:val="00FD3597"/>
    <w:rsid w:val="00FD35A8"/>
    <w:rsid w:val="00FD363F"/>
    <w:rsid w:val="00FD3650"/>
    <w:rsid w:val="00FD367D"/>
    <w:rsid w:val="00FD36B6"/>
    <w:rsid w:val="00FD36FA"/>
    <w:rsid w:val="00FD3710"/>
    <w:rsid w:val="00FD3725"/>
    <w:rsid w:val="00FD3734"/>
    <w:rsid w:val="00FD37AE"/>
    <w:rsid w:val="00FD37CE"/>
    <w:rsid w:val="00FD37DC"/>
    <w:rsid w:val="00FD3820"/>
    <w:rsid w:val="00FD3835"/>
    <w:rsid w:val="00FD3846"/>
    <w:rsid w:val="00FD3864"/>
    <w:rsid w:val="00FD38B2"/>
    <w:rsid w:val="00FD3917"/>
    <w:rsid w:val="00FD392C"/>
    <w:rsid w:val="00FD3997"/>
    <w:rsid w:val="00FD39DE"/>
    <w:rsid w:val="00FD39F7"/>
    <w:rsid w:val="00FD3A0B"/>
    <w:rsid w:val="00FD3A3F"/>
    <w:rsid w:val="00FD3A65"/>
    <w:rsid w:val="00FD3AD7"/>
    <w:rsid w:val="00FD3B0D"/>
    <w:rsid w:val="00FD3B26"/>
    <w:rsid w:val="00FD3B97"/>
    <w:rsid w:val="00FD3BBC"/>
    <w:rsid w:val="00FD3BCD"/>
    <w:rsid w:val="00FD3BF0"/>
    <w:rsid w:val="00FD3C6E"/>
    <w:rsid w:val="00FD3D6E"/>
    <w:rsid w:val="00FD3DB7"/>
    <w:rsid w:val="00FD3E33"/>
    <w:rsid w:val="00FD3E8C"/>
    <w:rsid w:val="00FD3EDC"/>
    <w:rsid w:val="00FD3EDD"/>
    <w:rsid w:val="00FD3F00"/>
    <w:rsid w:val="00FD3F64"/>
    <w:rsid w:val="00FD4003"/>
    <w:rsid w:val="00FD40E0"/>
    <w:rsid w:val="00FD4146"/>
    <w:rsid w:val="00FD4184"/>
    <w:rsid w:val="00FD4187"/>
    <w:rsid w:val="00FD4190"/>
    <w:rsid w:val="00FD41CB"/>
    <w:rsid w:val="00FD4201"/>
    <w:rsid w:val="00FD420C"/>
    <w:rsid w:val="00FD425F"/>
    <w:rsid w:val="00FD4288"/>
    <w:rsid w:val="00FD42B9"/>
    <w:rsid w:val="00FD4390"/>
    <w:rsid w:val="00FD43AF"/>
    <w:rsid w:val="00FD43BC"/>
    <w:rsid w:val="00FD4458"/>
    <w:rsid w:val="00FD44A5"/>
    <w:rsid w:val="00FD44E0"/>
    <w:rsid w:val="00FD451B"/>
    <w:rsid w:val="00FD4574"/>
    <w:rsid w:val="00FD4586"/>
    <w:rsid w:val="00FD4693"/>
    <w:rsid w:val="00FD46EA"/>
    <w:rsid w:val="00FD472B"/>
    <w:rsid w:val="00FD479A"/>
    <w:rsid w:val="00FD483F"/>
    <w:rsid w:val="00FD4861"/>
    <w:rsid w:val="00FD48C2"/>
    <w:rsid w:val="00FD48CE"/>
    <w:rsid w:val="00FD48E7"/>
    <w:rsid w:val="00FD48F6"/>
    <w:rsid w:val="00FD4922"/>
    <w:rsid w:val="00FD496B"/>
    <w:rsid w:val="00FD49AC"/>
    <w:rsid w:val="00FD4A1A"/>
    <w:rsid w:val="00FD4ABA"/>
    <w:rsid w:val="00FD4AC4"/>
    <w:rsid w:val="00FD4AF6"/>
    <w:rsid w:val="00FD4B56"/>
    <w:rsid w:val="00FD4B5F"/>
    <w:rsid w:val="00FD4B6F"/>
    <w:rsid w:val="00FD4BDB"/>
    <w:rsid w:val="00FD4C0B"/>
    <w:rsid w:val="00FD4C5E"/>
    <w:rsid w:val="00FD4C80"/>
    <w:rsid w:val="00FD4CD3"/>
    <w:rsid w:val="00FD4D3A"/>
    <w:rsid w:val="00FD4DD0"/>
    <w:rsid w:val="00FD4DD8"/>
    <w:rsid w:val="00FD4E21"/>
    <w:rsid w:val="00FD4E67"/>
    <w:rsid w:val="00FD4E73"/>
    <w:rsid w:val="00FD4EB2"/>
    <w:rsid w:val="00FD4EC5"/>
    <w:rsid w:val="00FD4EE5"/>
    <w:rsid w:val="00FD4F72"/>
    <w:rsid w:val="00FD4F8B"/>
    <w:rsid w:val="00FD4FE0"/>
    <w:rsid w:val="00FD502C"/>
    <w:rsid w:val="00FD5047"/>
    <w:rsid w:val="00FD5054"/>
    <w:rsid w:val="00FD50DD"/>
    <w:rsid w:val="00FD513D"/>
    <w:rsid w:val="00FD51E0"/>
    <w:rsid w:val="00FD51F2"/>
    <w:rsid w:val="00FD51F5"/>
    <w:rsid w:val="00FD5211"/>
    <w:rsid w:val="00FD5249"/>
    <w:rsid w:val="00FD52CD"/>
    <w:rsid w:val="00FD52E7"/>
    <w:rsid w:val="00FD5308"/>
    <w:rsid w:val="00FD5341"/>
    <w:rsid w:val="00FD539D"/>
    <w:rsid w:val="00FD53D6"/>
    <w:rsid w:val="00FD5409"/>
    <w:rsid w:val="00FD542C"/>
    <w:rsid w:val="00FD5503"/>
    <w:rsid w:val="00FD55A8"/>
    <w:rsid w:val="00FD5612"/>
    <w:rsid w:val="00FD564B"/>
    <w:rsid w:val="00FD571D"/>
    <w:rsid w:val="00FD5731"/>
    <w:rsid w:val="00FD5864"/>
    <w:rsid w:val="00FD5875"/>
    <w:rsid w:val="00FD5902"/>
    <w:rsid w:val="00FD5912"/>
    <w:rsid w:val="00FD5913"/>
    <w:rsid w:val="00FD5955"/>
    <w:rsid w:val="00FD595C"/>
    <w:rsid w:val="00FD5A23"/>
    <w:rsid w:val="00FD5A46"/>
    <w:rsid w:val="00FD5A57"/>
    <w:rsid w:val="00FD5A5D"/>
    <w:rsid w:val="00FD5A7C"/>
    <w:rsid w:val="00FD5AD6"/>
    <w:rsid w:val="00FD5AD9"/>
    <w:rsid w:val="00FD5B04"/>
    <w:rsid w:val="00FD5B90"/>
    <w:rsid w:val="00FD5C06"/>
    <w:rsid w:val="00FD5C25"/>
    <w:rsid w:val="00FD5C2D"/>
    <w:rsid w:val="00FD5C30"/>
    <w:rsid w:val="00FD5C98"/>
    <w:rsid w:val="00FD5DA0"/>
    <w:rsid w:val="00FD5ED8"/>
    <w:rsid w:val="00FD5EED"/>
    <w:rsid w:val="00FD5EFB"/>
    <w:rsid w:val="00FD5F64"/>
    <w:rsid w:val="00FD5FC7"/>
    <w:rsid w:val="00FD5FD4"/>
    <w:rsid w:val="00FD5FDB"/>
    <w:rsid w:val="00FD6003"/>
    <w:rsid w:val="00FD6011"/>
    <w:rsid w:val="00FD6149"/>
    <w:rsid w:val="00FD6172"/>
    <w:rsid w:val="00FD61C9"/>
    <w:rsid w:val="00FD61ED"/>
    <w:rsid w:val="00FD6203"/>
    <w:rsid w:val="00FD621C"/>
    <w:rsid w:val="00FD6221"/>
    <w:rsid w:val="00FD62B6"/>
    <w:rsid w:val="00FD638F"/>
    <w:rsid w:val="00FD63D0"/>
    <w:rsid w:val="00FD63D7"/>
    <w:rsid w:val="00FD6493"/>
    <w:rsid w:val="00FD6534"/>
    <w:rsid w:val="00FD655F"/>
    <w:rsid w:val="00FD657B"/>
    <w:rsid w:val="00FD6587"/>
    <w:rsid w:val="00FD659E"/>
    <w:rsid w:val="00FD65BD"/>
    <w:rsid w:val="00FD65BE"/>
    <w:rsid w:val="00FD65FD"/>
    <w:rsid w:val="00FD663A"/>
    <w:rsid w:val="00FD66F5"/>
    <w:rsid w:val="00FD66F9"/>
    <w:rsid w:val="00FD6700"/>
    <w:rsid w:val="00FD6704"/>
    <w:rsid w:val="00FD678F"/>
    <w:rsid w:val="00FD679A"/>
    <w:rsid w:val="00FD67BD"/>
    <w:rsid w:val="00FD67EF"/>
    <w:rsid w:val="00FD6801"/>
    <w:rsid w:val="00FD681D"/>
    <w:rsid w:val="00FD6871"/>
    <w:rsid w:val="00FD6875"/>
    <w:rsid w:val="00FD6889"/>
    <w:rsid w:val="00FD68A8"/>
    <w:rsid w:val="00FD68B9"/>
    <w:rsid w:val="00FD68BE"/>
    <w:rsid w:val="00FD68DF"/>
    <w:rsid w:val="00FD6920"/>
    <w:rsid w:val="00FD694C"/>
    <w:rsid w:val="00FD6972"/>
    <w:rsid w:val="00FD699C"/>
    <w:rsid w:val="00FD69A7"/>
    <w:rsid w:val="00FD6A15"/>
    <w:rsid w:val="00FD6A19"/>
    <w:rsid w:val="00FD6A31"/>
    <w:rsid w:val="00FD6A54"/>
    <w:rsid w:val="00FD6A98"/>
    <w:rsid w:val="00FD6AD5"/>
    <w:rsid w:val="00FD6B1C"/>
    <w:rsid w:val="00FD6B90"/>
    <w:rsid w:val="00FD6BAD"/>
    <w:rsid w:val="00FD6C0A"/>
    <w:rsid w:val="00FD6C20"/>
    <w:rsid w:val="00FD6C4E"/>
    <w:rsid w:val="00FD6C62"/>
    <w:rsid w:val="00FD6C85"/>
    <w:rsid w:val="00FD6D17"/>
    <w:rsid w:val="00FD6D1B"/>
    <w:rsid w:val="00FD6D1C"/>
    <w:rsid w:val="00FD6D24"/>
    <w:rsid w:val="00FD6D58"/>
    <w:rsid w:val="00FD6D93"/>
    <w:rsid w:val="00FD6DAA"/>
    <w:rsid w:val="00FD6DB8"/>
    <w:rsid w:val="00FD6E64"/>
    <w:rsid w:val="00FD6E95"/>
    <w:rsid w:val="00FD6EAD"/>
    <w:rsid w:val="00FD6EEE"/>
    <w:rsid w:val="00FD6F59"/>
    <w:rsid w:val="00FD6F5E"/>
    <w:rsid w:val="00FD6F5F"/>
    <w:rsid w:val="00FD6F62"/>
    <w:rsid w:val="00FD6F72"/>
    <w:rsid w:val="00FD6F7B"/>
    <w:rsid w:val="00FD6FC4"/>
    <w:rsid w:val="00FD6FD3"/>
    <w:rsid w:val="00FD705F"/>
    <w:rsid w:val="00FD708D"/>
    <w:rsid w:val="00FD70D5"/>
    <w:rsid w:val="00FD70E2"/>
    <w:rsid w:val="00FD7105"/>
    <w:rsid w:val="00FD715A"/>
    <w:rsid w:val="00FD7193"/>
    <w:rsid w:val="00FD71D8"/>
    <w:rsid w:val="00FD71EB"/>
    <w:rsid w:val="00FD71FA"/>
    <w:rsid w:val="00FD721C"/>
    <w:rsid w:val="00FD7239"/>
    <w:rsid w:val="00FD723B"/>
    <w:rsid w:val="00FD7264"/>
    <w:rsid w:val="00FD7285"/>
    <w:rsid w:val="00FD72DC"/>
    <w:rsid w:val="00FD7307"/>
    <w:rsid w:val="00FD7328"/>
    <w:rsid w:val="00FD7331"/>
    <w:rsid w:val="00FD7336"/>
    <w:rsid w:val="00FD73BE"/>
    <w:rsid w:val="00FD73DD"/>
    <w:rsid w:val="00FD73EF"/>
    <w:rsid w:val="00FD7495"/>
    <w:rsid w:val="00FD74B9"/>
    <w:rsid w:val="00FD74DC"/>
    <w:rsid w:val="00FD750F"/>
    <w:rsid w:val="00FD7520"/>
    <w:rsid w:val="00FD7527"/>
    <w:rsid w:val="00FD7567"/>
    <w:rsid w:val="00FD756E"/>
    <w:rsid w:val="00FD7578"/>
    <w:rsid w:val="00FD7598"/>
    <w:rsid w:val="00FD75A9"/>
    <w:rsid w:val="00FD75E2"/>
    <w:rsid w:val="00FD75F0"/>
    <w:rsid w:val="00FD763C"/>
    <w:rsid w:val="00FD7654"/>
    <w:rsid w:val="00FD768B"/>
    <w:rsid w:val="00FD7698"/>
    <w:rsid w:val="00FD7736"/>
    <w:rsid w:val="00FD7745"/>
    <w:rsid w:val="00FD778C"/>
    <w:rsid w:val="00FD77B9"/>
    <w:rsid w:val="00FD7847"/>
    <w:rsid w:val="00FD7912"/>
    <w:rsid w:val="00FD796B"/>
    <w:rsid w:val="00FD7986"/>
    <w:rsid w:val="00FD79AC"/>
    <w:rsid w:val="00FD79D1"/>
    <w:rsid w:val="00FD7A07"/>
    <w:rsid w:val="00FD7A62"/>
    <w:rsid w:val="00FD7ACA"/>
    <w:rsid w:val="00FD7B48"/>
    <w:rsid w:val="00FD7B80"/>
    <w:rsid w:val="00FD7B97"/>
    <w:rsid w:val="00FD7C40"/>
    <w:rsid w:val="00FD7C65"/>
    <w:rsid w:val="00FD7C87"/>
    <w:rsid w:val="00FD7D5D"/>
    <w:rsid w:val="00FD7D76"/>
    <w:rsid w:val="00FD7DE6"/>
    <w:rsid w:val="00FD7E8A"/>
    <w:rsid w:val="00FD7EDA"/>
    <w:rsid w:val="00FD7F6A"/>
    <w:rsid w:val="00FD7F73"/>
    <w:rsid w:val="00FD7F88"/>
    <w:rsid w:val="00FD7FFD"/>
    <w:rsid w:val="00FE006D"/>
    <w:rsid w:val="00FE007B"/>
    <w:rsid w:val="00FE007E"/>
    <w:rsid w:val="00FE008D"/>
    <w:rsid w:val="00FE00DC"/>
    <w:rsid w:val="00FE010D"/>
    <w:rsid w:val="00FE0194"/>
    <w:rsid w:val="00FE01A8"/>
    <w:rsid w:val="00FE01CB"/>
    <w:rsid w:val="00FE0203"/>
    <w:rsid w:val="00FE0246"/>
    <w:rsid w:val="00FE0251"/>
    <w:rsid w:val="00FE0295"/>
    <w:rsid w:val="00FE0299"/>
    <w:rsid w:val="00FE02CA"/>
    <w:rsid w:val="00FE0306"/>
    <w:rsid w:val="00FE036A"/>
    <w:rsid w:val="00FE03C7"/>
    <w:rsid w:val="00FE03F6"/>
    <w:rsid w:val="00FE040B"/>
    <w:rsid w:val="00FE043B"/>
    <w:rsid w:val="00FE04BC"/>
    <w:rsid w:val="00FE0630"/>
    <w:rsid w:val="00FE069A"/>
    <w:rsid w:val="00FE06DC"/>
    <w:rsid w:val="00FE0705"/>
    <w:rsid w:val="00FE0763"/>
    <w:rsid w:val="00FE0768"/>
    <w:rsid w:val="00FE0779"/>
    <w:rsid w:val="00FE079C"/>
    <w:rsid w:val="00FE07CF"/>
    <w:rsid w:val="00FE087A"/>
    <w:rsid w:val="00FE08F6"/>
    <w:rsid w:val="00FE08FA"/>
    <w:rsid w:val="00FE090C"/>
    <w:rsid w:val="00FE0913"/>
    <w:rsid w:val="00FE0940"/>
    <w:rsid w:val="00FE09E7"/>
    <w:rsid w:val="00FE0A12"/>
    <w:rsid w:val="00FE0A3A"/>
    <w:rsid w:val="00FE0A46"/>
    <w:rsid w:val="00FE0AE5"/>
    <w:rsid w:val="00FE0B38"/>
    <w:rsid w:val="00FE0B5D"/>
    <w:rsid w:val="00FE0BBA"/>
    <w:rsid w:val="00FE0BE9"/>
    <w:rsid w:val="00FE0C0E"/>
    <w:rsid w:val="00FE0C7F"/>
    <w:rsid w:val="00FE0C8F"/>
    <w:rsid w:val="00FE0DFB"/>
    <w:rsid w:val="00FE0E06"/>
    <w:rsid w:val="00FE0E1A"/>
    <w:rsid w:val="00FE0E1C"/>
    <w:rsid w:val="00FE0E6E"/>
    <w:rsid w:val="00FE0E94"/>
    <w:rsid w:val="00FE0EA7"/>
    <w:rsid w:val="00FE0EAF"/>
    <w:rsid w:val="00FE0EB5"/>
    <w:rsid w:val="00FE0ED4"/>
    <w:rsid w:val="00FE0F0B"/>
    <w:rsid w:val="00FE0F20"/>
    <w:rsid w:val="00FE0F2B"/>
    <w:rsid w:val="00FE0F83"/>
    <w:rsid w:val="00FE0F84"/>
    <w:rsid w:val="00FE0FE6"/>
    <w:rsid w:val="00FE100A"/>
    <w:rsid w:val="00FE1025"/>
    <w:rsid w:val="00FE1045"/>
    <w:rsid w:val="00FE1063"/>
    <w:rsid w:val="00FE108E"/>
    <w:rsid w:val="00FE10E0"/>
    <w:rsid w:val="00FE1162"/>
    <w:rsid w:val="00FE126D"/>
    <w:rsid w:val="00FE1397"/>
    <w:rsid w:val="00FE13C6"/>
    <w:rsid w:val="00FE13E8"/>
    <w:rsid w:val="00FE13EF"/>
    <w:rsid w:val="00FE1405"/>
    <w:rsid w:val="00FE14AA"/>
    <w:rsid w:val="00FE14B3"/>
    <w:rsid w:val="00FE1506"/>
    <w:rsid w:val="00FE154D"/>
    <w:rsid w:val="00FE1570"/>
    <w:rsid w:val="00FE15AC"/>
    <w:rsid w:val="00FE15AF"/>
    <w:rsid w:val="00FE1641"/>
    <w:rsid w:val="00FE1659"/>
    <w:rsid w:val="00FE167D"/>
    <w:rsid w:val="00FE170E"/>
    <w:rsid w:val="00FE1718"/>
    <w:rsid w:val="00FE176E"/>
    <w:rsid w:val="00FE17A2"/>
    <w:rsid w:val="00FE17E8"/>
    <w:rsid w:val="00FE180C"/>
    <w:rsid w:val="00FE189E"/>
    <w:rsid w:val="00FE18C0"/>
    <w:rsid w:val="00FE18F5"/>
    <w:rsid w:val="00FE1925"/>
    <w:rsid w:val="00FE1970"/>
    <w:rsid w:val="00FE199A"/>
    <w:rsid w:val="00FE19A4"/>
    <w:rsid w:val="00FE1A4D"/>
    <w:rsid w:val="00FE1A6F"/>
    <w:rsid w:val="00FE1AAC"/>
    <w:rsid w:val="00FE1AB6"/>
    <w:rsid w:val="00FE1BB2"/>
    <w:rsid w:val="00FE1C17"/>
    <w:rsid w:val="00FE1C56"/>
    <w:rsid w:val="00FE1CA9"/>
    <w:rsid w:val="00FE1D0A"/>
    <w:rsid w:val="00FE1D15"/>
    <w:rsid w:val="00FE1D24"/>
    <w:rsid w:val="00FE1D78"/>
    <w:rsid w:val="00FE1D7F"/>
    <w:rsid w:val="00FE1DB7"/>
    <w:rsid w:val="00FE1E45"/>
    <w:rsid w:val="00FE1EA3"/>
    <w:rsid w:val="00FE1ECE"/>
    <w:rsid w:val="00FE1F0B"/>
    <w:rsid w:val="00FE1F22"/>
    <w:rsid w:val="00FE1F2C"/>
    <w:rsid w:val="00FE1F2F"/>
    <w:rsid w:val="00FE1F32"/>
    <w:rsid w:val="00FE1F49"/>
    <w:rsid w:val="00FE1F90"/>
    <w:rsid w:val="00FE1FBE"/>
    <w:rsid w:val="00FE2055"/>
    <w:rsid w:val="00FE2061"/>
    <w:rsid w:val="00FE2147"/>
    <w:rsid w:val="00FE2169"/>
    <w:rsid w:val="00FE21C3"/>
    <w:rsid w:val="00FE21DB"/>
    <w:rsid w:val="00FE2201"/>
    <w:rsid w:val="00FE220D"/>
    <w:rsid w:val="00FE2219"/>
    <w:rsid w:val="00FE223A"/>
    <w:rsid w:val="00FE2274"/>
    <w:rsid w:val="00FE22AC"/>
    <w:rsid w:val="00FE22F3"/>
    <w:rsid w:val="00FE2303"/>
    <w:rsid w:val="00FE2397"/>
    <w:rsid w:val="00FE23C5"/>
    <w:rsid w:val="00FE23E1"/>
    <w:rsid w:val="00FE23EB"/>
    <w:rsid w:val="00FE23F7"/>
    <w:rsid w:val="00FE2409"/>
    <w:rsid w:val="00FE244B"/>
    <w:rsid w:val="00FE249F"/>
    <w:rsid w:val="00FE24BB"/>
    <w:rsid w:val="00FE24DB"/>
    <w:rsid w:val="00FE24FA"/>
    <w:rsid w:val="00FE2530"/>
    <w:rsid w:val="00FE254E"/>
    <w:rsid w:val="00FE2568"/>
    <w:rsid w:val="00FE2586"/>
    <w:rsid w:val="00FE25F9"/>
    <w:rsid w:val="00FE2638"/>
    <w:rsid w:val="00FE2651"/>
    <w:rsid w:val="00FE266A"/>
    <w:rsid w:val="00FE26B5"/>
    <w:rsid w:val="00FE26BA"/>
    <w:rsid w:val="00FE2702"/>
    <w:rsid w:val="00FE270A"/>
    <w:rsid w:val="00FE271E"/>
    <w:rsid w:val="00FE2772"/>
    <w:rsid w:val="00FE27A4"/>
    <w:rsid w:val="00FE27B4"/>
    <w:rsid w:val="00FE282A"/>
    <w:rsid w:val="00FE28C0"/>
    <w:rsid w:val="00FE28CC"/>
    <w:rsid w:val="00FE2923"/>
    <w:rsid w:val="00FE29A1"/>
    <w:rsid w:val="00FE29A2"/>
    <w:rsid w:val="00FE29BD"/>
    <w:rsid w:val="00FE29E1"/>
    <w:rsid w:val="00FE2A2F"/>
    <w:rsid w:val="00FE2A3C"/>
    <w:rsid w:val="00FE2A90"/>
    <w:rsid w:val="00FE2AB9"/>
    <w:rsid w:val="00FE2AF0"/>
    <w:rsid w:val="00FE2AF1"/>
    <w:rsid w:val="00FE2B19"/>
    <w:rsid w:val="00FE2B20"/>
    <w:rsid w:val="00FE2B24"/>
    <w:rsid w:val="00FE2B44"/>
    <w:rsid w:val="00FE2B6E"/>
    <w:rsid w:val="00FE2B80"/>
    <w:rsid w:val="00FE2B86"/>
    <w:rsid w:val="00FE2B92"/>
    <w:rsid w:val="00FE2BAF"/>
    <w:rsid w:val="00FE2D5D"/>
    <w:rsid w:val="00FE2D5F"/>
    <w:rsid w:val="00FE2D7D"/>
    <w:rsid w:val="00FE2E02"/>
    <w:rsid w:val="00FE2E44"/>
    <w:rsid w:val="00FE2E91"/>
    <w:rsid w:val="00FE2EB9"/>
    <w:rsid w:val="00FE2EDB"/>
    <w:rsid w:val="00FE2EE0"/>
    <w:rsid w:val="00FE2EE7"/>
    <w:rsid w:val="00FE2F22"/>
    <w:rsid w:val="00FE2F2E"/>
    <w:rsid w:val="00FE2F76"/>
    <w:rsid w:val="00FE2F95"/>
    <w:rsid w:val="00FE3068"/>
    <w:rsid w:val="00FE30AA"/>
    <w:rsid w:val="00FE315F"/>
    <w:rsid w:val="00FE318A"/>
    <w:rsid w:val="00FE319F"/>
    <w:rsid w:val="00FE31C0"/>
    <w:rsid w:val="00FE31DD"/>
    <w:rsid w:val="00FE31FF"/>
    <w:rsid w:val="00FE32D4"/>
    <w:rsid w:val="00FE32FF"/>
    <w:rsid w:val="00FE333E"/>
    <w:rsid w:val="00FE3358"/>
    <w:rsid w:val="00FE3379"/>
    <w:rsid w:val="00FE33D1"/>
    <w:rsid w:val="00FE33DC"/>
    <w:rsid w:val="00FE342D"/>
    <w:rsid w:val="00FE3452"/>
    <w:rsid w:val="00FE34EE"/>
    <w:rsid w:val="00FE3542"/>
    <w:rsid w:val="00FE35C1"/>
    <w:rsid w:val="00FE35D2"/>
    <w:rsid w:val="00FE35FB"/>
    <w:rsid w:val="00FE3693"/>
    <w:rsid w:val="00FE36C3"/>
    <w:rsid w:val="00FE3719"/>
    <w:rsid w:val="00FE3737"/>
    <w:rsid w:val="00FE3755"/>
    <w:rsid w:val="00FE3756"/>
    <w:rsid w:val="00FE3792"/>
    <w:rsid w:val="00FE37E0"/>
    <w:rsid w:val="00FE38D0"/>
    <w:rsid w:val="00FE395B"/>
    <w:rsid w:val="00FE39E1"/>
    <w:rsid w:val="00FE3A18"/>
    <w:rsid w:val="00FE3A2E"/>
    <w:rsid w:val="00FE3A69"/>
    <w:rsid w:val="00FE3A8E"/>
    <w:rsid w:val="00FE3ACD"/>
    <w:rsid w:val="00FE3B3C"/>
    <w:rsid w:val="00FE3B5E"/>
    <w:rsid w:val="00FE3B70"/>
    <w:rsid w:val="00FE3B8C"/>
    <w:rsid w:val="00FE3BA5"/>
    <w:rsid w:val="00FE3BF5"/>
    <w:rsid w:val="00FE3C24"/>
    <w:rsid w:val="00FE3C4E"/>
    <w:rsid w:val="00FE3C5F"/>
    <w:rsid w:val="00FE3D06"/>
    <w:rsid w:val="00FE3D49"/>
    <w:rsid w:val="00FE3D6F"/>
    <w:rsid w:val="00FE3D96"/>
    <w:rsid w:val="00FE3DA9"/>
    <w:rsid w:val="00FE3E8F"/>
    <w:rsid w:val="00FE3EAA"/>
    <w:rsid w:val="00FE3EAE"/>
    <w:rsid w:val="00FE3ECA"/>
    <w:rsid w:val="00FE3ED2"/>
    <w:rsid w:val="00FE3F01"/>
    <w:rsid w:val="00FE3F18"/>
    <w:rsid w:val="00FE3F90"/>
    <w:rsid w:val="00FE4018"/>
    <w:rsid w:val="00FE4021"/>
    <w:rsid w:val="00FE40F0"/>
    <w:rsid w:val="00FE40FE"/>
    <w:rsid w:val="00FE414C"/>
    <w:rsid w:val="00FE41B3"/>
    <w:rsid w:val="00FE41E1"/>
    <w:rsid w:val="00FE41FB"/>
    <w:rsid w:val="00FE41FD"/>
    <w:rsid w:val="00FE4259"/>
    <w:rsid w:val="00FE4299"/>
    <w:rsid w:val="00FE42DC"/>
    <w:rsid w:val="00FE4350"/>
    <w:rsid w:val="00FE43A4"/>
    <w:rsid w:val="00FE4436"/>
    <w:rsid w:val="00FE4457"/>
    <w:rsid w:val="00FE44A7"/>
    <w:rsid w:val="00FE44CD"/>
    <w:rsid w:val="00FE44DA"/>
    <w:rsid w:val="00FE452E"/>
    <w:rsid w:val="00FE4588"/>
    <w:rsid w:val="00FE45A4"/>
    <w:rsid w:val="00FE45AE"/>
    <w:rsid w:val="00FE46C9"/>
    <w:rsid w:val="00FE46F2"/>
    <w:rsid w:val="00FE46F6"/>
    <w:rsid w:val="00FE4724"/>
    <w:rsid w:val="00FE4837"/>
    <w:rsid w:val="00FE48DF"/>
    <w:rsid w:val="00FE48F1"/>
    <w:rsid w:val="00FE495C"/>
    <w:rsid w:val="00FE49C4"/>
    <w:rsid w:val="00FE4A14"/>
    <w:rsid w:val="00FE4A27"/>
    <w:rsid w:val="00FE4A32"/>
    <w:rsid w:val="00FE4A42"/>
    <w:rsid w:val="00FE4A6C"/>
    <w:rsid w:val="00FE4A70"/>
    <w:rsid w:val="00FE4A91"/>
    <w:rsid w:val="00FE4B94"/>
    <w:rsid w:val="00FE4BF7"/>
    <w:rsid w:val="00FE4C60"/>
    <w:rsid w:val="00FE4CE7"/>
    <w:rsid w:val="00FE4D39"/>
    <w:rsid w:val="00FE4D3D"/>
    <w:rsid w:val="00FE4D45"/>
    <w:rsid w:val="00FE4D5C"/>
    <w:rsid w:val="00FE4D69"/>
    <w:rsid w:val="00FE4DD7"/>
    <w:rsid w:val="00FE4DE3"/>
    <w:rsid w:val="00FE4DF4"/>
    <w:rsid w:val="00FE4E6B"/>
    <w:rsid w:val="00FE4EA1"/>
    <w:rsid w:val="00FE4ED8"/>
    <w:rsid w:val="00FE4EE8"/>
    <w:rsid w:val="00FE4EF7"/>
    <w:rsid w:val="00FE4F0E"/>
    <w:rsid w:val="00FE4F10"/>
    <w:rsid w:val="00FE4F3D"/>
    <w:rsid w:val="00FE4F8E"/>
    <w:rsid w:val="00FE4FAF"/>
    <w:rsid w:val="00FE4FBA"/>
    <w:rsid w:val="00FE4FD2"/>
    <w:rsid w:val="00FE5024"/>
    <w:rsid w:val="00FE509F"/>
    <w:rsid w:val="00FE50DC"/>
    <w:rsid w:val="00FE5161"/>
    <w:rsid w:val="00FE51D6"/>
    <w:rsid w:val="00FE5262"/>
    <w:rsid w:val="00FE527E"/>
    <w:rsid w:val="00FE52D5"/>
    <w:rsid w:val="00FE5330"/>
    <w:rsid w:val="00FE5374"/>
    <w:rsid w:val="00FE53CE"/>
    <w:rsid w:val="00FE5400"/>
    <w:rsid w:val="00FE5453"/>
    <w:rsid w:val="00FE5472"/>
    <w:rsid w:val="00FE547C"/>
    <w:rsid w:val="00FE5497"/>
    <w:rsid w:val="00FE551D"/>
    <w:rsid w:val="00FE553F"/>
    <w:rsid w:val="00FE557A"/>
    <w:rsid w:val="00FE55EE"/>
    <w:rsid w:val="00FE5656"/>
    <w:rsid w:val="00FE5679"/>
    <w:rsid w:val="00FE56AD"/>
    <w:rsid w:val="00FE56C3"/>
    <w:rsid w:val="00FE56D2"/>
    <w:rsid w:val="00FE56E3"/>
    <w:rsid w:val="00FE5719"/>
    <w:rsid w:val="00FE571C"/>
    <w:rsid w:val="00FE577F"/>
    <w:rsid w:val="00FE579A"/>
    <w:rsid w:val="00FE57A4"/>
    <w:rsid w:val="00FE5835"/>
    <w:rsid w:val="00FE592B"/>
    <w:rsid w:val="00FE5993"/>
    <w:rsid w:val="00FE59FF"/>
    <w:rsid w:val="00FE5A59"/>
    <w:rsid w:val="00FE5A77"/>
    <w:rsid w:val="00FE5AF3"/>
    <w:rsid w:val="00FE5B19"/>
    <w:rsid w:val="00FE5C27"/>
    <w:rsid w:val="00FE5C8B"/>
    <w:rsid w:val="00FE5D2A"/>
    <w:rsid w:val="00FE5D96"/>
    <w:rsid w:val="00FE5D9B"/>
    <w:rsid w:val="00FE5DB0"/>
    <w:rsid w:val="00FE5DCB"/>
    <w:rsid w:val="00FE5DCE"/>
    <w:rsid w:val="00FE5E10"/>
    <w:rsid w:val="00FE5E4B"/>
    <w:rsid w:val="00FE5EA6"/>
    <w:rsid w:val="00FE5EA7"/>
    <w:rsid w:val="00FE5EB4"/>
    <w:rsid w:val="00FE5EE9"/>
    <w:rsid w:val="00FE5F1F"/>
    <w:rsid w:val="00FE5F24"/>
    <w:rsid w:val="00FE5FEF"/>
    <w:rsid w:val="00FE5FFB"/>
    <w:rsid w:val="00FE5FFE"/>
    <w:rsid w:val="00FE6036"/>
    <w:rsid w:val="00FE6064"/>
    <w:rsid w:val="00FE606E"/>
    <w:rsid w:val="00FE60D3"/>
    <w:rsid w:val="00FE614D"/>
    <w:rsid w:val="00FE6151"/>
    <w:rsid w:val="00FE618A"/>
    <w:rsid w:val="00FE6205"/>
    <w:rsid w:val="00FE621C"/>
    <w:rsid w:val="00FE62D1"/>
    <w:rsid w:val="00FE6339"/>
    <w:rsid w:val="00FE636A"/>
    <w:rsid w:val="00FE636B"/>
    <w:rsid w:val="00FE63EA"/>
    <w:rsid w:val="00FE63EB"/>
    <w:rsid w:val="00FE63FB"/>
    <w:rsid w:val="00FE6465"/>
    <w:rsid w:val="00FE648B"/>
    <w:rsid w:val="00FE64D0"/>
    <w:rsid w:val="00FE6566"/>
    <w:rsid w:val="00FE6571"/>
    <w:rsid w:val="00FE65B0"/>
    <w:rsid w:val="00FE65B6"/>
    <w:rsid w:val="00FE65F6"/>
    <w:rsid w:val="00FE666B"/>
    <w:rsid w:val="00FE668F"/>
    <w:rsid w:val="00FE66A6"/>
    <w:rsid w:val="00FE66AA"/>
    <w:rsid w:val="00FE66CB"/>
    <w:rsid w:val="00FE66E6"/>
    <w:rsid w:val="00FE6722"/>
    <w:rsid w:val="00FE679E"/>
    <w:rsid w:val="00FE67AF"/>
    <w:rsid w:val="00FE6810"/>
    <w:rsid w:val="00FE6818"/>
    <w:rsid w:val="00FE681B"/>
    <w:rsid w:val="00FE68AD"/>
    <w:rsid w:val="00FE68EA"/>
    <w:rsid w:val="00FE68F2"/>
    <w:rsid w:val="00FE6937"/>
    <w:rsid w:val="00FE6960"/>
    <w:rsid w:val="00FE6988"/>
    <w:rsid w:val="00FE69A4"/>
    <w:rsid w:val="00FE6A6F"/>
    <w:rsid w:val="00FE6A75"/>
    <w:rsid w:val="00FE6ACF"/>
    <w:rsid w:val="00FE6AEE"/>
    <w:rsid w:val="00FE6B3E"/>
    <w:rsid w:val="00FE6B79"/>
    <w:rsid w:val="00FE6B89"/>
    <w:rsid w:val="00FE6BEB"/>
    <w:rsid w:val="00FE6BFC"/>
    <w:rsid w:val="00FE6C16"/>
    <w:rsid w:val="00FE6C65"/>
    <w:rsid w:val="00FE6C6A"/>
    <w:rsid w:val="00FE6CA7"/>
    <w:rsid w:val="00FE6CCB"/>
    <w:rsid w:val="00FE6DE7"/>
    <w:rsid w:val="00FE6E99"/>
    <w:rsid w:val="00FE6EA7"/>
    <w:rsid w:val="00FE6F0A"/>
    <w:rsid w:val="00FE6F19"/>
    <w:rsid w:val="00FE6F99"/>
    <w:rsid w:val="00FE6FF3"/>
    <w:rsid w:val="00FE706B"/>
    <w:rsid w:val="00FE7107"/>
    <w:rsid w:val="00FE7183"/>
    <w:rsid w:val="00FE71F0"/>
    <w:rsid w:val="00FE7208"/>
    <w:rsid w:val="00FE7263"/>
    <w:rsid w:val="00FE7292"/>
    <w:rsid w:val="00FE72F1"/>
    <w:rsid w:val="00FE739F"/>
    <w:rsid w:val="00FE73EC"/>
    <w:rsid w:val="00FE7436"/>
    <w:rsid w:val="00FE7473"/>
    <w:rsid w:val="00FE7566"/>
    <w:rsid w:val="00FE75A2"/>
    <w:rsid w:val="00FE75C6"/>
    <w:rsid w:val="00FE75E2"/>
    <w:rsid w:val="00FE75E8"/>
    <w:rsid w:val="00FE7609"/>
    <w:rsid w:val="00FE761E"/>
    <w:rsid w:val="00FE7627"/>
    <w:rsid w:val="00FE7655"/>
    <w:rsid w:val="00FE7670"/>
    <w:rsid w:val="00FE7696"/>
    <w:rsid w:val="00FE76E1"/>
    <w:rsid w:val="00FE777D"/>
    <w:rsid w:val="00FE7849"/>
    <w:rsid w:val="00FE7851"/>
    <w:rsid w:val="00FE786F"/>
    <w:rsid w:val="00FE791A"/>
    <w:rsid w:val="00FE79C4"/>
    <w:rsid w:val="00FE79EF"/>
    <w:rsid w:val="00FE7A5D"/>
    <w:rsid w:val="00FE7A85"/>
    <w:rsid w:val="00FE7AB3"/>
    <w:rsid w:val="00FE7B11"/>
    <w:rsid w:val="00FE7B3E"/>
    <w:rsid w:val="00FE7B8D"/>
    <w:rsid w:val="00FE7B9F"/>
    <w:rsid w:val="00FE7BC3"/>
    <w:rsid w:val="00FE7C1A"/>
    <w:rsid w:val="00FE7C25"/>
    <w:rsid w:val="00FE7C3C"/>
    <w:rsid w:val="00FE7C53"/>
    <w:rsid w:val="00FE7C5F"/>
    <w:rsid w:val="00FE7C77"/>
    <w:rsid w:val="00FE7CF2"/>
    <w:rsid w:val="00FE7D72"/>
    <w:rsid w:val="00FE7E02"/>
    <w:rsid w:val="00FE7E3F"/>
    <w:rsid w:val="00FE7E5A"/>
    <w:rsid w:val="00FE7E70"/>
    <w:rsid w:val="00FE7E99"/>
    <w:rsid w:val="00FE7EE5"/>
    <w:rsid w:val="00FE7F09"/>
    <w:rsid w:val="00FE7F0A"/>
    <w:rsid w:val="00FE7F37"/>
    <w:rsid w:val="00FE7F72"/>
    <w:rsid w:val="00FE7F94"/>
    <w:rsid w:val="00FE7FB1"/>
    <w:rsid w:val="00FF000A"/>
    <w:rsid w:val="00FF0056"/>
    <w:rsid w:val="00FF005B"/>
    <w:rsid w:val="00FF005D"/>
    <w:rsid w:val="00FF00A0"/>
    <w:rsid w:val="00FF00E5"/>
    <w:rsid w:val="00FF0106"/>
    <w:rsid w:val="00FF014E"/>
    <w:rsid w:val="00FF0164"/>
    <w:rsid w:val="00FF016B"/>
    <w:rsid w:val="00FF01B8"/>
    <w:rsid w:val="00FF01D1"/>
    <w:rsid w:val="00FF0201"/>
    <w:rsid w:val="00FF0215"/>
    <w:rsid w:val="00FF021C"/>
    <w:rsid w:val="00FF023A"/>
    <w:rsid w:val="00FF0240"/>
    <w:rsid w:val="00FF027B"/>
    <w:rsid w:val="00FF02E3"/>
    <w:rsid w:val="00FF02F9"/>
    <w:rsid w:val="00FF02FD"/>
    <w:rsid w:val="00FF0327"/>
    <w:rsid w:val="00FF034F"/>
    <w:rsid w:val="00FF039A"/>
    <w:rsid w:val="00FF03FC"/>
    <w:rsid w:val="00FF0458"/>
    <w:rsid w:val="00FF051D"/>
    <w:rsid w:val="00FF052F"/>
    <w:rsid w:val="00FF05F1"/>
    <w:rsid w:val="00FF06D6"/>
    <w:rsid w:val="00FF0705"/>
    <w:rsid w:val="00FF071D"/>
    <w:rsid w:val="00FF076B"/>
    <w:rsid w:val="00FF07F2"/>
    <w:rsid w:val="00FF080B"/>
    <w:rsid w:val="00FF0834"/>
    <w:rsid w:val="00FF083B"/>
    <w:rsid w:val="00FF086E"/>
    <w:rsid w:val="00FF08A1"/>
    <w:rsid w:val="00FF08E6"/>
    <w:rsid w:val="00FF092E"/>
    <w:rsid w:val="00FF0963"/>
    <w:rsid w:val="00FF096A"/>
    <w:rsid w:val="00FF09CF"/>
    <w:rsid w:val="00FF09D3"/>
    <w:rsid w:val="00FF09D7"/>
    <w:rsid w:val="00FF09EF"/>
    <w:rsid w:val="00FF0AB1"/>
    <w:rsid w:val="00FF0AE5"/>
    <w:rsid w:val="00FF0B71"/>
    <w:rsid w:val="00FF0C3D"/>
    <w:rsid w:val="00FF0C61"/>
    <w:rsid w:val="00FF0C62"/>
    <w:rsid w:val="00FF0C65"/>
    <w:rsid w:val="00FF0C69"/>
    <w:rsid w:val="00FF0C7E"/>
    <w:rsid w:val="00FF0C85"/>
    <w:rsid w:val="00FF0C90"/>
    <w:rsid w:val="00FF0CD4"/>
    <w:rsid w:val="00FF0D4D"/>
    <w:rsid w:val="00FF0D5C"/>
    <w:rsid w:val="00FF0D65"/>
    <w:rsid w:val="00FF0DBE"/>
    <w:rsid w:val="00FF0DF0"/>
    <w:rsid w:val="00FF0E18"/>
    <w:rsid w:val="00FF0E6E"/>
    <w:rsid w:val="00FF0EE5"/>
    <w:rsid w:val="00FF0F50"/>
    <w:rsid w:val="00FF0F74"/>
    <w:rsid w:val="00FF0FE0"/>
    <w:rsid w:val="00FF1010"/>
    <w:rsid w:val="00FF1011"/>
    <w:rsid w:val="00FF1096"/>
    <w:rsid w:val="00FF111E"/>
    <w:rsid w:val="00FF1141"/>
    <w:rsid w:val="00FF1178"/>
    <w:rsid w:val="00FF1260"/>
    <w:rsid w:val="00FF132B"/>
    <w:rsid w:val="00FF1377"/>
    <w:rsid w:val="00FF13BC"/>
    <w:rsid w:val="00FF13F2"/>
    <w:rsid w:val="00FF140E"/>
    <w:rsid w:val="00FF1418"/>
    <w:rsid w:val="00FF146F"/>
    <w:rsid w:val="00FF1476"/>
    <w:rsid w:val="00FF1489"/>
    <w:rsid w:val="00FF1493"/>
    <w:rsid w:val="00FF1498"/>
    <w:rsid w:val="00FF14A5"/>
    <w:rsid w:val="00FF14A8"/>
    <w:rsid w:val="00FF14B4"/>
    <w:rsid w:val="00FF14C6"/>
    <w:rsid w:val="00FF14D7"/>
    <w:rsid w:val="00FF14F3"/>
    <w:rsid w:val="00FF1514"/>
    <w:rsid w:val="00FF153F"/>
    <w:rsid w:val="00FF1551"/>
    <w:rsid w:val="00FF15B4"/>
    <w:rsid w:val="00FF15CE"/>
    <w:rsid w:val="00FF15CF"/>
    <w:rsid w:val="00FF1600"/>
    <w:rsid w:val="00FF163E"/>
    <w:rsid w:val="00FF166D"/>
    <w:rsid w:val="00FF16B2"/>
    <w:rsid w:val="00FF1737"/>
    <w:rsid w:val="00FF175F"/>
    <w:rsid w:val="00FF1774"/>
    <w:rsid w:val="00FF1783"/>
    <w:rsid w:val="00FF1794"/>
    <w:rsid w:val="00FF17BD"/>
    <w:rsid w:val="00FF1831"/>
    <w:rsid w:val="00FF185C"/>
    <w:rsid w:val="00FF1895"/>
    <w:rsid w:val="00FF18FF"/>
    <w:rsid w:val="00FF1903"/>
    <w:rsid w:val="00FF1A1E"/>
    <w:rsid w:val="00FF1AC1"/>
    <w:rsid w:val="00FF1B72"/>
    <w:rsid w:val="00FF1BB9"/>
    <w:rsid w:val="00FF1BE3"/>
    <w:rsid w:val="00FF1C40"/>
    <w:rsid w:val="00FF1C60"/>
    <w:rsid w:val="00FF1C7A"/>
    <w:rsid w:val="00FF1CAB"/>
    <w:rsid w:val="00FF1CF1"/>
    <w:rsid w:val="00FF1CF7"/>
    <w:rsid w:val="00FF1D1B"/>
    <w:rsid w:val="00FF1D27"/>
    <w:rsid w:val="00FF1D40"/>
    <w:rsid w:val="00FF1D52"/>
    <w:rsid w:val="00FF1D9B"/>
    <w:rsid w:val="00FF1DAA"/>
    <w:rsid w:val="00FF1E21"/>
    <w:rsid w:val="00FF1E71"/>
    <w:rsid w:val="00FF1E7E"/>
    <w:rsid w:val="00FF1E8E"/>
    <w:rsid w:val="00FF1E9F"/>
    <w:rsid w:val="00FF1F7F"/>
    <w:rsid w:val="00FF1FAB"/>
    <w:rsid w:val="00FF1FEA"/>
    <w:rsid w:val="00FF2053"/>
    <w:rsid w:val="00FF2066"/>
    <w:rsid w:val="00FF207F"/>
    <w:rsid w:val="00FF2096"/>
    <w:rsid w:val="00FF20CA"/>
    <w:rsid w:val="00FF2112"/>
    <w:rsid w:val="00FF2170"/>
    <w:rsid w:val="00FF21B5"/>
    <w:rsid w:val="00FF21ED"/>
    <w:rsid w:val="00FF2206"/>
    <w:rsid w:val="00FF2246"/>
    <w:rsid w:val="00FF22E1"/>
    <w:rsid w:val="00FF2354"/>
    <w:rsid w:val="00FF2393"/>
    <w:rsid w:val="00FF2425"/>
    <w:rsid w:val="00FF2439"/>
    <w:rsid w:val="00FF2457"/>
    <w:rsid w:val="00FF2487"/>
    <w:rsid w:val="00FF24A1"/>
    <w:rsid w:val="00FF24AD"/>
    <w:rsid w:val="00FF24D2"/>
    <w:rsid w:val="00FF24D3"/>
    <w:rsid w:val="00FF24D7"/>
    <w:rsid w:val="00FF250C"/>
    <w:rsid w:val="00FF2524"/>
    <w:rsid w:val="00FF256B"/>
    <w:rsid w:val="00FF258D"/>
    <w:rsid w:val="00FF259D"/>
    <w:rsid w:val="00FF25A7"/>
    <w:rsid w:val="00FF25CB"/>
    <w:rsid w:val="00FF25D1"/>
    <w:rsid w:val="00FF2614"/>
    <w:rsid w:val="00FF2632"/>
    <w:rsid w:val="00FF2656"/>
    <w:rsid w:val="00FF2707"/>
    <w:rsid w:val="00FF2720"/>
    <w:rsid w:val="00FF2793"/>
    <w:rsid w:val="00FF27D8"/>
    <w:rsid w:val="00FF2816"/>
    <w:rsid w:val="00FF2824"/>
    <w:rsid w:val="00FF282C"/>
    <w:rsid w:val="00FF286C"/>
    <w:rsid w:val="00FF287A"/>
    <w:rsid w:val="00FF293E"/>
    <w:rsid w:val="00FF297C"/>
    <w:rsid w:val="00FF2980"/>
    <w:rsid w:val="00FF29AF"/>
    <w:rsid w:val="00FF29B3"/>
    <w:rsid w:val="00FF2AB1"/>
    <w:rsid w:val="00FF2AE0"/>
    <w:rsid w:val="00FF2BDF"/>
    <w:rsid w:val="00FF2BFF"/>
    <w:rsid w:val="00FF2C29"/>
    <w:rsid w:val="00FF2C40"/>
    <w:rsid w:val="00FF2C5F"/>
    <w:rsid w:val="00FF2C94"/>
    <w:rsid w:val="00FF2CE2"/>
    <w:rsid w:val="00FF2CF7"/>
    <w:rsid w:val="00FF2D26"/>
    <w:rsid w:val="00FF2E23"/>
    <w:rsid w:val="00FF2E4F"/>
    <w:rsid w:val="00FF2E65"/>
    <w:rsid w:val="00FF2E7B"/>
    <w:rsid w:val="00FF2EE9"/>
    <w:rsid w:val="00FF2EFF"/>
    <w:rsid w:val="00FF2F9D"/>
    <w:rsid w:val="00FF2FC9"/>
    <w:rsid w:val="00FF2FF6"/>
    <w:rsid w:val="00FF2FFC"/>
    <w:rsid w:val="00FF301D"/>
    <w:rsid w:val="00FF3021"/>
    <w:rsid w:val="00FF3031"/>
    <w:rsid w:val="00FF3059"/>
    <w:rsid w:val="00FF306A"/>
    <w:rsid w:val="00FF3097"/>
    <w:rsid w:val="00FF30EE"/>
    <w:rsid w:val="00FF3101"/>
    <w:rsid w:val="00FF313C"/>
    <w:rsid w:val="00FF316A"/>
    <w:rsid w:val="00FF31F8"/>
    <w:rsid w:val="00FF321D"/>
    <w:rsid w:val="00FF32D1"/>
    <w:rsid w:val="00FF330B"/>
    <w:rsid w:val="00FF3358"/>
    <w:rsid w:val="00FF337F"/>
    <w:rsid w:val="00FF33DB"/>
    <w:rsid w:val="00FF33F5"/>
    <w:rsid w:val="00FF33F8"/>
    <w:rsid w:val="00FF3413"/>
    <w:rsid w:val="00FF3431"/>
    <w:rsid w:val="00FF3506"/>
    <w:rsid w:val="00FF3536"/>
    <w:rsid w:val="00FF3658"/>
    <w:rsid w:val="00FF3662"/>
    <w:rsid w:val="00FF367C"/>
    <w:rsid w:val="00FF3745"/>
    <w:rsid w:val="00FF3760"/>
    <w:rsid w:val="00FF3778"/>
    <w:rsid w:val="00FF37F1"/>
    <w:rsid w:val="00FF381D"/>
    <w:rsid w:val="00FF386D"/>
    <w:rsid w:val="00FF38B5"/>
    <w:rsid w:val="00FF38D2"/>
    <w:rsid w:val="00FF38E1"/>
    <w:rsid w:val="00FF38EB"/>
    <w:rsid w:val="00FF39B9"/>
    <w:rsid w:val="00FF39DF"/>
    <w:rsid w:val="00FF3A05"/>
    <w:rsid w:val="00FF3A2F"/>
    <w:rsid w:val="00FF3A53"/>
    <w:rsid w:val="00FF3A7B"/>
    <w:rsid w:val="00FF3AA7"/>
    <w:rsid w:val="00FF3B1F"/>
    <w:rsid w:val="00FF3B3E"/>
    <w:rsid w:val="00FF3BF1"/>
    <w:rsid w:val="00FF3BFF"/>
    <w:rsid w:val="00FF3C23"/>
    <w:rsid w:val="00FF3C2C"/>
    <w:rsid w:val="00FF3D17"/>
    <w:rsid w:val="00FF3D8C"/>
    <w:rsid w:val="00FF3DD2"/>
    <w:rsid w:val="00FF3E1B"/>
    <w:rsid w:val="00FF3F6A"/>
    <w:rsid w:val="00FF3F97"/>
    <w:rsid w:val="00FF3FC3"/>
    <w:rsid w:val="00FF4007"/>
    <w:rsid w:val="00FF4018"/>
    <w:rsid w:val="00FF401C"/>
    <w:rsid w:val="00FF4062"/>
    <w:rsid w:val="00FF4080"/>
    <w:rsid w:val="00FF408B"/>
    <w:rsid w:val="00FF40CE"/>
    <w:rsid w:val="00FF40E1"/>
    <w:rsid w:val="00FF41AA"/>
    <w:rsid w:val="00FF41BF"/>
    <w:rsid w:val="00FF4200"/>
    <w:rsid w:val="00FF423E"/>
    <w:rsid w:val="00FF42A4"/>
    <w:rsid w:val="00FF4349"/>
    <w:rsid w:val="00FF434E"/>
    <w:rsid w:val="00FF4379"/>
    <w:rsid w:val="00FF4397"/>
    <w:rsid w:val="00FF43C3"/>
    <w:rsid w:val="00FF43DE"/>
    <w:rsid w:val="00FF43F2"/>
    <w:rsid w:val="00FF4436"/>
    <w:rsid w:val="00FF443F"/>
    <w:rsid w:val="00FF4441"/>
    <w:rsid w:val="00FF44FB"/>
    <w:rsid w:val="00FF4584"/>
    <w:rsid w:val="00FF45A7"/>
    <w:rsid w:val="00FF464E"/>
    <w:rsid w:val="00FF46C4"/>
    <w:rsid w:val="00FF46DA"/>
    <w:rsid w:val="00FF4707"/>
    <w:rsid w:val="00FF471F"/>
    <w:rsid w:val="00FF47F0"/>
    <w:rsid w:val="00FF484A"/>
    <w:rsid w:val="00FF4872"/>
    <w:rsid w:val="00FF488B"/>
    <w:rsid w:val="00FF48A2"/>
    <w:rsid w:val="00FF48BB"/>
    <w:rsid w:val="00FF48DA"/>
    <w:rsid w:val="00FF4963"/>
    <w:rsid w:val="00FF4995"/>
    <w:rsid w:val="00FF49B0"/>
    <w:rsid w:val="00FF4A39"/>
    <w:rsid w:val="00FF4AE3"/>
    <w:rsid w:val="00FF4B3B"/>
    <w:rsid w:val="00FF4B3C"/>
    <w:rsid w:val="00FF4B5F"/>
    <w:rsid w:val="00FF4C98"/>
    <w:rsid w:val="00FF4CB6"/>
    <w:rsid w:val="00FF4CCB"/>
    <w:rsid w:val="00FF4CF6"/>
    <w:rsid w:val="00FF4D12"/>
    <w:rsid w:val="00FF4D32"/>
    <w:rsid w:val="00FF4D47"/>
    <w:rsid w:val="00FF4D8C"/>
    <w:rsid w:val="00FF4DE9"/>
    <w:rsid w:val="00FF4E1E"/>
    <w:rsid w:val="00FF4E5D"/>
    <w:rsid w:val="00FF4EB2"/>
    <w:rsid w:val="00FF4ECF"/>
    <w:rsid w:val="00FF4F34"/>
    <w:rsid w:val="00FF4F78"/>
    <w:rsid w:val="00FF4FAD"/>
    <w:rsid w:val="00FF4FD4"/>
    <w:rsid w:val="00FF4FF4"/>
    <w:rsid w:val="00FF4FF5"/>
    <w:rsid w:val="00FF5043"/>
    <w:rsid w:val="00FF5070"/>
    <w:rsid w:val="00FF51C2"/>
    <w:rsid w:val="00FF5216"/>
    <w:rsid w:val="00FF5256"/>
    <w:rsid w:val="00FF52BF"/>
    <w:rsid w:val="00FF52D7"/>
    <w:rsid w:val="00FF535F"/>
    <w:rsid w:val="00FF539A"/>
    <w:rsid w:val="00FF53A5"/>
    <w:rsid w:val="00FF53A6"/>
    <w:rsid w:val="00FF5418"/>
    <w:rsid w:val="00FF552D"/>
    <w:rsid w:val="00FF5533"/>
    <w:rsid w:val="00FF55E0"/>
    <w:rsid w:val="00FF55FC"/>
    <w:rsid w:val="00FF5608"/>
    <w:rsid w:val="00FF5615"/>
    <w:rsid w:val="00FF5632"/>
    <w:rsid w:val="00FF56E6"/>
    <w:rsid w:val="00FF5714"/>
    <w:rsid w:val="00FF5804"/>
    <w:rsid w:val="00FF5811"/>
    <w:rsid w:val="00FF5828"/>
    <w:rsid w:val="00FF5846"/>
    <w:rsid w:val="00FF5851"/>
    <w:rsid w:val="00FF5857"/>
    <w:rsid w:val="00FF585C"/>
    <w:rsid w:val="00FF5877"/>
    <w:rsid w:val="00FF58A0"/>
    <w:rsid w:val="00FF58C6"/>
    <w:rsid w:val="00FF5929"/>
    <w:rsid w:val="00FF5950"/>
    <w:rsid w:val="00FF59A9"/>
    <w:rsid w:val="00FF5A56"/>
    <w:rsid w:val="00FF5A6D"/>
    <w:rsid w:val="00FF5ABD"/>
    <w:rsid w:val="00FF5B99"/>
    <w:rsid w:val="00FF5BA5"/>
    <w:rsid w:val="00FF5BB2"/>
    <w:rsid w:val="00FF5C1C"/>
    <w:rsid w:val="00FF5CEE"/>
    <w:rsid w:val="00FF5D55"/>
    <w:rsid w:val="00FF5D89"/>
    <w:rsid w:val="00FF5E46"/>
    <w:rsid w:val="00FF5E4D"/>
    <w:rsid w:val="00FF5E57"/>
    <w:rsid w:val="00FF5E86"/>
    <w:rsid w:val="00FF5E8D"/>
    <w:rsid w:val="00FF5E94"/>
    <w:rsid w:val="00FF5F25"/>
    <w:rsid w:val="00FF5F31"/>
    <w:rsid w:val="00FF5F4D"/>
    <w:rsid w:val="00FF5F56"/>
    <w:rsid w:val="00FF5F94"/>
    <w:rsid w:val="00FF6017"/>
    <w:rsid w:val="00FF6045"/>
    <w:rsid w:val="00FF6077"/>
    <w:rsid w:val="00FF60FD"/>
    <w:rsid w:val="00FF6107"/>
    <w:rsid w:val="00FF6119"/>
    <w:rsid w:val="00FF616C"/>
    <w:rsid w:val="00FF6189"/>
    <w:rsid w:val="00FF6220"/>
    <w:rsid w:val="00FF6286"/>
    <w:rsid w:val="00FF6297"/>
    <w:rsid w:val="00FF6341"/>
    <w:rsid w:val="00FF6368"/>
    <w:rsid w:val="00FF63D2"/>
    <w:rsid w:val="00FF63D4"/>
    <w:rsid w:val="00FF63F3"/>
    <w:rsid w:val="00FF63FD"/>
    <w:rsid w:val="00FF6407"/>
    <w:rsid w:val="00FF640D"/>
    <w:rsid w:val="00FF64D9"/>
    <w:rsid w:val="00FF64EE"/>
    <w:rsid w:val="00FF650C"/>
    <w:rsid w:val="00FF655A"/>
    <w:rsid w:val="00FF656D"/>
    <w:rsid w:val="00FF6585"/>
    <w:rsid w:val="00FF65A1"/>
    <w:rsid w:val="00FF65A9"/>
    <w:rsid w:val="00FF65D2"/>
    <w:rsid w:val="00FF66F8"/>
    <w:rsid w:val="00FF66FC"/>
    <w:rsid w:val="00FF674D"/>
    <w:rsid w:val="00FF67B0"/>
    <w:rsid w:val="00FF67C1"/>
    <w:rsid w:val="00FF67F1"/>
    <w:rsid w:val="00FF6817"/>
    <w:rsid w:val="00FF689A"/>
    <w:rsid w:val="00FF68AD"/>
    <w:rsid w:val="00FF68D5"/>
    <w:rsid w:val="00FF6952"/>
    <w:rsid w:val="00FF69F3"/>
    <w:rsid w:val="00FF6A04"/>
    <w:rsid w:val="00FF6A6B"/>
    <w:rsid w:val="00FF6B28"/>
    <w:rsid w:val="00FF6B83"/>
    <w:rsid w:val="00FF6BC3"/>
    <w:rsid w:val="00FF6BDB"/>
    <w:rsid w:val="00FF6BEE"/>
    <w:rsid w:val="00FF6C03"/>
    <w:rsid w:val="00FF6C18"/>
    <w:rsid w:val="00FF6CAA"/>
    <w:rsid w:val="00FF6CAB"/>
    <w:rsid w:val="00FF6CDA"/>
    <w:rsid w:val="00FF6D00"/>
    <w:rsid w:val="00FF6D4A"/>
    <w:rsid w:val="00FF6DBE"/>
    <w:rsid w:val="00FF6DE6"/>
    <w:rsid w:val="00FF6E1A"/>
    <w:rsid w:val="00FF6E5D"/>
    <w:rsid w:val="00FF6E67"/>
    <w:rsid w:val="00FF6EC7"/>
    <w:rsid w:val="00FF6EDD"/>
    <w:rsid w:val="00FF6F2D"/>
    <w:rsid w:val="00FF6F84"/>
    <w:rsid w:val="00FF6FCB"/>
    <w:rsid w:val="00FF7005"/>
    <w:rsid w:val="00FF702A"/>
    <w:rsid w:val="00FF70A0"/>
    <w:rsid w:val="00FF70A2"/>
    <w:rsid w:val="00FF70AF"/>
    <w:rsid w:val="00FF70D1"/>
    <w:rsid w:val="00FF7109"/>
    <w:rsid w:val="00FF725F"/>
    <w:rsid w:val="00FF7284"/>
    <w:rsid w:val="00FF72C2"/>
    <w:rsid w:val="00FF73B8"/>
    <w:rsid w:val="00FF7417"/>
    <w:rsid w:val="00FF7418"/>
    <w:rsid w:val="00FF7448"/>
    <w:rsid w:val="00FF7527"/>
    <w:rsid w:val="00FF7528"/>
    <w:rsid w:val="00FF754C"/>
    <w:rsid w:val="00FF7567"/>
    <w:rsid w:val="00FF757E"/>
    <w:rsid w:val="00FF7580"/>
    <w:rsid w:val="00FF7585"/>
    <w:rsid w:val="00FF7592"/>
    <w:rsid w:val="00FF75C2"/>
    <w:rsid w:val="00FF75CB"/>
    <w:rsid w:val="00FF7604"/>
    <w:rsid w:val="00FF7672"/>
    <w:rsid w:val="00FF768F"/>
    <w:rsid w:val="00FF76C9"/>
    <w:rsid w:val="00FF7701"/>
    <w:rsid w:val="00FF775E"/>
    <w:rsid w:val="00FF777C"/>
    <w:rsid w:val="00FF778D"/>
    <w:rsid w:val="00FF7798"/>
    <w:rsid w:val="00FF77B9"/>
    <w:rsid w:val="00FF77EA"/>
    <w:rsid w:val="00FF77F2"/>
    <w:rsid w:val="00FF77F4"/>
    <w:rsid w:val="00FF785C"/>
    <w:rsid w:val="00FF7892"/>
    <w:rsid w:val="00FF7914"/>
    <w:rsid w:val="00FF7919"/>
    <w:rsid w:val="00FF7936"/>
    <w:rsid w:val="00FF793D"/>
    <w:rsid w:val="00FF7940"/>
    <w:rsid w:val="00FF796E"/>
    <w:rsid w:val="00FF7979"/>
    <w:rsid w:val="00FF799C"/>
    <w:rsid w:val="00FF7A68"/>
    <w:rsid w:val="00FF7B02"/>
    <w:rsid w:val="00FF7B1B"/>
    <w:rsid w:val="00FF7B79"/>
    <w:rsid w:val="00FF7C3A"/>
    <w:rsid w:val="00FF7C6F"/>
    <w:rsid w:val="00FF7C87"/>
    <w:rsid w:val="00FF7D24"/>
    <w:rsid w:val="00FF7D61"/>
    <w:rsid w:val="00FF7D93"/>
    <w:rsid w:val="00FF7DF7"/>
    <w:rsid w:val="00FF7E63"/>
    <w:rsid w:val="00FF7ECC"/>
    <w:rsid w:val="00FF7ECD"/>
    <w:rsid w:val="00FF7F46"/>
    <w:rsid w:val="00FF7F53"/>
    <w:rsid w:val="00FF7F7B"/>
    <w:rsid w:val="00FF7FAB"/>
    <w:rsid w:val="00FF7FB8"/>
    <w:rsid w:val="00FF7FD2"/>
    <w:rsid w:val="0184320D"/>
    <w:rsid w:val="025002A6"/>
    <w:rsid w:val="0298C35A"/>
    <w:rsid w:val="02CC15BF"/>
    <w:rsid w:val="03C46A11"/>
    <w:rsid w:val="045A6386"/>
    <w:rsid w:val="04A464F6"/>
    <w:rsid w:val="04A6130B"/>
    <w:rsid w:val="04FC7C35"/>
    <w:rsid w:val="055954AD"/>
    <w:rsid w:val="05A3905A"/>
    <w:rsid w:val="05BA2C1D"/>
    <w:rsid w:val="060AFF16"/>
    <w:rsid w:val="0627FDA6"/>
    <w:rsid w:val="063241BD"/>
    <w:rsid w:val="064897E3"/>
    <w:rsid w:val="069B6B0C"/>
    <w:rsid w:val="06B0340B"/>
    <w:rsid w:val="06F03AAE"/>
    <w:rsid w:val="081DE399"/>
    <w:rsid w:val="084FCF22"/>
    <w:rsid w:val="09556646"/>
    <w:rsid w:val="097BADA6"/>
    <w:rsid w:val="0984A52A"/>
    <w:rsid w:val="09C4335A"/>
    <w:rsid w:val="0A78B15C"/>
    <w:rsid w:val="0B62D6F0"/>
    <w:rsid w:val="0B8CAB5B"/>
    <w:rsid w:val="0C22CDF7"/>
    <w:rsid w:val="0C804C5A"/>
    <w:rsid w:val="0CC4B537"/>
    <w:rsid w:val="0CD3629E"/>
    <w:rsid w:val="0D2F9739"/>
    <w:rsid w:val="0D5ED350"/>
    <w:rsid w:val="0DD5B2C7"/>
    <w:rsid w:val="0E3AF3D1"/>
    <w:rsid w:val="0E890BE3"/>
    <w:rsid w:val="0EE9C675"/>
    <w:rsid w:val="0EF55D1D"/>
    <w:rsid w:val="0F2FC65E"/>
    <w:rsid w:val="0F77E6AA"/>
    <w:rsid w:val="0FD11674"/>
    <w:rsid w:val="101330B5"/>
    <w:rsid w:val="10161E03"/>
    <w:rsid w:val="107E9A99"/>
    <w:rsid w:val="113A2D11"/>
    <w:rsid w:val="11DE5CA8"/>
    <w:rsid w:val="12A9BB83"/>
    <w:rsid w:val="12CEE5E7"/>
    <w:rsid w:val="13348BAF"/>
    <w:rsid w:val="13DC5947"/>
    <w:rsid w:val="1452A9F4"/>
    <w:rsid w:val="14766F00"/>
    <w:rsid w:val="14CC51AB"/>
    <w:rsid w:val="159F53A0"/>
    <w:rsid w:val="15C3F3BA"/>
    <w:rsid w:val="15EFE58A"/>
    <w:rsid w:val="1601C802"/>
    <w:rsid w:val="16A5138D"/>
    <w:rsid w:val="16AFA897"/>
    <w:rsid w:val="16D7009C"/>
    <w:rsid w:val="178BF066"/>
    <w:rsid w:val="17FD152B"/>
    <w:rsid w:val="19508A33"/>
    <w:rsid w:val="1A160384"/>
    <w:rsid w:val="1A77AA01"/>
    <w:rsid w:val="1AC62331"/>
    <w:rsid w:val="1B24C141"/>
    <w:rsid w:val="1B72DA77"/>
    <w:rsid w:val="1BCB0D6A"/>
    <w:rsid w:val="1BD86B5E"/>
    <w:rsid w:val="1C72A8BD"/>
    <w:rsid w:val="1D53A2C8"/>
    <w:rsid w:val="1DADFEB4"/>
    <w:rsid w:val="1DD238B7"/>
    <w:rsid w:val="1DFF59FC"/>
    <w:rsid w:val="1E28396F"/>
    <w:rsid w:val="1E2B72AD"/>
    <w:rsid w:val="1E78E0A8"/>
    <w:rsid w:val="1E92D9C5"/>
    <w:rsid w:val="1E9EF415"/>
    <w:rsid w:val="1EBD9022"/>
    <w:rsid w:val="1F0286E9"/>
    <w:rsid w:val="1F2D3371"/>
    <w:rsid w:val="1F335F2C"/>
    <w:rsid w:val="1F4D8CBF"/>
    <w:rsid w:val="2028EA60"/>
    <w:rsid w:val="20575163"/>
    <w:rsid w:val="20650094"/>
    <w:rsid w:val="20B5BB0E"/>
    <w:rsid w:val="20FCC9C2"/>
    <w:rsid w:val="212BEEF2"/>
    <w:rsid w:val="21849F84"/>
    <w:rsid w:val="21A525BC"/>
    <w:rsid w:val="221EEAB9"/>
    <w:rsid w:val="2261E651"/>
    <w:rsid w:val="22B00814"/>
    <w:rsid w:val="22CA53DF"/>
    <w:rsid w:val="22E326E5"/>
    <w:rsid w:val="2370F81C"/>
    <w:rsid w:val="239791AA"/>
    <w:rsid w:val="23A5B6B7"/>
    <w:rsid w:val="253DC683"/>
    <w:rsid w:val="254AF283"/>
    <w:rsid w:val="2635E046"/>
    <w:rsid w:val="26FA76EF"/>
    <w:rsid w:val="27053875"/>
    <w:rsid w:val="272115B5"/>
    <w:rsid w:val="27D16961"/>
    <w:rsid w:val="2863A949"/>
    <w:rsid w:val="28795A37"/>
    <w:rsid w:val="28AB70D4"/>
    <w:rsid w:val="291B22C6"/>
    <w:rsid w:val="2A074F4B"/>
    <w:rsid w:val="2AB7F57E"/>
    <w:rsid w:val="2AD4B2A1"/>
    <w:rsid w:val="2AF8B707"/>
    <w:rsid w:val="2B350122"/>
    <w:rsid w:val="2C1611D3"/>
    <w:rsid w:val="2C54408C"/>
    <w:rsid w:val="2C5D6BA3"/>
    <w:rsid w:val="2C92167C"/>
    <w:rsid w:val="2C9B5E8B"/>
    <w:rsid w:val="2CC65F62"/>
    <w:rsid w:val="2D3B44DC"/>
    <w:rsid w:val="2DA799CE"/>
    <w:rsid w:val="2DDFB2F9"/>
    <w:rsid w:val="2E3853D1"/>
    <w:rsid w:val="2F0FE58E"/>
    <w:rsid w:val="3003A874"/>
    <w:rsid w:val="304D844A"/>
    <w:rsid w:val="3078FE33"/>
    <w:rsid w:val="31167E46"/>
    <w:rsid w:val="313596B2"/>
    <w:rsid w:val="31AD92F9"/>
    <w:rsid w:val="330A8173"/>
    <w:rsid w:val="33264BD4"/>
    <w:rsid w:val="3335642F"/>
    <w:rsid w:val="33C40BED"/>
    <w:rsid w:val="343E42E6"/>
    <w:rsid w:val="343EEC7F"/>
    <w:rsid w:val="3440C0B9"/>
    <w:rsid w:val="344CEC93"/>
    <w:rsid w:val="34F0CA4B"/>
    <w:rsid w:val="351D9416"/>
    <w:rsid w:val="35AB1D19"/>
    <w:rsid w:val="35B3587E"/>
    <w:rsid w:val="35FB5CD2"/>
    <w:rsid w:val="3644D84D"/>
    <w:rsid w:val="3683A0B6"/>
    <w:rsid w:val="36AB381B"/>
    <w:rsid w:val="36F2E194"/>
    <w:rsid w:val="37DB5A1E"/>
    <w:rsid w:val="3836D64A"/>
    <w:rsid w:val="383CD91D"/>
    <w:rsid w:val="38B0E3F0"/>
    <w:rsid w:val="38B2DDBA"/>
    <w:rsid w:val="38C8ADF3"/>
    <w:rsid w:val="38D1524D"/>
    <w:rsid w:val="38EA793B"/>
    <w:rsid w:val="39D22414"/>
    <w:rsid w:val="39E5B154"/>
    <w:rsid w:val="3A9BEB34"/>
    <w:rsid w:val="3B8C4592"/>
    <w:rsid w:val="3C35CE5F"/>
    <w:rsid w:val="3CAB5DC4"/>
    <w:rsid w:val="3CE24B83"/>
    <w:rsid w:val="3D7BF804"/>
    <w:rsid w:val="3DCCBD85"/>
    <w:rsid w:val="3E407733"/>
    <w:rsid w:val="3E8BD47A"/>
    <w:rsid w:val="3EA37251"/>
    <w:rsid w:val="3EFBA4BC"/>
    <w:rsid w:val="3FC5C7EB"/>
    <w:rsid w:val="3FD27A55"/>
    <w:rsid w:val="3FEB5D04"/>
    <w:rsid w:val="401AD42F"/>
    <w:rsid w:val="4098D5FA"/>
    <w:rsid w:val="40E0D756"/>
    <w:rsid w:val="40F3BCEB"/>
    <w:rsid w:val="410D5721"/>
    <w:rsid w:val="412F087E"/>
    <w:rsid w:val="4132F855"/>
    <w:rsid w:val="417710BA"/>
    <w:rsid w:val="419DF881"/>
    <w:rsid w:val="425CA4B7"/>
    <w:rsid w:val="42BEDCB9"/>
    <w:rsid w:val="42CC36A0"/>
    <w:rsid w:val="42D7BB7E"/>
    <w:rsid w:val="438C28A4"/>
    <w:rsid w:val="43E6F37B"/>
    <w:rsid w:val="440C5DAE"/>
    <w:rsid w:val="443131F4"/>
    <w:rsid w:val="445D5434"/>
    <w:rsid w:val="44AECF10"/>
    <w:rsid w:val="44C49BF5"/>
    <w:rsid w:val="45044B8B"/>
    <w:rsid w:val="4527D1EF"/>
    <w:rsid w:val="455AEFAA"/>
    <w:rsid w:val="4563DA6E"/>
    <w:rsid w:val="45CE055A"/>
    <w:rsid w:val="46440A0A"/>
    <w:rsid w:val="471BEA49"/>
    <w:rsid w:val="47814D25"/>
    <w:rsid w:val="47B10752"/>
    <w:rsid w:val="48168C0F"/>
    <w:rsid w:val="49A4199F"/>
    <w:rsid w:val="4A177DC1"/>
    <w:rsid w:val="4A808C63"/>
    <w:rsid w:val="4AE94C9C"/>
    <w:rsid w:val="4B1491E5"/>
    <w:rsid w:val="4B227ED5"/>
    <w:rsid w:val="4B3E9051"/>
    <w:rsid w:val="4B42C2D0"/>
    <w:rsid w:val="4CF2E590"/>
    <w:rsid w:val="4D2D6F97"/>
    <w:rsid w:val="4D4698D9"/>
    <w:rsid w:val="4D6DDE90"/>
    <w:rsid w:val="4D7AA6E9"/>
    <w:rsid w:val="4EC464E9"/>
    <w:rsid w:val="4ED80ABF"/>
    <w:rsid w:val="4F05E4F9"/>
    <w:rsid w:val="4F56BF61"/>
    <w:rsid w:val="4F75F2E9"/>
    <w:rsid w:val="500096F1"/>
    <w:rsid w:val="5141BCAC"/>
    <w:rsid w:val="51A8D612"/>
    <w:rsid w:val="51CF575C"/>
    <w:rsid w:val="51EBAE4C"/>
    <w:rsid w:val="521BBE9A"/>
    <w:rsid w:val="531387F7"/>
    <w:rsid w:val="53414658"/>
    <w:rsid w:val="5355F17E"/>
    <w:rsid w:val="54167BCA"/>
    <w:rsid w:val="5429BB61"/>
    <w:rsid w:val="546024D1"/>
    <w:rsid w:val="5472A13F"/>
    <w:rsid w:val="56BF3B93"/>
    <w:rsid w:val="56DB152C"/>
    <w:rsid w:val="56E2F030"/>
    <w:rsid w:val="57949A97"/>
    <w:rsid w:val="5796878D"/>
    <w:rsid w:val="5838A24C"/>
    <w:rsid w:val="586A1846"/>
    <w:rsid w:val="593E0B13"/>
    <w:rsid w:val="59BF4188"/>
    <w:rsid w:val="59CCE44A"/>
    <w:rsid w:val="5A0E4074"/>
    <w:rsid w:val="5A2BC878"/>
    <w:rsid w:val="5A440761"/>
    <w:rsid w:val="5A65F088"/>
    <w:rsid w:val="5A8677E6"/>
    <w:rsid w:val="5AAF6193"/>
    <w:rsid w:val="5B35A44D"/>
    <w:rsid w:val="5B3D0FDA"/>
    <w:rsid w:val="5B5AC5D6"/>
    <w:rsid w:val="5C085B1A"/>
    <w:rsid w:val="5C1A183D"/>
    <w:rsid w:val="5C1B2282"/>
    <w:rsid w:val="5C22F8D7"/>
    <w:rsid w:val="5C6E97D8"/>
    <w:rsid w:val="5C9DCA55"/>
    <w:rsid w:val="5CAE8B20"/>
    <w:rsid w:val="5CC97D94"/>
    <w:rsid w:val="5CF3283C"/>
    <w:rsid w:val="5D3D5E18"/>
    <w:rsid w:val="5D4299AB"/>
    <w:rsid w:val="5D707127"/>
    <w:rsid w:val="5D7CC617"/>
    <w:rsid w:val="5DDB9DE8"/>
    <w:rsid w:val="5DF44BBF"/>
    <w:rsid w:val="5F02309C"/>
    <w:rsid w:val="5F2D07A4"/>
    <w:rsid w:val="5F851538"/>
    <w:rsid w:val="5F928870"/>
    <w:rsid w:val="5FCA2E9E"/>
    <w:rsid w:val="600C334F"/>
    <w:rsid w:val="60637F49"/>
    <w:rsid w:val="60B5D3C3"/>
    <w:rsid w:val="60D665FE"/>
    <w:rsid w:val="610A6F43"/>
    <w:rsid w:val="61753925"/>
    <w:rsid w:val="61926BB8"/>
    <w:rsid w:val="61B2B7FC"/>
    <w:rsid w:val="61FDC6E5"/>
    <w:rsid w:val="6283F134"/>
    <w:rsid w:val="62AC8CA7"/>
    <w:rsid w:val="62E831A7"/>
    <w:rsid w:val="6385B82A"/>
    <w:rsid w:val="63AF9C06"/>
    <w:rsid w:val="6414F506"/>
    <w:rsid w:val="6555368F"/>
    <w:rsid w:val="65756107"/>
    <w:rsid w:val="66285708"/>
    <w:rsid w:val="66C32AED"/>
    <w:rsid w:val="66E066DA"/>
    <w:rsid w:val="6717EB4A"/>
    <w:rsid w:val="678787BE"/>
    <w:rsid w:val="68257C84"/>
    <w:rsid w:val="68B6A86A"/>
    <w:rsid w:val="68CA8CE4"/>
    <w:rsid w:val="68E7F5F4"/>
    <w:rsid w:val="693A45CE"/>
    <w:rsid w:val="69750C03"/>
    <w:rsid w:val="69F483FB"/>
    <w:rsid w:val="6A2828C2"/>
    <w:rsid w:val="6A3DF3C9"/>
    <w:rsid w:val="6A4FF4C1"/>
    <w:rsid w:val="6A598384"/>
    <w:rsid w:val="6ABD3014"/>
    <w:rsid w:val="6B0D49B1"/>
    <w:rsid w:val="6B4542CC"/>
    <w:rsid w:val="6B56F500"/>
    <w:rsid w:val="6B8BCCF0"/>
    <w:rsid w:val="6BACE5E7"/>
    <w:rsid w:val="6C829B79"/>
    <w:rsid w:val="6CB2416D"/>
    <w:rsid w:val="6D2197CE"/>
    <w:rsid w:val="6D637253"/>
    <w:rsid w:val="6DE63035"/>
    <w:rsid w:val="6E0F38C1"/>
    <w:rsid w:val="6E550733"/>
    <w:rsid w:val="6E5FF1AE"/>
    <w:rsid w:val="6EA893E0"/>
    <w:rsid w:val="6F06D790"/>
    <w:rsid w:val="6F3898F5"/>
    <w:rsid w:val="6F79CEDD"/>
    <w:rsid w:val="6F919250"/>
    <w:rsid w:val="6FA978CC"/>
    <w:rsid w:val="70C23649"/>
    <w:rsid w:val="70D56CE2"/>
    <w:rsid w:val="70E04005"/>
    <w:rsid w:val="70E8954D"/>
    <w:rsid w:val="70EF0E65"/>
    <w:rsid w:val="71571E42"/>
    <w:rsid w:val="718AD242"/>
    <w:rsid w:val="71BCA542"/>
    <w:rsid w:val="71D76200"/>
    <w:rsid w:val="72000CF3"/>
    <w:rsid w:val="720F879B"/>
    <w:rsid w:val="7238EC0C"/>
    <w:rsid w:val="72BBEA06"/>
    <w:rsid w:val="735EB5E8"/>
    <w:rsid w:val="762A320F"/>
    <w:rsid w:val="76592607"/>
    <w:rsid w:val="768A9418"/>
    <w:rsid w:val="76CC0454"/>
    <w:rsid w:val="76E8835A"/>
    <w:rsid w:val="773F2EC8"/>
    <w:rsid w:val="77BD0956"/>
    <w:rsid w:val="7836B9B4"/>
    <w:rsid w:val="785D7C8B"/>
    <w:rsid w:val="78727EA0"/>
    <w:rsid w:val="788B1145"/>
    <w:rsid w:val="78CD9530"/>
    <w:rsid w:val="78EE008A"/>
    <w:rsid w:val="7936017C"/>
    <w:rsid w:val="7A0B1808"/>
    <w:rsid w:val="7A2C98CC"/>
    <w:rsid w:val="7A746293"/>
    <w:rsid w:val="7B2F817D"/>
    <w:rsid w:val="7B53502D"/>
    <w:rsid w:val="7C9FB20F"/>
    <w:rsid w:val="7D513CB7"/>
    <w:rsid w:val="7D538A90"/>
    <w:rsid w:val="7D79EF02"/>
    <w:rsid w:val="7DC66891"/>
    <w:rsid w:val="7E297B09"/>
    <w:rsid w:val="7E6B983E"/>
    <w:rsid w:val="7EDDCBEB"/>
    <w:rsid w:val="7F1387F7"/>
    <w:rsid w:val="7F50D699"/>
    <w:rsid w:val="7F5EACCD"/>
    <w:rsid w:val="7F5F84CC"/>
    <w:rsid w:val="7F630434"/>
    <w:rsid w:val="7FD315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3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E63"/>
    <w:pPr>
      <w:spacing w:before="100" w:after="200" w:line="276" w:lineRule="auto"/>
    </w:pPr>
    <w:rPr>
      <w:rFonts w:eastAsiaTheme="minorEastAsia"/>
      <w:sz w:val="20"/>
      <w:szCs w:val="20"/>
    </w:rPr>
  </w:style>
  <w:style w:type="paragraph" w:styleId="Heading1">
    <w:name w:val="heading 1"/>
    <w:basedOn w:val="Normal"/>
    <w:next w:val="Normal"/>
    <w:link w:val="Heading1Char"/>
    <w:qFormat/>
    <w:rsid w:val="00054E63"/>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2"/>
      <w:szCs w:val="22"/>
    </w:rPr>
  </w:style>
  <w:style w:type="paragraph" w:styleId="Heading2">
    <w:name w:val="heading 2"/>
    <w:basedOn w:val="Normal"/>
    <w:next w:val="Normal"/>
    <w:link w:val="Heading2Char"/>
    <w:unhideWhenUsed/>
    <w:qFormat/>
    <w:rsid w:val="00054E63"/>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after="0"/>
      <w:outlineLvl w:val="1"/>
    </w:pPr>
    <w:rPr>
      <w:b/>
      <w:i/>
      <w:smallCaps/>
      <w:color w:val="FFFFFF" w:themeColor="background1"/>
      <w:spacing w:val="15"/>
    </w:rPr>
  </w:style>
  <w:style w:type="paragraph" w:styleId="Heading3">
    <w:name w:val="heading 3"/>
    <w:basedOn w:val="Normal"/>
    <w:next w:val="Normal"/>
    <w:link w:val="Heading3Char"/>
    <w:unhideWhenUsed/>
    <w:qFormat/>
    <w:rsid w:val="00054E63"/>
    <w:pPr>
      <w:keepNext/>
      <w:pBdr>
        <w:top w:val="single" w:sz="6" w:space="1" w:color="002C47" w:themeColor="accent1"/>
      </w:pBdr>
      <w:spacing w:before="300" w:after="0"/>
      <w:outlineLvl w:val="2"/>
    </w:pPr>
    <w:rPr>
      <w:b/>
      <w:smallCaps/>
      <w:color w:val="002C47" w:themeColor="accent1"/>
      <w:spacing w:val="15"/>
    </w:rPr>
  </w:style>
  <w:style w:type="paragraph" w:styleId="Heading4">
    <w:name w:val="heading 4"/>
    <w:basedOn w:val="Normal"/>
    <w:next w:val="Normal"/>
    <w:link w:val="Heading4Char"/>
    <w:unhideWhenUsed/>
    <w:qFormat/>
    <w:rsid w:val="00054E63"/>
    <w:pPr>
      <w:pBdr>
        <w:top w:val="dotted" w:sz="6" w:space="1" w:color="002C47" w:themeColor="accent1"/>
      </w:pBdr>
      <w:spacing w:before="200" w:after="0"/>
      <w:outlineLvl w:val="3"/>
    </w:pPr>
    <w:rPr>
      <w:b/>
      <w:smallCaps/>
      <w:color w:val="002C47" w:themeColor="accent1"/>
      <w:spacing w:val="10"/>
    </w:rPr>
  </w:style>
  <w:style w:type="paragraph" w:styleId="Heading5">
    <w:name w:val="heading 5"/>
    <w:basedOn w:val="Normal"/>
    <w:next w:val="Normal"/>
    <w:link w:val="Heading5Char"/>
    <w:unhideWhenUsed/>
    <w:qFormat/>
    <w:rsid w:val="00054E63"/>
    <w:pPr>
      <w:keepNext/>
      <w:pBdr>
        <w:bottom w:val="single" w:sz="6" w:space="1" w:color="002C47" w:themeColor="accent1"/>
      </w:pBdr>
      <w:spacing w:before="200" w:after="0"/>
      <w:outlineLvl w:val="4"/>
    </w:pPr>
    <w:rPr>
      <w:i/>
      <w:smallCaps/>
      <w:color w:val="002C47" w:themeColor="accent1"/>
      <w:spacing w:val="10"/>
    </w:rPr>
  </w:style>
  <w:style w:type="paragraph" w:styleId="Heading6">
    <w:name w:val="heading 6"/>
    <w:basedOn w:val="Normal"/>
    <w:next w:val="Normal"/>
    <w:link w:val="Heading6Char"/>
    <w:unhideWhenUsed/>
    <w:qFormat/>
    <w:rsid w:val="00054E63"/>
    <w:pPr>
      <w:pBdr>
        <w:bottom w:val="dotted" w:sz="6" w:space="1" w:color="002C47" w:themeColor="accent1"/>
      </w:pBdr>
      <w:spacing w:before="200" w:after="0"/>
      <w:outlineLvl w:val="5"/>
    </w:pPr>
    <w:rPr>
      <w:i/>
      <w:smallCaps/>
      <w:color w:val="002C47" w:themeColor="accent1"/>
      <w:spacing w:val="10"/>
    </w:rPr>
  </w:style>
  <w:style w:type="paragraph" w:styleId="Heading7">
    <w:name w:val="heading 7"/>
    <w:basedOn w:val="Normal"/>
    <w:next w:val="Normal"/>
    <w:link w:val="Heading7Char"/>
    <w:uiPriority w:val="9"/>
    <w:unhideWhenUsed/>
    <w:qFormat/>
    <w:rsid w:val="00054E63"/>
    <w:pPr>
      <w:spacing w:after="0"/>
      <w:outlineLvl w:val="6"/>
    </w:pPr>
    <w:rPr>
      <w:b/>
      <w:i/>
      <w:color w:val="002C47" w:themeColor="accent1"/>
    </w:rPr>
  </w:style>
  <w:style w:type="paragraph" w:styleId="Heading8">
    <w:name w:val="heading 8"/>
    <w:basedOn w:val="TableMainHeading"/>
    <w:next w:val="Normal"/>
    <w:link w:val="Heading8Char"/>
    <w:uiPriority w:val="9"/>
    <w:unhideWhenUsed/>
    <w:qFormat/>
    <w:rsid w:val="00054E63"/>
    <w:pPr>
      <w:numPr>
        <w:numId w:val="24"/>
      </w:numPr>
      <w:ind w:left="993" w:hanging="993"/>
    </w:pPr>
    <w:rPr>
      <w:bCs/>
    </w:rPr>
  </w:style>
  <w:style w:type="paragraph" w:styleId="Heading9">
    <w:name w:val="heading 9"/>
    <w:basedOn w:val="ChartMainHeading"/>
    <w:next w:val="Normal"/>
    <w:link w:val="Heading9Char"/>
    <w:uiPriority w:val="9"/>
    <w:unhideWhenUsed/>
    <w:qFormat/>
    <w:rsid w:val="00054E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4E63"/>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054E63"/>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054E63"/>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054E63"/>
    <w:rPr>
      <w:rFonts w:eastAsiaTheme="minorEastAsia"/>
      <w:b/>
      <w:smallCaps/>
      <w:color w:val="002C47" w:themeColor="accent1"/>
      <w:spacing w:val="10"/>
      <w:sz w:val="20"/>
      <w:szCs w:val="20"/>
    </w:rPr>
  </w:style>
  <w:style w:type="character" w:customStyle="1" w:styleId="Heading5Char">
    <w:name w:val="Heading 5 Char"/>
    <w:basedOn w:val="DefaultParagraphFont"/>
    <w:link w:val="Heading5"/>
    <w:rsid w:val="00054E63"/>
    <w:rPr>
      <w:rFonts w:eastAsiaTheme="minorEastAsia"/>
      <w:i/>
      <w:smallCaps/>
      <w:color w:val="002C47" w:themeColor="accent1"/>
      <w:spacing w:val="10"/>
      <w:sz w:val="20"/>
      <w:szCs w:val="20"/>
    </w:rPr>
  </w:style>
  <w:style w:type="character" w:customStyle="1" w:styleId="Heading6Char">
    <w:name w:val="Heading 6 Char"/>
    <w:basedOn w:val="DefaultParagraphFont"/>
    <w:link w:val="Heading6"/>
    <w:rsid w:val="00054E63"/>
    <w:rPr>
      <w:rFonts w:eastAsiaTheme="minorEastAsia"/>
      <w:i/>
      <w:smallCaps/>
      <w:color w:val="002C47" w:themeColor="accent1"/>
      <w:spacing w:val="10"/>
      <w:sz w:val="20"/>
      <w:szCs w:val="20"/>
    </w:rPr>
  </w:style>
  <w:style w:type="paragraph" w:customStyle="1" w:styleId="ChartGraphic">
    <w:name w:val="Chart Graphic"/>
    <w:basedOn w:val="Normal"/>
    <w:next w:val="Normal"/>
    <w:rsid w:val="00054E63"/>
    <w:pPr>
      <w:keepNext/>
      <w:spacing w:before="0" w:after="0"/>
      <w:jc w:val="center"/>
    </w:pPr>
    <w:rPr>
      <w:color w:val="004A7F"/>
    </w:rPr>
  </w:style>
  <w:style w:type="paragraph" w:customStyle="1" w:styleId="AlphaParagraph">
    <w:name w:val="Alpha Paragraph"/>
    <w:basedOn w:val="Normal"/>
    <w:rsid w:val="00054E63"/>
    <w:pPr>
      <w:numPr>
        <w:ilvl w:val="1"/>
        <w:numId w:val="19"/>
      </w:numPr>
      <w:spacing w:before="0"/>
    </w:pPr>
  </w:style>
  <w:style w:type="paragraph" w:customStyle="1" w:styleId="BoxBullet">
    <w:name w:val="Box Bullet"/>
    <w:basedOn w:val="Normal"/>
    <w:link w:val="BoxBulletChar"/>
    <w:rsid w:val="00054E63"/>
    <w:pPr>
      <w:numPr>
        <w:numId w:val="14"/>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054E63"/>
    <w:pPr>
      <w:numPr>
        <w:ilvl w:val="1"/>
        <w:numId w:val="14"/>
      </w:numPr>
      <w:spacing w:before="40" w:after="40"/>
      <w:jc w:val="both"/>
    </w:pPr>
    <w:rPr>
      <w:rFonts w:cs="Times New Roman"/>
      <w:bdr w:val="none" w:sz="0" w:space="0" w:color="auto" w:frame="1"/>
      <w:lang w:eastAsia="en-AU"/>
    </w:rPr>
  </w:style>
  <w:style w:type="paragraph" w:customStyle="1" w:styleId="BoxDoubleDot">
    <w:name w:val="Box Double Dot"/>
    <w:basedOn w:val="Normal"/>
    <w:rsid w:val="00054E63"/>
    <w:pPr>
      <w:numPr>
        <w:ilvl w:val="2"/>
        <w:numId w:val="14"/>
      </w:numPr>
      <w:spacing w:before="0"/>
    </w:pPr>
  </w:style>
  <w:style w:type="paragraph" w:customStyle="1" w:styleId="BoxHeading">
    <w:name w:val="Box Heading"/>
    <w:basedOn w:val="Heading3"/>
    <w:next w:val="BoxText"/>
    <w:qFormat/>
    <w:rsid w:val="00054E63"/>
    <w:pPr>
      <w:numPr>
        <w:numId w:val="23"/>
      </w:numPr>
      <w:tabs>
        <w:tab w:val="left" w:pos="1134"/>
      </w:tabs>
      <w:spacing w:before="240"/>
      <w:ind w:left="0" w:firstLine="0"/>
      <w:jc w:val="both"/>
    </w:pPr>
    <w:rPr>
      <w:rFonts w:asciiTheme="majorHAnsi" w:hAnsiTheme="majorHAnsi" w:cstheme="majorHAnsi"/>
      <w:sz w:val="26"/>
      <w:szCs w:val="26"/>
      <w:lang w:eastAsia="en-AU"/>
    </w:rPr>
  </w:style>
  <w:style w:type="paragraph" w:customStyle="1" w:styleId="BoxText">
    <w:name w:val="Box Text"/>
    <w:basedOn w:val="Normal"/>
    <w:link w:val="BoxTextChar"/>
    <w:rsid w:val="00054E63"/>
    <w:pPr>
      <w:jc w:val="both"/>
    </w:pPr>
    <w:rPr>
      <w:rFonts w:cstheme="minorHAnsi"/>
      <w:lang w:eastAsia="en-AU"/>
    </w:rPr>
  </w:style>
  <w:style w:type="paragraph" w:customStyle="1" w:styleId="Normalbullet">
    <w:name w:val="Normal bullet"/>
    <w:basedOn w:val="Normal"/>
    <w:link w:val="NormalbulletChar"/>
    <w:qFormat/>
    <w:rsid w:val="00054E63"/>
    <w:pPr>
      <w:numPr>
        <w:numId w:val="15"/>
      </w:numPr>
      <w:spacing w:before="0"/>
    </w:pPr>
  </w:style>
  <w:style w:type="paragraph" w:customStyle="1" w:styleId="ChartandTableFootnoteAlpha">
    <w:name w:val="Chart and Table Footnote Alpha"/>
    <w:rsid w:val="00054E63"/>
    <w:pPr>
      <w:numPr>
        <w:numId w:val="16"/>
      </w:numPr>
      <w:spacing w:before="100"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Normal"/>
    <w:next w:val="ChartGraphic"/>
    <w:rsid w:val="00654915"/>
    <w:pPr>
      <w:keepNext/>
      <w:numPr>
        <w:numId w:val="22"/>
      </w:numPr>
      <w:pBdr>
        <w:top w:val="dashed" w:sz="4" w:space="1" w:color="002C47" w:themeColor="accent1"/>
      </w:pBdr>
      <w:tabs>
        <w:tab w:val="left" w:pos="993"/>
      </w:tabs>
      <w:spacing w:before="120" w:after="120" w:line="240" w:lineRule="auto"/>
      <w:ind w:left="993" w:hanging="993"/>
      <w:outlineLvl w:val="8"/>
    </w:pPr>
    <w:rPr>
      <w:b/>
      <w:smallCaps/>
      <w:color w:val="002C47" w:themeColor="accent1"/>
      <w:spacing w:val="15"/>
    </w:rPr>
  </w:style>
  <w:style w:type="paragraph" w:customStyle="1" w:styleId="ChartorTableNote">
    <w:name w:val="Chart or Table Note"/>
    <w:next w:val="Normal"/>
    <w:rsid w:val="00756BE9"/>
    <w:pPr>
      <w:spacing w:before="100" w:after="0" w:line="240" w:lineRule="auto"/>
      <w:ind w:left="737" w:hanging="737"/>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36638"/>
    <w:pPr>
      <w:jc w:val="center"/>
    </w:pPr>
    <w:rPr>
      <w:color w:val="277F98" w:themeColor="accent6"/>
    </w:rPr>
  </w:style>
  <w:style w:type="paragraph" w:customStyle="1" w:styleId="ReportDate">
    <w:name w:val="Report Date"/>
    <w:basedOn w:val="Normal"/>
    <w:link w:val="ReportDateChar"/>
    <w:rsid w:val="00054E63"/>
    <w:pPr>
      <w:keepNext/>
      <w:spacing w:before="0" w:after="360"/>
    </w:pPr>
    <w:rPr>
      <w:color w:val="FFFFFF" w:themeColor="background1"/>
      <w:sz w:val="44"/>
    </w:rPr>
  </w:style>
  <w:style w:type="paragraph" w:customStyle="1" w:styleId="Normaldash">
    <w:name w:val="Normal dash"/>
    <w:basedOn w:val="Normal"/>
    <w:link w:val="NormaldashChar"/>
    <w:qFormat/>
    <w:rsid w:val="00054E63"/>
    <w:pPr>
      <w:numPr>
        <w:ilvl w:val="1"/>
        <w:numId w:val="15"/>
      </w:numPr>
      <w:spacing w:before="0"/>
    </w:pPr>
  </w:style>
  <w:style w:type="paragraph" w:customStyle="1" w:styleId="Normaldoubledot">
    <w:name w:val="Normal double dot"/>
    <w:basedOn w:val="Normal"/>
    <w:qFormat/>
    <w:rsid w:val="00054E63"/>
    <w:pPr>
      <w:numPr>
        <w:ilvl w:val="2"/>
        <w:numId w:val="15"/>
      </w:numPr>
      <w:spacing w:before="0"/>
    </w:pPr>
  </w:style>
  <w:style w:type="paragraph" w:customStyle="1" w:styleId="TableMainHeading">
    <w:name w:val="Table Main Heading"/>
    <w:basedOn w:val="Normal"/>
    <w:next w:val="Normal"/>
    <w:rsid w:val="00054E63"/>
    <w:pPr>
      <w:keepNext/>
      <w:numPr>
        <w:numId w:val="21"/>
      </w:numPr>
      <w:pBdr>
        <w:top w:val="dashed" w:sz="4" w:space="1" w:color="002C47" w:themeColor="accent1"/>
      </w:pBdr>
      <w:tabs>
        <w:tab w:val="left" w:pos="993"/>
      </w:tabs>
      <w:spacing w:before="120" w:after="120" w:line="240" w:lineRule="auto"/>
      <w:ind w:left="992" w:hanging="992"/>
      <w:outlineLvl w:val="7"/>
    </w:pPr>
    <w:rPr>
      <w:b/>
      <w:smallCaps/>
      <w:color w:val="002C47" w:themeColor="accent1"/>
      <w:spacing w:val="15"/>
    </w:rPr>
  </w:style>
  <w:style w:type="paragraph" w:customStyle="1" w:styleId="FooterEven">
    <w:name w:val="Footer Even"/>
    <w:basedOn w:val="Footer"/>
    <w:rsid w:val="00054E63"/>
    <w:pPr>
      <w:keepNext/>
      <w:tabs>
        <w:tab w:val="clear" w:pos="4513"/>
        <w:tab w:val="clear" w:pos="9026"/>
      </w:tabs>
      <w:jc w:val="left"/>
    </w:pPr>
    <w:rPr>
      <w:noProof/>
      <w:color w:val="002C47" w:themeColor="accent1"/>
    </w:rPr>
  </w:style>
  <w:style w:type="paragraph" w:customStyle="1" w:styleId="FooterOdd">
    <w:name w:val="Footer Odd"/>
    <w:basedOn w:val="Footer"/>
    <w:rsid w:val="00054E63"/>
    <w:pPr>
      <w:keepNext/>
      <w:tabs>
        <w:tab w:val="clear" w:pos="4513"/>
        <w:tab w:val="clear" w:pos="9026"/>
      </w:tabs>
      <w:jc w:val="right"/>
    </w:pPr>
    <w:rPr>
      <w:color w:val="002C47" w:themeColor="accent1"/>
    </w:rPr>
  </w:style>
  <w:style w:type="character" w:styleId="Hyperlink">
    <w:name w:val="Hyperlink"/>
    <w:basedOn w:val="DefaultParagraphFont"/>
    <w:uiPriority w:val="99"/>
    <w:rsid w:val="00054E63"/>
    <w:rPr>
      <w:color w:val="0563C1"/>
      <w:u w:val="none"/>
    </w:rPr>
  </w:style>
  <w:style w:type="paragraph" w:customStyle="1" w:styleId="OutlineNumbered1">
    <w:name w:val="Outline Numbered 1"/>
    <w:basedOn w:val="Normal"/>
    <w:rsid w:val="00054E63"/>
    <w:pPr>
      <w:numPr>
        <w:numId w:val="18"/>
      </w:numPr>
      <w:spacing w:before="0"/>
    </w:pPr>
  </w:style>
  <w:style w:type="paragraph" w:customStyle="1" w:styleId="OneLevelNumberedParagraph">
    <w:name w:val="One Level Numbered Paragraph"/>
    <w:basedOn w:val="Normal"/>
    <w:rsid w:val="00054E63"/>
    <w:pPr>
      <w:numPr>
        <w:numId w:val="17"/>
      </w:numPr>
      <w:spacing w:before="0"/>
    </w:pPr>
  </w:style>
  <w:style w:type="paragraph" w:customStyle="1" w:styleId="OutlineNumbered2">
    <w:name w:val="Outline Numbered 2"/>
    <w:basedOn w:val="Normal"/>
    <w:rsid w:val="00054E63"/>
    <w:pPr>
      <w:numPr>
        <w:ilvl w:val="1"/>
        <w:numId w:val="18"/>
      </w:numPr>
      <w:spacing w:before="0"/>
    </w:pPr>
  </w:style>
  <w:style w:type="paragraph" w:customStyle="1" w:styleId="OutlineNumbered3">
    <w:name w:val="Outline Numbered 3"/>
    <w:basedOn w:val="Normal"/>
    <w:rsid w:val="00054E63"/>
    <w:pPr>
      <w:numPr>
        <w:ilvl w:val="2"/>
        <w:numId w:val="18"/>
      </w:numPr>
      <w:spacing w:before="0"/>
    </w:pPr>
  </w:style>
  <w:style w:type="paragraph" w:customStyle="1" w:styleId="Romannumeral">
    <w:name w:val="Roman numeral"/>
    <w:basedOn w:val="Normal"/>
    <w:rsid w:val="00054E63"/>
    <w:pPr>
      <w:numPr>
        <w:numId w:val="19"/>
      </w:numPr>
      <w:tabs>
        <w:tab w:val="clear" w:pos="720"/>
        <w:tab w:val="num" w:pos="851"/>
      </w:tabs>
      <w:spacing w:before="0"/>
    </w:pPr>
  </w:style>
  <w:style w:type="paragraph" w:customStyle="1" w:styleId="SingleParagraph">
    <w:name w:val="Single Paragraph"/>
    <w:basedOn w:val="Normal"/>
    <w:link w:val="SingleParagraphChar"/>
    <w:rsid w:val="00054E63"/>
    <w:pPr>
      <w:spacing w:before="0" w:after="0"/>
    </w:pPr>
  </w:style>
  <w:style w:type="paragraph" w:customStyle="1" w:styleId="TableSecondHeading">
    <w:name w:val="Table Second Heading"/>
    <w:basedOn w:val="Normal"/>
    <w:next w:val="Normal"/>
    <w:qFormat/>
    <w:rsid w:val="00054E63"/>
    <w:pPr>
      <w:keepNext/>
      <w:spacing w:before="40" w:after="40"/>
      <w:jc w:val="right"/>
    </w:pPr>
    <w:rPr>
      <w:rFonts w:cs="Times New Roman"/>
      <w:b/>
      <w:smallCaps/>
      <w:color w:val="002C47" w:themeColor="accent1"/>
      <w:bdr w:val="none" w:sz="0" w:space="0" w:color="auto" w:frame="1"/>
      <w:lang w:eastAsia="en-AU"/>
    </w:rPr>
  </w:style>
  <w:style w:type="paragraph" w:customStyle="1" w:styleId="TableColumnHeadingCentred">
    <w:name w:val="Table Column Heading Centred"/>
    <w:basedOn w:val="TableTextLeft"/>
    <w:rsid w:val="00636638"/>
    <w:pPr>
      <w:jc w:val="center"/>
    </w:pPr>
    <w:rPr>
      <w:b/>
      <w:color w:val="0F3A5D" w:themeColor="accent2" w:themeShade="80"/>
    </w:rPr>
  </w:style>
  <w:style w:type="paragraph" w:customStyle="1" w:styleId="TableColumnHeadingLeft">
    <w:name w:val="Table Column Heading Left"/>
    <w:basedOn w:val="TableTextLeft"/>
    <w:rsid w:val="00BC6428"/>
    <w:rPr>
      <w:b/>
      <w:color w:val="0F3A5D" w:themeColor="accent2" w:themeShade="80"/>
    </w:rPr>
  </w:style>
  <w:style w:type="paragraph" w:customStyle="1" w:styleId="TableColumnHeadingRight">
    <w:name w:val="Table Column Heading Right"/>
    <w:basedOn w:val="TableTextLeft"/>
    <w:rsid w:val="00BC6428"/>
    <w:pPr>
      <w:jc w:val="right"/>
    </w:pPr>
    <w:rPr>
      <w:b/>
      <w:color w:val="0F3A5D" w:themeColor="accent2" w:themeShade="80"/>
    </w:rPr>
  </w:style>
  <w:style w:type="table" w:styleId="TableGrid">
    <w:name w:val="Table Grid"/>
    <w:basedOn w:val="TableNormal"/>
    <w:uiPriority w:val="39"/>
    <w:rsid w:val="00054E63"/>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054E63"/>
    <w:pPr>
      <w:jc w:val="center"/>
    </w:pPr>
  </w:style>
  <w:style w:type="paragraph" w:customStyle="1" w:styleId="TableTextLeft">
    <w:name w:val="Table Text Left"/>
    <w:basedOn w:val="TableTextRight"/>
    <w:rsid w:val="00054E63"/>
    <w:pPr>
      <w:jc w:val="left"/>
    </w:pPr>
    <w:rPr>
      <w:rFonts w:cs="Times New Roman"/>
      <w:bdr w:val="none" w:sz="0" w:space="0" w:color="auto" w:frame="1"/>
      <w:lang w:eastAsia="en-AU"/>
    </w:rPr>
  </w:style>
  <w:style w:type="paragraph" w:customStyle="1" w:styleId="TableTextRight">
    <w:name w:val="Table Text Right"/>
    <w:basedOn w:val="Normal"/>
    <w:rsid w:val="00054E63"/>
    <w:pPr>
      <w:spacing w:before="40" w:after="40"/>
      <w:jc w:val="right"/>
    </w:pPr>
    <w:rPr>
      <w:color w:val="000000"/>
    </w:rPr>
  </w:style>
  <w:style w:type="paragraph" w:styleId="TOC1">
    <w:name w:val="toc 1"/>
    <w:basedOn w:val="Normal"/>
    <w:next w:val="Normal"/>
    <w:uiPriority w:val="39"/>
    <w:rsid w:val="00054E63"/>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054E63"/>
    <w:pPr>
      <w:keepNext/>
      <w:tabs>
        <w:tab w:val="right" w:leader="dot" w:pos="9072"/>
      </w:tabs>
      <w:spacing w:before="40" w:after="20"/>
      <w:ind w:left="142" w:right="-2"/>
    </w:pPr>
    <w:rPr>
      <w:noProof/>
      <w:color w:val="000000" w:themeColor="text1"/>
    </w:rPr>
  </w:style>
  <w:style w:type="paragraph" w:styleId="TOC3">
    <w:name w:val="toc 3"/>
    <w:basedOn w:val="Normal"/>
    <w:next w:val="Normal"/>
    <w:uiPriority w:val="39"/>
    <w:rsid w:val="00054E63"/>
    <w:pPr>
      <w:tabs>
        <w:tab w:val="right" w:leader="dot" w:pos="9072"/>
      </w:tabs>
      <w:spacing w:before="20" w:after="0"/>
      <w:ind w:left="284" w:right="-2"/>
    </w:pPr>
    <w:rPr>
      <w:rFonts w:cs="Calibri"/>
      <w:noProof/>
      <w:color w:val="000000" w:themeColor="text1"/>
    </w:rPr>
  </w:style>
  <w:style w:type="numbering" w:customStyle="1" w:styleId="OutlineList">
    <w:name w:val="OutlineList"/>
    <w:uiPriority w:val="99"/>
    <w:rsid w:val="00054E63"/>
    <w:pPr>
      <w:numPr>
        <w:numId w:val="18"/>
      </w:numPr>
    </w:pPr>
  </w:style>
  <w:style w:type="numbering" w:customStyle="1" w:styleId="BulletedList">
    <w:name w:val="Bulleted List"/>
    <w:uiPriority w:val="99"/>
    <w:rsid w:val="00054E63"/>
    <w:pPr>
      <w:numPr>
        <w:numId w:val="15"/>
      </w:numPr>
    </w:pPr>
  </w:style>
  <w:style w:type="numbering" w:customStyle="1" w:styleId="BoxBulletedList">
    <w:name w:val="Box Bulleted List"/>
    <w:uiPriority w:val="99"/>
    <w:rsid w:val="00054E63"/>
    <w:pPr>
      <w:numPr>
        <w:numId w:val="14"/>
      </w:numPr>
    </w:pPr>
  </w:style>
  <w:style w:type="numbering" w:customStyle="1" w:styleId="OneLevelList">
    <w:name w:val="OneLevelList"/>
    <w:uiPriority w:val="99"/>
    <w:rsid w:val="00054E63"/>
    <w:pPr>
      <w:numPr>
        <w:numId w:val="17"/>
      </w:numPr>
    </w:pPr>
  </w:style>
  <w:style w:type="numbering" w:customStyle="1" w:styleId="ChartandTableFootnoteAlphaList">
    <w:name w:val="ChartandTableFootnoteAlphaList"/>
    <w:uiPriority w:val="99"/>
    <w:rsid w:val="00054E63"/>
    <w:pPr>
      <w:numPr>
        <w:numId w:val="16"/>
      </w:numPr>
    </w:pPr>
  </w:style>
  <w:style w:type="paragraph" w:customStyle="1" w:styleId="Crest">
    <w:name w:val="Crest"/>
    <w:basedOn w:val="Header"/>
    <w:rsid w:val="00054E63"/>
    <w:pPr>
      <w:spacing w:after="480"/>
      <w:jc w:val="center"/>
    </w:pPr>
    <w:rPr>
      <w:color w:val="000000" w:themeColor="text1"/>
    </w:rPr>
  </w:style>
  <w:style w:type="paragraph" w:customStyle="1" w:styleId="Heading1Numbered">
    <w:name w:val="Heading 1 Numbered"/>
    <w:basedOn w:val="Heading1"/>
    <w:next w:val="Normal"/>
    <w:rsid w:val="00054E63"/>
    <w:pPr>
      <w:numPr>
        <w:numId w:val="26"/>
      </w:numPr>
    </w:pPr>
  </w:style>
  <w:style w:type="character" w:customStyle="1" w:styleId="SingleParagraphChar">
    <w:name w:val="Single Paragraph Char"/>
    <w:basedOn w:val="DefaultParagraphFont"/>
    <w:link w:val="SingleParagraph"/>
    <w:rsid w:val="00054E63"/>
    <w:rPr>
      <w:rFonts w:eastAsiaTheme="minorEastAsia"/>
      <w:sz w:val="20"/>
      <w:szCs w:val="20"/>
    </w:rPr>
  </w:style>
  <w:style w:type="paragraph" w:customStyle="1" w:styleId="Heading2Numbered">
    <w:name w:val="Heading 2 Numbered"/>
    <w:basedOn w:val="Heading2"/>
    <w:next w:val="Normal"/>
    <w:rsid w:val="00054E63"/>
    <w:pPr>
      <w:numPr>
        <w:ilvl w:val="1"/>
        <w:numId w:val="26"/>
      </w:numPr>
    </w:pPr>
  </w:style>
  <w:style w:type="paragraph" w:customStyle="1" w:styleId="Heading3Numbered">
    <w:name w:val="Heading 3 Numbered"/>
    <w:basedOn w:val="Heading3"/>
    <w:qFormat/>
    <w:rsid w:val="00054E63"/>
    <w:pPr>
      <w:numPr>
        <w:ilvl w:val="2"/>
        <w:numId w:val="26"/>
      </w:numPr>
    </w:pPr>
  </w:style>
  <w:style w:type="paragraph" w:styleId="Title">
    <w:name w:val="Title"/>
    <w:basedOn w:val="Normal"/>
    <w:next w:val="Normal"/>
    <w:link w:val="TitleChar"/>
    <w:uiPriority w:val="10"/>
    <w:qFormat/>
    <w:rsid w:val="00054E63"/>
    <w:pPr>
      <w:spacing w:before="0" w:after="0"/>
    </w:pPr>
    <w:rPr>
      <w:rFonts w:asciiTheme="majorHAnsi" w:eastAsiaTheme="majorEastAsia" w:hAnsiTheme="majorHAnsi" w:cstheme="majorBidi"/>
      <w:b/>
      <w:caps/>
      <w:color w:val="FFFFFF" w:themeColor="background1"/>
      <w:spacing w:val="10"/>
      <w:sz w:val="44"/>
      <w:szCs w:val="52"/>
    </w:rPr>
  </w:style>
  <w:style w:type="character" w:customStyle="1" w:styleId="TitleChar">
    <w:name w:val="Title Char"/>
    <w:basedOn w:val="DefaultParagraphFont"/>
    <w:link w:val="Title"/>
    <w:uiPriority w:val="10"/>
    <w:rsid w:val="00054E63"/>
    <w:rPr>
      <w:rFonts w:asciiTheme="majorHAnsi" w:eastAsiaTheme="majorEastAsia" w:hAnsiTheme="majorHAnsi" w:cstheme="majorBidi"/>
      <w:b/>
      <w:caps/>
      <w:color w:val="FFFFFF" w:themeColor="background1"/>
      <w:spacing w:val="10"/>
      <w:sz w:val="44"/>
      <w:szCs w:val="52"/>
    </w:rPr>
  </w:style>
  <w:style w:type="paragraph" w:styleId="Subtitle">
    <w:name w:val="Subtitle"/>
    <w:basedOn w:val="Normal"/>
    <w:next w:val="Normal"/>
    <w:link w:val="SubtitleChar"/>
    <w:uiPriority w:val="11"/>
    <w:rsid w:val="00054E63"/>
    <w:pPr>
      <w:spacing w:before="0" w:after="500" w:line="240" w:lineRule="auto"/>
    </w:pPr>
    <w:rPr>
      <w:caps/>
      <w:color w:val="FFFFFF" w:themeColor="background1"/>
      <w:spacing w:val="10"/>
      <w:sz w:val="21"/>
      <w:szCs w:val="21"/>
    </w:rPr>
  </w:style>
  <w:style w:type="character" w:customStyle="1" w:styleId="SubtitleChar">
    <w:name w:val="Subtitle Char"/>
    <w:basedOn w:val="DefaultParagraphFont"/>
    <w:link w:val="Subtitle"/>
    <w:uiPriority w:val="11"/>
    <w:rsid w:val="00054E63"/>
    <w:rPr>
      <w:rFonts w:eastAsiaTheme="minorEastAsia"/>
      <w:caps/>
      <w:color w:val="FFFFFF" w:themeColor="background1"/>
      <w:spacing w:val="10"/>
      <w:sz w:val="21"/>
      <w:szCs w:val="21"/>
    </w:rPr>
  </w:style>
  <w:style w:type="character" w:styleId="SubtleEmphasis">
    <w:name w:val="Subtle Emphasis"/>
    <w:uiPriority w:val="19"/>
    <w:rsid w:val="00512B99"/>
    <w:rPr>
      <w:i/>
      <w:iCs/>
      <w:color w:val="auto"/>
    </w:rPr>
  </w:style>
  <w:style w:type="paragraph" w:styleId="Footer">
    <w:name w:val="footer"/>
    <w:basedOn w:val="Normal"/>
    <w:link w:val="FooterChar"/>
    <w:unhideWhenUsed/>
    <w:rsid w:val="00054E63"/>
    <w:pPr>
      <w:tabs>
        <w:tab w:val="center" w:pos="4513"/>
        <w:tab w:val="right" w:pos="9026"/>
      </w:tabs>
      <w:spacing w:before="0" w:after="0"/>
      <w:jc w:val="center"/>
    </w:pPr>
    <w:rPr>
      <w:color w:val="002C47"/>
    </w:rPr>
  </w:style>
  <w:style w:type="character" w:customStyle="1" w:styleId="FooterChar">
    <w:name w:val="Footer Char"/>
    <w:basedOn w:val="DefaultParagraphFont"/>
    <w:link w:val="Footer"/>
    <w:rsid w:val="00054E63"/>
    <w:rPr>
      <w:rFonts w:eastAsiaTheme="minorEastAsia"/>
      <w:color w:val="002C47"/>
      <w:sz w:val="20"/>
      <w:szCs w:val="20"/>
    </w:rPr>
  </w:style>
  <w:style w:type="paragraph" w:styleId="Header">
    <w:name w:val="header"/>
    <w:basedOn w:val="Normal"/>
    <w:link w:val="HeaderChar"/>
    <w:uiPriority w:val="99"/>
    <w:unhideWhenUsed/>
    <w:rsid w:val="00054E63"/>
    <w:pPr>
      <w:keepNext/>
      <w:spacing w:before="0" w:after="0"/>
      <w:jc w:val="right"/>
    </w:pPr>
    <w:rPr>
      <w:color w:val="004A7F"/>
    </w:rPr>
  </w:style>
  <w:style w:type="character" w:customStyle="1" w:styleId="HeaderChar">
    <w:name w:val="Header Char"/>
    <w:basedOn w:val="DefaultParagraphFont"/>
    <w:link w:val="Header"/>
    <w:uiPriority w:val="99"/>
    <w:rsid w:val="00054E63"/>
    <w:rPr>
      <w:rFonts w:eastAsiaTheme="minorEastAsia"/>
      <w:color w:val="004A7F"/>
      <w:sz w:val="20"/>
      <w:szCs w:val="20"/>
    </w:rPr>
  </w:style>
  <w:style w:type="character" w:styleId="PlaceholderText">
    <w:name w:val="Placeholder Text"/>
    <w:basedOn w:val="DefaultParagraphFont"/>
    <w:uiPriority w:val="99"/>
    <w:semiHidden/>
    <w:rsid w:val="00054E63"/>
    <w:rPr>
      <w:color w:val="808080"/>
    </w:rPr>
  </w:style>
  <w:style w:type="paragraph" w:customStyle="1" w:styleId="AppendixHeading">
    <w:name w:val="Appendix Heading"/>
    <w:basedOn w:val="Normal"/>
    <w:next w:val="Normal"/>
    <w:rsid w:val="00054E63"/>
    <w:pPr>
      <w:keepNext/>
      <w:spacing w:before="720" w:after="360"/>
    </w:pPr>
    <w:rPr>
      <w:rFonts w:ascii="Arial Bold" w:hAnsi="Arial Bold"/>
      <w:b/>
      <w:smallCaps/>
      <w:color w:val="004A7F"/>
      <w:sz w:val="36"/>
      <w:szCs w:val="36"/>
    </w:rPr>
  </w:style>
  <w:style w:type="paragraph" w:customStyle="1" w:styleId="HeadingBase">
    <w:name w:val="Heading Base"/>
    <w:rsid w:val="00054E63"/>
    <w:pPr>
      <w:keepNext/>
      <w:spacing w:before="100"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054E63"/>
    <w:rPr>
      <w:rFonts w:eastAsiaTheme="minorEastAsia"/>
      <w:color w:val="FFFFFF" w:themeColor="background1"/>
      <w:sz w:val="44"/>
      <w:szCs w:val="20"/>
    </w:rPr>
  </w:style>
  <w:style w:type="paragraph" w:customStyle="1" w:styleId="Disclaimer">
    <w:name w:val="Disclaimer"/>
    <w:basedOn w:val="ReportDate"/>
    <w:rsid w:val="00054E63"/>
    <w:pPr>
      <w:spacing w:after="1800"/>
      <w:ind w:right="142"/>
    </w:pPr>
    <w:rPr>
      <w:rFonts w:ascii="Century Gothic" w:hAnsi="Century Gothic"/>
      <w:b/>
      <w:bCs/>
      <w:color w:val="38AFCF" w:themeColor="text2"/>
      <w:sz w:val="22"/>
    </w:rPr>
  </w:style>
  <w:style w:type="paragraph" w:customStyle="1" w:styleId="NotesHeading">
    <w:name w:val="Notes Heading"/>
    <w:basedOn w:val="Normal"/>
    <w:rsid w:val="00054E63"/>
    <w:pPr>
      <w:keepNext/>
      <w:spacing w:before="240" w:after="360"/>
      <w:jc w:val="center"/>
    </w:pPr>
    <w:rPr>
      <w:rFonts w:ascii="Century Gothic" w:hAnsi="Century Gothic"/>
      <w:smallCaps/>
      <w:color w:val="38AFCF" w:themeColor="text2"/>
      <w:sz w:val="36"/>
      <w:szCs w:val="36"/>
    </w:rPr>
  </w:style>
  <w:style w:type="paragraph" w:customStyle="1" w:styleId="Divider">
    <w:name w:val="Divider"/>
    <w:basedOn w:val="ReportDate"/>
    <w:rsid w:val="00054E63"/>
    <w:pPr>
      <w:spacing w:after="1800"/>
    </w:pPr>
    <w:rPr>
      <w:rFonts w:ascii="Rockwell" w:hAnsi="Rockwell"/>
      <w:sz w:val="24"/>
    </w:rPr>
  </w:style>
  <w:style w:type="character" w:customStyle="1" w:styleId="FramedFooter">
    <w:name w:val="Framed Footer"/>
    <w:rsid w:val="00054E63"/>
    <w:rPr>
      <w:rFonts w:ascii="Arial" w:hAnsi="Arial"/>
      <w:color w:val="002C47"/>
      <w:sz w:val="18"/>
    </w:rPr>
  </w:style>
  <w:style w:type="character" w:customStyle="1" w:styleId="FramedHeader">
    <w:name w:val="Framed Header"/>
    <w:basedOn w:val="DefaultParagraphFont"/>
    <w:rsid w:val="00054E63"/>
    <w:rPr>
      <w:rFonts w:ascii="Arial" w:hAnsi="Arial"/>
      <w:dstrike w:val="0"/>
      <w:color w:val="auto"/>
      <w:sz w:val="18"/>
      <w:vertAlign w:val="baseline"/>
    </w:rPr>
  </w:style>
  <w:style w:type="paragraph" w:customStyle="1" w:styleId="TableTextIndented">
    <w:name w:val="Table Text Indented"/>
    <w:basedOn w:val="TableTextLeft"/>
    <w:rsid w:val="00054E63"/>
    <w:pPr>
      <w:ind w:left="284"/>
    </w:pPr>
  </w:style>
  <w:style w:type="paragraph" w:customStyle="1" w:styleId="TableHeadingContinued">
    <w:name w:val="Table Heading Continued"/>
    <w:basedOn w:val="TableMainHeading"/>
    <w:next w:val="TableGraphic"/>
    <w:qFormat/>
    <w:rsid w:val="00054E63"/>
    <w:pPr>
      <w:numPr>
        <w:numId w:val="20"/>
      </w:numPr>
    </w:pPr>
  </w:style>
  <w:style w:type="paragraph" w:customStyle="1" w:styleId="TableGraphic">
    <w:name w:val="Table Graphic"/>
    <w:basedOn w:val="HeadingBase"/>
    <w:next w:val="Normal"/>
    <w:rsid w:val="00054E63"/>
    <w:pPr>
      <w:spacing w:after="0"/>
    </w:pPr>
    <w:rPr>
      <w:color w:val="auto"/>
      <w:sz w:val="22"/>
    </w:rPr>
  </w:style>
  <w:style w:type="paragraph" w:customStyle="1" w:styleId="HeaderEven">
    <w:name w:val="Header Even"/>
    <w:basedOn w:val="Header"/>
    <w:rsid w:val="00054E63"/>
    <w:pPr>
      <w:jc w:val="left"/>
    </w:pPr>
    <w:rPr>
      <w:color w:val="002C47" w:themeColor="accent1"/>
    </w:rPr>
  </w:style>
  <w:style w:type="paragraph" w:customStyle="1" w:styleId="HeaderOdd">
    <w:name w:val="Header Odd"/>
    <w:basedOn w:val="Header"/>
    <w:rsid w:val="00054E63"/>
    <w:rPr>
      <w:color w:val="002C47" w:themeColor="accent1"/>
    </w:rPr>
  </w:style>
  <w:style w:type="paragraph" w:styleId="FootnoteText">
    <w:name w:val="footnote text"/>
    <w:basedOn w:val="CommentText"/>
    <w:link w:val="FootnoteTextChar"/>
    <w:uiPriority w:val="99"/>
    <w:rsid w:val="00756BE9"/>
    <w:pPr>
      <w:tabs>
        <w:tab w:val="left" w:pos="284"/>
      </w:tabs>
      <w:spacing w:after="120" w:line="240" w:lineRule="auto"/>
      <w:ind w:left="284" w:hanging="284"/>
    </w:pPr>
  </w:style>
  <w:style w:type="character" w:customStyle="1" w:styleId="FootnoteTextChar">
    <w:name w:val="Footnote Text Char"/>
    <w:basedOn w:val="DefaultParagraphFont"/>
    <w:link w:val="FootnoteText"/>
    <w:uiPriority w:val="99"/>
    <w:rsid w:val="00756BE9"/>
    <w:rPr>
      <w:rFonts w:eastAsiaTheme="minorEastAsia"/>
      <w:sz w:val="20"/>
      <w:szCs w:val="20"/>
    </w:rPr>
  </w:style>
  <w:style w:type="character" w:styleId="FootnoteReference">
    <w:name w:val="footnote reference"/>
    <w:basedOn w:val="DefaultParagraphFont"/>
    <w:uiPriority w:val="99"/>
    <w:rsid w:val="00054E63"/>
    <w:rPr>
      <w:rFonts w:ascii="Calibri" w:hAnsi="Calibri"/>
      <w:sz w:val="20"/>
      <w:vertAlign w:val="superscript"/>
    </w:rPr>
  </w:style>
  <w:style w:type="paragraph" w:styleId="BalloonText">
    <w:name w:val="Balloon Text"/>
    <w:basedOn w:val="Normal"/>
    <w:link w:val="BalloonTextChar"/>
    <w:uiPriority w:val="99"/>
    <w:semiHidden/>
    <w:unhideWhenUsed/>
    <w:rsid w:val="00054E6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E63"/>
    <w:rPr>
      <w:rFonts w:ascii="Tahoma" w:eastAsiaTheme="minorEastAsia" w:hAnsi="Tahoma" w:cs="Tahoma"/>
      <w:sz w:val="16"/>
      <w:szCs w:val="16"/>
    </w:rPr>
  </w:style>
  <w:style w:type="paragraph" w:styleId="NoSpacing">
    <w:name w:val="No Spacing"/>
    <w:link w:val="NoSpacingChar"/>
    <w:uiPriority w:val="1"/>
    <w:rsid w:val="00054E63"/>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054E63"/>
    <w:rPr>
      <w:rFonts w:eastAsiaTheme="minorEastAsia"/>
      <w:sz w:val="20"/>
      <w:szCs w:val="20"/>
    </w:rPr>
  </w:style>
  <w:style w:type="character" w:styleId="CommentReference">
    <w:name w:val="annotation reference"/>
    <w:basedOn w:val="DefaultParagraphFont"/>
    <w:uiPriority w:val="99"/>
    <w:semiHidden/>
    <w:unhideWhenUsed/>
    <w:rsid w:val="00054E63"/>
    <w:rPr>
      <w:sz w:val="16"/>
      <w:szCs w:val="16"/>
    </w:rPr>
  </w:style>
  <w:style w:type="paragraph" w:styleId="CommentText">
    <w:name w:val="annotation text"/>
    <w:basedOn w:val="Normal"/>
    <w:link w:val="CommentTextChar"/>
    <w:uiPriority w:val="99"/>
    <w:unhideWhenUsed/>
    <w:rsid w:val="00054E63"/>
  </w:style>
  <w:style w:type="character" w:customStyle="1" w:styleId="CommentTextChar">
    <w:name w:val="Comment Text Char"/>
    <w:basedOn w:val="DefaultParagraphFont"/>
    <w:link w:val="CommentText"/>
    <w:uiPriority w:val="99"/>
    <w:rsid w:val="00054E63"/>
    <w:rPr>
      <w:rFonts w:eastAsiaTheme="minorEastAsia"/>
      <w:sz w:val="20"/>
      <w:szCs w:val="20"/>
    </w:rPr>
  </w:style>
  <w:style w:type="paragraph" w:customStyle="1" w:styleId="PreparedBy">
    <w:name w:val="PreparedBy"/>
    <w:basedOn w:val="Subtitle"/>
    <w:qFormat/>
    <w:rsid w:val="00054E63"/>
  </w:style>
  <w:style w:type="character" w:styleId="BookTitle">
    <w:name w:val="Book Title"/>
    <w:uiPriority w:val="33"/>
    <w:rsid w:val="00054E63"/>
    <w:rPr>
      <w:b/>
      <w:bCs/>
      <w:i/>
      <w:iCs/>
      <w:spacing w:val="0"/>
    </w:rPr>
  </w:style>
  <w:style w:type="character" w:customStyle="1" w:styleId="NormalbulletChar">
    <w:name w:val="Normal bullet Char"/>
    <w:basedOn w:val="DefaultParagraphFont"/>
    <w:link w:val="Normalbullet"/>
    <w:locked/>
    <w:rsid w:val="00054E63"/>
    <w:rPr>
      <w:rFonts w:eastAsiaTheme="minorEastAsia"/>
      <w:sz w:val="20"/>
      <w:szCs w:val="20"/>
    </w:rPr>
  </w:style>
  <w:style w:type="paragraph" w:styleId="Caption">
    <w:name w:val="caption"/>
    <w:basedOn w:val="Normal"/>
    <w:next w:val="Normal"/>
    <w:uiPriority w:val="35"/>
    <w:unhideWhenUsed/>
    <w:qFormat/>
    <w:rsid w:val="00054E63"/>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054E63"/>
    <w:rPr>
      <w:b/>
      <w:bCs/>
    </w:rPr>
  </w:style>
  <w:style w:type="character" w:customStyle="1" w:styleId="CommentSubjectChar">
    <w:name w:val="Comment Subject Char"/>
    <w:basedOn w:val="CommentTextChar"/>
    <w:link w:val="CommentSubject"/>
    <w:uiPriority w:val="99"/>
    <w:semiHidden/>
    <w:rsid w:val="00054E63"/>
    <w:rPr>
      <w:rFonts w:eastAsiaTheme="minorEastAsia"/>
      <w:b/>
      <w:bCs/>
      <w:sz w:val="20"/>
      <w:szCs w:val="20"/>
    </w:rPr>
  </w:style>
  <w:style w:type="character" w:customStyle="1" w:styleId="NormaldashChar">
    <w:name w:val="Normal dash Char"/>
    <w:basedOn w:val="DefaultParagraphFont"/>
    <w:link w:val="Normaldash"/>
    <w:locked/>
    <w:rsid w:val="00054E63"/>
    <w:rPr>
      <w:rFonts w:eastAsiaTheme="minorEastAsia"/>
      <w:sz w:val="20"/>
      <w:szCs w:val="20"/>
    </w:rPr>
  </w:style>
  <w:style w:type="paragraph" w:customStyle="1" w:styleId="Default">
    <w:name w:val="Default"/>
    <w:rsid w:val="00054E63"/>
    <w:pPr>
      <w:autoSpaceDE w:val="0"/>
      <w:autoSpaceDN w:val="0"/>
      <w:adjustRightInd w:val="0"/>
      <w:spacing w:before="100" w:after="0" w:line="240" w:lineRule="auto"/>
    </w:pPr>
    <w:rPr>
      <w:rFonts w:ascii="Palatino" w:eastAsia="Times New Roman" w:hAnsi="Palatino" w:cs="Palatino"/>
      <w:color w:val="000000"/>
      <w:sz w:val="24"/>
      <w:szCs w:val="24"/>
      <w:lang w:val="en-US"/>
    </w:rPr>
  </w:style>
  <w:style w:type="character" w:styleId="Emphasis">
    <w:name w:val="Emphasis"/>
    <w:uiPriority w:val="20"/>
    <w:rsid w:val="00054E63"/>
    <w:rPr>
      <w:caps/>
      <w:color w:val="001523" w:themeColor="accent1" w:themeShade="7F"/>
      <w:spacing w:val="5"/>
    </w:rPr>
  </w:style>
  <w:style w:type="character" w:customStyle="1" w:styleId="Heading7Char">
    <w:name w:val="Heading 7 Char"/>
    <w:basedOn w:val="DefaultParagraphFont"/>
    <w:link w:val="Heading7"/>
    <w:uiPriority w:val="9"/>
    <w:rsid w:val="00054E63"/>
    <w:rPr>
      <w:rFonts w:eastAsiaTheme="minorEastAsia"/>
      <w:b/>
      <w:i/>
      <w:color w:val="002C47" w:themeColor="accent1"/>
      <w:sz w:val="20"/>
      <w:szCs w:val="20"/>
    </w:rPr>
  </w:style>
  <w:style w:type="character" w:customStyle="1" w:styleId="Heading8Char">
    <w:name w:val="Heading 8 Char"/>
    <w:basedOn w:val="DefaultParagraphFont"/>
    <w:link w:val="Heading8"/>
    <w:uiPriority w:val="9"/>
    <w:rsid w:val="00054E63"/>
    <w:rPr>
      <w:rFonts w:eastAsiaTheme="minorEastAsia"/>
      <w:b/>
      <w:bCs/>
      <w:smallCaps/>
      <w:color w:val="002C47" w:themeColor="accent1"/>
      <w:spacing w:val="15"/>
      <w:sz w:val="20"/>
      <w:szCs w:val="20"/>
    </w:rPr>
  </w:style>
  <w:style w:type="character" w:customStyle="1" w:styleId="Heading9Char">
    <w:name w:val="Heading 9 Char"/>
    <w:basedOn w:val="DefaultParagraphFont"/>
    <w:link w:val="Heading9"/>
    <w:uiPriority w:val="9"/>
    <w:rsid w:val="00054E63"/>
    <w:rPr>
      <w:rFonts w:eastAsiaTheme="minorEastAsia"/>
      <w:b/>
      <w:smallCaps/>
      <w:color w:val="002C47" w:themeColor="accent1"/>
      <w:spacing w:val="15"/>
      <w:sz w:val="20"/>
      <w:szCs w:val="20"/>
    </w:rPr>
  </w:style>
  <w:style w:type="character" w:styleId="IntenseEmphasis">
    <w:name w:val="Intense Emphasis"/>
    <w:uiPriority w:val="21"/>
    <w:rsid w:val="00054E63"/>
    <w:rPr>
      <w:b/>
      <w:bCs/>
      <w:caps/>
      <w:color w:val="001523" w:themeColor="accent1" w:themeShade="7F"/>
      <w:spacing w:val="10"/>
    </w:rPr>
  </w:style>
  <w:style w:type="paragraph" w:styleId="IntenseQuote">
    <w:name w:val="Intense Quote"/>
    <w:basedOn w:val="Normal"/>
    <w:next w:val="Normal"/>
    <w:link w:val="IntenseQuoteChar"/>
    <w:uiPriority w:val="30"/>
    <w:rsid w:val="00054E63"/>
    <w:pPr>
      <w:spacing w:before="240" w:after="240" w:line="240" w:lineRule="auto"/>
      <w:ind w:left="1080" w:right="1080"/>
      <w:jc w:val="center"/>
    </w:pPr>
    <w:rPr>
      <w:color w:val="002C47" w:themeColor="accent1"/>
      <w:sz w:val="24"/>
      <w:szCs w:val="24"/>
    </w:rPr>
  </w:style>
  <w:style w:type="character" w:customStyle="1" w:styleId="IntenseQuoteChar">
    <w:name w:val="Intense Quote Char"/>
    <w:basedOn w:val="DefaultParagraphFont"/>
    <w:link w:val="IntenseQuote"/>
    <w:uiPriority w:val="30"/>
    <w:rsid w:val="00054E63"/>
    <w:rPr>
      <w:rFonts w:eastAsiaTheme="minorEastAsia"/>
      <w:color w:val="002C47" w:themeColor="accent1"/>
      <w:sz w:val="24"/>
      <w:szCs w:val="24"/>
    </w:rPr>
  </w:style>
  <w:style w:type="character" w:styleId="IntenseReference">
    <w:name w:val="Intense Reference"/>
    <w:uiPriority w:val="32"/>
    <w:rsid w:val="00054E63"/>
    <w:rPr>
      <w:b/>
      <w:bCs/>
      <w:i/>
      <w:iCs/>
      <w:caps/>
      <w:color w:val="002C47" w:themeColor="accent1"/>
    </w:rPr>
  </w:style>
  <w:style w:type="paragraph" w:styleId="ListParagraph">
    <w:name w:val="List Paragraph"/>
    <w:basedOn w:val="Normal"/>
    <w:uiPriority w:val="34"/>
    <w:rsid w:val="00054E63"/>
    <w:pPr>
      <w:ind w:left="720"/>
      <w:contextualSpacing/>
    </w:pPr>
  </w:style>
  <w:style w:type="paragraph" w:styleId="NormalWeb">
    <w:name w:val="Normal (Web)"/>
    <w:basedOn w:val="Normal"/>
    <w:uiPriority w:val="99"/>
    <w:unhideWhenUsed/>
    <w:rsid w:val="00054E63"/>
    <w:pPr>
      <w:spacing w:beforeAutospacing="1" w:after="100" w:afterAutospacing="1"/>
    </w:pPr>
    <w:rPr>
      <w:rFonts w:ascii="Times New Roman" w:hAnsi="Times New Roman"/>
      <w:sz w:val="24"/>
      <w:szCs w:val="24"/>
    </w:rPr>
  </w:style>
  <w:style w:type="paragraph" w:styleId="Quote">
    <w:name w:val="Quote"/>
    <w:basedOn w:val="Normal"/>
    <w:next w:val="Normal"/>
    <w:link w:val="QuoteChar"/>
    <w:uiPriority w:val="29"/>
    <w:rsid w:val="00054E63"/>
    <w:rPr>
      <w:i/>
      <w:iCs/>
      <w:sz w:val="24"/>
      <w:szCs w:val="24"/>
    </w:rPr>
  </w:style>
  <w:style w:type="character" w:customStyle="1" w:styleId="QuoteChar">
    <w:name w:val="Quote Char"/>
    <w:basedOn w:val="DefaultParagraphFont"/>
    <w:link w:val="Quote"/>
    <w:uiPriority w:val="29"/>
    <w:rsid w:val="00054E63"/>
    <w:rPr>
      <w:rFonts w:eastAsiaTheme="minorEastAsia"/>
      <w:i/>
      <w:iCs/>
      <w:sz w:val="24"/>
      <w:szCs w:val="24"/>
    </w:rPr>
  </w:style>
  <w:style w:type="character" w:styleId="Strong">
    <w:name w:val="Strong"/>
    <w:uiPriority w:val="22"/>
    <w:rsid w:val="00054E63"/>
    <w:rPr>
      <w:b/>
      <w:bCs/>
    </w:rPr>
  </w:style>
  <w:style w:type="character" w:styleId="SubtleReference">
    <w:name w:val="Subtle Reference"/>
    <w:uiPriority w:val="31"/>
    <w:rsid w:val="00054E63"/>
    <w:rPr>
      <w:b/>
      <w:bCs/>
      <w:color w:val="002C47" w:themeColor="accent1"/>
    </w:rPr>
  </w:style>
  <w:style w:type="paragraph" w:styleId="TOCHeading">
    <w:name w:val="TOC Heading"/>
    <w:basedOn w:val="Heading1"/>
    <w:next w:val="Normal"/>
    <w:uiPriority w:val="39"/>
    <w:unhideWhenUsed/>
    <w:qFormat/>
    <w:rsid w:val="00054E63"/>
    <w:pPr>
      <w:outlineLvl w:val="9"/>
    </w:pPr>
  </w:style>
  <w:style w:type="character" w:customStyle="1" w:styleId="value">
    <w:name w:val="value"/>
    <w:basedOn w:val="DefaultParagraphFont"/>
    <w:rsid w:val="00054E63"/>
  </w:style>
  <w:style w:type="paragraph" w:styleId="BodyText">
    <w:name w:val="Body Text"/>
    <w:basedOn w:val="Normal"/>
    <w:link w:val="BodyTextChar"/>
    <w:uiPriority w:val="99"/>
    <w:semiHidden/>
    <w:unhideWhenUsed/>
    <w:rsid w:val="00054E63"/>
    <w:pPr>
      <w:spacing w:after="120"/>
    </w:pPr>
  </w:style>
  <w:style w:type="character" w:customStyle="1" w:styleId="BodyTextChar">
    <w:name w:val="Body Text Char"/>
    <w:basedOn w:val="DefaultParagraphFont"/>
    <w:link w:val="BodyText"/>
    <w:uiPriority w:val="99"/>
    <w:semiHidden/>
    <w:rsid w:val="00054E63"/>
    <w:rPr>
      <w:rFonts w:eastAsiaTheme="minorEastAsia"/>
      <w:sz w:val="20"/>
      <w:szCs w:val="20"/>
    </w:rPr>
  </w:style>
  <w:style w:type="character" w:customStyle="1" w:styleId="BoxBulletChar">
    <w:name w:val="Box Bullet Char"/>
    <w:basedOn w:val="DefaultParagraphFont"/>
    <w:link w:val="BoxBullet"/>
    <w:rsid w:val="00054E63"/>
    <w:rPr>
      <w:rFonts w:eastAsiaTheme="minorEastAsia" w:cs="Times New Roman"/>
      <w:sz w:val="20"/>
      <w:szCs w:val="20"/>
      <w:bdr w:val="none" w:sz="0" w:space="0" w:color="auto" w:frame="1"/>
      <w:lang w:eastAsia="en-AU"/>
    </w:rPr>
  </w:style>
  <w:style w:type="character" w:customStyle="1" w:styleId="BoxDashChar">
    <w:name w:val="Box Dash Char"/>
    <w:basedOn w:val="DefaultParagraphFont"/>
    <w:link w:val="BoxDash"/>
    <w:rsid w:val="00054E63"/>
    <w:rPr>
      <w:rFonts w:eastAsiaTheme="minorEastAsia" w:cs="Times New Roman"/>
      <w:sz w:val="20"/>
      <w:szCs w:val="20"/>
      <w:bdr w:val="none" w:sz="0" w:space="0" w:color="auto" w:frame="1"/>
      <w:lang w:eastAsia="en-AU"/>
    </w:rPr>
  </w:style>
  <w:style w:type="paragraph" w:customStyle="1" w:styleId="Source">
    <w:name w:val="Source"/>
    <w:basedOn w:val="Normaldash"/>
    <w:link w:val="SourceChar"/>
    <w:qFormat/>
    <w:rsid w:val="00151500"/>
    <w:pPr>
      <w:numPr>
        <w:ilvl w:val="0"/>
        <w:numId w:val="0"/>
      </w:numPr>
      <w:pBdr>
        <w:bottom w:val="dashed" w:sz="4" w:space="1" w:color="002C47" w:themeColor="accent1"/>
      </w:pBdr>
      <w:tabs>
        <w:tab w:val="left" w:pos="0"/>
      </w:tabs>
      <w:spacing w:before="40" w:after="0"/>
      <w:ind w:left="737" w:hanging="737"/>
      <w:contextualSpacing/>
    </w:pPr>
    <w:rPr>
      <w:sz w:val="18"/>
      <w:bdr w:val="none" w:sz="0" w:space="0" w:color="auto" w:frame="1"/>
    </w:rPr>
  </w:style>
  <w:style w:type="character" w:customStyle="1" w:styleId="SourceChar">
    <w:name w:val="Source Char"/>
    <w:basedOn w:val="NormaldashChar"/>
    <w:link w:val="Source"/>
    <w:rsid w:val="00151500"/>
    <w:rPr>
      <w:rFonts w:eastAsiaTheme="minorEastAsia"/>
      <w:sz w:val="18"/>
      <w:szCs w:val="20"/>
      <w:bdr w:val="none" w:sz="0" w:space="0" w:color="auto" w:frame="1"/>
    </w:rPr>
  </w:style>
  <w:style w:type="paragraph" w:customStyle="1" w:styleId="Tabledash">
    <w:name w:val="Table dash"/>
    <w:basedOn w:val="BoxDash"/>
    <w:link w:val="TabledashChar"/>
    <w:qFormat/>
    <w:rsid w:val="00054E63"/>
    <w:pPr>
      <w:tabs>
        <w:tab w:val="clear" w:pos="567"/>
        <w:tab w:val="num" w:pos="283"/>
      </w:tabs>
      <w:ind w:left="568" w:hanging="283"/>
    </w:pPr>
  </w:style>
  <w:style w:type="character" w:customStyle="1" w:styleId="TabledashChar">
    <w:name w:val="Table dash Char"/>
    <w:basedOn w:val="BoxDashChar"/>
    <w:link w:val="Tabledash"/>
    <w:rsid w:val="00054E63"/>
    <w:rPr>
      <w:rFonts w:eastAsiaTheme="minorEastAsia" w:cs="Times New Roman"/>
      <w:sz w:val="20"/>
      <w:szCs w:val="20"/>
      <w:bdr w:val="none" w:sz="0" w:space="0" w:color="auto" w:frame="1"/>
      <w:lang w:eastAsia="en-AU"/>
    </w:rPr>
  </w:style>
  <w:style w:type="paragraph" w:customStyle="1" w:styleId="Tabledot">
    <w:name w:val="Table dot"/>
    <w:basedOn w:val="BoxBullet"/>
    <w:link w:val="TabledotChar"/>
    <w:qFormat/>
    <w:rsid w:val="00054E63"/>
    <w:pPr>
      <w:numPr>
        <w:numId w:val="0"/>
      </w:numPr>
    </w:pPr>
  </w:style>
  <w:style w:type="character" w:customStyle="1" w:styleId="TabledotChar">
    <w:name w:val="Table dot Char"/>
    <w:basedOn w:val="BoxBulletChar"/>
    <w:link w:val="Tabledot"/>
    <w:rsid w:val="00054E63"/>
    <w:rPr>
      <w:rFonts w:eastAsiaTheme="minorEastAsia" w:cs="Times New Roman"/>
      <w:sz w:val="20"/>
      <w:szCs w:val="20"/>
      <w:bdr w:val="none" w:sz="0" w:space="0" w:color="auto" w:frame="1"/>
      <w:lang w:eastAsia="en-AU"/>
    </w:rPr>
  </w:style>
  <w:style w:type="table" w:customStyle="1" w:styleId="CPOPTable">
    <w:name w:val="CPOP Table"/>
    <w:basedOn w:val="TableNormal"/>
    <w:uiPriority w:val="99"/>
    <w:rsid w:val="00054E63"/>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character" w:styleId="UnresolvedMention">
    <w:name w:val="Unresolved Mention"/>
    <w:basedOn w:val="DefaultParagraphFont"/>
    <w:uiPriority w:val="99"/>
    <w:semiHidden/>
    <w:unhideWhenUsed/>
    <w:rsid w:val="00476121"/>
    <w:rPr>
      <w:color w:val="605E5C"/>
      <w:shd w:val="clear" w:color="auto" w:fill="E1DFDD"/>
    </w:rPr>
  </w:style>
  <w:style w:type="character" w:styleId="FollowedHyperlink">
    <w:name w:val="FollowedHyperlink"/>
    <w:basedOn w:val="DefaultParagraphFont"/>
    <w:uiPriority w:val="99"/>
    <w:semiHidden/>
    <w:unhideWhenUsed/>
    <w:rsid w:val="00476121"/>
    <w:rPr>
      <w:color w:val="954F72" w:themeColor="followedHyperlink"/>
      <w:u w:val="single"/>
    </w:rPr>
  </w:style>
  <w:style w:type="paragraph" w:customStyle="1" w:styleId="Bullet">
    <w:name w:val="Bullet"/>
    <w:basedOn w:val="Normal"/>
    <w:link w:val="BulletChar"/>
    <w:qFormat/>
    <w:rsid w:val="00756BE9"/>
    <w:pPr>
      <w:numPr>
        <w:numId w:val="31"/>
      </w:numPr>
      <w:ind w:left="284" w:hanging="284"/>
    </w:pPr>
  </w:style>
  <w:style w:type="character" w:customStyle="1" w:styleId="BulletChar">
    <w:name w:val="Bullet Char"/>
    <w:basedOn w:val="DefaultParagraphFont"/>
    <w:link w:val="Bullet"/>
    <w:qFormat/>
    <w:rsid w:val="00756BE9"/>
    <w:rPr>
      <w:rFonts w:eastAsiaTheme="minorEastAsia"/>
      <w:sz w:val="20"/>
      <w:szCs w:val="20"/>
    </w:rPr>
  </w:style>
  <w:style w:type="paragraph" w:customStyle="1" w:styleId="Dash">
    <w:name w:val="Dash"/>
    <w:basedOn w:val="Normal"/>
    <w:link w:val="DashChar"/>
    <w:qFormat/>
    <w:rsid w:val="00247581"/>
    <w:pPr>
      <w:numPr>
        <w:ilvl w:val="1"/>
        <w:numId w:val="25"/>
      </w:numPr>
    </w:pPr>
  </w:style>
  <w:style w:type="paragraph" w:customStyle="1" w:styleId="DoubleDot">
    <w:name w:val="Double Dot"/>
    <w:basedOn w:val="Normal"/>
    <w:link w:val="DoubleDotChar"/>
    <w:qFormat/>
    <w:rsid w:val="00247581"/>
    <w:pPr>
      <w:numPr>
        <w:ilvl w:val="2"/>
        <w:numId w:val="25"/>
      </w:numPr>
    </w:pPr>
  </w:style>
  <w:style w:type="character" w:customStyle="1" w:styleId="DashChar">
    <w:name w:val="Dash Char"/>
    <w:basedOn w:val="DefaultParagraphFont"/>
    <w:link w:val="Dash"/>
    <w:rsid w:val="00DF5365"/>
    <w:rPr>
      <w:rFonts w:eastAsiaTheme="minorEastAsia"/>
      <w:sz w:val="20"/>
      <w:szCs w:val="20"/>
    </w:rPr>
  </w:style>
  <w:style w:type="character" w:customStyle="1" w:styleId="BoxTextChar">
    <w:name w:val="Box Text Char"/>
    <w:basedOn w:val="DefaultParagraphFont"/>
    <w:link w:val="BoxText"/>
    <w:rsid w:val="00CF3346"/>
    <w:rPr>
      <w:rFonts w:eastAsiaTheme="minorEastAsia" w:cstheme="minorHAnsi"/>
      <w:sz w:val="20"/>
      <w:szCs w:val="20"/>
      <w:lang w:eastAsia="en-AU"/>
    </w:rPr>
  </w:style>
  <w:style w:type="character" w:customStyle="1" w:styleId="DoubleDotChar">
    <w:name w:val="Double Dot Char"/>
    <w:basedOn w:val="DefaultParagraphFont"/>
    <w:link w:val="DoubleDot"/>
    <w:rsid w:val="00CF3346"/>
    <w:rPr>
      <w:rFonts w:eastAsiaTheme="minorEastAsia"/>
      <w:sz w:val="20"/>
      <w:szCs w:val="20"/>
    </w:rPr>
  </w:style>
  <w:style w:type="paragraph" w:styleId="Revision">
    <w:name w:val="Revision"/>
    <w:hidden/>
    <w:uiPriority w:val="99"/>
    <w:semiHidden/>
    <w:rsid w:val="00F03185"/>
    <w:pPr>
      <w:spacing w:after="0" w:line="240" w:lineRule="auto"/>
    </w:pPr>
    <w:rPr>
      <w:rFonts w:eastAsiaTheme="minorEastAsia"/>
      <w:sz w:val="20"/>
      <w:szCs w:val="20"/>
    </w:rPr>
  </w:style>
  <w:style w:type="paragraph" w:customStyle="1" w:styleId="Tabletextleftindent">
    <w:name w:val="Table text left indent"/>
    <w:basedOn w:val="TableTextLeft"/>
    <w:qFormat/>
    <w:rsid w:val="00BC6428"/>
    <w:pPr>
      <w:ind w:left="283"/>
    </w:pPr>
    <w:rPr>
      <w:i/>
      <w:iCs/>
      <w:color w:val="0F3A5D" w:themeColor="accent2" w:themeShade="80"/>
      <w:bdr w:val="none" w:sz="0" w:space="0" w:color="auto"/>
    </w:rPr>
  </w:style>
  <w:style w:type="paragraph" w:customStyle="1" w:styleId="paragraph">
    <w:name w:val="paragraph"/>
    <w:basedOn w:val="Normal"/>
    <w:rsid w:val="00F87C54"/>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87C54"/>
  </w:style>
  <w:style w:type="character" w:customStyle="1" w:styleId="eop">
    <w:name w:val="eop"/>
    <w:basedOn w:val="DefaultParagraphFont"/>
    <w:rsid w:val="00F87C54"/>
  </w:style>
  <w:style w:type="character" w:customStyle="1" w:styleId="cf01">
    <w:name w:val="cf01"/>
    <w:basedOn w:val="DefaultParagraphFont"/>
    <w:rsid w:val="00C769B2"/>
    <w:rPr>
      <w:rFonts w:ascii="Segoe UI" w:hAnsi="Segoe UI" w:cs="Segoe UI" w:hint="default"/>
      <w:sz w:val="18"/>
      <w:szCs w:val="18"/>
    </w:rPr>
  </w:style>
  <w:style w:type="character" w:styleId="Mention">
    <w:name w:val="Mention"/>
    <w:basedOn w:val="DefaultParagraphFont"/>
    <w:uiPriority w:val="99"/>
    <w:unhideWhenUsed/>
    <w:rsid w:val="000E7230"/>
    <w:rPr>
      <w:color w:val="2B579A"/>
      <w:shd w:val="clear" w:color="auto" w:fill="E1DFDD"/>
    </w:rPr>
  </w:style>
  <w:style w:type="paragraph" w:customStyle="1" w:styleId="Footnotev2">
    <w:name w:val="Footnote_v2"/>
    <w:basedOn w:val="FootnoteText"/>
    <w:rsid w:val="00756BE9"/>
    <w:pPr>
      <w:spacing w:after="100"/>
      <w:ind w:left="0" w:firstLine="0"/>
    </w:pPr>
    <w:rPr>
      <w:szCs w:val="18"/>
    </w:rPr>
  </w:style>
  <w:style w:type="paragraph" w:customStyle="1" w:styleId="bulletv2">
    <w:name w:val="bullet_v2"/>
    <w:basedOn w:val="Bullet"/>
    <w:qFormat/>
    <w:rsid w:val="002E7CD7"/>
    <w:rPr>
      <w:rFonts w:cs="Times New Roman"/>
      <w:lang w:eastAsia="en-AU"/>
    </w:rPr>
  </w:style>
  <w:style w:type="character" w:customStyle="1" w:styleId="findhit">
    <w:name w:val="findhit"/>
    <w:basedOn w:val="DefaultParagraphFont"/>
    <w:rsid w:val="0049451E"/>
  </w:style>
  <w:style w:type="table" w:customStyle="1" w:styleId="TableGrid1">
    <w:name w:val="Table Grid1"/>
    <w:basedOn w:val="TableNormal"/>
    <w:next w:val="TableGrid"/>
    <w:uiPriority w:val="39"/>
    <w:rsid w:val="00923913"/>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Glossaryheading">
    <w:name w:val="Glossary heading"/>
    <w:basedOn w:val="Heading1"/>
    <w:qFormat/>
    <w:rsid w:val="001A002F"/>
  </w:style>
  <w:style w:type="paragraph" w:customStyle="1" w:styleId="nospace">
    <w:name w:val="no space"/>
    <w:basedOn w:val="Normal"/>
    <w:qFormat/>
    <w:rsid w:val="001A002F"/>
    <w:pPr>
      <w:spacing w:before="0" w:after="0"/>
    </w:pPr>
    <w:rPr>
      <w:sz w:val="16"/>
      <w:szCs w:val="16"/>
    </w:rPr>
  </w:style>
  <w:style w:type="character" w:customStyle="1" w:styleId="ui-provider">
    <w:name w:val="ui-provider"/>
    <w:basedOn w:val="DefaultParagraphFont"/>
    <w:rsid w:val="00F80376"/>
  </w:style>
  <w:style w:type="paragraph" w:styleId="Bibliography">
    <w:name w:val="Bibliography"/>
    <w:basedOn w:val="Normal"/>
    <w:next w:val="Normal"/>
    <w:uiPriority w:val="37"/>
    <w:unhideWhenUsed/>
    <w:rsid w:val="00254F2C"/>
  </w:style>
  <w:style w:type="character" w:customStyle="1" w:styleId="cf11">
    <w:name w:val="cf11"/>
    <w:basedOn w:val="DefaultParagraphFont"/>
    <w:rsid w:val="005E7EF4"/>
    <w:rPr>
      <w:rFonts w:ascii="Segoe UI" w:hAnsi="Segoe UI" w:cs="Segoe UI" w:hint="default"/>
      <w:sz w:val="18"/>
      <w:szCs w:val="18"/>
    </w:rPr>
  </w:style>
  <w:style w:type="table" w:styleId="TableGridLight">
    <w:name w:val="Grid Table Light"/>
    <w:basedOn w:val="TableNormal"/>
    <w:uiPriority w:val="40"/>
    <w:rsid w:val="00F500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F5002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F72B6"/>
    <w:pPr>
      <w:spacing w:before="0" w:after="0" w:line="240" w:lineRule="auto"/>
    </w:pPr>
    <w:rPr>
      <w:rFonts w:ascii="Calibri" w:eastAsiaTheme="minorHAnsi" w:hAnsi="Calibri" w:cs="Calibri"/>
      <w:sz w:val="22"/>
      <w:szCs w:val="22"/>
      <w:lang w:eastAsia="en-AU"/>
    </w:rPr>
  </w:style>
  <w:style w:type="paragraph" w:customStyle="1" w:styleId="Introtext">
    <w:name w:val="Intro text"/>
    <w:basedOn w:val="Normal"/>
    <w:qFormat/>
    <w:rsid w:val="005760FA"/>
    <w:pPr>
      <w:numPr>
        <w:ilvl w:val="1"/>
      </w:numPr>
      <w:pBdr>
        <w:bottom w:val="single" w:sz="18" w:space="6" w:color="4DBC8D" w:themeColor="background2"/>
      </w:pBdr>
      <w:spacing w:before="240" w:after="240" w:line="300" w:lineRule="auto"/>
      <w:contextualSpacing/>
    </w:pPr>
    <w:rPr>
      <w:rFonts w:ascii="Calibri" w:hAnsi="Calibri"/>
      <w:sz w:val="26"/>
      <w:szCs w:val="26"/>
      <w:lang w:eastAsia="zh-CN"/>
    </w:rPr>
  </w:style>
  <w:style w:type="character" w:customStyle="1" w:styleId="TableChartFigureHeadingChar">
    <w:name w:val="Table/Chart/Figure Heading Char"/>
    <w:basedOn w:val="DefaultParagraphFont"/>
    <w:link w:val="TableChartFigureHeading"/>
    <w:rsid w:val="005760FA"/>
    <w:rPr>
      <w:b/>
      <w:color w:val="002C47" w:themeColor="accent1"/>
      <w:bdr w:val="none" w:sz="0" w:space="0" w:color="auto" w:frame="1"/>
    </w:rPr>
  </w:style>
  <w:style w:type="paragraph" w:customStyle="1" w:styleId="TableChartFigureHeading">
    <w:name w:val="Table/Chart/Figure Heading"/>
    <w:basedOn w:val="Normal"/>
    <w:next w:val="Normal"/>
    <w:link w:val="TableChartFigureHeadingChar"/>
    <w:qFormat/>
    <w:rsid w:val="005760FA"/>
    <w:pPr>
      <w:keepNext/>
      <w:pBdr>
        <w:top w:val="single" w:sz="12" w:space="6" w:color="38AFCF" w:themeColor="text2"/>
      </w:pBdr>
      <w:spacing w:before="240" w:after="160" w:line="300" w:lineRule="auto"/>
      <w:outlineLvl w:val="2"/>
    </w:pPr>
    <w:rPr>
      <w:rFonts w:eastAsiaTheme="minorHAnsi"/>
      <w:b/>
      <w:color w:val="002C47" w:themeColor="accent1"/>
      <w:sz w:val="22"/>
      <w:szCs w:val="22"/>
      <w:bdr w:val="none" w:sz="0" w:space="0" w:color="auto" w:frame="1"/>
    </w:rPr>
  </w:style>
  <w:style w:type="paragraph" w:customStyle="1" w:styleId="ImageCaptions">
    <w:name w:val="ImageCaptions"/>
    <w:basedOn w:val="Normal"/>
    <w:qFormat/>
    <w:rsid w:val="00D52C00"/>
    <w:pPr>
      <w:spacing w:before="80" w:after="0" w:line="259" w:lineRule="auto"/>
    </w:pPr>
    <w:rPr>
      <w:rFonts w:eastAsiaTheme="minorHAnsi"/>
      <w:sz w:val="16"/>
      <w:szCs w:val="22"/>
    </w:rPr>
  </w:style>
  <w:style w:type="table" w:customStyle="1" w:styleId="CPOPTable1">
    <w:name w:val="CPOP Table1"/>
    <w:basedOn w:val="TableNormal"/>
    <w:uiPriority w:val="99"/>
    <w:rsid w:val="002A6270"/>
    <w:pPr>
      <w:spacing w:after="0" w:line="240" w:lineRule="auto"/>
    </w:pPr>
    <w:tblPr>
      <w:tblBorders>
        <w:bottom w:val="single" w:sz="8"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tcPr>
    </w:tblStylePr>
    <w:tblStylePr w:type="lastRow">
      <w:tblPr/>
      <w:tcPr>
        <w:tcBorders>
          <w:bottom w:val="nil"/>
        </w:tcBorders>
      </w:tcPr>
    </w:tblStylePr>
  </w:style>
  <w:style w:type="character" w:customStyle="1" w:styleId="markedcontent">
    <w:name w:val="markedcontent"/>
    <w:basedOn w:val="DefaultParagraphFont"/>
    <w:rsid w:val="00665136"/>
  </w:style>
  <w:style w:type="paragraph" w:customStyle="1" w:styleId="TableTextLeftBlue">
    <w:name w:val="Table Text Left Blue"/>
    <w:basedOn w:val="TableTextLeft"/>
    <w:qFormat/>
    <w:rsid w:val="00BC6428"/>
    <w:rPr>
      <w:bCs/>
      <w:color w:val="0F3A5D" w:themeColor="accent2" w:themeShade="80"/>
    </w:rPr>
  </w:style>
  <w:style w:type="table" w:styleId="PlainTable4">
    <w:name w:val="Plain Table 4"/>
    <w:basedOn w:val="TableNormal"/>
    <w:uiPriority w:val="44"/>
    <w:rsid w:val="003C44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Heading2">
    <w:name w:val="Box Heading 2"/>
    <w:basedOn w:val="Heading4"/>
    <w:next w:val="BoxText"/>
    <w:qFormat/>
    <w:rsid w:val="00D309B3"/>
    <w:pPr>
      <w:jc w:val="both"/>
    </w:pPr>
    <w:rPr>
      <w:rFonts w:cs="Times New Roman"/>
      <w:lang w:eastAsia="en-AU"/>
    </w:rPr>
  </w:style>
  <w:style w:type="character" w:customStyle="1" w:styleId="Box-Continuedoverpage">
    <w:name w:val="Box - Continued over page"/>
    <w:uiPriority w:val="1"/>
    <w:qFormat/>
    <w:rsid w:val="00997375"/>
    <w:rPr>
      <w:rFonts w:eastAsiaTheme="majorEastAsia" w:cs="Times New Roman"/>
      <w:i/>
      <w:iCs/>
      <w:lang w:eastAsia="en-AU"/>
    </w:rPr>
  </w:style>
  <w:style w:type="paragraph" w:customStyle="1" w:styleId="GlossaryHeading2">
    <w:name w:val="Glossary Heading 2"/>
    <w:basedOn w:val="Heading7"/>
    <w:next w:val="Normal"/>
    <w:qFormat/>
    <w:rsid w:val="00997375"/>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62">
      <w:bodyDiv w:val="1"/>
      <w:marLeft w:val="0"/>
      <w:marRight w:val="0"/>
      <w:marTop w:val="0"/>
      <w:marBottom w:val="0"/>
      <w:divBdr>
        <w:top w:val="none" w:sz="0" w:space="0" w:color="auto"/>
        <w:left w:val="none" w:sz="0" w:space="0" w:color="auto"/>
        <w:bottom w:val="none" w:sz="0" w:space="0" w:color="auto"/>
        <w:right w:val="none" w:sz="0" w:space="0" w:color="auto"/>
      </w:divBdr>
    </w:div>
    <w:div w:id="1974175">
      <w:bodyDiv w:val="1"/>
      <w:marLeft w:val="0"/>
      <w:marRight w:val="0"/>
      <w:marTop w:val="0"/>
      <w:marBottom w:val="0"/>
      <w:divBdr>
        <w:top w:val="none" w:sz="0" w:space="0" w:color="auto"/>
        <w:left w:val="none" w:sz="0" w:space="0" w:color="auto"/>
        <w:bottom w:val="none" w:sz="0" w:space="0" w:color="auto"/>
        <w:right w:val="none" w:sz="0" w:space="0" w:color="auto"/>
      </w:divBdr>
    </w:div>
    <w:div w:id="7148569">
      <w:bodyDiv w:val="1"/>
      <w:marLeft w:val="0"/>
      <w:marRight w:val="0"/>
      <w:marTop w:val="0"/>
      <w:marBottom w:val="0"/>
      <w:divBdr>
        <w:top w:val="none" w:sz="0" w:space="0" w:color="auto"/>
        <w:left w:val="none" w:sz="0" w:space="0" w:color="auto"/>
        <w:bottom w:val="none" w:sz="0" w:space="0" w:color="auto"/>
        <w:right w:val="none" w:sz="0" w:space="0" w:color="auto"/>
      </w:divBdr>
    </w:div>
    <w:div w:id="8066887">
      <w:bodyDiv w:val="1"/>
      <w:marLeft w:val="0"/>
      <w:marRight w:val="0"/>
      <w:marTop w:val="0"/>
      <w:marBottom w:val="0"/>
      <w:divBdr>
        <w:top w:val="none" w:sz="0" w:space="0" w:color="auto"/>
        <w:left w:val="none" w:sz="0" w:space="0" w:color="auto"/>
        <w:bottom w:val="none" w:sz="0" w:space="0" w:color="auto"/>
        <w:right w:val="none" w:sz="0" w:space="0" w:color="auto"/>
      </w:divBdr>
    </w:div>
    <w:div w:id="9647271">
      <w:bodyDiv w:val="1"/>
      <w:marLeft w:val="0"/>
      <w:marRight w:val="0"/>
      <w:marTop w:val="0"/>
      <w:marBottom w:val="0"/>
      <w:divBdr>
        <w:top w:val="none" w:sz="0" w:space="0" w:color="auto"/>
        <w:left w:val="none" w:sz="0" w:space="0" w:color="auto"/>
        <w:bottom w:val="none" w:sz="0" w:space="0" w:color="auto"/>
        <w:right w:val="none" w:sz="0" w:space="0" w:color="auto"/>
      </w:divBdr>
    </w:div>
    <w:div w:id="10694225">
      <w:bodyDiv w:val="1"/>
      <w:marLeft w:val="0"/>
      <w:marRight w:val="0"/>
      <w:marTop w:val="0"/>
      <w:marBottom w:val="0"/>
      <w:divBdr>
        <w:top w:val="none" w:sz="0" w:space="0" w:color="auto"/>
        <w:left w:val="none" w:sz="0" w:space="0" w:color="auto"/>
        <w:bottom w:val="none" w:sz="0" w:space="0" w:color="auto"/>
        <w:right w:val="none" w:sz="0" w:space="0" w:color="auto"/>
      </w:divBdr>
    </w:div>
    <w:div w:id="22363012">
      <w:bodyDiv w:val="1"/>
      <w:marLeft w:val="0"/>
      <w:marRight w:val="0"/>
      <w:marTop w:val="0"/>
      <w:marBottom w:val="0"/>
      <w:divBdr>
        <w:top w:val="none" w:sz="0" w:space="0" w:color="auto"/>
        <w:left w:val="none" w:sz="0" w:space="0" w:color="auto"/>
        <w:bottom w:val="none" w:sz="0" w:space="0" w:color="auto"/>
        <w:right w:val="none" w:sz="0" w:space="0" w:color="auto"/>
      </w:divBdr>
    </w:div>
    <w:div w:id="23675430">
      <w:bodyDiv w:val="1"/>
      <w:marLeft w:val="0"/>
      <w:marRight w:val="0"/>
      <w:marTop w:val="0"/>
      <w:marBottom w:val="0"/>
      <w:divBdr>
        <w:top w:val="none" w:sz="0" w:space="0" w:color="auto"/>
        <w:left w:val="none" w:sz="0" w:space="0" w:color="auto"/>
        <w:bottom w:val="none" w:sz="0" w:space="0" w:color="auto"/>
        <w:right w:val="none" w:sz="0" w:space="0" w:color="auto"/>
      </w:divBdr>
    </w:div>
    <w:div w:id="33503499">
      <w:bodyDiv w:val="1"/>
      <w:marLeft w:val="0"/>
      <w:marRight w:val="0"/>
      <w:marTop w:val="0"/>
      <w:marBottom w:val="0"/>
      <w:divBdr>
        <w:top w:val="none" w:sz="0" w:space="0" w:color="auto"/>
        <w:left w:val="none" w:sz="0" w:space="0" w:color="auto"/>
        <w:bottom w:val="none" w:sz="0" w:space="0" w:color="auto"/>
        <w:right w:val="none" w:sz="0" w:space="0" w:color="auto"/>
      </w:divBdr>
    </w:div>
    <w:div w:id="37433765">
      <w:bodyDiv w:val="1"/>
      <w:marLeft w:val="0"/>
      <w:marRight w:val="0"/>
      <w:marTop w:val="0"/>
      <w:marBottom w:val="0"/>
      <w:divBdr>
        <w:top w:val="none" w:sz="0" w:space="0" w:color="auto"/>
        <w:left w:val="none" w:sz="0" w:space="0" w:color="auto"/>
        <w:bottom w:val="none" w:sz="0" w:space="0" w:color="auto"/>
        <w:right w:val="none" w:sz="0" w:space="0" w:color="auto"/>
      </w:divBdr>
    </w:div>
    <w:div w:id="41636768">
      <w:bodyDiv w:val="1"/>
      <w:marLeft w:val="0"/>
      <w:marRight w:val="0"/>
      <w:marTop w:val="0"/>
      <w:marBottom w:val="0"/>
      <w:divBdr>
        <w:top w:val="none" w:sz="0" w:space="0" w:color="auto"/>
        <w:left w:val="none" w:sz="0" w:space="0" w:color="auto"/>
        <w:bottom w:val="none" w:sz="0" w:space="0" w:color="auto"/>
        <w:right w:val="none" w:sz="0" w:space="0" w:color="auto"/>
      </w:divBdr>
    </w:div>
    <w:div w:id="41952607">
      <w:bodyDiv w:val="1"/>
      <w:marLeft w:val="0"/>
      <w:marRight w:val="0"/>
      <w:marTop w:val="0"/>
      <w:marBottom w:val="0"/>
      <w:divBdr>
        <w:top w:val="none" w:sz="0" w:space="0" w:color="auto"/>
        <w:left w:val="none" w:sz="0" w:space="0" w:color="auto"/>
        <w:bottom w:val="none" w:sz="0" w:space="0" w:color="auto"/>
        <w:right w:val="none" w:sz="0" w:space="0" w:color="auto"/>
      </w:divBdr>
    </w:div>
    <w:div w:id="43220638">
      <w:bodyDiv w:val="1"/>
      <w:marLeft w:val="0"/>
      <w:marRight w:val="0"/>
      <w:marTop w:val="0"/>
      <w:marBottom w:val="0"/>
      <w:divBdr>
        <w:top w:val="none" w:sz="0" w:space="0" w:color="auto"/>
        <w:left w:val="none" w:sz="0" w:space="0" w:color="auto"/>
        <w:bottom w:val="none" w:sz="0" w:space="0" w:color="auto"/>
        <w:right w:val="none" w:sz="0" w:space="0" w:color="auto"/>
      </w:divBdr>
    </w:div>
    <w:div w:id="45296717">
      <w:bodyDiv w:val="1"/>
      <w:marLeft w:val="0"/>
      <w:marRight w:val="0"/>
      <w:marTop w:val="0"/>
      <w:marBottom w:val="0"/>
      <w:divBdr>
        <w:top w:val="none" w:sz="0" w:space="0" w:color="auto"/>
        <w:left w:val="none" w:sz="0" w:space="0" w:color="auto"/>
        <w:bottom w:val="none" w:sz="0" w:space="0" w:color="auto"/>
        <w:right w:val="none" w:sz="0" w:space="0" w:color="auto"/>
      </w:divBdr>
    </w:div>
    <w:div w:id="50690555">
      <w:bodyDiv w:val="1"/>
      <w:marLeft w:val="0"/>
      <w:marRight w:val="0"/>
      <w:marTop w:val="0"/>
      <w:marBottom w:val="0"/>
      <w:divBdr>
        <w:top w:val="none" w:sz="0" w:space="0" w:color="auto"/>
        <w:left w:val="none" w:sz="0" w:space="0" w:color="auto"/>
        <w:bottom w:val="none" w:sz="0" w:space="0" w:color="auto"/>
        <w:right w:val="none" w:sz="0" w:space="0" w:color="auto"/>
      </w:divBdr>
    </w:div>
    <w:div w:id="59864170">
      <w:bodyDiv w:val="1"/>
      <w:marLeft w:val="0"/>
      <w:marRight w:val="0"/>
      <w:marTop w:val="0"/>
      <w:marBottom w:val="0"/>
      <w:divBdr>
        <w:top w:val="none" w:sz="0" w:space="0" w:color="auto"/>
        <w:left w:val="none" w:sz="0" w:space="0" w:color="auto"/>
        <w:bottom w:val="none" w:sz="0" w:space="0" w:color="auto"/>
        <w:right w:val="none" w:sz="0" w:space="0" w:color="auto"/>
      </w:divBdr>
    </w:div>
    <w:div w:id="67122019">
      <w:bodyDiv w:val="1"/>
      <w:marLeft w:val="0"/>
      <w:marRight w:val="0"/>
      <w:marTop w:val="0"/>
      <w:marBottom w:val="0"/>
      <w:divBdr>
        <w:top w:val="none" w:sz="0" w:space="0" w:color="auto"/>
        <w:left w:val="none" w:sz="0" w:space="0" w:color="auto"/>
        <w:bottom w:val="none" w:sz="0" w:space="0" w:color="auto"/>
        <w:right w:val="none" w:sz="0" w:space="0" w:color="auto"/>
      </w:divBdr>
    </w:div>
    <w:div w:id="68354508">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8992473">
      <w:bodyDiv w:val="1"/>
      <w:marLeft w:val="0"/>
      <w:marRight w:val="0"/>
      <w:marTop w:val="0"/>
      <w:marBottom w:val="0"/>
      <w:divBdr>
        <w:top w:val="none" w:sz="0" w:space="0" w:color="auto"/>
        <w:left w:val="none" w:sz="0" w:space="0" w:color="auto"/>
        <w:bottom w:val="none" w:sz="0" w:space="0" w:color="auto"/>
        <w:right w:val="none" w:sz="0" w:space="0" w:color="auto"/>
      </w:divBdr>
    </w:div>
    <w:div w:id="79453100">
      <w:bodyDiv w:val="1"/>
      <w:marLeft w:val="0"/>
      <w:marRight w:val="0"/>
      <w:marTop w:val="0"/>
      <w:marBottom w:val="0"/>
      <w:divBdr>
        <w:top w:val="none" w:sz="0" w:space="0" w:color="auto"/>
        <w:left w:val="none" w:sz="0" w:space="0" w:color="auto"/>
        <w:bottom w:val="none" w:sz="0" w:space="0" w:color="auto"/>
        <w:right w:val="none" w:sz="0" w:space="0" w:color="auto"/>
      </w:divBdr>
    </w:div>
    <w:div w:id="80609731">
      <w:bodyDiv w:val="1"/>
      <w:marLeft w:val="0"/>
      <w:marRight w:val="0"/>
      <w:marTop w:val="0"/>
      <w:marBottom w:val="0"/>
      <w:divBdr>
        <w:top w:val="none" w:sz="0" w:space="0" w:color="auto"/>
        <w:left w:val="none" w:sz="0" w:space="0" w:color="auto"/>
        <w:bottom w:val="none" w:sz="0" w:space="0" w:color="auto"/>
        <w:right w:val="none" w:sz="0" w:space="0" w:color="auto"/>
      </w:divBdr>
    </w:div>
    <w:div w:id="81461844">
      <w:bodyDiv w:val="1"/>
      <w:marLeft w:val="0"/>
      <w:marRight w:val="0"/>
      <w:marTop w:val="0"/>
      <w:marBottom w:val="0"/>
      <w:divBdr>
        <w:top w:val="none" w:sz="0" w:space="0" w:color="auto"/>
        <w:left w:val="none" w:sz="0" w:space="0" w:color="auto"/>
        <w:bottom w:val="none" w:sz="0" w:space="0" w:color="auto"/>
        <w:right w:val="none" w:sz="0" w:space="0" w:color="auto"/>
      </w:divBdr>
    </w:div>
    <w:div w:id="84347872">
      <w:bodyDiv w:val="1"/>
      <w:marLeft w:val="0"/>
      <w:marRight w:val="0"/>
      <w:marTop w:val="0"/>
      <w:marBottom w:val="0"/>
      <w:divBdr>
        <w:top w:val="none" w:sz="0" w:space="0" w:color="auto"/>
        <w:left w:val="none" w:sz="0" w:space="0" w:color="auto"/>
        <w:bottom w:val="none" w:sz="0" w:space="0" w:color="auto"/>
        <w:right w:val="none" w:sz="0" w:space="0" w:color="auto"/>
      </w:divBdr>
    </w:div>
    <w:div w:id="84769396">
      <w:bodyDiv w:val="1"/>
      <w:marLeft w:val="0"/>
      <w:marRight w:val="0"/>
      <w:marTop w:val="0"/>
      <w:marBottom w:val="0"/>
      <w:divBdr>
        <w:top w:val="none" w:sz="0" w:space="0" w:color="auto"/>
        <w:left w:val="none" w:sz="0" w:space="0" w:color="auto"/>
        <w:bottom w:val="none" w:sz="0" w:space="0" w:color="auto"/>
        <w:right w:val="none" w:sz="0" w:space="0" w:color="auto"/>
      </w:divBdr>
    </w:div>
    <w:div w:id="86386386">
      <w:bodyDiv w:val="1"/>
      <w:marLeft w:val="0"/>
      <w:marRight w:val="0"/>
      <w:marTop w:val="0"/>
      <w:marBottom w:val="0"/>
      <w:divBdr>
        <w:top w:val="none" w:sz="0" w:space="0" w:color="auto"/>
        <w:left w:val="none" w:sz="0" w:space="0" w:color="auto"/>
        <w:bottom w:val="none" w:sz="0" w:space="0" w:color="auto"/>
        <w:right w:val="none" w:sz="0" w:space="0" w:color="auto"/>
      </w:divBdr>
    </w:div>
    <w:div w:id="90054951">
      <w:bodyDiv w:val="1"/>
      <w:marLeft w:val="0"/>
      <w:marRight w:val="0"/>
      <w:marTop w:val="0"/>
      <w:marBottom w:val="0"/>
      <w:divBdr>
        <w:top w:val="none" w:sz="0" w:space="0" w:color="auto"/>
        <w:left w:val="none" w:sz="0" w:space="0" w:color="auto"/>
        <w:bottom w:val="none" w:sz="0" w:space="0" w:color="auto"/>
        <w:right w:val="none" w:sz="0" w:space="0" w:color="auto"/>
      </w:divBdr>
    </w:div>
    <w:div w:id="95055756">
      <w:bodyDiv w:val="1"/>
      <w:marLeft w:val="0"/>
      <w:marRight w:val="0"/>
      <w:marTop w:val="0"/>
      <w:marBottom w:val="0"/>
      <w:divBdr>
        <w:top w:val="none" w:sz="0" w:space="0" w:color="auto"/>
        <w:left w:val="none" w:sz="0" w:space="0" w:color="auto"/>
        <w:bottom w:val="none" w:sz="0" w:space="0" w:color="auto"/>
        <w:right w:val="none" w:sz="0" w:space="0" w:color="auto"/>
      </w:divBdr>
    </w:div>
    <w:div w:id="102918835">
      <w:bodyDiv w:val="1"/>
      <w:marLeft w:val="0"/>
      <w:marRight w:val="0"/>
      <w:marTop w:val="0"/>
      <w:marBottom w:val="0"/>
      <w:divBdr>
        <w:top w:val="none" w:sz="0" w:space="0" w:color="auto"/>
        <w:left w:val="none" w:sz="0" w:space="0" w:color="auto"/>
        <w:bottom w:val="none" w:sz="0" w:space="0" w:color="auto"/>
        <w:right w:val="none" w:sz="0" w:space="0" w:color="auto"/>
      </w:divBdr>
    </w:div>
    <w:div w:id="104545491">
      <w:bodyDiv w:val="1"/>
      <w:marLeft w:val="0"/>
      <w:marRight w:val="0"/>
      <w:marTop w:val="0"/>
      <w:marBottom w:val="0"/>
      <w:divBdr>
        <w:top w:val="none" w:sz="0" w:space="0" w:color="auto"/>
        <w:left w:val="none" w:sz="0" w:space="0" w:color="auto"/>
        <w:bottom w:val="none" w:sz="0" w:space="0" w:color="auto"/>
        <w:right w:val="none" w:sz="0" w:space="0" w:color="auto"/>
      </w:divBdr>
    </w:div>
    <w:div w:id="105857979">
      <w:bodyDiv w:val="1"/>
      <w:marLeft w:val="0"/>
      <w:marRight w:val="0"/>
      <w:marTop w:val="0"/>
      <w:marBottom w:val="0"/>
      <w:divBdr>
        <w:top w:val="none" w:sz="0" w:space="0" w:color="auto"/>
        <w:left w:val="none" w:sz="0" w:space="0" w:color="auto"/>
        <w:bottom w:val="none" w:sz="0" w:space="0" w:color="auto"/>
        <w:right w:val="none" w:sz="0" w:space="0" w:color="auto"/>
      </w:divBdr>
    </w:div>
    <w:div w:id="112790773">
      <w:bodyDiv w:val="1"/>
      <w:marLeft w:val="0"/>
      <w:marRight w:val="0"/>
      <w:marTop w:val="0"/>
      <w:marBottom w:val="0"/>
      <w:divBdr>
        <w:top w:val="none" w:sz="0" w:space="0" w:color="auto"/>
        <w:left w:val="none" w:sz="0" w:space="0" w:color="auto"/>
        <w:bottom w:val="none" w:sz="0" w:space="0" w:color="auto"/>
        <w:right w:val="none" w:sz="0" w:space="0" w:color="auto"/>
      </w:divBdr>
    </w:div>
    <w:div w:id="114450915">
      <w:bodyDiv w:val="1"/>
      <w:marLeft w:val="0"/>
      <w:marRight w:val="0"/>
      <w:marTop w:val="0"/>
      <w:marBottom w:val="0"/>
      <w:divBdr>
        <w:top w:val="none" w:sz="0" w:space="0" w:color="auto"/>
        <w:left w:val="none" w:sz="0" w:space="0" w:color="auto"/>
        <w:bottom w:val="none" w:sz="0" w:space="0" w:color="auto"/>
        <w:right w:val="none" w:sz="0" w:space="0" w:color="auto"/>
      </w:divBdr>
    </w:div>
    <w:div w:id="114907660">
      <w:bodyDiv w:val="1"/>
      <w:marLeft w:val="0"/>
      <w:marRight w:val="0"/>
      <w:marTop w:val="0"/>
      <w:marBottom w:val="0"/>
      <w:divBdr>
        <w:top w:val="none" w:sz="0" w:space="0" w:color="auto"/>
        <w:left w:val="none" w:sz="0" w:space="0" w:color="auto"/>
        <w:bottom w:val="none" w:sz="0" w:space="0" w:color="auto"/>
        <w:right w:val="none" w:sz="0" w:space="0" w:color="auto"/>
      </w:divBdr>
    </w:div>
    <w:div w:id="115803380">
      <w:bodyDiv w:val="1"/>
      <w:marLeft w:val="0"/>
      <w:marRight w:val="0"/>
      <w:marTop w:val="0"/>
      <w:marBottom w:val="0"/>
      <w:divBdr>
        <w:top w:val="none" w:sz="0" w:space="0" w:color="auto"/>
        <w:left w:val="none" w:sz="0" w:space="0" w:color="auto"/>
        <w:bottom w:val="none" w:sz="0" w:space="0" w:color="auto"/>
        <w:right w:val="none" w:sz="0" w:space="0" w:color="auto"/>
      </w:divBdr>
    </w:div>
    <w:div w:id="122695713">
      <w:bodyDiv w:val="1"/>
      <w:marLeft w:val="0"/>
      <w:marRight w:val="0"/>
      <w:marTop w:val="0"/>
      <w:marBottom w:val="0"/>
      <w:divBdr>
        <w:top w:val="none" w:sz="0" w:space="0" w:color="auto"/>
        <w:left w:val="none" w:sz="0" w:space="0" w:color="auto"/>
        <w:bottom w:val="none" w:sz="0" w:space="0" w:color="auto"/>
        <w:right w:val="none" w:sz="0" w:space="0" w:color="auto"/>
      </w:divBdr>
    </w:div>
    <w:div w:id="124280879">
      <w:bodyDiv w:val="1"/>
      <w:marLeft w:val="0"/>
      <w:marRight w:val="0"/>
      <w:marTop w:val="0"/>
      <w:marBottom w:val="0"/>
      <w:divBdr>
        <w:top w:val="none" w:sz="0" w:space="0" w:color="auto"/>
        <w:left w:val="none" w:sz="0" w:space="0" w:color="auto"/>
        <w:bottom w:val="none" w:sz="0" w:space="0" w:color="auto"/>
        <w:right w:val="none" w:sz="0" w:space="0" w:color="auto"/>
      </w:divBdr>
    </w:div>
    <w:div w:id="124659667">
      <w:bodyDiv w:val="1"/>
      <w:marLeft w:val="0"/>
      <w:marRight w:val="0"/>
      <w:marTop w:val="0"/>
      <w:marBottom w:val="0"/>
      <w:divBdr>
        <w:top w:val="none" w:sz="0" w:space="0" w:color="auto"/>
        <w:left w:val="none" w:sz="0" w:space="0" w:color="auto"/>
        <w:bottom w:val="none" w:sz="0" w:space="0" w:color="auto"/>
        <w:right w:val="none" w:sz="0" w:space="0" w:color="auto"/>
      </w:divBdr>
    </w:div>
    <w:div w:id="125508804">
      <w:bodyDiv w:val="1"/>
      <w:marLeft w:val="0"/>
      <w:marRight w:val="0"/>
      <w:marTop w:val="0"/>
      <w:marBottom w:val="0"/>
      <w:divBdr>
        <w:top w:val="none" w:sz="0" w:space="0" w:color="auto"/>
        <w:left w:val="none" w:sz="0" w:space="0" w:color="auto"/>
        <w:bottom w:val="none" w:sz="0" w:space="0" w:color="auto"/>
        <w:right w:val="none" w:sz="0" w:space="0" w:color="auto"/>
      </w:divBdr>
    </w:div>
    <w:div w:id="128060430">
      <w:bodyDiv w:val="1"/>
      <w:marLeft w:val="0"/>
      <w:marRight w:val="0"/>
      <w:marTop w:val="0"/>
      <w:marBottom w:val="0"/>
      <w:divBdr>
        <w:top w:val="none" w:sz="0" w:space="0" w:color="auto"/>
        <w:left w:val="none" w:sz="0" w:space="0" w:color="auto"/>
        <w:bottom w:val="none" w:sz="0" w:space="0" w:color="auto"/>
        <w:right w:val="none" w:sz="0" w:space="0" w:color="auto"/>
      </w:divBdr>
    </w:div>
    <w:div w:id="131676597">
      <w:bodyDiv w:val="1"/>
      <w:marLeft w:val="0"/>
      <w:marRight w:val="0"/>
      <w:marTop w:val="0"/>
      <w:marBottom w:val="0"/>
      <w:divBdr>
        <w:top w:val="none" w:sz="0" w:space="0" w:color="auto"/>
        <w:left w:val="none" w:sz="0" w:space="0" w:color="auto"/>
        <w:bottom w:val="none" w:sz="0" w:space="0" w:color="auto"/>
        <w:right w:val="none" w:sz="0" w:space="0" w:color="auto"/>
      </w:divBdr>
    </w:div>
    <w:div w:id="131947720">
      <w:bodyDiv w:val="1"/>
      <w:marLeft w:val="0"/>
      <w:marRight w:val="0"/>
      <w:marTop w:val="0"/>
      <w:marBottom w:val="0"/>
      <w:divBdr>
        <w:top w:val="none" w:sz="0" w:space="0" w:color="auto"/>
        <w:left w:val="none" w:sz="0" w:space="0" w:color="auto"/>
        <w:bottom w:val="none" w:sz="0" w:space="0" w:color="auto"/>
        <w:right w:val="none" w:sz="0" w:space="0" w:color="auto"/>
      </w:divBdr>
    </w:div>
    <w:div w:id="134104311">
      <w:bodyDiv w:val="1"/>
      <w:marLeft w:val="0"/>
      <w:marRight w:val="0"/>
      <w:marTop w:val="0"/>
      <w:marBottom w:val="0"/>
      <w:divBdr>
        <w:top w:val="none" w:sz="0" w:space="0" w:color="auto"/>
        <w:left w:val="none" w:sz="0" w:space="0" w:color="auto"/>
        <w:bottom w:val="none" w:sz="0" w:space="0" w:color="auto"/>
        <w:right w:val="none" w:sz="0" w:space="0" w:color="auto"/>
      </w:divBdr>
    </w:div>
    <w:div w:id="137504594">
      <w:bodyDiv w:val="1"/>
      <w:marLeft w:val="0"/>
      <w:marRight w:val="0"/>
      <w:marTop w:val="0"/>
      <w:marBottom w:val="0"/>
      <w:divBdr>
        <w:top w:val="none" w:sz="0" w:space="0" w:color="auto"/>
        <w:left w:val="none" w:sz="0" w:space="0" w:color="auto"/>
        <w:bottom w:val="none" w:sz="0" w:space="0" w:color="auto"/>
        <w:right w:val="none" w:sz="0" w:space="0" w:color="auto"/>
      </w:divBdr>
      <w:divsChild>
        <w:div w:id="785349081">
          <w:marLeft w:val="0"/>
          <w:marRight w:val="0"/>
          <w:marTop w:val="0"/>
          <w:marBottom w:val="0"/>
          <w:divBdr>
            <w:top w:val="none" w:sz="0" w:space="0" w:color="auto"/>
            <w:left w:val="none" w:sz="0" w:space="0" w:color="auto"/>
            <w:bottom w:val="none" w:sz="0" w:space="0" w:color="auto"/>
            <w:right w:val="none" w:sz="0" w:space="0" w:color="auto"/>
          </w:divBdr>
        </w:div>
        <w:div w:id="1282883328">
          <w:marLeft w:val="0"/>
          <w:marRight w:val="0"/>
          <w:marTop w:val="0"/>
          <w:marBottom w:val="0"/>
          <w:divBdr>
            <w:top w:val="none" w:sz="0" w:space="0" w:color="auto"/>
            <w:left w:val="none" w:sz="0" w:space="0" w:color="auto"/>
            <w:bottom w:val="none" w:sz="0" w:space="0" w:color="auto"/>
            <w:right w:val="none" w:sz="0" w:space="0" w:color="auto"/>
          </w:divBdr>
        </w:div>
        <w:div w:id="1842500557">
          <w:marLeft w:val="0"/>
          <w:marRight w:val="0"/>
          <w:marTop w:val="0"/>
          <w:marBottom w:val="0"/>
          <w:divBdr>
            <w:top w:val="none" w:sz="0" w:space="0" w:color="auto"/>
            <w:left w:val="none" w:sz="0" w:space="0" w:color="auto"/>
            <w:bottom w:val="none" w:sz="0" w:space="0" w:color="auto"/>
            <w:right w:val="none" w:sz="0" w:space="0" w:color="auto"/>
          </w:divBdr>
        </w:div>
      </w:divsChild>
    </w:div>
    <w:div w:id="137961572">
      <w:bodyDiv w:val="1"/>
      <w:marLeft w:val="0"/>
      <w:marRight w:val="0"/>
      <w:marTop w:val="0"/>
      <w:marBottom w:val="0"/>
      <w:divBdr>
        <w:top w:val="none" w:sz="0" w:space="0" w:color="auto"/>
        <w:left w:val="none" w:sz="0" w:space="0" w:color="auto"/>
        <w:bottom w:val="none" w:sz="0" w:space="0" w:color="auto"/>
        <w:right w:val="none" w:sz="0" w:space="0" w:color="auto"/>
      </w:divBdr>
    </w:div>
    <w:div w:id="140126136">
      <w:bodyDiv w:val="1"/>
      <w:marLeft w:val="0"/>
      <w:marRight w:val="0"/>
      <w:marTop w:val="0"/>
      <w:marBottom w:val="0"/>
      <w:divBdr>
        <w:top w:val="none" w:sz="0" w:space="0" w:color="auto"/>
        <w:left w:val="none" w:sz="0" w:space="0" w:color="auto"/>
        <w:bottom w:val="none" w:sz="0" w:space="0" w:color="auto"/>
        <w:right w:val="none" w:sz="0" w:space="0" w:color="auto"/>
      </w:divBdr>
    </w:div>
    <w:div w:id="145981119">
      <w:bodyDiv w:val="1"/>
      <w:marLeft w:val="0"/>
      <w:marRight w:val="0"/>
      <w:marTop w:val="0"/>
      <w:marBottom w:val="0"/>
      <w:divBdr>
        <w:top w:val="none" w:sz="0" w:space="0" w:color="auto"/>
        <w:left w:val="none" w:sz="0" w:space="0" w:color="auto"/>
        <w:bottom w:val="none" w:sz="0" w:space="0" w:color="auto"/>
        <w:right w:val="none" w:sz="0" w:space="0" w:color="auto"/>
      </w:divBdr>
    </w:div>
    <w:div w:id="149685220">
      <w:bodyDiv w:val="1"/>
      <w:marLeft w:val="0"/>
      <w:marRight w:val="0"/>
      <w:marTop w:val="0"/>
      <w:marBottom w:val="0"/>
      <w:divBdr>
        <w:top w:val="none" w:sz="0" w:space="0" w:color="auto"/>
        <w:left w:val="none" w:sz="0" w:space="0" w:color="auto"/>
        <w:bottom w:val="none" w:sz="0" w:space="0" w:color="auto"/>
        <w:right w:val="none" w:sz="0" w:space="0" w:color="auto"/>
      </w:divBdr>
    </w:div>
    <w:div w:id="150799755">
      <w:bodyDiv w:val="1"/>
      <w:marLeft w:val="0"/>
      <w:marRight w:val="0"/>
      <w:marTop w:val="0"/>
      <w:marBottom w:val="0"/>
      <w:divBdr>
        <w:top w:val="none" w:sz="0" w:space="0" w:color="auto"/>
        <w:left w:val="none" w:sz="0" w:space="0" w:color="auto"/>
        <w:bottom w:val="none" w:sz="0" w:space="0" w:color="auto"/>
        <w:right w:val="none" w:sz="0" w:space="0" w:color="auto"/>
      </w:divBdr>
    </w:div>
    <w:div w:id="155190371">
      <w:bodyDiv w:val="1"/>
      <w:marLeft w:val="0"/>
      <w:marRight w:val="0"/>
      <w:marTop w:val="0"/>
      <w:marBottom w:val="0"/>
      <w:divBdr>
        <w:top w:val="none" w:sz="0" w:space="0" w:color="auto"/>
        <w:left w:val="none" w:sz="0" w:space="0" w:color="auto"/>
        <w:bottom w:val="none" w:sz="0" w:space="0" w:color="auto"/>
        <w:right w:val="none" w:sz="0" w:space="0" w:color="auto"/>
      </w:divBdr>
    </w:div>
    <w:div w:id="160507082">
      <w:bodyDiv w:val="1"/>
      <w:marLeft w:val="0"/>
      <w:marRight w:val="0"/>
      <w:marTop w:val="0"/>
      <w:marBottom w:val="0"/>
      <w:divBdr>
        <w:top w:val="none" w:sz="0" w:space="0" w:color="auto"/>
        <w:left w:val="none" w:sz="0" w:space="0" w:color="auto"/>
        <w:bottom w:val="none" w:sz="0" w:space="0" w:color="auto"/>
        <w:right w:val="none" w:sz="0" w:space="0" w:color="auto"/>
      </w:divBdr>
    </w:div>
    <w:div w:id="160900680">
      <w:bodyDiv w:val="1"/>
      <w:marLeft w:val="0"/>
      <w:marRight w:val="0"/>
      <w:marTop w:val="0"/>
      <w:marBottom w:val="0"/>
      <w:divBdr>
        <w:top w:val="none" w:sz="0" w:space="0" w:color="auto"/>
        <w:left w:val="none" w:sz="0" w:space="0" w:color="auto"/>
        <w:bottom w:val="none" w:sz="0" w:space="0" w:color="auto"/>
        <w:right w:val="none" w:sz="0" w:space="0" w:color="auto"/>
      </w:divBdr>
    </w:div>
    <w:div w:id="166871327">
      <w:bodyDiv w:val="1"/>
      <w:marLeft w:val="0"/>
      <w:marRight w:val="0"/>
      <w:marTop w:val="0"/>
      <w:marBottom w:val="0"/>
      <w:divBdr>
        <w:top w:val="none" w:sz="0" w:space="0" w:color="auto"/>
        <w:left w:val="none" w:sz="0" w:space="0" w:color="auto"/>
        <w:bottom w:val="none" w:sz="0" w:space="0" w:color="auto"/>
        <w:right w:val="none" w:sz="0" w:space="0" w:color="auto"/>
      </w:divBdr>
    </w:div>
    <w:div w:id="174156135">
      <w:bodyDiv w:val="1"/>
      <w:marLeft w:val="0"/>
      <w:marRight w:val="0"/>
      <w:marTop w:val="0"/>
      <w:marBottom w:val="0"/>
      <w:divBdr>
        <w:top w:val="none" w:sz="0" w:space="0" w:color="auto"/>
        <w:left w:val="none" w:sz="0" w:space="0" w:color="auto"/>
        <w:bottom w:val="none" w:sz="0" w:space="0" w:color="auto"/>
        <w:right w:val="none" w:sz="0" w:space="0" w:color="auto"/>
      </w:divBdr>
    </w:div>
    <w:div w:id="176845027">
      <w:bodyDiv w:val="1"/>
      <w:marLeft w:val="0"/>
      <w:marRight w:val="0"/>
      <w:marTop w:val="0"/>
      <w:marBottom w:val="0"/>
      <w:divBdr>
        <w:top w:val="none" w:sz="0" w:space="0" w:color="auto"/>
        <w:left w:val="none" w:sz="0" w:space="0" w:color="auto"/>
        <w:bottom w:val="none" w:sz="0" w:space="0" w:color="auto"/>
        <w:right w:val="none" w:sz="0" w:space="0" w:color="auto"/>
      </w:divBdr>
    </w:div>
    <w:div w:id="178127316">
      <w:bodyDiv w:val="1"/>
      <w:marLeft w:val="0"/>
      <w:marRight w:val="0"/>
      <w:marTop w:val="0"/>
      <w:marBottom w:val="0"/>
      <w:divBdr>
        <w:top w:val="none" w:sz="0" w:space="0" w:color="auto"/>
        <w:left w:val="none" w:sz="0" w:space="0" w:color="auto"/>
        <w:bottom w:val="none" w:sz="0" w:space="0" w:color="auto"/>
        <w:right w:val="none" w:sz="0" w:space="0" w:color="auto"/>
      </w:divBdr>
    </w:div>
    <w:div w:id="187838357">
      <w:bodyDiv w:val="1"/>
      <w:marLeft w:val="0"/>
      <w:marRight w:val="0"/>
      <w:marTop w:val="0"/>
      <w:marBottom w:val="0"/>
      <w:divBdr>
        <w:top w:val="none" w:sz="0" w:space="0" w:color="auto"/>
        <w:left w:val="none" w:sz="0" w:space="0" w:color="auto"/>
        <w:bottom w:val="none" w:sz="0" w:space="0" w:color="auto"/>
        <w:right w:val="none" w:sz="0" w:space="0" w:color="auto"/>
      </w:divBdr>
    </w:div>
    <w:div w:id="197550260">
      <w:bodyDiv w:val="1"/>
      <w:marLeft w:val="0"/>
      <w:marRight w:val="0"/>
      <w:marTop w:val="0"/>
      <w:marBottom w:val="0"/>
      <w:divBdr>
        <w:top w:val="none" w:sz="0" w:space="0" w:color="auto"/>
        <w:left w:val="none" w:sz="0" w:space="0" w:color="auto"/>
        <w:bottom w:val="none" w:sz="0" w:space="0" w:color="auto"/>
        <w:right w:val="none" w:sz="0" w:space="0" w:color="auto"/>
      </w:divBdr>
    </w:div>
    <w:div w:id="198208136">
      <w:bodyDiv w:val="1"/>
      <w:marLeft w:val="0"/>
      <w:marRight w:val="0"/>
      <w:marTop w:val="0"/>
      <w:marBottom w:val="0"/>
      <w:divBdr>
        <w:top w:val="none" w:sz="0" w:space="0" w:color="auto"/>
        <w:left w:val="none" w:sz="0" w:space="0" w:color="auto"/>
        <w:bottom w:val="none" w:sz="0" w:space="0" w:color="auto"/>
        <w:right w:val="none" w:sz="0" w:space="0" w:color="auto"/>
      </w:divBdr>
    </w:div>
    <w:div w:id="198780060">
      <w:bodyDiv w:val="1"/>
      <w:marLeft w:val="0"/>
      <w:marRight w:val="0"/>
      <w:marTop w:val="0"/>
      <w:marBottom w:val="0"/>
      <w:divBdr>
        <w:top w:val="none" w:sz="0" w:space="0" w:color="auto"/>
        <w:left w:val="none" w:sz="0" w:space="0" w:color="auto"/>
        <w:bottom w:val="none" w:sz="0" w:space="0" w:color="auto"/>
        <w:right w:val="none" w:sz="0" w:space="0" w:color="auto"/>
      </w:divBdr>
    </w:div>
    <w:div w:id="199128310">
      <w:bodyDiv w:val="1"/>
      <w:marLeft w:val="0"/>
      <w:marRight w:val="0"/>
      <w:marTop w:val="0"/>
      <w:marBottom w:val="0"/>
      <w:divBdr>
        <w:top w:val="none" w:sz="0" w:space="0" w:color="auto"/>
        <w:left w:val="none" w:sz="0" w:space="0" w:color="auto"/>
        <w:bottom w:val="none" w:sz="0" w:space="0" w:color="auto"/>
        <w:right w:val="none" w:sz="0" w:space="0" w:color="auto"/>
      </w:divBdr>
    </w:div>
    <w:div w:id="199244732">
      <w:bodyDiv w:val="1"/>
      <w:marLeft w:val="0"/>
      <w:marRight w:val="0"/>
      <w:marTop w:val="0"/>
      <w:marBottom w:val="0"/>
      <w:divBdr>
        <w:top w:val="none" w:sz="0" w:space="0" w:color="auto"/>
        <w:left w:val="none" w:sz="0" w:space="0" w:color="auto"/>
        <w:bottom w:val="none" w:sz="0" w:space="0" w:color="auto"/>
        <w:right w:val="none" w:sz="0" w:space="0" w:color="auto"/>
      </w:divBdr>
    </w:div>
    <w:div w:id="199560358">
      <w:bodyDiv w:val="1"/>
      <w:marLeft w:val="0"/>
      <w:marRight w:val="0"/>
      <w:marTop w:val="0"/>
      <w:marBottom w:val="0"/>
      <w:divBdr>
        <w:top w:val="none" w:sz="0" w:space="0" w:color="auto"/>
        <w:left w:val="none" w:sz="0" w:space="0" w:color="auto"/>
        <w:bottom w:val="none" w:sz="0" w:space="0" w:color="auto"/>
        <w:right w:val="none" w:sz="0" w:space="0" w:color="auto"/>
      </w:divBdr>
    </w:div>
    <w:div w:id="201213478">
      <w:bodyDiv w:val="1"/>
      <w:marLeft w:val="0"/>
      <w:marRight w:val="0"/>
      <w:marTop w:val="0"/>
      <w:marBottom w:val="0"/>
      <w:divBdr>
        <w:top w:val="none" w:sz="0" w:space="0" w:color="auto"/>
        <w:left w:val="none" w:sz="0" w:space="0" w:color="auto"/>
        <w:bottom w:val="none" w:sz="0" w:space="0" w:color="auto"/>
        <w:right w:val="none" w:sz="0" w:space="0" w:color="auto"/>
      </w:divBdr>
    </w:div>
    <w:div w:id="208036033">
      <w:bodyDiv w:val="1"/>
      <w:marLeft w:val="0"/>
      <w:marRight w:val="0"/>
      <w:marTop w:val="0"/>
      <w:marBottom w:val="0"/>
      <w:divBdr>
        <w:top w:val="none" w:sz="0" w:space="0" w:color="auto"/>
        <w:left w:val="none" w:sz="0" w:space="0" w:color="auto"/>
        <w:bottom w:val="none" w:sz="0" w:space="0" w:color="auto"/>
        <w:right w:val="none" w:sz="0" w:space="0" w:color="auto"/>
      </w:divBdr>
    </w:div>
    <w:div w:id="208539540">
      <w:bodyDiv w:val="1"/>
      <w:marLeft w:val="0"/>
      <w:marRight w:val="0"/>
      <w:marTop w:val="0"/>
      <w:marBottom w:val="0"/>
      <w:divBdr>
        <w:top w:val="none" w:sz="0" w:space="0" w:color="auto"/>
        <w:left w:val="none" w:sz="0" w:space="0" w:color="auto"/>
        <w:bottom w:val="none" w:sz="0" w:space="0" w:color="auto"/>
        <w:right w:val="none" w:sz="0" w:space="0" w:color="auto"/>
      </w:divBdr>
    </w:div>
    <w:div w:id="210656369">
      <w:bodyDiv w:val="1"/>
      <w:marLeft w:val="0"/>
      <w:marRight w:val="0"/>
      <w:marTop w:val="0"/>
      <w:marBottom w:val="0"/>
      <w:divBdr>
        <w:top w:val="none" w:sz="0" w:space="0" w:color="auto"/>
        <w:left w:val="none" w:sz="0" w:space="0" w:color="auto"/>
        <w:bottom w:val="none" w:sz="0" w:space="0" w:color="auto"/>
        <w:right w:val="none" w:sz="0" w:space="0" w:color="auto"/>
      </w:divBdr>
    </w:div>
    <w:div w:id="213155434">
      <w:bodyDiv w:val="1"/>
      <w:marLeft w:val="0"/>
      <w:marRight w:val="0"/>
      <w:marTop w:val="0"/>
      <w:marBottom w:val="0"/>
      <w:divBdr>
        <w:top w:val="none" w:sz="0" w:space="0" w:color="auto"/>
        <w:left w:val="none" w:sz="0" w:space="0" w:color="auto"/>
        <w:bottom w:val="none" w:sz="0" w:space="0" w:color="auto"/>
        <w:right w:val="none" w:sz="0" w:space="0" w:color="auto"/>
      </w:divBdr>
    </w:div>
    <w:div w:id="217326240">
      <w:bodyDiv w:val="1"/>
      <w:marLeft w:val="0"/>
      <w:marRight w:val="0"/>
      <w:marTop w:val="0"/>
      <w:marBottom w:val="0"/>
      <w:divBdr>
        <w:top w:val="none" w:sz="0" w:space="0" w:color="auto"/>
        <w:left w:val="none" w:sz="0" w:space="0" w:color="auto"/>
        <w:bottom w:val="none" w:sz="0" w:space="0" w:color="auto"/>
        <w:right w:val="none" w:sz="0" w:space="0" w:color="auto"/>
      </w:divBdr>
    </w:div>
    <w:div w:id="226957632">
      <w:bodyDiv w:val="1"/>
      <w:marLeft w:val="0"/>
      <w:marRight w:val="0"/>
      <w:marTop w:val="0"/>
      <w:marBottom w:val="0"/>
      <w:divBdr>
        <w:top w:val="none" w:sz="0" w:space="0" w:color="auto"/>
        <w:left w:val="none" w:sz="0" w:space="0" w:color="auto"/>
        <w:bottom w:val="none" w:sz="0" w:space="0" w:color="auto"/>
        <w:right w:val="none" w:sz="0" w:space="0" w:color="auto"/>
      </w:divBdr>
    </w:div>
    <w:div w:id="228687188">
      <w:bodyDiv w:val="1"/>
      <w:marLeft w:val="0"/>
      <w:marRight w:val="0"/>
      <w:marTop w:val="0"/>
      <w:marBottom w:val="0"/>
      <w:divBdr>
        <w:top w:val="none" w:sz="0" w:space="0" w:color="auto"/>
        <w:left w:val="none" w:sz="0" w:space="0" w:color="auto"/>
        <w:bottom w:val="none" w:sz="0" w:space="0" w:color="auto"/>
        <w:right w:val="none" w:sz="0" w:space="0" w:color="auto"/>
      </w:divBdr>
    </w:div>
    <w:div w:id="229315474">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1990001">
      <w:bodyDiv w:val="1"/>
      <w:marLeft w:val="0"/>
      <w:marRight w:val="0"/>
      <w:marTop w:val="0"/>
      <w:marBottom w:val="0"/>
      <w:divBdr>
        <w:top w:val="none" w:sz="0" w:space="0" w:color="auto"/>
        <w:left w:val="none" w:sz="0" w:space="0" w:color="auto"/>
        <w:bottom w:val="none" w:sz="0" w:space="0" w:color="auto"/>
        <w:right w:val="none" w:sz="0" w:space="0" w:color="auto"/>
      </w:divBdr>
    </w:div>
    <w:div w:id="243223570">
      <w:bodyDiv w:val="1"/>
      <w:marLeft w:val="0"/>
      <w:marRight w:val="0"/>
      <w:marTop w:val="0"/>
      <w:marBottom w:val="0"/>
      <w:divBdr>
        <w:top w:val="none" w:sz="0" w:space="0" w:color="auto"/>
        <w:left w:val="none" w:sz="0" w:space="0" w:color="auto"/>
        <w:bottom w:val="none" w:sz="0" w:space="0" w:color="auto"/>
        <w:right w:val="none" w:sz="0" w:space="0" w:color="auto"/>
      </w:divBdr>
    </w:div>
    <w:div w:id="246696438">
      <w:bodyDiv w:val="1"/>
      <w:marLeft w:val="0"/>
      <w:marRight w:val="0"/>
      <w:marTop w:val="0"/>
      <w:marBottom w:val="0"/>
      <w:divBdr>
        <w:top w:val="none" w:sz="0" w:space="0" w:color="auto"/>
        <w:left w:val="none" w:sz="0" w:space="0" w:color="auto"/>
        <w:bottom w:val="none" w:sz="0" w:space="0" w:color="auto"/>
        <w:right w:val="none" w:sz="0" w:space="0" w:color="auto"/>
      </w:divBdr>
    </w:div>
    <w:div w:id="248928298">
      <w:bodyDiv w:val="1"/>
      <w:marLeft w:val="0"/>
      <w:marRight w:val="0"/>
      <w:marTop w:val="0"/>
      <w:marBottom w:val="0"/>
      <w:divBdr>
        <w:top w:val="none" w:sz="0" w:space="0" w:color="auto"/>
        <w:left w:val="none" w:sz="0" w:space="0" w:color="auto"/>
        <w:bottom w:val="none" w:sz="0" w:space="0" w:color="auto"/>
        <w:right w:val="none" w:sz="0" w:space="0" w:color="auto"/>
      </w:divBdr>
    </w:div>
    <w:div w:id="252131974">
      <w:bodyDiv w:val="1"/>
      <w:marLeft w:val="0"/>
      <w:marRight w:val="0"/>
      <w:marTop w:val="0"/>
      <w:marBottom w:val="0"/>
      <w:divBdr>
        <w:top w:val="none" w:sz="0" w:space="0" w:color="auto"/>
        <w:left w:val="none" w:sz="0" w:space="0" w:color="auto"/>
        <w:bottom w:val="none" w:sz="0" w:space="0" w:color="auto"/>
        <w:right w:val="none" w:sz="0" w:space="0" w:color="auto"/>
      </w:divBdr>
    </w:div>
    <w:div w:id="255746049">
      <w:bodyDiv w:val="1"/>
      <w:marLeft w:val="0"/>
      <w:marRight w:val="0"/>
      <w:marTop w:val="0"/>
      <w:marBottom w:val="0"/>
      <w:divBdr>
        <w:top w:val="none" w:sz="0" w:space="0" w:color="auto"/>
        <w:left w:val="none" w:sz="0" w:space="0" w:color="auto"/>
        <w:bottom w:val="none" w:sz="0" w:space="0" w:color="auto"/>
        <w:right w:val="none" w:sz="0" w:space="0" w:color="auto"/>
      </w:divBdr>
    </w:div>
    <w:div w:id="260183629">
      <w:bodyDiv w:val="1"/>
      <w:marLeft w:val="0"/>
      <w:marRight w:val="0"/>
      <w:marTop w:val="0"/>
      <w:marBottom w:val="0"/>
      <w:divBdr>
        <w:top w:val="none" w:sz="0" w:space="0" w:color="auto"/>
        <w:left w:val="none" w:sz="0" w:space="0" w:color="auto"/>
        <w:bottom w:val="none" w:sz="0" w:space="0" w:color="auto"/>
        <w:right w:val="none" w:sz="0" w:space="0" w:color="auto"/>
      </w:divBdr>
    </w:div>
    <w:div w:id="267465058">
      <w:bodyDiv w:val="1"/>
      <w:marLeft w:val="0"/>
      <w:marRight w:val="0"/>
      <w:marTop w:val="0"/>
      <w:marBottom w:val="0"/>
      <w:divBdr>
        <w:top w:val="none" w:sz="0" w:space="0" w:color="auto"/>
        <w:left w:val="none" w:sz="0" w:space="0" w:color="auto"/>
        <w:bottom w:val="none" w:sz="0" w:space="0" w:color="auto"/>
        <w:right w:val="none" w:sz="0" w:space="0" w:color="auto"/>
      </w:divBdr>
    </w:div>
    <w:div w:id="270355007">
      <w:bodyDiv w:val="1"/>
      <w:marLeft w:val="0"/>
      <w:marRight w:val="0"/>
      <w:marTop w:val="0"/>
      <w:marBottom w:val="0"/>
      <w:divBdr>
        <w:top w:val="none" w:sz="0" w:space="0" w:color="auto"/>
        <w:left w:val="none" w:sz="0" w:space="0" w:color="auto"/>
        <w:bottom w:val="none" w:sz="0" w:space="0" w:color="auto"/>
        <w:right w:val="none" w:sz="0" w:space="0" w:color="auto"/>
      </w:divBdr>
    </w:div>
    <w:div w:id="271934555">
      <w:bodyDiv w:val="1"/>
      <w:marLeft w:val="0"/>
      <w:marRight w:val="0"/>
      <w:marTop w:val="0"/>
      <w:marBottom w:val="0"/>
      <w:divBdr>
        <w:top w:val="none" w:sz="0" w:space="0" w:color="auto"/>
        <w:left w:val="none" w:sz="0" w:space="0" w:color="auto"/>
        <w:bottom w:val="none" w:sz="0" w:space="0" w:color="auto"/>
        <w:right w:val="none" w:sz="0" w:space="0" w:color="auto"/>
      </w:divBdr>
    </w:div>
    <w:div w:id="273639645">
      <w:bodyDiv w:val="1"/>
      <w:marLeft w:val="0"/>
      <w:marRight w:val="0"/>
      <w:marTop w:val="0"/>
      <w:marBottom w:val="0"/>
      <w:divBdr>
        <w:top w:val="none" w:sz="0" w:space="0" w:color="auto"/>
        <w:left w:val="none" w:sz="0" w:space="0" w:color="auto"/>
        <w:bottom w:val="none" w:sz="0" w:space="0" w:color="auto"/>
        <w:right w:val="none" w:sz="0" w:space="0" w:color="auto"/>
      </w:divBdr>
    </w:div>
    <w:div w:id="274752623">
      <w:bodyDiv w:val="1"/>
      <w:marLeft w:val="0"/>
      <w:marRight w:val="0"/>
      <w:marTop w:val="0"/>
      <w:marBottom w:val="0"/>
      <w:divBdr>
        <w:top w:val="none" w:sz="0" w:space="0" w:color="auto"/>
        <w:left w:val="none" w:sz="0" w:space="0" w:color="auto"/>
        <w:bottom w:val="none" w:sz="0" w:space="0" w:color="auto"/>
        <w:right w:val="none" w:sz="0" w:space="0" w:color="auto"/>
      </w:divBdr>
    </w:div>
    <w:div w:id="279118591">
      <w:bodyDiv w:val="1"/>
      <w:marLeft w:val="0"/>
      <w:marRight w:val="0"/>
      <w:marTop w:val="0"/>
      <w:marBottom w:val="0"/>
      <w:divBdr>
        <w:top w:val="none" w:sz="0" w:space="0" w:color="auto"/>
        <w:left w:val="none" w:sz="0" w:space="0" w:color="auto"/>
        <w:bottom w:val="none" w:sz="0" w:space="0" w:color="auto"/>
        <w:right w:val="none" w:sz="0" w:space="0" w:color="auto"/>
      </w:divBdr>
    </w:div>
    <w:div w:id="279529560">
      <w:bodyDiv w:val="1"/>
      <w:marLeft w:val="0"/>
      <w:marRight w:val="0"/>
      <w:marTop w:val="0"/>
      <w:marBottom w:val="0"/>
      <w:divBdr>
        <w:top w:val="none" w:sz="0" w:space="0" w:color="auto"/>
        <w:left w:val="none" w:sz="0" w:space="0" w:color="auto"/>
        <w:bottom w:val="none" w:sz="0" w:space="0" w:color="auto"/>
        <w:right w:val="none" w:sz="0" w:space="0" w:color="auto"/>
      </w:divBdr>
    </w:div>
    <w:div w:id="281377145">
      <w:bodyDiv w:val="1"/>
      <w:marLeft w:val="0"/>
      <w:marRight w:val="0"/>
      <w:marTop w:val="0"/>
      <w:marBottom w:val="0"/>
      <w:divBdr>
        <w:top w:val="none" w:sz="0" w:space="0" w:color="auto"/>
        <w:left w:val="none" w:sz="0" w:space="0" w:color="auto"/>
        <w:bottom w:val="none" w:sz="0" w:space="0" w:color="auto"/>
        <w:right w:val="none" w:sz="0" w:space="0" w:color="auto"/>
      </w:divBdr>
    </w:div>
    <w:div w:id="286665193">
      <w:bodyDiv w:val="1"/>
      <w:marLeft w:val="0"/>
      <w:marRight w:val="0"/>
      <w:marTop w:val="0"/>
      <w:marBottom w:val="0"/>
      <w:divBdr>
        <w:top w:val="none" w:sz="0" w:space="0" w:color="auto"/>
        <w:left w:val="none" w:sz="0" w:space="0" w:color="auto"/>
        <w:bottom w:val="none" w:sz="0" w:space="0" w:color="auto"/>
        <w:right w:val="none" w:sz="0" w:space="0" w:color="auto"/>
      </w:divBdr>
    </w:div>
    <w:div w:id="288360386">
      <w:bodyDiv w:val="1"/>
      <w:marLeft w:val="0"/>
      <w:marRight w:val="0"/>
      <w:marTop w:val="0"/>
      <w:marBottom w:val="0"/>
      <w:divBdr>
        <w:top w:val="none" w:sz="0" w:space="0" w:color="auto"/>
        <w:left w:val="none" w:sz="0" w:space="0" w:color="auto"/>
        <w:bottom w:val="none" w:sz="0" w:space="0" w:color="auto"/>
        <w:right w:val="none" w:sz="0" w:space="0" w:color="auto"/>
      </w:divBdr>
    </w:div>
    <w:div w:id="290132813">
      <w:bodyDiv w:val="1"/>
      <w:marLeft w:val="0"/>
      <w:marRight w:val="0"/>
      <w:marTop w:val="0"/>
      <w:marBottom w:val="0"/>
      <w:divBdr>
        <w:top w:val="none" w:sz="0" w:space="0" w:color="auto"/>
        <w:left w:val="none" w:sz="0" w:space="0" w:color="auto"/>
        <w:bottom w:val="none" w:sz="0" w:space="0" w:color="auto"/>
        <w:right w:val="none" w:sz="0" w:space="0" w:color="auto"/>
      </w:divBdr>
    </w:div>
    <w:div w:id="290474887">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303316891">
      <w:bodyDiv w:val="1"/>
      <w:marLeft w:val="0"/>
      <w:marRight w:val="0"/>
      <w:marTop w:val="0"/>
      <w:marBottom w:val="0"/>
      <w:divBdr>
        <w:top w:val="none" w:sz="0" w:space="0" w:color="auto"/>
        <w:left w:val="none" w:sz="0" w:space="0" w:color="auto"/>
        <w:bottom w:val="none" w:sz="0" w:space="0" w:color="auto"/>
        <w:right w:val="none" w:sz="0" w:space="0" w:color="auto"/>
      </w:divBdr>
    </w:div>
    <w:div w:id="306126200">
      <w:bodyDiv w:val="1"/>
      <w:marLeft w:val="0"/>
      <w:marRight w:val="0"/>
      <w:marTop w:val="0"/>
      <w:marBottom w:val="0"/>
      <w:divBdr>
        <w:top w:val="none" w:sz="0" w:space="0" w:color="auto"/>
        <w:left w:val="none" w:sz="0" w:space="0" w:color="auto"/>
        <w:bottom w:val="none" w:sz="0" w:space="0" w:color="auto"/>
        <w:right w:val="none" w:sz="0" w:space="0" w:color="auto"/>
      </w:divBdr>
    </w:div>
    <w:div w:id="310017010">
      <w:bodyDiv w:val="1"/>
      <w:marLeft w:val="0"/>
      <w:marRight w:val="0"/>
      <w:marTop w:val="0"/>
      <w:marBottom w:val="0"/>
      <w:divBdr>
        <w:top w:val="none" w:sz="0" w:space="0" w:color="auto"/>
        <w:left w:val="none" w:sz="0" w:space="0" w:color="auto"/>
        <w:bottom w:val="none" w:sz="0" w:space="0" w:color="auto"/>
        <w:right w:val="none" w:sz="0" w:space="0" w:color="auto"/>
      </w:divBdr>
    </w:div>
    <w:div w:id="311449988">
      <w:bodyDiv w:val="1"/>
      <w:marLeft w:val="0"/>
      <w:marRight w:val="0"/>
      <w:marTop w:val="0"/>
      <w:marBottom w:val="0"/>
      <w:divBdr>
        <w:top w:val="none" w:sz="0" w:space="0" w:color="auto"/>
        <w:left w:val="none" w:sz="0" w:space="0" w:color="auto"/>
        <w:bottom w:val="none" w:sz="0" w:space="0" w:color="auto"/>
        <w:right w:val="none" w:sz="0" w:space="0" w:color="auto"/>
      </w:divBdr>
    </w:div>
    <w:div w:id="311561499">
      <w:bodyDiv w:val="1"/>
      <w:marLeft w:val="0"/>
      <w:marRight w:val="0"/>
      <w:marTop w:val="0"/>
      <w:marBottom w:val="0"/>
      <w:divBdr>
        <w:top w:val="none" w:sz="0" w:space="0" w:color="auto"/>
        <w:left w:val="none" w:sz="0" w:space="0" w:color="auto"/>
        <w:bottom w:val="none" w:sz="0" w:space="0" w:color="auto"/>
        <w:right w:val="none" w:sz="0" w:space="0" w:color="auto"/>
      </w:divBdr>
    </w:div>
    <w:div w:id="312175758">
      <w:bodyDiv w:val="1"/>
      <w:marLeft w:val="0"/>
      <w:marRight w:val="0"/>
      <w:marTop w:val="0"/>
      <w:marBottom w:val="0"/>
      <w:divBdr>
        <w:top w:val="none" w:sz="0" w:space="0" w:color="auto"/>
        <w:left w:val="none" w:sz="0" w:space="0" w:color="auto"/>
        <w:bottom w:val="none" w:sz="0" w:space="0" w:color="auto"/>
        <w:right w:val="none" w:sz="0" w:space="0" w:color="auto"/>
      </w:divBdr>
    </w:div>
    <w:div w:id="314069059">
      <w:bodyDiv w:val="1"/>
      <w:marLeft w:val="0"/>
      <w:marRight w:val="0"/>
      <w:marTop w:val="0"/>
      <w:marBottom w:val="0"/>
      <w:divBdr>
        <w:top w:val="none" w:sz="0" w:space="0" w:color="auto"/>
        <w:left w:val="none" w:sz="0" w:space="0" w:color="auto"/>
        <w:bottom w:val="none" w:sz="0" w:space="0" w:color="auto"/>
        <w:right w:val="none" w:sz="0" w:space="0" w:color="auto"/>
      </w:divBdr>
    </w:div>
    <w:div w:id="318196665">
      <w:bodyDiv w:val="1"/>
      <w:marLeft w:val="0"/>
      <w:marRight w:val="0"/>
      <w:marTop w:val="0"/>
      <w:marBottom w:val="0"/>
      <w:divBdr>
        <w:top w:val="none" w:sz="0" w:space="0" w:color="auto"/>
        <w:left w:val="none" w:sz="0" w:space="0" w:color="auto"/>
        <w:bottom w:val="none" w:sz="0" w:space="0" w:color="auto"/>
        <w:right w:val="none" w:sz="0" w:space="0" w:color="auto"/>
      </w:divBdr>
      <w:divsChild>
        <w:div w:id="388381291">
          <w:marLeft w:val="0"/>
          <w:marRight w:val="0"/>
          <w:marTop w:val="0"/>
          <w:marBottom w:val="0"/>
          <w:divBdr>
            <w:top w:val="none" w:sz="0" w:space="0" w:color="auto"/>
            <w:left w:val="none" w:sz="0" w:space="0" w:color="auto"/>
            <w:bottom w:val="none" w:sz="0" w:space="0" w:color="auto"/>
            <w:right w:val="none" w:sz="0" w:space="0" w:color="auto"/>
          </w:divBdr>
        </w:div>
        <w:div w:id="1859809709">
          <w:marLeft w:val="0"/>
          <w:marRight w:val="0"/>
          <w:marTop w:val="0"/>
          <w:marBottom w:val="0"/>
          <w:divBdr>
            <w:top w:val="none" w:sz="0" w:space="0" w:color="auto"/>
            <w:left w:val="none" w:sz="0" w:space="0" w:color="auto"/>
            <w:bottom w:val="none" w:sz="0" w:space="0" w:color="auto"/>
            <w:right w:val="none" w:sz="0" w:space="0" w:color="auto"/>
          </w:divBdr>
          <w:divsChild>
            <w:div w:id="1690328373">
              <w:marLeft w:val="-225"/>
              <w:marRight w:val="-225"/>
              <w:marTop w:val="0"/>
              <w:marBottom w:val="0"/>
              <w:divBdr>
                <w:top w:val="none" w:sz="0" w:space="0" w:color="auto"/>
                <w:left w:val="none" w:sz="0" w:space="0" w:color="auto"/>
                <w:bottom w:val="none" w:sz="0" w:space="0" w:color="auto"/>
                <w:right w:val="none" w:sz="0" w:space="0" w:color="auto"/>
              </w:divBdr>
              <w:divsChild>
                <w:div w:id="7657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5627">
      <w:bodyDiv w:val="1"/>
      <w:marLeft w:val="0"/>
      <w:marRight w:val="0"/>
      <w:marTop w:val="0"/>
      <w:marBottom w:val="0"/>
      <w:divBdr>
        <w:top w:val="none" w:sz="0" w:space="0" w:color="auto"/>
        <w:left w:val="none" w:sz="0" w:space="0" w:color="auto"/>
        <w:bottom w:val="none" w:sz="0" w:space="0" w:color="auto"/>
        <w:right w:val="none" w:sz="0" w:space="0" w:color="auto"/>
      </w:divBdr>
    </w:div>
    <w:div w:id="322320968">
      <w:bodyDiv w:val="1"/>
      <w:marLeft w:val="0"/>
      <w:marRight w:val="0"/>
      <w:marTop w:val="0"/>
      <w:marBottom w:val="0"/>
      <w:divBdr>
        <w:top w:val="none" w:sz="0" w:space="0" w:color="auto"/>
        <w:left w:val="none" w:sz="0" w:space="0" w:color="auto"/>
        <w:bottom w:val="none" w:sz="0" w:space="0" w:color="auto"/>
        <w:right w:val="none" w:sz="0" w:space="0" w:color="auto"/>
      </w:divBdr>
    </w:div>
    <w:div w:id="328825942">
      <w:bodyDiv w:val="1"/>
      <w:marLeft w:val="0"/>
      <w:marRight w:val="0"/>
      <w:marTop w:val="0"/>
      <w:marBottom w:val="0"/>
      <w:divBdr>
        <w:top w:val="none" w:sz="0" w:space="0" w:color="auto"/>
        <w:left w:val="none" w:sz="0" w:space="0" w:color="auto"/>
        <w:bottom w:val="none" w:sz="0" w:space="0" w:color="auto"/>
        <w:right w:val="none" w:sz="0" w:space="0" w:color="auto"/>
      </w:divBdr>
    </w:div>
    <w:div w:id="330530566">
      <w:bodyDiv w:val="1"/>
      <w:marLeft w:val="0"/>
      <w:marRight w:val="0"/>
      <w:marTop w:val="0"/>
      <w:marBottom w:val="0"/>
      <w:divBdr>
        <w:top w:val="none" w:sz="0" w:space="0" w:color="auto"/>
        <w:left w:val="none" w:sz="0" w:space="0" w:color="auto"/>
        <w:bottom w:val="none" w:sz="0" w:space="0" w:color="auto"/>
        <w:right w:val="none" w:sz="0" w:space="0" w:color="auto"/>
      </w:divBdr>
    </w:div>
    <w:div w:id="333999216">
      <w:bodyDiv w:val="1"/>
      <w:marLeft w:val="0"/>
      <w:marRight w:val="0"/>
      <w:marTop w:val="0"/>
      <w:marBottom w:val="0"/>
      <w:divBdr>
        <w:top w:val="none" w:sz="0" w:space="0" w:color="auto"/>
        <w:left w:val="none" w:sz="0" w:space="0" w:color="auto"/>
        <w:bottom w:val="none" w:sz="0" w:space="0" w:color="auto"/>
        <w:right w:val="none" w:sz="0" w:space="0" w:color="auto"/>
      </w:divBdr>
    </w:div>
    <w:div w:id="334695083">
      <w:bodyDiv w:val="1"/>
      <w:marLeft w:val="0"/>
      <w:marRight w:val="0"/>
      <w:marTop w:val="0"/>
      <w:marBottom w:val="0"/>
      <w:divBdr>
        <w:top w:val="none" w:sz="0" w:space="0" w:color="auto"/>
        <w:left w:val="none" w:sz="0" w:space="0" w:color="auto"/>
        <w:bottom w:val="none" w:sz="0" w:space="0" w:color="auto"/>
        <w:right w:val="none" w:sz="0" w:space="0" w:color="auto"/>
      </w:divBdr>
    </w:div>
    <w:div w:id="339234056">
      <w:bodyDiv w:val="1"/>
      <w:marLeft w:val="0"/>
      <w:marRight w:val="0"/>
      <w:marTop w:val="0"/>
      <w:marBottom w:val="0"/>
      <w:divBdr>
        <w:top w:val="none" w:sz="0" w:space="0" w:color="auto"/>
        <w:left w:val="none" w:sz="0" w:space="0" w:color="auto"/>
        <w:bottom w:val="none" w:sz="0" w:space="0" w:color="auto"/>
        <w:right w:val="none" w:sz="0" w:space="0" w:color="auto"/>
      </w:divBdr>
    </w:div>
    <w:div w:id="342244070">
      <w:bodyDiv w:val="1"/>
      <w:marLeft w:val="0"/>
      <w:marRight w:val="0"/>
      <w:marTop w:val="0"/>
      <w:marBottom w:val="0"/>
      <w:divBdr>
        <w:top w:val="none" w:sz="0" w:space="0" w:color="auto"/>
        <w:left w:val="none" w:sz="0" w:space="0" w:color="auto"/>
        <w:bottom w:val="none" w:sz="0" w:space="0" w:color="auto"/>
        <w:right w:val="none" w:sz="0" w:space="0" w:color="auto"/>
      </w:divBdr>
    </w:div>
    <w:div w:id="343702384">
      <w:bodyDiv w:val="1"/>
      <w:marLeft w:val="0"/>
      <w:marRight w:val="0"/>
      <w:marTop w:val="0"/>
      <w:marBottom w:val="0"/>
      <w:divBdr>
        <w:top w:val="none" w:sz="0" w:space="0" w:color="auto"/>
        <w:left w:val="none" w:sz="0" w:space="0" w:color="auto"/>
        <w:bottom w:val="none" w:sz="0" w:space="0" w:color="auto"/>
        <w:right w:val="none" w:sz="0" w:space="0" w:color="auto"/>
      </w:divBdr>
    </w:div>
    <w:div w:id="350029317">
      <w:bodyDiv w:val="1"/>
      <w:marLeft w:val="0"/>
      <w:marRight w:val="0"/>
      <w:marTop w:val="0"/>
      <w:marBottom w:val="0"/>
      <w:divBdr>
        <w:top w:val="none" w:sz="0" w:space="0" w:color="auto"/>
        <w:left w:val="none" w:sz="0" w:space="0" w:color="auto"/>
        <w:bottom w:val="none" w:sz="0" w:space="0" w:color="auto"/>
        <w:right w:val="none" w:sz="0" w:space="0" w:color="auto"/>
      </w:divBdr>
    </w:div>
    <w:div w:id="358505299">
      <w:bodyDiv w:val="1"/>
      <w:marLeft w:val="0"/>
      <w:marRight w:val="0"/>
      <w:marTop w:val="0"/>
      <w:marBottom w:val="0"/>
      <w:divBdr>
        <w:top w:val="none" w:sz="0" w:space="0" w:color="auto"/>
        <w:left w:val="none" w:sz="0" w:space="0" w:color="auto"/>
        <w:bottom w:val="none" w:sz="0" w:space="0" w:color="auto"/>
        <w:right w:val="none" w:sz="0" w:space="0" w:color="auto"/>
      </w:divBdr>
    </w:div>
    <w:div w:id="364015619">
      <w:bodyDiv w:val="1"/>
      <w:marLeft w:val="0"/>
      <w:marRight w:val="0"/>
      <w:marTop w:val="0"/>
      <w:marBottom w:val="0"/>
      <w:divBdr>
        <w:top w:val="none" w:sz="0" w:space="0" w:color="auto"/>
        <w:left w:val="none" w:sz="0" w:space="0" w:color="auto"/>
        <w:bottom w:val="none" w:sz="0" w:space="0" w:color="auto"/>
        <w:right w:val="none" w:sz="0" w:space="0" w:color="auto"/>
      </w:divBdr>
    </w:div>
    <w:div w:id="376587071">
      <w:bodyDiv w:val="1"/>
      <w:marLeft w:val="0"/>
      <w:marRight w:val="0"/>
      <w:marTop w:val="0"/>
      <w:marBottom w:val="0"/>
      <w:divBdr>
        <w:top w:val="none" w:sz="0" w:space="0" w:color="auto"/>
        <w:left w:val="none" w:sz="0" w:space="0" w:color="auto"/>
        <w:bottom w:val="none" w:sz="0" w:space="0" w:color="auto"/>
        <w:right w:val="none" w:sz="0" w:space="0" w:color="auto"/>
      </w:divBdr>
    </w:div>
    <w:div w:id="381952310">
      <w:bodyDiv w:val="1"/>
      <w:marLeft w:val="0"/>
      <w:marRight w:val="0"/>
      <w:marTop w:val="0"/>
      <w:marBottom w:val="0"/>
      <w:divBdr>
        <w:top w:val="none" w:sz="0" w:space="0" w:color="auto"/>
        <w:left w:val="none" w:sz="0" w:space="0" w:color="auto"/>
        <w:bottom w:val="none" w:sz="0" w:space="0" w:color="auto"/>
        <w:right w:val="none" w:sz="0" w:space="0" w:color="auto"/>
      </w:divBdr>
    </w:div>
    <w:div w:id="389037199">
      <w:bodyDiv w:val="1"/>
      <w:marLeft w:val="0"/>
      <w:marRight w:val="0"/>
      <w:marTop w:val="0"/>
      <w:marBottom w:val="0"/>
      <w:divBdr>
        <w:top w:val="none" w:sz="0" w:space="0" w:color="auto"/>
        <w:left w:val="none" w:sz="0" w:space="0" w:color="auto"/>
        <w:bottom w:val="none" w:sz="0" w:space="0" w:color="auto"/>
        <w:right w:val="none" w:sz="0" w:space="0" w:color="auto"/>
      </w:divBdr>
    </w:div>
    <w:div w:id="390469999">
      <w:bodyDiv w:val="1"/>
      <w:marLeft w:val="0"/>
      <w:marRight w:val="0"/>
      <w:marTop w:val="0"/>
      <w:marBottom w:val="0"/>
      <w:divBdr>
        <w:top w:val="none" w:sz="0" w:space="0" w:color="auto"/>
        <w:left w:val="none" w:sz="0" w:space="0" w:color="auto"/>
        <w:bottom w:val="none" w:sz="0" w:space="0" w:color="auto"/>
        <w:right w:val="none" w:sz="0" w:space="0" w:color="auto"/>
      </w:divBdr>
    </w:div>
    <w:div w:id="391393855">
      <w:bodyDiv w:val="1"/>
      <w:marLeft w:val="0"/>
      <w:marRight w:val="0"/>
      <w:marTop w:val="0"/>
      <w:marBottom w:val="0"/>
      <w:divBdr>
        <w:top w:val="none" w:sz="0" w:space="0" w:color="auto"/>
        <w:left w:val="none" w:sz="0" w:space="0" w:color="auto"/>
        <w:bottom w:val="none" w:sz="0" w:space="0" w:color="auto"/>
        <w:right w:val="none" w:sz="0" w:space="0" w:color="auto"/>
      </w:divBdr>
    </w:div>
    <w:div w:id="392241879">
      <w:bodyDiv w:val="1"/>
      <w:marLeft w:val="0"/>
      <w:marRight w:val="0"/>
      <w:marTop w:val="0"/>
      <w:marBottom w:val="0"/>
      <w:divBdr>
        <w:top w:val="none" w:sz="0" w:space="0" w:color="auto"/>
        <w:left w:val="none" w:sz="0" w:space="0" w:color="auto"/>
        <w:bottom w:val="none" w:sz="0" w:space="0" w:color="auto"/>
        <w:right w:val="none" w:sz="0" w:space="0" w:color="auto"/>
      </w:divBdr>
    </w:div>
    <w:div w:id="393967033">
      <w:bodyDiv w:val="1"/>
      <w:marLeft w:val="0"/>
      <w:marRight w:val="0"/>
      <w:marTop w:val="0"/>
      <w:marBottom w:val="0"/>
      <w:divBdr>
        <w:top w:val="none" w:sz="0" w:space="0" w:color="auto"/>
        <w:left w:val="none" w:sz="0" w:space="0" w:color="auto"/>
        <w:bottom w:val="none" w:sz="0" w:space="0" w:color="auto"/>
        <w:right w:val="none" w:sz="0" w:space="0" w:color="auto"/>
      </w:divBdr>
    </w:div>
    <w:div w:id="396057417">
      <w:bodyDiv w:val="1"/>
      <w:marLeft w:val="0"/>
      <w:marRight w:val="0"/>
      <w:marTop w:val="0"/>
      <w:marBottom w:val="0"/>
      <w:divBdr>
        <w:top w:val="none" w:sz="0" w:space="0" w:color="auto"/>
        <w:left w:val="none" w:sz="0" w:space="0" w:color="auto"/>
        <w:bottom w:val="none" w:sz="0" w:space="0" w:color="auto"/>
        <w:right w:val="none" w:sz="0" w:space="0" w:color="auto"/>
      </w:divBdr>
    </w:div>
    <w:div w:id="397944715">
      <w:bodyDiv w:val="1"/>
      <w:marLeft w:val="0"/>
      <w:marRight w:val="0"/>
      <w:marTop w:val="0"/>
      <w:marBottom w:val="0"/>
      <w:divBdr>
        <w:top w:val="none" w:sz="0" w:space="0" w:color="auto"/>
        <w:left w:val="none" w:sz="0" w:space="0" w:color="auto"/>
        <w:bottom w:val="none" w:sz="0" w:space="0" w:color="auto"/>
        <w:right w:val="none" w:sz="0" w:space="0" w:color="auto"/>
      </w:divBdr>
    </w:div>
    <w:div w:id="398748630">
      <w:bodyDiv w:val="1"/>
      <w:marLeft w:val="0"/>
      <w:marRight w:val="0"/>
      <w:marTop w:val="0"/>
      <w:marBottom w:val="0"/>
      <w:divBdr>
        <w:top w:val="none" w:sz="0" w:space="0" w:color="auto"/>
        <w:left w:val="none" w:sz="0" w:space="0" w:color="auto"/>
        <w:bottom w:val="none" w:sz="0" w:space="0" w:color="auto"/>
        <w:right w:val="none" w:sz="0" w:space="0" w:color="auto"/>
      </w:divBdr>
    </w:div>
    <w:div w:id="399443781">
      <w:bodyDiv w:val="1"/>
      <w:marLeft w:val="0"/>
      <w:marRight w:val="0"/>
      <w:marTop w:val="0"/>
      <w:marBottom w:val="0"/>
      <w:divBdr>
        <w:top w:val="none" w:sz="0" w:space="0" w:color="auto"/>
        <w:left w:val="none" w:sz="0" w:space="0" w:color="auto"/>
        <w:bottom w:val="none" w:sz="0" w:space="0" w:color="auto"/>
        <w:right w:val="none" w:sz="0" w:space="0" w:color="auto"/>
      </w:divBdr>
    </w:div>
    <w:div w:id="399864032">
      <w:bodyDiv w:val="1"/>
      <w:marLeft w:val="0"/>
      <w:marRight w:val="0"/>
      <w:marTop w:val="0"/>
      <w:marBottom w:val="0"/>
      <w:divBdr>
        <w:top w:val="none" w:sz="0" w:space="0" w:color="auto"/>
        <w:left w:val="none" w:sz="0" w:space="0" w:color="auto"/>
        <w:bottom w:val="none" w:sz="0" w:space="0" w:color="auto"/>
        <w:right w:val="none" w:sz="0" w:space="0" w:color="auto"/>
      </w:divBdr>
    </w:div>
    <w:div w:id="401635962">
      <w:bodyDiv w:val="1"/>
      <w:marLeft w:val="0"/>
      <w:marRight w:val="0"/>
      <w:marTop w:val="0"/>
      <w:marBottom w:val="0"/>
      <w:divBdr>
        <w:top w:val="none" w:sz="0" w:space="0" w:color="auto"/>
        <w:left w:val="none" w:sz="0" w:space="0" w:color="auto"/>
        <w:bottom w:val="none" w:sz="0" w:space="0" w:color="auto"/>
        <w:right w:val="none" w:sz="0" w:space="0" w:color="auto"/>
      </w:divBdr>
    </w:div>
    <w:div w:id="407461555">
      <w:bodyDiv w:val="1"/>
      <w:marLeft w:val="0"/>
      <w:marRight w:val="0"/>
      <w:marTop w:val="0"/>
      <w:marBottom w:val="0"/>
      <w:divBdr>
        <w:top w:val="none" w:sz="0" w:space="0" w:color="auto"/>
        <w:left w:val="none" w:sz="0" w:space="0" w:color="auto"/>
        <w:bottom w:val="none" w:sz="0" w:space="0" w:color="auto"/>
        <w:right w:val="none" w:sz="0" w:space="0" w:color="auto"/>
      </w:divBdr>
    </w:div>
    <w:div w:id="415372068">
      <w:bodyDiv w:val="1"/>
      <w:marLeft w:val="0"/>
      <w:marRight w:val="0"/>
      <w:marTop w:val="0"/>
      <w:marBottom w:val="0"/>
      <w:divBdr>
        <w:top w:val="none" w:sz="0" w:space="0" w:color="auto"/>
        <w:left w:val="none" w:sz="0" w:space="0" w:color="auto"/>
        <w:bottom w:val="none" w:sz="0" w:space="0" w:color="auto"/>
        <w:right w:val="none" w:sz="0" w:space="0" w:color="auto"/>
      </w:divBdr>
    </w:div>
    <w:div w:id="416638907">
      <w:bodyDiv w:val="1"/>
      <w:marLeft w:val="0"/>
      <w:marRight w:val="0"/>
      <w:marTop w:val="0"/>
      <w:marBottom w:val="0"/>
      <w:divBdr>
        <w:top w:val="none" w:sz="0" w:space="0" w:color="auto"/>
        <w:left w:val="none" w:sz="0" w:space="0" w:color="auto"/>
        <w:bottom w:val="none" w:sz="0" w:space="0" w:color="auto"/>
        <w:right w:val="none" w:sz="0" w:space="0" w:color="auto"/>
      </w:divBdr>
    </w:div>
    <w:div w:id="418327620">
      <w:bodyDiv w:val="1"/>
      <w:marLeft w:val="0"/>
      <w:marRight w:val="0"/>
      <w:marTop w:val="0"/>
      <w:marBottom w:val="0"/>
      <w:divBdr>
        <w:top w:val="none" w:sz="0" w:space="0" w:color="auto"/>
        <w:left w:val="none" w:sz="0" w:space="0" w:color="auto"/>
        <w:bottom w:val="none" w:sz="0" w:space="0" w:color="auto"/>
        <w:right w:val="none" w:sz="0" w:space="0" w:color="auto"/>
      </w:divBdr>
    </w:div>
    <w:div w:id="418331262">
      <w:bodyDiv w:val="1"/>
      <w:marLeft w:val="0"/>
      <w:marRight w:val="0"/>
      <w:marTop w:val="0"/>
      <w:marBottom w:val="0"/>
      <w:divBdr>
        <w:top w:val="none" w:sz="0" w:space="0" w:color="auto"/>
        <w:left w:val="none" w:sz="0" w:space="0" w:color="auto"/>
        <w:bottom w:val="none" w:sz="0" w:space="0" w:color="auto"/>
        <w:right w:val="none" w:sz="0" w:space="0" w:color="auto"/>
      </w:divBdr>
    </w:div>
    <w:div w:id="418789609">
      <w:bodyDiv w:val="1"/>
      <w:marLeft w:val="0"/>
      <w:marRight w:val="0"/>
      <w:marTop w:val="0"/>
      <w:marBottom w:val="0"/>
      <w:divBdr>
        <w:top w:val="none" w:sz="0" w:space="0" w:color="auto"/>
        <w:left w:val="none" w:sz="0" w:space="0" w:color="auto"/>
        <w:bottom w:val="none" w:sz="0" w:space="0" w:color="auto"/>
        <w:right w:val="none" w:sz="0" w:space="0" w:color="auto"/>
      </w:divBdr>
    </w:div>
    <w:div w:id="419369550">
      <w:bodyDiv w:val="1"/>
      <w:marLeft w:val="0"/>
      <w:marRight w:val="0"/>
      <w:marTop w:val="0"/>
      <w:marBottom w:val="0"/>
      <w:divBdr>
        <w:top w:val="none" w:sz="0" w:space="0" w:color="auto"/>
        <w:left w:val="none" w:sz="0" w:space="0" w:color="auto"/>
        <w:bottom w:val="none" w:sz="0" w:space="0" w:color="auto"/>
        <w:right w:val="none" w:sz="0" w:space="0" w:color="auto"/>
      </w:divBdr>
    </w:div>
    <w:div w:id="419908131">
      <w:bodyDiv w:val="1"/>
      <w:marLeft w:val="0"/>
      <w:marRight w:val="0"/>
      <w:marTop w:val="0"/>
      <w:marBottom w:val="0"/>
      <w:divBdr>
        <w:top w:val="none" w:sz="0" w:space="0" w:color="auto"/>
        <w:left w:val="none" w:sz="0" w:space="0" w:color="auto"/>
        <w:bottom w:val="none" w:sz="0" w:space="0" w:color="auto"/>
        <w:right w:val="none" w:sz="0" w:space="0" w:color="auto"/>
      </w:divBdr>
    </w:div>
    <w:div w:id="422847339">
      <w:bodyDiv w:val="1"/>
      <w:marLeft w:val="0"/>
      <w:marRight w:val="0"/>
      <w:marTop w:val="0"/>
      <w:marBottom w:val="0"/>
      <w:divBdr>
        <w:top w:val="none" w:sz="0" w:space="0" w:color="auto"/>
        <w:left w:val="none" w:sz="0" w:space="0" w:color="auto"/>
        <w:bottom w:val="none" w:sz="0" w:space="0" w:color="auto"/>
        <w:right w:val="none" w:sz="0" w:space="0" w:color="auto"/>
      </w:divBdr>
    </w:div>
    <w:div w:id="425002362">
      <w:bodyDiv w:val="1"/>
      <w:marLeft w:val="0"/>
      <w:marRight w:val="0"/>
      <w:marTop w:val="0"/>
      <w:marBottom w:val="0"/>
      <w:divBdr>
        <w:top w:val="none" w:sz="0" w:space="0" w:color="auto"/>
        <w:left w:val="none" w:sz="0" w:space="0" w:color="auto"/>
        <w:bottom w:val="none" w:sz="0" w:space="0" w:color="auto"/>
        <w:right w:val="none" w:sz="0" w:space="0" w:color="auto"/>
      </w:divBdr>
    </w:div>
    <w:div w:id="431243144">
      <w:bodyDiv w:val="1"/>
      <w:marLeft w:val="0"/>
      <w:marRight w:val="0"/>
      <w:marTop w:val="0"/>
      <w:marBottom w:val="0"/>
      <w:divBdr>
        <w:top w:val="none" w:sz="0" w:space="0" w:color="auto"/>
        <w:left w:val="none" w:sz="0" w:space="0" w:color="auto"/>
        <w:bottom w:val="none" w:sz="0" w:space="0" w:color="auto"/>
        <w:right w:val="none" w:sz="0" w:space="0" w:color="auto"/>
      </w:divBdr>
    </w:div>
    <w:div w:id="435905110">
      <w:bodyDiv w:val="1"/>
      <w:marLeft w:val="0"/>
      <w:marRight w:val="0"/>
      <w:marTop w:val="0"/>
      <w:marBottom w:val="0"/>
      <w:divBdr>
        <w:top w:val="none" w:sz="0" w:space="0" w:color="auto"/>
        <w:left w:val="none" w:sz="0" w:space="0" w:color="auto"/>
        <w:bottom w:val="none" w:sz="0" w:space="0" w:color="auto"/>
        <w:right w:val="none" w:sz="0" w:space="0" w:color="auto"/>
      </w:divBdr>
    </w:div>
    <w:div w:id="438530551">
      <w:bodyDiv w:val="1"/>
      <w:marLeft w:val="0"/>
      <w:marRight w:val="0"/>
      <w:marTop w:val="0"/>
      <w:marBottom w:val="0"/>
      <w:divBdr>
        <w:top w:val="none" w:sz="0" w:space="0" w:color="auto"/>
        <w:left w:val="none" w:sz="0" w:space="0" w:color="auto"/>
        <w:bottom w:val="none" w:sz="0" w:space="0" w:color="auto"/>
        <w:right w:val="none" w:sz="0" w:space="0" w:color="auto"/>
      </w:divBdr>
    </w:div>
    <w:div w:id="444079062">
      <w:bodyDiv w:val="1"/>
      <w:marLeft w:val="0"/>
      <w:marRight w:val="0"/>
      <w:marTop w:val="0"/>
      <w:marBottom w:val="0"/>
      <w:divBdr>
        <w:top w:val="none" w:sz="0" w:space="0" w:color="auto"/>
        <w:left w:val="none" w:sz="0" w:space="0" w:color="auto"/>
        <w:bottom w:val="none" w:sz="0" w:space="0" w:color="auto"/>
        <w:right w:val="none" w:sz="0" w:space="0" w:color="auto"/>
      </w:divBdr>
    </w:div>
    <w:div w:id="44862639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2210413">
      <w:bodyDiv w:val="1"/>
      <w:marLeft w:val="0"/>
      <w:marRight w:val="0"/>
      <w:marTop w:val="0"/>
      <w:marBottom w:val="0"/>
      <w:divBdr>
        <w:top w:val="none" w:sz="0" w:space="0" w:color="auto"/>
        <w:left w:val="none" w:sz="0" w:space="0" w:color="auto"/>
        <w:bottom w:val="none" w:sz="0" w:space="0" w:color="auto"/>
        <w:right w:val="none" w:sz="0" w:space="0" w:color="auto"/>
      </w:divBdr>
    </w:div>
    <w:div w:id="453987414">
      <w:bodyDiv w:val="1"/>
      <w:marLeft w:val="0"/>
      <w:marRight w:val="0"/>
      <w:marTop w:val="0"/>
      <w:marBottom w:val="0"/>
      <w:divBdr>
        <w:top w:val="none" w:sz="0" w:space="0" w:color="auto"/>
        <w:left w:val="none" w:sz="0" w:space="0" w:color="auto"/>
        <w:bottom w:val="none" w:sz="0" w:space="0" w:color="auto"/>
        <w:right w:val="none" w:sz="0" w:space="0" w:color="auto"/>
      </w:divBdr>
    </w:div>
    <w:div w:id="455804030">
      <w:bodyDiv w:val="1"/>
      <w:marLeft w:val="0"/>
      <w:marRight w:val="0"/>
      <w:marTop w:val="0"/>
      <w:marBottom w:val="0"/>
      <w:divBdr>
        <w:top w:val="none" w:sz="0" w:space="0" w:color="auto"/>
        <w:left w:val="none" w:sz="0" w:space="0" w:color="auto"/>
        <w:bottom w:val="none" w:sz="0" w:space="0" w:color="auto"/>
        <w:right w:val="none" w:sz="0" w:space="0" w:color="auto"/>
      </w:divBdr>
    </w:div>
    <w:div w:id="457726818">
      <w:bodyDiv w:val="1"/>
      <w:marLeft w:val="0"/>
      <w:marRight w:val="0"/>
      <w:marTop w:val="0"/>
      <w:marBottom w:val="0"/>
      <w:divBdr>
        <w:top w:val="none" w:sz="0" w:space="0" w:color="auto"/>
        <w:left w:val="none" w:sz="0" w:space="0" w:color="auto"/>
        <w:bottom w:val="none" w:sz="0" w:space="0" w:color="auto"/>
        <w:right w:val="none" w:sz="0" w:space="0" w:color="auto"/>
      </w:divBdr>
    </w:div>
    <w:div w:id="458302916">
      <w:bodyDiv w:val="1"/>
      <w:marLeft w:val="0"/>
      <w:marRight w:val="0"/>
      <w:marTop w:val="0"/>
      <w:marBottom w:val="0"/>
      <w:divBdr>
        <w:top w:val="none" w:sz="0" w:space="0" w:color="auto"/>
        <w:left w:val="none" w:sz="0" w:space="0" w:color="auto"/>
        <w:bottom w:val="none" w:sz="0" w:space="0" w:color="auto"/>
        <w:right w:val="none" w:sz="0" w:space="0" w:color="auto"/>
      </w:divBdr>
    </w:div>
    <w:div w:id="466121106">
      <w:bodyDiv w:val="1"/>
      <w:marLeft w:val="0"/>
      <w:marRight w:val="0"/>
      <w:marTop w:val="0"/>
      <w:marBottom w:val="0"/>
      <w:divBdr>
        <w:top w:val="none" w:sz="0" w:space="0" w:color="auto"/>
        <w:left w:val="none" w:sz="0" w:space="0" w:color="auto"/>
        <w:bottom w:val="none" w:sz="0" w:space="0" w:color="auto"/>
        <w:right w:val="none" w:sz="0" w:space="0" w:color="auto"/>
      </w:divBdr>
    </w:div>
    <w:div w:id="468205836">
      <w:bodyDiv w:val="1"/>
      <w:marLeft w:val="0"/>
      <w:marRight w:val="0"/>
      <w:marTop w:val="0"/>
      <w:marBottom w:val="0"/>
      <w:divBdr>
        <w:top w:val="none" w:sz="0" w:space="0" w:color="auto"/>
        <w:left w:val="none" w:sz="0" w:space="0" w:color="auto"/>
        <w:bottom w:val="none" w:sz="0" w:space="0" w:color="auto"/>
        <w:right w:val="none" w:sz="0" w:space="0" w:color="auto"/>
      </w:divBdr>
    </w:div>
    <w:div w:id="474765523">
      <w:bodyDiv w:val="1"/>
      <w:marLeft w:val="0"/>
      <w:marRight w:val="0"/>
      <w:marTop w:val="0"/>
      <w:marBottom w:val="0"/>
      <w:divBdr>
        <w:top w:val="none" w:sz="0" w:space="0" w:color="auto"/>
        <w:left w:val="none" w:sz="0" w:space="0" w:color="auto"/>
        <w:bottom w:val="none" w:sz="0" w:space="0" w:color="auto"/>
        <w:right w:val="none" w:sz="0" w:space="0" w:color="auto"/>
      </w:divBdr>
    </w:div>
    <w:div w:id="487677698">
      <w:bodyDiv w:val="1"/>
      <w:marLeft w:val="0"/>
      <w:marRight w:val="0"/>
      <w:marTop w:val="0"/>
      <w:marBottom w:val="0"/>
      <w:divBdr>
        <w:top w:val="none" w:sz="0" w:space="0" w:color="auto"/>
        <w:left w:val="none" w:sz="0" w:space="0" w:color="auto"/>
        <w:bottom w:val="none" w:sz="0" w:space="0" w:color="auto"/>
        <w:right w:val="none" w:sz="0" w:space="0" w:color="auto"/>
      </w:divBdr>
    </w:div>
    <w:div w:id="493451071">
      <w:bodyDiv w:val="1"/>
      <w:marLeft w:val="0"/>
      <w:marRight w:val="0"/>
      <w:marTop w:val="0"/>
      <w:marBottom w:val="0"/>
      <w:divBdr>
        <w:top w:val="none" w:sz="0" w:space="0" w:color="auto"/>
        <w:left w:val="none" w:sz="0" w:space="0" w:color="auto"/>
        <w:bottom w:val="none" w:sz="0" w:space="0" w:color="auto"/>
        <w:right w:val="none" w:sz="0" w:space="0" w:color="auto"/>
      </w:divBdr>
    </w:div>
    <w:div w:id="495264936">
      <w:bodyDiv w:val="1"/>
      <w:marLeft w:val="0"/>
      <w:marRight w:val="0"/>
      <w:marTop w:val="0"/>
      <w:marBottom w:val="0"/>
      <w:divBdr>
        <w:top w:val="none" w:sz="0" w:space="0" w:color="auto"/>
        <w:left w:val="none" w:sz="0" w:space="0" w:color="auto"/>
        <w:bottom w:val="none" w:sz="0" w:space="0" w:color="auto"/>
        <w:right w:val="none" w:sz="0" w:space="0" w:color="auto"/>
      </w:divBdr>
    </w:div>
    <w:div w:id="495847626">
      <w:bodyDiv w:val="1"/>
      <w:marLeft w:val="0"/>
      <w:marRight w:val="0"/>
      <w:marTop w:val="0"/>
      <w:marBottom w:val="0"/>
      <w:divBdr>
        <w:top w:val="none" w:sz="0" w:space="0" w:color="auto"/>
        <w:left w:val="none" w:sz="0" w:space="0" w:color="auto"/>
        <w:bottom w:val="none" w:sz="0" w:space="0" w:color="auto"/>
        <w:right w:val="none" w:sz="0" w:space="0" w:color="auto"/>
      </w:divBdr>
    </w:div>
    <w:div w:id="498539503">
      <w:bodyDiv w:val="1"/>
      <w:marLeft w:val="0"/>
      <w:marRight w:val="0"/>
      <w:marTop w:val="0"/>
      <w:marBottom w:val="0"/>
      <w:divBdr>
        <w:top w:val="none" w:sz="0" w:space="0" w:color="auto"/>
        <w:left w:val="none" w:sz="0" w:space="0" w:color="auto"/>
        <w:bottom w:val="none" w:sz="0" w:space="0" w:color="auto"/>
        <w:right w:val="none" w:sz="0" w:space="0" w:color="auto"/>
      </w:divBdr>
    </w:div>
    <w:div w:id="501355295">
      <w:bodyDiv w:val="1"/>
      <w:marLeft w:val="0"/>
      <w:marRight w:val="0"/>
      <w:marTop w:val="0"/>
      <w:marBottom w:val="0"/>
      <w:divBdr>
        <w:top w:val="none" w:sz="0" w:space="0" w:color="auto"/>
        <w:left w:val="none" w:sz="0" w:space="0" w:color="auto"/>
        <w:bottom w:val="none" w:sz="0" w:space="0" w:color="auto"/>
        <w:right w:val="none" w:sz="0" w:space="0" w:color="auto"/>
      </w:divBdr>
    </w:div>
    <w:div w:id="513887801">
      <w:bodyDiv w:val="1"/>
      <w:marLeft w:val="0"/>
      <w:marRight w:val="0"/>
      <w:marTop w:val="0"/>
      <w:marBottom w:val="0"/>
      <w:divBdr>
        <w:top w:val="none" w:sz="0" w:space="0" w:color="auto"/>
        <w:left w:val="none" w:sz="0" w:space="0" w:color="auto"/>
        <w:bottom w:val="none" w:sz="0" w:space="0" w:color="auto"/>
        <w:right w:val="none" w:sz="0" w:space="0" w:color="auto"/>
      </w:divBdr>
    </w:div>
    <w:div w:id="515579489">
      <w:bodyDiv w:val="1"/>
      <w:marLeft w:val="0"/>
      <w:marRight w:val="0"/>
      <w:marTop w:val="0"/>
      <w:marBottom w:val="0"/>
      <w:divBdr>
        <w:top w:val="none" w:sz="0" w:space="0" w:color="auto"/>
        <w:left w:val="none" w:sz="0" w:space="0" w:color="auto"/>
        <w:bottom w:val="none" w:sz="0" w:space="0" w:color="auto"/>
        <w:right w:val="none" w:sz="0" w:space="0" w:color="auto"/>
      </w:divBdr>
    </w:div>
    <w:div w:id="515727384">
      <w:bodyDiv w:val="1"/>
      <w:marLeft w:val="0"/>
      <w:marRight w:val="0"/>
      <w:marTop w:val="0"/>
      <w:marBottom w:val="0"/>
      <w:divBdr>
        <w:top w:val="none" w:sz="0" w:space="0" w:color="auto"/>
        <w:left w:val="none" w:sz="0" w:space="0" w:color="auto"/>
        <w:bottom w:val="none" w:sz="0" w:space="0" w:color="auto"/>
        <w:right w:val="none" w:sz="0" w:space="0" w:color="auto"/>
      </w:divBdr>
    </w:div>
    <w:div w:id="516846623">
      <w:bodyDiv w:val="1"/>
      <w:marLeft w:val="0"/>
      <w:marRight w:val="0"/>
      <w:marTop w:val="0"/>
      <w:marBottom w:val="0"/>
      <w:divBdr>
        <w:top w:val="none" w:sz="0" w:space="0" w:color="auto"/>
        <w:left w:val="none" w:sz="0" w:space="0" w:color="auto"/>
        <w:bottom w:val="none" w:sz="0" w:space="0" w:color="auto"/>
        <w:right w:val="none" w:sz="0" w:space="0" w:color="auto"/>
      </w:divBdr>
    </w:div>
    <w:div w:id="519203772">
      <w:bodyDiv w:val="1"/>
      <w:marLeft w:val="0"/>
      <w:marRight w:val="0"/>
      <w:marTop w:val="0"/>
      <w:marBottom w:val="0"/>
      <w:divBdr>
        <w:top w:val="none" w:sz="0" w:space="0" w:color="auto"/>
        <w:left w:val="none" w:sz="0" w:space="0" w:color="auto"/>
        <w:bottom w:val="none" w:sz="0" w:space="0" w:color="auto"/>
        <w:right w:val="none" w:sz="0" w:space="0" w:color="auto"/>
      </w:divBdr>
    </w:div>
    <w:div w:id="520510406">
      <w:bodyDiv w:val="1"/>
      <w:marLeft w:val="0"/>
      <w:marRight w:val="0"/>
      <w:marTop w:val="0"/>
      <w:marBottom w:val="0"/>
      <w:divBdr>
        <w:top w:val="none" w:sz="0" w:space="0" w:color="auto"/>
        <w:left w:val="none" w:sz="0" w:space="0" w:color="auto"/>
        <w:bottom w:val="none" w:sz="0" w:space="0" w:color="auto"/>
        <w:right w:val="none" w:sz="0" w:space="0" w:color="auto"/>
      </w:divBdr>
    </w:div>
    <w:div w:id="522745537">
      <w:bodyDiv w:val="1"/>
      <w:marLeft w:val="0"/>
      <w:marRight w:val="0"/>
      <w:marTop w:val="0"/>
      <w:marBottom w:val="0"/>
      <w:divBdr>
        <w:top w:val="none" w:sz="0" w:space="0" w:color="auto"/>
        <w:left w:val="none" w:sz="0" w:space="0" w:color="auto"/>
        <w:bottom w:val="none" w:sz="0" w:space="0" w:color="auto"/>
        <w:right w:val="none" w:sz="0" w:space="0" w:color="auto"/>
      </w:divBdr>
    </w:div>
    <w:div w:id="529612015">
      <w:bodyDiv w:val="1"/>
      <w:marLeft w:val="0"/>
      <w:marRight w:val="0"/>
      <w:marTop w:val="0"/>
      <w:marBottom w:val="0"/>
      <w:divBdr>
        <w:top w:val="none" w:sz="0" w:space="0" w:color="auto"/>
        <w:left w:val="none" w:sz="0" w:space="0" w:color="auto"/>
        <w:bottom w:val="none" w:sz="0" w:space="0" w:color="auto"/>
        <w:right w:val="none" w:sz="0" w:space="0" w:color="auto"/>
      </w:divBdr>
    </w:div>
    <w:div w:id="538667037">
      <w:bodyDiv w:val="1"/>
      <w:marLeft w:val="0"/>
      <w:marRight w:val="0"/>
      <w:marTop w:val="0"/>
      <w:marBottom w:val="0"/>
      <w:divBdr>
        <w:top w:val="none" w:sz="0" w:space="0" w:color="auto"/>
        <w:left w:val="none" w:sz="0" w:space="0" w:color="auto"/>
        <w:bottom w:val="none" w:sz="0" w:space="0" w:color="auto"/>
        <w:right w:val="none" w:sz="0" w:space="0" w:color="auto"/>
      </w:divBdr>
    </w:div>
    <w:div w:id="540094763">
      <w:bodyDiv w:val="1"/>
      <w:marLeft w:val="0"/>
      <w:marRight w:val="0"/>
      <w:marTop w:val="0"/>
      <w:marBottom w:val="0"/>
      <w:divBdr>
        <w:top w:val="none" w:sz="0" w:space="0" w:color="auto"/>
        <w:left w:val="none" w:sz="0" w:space="0" w:color="auto"/>
        <w:bottom w:val="none" w:sz="0" w:space="0" w:color="auto"/>
        <w:right w:val="none" w:sz="0" w:space="0" w:color="auto"/>
      </w:divBdr>
    </w:div>
    <w:div w:id="540747155">
      <w:bodyDiv w:val="1"/>
      <w:marLeft w:val="0"/>
      <w:marRight w:val="0"/>
      <w:marTop w:val="0"/>
      <w:marBottom w:val="0"/>
      <w:divBdr>
        <w:top w:val="none" w:sz="0" w:space="0" w:color="auto"/>
        <w:left w:val="none" w:sz="0" w:space="0" w:color="auto"/>
        <w:bottom w:val="none" w:sz="0" w:space="0" w:color="auto"/>
        <w:right w:val="none" w:sz="0" w:space="0" w:color="auto"/>
      </w:divBdr>
    </w:div>
    <w:div w:id="540871965">
      <w:bodyDiv w:val="1"/>
      <w:marLeft w:val="0"/>
      <w:marRight w:val="0"/>
      <w:marTop w:val="0"/>
      <w:marBottom w:val="0"/>
      <w:divBdr>
        <w:top w:val="none" w:sz="0" w:space="0" w:color="auto"/>
        <w:left w:val="none" w:sz="0" w:space="0" w:color="auto"/>
        <w:bottom w:val="none" w:sz="0" w:space="0" w:color="auto"/>
        <w:right w:val="none" w:sz="0" w:space="0" w:color="auto"/>
      </w:divBdr>
    </w:div>
    <w:div w:id="540942677">
      <w:bodyDiv w:val="1"/>
      <w:marLeft w:val="0"/>
      <w:marRight w:val="0"/>
      <w:marTop w:val="0"/>
      <w:marBottom w:val="0"/>
      <w:divBdr>
        <w:top w:val="none" w:sz="0" w:space="0" w:color="auto"/>
        <w:left w:val="none" w:sz="0" w:space="0" w:color="auto"/>
        <w:bottom w:val="none" w:sz="0" w:space="0" w:color="auto"/>
        <w:right w:val="none" w:sz="0" w:space="0" w:color="auto"/>
      </w:divBdr>
    </w:div>
    <w:div w:id="541013889">
      <w:bodyDiv w:val="1"/>
      <w:marLeft w:val="0"/>
      <w:marRight w:val="0"/>
      <w:marTop w:val="0"/>
      <w:marBottom w:val="0"/>
      <w:divBdr>
        <w:top w:val="none" w:sz="0" w:space="0" w:color="auto"/>
        <w:left w:val="none" w:sz="0" w:space="0" w:color="auto"/>
        <w:bottom w:val="none" w:sz="0" w:space="0" w:color="auto"/>
        <w:right w:val="none" w:sz="0" w:space="0" w:color="auto"/>
      </w:divBdr>
    </w:div>
    <w:div w:id="541864414">
      <w:bodyDiv w:val="1"/>
      <w:marLeft w:val="0"/>
      <w:marRight w:val="0"/>
      <w:marTop w:val="0"/>
      <w:marBottom w:val="0"/>
      <w:divBdr>
        <w:top w:val="none" w:sz="0" w:space="0" w:color="auto"/>
        <w:left w:val="none" w:sz="0" w:space="0" w:color="auto"/>
        <w:bottom w:val="none" w:sz="0" w:space="0" w:color="auto"/>
        <w:right w:val="none" w:sz="0" w:space="0" w:color="auto"/>
      </w:divBdr>
    </w:div>
    <w:div w:id="547037046">
      <w:bodyDiv w:val="1"/>
      <w:marLeft w:val="0"/>
      <w:marRight w:val="0"/>
      <w:marTop w:val="0"/>
      <w:marBottom w:val="0"/>
      <w:divBdr>
        <w:top w:val="none" w:sz="0" w:space="0" w:color="auto"/>
        <w:left w:val="none" w:sz="0" w:space="0" w:color="auto"/>
        <w:bottom w:val="none" w:sz="0" w:space="0" w:color="auto"/>
        <w:right w:val="none" w:sz="0" w:space="0" w:color="auto"/>
      </w:divBdr>
    </w:div>
    <w:div w:id="549344608">
      <w:bodyDiv w:val="1"/>
      <w:marLeft w:val="0"/>
      <w:marRight w:val="0"/>
      <w:marTop w:val="0"/>
      <w:marBottom w:val="0"/>
      <w:divBdr>
        <w:top w:val="none" w:sz="0" w:space="0" w:color="auto"/>
        <w:left w:val="none" w:sz="0" w:space="0" w:color="auto"/>
        <w:bottom w:val="none" w:sz="0" w:space="0" w:color="auto"/>
        <w:right w:val="none" w:sz="0" w:space="0" w:color="auto"/>
      </w:divBdr>
    </w:div>
    <w:div w:id="556745700">
      <w:bodyDiv w:val="1"/>
      <w:marLeft w:val="0"/>
      <w:marRight w:val="0"/>
      <w:marTop w:val="0"/>
      <w:marBottom w:val="0"/>
      <w:divBdr>
        <w:top w:val="none" w:sz="0" w:space="0" w:color="auto"/>
        <w:left w:val="none" w:sz="0" w:space="0" w:color="auto"/>
        <w:bottom w:val="none" w:sz="0" w:space="0" w:color="auto"/>
        <w:right w:val="none" w:sz="0" w:space="0" w:color="auto"/>
      </w:divBdr>
    </w:div>
    <w:div w:id="557323504">
      <w:bodyDiv w:val="1"/>
      <w:marLeft w:val="0"/>
      <w:marRight w:val="0"/>
      <w:marTop w:val="0"/>
      <w:marBottom w:val="0"/>
      <w:divBdr>
        <w:top w:val="none" w:sz="0" w:space="0" w:color="auto"/>
        <w:left w:val="none" w:sz="0" w:space="0" w:color="auto"/>
        <w:bottom w:val="none" w:sz="0" w:space="0" w:color="auto"/>
        <w:right w:val="none" w:sz="0" w:space="0" w:color="auto"/>
      </w:divBdr>
    </w:div>
    <w:div w:id="562717386">
      <w:bodyDiv w:val="1"/>
      <w:marLeft w:val="0"/>
      <w:marRight w:val="0"/>
      <w:marTop w:val="0"/>
      <w:marBottom w:val="0"/>
      <w:divBdr>
        <w:top w:val="none" w:sz="0" w:space="0" w:color="auto"/>
        <w:left w:val="none" w:sz="0" w:space="0" w:color="auto"/>
        <w:bottom w:val="none" w:sz="0" w:space="0" w:color="auto"/>
        <w:right w:val="none" w:sz="0" w:space="0" w:color="auto"/>
      </w:divBdr>
    </w:div>
    <w:div w:id="566232973">
      <w:bodyDiv w:val="1"/>
      <w:marLeft w:val="0"/>
      <w:marRight w:val="0"/>
      <w:marTop w:val="0"/>
      <w:marBottom w:val="0"/>
      <w:divBdr>
        <w:top w:val="none" w:sz="0" w:space="0" w:color="auto"/>
        <w:left w:val="none" w:sz="0" w:space="0" w:color="auto"/>
        <w:bottom w:val="none" w:sz="0" w:space="0" w:color="auto"/>
        <w:right w:val="none" w:sz="0" w:space="0" w:color="auto"/>
      </w:divBdr>
    </w:div>
    <w:div w:id="568882833">
      <w:bodyDiv w:val="1"/>
      <w:marLeft w:val="0"/>
      <w:marRight w:val="0"/>
      <w:marTop w:val="0"/>
      <w:marBottom w:val="0"/>
      <w:divBdr>
        <w:top w:val="none" w:sz="0" w:space="0" w:color="auto"/>
        <w:left w:val="none" w:sz="0" w:space="0" w:color="auto"/>
        <w:bottom w:val="none" w:sz="0" w:space="0" w:color="auto"/>
        <w:right w:val="none" w:sz="0" w:space="0" w:color="auto"/>
      </w:divBdr>
    </w:div>
    <w:div w:id="578289676">
      <w:bodyDiv w:val="1"/>
      <w:marLeft w:val="0"/>
      <w:marRight w:val="0"/>
      <w:marTop w:val="0"/>
      <w:marBottom w:val="0"/>
      <w:divBdr>
        <w:top w:val="none" w:sz="0" w:space="0" w:color="auto"/>
        <w:left w:val="none" w:sz="0" w:space="0" w:color="auto"/>
        <w:bottom w:val="none" w:sz="0" w:space="0" w:color="auto"/>
        <w:right w:val="none" w:sz="0" w:space="0" w:color="auto"/>
      </w:divBdr>
    </w:div>
    <w:div w:id="579485696">
      <w:bodyDiv w:val="1"/>
      <w:marLeft w:val="0"/>
      <w:marRight w:val="0"/>
      <w:marTop w:val="0"/>
      <w:marBottom w:val="0"/>
      <w:divBdr>
        <w:top w:val="none" w:sz="0" w:space="0" w:color="auto"/>
        <w:left w:val="none" w:sz="0" w:space="0" w:color="auto"/>
        <w:bottom w:val="none" w:sz="0" w:space="0" w:color="auto"/>
        <w:right w:val="none" w:sz="0" w:space="0" w:color="auto"/>
      </w:divBdr>
    </w:div>
    <w:div w:id="588461781">
      <w:bodyDiv w:val="1"/>
      <w:marLeft w:val="0"/>
      <w:marRight w:val="0"/>
      <w:marTop w:val="0"/>
      <w:marBottom w:val="0"/>
      <w:divBdr>
        <w:top w:val="none" w:sz="0" w:space="0" w:color="auto"/>
        <w:left w:val="none" w:sz="0" w:space="0" w:color="auto"/>
        <w:bottom w:val="none" w:sz="0" w:space="0" w:color="auto"/>
        <w:right w:val="none" w:sz="0" w:space="0" w:color="auto"/>
      </w:divBdr>
    </w:div>
    <w:div w:id="589511375">
      <w:bodyDiv w:val="1"/>
      <w:marLeft w:val="0"/>
      <w:marRight w:val="0"/>
      <w:marTop w:val="0"/>
      <w:marBottom w:val="0"/>
      <w:divBdr>
        <w:top w:val="none" w:sz="0" w:space="0" w:color="auto"/>
        <w:left w:val="none" w:sz="0" w:space="0" w:color="auto"/>
        <w:bottom w:val="none" w:sz="0" w:space="0" w:color="auto"/>
        <w:right w:val="none" w:sz="0" w:space="0" w:color="auto"/>
      </w:divBdr>
    </w:div>
    <w:div w:id="594246134">
      <w:bodyDiv w:val="1"/>
      <w:marLeft w:val="0"/>
      <w:marRight w:val="0"/>
      <w:marTop w:val="0"/>
      <w:marBottom w:val="0"/>
      <w:divBdr>
        <w:top w:val="none" w:sz="0" w:space="0" w:color="auto"/>
        <w:left w:val="none" w:sz="0" w:space="0" w:color="auto"/>
        <w:bottom w:val="none" w:sz="0" w:space="0" w:color="auto"/>
        <w:right w:val="none" w:sz="0" w:space="0" w:color="auto"/>
      </w:divBdr>
    </w:div>
    <w:div w:id="596210940">
      <w:bodyDiv w:val="1"/>
      <w:marLeft w:val="0"/>
      <w:marRight w:val="0"/>
      <w:marTop w:val="0"/>
      <w:marBottom w:val="0"/>
      <w:divBdr>
        <w:top w:val="none" w:sz="0" w:space="0" w:color="auto"/>
        <w:left w:val="none" w:sz="0" w:space="0" w:color="auto"/>
        <w:bottom w:val="none" w:sz="0" w:space="0" w:color="auto"/>
        <w:right w:val="none" w:sz="0" w:space="0" w:color="auto"/>
      </w:divBdr>
    </w:div>
    <w:div w:id="603658398">
      <w:bodyDiv w:val="1"/>
      <w:marLeft w:val="0"/>
      <w:marRight w:val="0"/>
      <w:marTop w:val="0"/>
      <w:marBottom w:val="0"/>
      <w:divBdr>
        <w:top w:val="none" w:sz="0" w:space="0" w:color="auto"/>
        <w:left w:val="none" w:sz="0" w:space="0" w:color="auto"/>
        <w:bottom w:val="none" w:sz="0" w:space="0" w:color="auto"/>
        <w:right w:val="none" w:sz="0" w:space="0" w:color="auto"/>
      </w:divBdr>
    </w:div>
    <w:div w:id="603732783">
      <w:bodyDiv w:val="1"/>
      <w:marLeft w:val="0"/>
      <w:marRight w:val="0"/>
      <w:marTop w:val="0"/>
      <w:marBottom w:val="0"/>
      <w:divBdr>
        <w:top w:val="none" w:sz="0" w:space="0" w:color="auto"/>
        <w:left w:val="none" w:sz="0" w:space="0" w:color="auto"/>
        <w:bottom w:val="none" w:sz="0" w:space="0" w:color="auto"/>
        <w:right w:val="none" w:sz="0" w:space="0" w:color="auto"/>
      </w:divBdr>
    </w:div>
    <w:div w:id="605118694">
      <w:bodyDiv w:val="1"/>
      <w:marLeft w:val="0"/>
      <w:marRight w:val="0"/>
      <w:marTop w:val="0"/>
      <w:marBottom w:val="0"/>
      <w:divBdr>
        <w:top w:val="none" w:sz="0" w:space="0" w:color="auto"/>
        <w:left w:val="none" w:sz="0" w:space="0" w:color="auto"/>
        <w:bottom w:val="none" w:sz="0" w:space="0" w:color="auto"/>
        <w:right w:val="none" w:sz="0" w:space="0" w:color="auto"/>
      </w:divBdr>
    </w:div>
    <w:div w:id="605818928">
      <w:bodyDiv w:val="1"/>
      <w:marLeft w:val="0"/>
      <w:marRight w:val="0"/>
      <w:marTop w:val="0"/>
      <w:marBottom w:val="0"/>
      <w:divBdr>
        <w:top w:val="none" w:sz="0" w:space="0" w:color="auto"/>
        <w:left w:val="none" w:sz="0" w:space="0" w:color="auto"/>
        <w:bottom w:val="none" w:sz="0" w:space="0" w:color="auto"/>
        <w:right w:val="none" w:sz="0" w:space="0" w:color="auto"/>
      </w:divBdr>
    </w:div>
    <w:div w:id="607278841">
      <w:bodyDiv w:val="1"/>
      <w:marLeft w:val="0"/>
      <w:marRight w:val="0"/>
      <w:marTop w:val="0"/>
      <w:marBottom w:val="0"/>
      <w:divBdr>
        <w:top w:val="none" w:sz="0" w:space="0" w:color="auto"/>
        <w:left w:val="none" w:sz="0" w:space="0" w:color="auto"/>
        <w:bottom w:val="none" w:sz="0" w:space="0" w:color="auto"/>
        <w:right w:val="none" w:sz="0" w:space="0" w:color="auto"/>
      </w:divBdr>
    </w:div>
    <w:div w:id="614869267">
      <w:bodyDiv w:val="1"/>
      <w:marLeft w:val="0"/>
      <w:marRight w:val="0"/>
      <w:marTop w:val="0"/>
      <w:marBottom w:val="0"/>
      <w:divBdr>
        <w:top w:val="none" w:sz="0" w:space="0" w:color="auto"/>
        <w:left w:val="none" w:sz="0" w:space="0" w:color="auto"/>
        <w:bottom w:val="none" w:sz="0" w:space="0" w:color="auto"/>
        <w:right w:val="none" w:sz="0" w:space="0" w:color="auto"/>
      </w:divBdr>
    </w:div>
    <w:div w:id="618336250">
      <w:bodyDiv w:val="1"/>
      <w:marLeft w:val="0"/>
      <w:marRight w:val="0"/>
      <w:marTop w:val="0"/>
      <w:marBottom w:val="0"/>
      <w:divBdr>
        <w:top w:val="none" w:sz="0" w:space="0" w:color="auto"/>
        <w:left w:val="none" w:sz="0" w:space="0" w:color="auto"/>
        <w:bottom w:val="none" w:sz="0" w:space="0" w:color="auto"/>
        <w:right w:val="none" w:sz="0" w:space="0" w:color="auto"/>
      </w:divBdr>
    </w:div>
    <w:div w:id="621231272">
      <w:bodyDiv w:val="1"/>
      <w:marLeft w:val="0"/>
      <w:marRight w:val="0"/>
      <w:marTop w:val="0"/>
      <w:marBottom w:val="0"/>
      <w:divBdr>
        <w:top w:val="none" w:sz="0" w:space="0" w:color="auto"/>
        <w:left w:val="none" w:sz="0" w:space="0" w:color="auto"/>
        <w:bottom w:val="none" w:sz="0" w:space="0" w:color="auto"/>
        <w:right w:val="none" w:sz="0" w:space="0" w:color="auto"/>
      </w:divBdr>
    </w:div>
    <w:div w:id="622350077">
      <w:bodyDiv w:val="1"/>
      <w:marLeft w:val="0"/>
      <w:marRight w:val="0"/>
      <w:marTop w:val="0"/>
      <w:marBottom w:val="0"/>
      <w:divBdr>
        <w:top w:val="none" w:sz="0" w:space="0" w:color="auto"/>
        <w:left w:val="none" w:sz="0" w:space="0" w:color="auto"/>
        <w:bottom w:val="none" w:sz="0" w:space="0" w:color="auto"/>
        <w:right w:val="none" w:sz="0" w:space="0" w:color="auto"/>
      </w:divBdr>
    </w:div>
    <w:div w:id="626857459">
      <w:bodyDiv w:val="1"/>
      <w:marLeft w:val="0"/>
      <w:marRight w:val="0"/>
      <w:marTop w:val="0"/>
      <w:marBottom w:val="0"/>
      <w:divBdr>
        <w:top w:val="none" w:sz="0" w:space="0" w:color="auto"/>
        <w:left w:val="none" w:sz="0" w:space="0" w:color="auto"/>
        <w:bottom w:val="none" w:sz="0" w:space="0" w:color="auto"/>
        <w:right w:val="none" w:sz="0" w:space="0" w:color="auto"/>
      </w:divBdr>
    </w:div>
    <w:div w:id="627862267">
      <w:bodyDiv w:val="1"/>
      <w:marLeft w:val="0"/>
      <w:marRight w:val="0"/>
      <w:marTop w:val="0"/>
      <w:marBottom w:val="0"/>
      <w:divBdr>
        <w:top w:val="none" w:sz="0" w:space="0" w:color="auto"/>
        <w:left w:val="none" w:sz="0" w:space="0" w:color="auto"/>
        <w:bottom w:val="none" w:sz="0" w:space="0" w:color="auto"/>
        <w:right w:val="none" w:sz="0" w:space="0" w:color="auto"/>
      </w:divBdr>
    </w:div>
    <w:div w:id="633370352">
      <w:bodyDiv w:val="1"/>
      <w:marLeft w:val="0"/>
      <w:marRight w:val="0"/>
      <w:marTop w:val="0"/>
      <w:marBottom w:val="0"/>
      <w:divBdr>
        <w:top w:val="none" w:sz="0" w:space="0" w:color="auto"/>
        <w:left w:val="none" w:sz="0" w:space="0" w:color="auto"/>
        <w:bottom w:val="none" w:sz="0" w:space="0" w:color="auto"/>
        <w:right w:val="none" w:sz="0" w:space="0" w:color="auto"/>
      </w:divBdr>
    </w:div>
    <w:div w:id="633945219">
      <w:bodyDiv w:val="1"/>
      <w:marLeft w:val="0"/>
      <w:marRight w:val="0"/>
      <w:marTop w:val="0"/>
      <w:marBottom w:val="0"/>
      <w:divBdr>
        <w:top w:val="none" w:sz="0" w:space="0" w:color="auto"/>
        <w:left w:val="none" w:sz="0" w:space="0" w:color="auto"/>
        <w:bottom w:val="none" w:sz="0" w:space="0" w:color="auto"/>
        <w:right w:val="none" w:sz="0" w:space="0" w:color="auto"/>
      </w:divBdr>
    </w:div>
    <w:div w:id="634484303">
      <w:bodyDiv w:val="1"/>
      <w:marLeft w:val="0"/>
      <w:marRight w:val="0"/>
      <w:marTop w:val="0"/>
      <w:marBottom w:val="0"/>
      <w:divBdr>
        <w:top w:val="none" w:sz="0" w:space="0" w:color="auto"/>
        <w:left w:val="none" w:sz="0" w:space="0" w:color="auto"/>
        <w:bottom w:val="none" w:sz="0" w:space="0" w:color="auto"/>
        <w:right w:val="none" w:sz="0" w:space="0" w:color="auto"/>
      </w:divBdr>
    </w:div>
    <w:div w:id="637102331">
      <w:bodyDiv w:val="1"/>
      <w:marLeft w:val="0"/>
      <w:marRight w:val="0"/>
      <w:marTop w:val="0"/>
      <w:marBottom w:val="0"/>
      <w:divBdr>
        <w:top w:val="none" w:sz="0" w:space="0" w:color="auto"/>
        <w:left w:val="none" w:sz="0" w:space="0" w:color="auto"/>
        <w:bottom w:val="none" w:sz="0" w:space="0" w:color="auto"/>
        <w:right w:val="none" w:sz="0" w:space="0" w:color="auto"/>
      </w:divBdr>
    </w:div>
    <w:div w:id="640580198">
      <w:bodyDiv w:val="1"/>
      <w:marLeft w:val="0"/>
      <w:marRight w:val="0"/>
      <w:marTop w:val="0"/>
      <w:marBottom w:val="0"/>
      <w:divBdr>
        <w:top w:val="none" w:sz="0" w:space="0" w:color="auto"/>
        <w:left w:val="none" w:sz="0" w:space="0" w:color="auto"/>
        <w:bottom w:val="none" w:sz="0" w:space="0" w:color="auto"/>
        <w:right w:val="none" w:sz="0" w:space="0" w:color="auto"/>
      </w:divBdr>
    </w:div>
    <w:div w:id="643395658">
      <w:bodyDiv w:val="1"/>
      <w:marLeft w:val="0"/>
      <w:marRight w:val="0"/>
      <w:marTop w:val="0"/>
      <w:marBottom w:val="0"/>
      <w:divBdr>
        <w:top w:val="none" w:sz="0" w:space="0" w:color="auto"/>
        <w:left w:val="none" w:sz="0" w:space="0" w:color="auto"/>
        <w:bottom w:val="none" w:sz="0" w:space="0" w:color="auto"/>
        <w:right w:val="none" w:sz="0" w:space="0" w:color="auto"/>
      </w:divBdr>
    </w:div>
    <w:div w:id="645208723">
      <w:bodyDiv w:val="1"/>
      <w:marLeft w:val="0"/>
      <w:marRight w:val="0"/>
      <w:marTop w:val="0"/>
      <w:marBottom w:val="0"/>
      <w:divBdr>
        <w:top w:val="none" w:sz="0" w:space="0" w:color="auto"/>
        <w:left w:val="none" w:sz="0" w:space="0" w:color="auto"/>
        <w:bottom w:val="none" w:sz="0" w:space="0" w:color="auto"/>
        <w:right w:val="none" w:sz="0" w:space="0" w:color="auto"/>
      </w:divBdr>
    </w:div>
    <w:div w:id="650983077">
      <w:bodyDiv w:val="1"/>
      <w:marLeft w:val="0"/>
      <w:marRight w:val="0"/>
      <w:marTop w:val="0"/>
      <w:marBottom w:val="0"/>
      <w:divBdr>
        <w:top w:val="none" w:sz="0" w:space="0" w:color="auto"/>
        <w:left w:val="none" w:sz="0" w:space="0" w:color="auto"/>
        <w:bottom w:val="none" w:sz="0" w:space="0" w:color="auto"/>
        <w:right w:val="none" w:sz="0" w:space="0" w:color="auto"/>
      </w:divBdr>
    </w:div>
    <w:div w:id="656999649">
      <w:bodyDiv w:val="1"/>
      <w:marLeft w:val="0"/>
      <w:marRight w:val="0"/>
      <w:marTop w:val="0"/>
      <w:marBottom w:val="0"/>
      <w:divBdr>
        <w:top w:val="none" w:sz="0" w:space="0" w:color="auto"/>
        <w:left w:val="none" w:sz="0" w:space="0" w:color="auto"/>
        <w:bottom w:val="none" w:sz="0" w:space="0" w:color="auto"/>
        <w:right w:val="none" w:sz="0" w:space="0" w:color="auto"/>
      </w:divBdr>
    </w:div>
    <w:div w:id="659962555">
      <w:bodyDiv w:val="1"/>
      <w:marLeft w:val="0"/>
      <w:marRight w:val="0"/>
      <w:marTop w:val="0"/>
      <w:marBottom w:val="0"/>
      <w:divBdr>
        <w:top w:val="none" w:sz="0" w:space="0" w:color="auto"/>
        <w:left w:val="none" w:sz="0" w:space="0" w:color="auto"/>
        <w:bottom w:val="none" w:sz="0" w:space="0" w:color="auto"/>
        <w:right w:val="none" w:sz="0" w:space="0" w:color="auto"/>
      </w:divBdr>
    </w:div>
    <w:div w:id="662394672">
      <w:bodyDiv w:val="1"/>
      <w:marLeft w:val="0"/>
      <w:marRight w:val="0"/>
      <w:marTop w:val="0"/>
      <w:marBottom w:val="0"/>
      <w:divBdr>
        <w:top w:val="none" w:sz="0" w:space="0" w:color="auto"/>
        <w:left w:val="none" w:sz="0" w:space="0" w:color="auto"/>
        <w:bottom w:val="none" w:sz="0" w:space="0" w:color="auto"/>
        <w:right w:val="none" w:sz="0" w:space="0" w:color="auto"/>
      </w:divBdr>
    </w:div>
    <w:div w:id="664169254">
      <w:bodyDiv w:val="1"/>
      <w:marLeft w:val="0"/>
      <w:marRight w:val="0"/>
      <w:marTop w:val="0"/>
      <w:marBottom w:val="0"/>
      <w:divBdr>
        <w:top w:val="none" w:sz="0" w:space="0" w:color="auto"/>
        <w:left w:val="none" w:sz="0" w:space="0" w:color="auto"/>
        <w:bottom w:val="none" w:sz="0" w:space="0" w:color="auto"/>
        <w:right w:val="none" w:sz="0" w:space="0" w:color="auto"/>
      </w:divBdr>
    </w:div>
    <w:div w:id="665590927">
      <w:bodyDiv w:val="1"/>
      <w:marLeft w:val="0"/>
      <w:marRight w:val="0"/>
      <w:marTop w:val="0"/>
      <w:marBottom w:val="0"/>
      <w:divBdr>
        <w:top w:val="none" w:sz="0" w:space="0" w:color="auto"/>
        <w:left w:val="none" w:sz="0" w:space="0" w:color="auto"/>
        <w:bottom w:val="none" w:sz="0" w:space="0" w:color="auto"/>
        <w:right w:val="none" w:sz="0" w:space="0" w:color="auto"/>
      </w:divBdr>
    </w:div>
    <w:div w:id="670063977">
      <w:bodyDiv w:val="1"/>
      <w:marLeft w:val="0"/>
      <w:marRight w:val="0"/>
      <w:marTop w:val="0"/>
      <w:marBottom w:val="0"/>
      <w:divBdr>
        <w:top w:val="none" w:sz="0" w:space="0" w:color="auto"/>
        <w:left w:val="none" w:sz="0" w:space="0" w:color="auto"/>
        <w:bottom w:val="none" w:sz="0" w:space="0" w:color="auto"/>
        <w:right w:val="none" w:sz="0" w:space="0" w:color="auto"/>
      </w:divBdr>
    </w:div>
    <w:div w:id="670107178">
      <w:bodyDiv w:val="1"/>
      <w:marLeft w:val="0"/>
      <w:marRight w:val="0"/>
      <w:marTop w:val="0"/>
      <w:marBottom w:val="0"/>
      <w:divBdr>
        <w:top w:val="none" w:sz="0" w:space="0" w:color="auto"/>
        <w:left w:val="none" w:sz="0" w:space="0" w:color="auto"/>
        <w:bottom w:val="none" w:sz="0" w:space="0" w:color="auto"/>
        <w:right w:val="none" w:sz="0" w:space="0" w:color="auto"/>
      </w:divBdr>
    </w:div>
    <w:div w:id="674918621">
      <w:bodyDiv w:val="1"/>
      <w:marLeft w:val="0"/>
      <w:marRight w:val="0"/>
      <w:marTop w:val="0"/>
      <w:marBottom w:val="0"/>
      <w:divBdr>
        <w:top w:val="none" w:sz="0" w:space="0" w:color="auto"/>
        <w:left w:val="none" w:sz="0" w:space="0" w:color="auto"/>
        <w:bottom w:val="none" w:sz="0" w:space="0" w:color="auto"/>
        <w:right w:val="none" w:sz="0" w:space="0" w:color="auto"/>
      </w:divBdr>
    </w:div>
    <w:div w:id="685523373">
      <w:bodyDiv w:val="1"/>
      <w:marLeft w:val="0"/>
      <w:marRight w:val="0"/>
      <w:marTop w:val="0"/>
      <w:marBottom w:val="0"/>
      <w:divBdr>
        <w:top w:val="none" w:sz="0" w:space="0" w:color="auto"/>
        <w:left w:val="none" w:sz="0" w:space="0" w:color="auto"/>
        <w:bottom w:val="none" w:sz="0" w:space="0" w:color="auto"/>
        <w:right w:val="none" w:sz="0" w:space="0" w:color="auto"/>
      </w:divBdr>
    </w:div>
    <w:div w:id="692191884">
      <w:bodyDiv w:val="1"/>
      <w:marLeft w:val="0"/>
      <w:marRight w:val="0"/>
      <w:marTop w:val="0"/>
      <w:marBottom w:val="0"/>
      <w:divBdr>
        <w:top w:val="none" w:sz="0" w:space="0" w:color="auto"/>
        <w:left w:val="none" w:sz="0" w:space="0" w:color="auto"/>
        <w:bottom w:val="none" w:sz="0" w:space="0" w:color="auto"/>
        <w:right w:val="none" w:sz="0" w:space="0" w:color="auto"/>
      </w:divBdr>
    </w:div>
    <w:div w:id="692725163">
      <w:bodyDiv w:val="1"/>
      <w:marLeft w:val="0"/>
      <w:marRight w:val="0"/>
      <w:marTop w:val="0"/>
      <w:marBottom w:val="0"/>
      <w:divBdr>
        <w:top w:val="none" w:sz="0" w:space="0" w:color="auto"/>
        <w:left w:val="none" w:sz="0" w:space="0" w:color="auto"/>
        <w:bottom w:val="none" w:sz="0" w:space="0" w:color="auto"/>
        <w:right w:val="none" w:sz="0" w:space="0" w:color="auto"/>
      </w:divBdr>
    </w:div>
    <w:div w:id="693844172">
      <w:bodyDiv w:val="1"/>
      <w:marLeft w:val="0"/>
      <w:marRight w:val="0"/>
      <w:marTop w:val="0"/>
      <w:marBottom w:val="0"/>
      <w:divBdr>
        <w:top w:val="none" w:sz="0" w:space="0" w:color="auto"/>
        <w:left w:val="none" w:sz="0" w:space="0" w:color="auto"/>
        <w:bottom w:val="none" w:sz="0" w:space="0" w:color="auto"/>
        <w:right w:val="none" w:sz="0" w:space="0" w:color="auto"/>
      </w:divBdr>
    </w:div>
    <w:div w:id="698044581">
      <w:bodyDiv w:val="1"/>
      <w:marLeft w:val="0"/>
      <w:marRight w:val="0"/>
      <w:marTop w:val="0"/>
      <w:marBottom w:val="0"/>
      <w:divBdr>
        <w:top w:val="none" w:sz="0" w:space="0" w:color="auto"/>
        <w:left w:val="none" w:sz="0" w:space="0" w:color="auto"/>
        <w:bottom w:val="none" w:sz="0" w:space="0" w:color="auto"/>
        <w:right w:val="none" w:sz="0" w:space="0" w:color="auto"/>
      </w:divBdr>
    </w:div>
    <w:div w:id="700281919">
      <w:bodyDiv w:val="1"/>
      <w:marLeft w:val="0"/>
      <w:marRight w:val="0"/>
      <w:marTop w:val="0"/>
      <w:marBottom w:val="0"/>
      <w:divBdr>
        <w:top w:val="none" w:sz="0" w:space="0" w:color="auto"/>
        <w:left w:val="none" w:sz="0" w:space="0" w:color="auto"/>
        <w:bottom w:val="none" w:sz="0" w:space="0" w:color="auto"/>
        <w:right w:val="none" w:sz="0" w:space="0" w:color="auto"/>
      </w:divBdr>
    </w:div>
    <w:div w:id="704671101">
      <w:bodyDiv w:val="1"/>
      <w:marLeft w:val="0"/>
      <w:marRight w:val="0"/>
      <w:marTop w:val="0"/>
      <w:marBottom w:val="0"/>
      <w:divBdr>
        <w:top w:val="none" w:sz="0" w:space="0" w:color="auto"/>
        <w:left w:val="none" w:sz="0" w:space="0" w:color="auto"/>
        <w:bottom w:val="none" w:sz="0" w:space="0" w:color="auto"/>
        <w:right w:val="none" w:sz="0" w:space="0" w:color="auto"/>
      </w:divBdr>
    </w:div>
    <w:div w:id="711540238">
      <w:bodyDiv w:val="1"/>
      <w:marLeft w:val="0"/>
      <w:marRight w:val="0"/>
      <w:marTop w:val="0"/>
      <w:marBottom w:val="0"/>
      <w:divBdr>
        <w:top w:val="none" w:sz="0" w:space="0" w:color="auto"/>
        <w:left w:val="none" w:sz="0" w:space="0" w:color="auto"/>
        <w:bottom w:val="none" w:sz="0" w:space="0" w:color="auto"/>
        <w:right w:val="none" w:sz="0" w:space="0" w:color="auto"/>
      </w:divBdr>
    </w:div>
    <w:div w:id="713966722">
      <w:bodyDiv w:val="1"/>
      <w:marLeft w:val="0"/>
      <w:marRight w:val="0"/>
      <w:marTop w:val="0"/>
      <w:marBottom w:val="0"/>
      <w:divBdr>
        <w:top w:val="none" w:sz="0" w:space="0" w:color="auto"/>
        <w:left w:val="none" w:sz="0" w:space="0" w:color="auto"/>
        <w:bottom w:val="none" w:sz="0" w:space="0" w:color="auto"/>
        <w:right w:val="none" w:sz="0" w:space="0" w:color="auto"/>
      </w:divBdr>
    </w:div>
    <w:div w:id="717626886">
      <w:bodyDiv w:val="1"/>
      <w:marLeft w:val="0"/>
      <w:marRight w:val="0"/>
      <w:marTop w:val="0"/>
      <w:marBottom w:val="0"/>
      <w:divBdr>
        <w:top w:val="none" w:sz="0" w:space="0" w:color="auto"/>
        <w:left w:val="none" w:sz="0" w:space="0" w:color="auto"/>
        <w:bottom w:val="none" w:sz="0" w:space="0" w:color="auto"/>
        <w:right w:val="none" w:sz="0" w:space="0" w:color="auto"/>
      </w:divBdr>
    </w:div>
    <w:div w:id="726419497">
      <w:bodyDiv w:val="1"/>
      <w:marLeft w:val="0"/>
      <w:marRight w:val="0"/>
      <w:marTop w:val="0"/>
      <w:marBottom w:val="0"/>
      <w:divBdr>
        <w:top w:val="none" w:sz="0" w:space="0" w:color="auto"/>
        <w:left w:val="none" w:sz="0" w:space="0" w:color="auto"/>
        <w:bottom w:val="none" w:sz="0" w:space="0" w:color="auto"/>
        <w:right w:val="none" w:sz="0" w:space="0" w:color="auto"/>
      </w:divBdr>
    </w:div>
    <w:div w:id="729307582">
      <w:bodyDiv w:val="1"/>
      <w:marLeft w:val="0"/>
      <w:marRight w:val="0"/>
      <w:marTop w:val="0"/>
      <w:marBottom w:val="0"/>
      <w:divBdr>
        <w:top w:val="none" w:sz="0" w:space="0" w:color="auto"/>
        <w:left w:val="none" w:sz="0" w:space="0" w:color="auto"/>
        <w:bottom w:val="none" w:sz="0" w:space="0" w:color="auto"/>
        <w:right w:val="none" w:sz="0" w:space="0" w:color="auto"/>
      </w:divBdr>
    </w:div>
    <w:div w:id="731537369">
      <w:bodyDiv w:val="1"/>
      <w:marLeft w:val="0"/>
      <w:marRight w:val="0"/>
      <w:marTop w:val="0"/>
      <w:marBottom w:val="0"/>
      <w:divBdr>
        <w:top w:val="none" w:sz="0" w:space="0" w:color="auto"/>
        <w:left w:val="none" w:sz="0" w:space="0" w:color="auto"/>
        <w:bottom w:val="none" w:sz="0" w:space="0" w:color="auto"/>
        <w:right w:val="none" w:sz="0" w:space="0" w:color="auto"/>
      </w:divBdr>
    </w:div>
    <w:div w:id="733047527">
      <w:bodyDiv w:val="1"/>
      <w:marLeft w:val="0"/>
      <w:marRight w:val="0"/>
      <w:marTop w:val="0"/>
      <w:marBottom w:val="0"/>
      <w:divBdr>
        <w:top w:val="none" w:sz="0" w:space="0" w:color="auto"/>
        <w:left w:val="none" w:sz="0" w:space="0" w:color="auto"/>
        <w:bottom w:val="none" w:sz="0" w:space="0" w:color="auto"/>
        <w:right w:val="none" w:sz="0" w:space="0" w:color="auto"/>
      </w:divBdr>
    </w:div>
    <w:div w:id="746071447">
      <w:bodyDiv w:val="1"/>
      <w:marLeft w:val="0"/>
      <w:marRight w:val="0"/>
      <w:marTop w:val="0"/>
      <w:marBottom w:val="0"/>
      <w:divBdr>
        <w:top w:val="none" w:sz="0" w:space="0" w:color="auto"/>
        <w:left w:val="none" w:sz="0" w:space="0" w:color="auto"/>
        <w:bottom w:val="none" w:sz="0" w:space="0" w:color="auto"/>
        <w:right w:val="none" w:sz="0" w:space="0" w:color="auto"/>
      </w:divBdr>
    </w:div>
    <w:div w:id="748308052">
      <w:bodyDiv w:val="1"/>
      <w:marLeft w:val="0"/>
      <w:marRight w:val="0"/>
      <w:marTop w:val="0"/>
      <w:marBottom w:val="0"/>
      <w:divBdr>
        <w:top w:val="none" w:sz="0" w:space="0" w:color="auto"/>
        <w:left w:val="none" w:sz="0" w:space="0" w:color="auto"/>
        <w:bottom w:val="none" w:sz="0" w:space="0" w:color="auto"/>
        <w:right w:val="none" w:sz="0" w:space="0" w:color="auto"/>
      </w:divBdr>
    </w:div>
    <w:div w:id="762259681">
      <w:bodyDiv w:val="1"/>
      <w:marLeft w:val="0"/>
      <w:marRight w:val="0"/>
      <w:marTop w:val="0"/>
      <w:marBottom w:val="0"/>
      <w:divBdr>
        <w:top w:val="none" w:sz="0" w:space="0" w:color="auto"/>
        <w:left w:val="none" w:sz="0" w:space="0" w:color="auto"/>
        <w:bottom w:val="none" w:sz="0" w:space="0" w:color="auto"/>
        <w:right w:val="none" w:sz="0" w:space="0" w:color="auto"/>
      </w:divBdr>
    </w:div>
    <w:div w:id="765658756">
      <w:bodyDiv w:val="1"/>
      <w:marLeft w:val="0"/>
      <w:marRight w:val="0"/>
      <w:marTop w:val="0"/>
      <w:marBottom w:val="0"/>
      <w:divBdr>
        <w:top w:val="none" w:sz="0" w:space="0" w:color="auto"/>
        <w:left w:val="none" w:sz="0" w:space="0" w:color="auto"/>
        <w:bottom w:val="none" w:sz="0" w:space="0" w:color="auto"/>
        <w:right w:val="none" w:sz="0" w:space="0" w:color="auto"/>
      </w:divBdr>
    </w:div>
    <w:div w:id="767508709">
      <w:bodyDiv w:val="1"/>
      <w:marLeft w:val="0"/>
      <w:marRight w:val="0"/>
      <w:marTop w:val="0"/>
      <w:marBottom w:val="0"/>
      <w:divBdr>
        <w:top w:val="none" w:sz="0" w:space="0" w:color="auto"/>
        <w:left w:val="none" w:sz="0" w:space="0" w:color="auto"/>
        <w:bottom w:val="none" w:sz="0" w:space="0" w:color="auto"/>
        <w:right w:val="none" w:sz="0" w:space="0" w:color="auto"/>
      </w:divBdr>
    </w:div>
    <w:div w:id="771320927">
      <w:bodyDiv w:val="1"/>
      <w:marLeft w:val="0"/>
      <w:marRight w:val="0"/>
      <w:marTop w:val="0"/>
      <w:marBottom w:val="0"/>
      <w:divBdr>
        <w:top w:val="none" w:sz="0" w:space="0" w:color="auto"/>
        <w:left w:val="none" w:sz="0" w:space="0" w:color="auto"/>
        <w:bottom w:val="none" w:sz="0" w:space="0" w:color="auto"/>
        <w:right w:val="none" w:sz="0" w:space="0" w:color="auto"/>
      </w:divBdr>
    </w:div>
    <w:div w:id="782118971">
      <w:bodyDiv w:val="1"/>
      <w:marLeft w:val="0"/>
      <w:marRight w:val="0"/>
      <w:marTop w:val="0"/>
      <w:marBottom w:val="0"/>
      <w:divBdr>
        <w:top w:val="none" w:sz="0" w:space="0" w:color="auto"/>
        <w:left w:val="none" w:sz="0" w:space="0" w:color="auto"/>
        <w:bottom w:val="none" w:sz="0" w:space="0" w:color="auto"/>
        <w:right w:val="none" w:sz="0" w:space="0" w:color="auto"/>
      </w:divBdr>
    </w:div>
    <w:div w:id="782575912">
      <w:bodyDiv w:val="1"/>
      <w:marLeft w:val="0"/>
      <w:marRight w:val="0"/>
      <w:marTop w:val="0"/>
      <w:marBottom w:val="0"/>
      <w:divBdr>
        <w:top w:val="none" w:sz="0" w:space="0" w:color="auto"/>
        <w:left w:val="none" w:sz="0" w:space="0" w:color="auto"/>
        <w:bottom w:val="none" w:sz="0" w:space="0" w:color="auto"/>
        <w:right w:val="none" w:sz="0" w:space="0" w:color="auto"/>
      </w:divBdr>
    </w:div>
    <w:div w:id="785003035">
      <w:bodyDiv w:val="1"/>
      <w:marLeft w:val="0"/>
      <w:marRight w:val="0"/>
      <w:marTop w:val="0"/>
      <w:marBottom w:val="0"/>
      <w:divBdr>
        <w:top w:val="none" w:sz="0" w:space="0" w:color="auto"/>
        <w:left w:val="none" w:sz="0" w:space="0" w:color="auto"/>
        <w:bottom w:val="none" w:sz="0" w:space="0" w:color="auto"/>
        <w:right w:val="none" w:sz="0" w:space="0" w:color="auto"/>
      </w:divBdr>
    </w:div>
    <w:div w:id="787703800">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94517670">
      <w:bodyDiv w:val="1"/>
      <w:marLeft w:val="0"/>
      <w:marRight w:val="0"/>
      <w:marTop w:val="0"/>
      <w:marBottom w:val="0"/>
      <w:divBdr>
        <w:top w:val="none" w:sz="0" w:space="0" w:color="auto"/>
        <w:left w:val="none" w:sz="0" w:space="0" w:color="auto"/>
        <w:bottom w:val="none" w:sz="0" w:space="0" w:color="auto"/>
        <w:right w:val="none" w:sz="0" w:space="0" w:color="auto"/>
      </w:divBdr>
    </w:div>
    <w:div w:id="795023825">
      <w:bodyDiv w:val="1"/>
      <w:marLeft w:val="0"/>
      <w:marRight w:val="0"/>
      <w:marTop w:val="0"/>
      <w:marBottom w:val="0"/>
      <w:divBdr>
        <w:top w:val="none" w:sz="0" w:space="0" w:color="auto"/>
        <w:left w:val="none" w:sz="0" w:space="0" w:color="auto"/>
        <w:bottom w:val="none" w:sz="0" w:space="0" w:color="auto"/>
        <w:right w:val="none" w:sz="0" w:space="0" w:color="auto"/>
      </w:divBdr>
    </w:div>
    <w:div w:id="795098940">
      <w:bodyDiv w:val="1"/>
      <w:marLeft w:val="0"/>
      <w:marRight w:val="0"/>
      <w:marTop w:val="0"/>
      <w:marBottom w:val="0"/>
      <w:divBdr>
        <w:top w:val="none" w:sz="0" w:space="0" w:color="auto"/>
        <w:left w:val="none" w:sz="0" w:space="0" w:color="auto"/>
        <w:bottom w:val="none" w:sz="0" w:space="0" w:color="auto"/>
        <w:right w:val="none" w:sz="0" w:space="0" w:color="auto"/>
      </w:divBdr>
    </w:div>
    <w:div w:id="800805334">
      <w:bodyDiv w:val="1"/>
      <w:marLeft w:val="0"/>
      <w:marRight w:val="0"/>
      <w:marTop w:val="0"/>
      <w:marBottom w:val="0"/>
      <w:divBdr>
        <w:top w:val="none" w:sz="0" w:space="0" w:color="auto"/>
        <w:left w:val="none" w:sz="0" w:space="0" w:color="auto"/>
        <w:bottom w:val="none" w:sz="0" w:space="0" w:color="auto"/>
        <w:right w:val="none" w:sz="0" w:space="0" w:color="auto"/>
      </w:divBdr>
    </w:div>
    <w:div w:id="805271619">
      <w:bodyDiv w:val="1"/>
      <w:marLeft w:val="0"/>
      <w:marRight w:val="0"/>
      <w:marTop w:val="0"/>
      <w:marBottom w:val="0"/>
      <w:divBdr>
        <w:top w:val="none" w:sz="0" w:space="0" w:color="auto"/>
        <w:left w:val="none" w:sz="0" w:space="0" w:color="auto"/>
        <w:bottom w:val="none" w:sz="0" w:space="0" w:color="auto"/>
        <w:right w:val="none" w:sz="0" w:space="0" w:color="auto"/>
      </w:divBdr>
    </w:div>
    <w:div w:id="806094166">
      <w:bodyDiv w:val="1"/>
      <w:marLeft w:val="0"/>
      <w:marRight w:val="0"/>
      <w:marTop w:val="0"/>
      <w:marBottom w:val="0"/>
      <w:divBdr>
        <w:top w:val="none" w:sz="0" w:space="0" w:color="auto"/>
        <w:left w:val="none" w:sz="0" w:space="0" w:color="auto"/>
        <w:bottom w:val="none" w:sz="0" w:space="0" w:color="auto"/>
        <w:right w:val="none" w:sz="0" w:space="0" w:color="auto"/>
      </w:divBdr>
    </w:div>
    <w:div w:id="826677433">
      <w:bodyDiv w:val="1"/>
      <w:marLeft w:val="0"/>
      <w:marRight w:val="0"/>
      <w:marTop w:val="0"/>
      <w:marBottom w:val="0"/>
      <w:divBdr>
        <w:top w:val="none" w:sz="0" w:space="0" w:color="auto"/>
        <w:left w:val="none" w:sz="0" w:space="0" w:color="auto"/>
        <w:bottom w:val="none" w:sz="0" w:space="0" w:color="auto"/>
        <w:right w:val="none" w:sz="0" w:space="0" w:color="auto"/>
      </w:divBdr>
    </w:div>
    <w:div w:id="829249956">
      <w:bodyDiv w:val="1"/>
      <w:marLeft w:val="0"/>
      <w:marRight w:val="0"/>
      <w:marTop w:val="0"/>
      <w:marBottom w:val="0"/>
      <w:divBdr>
        <w:top w:val="none" w:sz="0" w:space="0" w:color="auto"/>
        <w:left w:val="none" w:sz="0" w:space="0" w:color="auto"/>
        <w:bottom w:val="none" w:sz="0" w:space="0" w:color="auto"/>
        <w:right w:val="none" w:sz="0" w:space="0" w:color="auto"/>
      </w:divBdr>
    </w:div>
    <w:div w:id="833107914">
      <w:bodyDiv w:val="1"/>
      <w:marLeft w:val="0"/>
      <w:marRight w:val="0"/>
      <w:marTop w:val="0"/>
      <w:marBottom w:val="0"/>
      <w:divBdr>
        <w:top w:val="none" w:sz="0" w:space="0" w:color="auto"/>
        <w:left w:val="none" w:sz="0" w:space="0" w:color="auto"/>
        <w:bottom w:val="none" w:sz="0" w:space="0" w:color="auto"/>
        <w:right w:val="none" w:sz="0" w:space="0" w:color="auto"/>
      </w:divBdr>
    </w:div>
    <w:div w:id="834150855">
      <w:bodyDiv w:val="1"/>
      <w:marLeft w:val="0"/>
      <w:marRight w:val="0"/>
      <w:marTop w:val="0"/>
      <w:marBottom w:val="0"/>
      <w:divBdr>
        <w:top w:val="none" w:sz="0" w:space="0" w:color="auto"/>
        <w:left w:val="none" w:sz="0" w:space="0" w:color="auto"/>
        <w:bottom w:val="none" w:sz="0" w:space="0" w:color="auto"/>
        <w:right w:val="none" w:sz="0" w:space="0" w:color="auto"/>
      </w:divBdr>
    </w:div>
    <w:div w:id="834881965">
      <w:bodyDiv w:val="1"/>
      <w:marLeft w:val="0"/>
      <w:marRight w:val="0"/>
      <w:marTop w:val="0"/>
      <w:marBottom w:val="0"/>
      <w:divBdr>
        <w:top w:val="none" w:sz="0" w:space="0" w:color="auto"/>
        <w:left w:val="none" w:sz="0" w:space="0" w:color="auto"/>
        <w:bottom w:val="none" w:sz="0" w:space="0" w:color="auto"/>
        <w:right w:val="none" w:sz="0" w:space="0" w:color="auto"/>
      </w:divBdr>
    </w:div>
    <w:div w:id="838158369">
      <w:bodyDiv w:val="1"/>
      <w:marLeft w:val="0"/>
      <w:marRight w:val="0"/>
      <w:marTop w:val="0"/>
      <w:marBottom w:val="0"/>
      <w:divBdr>
        <w:top w:val="none" w:sz="0" w:space="0" w:color="auto"/>
        <w:left w:val="none" w:sz="0" w:space="0" w:color="auto"/>
        <w:bottom w:val="none" w:sz="0" w:space="0" w:color="auto"/>
        <w:right w:val="none" w:sz="0" w:space="0" w:color="auto"/>
      </w:divBdr>
    </w:div>
    <w:div w:id="843284189">
      <w:bodyDiv w:val="1"/>
      <w:marLeft w:val="0"/>
      <w:marRight w:val="0"/>
      <w:marTop w:val="0"/>
      <w:marBottom w:val="0"/>
      <w:divBdr>
        <w:top w:val="none" w:sz="0" w:space="0" w:color="auto"/>
        <w:left w:val="none" w:sz="0" w:space="0" w:color="auto"/>
        <w:bottom w:val="none" w:sz="0" w:space="0" w:color="auto"/>
        <w:right w:val="none" w:sz="0" w:space="0" w:color="auto"/>
      </w:divBdr>
    </w:div>
    <w:div w:id="846946322">
      <w:bodyDiv w:val="1"/>
      <w:marLeft w:val="0"/>
      <w:marRight w:val="0"/>
      <w:marTop w:val="0"/>
      <w:marBottom w:val="0"/>
      <w:divBdr>
        <w:top w:val="none" w:sz="0" w:space="0" w:color="auto"/>
        <w:left w:val="none" w:sz="0" w:space="0" w:color="auto"/>
        <w:bottom w:val="none" w:sz="0" w:space="0" w:color="auto"/>
        <w:right w:val="none" w:sz="0" w:space="0" w:color="auto"/>
      </w:divBdr>
    </w:div>
    <w:div w:id="854883797">
      <w:bodyDiv w:val="1"/>
      <w:marLeft w:val="0"/>
      <w:marRight w:val="0"/>
      <w:marTop w:val="0"/>
      <w:marBottom w:val="0"/>
      <w:divBdr>
        <w:top w:val="none" w:sz="0" w:space="0" w:color="auto"/>
        <w:left w:val="none" w:sz="0" w:space="0" w:color="auto"/>
        <w:bottom w:val="none" w:sz="0" w:space="0" w:color="auto"/>
        <w:right w:val="none" w:sz="0" w:space="0" w:color="auto"/>
      </w:divBdr>
    </w:div>
    <w:div w:id="855121323">
      <w:bodyDiv w:val="1"/>
      <w:marLeft w:val="0"/>
      <w:marRight w:val="0"/>
      <w:marTop w:val="0"/>
      <w:marBottom w:val="0"/>
      <w:divBdr>
        <w:top w:val="none" w:sz="0" w:space="0" w:color="auto"/>
        <w:left w:val="none" w:sz="0" w:space="0" w:color="auto"/>
        <w:bottom w:val="none" w:sz="0" w:space="0" w:color="auto"/>
        <w:right w:val="none" w:sz="0" w:space="0" w:color="auto"/>
      </w:divBdr>
    </w:div>
    <w:div w:id="855537372">
      <w:bodyDiv w:val="1"/>
      <w:marLeft w:val="0"/>
      <w:marRight w:val="0"/>
      <w:marTop w:val="0"/>
      <w:marBottom w:val="0"/>
      <w:divBdr>
        <w:top w:val="none" w:sz="0" w:space="0" w:color="auto"/>
        <w:left w:val="none" w:sz="0" w:space="0" w:color="auto"/>
        <w:bottom w:val="none" w:sz="0" w:space="0" w:color="auto"/>
        <w:right w:val="none" w:sz="0" w:space="0" w:color="auto"/>
      </w:divBdr>
    </w:div>
    <w:div w:id="861893463">
      <w:bodyDiv w:val="1"/>
      <w:marLeft w:val="0"/>
      <w:marRight w:val="0"/>
      <w:marTop w:val="0"/>
      <w:marBottom w:val="0"/>
      <w:divBdr>
        <w:top w:val="none" w:sz="0" w:space="0" w:color="auto"/>
        <w:left w:val="none" w:sz="0" w:space="0" w:color="auto"/>
        <w:bottom w:val="none" w:sz="0" w:space="0" w:color="auto"/>
        <w:right w:val="none" w:sz="0" w:space="0" w:color="auto"/>
      </w:divBdr>
    </w:div>
    <w:div w:id="862474039">
      <w:bodyDiv w:val="1"/>
      <w:marLeft w:val="0"/>
      <w:marRight w:val="0"/>
      <w:marTop w:val="0"/>
      <w:marBottom w:val="0"/>
      <w:divBdr>
        <w:top w:val="none" w:sz="0" w:space="0" w:color="auto"/>
        <w:left w:val="none" w:sz="0" w:space="0" w:color="auto"/>
        <w:bottom w:val="none" w:sz="0" w:space="0" w:color="auto"/>
        <w:right w:val="none" w:sz="0" w:space="0" w:color="auto"/>
      </w:divBdr>
    </w:div>
    <w:div w:id="867378140">
      <w:bodyDiv w:val="1"/>
      <w:marLeft w:val="0"/>
      <w:marRight w:val="0"/>
      <w:marTop w:val="0"/>
      <w:marBottom w:val="0"/>
      <w:divBdr>
        <w:top w:val="none" w:sz="0" w:space="0" w:color="auto"/>
        <w:left w:val="none" w:sz="0" w:space="0" w:color="auto"/>
        <w:bottom w:val="none" w:sz="0" w:space="0" w:color="auto"/>
        <w:right w:val="none" w:sz="0" w:space="0" w:color="auto"/>
      </w:divBdr>
    </w:div>
    <w:div w:id="872765904">
      <w:bodyDiv w:val="1"/>
      <w:marLeft w:val="0"/>
      <w:marRight w:val="0"/>
      <w:marTop w:val="0"/>
      <w:marBottom w:val="0"/>
      <w:divBdr>
        <w:top w:val="none" w:sz="0" w:space="0" w:color="auto"/>
        <w:left w:val="none" w:sz="0" w:space="0" w:color="auto"/>
        <w:bottom w:val="none" w:sz="0" w:space="0" w:color="auto"/>
        <w:right w:val="none" w:sz="0" w:space="0" w:color="auto"/>
      </w:divBdr>
    </w:div>
    <w:div w:id="876968790">
      <w:bodyDiv w:val="1"/>
      <w:marLeft w:val="0"/>
      <w:marRight w:val="0"/>
      <w:marTop w:val="0"/>
      <w:marBottom w:val="0"/>
      <w:divBdr>
        <w:top w:val="none" w:sz="0" w:space="0" w:color="auto"/>
        <w:left w:val="none" w:sz="0" w:space="0" w:color="auto"/>
        <w:bottom w:val="none" w:sz="0" w:space="0" w:color="auto"/>
        <w:right w:val="none" w:sz="0" w:space="0" w:color="auto"/>
      </w:divBdr>
    </w:div>
    <w:div w:id="883443717">
      <w:bodyDiv w:val="1"/>
      <w:marLeft w:val="0"/>
      <w:marRight w:val="0"/>
      <w:marTop w:val="0"/>
      <w:marBottom w:val="0"/>
      <w:divBdr>
        <w:top w:val="none" w:sz="0" w:space="0" w:color="auto"/>
        <w:left w:val="none" w:sz="0" w:space="0" w:color="auto"/>
        <w:bottom w:val="none" w:sz="0" w:space="0" w:color="auto"/>
        <w:right w:val="none" w:sz="0" w:space="0" w:color="auto"/>
      </w:divBdr>
    </w:div>
    <w:div w:id="890071674">
      <w:bodyDiv w:val="1"/>
      <w:marLeft w:val="0"/>
      <w:marRight w:val="0"/>
      <w:marTop w:val="0"/>
      <w:marBottom w:val="0"/>
      <w:divBdr>
        <w:top w:val="none" w:sz="0" w:space="0" w:color="auto"/>
        <w:left w:val="none" w:sz="0" w:space="0" w:color="auto"/>
        <w:bottom w:val="none" w:sz="0" w:space="0" w:color="auto"/>
        <w:right w:val="none" w:sz="0" w:space="0" w:color="auto"/>
      </w:divBdr>
    </w:div>
    <w:div w:id="890262936">
      <w:bodyDiv w:val="1"/>
      <w:marLeft w:val="0"/>
      <w:marRight w:val="0"/>
      <w:marTop w:val="0"/>
      <w:marBottom w:val="0"/>
      <w:divBdr>
        <w:top w:val="none" w:sz="0" w:space="0" w:color="auto"/>
        <w:left w:val="none" w:sz="0" w:space="0" w:color="auto"/>
        <w:bottom w:val="none" w:sz="0" w:space="0" w:color="auto"/>
        <w:right w:val="none" w:sz="0" w:space="0" w:color="auto"/>
      </w:divBdr>
    </w:div>
    <w:div w:id="893084380">
      <w:bodyDiv w:val="1"/>
      <w:marLeft w:val="0"/>
      <w:marRight w:val="0"/>
      <w:marTop w:val="0"/>
      <w:marBottom w:val="0"/>
      <w:divBdr>
        <w:top w:val="none" w:sz="0" w:space="0" w:color="auto"/>
        <w:left w:val="none" w:sz="0" w:space="0" w:color="auto"/>
        <w:bottom w:val="none" w:sz="0" w:space="0" w:color="auto"/>
        <w:right w:val="none" w:sz="0" w:space="0" w:color="auto"/>
      </w:divBdr>
    </w:div>
    <w:div w:id="894240462">
      <w:bodyDiv w:val="1"/>
      <w:marLeft w:val="0"/>
      <w:marRight w:val="0"/>
      <w:marTop w:val="0"/>
      <w:marBottom w:val="0"/>
      <w:divBdr>
        <w:top w:val="none" w:sz="0" w:space="0" w:color="auto"/>
        <w:left w:val="none" w:sz="0" w:space="0" w:color="auto"/>
        <w:bottom w:val="none" w:sz="0" w:space="0" w:color="auto"/>
        <w:right w:val="none" w:sz="0" w:space="0" w:color="auto"/>
      </w:divBdr>
    </w:div>
    <w:div w:id="899949628">
      <w:bodyDiv w:val="1"/>
      <w:marLeft w:val="0"/>
      <w:marRight w:val="0"/>
      <w:marTop w:val="0"/>
      <w:marBottom w:val="0"/>
      <w:divBdr>
        <w:top w:val="none" w:sz="0" w:space="0" w:color="auto"/>
        <w:left w:val="none" w:sz="0" w:space="0" w:color="auto"/>
        <w:bottom w:val="none" w:sz="0" w:space="0" w:color="auto"/>
        <w:right w:val="none" w:sz="0" w:space="0" w:color="auto"/>
      </w:divBdr>
    </w:div>
    <w:div w:id="911696534">
      <w:bodyDiv w:val="1"/>
      <w:marLeft w:val="0"/>
      <w:marRight w:val="0"/>
      <w:marTop w:val="0"/>
      <w:marBottom w:val="0"/>
      <w:divBdr>
        <w:top w:val="none" w:sz="0" w:space="0" w:color="auto"/>
        <w:left w:val="none" w:sz="0" w:space="0" w:color="auto"/>
        <w:bottom w:val="none" w:sz="0" w:space="0" w:color="auto"/>
        <w:right w:val="none" w:sz="0" w:space="0" w:color="auto"/>
      </w:divBdr>
    </w:div>
    <w:div w:id="911818052">
      <w:bodyDiv w:val="1"/>
      <w:marLeft w:val="0"/>
      <w:marRight w:val="0"/>
      <w:marTop w:val="0"/>
      <w:marBottom w:val="0"/>
      <w:divBdr>
        <w:top w:val="none" w:sz="0" w:space="0" w:color="auto"/>
        <w:left w:val="none" w:sz="0" w:space="0" w:color="auto"/>
        <w:bottom w:val="none" w:sz="0" w:space="0" w:color="auto"/>
        <w:right w:val="none" w:sz="0" w:space="0" w:color="auto"/>
      </w:divBdr>
    </w:div>
    <w:div w:id="911891908">
      <w:bodyDiv w:val="1"/>
      <w:marLeft w:val="0"/>
      <w:marRight w:val="0"/>
      <w:marTop w:val="0"/>
      <w:marBottom w:val="0"/>
      <w:divBdr>
        <w:top w:val="none" w:sz="0" w:space="0" w:color="auto"/>
        <w:left w:val="none" w:sz="0" w:space="0" w:color="auto"/>
        <w:bottom w:val="none" w:sz="0" w:space="0" w:color="auto"/>
        <w:right w:val="none" w:sz="0" w:space="0" w:color="auto"/>
      </w:divBdr>
    </w:div>
    <w:div w:id="915092445">
      <w:bodyDiv w:val="1"/>
      <w:marLeft w:val="0"/>
      <w:marRight w:val="0"/>
      <w:marTop w:val="0"/>
      <w:marBottom w:val="0"/>
      <w:divBdr>
        <w:top w:val="none" w:sz="0" w:space="0" w:color="auto"/>
        <w:left w:val="none" w:sz="0" w:space="0" w:color="auto"/>
        <w:bottom w:val="none" w:sz="0" w:space="0" w:color="auto"/>
        <w:right w:val="none" w:sz="0" w:space="0" w:color="auto"/>
      </w:divBdr>
    </w:div>
    <w:div w:id="919293400">
      <w:bodyDiv w:val="1"/>
      <w:marLeft w:val="0"/>
      <w:marRight w:val="0"/>
      <w:marTop w:val="0"/>
      <w:marBottom w:val="0"/>
      <w:divBdr>
        <w:top w:val="none" w:sz="0" w:space="0" w:color="auto"/>
        <w:left w:val="none" w:sz="0" w:space="0" w:color="auto"/>
        <w:bottom w:val="none" w:sz="0" w:space="0" w:color="auto"/>
        <w:right w:val="none" w:sz="0" w:space="0" w:color="auto"/>
      </w:divBdr>
    </w:div>
    <w:div w:id="921328494">
      <w:bodyDiv w:val="1"/>
      <w:marLeft w:val="0"/>
      <w:marRight w:val="0"/>
      <w:marTop w:val="0"/>
      <w:marBottom w:val="0"/>
      <w:divBdr>
        <w:top w:val="none" w:sz="0" w:space="0" w:color="auto"/>
        <w:left w:val="none" w:sz="0" w:space="0" w:color="auto"/>
        <w:bottom w:val="none" w:sz="0" w:space="0" w:color="auto"/>
        <w:right w:val="none" w:sz="0" w:space="0" w:color="auto"/>
      </w:divBdr>
    </w:div>
    <w:div w:id="924269142">
      <w:bodyDiv w:val="1"/>
      <w:marLeft w:val="0"/>
      <w:marRight w:val="0"/>
      <w:marTop w:val="0"/>
      <w:marBottom w:val="0"/>
      <w:divBdr>
        <w:top w:val="none" w:sz="0" w:space="0" w:color="auto"/>
        <w:left w:val="none" w:sz="0" w:space="0" w:color="auto"/>
        <w:bottom w:val="none" w:sz="0" w:space="0" w:color="auto"/>
        <w:right w:val="none" w:sz="0" w:space="0" w:color="auto"/>
      </w:divBdr>
    </w:div>
    <w:div w:id="927809535">
      <w:bodyDiv w:val="1"/>
      <w:marLeft w:val="0"/>
      <w:marRight w:val="0"/>
      <w:marTop w:val="0"/>
      <w:marBottom w:val="0"/>
      <w:divBdr>
        <w:top w:val="none" w:sz="0" w:space="0" w:color="auto"/>
        <w:left w:val="none" w:sz="0" w:space="0" w:color="auto"/>
        <w:bottom w:val="none" w:sz="0" w:space="0" w:color="auto"/>
        <w:right w:val="none" w:sz="0" w:space="0" w:color="auto"/>
      </w:divBdr>
    </w:div>
    <w:div w:id="930041728">
      <w:bodyDiv w:val="1"/>
      <w:marLeft w:val="0"/>
      <w:marRight w:val="0"/>
      <w:marTop w:val="0"/>
      <w:marBottom w:val="0"/>
      <w:divBdr>
        <w:top w:val="none" w:sz="0" w:space="0" w:color="auto"/>
        <w:left w:val="none" w:sz="0" w:space="0" w:color="auto"/>
        <w:bottom w:val="none" w:sz="0" w:space="0" w:color="auto"/>
        <w:right w:val="none" w:sz="0" w:space="0" w:color="auto"/>
      </w:divBdr>
    </w:div>
    <w:div w:id="934442635">
      <w:bodyDiv w:val="1"/>
      <w:marLeft w:val="0"/>
      <w:marRight w:val="0"/>
      <w:marTop w:val="0"/>
      <w:marBottom w:val="0"/>
      <w:divBdr>
        <w:top w:val="none" w:sz="0" w:space="0" w:color="auto"/>
        <w:left w:val="none" w:sz="0" w:space="0" w:color="auto"/>
        <w:bottom w:val="none" w:sz="0" w:space="0" w:color="auto"/>
        <w:right w:val="none" w:sz="0" w:space="0" w:color="auto"/>
      </w:divBdr>
    </w:div>
    <w:div w:id="934752175">
      <w:bodyDiv w:val="1"/>
      <w:marLeft w:val="0"/>
      <w:marRight w:val="0"/>
      <w:marTop w:val="0"/>
      <w:marBottom w:val="0"/>
      <w:divBdr>
        <w:top w:val="none" w:sz="0" w:space="0" w:color="auto"/>
        <w:left w:val="none" w:sz="0" w:space="0" w:color="auto"/>
        <w:bottom w:val="none" w:sz="0" w:space="0" w:color="auto"/>
        <w:right w:val="none" w:sz="0" w:space="0" w:color="auto"/>
      </w:divBdr>
    </w:div>
    <w:div w:id="940989516">
      <w:bodyDiv w:val="1"/>
      <w:marLeft w:val="0"/>
      <w:marRight w:val="0"/>
      <w:marTop w:val="0"/>
      <w:marBottom w:val="0"/>
      <w:divBdr>
        <w:top w:val="none" w:sz="0" w:space="0" w:color="auto"/>
        <w:left w:val="none" w:sz="0" w:space="0" w:color="auto"/>
        <w:bottom w:val="none" w:sz="0" w:space="0" w:color="auto"/>
        <w:right w:val="none" w:sz="0" w:space="0" w:color="auto"/>
      </w:divBdr>
    </w:div>
    <w:div w:id="947734220">
      <w:bodyDiv w:val="1"/>
      <w:marLeft w:val="0"/>
      <w:marRight w:val="0"/>
      <w:marTop w:val="0"/>
      <w:marBottom w:val="0"/>
      <w:divBdr>
        <w:top w:val="none" w:sz="0" w:space="0" w:color="auto"/>
        <w:left w:val="none" w:sz="0" w:space="0" w:color="auto"/>
        <w:bottom w:val="none" w:sz="0" w:space="0" w:color="auto"/>
        <w:right w:val="none" w:sz="0" w:space="0" w:color="auto"/>
      </w:divBdr>
    </w:div>
    <w:div w:id="956833926">
      <w:bodyDiv w:val="1"/>
      <w:marLeft w:val="0"/>
      <w:marRight w:val="0"/>
      <w:marTop w:val="0"/>
      <w:marBottom w:val="0"/>
      <w:divBdr>
        <w:top w:val="none" w:sz="0" w:space="0" w:color="auto"/>
        <w:left w:val="none" w:sz="0" w:space="0" w:color="auto"/>
        <w:bottom w:val="none" w:sz="0" w:space="0" w:color="auto"/>
        <w:right w:val="none" w:sz="0" w:space="0" w:color="auto"/>
      </w:divBdr>
    </w:div>
    <w:div w:id="965545393">
      <w:bodyDiv w:val="1"/>
      <w:marLeft w:val="0"/>
      <w:marRight w:val="0"/>
      <w:marTop w:val="0"/>
      <w:marBottom w:val="0"/>
      <w:divBdr>
        <w:top w:val="none" w:sz="0" w:space="0" w:color="auto"/>
        <w:left w:val="none" w:sz="0" w:space="0" w:color="auto"/>
        <w:bottom w:val="none" w:sz="0" w:space="0" w:color="auto"/>
        <w:right w:val="none" w:sz="0" w:space="0" w:color="auto"/>
      </w:divBdr>
    </w:div>
    <w:div w:id="967511954">
      <w:bodyDiv w:val="1"/>
      <w:marLeft w:val="0"/>
      <w:marRight w:val="0"/>
      <w:marTop w:val="0"/>
      <w:marBottom w:val="0"/>
      <w:divBdr>
        <w:top w:val="none" w:sz="0" w:space="0" w:color="auto"/>
        <w:left w:val="none" w:sz="0" w:space="0" w:color="auto"/>
        <w:bottom w:val="none" w:sz="0" w:space="0" w:color="auto"/>
        <w:right w:val="none" w:sz="0" w:space="0" w:color="auto"/>
      </w:divBdr>
    </w:div>
    <w:div w:id="967587220">
      <w:bodyDiv w:val="1"/>
      <w:marLeft w:val="0"/>
      <w:marRight w:val="0"/>
      <w:marTop w:val="0"/>
      <w:marBottom w:val="0"/>
      <w:divBdr>
        <w:top w:val="none" w:sz="0" w:space="0" w:color="auto"/>
        <w:left w:val="none" w:sz="0" w:space="0" w:color="auto"/>
        <w:bottom w:val="none" w:sz="0" w:space="0" w:color="auto"/>
        <w:right w:val="none" w:sz="0" w:space="0" w:color="auto"/>
      </w:divBdr>
    </w:div>
    <w:div w:id="970475871">
      <w:bodyDiv w:val="1"/>
      <w:marLeft w:val="0"/>
      <w:marRight w:val="0"/>
      <w:marTop w:val="0"/>
      <w:marBottom w:val="0"/>
      <w:divBdr>
        <w:top w:val="none" w:sz="0" w:space="0" w:color="auto"/>
        <w:left w:val="none" w:sz="0" w:space="0" w:color="auto"/>
        <w:bottom w:val="none" w:sz="0" w:space="0" w:color="auto"/>
        <w:right w:val="none" w:sz="0" w:space="0" w:color="auto"/>
      </w:divBdr>
    </w:div>
    <w:div w:id="971136076">
      <w:bodyDiv w:val="1"/>
      <w:marLeft w:val="0"/>
      <w:marRight w:val="0"/>
      <w:marTop w:val="0"/>
      <w:marBottom w:val="0"/>
      <w:divBdr>
        <w:top w:val="none" w:sz="0" w:space="0" w:color="auto"/>
        <w:left w:val="none" w:sz="0" w:space="0" w:color="auto"/>
        <w:bottom w:val="none" w:sz="0" w:space="0" w:color="auto"/>
        <w:right w:val="none" w:sz="0" w:space="0" w:color="auto"/>
      </w:divBdr>
    </w:div>
    <w:div w:id="972321919">
      <w:bodyDiv w:val="1"/>
      <w:marLeft w:val="0"/>
      <w:marRight w:val="0"/>
      <w:marTop w:val="0"/>
      <w:marBottom w:val="0"/>
      <w:divBdr>
        <w:top w:val="none" w:sz="0" w:space="0" w:color="auto"/>
        <w:left w:val="none" w:sz="0" w:space="0" w:color="auto"/>
        <w:bottom w:val="none" w:sz="0" w:space="0" w:color="auto"/>
        <w:right w:val="none" w:sz="0" w:space="0" w:color="auto"/>
      </w:divBdr>
    </w:div>
    <w:div w:id="973872489">
      <w:bodyDiv w:val="1"/>
      <w:marLeft w:val="0"/>
      <w:marRight w:val="0"/>
      <w:marTop w:val="0"/>
      <w:marBottom w:val="0"/>
      <w:divBdr>
        <w:top w:val="none" w:sz="0" w:space="0" w:color="auto"/>
        <w:left w:val="none" w:sz="0" w:space="0" w:color="auto"/>
        <w:bottom w:val="none" w:sz="0" w:space="0" w:color="auto"/>
        <w:right w:val="none" w:sz="0" w:space="0" w:color="auto"/>
      </w:divBdr>
    </w:div>
    <w:div w:id="977108483">
      <w:bodyDiv w:val="1"/>
      <w:marLeft w:val="0"/>
      <w:marRight w:val="0"/>
      <w:marTop w:val="0"/>
      <w:marBottom w:val="0"/>
      <w:divBdr>
        <w:top w:val="none" w:sz="0" w:space="0" w:color="auto"/>
        <w:left w:val="none" w:sz="0" w:space="0" w:color="auto"/>
        <w:bottom w:val="none" w:sz="0" w:space="0" w:color="auto"/>
        <w:right w:val="none" w:sz="0" w:space="0" w:color="auto"/>
      </w:divBdr>
    </w:div>
    <w:div w:id="978877074">
      <w:bodyDiv w:val="1"/>
      <w:marLeft w:val="0"/>
      <w:marRight w:val="0"/>
      <w:marTop w:val="0"/>
      <w:marBottom w:val="0"/>
      <w:divBdr>
        <w:top w:val="none" w:sz="0" w:space="0" w:color="auto"/>
        <w:left w:val="none" w:sz="0" w:space="0" w:color="auto"/>
        <w:bottom w:val="none" w:sz="0" w:space="0" w:color="auto"/>
        <w:right w:val="none" w:sz="0" w:space="0" w:color="auto"/>
      </w:divBdr>
    </w:div>
    <w:div w:id="981808930">
      <w:bodyDiv w:val="1"/>
      <w:marLeft w:val="0"/>
      <w:marRight w:val="0"/>
      <w:marTop w:val="0"/>
      <w:marBottom w:val="0"/>
      <w:divBdr>
        <w:top w:val="none" w:sz="0" w:space="0" w:color="auto"/>
        <w:left w:val="none" w:sz="0" w:space="0" w:color="auto"/>
        <w:bottom w:val="none" w:sz="0" w:space="0" w:color="auto"/>
        <w:right w:val="none" w:sz="0" w:space="0" w:color="auto"/>
      </w:divBdr>
    </w:div>
    <w:div w:id="988481035">
      <w:bodyDiv w:val="1"/>
      <w:marLeft w:val="0"/>
      <w:marRight w:val="0"/>
      <w:marTop w:val="0"/>
      <w:marBottom w:val="0"/>
      <w:divBdr>
        <w:top w:val="none" w:sz="0" w:space="0" w:color="auto"/>
        <w:left w:val="none" w:sz="0" w:space="0" w:color="auto"/>
        <w:bottom w:val="none" w:sz="0" w:space="0" w:color="auto"/>
        <w:right w:val="none" w:sz="0" w:space="0" w:color="auto"/>
      </w:divBdr>
    </w:div>
    <w:div w:id="989479760">
      <w:bodyDiv w:val="1"/>
      <w:marLeft w:val="0"/>
      <w:marRight w:val="0"/>
      <w:marTop w:val="0"/>
      <w:marBottom w:val="0"/>
      <w:divBdr>
        <w:top w:val="none" w:sz="0" w:space="0" w:color="auto"/>
        <w:left w:val="none" w:sz="0" w:space="0" w:color="auto"/>
        <w:bottom w:val="none" w:sz="0" w:space="0" w:color="auto"/>
        <w:right w:val="none" w:sz="0" w:space="0" w:color="auto"/>
      </w:divBdr>
    </w:div>
    <w:div w:id="989598985">
      <w:bodyDiv w:val="1"/>
      <w:marLeft w:val="0"/>
      <w:marRight w:val="0"/>
      <w:marTop w:val="0"/>
      <w:marBottom w:val="0"/>
      <w:divBdr>
        <w:top w:val="none" w:sz="0" w:space="0" w:color="auto"/>
        <w:left w:val="none" w:sz="0" w:space="0" w:color="auto"/>
        <w:bottom w:val="none" w:sz="0" w:space="0" w:color="auto"/>
        <w:right w:val="none" w:sz="0" w:space="0" w:color="auto"/>
      </w:divBdr>
    </w:div>
    <w:div w:id="1000618274">
      <w:bodyDiv w:val="1"/>
      <w:marLeft w:val="0"/>
      <w:marRight w:val="0"/>
      <w:marTop w:val="0"/>
      <w:marBottom w:val="0"/>
      <w:divBdr>
        <w:top w:val="none" w:sz="0" w:space="0" w:color="auto"/>
        <w:left w:val="none" w:sz="0" w:space="0" w:color="auto"/>
        <w:bottom w:val="none" w:sz="0" w:space="0" w:color="auto"/>
        <w:right w:val="none" w:sz="0" w:space="0" w:color="auto"/>
      </w:divBdr>
    </w:div>
    <w:div w:id="1003823057">
      <w:bodyDiv w:val="1"/>
      <w:marLeft w:val="0"/>
      <w:marRight w:val="0"/>
      <w:marTop w:val="0"/>
      <w:marBottom w:val="0"/>
      <w:divBdr>
        <w:top w:val="none" w:sz="0" w:space="0" w:color="auto"/>
        <w:left w:val="none" w:sz="0" w:space="0" w:color="auto"/>
        <w:bottom w:val="none" w:sz="0" w:space="0" w:color="auto"/>
        <w:right w:val="none" w:sz="0" w:space="0" w:color="auto"/>
      </w:divBdr>
    </w:div>
    <w:div w:id="1009987827">
      <w:bodyDiv w:val="1"/>
      <w:marLeft w:val="0"/>
      <w:marRight w:val="0"/>
      <w:marTop w:val="0"/>
      <w:marBottom w:val="0"/>
      <w:divBdr>
        <w:top w:val="none" w:sz="0" w:space="0" w:color="auto"/>
        <w:left w:val="none" w:sz="0" w:space="0" w:color="auto"/>
        <w:bottom w:val="none" w:sz="0" w:space="0" w:color="auto"/>
        <w:right w:val="none" w:sz="0" w:space="0" w:color="auto"/>
      </w:divBdr>
    </w:div>
    <w:div w:id="1013534393">
      <w:bodyDiv w:val="1"/>
      <w:marLeft w:val="0"/>
      <w:marRight w:val="0"/>
      <w:marTop w:val="0"/>
      <w:marBottom w:val="0"/>
      <w:divBdr>
        <w:top w:val="none" w:sz="0" w:space="0" w:color="auto"/>
        <w:left w:val="none" w:sz="0" w:space="0" w:color="auto"/>
        <w:bottom w:val="none" w:sz="0" w:space="0" w:color="auto"/>
        <w:right w:val="none" w:sz="0" w:space="0" w:color="auto"/>
      </w:divBdr>
    </w:div>
    <w:div w:id="1032534522">
      <w:bodyDiv w:val="1"/>
      <w:marLeft w:val="0"/>
      <w:marRight w:val="0"/>
      <w:marTop w:val="0"/>
      <w:marBottom w:val="0"/>
      <w:divBdr>
        <w:top w:val="none" w:sz="0" w:space="0" w:color="auto"/>
        <w:left w:val="none" w:sz="0" w:space="0" w:color="auto"/>
        <w:bottom w:val="none" w:sz="0" w:space="0" w:color="auto"/>
        <w:right w:val="none" w:sz="0" w:space="0" w:color="auto"/>
      </w:divBdr>
    </w:div>
    <w:div w:id="1034039072">
      <w:bodyDiv w:val="1"/>
      <w:marLeft w:val="0"/>
      <w:marRight w:val="0"/>
      <w:marTop w:val="0"/>
      <w:marBottom w:val="0"/>
      <w:divBdr>
        <w:top w:val="none" w:sz="0" w:space="0" w:color="auto"/>
        <w:left w:val="none" w:sz="0" w:space="0" w:color="auto"/>
        <w:bottom w:val="none" w:sz="0" w:space="0" w:color="auto"/>
        <w:right w:val="none" w:sz="0" w:space="0" w:color="auto"/>
      </w:divBdr>
    </w:div>
    <w:div w:id="1034232815">
      <w:bodyDiv w:val="1"/>
      <w:marLeft w:val="0"/>
      <w:marRight w:val="0"/>
      <w:marTop w:val="0"/>
      <w:marBottom w:val="0"/>
      <w:divBdr>
        <w:top w:val="none" w:sz="0" w:space="0" w:color="auto"/>
        <w:left w:val="none" w:sz="0" w:space="0" w:color="auto"/>
        <w:bottom w:val="none" w:sz="0" w:space="0" w:color="auto"/>
        <w:right w:val="none" w:sz="0" w:space="0" w:color="auto"/>
      </w:divBdr>
    </w:div>
    <w:div w:id="1034621875">
      <w:bodyDiv w:val="1"/>
      <w:marLeft w:val="0"/>
      <w:marRight w:val="0"/>
      <w:marTop w:val="0"/>
      <w:marBottom w:val="0"/>
      <w:divBdr>
        <w:top w:val="none" w:sz="0" w:space="0" w:color="auto"/>
        <w:left w:val="none" w:sz="0" w:space="0" w:color="auto"/>
        <w:bottom w:val="none" w:sz="0" w:space="0" w:color="auto"/>
        <w:right w:val="none" w:sz="0" w:space="0" w:color="auto"/>
      </w:divBdr>
    </w:div>
    <w:div w:id="1034765999">
      <w:bodyDiv w:val="1"/>
      <w:marLeft w:val="0"/>
      <w:marRight w:val="0"/>
      <w:marTop w:val="0"/>
      <w:marBottom w:val="0"/>
      <w:divBdr>
        <w:top w:val="none" w:sz="0" w:space="0" w:color="auto"/>
        <w:left w:val="none" w:sz="0" w:space="0" w:color="auto"/>
        <w:bottom w:val="none" w:sz="0" w:space="0" w:color="auto"/>
        <w:right w:val="none" w:sz="0" w:space="0" w:color="auto"/>
      </w:divBdr>
    </w:div>
    <w:div w:id="1035234550">
      <w:bodyDiv w:val="1"/>
      <w:marLeft w:val="0"/>
      <w:marRight w:val="0"/>
      <w:marTop w:val="0"/>
      <w:marBottom w:val="0"/>
      <w:divBdr>
        <w:top w:val="none" w:sz="0" w:space="0" w:color="auto"/>
        <w:left w:val="none" w:sz="0" w:space="0" w:color="auto"/>
        <w:bottom w:val="none" w:sz="0" w:space="0" w:color="auto"/>
        <w:right w:val="none" w:sz="0" w:space="0" w:color="auto"/>
      </w:divBdr>
    </w:div>
    <w:div w:id="1035883974">
      <w:bodyDiv w:val="1"/>
      <w:marLeft w:val="0"/>
      <w:marRight w:val="0"/>
      <w:marTop w:val="0"/>
      <w:marBottom w:val="0"/>
      <w:divBdr>
        <w:top w:val="none" w:sz="0" w:space="0" w:color="auto"/>
        <w:left w:val="none" w:sz="0" w:space="0" w:color="auto"/>
        <w:bottom w:val="none" w:sz="0" w:space="0" w:color="auto"/>
        <w:right w:val="none" w:sz="0" w:space="0" w:color="auto"/>
      </w:divBdr>
    </w:div>
    <w:div w:id="1036538353">
      <w:bodyDiv w:val="1"/>
      <w:marLeft w:val="0"/>
      <w:marRight w:val="0"/>
      <w:marTop w:val="0"/>
      <w:marBottom w:val="0"/>
      <w:divBdr>
        <w:top w:val="none" w:sz="0" w:space="0" w:color="auto"/>
        <w:left w:val="none" w:sz="0" w:space="0" w:color="auto"/>
        <w:bottom w:val="none" w:sz="0" w:space="0" w:color="auto"/>
        <w:right w:val="none" w:sz="0" w:space="0" w:color="auto"/>
      </w:divBdr>
    </w:div>
    <w:div w:id="1041397057">
      <w:bodyDiv w:val="1"/>
      <w:marLeft w:val="0"/>
      <w:marRight w:val="0"/>
      <w:marTop w:val="0"/>
      <w:marBottom w:val="0"/>
      <w:divBdr>
        <w:top w:val="none" w:sz="0" w:space="0" w:color="auto"/>
        <w:left w:val="none" w:sz="0" w:space="0" w:color="auto"/>
        <w:bottom w:val="none" w:sz="0" w:space="0" w:color="auto"/>
        <w:right w:val="none" w:sz="0" w:space="0" w:color="auto"/>
      </w:divBdr>
    </w:div>
    <w:div w:id="1043871578">
      <w:bodyDiv w:val="1"/>
      <w:marLeft w:val="0"/>
      <w:marRight w:val="0"/>
      <w:marTop w:val="0"/>
      <w:marBottom w:val="0"/>
      <w:divBdr>
        <w:top w:val="none" w:sz="0" w:space="0" w:color="auto"/>
        <w:left w:val="none" w:sz="0" w:space="0" w:color="auto"/>
        <w:bottom w:val="none" w:sz="0" w:space="0" w:color="auto"/>
        <w:right w:val="none" w:sz="0" w:space="0" w:color="auto"/>
      </w:divBdr>
    </w:div>
    <w:div w:id="1045249670">
      <w:bodyDiv w:val="1"/>
      <w:marLeft w:val="0"/>
      <w:marRight w:val="0"/>
      <w:marTop w:val="0"/>
      <w:marBottom w:val="0"/>
      <w:divBdr>
        <w:top w:val="none" w:sz="0" w:space="0" w:color="auto"/>
        <w:left w:val="none" w:sz="0" w:space="0" w:color="auto"/>
        <w:bottom w:val="none" w:sz="0" w:space="0" w:color="auto"/>
        <w:right w:val="none" w:sz="0" w:space="0" w:color="auto"/>
      </w:divBdr>
    </w:div>
    <w:div w:id="1045564841">
      <w:bodyDiv w:val="1"/>
      <w:marLeft w:val="0"/>
      <w:marRight w:val="0"/>
      <w:marTop w:val="0"/>
      <w:marBottom w:val="0"/>
      <w:divBdr>
        <w:top w:val="none" w:sz="0" w:space="0" w:color="auto"/>
        <w:left w:val="none" w:sz="0" w:space="0" w:color="auto"/>
        <w:bottom w:val="none" w:sz="0" w:space="0" w:color="auto"/>
        <w:right w:val="none" w:sz="0" w:space="0" w:color="auto"/>
      </w:divBdr>
    </w:div>
    <w:div w:id="1050224962">
      <w:bodyDiv w:val="1"/>
      <w:marLeft w:val="0"/>
      <w:marRight w:val="0"/>
      <w:marTop w:val="0"/>
      <w:marBottom w:val="0"/>
      <w:divBdr>
        <w:top w:val="none" w:sz="0" w:space="0" w:color="auto"/>
        <w:left w:val="none" w:sz="0" w:space="0" w:color="auto"/>
        <w:bottom w:val="none" w:sz="0" w:space="0" w:color="auto"/>
        <w:right w:val="none" w:sz="0" w:space="0" w:color="auto"/>
      </w:divBdr>
    </w:div>
    <w:div w:id="1053385643">
      <w:bodyDiv w:val="1"/>
      <w:marLeft w:val="0"/>
      <w:marRight w:val="0"/>
      <w:marTop w:val="0"/>
      <w:marBottom w:val="0"/>
      <w:divBdr>
        <w:top w:val="none" w:sz="0" w:space="0" w:color="auto"/>
        <w:left w:val="none" w:sz="0" w:space="0" w:color="auto"/>
        <w:bottom w:val="none" w:sz="0" w:space="0" w:color="auto"/>
        <w:right w:val="none" w:sz="0" w:space="0" w:color="auto"/>
      </w:divBdr>
    </w:div>
    <w:div w:id="1055661021">
      <w:bodyDiv w:val="1"/>
      <w:marLeft w:val="0"/>
      <w:marRight w:val="0"/>
      <w:marTop w:val="0"/>
      <w:marBottom w:val="0"/>
      <w:divBdr>
        <w:top w:val="none" w:sz="0" w:space="0" w:color="auto"/>
        <w:left w:val="none" w:sz="0" w:space="0" w:color="auto"/>
        <w:bottom w:val="none" w:sz="0" w:space="0" w:color="auto"/>
        <w:right w:val="none" w:sz="0" w:space="0" w:color="auto"/>
      </w:divBdr>
    </w:div>
    <w:div w:id="1071077951">
      <w:bodyDiv w:val="1"/>
      <w:marLeft w:val="0"/>
      <w:marRight w:val="0"/>
      <w:marTop w:val="0"/>
      <w:marBottom w:val="0"/>
      <w:divBdr>
        <w:top w:val="none" w:sz="0" w:space="0" w:color="auto"/>
        <w:left w:val="none" w:sz="0" w:space="0" w:color="auto"/>
        <w:bottom w:val="none" w:sz="0" w:space="0" w:color="auto"/>
        <w:right w:val="none" w:sz="0" w:space="0" w:color="auto"/>
      </w:divBdr>
    </w:div>
    <w:div w:id="1073087785">
      <w:bodyDiv w:val="1"/>
      <w:marLeft w:val="0"/>
      <w:marRight w:val="0"/>
      <w:marTop w:val="0"/>
      <w:marBottom w:val="0"/>
      <w:divBdr>
        <w:top w:val="none" w:sz="0" w:space="0" w:color="auto"/>
        <w:left w:val="none" w:sz="0" w:space="0" w:color="auto"/>
        <w:bottom w:val="none" w:sz="0" w:space="0" w:color="auto"/>
        <w:right w:val="none" w:sz="0" w:space="0" w:color="auto"/>
      </w:divBdr>
      <w:divsChild>
        <w:div w:id="2324449">
          <w:marLeft w:val="0"/>
          <w:marRight w:val="0"/>
          <w:marTop w:val="0"/>
          <w:marBottom w:val="0"/>
          <w:divBdr>
            <w:top w:val="none" w:sz="0" w:space="0" w:color="auto"/>
            <w:left w:val="none" w:sz="0" w:space="0" w:color="auto"/>
            <w:bottom w:val="none" w:sz="0" w:space="0" w:color="auto"/>
            <w:right w:val="none" w:sz="0" w:space="0" w:color="auto"/>
          </w:divBdr>
        </w:div>
        <w:div w:id="269242245">
          <w:marLeft w:val="0"/>
          <w:marRight w:val="0"/>
          <w:marTop w:val="0"/>
          <w:marBottom w:val="0"/>
          <w:divBdr>
            <w:top w:val="none" w:sz="0" w:space="0" w:color="auto"/>
            <w:left w:val="none" w:sz="0" w:space="0" w:color="auto"/>
            <w:bottom w:val="none" w:sz="0" w:space="0" w:color="auto"/>
            <w:right w:val="none" w:sz="0" w:space="0" w:color="auto"/>
          </w:divBdr>
        </w:div>
        <w:div w:id="354039849">
          <w:marLeft w:val="0"/>
          <w:marRight w:val="0"/>
          <w:marTop w:val="0"/>
          <w:marBottom w:val="0"/>
          <w:divBdr>
            <w:top w:val="none" w:sz="0" w:space="0" w:color="auto"/>
            <w:left w:val="none" w:sz="0" w:space="0" w:color="auto"/>
            <w:bottom w:val="none" w:sz="0" w:space="0" w:color="auto"/>
            <w:right w:val="none" w:sz="0" w:space="0" w:color="auto"/>
          </w:divBdr>
        </w:div>
        <w:div w:id="524635944">
          <w:marLeft w:val="0"/>
          <w:marRight w:val="0"/>
          <w:marTop w:val="0"/>
          <w:marBottom w:val="0"/>
          <w:divBdr>
            <w:top w:val="none" w:sz="0" w:space="0" w:color="auto"/>
            <w:left w:val="none" w:sz="0" w:space="0" w:color="auto"/>
            <w:bottom w:val="none" w:sz="0" w:space="0" w:color="auto"/>
            <w:right w:val="none" w:sz="0" w:space="0" w:color="auto"/>
          </w:divBdr>
        </w:div>
        <w:div w:id="571157423">
          <w:marLeft w:val="0"/>
          <w:marRight w:val="0"/>
          <w:marTop w:val="0"/>
          <w:marBottom w:val="0"/>
          <w:divBdr>
            <w:top w:val="none" w:sz="0" w:space="0" w:color="auto"/>
            <w:left w:val="none" w:sz="0" w:space="0" w:color="auto"/>
            <w:bottom w:val="none" w:sz="0" w:space="0" w:color="auto"/>
            <w:right w:val="none" w:sz="0" w:space="0" w:color="auto"/>
          </w:divBdr>
        </w:div>
        <w:div w:id="573203840">
          <w:marLeft w:val="0"/>
          <w:marRight w:val="0"/>
          <w:marTop w:val="0"/>
          <w:marBottom w:val="0"/>
          <w:divBdr>
            <w:top w:val="none" w:sz="0" w:space="0" w:color="auto"/>
            <w:left w:val="none" w:sz="0" w:space="0" w:color="auto"/>
            <w:bottom w:val="none" w:sz="0" w:space="0" w:color="auto"/>
            <w:right w:val="none" w:sz="0" w:space="0" w:color="auto"/>
          </w:divBdr>
        </w:div>
        <w:div w:id="740640633">
          <w:marLeft w:val="0"/>
          <w:marRight w:val="0"/>
          <w:marTop w:val="0"/>
          <w:marBottom w:val="0"/>
          <w:divBdr>
            <w:top w:val="none" w:sz="0" w:space="0" w:color="auto"/>
            <w:left w:val="none" w:sz="0" w:space="0" w:color="auto"/>
            <w:bottom w:val="none" w:sz="0" w:space="0" w:color="auto"/>
            <w:right w:val="none" w:sz="0" w:space="0" w:color="auto"/>
          </w:divBdr>
        </w:div>
        <w:div w:id="768504697">
          <w:marLeft w:val="0"/>
          <w:marRight w:val="0"/>
          <w:marTop w:val="0"/>
          <w:marBottom w:val="0"/>
          <w:divBdr>
            <w:top w:val="none" w:sz="0" w:space="0" w:color="auto"/>
            <w:left w:val="none" w:sz="0" w:space="0" w:color="auto"/>
            <w:bottom w:val="none" w:sz="0" w:space="0" w:color="auto"/>
            <w:right w:val="none" w:sz="0" w:space="0" w:color="auto"/>
          </w:divBdr>
        </w:div>
        <w:div w:id="821584882">
          <w:marLeft w:val="0"/>
          <w:marRight w:val="0"/>
          <w:marTop w:val="0"/>
          <w:marBottom w:val="0"/>
          <w:divBdr>
            <w:top w:val="none" w:sz="0" w:space="0" w:color="auto"/>
            <w:left w:val="none" w:sz="0" w:space="0" w:color="auto"/>
            <w:bottom w:val="none" w:sz="0" w:space="0" w:color="auto"/>
            <w:right w:val="none" w:sz="0" w:space="0" w:color="auto"/>
          </w:divBdr>
          <w:divsChild>
            <w:div w:id="1295257072">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967589250">
          <w:marLeft w:val="0"/>
          <w:marRight w:val="0"/>
          <w:marTop w:val="0"/>
          <w:marBottom w:val="0"/>
          <w:divBdr>
            <w:top w:val="none" w:sz="0" w:space="0" w:color="auto"/>
            <w:left w:val="none" w:sz="0" w:space="0" w:color="auto"/>
            <w:bottom w:val="none" w:sz="0" w:space="0" w:color="auto"/>
            <w:right w:val="none" w:sz="0" w:space="0" w:color="auto"/>
          </w:divBdr>
        </w:div>
        <w:div w:id="1091317923">
          <w:marLeft w:val="0"/>
          <w:marRight w:val="0"/>
          <w:marTop w:val="0"/>
          <w:marBottom w:val="0"/>
          <w:divBdr>
            <w:top w:val="none" w:sz="0" w:space="0" w:color="auto"/>
            <w:left w:val="none" w:sz="0" w:space="0" w:color="auto"/>
            <w:bottom w:val="none" w:sz="0" w:space="0" w:color="auto"/>
            <w:right w:val="none" w:sz="0" w:space="0" w:color="auto"/>
          </w:divBdr>
        </w:div>
        <w:div w:id="1254625536">
          <w:marLeft w:val="0"/>
          <w:marRight w:val="0"/>
          <w:marTop w:val="0"/>
          <w:marBottom w:val="0"/>
          <w:divBdr>
            <w:top w:val="none" w:sz="0" w:space="0" w:color="auto"/>
            <w:left w:val="none" w:sz="0" w:space="0" w:color="auto"/>
            <w:bottom w:val="none" w:sz="0" w:space="0" w:color="auto"/>
            <w:right w:val="none" w:sz="0" w:space="0" w:color="auto"/>
          </w:divBdr>
        </w:div>
        <w:div w:id="1309557306">
          <w:marLeft w:val="0"/>
          <w:marRight w:val="0"/>
          <w:marTop w:val="0"/>
          <w:marBottom w:val="0"/>
          <w:divBdr>
            <w:top w:val="none" w:sz="0" w:space="0" w:color="auto"/>
            <w:left w:val="none" w:sz="0" w:space="0" w:color="auto"/>
            <w:bottom w:val="none" w:sz="0" w:space="0" w:color="auto"/>
            <w:right w:val="none" w:sz="0" w:space="0" w:color="auto"/>
          </w:divBdr>
        </w:div>
        <w:div w:id="1330063134">
          <w:marLeft w:val="0"/>
          <w:marRight w:val="0"/>
          <w:marTop w:val="0"/>
          <w:marBottom w:val="0"/>
          <w:divBdr>
            <w:top w:val="none" w:sz="0" w:space="0" w:color="auto"/>
            <w:left w:val="none" w:sz="0" w:space="0" w:color="auto"/>
            <w:bottom w:val="none" w:sz="0" w:space="0" w:color="auto"/>
            <w:right w:val="none" w:sz="0" w:space="0" w:color="auto"/>
          </w:divBdr>
        </w:div>
        <w:div w:id="1855025246">
          <w:marLeft w:val="0"/>
          <w:marRight w:val="0"/>
          <w:marTop w:val="0"/>
          <w:marBottom w:val="0"/>
          <w:divBdr>
            <w:top w:val="none" w:sz="0" w:space="0" w:color="auto"/>
            <w:left w:val="none" w:sz="0" w:space="0" w:color="auto"/>
            <w:bottom w:val="none" w:sz="0" w:space="0" w:color="auto"/>
            <w:right w:val="none" w:sz="0" w:space="0" w:color="auto"/>
          </w:divBdr>
        </w:div>
        <w:div w:id="2127383847">
          <w:marLeft w:val="0"/>
          <w:marRight w:val="0"/>
          <w:marTop w:val="0"/>
          <w:marBottom w:val="0"/>
          <w:divBdr>
            <w:top w:val="none" w:sz="0" w:space="0" w:color="auto"/>
            <w:left w:val="none" w:sz="0" w:space="0" w:color="auto"/>
            <w:bottom w:val="none" w:sz="0" w:space="0" w:color="auto"/>
            <w:right w:val="none" w:sz="0" w:space="0" w:color="auto"/>
          </w:divBdr>
        </w:div>
      </w:divsChild>
    </w:div>
    <w:div w:id="1079132032">
      <w:bodyDiv w:val="1"/>
      <w:marLeft w:val="0"/>
      <w:marRight w:val="0"/>
      <w:marTop w:val="0"/>
      <w:marBottom w:val="0"/>
      <w:divBdr>
        <w:top w:val="none" w:sz="0" w:space="0" w:color="auto"/>
        <w:left w:val="none" w:sz="0" w:space="0" w:color="auto"/>
        <w:bottom w:val="none" w:sz="0" w:space="0" w:color="auto"/>
        <w:right w:val="none" w:sz="0" w:space="0" w:color="auto"/>
      </w:divBdr>
    </w:div>
    <w:div w:id="1081559820">
      <w:bodyDiv w:val="1"/>
      <w:marLeft w:val="0"/>
      <w:marRight w:val="0"/>
      <w:marTop w:val="0"/>
      <w:marBottom w:val="0"/>
      <w:divBdr>
        <w:top w:val="none" w:sz="0" w:space="0" w:color="auto"/>
        <w:left w:val="none" w:sz="0" w:space="0" w:color="auto"/>
        <w:bottom w:val="none" w:sz="0" w:space="0" w:color="auto"/>
        <w:right w:val="none" w:sz="0" w:space="0" w:color="auto"/>
      </w:divBdr>
    </w:div>
    <w:div w:id="1082944746">
      <w:bodyDiv w:val="1"/>
      <w:marLeft w:val="0"/>
      <w:marRight w:val="0"/>
      <w:marTop w:val="0"/>
      <w:marBottom w:val="0"/>
      <w:divBdr>
        <w:top w:val="none" w:sz="0" w:space="0" w:color="auto"/>
        <w:left w:val="none" w:sz="0" w:space="0" w:color="auto"/>
        <w:bottom w:val="none" w:sz="0" w:space="0" w:color="auto"/>
        <w:right w:val="none" w:sz="0" w:space="0" w:color="auto"/>
      </w:divBdr>
    </w:div>
    <w:div w:id="1083717500">
      <w:bodyDiv w:val="1"/>
      <w:marLeft w:val="0"/>
      <w:marRight w:val="0"/>
      <w:marTop w:val="0"/>
      <w:marBottom w:val="0"/>
      <w:divBdr>
        <w:top w:val="none" w:sz="0" w:space="0" w:color="auto"/>
        <w:left w:val="none" w:sz="0" w:space="0" w:color="auto"/>
        <w:bottom w:val="none" w:sz="0" w:space="0" w:color="auto"/>
        <w:right w:val="none" w:sz="0" w:space="0" w:color="auto"/>
      </w:divBdr>
    </w:div>
    <w:div w:id="1089085723">
      <w:bodyDiv w:val="1"/>
      <w:marLeft w:val="0"/>
      <w:marRight w:val="0"/>
      <w:marTop w:val="0"/>
      <w:marBottom w:val="0"/>
      <w:divBdr>
        <w:top w:val="none" w:sz="0" w:space="0" w:color="auto"/>
        <w:left w:val="none" w:sz="0" w:space="0" w:color="auto"/>
        <w:bottom w:val="none" w:sz="0" w:space="0" w:color="auto"/>
        <w:right w:val="none" w:sz="0" w:space="0" w:color="auto"/>
      </w:divBdr>
    </w:div>
    <w:div w:id="1091044743">
      <w:bodyDiv w:val="1"/>
      <w:marLeft w:val="0"/>
      <w:marRight w:val="0"/>
      <w:marTop w:val="0"/>
      <w:marBottom w:val="0"/>
      <w:divBdr>
        <w:top w:val="none" w:sz="0" w:space="0" w:color="auto"/>
        <w:left w:val="none" w:sz="0" w:space="0" w:color="auto"/>
        <w:bottom w:val="none" w:sz="0" w:space="0" w:color="auto"/>
        <w:right w:val="none" w:sz="0" w:space="0" w:color="auto"/>
      </w:divBdr>
    </w:div>
    <w:div w:id="1091465464">
      <w:bodyDiv w:val="1"/>
      <w:marLeft w:val="0"/>
      <w:marRight w:val="0"/>
      <w:marTop w:val="0"/>
      <w:marBottom w:val="0"/>
      <w:divBdr>
        <w:top w:val="none" w:sz="0" w:space="0" w:color="auto"/>
        <w:left w:val="none" w:sz="0" w:space="0" w:color="auto"/>
        <w:bottom w:val="none" w:sz="0" w:space="0" w:color="auto"/>
        <w:right w:val="none" w:sz="0" w:space="0" w:color="auto"/>
      </w:divBdr>
    </w:div>
    <w:div w:id="1092778685">
      <w:bodyDiv w:val="1"/>
      <w:marLeft w:val="0"/>
      <w:marRight w:val="0"/>
      <w:marTop w:val="0"/>
      <w:marBottom w:val="0"/>
      <w:divBdr>
        <w:top w:val="none" w:sz="0" w:space="0" w:color="auto"/>
        <w:left w:val="none" w:sz="0" w:space="0" w:color="auto"/>
        <w:bottom w:val="none" w:sz="0" w:space="0" w:color="auto"/>
        <w:right w:val="none" w:sz="0" w:space="0" w:color="auto"/>
      </w:divBdr>
    </w:div>
    <w:div w:id="1096097064">
      <w:bodyDiv w:val="1"/>
      <w:marLeft w:val="0"/>
      <w:marRight w:val="0"/>
      <w:marTop w:val="0"/>
      <w:marBottom w:val="0"/>
      <w:divBdr>
        <w:top w:val="none" w:sz="0" w:space="0" w:color="auto"/>
        <w:left w:val="none" w:sz="0" w:space="0" w:color="auto"/>
        <w:bottom w:val="none" w:sz="0" w:space="0" w:color="auto"/>
        <w:right w:val="none" w:sz="0" w:space="0" w:color="auto"/>
      </w:divBdr>
    </w:div>
    <w:div w:id="1098788297">
      <w:bodyDiv w:val="1"/>
      <w:marLeft w:val="0"/>
      <w:marRight w:val="0"/>
      <w:marTop w:val="0"/>
      <w:marBottom w:val="0"/>
      <w:divBdr>
        <w:top w:val="none" w:sz="0" w:space="0" w:color="auto"/>
        <w:left w:val="none" w:sz="0" w:space="0" w:color="auto"/>
        <w:bottom w:val="none" w:sz="0" w:space="0" w:color="auto"/>
        <w:right w:val="none" w:sz="0" w:space="0" w:color="auto"/>
      </w:divBdr>
    </w:div>
    <w:div w:id="1099716072">
      <w:bodyDiv w:val="1"/>
      <w:marLeft w:val="0"/>
      <w:marRight w:val="0"/>
      <w:marTop w:val="0"/>
      <w:marBottom w:val="0"/>
      <w:divBdr>
        <w:top w:val="none" w:sz="0" w:space="0" w:color="auto"/>
        <w:left w:val="none" w:sz="0" w:space="0" w:color="auto"/>
        <w:bottom w:val="none" w:sz="0" w:space="0" w:color="auto"/>
        <w:right w:val="none" w:sz="0" w:space="0" w:color="auto"/>
      </w:divBdr>
    </w:div>
    <w:div w:id="1100221921">
      <w:bodyDiv w:val="1"/>
      <w:marLeft w:val="0"/>
      <w:marRight w:val="0"/>
      <w:marTop w:val="0"/>
      <w:marBottom w:val="0"/>
      <w:divBdr>
        <w:top w:val="none" w:sz="0" w:space="0" w:color="auto"/>
        <w:left w:val="none" w:sz="0" w:space="0" w:color="auto"/>
        <w:bottom w:val="none" w:sz="0" w:space="0" w:color="auto"/>
        <w:right w:val="none" w:sz="0" w:space="0" w:color="auto"/>
      </w:divBdr>
    </w:div>
    <w:div w:id="1100223711">
      <w:bodyDiv w:val="1"/>
      <w:marLeft w:val="0"/>
      <w:marRight w:val="0"/>
      <w:marTop w:val="0"/>
      <w:marBottom w:val="0"/>
      <w:divBdr>
        <w:top w:val="none" w:sz="0" w:space="0" w:color="auto"/>
        <w:left w:val="none" w:sz="0" w:space="0" w:color="auto"/>
        <w:bottom w:val="none" w:sz="0" w:space="0" w:color="auto"/>
        <w:right w:val="none" w:sz="0" w:space="0" w:color="auto"/>
      </w:divBdr>
    </w:div>
    <w:div w:id="1102914819">
      <w:bodyDiv w:val="1"/>
      <w:marLeft w:val="0"/>
      <w:marRight w:val="0"/>
      <w:marTop w:val="0"/>
      <w:marBottom w:val="0"/>
      <w:divBdr>
        <w:top w:val="none" w:sz="0" w:space="0" w:color="auto"/>
        <w:left w:val="none" w:sz="0" w:space="0" w:color="auto"/>
        <w:bottom w:val="none" w:sz="0" w:space="0" w:color="auto"/>
        <w:right w:val="none" w:sz="0" w:space="0" w:color="auto"/>
      </w:divBdr>
    </w:div>
    <w:div w:id="1103692152">
      <w:bodyDiv w:val="1"/>
      <w:marLeft w:val="0"/>
      <w:marRight w:val="0"/>
      <w:marTop w:val="0"/>
      <w:marBottom w:val="0"/>
      <w:divBdr>
        <w:top w:val="none" w:sz="0" w:space="0" w:color="auto"/>
        <w:left w:val="none" w:sz="0" w:space="0" w:color="auto"/>
        <w:bottom w:val="none" w:sz="0" w:space="0" w:color="auto"/>
        <w:right w:val="none" w:sz="0" w:space="0" w:color="auto"/>
      </w:divBdr>
    </w:div>
    <w:div w:id="1104228371">
      <w:bodyDiv w:val="1"/>
      <w:marLeft w:val="0"/>
      <w:marRight w:val="0"/>
      <w:marTop w:val="0"/>
      <w:marBottom w:val="0"/>
      <w:divBdr>
        <w:top w:val="none" w:sz="0" w:space="0" w:color="auto"/>
        <w:left w:val="none" w:sz="0" w:space="0" w:color="auto"/>
        <w:bottom w:val="none" w:sz="0" w:space="0" w:color="auto"/>
        <w:right w:val="none" w:sz="0" w:space="0" w:color="auto"/>
      </w:divBdr>
    </w:div>
    <w:div w:id="1105617270">
      <w:bodyDiv w:val="1"/>
      <w:marLeft w:val="0"/>
      <w:marRight w:val="0"/>
      <w:marTop w:val="0"/>
      <w:marBottom w:val="0"/>
      <w:divBdr>
        <w:top w:val="none" w:sz="0" w:space="0" w:color="auto"/>
        <w:left w:val="none" w:sz="0" w:space="0" w:color="auto"/>
        <w:bottom w:val="none" w:sz="0" w:space="0" w:color="auto"/>
        <w:right w:val="none" w:sz="0" w:space="0" w:color="auto"/>
      </w:divBdr>
    </w:div>
    <w:div w:id="1106270024">
      <w:bodyDiv w:val="1"/>
      <w:marLeft w:val="0"/>
      <w:marRight w:val="0"/>
      <w:marTop w:val="0"/>
      <w:marBottom w:val="0"/>
      <w:divBdr>
        <w:top w:val="none" w:sz="0" w:space="0" w:color="auto"/>
        <w:left w:val="none" w:sz="0" w:space="0" w:color="auto"/>
        <w:bottom w:val="none" w:sz="0" w:space="0" w:color="auto"/>
        <w:right w:val="none" w:sz="0" w:space="0" w:color="auto"/>
      </w:divBdr>
    </w:div>
    <w:div w:id="1108162930">
      <w:bodyDiv w:val="1"/>
      <w:marLeft w:val="0"/>
      <w:marRight w:val="0"/>
      <w:marTop w:val="0"/>
      <w:marBottom w:val="0"/>
      <w:divBdr>
        <w:top w:val="none" w:sz="0" w:space="0" w:color="auto"/>
        <w:left w:val="none" w:sz="0" w:space="0" w:color="auto"/>
        <w:bottom w:val="none" w:sz="0" w:space="0" w:color="auto"/>
        <w:right w:val="none" w:sz="0" w:space="0" w:color="auto"/>
      </w:divBdr>
    </w:div>
    <w:div w:id="1109157491">
      <w:bodyDiv w:val="1"/>
      <w:marLeft w:val="0"/>
      <w:marRight w:val="0"/>
      <w:marTop w:val="0"/>
      <w:marBottom w:val="0"/>
      <w:divBdr>
        <w:top w:val="none" w:sz="0" w:space="0" w:color="auto"/>
        <w:left w:val="none" w:sz="0" w:space="0" w:color="auto"/>
        <w:bottom w:val="none" w:sz="0" w:space="0" w:color="auto"/>
        <w:right w:val="none" w:sz="0" w:space="0" w:color="auto"/>
      </w:divBdr>
    </w:div>
    <w:div w:id="1111169693">
      <w:bodyDiv w:val="1"/>
      <w:marLeft w:val="0"/>
      <w:marRight w:val="0"/>
      <w:marTop w:val="0"/>
      <w:marBottom w:val="0"/>
      <w:divBdr>
        <w:top w:val="none" w:sz="0" w:space="0" w:color="auto"/>
        <w:left w:val="none" w:sz="0" w:space="0" w:color="auto"/>
        <w:bottom w:val="none" w:sz="0" w:space="0" w:color="auto"/>
        <w:right w:val="none" w:sz="0" w:space="0" w:color="auto"/>
      </w:divBdr>
    </w:div>
    <w:div w:id="1114594689">
      <w:bodyDiv w:val="1"/>
      <w:marLeft w:val="0"/>
      <w:marRight w:val="0"/>
      <w:marTop w:val="0"/>
      <w:marBottom w:val="0"/>
      <w:divBdr>
        <w:top w:val="none" w:sz="0" w:space="0" w:color="auto"/>
        <w:left w:val="none" w:sz="0" w:space="0" w:color="auto"/>
        <w:bottom w:val="none" w:sz="0" w:space="0" w:color="auto"/>
        <w:right w:val="none" w:sz="0" w:space="0" w:color="auto"/>
      </w:divBdr>
    </w:div>
    <w:div w:id="1117993197">
      <w:bodyDiv w:val="1"/>
      <w:marLeft w:val="0"/>
      <w:marRight w:val="0"/>
      <w:marTop w:val="0"/>
      <w:marBottom w:val="0"/>
      <w:divBdr>
        <w:top w:val="none" w:sz="0" w:space="0" w:color="auto"/>
        <w:left w:val="none" w:sz="0" w:space="0" w:color="auto"/>
        <w:bottom w:val="none" w:sz="0" w:space="0" w:color="auto"/>
        <w:right w:val="none" w:sz="0" w:space="0" w:color="auto"/>
      </w:divBdr>
    </w:div>
    <w:div w:id="1126892873">
      <w:bodyDiv w:val="1"/>
      <w:marLeft w:val="0"/>
      <w:marRight w:val="0"/>
      <w:marTop w:val="0"/>
      <w:marBottom w:val="0"/>
      <w:divBdr>
        <w:top w:val="none" w:sz="0" w:space="0" w:color="auto"/>
        <w:left w:val="none" w:sz="0" w:space="0" w:color="auto"/>
        <w:bottom w:val="none" w:sz="0" w:space="0" w:color="auto"/>
        <w:right w:val="none" w:sz="0" w:space="0" w:color="auto"/>
      </w:divBdr>
    </w:div>
    <w:div w:id="1129006513">
      <w:bodyDiv w:val="1"/>
      <w:marLeft w:val="0"/>
      <w:marRight w:val="0"/>
      <w:marTop w:val="0"/>
      <w:marBottom w:val="0"/>
      <w:divBdr>
        <w:top w:val="none" w:sz="0" w:space="0" w:color="auto"/>
        <w:left w:val="none" w:sz="0" w:space="0" w:color="auto"/>
        <w:bottom w:val="none" w:sz="0" w:space="0" w:color="auto"/>
        <w:right w:val="none" w:sz="0" w:space="0" w:color="auto"/>
      </w:divBdr>
    </w:div>
    <w:div w:id="1131551675">
      <w:bodyDiv w:val="1"/>
      <w:marLeft w:val="0"/>
      <w:marRight w:val="0"/>
      <w:marTop w:val="0"/>
      <w:marBottom w:val="0"/>
      <w:divBdr>
        <w:top w:val="none" w:sz="0" w:space="0" w:color="auto"/>
        <w:left w:val="none" w:sz="0" w:space="0" w:color="auto"/>
        <w:bottom w:val="none" w:sz="0" w:space="0" w:color="auto"/>
        <w:right w:val="none" w:sz="0" w:space="0" w:color="auto"/>
      </w:divBdr>
    </w:div>
    <w:div w:id="1132987110">
      <w:bodyDiv w:val="1"/>
      <w:marLeft w:val="0"/>
      <w:marRight w:val="0"/>
      <w:marTop w:val="0"/>
      <w:marBottom w:val="0"/>
      <w:divBdr>
        <w:top w:val="none" w:sz="0" w:space="0" w:color="auto"/>
        <w:left w:val="none" w:sz="0" w:space="0" w:color="auto"/>
        <w:bottom w:val="none" w:sz="0" w:space="0" w:color="auto"/>
        <w:right w:val="none" w:sz="0" w:space="0" w:color="auto"/>
      </w:divBdr>
    </w:div>
    <w:div w:id="1136072205">
      <w:bodyDiv w:val="1"/>
      <w:marLeft w:val="0"/>
      <w:marRight w:val="0"/>
      <w:marTop w:val="0"/>
      <w:marBottom w:val="0"/>
      <w:divBdr>
        <w:top w:val="none" w:sz="0" w:space="0" w:color="auto"/>
        <w:left w:val="none" w:sz="0" w:space="0" w:color="auto"/>
        <w:bottom w:val="none" w:sz="0" w:space="0" w:color="auto"/>
        <w:right w:val="none" w:sz="0" w:space="0" w:color="auto"/>
      </w:divBdr>
    </w:div>
    <w:div w:id="1136414087">
      <w:bodyDiv w:val="1"/>
      <w:marLeft w:val="0"/>
      <w:marRight w:val="0"/>
      <w:marTop w:val="0"/>
      <w:marBottom w:val="0"/>
      <w:divBdr>
        <w:top w:val="none" w:sz="0" w:space="0" w:color="auto"/>
        <w:left w:val="none" w:sz="0" w:space="0" w:color="auto"/>
        <w:bottom w:val="none" w:sz="0" w:space="0" w:color="auto"/>
        <w:right w:val="none" w:sz="0" w:space="0" w:color="auto"/>
      </w:divBdr>
    </w:div>
    <w:div w:id="1138186905">
      <w:bodyDiv w:val="1"/>
      <w:marLeft w:val="0"/>
      <w:marRight w:val="0"/>
      <w:marTop w:val="0"/>
      <w:marBottom w:val="0"/>
      <w:divBdr>
        <w:top w:val="none" w:sz="0" w:space="0" w:color="auto"/>
        <w:left w:val="none" w:sz="0" w:space="0" w:color="auto"/>
        <w:bottom w:val="none" w:sz="0" w:space="0" w:color="auto"/>
        <w:right w:val="none" w:sz="0" w:space="0" w:color="auto"/>
      </w:divBdr>
    </w:div>
    <w:div w:id="1157379499">
      <w:bodyDiv w:val="1"/>
      <w:marLeft w:val="0"/>
      <w:marRight w:val="0"/>
      <w:marTop w:val="0"/>
      <w:marBottom w:val="0"/>
      <w:divBdr>
        <w:top w:val="none" w:sz="0" w:space="0" w:color="auto"/>
        <w:left w:val="none" w:sz="0" w:space="0" w:color="auto"/>
        <w:bottom w:val="none" w:sz="0" w:space="0" w:color="auto"/>
        <w:right w:val="none" w:sz="0" w:space="0" w:color="auto"/>
      </w:divBdr>
    </w:div>
    <w:div w:id="1158692889">
      <w:bodyDiv w:val="1"/>
      <w:marLeft w:val="0"/>
      <w:marRight w:val="0"/>
      <w:marTop w:val="0"/>
      <w:marBottom w:val="0"/>
      <w:divBdr>
        <w:top w:val="none" w:sz="0" w:space="0" w:color="auto"/>
        <w:left w:val="none" w:sz="0" w:space="0" w:color="auto"/>
        <w:bottom w:val="none" w:sz="0" w:space="0" w:color="auto"/>
        <w:right w:val="none" w:sz="0" w:space="0" w:color="auto"/>
      </w:divBdr>
    </w:div>
    <w:div w:id="1162887388">
      <w:bodyDiv w:val="1"/>
      <w:marLeft w:val="0"/>
      <w:marRight w:val="0"/>
      <w:marTop w:val="0"/>
      <w:marBottom w:val="0"/>
      <w:divBdr>
        <w:top w:val="none" w:sz="0" w:space="0" w:color="auto"/>
        <w:left w:val="none" w:sz="0" w:space="0" w:color="auto"/>
        <w:bottom w:val="none" w:sz="0" w:space="0" w:color="auto"/>
        <w:right w:val="none" w:sz="0" w:space="0" w:color="auto"/>
      </w:divBdr>
    </w:div>
    <w:div w:id="1165126849">
      <w:bodyDiv w:val="1"/>
      <w:marLeft w:val="0"/>
      <w:marRight w:val="0"/>
      <w:marTop w:val="0"/>
      <w:marBottom w:val="0"/>
      <w:divBdr>
        <w:top w:val="none" w:sz="0" w:space="0" w:color="auto"/>
        <w:left w:val="none" w:sz="0" w:space="0" w:color="auto"/>
        <w:bottom w:val="none" w:sz="0" w:space="0" w:color="auto"/>
        <w:right w:val="none" w:sz="0" w:space="0" w:color="auto"/>
      </w:divBdr>
    </w:div>
    <w:div w:id="1171330755">
      <w:bodyDiv w:val="1"/>
      <w:marLeft w:val="0"/>
      <w:marRight w:val="0"/>
      <w:marTop w:val="0"/>
      <w:marBottom w:val="0"/>
      <w:divBdr>
        <w:top w:val="none" w:sz="0" w:space="0" w:color="auto"/>
        <w:left w:val="none" w:sz="0" w:space="0" w:color="auto"/>
        <w:bottom w:val="none" w:sz="0" w:space="0" w:color="auto"/>
        <w:right w:val="none" w:sz="0" w:space="0" w:color="auto"/>
      </w:divBdr>
    </w:div>
    <w:div w:id="1173691638">
      <w:bodyDiv w:val="1"/>
      <w:marLeft w:val="0"/>
      <w:marRight w:val="0"/>
      <w:marTop w:val="0"/>
      <w:marBottom w:val="0"/>
      <w:divBdr>
        <w:top w:val="none" w:sz="0" w:space="0" w:color="auto"/>
        <w:left w:val="none" w:sz="0" w:space="0" w:color="auto"/>
        <w:bottom w:val="none" w:sz="0" w:space="0" w:color="auto"/>
        <w:right w:val="none" w:sz="0" w:space="0" w:color="auto"/>
      </w:divBdr>
    </w:div>
    <w:div w:id="1193224612">
      <w:bodyDiv w:val="1"/>
      <w:marLeft w:val="0"/>
      <w:marRight w:val="0"/>
      <w:marTop w:val="0"/>
      <w:marBottom w:val="0"/>
      <w:divBdr>
        <w:top w:val="none" w:sz="0" w:space="0" w:color="auto"/>
        <w:left w:val="none" w:sz="0" w:space="0" w:color="auto"/>
        <w:bottom w:val="none" w:sz="0" w:space="0" w:color="auto"/>
        <w:right w:val="none" w:sz="0" w:space="0" w:color="auto"/>
      </w:divBdr>
      <w:divsChild>
        <w:div w:id="1648826664">
          <w:marLeft w:val="0"/>
          <w:marRight w:val="0"/>
          <w:marTop w:val="360"/>
          <w:marBottom w:val="0"/>
          <w:divBdr>
            <w:top w:val="none" w:sz="0" w:space="0" w:color="auto"/>
            <w:left w:val="none" w:sz="0" w:space="0" w:color="auto"/>
            <w:bottom w:val="none" w:sz="0" w:space="0" w:color="auto"/>
            <w:right w:val="none" w:sz="0" w:space="0" w:color="auto"/>
          </w:divBdr>
          <w:divsChild>
            <w:div w:id="1013994591">
              <w:marLeft w:val="0"/>
              <w:marRight w:val="0"/>
              <w:marTop w:val="0"/>
              <w:marBottom w:val="0"/>
              <w:divBdr>
                <w:top w:val="none" w:sz="0" w:space="0" w:color="auto"/>
                <w:left w:val="none" w:sz="0" w:space="0" w:color="auto"/>
                <w:bottom w:val="none" w:sz="0" w:space="0" w:color="auto"/>
                <w:right w:val="none" w:sz="0" w:space="0" w:color="auto"/>
              </w:divBdr>
              <w:divsChild>
                <w:div w:id="726757005">
                  <w:marLeft w:val="0"/>
                  <w:marRight w:val="0"/>
                  <w:marTop w:val="0"/>
                  <w:marBottom w:val="0"/>
                  <w:divBdr>
                    <w:top w:val="none" w:sz="0" w:space="0" w:color="auto"/>
                    <w:left w:val="none" w:sz="0" w:space="0" w:color="auto"/>
                    <w:bottom w:val="none" w:sz="0" w:space="0" w:color="auto"/>
                    <w:right w:val="none" w:sz="0" w:space="0" w:color="auto"/>
                  </w:divBdr>
                  <w:divsChild>
                    <w:div w:id="2073310830">
                      <w:marLeft w:val="0"/>
                      <w:marRight w:val="0"/>
                      <w:marTop w:val="0"/>
                      <w:marBottom w:val="0"/>
                      <w:divBdr>
                        <w:top w:val="none" w:sz="0" w:space="0" w:color="auto"/>
                        <w:left w:val="none" w:sz="0" w:space="0" w:color="auto"/>
                        <w:bottom w:val="none" w:sz="0" w:space="0" w:color="auto"/>
                        <w:right w:val="none" w:sz="0" w:space="0" w:color="auto"/>
                      </w:divBdr>
                      <w:divsChild>
                        <w:div w:id="1079908720">
                          <w:marLeft w:val="0"/>
                          <w:marRight w:val="0"/>
                          <w:marTop w:val="0"/>
                          <w:marBottom w:val="0"/>
                          <w:divBdr>
                            <w:top w:val="none" w:sz="0" w:space="0" w:color="auto"/>
                            <w:left w:val="none" w:sz="0" w:space="0" w:color="auto"/>
                            <w:bottom w:val="none" w:sz="0" w:space="0" w:color="auto"/>
                            <w:right w:val="none" w:sz="0" w:space="0" w:color="auto"/>
                          </w:divBdr>
                          <w:divsChild>
                            <w:div w:id="18753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312951">
      <w:bodyDiv w:val="1"/>
      <w:marLeft w:val="0"/>
      <w:marRight w:val="0"/>
      <w:marTop w:val="0"/>
      <w:marBottom w:val="0"/>
      <w:divBdr>
        <w:top w:val="none" w:sz="0" w:space="0" w:color="auto"/>
        <w:left w:val="none" w:sz="0" w:space="0" w:color="auto"/>
        <w:bottom w:val="none" w:sz="0" w:space="0" w:color="auto"/>
        <w:right w:val="none" w:sz="0" w:space="0" w:color="auto"/>
      </w:divBdr>
    </w:div>
    <w:div w:id="1198159071">
      <w:bodyDiv w:val="1"/>
      <w:marLeft w:val="0"/>
      <w:marRight w:val="0"/>
      <w:marTop w:val="0"/>
      <w:marBottom w:val="0"/>
      <w:divBdr>
        <w:top w:val="none" w:sz="0" w:space="0" w:color="auto"/>
        <w:left w:val="none" w:sz="0" w:space="0" w:color="auto"/>
        <w:bottom w:val="none" w:sz="0" w:space="0" w:color="auto"/>
        <w:right w:val="none" w:sz="0" w:space="0" w:color="auto"/>
      </w:divBdr>
    </w:div>
    <w:div w:id="1198350025">
      <w:bodyDiv w:val="1"/>
      <w:marLeft w:val="0"/>
      <w:marRight w:val="0"/>
      <w:marTop w:val="0"/>
      <w:marBottom w:val="0"/>
      <w:divBdr>
        <w:top w:val="none" w:sz="0" w:space="0" w:color="auto"/>
        <w:left w:val="none" w:sz="0" w:space="0" w:color="auto"/>
        <w:bottom w:val="none" w:sz="0" w:space="0" w:color="auto"/>
        <w:right w:val="none" w:sz="0" w:space="0" w:color="auto"/>
      </w:divBdr>
    </w:div>
    <w:div w:id="1201631608">
      <w:bodyDiv w:val="1"/>
      <w:marLeft w:val="0"/>
      <w:marRight w:val="0"/>
      <w:marTop w:val="0"/>
      <w:marBottom w:val="0"/>
      <w:divBdr>
        <w:top w:val="none" w:sz="0" w:space="0" w:color="auto"/>
        <w:left w:val="none" w:sz="0" w:space="0" w:color="auto"/>
        <w:bottom w:val="none" w:sz="0" w:space="0" w:color="auto"/>
        <w:right w:val="none" w:sz="0" w:space="0" w:color="auto"/>
      </w:divBdr>
    </w:div>
    <w:div w:id="1201867161">
      <w:bodyDiv w:val="1"/>
      <w:marLeft w:val="0"/>
      <w:marRight w:val="0"/>
      <w:marTop w:val="0"/>
      <w:marBottom w:val="0"/>
      <w:divBdr>
        <w:top w:val="none" w:sz="0" w:space="0" w:color="auto"/>
        <w:left w:val="none" w:sz="0" w:space="0" w:color="auto"/>
        <w:bottom w:val="none" w:sz="0" w:space="0" w:color="auto"/>
        <w:right w:val="none" w:sz="0" w:space="0" w:color="auto"/>
      </w:divBdr>
    </w:div>
    <w:div w:id="1204637938">
      <w:bodyDiv w:val="1"/>
      <w:marLeft w:val="0"/>
      <w:marRight w:val="0"/>
      <w:marTop w:val="0"/>
      <w:marBottom w:val="0"/>
      <w:divBdr>
        <w:top w:val="none" w:sz="0" w:space="0" w:color="auto"/>
        <w:left w:val="none" w:sz="0" w:space="0" w:color="auto"/>
        <w:bottom w:val="none" w:sz="0" w:space="0" w:color="auto"/>
        <w:right w:val="none" w:sz="0" w:space="0" w:color="auto"/>
      </w:divBdr>
    </w:div>
    <w:div w:id="1222211407">
      <w:bodyDiv w:val="1"/>
      <w:marLeft w:val="0"/>
      <w:marRight w:val="0"/>
      <w:marTop w:val="0"/>
      <w:marBottom w:val="0"/>
      <w:divBdr>
        <w:top w:val="none" w:sz="0" w:space="0" w:color="auto"/>
        <w:left w:val="none" w:sz="0" w:space="0" w:color="auto"/>
        <w:bottom w:val="none" w:sz="0" w:space="0" w:color="auto"/>
        <w:right w:val="none" w:sz="0" w:space="0" w:color="auto"/>
      </w:divBdr>
    </w:div>
    <w:div w:id="1224750937">
      <w:bodyDiv w:val="1"/>
      <w:marLeft w:val="0"/>
      <w:marRight w:val="0"/>
      <w:marTop w:val="0"/>
      <w:marBottom w:val="0"/>
      <w:divBdr>
        <w:top w:val="none" w:sz="0" w:space="0" w:color="auto"/>
        <w:left w:val="none" w:sz="0" w:space="0" w:color="auto"/>
        <w:bottom w:val="none" w:sz="0" w:space="0" w:color="auto"/>
        <w:right w:val="none" w:sz="0" w:space="0" w:color="auto"/>
      </w:divBdr>
    </w:div>
    <w:div w:id="1225262659">
      <w:bodyDiv w:val="1"/>
      <w:marLeft w:val="0"/>
      <w:marRight w:val="0"/>
      <w:marTop w:val="0"/>
      <w:marBottom w:val="0"/>
      <w:divBdr>
        <w:top w:val="none" w:sz="0" w:space="0" w:color="auto"/>
        <w:left w:val="none" w:sz="0" w:space="0" w:color="auto"/>
        <w:bottom w:val="none" w:sz="0" w:space="0" w:color="auto"/>
        <w:right w:val="none" w:sz="0" w:space="0" w:color="auto"/>
      </w:divBdr>
    </w:div>
    <w:div w:id="1233157117">
      <w:bodyDiv w:val="1"/>
      <w:marLeft w:val="0"/>
      <w:marRight w:val="0"/>
      <w:marTop w:val="0"/>
      <w:marBottom w:val="0"/>
      <w:divBdr>
        <w:top w:val="none" w:sz="0" w:space="0" w:color="auto"/>
        <w:left w:val="none" w:sz="0" w:space="0" w:color="auto"/>
        <w:bottom w:val="none" w:sz="0" w:space="0" w:color="auto"/>
        <w:right w:val="none" w:sz="0" w:space="0" w:color="auto"/>
      </w:divBdr>
    </w:div>
    <w:div w:id="1236009879">
      <w:bodyDiv w:val="1"/>
      <w:marLeft w:val="0"/>
      <w:marRight w:val="0"/>
      <w:marTop w:val="0"/>
      <w:marBottom w:val="0"/>
      <w:divBdr>
        <w:top w:val="none" w:sz="0" w:space="0" w:color="auto"/>
        <w:left w:val="none" w:sz="0" w:space="0" w:color="auto"/>
        <w:bottom w:val="none" w:sz="0" w:space="0" w:color="auto"/>
        <w:right w:val="none" w:sz="0" w:space="0" w:color="auto"/>
      </w:divBdr>
    </w:div>
    <w:div w:id="1236166522">
      <w:bodyDiv w:val="1"/>
      <w:marLeft w:val="0"/>
      <w:marRight w:val="0"/>
      <w:marTop w:val="0"/>
      <w:marBottom w:val="0"/>
      <w:divBdr>
        <w:top w:val="none" w:sz="0" w:space="0" w:color="auto"/>
        <w:left w:val="none" w:sz="0" w:space="0" w:color="auto"/>
        <w:bottom w:val="none" w:sz="0" w:space="0" w:color="auto"/>
        <w:right w:val="none" w:sz="0" w:space="0" w:color="auto"/>
      </w:divBdr>
    </w:div>
    <w:div w:id="1238829159">
      <w:bodyDiv w:val="1"/>
      <w:marLeft w:val="0"/>
      <w:marRight w:val="0"/>
      <w:marTop w:val="0"/>
      <w:marBottom w:val="0"/>
      <w:divBdr>
        <w:top w:val="none" w:sz="0" w:space="0" w:color="auto"/>
        <w:left w:val="none" w:sz="0" w:space="0" w:color="auto"/>
        <w:bottom w:val="none" w:sz="0" w:space="0" w:color="auto"/>
        <w:right w:val="none" w:sz="0" w:space="0" w:color="auto"/>
      </w:divBdr>
    </w:div>
    <w:div w:id="1243682784">
      <w:bodyDiv w:val="1"/>
      <w:marLeft w:val="0"/>
      <w:marRight w:val="0"/>
      <w:marTop w:val="0"/>
      <w:marBottom w:val="0"/>
      <w:divBdr>
        <w:top w:val="none" w:sz="0" w:space="0" w:color="auto"/>
        <w:left w:val="none" w:sz="0" w:space="0" w:color="auto"/>
        <w:bottom w:val="none" w:sz="0" w:space="0" w:color="auto"/>
        <w:right w:val="none" w:sz="0" w:space="0" w:color="auto"/>
      </w:divBdr>
    </w:div>
    <w:div w:id="1248615906">
      <w:bodyDiv w:val="1"/>
      <w:marLeft w:val="0"/>
      <w:marRight w:val="0"/>
      <w:marTop w:val="0"/>
      <w:marBottom w:val="0"/>
      <w:divBdr>
        <w:top w:val="none" w:sz="0" w:space="0" w:color="auto"/>
        <w:left w:val="none" w:sz="0" w:space="0" w:color="auto"/>
        <w:bottom w:val="none" w:sz="0" w:space="0" w:color="auto"/>
        <w:right w:val="none" w:sz="0" w:space="0" w:color="auto"/>
      </w:divBdr>
    </w:div>
    <w:div w:id="1249269316">
      <w:bodyDiv w:val="1"/>
      <w:marLeft w:val="0"/>
      <w:marRight w:val="0"/>
      <w:marTop w:val="0"/>
      <w:marBottom w:val="0"/>
      <w:divBdr>
        <w:top w:val="none" w:sz="0" w:space="0" w:color="auto"/>
        <w:left w:val="none" w:sz="0" w:space="0" w:color="auto"/>
        <w:bottom w:val="none" w:sz="0" w:space="0" w:color="auto"/>
        <w:right w:val="none" w:sz="0" w:space="0" w:color="auto"/>
      </w:divBdr>
    </w:div>
    <w:div w:id="1262300430">
      <w:bodyDiv w:val="1"/>
      <w:marLeft w:val="0"/>
      <w:marRight w:val="0"/>
      <w:marTop w:val="0"/>
      <w:marBottom w:val="0"/>
      <w:divBdr>
        <w:top w:val="none" w:sz="0" w:space="0" w:color="auto"/>
        <w:left w:val="none" w:sz="0" w:space="0" w:color="auto"/>
        <w:bottom w:val="none" w:sz="0" w:space="0" w:color="auto"/>
        <w:right w:val="none" w:sz="0" w:space="0" w:color="auto"/>
      </w:divBdr>
    </w:div>
    <w:div w:id="1267466550">
      <w:bodyDiv w:val="1"/>
      <w:marLeft w:val="0"/>
      <w:marRight w:val="0"/>
      <w:marTop w:val="0"/>
      <w:marBottom w:val="0"/>
      <w:divBdr>
        <w:top w:val="none" w:sz="0" w:space="0" w:color="auto"/>
        <w:left w:val="none" w:sz="0" w:space="0" w:color="auto"/>
        <w:bottom w:val="none" w:sz="0" w:space="0" w:color="auto"/>
        <w:right w:val="none" w:sz="0" w:space="0" w:color="auto"/>
      </w:divBdr>
    </w:div>
    <w:div w:id="1268777887">
      <w:bodyDiv w:val="1"/>
      <w:marLeft w:val="0"/>
      <w:marRight w:val="0"/>
      <w:marTop w:val="0"/>
      <w:marBottom w:val="0"/>
      <w:divBdr>
        <w:top w:val="none" w:sz="0" w:space="0" w:color="auto"/>
        <w:left w:val="none" w:sz="0" w:space="0" w:color="auto"/>
        <w:bottom w:val="none" w:sz="0" w:space="0" w:color="auto"/>
        <w:right w:val="none" w:sz="0" w:space="0" w:color="auto"/>
      </w:divBdr>
    </w:div>
    <w:div w:id="1272206329">
      <w:bodyDiv w:val="1"/>
      <w:marLeft w:val="0"/>
      <w:marRight w:val="0"/>
      <w:marTop w:val="0"/>
      <w:marBottom w:val="0"/>
      <w:divBdr>
        <w:top w:val="none" w:sz="0" w:space="0" w:color="auto"/>
        <w:left w:val="none" w:sz="0" w:space="0" w:color="auto"/>
        <w:bottom w:val="none" w:sz="0" w:space="0" w:color="auto"/>
        <w:right w:val="none" w:sz="0" w:space="0" w:color="auto"/>
      </w:divBdr>
    </w:div>
    <w:div w:id="1276863758">
      <w:bodyDiv w:val="1"/>
      <w:marLeft w:val="0"/>
      <w:marRight w:val="0"/>
      <w:marTop w:val="0"/>
      <w:marBottom w:val="0"/>
      <w:divBdr>
        <w:top w:val="none" w:sz="0" w:space="0" w:color="auto"/>
        <w:left w:val="none" w:sz="0" w:space="0" w:color="auto"/>
        <w:bottom w:val="none" w:sz="0" w:space="0" w:color="auto"/>
        <w:right w:val="none" w:sz="0" w:space="0" w:color="auto"/>
      </w:divBdr>
    </w:div>
    <w:div w:id="1279022681">
      <w:bodyDiv w:val="1"/>
      <w:marLeft w:val="0"/>
      <w:marRight w:val="0"/>
      <w:marTop w:val="0"/>
      <w:marBottom w:val="0"/>
      <w:divBdr>
        <w:top w:val="none" w:sz="0" w:space="0" w:color="auto"/>
        <w:left w:val="none" w:sz="0" w:space="0" w:color="auto"/>
        <w:bottom w:val="none" w:sz="0" w:space="0" w:color="auto"/>
        <w:right w:val="none" w:sz="0" w:space="0" w:color="auto"/>
      </w:divBdr>
    </w:div>
    <w:div w:id="1279751741">
      <w:bodyDiv w:val="1"/>
      <w:marLeft w:val="0"/>
      <w:marRight w:val="0"/>
      <w:marTop w:val="0"/>
      <w:marBottom w:val="0"/>
      <w:divBdr>
        <w:top w:val="none" w:sz="0" w:space="0" w:color="auto"/>
        <w:left w:val="none" w:sz="0" w:space="0" w:color="auto"/>
        <w:bottom w:val="none" w:sz="0" w:space="0" w:color="auto"/>
        <w:right w:val="none" w:sz="0" w:space="0" w:color="auto"/>
      </w:divBdr>
    </w:div>
    <w:div w:id="1280337597">
      <w:bodyDiv w:val="1"/>
      <w:marLeft w:val="0"/>
      <w:marRight w:val="0"/>
      <w:marTop w:val="0"/>
      <w:marBottom w:val="0"/>
      <w:divBdr>
        <w:top w:val="none" w:sz="0" w:space="0" w:color="auto"/>
        <w:left w:val="none" w:sz="0" w:space="0" w:color="auto"/>
        <w:bottom w:val="none" w:sz="0" w:space="0" w:color="auto"/>
        <w:right w:val="none" w:sz="0" w:space="0" w:color="auto"/>
      </w:divBdr>
    </w:div>
    <w:div w:id="1286961798">
      <w:bodyDiv w:val="1"/>
      <w:marLeft w:val="0"/>
      <w:marRight w:val="0"/>
      <w:marTop w:val="0"/>
      <w:marBottom w:val="0"/>
      <w:divBdr>
        <w:top w:val="none" w:sz="0" w:space="0" w:color="auto"/>
        <w:left w:val="none" w:sz="0" w:space="0" w:color="auto"/>
        <w:bottom w:val="none" w:sz="0" w:space="0" w:color="auto"/>
        <w:right w:val="none" w:sz="0" w:space="0" w:color="auto"/>
      </w:divBdr>
    </w:div>
    <w:div w:id="1291209785">
      <w:bodyDiv w:val="1"/>
      <w:marLeft w:val="0"/>
      <w:marRight w:val="0"/>
      <w:marTop w:val="0"/>
      <w:marBottom w:val="0"/>
      <w:divBdr>
        <w:top w:val="none" w:sz="0" w:space="0" w:color="auto"/>
        <w:left w:val="none" w:sz="0" w:space="0" w:color="auto"/>
        <w:bottom w:val="none" w:sz="0" w:space="0" w:color="auto"/>
        <w:right w:val="none" w:sz="0" w:space="0" w:color="auto"/>
      </w:divBdr>
    </w:div>
    <w:div w:id="1291977845">
      <w:bodyDiv w:val="1"/>
      <w:marLeft w:val="0"/>
      <w:marRight w:val="0"/>
      <w:marTop w:val="0"/>
      <w:marBottom w:val="0"/>
      <w:divBdr>
        <w:top w:val="none" w:sz="0" w:space="0" w:color="auto"/>
        <w:left w:val="none" w:sz="0" w:space="0" w:color="auto"/>
        <w:bottom w:val="none" w:sz="0" w:space="0" w:color="auto"/>
        <w:right w:val="none" w:sz="0" w:space="0" w:color="auto"/>
      </w:divBdr>
    </w:div>
    <w:div w:id="1292324450">
      <w:bodyDiv w:val="1"/>
      <w:marLeft w:val="0"/>
      <w:marRight w:val="0"/>
      <w:marTop w:val="0"/>
      <w:marBottom w:val="0"/>
      <w:divBdr>
        <w:top w:val="none" w:sz="0" w:space="0" w:color="auto"/>
        <w:left w:val="none" w:sz="0" w:space="0" w:color="auto"/>
        <w:bottom w:val="none" w:sz="0" w:space="0" w:color="auto"/>
        <w:right w:val="none" w:sz="0" w:space="0" w:color="auto"/>
      </w:divBdr>
    </w:div>
    <w:div w:id="1308707784">
      <w:bodyDiv w:val="1"/>
      <w:marLeft w:val="0"/>
      <w:marRight w:val="0"/>
      <w:marTop w:val="0"/>
      <w:marBottom w:val="0"/>
      <w:divBdr>
        <w:top w:val="none" w:sz="0" w:space="0" w:color="auto"/>
        <w:left w:val="none" w:sz="0" w:space="0" w:color="auto"/>
        <w:bottom w:val="none" w:sz="0" w:space="0" w:color="auto"/>
        <w:right w:val="none" w:sz="0" w:space="0" w:color="auto"/>
      </w:divBdr>
    </w:div>
    <w:div w:id="1308977913">
      <w:bodyDiv w:val="1"/>
      <w:marLeft w:val="0"/>
      <w:marRight w:val="0"/>
      <w:marTop w:val="0"/>
      <w:marBottom w:val="0"/>
      <w:divBdr>
        <w:top w:val="none" w:sz="0" w:space="0" w:color="auto"/>
        <w:left w:val="none" w:sz="0" w:space="0" w:color="auto"/>
        <w:bottom w:val="none" w:sz="0" w:space="0" w:color="auto"/>
        <w:right w:val="none" w:sz="0" w:space="0" w:color="auto"/>
      </w:divBdr>
    </w:div>
    <w:div w:id="1311904850">
      <w:bodyDiv w:val="1"/>
      <w:marLeft w:val="0"/>
      <w:marRight w:val="0"/>
      <w:marTop w:val="0"/>
      <w:marBottom w:val="0"/>
      <w:divBdr>
        <w:top w:val="none" w:sz="0" w:space="0" w:color="auto"/>
        <w:left w:val="none" w:sz="0" w:space="0" w:color="auto"/>
        <w:bottom w:val="none" w:sz="0" w:space="0" w:color="auto"/>
        <w:right w:val="none" w:sz="0" w:space="0" w:color="auto"/>
      </w:divBdr>
    </w:div>
    <w:div w:id="1314677320">
      <w:bodyDiv w:val="1"/>
      <w:marLeft w:val="0"/>
      <w:marRight w:val="0"/>
      <w:marTop w:val="0"/>
      <w:marBottom w:val="0"/>
      <w:divBdr>
        <w:top w:val="none" w:sz="0" w:space="0" w:color="auto"/>
        <w:left w:val="none" w:sz="0" w:space="0" w:color="auto"/>
        <w:bottom w:val="none" w:sz="0" w:space="0" w:color="auto"/>
        <w:right w:val="none" w:sz="0" w:space="0" w:color="auto"/>
      </w:divBdr>
    </w:div>
    <w:div w:id="1317608343">
      <w:bodyDiv w:val="1"/>
      <w:marLeft w:val="0"/>
      <w:marRight w:val="0"/>
      <w:marTop w:val="0"/>
      <w:marBottom w:val="0"/>
      <w:divBdr>
        <w:top w:val="none" w:sz="0" w:space="0" w:color="auto"/>
        <w:left w:val="none" w:sz="0" w:space="0" w:color="auto"/>
        <w:bottom w:val="none" w:sz="0" w:space="0" w:color="auto"/>
        <w:right w:val="none" w:sz="0" w:space="0" w:color="auto"/>
      </w:divBdr>
    </w:div>
    <w:div w:id="1326593037">
      <w:bodyDiv w:val="1"/>
      <w:marLeft w:val="0"/>
      <w:marRight w:val="0"/>
      <w:marTop w:val="0"/>
      <w:marBottom w:val="0"/>
      <w:divBdr>
        <w:top w:val="none" w:sz="0" w:space="0" w:color="auto"/>
        <w:left w:val="none" w:sz="0" w:space="0" w:color="auto"/>
        <w:bottom w:val="none" w:sz="0" w:space="0" w:color="auto"/>
        <w:right w:val="none" w:sz="0" w:space="0" w:color="auto"/>
      </w:divBdr>
    </w:div>
    <w:div w:id="1327055082">
      <w:bodyDiv w:val="1"/>
      <w:marLeft w:val="0"/>
      <w:marRight w:val="0"/>
      <w:marTop w:val="0"/>
      <w:marBottom w:val="0"/>
      <w:divBdr>
        <w:top w:val="none" w:sz="0" w:space="0" w:color="auto"/>
        <w:left w:val="none" w:sz="0" w:space="0" w:color="auto"/>
        <w:bottom w:val="none" w:sz="0" w:space="0" w:color="auto"/>
        <w:right w:val="none" w:sz="0" w:space="0" w:color="auto"/>
      </w:divBdr>
    </w:div>
    <w:div w:id="1329672837">
      <w:bodyDiv w:val="1"/>
      <w:marLeft w:val="0"/>
      <w:marRight w:val="0"/>
      <w:marTop w:val="0"/>
      <w:marBottom w:val="0"/>
      <w:divBdr>
        <w:top w:val="none" w:sz="0" w:space="0" w:color="auto"/>
        <w:left w:val="none" w:sz="0" w:space="0" w:color="auto"/>
        <w:bottom w:val="none" w:sz="0" w:space="0" w:color="auto"/>
        <w:right w:val="none" w:sz="0" w:space="0" w:color="auto"/>
      </w:divBdr>
    </w:div>
    <w:div w:id="1335918111">
      <w:bodyDiv w:val="1"/>
      <w:marLeft w:val="0"/>
      <w:marRight w:val="0"/>
      <w:marTop w:val="0"/>
      <w:marBottom w:val="0"/>
      <w:divBdr>
        <w:top w:val="none" w:sz="0" w:space="0" w:color="auto"/>
        <w:left w:val="none" w:sz="0" w:space="0" w:color="auto"/>
        <w:bottom w:val="none" w:sz="0" w:space="0" w:color="auto"/>
        <w:right w:val="none" w:sz="0" w:space="0" w:color="auto"/>
      </w:divBdr>
    </w:div>
    <w:div w:id="1341006951">
      <w:bodyDiv w:val="1"/>
      <w:marLeft w:val="0"/>
      <w:marRight w:val="0"/>
      <w:marTop w:val="0"/>
      <w:marBottom w:val="0"/>
      <w:divBdr>
        <w:top w:val="none" w:sz="0" w:space="0" w:color="auto"/>
        <w:left w:val="none" w:sz="0" w:space="0" w:color="auto"/>
        <w:bottom w:val="none" w:sz="0" w:space="0" w:color="auto"/>
        <w:right w:val="none" w:sz="0" w:space="0" w:color="auto"/>
      </w:divBdr>
    </w:div>
    <w:div w:id="1345940432">
      <w:bodyDiv w:val="1"/>
      <w:marLeft w:val="0"/>
      <w:marRight w:val="0"/>
      <w:marTop w:val="0"/>
      <w:marBottom w:val="0"/>
      <w:divBdr>
        <w:top w:val="none" w:sz="0" w:space="0" w:color="auto"/>
        <w:left w:val="none" w:sz="0" w:space="0" w:color="auto"/>
        <w:bottom w:val="none" w:sz="0" w:space="0" w:color="auto"/>
        <w:right w:val="none" w:sz="0" w:space="0" w:color="auto"/>
      </w:divBdr>
    </w:div>
    <w:div w:id="1346981766">
      <w:bodyDiv w:val="1"/>
      <w:marLeft w:val="0"/>
      <w:marRight w:val="0"/>
      <w:marTop w:val="0"/>
      <w:marBottom w:val="0"/>
      <w:divBdr>
        <w:top w:val="none" w:sz="0" w:space="0" w:color="auto"/>
        <w:left w:val="none" w:sz="0" w:space="0" w:color="auto"/>
        <w:bottom w:val="none" w:sz="0" w:space="0" w:color="auto"/>
        <w:right w:val="none" w:sz="0" w:space="0" w:color="auto"/>
      </w:divBdr>
    </w:div>
    <w:div w:id="1349990359">
      <w:bodyDiv w:val="1"/>
      <w:marLeft w:val="0"/>
      <w:marRight w:val="0"/>
      <w:marTop w:val="0"/>
      <w:marBottom w:val="0"/>
      <w:divBdr>
        <w:top w:val="none" w:sz="0" w:space="0" w:color="auto"/>
        <w:left w:val="none" w:sz="0" w:space="0" w:color="auto"/>
        <w:bottom w:val="none" w:sz="0" w:space="0" w:color="auto"/>
        <w:right w:val="none" w:sz="0" w:space="0" w:color="auto"/>
      </w:divBdr>
    </w:div>
    <w:div w:id="1350642793">
      <w:bodyDiv w:val="1"/>
      <w:marLeft w:val="0"/>
      <w:marRight w:val="0"/>
      <w:marTop w:val="0"/>
      <w:marBottom w:val="0"/>
      <w:divBdr>
        <w:top w:val="none" w:sz="0" w:space="0" w:color="auto"/>
        <w:left w:val="none" w:sz="0" w:space="0" w:color="auto"/>
        <w:bottom w:val="none" w:sz="0" w:space="0" w:color="auto"/>
        <w:right w:val="none" w:sz="0" w:space="0" w:color="auto"/>
      </w:divBdr>
    </w:div>
    <w:div w:id="1352686395">
      <w:bodyDiv w:val="1"/>
      <w:marLeft w:val="0"/>
      <w:marRight w:val="0"/>
      <w:marTop w:val="0"/>
      <w:marBottom w:val="0"/>
      <w:divBdr>
        <w:top w:val="none" w:sz="0" w:space="0" w:color="auto"/>
        <w:left w:val="none" w:sz="0" w:space="0" w:color="auto"/>
        <w:bottom w:val="none" w:sz="0" w:space="0" w:color="auto"/>
        <w:right w:val="none" w:sz="0" w:space="0" w:color="auto"/>
      </w:divBdr>
    </w:div>
    <w:div w:id="1356224531">
      <w:bodyDiv w:val="1"/>
      <w:marLeft w:val="0"/>
      <w:marRight w:val="0"/>
      <w:marTop w:val="0"/>
      <w:marBottom w:val="0"/>
      <w:divBdr>
        <w:top w:val="none" w:sz="0" w:space="0" w:color="auto"/>
        <w:left w:val="none" w:sz="0" w:space="0" w:color="auto"/>
        <w:bottom w:val="none" w:sz="0" w:space="0" w:color="auto"/>
        <w:right w:val="none" w:sz="0" w:space="0" w:color="auto"/>
      </w:divBdr>
    </w:div>
    <w:div w:id="1358433969">
      <w:bodyDiv w:val="1"/>
      <w:marLeft w:val="0"/>
      <w:marRight w:val="0"/>
      <w:marTop w:val="0"/>
      <w:marBottom w:val="0"/>
      <w:divBdr>
        <w:top w:val="none" w:sz="0" w:space="0" w:color="auto"/>
        <w:left w:val="none" w:sz="0" w:space="0" w:color="auto"/>
        <w:bottom w:val="none" w:sz="0" w:space="0" w:color="auto"/>
        <w:right w:val="none" w:sz="0" w:space="0" w:color="auto"/>
      </w:divBdr>
    </w:div>
    <w:div w:id="1368289373">
      <w:bodyDiv w:val="1"/>
      <w:marLeft w:val="0"/>
      <w:marRight w:val="0"/>
      <w:marTop w:val="0"/>
      <w:marBottom w:val="0"/>
      <w:divBdr>
        <w:top w:val="none" w:sz="0" w:space="0" w:color="auto"/>
        <w:left w:val="none" w:sz="0" w:space="0" w:color="auto"/>
        <w:bottom w:val="none" w:sz="0" w:space="0" w:color="auto"/>
        <w:right w:val="none" w:sz="0" w:space="0" w:color="auto"/>
      </w:divBdr>
    </w:div>
    <w:div w:id="1369450927">
      <w:bodyDiv w:val="1"/>
      <w:marLeft w:val="0"/>
      <w:marRight w:val="0"/>
      <w:marTop w:val="0"/>
      <w:marBottom w:val="0"/>
      <w:divBdr>
        <w:top w:val="none" w:sz="0" w:space="0" w:color="auto"/>
        <w:left w:val="none" w:sz="0" w:space="0" w:color="auto"/>
        <w:bottom w:val="none" w:sz="0" w:space="0" w:color="auto"/>
        <w:right w:val="none" w:sz="0" w:space="0" w:color="auto"/>
      </w:divBdr>
    </w:div>
    <w:div w:id="1373922901">
      <w:bodyDiv w:val="1"/>
      <w:marLeft w:val="0"/>
      <w:marRight w:val="0"/>
      <w:marTop w:val="0"/>
      <w:marBottom w:val="0"/>
      <w:divBdr>
        <w:top w:val="none" w:sz="0" w:space="0" w:color="auto"/>
        <w:left w:val="none" w:sz="0" w:space="0" w:color="auto"/>
        <w:bottom w:val="none" w:sz="0" w:space="0" w:color="auto"/>
        <w:right w:val="none" w:sz="0" w:space="0" w:color="auto"/>
      </w:divBdr>
    </w:div>
    <w:div w:id="1376924555">
      <w:bodyDiv w:val="1"/>
      <w:marLeft w:val="0"/>
      <w:marRight w:val="0"/>
      <w:marTop w:val="0"/>
      <w:marBottom w:val="0"/>
      <w:divBdr>
        <w:top w:val="none" w:sz="0" w:space="0" w:color="auto"/>
        <w:left w:val="none" w:sz="0" w:space="0" w:color="auto"/>
        <w:bottom w:val="none" w:sz="0" w:space="0" w:color="auto"/>
        <w:right w:val="none" w:sz="0" w:space="0" w:color="auto"/>
      </w:divBdr>
    </w:div>
    <w:div w:id="1378117877">
      <w:bodyDiv w:val="1"/>
      <w:marLeft w:val="0"/>
      <w:marRight w:val="0"/>
      <w:marTop w:val="0"/>
      <w:marBottom w:val="0"/>
      <w:divBdr>
        <w:top w:val="none" w:sz="0" w:space="0" w:color="auto"/>
        <w:left w:val="none" w:sz="0" w:space="0" w:color="auto"/>
        <w:bottom w:val="none" w:sz="0" w:space="0" w:color="auto"/>
        <w:right w:val="none" w:sz="0" w:space="0" w:color="auto"/>
      </w:divBdr>
    </w:div>
    <w:div w:id="1385179800">
      <w:bodyDiv w:val="1"/>
      <w:marLeft w:val="0"/>
      <w:marRight w:val="0"/>
      <w:marTop w:val="0"/>
      <w:marBottom w:val="0"/>
      <w:divBdr>
        <w:top w:val="none" w:sz="0" w:space="0" w:color="auto"/>
        <w:left w:val="none" w:sz="0" w:space="0" w:color="auto"/>
        <w:bottom w:val="none" w:sz="0" w:space="0" w:color="auto"/>
        <w:right w:val="none" w:sz="0" w:space="0" w:color="auto"/>
      </w:divBdr>
    </w:div>
    <w:div w:id="1387535488">
      <w:bodyDiv w:val="1"/>
      <w:marLeft w:val="0"/>
      <w:marRight w:val="0"/>
      <w:marTop w:val="0"/>
      <w:marBottom w:val="0"/>
      <w:divBdr>
        <w:top w:val="none" w:sz="0" w:space="0" w:color="auto"/>
        <w:left w:val="none" w:sz="0" w:space="0" w:color="auto"/>
        <w:bottom w:val="none" w:sz="0" w:space="0" w:color="auto"/>
        <w:right w:val="none" w:sz="0" w:space="0" w:color="auto"/>
      </w:divBdr>
    </w:div>
    <w:div w:id="1395006593">
      <w:bodyDiv w:val="1"/>
      <w:marLeft w:val="0"/>
      <w:marRight w:val="0"/>
      <w:marTop w:val="0"/>
      <w:marBottom w:val="0"/>
      <w:divBdr>
        <w:top w:val="none" w:sz="0" w:space="0" w:color="auto"/>
        <w:left w:val="none" w:sz="0" w:space="0" w:color="auto"/>
        <w:bottom w:val="none" w:sz="0" w:space="0" w:color="auto"/>
        <w:right w:val="none" w:sz="0" w:space="0" w:color="auto"/>
      </w:divBdr>
    </w:div>
    <w:div w:id="1397237980">
      <w:bodyDiv w:val="1"/>
      <w:marLeft w:val="0"/>
      <w:marRight w:val="0"/>
      <w:marTop w:val="0"/>
      <w:marBottom w:val="0"/>
      <w:divBdr>
        <w:top w:val="none" w:sz="0" w:space="0" w:color="auto"/>
        <w:left w:val="none" w:sz="0" w:space="0" w:color="auto"/>
        <w:bottom w:val="none" w:sz="0" w:space="0" w:color="auto"/>
        <w:right w:val="none" w:sz="0" w:space="0" w:color="auto"/>
      </w:divBdr>
    </w:div>
    <w:div w:id="1403715997">
      <w:bodyDiv w:val="1"/>
      <w:marLeft w:val="0"/>
      <w:marRight w:val="0"/>
      <w:marTop w:val="0"/>
      <w:marBottom w:val="0"/>
      <w:divBdr>
        <w:top w:val="none" w:sz="0" w:space="0" w:color="auto"/>
        <w:left w:val="none" w:sz="0" w:space="0" w:color="auto"/>
        <w:bottom w:val="none" w:sz="0" w:space="0" w:color="auto"/>
        <w:right w:val="none" w:sz="0" w:space="0" w:color="auto"/>
      </w:divBdr>
    </w:div>
    <w:div w:id="1407460158">
      <w:bodyDiv w:val="1"/>
      <w:marLeft w:val="0"/>
      <w:marRight w:val="0"/>
      <w:marTop w:val="0"/>
      <w:marBottom w:val="0"/>
      <w:divBdr>
        <w:top w:val="none" w:sz="0" w:space="0" w:color="auto"/>
        <w:left w:val="none" w:sz="0" w:space="0" w:color="auto"/>
        <w:bottom w:val="none" w:sz="0" w:space="0" w:color="auto"/>
        <w:right w:val="none" w:sz="0" w:space="0" w:color="auto"/>
      </w:divBdr>
    </w:div>
    <w:div w:id="1407461037">
      <w:bodyDiv w:val="1"/>
      <w:marLeft w:val="0"/>
      <w:marRight w:val="0"/>
      <w:marTop w:val="0"/>
      <w:marBottom w:val="0"/>
      <w:divBdr>
        <w:top w:val="none" w:sz="0" w:space="0" w:color="auto"/>
        <w:left w:val="none" w:sz="0" w:space="0" w:color="auto"/>
        <w:bottom w:val="none" w:sz="0" w:space="0" w:color="auto"/>
        <w:right w:val="none" w:sz="0" w:space="0" w:color="auto"/>
      </w:divBdr>
    </w:div>
    <w:div w:id="1408071053">
      <w:bodyDiv w:val="1"/>
      <w:marLeft w:val="0"/>
      <w:marRight w:val="0"/>
      <w:marTop w:val="0"/>
      <w:marBottom w:val="0"/>
      <w:divBdr>
        <w:top w:val="none" w:sz="0" w:space="0" w:color="auto"/>
        <w:left w:val="none" w:sz="0" w:space="0" w:color="auto"/>
        <w:bottom w:val="none" w:sz="0" w:space="0" w:color="auto"/>
        <w:right w:val="none" w:sz="0" w:space="0" w:color="auto"/>
      </w:divBdr>
    </w:div>
    <w:div w:id="1411317950">
      <w:bodyDiv w:val="1"/>
      <w:marLeft w:val="0"/>
      <w:marRight w:val="0"/>
      <w:marTop w:val="0"/>
      <w:marBottom w:val="0"/>
      <w:divBdr>
        <w:top w:val="none" w:sz="0" w:space="0" w:color="auto"/>
        <w:left w:val="none" w:sz="0" w:space="0" w:color="auto"/>
        <w:bottom w:val="none" w:sz="0" w:space="0" w:color="auto"/>
        <w:right w:val="none" w:sz="0" w:space="0" w:color="auto"/>
      </w:divBdr>
    </w:div>
    <w:div w:id="1414007943">
      <w:bodyDiv w:val="1"/>
      <w:marLeft w:val="0"/>
      <w:marRight w:val="0"/>
      <w:marTop w:val="0"/>
      <w:marBottom w:val="0"/>
      <w:divBdr>
        <w:top w:val="none" w:sz="0" w:space="0" w:color="auto"/>
        <w:left w:val="none" w:sz="0" w:space="0" w:color="auto"/>
        <w:bottom w:val="none" w:sz="0" w:space="0" w:color="auto"/>
        <w:right w:val="none" w:sz="0" w:space="0" w:color="auto"/>
      </w:divBdr>
    </w:div>
    <w:div w:id="1414090203">
      <w:bodyDiv w:val="1"/>
      <w:marLeft w:val="0"/>
      <w:marRight w:val="0"/>
      <w:marTop w:val="0"/>
      <w:marBottom w:val="0"/>
      <w:divBdr>
        <w:top w:val="none" w:sz="0" w:space="0" w:color="auto"/>
        <w:left w:val="none" w:sz="0" w:space="0" w:color="auto"/>
        <w:bottom w:val="none" w:sz="0" w:space="0" w:color="auto"/>
        <w:right w:val="none" w:sz="0" w:space="0" w:color="auto"/>
      </w:divBdr>
    </w:div>
    <w:div w:id="1415250362">
      <w:bodyDiv w:val="1"/>
      <w:marLeft w:val="0"/>
      <w:marRight w:val="0"/>
      <w:marTop w:val="0"/>
      <w:marBottom w:val="0"/>
      <w:divBdr>
        <w:top w:val="none" w:sz="0" w:space="0" w:color="auto"/>
        <w:left w:val="none" w:sz="0" w:space="0" w:color="auto"/>
        <w:bottom w:val="none" w:sz="0" w:space="0" w:color="auto"/>
        <w:right w:val="none" w:sz="0" w:space="0" w:color="auto"/>
      </w:divBdr>
    </w:div>
    <w:div w:id="1416242776">
      <w:bodyDiv w:val="1"/>
      <w:marLeft w:val="0"/>
      <w:marRight w:val="0"/>
      <w:marTop w:val="0"/>
      <w:marBottom w:val="0"/>
      <w:divBdr>
        <w:top w:val="none" w:sz="0" w:space="0" w:color="auto"/>
        <w:left w:val="none" w:sz="0" w:space="0" w:color="auto"/>
        <w:bottom w:val="none" w:sz="0" w:space="0" w:color="auto"/>
        <w:right w:val="none" w:sz="0" w:space="0" w:color="auto"/>
      </w:divBdr>
    </w:div>
    <w:div w:id="1424037357">
      <w:bodyDiv w:val="1"/>
      <w:marLeft w:val="0"/>
      <w:marRight w:val="0"/>
      <w:marTop w:val="0"/>
      <w:marBottom w:val="0"/>
      <w:divBdr>
        <w:top w:val="none" w:sz="0" w:space="0" w:color="auto"/>
        <w:left w:val="none" w:sz="0" w:space="0" w:color="auto"/>
        <w:bottom w:val="none" w:sz="0" w:space="0" w:color="auto"/>
        <w:right w:val="none" w:sz="0" w:space="0" w:color="auto"/>
      </w:divBdr>
    </w:div>
    <w:div w:id="1424567487">
      <w:bodyDiv w:val="1"/>
      <w:marLeft w:val="0"/>
      <w:marRight w:val="0"/>
      <w:marTop w:val="0"/>
      <w:marBottom w:val="0"/>
      <w:divBdr>
        <w:top w:val="none" w:sz="0" w:space="0" w:color="auto"/>
        <w:left w:val="none" w:sz="0" w:space="0" w:color="auto"/>
        <w:bottom w:val="none" w:sz="0" w:space="0" w:color="auto"/>
        <w:right w:val="none" w:sz="0" w:space="0" w:color="auto"/>
      </w:divBdr>
    </w:div>
    <w:div w:id="1427925376">
      <w:bodyDiv w:val="1"/>
      <w:marLeft w:val="0"/>
      <w:marRight w:val="0"/>
      <w:marTop w:val="0"/>
      <w:marBottom w:val="0"/>
      <w:divBdr>
        <w:top w:val="none" w:sz="0" w:space="0" w:color="auto"/>
        <w:left w:val="none" w:sz="0" w:space="0" w:color="auto"/>
        <w:bottom w:val="none" w:sz="0" w:space="0" w:color="auto"/>
        <w:right w:val="none" w:sz="0" w:space="0" w:color="auto"/>
      </w:divBdr>
    </w:div>
    <w:div w:id="1430278782">
      <w:bodyDiv w:val="1"/>
      <w:marLeft w:val="0"/>
      <w:marRight w:val="0"/>
      <w:marTop w:val="0"/>
      <w:marBottom w:val="0"/>
      <w:divBdr>
        <w:top w:val="none" w:sz="0" w:space="0" w:color="auto"/>
        <w:left w:val="none" w:sz="0" w:space="0" w:color="auto"/>
        <w:bottom w:val="none" w:sz="0" w:space="0" w:color="auto"/>
        <w:right w:val="none" w:sz="0" w:space="0" w:color="auto"/>
      </w:divBdr>
    </w:div>
    <w:div w:id="1432554298">
      <w:bodyDiv w:val="1"/>
      <w:marLeft w:val="0"/>
      <w:marRight w:val="0"/>
      <w:marTop w:val="0"/>
      <w:marBottom w:val="0"/>
      <w:divBdr>
        <w:top w:val="none" w:sz="0" w:space="0" w:color="auto"/>
        <w:left w:val="none" w:sz="0" w:space="0" w:color="auto"/>
        <w:bottom w:val="none" w:sz="0" w:space="0" w:color="auto"/>
        <w:right w:val="none" w:sz="0" w:space="0" w:color="auto"/>
      </w:divBdr>
    </w:div>
    <w:div w:id="1436944406">
      <w:bodyDiv w:val="1"/>
      <w:marLeft w:val="0"/>
      <w:marRight w:val="0"/>
      <w:marTop w:val="0"/>
      <w:marBottom w:val="0"/>
      <w:divBdr>
        <w:top w:val="none" w:sz="0" w:space="0" w:color="auto"/>
        <w:left w:val="none" w:sz="0" w:space="0" w:color="auto"/>
        <w:bottom w:val="none" w:sz="0" w:space="0" w:color="auto"/>
        <w:right w:val="none" w:sz="0" w:space="0" w:color="auto"/>
      </w:divBdr>
    </w:div>
    <w:div w:id="1443501204">
      <w:bodyDiv w:val="1"/>
      <w:marLeft w:val="0"/>
      <w:marRight w:val="0"/>
      <w:marTop w:val="0"/>
      <w:marBottom w:val="0"/>
      <w:divBdr>
        <w:top w:val="none" w:sz="0" w:space="0" w:color="auto"/>
        <w:left w:val="none" w:sz="0" w:space="0" w:color="auto"/>
        <w:bottom w:val="none" w:sz="0" w:space="0" w:color="auto"/>
        <w:right w:val="none" w:sz="0" w:space="0" w:color="auto"/>
      </w:divBdr>
    </w:div>
    <w:div w:id="1451901029">
      <w:bodyDiv w:val="1"/>
      <w:marLeft w:val="0"/>
      <w:marRight w:val="0"/>
      <w:marTop w:val="0"/>
      <w:marBottom w:val="0"/>
      <w:divBdr>
        <w:top w:val="none" w:sz="0" w:space="0" w:color="auto"/>
        <w:left w:val="none" w:sz="0" w:space="0" w:color="auto"/>
        <w:bottom w:val="none" w:sz="0" w:space="0" w:color="auto"/>
        <w:right w:val="none" w:sz="0" w:space="0" w:color="auto"/>
      </w:divBdr>
    </w:div>
    <w:div w:id="1452093273">
      <w:bodyDiv w:val="1"/>
      <w:marLeft w:val="0"/>
      <w:marRight w:val="0"/>
      <w:marTop w:val="0"/>
      <w:marBottom w:val="0"/>
      <w:divBdr>
        <w:top w:val="none" w:sz="0" w:space="0" w:color="auto"/>
        <w:left w:val="none" w:sz="0" w:space="0" w:color="auto"/>
        <w:bottom w:val="none" w:sz="0" w:space="0" w:color="auto"/>
        <w:right w:val="none" w:sz="0" w:space="0" w:color="auto"/>
      </w:divBdr>
    </w:div>
    <w:div w:id="1457869379">
      <w:bodyDiv w:val="1"/>
      <w:marLeft w:val="0"/>
      <w:marRight w:val="0"/>
      <w:marTop w:val="0"/>
      <w:marBottom w:val="0"/>
      <w:divBdr>
        <w:top w:val="none" w:sz="0" w:space="0" w:color="auto"/>
        <w:left w:val="none" w:sz="0" w:space="0" w:color="auto"/>
        <w:bottom w:val="none" w:sz="0" w:space="0" w:color="auto"/>
        <w:right w:val="none" w:sz="0" w:space="0" w:color="auto"/>
      </w:divBdr>
    </w:div>
    <w:div w:id="1459763859">
      <w:bodyDiv w:val="1"/>
      <w:marLeft w:val="0"/>
      <w:marRight w:val="0"/>
      <w:marTop w:val="0"/>
      <w:marBottom w:val="0"/>
      <w:divBdr>
        <w:top w:val="none" w:sz="0" w:space="0" w:color="auto"/>
        <w:left w:val="none" w:sz="0" w:space="0" w:color="auto"/>
        <w:bottom w:val="none" w:sz="0" w:space="0" w:color="auto"/>
        <w:right w:val="none" w:sz="0" w:space="0" w:color="auto"/>
      </w:divBdr>
    </w:div>
    <w:div w:id="1461728185">
      <w:bodyDiv w:val="1"/>
      <w:marLeft w:val="0"/>
      <w:marRight w:val="0"/>
      <w:marTop w:val="0"/>
      <w:marBottom w:val="0"/>
      <w:divBdr>
        <w:top w:val="none" w:sz="0" w:space="0" w:color="auto"/>
        <w:left w:val="none" w:sz="0" w:space="0" w:color="auto"/>
        <w:bottom w:val="none" w:sz="0" w:space="0" w:color="auto"/>
        <w:right w:val="none" w:sz="0" w:space="0" w:color="auto"/>
      </w:divBdr>
    </w:div>
    <w:div w:id="1461801551">
      <w:bodyDiv w:val="1"/>
      <w:marLeft w:val="0"/>
      <w:marRight w:val="0"/>
      <w:marTop w:val="0"/>
      <w:marBottom w:val="0"/>
      <w:divBdr>
        <w:top w:val="none" w:sz="0" w:space="0" w:color="auto"/>
        <w:left w:val="none" w:sz="0" w:space="0" w:color="auto"/>
        <w:bottom w:val="none" w:sz="0" w:space="0" w:color="auto"/>
        <w:right w:val="none" w:sz="0" w:space="0" w:color="auto"/>
      </w:divBdr>
    </w:div>
    <w:div w:id="1478955070">
      <w:bodyDiv w:val="1"/>
      <w:marLeft w:val="0"/>
      <w:marRight w:val="0"/>
      <w:marTop w:val="0"/>
      <w:marBottom w:val="0"/>
      <w:divBdr>
        <w:top w:val="none" w:sz="0" w:space="0" w:color="auto"/>
        <w:left w:val="none" w:sz="0" w:space="0" w:color="auto"/>
        <w:bottom w:val="none" w:sz="0" w:space="0" w:color="auto"/>
        <w:right w:val="none" w:sz="0" w:space="0" w:color="auto"/>
      </w:divBdr>
    </w:div>
    <w:div w:id="1484465376">
      <w:bodyDiv w:val="1"/>
      <w:marLeft w:val="0"/>
      <w:marRight w:val="0"/>
      <w:marTop w:val="0"/>
      <w:marBottom w:val="0"/>
      <w:divBdr>
        <w:top w:val="none" w:sz="0" w:space="0" w:color="auto"/>
        <w:left w:val="none" w:sz="0" w:space="0" w:color="auto"/>
        <w:bottom w:val="none" w:sz="0" w:space="0" w:color="auto"/>
        <w:right w:val="none" w:sz="0" w:space="0" w:color="auto"/>
      </w:divBdr>
    </w:div>
    <w:div w:id="1496341984">
      <w:bodyDiv w:val="1"/>
      <w:marLeft w:val="0"/>
      <w:marRight w:val="0"/>
      <w:marTop w:val="0"/>
      <w:marBottom w:val="0"/>
      <w:divBdr>
        <w:top w:val="none" w:sz="0" w:space="0" w:color="auto"/>
        <w:left w:val="none" w:sz="0" w:space="0" w:color="auto"/>
        <w:bottom w:val="none" w:sz="0" w:space="0" w:color="auto"/>
        <w:right w:val="none" w:sz="0" w:space="0" w:color="auto"/>
      </w:divBdr>
    </w:div>
    <w:div w:id="1498224467">
      <w:bodyDiv w:val="1"/>
      <w:marLeft w:val="0"/>
      <w:marRight w:val="0"/>
      <w:marTop w:val="0"/>
      <w:marBottom w:val="0"/>
      <w:divBdr>
        <w:top w:val="none" w:sz="0" w:space="0" w:color="auto"/>
        <w:left w:val="none" w:sz="0" w:space="0" w:color="auto"/>
        <w:bottom w:val="none" w:sz="0" w:space="0" w:color="auto"/>
        <w:right w:val="none" w:sz="0" w:space="0" w:color="auto"/>
      </w:divBdr>
    </w:div>
    <w:div w:id="1498763740">
      <w:bodyDiv w:val="1"/>
      <w:marLeft w:val="0"/>
      <w:marRight w:val="0"/>
      <w:marTop w:val="0"/>
      <w:marBottom w:val="0"/>
      <w:divBdr>
        <w:top w:val="none" w:sz="0" w:space="0" w:color="auto"/>
        <w:left w:val="none" w:sz="0" w:space="0" w:color="auto"/>
        <w:bottom w:val="none" w:sz="0" w:space="0" w:color="auto"/>
        <w:right w:val="none" w:sz="0" w:space="0" w:color="auto"/>
      </w:divBdr>
    </w:div>
    <w:div w:id="1507667034">
      <w:bodyDiv w:val="1"/>
      <w:marLeft w:val="0"/>
      <w:marRight w:val="0"/>
      <w:marTop w:val="0"/>
      <w:marBottom w:val="0"/>
      <w:divBdr>
        <w:top w:val="none" w:sz="0" w:space="0" w:color="auto"/>
        <w:left w:val="none" w:sz="0" w:space="0" w:color="auto"/>
        <w:bottom w:val="none" w:sz="0" w:space="0" w:color="auto"/>
        <w:right w:val="none" w:sz="0" w:space="0" w:color="auto"/>
      </w:divBdr>
    </w:div>
    <w:div w:id="1519930793">
      <w:bodyDiv w:val="1"/>
      <w:marLeft w:val="0"/>
      <w:marRight w:val="0"/>
      <w:marTop w:val="0"/>
      <w:marBottom w:val="0"/>
      <w:divBdr>
        <w:top w:val="none" w:sz="0" w:space="0" w:color="auto"/>
        <w:left w:val="none" w:sz="0" w:space="0" w:color="auto"/>
        <w:bottom w:val="none" w:sz="0" w:space="0" w:color="auto"/>
        <w:right w:val="none" w:sz="0" w:space="0" w:color="auto"/>
      </w:divBdr>
    </w:div>
    <w:div w:id="1520509901">
      <w:bodyDiv w:val="1"/>
      <w:marLeft w:val="0"/>
      <w:marRight w:val="0"/>
      <w:marTop w:val="0"/>
      <w:marBottom w:val="0"/>
      <w:divBdr>
        <w:top w:val="none" w:sz="0" w:space="0" w:color="auto"/>
        <w:left w:val="none" w:sz="0" w:space="0" w:color="auto"/>
        <w:bottom w:val="none" w:sz="0" w:space="0" w:color="auto"/>
        <w:right w:val="none" w:sz="0" w:space="0" w:color="auto"/>
      </w:divBdr>
    </w:div>
    <w:div w:id="1524056962">
      <w:bodyDiv w:val="1"/>
      <w:marLeft w:val="0"/>
      <w:marRight w:val="0"/>
      <w:marTop w:val="0"/>
      <w:marBottom w:val="0"/>
      <w:divBdr>
        <w:top w:val="none" w:sz="0" w:space="0" w:color="auto"/>
        <w:left w:val="none" w:sz="0" w:space="0" w:color="auto"/>
        <w:bottom w:val="none" w:sz="0" w:space="0" w:color="auto"/>
        <w:right w:val="none" w:sz="0" w:space="0" w:color="auto"/>
      </w:divBdr>
    </w:div>
    <w:div w:id="1526674831">
      <w:bodyDiv w:val="1"/>
      <w:marLeft w:val="0"/>
      <w:marRight w:val="0"/>
      <w:marTop w:val="0"/>
      <w:marBottom w:val="0"/>
      <w:divBdr>
        <w:top w:val="none" w:sz="0" w:space="0" w:color="auto"/>
        <w:left w:val="none" w:sz="0" w:space="0" w:color="auto"/>
        <w:bottom w:val="none" w:sz="0" w:space="0" w:color="auto"/>
        <w:right w:val="none" w:sz="0" w:space="0" w:color="auto"/>
      </w:divBdr>
    </w:div>
    <w:div w:id="1528249674">
      <w:bodyDiv w:val="1"/>
      <w:marLeft w:val="0"/>
      <w:marRight w:val="0"/>
      <w:marTop w:val="0"/>
      <w:marBottom w:val="0"/>
      <w:divBdr>
        <w:top w:val="none" w:sz="0" w:space="0" w:color="auto"/>
        <w:left w:val="none" w:sz="0" w:space="0" w:color="auto"/>
        <w:bottom w:val="none" w:sz="0" w:space="0" w:color="auto"/>
        <w:right w:val="none" w:sz="0" w:space="0" w:color="auto"/>
      </w:divBdr>
    </w:div>
    <w:div w:id="1530340621">
      <w:bodyDiv w:val="1"/>
      <w:marLeft w:val="0"/>
      <w:marRight w:val="0"/>
      <w:marTop w:val="0"/>
      <w:marBottom w:val="0"/>
      <w:divBdr>
        <w:top w:val="none" w:sz="0" w:space="0" w:color="auto"/>
        <w:left w:val="none" w:sz="0" w:space="0" w:color="auto"/>
        <w:bottom w:val="none" w:sz="0" w:space="0" w:color="auto"/>
        <w:right w:val="none" w:sz="0" w:space="0" w:color="auto"/>
      </w:divBdr>
    </w:div>
    <w:div w:id="1531534031">
      <w:bodyDiv w:val="1"/>
      <w:marLeft w:val="0"/>
      <w:marRight w:val="0"/>
      <w:marTop w:val="0"/>
      <w:marBottom w:val="0"/>
      <w:divBdr>
        <w:top w:val="none" w:sz="0" w:space="0" w:color="auto"/>
        <w:left w:val="none" w:sz="0" w:space="0" w:color="auto"/>
        <w:bottom w:val="none" w:sz="0" w:space="0" w:color="auto"/>
        <w:right w:val="none" w:sz="0" w:space="0" w:color="auto"/>
      </w:divBdr>
    </w:div>
    <w:div w:id="1532956630">
      <w:bodyDiv w:val="1"/>
      <w:marLeft w:val="0"/>
      <w:marRight w:val="0"/>
      <w:marTop w:val="0"/>
      <w:marBottom w:val="0"/>
      <w:divBdr>
        <w:top w:val="none" w:sz="0" w:space="0" w:color="auto"/>
        <w:left w:val="none" w:sz="0" w:space="0" w:color="auto"/>
        <w:bottom w:val="none" w:sz="0" w:space="0" w:color="auto"/>
        <w:right w:val="none" w:sz="0" w:space="0" w:color="auto"/>
      </w:divBdr>
    </w:div>
    <w:div w:id="1534419311">
      <w:bodyDiv w:val="1"/>
      <w:marLeft w:val="0"/>
      <w:marRight w:val="0"/>
      <w:marTop w:val="0"/>
      <w:marBottom w:val="0"/>
      <w:divBdr>
        <w:top w:val="none" w:sz="0" w:space="0" w:color="auto"/>
        <w:left w:val="none" w:sz="0" w:space="0" w:color="auto"/>
        <w:bottom w:val="none" w:sz="0" w:space="0" w:color="auto"/>
        <w:right w:val="none" w:sz="0" w:space="0" w:color="auto"/>
      </w:divBdr>
    </w:div>
    <w:div w:id="1542400406">
      <w:bodyDiv w:val="1"/>
      <w:marLeft w:val="0"/>
      <w:marRight w:val="0"/>
      <w:marTop w:val="0"/>
      <w:marBottom w:val="0"/>
      <w:divBdr>
        <w:top w:val="none" w:sz="0" w:space="0" w:color="auto"/>
        <w:left w:val="none" w:sz="0" w:space="0" w:color="auto"/>
        <w:bottom w:val="none" w:sz="0" w:space="0" w:color="auto"/>
        <w:right w:val="none" w:sz="0" w:space="0" w:color="auto"/>
      </w:divBdr>
    </w:div>
    <w:div w:id="1553034495">
      <w:bodyDiv w:val="1"/>
      <w:marLeft w:val="0"/>
      <w:marRight w:val="0"/>
      <w:marTop w:val="0"/>
      <w:marBottom w:val="0"/>
      <w:divBdr>
        <w:top w:val="none" w:sz="0" w:space="0" w:color="auto"/>
        <w:left w:val="none" w:sz="0" w:space="0" w:color="auto"/>
        <w:bottom w:val="none" w:sz="0" w:space="0" w:color="auto"/>
        <w:right w:val="none" w:sz="0" w:space="0" w:color="auto"/>
      </w:divBdr>
    </w:div>
    <w:div w:id="1553078831">
      <w:bodyDiv w:val="1"/>
      <w:marLeft w:val="0"/>
      <w:marRight w:val="0"/>
      <w:marTop w:val="0"/>
      <w:marBottom w:val="0"/>
      <w:divBdr>
        <w:top w:val="none" w:sz="0" w:space="0" w:color="auto"/>
        <w:left w:val="none" w:sz="0" w:space="0" w:color="auto"/>
        <w:bottom w:val="none" w:sz="0" w:space="0" w:color="auto"/>
        <w:right w:val="none" w:sz="0" w:space="0" w:color="auto"/>
      </w:divBdr>
    </w:div>
    <w:div w:id="1553080932">
      <w:bodyDiv w:val="1"/>
      <w:marLeft w:val="0"/>
      <w:marRight w:val="0"/>
      <w:marTop w:val="0"/>
      <w:marBottom w:val="0"/>
      <w:divBdr>
        <w:top w:val="none" w:sz="0" w:space="0" w:color="auto"/>
        <w:left w:val="none" w:sz="0" w:space="0" w:color="auto"/>
        <w:bottom w:val="none" w:sz="0" w:space="0" w:color="auto"/>
        <w:right w:val="none" w:sz="0" w:space="0" w:color="auto"/>
      </w:divBdr>
    </w:div>
    <w:div w:id="1556231553">
      <w:bodyDiv w:val="1"/>
      <w:marLeft w:val="0"/>
      <w:marRight w:val="0"/>
      <w:marTop w:val="0"/>
      <w:marBottom w:val="0"/>
      <w:divBdr>
        <w:top w:val="none" w:sz="0" w:space="0" w:color="auto"/>
        <w:left w:val="none" w:sz="0" w:space="0" w:color="auto"/>
        <w:bottom w:val="none" w:sz="0" w:space="0" w:color="auto"/>
        <w:right w:val="none" w:sz="0" w:space="0" w:color="auto"/>
      </w:divBdr>
    </w:div>
    <w:div w:id="1556969057">
      <w:bodyDiv w:val="1"/>
      <w:marLeft w:val="0"/>
      <w:marRight w:val="0"/>
      <w:marTop w:val="0"/>
      <w:marBottom w:val="0"/>
      <w:divBdr>
        <w:top w:val="none" w:sz="0" w:space="0" w:color="auto"/>
        <w:left w:val="none" w:sz="0" w:space="0" w:color="auto"/>
        <w:bottom w:val="none" w:sz="0" w:space="0" w:color="auto"/>
        <w:right w:val="none" w:sz="0" w:space="0" w:color="auto"/>
      </w:divBdr>
    </w:div>
    <w:div w:id="1562860365">
      <w:bodyDiv w:val="1"/>
      <w:marLeft w:val="0"/>
      <w:marRight w:val="0"/>
      <w:marTop w:val="0"/>
      <w:marBottom w:val="0"/>
      <w:divBdr>
        <w:top w:val="none" w:sz="0" w:space="0" w:color="auto"/>
        <w:left w:val="none" w:sz="0" w:space="0" w:color="auto"/>
        <w:bottom w:val="none" w:sz="0" w:space="0" w:color="auto"/>
        <w:right w:val="none" w:sz="0" w:space="0" w:color="auto"/>
      </w:divBdr>
    </w:div>
    <w:div w:id="1569996147">
      <w:bodyDiv w:val="1"/>
      <w:marLeft w:val="0"/>
      <w:marRight w:val="0"/>
      <w:marTop w:val="0"/>
      <w:marBottom w:val="0"/>
      <w:divBdr>
        <w:top w:val="none" w:sz="0" w:space="0" w:color="auto"/>
        <w:left w:val="none" w:sz="0" w:space="0" w:color="auto"/>
        <w:bottom w:val="none" w:sz="0" w:space="0" w:color="auto"/>
        <w:right w:val="none" w:sz="0" w:space="0" w:color="auto"/>
      </w:divBdr>
    </w:div>
    <w:div w:id="1570263450">
      <w:bodyDiv w:val="1"/>
      <w:marLeft w:val="0"/>
      <w:marRight w:val="0"/>
      <w:marTop w:val="0"/>
      <w:marBottom w:val="0"/>
      <w:divBdr>
        <w:top w:val="none" w:sz="0" w:space="0" w:color="auto"/>
        <w:left w:val="none" w:sz="0" w:space="0" w:color="auto"/>
        <w:bottom w:val="none" w:sz="0" w:space="0" w:color="auto"/>
        <w:right w:val="none" w:sz="0" w:space="0" w:color="auto"/>
      </w:divBdr>
    </w:div>
    <w:div w:id="1578512691">
      <w:bodyDiv w:val="1"/>
      <w:marLeft w:val="0"/>
      <w:marRight w:val="0"/>
      <w:marTop w:val="0"/>
      <w:marBottom w:val="0"/>
      <w:divBdr>
        <w:top w:val="none" w:sz="0" w:space="0" w:color="auto"/>
        <w:left w:val="none" w:sz="0" w:space="0" w:color="auto"/>
        <w:bottom w:val="none" w:sz="0" w:space="0" w:color="auto"/>
        <w:right w:val="none" w:sz="0" w:space="0" w:color="auto"/>
      </w:divBdr>
    </w:div>
    <w:div w:id="1582906020">
      <w:bodyDiv w:val="1"/>
      <w:marLeft w:val="0"/>
      <w:marRight w:val="0"/>
      <w:marTop w:val="0"/>
      <w:marBottom w:val="0"/>
      <w:divBdr>
        <w:top w:val="none" w:sz="0" w:space="0" w:color="auto"/>
        <w:left w:val="none" w:sz="0" w:space="0" w:color="auto"/>
        <w:bottom w:val="none" w:sz="0" w:space="0" w:color="auto"/>
        <w:right w:val="none" w:sz="0" w:space="0" w:color="auto"/>
      </w:divBdr>
    </w:div>
    <w:div w:id="1585147865">
      <w:bodyDiv w:val="1"/>
      <w:marLeft w:val="0"/>
      <w:marRight w:val="0"/>
      <w:marTop w:val="0"/>
      <w:marBottom w:val="0"/>
      <w:divBdr>
        <w:top w:val="none" w:sz="0" w:space="0" w:color="auto"/>
        <w:left w:val="none" w:sz="0" w:space="0" w:color="auto"/>
        <w:bottom w:val="none" w:sz="0" w:space="0" w:color="auto"/>
        <w:right w:val="none" w:sz="0" w:space="0" w:color="auto"/>
      </w:divBdr>
    </w:div>
    <w:div w:id="1589149198">
      <w:bodyDiv w:val="1"/>
      <w:marLeft w:val="0"/>
      <w:marRight w:val="0"/>
      <w:marTop w:val="0"/>
      <w:marBottom w:val="0"/>
      <w:divBdr>
        <w:top w:val="none" w:sz="0" w:space="0" w:color="auto"/>
        <w:left w:val="none" w:sz="0" w:space="0" w:color="auto"/>
        <w:bottom w:val="none" w:sz="0" w:space="0" w:color="auto"/>
        <w:right w:val="none" w:sz="0" w:space="0" w:color="auto"/>
      </w:divBdr>
    </w:div>
    <w:div w:id="1592936326">
      <w:bodyDiv w:val="1"/>
      <w:marLeft w:val="0"/>
      <w:marRight w:val="0"/>
      <w:marTop w:val="0"/>
      <w:marBottom w:val="0"/>
      <w:divBdr>
        <w:top w:val="none" w:sz="0" w:space="0" w:color="auto"/>
        <w:left w:val="none" w:sz="0" w:space="0" w:color="auto"/>
        <w:bottom w:val="none" w:sz="0" w:space="0" w:color="auto"/>
        <w:right w:val="none" w:sz="0" w:space="0" w:color="auto"/>
      </w:divBdr>
    </w:div>
    <w:div w:id="1597787102">
      <w:bodyDiv w:val="1"/>
      <w:marLeft w:val="0"/>
      <w:marRight w:val="0"/>
      <w:marTop w:val="0"/>
      <w:marBottom w:val="0"/>
      <w:divBdr>
        <w:top w:val="none" w:sz="0" w:space="0" w:color="auto"/>
        <w:left w:val="none" w:sz="0" w:space="0" w:color="auto"/>
        <w:bottom w:val="none" w:sz="0" w:space="0" w:color="auto"/>
        <w:right w:val="none" w:sz="0" w:space="0" w:color="auto"/>
      </w:divBdr>
    </w:div>
    <w:div w:id="1604070789">
      <w:bodyDiv w:val="1"/>
      <w:marLeft w:val="0"/>
      <w:marRight w:val="0"/>
      <w:marTop w:val="0"/>
      <w:marBottom w:val="0"/>
      <w:divBdr>
        <w:top w:val="none" w:sz="0" w:space="0" w:color="auto"/>
        <w:left w:val="none" w:sz="0" w:space="0" w:color="auto"/>
        <w:bottom w:val="none" w:sz="0" w:space="0" w:color="auto"/>
        <w:right w:val="none" w:sz="0" w:space="0" w:color="auto"/>
      </w:divBdr>
    </w:div>
    <w:div w:id="1606039729">
      <w:bodyDiv w:val="1"/>
      <w:marLeft w:val="0"/>
      <w:marRight w:val="0"/>
      <w:marTop w:val="0"/>
      <w:marBottom w:val="0"/>
      <w:divBdr>
        <w:top w:val="none" w:sz="0" w:space="0" w:color="auto"/>
        <w:left w:val="none" w:sz="0" w:space="0" w:color="auto"/>
        <w:bottom w:val="none" w:sz="0" w:space="0" w:color="auto"/>
        <w:right w:val="none" w:sz="0" w:space="0" w:color="auto"/>
      </w:divBdr>
    </w:div>
    <w:div w:id="1612476486">
      <w:bodyDiv w:val="1"/>
      <w:marLeft w:val="0"/>
      <w:marRight w:val="0"/>
      <w:marTop w:val="0"/>
      <w:marBottom w:val="0"/>
      <w:divBdr>
        <w:top w:val="none" w:sz="0" w:space="0" w:color="auto"/>
        <w:left w:val="none" w:sz="0" w:space="0" w:color="auto"/>
        <w:bottom w:val="none" w:sz="0" w:space="0" w:color="auto"/>
        <w:right w:val="none" w:sz="0" w:space="0" w:color="auto"/>
      </w:divBdr>
    </w:div>
    <w:div w:id="1616060131">
      <w:bodyDiv w:val="1"/>
      <w:marLeft w:val="0"/>
      <w:marRight w:val="0"/>
      <w:marTop w:val="0"/>
      <w:marBottom w:val="0"/>
      <w:divBdr>
        <w:top w:val="none" w:sz="0" w:space="0" w:color="auto"/>
        <w:left w:val="none" w:sz="0" w:space="0" w:color="auto"/>
        <w:bottom w:val="none" w:sz="0" w:space="0" w:color="auto"/>
        <w:right w:val="none" w:sz="0" w:space="0" w:color="auto"/>
      </w:divBdr>
    </w:div>
    <w:div w:id="1622611224">
      <w:bodyDiv w:val="1"/>
      <w:marLeft w:val="0"/>
      <w:marRight w:val="0"/>
      <w:marTop w:val="0"/>
      <w:marBottom w:val="0"/>
      <w:divBdr>
        <w:top w:val="none" w:sz="0" w:space="0" w:color="auto"/>
        <w:left w:val="none" w:sz="0" w:space="0" w:color="auto"/>
        <w:bottom w:val="none" w:sz="0" w:space="0" w:color="auto"/>
        <w:right w:val="none" w:sz="0" w:space="0" w:color="auto"/>
      </w:divBdr>
    </w:div>
    <w:div w:id="1622687718">
      <w:bodyDiv w:val="1"/>
      <w:marLeft w:val="0"/>
      <w:marRight w:val="0"/>
      <w:marTop w:val="0"/>
      <w:marBottom w:val="0"/>
      <w:divBdr>
        <w:top w:val="none" w:sz="0" w:space="0" w:color="auto"/>
        <w:left w:val="none" w:sz="0" w:space="0" w:color="auto"/>
        <w:bottom w:val="none" w:sz="0" w:space="0" w:color="auto"/>
        <w:right w:val="none" w:sz="0" w:space="0" w:color="auto"/>
      </w:divBdr>
    </w:div>
    <w:div w:id="1632243645">
      <w:bodyDiv w:val="1"/>
      <w:marLeft w:val="0"/>
      <w:marRight w:val="0"/>
      <w:marTop w:val="0"/>
      <w:marBottom w:val="0"/>
      <w:divBdr>
        <w:top w:val="none" w:sz="0" w:space="0" w:color="auto"/>
        <w:left w:val="none" w:sz="0" w:space="0" w:color="auto"/>
        <w:bottom w:val="none" w:sz="0" w:space="0" w:color="auto"/>
        <w:right w:val="none" w:sz="0" w:space="0" w:color="auto"/>
      </w:divBdr>
    </w:div>
    <w:div w:id="1635258798">
      <w:bodyDiv w:val="1"/>
      <w:marLeft w:val="0"/>
      <w:marRight w:val="0"/>
      <w:marTop w:val="0"/>
      <w:marBottom w:val="0"/>
      <w:divBdr>
        <w:top w:val="none" w:sz="0" w:space="0" w:color="auto"/>
        <w:left w:val="none" w:sz="0" w:space="0" w:color="auto"/>
        <w:bottom w:val="none" w:sz="0" w:space="0" w:color="auto"/>
        <w:right w:val="none" w:sz="0" w:space="0" w:color="auto"/>
      </w:divBdr>
    </w:div>
    <w:div w:id="1636567285">
      <w:bodyDiv w:val="1"/>
      <w:marLeft w:val="0"/>
      <w:marRight w:val="0"/>
      <w:marTop w:val="0"/>
      <w:marBottom w:val="0"/>
      <w:divBdr>
        <w:top w:val="none" w:sz="0" w:space="0" w:color="auto"/>
        <w:left w:val="none" w:sz="0" w:space="0" w:color="auto"/>
        <w:bottom w:val="none" w:sz="0" w:space="0" w:color="auto"/>
        <w:right w:val="none" w:sz="0" w:space="0" w:color="auto"/>
      </w:divBdr>
    </w:div>
    <w:div w:id="1649017539">
      <w:bodyDiv w:val="1"/>
      <w:marLeft w:val="0"/>
      <w:marRight w:val="0"/>
      <w:marTop w:val="0"/>
      <w:marBottom w:val="0"/>
      <w:divBdr>
        <w:top w:val="none" w:sz="0" w:space="0" w:color="auto"/>
        <w:left w:val="none" w:sz="0" w:space="0" w:color="auto"/>
        <w:bottom w:val="none" w:sz="0" w:space="0" w:color="auto"/>
        <w:right w:val="none" w:sz="0" w:space="0" w:color="auto"/>
      </w:divBdr>
    </w:div>
    <w:div w:id="1650598865">
      <w:bodyDiv w:val="1"/>
      <w:marLeft w:val="0"/>
      <w:marRight w:val="0"/>
      <w:marTop w:val="0"/>
      <w:marBottom w:val="0"/>
      <w:divBdr>
        <w:top w:val="none" w:sz="0" w:space="0" w:color="auto"/>
        <w:left w:val="none" w:sz="0" w:space="0" w:color="auto"/>
        <w:bottom w:val="none" w:sz="0" w:space="0" w:color="auto"/>
        <w:right w:val="none" w:sz="0" w:space="0" w:color="auto"/>
      </w:divBdr>
    </w:div>
    <w:div w:id="1651060523">
      <w:bodyDiv w:val="1"/>
      <w:marLeft w:val="0"/>
      <w:marRight w:val="0"/>
      <w:marTop w:val="0"/>
      <w:marBottom w:val="0"/>
      <w:divBdr>
        <w:top w:val="none" w:sz="0" w:space="0" w:color="auto"/>
        <w:left w:val="none" w:sz="0" w:space="0" w:color="auto"/>
        <w:bottom w:val="none" w:sz="0" w:space="0" w:color="auto"/>
        <w:right w:val="none" w:sz="0" w:space="0" w:color="auto"/>
      </w:divBdr>
    </w:div>
    <w:div w:id="1651247390">
      <w:bodyDiv w:val="1"/>
      <w:marLeft w:val="0"/>
      <w:marRight w:val="0"/>
      <w:marTop w:val="0"/>
      <w:marBottom w:val="0"/>
      <w:divBdr>
        <w:top w:val="none" w:sz="0" w:space="0" w:color="auto"/>
        <w:left w:val="none" w:sz="0" w:space="0" w:color="auto"/>
        <w:bottom w:val="none" w:sz="0" w:space="0" w:color="auto"/>
        <w:right w:val="none" w:sz="0" w:space="0" w:color="auto"/>
      </w:divBdr>
    </w:div>
    <w:div w:id="1652975527">
      <w:bodyDiv w:val="1"/>
      <w:marLeft w:val="0"/>
      <w:marRight w:val="0"/>
      <w:marTop w:val="0"/>
      <w:marBottom w:val="0"/>
      <w:divBdr>
        <w:top w:val="none" w:sz="0" w:space="0" w:color="auto"/>
        <w:left w:val="none" w:sz="0" w:space="0" w:color="auto"/>
        <w:bottom w:val="none" w:sz="0" w:space="0" w:color="auto"/>
        <w:right w:val="none" w:sz="0" w:space="0" w:color="auto"/>
      </w:divBdr>
    </w:div>
    <w:div w:id="1658611177">
      <w:bodyDiv w:val="1"/>
      <w:marLeft w:val="0"/>
      <w:marRight w:val="0"/>
      <w:marTop w:val="0"/>
      <w:marBottom w:val="0"/>
      <w:divBdr>
        <w:top w:val="none" w:sz="0" w:space="0" w:color="auto"/>
        <w:left w:val="none" w:sz="0" w:space="0" w:color="auto"/>
        <w:bottom w:val="none" w:sz="0" w:space="0" w:color="auto"/>
        <w:right w:val="none" w:sz="0" w:space="0" w:color="auto"/>
      </w:divBdr>
    </w:div>
    <w:div w:id="1663313339">
      <w:bodyDiv w:val="1"/>
      <w:marLeft w:val="0"/>
      <w:marRight w:val="0"/>
      <w:marTop w:val="0"/>
      <w:marBottom w:val="0"/>
      <w:divBdr>
        <w:top w:val="none" w:sz="0" w:space="0" w:color="auto"/>
        <w:left w:val="none" w:sz="0" w:space="0" w:color="auto"/>
        <w:bottom w:val="none" w:sz="0" w:space="0" w:color="auto"/>
        <w:right w:val="none" w:sz="0" w:space="0" w:color="auto"/>
      </w:divBdr>
    </w:div>
    <w:div w:id="1664628380">
      <w:bodyDiv w:val="1"/>
      <w:marLeft w:val="0"/>
      <w:marRight w:val="0"/>
      <w:marTop w:val="0"/>
      <w:marBottom w:val="0"/>
      <w:divBdr>
        <w:top w:val="none" w:sz="0" w:space="0" w:color="auto"/>
        <w:left w:val="none" w:sz="0" w:space="0" w:color="auto"/>
        <w:bottom w:val="none" w:sz="0" w:space="0" w:color="auto"/>
        <w:right w:val="none" w:sz="0" w:space="0" w:color="auto"/>
      </w:divBdr>
    </w:div>
    <w:div w:id="1680303772">
      <w:bodyDiv w:val="1"/>
      <w:marLeft w:val="0"/>
      <w:marRight w:val="0"/>
      <w:marTop w:val="0"/>
      <w:marBottom w:val="0"/>
      <w:divBdr>
        <w:top w:val="none" w:sz="0" w:space="0" w:color="auto"/>
        <w:left w:val="none" w:sz="0" w:space="0" w:color="auto"/>
        <w:bottom w:val="none" w:sz="0" w:space="0" w:color="auto"/>
        <w:right w:val="none" w:sz="0" w:space="0" w:color="auto"/>
      </w:divBdr>
      <w:divsChild>
        <w:div w:id="179666728">
          <w:marLeft w:val="0"/>
          <w:marRight w:val="0"/>
          <w:marTop w:val="0"/>
          <w:marBottom w:val="0"/>
          <w:divBdr>
            <w:top w:val="none" w:sz="0" w:space="0" w:color="auto"/>
            <w:left w:val="none" w:sz="0" w:space="0" w:color="auto"/>
            <w:bottom w:val="none" w:sz="0" w:space="0" w:color="auto"/>
            <w:right w:val="none" w:sz="0" w:space="0" w:color="auto"/>
          </w:divBdr>
        </w:div>
        <w:div w:id="363020464">
          <w:marLeft w:val="0"/>
          <w:marRight w:val="0"/>
          <w:marTop w:val="0"/>
          <w:marBottom w:val="0"/>
          <w:divBdr>
            <w:top w:val="none" w:sz="0" w:space="0" w:color="auto"/>
            <w:left w:val="none" w:sz="0" w:space="0" w:color="auto"/>
            <w:bottom w:val="none" w:sz="0" w:space="0" w:color="auto"/>
            <w:right w:val="none" w:sz="0" w:space="0" w:color="auto"/>
          </w:divBdr>
        </w:div>
        <w:div w:id="402873065">
          <w:marLeft w:val="0"/>
          <w:marRight w:val="0"/>
          <w:marTop w:val="0"/>
          <w:marBottom w:val="0"/>
          <w:divBdr>
            <w:top w:val="none" w:sz="0" w:space="0" w:color="auto"/>
            <w:left w:val="none" w:sz="0" w:space="0" w:color="auto"/>
            <w:bottom w:val="none" w:sz="0" w:space="0" w:color="auto"/>
            <w:right w:val="none" w:sz="0" w:space="0" w:color="auto"/>
          </w:divBdr>
        </w:div>
        <w:div w:id="562183895">
          <w:marLeft w:val="0"/>
          <w:marRight w:val="0"/>
          <w:marTop w:val="0"/>
          <w:marBottom w:val="0"/>
          <w:divBdr>
            <w:top w:val="none" w:sz="0" w:space="0" w:color="auto"/>
            <w:left w:val="none" w:sz="0" w:space="0" w:color="auto"/>
            <w:bottom w:val="none" w:sz="0" w:space="0" w:color="auto"/>
            <w:right w:val="none" w:sz="0" w:space="0" w:color="auto"/>
          </w:divBdr>
        </w:div>
        <w:div w:id="653484886">
          <w:marLeft w:val="0"/>
          <w:marRight w:val="0"/>
          <w:marTop w:val="0"/>
          <w:marBottom w:val="0"/>
          <w:divBdr>
            <w:top w:val="none" w:sz="0" w:space="0" w:color="auto"/>
            <w:left w:val="none" w:sz="0" w:space="0" w:color="auto"/>
            <w:bottom w:val="none" w:sz="0" w:space="0" w:color="auto"/>
            <w:right w:val="none" w:sz="0" w:space="0" w:color="auto"/>
          </w:divBdr>
        </w:div>
        <w:div w:id="981738680">
          <w:marLeft w:val="0"/>
          <w:marRight w:val="0"/>
          <w:marTop w:val="0"/>
          <w:marBottom w:val="0"/>
          <w:divBdr>
            <w:top w:val="none" w:sz="0" w:space="0" w:color="auto"/>
            <w:left w:val="none" w:sz="0" w:space="0" w:color="auto"/>
            <w:bottom w:val="none" w:sz="0" w:space="0" w:color="auto"/>
            <w:right w:val="none" w:sz="0" w:space="0" w:color="auto"/>
          </w:divBdr>
        </w:div>
        <w:div w:id="1117139994">
          <w:marLeft w:val="0"/>
          <w:marRight w:val="0"/>
          <w:marTop w:val="0"/>
          <w:marBottom w:val="0"/>
          <w:divBdr>
            <w:top w:val="none" w:sz="0" w:space="0" w:color="auto"/>
            <w:left w:val="none" w:sz="0" w:space="0" w:color="auto"/>
            <w:bottom w:val="none" w:sz="0" w:space="0" w:color="auto"/>
            <w:right w:val="none" w:sz="0" w:space="0" w:color="auto"/>
          </w:divBdr>
        </w:div>
        <w:div w:id="1175533011">
          <w:marLeft w:val="0"/>
          <w:marRight w:val="0"/>
          <w:marTop w:val="0"/>
          <w:marBottom w:val="0"/>
          <w:divBdr>
            <w:top w:val="none" w:sz="0" w:space="0" w:color="auto"/>
            <w:left w:val="none" w:sz="0" w:space="0" w:color="auto"/>
            <w:bottom w:val="none" w:sz="0" w:space="0" w:color="auto"/>
            <w:right w:val="none" w:sz="0" w:space="0" w:color="auto"/>
          </w:divBdr>
        </w:div>
        <w:div w:id="1298606528">
          <w:marLeft w:val="0"/>
          <w:marRight w:val="0"/>
          <w:marTop w:val="0"/>
          <w:marBottom w:val="0"/>
          <w:divBdr>
            <w:top w:val="none" w:sz="0" w:space="0" w:color="auto"/>
            <w:left w:val="none" w:sz="0" w:space="0" w:color="auto"/>
            <w:bottom w:val="none" w:sz="0" w:space="0" w:color="auto"/>
            <w:right w:val="none" w:sz="0" w:space="0" w:color="auto"/>
          </w:divBdr>
        </w:div>
        <w:div w:id="1310936908">
          <w:marLeft w:val="0"/>
          <w:marRight w:val="0"/>
          <w:marTop w:val="0"/>
          <w:marBottom w:val="0"/>
          <w:divBdr>
            <w:top w:val="none" w:sz="0" w:space="0" w:color="auto"/>
            <w:left w:val="none" w:sz="0" w:space="0" w:color="auto"/>
            <w:bottom w:val="none" w:sz="0" w:space="0" w:color="auto"/>
            <w:right w:val="none" w:sz="0" w:space="0" w:color="auto"/>
          </w:divBdr>
        </w:div>
        <w:div w:id="1370102733">
          <w:marLeft w:val="0"/>
          <w:marRight w:val="0"/>
          <w:marTop w:val="0"/>
          <w:marBottom w:val="0"/>
          <w:divBdr>
            <w:top w:val="none" w:sz="0" w:space="0" w:color="auto"/>
            <w:left w:val="none" w:sz="0" w:space="0" w:color="auto"/>
            <w:bottom w:val="none" w:sz="0" w:space="0" w:color="auto"/>
            <w:right w:val="none" w:sz="0" w:space="0" w:color="auto"/>
          </w:divBdr>
          <w:divsChild>
            <w:div w:id="893807562">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1441757873">
          <w:marLeft w:val="0"/>
          <w:marRight w:val="0"/>
          <w:marTop w:val="0"/>
          <w:marBottom w:val="0"/>
          <w:divBdr>
            <w:top w:val="none" w:sz="0" w:space="0" w:color="auto"/>
            <w:left w:val="none" w:sz="0" w:space="0" w:color="auto"/>
            <w:bottom w:val="none" w:sz="0" w:space="0" w:color="auto"/>
            <w:right w:val="none" w:sz="0" w:space="0" w:color="auto"/>
          </w:divBdr>
        </w:div>
        <w:div w:id="1702628535">
          <w:marLeft w:val="0"/>
          <w:marRight w:val="0"/>
          <w:marTop w:val="0"/>
          <w:marBottom w:val="0"/>
          <w:divBdr>
            <w:top w:val="none" w:sz="0" w:space="0" w:color="auto"/>
            <w:left w:val="none" w:sz="0" w:space="0" w:color="auto"/>
            <w:bottom w:val="none" w:sz="0" w:space="0" w:color="auto"/>
            <w:right w:val="none" w:sz="0" w:space="0" w:color="auto"/>
          </w:divBdr>
        </w:div>
        <w:div w:id="1867594038">
          <w:marLeft w:val="0"/>
          <w:marRight w:val="0"/>
          <w:marTop w:val="0"/>
          <w:marBottom w:val="0"/>
          <w:divBdr>
            <w:top w:val="none" w:sz="0" w:space="0" w:color="auto"/>
            <w:left w:val="none" w:sz="0" w:space="0" w:color="auto"/>
            <w:bottom w:val="none" w:sz="0" w:space="0" w:color="auto"/>
            <w:right w:val="none" w:sz="0" w:space="0" w:color="auto"/>
          </w:divBdr>
        </w:div>
        <w:div w:id="1948465979">
          <w:marLeft w:val="0"/>
          <w:marRight w:val="0"/>
          <w:marTop w:val="0"/>
          <w:marBottom w:val="0"/>
          <w:divBdr>
            <w:top w:val="none" w:sz="0" w:space="0" w:color="auto"/>
            <w:left w:val="none" w:sz="0" w:space="0" w:color="auto"/>
            <w:bottom w:val="none" w:sz="0" w:space="0" w:color="auto"/>
            <w:right w:val="none" w:sz="0" w:space="0" w:color="auto"/>
          </w:divBdr>
        </w:div>
        <w:div w:id="1994597390">
          <w:marLeft w:val="0"/>
          <w:marRight w:val="0"/>
          <w:marTop w:val="0"/>
          <w:marBottom w:val="0"/>
          <w:divBdr>
            <w:top w:val="none" w:sz="0" w:space="0" w:color="auto"/>
            <w:left w:val="none" w:sz="0" w:space="0" w:color="auto"/>
            <w:bottom w:val="none" w:sz="0" w:space="0" w:color="auto"/>
            <w:right w:val="none" w:sz="0" w:space="0" w:color="auto"/>
          </w:divBdr>
        </w:div>
      </w:divsChild>
    </w:div>
    <w:div w:id="1681152171">
      <w:bodyDiv w:val="1"/>
      <w:marLeft w:val="0"/>
      <w:marRight w:val="0"/>
      <w:marTop w:val="0"/>
      <w:marBottom w:val="0"/>
      <w:divBdr>
        <w:top w:val="none" w:sz="0" w:space="0" w:color="auto"/>
        <w:left w:val="none" w:sz="0" w:space="0" w:color="auto"/>
        <w:bottom w:val="none" w:sz="0" w:space="0" w:color="auto"/>
        <w:right w:val="none" w:sz="0" w:space="0" w:color="auto"/>
      </w:divBdr>
    </w:div>
    <w:div w:id="1681540061">
      <w:bodyDiv w:val="1"/>
      <w:marLeft w:val="0"/>
      <w:marRight w:val="0"/>
      <w:marTop w:val="0"/>
      <w:marBottom w:val="0"/>
      <w:divBdr>
        <w:top w:val="none" w:sz="0" w:space="0" w:color="auto"/>
        <w:left w:val="none" w:sz="0" w:space="0" w:color="auto"/>
        <w:bottom w:val="none" w:sz="0" w:space="0" w:color="auto"/>
        <w:right w:val="none" w:sz="0" w:space="0" w:color="auto"/>
      </w:divBdr>
    </w:div>
    <w:div w:id="1685861715">
      <w:bodyDiv w:val="1"/>
      <w:marLeft w:val="0"/>
      <w:marRight w:val="0"/>
      <w:marTop w:val="0"/>
      <w:marBottom w:val="0"/>
      <w:divBdr>
        <w:top w:val="none" w:sz="0" w:space="0" w:color="auto"/>
        <w:left w:val="none" w:sz="0" w:space="0" w:color="auto"/>
        <w:bottom w:val="none" w:sz="0" w:space="0" w:color="auto"/>
        <w:right w:val="none" w:sz="0" w:space="0" w:color="auto"/>
      </w:divBdr>
    </w:div>
    <w:div w:id="1686051190">
      <w:bodyDiv w:val="1"/>
      <w:marLeft w:val="0"/>
      <w:marRight w:val="0"/>
      <w:marTop w:val="0"/>
      <w:marBottom w:val="0"/>
      <w:divBdr>
        <w:top w:val="none" w:sz="0" w:space="0" w:color="auto"/>
        <w:left w:val="none" w:sz="0" w:space="0" w:color="auto"/>
        <w:bottom w:val="none" w:sz="0" w:space="0" w:color="auto"/>
        <w:right w:val="none" w:sz="0" w:space="0" w:color="auto"/>
      </w:divBdr>
    </w:div>
    <w:div w:id="1689332903">
      <w:bodyDiv w:val="1"/>
      <w:marLeft w:val="0"/>
      <w:marRight w:val="0"/>
      <w:marTop w:val="0"/>
      <w:marBottom w:val="0"/>
      <w:divBdr>
        <w:top w:val="none" w:sz="0" w:space="0" w:color="auto"/>
        <w:left w:val="none" w:sz="0" w:space="0" w:color="auto"/>
        <w:bottom w:val="none" w:sz="0" w:space="0" w:color="auto"/>
        <w:right w:val="none" w:sz="0" w:space="0" w:color="auto"/>
      </w:divBdr>
    </w:div>
    <w:div w:id="1695692880">
      <w:bodyDiv w:val="1"/>
      <w:marLeft w:val="0"/>
      <w:marRight w:val="0"/>
      <w:marTop w:val="0"/>
      <w:marBottom w:val="0"/>
      <w:divBdr>
        <w:top w:val="none" w:sz="0" w:space="0" w:color="auto"/>
        <w:left w:val="none" w:sz="0" w:space="0" w:color="auto"/>
        <w:bottom w:val="none" w:sz="0" w:space="0" w:color="auto"/>
        <w:right w:val="none" w:sz="0" w:space="0" w:color="auto"/>
      </w:divBdr>
    </w:div>
    <w:div w:id="1697579696">
      <w:bodyDiv w:val="1"/>
      <w:marLeft w:val="0"/>
      <w:marRight w:val="0"/>
      <w:marTop w:val="0"/>
      <w:marBottom w:val="0"/>
      <w:divBdr>
        <w:top w:val="none" w:sz="0" w:space="0" w:color="auto"/>
        <w:left w:val="none" w:sz="0" w:space="0" w:color="auto"/>
        <w:bottom w:val="none" w:sz="0" w:space="0" w:color="auto"/>
        <w:right w:val="none" w:sz="0" w:space="0" w:color="auto"/>
      </w:divBdr>
    </w:div>
    <w:div w:id="1697925012">
      <w:bodyDiv w:val="1"/>
      <w:marLeft w:val="0"/>
      <w:marRight w:val="0"/>
      <w:marTop w:val="0"/>
      <w:marBottom w:val="0"/>
      <w:divBdr>
        <w:top w:val="none" w:sz="0" w:space="0" w:color="auto"/>
        <w:left w:val="none" w:sz="0" w:space="0" w:color="auto"/>
        <w:bottom w:val="none" w:sz="0" w:space="0" w:color="auto"/>
        <w:right w:val="none" w:sz="0" w:space="0" w:color="auto"/>
      </w:divBdr>
    </w:div>
    <w:div w:id="1704556964">
      <w:bodyDiv w:val="1"/>
      <w:marLeft w:val="0"/>
      <w:marRight w:val="0"/>
      <w:marTop w:val="0"/>
      <w:marBottom w:val="0"/>
      <w:divBdr>
        <w:top w:val="none" w:sz="0" w:space="0" w:color="auto"/>
        <w:left w:val="none" w:sz="0" w:space="0" w:color="auto"/>
        <w:bottom w:val="none" w:sz="0" w:space="0" w:color="auto"/>
        <w:right w:val="none" w:sz="0" w:space="0" w:color="auto"/>
      </w:divBdr>
    </w:div>
    <w:div w:id="1705016082">
      <w:bodyDiv w:val="1"/>
      <w:marLeft w:val="0"/>
      <w:marRight w:val="0"/>
      <w:marTop w:val="0"/>
      <w:marBottom w:val="0"/>
      <w:divBdr>
        <w:top w:val="none" w:sz="0" w:space="0" w:color="auto"/>
        <w:left w:val="none" w:sz="0" w:space="0" w:color="auto"/>
        <w:bottom w:val="none" w:sz="0" w:space="0" w:color="auto"/>
        <w:right w:val="none" w:sz="0" w:space="0" w:color="auto"/>
      </w:divBdr>
    </w:div>
    <w:div w:id="1711344895">
      <w:bodyDiv w:val="1"/>
      <w:marLeft w:val="0"/>
      <w:marRight w:val="0"/>
      <w:marTop w:val="0"/>
      <w:marBottom w:val="0"/>
      <w:divBdr>
        <w:top w:val="none" w:sz="0" w:space="0" w:color="auto"/>
        <w:left w:val="none" w:sz="0" w:space="0" w:color="auto"/>
        <w:bottom w:val="none" w:sz="0" w:space="0" w:color="auto"/>
        <w:right w:val="none" w:sz="0" w:space="0" w:color="auto"/>
      </w:divBdr>
    </w:div>
    <w:div w:id="1713068064">
      <w:bodyDiv w:val="1"/>
      <w:marLeft w:val="0"/>
      <w:marRight w:val="0"/>
      <w:marTop w:val="0"/>
      <w:marBottom w:val="0"/>
      <w:divBdr>
        <w:top w:val="none" w:sz="0" w:space="0" w:color="auto"/>
        <w:left w:val="none" w:sz="0" w:space="0" w:color="auto"/>
        <w:bottom w:val="none" w:sz="0" w:space="0" w:color="auto"/>
        <w:right w:val="none" w:sz="0" w:space="0" w:color="auto"/>
      </w:divBdr>
    </w:div>
    <w:div w:id="1727991602">
      <w:bodyDiv w:val="1"/>
      <w:marLeft w:val="0"/>
      <w:marRight w:val="0"/>
      <w:marTop w:val="0"/>
      <w:marBottom w:val="0"/>
      <w:divBdr>
        <w:top w:val="none" w:sz="0" w:space="0" w:color="auto"/>
        <w:left w:val="none" w:sz="0" w:space="0" w:color="auto"/>
        <w:bottom w:val="none" w:sz="0" w:space="0" w:color="auto"/>
        <w:right w:val="none" w:sz="0" w:space="0" w:color="auto"/>
      </w:divBdr>
    </w:div>
    <w:div w:id="1734769673">
      <w:bodyDiv w:val="1"/>
      <w:marLeft w:val="0"/>
      <w:marRight w:val="0"/>
      <w:marTop w:val="0"/>
      <w:marBottom w:val="0"/>
      <w:divBdr>
        <w:top w:val="none" w:sz="0" w:space="0" w:color="auto"/>
        <w:left w:val="none" w:sz="0" w:space="0" w:color="auto"/>
        <w:bottom w:val="none" w:sz="0" w:space="0" w:color="auto"/>
        <w:right w:val="none" w:sz="0" w:space="0" w:color="auto"/>
      </w:divBdr>
    </w:div>
    <w:div w:id="1746141627">
      <w:bodyDiv w:val="1"/>
      <w:marLeft w:val="0"/>
      <w:marRight w:val="0"/>
      <w:marTop w:val="0"/>
      <w:marBottom w:val="0"/>
      <w:divBdr>
        <w:top w:val="none" w:sz="0" w:space="0" w:color="auto"/>
        <w:left w:val="none" w:sz="0" w:space="0" w:color="auto"/>
        <w:bottom w:val="none" w:sz="0" w:space="0" w:color="auto"/>
        <w:right w:val="none" w:sz="0" w:space="0" w:color="auto"/>
      </w:divBdr>
    </w:div>
    <w:div w:id="1747339956">
      <w:bodyDiv w:val="1"/>
      <w:marLeft w:val="0"/>
      <w:marRight w:val="0"/>
      <w:marTop w:val="0"/>
      <w:marBottom w:val="0"/>
      <w:divBdr>
        <w:top w:val="none" w:sz="0" w:space="0" w:color="auto"/>
        <w:left w:val="none" w:sz="0" w:space="0" w:color="auto"/>
        <w:bottom w:val="none" w:sz="0" w:space="0" w:color="auto"/>
        <w:right w:val="none" w:sz="0" w:space="0" w:color="auto"/>
      </w:divBdr>
    </w:div>
    <w:div w:id="1756825677">
      <w:bodyDiv w:val="1"/>
      <w:marLeft w:val="0"/>
      <w:marRight w:val="0"/>
      <w:marTop w:val="0"/>
      <w:marBottom w:val="0"/>
      <w:divBdr>
        <w:top w:val="none" w:sz="0" w:space="0" w:color="auto"/>
        <w:left w:val="none" w:sz="0" w:space="0" w:color="auto"/>
        <w:bottom w:val="none" w:sz="0" w:space="0" w:color="auto"/>
        <w:right w:val="none" w:sz="0" w:space="0" w:color="auto"/>
      </w:divBdr>
    </w:div>
    <w:div w:id="1759248536">
      <w:bodyDiv w:val="1"/>
      <w:marLeft w:val="0"/>
      <w:marRight w:val="0"/>
      <w:marTop w:val="0"/>
      <w:marBottom w:val="0"/>
      <w:divBdr>
        <w:top w:val="none" w:sz="0" w:space="0" w:color="auto"/>
        <w:left w:val="none" w:sz="0" w:space="0" w:color="auto"/>
        <w:bottom w:val="none" w:sz="0" w:space="0" w:color="auto"/>
        <w:right w:val="none" w:sz="0" w:space="0" w:color="auto"/>
      </w:divBdr>
    </w:div>
    <w:div w:id="1765147226">
      <w:bodyDiv w:val="1"/>
      <w:marLeft w:val="0"/>
      <w:marRight w:val="0"/>
      <w:marTop w:val="0"/>
      <w:marBottom w:val="0"/>
      <w:divBdr>
        <w:top w:val="none" w:sz="0" w:space="0" w:color="auto"/>
        <w:left w:val="none" w:sz="0" w:space="0" w:color="auto"/>
        <w:bottom w:val="none" w:sz="0" w:space="0" w:color="auto"/>
        <w:right w:val="none" w:sz="0" w:space="0" w:color="auto"/>
      </w:divBdr>
    </w:div>
    <w:div w:id="1765345279">
      <w:bodyDiv w:val="1"/>
      <w:marLeft w:val="0"/>
      <w:marRight w:val="0"/>
      <w:marTop w:val="0"/>
      <w:marBottom w:val="0"/>
      <w:divBdr>
        <w:top w:val="none" w:sz="0" w:space="0" w:color="auto"/>
        <w:left w:val="none" w:sz="0" w:space="0" w:color="auto"/>
        <w:bottom w:val="none" w:sz="0" w:space="0" w:color="auto"/>
        <w:right w:val="none" w:sz="0" w:space="0" w:color="auto"/>
      </w:divBdr>
    </w:div>
    <w:div w:id="1766883167">
      <w:bodyDiv w:val="1"/>
      <w:marLeft w:val="0"/>
      <w:marRight w:val="0"/>
      <w:marTop w:val="0"/>
      <w:marBottom w:val="0"/>
      <w:divBdr>
        <w:top w:val="none" w:sz="0" w:space="0" w:color="auto"/>
        <w:left w:val="none" w:sz="0" w:space="0" w:color="auto"/>
        <w:bottom w:val="none" w:sz="0" w:space="0" w:color="auto"/>
        <w:right w:val="none" w:sz="0" w:space="0" w:color="auto"/>
      </w:divBdr>
    </w:div>
    <w:div w:id="1771273338">
      <w:bodyDiv w:val="1"/>
      <w:marLeft w:val="0"/>
      <w:marRight w:val="0"/>
      <w:marTop w:val="0"/>
      <w:marBottom w:val="0"/>
      <w:divBdr>
        <w:top w:val="none" w:sz="0" w:space="0" w:color="auto"/>
        <w:left w:val="none" w:sz="0" w:space="0" w:color="auto"/>
        <w:bottom w:val="none" w:sz="0" w:space="0" w:color="auto"/>
        <w:right w:val="none" w:sz="0" w:space="0" w:color="auto"/>
      </w:divBdr>
    </w:div>
    <w:div w:id="1776317851">
      <w:bodyDiv w:val="1"/>
      <w:marLeft w:val="0"/>
      <w:marRight w:val="0"/>
      <w:marTop w:val="0"/>
      <w:marBottom w:val="0"/>
      <w:divBdr>
        <w:top w:val="none" w:sz="0" w:space="0" w:color="auto"/>
        <w:left w:val="none" w:sz="0" w:space="0" w:color="auto"/>
        <w:bottom w:val="none" w:sz="0" w:space="0" w:color="auto"/>
        <w:right w:val="none" w:sz="0" w:space="0" w:color="auto"/>
      </w:divBdr>
    </w:div>
    <w:div w:id="1778207677">
      <w:bodyDiv w:val="1"/>
      <w:marLeft w:val="0"/>
      <w:marRight w:val="0"/>
      <w:marTop w:val="0"/>
      <w:marBottom w:val="0"/>
      <w:divBdr>
        <w:top w:val="none" w:sz="0" w:space="0" w:color="auto"/>
        <w:left w:val="none" w:sz="0" w:space="0" w:color="auto"/>
        <w:bottom w:val="none" w:sz="0" w:space="0" w:color="auto"/>
        <w:right w:val="none" w:sz="0" w:space="0" w:color="auto"/>
      </w:divBdr>
    </w:div>
    <w:div w:id="1779792665">
      <w:bodyDiv w:val="1"/>
      <w:marLeft w:val="0"/>
      <w:marRight w:val="0"/>
      <w:marTop w:val="0"/>
      <w:marBottom w:val="0"/>
      <w:divBdr>
        <w:top w:val="none" w:sz="0" w:space="0" w:color="auto"/>
        <w:left w:val="none" w:sz="0" w:space="0" w:color="auto"/>
        <w:bottom w:val="none" w:sz="0" w:space="0" w:color="auto"/>
        <w:right w:val="none" w:sz="0" w:space="0" w:color="auto"/>
      </w:divBdr>
    </w:div>
    <w:div w:id="1783915758">
      <w:bodyDiv w:val="1"/>
      <w:marLeft w:val="0"/>
      <w:marRight w:val="0"/>
      <w:marTop w:val="0"/>
      <w:marBottom w:val="0"/>
      <w:divBdr>
        <w:top w:val="none" w:sz="0" w:space="0" w:color="auto"/>
        <w:left w:val="none" w:sz="0" w:space="0" w:color="auto"/>
        <w:bottom w:val="none" w:sz="0" w:space="0" w:color="auto"/>
        <w:right w:val="none" w:sz="0" w:space="0" w:color="auto"/>
      </w:divBdr>
    </w:div>
    <w:div w:id="1784765264">
      <w:bodyDiv w:val="1"/>
      <w:marLeft w:val="0"/>
      <w:marRight w:val="0"/>
      <w:marTop w:val="0"/>
      <w:marBottom w:val="0"/>
      <w:divBdr>
        <w:top w:val="none" w:sz="0" w:space="0" w:color="auto"/>
        <w:left w:val="none" w:sz="0" w:space="0" w:color="auto"/>
        <w:bottom w:val="none" w:sz="0" w:space="0" w:color="auto"/>
        <w:right w:val="none" w:sz="0" w:space="0" w:color="auto"/>
      </w:divBdr>
    </w:div>
    <w:div w:id="1788238933">
      <w:bodyDiv w:val="1"/>
      <w:marLeft w:val="0"/>
      <w:marRight w:val="0"/>
      <w:marTop w:val="0"/>
      <w:marBottom w:val="0"/>
      <w:divBdr>
        <w:top w:val="none" w:sz="0" w:space="0" w:color="auto"/>
        <w:left w:val="none" w:sz="0" w:space="0" w:color="auto"/>
        <w:bottom w:val="none" w:sz="0" w:space="0" w:color="auto"/>
        <w:right w:val="none" w:sz="0" w:space="0" w:color="auto"/>
      </w:divBdr>
    </w:div>
    <w:div w:id="1793015540">
      <w:bodyDiv w:val="1"/>
      <w:marLeft w:val="0"/>
      <w:marRight w:val="0"/>
      <w:marTop w:val="0"/>
      <w:marBottom w:val="0"/>
      <w:divBdr>
        <w:top w:val="none" w:sz="0" w:space="0" w:color="auto"/>
        <w:left w:val="none" w:sz="0" w:space="0" w:color="auto"/>
        <w:bottom w:val="none" w:sz="0" w:space="0" w:color="auto"/>
        <w:right w:val="none" w:sz="0" w:space="0" w:color="auto"/>
      </w:divBdr>
    </w:div>
    <w:div w:id="1797136588">
      <w:bodyDiv w:val="1"/>
      <w:marLeft w:val="0"/>
      <w:marRight w:val="0"/>
      <w:marTop w:val="0"/>
      <w:marBottom w:val="0"/>
      <w:divBdr>
        <w:top w:val="none" w:sz="0" w:space="0" w:color="auto"/>
        <w:left w:val="none" w:sz="0" w:space="0" w:color="auto"/>
        <w:bottom w:val="none" w:sz="0" w:space="0" w:color="auto"/>
        <w:right w:val="none" w:sz="0" w:space="0" w:color="auto"/>
      </w:divBdr>
    </w:div>
    <w:div w:id="1797719633">
      <w:bodyDiv w:val="1"/>
      <w:marLeft w:val="0"/>
      <w:marRight w:val="0"/>
      <w:marTop w:val="0"/>
      <w:marBottom w:val="0"/>
      <w:divBdr>
        <w:top w:val="none" w:sz="0" w:space="0" w:color="auto"/>
        <w:left w:val="none" w:sz="0" w:space="0" w:color="auto"/>
        <w:bottom w:val="none" w:sz="0" w:space="0" w:color="auto"/>
        <w:right w:val="none" w:sz="0" w:space="0" w:color="auto"/>
      </w:divBdr>
    </w:div>
    <w:div w:id="1798990845">
      <w:bodyDiv w:val="1"/>
      <w:marLeft w:val="0"/>
      <w:marRight w:val="0"/>
      <w:marTop w:val="0"/>
      <w:marBottom w:val="0"/>
      <w:divBdr>
        <w:top w:val="none" w:sz="0" w:space="0" w:color="auto"/>
        <w:left w:val="none" w:sz="0" w:space="0" w:color="auto"/>
        <w:bottom w:val="none" w:sz="0" w:space="0" w:color="auto"/>
        <w:right w:val="none" w:sz="0" w:space="0" w:color="auto"/>
      </w:divBdr>
    </w:div>
    <w:div w:id="1806192768">
      <w:bodyDiv w:val="1"/>
      <w:marLeft w:val="0"/>
      <w:marRight w:val="0"/>
      <w:marTop w:val="0"/>
      <w:marBottom w:val="0"/>
      <w:divBdr>
        <w:top w:val="none" w:sz="0" w:space="0" w:color="auto"/>
        <w:left w:val="none" w:sz="0" w:space="0" w:color="auto"/>
        <w:bottom w:val="none" w:sz="0" w:space="0" w:color="auto"/>
        <w:right w:val="none" w:sz="0" w:space="0" w:color="auto"/>
      </w:divBdr>
    </w:div>
    <w:div w:id="1807701281">
      <w:bodyDiv w:val="1"/>
      <w:marLeft w:val="0"/>
      <w:marRight w:val="0"/>
      <w:marTop w:val="0"/>
      <w:marBottom w:val="0"/>
      <w:divBdr>
        <w:top w:val="none" w:sz="0" w:space="0" w:color="auto"/>
        <w:left w:val="none" w:sz="0" w:space="0" w:color="auto"/>
        <w:bottom w:val="none" w:sz="0" w:space="0" w:color="auto"/>
        <w:right w:val="none" w:sz="0" w:space="0" w:color="auto"/>
      </w:divBdr>
    </w:div>
    <w:div w:id="1809056522">
      <w:bodyDiv w:val="1"/>
      <w:marLeft w:val="0"/>
      <w:marRight w:val="0"/>
      <w:marTop w:val="0"/>
      <w:marBottom w:val="0"/>
      <w:divBdr>
        <w:top w:val="none" w:sz="0" w:space="0" w:color="auto"/>
        <w:left w:val="none" w:sz="0" w:space="0" w:color="auto"/>
        <w:bottom w:val="none" w:sz="0" w:space="0" w:color="auto"/>
        <w:right w:val="none" w:sz="0" w:space="0" w:color="auto"/>
      </w:divBdr>
    </w:div>
    <w:div w:id="1813209831">
      <w:bodyDiv w:val="1"/>
      <w:marLeft w:val="0"/>
      <w:marRight w:val="0"/>
      <w:marTop w:val="0"/>
      <w:marBottom w:val="0"/>
      <w:divBdr>
        <w:top w:val="none" w:sz="0" w:space="0" w:color="auto"/>
        <w:left w:val="none" w:sz="0" w:space="0" w:color="auto"/>
        <w:bottom w:val="none" w:sz="0" w:space="0" w:color="auto"/>
        <w:right w:val="none" w:sz="0" w:space="0" w:color="auto"/>
      </w:divBdr>
    </w:div>
    <w:div w:id="1814831689">
      <w:bodyDiv w:val="1"/>
      <w:marLeft w:val="0"/>
      <w:marRight w:val="0"/>
      <w:marTop w:val="0"/>
      <w:marBottom w:val="0"/>
      <w:divBdr>
        <w:top w:val="none" w:sz="0" w:space="0" w:color="auto"/>
        <w:left w:val="none" w:sz="0" w:space="0" w:color="auto"/>
        <w:bottom w:val="none" w:sz="0" w:space="0" w:color="auto"/>
        <w:right w:val="none" w:sz="0" w:space="0" w:color="auto"/>
      </w:divBdr>
    </w:div>
    <w:div w:id="1825196312">
      <w:bodyDiv w:val="1"/>
      <w:marLeft w:val="0"/>
      <w:marRight w:val="0"/>
      <w:marTop w:val="0"/>
      <w:marBottom w:val="0"/>
      <w:divBdr>
        <w:top w:val="none" w:sz="0" w:space="0" w:color="auto"/>
        <w:left w:val="none" w:sz="0" w:space="0" w:color="auto"/>
        <w:bottom w:val="none" w:sz="0" w:space="0" w:color="auto"/>
        <w:right w:val="none" w:sz="0" w:space="0" w:color="auto"/>
      </w:divBdr>
    </w:div>
    <w:div w:id="1825315798">
      <w:bodyDiv w:val="1"/>
      <w:marLeft w:val="0"/>
      <w:marRight w:val="0"/>
      <w:marTop w:val="0"/>
      <w:marBottom w:val="0"/>
      <w:divBdr>
        <w:top w:val="none" w:sz="0" w:space="0" w:color="auto"/>
        <w:left w:val="none" w:sz="0" w:space="0" w:color="auto"/>
        <w:bottom w:val="none" w:sz="0" w:space="0" w:color="auto"/>
        <w:right w:val="none" w:sz="0" w:space="0" w:color="auto"/>
      </w:divBdr>
    </w:div>
    <w:div w:id="1832136249">
      <w:bodyDiv w:val="1"/>
      <w:marLeft w:val="0"/>
      <w:marRight w:val="0"/>
      <w:marTop w:val="0"/>
      <w:marBottom w:val="0"/>
      <w:divBdr>
        <w:top w:val="none" w:sz="0" w:space="0" w:color="auto"/>
        <w:left w:val="none" w:sz="0" w:space="0" w:color="auto"/>
        <w:bottom w:val="none" w:sz="0" w:space="0" w:color="auto"/>
        <w:right w:val="none" w:sz="0" w:space="0" w:color="auto"/>
      </w:divBdr>
    </w:div>
    <w:div w:id="1841848703">
      <w:bodyDiv w:val="1"/>
      <w:marLeft w:val="0"/>
      <w:marRight w:val="0"/>
      <w:marTop w:val="0"/>
      <w:marBottom w:val="0"/>
      <w:divBdr>
        <w:top w:val="none" w:sz="0" w:space="0" w:color="auto"/>
        <w:left w:val="none" w:sz="0" w:space="0" w:color="auto"/>
        <w:bottom w:val="none" w:sz="0" w:space="0" w:color="auto"/>
        <w:right w:val="none" w:sz="0" w:space="0" w:color="auto"/>
      </w:divBdr>
    </w:div>
    <w:div w:id="1848330014">
      <w:bodyDiv w:val="1"/>
      <w:marLeft w:val="0"/>
      <w:marRight w:val="0"/>
      <w:marTop w:val="0"/>
      <w:marBottom w:val="0"/>
      <w:divBdr>
        <w:top w:val="none" w:sz="0" w:space="0" w:color="auto"/>
        <w:left w:val="none" w:sz="0" w:space="0" w:color="auto"/>
        <w:bottom w:val="none" w:sz="0" w:space="0" w:color="auto"/>
        <w:right w:val="none" w:sz="0" w:space="0" w:color="auto"/>
      </w:divBdr>
    </w:div>
    <w:div w:id="1848446739">
      <w:bodyDiv w:val="1"/>
      <w:marLeft w:val="0"/>
      <w:marRight w:val="0"/>
      <w:marTop w:val="0"/>
      <w:marBottom w:val="0"/>
      <w:divBdr>
        <w:top w:val="none" w:sz="0" w:space="0" w:color="auto"/>
        <w:left w:val="none" w:sz="0" w:space="0" w:color="auto"/>
        <w:bottom w:val="none" w:sz="0" w:space="0" w:color="auto"/>
        <w:right w:val="none" w:sz="0" w:space="0" w:color="auto"/>
      </w:divBdr>
    </w:div>
    <w:div w:id="1854877495">
      <w:bodyDiv w:val="1"/>
      <w:marLeft w:val="0"/>
      <w:marRight w:val="0"/>
      <w:marTop w:val="0"/>
      <w:marBottom w:val="0"/>
      <w:divBdr>
        <w:top w:val="none" w:sz="0" w:space="0" w:color="auto"/>
        <w:left w:val="none" w:sz="0" w:space="0" w:color="auto"/>
        <w:bottom w:val="none" w:sz="0" w:space="0" w:color="auto"/>
        <w:right w:val="none" w:sz="0" w:space="0" w:color="auto"/>
      </w:divBdr>
    </w:div>
    <w:div w:id="1862355297">
      <w:bodyDiv w:val="1"/>
      <w:marLeft w:val="0"/>
      <w:marRight w:val="0"/>
      <w:marTop w:val="0"/>
      <w:marBottom w:val="0"/>
      <w:divBdr>
        <w:top w:val="none" w:sz="0" w:space="0" w:color="auto"/>
        <w:left w:val="none" w:sz="0" w:space="0" w:color="auto"/>
        <w:bottom w:val="none" w:sz="0" w:space="0" w:color="auto"/>
        <w:right w:val="none" w:sz="0" w:space="0" w:color="auto"/>
      </w:divBdr>
    </w:div>
    <w:div w:id="1864781435">
      <w:bodyDiv w:val="1"/>
      <w:marLeft w:val="0"/>
      <w:marRight w:val="0"/>
      <w:marTop w:val="0"/>
      <w:marBottom w:val="0"/>
      <w:divBdr>
        <w:top w:val="none" w:sz="0" w:space="0" w:color="auto"/>
        <w:left w:val="none" w:sz="0" w:space="0" w:color="auto"/>
        <w:bottom w:val="none" w:sz="0" w:space="0" w:color="auto"/>
        <w:right w:val="none" w:sz="0" w:space="0" w:color="auto"/>
      </w:divBdr>
    </w:div>
    <w:div w:id="1869641818">
      <w:bodyDiv w:val="1"/>
      <w:marLeft w:val="0"/>
      <w:marRight w:val="0"/>
      <w:marTop w:val="0"/>
      <w:marBottom w:val="0"/>
      <w:divBdr>
        <w:top w:val="none" w:sz="0" w:space="0" w:color="auto"/>
        <w:left w:val="none" w:sz="0" w:space="0" w:color="auto"/>
        <w:bottom w:val="none" w:sz="0" w:space="0" w:color="auto"/>
        <w:right w:val="none" w:sz="0" w:space="0" w:color="auto"/>
      </w:divBdr>
    </w:div>
    <w:div w:id="1869684664">
      <w:bodyDiv w:val="1"/>
      <w:marLeft w:val="0"/>
      <w:marRight w:val="0"/>
      <w:marTop w:val="0"/>
      <w:marBottom w:val="0"/>
      <w:divBdr>
        <w:top w:val="none" w:sz="0" w:space="0" w:color="auto"/>
        <w:left w:val="none" w:sz="0" w:space="0" w:color="auto"/>
        <w:bottom w:val="none" w:sz="0" w:space="0" w:color="auto"/>
        <w:right w:val="none" w:sz="0" w:space="0" w:color="auto"/>
      </w:divBdr>
    </w:div>
    <w:div w:id="1871141450">
      <w:bodyDiv w:val="1"/>
      <w:marLeft w:val="0"/>
      <w:marRight w:val="0"/>
      <w:marTop w:val="0"/>
      <w:marBottom w:val="0"/>
      <w:divBdr>
        <w:top w:val="none" w:sz="0" w:space="0" w:color="auto"/>
        <w:left w:val="none" w:sz="0" w:space="0" w:color="auto"/>
        <w:bottom w:val="none" w:sz="0" w:space="0" w:color="auto"/>
        <w:right w:val="none" w:sz="0" w:space="0" w:color="auto"/>
      </w:divBdr>
    </w:div>
    <w:div w:id="1871600171">
      <w:bodyDiv w:val="1"/>
      <w:marLeft w:val="0"/>
      <w:marRight w:val="0"/>
      <w:marTop w:val="0"/>
      <w:marBottom w:val="0"/>
      <w:divBdr>
        <w:top w:val="none" w:sz="0" w:space="0" w:color="auto"/>
        <w:left w:val="none" w:sz="0" w:space="0" w:color="auto"/>
        <w:bottom w:val="none" w:sz="0" w:space="0" w:color="auto"/>
        <w:right w:val="none" w:sz="0" w:space="0" w:color="auto"/>
      </w:divBdr>
    </w:div>
    <w:div w:id="1875725834">
      <w:bodyDiv w:val="1"/>
      <w:marLeft w:val="0"/>
      <w:marRight w:val="0"/>
      <w:marTop w:val="0"/>
      <w:marBottom w:val="0"/>
      <w:divBdr>
        <w:top w:val="none" w:sz="0" w:space="0" w:color="auto"/>
        <w:left w:val="none" w:sz="0" w:space="0" w:color="auto"/>
        <w:bottom w:val="none" w:sz="0" w:space="0" w:color="auto"/>
        <w:right w:val="none" w:sz="0" w:space="0" w:color="auto"/>
      </w:divBdr>
    </w:div>
    <w:div w:id="1877808375">
      <w:bodyDiv w:val="1"/>
      <w:marLeft w:val="0"/>
      <w:marRight w:val="0"/>
      <w:marTop w:val="0"/>
      <w:marBottom w:val="0"/>
      <w:divBdr>
        <w:top w:val="none" w:sz="0" w:space="0" w:color="auto"/>
        <w:left w:val="none" w:sz="0" w:space="0" w:color="auto"/>
        <w:bottom w:val="none" w:sz="0" w:space="0" w:color="auto"/>
        <w:right w:val="none" w:sz="0" w:space="0" w:color="auto"/>
      </w:divBdr>
    </w:div>
    <w:div w:id="1879196198">
      <w:bodyDiv w:val="1"/>
      <w:marLeft w:val="0"/>
      <w:marRight w:val="0"/>
      <w:marTop w:val="0"/>
      <w:marBottom w:val="0"/>
      <w:divBdr>
        <w:top w:val="none" w:sz="0" w:space="0" w:color="auto"/>
        <w:left w:val="none" w:sz="0" w:space="0" w:color="auto"/>
        <w:bottom w:val="none" w:sz="0" w:space="0" w:color="auto"/>
        <w:right w:val="none" w:sz="0" w:space="0" w:color="auto"/>
      </w:divBdr>
    </w:div>
    <w:div w:id="1881433074">
      <w:bodyDiv w:val="1"/>
      <w:marLeft w:val="0"/>
      <w:marRight w:val="0"/>
      <w:marTop w:val="0"/>
      <w:marBottom w:val="0"/>
      <w:divBdr>
        <w:top w:val="none" w:sz="0" w:space="0" w:color="auto"/>
        <w:left w:val="none" w:sz="0" w:space="0" w:color="auto"/>
        <w:bottom w:val="none" w:sz="0" w:space="0" w:color="auto"/>
        <w:right w:val="none" w:sz="0" w:space="0" w:color="auto"/>
      </w:divBdr>
    </w:div>
    <w:div w:id="1883663617">
      <w:bodyDiv w:val="1"/>
      <w:marLeft w:val="0"/>
      <w:marRight w:val="0"/>
      <w:marTop w:val="0"/>
      <w:marBottom w:val="0"/>
      <w:divBdr>
        <w:top w:val="none" w:sz="0" w:space="0" w:color="auto"/>
        <w:left w:val="none" w:sz="0" w:space="0" w:color="auto"/>
        <w:bottom w:val="none" w:sz="0" w:space="0" w:color="auto"/>
        <w:right w:val="none" w:sz="0" w:space="0" w:color="auto"/>
      </w:divBdr>
    </w:div>
    <w:div w:id="1885949606">
      <w:bodyDiv w:val="1"/>
      <w:marLeft w:val="0"/>
      <w:marRight w:val="0"/>
      <w:marTop w:val="0"/>
      <w:marBottom w:val="0"/>
      <w:divBdr>
        <w:top w:val="none" w:sz="0" w:space="0" w:color="auto"/>
        <w:left w:val="none" w:sz="0" w:space="0" w:color="auto"/>
        <w:bottom w:val="none" w:sz="0" w:space="0" w:color="auto"/>
        <w:right w:val="none" w:sz="0" w:space="0" w:color="auto"/>
      </w:divBdr>
    </w:div>
    <w:div w:id="1886983472">
      <w:bodyDiv w:val="1"/>
      <w:marLeft w:val="0"/>
      <w:marRight w:val="0"/>
      <w:marTop w:val="0"/>
      <w:marBottom w:val="0"/>
      <w:divBdr>
        <w:top w:val="none" w:sz="0" w:space="0" w:color="auto"/>
        <w:left w:val="none" w:sz="0" w:space="0" w:color="auto"/>
        <w:bottom w:val="none" w:sz="0" w:space="0" w:color="auto"/>
        <w:right w:val="none" w:sz="0" w:space="0" w:color="auto"/>
      </w:divBdr>
    </w:div>
    <w:div w:id="1890610191">
      <w:bodyDiv w:val="1"/>
      <w:marLeft w:val="0"/>
      <w:marRight w:val="0"/>
      <w:marTop w:val="0"/>
      <w:marBottom w:val="0"/>
      <w:divBdr>
        <w:top w:val="none" w:sz="0" w:space="0" w:color="auto"/>
        <w:left w:val="none" w:sz="0" w:space="0" w:color="auto"/>
        <w:bottom w:val="none" w:sz="0" w:space="0" w:color="auto"/>
        <w:right w:val="none" w:sz="0" w:space="0" w:color="auto"/>
      </w:divBdr>
    </w:div>
    <w:div w:id="1894267704">
      <w:bodyDiv w:val="1"/>
      <w:marLeft w:val="0"/>
      <w:marRight w:val="0"/>
      <w:marTop w:val="0"/>
      <w:marBottom w:val="0"/>
      <w:divBdr>
        <w:top w:val="none" w:sz="0" w:space="0" w:color="auto"/>
        <w:left w:val="none" w:sz="0" w:space="0" w:color="auto"/>
        <w:bottom w:val="none" w:sz="0" w:space="0" w:color="auto"/>
        <w:right w:val="none" w:sz="0" w:space="0" w:color="auto"/>
      </w:divBdr>
    </w:div>
    <w:div w:id="1899319945">
      <w:bodyDiv w:val="1"/>
      <w:marLeft w:val="0"/>
      <w:marRight w:val="0"/>
      <w:marTop w:val="0"/>
      <w:marBottom w:val="0"/>
      <w:divBdr>
        <w:top w:val="none" w:sz="0" w:space="0" w:color="auto"/>
        <w:left w:val="none" w:sz="0" w:space="0" w:color="auto"/>
        <w:bottom w:val="none" w:sz="0" w:space="0" w:color="auto"/>
        <w:right w:val="none" w:sz="0" w:space="0" w:color="auto"/>
      </w:divBdr>
    </w:div>
    <w:div w:id="1900164857">
      <w:bodyDiv w:val="1"/>
      <w:marLeft w:val="0"/>
      <w:marRight w:val="0"/>
      <w:marTop w:val="0"/>
      <w:marBottom w:val="0"/>
      <w:divBdr>
        <w:top w:val="none" w:sz="0" w:space="0" w:color="auto"/>
        <w:left w:val="none" w:sz="0" w:space="0" w:color="auto"/>
        <w:bottom w:val="none" w:sz="0" w:space="0" w:color="auto"/>
        <w:right w:val="none" w:sz="0" w:space="0" w:color="auto"/>
      </w:divBdr>
    </w:div>
    <w:div w:id="1902672253">
      <w:bodyDiv w:val="1"/>
      <w:marLeft w:val="0"/>
      <w:marRight w:val="0"/>
      <w:marTop w:val="0"/>
      <w:marBottom w:val="0"/>
      <w:divBdr>
        <w:top w:val="none" w:sz="0" w:space="0" w:color="auto"/>
        <w:left w:val="none" w:sz="0" w:space="0" w:color="auto"/>
        <w:bottom w:val="none" w:sz="0" w:space="0" w:color="auto"/>
        <w:right w:val="none" w:sz="0" w:space="0" w:color="auto"/>
      </w:divBdr>
    </w:div>
    <w:div w:id="1905867907">
      <w:bodyDiv w:val="1"/>
      <w:marLeft w:val="0"/>
      <w:marRight w:val="0"/>
      <w:marTop w:val="0"/>
      <w:marBottom w:val="0"/>
      <w:divBdr>
        <w:top w:val="none" w:sz="0" w:space="0" w:color="auto"/>
        <w:left w:val="none" w:sz="0" w:space="0" w:color="auto"/>
        <w:bottom w:val="none" w:sz="0" w:space="0" w:color="auto"/>
        <w:right w:val="none" w:sz="0" w:space="0" w:color="auto"/>
      </w:divBdr>
    </w:div>
    <w:div w:id="1906338404">
      <w:bodyDiv w:val="1"/>
      <w:marLeft w:val="0"/>
      <w:marRight w:val="0"/>
      <w:marTop w:val="0"/>
      <w:marBottom w:val="0"/>
      <w:divBdr>
        <w:top w:val="none" w:sz="0" w:space="0" w:color="auto"/>
        <w:left w:val="none" w:sz="0" w:space="0" w:color="auto"/>
        <w:bottom w:val="none" w:sz="0" w:space="0" w:color="auto"/>
        <w:right w:val="none" w:sz="0" w:space="0" w:color="auto"/>
      </w:divBdr>
    </w:div>
    <w:div w:id="1906724219">
      <w:bodyDiv w:val="1"/>
      <w:marLeft w:val="0"/>
      <w:marRight w:val="0"/>
      <w:marTop w:val="0"/>
      <w:marBottom w:val="0"/>
      <w:divBdr>
        <w:top w:val="none" w:sz="0" w:space="0" w:color="auto"/>
        <w:left w:val="none" w:sz="0" w:space="0" w:color="auto"/>
        <w:bottom w:val="none" w:sz="0" w:space="0" w:color="auto"/>
        <w:right w:val="none" w:sz="0" w:space="0" w:color="auto"/>
      </w:divBdr>
    </w:div>
    <w:div w:id="1907258995">
      <w:bodyDiv w:val="1"/>
      <w:marLeft w:val="0"/>
      <w:marRight w:val="0"/>
      <w:marTop w:val="0"/>
      <w:marBottom w:val="0"/>
      <w:divBdr>
        <w:top w:val="none" w:sz="0" w:space="0" w:color="auto"/>
        <w:left w:val="none" w:sz="0" w:space="0" w:color="auto"/>
        <w:bottom w:val="none" w:sz="0" w:space="0" w:color="auto"/>
        <w:right w:val="none" w:sz="0" w:space="0" w:color="auto"/>
      </w:divBdr>
    </w:div>
    <w:div w:id="1907374442">
      <w:bodyDiv w:val="1"/>
      <w:marLeft w:val="0"/>
      <w:marRight w:val="0"/>
      <w:marTop w:val="0"/>
      <w:marBottom w:val="0"/>
      <w:divBdr>
        <w:top w:val="none" w:sz="0" w:space="0" w:color="auto"/>
        <w:left w:val="none" w:sz="0" w:space="0" w:color="auto"/>
        <w:bottom w:val="none" w:sz="0" w:space="0" w:color="auto"/>
        <w:right w:val="none" w:sz="0" w:space="0" w:color="auto"/>
      </w:divBdr>
    </w:div>
    <w:div w:id="1915627376">
      <w:bodyDiv w:val="1"/>
      <w:marLeft w:val="0"/>
      <w:marRight w:val="0"/>
      <w:marTop w:val="0"/>
      <w:marBottom w:val="0"/>
      <w:divBdr>
        <w:top w:val="none" w:sz="0" w:space="0" w:color="auto"/>
        <w:left w:val="none" w:sz="0" w:space="0" w:color="auto"/>
        <w:bottom w:val="none" w:sz="0" w:space="0" w:color="auto"/>
        <w:right w:val="none" w:sz="0" w:space="0" w:color="auto"/>
      </w:divBdr>
    </w:div>
    <w:div w:id="1932857725">
      <w:bodyDiv w:val="1"/>
      <w:marLeft w:val="0"/>
      <w:marRight w:val="0"/>
      <w:marTop w:val="0"/>
      <w:marBottom w:val="0"/>
      <w:divBdr>
        <w:top w:val="none" w:sz="0" w:space="0" w:color="auto"/>
        <w:left w:val="none" w:sz="0" w:space="0" w:color="auto"/>
        <w:bottom w:val="none" w:sz="0" w:space="0" w:color="auto"/>
        <w:right w:val="none" w:sz="0" w:space="0" w:color="auto"/>
      </w:divBdr>
    </w:div>
    <w:div w:id="1933708542">
      <w:bodyDiv w:val="1"/>
      <w:marLeft w:val="0"/>
      <w:marRight w:val="0"/>
      <w:marTop w:val="0"/>
      <w:marBottom w:val="0"/>
      <w:divBdr>
        <w:top w:val="none" w:sz="0" w:space="0" w:color="auto"/>
        <w:left w:val="none" w:sz="0" w:space="0" w:color="auto"/>
        <w:bottom w:val="none" w:sz="0" w:space="0" w:color="auto"/>
        <w:right w:val="none" w:sz="0" w:space="0" w:color="auto"/>
      </w:divBdr>
    </w:div>
    <w:div w:id="1937903541">
      <w:bodyDiv w:val="1"/>
      <w:marLeft w:val="0"/>
      <w:marRight w:val="0"/>
      <w:marTop w:val="0"/>
      <w:marBottom w:val="0"/>
      <w:divBdr>
        <w:top w:val="none" w:sz="0" w:space="0" w:color="auto"/>
        <w:left w:val="none" w:sz="0" w:space="0" w:color="auto"/>
        <w:bottom w:val="none" w:sz="0" w:space="0" w:color="auto"/>
        <w:right w:val="none" w:sz="0" w:space="0" w:color="auto"/>
      </w:divBdr>
    </w:div>
    <w:div w:id="1946308558">
      <w:bodyDiv w:val="1"/>
      <w:marLeft w:val="0"/>
      <w:marRight w:val="0"/>
      <w:marTop w:val="0"/>
      <w:marBottom w:val="0"/>
      <w:divBdr>
        <w:top w:val="none" w:sz="0" w:space="0" w:color="auto"/>
        <w:left w:val="none" w:sz="0" w:space="0" w:color="auto"/>
        <w:bottom w:val="none" w:sz="0" w:space="0" w:color="auto"/>
        <w:right w:val="none" w:sz="0" w:space="0" w:color="auto"/>
      </w:divBdr>
    </w:div>
    <w:div w:id="1947931420">
      <w:bodyDiv w:val="1"/>
      <w:marLeft w:val="0"/>
      <w:marRight w:val="0"/>
      <w:marTop w:val="0"/>
      <w:marBottom w:val="0"/>
      <w:divBdr>
        <w:top w:val="none" w:sz="0" w:space="0" w:color="auto"/>
        <w:left w:val="none" w:sz="0" w:space="0" w:color="auto"/>
        <w:bottom w:val="none" w:sz="0" w:space="0" w:color="auto"/>
        <w:right w:val="none" w:sz="0" w:space="0" w:color="auto"/>
      </w:divBdr>
    </w:div>
    <w:div w:id="1960409046">
      <w:bodyDiv w:val="1"/>
      <w:marLeft w:val="0"/>
      <w:marRight w:val="0"/>
      <w:marTop w:val="0"/>
      <w:marBottom w:val="0"/>
      <w:divBdr>
        <w:top w:val="none" w:sz="0" w:space="0" w:color="auto"/>
        <w:left w:val="none" w:sz="0" w:space="0" w:color="auto"/>
        <w:bottom w:val="none" w:sz="0" w:space="0" w:color="auto"/>
        <w:right w:val="none" w:sz="0" w:space="0" w:color="auto"/>
      </w:divBdr>
    </w:div>
    <w:div w:id="1962492437">
      <w:bodyDiv w:val="1"/>
      <w:marLeft w:val="0"/>
      <w:marRight w:val="0"/>
      <w:marTop w:val="0"/>
      <w:marBottom w:val="0"/>
      <w:divBdr>
        <w:top w:val="none" w:sz="0" w:space="0" w:color="auto"/>
        <w:left w:val="none" w:sz="0" w:space="0" w:color="auto"/>
        <w:bottom w:val="none" w:sz="0" w:space="0" w:color="auto"/>
        <w:right w:val="none" w:sz="0" w:space="0" w:color="auto"/>
      </w:divBdr>
    </w:div>
    <w:div w:id="1968077312">
      <w:bodyDiv w:val="1"/>
      <w:marLeft w:val="0"/>
      <w:marRight w:val="0"/>
      <w:marTop w:val="0"/>
      <w:marBottom w:val="0"/>
      <w:divBdr>
        <w:top w:val="none" w:sz="0" w:space="0" w:color="auto"/>
        <w:left w:val="none" w:sz="0" w:space="0" w:color="auto"/>
        <w:bottom w:val="none" w:sz="0" w:space="0" w:color="auto"/>
        <w:right w:val="none" w:sz="0" w:space="0" w:color="auto"/>
      </w:divBdr>
    </w:div>
    <w:div w:id="1968704942">
      <w:bodyDiv w:val="1"/>
      <w:marLeft w:val="0"/>
      <w:marRight w:val="0"/>
      <w:marTop w:val="0"/>
      <w:marBottom w:val="0"/>
      <w:divBdr>
        <w:top w:val="none" w:sz="0" w:space="0" w:color="auto"/>
        <w:left w:val="none" w:sz="0" w:space="0" w:color="auto"/>
        <w:bottom w:val="none" w:sz="0" w:space="0" w:color="auto"/>
        <w:right w:val="none" w:sz="0" w:space="0" w:color="auto"/>
      </w:divBdr>
    </w:div>
    <w:div w:id="1968855660">
      <w:bodyDiv w:val="1"/>
      <w:marLeft w:val="0"/>
      <w:marRight w:val="0"/>
      <w:marTop w:val="0"/>
      <w:marBottom w:val="0"/>
      <w:divBdr>
        <w:top w:val="none" w:sz="0" w:space="0" w:color="auto"/>
        <w:left w:val="none" w:sz="0" w:space="0" w:color="auto"/>
        <w:bottom w:val="none" w:sz="0" w:space="0" w:color="auto"/>
        <w:right w:val="none" w:sz="0" w:space="0" w:color="auto"/>
      </w:divBdr>
    </w:div>
    <w:div w:id="1974942802">
      <w:bodyDiv w:val="1"/>
      <w:marLeft w:val="0"/>
      <w:marRight w:val="0"/>
      <w:marTop w:val="0"/>
      <w:marBottom w:val="0"/>
      <w:divBdr>
        <w:top w:val="none" w:sz="0" w:space="0" w:color="auto"/>
        <w:left w:val="none" w:sz="0" w:space="0" w:color="auto"/>
        <w:bottom w:val="none" w:sz="0" w:space="0" w:color="auto"/>
        <w:right w:val="none" w:sz="0" w:space="0" w:color="auto"/>
      </w:divBdr>
    </w:div>
    <w:div w:id="1975913900">
      <w:bodyDiv w:val="1"/>
      <w:marLeft w:val="0"/>
      <w:marRight w:val="0"/>
      <w:marTop w:val="0"/>
      <w:marBottom w:val="0"/>
      <w:divBdr>
        <w:top w:val="none" w:sz="0" w:space="0" w:color="auto"/>
        <w:left w:val="none" w:sz="0" w:space="0" w:color="auto"/>
        <w:bottom w:val="none" w:sz="0" w:space="0" w:color="auto"/>
        <w:right w:val="none" w:sz="0" w:space="0" w:color="auto"/>
      </w:divBdr>
    </w:div>
    <w:div w:id="1978341224">
      <w:bodyDiv w:val="1"/>
      <w:marLeft w:val="0"/>
      <w:marRight w:val="0"/>
      <w:marTop w:val="0"/>
      <w:marBottom w:val="0"/>
      <w:divBdr>
        <w:top w:val="none" w:sz="0" w:space="0" w:color="auto"/>
        <w:left w:val="none" w:sz="0" w:space="0" w:color="auto"/>
        <w:bottom w:val="none" w:sz="0" w:space="0" w:color="auto"/>
        <w:right w:val="none" w:sz="0" w:space="0" w:color="auto"/>
      </w:divBdr>
    </w:div>
    <w:div w:id="1982490601">
      <w:bodyDiv w:val="1"/>
      <w:marLeft w:val="0"/>
      <w:marRight w:val="0"/>
      <w:marTop w:val="0"/>
      <w:marBottom w:val="0"/>
      <w:divBdr>
        <w:top w:val="none" w:sz="0" w:space="0" w:color="auto"/>
        <w:left w:val="none" w:sz="0" w:space="0" w:color="auto"/>
        <w:bottom w:val="none" w:sz="0" w:space="0" w:color="auto"/>
        <w:right w:val="none" w:sz="0" w:space="0" w:color="auto"/>
      </w:divBdr>
    </w:div>
    <w:div w:id="1984920724">
      <w:bodyDiv w:val="1"/>
      <w:marLeft w:val="0"/>
      <w:marRight w:val="0"/>
      <w:marTop w:val="0"/>
      <w:marBottom w:val="0"/>
      <w:divBdr>
        <w:top w:val="none" w:sz="0" w:space="0" w:color="auto"/>
        <w:left w:val="none" w:sz="0" w:space="0" w:color="auto"/>
        <w:bottom w:val="none" w:sz="0" w:space="0" w:color="auto"/>
        <w:right w:val="none" w:sz="0" w:space="0" w:color="auto"/>
      </w:divBdr>
    </w:div>
    <w:div w:id="1985156615">
      <w:bodyDiv w:val="1"/>
      <w:marLeft w:val="0"/>
      <w:marRight w:val="0"/>
      <w:marTop w:val="0"/>
      <w:marBottom w:val="0"/>
      <w:divBdr>
        <w:top w:val="none" w:sz="0" w:space="0" w:color="auto"/>
        <w:left w:val="none" w:sz="0" w:space="0" w:color="auto"/>
        <w:bottom w:val="none" w:sz="0" w:space="0" w:color="auto"/>
        <w:right w:val="none" w:sz="0" w:space="0" w:color="auto"/>
      </w:divBdr>
    </w:div>
    <w:div w:id="1985428227">
      <w:bodyDiv w:val="1"/>
      <w:marLeft w:val="0"/>
      <w:marRight w:val="0"/>
      <w:marTop w:val="0"/>
      <w:marBottom w:val="0"/>
      <w:divBdr>
        <w:top w:val="none" w:sz="0" w:space="0" w:color="auto"/>
        <w:left w:val="none" w:sz="0" w:space="0" w:color="auto"/>
        <w:bottom w:val="none" w:sz="0" w:space="0" w:color="auto"/>
        <w:right w:val="none" w:sz="0" w:space="0" w:color="auto"/>
      </w:divBdr>
    </w:div>
    <w:div w:id="1988389290">
      <w:bodyDiv w:val="1"/>
      <w:marLeft w:val="0"/>
      <w:marRight w:val="0"/>
      <w:marTop w:val="0"/>
      <w:marBottom w:val="0"/>
      <w:divBdr>
        <w:top w:val="none" w:sz="0" w:space="0" w:color="auto"/>
        <w:left w:val="none" w:sz="0" w:space="0" w:color="auto"/>
        <w:bottom w:val="none" w:sz="0" w:space="0" w:color="auto"/>
        <w:right w:val="none" w:sz="0" w:space="0" w:color="auto"/>
      </w:divBdr>
    </w:div>
    <w:div w:id="1990667197">
      <w:bodyDiv w:val="1"/>
      <w:marLeft w:val="0"/>
      <w:marRight w:val="0"/>
      <w:marTop w:val="0"/>
      <w:marBottom w:val="0"/>
      <w:divBdr>
        <w:top w:val="none" w:sz="0" w:space="0" w:color="auto"/>
        <w:left w:val="none" w:sz="0" w:space="0" w:color="auto"/>
        <w:bottom w:val="none" w:sz="0" w:space="0" w:color="auto"/>
        <w:right w:val="none" w:sz="0" w:space="0" w:color="auto"/>
      </w:divBdr>
    </w:div>
    <w:div w:id="2001885489">
      <w:bodyDiv w:val="1"/>
      <w:marLeft w:val="0"/>
      <w:marRight w:val="0"/>
      <w:marTop w:val="0"/>
      <w:marBottom w:val="0"/>
      <w:divBdr>
        <w:top w:val="none" w:sz="0" w:space="0" w:color="auto"/>
        <w:left w:val="none" w:sz="0" w:space="0" w:color="auto"/>
        <w:bottom w:val="none" w:sz="0" w:space="0" w:color="auto"/>
        <w:right w:val="none" w:sz="0" w:space="0" w:color="auto"/>
      </w:divBdr>
    </w:div>
    <w:div w:id="2002660226">
      <w:bodyDiv w:val="1"/>
      <w:marLeft w:val="0"/>
      <w:marRight w:val="0"/>
      <w:marTop w:val="0"/>
      <w:marBottom w:val="0"/>
      <w:divBdr>
        <w:top w:val="none" w:sz="0" w:space="0" w:color="auto"/>
        <w:left w:val="none" w:sz="0" w:space="0" w:color="auto"/>
        <w:bottom w:val="none" w:sz="0" w:space="0" w:color="auto"/>
        <w:right w:val="none" w:sz="0" w:space="0" w:color="auto"/>
      </w:divBdr>
    </w:div>
    <w:div w:id="2002853304">
      <w:bodyDiv w:val="1"/>
      <w:marLeft w:val="0"/>
      <w:marRight w:val="0"/>
      <w:marTop w:val="0"/>
      <w:marBottom w:val="0"/>
      <w:divBdr>
        <w:top w:val="none" w:sz="0" w:space="0" w:color="auto"/>
        <w:left w:val="none" w:sz="0" w:space="0" w:color="auto"/>
        <w:bottom w:val="none" w:sz="0" w:space="0" w:color="auto"/>
        <w:right w:val="none" w:sz="0" w:space="0" w:color="auto"/>
      </w:divBdr>
    </w:div>
    <w:div w:id="2013293819">
      <w:bodyDiv w:val="1"/>
      <w:marLeft w:val="0"/>
      <w:marRight w:val="0"/>
      <w:marTop w:val="0"/>
      <w:marBottom w:val="0"/>
      <w:divBdr>
        <w:top w:val="none" w:sz="0" w:space="0" w:color="auto"/>
        <w:left w:val="none" w:sz="0" w:space="0" w:color="auto"/>
        <w:bottom w:val="none" w:sz="0" w:space="0" w:color="auto"/>
        <w:right w:val="none" w:sz="0" w:space="0" w:color="auto"/>
      </w:divBdr>
    </w:div>
    <w:div w:id="2016564685">
      <w:bodyDiv w:val="1"/>
      <w:marLeft w:val="0"/>
      <w:marRight w:val="0"/>
      <w:marTop w:val="0"/>
      <w:marBottom w:val="0"/>
      <w:divBdr>
        <w:top w:val="none" w:sz="0" w:space="0" w:color="auto"/>
        <w:left w:val="none" w:sz="0" w:space="0" w:color="auto"/>
        <w:bottom w:val="none" w:sz="0" w:space="0" w:color="auto"/>
        <w:right w:val="none" w:sz="0" w:space="0" w:color="auto"/>
      </w:divBdr>
    </w:div>
    <w:div w:id="2018072434">
      <w:bodyDiv w:val="1"/>
      <w:marLeft w:val="0"/>
      <w:marRight w:val="0"/>
      <w:marTop w:val="0"/>
      <w:marBottom w:val="0"/>
      <w:divBdr>
        <w:top w:val="none" w:sz="0" w:space="0" w:color="auto"/>
        <w:left w:val="none" w:sz="0" w:space="0" w:color="auto"/>
        <w:bottom w:val="none" w:sz="0" w:space="0" w:color="auto"/>
        <w:right w:val="none" w:sz="0" w:space="0" w:color="auto"/>
      </w:divBdr>
    </w:div>
    <w:div w:id="2025787119">
      <w:bodyDiv w:val="1"/>
      <w:marLeft w:val="0"/>
      <w:marRight w:val="0"/>
      <w:marTop w:val="0"/>
      <w:marBottom w:val="0"/>
      <w:divBdr>
        <w:top w:val="none" w:sz="0" w:space="0" w:color="auto"/>
        <w:left w:val="none" w:sz="0" w:space="0" w:color="auto"/>
        <w:bottom w:val="none" w:sz="0" w:space="0" w:color="auto"/>
        <w:right w:val="none" w:sz="0" w:space="0" w:color="auto"/>
      </w:divBdr>
    </w:div>
    <w:div w:id="2028602669">
      <w:bodyDiv w:val="1"/>
      <w:marLeft w:val="0"/>
      <w:marRight w:val="0"/>
      <w:marTop w:val="0"/>
      <w:marBottom w:val="0"/>
      <w:divBdr>
        <w:top w:val="none" w:sz="0" w:space="0" w:color="auto"/>
        <w:left w:val="none" w:sz="0" w:space="0" w:color="auto"/>
        <w:bottom w:val="none" w:sz="0" w:space="0" w:color="auto"/>
        <w:right w:val="none" w:sz="0" w:space="0" w:color="auto"/>
      </w:divBdr>
    </w:div>
    <w:div w:id="2029480483">
      <w:bodyDiv w:val="1"/>
      <w:marLeft w:val="0"/>
      <w:marRight w:val="0"/>
      <w:marTop w:val="0"/>
      <w:marBottom w:val="0"/>
      <w:divBdr>
        <w:top w:val="none" w:sz="0" w:space="0" w:color="auto"/>
        <w:left w:val="none" w:sz="0" w:space="0" w:color="auto"/>
        <w:bottom w:val="none" w:sz="0" w:space="0" w:color="auto"/>
        <w:right w:val="none" w:sz="0" w:space="0" w:color="auto"/>
      </w:divBdr>
    </w:div>
    <w:div w:id="2030908153">
      <w:bodyDiv w:val="1"/>
      <w:marLeft w:val="0"/>
      <w:marRight w:val="0"/>
      <w:marTop w:val="0"/>
      <w:marBottom w:val="0"/>
      <w:divBdr>
        <w:top w:val="none" w:sz="0" w:space="0" w:color="auto"/>
        <w:left w:val="none" w:sz="0" w:space="0" w:color="auto"/>
        <w:bottom w:val="none" w:sz="0" w:space="0" w:color="auto"/>
        <w:right w:val="none" w:sz="0" w:space="0" w:color="auto"/>
      </w:divBdr>
    </w:div>
    <w:div w:id="2033913788">
      <w:bodyDiv w:val="1"/>
      <w:marLeft w:val="0"/>
      <w:marRight w:val="0"/>
      <w:marTop w:val="0"/>
      <w:marBottom w:val="0"/>
      <w:divBdr>
        <w:top w:val="none" w:sz="0" w:space="0" w:color="auto"/>
        <w:left w:val="none" w:sz="0" w:space="0" w:color="auto"/>
        <w:bottom w:val="none" w:sz="0" w:space="0" w:color="auto"/>
        <w:right w:val="none" w:sz="0" w:space="0" w:color="auto"/>
      </w:divBdr>
    </w:div>
    <w:div w:id="2040666435">
      <w:bodyDiv w:val="1"/>
      <w:marLeft w:val="0"/>
      <w:marRight w:val="0"/>
      <w:marTop w:val="0"/>
      <w:marBottom w:val="0"/>
      <w:divBdr>
        <w:top w:val="none" w:sz="0" w:space="0" w:color="auto"/>
        <w:left w:val="none" w:sz="0" w:space="0" w:color="auto"/>
        <w:bottom w:val="none" w:sz="0" w:space="0" w:color="auto"/>
        <w:right w:val="none" w:sz="0" w:space="0" w:color="auto"/>
      </w:divBdr>
    </w:div>
    <w:div w:id="2047756639">
      <w:bodyDiv w:val="1"/>
      <w:marLeft w:val="0"/>
      <w:marRight w:val="0"/>
      <w:marTop w:val="0"/>
      <w:marBottom w:val="0"/>
      <w:divBdr>
        <w:top w:val="none" w:sz="0" w:space="0" w:color="auto"/>
        <w:left w:val="none" w:sz="0" w:space="0" w:color="auto"/>
        <w:bottom w:val="none" w:sz="0" w:space="0" w:color="auto"/>
        <w:right w:val="none" w:sz="0" w:space="0" w:color="auto"/>
      </w:divBdr>
    </w:div>
    <w:div w:id="2047832715">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56657862">
      <w:bodyDiv w:val="1"/>
      <w:marLeft w:val="0"/>
      <w:marRight w:val="0"/>
      <w:marTop w:val="0"/>
      <w:marBottom w:val="0"/>
      <w:divBdr>
        <w:top w:val="none" w:sz="0" w:space="0" w:color="auto"/>
        <w:left w:val="none" w:sz="0" w:space="0" w:color="auto"/>
        <w:bottom w:val="none" w:sz="0" w:space="0" w:color="auto"/>
        <w:right w:val="none" w:sz="0" w:space="0" w:color="auto"/>
      </w:divBdr>
    </w:div>
    <w:div w:id="2064284116">
      <w:bodyDiv w:val="1"/>
      <w:marLeft w:val="0"/>
      <w:marRight w:val="0"/>
      <w:marTop w:val="0"/>
      <w:marBottom w:val="0"/>
      <w:divBdr>
        <w:top w:val="none" w:sz="0" w:space="0" w:color="auto"/>
        <w:left w:val="none" w:sz="0" w:space="0" w:color="auto"/>
        <w:bottom w:val="none" w:sz="0" w:space="0" w:color="auto"/>
        <w:right w:val="none" w:sz="0" w:space="0" w:color="auto"/>
      </w:divBdr>
    </w:div>
    <w:div w:id="2067606322">
      <w:bodyDiv w:val="1"/>
      <w:marLeft w:val="0"/>
      <w:marRight w:val="0"/>
      <w:marTop w:val="0"/>
      <w:marBottom w:val="0"/>
      <w:divBdr>
        <w:top w:val="none" w:sz="0" w:space="0" w:color="auto"/>
        <w:left w:val="none" w:sz="0" w:space="0" w:color="auto"/>
        <w:bottom w:val="none" w:sz="0" w:space="0" w:color="auto"/>
        <w:right w:val="none" w:sz="0" w:space="0" w:color="auto"/>
      </w:divBdr>
    </w:div>
    <w:div w:id="2073579223">
      <w:bodyDiv w:val="1"/>
      <w:marLeft w:val="0"/>
      <w:marRight w:val="0"/>
      <w:marTop w:val="0"/>
      <w:marBottom w:val="0"/>
      <w:divBdr>
        <w:top w:val="none" w:sz="0" w:space="0" w:color="auto"/>
        <w:left w:val="none" w:sz="0" w:space="0" w:color="auto"/>
        <w:bottom w:val="none" w:sz="0" w:space="0" w:color="auto"/>
        <w:right w:val="none" w:sz="0" w:space="0" w:color="auto"/>
      </w:divBdr>
    </w:div>
    <w:div w:id="2074352426">
      <w:bodyDiv w:val="1"/>
      <w:marLeft w:val="0"/>
      <w:marRight w:val="0"/>
      <w:marTop w:val="0"/>
      <w:marBottom w:val="0"/>
      <w:divBdr>
        <w:top w:val="none" w:sz="0" w:space="0" w:color="auto"/>
        <w:left w:val="none" w:sz="0" w:space="0" w:color="auto"/>
        <w:bottom w:val="none" w:sz="0" w:space="0" w:color="auto"/>
        <w:right w:val="none" w:sz="0" w:space="0" w:color="auto"/>
      </w:divBdr>
    </w:div>
    <w:div w:id="2081177237">
      <w:bodyDiv w:val="1"/>
      <w:marLeft w:val="0"/>
      <w:marRight w:val="0"/>
      <w:marTop w:val="0"/>
      <w:marBottom w:val="0"/>
      <w:divBdr>
        <w:top w:val="none" w:sz="0" w:space="0" w:color="auto"/>
        <w:left w:val="none" w:sz="0" w:space="0" w:color="auto"/>
        <w:bottom w:val="none" w:sz="0" w:space="0" w:color="auto"/>
        <w:right w:val="none" w:sz="0" w:space="0" w:color="auto"/>
      </w:divBdr>
    </w:div>
    <w:div w:id="2086339271">
      <w:bodyDiv w:val="1"/>
      <w:marLeft w:val="0"/>
      <w:marRight w:val="0"/>
      <w:marTop w:val="0"/>
      <w:marBottom w:val="0"/>
      <w:divBdr>
        <w:top w:val="none" w:sz="0" w:space="0" w:color="auto"/>
        <w:left w:val="none" w:sz="0" w:space="0" w:color="auto"/>
        <w:bottom w:val="none" w:sz="0" w:space="0" w:color="auto"/>
        <w:right w:val="none" w:sz="0" w:space="0" w:color="auto"/>
      </w:divBdr>
    </w:div>
    <w:div w:id="2089691220">
      <w:bodyDiv w:val="1"/>
      <w:marLeft w:val="0"/>
      <w:marRight w:val="0"/>
      <w:marTop w:val="0"/>
      <w:marBottom w:val="0"/>
      <w:divBdr>
        <w:top w:val="none" w:sz="0" w:space="0" w:color="auto"/>
        <w:left w:val="none" w:sz="0" w:space="0" w:color="auto"/>
        <w:bottom w:val="none" w:sz="0" w:space="0" w:color="auto"/>
        <w:right w:val="none" w:sz="0" w:space="0" w:color="auto"/>
      </w:divBdr>
    </w:div>
    <w:div w:id="2091930033">
      <w:bodyDiv w:val="1"/>
      <w:marLeft w:val="0"/>
      <w:marRight w:val="0"/>
      <w:marTop w:val="0"/>
      <w:marBottom w:val="0"/>
      <w:divBdr>
        <w:top w:val="none" w:sz="0" w:space="0" w:color="auto"/>
        <w:left w:val="none" w:sz="0" w:space="0" w:color="auto"/>
        <w:bottom w:val="none" w:sz="0" w:space="0" w:color="auto"/>
        <w:right w:val="none" w:sz="0" w:space="0" w:color="auto"/>
      </w:divBdr>
    </w:div>
    <w:div w:id="2094206682">
      <w:bodyDiv w:val="1"/>
      <w:marLeft w:val="0"/>
      <w:marRight w:val="0"/>
      <w:marTop w:val="0"/>
      <w:marBottom w:val="0"/>
      <w:divBdr>
        <w:top w:val="none" w:sz="0" w:space="0" w:color="auto"/>
        <w:left w:val="none" w:sz="0" w:space="0" w:color="auto"/>
        <w:bottom w:val="none" w:sz="0" w:space="0" w:color="auto"/>
        <w:right w:val="none" w:sz="0" w:space="0" w:color="auto"/>
      </w:divBdr>
    </w:div>
    <w:div w:id="2097550739">
      <w:bodyDiv w:val="1"/>
      <w:marLeft w:val="0"/>
      <w:marRight w:val="0"/>
      <w:marTop w:val="0"/>
      <w:marBottom w:val="0"/>
      <w:divBdr>
        <w:top w:val="none" w:sz="0" w:space="0" w:color="auto"/>
        <w:left w:val="none" w:sz="0" w:space="0" w:color="auto"/>
        <w:bottom w:val="none" w:sz="0" w:space="0" w:color="auto"/>
        <w:right w:val="none" w:sz="0" w:space="0" w:color="auto"/>
      </w:divBdr>
    </w:div>
    <w:div w:id="2101560725">
      <w:bodyDiv w:val="1"/>
      <w:marLeft w:val="0"/>
      <w:marRight w:val="0"/>
      <w:marTop w:val="0"/>
      <w:marBottom w:val="0"/>
      <w:divBdr>
        <w:top w:val="none" w:sz="0" w:space="0" w:color="auto"/>
        <w:left w:val="none" w:sz="0" w:space="0" w:color="auto"/>
        <w:bottom w:val="none" w:sz="0" w:space="0" w:color="auto"/>
        <w:right w:val="none" w:sz="0" w:space="0" w:color="auto"/>
      </w:divBdr>
    </w:div>
    <w:div w:id="2101757632">
      <w:bodyDiv w:val="1"/>
      <w:marLeft w:val="0"/>
      <w:marRight w:val="0"/>
      <w:marTop w:val="0"/>
      <w:marBottom w:val="0"/>
      <w:divBdr>
        <w:top w:val="none" w:sz="0" w:space="0" w:color="auto"/>
        <w:left w:val="none" w:sz="0" w:space="0" w:color="auto"/>
        <w:bottom w:val="none" w:sz="0" w:space="0" w:color="auto"/>
        <w:right w:val="none" w:sz="0" w:space="0" w:color="auto"/>
      </w:divBdr>
    </w:div>
    <w:div w:id="2104955447">
      <w:bodyDiv w:val="1"/>
      <w:marLeft w:val="0"/>
      <w:marRight w:val="0"/>
      <w:marTop w:val="0"/>
      <w:marBottom w:val="0"/>
      <w:divBdr>
        <w:top w:val="none" w:sz="0" w:space="0" w:color="auto"/>
        <w:left w:val="none" w:sz="0" w:space="0" w:color="auto"/>
        <w:bottom w:val="none" w:sz="0" w:space="0" w:color="auto"/>
        <w:right w:val="none" w:sz="0" w:space="0" w:color="auto"/>
      </w:divBdr>
    </w:div>
    <w:div w:id="2108692382">
      <w:bodyDiv w:val="1"/>
      <w:marLeft w:val="0"/>
      <w:marRight w:val="0"/>
      <w:marTop w:val="0"/>
      <w:marBottom w:val="0"/>
      <w:divBdr>
        <w:top w:val="none" w:sz="0" w:space="0" w:color="auto"/>
        <w:left w:val="none" w:sz="0" w:space="0" w:color="auto"/>
        <w:bottom w:val="none" w:sz="0" w:space="0" w:color="auto"/>
        <w:right w:val="none" w:sz="0" w:space="0" w:color="auto"/>
      </w:divBdr>
    </w:div>
    <w:div w:id="2109617102">
      <w:bodyDiv w:val="1"/>
      <w:marLeft w:val="0"/>
      <w:marRight w:val="0"/>
      <w:marTop w:val="0"/>
      <w:marBottom w:val="0"/>
      <w:divBdr>
        <w:top w:val="none" w:sz="0" w:space="0" w:color="auto"/>
        <w:left w:val="none" w:sz="0" w:space="0" w:color="auto"/>
        <w:bottom w:val="none" w:sz="0" w:space="0" w:color="auto"/>
        <w:right w:val="none" w:sz="0" w:space="0" w:color="auto"/>
      </w:divBdr>
    </w:div>
    <w:div w:id="2111730702">
      <w:bodyDiv w:val="1"/>
      <w:marLeft w:val="0"/>
      <w:marRight w:val="0"/>
      <w:marTop w:val="0"/>
      <w:marBottom w:val="0"/>
      <w:divBdr>
        <w:top w:val="none" w:sz="0" w:space="0" w:color="auto"/>
        <w:left w:val="none" w:sz="0" w:space="0" w:color="auto"/>
        <w:bottom w:val="none" w:sz="0" w:space="0" w:color="auto"/>
        <w:right w:val="none" w:sz="0" w:space="0" w:color="auto"/>
      </w:divBdr>
    </w:div>
    <w:div w:id="2114006983">
      <w:bodyDiv w:val="1"/>
      <w:marLeft w:val="0"/>
      <w:marRight w:val="0"/>
      <w:marTop w:val="0"/>
      <w:marBottom w:val="0"/>
      <w:divBdr>
        <w:top w:val="none" w:sz="0" w:space="0" w:color="auto"/>
        <w:left w:val="none" w:sz="0" w:space="0" w:color="auto"/>
        <w:bottom w:val="none" w:sz="0" w:space="0" w:color="auto"/>
        <w:right w:val="none" w:sz="0" w:space="0" w:color="auto"/>
      </w:divBdr>
    </w:div>
    <w:div w:id="2114739052">
      <w:bodyDiv w:val="1"/>
      <w:marLeft w:val="0"/>
      <w:marRight w:val="0"/>
      <w:marTop w:val="0"/>
      <w:marBottom w:val="0"/>
      <w:divBdr>
        <w:top w:val="none" w:sz="0" w:space="0" w:color="auto"/>
        <w:left w:val="none" w:sz="0" w:space="0" w:color="auto"/>
        <w:bottom w:val="none" w:sz="0" w:space="0" w:color="auto"/>
        <w:right w:val="none" w:sz="0" w:space="0" w:color="auto"/>
      </w:divBdr>
    </w:div>
    <w:div w:id="2121873892">
      <w:bodyDiv w:val="1"/>
      <w:marLeft w:val="0"/>
      <w:marRight w:val="0"/>
      <w:marTop w:val="0"/>
      <w:marBottom w:val="0"/>
      <w:divBdr>
        <w:top w:val="none" w:sz="0" w:space="0" w:color="auto"/>
        <w:left w:val="none" w:sz="0" w:space="0" w:color="auto"/>
        <w:bottom w:val="none" w:sz="0" w:space="0" w:color="auto"/>
        <w:right w:val="none" w:sz="0" w:space="0" w:color="auto"/>
      </w:divBdr>
    </w:div>
    <w:div w:id="2122020371">
      <w:bodyDiv w:val="1"/>
      <w:marLeft w:val="0"/>
      <w:marRight w:val="0"/>
      <w:marTop w:val="0"/>
      <w:marBottom w:val="0"/>
      <w:divBdr>
        <w:top w:val="none" w:sz="0" w:space="0" w:color="auto"/>
        <w:left w:val="none" w:sz="0" w:space="0" w:color="auto"/>
        <w:bottom w:val="none" w:sz="0" w:space="0" w:color="auto"/>
        <w:right w:val="none" w:sz="0" w:space="0" w:color="auto"/>
      </w:divBdr>
    </w:div>
    <w:div w:id="2123524924">
      <w:bodyDiv w:val="1"/>
      <w:marLeft w:val="0"/>
      <w:marRight w:val="0"/>
      <w:marTop w:val="0"/>
      <w:marBottom w:val="0"/>
      <w:divBdr>
        <w:top w:val="none" w:sz="0" w:space="0" w:color="auto"/>
        <w:left w:val="none" w:sz="0" w:space="0" w:color="auto"/>
        <w:bottom w:val="none" w:sz="0" w:space="0" w:color="auto"/>
        <w:right w:val="none" w:sz="0" w:space="0" w:color="auto"/>
      </w:divBdr>
    </w:div>
    <w:div w:id="2124616786">
      <w:bodyDiv w:val="1"/>
      <w:marLeft w:val="0"/>
      <w:marRight w:val="0"/>
      <w:marTop w:val="0"/>
      <w:marBottom w:val="0"/>
      <w:divBdr>
        <w:top w:val="none" w:sz="0" w:space="0" w:color="auto"/>
        <w:left w:val="none" w:sz="0" w:space="0" w:color="auto"/>
        <w:bottom w:val="none" w:sz="0" w:space="0" w:color="auto"/>
        <w:right w:val="none" w:sz="0" w:space="0" w:color="auto"/>
      </w:divBdr>
    </w:div>
    <w:div w:id="2125496051">
      <w:bodyDiv w:val="1"/>
      <w:marLeft w:val="0"/>
      <w:marRight w:val="0"/>
      <w:marTop w:val="0"/>
      <w:marBottom w:val="0"/>
      <w:divBdr>
        <w:top w:val="none" w:sz="0" w:space="0" w:color="auto"/>
        <w:left w:val="none" w:sz="0" w:space="0" w:color="auto"/>
        <w:bottom w:val="none" w:sz="0" w:space="0" w:color="auto"/>
        <w:right w:val="none" w:sz="0" w:space="0" w:color="auto"/>
      </w:divBdr>
    </w:div>
    <w:div w:id="2127766978">
      <w:bodyDiv w:val="1"/>
      <w:marLeft w:val="0"/>
      <w:marRight w:val="0"/>
      <w:marTop w:val="0"/>
      <w:marBottom w:val="0"/>
      <w:divBdr>
        <w:top w:val="none" w:sz="0" w:space="0" w:color="auto"/>
        <w:left w:val="none" w:sz="0" w:space="0" w:color="auto"/>
        <w:bottom w:val="none" w:sz="0" w:space="0" w:color="auto"/>
        <w:right w:val="none" w:sz="0" w:space="0" w:color="auto"/>
      </w:divBdr>
    </w:div>
    <w:div w:id="2130391386">
      <w:bodyDiv w:val="1"/>
      <w:marLeft w:val="0"/>
      <w:marRight w:val="0"/>
      <w:marTop w:val="0"/>
      <w:marBottom w:val="0"/>
      <w:divBdr>
        <w:top w:val="none" w:sz="0" w:space="0" w:color="auto"/>
        <w:left w:val="none" w:sz="0" w:space="0" w:color="auto"/>
        <w:bottom w:val="none" w:sz="0" w:space="0" w:color="auto"/>
        <w:right w:val="none" w:sz="0" w:space="0" w:color="auto"/>
      </w:divBdr>
    </w:div>
    <w:div w:id="2131702987">
      <w:bodyDiv w:val="1"/>
      <w:marLeft w:val="0"/>
      <w:marRight w:val="0"/>
      <w:marTop w:val="0"/>
      <w:marBottom w:val="0"/>
      <w:divBdr>
        <w:top w:val="none" w:sz="0" w:space="0" w:color="auto"/>
        <w:left w:val="none" w:sz="0" w:space="0" w:color="auto"/>
        <w:bottom w:val="none" w:sz="0" w:space="0" w:color="auto"/>
        <w:right w:val="none" w:sz="0" w:space="0" w:color="auto"/>
      </w:divBdr>
    </w:div>
    <w:div w:id="2136168996">
      <w:bodyDiv w:val="1"/>
      <w:marLeft w:val="0"/>
      <w:marRight w:val="0"/>
      <w:marTop w:val="0"/>
      <w:marBottom w:val="0"/>
      <w:divBdr>
        <w:top w:val="none" w:sz="0" w:space="0" w:color="auto"/>
        <w:left w:val="none" w:sz="0" w:space="0" w:color="auto"/>
        <w:bottom w:val="none" w:sz="0" w:space="0" w:color="auto"/>
        <w:right w:val="none" w:sz="0" w:space="0" w:color="auto"/>
      </w:divBdr>
    </w:div>
    <w:div w:id="2144034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75.emf"/><Relationship Id="rId11" Type="http://schemas.openxmlformats.org/officeDocument/2006/relationships/hyperlink" Target="http://www.pmc.gov.au/government/commonwealth-coat-arms" TargetMode="Externa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footer" Target="footer8.xml"/><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image" Target="media/image70.emf"/><Relationship Id="rId5" Type="http://schemas.openxmlformats.org/officeDocument/2006/relationships/footnotes" Target="footnotes.xml"/><Relationship Id="rId90" Type="http://schemas.openxmlformats.org/officeDocument/2006/relationships/header" Target="header8.xml"/><Relationship Id="rId95" Type="http://schemas.openxmlformats.org/officeDocument/2006/relationships/footer" Target="footer11.xml"/><Relationship Id="rId22" Type="http://schemas.openxmlformats.org/officeDocument/2006/relationships/header" Target="header4.xml"/><Relationship Id="rId27" Type="http://schemas.openxmlformats.org/officeDocument/2006/relationships/image" Target="media/image8.emf"/><Relationship Id="rId43" Type="http://schemas.openxmlformats.org/officeDocument/2006/relationships/image" Target="media/image24.emf"/><Relationship Id="rId48" Type="http://schemas.openxmlformats.org/officeDocument/2006/relationships/header" Target="header5.xml"/><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theme" Target="theme/theme1.xml"/><Relationship Id="rId80" Type="http://schemas.openxmlformats.org/officeDocument/2006/relationships/image" Target="media/image55.emf"/><Relationship Id="rId85" Type="http://schemas.openxmlformats.org/officeDocument/2006/relationships/image" Target="media/image60.emf"/><Relationship Id="rId12" Type="http://schemas.openxmlformats.org/officeDocument/2006/relationships/hyperlink" Target="mailto:media@treasury.gov.au" TargetMode="External"/><Relationship Id="rId17" Type="http://schemas.openxmlformats.org/officeDocument/2006/relationships/image" Target="media/image4.jpeg"/><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34.emf"/><Relationship Id="rId103" Type="http://schemas.openxmlformats.org/officeDocument/2006/relationships/image" Target="media/image71.emf"/><Relationship Id="rId108" Type="http://schemas.openxmlformats.org/officeDocument/2006/relationships/image" Target="media/image76.emf"/><Relationship Id="rId54" Type="http://schemas.openxmlformats.org/officeDocument/2006/relationships/image" Target="media/image29.emf"/><Relationship Id="rId70" Type="http://schemas.openxmlformats.org/officeDocument/2006/relationships/image" Target="media/image45.emf"/><Relationship Id="rId75" Type="http://schemas.openxmlformats.org/officeDocument/2006/relationships/image" Target="media/image50.emf"/><Relationship Id="rId91" Type="http://schemas.openxmlformats.org/officeDocument/2006/relationships/header" Target="header9.xml"/><Relationship Id="rId96" Type="http://schemas.openxmlformats.org/officeDocument/2006/relationships/hyperlink" Target="http://www.population.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eader" Target="header6.xml"/><Relationship Id="rId57" Type="http://schemas.openxmlformats.org/officeDocument/2006/relationships/image" Target="media/image32.emf"/><Relationship Id="rId106" Type="http://schemas.openxmlformats.org/officeDocument/2006/relationships/image" Target="media/image74.emf"/><Relationship Id="rId10" Type="http://schemas.openxmlformats.org/officeDocument/2006/relationships/hyperlink" Target="https://creativecommons.org/licenses/by/4.0/"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eader" Target="header7.xml"/><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header" Target="header10.xml"/><Relationship Id="rId99" Type="http://schemas.openxmlformats.org/officeDocument/2006/relationships/image" Target="media/image67.emf"/><Relationship Id="rId101" Type="http://schemas.openxmlformats.org/officeDocument/2006/relationships/image" Target="media/image69.emf"/><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20.emf"/><Relationship Id="rId109" Type="http://schemas.openxmlformats.org/officeDocument/2006/relationships/image" Target="media/image77.emf"/><Relationship Id="rId34" Type="http://schemas.openxmlformats.org/officeDocument/2006/relationships/image" Target="media/image15.emf"/><Relationship Id="rId50" Type="http://schemas.openxmlformats.org/officeDocument/2006/relationships/footer" Target="footer6.xml"/><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65.emf"/><Relationship Id="rId104" Type="http://schemas.openxmlformats.org/officeDocument/2006/relationships/image" Target="media/image72.emf"/><Relationship Id="rId7" Type="http://schemas.openxmlformats.org/officeDocument/2006/relationships/hyperlink" Target="https://creativecommons.org/licenses/by/4.0/" TargetMode="External"/><Relationship Id="rId71" Type="http://schemas.openxmlformats.org/officeDocument/2006/relationships/image" Target="media/image46.emf"/><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1.emf"/><Relationship Id="rId87" Type="http://schemas.openxmlformats.org/officeDocument/2006/relationships/image" Target="media/image62.emf"/><Relationship Id="rId110" Type="http://schemas.openxmlformats.org/officeDocument/2006/relationships/hyperlink" Target="https://treasury.gov.au/publication/2023-intergenerational-report" TargetMode="External"/><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68.emf"/><Relationship Id="rId105" Type="http://schemas.openxmlformats.org/officeDocument/2006/relationships/image" Target="media/image73.emf"/><Relationship Id="rId8" Type="http://schemas.openxmlformats.org/officeDocument/2006/relationships/hyperlink" Target="https://creativecommons.org/licenses/by/4.0/legalcode" TargetMode="External"/><Relationship Id="rId51" Type="http://schemas.openxmlformats.org/officeDocument/2006/relationships/footer" Target="footer7.xml"/><Relationship Id="rId72" Type="http://schemas.openxmlformats.org/officeDocument/2006/relationships/image" Target="media/image47.emf"/><Relationship Id="rId93" Type="http://schemas.openxmlformats.org/officeDocument/2006/relationships/footer" Target="footer10.xml"/><Relationship Id="rId98" Type="http://schemas.openxmlformats.org/officeDocument/2006/relationships/image" Target="media/image66.emf"/><Relationship Id="rId3" Type="http://schemas.openxmlformats.org/officeDocument/2006/relationships/settings" Target="settings.xml"/><Relationship Id="rId25" Type="http://schemas.openxmlformats.org/officeDocument/2006/relationships/image" Target="media/image6.emf"/><Relationship Id="rId46" Type="http://schemas.openxmlformats.org/officeDocument/2006/relationships/image" Target="media/image27.emf"/><Relationship Id="rId67" Type="http://schemas.openxmlformats.org/officeDocument/2006/relationships/image" Target="media/image42.emf"/><Relationship Id="rId20" Type="http://schemas.openxmlformats.org/officeDocument/2006/relationships/footer" Target="footer3.xml"/><Relationship Id="rId41" Type="http://schemas.openxmlformats.org/officeDocument/2006/relationships/image" Target="media/image22.emf"/><Relationship Id="rId62" Type="http://schemas.openxmlformats.org/officeDocument/2006/relationships/image" Target="media/image37.emf"/><Relationship Id="rId83" Type="http://schemas.openxmlformats.org/officeDocument/2006/relationships/image" Target="media/image58.emf"/><Relationship Id="rId88" Type="http://schemas.openxmlformats.org/officeDocument/2006/relationships/image" Target="media/image63.emf"/><Relationship Id="rId111"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grattan.edu.au/report/it-all-adds-up-reforming-points-tested-visas/" TargetMode="External"/><Relationship Id="rId2" Type="http://schemas.openxmlformats.org/officeDocument/2006/relationships/hyperlink" Target="https://research.monash.edu/en/persons/anthony-scott" TargetMode="External"/><Relationship Id="rId1" Type="http://schemas.openxmlformats.org/officeDocument/2006/relationships/hyperlink" Target="https://treasury.gov.au/publication/p2021-220773" TargetMode="External"/><Relationship Id="rId4" Type="http://schemas.openxmlformats.org/officeDocument/2006/relationships/hyperlink" Target="https://population.gov.au/publications/research/excess-mortality-inquiry-submi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25640</Words>
  <Characters>146149</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2024 Population Statement</vt:lpstr>
    </vt:vector>
  </TitlesOfParts>
  <Company/>
  <LinksUpToDate>false</LinksUpToDate>
  <CharactersWithSpaces>171447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Population Statement</dc:title>
  <dc:subject/>
  <dc:creator/>
  <cp:keywords/>
  <cp:lastModifiedBy/>
  <cp:revision>1</cp:revision>
  <dcterms:created xsi:type="dcterms:W3CDTF">2024-12-19T07:17:00Z</dcterms:created>
  <dcterms:modified xsi:type="dcterms:W3CDTF">2024-12-19T07:18:00Z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2024-12-19T07:18:14Z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2cbf80d9-1f86-49e0-9d2f-fea5f00a28f4</vt:lpwstr>
  </property>
  <property fmtid="{D5CDD505-2E9C-101B-9397-08002B2CF9AE}" pid="8" name="MSIP_Label_4f932d64-9ab1-4d9b-81d2-a3a8b82dd47d_ContentBits">
    <vt:lpwstr>0</vt:lpwstr>
  </property>
</Properties>
</file>