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EA06F" w14:textId="6E159FE6" w:rsidR="00ED2F53" w:rsidRDefault="00ED2F53" w:rsidP="00570F11">
      <w:pPr>
        <w:spacing w:after="0" w:line="240" w:lineRule="auto"/>
        <w:rPr>
          <w:rFonts w:ascii="Calibri Light" w:eastAsia="Times New Roman" w:hAnsi="Calibri Light" w:cs="Times New Roman"/>
          <w:b/>
          <w:caps/>
          <w:color w:val="002C47"/>
          <w:spacing w:val="10"/>
          <w:sz w:val="44"/>
          <w:szCs w:val="52"/>
        </w:rPr>
      </w:pPr>
      <w:r>
        <w:rPr>
          <w:rFonts w:ascii="Calibri Light" w:eastAsia="Times New Roman" w:hAnsi="Calibri Light" w:cs="Times New Roman"/>
          <w:b/>
          <w:caps/>
          <w:color w:val="002C47"/>
          <w:spacing w:val="10"/>
          <w:sz w:val="44"/>
          <w:szCs w:val="52"/>
        </w:rPr>
        <w:t xml:space="preserve">UN </w:t>
      </w:r>
      <w:r w:rsidR="00BD7C7A">
        <w:rPr>
          <w:rFonts w:ascii="Calibri Light" w:eastAsia="Times New Roman" w:hAnsi="Calibri Light" w:cs="Times New Roman"/>
          <w:b/>
          <w:caps/>
          <w:color w:val="002C47"/>
          <w:spacing w:val="10"/>
          <w:sz w:val="44"/>
          <w:szCs w:val="52"/>
        </w:rPr>
        <w:t xml:space="preserve">WORLD POPULATION </w:t>
      </w:r>
      <w:r>
        <w:rPr>
          <w:rFonts w:ascii="Calibri Light" w:eastAsia="Times New Roman" w:hAnsi="Calibri Light" w:cs="Times New Roman"/>
          <w:b/>
          <w:caps/>
          <w:color w:val="002C47"/>
          <w:spacing w:val="10"/>
          <w:sz w:val="44"/>
          <w:szCs w:val="52"/>
        </w:rPr>
        <w:t>projections</w:t>
      </w:r>
      <w:r w:rsidR="00BD7C7A">
        <w:rPr>
          <w:rFonts w:ascii="Calibri Light" w:eastAsia="Times New Roman" w:hAnsi="Calibri Light" w:cs="Times New Roman"/>
          <w:b/>
          <w:caps/>
          <w:color w:val="002C47"/>
          <w:spacing w:val="10"/>
          <w:sz w:val="44"/>
          <w:szCs w:val="52"/>
        </w:rPr>
        <w:t xml:space="preserve">: </w:t>
      </w:r>
    </w:p>
    <w:p w14:paraId="3540FCC3" w14:textId="663BEEA2" w:rsidR="00570F11" w:rsidRDefault="00570F11" w:rsidP="00570F11">
      <w:pPr>
        <w:spacing w:after="0" w:line="240" w:lineRule="auto"/>
        <w:rPr>
          <w:rFonts w:ascii="Calibri" w:eastAsia="Calibri" w:hAnsi="Calibri" w:cs="Times New Roman"/>
          <w:b/>
          <w:i/>
          <w:color w:val="002C47"/>
        </w:rPr>
      </w:pPr>
      <w:r>
        <w:rPr>
          <w:rFonts w:ascii="Calibri Light" w:eastAsia="Times New Roman" w:hAnsi="Calibri Light" w:cs="Times New Roman"/>
          <w:b/>
          <w:caps/>
          <w:color w:val="002C47"/>
          <w:spacing w:val="10"/>
          <w:sz w:val="44"/>
          <w:szCs w:val="52"/>
        </w:rPr>
        <w:t>21</w:t>
      </w:r>
      <w:r w:rsidRPr="007B3C74">
        <w:rPr>
          <w:rFonts w:ascii="Calibri Light" w:eastAsia="Times New Roman" w:hAnsi="Calibri Light" w:cs="Times New Roman"/>
          <w:b/>
          <w:caps/>
          <w:color w:val="002C47"/>
          <w:spacing w:val="10"/>
          <w:sz w:val="44"/>
          <w:szCs w:val="52"/>
          <w:vertAlign w:val="superscript"/>
        </w:rPr>
        <w:t>st</w:t>
      </w:r>
      <w:r>
        <w:rPr>
          <w:rFonts w:ascii="Calibri Light" w:eastAsia="Times New Roman" w:hAnsi="Calibri Light" w:cs="Times New Roman"/>
          <w:b/>
          <w:caps/>
          <w:color w:val="002C47"/>
          <w:spacing w:val="10"/>
          <w:sz w:val="44"/>
          <w:szCs w:val="52"/>
        </w:rPr>
        <w:t xml:space="preserve"> century population decline</w:t>
      </w:r>
      <w:r w:rsidRPr="00DC365D">
        <w:rPr>
          <w:rFonts w:ascii="Calibri" w:eastAsia="Calibri" w:hAnsi="Calibri" w:cs="Times New Roman"/>
          <w:b/>
          <w:i/>
          <w:color w:val="002C47"/>
        </w:rPr>
        <w:t xml:space="preserve"> </w:t>
      </w:r>
    </w:p>
    <w:p w14:paraId="18F79D41" w14:textId="38B7B907" w:rsidR="000554C9" w:rsidRDefault="005D3FA0" w:rsidP="00570F11">
      <w:pPr>
        <w:pStyle w:val="Heading7"/>
      </w:pPr>
      <w:bookmarkStart w:id="0" w:name="_World_population_to"/>
      <w:bookmarkEnd w:id="0"/>
      <w:r>
        <w:t>Contents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284" w:type="dxa"/>
        </w:tblCellMar>
        <w:tblLook w:val="04A0" w:firstRow="1" w:lastRow="0" w:firstColumn="1" w:lastColumn="0" w:noHBand="0" w:noVBand="1"/>
      </w:tblPr>
      <w:tblGrid>
        <w:gridCol w:w="1837"/>
        <w:gridCol w:w="1842"/>
        <w:gridCol w:w="1996"/>
        <w:gridCol w:w="2359"/>
        <w:gridCol w:w="1717"/>
        <w:gridCol w:w="1921"/>
        <w:gridCol w:w="2286"/>
      </w:tblGrid>
      <w:tr w:rsidR="00B63029" w14:paraId="72E1EB4F" w14:textId="77777777" w:rsidTr="00222C7A">
        <w:trPr>
          <w:jc w:val="center"/>
        </w:trPr>
        <w:tc>
          <w:tcPr>
            <w:tcW w:w="658" w:type="pct"/>
            <w:tcBorders>
              <w:right w:val="single" w:sz="12" w:space="0" w:color="002C47" w:themeColor="accent1"/>
            </w:tcBorders>
            <w:vAlign w:val="center"/>
          </w:tcPr>
          <w:p w14:paraId="5A7FA84C" w14:textId="308A90B2" w:rsidR="00B63029" w:rsidRPr="00A80A22" w:rsidRDefault="00736E5B" w:rsidP="00ED2F53">
            <w:pPr>
              <w:pStyle w:val="Heading5"/>
              <w:spacing w:before="120" w:after="120"/>
              <w:jc w:val="center"/>
              <w:rPr>
                <w:smallCaps/>
                <w:spacing w:val="10"/>
                <w:szCs w:val="24"/>
              </w:rPr>
            </w:pPr>
            <w:hyperlink w:anchor="_World_population_to" w:history="1">
              <w:r w:rsidR="00B63029" w:rsidRPr="00A80A22">
                <w:rPr>
                  <w:smallCaps/>
                  <w:spacing w:val="10"/>
                  <w:szCs w:val="24"/>
                </w:rPr>
                <w:t>World population to peak in 2084</w:t>
              </w:r>
            </w:hyperlink>
          </w:p>
        </w:tc>
        <w:tc>
          <w:tcPr>
            <w:tcW w:w="660" w:type="pct"/>
            <w:tcBorders>
              <w:right w:val="single" w:sz="12" w:space="0" w:color="002C47" w:themeColor="accent1"/>
            </w:tcBorders>
            <w:vAlign w:val="center"/>
          </w:tcPr>
          <w:p w14:paraId="785DFCAA" w14:textId="6CA8EA71" w:rsidR="00B63029" w:rsidRPr="00A80A22" w:rsidRDefault="00736E5B" w:rsidP="00B24FAD">
            <w:pPr>
              <w:pStyle w:val="Heading5"/>
              <w:spacing w:before="120" w:after="120"/>
              <w:jc w:val="center"/>
              <w:rPr>
                <w:smallCaps/>
                <w:spacing w:val="10"/>
                <w:szCs w:val="24"/>
              </w:rPr>
            </w:pPr>
            <w:hyperlink w:anchor="_Indian_population_overtakes" w:history="1">
              <w:r w:rsidR="00B63029" w:rsidRPr="008B11FD">
                <w:rPr>
                  <w:smallCaps/>
                  <w:spacing w:val="10"/>
                </w:rPr>
                <w:t>India</w:t>
              </w:r>
              <w:r w:rsidR="00B63029">
                <w:rPr>
                  <w:smallCaps/>
                  <w:spacing w:val="10"/>
                </w:rPr>
                <w:t>’s</w:t>
              </w:r>
              <w:r w:rsidR="00B63029" w:rsidRPr="008B11FD">
                <w:rPr>
                  <w:smallCaps/>
                  <w:spacing w:val="10"/>
                </w:rPr>
                <w:t xml:space="preserve"> population overtakes China</w:t>
              </w:r>
            </w:hyperlink>
          </w:p>
        </w:tc>
        <w:tc>
          <w:tcPr>
            <w:tcW w:w="715" w:type="pct"/>
            <w:tcBorders>
              <w:left w:val="single" w:sz="12" w:space="0" w:color="002C47" w:themeColor="accent1"/>
              <w:right w:val="single" w:sz="12" w:space="0" w:color="002C47" w:themeColor="accent1"/>
            </w:tcBorders>
            <w:vAlign w:val="center"/>
          </w:tcPr>
          <w:p w14:paraId="6E685D20" w14:textId="1C15C030" w:rsidR="00B63029" w:rsidRPr="00FF6977" w:rsidRDefault="00736E5B" w:rsidP="00ED2F53">
            <w:pPr>
              <w:pStyle w:val="Heading5"/>
              <w:spacing w:before="120" w:after="120"/>
              <w:jc w:val="center"/>
              <w:rPr>
                <w:smallCaps/>
                <w:spacing w:val="10"/>
              </w:rPr>
            </w:pPr>
            <w:hyperlink w:anchor="_Lower_income_countries" w:history="1">
              <w:r w:rsidR="00B63029" w:rsidRPr="00605438">
                <w:rPr>
                  <w:rStyle w:val="Hyperlink"/>
                  <w:smallCaps/>
                  <w:color w:val="002C47" w:themeColor="accent1"/>
                  <w:spacing w:val="10"/>
                  <w:u w:val="none"/>
                </w:rPr>
                <w:t>Lower income countries will drive growth as other areas decline</w:t>
              </w:r>
            </w:hyperlink>
          </w:p>
        </w:tc>
        <w:tc>
          <w:tcPr>
            <w:tcW w:w="845" w:type="pct"/>
            <w:tcBorders>
              <w:left w:val="single" w:sz="12" w:space="0" w:color="002C47" w:themeColor="accent1"/>
              <w:right w:val="single" w:sz="12" w:space="0" w:color="002C47" w:themeColor="accent1"/>
            </w:tcBorders>
            <w:vAlign w:val="center"/>
          </w:tcPr>
          <w:p w14:paraId="34C97595" w14:textId="5A04F95C" w:rsidR="00B63029" w:rsidRPr="00A80A22" w:rsidRDefault="00736E5B" w:rsidP="00ED2F53">
            <w:pPr>
              <w:pStyle w:val="Heading5"/>
              <w:spacing w:before="120" w:after="120"/>
              <w:jc w:val="center"/>
              <w:rPr>
                <w:smallCaps/>
                <w:spacing w:val="10"/>
                <w:szCs w:val="24"/>
              </w:rPr>
            </w:pPr>
            <w:hyperlink w:anchor="_Lower_income_countries_1" w:history="1">
              <w:r w:rsidR="00B63029" w:rsidRPr="00A80A22">
                <w:rPr>
                  <w:smallCaps/>
                  <w:spacing w:val="10"/>
                  <w:szCs w:val="24"/>
                </w:rPr>
                <w:t xml:space="preserve">Lower income countries </w:t>
              </w:r>
              <w:r w:rsidR="00B63029">
                <w:rPr>
                  <w:smallCaps/>
                  <w:spacing w:val="10"/>
                  <w:szCs w:val="24"/>
                </w:rPr>
                <w:t xml:space="preserve">are also </w:t>
              </w:r>
              <w:r w:rsidR="00B63029" w:rsidRPr="00A80A22">
                <w:rPr>
                  <w:smallCaps/>
                  <w:spacing w:val="10"/>
                  <w:szCs w:val="24"/>
                </w:rPr>
                <w:t>undergoing rapid demographic transition</w:t>
              </w:r>
            </w:hyperlink>
          </w:p>
        </w:tc>
        <w:tc>
          <w:tcPr>
            <w:tcW w:w="615" w:type="pct"/>
            <w:tcBorders>
              <w:left w:val="single" w:sz="12" w:space="0" w:color="002C47" w:themeColor="accent1"/>
              <w:right w:val="single" w:sz="12" w:space="0" w:color="002C47" w:themeColor="accent1"/>
            </w:tcBorders>
            <w:vAlign w:val="center"/>
          </w:tcPr>
          <w:p w14:paraId="67A81779" w14:textId="1FE88B6F" w:rsidR="00B63029" w:rsidRPr="00637F32" w:rsidRDefault="00736E5B" w:rsidP="00637F32">
            <w:pPr>
              <w:pStyle w:val="Heading5"/>
              <w:spacing w:before="120" w:after="120"/>
              <w:jc w:val="center"/>
              <w:rPr>
                <w:smallCaps/>
                <w:spacing w:val="10"/>
                <w:szCs w:val="24"/>
              </w:rPr>
            </w:pPr>
            <w:hyperlink w:anchor="_Chart_6._" w:history="1">
              <w:r w:rsidR="00B63029" w:rsidRPr="006649A6">
                <w:rPr>
                  <w:smallCaps/>
                </w:rPr>
                <w:t>Leading to world population aging</w:t>
              </w:r>
            </w:hyperlink>
          </w:p>
        </w:tc>
        <w:bookmarkStart w:id="1" w:name="_Almost_all_net"/>
        <w:bookmarkEnd w:id="1"/>
        <w:tc>
          <w:tcPr>
            <w:tcW w:w="688" w:type="pct"/>
            <w:tcBorders>
              <w:left w:val="single" w:sz="12" w:space="0" w:color="002C47" w:themeColor="accent1"/>
              <w:right w:val="single" w:sz="12" w:space="0" w:color="002C47" w:themeColor="accent1"/>
            </w:tcBorders>
            <w:vAlign w:val="center"/>
          </w:tcPr>
          <w:p w14:paraId="2FB0B0C4" w14:textId="6518EA57" w:rsidR="00B63029" w:rsidRPr="00A80A22" w:rsidRDefault="00551414" w:rsidP="00ED2F53">
            <w:pPr>
              <w:pStyle w:val="Heading5"/>
              <w:spacing w:before="120" w:after="120"/>
              <w:jc w:val="center"/>
              <w:rPr>
                <w:smallCaps/>
                <w:spacing w:val="10"/>
                <w:szCs w:val="24"/>
              </w:rPr>
            </w:pPr>
            <w:r>
              <w:fldChar w:fldCharType="begin"/>
            </w:r>
            <w:r w:rsidR="00FF6977">
              <w:instrText>HYPERLINK  \l "_Chart_7._"</w:instrText>
            </w:r>
            <w:r>
              <w:fldChar w:fldCharType="separate"/>
            </w:r>
            <w:r w:rsidR="00B63029" w:rsidRPr="00A80A22">
              <w:rPr>
                <w:smallCaps/>
                <w:spacing w:val="10"/>
                <w:szCs w:val="24"/>
              </w:rPr>
              <w:t>Almost all net migration is to high-income countries</w:t>
            </w:r>
            <w:r>
              <w:rPr>
                <w:smallCaps/>
                <w:spacing w:val="10"/>
                <w:szCs w:val="24"/>
              </w:rPr>
              <w:fldChar w:fldCharType="end"/>
            </w:r>
          </w:p>
        </w:tc>
        <w:tc>
          <w:tcPr>
            <w:tcW w:w="820" w:type="pct"/>
            <w:tcBorders>
              <w:left w:val="single" w:sz="12" w:space="0" w:color="002C47" w:themeColor="accent1"/>
            </w:tcBorders>
            <w:vAlign w:val="center"/>
          </w:tcPr>
          <w:p w14:paraId="287A2EAA" w14:textId="1F212677" w:rsidR="00B63029" w:rsidRPr="00A80A22" w:rsidRDefault="00736E5B" w:rsidP="00ED2F53">
            <w:pPr>
              <w:pStyle w:val="Heading5"/>
              <w:spacing w:before="120" w:after="120"/>
              <w:jc w:val="center"/>
              <w:rPr>
                <w:smallCaps/>
                <w:spacing w:val="10"/>
                <w:szCs w:val="24"/>
              </w:rPr>
            </w:pPr>
            <w:hyperlink w:anchor="_UN_projections_vary" w:history="1">
              <w:r w:rsidR="00B63029" w:rsidRPr="00A80A22">
                <w:rPr>
                  <w:smallCaps/>
                  <w:spacing w:val="10"/>
                  <w:szCs w:val="24"/>
                </w:rPr>
                <w:t>UN projections vary significantly from the Centre for Population</w:t>
              </w:r>
            </w:hyperlink>
            <w:r w:rsidR="00B63029">
              <w:rPr>
                <w:smallCaps/>
                <w:spacing w:val="10"/>
                <w:szCs w:val="24"/>
              </w:rPr>
              <w:t>’s</w:t>
            </w:r>
          </w:p>
        </w:tc>
      </w:tr>
    </w:tbl>
    <w:p w14:paraId="624B3495" w14:textId="09C0F514" w:rsidR="00DC365D" w:rsidRPr="005B1872" w:rsidRDefault="00DC365D" w:rsidP="00A80A22">
      <w:pPr>
        <w:pStyle w:val="Heading7"/>
        <w:spacing w:before="360"/>
      </w:pPr>
      <w:r w:rsidRPr="005B1872">
        <w:t xml:space="preserve">World population </w:t>
      </w:r>
      <w:r w:rsidRPr="00D255D3">
        <w:t>to peak in 2084</w:t>
      </w: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142"/>
        <w:gridCol w:w="7087"/>
      </w:tblGrid>
      <w:tr w:rsidR="00BE0434" w:rsidRPr="00DC365D" w14:paraId="2C0C835E" w14:textId="77777777" w:rsidTr="000A1A41">
        <w:tc>
          <w:tcPr>
            <w:tcW w:w="7088" w:type="dxa"/>
          </w:tcPr>
          <w:p w14:paraId="68E11E5F" w14:textId="31F1C2EF" w:rsidR="00992023" w:rsidRDefault="00B63029" w:rsidP="001B3207">
            <w:pPr>
              <w:pStyle w:val="Bullet"/>
            </w:pPr>
            <w:r>
              <w:t>On 11 July 2024</w:t>
            </w:r>
            <w:r w:rsidR="00147955">
              <w:t>,</w:t>
            </w:r>
            <w:r w:rsidR="00992023" w:rsidRPr="00992023">
              <w:t xml:space="preserve"> the United Nations published the </w:t>
            </w:r>
            <w:r w:rsidR="000F62BC" w:rsidRPr="00EE36BB">
              <w:rPr>
                <w:i/>
                <w:iCs/>
              </w:rPr>
              <w:t>World Population Prospects 2024</w:t>
            </w:r>
            <w:r w:rsidR="000F62BC">
              <w:t xml:space="preserve">, </w:t>
            </w:r>
            <w:r w:rsidR="009678CA">
              <w:t>a biennial report provid</w:t>
            </w:r>
            <w:r w:rsidR="00BD7C7A">
              <w:t>ing</w:t>
            </w:r>
            <w:r w:rsidR="009678CA">
              <w:t xml:space="preserve"> comprehensive global </w:t>
            </w:r>
            <w:r w:rsidR="00C16A26">
              <w:t>demographic</w:t>
            </w:r>
            <w:r w:rsidR="009678CA">
              <w:t xml:space="preserve"> </w:t>
            </w:r>
            <w:r w:rsidR="00050C62">
              <w:t>estimates</w:t>
            </w:r>
            <w:r w:rsidR="00C16A26">
              <w:t xml:space="preserve"> from 1950</w:t>
            </w:r>
            <w:r w:rsidR="00050C62">
              <w:t xml:space="preserve"> </w:t>
            </w:r>
            <w:r w:rsidR="00D84713">
              <w:t>and</w:t>
            </w:r>
            <w:r w:rsidR="007C7D65">
              <w:t xml:space="preserve"> </w:t>
            </w:r>
            <w:r w:rsidR="00050C62">
              <w:t>projections</w:t>
            </w:r>
            <w:r w:rsidR="00C16A26">
              <w:t xml:space="preserve"> to 2100</w:t>
            </w:r>
            <w:r w:rsidR="000B2C9C">
              <w:t xml:space="preserve">. </w:t>
            </w:r>
            <w:r w:rsidR="00992023" w:rsidRPr="00992023">
              <w:t xml:space="preserve">The release is available </w:t>
            </w:r>
            <w:hyperlink r:id="rId8" w:history="1">
              <w:r w:rsidR="00992023" w:rsidRPr="00CB5F1A">
                <w:rPr>
                  <w:rStyle w:val="Hyperlink"/>
                  <w:b/>
                  <w:bCs/>
                </w:rPr>
                <w:t>here</w:t>
              </w:r>
            </w:hyperlink>
            <w:r w:rsidR="00992023" w:rsidRPr="00992023">
              <w:t>.</w:t>
            </w:r>
          </w:p>
          <w:p w14:paraId="7C2696A8" w14:textId="72183929" w:rsidR="00992023" w:rsidRPr="00992023" w:rsidRDefault="00D55450" w:rsidP="001B3207">
            <w:pPr>
              <w:pStyle w:val="Bullet"/>
            </w:pPr>
            <w:r>
              <w:t>Global</w:t>
            </w:r>
            <w:r w:rsidR="00992023" w:rsidRPr="00992023">
              <w:t xml:space="preserve"> population is</w:t>
            </w:r>
            <w:r w:rsidR="005130B2">
              <w:t xml:space="preserve"> estimated to </w:t>
            </w:r>
            <w:r w:rsidR="005130B2" w:rsidRPr="006E5923">
              <w:t>be</w:t>
            </w:r>
            <w:r w:rsidR="00992023" w:rsidRPr="006E5923">
              <w:t xml:space="preserve"> 8</w:t>
            </w:r>
            <w:r w:rsidR="00190503" w:rsidRPr="006E5923">
              <w:t>.2</w:t>
            </w:r>
            <w:r w:rsidR="00992023" w:rsidRPr="006E5923">
              <w:t xml:space="preserve"> bil</w:t>
            </w:r>
            <w:r w:rsidR="00992023" w:rsidRPr="00992023">
              <w:t>lion</w:t>
            </w:r>
            <w:r w:rsidR="00190503">
              <w:t xml:space="preserve"> </w:t>
            </w:r>
            <w:r w:rsidR="00190503" w:rsidRPr="006E5923">
              <w:t>in 2024</w:t>
            </w:r>
            <w:r w:rsidR="00992023" w:rsidRPr="00992023">
              <w:t xml:space="preserve">, with the population to peak </w:t>
            </w:r>
            <w:r w:rsidR="00555B13">
              <w:t xml:space="preserve">in 2084 </w:t>
            </w:r>
            <w:r w:rsidR="00992023" w:rsidRPr="00A42E90">
              <w:t xml:space="preserve">at </w:t>
            </w:r>
            <w:r w:rsidR="000D1F8E" w:rsidRPr="00A42E90">
              <w:t>10.</w:t>
            </w:r>
            <w:r w:rsidR="002B3C93" w:rsidRPr="00A42E90">
              <w:t>3</w:t>
            </w:r>
            <w:r w:rsidR="00992023" w:rsidRPr="00A42E90">
              <w:t xml:space="preserve"> billion </w:t>
            </w:r>
            <w:r w:rsidR="006E3ADB">
              <w:t xml:space="preserve">and then decline </w:t>
            </w:r>
            <w:r w:rsidR="006E3ADB" w:rsidRPr="00EA2E6C">
              <w:t xml:space="preserve">to </w:t>
            </w:r>
            <w:r w:rsidR="005130B2" w:rsidRPr="00EA2E6C">
              <w:t>10.</w:t>
            </w:r>
            <w:r w:rsidR="00C33BAD" w:rsidRPr="00EA2E6C">
              <w:t>2</w:t>
            </w:r>
            <w:r w:rsidR="006E3ADB" w:rsidRPr="00EA2E6C">
              <w:t xml:space="preserve"> billion by 2100</w:t>
            </w:r>
            <w:r w:rsidR="0073471D" w:rsidRPr="00EA2E6C">
              <w:t xml:space="preserve"> (Chart 1)</w:t>
            </w:r>
            <w:r w:rsidR="00992023" w:rsidRPr="00EA2E6C">
              <w:t>.</w:t>
            </w:r>
            <w:r w:rsidR="006E3ADB" w:rsidRPr="00EA2E6C">
              <w:t xml:space="preserve"> </w:t>
            </w:r>
          </w:p>
          <w:p w14:paraId="65295735" w14:textId="2FAF50A7" w:rsidR="00246F01" w:rsidRDefault="003908A9" w:rsidP="001B3207">
            <w:pPr>
              <w:pStyle w:val="Bullet"/>
            </w:pPr>
            <w:r>
              <w:t>The w</w:t>
            </w:r>
            <w:r w:rsidR="008E22BE">
              <w:t>orld population growth</w:t>
            </w:r>
            <w:r w:rsidR="00C2752C">
              <w:t xml:space="preserve"> rate</w:t>
            </w:r>
            <w:r w:rsidR="00F36FAC">
              <w:t xml:space="preserve"> </w:t>
            </w:r>
            <w:r>
              <w:t xml:space="preserve">has </w:t>
            </w:r>
            <w:r w:rsidR="00E22F71">
              <w:t>halve</w:t>
            </w:r>
            <w:r w:rsidR="00847DFF">
              <w:t>d</w:t>
            </w:r>
            <w:r w:rsidR="008E22BE">
              <w:t xml:space="preserve"> from </w:t>
            </w:r>
            <w:r w:rsidR="008E22BE" w:rsidRPr="00B04BD7">
              <w:t xml:space="preserve">1.7 per cent </w:t>
            </w:r>
            <w:r w:rsidR="008E22BE" w:rsidRPr="00974B9E">
              <w:t xml:space="preserve">in </w:t>
            </w:r>
            <w:r w:rsidR="008E22BE" w:rsidRPr="009C11C8">
              <w:t xml:space="preserve">1950 </w:t>
            </w:r>
            <w:r w:rsidR="008E22BE" w:rsidRPr="0026484C">
              <w:t xml:space="preserve">to </w:t>
            </w:r>
            <w:r w:rsidR="008E22BE" w:rsidRPr="00B04BD7">
              <w:t>0.8 per cent</w:t>
            </w:r>
            <w:r w:rsidR="008E22BE" w:rsidRPr="0026484C">
              <w:t xml:space="preserve"> </w:t>
            </w:r>
            <w:r w:rsidR="00DF2428">
              <w:t>over</w:t>
            </w:r>
            <w:r w:rsidR="00847DFF">
              <w:t xml:space="preserve"> the 75 years to</w:t>
            </w:r>
            <w:r w:rsidR="008E22BE" w:rsidRPr="0026484C">
              <w:t xml:space="preserve"> </w:t>
            </w:r>
            <w:r w:rsidR="008E22BE" w:rsidRPr="009C11C8">
              <w:t>2025</w:t>
            </w:r>
            <w:r w:rsidR="0073471D" w:rsidRPr="00F36FAC">
              <w:t xml:space="preserve">. </w:t>
            </w:r>
            <w:r w:rsidR="00EA7C70">
              <w:t>P</w:t>
            </w:r>
            <w:r w:rsidR="00F36FAC" w:rsidRPr="00F36FAC">
              <w:t>opulation g</w:t>
            </w:r>
            <w:r w:rsidR="0073471D" w:rsidRPr="00F36FAC">
              <w:t>rowth</w:t>
            </w:r>
            <w:r w:rsidR="0073471D" w:rsidRPr="009C11C8">
              <w:t xml:space="preserve"> </w:t>
            </w:r>
            <w:r w:rsidR="008E22BE" w:rsidRPr="00F36FAC">
              <w:t xml:space="preserve">is </w:t>
            </w:r>
            <w:r w:rsidR="008E22BE">
              <w:t xml:space="preserve">projected to </w:t>
            </w:r>
            <w:r w:rsidR="00F36FAC">
              <w:t>end in</w:t>
            </w:r>
            <w:r w:rsidR="008E22BE">
              <w:t xml:space="preserve"> </w:t>
            </w:r>
            <w:r w:rsidR="00E57B7F">
              <w:t>2084 and</w:t>
            </w:r>
            <w:r w:rsidR="008E22BE">
              <w:t xml:space="preserve"> </w:t>
            </w:r>
            <w:r w:rsidR="008E22BE" w:rsidRPr="00BD3F53">
              <w:t xml:space="preserve">be </w:t>
            </w:r>
            <w:r w:rsidR="008E22BE" w:rsidRPr="00BD3F53">
              <w:noBreakHyphen/>
              <w:t>0.1 per </w:t>
            </w:r>
            <w:r w:rsidR="00A00AE6">
              <w:t>cent</w:t>
            </w:r>
            <w:r w:rsidR="008E22BE" w:rsidRPr="00BD3F53">
              <w:t xml:space="preserve"> </w:t>
            </w:r>
            <w:r w:rsidR="00847DFF">
              <w:t>by</w:t>
            </w:r>
            <w:r w:rsidR="008E22BE" w:rsidRPr="00BD3F53">
              <w:t xml:space="preserve"> </w:t>
            </w:r>
            <w:r w:rsidR="008E22BE" w:rsidRPr="009C11C8">
              <w:t>2100</w:t>
            </w:r>
            <w:r w:rsidR="008E22BE">
              <w:t>.</w:t>
            </w:r>
          </w:p>
          <w:p w14:paraId="013759B9" w14:textId="2158F8F4" w:rsidR="00D04668" w:rsidRDefault="000F62BC" w:rsidP="001B3207">
            <w:pPr>
              <w:pStyle w:val="Bullet"/>
            </w:pPr>
            <w:r w:rsidRPr="00F36FAC">
              <w:t>The</w:t>
            </w:r>
            <w:r>
              <w:t xml:space="preserve"> 2024 projections continue a trend of population downgrades in subsequent </w:t>
            </w:r>
            <w:r w:rsidR="00E8184B">
              <w:t>revisions since 201</w:t>
            </w:r>
            <w:r w:rsidR="00FB483E">
              <w:t>5</w:t>
            </w:r>
            <w:r w:rsidR="00E8184B">
              <w:t>.</w:t>
            </w:r>
            <w:r w:rsidR="00180CC1">
              <w:t xml:space="preserve"> </w:t>
            </w:r>
            <w:r w:rsidR="0064686B">
              <w:t xml:space="preserve">The driver of the </w:t>
            </w:r>
            <w:r w:rsidR="00FB483E">
              <w:t xml:space="preserve">UN population </w:t>
            </w:r>
            <w:r w:rsidR="00FB483E" w:rsidRPr="00946523">
              <w:t xml:space="preserve">projections </w:t>
            </w:r>
            <w:r w:rsidR="0064686B">
              <w:t xml:space="preserve">downgrades </w:t>
            </w:r>
            <w:r w:rsidR="0064686B" w:rsidRPr="00946523">
              <w:t xml:space="preserve">is </w:t>
            </w:r>
            <w:r w:rsidR="00D479C4" w:rsidRPr="00946523">
              <w:t xml:space="preserve">a </w:t>
            </w:r>
            <w:r w:rsidR="00D04668" w:rsidRPr="00946523">
              <w:t>faster</w:t>
            </w:r>
            <w:r w:rsidR="00D479C4" w:rsidRPr="00946523">
              <w:t>-</w:t>
            </w:r>
            <w:r w:rsidR="00D04668" w:rsidRPr="00946523">
              <w:t>than</w:t>
            </w:r>
            <w:r w:rsidR="00D479C4" w:rsidRPr="00946523">
              <w:t>-</w:t>
            </w:r>
            <w:r w:rsidR="00D04668" w:rsidRPr="00946523">
              <w:t xml:space="preserve">expected decline </w:t>
            </w:r>
            <w:r w:rsidR="00D479C4" w:rsidRPr="00946523">
              <w:t xml:space="preserve">in </w:t>
            </w:r>
            <w:r w:rsidR="00282FA8">
              <w:t xml:space="preserve">global </w:t>
            </w:r>
            <w:r w:rsidR="00D479C4" w:rsidRPr="00946523">
              <w:t xml:space="preserve">fertility </w:t>
            </w:r>
            <w:r w:rsidR="00FA74B8" w:rsidRPr="00946523">
              <w:t>rates</w:t>
            </w:r>
            <w:r w:rsidR="00F36FAC" w:rsidRPr="00946523">
              <w:t>.</w:t>
            </w:r>
          </w:p>
          <w:p w14:paraId="093532ED" w14:textId="12EA7FDE" w:rsidR="00B91703" w:rsidRDefault="00845FBA" w:rsidP="001B3207">
            <w:pPr>
              <w:pStyle w:val="Bullet"/>
            </w:pPr>
            <w:r>
              <w:t>From a historical perspective, t</w:t>
            </w:r>
            <w:r w:rsidR="00B91703" w:rsidRPr="00AC22F3">
              <w:t>he 20</w:t>
            </w:r>
            <w:r w:rsidR="00B91703" w:rsidRPr="00AC22F3">
              <w:rPr>
                <w:vertAlign w:val="superscript"/>
              </w:rPr>
              <w:t>th</w:t>
            </w:r>
            <w:r w:rsidR="00B91703" w:rsidRPr="00AC22F3">
              <w:t xml:space="preserve"> century </w:t>
            </w:r>
            <w:r w:rsidR="00C2752C" w:rsidRPr="00AC22F3">
              <w:t xml:space="preserve">was </w:t>
            </w:r>
            <w:r w:rsidR="00B91703" w:rsidRPr="00AC22F3">
              <w:t>defined by world population growth</w:t>
            </w:r>
            <w:r w:rsidR="00B91703">
              <w:t xml:space="preserve">, </w:t>
            </w:r>
            <w:r w:rsidR="00DD646D">
              <w:t xml:space="preserve">from </w:t>
            </w:r>
            <w:r w:rsidR="00B91703">
              <w:t xml:space="preserve">an </w:t>
            </w:r>
            <w:r w:rsidR="00B91703" w:rsidRPr="003510E2">
              <w:t>estimated 1.</w:t>
            </w:r>
            <w:r w:rsidR="00BB36D6" w:rsidRPr="003510E2">
              <w:t>7</w:t>
            </w:r>
            <w:r w:rsidR="00B91703" w:rsidRPr="003510E2">
              <w:t xml:space="preserve"> billion people in 1900 </w:t>
            </w:r>
            <w:r w:rsidR="00DD646D">
              <w:t xml:space="preserve">to </w:t>
            </w:r>
            <w:r w:rsidR="00B91703" w:rsidRPr="00430905">
              <w:t xml:space="preserve">6.2 billion by 2000. </w:t>
            </w:r>
          </w:p>
          <w:p w14:paraId="58EF5DE7" w14:textId="0DD6649D" w:rsidR="00B91703" w:rsidRDefault="00574BC3" w:rsidP="001B3207">
            <w:pPr>
              <w:pStyle w:val="Bullet"/>
            </w:pPr>
            <w:r>
              <w:t>T</w:t>
            </w:r>
            <w:r w:rsidR="00B91703">
              <w:t>he 21</w:t>
            </w:r>
            <w:r w:rsidR="00B91703" w:rsidRPr="008D26A7">
              <w:rPr>
                <w:vertAlign w:val="superscript"/>
              </w:rPr>
              <w:t>st</w:t>
            </w:r>
            <w:r w:rsidR="00B91703">
              <w:t xml:space="preserve"> century </w:t>
            </w:r>
            <w:r w:rsidR="00860F9F">
              <w:t xml:space="preserve">will be </w:t>
            </w:r>
            <w:r w:rsidR="00B91703">
              <w:t>defined by population momentum and, eventual</w:t>
            </w:r>
            <w:r w:rsidR="00A10839">
              <w:t>,</w:t>
            </w:r>
            <w:r w:rsidR="00B91703">
              <w:t xml:space="preserve"> population decline. The global total fertility rate is estimated to fall below replacement </w:t>
            </w:r>
            <w:r w:rsidR="00630011">
              <w:t xml:space="preserve">rate </w:t>
            </w:r>
            <w:r w:rsidR="00043169">
              <w:t xml:space="preserve">of </w:t>
            </w:r>
            <w:r w:rsidR="005C0C3E">
              <w:t xml:space="preserve">2.1 births per woman </w:t>
            </w:r>
            <w:r w:rsidR="00B91703" w:rsidRPr="002A2207">
              <w:t>in 2050</w:t>
            </w:r>
            <w:r w:rsidR="005C0C3E">
              <w:t xml:space="preserve">, which is the level </w:t>
            </w:r>
            <w:r w:rsidR="00D43DD4">
              <w:t>required</w:t>
            </w:r>
            <w:r w:rsidR="005C0C3E">
              <w:t xml:space="preserve"> for a generation to </w:t>
            </w:r>
            <w:r w:rsidR="00D43DD4">
              <w:t>replace itself</w:t>
            </w:r>
            <w:r w:rsidR="003925DA">
              <w:t>.</w:t>
            </w:r>
          </w:p>
          <w:p w14:paraId="09A9B0B6" w14:textId="24E0D1E6" w:rsidR="00FD7F21" w:rsidRPr="004223B8" w:rsidRDefault="00B91703" w:rsidP="001B3207">
            <w:pPr>
              <w:pStyle w:val="Dash"/>
            </w:pPr>
            <w:r>
              <w:t xml:space="preserve">Population momentum is where </w:t>
            </w:r>
            <w:r w:rsidR="005A06A5">
              <w:t xml:space="preserve">population </w:t>
            </w:r>
            <w:r w:rsidR="00E96ADB">
              <w:t xml:space="preserve">growth </w:t>
            </w:r>
            <w:r>
              <w:t xml:space="preserve">continues after </w:t>
            </w:r>
            <w:r w:rsidR="005A06A5">
              <w:t xml:space="preserve">the total </w:t>
            </w:r>
            <w:r>
              <w:t xml:space="preserve">fertility rate </w:t>
            </w:r>
            <w:r w:rsidR="00E96ADB">
              <w:t>drop</w:t>
            </w:r>
            <w:r w:rsidR="005A06A5">
              <w:t>s</w:t>
            </w:r>
            <w:r w:rsidR="00E96ADB">
              <w:t xml:space="preserve"> </w:t>
            </w:r>
            <w:r>
              <w:t>below the replacement rate. This occurs due to the</w:t>
            </w:r>
            <w:r w:rsidR="00574BC3">
              <w:t xml:space="preserve"> youthful</w:t>
            </w:r>
            <w:r>
              <w:t xml:space="preserve"> age structure created by </w:t>
            </w:r>
            <w:r w:rsidR="004409CB">
              <w:t xml:space="preserve">the </w:t>
            </w:r>
            <w:r>
              <w:t>previous high fertility rate</w:t>
            </w:r>
            <w:r w:rsidR="00661650">
              <w:t>.</w:t>
            </w:r>
          </w:p>
        </w:tc>
        <w:tc>
          <w:tcPr>
            <w:tcW w:w="142" w:type="dxa"/>
          </w:tcPr>
          <w:p w14:paraId="4DECDD28" w14:textId="77777777" w:rsidR="00DC365D" w:rsidRPr="00DC365D" w:rsidRDefault="00DC365D" w:rsidP="00DC365D">
            <w:pPr>
              <w:spacing w:before="0"/>
              <w:rPr>
                <w:rFonts w:ascii="Calibri" w:eastAsia="Calibri" w:hAnsi="Calibri" w:cs="Times New Roman"/>
                <w:sz w:val="22"/>
              </w:rPr>
            </w:pPr>
          </w:p>
        </w:tc>
        <w:tc>
          <w:tcPr>
            <w:tcW w:w="7087" w:type="dxa"/>
          </w:tcPr>
          <w:p w14:paraId="2BCBB00A" w14:textId="5CBF6D2E" w:rsidR="00DC365D" w:rsidRPr="00CD6BA4" w:rsidRDefault="00DC365D" w:rsidP="00CD6BA4">
            <w:pPr>
              <w:pStyle w:val="Heading4"/>
            </w:pPr>
            <w:r w:rsidRPr="00CD6BA4">
              <w:t xml:space="preserve">Chart 1. </w:t>
            </w:r>
            <w:r w:rsidR="00523A62" w:rsidRPr="00CD6BA4">
              <w:t xml:space="preserve"> </w:t>
            </w:r>
            <w:r w:rsidRPr="00CD6BA4">
              <w:t xml:space="preserve">World population 1950 </w:t>
            </w:r>
            <w:r w:rsidR="006A3770" w:rsidRPr="00CD6BA4">
              <w:t>–</w:t>
            </w:r>
            <w:r w:rsidRPr="00CD6BA4">
              <w:t xml:space="preserve"> 2100</w:t>
            </w:r>
          </w:p>
          <w:p w14:paraId="4065769A" w14:textId="5B553ACF" w:rsidR="00190503" w:rsidRDefault="009C11C8" w:rsidP="003B2354">
            <w:pPr>
              <w:spacing w:before="0"/>
              <w:rPr>
                <w:rFonts w:ascii="Calibri" w:eastAsia="Calibri" w:hAnsi="Calibri" w:cs="Times New Roman"/>
                <w:bCs/>
                <w:sz w:val="22"/>
              </w:rPr>
            </w:pPr>
            <w:r>
              <w:rPr>
                <w:rFonts w:ascii="Calibri" w:eastAsia="Calibri" w:hAnsi="Calibri" w:cs="Times New Roman"/>
                <w:bCs/>
                <w:noProof/>
                <w:sz w:val="22"/>
              </w:rPr>
              <w:drawing>
                <wp:inline distT="0" distB="0" distL="0" distR="0" wp14:anchorId="6FBE06EA" wp14:editId="19E0C8B2">
                  <wp:extent cx="4323097" cy="3240000"/>
                  <wp:effectExtent l="0" t="0" r="1270" b="0"/>
                  <wp:docPr id="2016074160" name="Picture 2016074160" descr="This is a line chart showing the UN world population estimates and projections between 1950 and 2100 for each release from 2015, 2019, 2022, and 2024. For nearly all releases, there is a downgrade in the projected population in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74160" name="Picture 2016074160" descr="This is a line chart showing the UN world population estimates and projections between 1950 and 2100 for each release from 2015, 2019, 2022, and 2024. For nearly all releases, there is a downgrade in the projected population in 21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3097" cy="3240000"/>
                          </a:xfrm>
                          <a:prstGeom prst="rect">
                            <a:avLst/>
                          </a:prstGeom>
                        </pic:spPr>
                      </pic:pic>
                    </a:graphicData>
                  </a:graphic>
                </wp:inline>
              </w:drawing>
            </w:r>
          </w:p>
          <w:p w14:paraId="12ED135D" w14:textId="5BE77736" w:rsidR="00FD7F21" w:rsidRPr="0080452B" w:rsidRDefault="0082015D" w:rsidP="00661650">
            <w:pPr>
              <w:spacing w:before="0"/>
              <w:rPr>
                <w:bCs/>
              </w:rPr>
            </w:pPr>
            <w:r w:rsidRPr="0080452B">
              <w:rPr>
                <w:bCs/>
                <w:sz w:val="16"/>
                <w:szCs w:val="18"/>
              </w:rPr>
              <w:t>Note: Projections</w:t>
            </w:r>
            <w:r w:rsidR="00B64C84" w:rsidRPr="0080452B">
              <w:rPr>
                <w:bCs/>
                <w:sz w:val="16"/>
                <w:szCs w:val="18"/>
              </w:rPr>
              <w:t xml:space="preserve"> from </w:t>
            </w:r>
            <w:r w:rsidR="00575BA6" w:rsidRPr="0080452B">
              <w:rPr>
                <w:bCs/>
                <w:sz w:val="16"/>
                <w:szCs w:val="18"/>
              </w:rPr>
              <w:t xml:space="preserve">2015, 2019, 2022 and 2024 </w:t>
            </w:r>
            <w:r w:rsidR="00B64C84" w:rsidRPr="0080452B">
              <w:rPr>
                <w:bCs/>
                <w:sz w:val="16"/>
                <w:szCs w:val="18"/>
              </w:rPr>
              <w:t>UN World Population Prospects</w:t>
            </w:r>
            <w:r w:rsidR="00575BA6" w:rsidRPr="0080452B">
              <w:rPr>
                <w:bCs/>
                <w:sz w:val="16"/>
                <w:szCs w:val="18"/>
              </w:rPr>
              <w:t xml:space="preserve"> used.</w:t>
            </w:r>
            <w:r w:rsidR="00C41CC2" w:rsidRPr="0080452B">
              <w:rPr>
                <w:bCs/>
              </w:rPr>
              <w:t xml:space="preserve"> </w:t>
            </w:r>
          </w:p>
        </w:tc>
      </w:tr>
    </w:tbl>
    <w:p w14:paraId="2BE6E7D5" w14:textId="4B0C4070" w:rsidR="0080452B" w:rsidRDefault="00B248B3" w:rsidP="002048D3">
      <w:pPr>
        <w:pStyle w:val="Heading7"/>
      </w:pPr>
      <w:bookmarkStart w:id="2" w:name="_Indian_population_overtakes"/>
      <w:bookmarkEnd w:id="2"/>
      <w:r>
        <w:t xml:space="preserve">India’s </w:t>
      </w:r>
      <w:r w:rsidR="00544FFF">
        <w:t>population</w:t>
      </w:r>
      <w:r w:rsidR="002048D3">
        <w:t xml:space="preserve"> overtake</w:t>
      </w:r>
      <w:r w:rsidR="005A062F">
        <w:t>s</w:t>
      </w:r>
      <w:r w:rsidR="002048D3">
        <w:t xml:space="preserve"> China</w:t>
      </w:r>
    </w:p>
    <w:tbl>
      <w:tblPr>
        <w:tblStyle w:val="TableGrid"/>
        <w:tblW w:w="14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7"/>
        <w:gridCol w:w="113"/>
        <w:gridCol w:w="7087"/>
      </w:tblGrid>
      <w:tr w:rsidR="002048D3" w14:paraId="0C3A9B6C" w14:textId="77777777" w:rsidTr="00AA2D92">
        <w:tc>
          <w:tcPr>
            <w:tcW w:w="7087" w:type="dxa"/>
          </w:tcPr>
          <w:p w14:paraId="3700477B" w14:textId="5258B719" w:rsidR="00551B62" w:rsidRDefault="00551B62" w:rsidP="00551B62">
            <w:pPr>
              <w:pStyle w:val="Bullet"/>
            </w:pPr>
            <w:r w:rsidRPr="0080452B">
              <w:t>The UN projects that Australia’s population will reach 43.1 million by 2100, up 16.4</w:t>
            </w:r>
            <w:r w:rsidR="00574BC3">
              <w:t> </w:t>
            </w:r>
            <w:r w:rsidRPr="0080452B">
              <w:t>million from today’s population of 26.7 million.</w:t>
            </w:r>
          </w:p>
          <w:p w14:paraId="20C3109A" w14:textId="77777777" w:rsidR="00551B62" w:rsidRPr="0080452B" w:rsidRDefault="00551B62" w:rsidP="00551B62">
            <w:pPr>
              <w:pStyle w:val="Dash"/>
            </w:pPr>
            <w:r>
              <w:t>A discussion on how these projections compare to Centre for Population projections can be found later in this note.</w:t>
            </w:r>
          </w:p>
          <w:p w14:paraId="1721C857" w14:textId="3C63261D" w:rsidR="00551B62" w:rsidRDefault="00551B62" w:rsidP="00551B62">
            <w:pPr>
              <w:pStyle w:val="Bullet"/>
            </w:pPr>
            <w:r w:rsidRPr="0080452B">
              <w:t>In 2025, Australia will become the 55</w:t>
            </w:r>
            <w:r w:rsidRPr="0080452B">
              <w:rPr>
                <w:vertAlign w:val="superscript"/>
              </w:rPr>
              <w:t>th</w:t>
            </w:r>
            <w:r w:rsidRPr="0080452B">
              <w:t xml:space="preserve"> most populous country and projected to be 53</w:t>
            </w:r>
            <w:r w:rsidRPr="0080452B">
              <w:rPr>
                <w:vertAlign w:val="superscript"/>
              </w:rPr>
              <w:t>rd</w:t>
            </w:r>
            <w:r w:rsidRPr="0080452B">
              <w:t xml:space="preserve"> by 2100. </w:t>
            </w:r>
            <w:r>
              <w:t>Australia was ranked as high as 39</w:t>
            </w:r>
            <w:r w:rsidRPr="00DC1D9B">
              <w:rPr>
                <w:vertAlign w:val="superscript"/>
              </w:rPr>
              <w:t>th</w:t>
            </w:r>
            <w:r>
              <w:t xml:space="preserve"> in 1961</w:t>
            </w:r>
            <w:r w:rsidR="004F2F54">
              <w:t xml:space="preserve">, this was at </w:t>
            </w:r>
            <w:r>
              <w:t>the height of the baby boom and the UN estimated total fertility rate peaked in Australia at 3.5</w:t>
            </w:r>
            <w:r w:rsidR="00C233DB">
              <w:t> </w:t>
            </w:r>
            <w:r w:rsidR="004A7ADE">
              <w:t>births per woman</w:t>
            </w:r>
            <w:r>
              <w:t>.</w:t>
            </w:r>
          </w:p>
          <w:p w14:paraId="1D9965DC" w14:textId="0CAC09EE" w:rsidR="00511E0F" w:rsidRDefault="00E00A97" w:rsidP="00551B62">
            <w:pPr>
              <w:pStyle w:val="Bullet"/>
            </w:pPr>
            <w:r>
              <w:t>Over time</w:t>
            </w:r>
            <w:r w:rsidR="0045488A">
              <w:t>,</w:t>
            </w:r>
            <w:r w:rsidR="00E04922">
              <w:t xml:space="preserve"> </w:t>
            </w:r>
            <w:r w:rsidR="003F0815">
              <w:t xml:space="preserve">there </w:t>
            </w:r>
            <w:r w:rsidR="00F62366">
              <w:t>are</w:t>
            </w:r>
            <w:r w:rsidR="003F0815">
              <w:t xml:space="preserve"> significant change</w:t>
            </w:r>
            <w:r w:rsidR="00F62366">
              <w:t>s</w:t>
            </w:r>
            <w:r w:rsidR="003F0815">
              <w:t xml:space="preserve"> </w:t>
            </w:r>
            <w:r w:rsidR="00922BE7">
              <w:t>in the relative sizes of countries and the population ranking</w:t>
            </w:r>
            <w:r w:rsidR="00B30BDE">
              <w:t>s</w:t>
            </w:r>
            <w:r w:rsidR="003461C9">
              <w:t>. Notably</w:t>
            </w:r>
            <w:r w:rsidR="00795B6F">
              <w:t>,</w:t>
            </w:r>
            <w:r w:rsidR="00922BE7">
              <w:t xml:space="preserve"> </w:t>
            </w:r>
            <w:r w:rsidR="003461C9" w:rsidRPr="00081C54">
              <w:t xml:space="preserve">India is estimated to have </w:t>
            </w:r>
            <w:r w:rsidR="003461C9" w:rsidRPr="00ED062F">
              <w:t>overtaken</w:t>
            </w:r>
            <w:r w:rsidR="003461C9" w:rsidRPr="00081C54">
              <w:t xml:space="preserve"> China</w:t>
            </w:r>
            <w:r w:rsidR="003461C9" w:rsidRPr="0080452B">
              <w:t xml:space="preserve"> as the most populous country in 2022 with a population of 1.4 billion</w:t>
            </w:r>
            <w:r w:rsidR="00B75202">
              <w:t xml:space="preserve"> (Chart 2)</w:t>
            </w:r>
            <w:r w:rsidR="003461C9" w:rsidRPr="0080452B">
              <w:t>.</w:t>
            </w:r>
          </w:p>
          <w:p w14:paraId="7B5B2197" w14:textId="64900A00" w:rsidR="00546448" w:rsidRDefault="00546448" w:rsidP="00546448">
            <w:pPr>
              <w:pStyle w:val="Dash"/>
            </w:pPr>
            <w:r w:rsidRPr="0080452B">
              <w:t xml:space="preserve">India and China are projected to remain the first and second most </w:t>
            </w:r>
            <w:r w:rsidRPr="00C03E3B">
              <w:t>populous</w:t>
            </w:r>
            <w:r w:rsidRPr="0080452B">
              <w:t xml:space="preserve"> countries</w:t>
            </w:r>
            <w:r w:rsidR="00141F1A">
              <w:t xml:space="preserve"> </w:t>
            </w:r>
            <w:r w:rsidR="00B75202">
              <w:t>at the end of the century.</w:t>
            </w:r>
          </w:p>
          <w:p w14:paraId="3145A47E" w14:textId="5AE3C734" w:rsidR="008B5FFF" w:rsidRDefault="00414615" w:rsidP="001B3207">
            <w:pPr>
              <w:pStyle w:val="Bullet"/>
            </w:pPr>
            <w:r>
              <w:t>By</w:t>
            </w:r>
            <w:r w:rsidR="008B5FFF" w:rsidRPr="0080452B">
              <w:t xml:space="preserve"> the </w:t>
            </w:r>
            <w:r>
              <w:t xml:space="preserve">end of next year, the United States </w:t>
            </w:r>
            <w:r w:rsidR="002E4BD2">
              <w:t xml:space="preserve">will </w:t>
            </w:r>
            <w:r w:rsidR="00DD0122">
              <w:t>remain</w:t>
            </w:r>
            <w:r w:rsidR="0060622B">
              <w:t xml:space="preserve"> </w:t>
            </w:r>
            <w:r w:rsidR="008B5FFF" w:rsidRPr="0080452B">
              <w:t>3</w:t>
            </w:r>
            <w:r w:rsidR="008B5FFF" w:rsidRPr="0080452B">
              <w:rPr>
                <w:vertAlign w:val="superscript"/>
              </w:rPr>
              <w:t>rd</w:t>
            </w:r>
            <w:r w:rsidR="008B5FFF" w:rsidRPr="0080452B">
              <w:t xml:space="preserve"> </w:t>
            </w:r>
            <w:r w:rsidR="0060622B">
              <w:t xml:space="preserve">in </w:t>
            </w:r>
            <w:r w:rsidR="007873AA">
              <w:t xml:space="preserve">the </w:t>
            </w:r>
            <w:r w:rsidR="008B5FFF" w:rsidRPr="0080452B">
              <w:t xml:space="preserve">population </w:t>
            </w:r>
            <w:r w:rsidR="007873AA">
              <w:t xml:space="preserve">rankings with </w:t>
            </w:r>
            <w:r w:rsidR="00C0500A">
              <w:t>347 million</w:t>
            </w:r>
            <w:r w:rsidR="0017016E">
              <w:t xml:space="preserve"> people</w:t>
            </w:r>
            <w:r w:rsidR="00EB7002">
              <w:t xml:space="preserve"> but</w:t>
            </w:r>
            <w:r w:rsidR="008B5FFF" w:rsidRPr="0080452B">
              <w:t xml:space="preserve"> is projected to fall to 6</w:t>
            </w:r>
            <w:r w:rsidR="008B5FFF" w:rsidRPr="0080452B">
              <w:rPr>
                <w:vertAlign w:val="superscript"/>
              </w:rPr>
              <w:t>th</w:t>
            </w:r>
            <w:r w:rsidR="008B5FFF" w:rsidRPr="0080452B">
              <w:t xml:space="preserve"> </w:t>
            </w:r>
            <w:r w:rsidR="00EB7002">
              <w:t xml:space="preserve">with </w:t>
            </w:r>
            <w:r w:rsidR="008B5FFF" w:rsidRPr="0080452B">
              <w:t>421.3 million by 2100. Pakistan will move from 5</w:t>
            </w:r>
            <w:r w:rsidR="008B5FFF" w:rsidRPr="0080452B">
              <w:rPr>
                <w:vertAlign w:val="superscript"/>
              </w:rPr>
              <w:t>th</w:t>
            </w:r>
            <w:r w:rsidR="008B5FFF" w:rsidRPr="0080452B">
              <w:t xml:space="preserve"> </w:t>
            </w:r>
            <w:r w:rsidR="00DE3A04">
              <w:t xml:space="preserve">in 2025 </w:t>
            </w:r>
            <w:r w:rsidR="008B5FFF" w:rsidRPr="0080452B">
              <w:t>to 3</w:t>
            </w:r>
            <w:r w:rsidR="008B5FFF" w:rsidRPr="0080452B">
              <w:rPr>
                <w:vertAlign w:val="superscript"/>
              </w:rPr>
              <w:t>rd</w:t>
            </w:r>
            <w:r w:rsidR="008B5FFF" w:rsidRPr="0080452B">
              <w:t xml:space="preserve"> with 511 million people, </w:t>
            </w:r>
            <w:r w:rsidR="00AD33B5">
              <w:t xml:space="preserve">while </w:t>
            </w:r>
            <w:r w:rsidR="008B5FFF" w:rsidRPr="0080452B">
              <w:t xml:space="preserve">Nigeria </w:t>
            </w:r>
            <w:r w:rsidR="00AD33B5">
              <w:t>will rise</w:t>
            </w:r>
            <w:r w:rsidR="008B5FFF" w:rsidRPr="0080452B">
              <w:t xml:space="preserve"> from 6</w:t>
            </w:r>
            <w:r w:rsidR="008B5FFF" w:rsidRPr="0080452B">
              <w:rPr>
                <w:vertAlign w:val="superscript"/>
              </w:rPr>
              <w:t>th</w:t>
            </w:r>
            <w:r w:rsidR="008B5FFF" w:rsidRPr="0080452B">
              <w:t xml:space="preserve"> to 4</w:t>
            </w:r>
            <w:r w:rsidR="008B5FFF" w:rsidRPr="0080452B">
              <w:rPr>
                <w:vertAlign w:val="superscript"/>
              </w:rPr>
              <w:t>th</w:t>
            </w:r>
            <w:r w:rsidR="008B5FFF" w:rsidRPr="0080452B">
              <w:t xml:space="preserve"> with 476.7 million </w:t>
            </w:r>
            <w:r w:rsidR="008B5FFF" w:rsidRPr="00671EEC">
              <w:t>people</w:t>
            </w:r>
            <w:r w:rsidR="008B5FFF" w:rsidRPr="0080452B">
              <w:t>, and the Democratic Republic of the Congo wi</w:t>
            </w:r>
            <w:r w:rsidR="00DE3A04">
              <w:t xml:space="preserve">ll </w:t>
            </w:r>
            <w:r w:rsidR="00E50EC2">
              <w:t>witness</w:t>
            </w:r>
            <w:r w:rsidR="008B5FFF" w:rsidRPr="0080452B">
              <w:t xml:space="preserve"> </w:t>
            </w:r>
            <w:r w:rsidR="003041A6">
              <w:t>a</w:t>
            </w:r>
            <w:r w:rsidR="003041A6" w:rsidRPr="0080452B">
              <w:t xml:space="preserve"> </w:t>
            </w:r>
            <w:r w:rsidR="009F3239">
              <w:t>large</w:t>
            </w:r>
            <w:r w:rsidR="008B5FFF" w:rsidRPr="0080452B">
              <w:t xml:space="preserve"> jump from 15</w:t>
            </w:r>
            <w:r w:rsidR="008B5FFF" w:rsidRPr="0080452B">
              <w:rPr>
                <w:vertAlign w:val="superscript"/>
              </w:rPr>
              <w:t>th</w:t>
            </w:r>
            <w:r w:rsidR="008B5FFF" w:rsidRPr="0080452B">
              <w:t xml:space="preserve"> to 5</w:t>
            </w:r>
            <w:r w:rsidR="008B5FFF" w:rsidRPr="0080452B">
              <w:rPr>
                <w:vertAlign w:val="superscript"/>
              </w:rPr>
              <w:t>th</w:t>
            </w:r>
            <w:r w:rsidR="008B5FFF" w:rsidRPr="0080452B">
              <w:t xml:space="preserve"> with 430.</w:t>
            </w:r>
            <w:r w:rsidR="00574BC3" w:rsidRPr="0080452B">
              <w:t>7</w:t>
            </w:r>
            <w:r w:rsidR="00574BC3">
              <w:t> </w:t>
            </w:r>
            <w:r w:rsidR="008B5FFF" w:rsidRPr="0080452B">
              <w:t>million people.</w:t>
            </w:r>
          </w:p>
          <w:p w14:paraId="62E7E8F6" w14:textId="602CEC67" w:rsidR="00687A62" w:rsidRDefault="00687A62" w:rsidP="001B3207">
            <w:pPr>
              <w:pStyle w:val="Bullet"/>
            </w:pPr>
            <w:r>
              <w:t>From a continental perspective</w:t>
            </w:r>
            <w:r w:rsidR="00E948F6">
              <w:t xml:space="preserve">, </w:t>
            </w:r>
            <w:r w:rsidR="000A393C">
              <w:t>Europe</w:t>
            </w:r>
            <w:r w:rsidR="00574BC3">
              <w:t>’s populations were</w:t>
            </w:r>
            <w:r w:rsidR="002B353B">
              <w:t xml:space="preserve"> </w:t>
            </w:r>
            <w:r w:rsidR="00574BC3">
              <w:t xml:space="preserve">pre-eminent </w:t>
            </w:r>
            <w:r w:rsidR="002B353B">
              <w:t>in 1950</w:t>
            </w:r>
            <w:r w:rsidR="0074642F">
              <w:t xml:space="preserve">, </w:t>
            </w:r>
            <w:r w:rsidR="00B16EAD">
              <w:t>with</w:t>
            </w:r>
            <w:r w:rsidR="005F48A3">
              <w:t xml:space="preserve"> </w:t>
            </w:r>
            <w:r w:rsidR="0074642F">
              <w:t xml:space="preserve">Asia rising </w:t>
            </w:r>
            <w:r w:rsidR="001F0BFA">
              <w:t xml:space="preserve">by 2025 and Africa ascending </w:t>
            </w:r>
            <w:r w:rsidR="00137F5D">
              <w:t>by 2100.</w:t>
            </w:r>
          </w:p>
          <w:p w14:paraId="3B3C80E2" w14:textId="34488B8C" w:rsidR="00FE1ED6" w:rsidRPr="00D84C8B" w:rsidRDefault="00801D2A" w:rsidP="0048695D">
            <w:pPr>
              <w:pStyle w:val="Dash"/>
            </w:pPr>
            <w:r w:rsidRPr="00D84C8B">
              <w:t xml:space="preserve">In 1950, </w:t>
            </w:r>
            <w:r w:rsidR="00792456">
              <w:t>5</w:t>
            </w:r>
            <w:r w:rsidR="00A328FE" w:rsidRPr="00D84C8B">
              <w:t xml:space="preserve"> of the top </w:t>
            </w:r>
            <w:r w:rsidR="00F202F0">
              <w:t>15</w:t>
            </w:r>
            <w:r w:rsidR="00A328FE" w:rsidRPr="00D84C8B">
              <w:t xml:space="preserve"> largest population</w:t>
            </w:r>
            <w:r w:rsidR="00F604FB" w:rsidRPr="00D84C8B">
              <w:t xml:space="preserve"> nations</w:t>
            </w:r>
            <w:r w:rsidR="00C227A3" w:rsidRPr="00D84C8B">
              <w:t xml:space="preserve"> were in Europe</w:t>
            </w:r>
            <w:r w:rsidR="00AE0E8B">
              <w:t>. B</w:t>
            </w:r>
            <w:r w:rsidR="0063702B" w:rsidRPr="00D84C8B">
              <w:t>y 2025</w:t>
            </w:r>
            <w:r w:rsidR="008B70D4">
              <w:t>, the</w:t>
            </w:r>
            <w:r w:rsidR="0063702B" w:rsidRPr="00D84C8B">
              <w:t xml:space="preserve"> </w:t>
            </w:r>
            <w:r w:rsidR="00460D28" w:rsidRPr="00D84C8B">
              <w:t>only</w:t>
            </w:r>
            <w:r w:rsidR="008B70D4">
              <w:t xml:space="preserve"> </w:t>
            </w:r>
            <w:r w:rsidR="00C96225" w:rsidRPr="00D84C8B">
              <w:t>European countr</w:t>
            </w:r>
            <w:r w:rsidR="009F3E17">
              <w:t>y</w:t>
            </w:r>
            <w:r w:rsidR="00C96225" w:rsidRPr="00D84C8B">
              <w:t xml:space="preserve"> </w:t>
            </w:r>
            <w:r w:rsidR="00C23428">
              <w:t>remaining</w:t>
            </w:r>
            <w:r w:rsidR="00C233DB">
              <w:t xml:space="preserve"> in the top 15</w:t>
            </w:r>
            <w:r w:rsidR="00C23428">
              <w:t xml:space="preserve"> </w:t>
            </w:r>
            <w:r w:rsidR="00DE2A4A">
              <w:t>is</w:t>
            </w:r>
            <w:r w:rsidR="005940E4">
              <w:t xml:space="preserve"> </w:t>
            </w:r>
            <w:r w:rsidR="00C96225" w:rsidRPr="00D84C8B">
              <w:t>Russia.</w:t>
            </w:r>
            <w:r w:rsidR="00D47D22" w:rsidRPr="00D84C8B">
              <w:t xml:space="preserve"> </w:t>
            </w:r>
            <w:r w:rsidR="008B5FFF" w:rsidRPr="00D84C8B">
              <w:t xml:space="preserve">By 2100, </w:t>
            </w:r>
            <w:r w:rsidR="0032225A">
              <w:t>no</w:t>
            </w:r>
            <w:r w:rsidR="008B5FFF" w:rsidRPr="00D84C8B">
              <w:t xml:space="preserve"> </w:t>
            </w:r>
            <w:r w:rsidR="00A2176A" w:rsidRPr="00D84C8B">
              <w:t>European countr</w:t>
            </w:r>
            <w:r w:rsidR="00601A22">
              <w:t>ies are expected to be</w:t>
            </w:r>
            <w:r w:rsidR="00A2176A" w:rsidRPr="00D84C8B">
              <w:t xml:space="preserve"> in the top </w:t>
            </w:r>
            <w:r w:rsidR="00601A22">
              <w:t>15</w:t>
            </w:r>
            <w:r w:rsidR="008B5FFF" w:rsidRPr="00D84C8B">
              <w:t>.</w:t>
            </w:r>
          </w:p>
          <w:p w14:paraId="03384133" w14:textId="7C6CFE58" w:rsidR="0099281E" w:rsidRPr="00D84C8B" w:rsidRDefault="00230271" w:rsidP="0048695D">
            <w:pPr>
              <w:pStyle w:val="Dash"/>
              <w:rPr>
                <w:lang w:eastAsia="en-AU"/>
              </w:rPr>
            </w:pPr>
            <w:r w:rsidRPr="00D84C8B">
              <w:rPr>
                <w:lang w:eastAsia="en-AU"/>
              </w:rPr>
              <w:t xml:space="preserve">By the </w:t>
            </w:r>
            <w:r w:rsidR="00D767AF">
              <w:rPr>
                <w:lang w:eastAsia="en-AU"/>
              </w:rPr>
              <w:t>end</w:t>
            </w:r>
            <w:r w:rsidRPr="00D84C8B">
              <w:rPr>
                <w:lang w:eastAsia="en-AU"/>
              </w:rPr>
              <w:t xml:space="preserve"> of the </w:t>
            </w:r>
            <w:r w:rsidR="00635F70" w:rsidRPr="00D84C8B">
              <w:rPr>
                <w:lang w:eastAsia="en-AU"/>
              </w:rPr>
              <w:t>21</w:t>
            </w:r>
            <w:r w:rsidR="00635F70" w:rsidRPr="00D84C8B">
              <w:rPr>
                <w:vertAlign w:val="superscript"/>
                <w:lang w:eastAsia="en-AU"/>
              </w:rPr>
              <w:t>st</w:t>
            </w:r>
            <w:r w:rsidR="00635F70" w:rsidRPr="00D84C8B">
              <w:rPr>
                <w:lang w:eastAsia="en-AU"/>
              </w:rPr>
              <w:t xml:space="preserve"> century</w:t>
            </w:r>
            <w:r w:rsidR="00CA089F" w:rsidRPr="00D84C8B">
              <w:rPr>
                <w:lang w:eastAsia="en-AU"/>
              </w:rPr>
              <w:t>,</w:t>
            </w:r>
            <w:r w:rsidR="0037040E" w:rsidRPr="00D84C8B">
              <w:rPr>
                <w:lang w:eastAsia="en-AU"/>
              </w:rPr>
              <w:t xml:space="preserve"> </w:t>
            </w:r>
            <w:r w:rsidR="00D90F87">
              <w:rPr>
                <w:lang w:eastAsia="en-AU"/>
              </w:rPr>
              <w:t>7</w:t>
            </w:r>
            <w:r w:rsidR="005157B9" w:rsidRPr="00D84C8B">
              <w:rPr>
                <w:lang w:eastAsia="en-AU"/>
              </w:rPr>
              <w:t xml:space="preserve"> </w:t>
            </w:r>
            <w:r w:rsidR="0037040E" w:rsidRPr="00D84C8B">
              <w:rPr>
                <w:lang w:eastAsia="en-AU"/>
              </w:rPr>
              <w:t>Africa</w:t>
            </w:r>
            <w:r w:rsidR="005157B9" w:rsidRPr="00D84C8B">
              <w:rPr>
                <w:lang w:eastAsia="en-AU"/>
              </w:rPr>
              <w:t xml:space="preserve">n countries </w:t>
            </w:r>
            <w:r w:rsidR="005E5C95" w:rsidRPr="00D84C8B">
              <w:rPr>
                <w:lang w:eastAsia="en-AU"/>
              </w:rPr>
              <w:t xml:space="preserve">have moved into the top </w:t>
            </w:r>
            <w:r w:rsidR="00827556">
              <w:rPr>
                <w:lang w:eastAsia="en-AU"/>
              </w:rPr>
              <w:t>15</w:t>
            </w:r>
            <w:r w:rsidR="003F5CD4" w:rsidRPr="00D84C8B">
              <w:rPr>
                <w:lang w:eastAsia="en-AU"/>
              </w:rPr>
              <w:t xml:space="preserve"> reflecting the </w:t>
            </w:r>
            <w:r w:rsidR="00D81933" w:rsidRPr="00D84C8B">
              <w:rPr>
                <w:lang w:eastAsia="en-AU"/>
              </w:rPr>
              <w:t>strong population growth projected for the continent.</w:t>
            </w:r>
          </w:p>
          <w:p w14:paraId="77A6333E" w14:textId="6D338EB7" w:rsidR="00DD5FBD" w:rsidRDefault="00DD5FBD" w:rsidP="00DD5FBD">
            <w:pPr>
              <w:pStyle w:val="DoubleDot"/>
            </w:pPr>
            <w:r>
              <w:t xml:space="preserve">This contrasts </w:t>
            </w:r>
            <w:r w:rsidR="00CE7521">
              <w:t xml:space="preserve">with </w:t>
            </w:r>
            <w:r w:rsidR="00E76079">
              <w:t>only one</w:t>
            </w:r>
            <w:r w:rsidR="00CE7521">
              <w:t xml:space="preserve"> African countr</w:t>
            </w:r>
            <w:r w:rsidR="00E76079">
              <w:t>y</w:t>
            </w:r>
            <w:r w:rsidR="00CE7521">
              <w:t xml:space="preserve"> in the top </w:t>
            </w:r>
            <w:r w:rsidR="00E76079">
              <w:t>15</w:t>
            </w:r>
            <w:r w:rsidR="00CE7521">
              <w:t xml:space="preserve"> in 1950.</w:t>
            </w:r>
          </w:p>
        </w:tc>
        <w:tc>
          <w:tcPr>
            <w:tcW w:w="113" w:type="dxa"/>
          </w:tcPr>
          <w:p w14:paraId="3E08C19E" w14:textId="77777777" w:rsidR="002048D3" w:rsidRPr="002048D3" w:rsidRDefault="002048D3" w:rsidP="0080452B">
            <w:pPr>
              <w:rPr>
                <w:sz w:val="12"/>
                <w:szCs w:val="12"/>
                <w:lang w:eastAsia="en-AU"/>
              </w:rPr>
            </w:pPr>
          </w:p>
        </w:tc>
        <w:tc>
          <w:tcPr>
            <w:tcW w:w="7087" w:type="dxa"/>
          </w:tcPr>
          <w:p w14:paraId="66BD3036" w14:textId="46D57638" w:rsidR="002048D3" w:rsidRDefault="002048D3" w:rsidP="00C001D2">
            <w:pPr>
              <w:pStyle w:val="Heading4"/>
              <w:spacing w:line="240" w:lineRule="auto"/>
            </w:pPr>
            <w:r>
              <w:t xml:space="preserve">Chart </w:t>
            </w:r>
            <w:r w:rsidR="00A66775">
              <w:t>2</w:t>
            </w:r>
            <w:r>
              <w:t>.  Country population rankings</w:t>
            </w:r>
            <w:r w:rsidR="00103ACF">
              <w:t xml:space="preserve"> (Top </w:t>
            </w:r>
            <w:r w:rsidR="00713363">
              <w:t>15</w:t>
            </w:r>
            <w:r w:rsidR="00103ACF">
              <w:t>)</w:t>
            </w:r>
            <w:r>
              <w:t xml:space="preserve"> </w:t>
            </w:r>
          </w:p>
          <w:p w14:paraId="73F2ED6D" w14:textId="17FC7542" w:rsidR="002048D3" w:rsidRPr="0036209D" w:rsidRDefault="001135B8" w:rsidP="00DC740B">
            <w:pPr>
              <w:spacing w:before="0"/>
              <w:rPr>
                <w:color w:val="57937F"/>
                <w:lang w:eastAsia="en-AU"/>
              </w:rPr>
            </w:pPr>
            <w:r>
              <w:rPr>
                <w:noProof/>
                <w:color w:val="57937F"/>
                <w:lang w:eastAsia="en-AU"/>
              </w:rPr>
              <w:drawing>
                <wp:inline distT="0" distB="0" distL="0" distR="0" wp14:anchorId="4B2B1FB8" wp14:editId="620FA44F">
                  <wp:extent cx="4319016" cy="4678680"/>
                  <wp:effectExtent l="0" t="0" r="5715" b="7620"/>
                  <wp:docPr id="11" name="Picture 11" descr="This is a bump chart showing the total populations of countries in the world for 1950, 2025, and 2100, ranked by largest population for each year. In 1950, many of the top 15 countries were in Europe, and by 2100, most countries in this list will be from Af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bump chart showing the total populations of countries in the world for 1950, 2025, and 2100, ranked by largest population for each year. In 1950, many of the top 15 countries were in Europe, and by 2100, most countries in this list will be from Africa.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016" cy="4678680"/>
                          </a:xfrm>
                          <a:prstGeom prst="rect">
                            <a:avLst/>
                          </a:prstGeom>
                        </pic:spPr>
                      </pic:pic>
                    </a:graphicData>
                  </a:graphic>
                </wp:inline>
              </w:drawing>
            </w:r>
          </w:p>
          <w:p w14:paraId="70F89A0B" w14:textId="21C7146E" w:rsidR="007C4F12" w:rsidRDefault="007C4F12" w:rsidP="002048D3">
            <w:pPr>
              <w:rPr>
                <w:lang w:eastAsia="en-AU"/>
              </w:rPr>
            </w:pPr>
            <w:r w:rsidRPr="0027353E">
              <w:rPr>
                <w:sz w:val="16"/>
                <w:szCs w:val="18"/>
                <w:lang w:eastAsia="en-AU"/>
              </w:rPr>
              <w:t>Note</w:t>
            </w:r>
            <w:r w:rsidR="002146A0" w:rsidRPr="0027353E">
              <w:rPr>
                <w:sz w:val="16"/>
                <w:szCs w:val="18"/>
                <w:lang w:eastAsia="en-AU"/>
              </w:rPr>
              <w:t>:</w:t>
            </w:r>
            <w:r w:rsidRPr="0027353E">
              <w:rPr>
                <w:sz w:val="16"/>
                <w:szCs w:val="18"/>
                <w:lang w:eastAsia="en-AU"/>
              </w:rPr>
              <w:t xml:space="preserve"> </w:t>
            </w:r>
            <w:r w:rsidR="00881B89">
              <w:rPr>
                <w:sz w:val="16"/>
                <w:szCs w:val="18"/>
                <w:lang w:eastAsia="en-AU"/>
              </w:rPr>
              <w:t>Select</w:t>
            </w:r>
            <w:r w:rsidR="004F37CB">
              <w:rPr>
                <w:sz w:val="16"/>
                <w:szCs w:val="18"/>
                <w:lang w:eastAsia="en-AU"/>
              </w:rPr>
              <w:t xml:space="preserve"> c</w:t>
            </w:r>
            <w:r w:rsidR="002E067C" w:rsidRPr="0027353E">
              <w:rPr>
                <w:sz w:val="16"/>
                <w:szCs w:val="18"/>
                <w:lang w:eastAsia="en-AU"/>
              </w:rPr>
              <w:t xml:space="preserve">ountry names have been </w:t>
            </w:r>
            <w:r w:rsidR="002A2A1D">
              <w:rPr>
                <w:sz w:val="16"/>
                <w:szCs w:val="18"/>
                <w:lang w:eastAsia="en-AU"/>
              </w:rPr>
              <w:t xml:space="preserve">abbreviated or </w:t>
            </w:r>
            <w:r w:rsidR="00C416C0" w:rsidRPr="0027353E">
              <w:rPr>
                <w:sz w:val="16"/>
                <w:szCs w:val="18"/>
                <w:lang w:eastAsia="en-AU"/>
              </w:rPr>
              <w:t>contracted</w:t>
            </w:r>
            <w:r w:rsidR="004A55A1">
              <w:rPr>
                <w:sz w:val="16"/>
                <w:szCs w:val="18"/>
                <w:lang w:eastAsia="en-AU"/>
              </w:rPr>
              <w:t>.</w:t>
            </w:r>
          </w:p>
        </w:tc>
      </w:tr>
    </w:tbl>
    <w:p w14:paraId="448509BF" w14:textId="63A00989" w:rsidR="00570F11" w:rsidRDefault="004108EE" w:rsidP="00570F11">
      <w:pPr>
        <w:pStyle w:val="Heading7"/>
      </w:pPr>
      <w:bookmarkStart w:id="3" w:name="_Lower_income_countries"/>
      <w:bookmarkEnd w:id="3"/>
      <w:r>
        <w:t>Lower income countries</w:t>
      </w:r>
      <w:r w:rsidR="00570F11">
        <w:t xml:space="preserve"> </w:t>
      </w:r>
      <w:r w:rsidR="00231BF3">
        <w:t xml:space="preserve">will </w:t>
      </w:r>
      <w:r w:rsidR="00570F11">
        <w:t>drive</w:t>
      </w:r>
      <w:r w:rsidR="00297BE8">
        <w:t xml:space="preserve"> </w:t>
      </w:r>
      <w:r w:rsidR="00570F11">
        <w:t xml:space="preserve">growth as </w:t>
      </w:r>
      <w:r w:rsidR="00F34CC3">
        <w:t>other areas decline</w:t>
      </w:r>
    </w:p>
    <w:p w14:paraId="7B29A1FD" w14:textId="43102FF8" w:rsidR="00AE4BE0" w:rsidRPr="003F4EA2" w:rsidRDefault="00481D1E" w:rsidP="00AE4BE0">
      <w:pPr>
        <w:pStyle w:val="Bullet"/>
      </w:pPr>
      <w:r>
        <w:t xml:space="preserve">The UN </w:t>
      </w:r>
      <w:r w:rsidRPr="002E3807">
        <w:rPr>
          <w:i/>
        </w:rPr>
        <w:t>World Population Prospects 2024</w:t>
      </w:r>
      <w:r w:rsidR="00DB72E6">
        <w:t xml:space="preserve"> </w:t>
      </w:r>
      <w:r>
        <w:t xml:space="preserve">includes </w:t>
      </w:r>
      <w:r w:rsidRPr="00967E18">
        <w:t xml:space="preserve">projections for 237 </w:t>
      </w:r>
      <w:r w:rsidR="004D537C">
        <w:t>UN</w:t>
      </w:r>
      <w:r w:rsidR="00A2257B">
        <w:t xml:space="preserve"> defined</w:t>
      </w:r>
      <w:r w:rsidR="004D537C">
        <w:t xml:space="preserve"> </w:t>
      </w:r>
      <w:r w:rsidR="000013E6">
        <w:t>countries</w:t>
      </w:r>
      <w:r w:rsidR="00FC2DA8">
        <w:t>/areas</w:t>
      </w:r>
      <w:r w:rsidR="00FA74B8">
        <w:t>.</w:t>
      </w:r>
      <w:r>
        <w:t xml:space="preserve"> </w:t>
      </w:r>
      <w:r w:rsidR="00FA74B8">
        <w:t>T</w:t>
      </w:r>
      <w:r>
        <w:t>his analysis aggregate</w:t>
      </w:r>
      <w:r w:rsidR="00281FA6">
        <w:t>s</w:t>
      </w:r>
      <w:r>
        <w:t xml:space="preserve"> the </w:t>
      </w:r>
      <w:r w:rsidR="000013E6">
        <w:t>country</w:t>
      </w:r>
      <w:r>
        <w:t xml:space="preserve"> </w:t>
      </w:r>
      <w:r w:rsidR="00281FA6">
        <w:t xml:space="preserve">based on </w:t>
      </w:r>
      <w:r>
        <w:t>World Bank</w:t>
      </w:r>
      <w:r w:rsidR="00D070BD">
        <w:t xml:space="preserve"> 2022</w:t>
      </w:r>
      <w:r>
        <w:t xml:space="preserve"> Income Classifications</w:t>
      </w:r>
      <w:r w:rsidR="000B7419">
        <w:t>,</w:t>
      </w:r>
      <w:r w:rsidR="00A423C8">
        <w:t xml:space="preserve"> </w:t>
      </w:r>
      <w:r>
        <w:t>the classification</w:t>
      </w:r>
      <w:r w:rsidR="00FC651A">
        <w:t>s</w:t>
      </w:r>
      <w:r>
        <w:t xml:space="preserve"> use gross national income per capita and is detailed </w:t>
      </w:r>
      <w:hyperlink r:id="rId11" w:history="1">
        <w:r w:rsidRPr="00D11644">
          <w:rPr>
            <w:rStyle w:val="Hyperlink"/>
          </w:rPr>
          <w:t>here</w:t>
        </w:r>
      </w:hyperlink>
      <w:r w:rsidR="00D070BD">
        <w:t xml:space="preserve"> </w:t>
      </w:r>
      <w:r w:rsidR="00A423C8">
        <w:t>(</w:t>
      </w:r>
      <w:r w:rsidR="00D070BD">
        <w:t xml:space="preserve">Chart </w:t>
      </w:r>
      <w:r w:rsidR="00A66775">
        <w:t>3</w:t>
      </w:r>
      <w:r w:rsidR="00A423C8">
        <w:t>)</w:t>
      </w:r>
      <w:r>
        <w:t xml:space="preserve">. </w:t>
      </w:r>
    </w:p>
    <w:p w14:paraId="02D3CF9F" w14:textId="0C598E94" w:rsidR="005B1872" w:rsidRDefault="00481D1E" w:rsidP="000B38C2">
      <w:pPr>
        <w:pStyle w:val="Heading4"/>
        <w:keepNext/>
      </w:pPr>
      <w:r>
        <w:lastRenderedPageBreak/>
        <w:t xml:space="preserve">Chart </w:t>
      </w:r>
      <w:r w:rsidR="00A66775">
        <w:t>3</w:t>
      </w:r>
      <w:r>
        <w:t>.  Countries</w:t>
      </w:r>
      <w:r w:rsidR="000013E6">
        <w:t xml:space="preserve"> by world bank income classifications</w:t>
      </w:r>
    </w:p>
    <w:p w14:paraId="2AEB3852" w14:textId="13C3ACFE" w:rsidR="00CB3CED" w:rsidRDefault="00D2421F" w:rsidP="00CB3CED">
      <w:pPr>
        <w:spacing w:after="0"/>
        <w:rPr>
          <w:kern w:val="2"/>
          <w:sz w:val="16"/>
          <w14:ligatures w14:val="standardContextual"/>
        </w:rPr>
      </w:pPr>
      <w:r>
        <w:rPr>
          <w:noProof/>
          <w:kern w:val="2"/>
          <w:sz w:val="16"/>
        </w:rPr>
        <w:drawing>
          <wp:inline distT="0" distB="0" distL="0" distR="0" wp14:anchorId="54D04A9D" wp14:editId="4C6C4ADF">
            <wp:extent cx="8863330" cy="3900170"/>
            <wp:effectExtent l="0" t="0" r="0" b="5080"/>
            <wp:docPr id="665546821" name="Picture 665546821" descr="This is a map of world with countries coloured by their 2022 income classification: high income, upper middle income, lower middle income, low income, and no income class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46821" name="Picture 665546821" descr="This is a map of world with countries coloured by their 2022 income classification: high income, upper middle income, lower middle income, low income, and no income classificatio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3900170"/>
                    </a:xfrm>
                    <a:prstGeom prst="rect">
                      <a:avLst/>
                    </a:prstGeom>
                  </pic:spPr>
                </pic:pic>
              </a:graphicData>
            </a:graphic>
          </wp:inline>
        </w:drawing>
      </w:r>
    </w:p>
    <w:p w14:paraId="4527792E" w14:textId="6738A9AB" w:rsidR="00F16E8F" w:rsidRDefault="00F16E8F" w:rsidP="00CB3CED">
      <w:pPr>
        <w:ind w:right="4177"/>
        <w:rPr>
          <w:sz w:val="16"/>
          <w:szCs w:val="18"/>
        </w:rPr>
      </w:pPr>
      <w:r w:rsidRPr="00CB3CED">
        <w:rPr>
          <w:sz w:val="16"/>
          <w:szCs w:val="18"/>
        </w:rPr>
        <w:t>Note: The 2022 income classifications are consistently applied across the 1950 to 2100 period. For example, South Korea is classified as a high-income country in 1950 despite the impact of the Korean War on the country at the time.</w:t>
      </w:r>
    </w:p>
    <w:tbl>
      <w:tblPr>
        <w:tblStyle w:val="TableGrid"/>
        <w:tblW w:w="14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gridCol w:w="113"/>
        <w:gridCol w:w="7087"/>
      </w:tblGrid>
      <w:tr w:rsidR="00DC365D" w:rsidRPr="00DC365D" w14:paraId="3F20D4DA" w14:textId="77777777" w:rsidTr="00354206">
        <w:tc>
          <w:tcPr>
            <w:tcW w:w="6803" w:type="dxa"/>
          </w:tcPr>
          <w:p w14:paraId="6736ADF8" w14:textId="52A431CD" w:rsidR="00C92352" w:rsidRDefault="00C92352" w:rsidP="001B3207">
            <w:pPr>
              <w:pStyle w:val="Bullet"/>
            </w:pPr>
            <w:r>
              <w:t xml:space="preserve">Countries with low to lower-middle income </w:t>
            </w:r>
            <w:r w:rsidR="00125CD7">
              <w:t xml:space="preserve">will </w:t>
            </w:r>
            <w:r>
              <w:t>drive population growth.</w:t>
            </w:r>
          </w:p>
          <w:p w14:paraId="56B34AF0" w14:textId="3073D81D" w:rsidR="00403CC1" w:rsidRDefault="00403CC1" w:rsidP="001B3207">
            <w:pPr>
              <w:pStyle w:val="Bullet"/>
            </w:pPr>
            <w:r w:rsidRPr="000E671A">
              <w:t>In 202</w:t>
            </w:r>
            <w:r w:rsidR="00F64CBE" w:rsidRPr="000E671A">
              <w:t>5</w:t>
            </w:r>
            <w:r w:rsidRPr="000E671A">
              <w:t>, th</w:t>
            </w:r>
            <w:r w:rsidRPr="00403CC1">
              <w:t xml:space="preserve">e world population </w:t>
            </w:r>
            <w:r w:rsidR="00D54707">
              <w:t>will be</w:t>
            </w:r>
            <w:r w:rsidR="003D27D2">
              <w:t xml:space="preserve"> evenly</w:t>
            </w:r>
            <w:r w:rsidR="00D54707" w:rsidRPr="00403CC1">
              <w:t xml:space="preserve"> </w:t>
            </w:r>
            <w:r w:rsidRPr="00403CC1">
              <w:t>split between the high to upper</w:t>
            </w:r>
            <w:r w:rsidRPr="00403CC1">
              <w:noBreakHyphen/>
              <w:t>middle</w:t>
            </w:r>
            <w:r w:rsidR="00D52A37">
              <w:noBreakHyphen/>
            </w:r>
            <w:r w:rsidRPr="00403CC1">
              <w:t xml:space="preserve">income countries </w:t>
            </w:r>
            <w:r w:rsidR="00F83B4D">
              <w:t xml:space="preserve">(49.9 per cent) </w:t>
            </w:r>
            <w:r w:rsidRPr="00403CC1">
              <w:t>and the lower-middle to low</w:t>
            </w:r>
            <w:r w:rsidR="00D74191">
              <w:noBreakHyphen/>
            </w:r>
            <w:r w:rsidRPr="00403CC1">
              <w:t>income countries</w:t>
            </w:r>
            <w:r w:rsidR="00F83B4D">
              <w:t xml:space="preserve"> (50.</w:t>
            </w:r>
            <w:r w:rsidR="00F83B4D" w:rsidDel="00813F92">
              <w:t xml:space="preserve">1 </w:t>
            </w:r>
            <w:r w:rsidR="00F83B4D">
              <w:t>per cent)</w:t>
            </w:r>
            <w:r w:rsidR="00E10611">
              <w:t xml:space="preserve"> </w:t>
            </w:r>
            <w:r w:rsidR="00371F74">
              <w:t>(</w:t>
            </w:r>
            <w:r w:rsidR="00E10611">
              <w:t xml:space="preserve">Chart </w:t>
            </w:r>
            <w:r w:rsidR="00A66775">
              <w:t>4</w:t>
            </w:r>
            <w:r w:rsidR="00371F74">
              <w:t>)</w:t>
            </w:r>
            <w:r w:rsidRPr="00403CC1">
              <w:t>.</w:t>
            </w:r>
          </w:p>
          <w:p w14:paraId="501B9E20" w14:textId="529DAF93" w:rsidR="00403CC1" w:rsidRPr="00403CC1" w:rsidRDefault="00403CC1" w:rsidP="001B3207">
            <w:pPr>
              <w:pStyle w:val="Bullet"/>
            </w:pPr>
            <w:r w:rsidRPr="00403CC1">
              <w:t>This equal distribution contrasts with 1950, when t</w:t>
            </w:r>
            <w:r w:rsidR="003D27D2">
              <w:t>wo-thirds of t</w:t>
            </w:r>
            <w:r w:rsidRPr="00403CC1">
              <w:t xml:space="preserve">he world </w:t>
            </w:r>
            <w:r w:rsidRPr="004E22DB">
              <w:t xml:space="preserve">population </w:t>
            </w:r>
            <w:r w:rsidR="004126CF" w:rsidRPr="000815AE">
              <w:t>(</w:t>
            </w:r>
            <w:r w:rsidR="00085988" w:rsidRPr="000815AE">
              <w:t>66.9 per cent)</w:t>
            </w:r>
            <w:r w:rsidR="009F5DD0">
              <w:t xml:space="preserve"> </w:t>
            </w:r>
            <w:r w:rsidRPr="00403CC1">
              <w:t>lived</w:t>
            </w:r>
            <w:r w:rsidR="003D27D2">
              <w:t xml:space="preserve"> </w:t>
            </w:r>
            <w:r w:rsidR="00EA10DA">
              <w:t>in</w:t>
            </w:r>
            <w:r w:rsidR="003D27D2">
              <w:t xml:space="preserve"> </w:t>
            </w:r>
            <w:r w:rsidR="004E22DB">
              <w:t>upper</w:t>
            </w:r>
            <w:r w:rsidR="000815AE">
              <w:noBreakHyphen/>
            </w:r>
            <w:r w:rsidR="004E22DB">
              <w:t>middle to high</w:t>
            </w:r>
            <w:r w:rsidR="000815AE">
              <w:noBreakHyphen/>
            </w:r>
            <w:r w:rsidR="004E22DB">
              <w:t>income</w:t>
            </w:r>
            <w:r w:rsidR="00C00664">
              <w:t xml:space="preserve"> countries</w:t>
            </w:r>
            <w:r w:rsidR="000B73F7">
              <w:t xml:space="preserve"> (without accounting for income changes over time)</w:t>
            </w:r>
            <w:r w:rsidRPr="00403CC1">
              <w:t>.</w:t>
            </w:r>
          </w:p>
          <w:p w14:paraId="7F89B4E3" w14:textId="5F10A83E" w:rsidR="00C33931" w:rsidRPr="00F5175C" w:rsidRDefault="00403CC1" w:rsidP="001B3207">
            <w:pPr>
              <w:pStyle w:val="Bullet"/>
            </w:pPr>
            <w:r w:rsidRPr="00403CC1">
              <w:t xml:space="preserve">The UN projects that </w:t>
            </w:r>
            <w:r w:rsidR="0028143E">
              <w:t xml:space="preserve">by </w:t>
            </w:r>
            <w:r w:rsidR="005F5363">
              <w:t>2100</w:t>
            </w:r>
            <w:r w:rsidRPr="00403CC1">
              <w:t xml:space="preserve">, the distribution will invert from that observed in the 1950s, with </w:t>
            </w:r>
            <w:r w:rsidRPr="00BB2A7F">
              <w:t>two-thirds of the world population</w:t>
            </w:r>
            <w:r w:rsidR="0028143E" w:rsidRPr="00BB2A7F">
              <w:t xml:space="preserve"> (</w:t>
            </w:r>
            <w:r w:rsidR="00354A45">
              <w:t>67.7</w:t>
            </w:r>
            <w:r w:rsidR="0028143E" w:rsidRPr="00BB2A7F">
              <w:t> per cent)</w:t>
            </w:r>
            <w:r w:rsidRPr="00BB2A7F">
              <w:t xml:space="preserve"> living in</w:t>
            </w:r>
            <w:r w:rsidR="00583785">
              <w:t xml:space="preserve"> </w:t>
            </w:r>
            <w:r w:rsidR="00583785" w:rsidRPr="00562F2D">
              <w:t>lower-middle</w:t>
            </w:r>
            <w:r w:rsidR="00873203" w:rsidRPr="00562F2D">
              <w:t xml:space="preserve"> to </w:t>
            </w:r>
            <w:r w:rsidR="00583785">
              <w:t>low</w:t>
            </w:r>
            <w:r w:rsidR="00BB2A7F" w:rsidRPr="00583785">
              <w:noBreakHyphen/>
            </w:r>
            <w:r w:rsidR="00873203" w:rsidRPr="00BB2A7F">
              <w:t>income</w:t>
            </w:r>
            <w:r w:rsidRPr="00BB2A7F">
              <w:t xml:space="preserve"> countries</w:t>
            </w:r>
            <w:r w:rsidRPr="00873203">
              <w:t>.</w:t>
            </w:r>
          </w:p>
          <w:p w14:paraId="6751E446" w14:textId="43D562D9" w:rsidR="00E94E46" w:rsidRDefault="003F56A5" w:rsidP="001B3207">
            <w:pPr>
              <w:pStyle w:val="Bullet"/>
            </w:pPr>
            <w:r>
              <w:t>The population of u</w:t>
            </w:r>
            <w:r w:rsidR="00656C63" w:rsidRPr="00E94E46">
              <w:t>pper-middle</w:t>
            </w:r>
            <w:r w:rsidR="00583785">
              <w:t>-</w:t>
            </w:r>
            <w:r w:rsidR="00656C63" w:rsidRPr="00E94E46">
              <w:t xml:space="preserve">income countries </w:t>
            </w:r>
            <w:r>
              <w:t xml:space="preserve">is </w:t>
            </w:r>
            <w:r w:rsidR="00656C63" w:rsidRPr="00E94E46">
              <w:t xml:space="preserve">projected to decline from </w:t>
            </w:r>
            <w:r w:rsidR="00656C63" w:rsidRPr="00BB2A7F">
              <w:t xml:space="preserve">2.8 </w:t>
            </w:r>
            <w:r w:rsidR="00656C63" w:rsidRPr="00E94E46">
              <w:t xml:space="preserve">billion in </w:t>
            </w:r>
            <w:r w:rsidR="00656C63" w:rsidRPr="00BB2A7F">
              <w:t>2025</w:t>
            </w:r>
            <w:r>
              <w:t xml:space="preserve"> </w:t>
            </w:r>
            <w:r w:rsidR="00656C63" w:rsidRPr="00E94E46">
              <w:t xml:space="preserve">to </w:t>
            </w:r>
            <w:r w:rsidR="00656C63" w:rsidRPr="00BB2A7F">
              <w:t xml:space="preserve">2 </w:t>
            </w:r>
            <w:r w:rsidR="00656C63" w:rsidRPr="00E94E46">
              <w:t xml:space="preserve">billion in </w:t>
            </w:r>
            <w:r w:rsidR="00656C63" w:rsidRPr="00BB2A7F">
              <w:t>2100</w:t>
            </w:r>
            <w:r w:rsidR="00656C63" w:rsidRPr="00E94E46">
              <w:t>.</w:t>
            </w:r>
            <w:r w:rsidR="00656C63">
              <w:t xml:space="preserve"> </w:t>
            </w:r>
            <w:r w:rsidR="00281FA6">
              <w:t>T</w:t>
            </w:r>
            <w:r w:rsidR="00E94E46" w:rsidRPr="00E94E46">
              <w:t xml:space="preserve">he dramatic decline </w:t>
            </w:r>
            <w:r w:rsidR="006459C3">
              <w:t xml:space="preserve">is due to </w:t>
            </w:r>
            <w:r w:rsidR="00281FA6" w:rsidRPr="00583785">
              <w:t>the</w:t>
            </w:r>
            <w:r w:rsidR="00281FA6" w:rsidRPr="00583785">
              <w:rPr>
                <w:i/>
                <w:iCs/>
              </w:rPr>
              <w:t xml:space="preserve"> </w:t>
            </w:r>
            <w:r w:rsidR="00281FA6" w:rsidRPr="000B38C2">
              <w:t xml:space="preserve">projected halving of the </w:t>
            </w:r>
            <w:r w:rsidR="00E94E46" w:rsidRPr="000B38C2">
              <w:t xml:space="preserve">population </w:t>
            </w:r>
            <w:r w:rsidR="008300FD" w:rsidRPr="000B38C2">
              <w:t>in</w:t>
            </w:r>
            <w:r w:rsidR="00281FA6" w:rsidRPr="000B38C2">
              <w:t xml:space="preserve"> </w:t>
            </w:r>
            <w:r w:rsidR="00E94E46" w:rsidRPr="000B38C2">
              <w:t>China.</w:t>
            </w:r>
          </w:p>
          <w:p w14:paraId="3DCED399" w14:textId="1BA58843" w:rsidR="00E04F0A" w:rsidRDefault="00E04F0A" w:rsidP="001B3207">
            <w:pPr>
              <w:pStyle w:val="Dash"/>
            </w:pPr>
            <w:r>
              <w:t>China</w:t>
            </w:r>
            <w:r w:rsidR="00D16D24">
              <w:t>’s</w:t>
            </w:r>
            <w:r w:rsidR="008F486B">
              <w:t xml:space="preserve"> population </w:t>
            </w:r>
            <w:r>
              <w:t xml:space="preserve">is projected to </w:t>
            </w:r>
            <w:r w:rsidR="005E47A0">
              <w:t xml:space="preserve">decline </w:t>
            </w:r>
            <w:r w:rsidR="008F486B">
              <w:t xml:space="preserve">from 1.4 billion in 2025 </w:t>
            </w:r>
            <w:r w:rsidR="005E47A0">
              <w:t xml:space="preserve">to </w:t>
            </w:r>
            <w:r>
              <w:t>600</w:t>
            </w:r>
            <w:r w:rsidR="000B38C2">
              <w:t> </w:t>
            </w:r>
            <w:r>
              <w:t>million</w:t>
            </w:r>
            <w:r w:rsidR="005E47A0">
              <w:t xml:space="preserve"> by 2100. </w:t>
            </w:r>
          </w:p>
          <w:p w14:paraId="78C78C4C" w14:textId="443CFA6C" w:rsidR="00DC365D" w:rsidRPr="000A2D25" w:rsidRDefault="00C63953" w:rsidP="001B3207">
            <w:pPr>
              <w:pStyle w:val="Bullet"/>
            </w:pPr>
            <w:r w:rsidRPr="000A2D25">
              <w:t xml:space="preserve">Population decline </w:t>
            </w:r>
            <w:r w:rsidR="00A95FF2" w:rsidRPr="000A2D25">
              <w:t>is preceded by p</w:t>
            </w:r>
            <w:r w:rsidR="003B38D6" w:rsidRPr="000A2D25">
              <w:t>opulation ag</w:t>
            </w:r>
            <w:r w:rsidR="003D27D2" w:rsidRPr="000A2D25">
              <w:t>e</w:t>
            </w:r>
            <w:r w:rsidR="003B38D6" w:rsidRPr="000A2D25">
              <w:t>ing</w:t>
            </w:r>
            <w:r w:rsidR="00142B73" w:rsidRPr="000A2D25">
              <w:t xml:space="preserve">, </w:t>
            </w:r>
            <w:r w:rsidR="0060341D">
              <w:t>which causes</w:t>
            </w:r>
            <w:r w:rsidR="0060341D" w:rsidRPr="000A2D25">
              <w:t xml:space="preserve"> </w:t>
            </w:r>
            <w:r w:rsidR="00DB6B0C" w:rsidRPr="000A2D25">
              <w:t>deaths begin to outpace births. Population ag</w:t>
            </w:r>
            <w:r w:rsidR="003D27D2" w:rsidRPr="000A2D25">
              <w:t>e</w:t>
            </w:r>
            <w:r w:rsidR="00DB6B0C" w:rsidRPr="000A2D25">
              <w:t>ing</w:t>
            </w:r>
            <w:r w:rsidR="00424939">
              <w:t xml:space="preserve"> and decline</w:t>
            </w:r>
            <w:r w:rsidR="00DB6B0C" w:rsidRPr="000A2D25">
              <w:t xml:space="preserve"> </w:t>
            </w:r>
            <w:r w:rsidR="003D27D2" w:rsidRPr="000A2D25">
              <w:t xml:space="preserve">will be </w:t>
            </w:r>
            <w:r w:rsidR="006A4637" w:rsidRPr="000A2D25">
              <w:t xml:space="preserve">a demographic reality </w:t>
            </w:r>
            <w:r w:rsidR="008F03DE" w:rsidRPr="000A2D25">
              <w:t xml:space="preserve">for many countries in </w:t>
            </w:r>
            <w:r w:rsidR="00593023">
              <w:t xml:space="preserve">the </w:t>
            </w:r>
            <w:r w:rsidR="008F03DE" w:rsidRPr="000A2D25">
              <w:t>coming decades</w:t>
            </w:r>
            <w:r w:rsidR="00C50F1E" w:rsidRPr="000A2D25">
              <w:t xml:space="preserve"> and a global reality </w:t>
            </w:r>
            <w:r w:rsidR="00B545C5" w:rsidRPr="000A2D25">
              <w:t>by 2100</w:t>
            </w:r>
            <w:r w:rsidR="008F03DE" w:rsidRPr="000A2D25">
              <w:t>.</w:t>
            </w:r>
            <w:r w:rsidR="00703DDF" w:rsidRPr="000A2D25">
              <w:t xml:space="preserve"> </w:t>
            </w:r>
          </w:p>
          <w:p w14:paraId="39F47B11" w14:textId="74189A46" w:rsidR="00003A20" w:rsidRPr="00686D81" w:rsidRDefault="00424939" w:rsidP="001B3207">
            <w:pPr>
              <w:pStyle w:val="Bullet"/>
            </w:pPr>
            <w:r>
              <w:t xml:space="preserve">This process of growth, ageing and decline is called the </w:t>
            </w:r>
            <w:r w:rsidRPr="00671DE1">
              <w:rPr>
                <w:i/>
                <w:iCs/>
                <w:lang w:eastAsia="en-AU"/>
              </w:rPr>
              <w:t>demographic transition</w:t>
            </w:r>
            <w:r>
              <w:rPr>
                <w:lang w:eastAsia="en-AU"/>
              </w:rPr>
              <w:t xml:space="preserve"> and the UN data, due to its global breakdown and timeseries, is an excellent dataset to illustrate the transition.   </w:t>
            </w:r>
          </w:p>
        </w:tc>
        <w:tc>
          <w:tcPr>
            <w:tcW w:w="113" w:type="dxa"/>
          </w:tcPr>
          <w:p w14:paraId="732204AD" w14:textId="77777777" w:rsidR="00DC365D" w:rsidRPr="00DC365D" w:rsidRDefault="00DC365D" w:rsidP="00031CF7">
            <w:pPr>
              <w:rPr>
                <w:rFonts w:ascii="Calibri" w:eastAsia="Calibri" w:hAnsi="Calibri" w:cs="Times New Roman"/>
                <w:sz w:val="22"/>
              </w:rPr>
            </w:pPr>
          </w:p>
        </w:tc>
        <w:tc>
          <w:tcPr>
            <w:tcW w:w="7087" w:type="dxa"/>
          </w:tcPr>
          <w:p w14:paraId="57A328E6" w14:textId="51D7D276" w:rsidR="00DC365D" w:rsidRDefault="00354206" w:rsidP="003B2354">
            <w:pPr>
              <w:pStyle w:val="Heading4"/>
              <w:spacing w:line="360" w:lineRule="auto"/>
            </w:pPr>
            <w:r w:rsidRPr="00864E51">
              <w:t xml:space="preserve">Chart </w:t>
            </w:r>
            <w:r w:rsidR="00A66775">
              <w:t>4</w:t>
            </w:r>
            <w:r w:rsidRPr="00864E51">
              <w:t>.  World population by income classification 1950 - 2100</w:t>
            </w:r>
          </w:p>
          <w:p w14:paraId="05EFDCA6" w14:textId="029C60A7" w:rsidR="002151F5" w:rsidRDefault="006F3FF4" w:rsidP="003B2354">
            <w:pPr>
              <w:spacing w:before="0"/>
            </w:pPr>
            <w:r>
              <w:rPr>
                <w:noProof/>
              </w:rPr>
              <w:drawing>
                <wp:inline distT="0" distB="0" distL="0" distR="0" wp14:anchorId="44349AF8" wp14:editId="4FE367BD">
                  <wp:extent cx="4498848" cy="3236976"/>
                  <wp:effectExtent l="0" t="0" r="0" b="1905"/>
                  <wp:docPr id="726163714" name="Picture 726163714" descr="This is an area chart showing the total population of the world between 1950 and 2100 split by income group. The upper middle income group shows the most significant decline in population level between 2025 and 2100, reflecting the projected halving of the population of Ch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63714" name="Picture 726163714" descr="This is an area chart showing the total population of the world between 1950 and 2100 split by income group. The upper middle income group shows the most significant decline in population level between 2025 and 2100, reflecting the projected halving of the population of China.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8848" cy="3236976"/>
                          </a:xfrm>
                          <a:prstGeom prst="rect">
                            <a:avLst/>
                          </a:prstGeom>
                        </pic:spPr>
                      </pic:pic>
                    </a:graphicData>
                  </a:graphic>
                </wp:inline>
              </w:drawing>
            </w:r>
          </w:p>
          <w:p w14:paraId="7B1A6851" w14:textId="13409551" w:rsidR="002151F5" w:rsidRPr="00CF5213" w:rsidRDefault="002151F5" w:rsidP="003B2354">
            <w:pPr>
              <w:spacing w:before="0"/>
            </w:pPr>
          </w:p>
        </w:tc>
      </w:tr>
    </w:tbl>
    <w:p w14:paraId="6E36FCEB" w14:textId="38979D61" w:rsidR="00DC365D" w:rsidRDefault="00713363" w:rsidP="00A21AEB">
      <w:pPr>
        <w:pStyle w:val="Heading7"/>
      </w:pPr>
      <w:bookmarkStart w:id="4" w:name="_Lower_income_countries_1"/>
      <w:bookmarkEnd w:id="4"/>
      <w:r>
        <w:rPr>
          <w:noProof/>
        </w:rPr>
        <w:drawing>
          <wp:anchor distT="0" distB="0" distL="114300" distR="114300" simplePos="0" relativeHeight="251658240" behindDoc="0" locked="0" layoutInCell="1" allowOverlap="1" wp14:anchorId="1AE39798" wp14:editId="08DAE081">
            <wp:simplePos x="0" y="0"/>
            <wp:positionH relativeFrom="column">
              <wp:posOffset>6487795</wp:posOffset>
            </wp:positionH>
            <wp:positionV relativeFrom="paragraph">
              <wp:posOffset>180178</wp:posOffset>
            </wp:positionV>
            <wp:extent cx="2157730" cy="1617980"/>
            <wp:effectExtent l="0" t="0" r="0" b="1270"/>
            <wp:wrapNone/>
            <wp:docPr id="929979431" name="Picture 929979431" descr="This is a picture visualising the concept of the demographic transition, which is when countries shift from periods of high fertility and mortality to periods with low fertility and mort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9431" name="Picture 929979431" descr="This is a picture visualising the concept of the demographic transition, which is when countries shift from periods of high fertility and mortality to periods with low fertility and mortality.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7730" cy="1617980"/>
                    </a:xfrm>
                    <a:prstGeom prst="rect">
                      <a:avLst/>
                    </a:prstGeom>
                  </pic:spPr>
                </pic:pic>
              </a:graphicData>
            </a:graphic>
          </wp:anchor>
        </w:drawing>
      </w:r>
      <w:r w:rsidR="006264DD">
        <w:rPr>
          <w:noProof/>
        </w:rPr>
        <w:t>Lower income countries</w:t>
      </w:r>
      <w:r w:rsidR="00103ACF">
        <w:rPr>
          <w:noProof/>
        </w:rPr>
        <w:t xml:space="preserve"> are</w:t>
      </w:r>
      <w:r w:rsidR="00323DB2">
        <w:rPr>
          <w:noProof/>
        </w:rPr>
        <w:t xml:space="preserve"> also</w:t>
      </w:r>
      <w:r w:rsidR="006264DD">
        <w:rPr>
          <w:noProof/>
        </w:rPr>
        <w:t xml:space="preserve"> </w:t>
      </w:r>
      <w:r w:rsidR="00570F11">
        <w:rPr>
          <w:noProof/>
        </w:rPr>
        <w:t>undergoing</w:t>
      </w:r>
      <w:r w:rsidR="006264DD">
        <w:rPr>
          <w:noProof/>
        </w:rPr>
        <w:t xml:space="preserve"> rapid</w:t>
      </w:r>
      <w:r w:rsidR="006264DD">
        <w:t xml:space="preserve"> </w:t>
      </w:r>
      <w:r w:rsidR="00A21AEB">
        <w:t xml:space="preserve">demographic transition </w:t>
      </w:r>
    </w:p>
    <w:tbl>
      <w:tblPr>
        <w:tblStyle w:val="TableGrid"/>
        <w:tblW w:w="140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13"/>
        <w:gridCol w:w="111"/>
        <w:gridCol w:w="3016"/>
        <w:gridCol w:w="147"/>
        <w:gridCol w:w="3921"/>
      </w:tblGrid>
      <w:tr w:rsidR="006551F5" w14:paraId="5D1572D7" w14:textId="77777777" w:rsidTr="00DC2076">
        <w:tc>
          <w:tcPr>
            <w:tcW w:w="9936" w:type="dxa"/>
            <w:gridSpan w:val="3"/>
          </w:tcPr>
          <w:p w14:paraId="1D673869" w14:textId="77777777" w:rsidR="006551F5" w:rsidRDefault="006551F5" w:rsidP="000630FD">
            <w:pPr>
              <w:pStyle w:val="Bullet"/>
              <w:rPr>
                <w:lang w:eastAsia="en-AU"/>
              </w:rPr>
            </w:pPr>
            <w:r>
              <w:rPr>
                <w:lang w:eastAsia="en-AU"/>
              </w:rPr>
              <w:t>21</w:t>
            </w:r>
            <w:r w:rsidRPr="00CD772A">
              <w:rPr>
                <w:vertAlign w:val="superscript"/>
                <w:lang w:eastAsia="en-AU"/>
              </w:rPr>
              <w:t>st</w:t>
            </w:r>
            <w:r>
              <w:rPr>
                <w:lang w:eastAsia="en-AU"/>
              </w:rPr>
              <w:t xml:space="preserve"> century world population growth, ageing and decline is the product of the </w:t>
            </w:r>
            <w:r w:rsidRPr="00424939">
              <w:rPr>
                <w:lang w:eastAsia="en-AU"/>
              </w:rPr>
              <w:t>demographic transition</w:t>
            </w:r>
            <w:r>
              <w:rPr>
                <w:lang w:eastAsia="en-AU"/>
              </w:rPr>
              <w:t xml:space="preserve">, a process where societies </w:t>
            </w:r>
            <w:r w:rsidRPr="009F2194">
              <w:rPr>
                <w:lang w:eastAsia="en-AU"/>
              </w:rPr>
              <w:t xml:space="preserve">shift from </w:t>
            </w:r>
            <w:r>
              <w:rPr>
                <w:lang w:eastAsia="en-AU"/>
              </w:rPr>
              <w:t xml:space="preserve">a stable population level with </w:t>
            </w:r>
            <w:r w:rsidRPr="009F2194">
              <w:rPr>
                <w:lang w:eastAsia="en-AU"/>
              </w:rPr>
              <w:t>high</w:t>
            </w:r>
            <w:r>
              <w:rPr>
                <w:lang w:eastAsia="en-AU"/>
              </w:rPr>
              <w:t xml:space="preserve"> </w:t>
            </w:r>
            <w:r w:rsidRPr="009F2194">
              <w:rPr>
                <w:lang w:eastAsia="en-AU"/>
              </w:rPr>
              <w:t xml:space="preserve">fertility and mortality rates to </w:t>
            </w:r>
            <w:r>
              <w:rPr>
                <w:lang w:eastAsia="en-AU"/>
              </w:rPr>
              <w:t xml:space="preserve">a society with </w:t>
            </w:r>
            <w:r w:rsidRPr="009F2194">
              <w:rPr>
                <w:lang w:eastAsia="en-AU"/>
              </w:rPr>
              <w:t>low fertility and mortality rates</w:t>
            </w:r>
            <w:r>
              <w:rPr>
                <w:lang w:eastAsia="en-AU"/>
              </w:rPr>
              <w:t>. This transition occurs over decades and</w:t>
            </w:r>
            <w:r w:rsidRPr="009F2194">
              <w:rPr>
                <w:lang w:eastAsia="en-AU"/>
              </w:rPr>
              <w:t xml:space="preserve"> </w:t>
            </w:r>
            <w:r>
              <w:rPr>
                <w:lang w:eastAsia="en-AU"/>
              </w:rPr>
              <w:t>is an important part of</w:t>
            </w:r>
            <w:r w:rsidRPr="009F2194">
              <w:rPr>
                <w:lang w:eastAsia="en-AU"/>
              </w:rPr>
              <w:t xml:space="preserve"> economic development</w:t>
            </w:r>
            <w:r>
              <w:rPr>
                <w:lang w:eastAsia="en-AU"/>
              </w:rPr>
              <w:t>.</w:t>
            </w:r>
          </w:p>
          <w:p w14:paraId="1BEBE5BE" w14:textId="77777777" w:rsidR="006551F5" w:rsidRPr="00224A3C" w:rsidRDefault="006551F5" w:rsidP="000630FD">
            <w:pPr>
              <w:pStyle w:val="Bullet"/>
              <w:rPr>
                <w:sz w:val="22"/>
              </w:rPr>
            </w:pPr>
            <w:r>
              <w:rPr>
                <w:lang w:eastAsia="en-AU"/>
              </w:rPr>
              <w:t>Mortality rates decline faster due to several factors, particularly lower infant mortality from increased access to basic public health care. In contrast, fertility rates decline more gradually, driven by cultural norms, economic development and female access to education and employment.</w:t>
            </w:r>
          </w:p>
          <w:p w14:paraId="43D97C72" w14:textId="77777777" w:rsidR="006551F5" w:rsidRDefault="006551F5" w:rsidP="000630FD">
            <w:pPr>
              <w:pStyle w:val="Bullet"/>
              <w:rPr>
                <w:lang w:eastAsia="en-AU"/>
              </w:rPr>
            </w:pPr>
            <w:r>
              <w:rPr>
                <w:lang w:eastAsia="en-AU"/>
              </w:rPr>
              <w:t>A simplified example of the demographic transition is illustrated in the accompanying sparkline (right) and observable in the scatter plots (below).</w:t>
            </w:r>
          </w:p>
        </w:tc>
        <w:tc>
          <w:tcPr>
            <w:tcW w:w="147" w:type="dxa"/>
          </w:tcPr>
          <w:p w14:paraId="0987F3C4" w14:textId="77777777" w:rsidR="006551F5" w:rsidRPr="00E17D63" w:rsidRDefault="006551F5" w:rsidP="000630FD">
            <w:pPr>
              <w:rPr>
                <w:sz w:val="10"/>
                <w:szCs w:val="12"/>
                <w:lang w:eastAsia="en-AU"/>
              </w:rPr>
            </w:pPr>
          </w:p>
        </w:tc>
        <w:tc>
          <w:tcPr>
            <w:tcW w:w="3920" w:type="dxa"/>
          </w:tcPr>
          <w:p w14:paraId="3F9F4B38" w14:textId="5BFA9E4B" w:rsidR="006551F5" w:rsidRDefault="006551F5" w:rsidP="000630FD">
            <w:pPr>
              <w:rPr>
                <w:lang w:eastAsia="en-AU"/>
              </w:rPr>
            </w:pPr>
          </w:p>
        </w:tc>
      </w:tr>
      <w:tr w:rsidR="00DC365D" w:rsidRPr="00DC365D" w14:paraId="405D7C72" w14:textId="77777777" w:rsidTr="00DC2076">
        <w:tc>
          <w:tcPr>
            <w:tcW w:w="6810" w:type="dxa"/>
          </w:tcPr>
          <w:p w14:paraId="1826122A" w14:textId="508E83DE" w:rsidR="00B2298A" w:rsidRDefault="009B2179" w:rsidP="001B3207">
            <w:pPr>
              <w:pStyle w:val="Bullet"/>
            </w:pPr>
            <w:r w:rsidRPr="009B2179">
              <w:t xml:space="preserve">In </w:t>
            </w:r>
            <w:r>
              <w:rPr>
                <w:b/>
                <w:bCs/>
              </w:rPr>
              <w:t>1950</w:t>
            </w:r>
            <w:r w:rsidR="007A1982" w:rsidRPr="00512D99">
              <w:t>,</w:t>
            </w:r>
            <w:r w:rsidRPr="00512D99">
              <w:t xml:space="preserve"> </w:t>
            </w:r>
            <w:r w:rsidR="00E96A19" w:rsidRPr="00512D99">
              <w:t xml:space="preserve">a </w:t>
            </w:r>
            <w:r w:rsidR="00877A42" w:rsidRPr="00512D99">
              <w:t>significant</w:t>
            </w:r>
            <w:r w:rsidR="00877A42">
              <w:rPr>
                <w:b/>
                <w:bCs/>
              </w:rPr>
              <w:t xml:space="preserve"> </w:t>
            </w:r>
            <w:r w:rsidR="00E96A19">
              <w:t>proportion</w:t>
            </w:r>
            <w:r>
              <w:t xml:space="preserve"> </w:t>
            </w:r>
            <w:r w:rsidR="00B2298A">
              <w:t>of the world’s population experienced high fertility and mortality rates</w:t>
            </w:r>
            <w:r w:rsidR="00551423">
              <w:t xml:space="preserve"> </w:t>
            </w:r>
            <w:r>
              <w:t>(</w:t>
            </w:r>
            <w:r w:rsidR="00891CC4">
              <w:t xml:space="preserve">Chart </w:t>
            </w:r>
            <w:r w:rsidR="00AC0717">
              <w:t>5</w:t>
            </w:r>
            <w:r w:rsidR="00891CC4">
              <w:t xml:space="preserve">, </w:t>
            </w:r>
            <w:r>
              <w:t>right)</w:t>
            </w:r>
            <w:r w:rsidR="00B2298A">
              <w:t>.</w:t>
            </w:r>
          </w:p>
          <w:p w14:paraId="72F46D00" w14:textId="06271723" w:rsidR="001A7EB1" w:rsidRPr="00413A3C" w:rsidRDefault="00761369" w:rsidP="001B3207">
            <w:pPr>
              <w:pStyle w:val="Dash"/>
            </w:pPr>
            <w:r>
              <w:t>T</w:t>
            </w:r>
            <w:r w:rsidR="009B2179" w:rsidRPr="00597A4B">
              <w:t xml:space="preserve">wo-thirds </w:t>
            </w:r>
            <w:r w:rsidR="009B2179" w:rsidRPr="001B3965">
              <w:t>of the world</w:t>
            </w:r>
            <w:r w:rsidR="00F37391" w:rsidRPr="001B3965">
              <w:t>’</w:t>
            </w:r>
            <w:r w:rsidR="009B2179" w:rsidRPr="001B3965">
              <w:t xml:space="preserve">s population lived in countries with a </w:t>
            </w:r>
            <w:r w:rsidR="009B2179" w:rsidRPr="001B3965">
              <w:rPr>
                <w:lang w:eastAsia="en-AU"/>
              </w:rPr>
              <w:t>total fertility rate of over 4 births</w:t>
            </w:r>
            <w:r w:rsidR="009B2179">
              <w:rPr>
                <w:lang w:eastAsia="en-AU"/>
              </w:rPr>
              <w:t xml:space="preserve"> per woman</w:t>
            </w:r>
            <w:r w:rsidR="00D80751">
              <w:rPr>
                <w:lang w:eastAsia="en-AU"/>
              </w:rPr>
              <w:t xml:space="preserve"> </w:t>
            </w:r>
            <w:r w:rsidR="00D80751" w:rsidRPr="002B73E2">
              <w:rPr>
                <w:lang w:eastAsia="en-AU"/>
              </w:rPr>
              <w:t>(</w:t>
            </w:r>
            <w:r w:rsidR="00D80751">
              <w:rPr>
                <w:lang w:eastAsia="en-AU"/>
              </w:rPr>
              <w:t xml:space="preserve">Chart </w:t>
            </w:r>
            <w:r w:rsidR="00AC0717">
              <w:rPr>
                <w:lang w:eastAsia="en-AU"/>
              </w:rPr>
              <w:t>5</w:t>
            </w:r>
            <w:r w:rsidR="00D80751">
              <w:rPr>
                <w:lang w:eastAsia="en-AU"/>
              </w:rPr>
              <w:t xml:space="preserve"> vertical density plot)</w:t>
            </w:r>
            <w:r w:rsidR="000A554D">
              <w:rPr>
                <w:lang w:eastAsia="en-AU"/>
              </w:rPr>
              <w:t xml:space="preserve">, </w:t>
            </w:r>
            <w:r w:rsidR="008B276E">
              <w:rPr>
                <w:lang w:eastAsia="en-AU"/>
              </w:rPr>
              <w:t>and</w:t>
            </w:r>
            <w:r w:rsidR="000A554D">
              <w:rPr>
                <w:lang w:eastAsia="en-AU"/>
              </w:rPr>
              <w:t xml:space="preserve"> o</w:t>
            </w:r>
            <w:r w:rsidR="00A85E91" w:rsidRPr="00413A3C">
              <w:t>ver</w:t>
            </w:r>
            <w:r w:rsidR="008B5D9A" w:rsidRPr="00413A3C">
              <w:t xml:space="preserve"> </w:t>
            </w:r>
            <w:r w:rsidR="00331822" w:rsidRPr="00413A3C">
              <w:t xml:space="preserve">60 per cent of </w:t>
            </w:r>
            <w:r w:rsidR="00B92586" w:rsidRPr="00413A3C">
              <w:t xml:space="preserve">countries </w:t>
            </w:r>
            <w:r w:rsidR="00805F20">
              <w:t>not in</w:t>
            </w:r>
            <w:r w:rsidR="00331822" w:rsidRPr="00413A3C">
              <w:t xml:space="preserve"> </w:t>
            </w:r>
            <w:r w:rsidR="005372FE" w:rsidRPr="00413A3C">
              <w:t xml:space="preserve">the high-income </w:t>
            </w:r>
            <w:r w:rsidR="00805F20">
              <w:t>group</w:t>
            </w:r>
            <w:r w:rsidR="005372FE" w:rsidRPr="00413A3C">
              <w:t xml:space="preserve"> </w:t>
            </w:r>
            <w:r w:rsidR="00376ED1" w:rsidRPr="00413A3C">
              <w:t>had</w:t>
            </w:r>
            <w:r w:rsidR="00B92586" w:rsidRPr="00413A3C">
              <w:t xml:space="preserve"> a</w:t>
            </w:r>
            <w:r w:rsidR="00376ED1" w:rsidRPr="00413A3C">
              <w:t xml:space="preserve"> rate over 6</w:t>
            </w:r>
            <w:r w:rsidR="00413A3C" w:rsidRPr="00413A3C">
              <w:t>.</w:t>
            </w:r>
            <w:r w:rsidR="00376ED1" w:rsidRPr="00413A3C">
              <w:t xml:space="preserve"> </w:t>
            </w:r>
          </w:p>
          <w:p w14:paraId="58AC0E37" w14:textId="771C80D8" w:rsidR="004C43B9" w:rsidRDefault="00A343F9" w:rsidP="001B3207">
            <w:pPr>
              <w:pStyle w:val="Dash"/>
            </w:pPr>
            <w:r>
              <w:rPr>
                <w:lang w:eastAsia="en-AU"/>
              </w:rPr>
              <w:t xml:space="preserve">Over </w:t>
            </w:r>
            <w:r w:rsidR="00CA06FC">
              <w:rPr>
                <w:lang w:eastAsia="en-AU"/>
              </w:rPr>
              <w:t>1.6</w:t>
            </w:r>
            <w:r w:rsidR="00443F9D">
              <w:rPr>
                <w:lang w:eastAsia="en-AU"/>
              </w:rPr>
              <w:t xml:space="preserve"> billion people</w:t>
            </w:r>
            <w:r w:rsidR="00CA06FC">
              <w:rPr>
                <w:lang w:eastAsia="en-AU"/>
              </w:rPr>
              <w:t xml:space="preserve"> (</w:t>
            </w:r>
            <w:r w:rsidR="00443FDE">
              <w:rPr>
                <w:lang w:eastAsia="en-AU"/>
              </w:rPr>
              <w:t>63.4 per cent</w:t>
            </w:r>
            <w:r w:rsidR="00CA06FC">
              <w:rPr>
                <w:lang w:eastAsia="en-AU"/>
              </w:rPr>
              <w:t>)</w:t>
            </w:r>
            <w:r w:rsidR="00443F9D">
              <w:rPr>
                <w:lang w:eastAsia="en-AU"/>
              </w:rPr>
              <w:t xml:space="preserve"> in</w:t>
            </w:r>
            <w:r>
              <w:rPr>
                <w:lang w:eastAsia="en-AU"/>
              </w:rPr>
              <w:t xml:space="preserve"> </w:t>
            </w:r>
            <w:r w:rsidR="00E15090">
              <w:rPr>
                <w:lang w:eastAsia="en-AU"/>
              </w:rPr>
              <w:t>the world</w:t>
            </w:r>
            <w:r w:rsidR="00443F9D">
              <w:rPr>
                <w:lang w:eastAsia="en-AU"/>
              </w:rPr>
              <w:t xml:space="preserve"> had</w:t>
            </w:r>
            <w:r>
              <w:rPr>
                <w:lang w:eastAsia="en-AU"/>
              </w:rPr>
              <w:t xml:space="preserve"> </w:t>
            </w:r>
            <w:r w:rsidRPr="00EE4E6E">
              <w:rPr>
                <w:lang w:eastAsia="en-AU"/>
              </w:rPr>
              <w:t>life expectancies under 50 years of age</w:t>
            </w:r>
            <w:r w:rsidR="00474952">
              <w:rPr>
                <w:lang w:eastAsia="en-AU"/>
              </w:rPr>
              <w:t xml:space="preserve"> (Chart </w:t>
            </w:r>
            <w:r w:rsidR="00AC0717">
              <w:rPr>
                <w:lang w:eastAsia="en-AU"/>
              </w:rPr>
              <w:t>5</w:t>
            </w:r>
            <w:r w:rsidR="00474952">
              <w:rPr>
                <w:lang w:eastAsia="en-AU"/>
              </w:rPr>
              <w:t xml:space="preserve"> horizontal density plot).</w:t>
            </w:r>
          </w:p>
          <w:p w14:paraId="35D22665" w14:textId="306AC6E3" w:rsidR="00376ED1" w:rsidRPr="000D27FC" w:rsidRDefault="004C43B9" w:rsidP="001B3207">
            <w:pPr>
              <w:pStyle w:val="DoubleDot"/>
            </w:pPr>
            <w:r w:rsidRPr="001B3207">
              <w:t>There</w:t>
            </w:r>
            <w:r w:rsidRPr="000D27FC">
              <w:t xml:space="preserve"> is clear delineation</w:t>
            </w:r>
            <w:r w:rsidR="001B3207">
              <w:t xml:space="preserve"> in life expectancy</w:t>
            </w:r>
            <w:r w:rsidRPr="000D27FC">
              <w:t xml:space="preserve"> between the countries in the four income classifications</w:t>
            </w:r>
            <w:r w:rsidR="001B3207">
              <w:t>,</w:t>
            </w:r>
            <w:r w:rsidR="00D905DB" w:rsidRPr="000D27FC">
              <w:t xml:space="preserve"> with o</w:t>
            </w:r>
            <w:r w:rsidR="00D80751" w:rsidRPr="000D27FC">
              <w:t xml:space="preserve">ver half of high-income countries </w:t>
            </w:r>
            <w:r w:rsidR="00D905DB" w:rsidRPr="000D27FC">
              <w:t>with</w:t>
            </w:r>
            <w:r w:rsidR="00D80751" w:rsidRPr="000D27FC">
              <w:t xml:space="preserve"> a life expectancy at birth of over 60 years</w:t>
            </w:r>
            <w:r w:rsidR="002A2E00" w:rsidRPr="000D27FC">
              <w:t>.</w:t>
            </w:r>
          </w:p>
          <w:p w14:paraId="0871C6E8" w14:textId="287A8DC3" w:rsidR="008650BF" w:rsidRDefault="005E2716" w:rsidP="001B3207">
            <w:pPr>
              <w:pStyle w:val="Bullet"/>
            </w:pPr>
            <w:r>
              <w:t xml:space="preserve">By </w:t>
            </w:r>
            <w:r w:rsidRPr="005E2716">
              <w:rPr>
                <w:b/>
                <w:bCs/>
              </w:rPr>
              <w:t>2025</w:t>
            </w:r>
            <w:r>
              <w:t xml:space="preserve"> (</w:t>
            </w:r>
            <w:r w:rsidR="00891CC4">
              <w:t xml:space="preserve">Chart </w:t>
            </w:r>
            <w:r w:rsidR="00AC0717">
              <w:t>5</w:t>
            </w:r>
            <w:r w:rsidR="00891CC4">
              <w:t xml:space="preserve">, </w:t>
            </w:r>
            <w:r>
              <w:t xml:space="preserve">below), life expectancies </w:t>
            </w:r>
            <w:r w:rsidR="00F45CF4">
              <w:t>will</w:t>
            </w:r>
            <w:r>
              <w:t xml:space="preserve"> have improved</w:t>
            </w:r>
            <w:r w:rsidR="00500346">
              <w:rPr>
                <w:lang w:eastAsia="en-AU"/>
              </w:rPr>
              <w:t xml:space="preserve"> around the world</w:t>
            </w:r>
            <w:r w:rsidR="00305507">
              <w:t xml:space="preserve">, reflecting </w:t>
            </w:r>
            <w:r w:rsidR="004D0AAC">
              <w:rPr>
                <w:lang w:eastAsia="en-AU"/>
              </w:rPr>
              <w:t>increased living standards</w:t>
            </w:r>
            <w:r w:rsidR="00C77A80">
              <w:rPr>
                <w:lang w:eastAsia="en-AU"/>
              </w:rPr>
              <w:t xml:space="preserve"> and access to </w:t>
            </w:r>
            <w:r w:rsidR="00500346">
              <w:rPr>
                <w:lang w:eastAsia="en-AU"/>
              </w:rPr>
              <w:t>health care</w:t>
            </w:r>
            <w:r>
              <w:t>.</w:t>
            </w:r>
            <w:r w:rsidR="00FE5A97">
              <w:t xml:space="preserve"> </w:t>
            </w:r>
            <w:r w:rsidR="00337F32" w:rsidRPr="00F420FC">
              <w:t>Th</w:t>
            </w:r>
            <w:r w:rsidR="009B741F" w:rsidRPr="00F420FC">
              <w:t xml:space="preserve">e life-expectancy </w:t>
            </w:r>
            <w:r w:rsidR="00F7212A" w:rsidRPr="00F420FC">
              <w:t>gap</w:t>
            </w:r>
            <w:r w:rsidR="009B741F" w:rsidRPr="00F420FC">
              <w:t>s</w:t>
            </w:r>
            <w:r w:rsidR="00F7212A" w:rsidRPr="00F420FC">
              <w:t xml:space="preserve"> between </w:t>
            </w:r>
            <w:r w:rsidR="00BC37B9" w:rsidRPr="00F420FC">
              <w:t>high-income</w:t>
            </w:r>
            <w:r w:rsidR="00F7212A" w:rsidRPr="00F420FC">
              <w:t xml:space="preserve"> and low</w:t>
            </w:r>
            <w:r w:rsidR="00BC37B9" w:rsidRPr="00F420FC">
              <w:t>-income</w:t>
            </w:r>
            <w:r w:rsidR="00F7212A" w:rsidRPr="00F420FC">
              <w:t xml:space="preserve"> countries </w:t>
            </w:r>
            <w:r w:rsidR="00274FAB">
              <w:t>will</w:t>
            </w:r>
            <w:r w:rsidR="00F7212A" w:rsidRPr="00F420FC">
              <w:t xml:space="preserve"> close from </w:t>
            </w:r>
            <w:r w:rsidR="00984DC5" w:rsidRPr="00F420FC">
              <w:t>30.</w:t>
            </w:r>
            <w:r w:rsidR="00984DC5" w:rsidRPr="00F420FC" w:rsidDel="00F32AA5">
              <w:t xml:space="preserve">6 </w:t>
            </w:r>
            <w:r w:rsidR="00984DC5" w:rsidRPr="00F420FC">
              <w:t>years</w:t>
            </w:r>
            <w:r w:rsidR="00F7212A" w:rsidRPr="00F420FC">
              <w:t xml:space="preserve"> in 1950 to </w:t>
            </w:r>
            <w:r w:rsidR="00984DC5" w:rsidRPr="00F420FC">
              <w:t>16.4 years</w:t>
            </w:r>
            <w:r w:rsidR="00F7212A" w:rsidRPr="00F420FC">
              <w:t xml:space="preserve"> in 2025</w:t>
            </w:r>
            <w:r w:rsidR="00F7212A">
              <w:t>.</w:t>
            </w:r>
            <w:r w:rsidR="00BD2AF9">
              <w:t xml:space="preserve"> These countries will experience population growth </w:t>
            </w:r>
            <w:r w:rsidR="000B6A52">
              <w:t>while their fertility rate</w:t>
            </w:r>
            <w:r w:rsidR="003F0763">
              <w:t>s</w:t>
            </w:r>
            <w:r w:rsidR="000B6A52">
              <w:t xml:space="preserve"> remain high</w:t>
            </w:r>
            <w:r w:rsidR="00C91B6F">
              <w:t>.</w:t>
            </w:r>
          </w:p>
          <w:p w14:paraId="76B7A074" w14:textId="7BE874B1" w:rsidR="008E0563" w:rsidRPr="009B2179" w:rsidRDefault="00113D30" w:rsidP="001B3207">
            <w:pPr>
              <w:pStyle w:val="Bullet"/>
            </w:pPr>
            <w:r>
              <w:rPr>
                <w:lang w:eastAsia="en-AU"/>
              </w:rPr>
              <w:t xml:space="preserve">By </w:t>
            </w:r>
            <w:r w:rsidR="00F91D5F" w:rsidRPr="00857C3A">
              <w:rPr>
                <w:b/>
                <w:lang w:eastAsia="en-AU"/>
              </w:rPr>
              <w:t>2100</w:t>
            </w:r>
            <w:r w:rsidR="00F91D5F">
              <w:rPr>
                <w:lang w:eastAsia="en-AU"/>
              </w:rPr>
              <w:t xml:space="preserve"> </w:t>
            </w:r>
            <w:r>
              <w:rPr>
                <w:lang w:eastAsia="en-AU"/>
              </w:rPr>
              <w:t xml:space="preserve">(Chart </w:t>
            </w:r>
            <w:r w:rsidR="00AC0717">
              <w:rPr>
                <w:lang w:eastAsia="en-AU"/>
              </w:rPr>
              <w:t>5</w:t>
            </w:r>
            <w:r>
              <w:rPr>
                <w:lang w:eastAsia="en-AU"/>
              </w:rPr>
              <w:t xml:space="preserve">, </w:t>
            </w:r>
            <w:r w:rsidRPr="00113D30">
              <w:rPr>
                <w:iCs/>
                <w:lang w:eastAsia="en-AU"/>
              </w:rPr>
              <w:t>below right</w:t>
            </w:r>
            <w:r>
              <w:rPr>
                <w:lang w:eastAsia="en-AU"/>
              </w:rPr>
              <w:t>)</w:t>
            </w:r>
            <w:r w:rsidR="00791423">
              <w:rPr>
                <w:lang w:eastAsia="en-AU"/>
              </w:rPr>
              <w:t xml:space="preserve"> the demographic transition </w:t>
            </w:r>
            <w:r w:rsidR="00872AFC">
              <w:rPr>
                <w:lang w:eastAsia="en-AU"/>
              </w:rPr>
              <w:t xml:space="preserve">will have </w:t>
            </w:r>
            <w:r w:rsidR="00791423">
              <w:rPr>
                <w:lang w:eastAsia="en-AU"/>
              </w:rPr>
              <w:t>concluded</w:t>
            </w:r>
            <w:r w:rsidR="00B43854">
              <w:rPr>
                <w:lang w:eastAsia="en-AU"/>
              </w:rPr>
              <w:t xml:space="preserve"> </w:t>
            </w:r>
            <w:r w:rsidR="00791423">
              <w:rPr>
                <w:lang w:eastAsia="en-AU"/>
              </w:rPr>
              <w:t xml:space="preserve">with </w:t>
            </w:r>
            <w:r w:rsidR="001378B5">
              <w:rPr>
                <w:lang w:eastAsia="en-AU"/>
              </w:rPr>
              <w:t xml:space="preserve">global </w:t>
            </w:r>
            <w:r w:rsidR="00B43854">
              <w:rPr>
                <w:lang w:eastAsia="en-AU"/>
              </w:rPr>
              <w:t xml:space="preserve">total fertility rates </w:t>
            </w:r>
            <w:r w:rsidR="00083BD5">
              <w:rPr>
                <w:lang w:eastAsia="en-AU"/>
              </w:rPr>
              <w:t>below the replacement rate of 2.1 resulting in a global population decline.</w:t>
            </w:r>
            <w:r w:rsidR="0070500D">
              <w:rPr>
                <w:lang w:eastAsia="en-AU"/>
              </w:rPr>
              <w:t xml:space="preserve"> People in most countries </w:t>
            </w:r>
            <w:r w:rsidR="00C87A0E">
              <w:rPr>
                <w:lang w:eastAsia="en-AU"/>
              </w:rPr>
              <w:t xml:space="preserve">are projected to </w:t>
            </w:r>
            <w:r w:rsidR="0070500D">
              <w:rPr>
                <w:lang w:eastAsia="en-AU"/>
              </w:rPr>
              <w:t>have a life expectancy at birth of over 70 years of age</w:t>
            </w:r>
            <w:r w:rsidR="00A50CDD">
              <w:rPr>
                <w:lang w:eastAsia="en-AU"/>
              </w:rPr>
              <w:t xml:space="preserve"> </w:t>
            </w:r>
            <w:r w:rsidR="00A50CDD" w:rsidRPr="006E4814">
              <w:rPr>
                <w:lang w:eastAsia="en-AU"/>
              </w:rPr>
              <w:t xml:space="preserve">world life expectancy </w:t>
            </w:r>
            <w:r w:rsidR="00141BD8">
              <w:rPr>
                <w:lang w:eastAsia="en-AU"/>
              </w:rPr>
              <w:t>at</w:t>
            </w:r>
            <w:r w:rsidR="00A50CDD" w:rsidRPr="006E4814">
              <w:rPr>
                <w:lang w:eastAsia="en-AU"/>
              </w:rPr>
              <w:t xml:space="preserve"> 8</w:t>
            </w:r>
            <w:r w:rsidR="007034D8" w:rsidRPr="006E4814">
              <w:rPr>
                <w:lang w:eastAsia="en-AU"/>
              </w:rPr>
              <w:t>1.7</w:t>
            </w:r>
            <w:r w:rsidR="004541EA" w:rsidRPr="006E4814">
              <w:rPr>
                <w:lang w:eastAsia="en-AU"/>
              </w:rPr>
              <w:t>.</w:t>
            </w:r>
          </w:p>
        </w:tc>
        <w:tc>
          <w:tcPr>
            <w:tcW w:w="111" w:type="dxa"/>
          </w:tcPr>
          <w:p w14:paraId="7D936A96" w14:textId="77777777" w:rsidR="00DC365D" w:rsidRPr="00DC365D" w:rsidRDefault="00DC365D" w:rsidP="00031CF7">
            <w:pPr>
              <w:rPr>
                <w:rFonts w:ascii="Calibri" w:eastAsia="Calibri" w:hAnsi="Calibri" w:cs="Times New Roman"/>
                <w:sz w:val="22"/>
              </w:rPr>
            </w:pPr>
          </w:p>
        </w:tc>
        <w:tc>
          <w:tcPr>
            <w:tcW w:w="7082" w:type="dxa"/>
            <w:gridSpan w:val="3"/>
          </w:tcPr>
          <w:p w14:paraId="58033CD4" w14:textId="1271DE51" w:rsidR="002F0C87" w:rsidRPr="002F0C87" w:rsidRDefault="00376ED1" w:rsidP="00376ED1">
            <w:pPr>
              <w:pStyle w:val="Heading4"/>
              <w:rPr>
                <w:lang w:eastAsia="en-AU"/>
              </w:rPr>
            </w:pPr>
            <w:r>
              <w:rPr>
                <w:lang w:eastAsia="en-AU"/>
              </w:rPr>
              <w:t xml:space="preserve">Chart </w:t>
            </w:r>
            <w:r w:rsidR="00AC0717">
              <w:rPr>
                <w:lang w:eastAsia="en-AU"/>
              </w:rPr>
              <w:t>5</w:t>
            </w:r>
            <w:r>
              <w:rPr>
                <w:lang w:eastAsia="en-AU"/>
              </w:rPr>
              <w:t xml:space="preserve">.  </w:t>
            </w:r>
            <w:r w:rsidR="002F0C87" w:rsidRPr="002F0C87">
              <w:rPr>
                <w:lang w:eastAsia="en-AU"/>
              </w:rPr>
              <w:t>1950 fertility and mortality distributions</w:t>
            </w:r>
          </w:p>
          <w:p w14:paraId="1B6D04CA" w14:textId="5A2F18E4" w:rsidR="00DC365D" w:rsidRPr="00DC365D" w:rsidRDefault="00BA7E10" w:rsidP="00616973">
            <w:pPr>
              <w:spacing w:before="0"/>
              <w:rPr>
                <w:rFonts w:ascii="Calibri" w:eastAsia="Calibri" w:hAnsi="Calibri" w:cs="Times New Roman"/>
                <w:sz w:val="22"/>
              </w:rPr>
            </w:pPr>
            <w:r>
              <w:rPr>
                <w:rFonts w:ascii="Calibri" w:eastAsia="Calibri" w:hAnsi="Calibri" w:cs="Times New Roman"/>
                <w:noProof/>
                <w:sz w:val="22"/>
              </w:rPr>
              <w:drawing>
                <wp:inline distT="0" distB="0" distL="0" distR="0" wp14:anchorId="5BDAB805" wp14:editId="77015305">
                  <wp:extent cx="4319016" cy="3236976"/>
                  <wp:effectExtent l="0" t="0" r="5715" b="1905"/>
                  <wp:docPr id="2044610458" name="Picture 2044610458" descr="These are three identical scatter plots for 1950, 2025, and 2100, showing how total fertility rates and life expectancies at birth of countries in the world change over time. The countries are split by their income groups. There are also density plots on the top and right side of each chart showing the dispersion of income groups for each year. In 1950, most countries in the world had relatively low life expectancies and high total fertility rates. By the end of the 21st century, most countries complete the demographic transition to have high life expectancies and low total fertility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10458" name="Picture 2044610458" descr="These are three identical scatter plots for 1950, 2025, and 2100, showing how total fertility rates and life expectancies at birth of countries in the world change over time. The countries are split by their income groups. There are also density plots on the top and right side of each chart showing the dispersion of income groups for each year. In 1950, most countries in the world had relatively low life expectancies and high total fertility rates. By the end of the 21st century, most countries complete the demographic transition to have high life expectancies and low total fertility rate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016" cy="3236976"/>
                          </a:xfrm>
                          <a:prstGeom prst="rect">
                            <a:avLst/>
                          </a:prstGeom>
                        </pic:spPr>
                      </pic:pic>
                    </a:graphicData>
                  </a:graphic>
                </wp:inline>
              </w:drawing>
            </w:r>
          </w:p>
        </w:tc>
      </w:tr>
      <w:tr w:rsidR="00DC365D" w:rsidRPr="00DC365D" w14:paraId="36FA8597" w14:textId="77777777" w:rsidTr="00DC2076">
        <w:tc>
          <w:tcPr>
            <w:tcW w:w="6810" w:type="dxa"/>
          </w:tcPr>
          <w:p w14:paraId="40892CDB" w14:textId="3F5AB9B6" w:rsidR="002F0C87" w:rsidRDefault="002F0C87" w:rsidP="000B38C2">
            <w:pPr>
              <w:keepNext/>
              <w:pBdr>
                <w:top w:val="dotted" w:sz="6" w:space="1" w:color="002C47" w:themeColor="accent1"/>
              </w:pBdr>
              <w:spacing w:before="0"/>
              <w:outlineLvl w:val="3"/>
              <w:rPr>
                <w:rFonts w:eastAsiaTheme="minorEastAsia"/>
                <w:b/>
                <w:smallCaps/>
                <w:color w:val="002C47" w:themeColor="accent1"/>
                <w:spacing w:val="10"/>
                <w:kern w:val="0"/>
                <w:szCs w:val="20"/>
                <w:lang w:eastAsia="en-AU"/>
                <w14:ligatures w14:val="none"/>
              </w:rPr>
            </w:pPr>
            <w:r>
              <w:rPr>
                <w:rFonts w:eastAsiaTheme="minorEastAsia"/>
                <w:b/>
                <w:smallCaps/>
                <w:color w:val="002C47" w:themeColor="accent1"/>
                <w:spacing w:val="10"/>
                <w:kern w:val="0"/>
                <w:szCs w:val="20"/>
                <w:lang w:eastAsia="en-AU"/>
                <w14:ligatures w14:val="none"/>
              </w:rPr>
              <w:lastRenderedPageBreak/>
              <w:t>2025</w:t>
            </w:r>
            <w:r w:rsidRPr="002F0C87">
              <w:rPr>
                <w:rFonts w:eastAsiaTheme="minorEastAsia"/>
                <w:b/>
                <w:smallCaps/>
                <w:color w:val="002C47" w:themeColor="accent1"/>
                <w:spacing w:val="10"/>
                <w:kern w:val="0"/>
                <w:szCs w:val="20"/>
                <w:lang w:eastAsia="en-AU"/>
                <w14:ligatures w14:val="none"/>
              </w:rPr>
              <w:t xml:space="preserve"> fertility and mortality distributions</w:t>
            </w:r>
          </w:p>
          <w:p w14:paraId="0DEE8BF7" w14:textId="4B670906" w:rsidR="00DC365D" w:rsidRPr="00E12217" w:rsidRDefault="005645AC" w:rsidP="00E12217">
            <w:pPr>
              <w:pBdr>
                <w:top w:val="dotted" w:sz="6" w:space="1" w:color="002C47" w:themeColor="accent1"/>
              </w:pBdr>
              <w:spacing w:before="0"/>
              <w:outlineLvl w:val="3"/>
              <w:rPr>
                <w:rFonts w:eastAsiaTheme="minorEastAsia"/>
                <w:b/>
                <w:smallCaps/>
                <w:color w:val="002C47" w:themeColor="accent1"/>
                <w:spacing w:val="10"/>
                <w:kern w:val="0"/>
                <w:szCs w:val="20"/>
                <w:lang w:eastAsia="en-AU"/>
                <w14:ligatures w14:val="none"/>
              </w:rPr>
            </w:pPr>
            <w:r>
              <w:rPr>
                <w:rFonts w:eastAsiaTheme="minorEastAsia"/>
                <w:b/>
                <w:smallCaps/>
                <w:noProof/>
                <w:color w:val="002C47" w:themeColor="accent1"/>
                <w:spacing w:val="10"/>
                <w:szCs w:val="20"/>
                <w:lang w:eastAsia="en-AU"/>
              </w:rPr>
              <w:drawing>
                <wp:inline distT="0" distB="0" distL="0" distR="0" wp14:anchorId="419134AC" wp14:editId="527F4184">
                  <wp:extent cx="4319016" cy="3236976"/>
                  <wp:effectExtent l="0" t="0" r="5715" b="1905"/>
                  <wp:docPr id="726163713" name="Picture 726163713" descr="These are three identical scatter plots for 1950, 2025, and 2100, showing how total fertility rates and life expectancies at birth of countries in the world change over time. The countries are split by their income groups. There are also density plots on the top and right side of each chart showing the dispersion of income groups for each year. In 1950, most countries in the world had relatively low life expectancies and high total fertility rates. By the end of the 21st century, most countries complete the demographic transition to have high life expectancies and low total fertility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63713" name="Picture 726163713" descr="These are three identical scatter plots for 1950, 2025, and 2100, showing how total fertility rates and life expectancies at birth of countries in the world change over time. The countries are split by their income groups. There are also density plots on the top and right side of each chart showing the dispersion of income groups for each year. In 1950, most countries in the world had relatively low life expectancies and high total fertility rates. By the end of the 21st century, most countries complete the demographic transition to have high life expectancies and low total fertility rates.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016" cy="3236976"/>
                          </a:xfrm>
                          <a:prstGeom prst="rect">
                            <a:avLst/>
                          </a:prstGeom>
                        </pic:spPr>
                      </pic:pic>
                    </a:graphicData>
                  </a:graphic>
                </wp:inline>
              </w:drawing>
            </w:r>
          </w:p>
        </w:tc>
        <w:tc>
          <w:tcPr>
            <w:tcW w:w="111" w:type="dxa"/>
          </w:tcPr>
          <w:p w14:paraId="137C43D9" w14:textId="77777777" w:rsidR="00DC365D" w:rsidRPr="00DC365D" w:rsidRDefault="00DC365D" w:rsidP="00031CF7">
            <w:pPr>
              <w:rPr>
                <w:rFonts w:ascii="Calibri" w:eastAsia="Calibri" w:hAnsi="Calibri" w:cs="Times New Roman"/>
                <w:sz w:val="22"/>
              </w:rPr>
            </w:pPr>
          </w:p>
        </w:tc>
        <w:tc>
          <w:tcPr>
            <w:tcW w:w="7082" w:type="dxa"/>
            <w:gridSpan w:val="3"/>
          </w:tcPr>
          <w:p w14:paraId="12BEAB34" w14:textId="39B29154" w:rsidR="002F0C87" w:rsidRPr="002F0C87" w:rsidRDefault="00891CC4" w:rsidP="002F0C87">
            <w:pPr>
              <w:pBdr>
                <w:top w:val="dotted" w:sz="6" w:space="1" w:color="002C47" w:themeColor="accent1"/>
              </w:pBdr>
              <w:spacing w:before="0"/>
              <w:outlineLvl w:val="3"/>
              <w:rPr>
                <w:rFonts w:eastAsiaTheme="minorEastAsia"/>
                <w:b/>
                <w:smallCaps/>
                <w:color w:val="002C47" w:themeColor="accent1"/>
                <w:spacing w:val="10"/>
                <w:kern w:val="0"/>
                <w:szCs w:val="20"/>
                <w:lang w:eastAsia="en-AU"/>
                <w14:ligatures w14:val="none"/>
              </w:rPr>
            </w:pPr>
            <w:r>
              <w:rPr>
                <w:rFonts w:eastAsiaTheme="minorEastAsia"/>
                <w:b/>
                <w:smallCaps/>
                <w:color w:val="002C47" w:themeColor="accent1"/>
                <w:spacing w:val="10"/>
                <w:kern w:val="0"/>
                <w:szCs w:val="20"/>
                <w:lang w:eastAsia="en-AU"/>
                <w14:ligatures w14:val="none"/>
              </w:rPr>
              <w:t xml:space="preserve"> </w:t>
            </w:r>
            <w:r w:rsidR="002F0C87">
              <w:rPr>
                <w:rFonts w:eastAsiaTheme="minorEastAsia"/>
                <w:b/>
                <w:smallCaps/>
                <w:color w:val="002C47" w:themeColor="accent1"/>
                <w:spacing w:val="10"/>
                <w:kern w:val="0"/>
                <w:szCs w:val="20"/>
                <w:lang w:eastAsia="en-AU"/>
                <w14:ligatures w14:val="none"/>
              </w:rPr>
              <w:t>2100</w:t>
            </w:r>
            <w:r w:rsidR="002F0C87" w:rsidRPr="002F0C87">
              <w:rPr>
                <w:rFonts w:eastAsiaTheme="minorEastAsia"/>
                <w:b/>
                <w:smallCaps/>
                <w:color w:val="002C47" w:themeColor="accent1"/>
                <w:spacing w:val="10"/>
                <w:kern w:val="0"/>
                <w:szCs w:val="20"/>
                <w:lang w:eastAsia="en-AU"/>
                <w14:ligatures w14:val="none"/>
              </w:rPr>
              <w:t xml:space="preserve"> fertility and mortality distributions</w:t>
            </w:r>
          </w:p>
          <w:p w14:paraId="21438964" w14:textId="10F04DC9" w:rsidR="00AF4718" w:rsidRPr="00DC365D" w:rsidRDefault="006409A4" w:rsidP="00616973">
            <w:pPr>
              <w:spacing w:before="0"/>
              <w:rPr>
                <w:rFonts w:ascii="Calibri" w:eastAsia="Calibri" w:hAnsi="Calibri" w:cs="Times New Roman"/>
                <w:sz w:val="22"/>
              </w:rPr>
            </w:pPr>
            <w:r>
              <w:rPr>
                <w:rFonts w:ascii="Calibri" w:eastAsia="Calibri" w:hAnsi="Calibri" w:cs="Times New Roman"/>
                <w:noProof/>
                <w:sz w:val="22"/>
              </w:rPr>
              <w:drawing>
                <wp:inline distT="0" distB="0" distL="0" distR="0" wp14:anchorId="15A5A5A8" wp14:editId="75F8526E">
                  <wp:extent cx="4319016" cy="3236976"/>
                  <wp:effectExtent l="0" t="0" r="5715" b="1905"/>
                  <wp:docPr id="60" name="Picture 60" descr="These are three identical scatter plots for 1950, 2025, and 2100, showing how total fertility rates and life expectancies at birth of countries in the world change over time. The countries are split by their income groups. There are also density plots on the top and right side of each chart showing the dispersion of income groups for each year. In 1950, most countries in the world had relatively low life expectancies and high total fertility rates. By the end of the 21st century, most countries complete the demographic transition to have high life expectancies and low total fertility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se are three identical scatter plots for 1950, 2025, and 2100, showing how total fertility rates and life expectancies at birth of countries in the world change over time. The countries are split by their income groups. There are also density plots on the top and right side of each chart showing the dispersion of income groups for each year. In 1950, most countries in the world had relatively low life expectancies and high total fertility rates. By the end of the 21st century, most countries complete the demographic transition to have high life expectancies and low total fertility rate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016" cy="3236976"/>
                          </a:xfrm>
                          <a:prstGeom prst="rect">
                            <a:avLst/>
                          </a:prstGeom>
                        </pic:spPr>
                      </pic:pic>
                    </a:graphicData>
                  </a:graphic>
                </wp:inline>
              </w:drawing>
            </w:r>
          </w:p>
        </w:tc>
      </w:tr>
    </w:tbl>
    <w:p w14:paraId="7D039CF2" w14:textId="4DD73455" w:rsidR="009C11C8" w:rsidRDefault="009A4218" w:rsidP="00F409FB">
      <w:pPr>
        <w:pBdr>
          <w:top w:val="single" w:sz="6" w:space="1" w:color="002C47" w:themeColor="accent1"/>
        </w:pBdr>
        <w:tabs>
          <w:tab w:val="left" w:pos="1134"/>
        </w:tabs>
        <w:spacing w:before="240" w:after="0" w:line="276" w:lineRule="auto"/>
        <w:jc w:val="both"/>
        <w:outlineLvl w:val="6"/>
        <w:rPr>
          <w:rFonts w:asciiTheme="majorHAnsi" w:eastAsiaTheme="minorEastAsia" w:hAnsiTheme="majorHAnsi" w:cstheme="majorHAnsi"/>
          <w:b/>
          <w:smallCaps/>
          <w:color w:val="002C47" w:themeColor="accent1"/>
          <w:spacing w:val="15"/>
          <w:sz w:val="26"/>
          <w:szCs w:val="26"/>
          <w:lang w:eastAsia="en-AU"/>
        </w:rPr>
      </w:pPr>
      <w:r>
        <w:rPr>
          <w:rFonts w:asciiTheme="majorHAnsi" w:eastAsiaTheme="minorEastAsia" w:hAnsiTheme="majorHAnsi" w:cstheme="majorHAnsi"/>
          <w:b/>
          <w:smallCaps/>
          <w:color w:val="002C47" w:themeColor="accent1"/>
          <w:spacing w:val="15"/>
          <w:sz w:val="26"/>
          <w:szCs w:val="26"/>
          <w:lang w:eastAsia="en-AU"/>
        </w:rPr>
        <w:t xml:space="preserve">Leading to </w:t>
      </w:r>
      <w:r w:rsidR="00BC754C">
        <w:rPr>
          <w:rFonts w:asciiTheme="majorHAnsi" w:eastAsiaTheme="minorEastAsia" w:hAnsiTheme="majorHAnsi" w:cstheme="majorHAnsi"/>
          <w:b/>
          <w:smallCaps/>
          <w:color w:val="002C47" w:themeColor="accent1"/>
          <w:spacing w:val="15"/>
          <w:sz w:val="26"/>
          <w:szCs w:val="26"/>
          <w:lang w:eastAsia="en-AU"/>
        </w:rPr>
        <w:t>world p</w:t>
      </w:r>
      <w:r w:rsidR="00F34CC3">
        <w:rPr>
          <w:rFonts w:asciiTheme="majorHAnsi" w:eastAsiaTheme="minorEastAsia" w:hAnsiTheme="majorHAnsi" w:cstheme="majorHAnsi"/>
          <w:b/>
          <w:smallCaps/>
          <w:color w:val="002C47" w:themeColor="accent1"/>
          <w:spacing w:val="15"/>
          <w:sz w:val="26"/>
          <w:szCs w:val="26"/>
          <w:lang w:eastAsia="en-AU"/>
        </w:rPr>
        <w:t>opulation aging</w:t>
      </w:r>
    </w:p>
    <w:p w14:paraId="7EC92668" w14:textId="5C3F299D" w:rsidR="009C11C8" w:rsidRDefault="00DC2076" w:rsidP="00DC2076">
      <w:pPr>
        <w:pStyle w:val="Bullet"/>
      </w:pPr>
      <w:r>
        <w:t>P</w:t>
      </w:r>
      <w:r w:rsidRPr="000A2D25">
        <w:t xml:space="preserve">opulation ageing </w:t>
      </w:r>
      <w:r>
        <w:t>has seen the global median age increase from 22.2 in 1950, to 30.9 in 2025, and will increase to 42.1 in 2100. However, the rate of population ageing varies considerably across the income classification (Chart 6).</w:t>
      </w:r>
    </w:p>
    <w:p w14:paraId="0B9F8C99" w14:textId="0B71194D" w:rsidR="00DC2076" w:rsidRPr="00BB1E39" w:rsidRDefault="00DC2076" w:rsidP="00DC2076">
      <w:pPr>
        <w:pStyle w:val="Bullet"/>
      </w:pPr>
      <w:r w:rsidRPr="00BB1E39">
        <w:t>High-income countries</w:t>
      </w:r>
      <w:r>
        <w:t xml:space="preserve"> are</w:t>
      </w:r>
      <w:r w:rsidRPr="00BB1E39">
        <w:t xml:space="preserve"> the oldest population</w:t>
      </w:r>
      <w:r>
        <w:t>s</w:t>
      </w:r>
      <w:r w:rsidRPr="00BB1E39">
        <w:t xml:space="preserve"> in both 1950 and 2025, but the median age </w:t>
      </w:r>
      <w:r>
        <w:t>will increase</w:t>
      </w:r>
      <w:r w:rsidRPr="00BB1E39">
        <w:t xml:space="preserve"> by less than </w:t>
      </w:r>
      <w:r w:rsidR="00233804">
        <w:t>5</w:t>
      </w:r>
      <w:r w:rsidRPr="00BB1E39">
        <w:t xml:space="preserve"> years </w:t>
      </w:r>
      <w:r>
        <w:t>to</w:t>
      </w:r>
      <w:r w:rsidRPr="00BB1E39">
        <w:t xml:space="preserve"> 2100. </w:t>
      </w:r>
    </w:p>
    <w:p w14:paraId="02E173B2" w14:textId="77777777" w:rsidR="00DC2076" w:rsidRPr="00BB1E39" w:rsidRDefault="00DC2076" w:rsidP="00DC2076">
      <w:pPr>
        <w:pStyle w:val="Bullet"/>
      </w:pPr>
      <w:r w:rsidRPr="00BB1E39">
        <w:t xml:space="preserve">In contrast, the median age of the other income groups </w:t>
      </w:r>
      <w:r>
        <w:t>is projected to increase</w:t>
      </w:r>
      <w:r w:rsidRPr="00BB1E39">
        <w:t xml:space="preserve"> by over 15 years, with the upper-middle-income group </w:t>
      </w:r>
      <w:r>
        <w:t>projected to have</w:t>
      </w:r>
      <w:r w:rsidRPr="00BB1E39">
        <w:t xml:space="preserve"> the highest median age</w:t>
      </w:r>
      <w:r>
        <w:t xml:space="preserve"> of any income group</w:t>
      </w:r>
      <w:r w:rsidRPr="00BB1E39">
        <w:t xml:space="preserve"> by 2100.</w:t>
      </w:r>
    </w:p>
    <w:p w14:paraId="1E202A4A" w14:textId="77777777" w:rsidR="00DC2076" w:rsidRDefault="00DC2076" w:rsidP="00DC2076">
      <w:pPr>
        <w:pStyle w:val="Bullet"/>
      </w:pPr>
      <w:r w:rsidRPr="00BB1E39">
        <w:t>The slow</w:t>
      </w:r>
      <w:r>
        <w:t>er</w:t>
      </w:r>
      <w:r w:rsidRPr="00BB1E39">
        <w:t xml:space="preserve"> ageing in high-income countries is due to migration of young adults and gradual increases in fertility projected by the UN. </w:t>
      </w:r>
    </w:p>
    <w:tbl>
      <w:tblPr>
        <w:tblStyle w:val="TableGrid"/>
        <w:tblW w:w="14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7"/>
        <w:gridCol w:w="170"/>
        <w:gridCol w:w="7087"/>
      </w:tblGrid>
      <w:tr w:rsidR="00DC2076" w14:paraId="48A70658" w14:textId="77777777" w:rsidTr="000630FD">
        <w:tc>
          <w:tcPr>
            <w:tcW w:w="7087" w:type="dxa"/>
          </w:tcPr>
          <w:p w14:paraId="2B9DDAD8" w14:textId="18FB833E" w:rsidR="00DC2076" w:rsidRDefault="00DC2076" w:rsidP="000630FD">
            <w:pPr>
              <w:pStyle w:val="Heading4"/>
              <w:spacing w:line="240" w:lineRule="auto"/>
            </w:pPr>
            <w:bookmarkStart w:id="5" w:name="_Chart_6._"/>
            <w:bookmarkEnd w:id="5"/>
            <w:r>
              <w:t xml:space="preserve">Chart 6.  Age Structure of the high-income population </w:t>
            </w:r>
          </w:p>
          <w:p w14:paraId="61E16237" w14:textId="61ED5162" w:rsidR="00DC2076" w:rsidRDefault="00424939" w:rsidP="000630FD">
            <w:pPr>
              <w:spacing w:before="0"/>
            </w:pPr>
            <w:r>
              <w:rPr>
                <w:noProof/>
              </w:rPr>
              <w:drawing>
                <wp:inline distT="0" distB="0" distL="0" distR="0" wp14:anchorId="68580054" wp14:editId="0668B17B">
                  <wp:extent cx="4318635" cy="1437640"/>
                  <wp:effectExtent l="0" t="0" r="5715" b="0"/>
                  <wp:docPr id="231214620" name="Picture 231214620"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4620" name="Picture 231214620"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1462" cy="1441910"/>
                          </a:xfrm>
                          <a:prstGeom prst="rect">
                            <a:avLst/>
                          </a:prstGeom>
                        </pic:spPr>
                      </pic:pic>
                    </a:graphicData>
                  </a:graphic>
                </wp:inline>
              </w:drawing>
            </w:r>
          </w:p>
        </w:tc>
        <w:tc>
          <w:tcPr>
            <w:tcW w:w="170" w:type="dxa"/>
          </w:tcPr>
          <w:p w14:paraId="1E81B857" w14:textId="77777777" w:rsidR="00DC2076" w:rsidRDefault="00DC2076" w:rsidP="000630FD">
            <w:pPr>
              <w:pStyle w:val="Heading4"/>
              <w:spacing w:line="240" w:lineRule="auto"/>
            </w:pPr>
          </w:p>
        </w:tc>
        <w:tc>
          <w:tcPr>
            <w:tcW w:w="7087" w:type="dxa"/>
          </w:tcPr>
          <w:p w14:paraId="7189ABB5" w14:textId="77777777" w:rsidR="00DC2076" w:rsidRDefault="00DC2076" w:rsidP="000630FD">
            <w:pPr>
              <w:pStyle w:val="Heading4"/>
              <w:spacing w:line="240" w:lineRule="auto"/>
            </w:pPr>
            <w:r>
              <w:t xml:space="preserve">Upper-Middle-income </w:t>
            </w:r>
          </w:p>
          <w:p w14:paraId="498D313E" w14:textId="77777777" w:rsidR="00DC2076" w:rsidRDefault="00DC2076" w:rsidP="000630FD">
            <w:pPr>
              <w:spacing w:before="0"/>
            </w:pPr>
            <w:r>
              <w:rPr>
                <w:noProof/>
              </w:rPr>
              <w:drawing>
                <wp:inline distT="0" distB="0" distL="0" distR="0" wp14:anchorId="57DAA4F0" wp14:editId="04C0DD59">
                  <wp:extent cx="4323194" cy="1437640"/>
                  <wp:effectExtent l="0" t="0" r="1270" b="0"/>
                  <wp:docPr id="2039686180" name="Picture 2039686180"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6180" name="Picture 2039686180"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4307" cy="1441336"/>
                          </a:xfrm>
                          <a:prstGeom prst="rect">
                            <a:avLst/>
                          </a:prstGeom>
                        </pic:spPr>
                      </pic:pic>
                    </a:graphicData>
                  </a:graphic>
                </wp:inline>
              </w:drawing>
            </w:r>
          </w:p>
        </w:tc>
      </w:tr>
      <w:tr w:rsidR="00DC2076" w14:paraId="00C88F40" w14:textId="77777777" w:rsidTr="000630FD">
        <w:tc>
          <w:tcPr>
            <w:tcW w:w="7087" w:type="dxa"/>
          </w:tcPr>
          <w:p w14:paraId="4AAB2A3F" w14:textId="77777777" w:rsidR="00DC2076" w:rsidRDefault="00DC2076" w:rsidP="000630FD">
            <w:pPr>
              <w:pStyle w:val="Heading4"/>
              <w:spacing w:line="240" w:lineRule="auto"/>
            </w:pPr>
            <w:r>
              <w:t>Lower-middle-income</w:t>
            </w:r>
          </w:p>
          <w:p w14:paraId="23808948" w14:textId="77777777" w:rsidR="00DC2076" w:rsidRDefault="00DC2076" w:rsidP="000630FD">
            <w:pPr>
              <w:spacing w:before="0"/>
            </w:pPr>
            <w:r>
              <w:rPr>
                <w:noProof/>
              </w:rPr>
              <w:drawing>
                <wp:inline distT="0" distB="0" distL="0" distR="0" wp14:anchorId="00899156" wp14:editId="40B8988B">
                  <wp:extent cx="4318635" cy="1437492"/>
                  <wp:effectExtent l="0" t="0" r="5715" b="0"/>
                  <wp:docPr id="511710051" name="Picture 511710051"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10051" name="Picture 511710051"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8835" cy="1447544"/>
                          </a:xfrm>
                          <a:prstGeom prst="rect">
                            <a:avLst/>
                          </a:prstGeom>
                        </pic:spPr>
                      </pic:pic>
                    </a:graphicData>
                  </a:graphic>
                </wp:inline>
              </w:drawing>
            </w:r>
          </w:p>
          <w:p w14:paraId="151F5332" w14:textId="77777777" w:rsidR="00DC2076" w:rsidRDefault="00DC2076" w:rsidP="000630FD">
            <w:pPr>
              <w:spacing w:before="0"/>
            </w:pPr>
            <w:r w:rsidRPr="00933D7A">
              <w:rPr>
                <w:sz w:val="16"/>
                <w:szCs w:val="18"/>
              </w:rPr>
              <w:t xml:space="preserve">Note: </w:t>
            </w:r>
            <w:r>
              <w:rPr>
                <w:sz w:val="16"/>
                <w:szCs w:val="18"/>
              </w:rPr>
              <w:t>P</w:t>
            </w:r>
            <w:r w:rsidRPr="00933D7A">
              <w:rPr>
                <w:sz w:val="16"/>
                <w:szCs w:val="18"/>
              </w:rPr>
              <w:t>oint</w:t>
            </w:r>
            <w:r>
              <w:rPr>
                <w:sz w:val="16"/>
                <w:szCs w:val="18"/>
              </w:rPr>
              <w:t xml:space="preserve">s indicate </w:t>
            </w:r>
            <w:r w:rsidRPr="00933D7A">
              <w:rPr>
                <w:sz w:val="16"/>
                <w:szCs w:val="18"/>
              </w:rPr>
              <w:t>median age.</w:t>
            </w:r>
          </w:p>
        </w:tc>
        <w:tc>
          <w:tcPr>
            <w:tcW w:w="170" w:type="dxa"/>
          </w:tcPr>
          <w:p w14:paraId="6DC755F1" w14:textId="77777777" w:rsidR="00DC2076" w:rsidRDefault="00DC2076" w:rsidP="000630FD">
            <w:pPr>
              <w:pStyle w:val="Heading4"/>
              <w:spacing w:line="240" w:lineRule="auto"/>
            </w:pPr>
          </w:p>
        </w:tc>
        <w:tc>
          <w:tcPr>
            <w:tcW w:w="7087" w:type="dxa"/>
          </w:tcPr>
          <w:p w14:paraId="1338E1E9" w14:textId="77777777" w:rsidR="00DC2076" w:rsidRDefault="00DC2076" w:rsidP="000630FD">
            <w:pPr>
              <w:pStyle w:val="Heading4"/>
              <w:spacing w:line="240" w:lineRule="auto"/>
            </w:pPr>
            <w:r>
              <w:t>Low-income</w:t>
            </w:r>
          </w:p>
          <w:p w14:paraId="083F55BB" w14:textId="77777777" w:rsidR="00DC2076" w:rsidRDefault="00DC2076" w:rsidP="000630FD">
            <w:pPr>
              <w:spacing w:before="0"/>
            </w:pPr>
            <w:r>
              <w:rPr>
                <w:noProof/>
              </w:rPr>
              <w:drawing>
                <wp:inline distT="0" distB="0" distL="0" distR="0" wp14:anchorId="69BF476A" wp14:editId="46658BFF">
                  <wp:extent cx="4331443" cy="1437511"/>
                  <wp:effectExtent l="0" t="0" r="0" b="0"/>
                  <wp:docPr id="859275900" name="Picture 859275900"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5900" name="Picture 859275900" descr="These are pyramid line plots showing the proportion of the world population by age between males and females for 1950, 2025, and 2100. Each graph includes a median age dot for both genders in each period. The proportion of the world population by age and gender are then split into four different income groups. The median age and shape of the pyramids in all income groups highlight the trend of an ageing population.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9964" cy="1446976"/>
                          </a:xfrm>
                          <a:prstGeom prst="rect">
                            <a:avLst/>
                          </a:prstGeom>
                        </pic:spPr>
                      </pic:pic>
                    </a:graphicData>
                  </a:graphic>
                </wp:inline>
              </w:drawing>
            </w:r>
          </w:p>
        </w:tc>
      </w:tr>
    </w:tbl>
    <w:p w14:paraId="4C445194" w14:textId="6DE4C918" w:rsidR="00F409FB" w:rsidRPr="00F409FB" w:rsidRDefault="00C44599" w:rsidP="00F409FB">
      <w:pPr>
        <w:pBdr>
          <w:top w:val="single" w:sz="6" w:space="1" w:color="002C47" w:themeColor="accent1"/>
        </w:pBdr>
        <w:tabs>
          <w:tab w:val="left" w:pos="1134"/>
        </w:tabs>
        <w:spacing w:before="240" w:after="0" w:line="276" w:lineRule="auto"/>
        <w:jc w:val="both"/>
        <w:outlineLvl w:val="6"/>
        <w:rPr>
          <w:rFonts w:asciiTheme="majorHAnsi" w:eastAsiaTheme="minorEastAsia" w:hAnsiTheme="majorHAnsi" w:cstheme="majorHAnsi"/>
          <w:b/>
          <w:smallCaps/>
          <w:color w:val="002C47" w:themeColor="accent1"/>
          <w:spacing w:val="15"/>
          <w:sz w:val="26"/>
          <w:szCs w:val="26"/>
          <w:lang w:eastAsia="en-AU"/>
        </w:rPr>
      </w:pPr>
      <w:r>
        <w:rPr>
          <w:rFonts w:asciiTheme="majorHAnsi" w:eastAsiaTheme="minorEastAsia" w:hAnsiTheme="majorHAnsi" w:cstheme="majorHAnsi"/>
          <w:b/>
          <w:smallCaps/>
          <w:color w:val="002C47" w:themeColor="accent1"/>
          <w:spacing w:val="15"/>
          <w:sz w:val="26"/>
          <w:szCs w:val="26"/>
          <w:lang w:eastAsia="en-AU"/>
        </w:rPr>
        <w:t>Almost all net m</w:t>
      </w:r>
      <w:r w:rsidR="00F409FB" w:rsidRPr="00F409FB">
        <w:rPr>
          <w:rFonts w:asciiTheme="majorHAnsi" w:eastAsiaTheme="minorEastAsia" w:hAnsiTheme="majorHAnsi" w:cstheme="majorHAnsi"/>
          <w:b/>
          <w:smallCaps/>
          <w:color w:val="002C47" w:themeColor="accent1"/>
          <w:spacing w:val="15"/>
          <w:sz w:val="26"/>
          <w:szCs w:val="26"/>
          <w:lang w:eastAsia="en-AU"/>
        </w:rPr>
        <w:t xml:space="preserve">igration </w:t>
      </w:r>
      <w:r>
        <w:rPr>
          <w:rFonts w:asciiTheme="majorHAnsi" w:eastAsiaTheme="minorEastAsia" w:hAnsiTheme="majorHAnsi" w:cstheme="majorHAnsi"/>
          <w:b/>
          <w:smallCaps/>
          <w:color w:val="002C47" w:themeColor="accent1"/>
          <w:spacing w:val="15"/>
          <w:sz w:val="26"/>
          <w:szCs w:val="26"/>
          <w:lang w:eastAsia="en-AU"/>
        </w:rPr>
        <w:t xml:space="preserve">is </w:t>
      </w:r>
      <w:r w:rsidR="00F409FB" w:rsidRPr="00F409FB">
        <w:rPr>
          <w:rFonts w:asciiTheme="majorHAnsi" w:eastAsiaTheme="minorEastAsia" w:hAnsiTheme="majorHAnsi" w:cstheme="majorHAnsi"/>
          <w:b/>
          <w:smallCaps/>
          <w:color w:val="002C47" w:themeColor="accent1"/>
          <w:spacing w:val="15"/>
          <w:sz w:val="26"/>
          <w:szCs w:val="26"/>
          <w:lang w:eastAsia="en-AU"/>
        </w:rPr>
        <w:t>to high-income countries</w:t>
      </w:r>
    </w:p>
    <w:tbl>
      <w:tblPr>
        <w:tblStyle w:val="TableGrid"/>
        <w:tblW w:w="14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gridCol w:w="113"/>
        <w:gridCol w:w="7087"/>
      </w:tblGrid>
      <w:tr w:rsidR="009E0C25" w:rsidRPr="00DC365D" w14:paraId="4447E479" w14:textId="77777777" w:rsidTr="00F16E8F">
        <w:trPr>
          <w:trHeight w:val="5548"/>
        </w:trPr>
        <w:tc>
          <w:tcPr>
            <w:tcW w:w="6803" w:type="dxa"/>
          </w:tcPr>
          <w:p w14:paraId="6FC3B753" w14:textId="0BB42765" w:rsidR="00DB6129" w:rsidRPr="00DB6129" w:rsidRDefault="00DB6129" w:rsidP="001B3207">
            <w:pPr>
              <w:pStyle w:val="Bullet"/>
            </w:pPr>
            <w:r w:rsidRPr="00DB6129">
              <w:t>Since 1950, migration to high-income countries</w:t>
            </w:r>
            <w:r w:rsidR="001B48BC">
              <w:t xml:space="preserve"> has increased</w:t>
            </w:r>
            <w:r w:rsidRPr="00DB6129">
              <w:t>, with a rise after 2000. Th</w:t>
            </w:r>
            <w:r w:rsidR="00BB3027">
              <w:t>is</w:t>
            </w:r>
            <w:r w:rsidR="0025200E">
              <w:t xml:space="preserve"> increase</w:t>
            </w:r>
            <w:r w:rsidRPr="00DB6129">
              <w:t xml:space="preserve"> in mobility is due to </w:t>
            </w:r>
            <w:r w:rsidR="00CE194D">
              <w:t>an increasing number of</w:t>
            </w:r>
            <w:r w:rsidR="00CE194D" w:rsidRPr="00DB6129">
              <w:t xml:space="preserve"> </w:t>
            </w:r>
            <w:r w:rsidRPr="00DB6129">
              <w:t>educat</w:t>
            </w:r>
            <w:r w:rsidR="00AA4A9C">
              <w:t xml:space="preserve">ed </w:t>
            </w:r>
            <w:r w:rsidR="00F32AA5">
              <w:t>people</w:t>
            </w:r>
            <w:r w:rsidR="00F32AA5" w:rsidRPr="00DB6129">
              <w:t xml:space="preserve"> </w:t>
            </w:r>
            <w:r w:rsidRPr="00DB6129">
              <w:t>in lower-middle-income countries seek</w:t>
            </w:r>
            <w:r w:rsidR="009F6B3F">
              <w:t>ing</w:t>
            </w:r>
            <w:r w:rsidRPr="00DB6129">
              <w:t xml:space="preserve"> economic opportunities </w:t>
            </w:r>
            <w:r w:rsidR="00906F08">
              <w:t>abroad</w:t>
            </w:r>
            <w:r w:rsidR="00622783">
              <w:t xml:space="preserve"> (Chart </w:t>
            </w:r>
            <w:r w:rsidR="00A150A4">
              <w:t>7</w:t>
            </w:r>
            <w:r w:rsidR="00622783">
              <w:t>)</w:t>
            </w:r>
            <w:r w:rsidR="00906F08">
              <w:t>.</w:t>
            </w:r>
            <w:r w:rsidRPr="00DB6129">
              <w:t xml:space="preserve"> </w:t>
            </w:r>
          </w:p>
          <w:p w14:paraId="152DC7B7" w14:textId="3656CC10" w:rsidR="00EB0925" w:rsidRDefault="005C02F6" w:rsidP="001B3207">
            <w:pPr>
              <w:pStyle w:val="Bullet"/>
            </w:pPr>
            <w:r>
              <w:t>T</w:t>
            </w:r>
            <w:r w:rsidR="00C332F7" w:rsidRPr="00C332F7">
              <w:t xml:space="preserve">he main </w:t>
            </w:r>
            <w:r w:rsidR="00C57955">
              <w:t>global</w:t>
            </w:r>
            <w:r w:rsidR="00C332F7" w:rsidRPr="00C332F7">
              <w:t xml:space="preserve"> flow </w:t>
            </w:r>
            <w:r w:rsidR="006040BE">
              <w:t>across the income groups</w:t>
            </w:r>
            <w:r w:rsidR="00C332F7" w:rsidRPr="00C332F7">
              <w:t xml:space="preserve"> is </w:t>
            </w:r>
            <w:r w:rsidR="00165444">
              <w:t xml:space="preserve">from </w:t>
            </w:r>
            <w:r w:rsidR="00C332F7">
              <w:t>lower-middle</w:t>
            </w:r>
            <w:r w:rsidR="00E45491">
              <w:t xml:space="preserve">-income </w:t>
            </w:r>
            <w:r w:rsidR="00165444">
              <w:t xml:space="preserve">countries </w:t>
            </w:r>
            <w:r w:rsidR="00E45491">
              <w:t>into high-income countries.</w:t>
            </w:r>
            <w:r w:rsidR="001736C3">
              <w:t xml:space="preserve"> </w:t>
            </w:r>
          </w:p>
          <w:p w14:paraId="3151B935" w14:textId="06BD5AA4" w:rsidR="0046288C" w:rsidRPr="00C332F7" w:rsidRDefault="001736C3" w:rsidP="001B3207">
            <w:pPr>
              <w:pStyle w:val="Dash"/>
            </w:pPr>
            <w:r w:rsidRPr="001736C3">
              <w:t xml:space="preserve">This is predominantly driven by migration out of </w:t>
            </w:r>
            <w:r w:rsidRPr="00CF355A">
              <w:t>India</w:t>
            </w:r>
            <w:r w:rsidR="00FF4F02" w:rsidRPr="00CF355A">
              <w:t>, Pakistan</w:t>
            </w:r>
            <w:r w:rsidR="00F744F4">
              <w:t>,</w:t>
            </w:r>
            <w:r w:rsidR="00A41A48" w:rsidRPr="00CF355A">
              <w:t xml:space="preserve"> and</w:t>
            </w:r>
            <w:r w:rsidR="00FF4F02" w:rsidRPr="00CF355A">
              <w:t xml:space="preserve"> Bangladesh</w:t>
            </w:r>
            <w:r w:rsidRPr="00CF355A">
              <w:t xml:space="preserve">, which accounts for </w:t>
            </w:r>
            <w:r w:rsidR="00492F0A" w:rsidRPr="00CF355A">
              <w:t>65</w:t>
            </w:r>
            <w:r w:rsidRPr="00CF355A">
              <w:t xml:space="preserve"> per cent of all </w:t>
            </w:r>
            <w:r w:rsidRPr="001736C3">
              <w:t>ne</w:t>
            </w:r>
            <w:r w:rsidR="00FF220B">
              <w:t>t</w:t>
            </w:r>
            <w:r w:rsidRPr="001736C3">
              <w:t xml:space="preserve"> migration out of lower-middle-income countries in 2030</w:t>
            </w:r>
            <w:r w:rsidR="00A20512">
              <w:t xml:space="preserve"> (a ye</w:t>
            </w:r>
            <w:r w:rsidR="00FE4F7D">
              <w:t>ar where projections are stable)</w:t>
            </w:r>
            <w:r>
              <w:t>.</w:t>
            </w:r>
          </w:p>
          <w:p w14:paraId="61E196CF" w14:textId="30FB0DA6" w:rsidR="008059F7" w:rsidRPr="00837DEF" w:rsidRDefault="00DD2482" w:rsidP="001B3207">
            <w:pPr>
              <w:pStyle w:val="Bullet"/>
              <w:rPr>
                <w:sz w:val="22"/>
              </w:rPr>
            </w:pPr>
            <w:r>
              <w:rPr>
                <w:lang w:eastAsia="en-AU"/>
              </w:rPr>
              <w:t>The emergence of COVID-19 dramatically impacted global migration</w:t>
            </w:r>
            <w:r w:rsidR="00FF0E53">
              <w:rPr>
                <w:lang w:eastAsia="en-AU"/>
              </w:rPr>
              <w:t>. The n</w:t>
            </w:r>
            <w:r w:rsidR="00F506CC">
              <w:rPr>
                <w:lang w:eastAsia="en-AU"/>
              </w:rPr>
              <w:t>et flow of migra</w:t>
            </w:r>
            <w:r w:rsidR="00FF0E53">
              <w:rPr>
                <w:lang w:eastAsia="en-AU"/>
              </w:rPr>
              <w:t>tion</w:t>
            </w:r>
            <w:r w:rsidR="00F506CC">
              <w:rPr>
                <w:lang w:eastAsia="en-AU"/>
              </w:rPr>
              <w:t xml:space="preserve"> into high income countries </w:t>
            </w:r>
            <w:r w:rsidR="00DE2CF4">
              <w:rPr>
                <w:lang w:eastAsia="en-AU"/>
              </w:rPr>
              <w:t xml:space="preserve">in </w:t>
            </w:r>
            <w:r w:rsidR="00DE2CF4" w:rsidRPr="000F48E4">
              <w:rPr>
                <w:lang w:eastAsia="en-AU"/>
              </w:rPr>
              <w:t>2020</w:t>
            </w:r>
            <w:r w:rsidR="00F506CC" w:rsidRPr="000F48E4">
              <w:rPr>
                <w:lang w:eastAsia="en-AU"/>
              </w:rPr>
              <w:t xml:space="preserve"> </w:t>
            </w:r>
            <w:r w:rsidR="00FF0E53" w:rsidRPr="000F48E4">
              <w:rPr>
                <w:lang w:eastAsia="en-AU"/>
              </w:rPr>
              <w:t>fell</w:t>
            </w:r>
            <w:r w:rsidR="00F506CC" w:rsidRPr="000F48E4">
              <w:rPr>
                <w:lang w:eastAsia="en-AU"/>
              </w:rPr>
              <w:t xml:space="preserve"> to pre-2000</w:t>
            </w:r>
            <w:r w:rsidR="00FF0E53" w:rsidRPr="000F48E4">
              <w:rPr>
                <w:lang w:eastAsia="en-AU"/>
              </w:rPr>
              <w:t xml:space="preserve"> levels</w:t>
            </w:r>
            <w:r w:rsidR="00FF0E53" w:rsidRPr="00975356">
              <w:rPr>
                <w:lang w:eastAsia="en-AU"/>
              </w:rPr>
              <w:t xml:space="preserve">, a </w:t>
            </w:r>
            <w:r w:rsidR="00090F68">
              <w:rPr>
                <w:lang w:eastAsia="en-AU"/>
              </w:rPr>
              <w:t>66.4</w:t>
            </w:r>
            <w:r w:rsidR="00FF0E53" w:rsidRPr="00975356">
              <w:rPr>
                <w:lang w:eastAsia="en-AU"/>
              </w:rPr>
              <w:t> per cent decline</w:t>
            </w:r>
            <w:r w:rsidR="00DE2CF4" w:rsidRPr="00975356">
              <w:rPr>
                <w:lang w:eastAsia="en-AU"/>
              </w:rPr>
              <w:t xml:space="preserve"> </w:t>
            </w:r>
            <w:r w:rsidR="00480712" w:rsidRPr="00975356">
              <w:rPr>
                <w:lang w:eastAsia="en-AU"/>
              </w:rPr>
              <w:t>compared to 20</w:t>
            </w:r>
            <w:r w:rsidR="009C585C">
              <w:rPr>
                <w:lang w:eastAsia="en-AU"/>
              </w:rPr>
              <w:t>19</w:t>
            </w:r>
            <w:r w:rsidR="00610D69" w:rsidRPr="00975356">
              <w:rPr>
                <w:lang w:eastAsia="en-AU"/>
              </w:rPr>
              <w:t>.</w:t>
            </w:r>
          </w:p>
          <w:p w14:paraId="27C1EC7E" w14:textId="7CE78F32" w:rsidR="00837DEF" w:rsidRPr="002C68E3" w:rsidRDefault="00BC4857" w:rsidP="001B3207">
            <w:pPr>
              <w:pStyle w:val="Bullet"/>
              <w:rPr>
                <w:sz w:val="22"/>
              </w:rPr>
            </w:pPr>
            <w:r>
              <w:rPr>
                <w:lang w:eastAsia="en-AU"/>
              </w:rPr>
              <w:t>G</w:t>
            </w:r>
            <w:r w:rsidR="00837DEF">
              <w:rPr>
                <w:lang w:eastAsia="en-AU"/>
              </w:rPr>
              <w:t xml:space="preserve">lobal </w:t>
            </w:r>
            <w:r w:rsidR="00922576">
              <w:rPr>
                <w:lang w:eastAsia="en-AU"/>
              </w:rPr>
              <w:t xml:space="preserve">net </w:t>
            </w:r>
            <w:r w:rsidR="00837DEF">
              <w:rPr>
                <w:lang w:eastAsia="en-AU"/>
              </w:rPr>
              <w:t xml:space="preserve">migration </w:t>
            </w:r>
            <w:r w:rsidR="00E57511" w:rsidRPr="000F48E4">
              <w:rPr>
                <w:lang w:eastAsia="en-AU"/>
              </w:rPr>
              <w:t xml:space="preserve">to high income countries </w:t>
            </w:r>
            <w:r w:rsidR="00A86559" w:rsidRPr="000F48E4">
              <w:rPr>
                <w:lang w:eastAsia="en-AU"/>
              </w:rPr>
              <w:t xml:space="preserve">then </w:t>
            </w:r>
            <w:r w:rsidR="007E7833" w:rsidRPr="000F48E4">
              <w:rPr>
                <w:lang w:eastAsia="en-AU"/>
              </w:rPr>
              <w:t>spiked</w:t>
            </w:r>
            <w:r w:rsidR="00E57511" w:rsidRPr="000F48E4">
              <w:rPr>
                <w:lang w:eastAsia="en-AU"/>
              </w:rPr>
              <w:t xml:space="preserve"> </w:t>
            </w:r>
            <w:r w:rsidR="00922576">
              <w:rPr>
                <w:lang w:eastAsia="en-AU"/>
              </w:rPr>
              <w:t>at 9.5 million in</w:t>
            </w:r>
            <w:r w:rsidR="006C6F90" w:rsidRPr="000F48E4">
              <w:rPr>
                <w:lang w:eastAsia="en-AU"/>
              </w:rPr>
              <w:t xml:space="preserve"> 2022</w:t>
            </w:r>
            <w:r w:rsidR="00922576">
              <w:rPr>
                <w:lang w:eastAsia="en-AU"/>
              </w:rPr>
              <w:t>,</w:t>
            </w:r>
            <w:r w:rsidR="00695196">
              <w:rPr>
                <w:lang w:eastAsia="en-AU"/>
              </w:rPr>
              <w:t xml:space="preserve"> </w:t>
            </w:r>
            <w:r w:rsidR="000570AE">
              <w:rPr>
                <w:lang w:eastAsia="en-AU"/>
              </w:rPr>
              <w:t xml:space="preserve">driven by </w:t>
            </w:r>
            <w:r w:rsidR="00956A8F">
              <w:rPr>
                <w:lang w:eastAsia="en-AU"/>
              </w:rPr>
              <w:t xml:space="preserve">a flow </w:t>
            </w:r>
            <w:r w:rsidR="00956A8F" w:rsidRPr="00266C2B">
              <w:rPr>
                <w:lang w:eastAsia="en-AU"/>
              </w:rPr>
              <w:t xml:space="preserve">of almost </w:t>
            </w:r>
            <w:r w:rsidR="00922576">
              <w:rPr>
                <w:lang w:eastAsia="en-AU"/>
              </w:rPr>
              <w:t>5.7</w:t>
            </w:r>
            <w:r w:rsidR="00956A8F" w:rsidRPr="00266C2B">
              <w:rPr>
                <w:lang w:eastAsia="en-AU"/>
              </w:rPr>
              <w:t xml:space="preserve"> million people out of Ukraine</w:t>
            </w:r>
            <w:r w:rsidR="00BF3DEB" w:rsidRPr="00266C2B">
              <w:rPr>
                <w:lang w:eastAsia="en-AU"/>
              </w:rPr>
              <w:t xml:space="preserve">, but </w:t>
            </w:r>
            <w:r w:rsidR="00BF3DEB" w:rsidRPr="00C5122C">
              <w:rPr>
                <w:lang w:eastAsia="en-AU"/>
              </w:rPr>
              <w:t xml:space="preserve">also </w:t>
            </w:r>
            <w:r w:rsidR="003D6D0D" w:rsidRPr="00C5122C">
              <w:rPr>
                <w:lang w:eastAsia="en-AU"/>
              </w:rPr>
              <w:t>reflect</w:t>
            </w:r>
            <w:r w:rsidR="00BF3DEB" w:rsidRPr="00C5122C">
              <w:rPr>
                <w:lang w:eastAsia="en-AU"/>
              </w:rPr>
              <w:t>s the</w:t>
            </w:r>
            <w:r w:rsidR="00B11948" w:rsidRPr="00C5122C">
              <w:rPr>
                <w:lang w:eastAsia="en-AU"/>
              </w:rPr>
              <w:t xml:space="preserve"> relaxing </w:t>
            </w:r>
            <w:r w:rsidR="00DC1739" w:rsidRPr="00C5122C">
              <w:rPr>
                <w:lang w:eastAsia="en-AU"/>
              </w:rPr>
              <w:t>of pandemic</w:t>
            </w:r>
            <w:r w:rsidR="0099265F" w:rsidRPr="00C5122C">
              <w:rPr>
                <w:lang w:eastAsia="en-AU"/>
              </w:rPr>
              <w:t>-</w:t>
            </w:r>
            <w:r w:rsidR="00DC1739" w:rsidRPr="00C5122C">
              <w:rPr>
                <w:lang w:eastAsia="en-AU"/>
              </w:rPr>
              <w:t>era travel restrictions</w:t>
            </w:r>
            <w:r w:rsidR="00DE0799">
              <w:rPr>
                <w:lang w:eastAsia="en-AU"/>
              </w:rPr>
              <w:t>.</w:t>
            </w:r>
          </w:p>
          <w:p w14:paraId="1ED08196" w14:textId="6E6B6447" w:rsidR="002C68E3" w:rsidRPr="00DC365D" w:rsidRDefault="003A1388" w:rsidP="001B3207">
            <w:pPr>
              <w:pStyle w:val="Bullet"/>
              <w:rPr>
                <w:sz w:val="22"/>
              </w:rPr>
            </w:pPr>
            <w:r>
              <w:rPr>
                <w:lang w:eastAsia="en-AU"/>
              </w:rPr>
              <w:t xml:space="preserve">The UN assume flat net migration in the future reflecting the difficulty in forecasting migration trends, </w:t>
            </w:r>
            <w:r w:rsidR="00C10FF6">
              <w:rPr>
                <w:lang w:eastAsia="en-AU"/>
              </w:rPr>
              <w:t xml:space="preserve">though </w:t>
            </w:r>
            <w:r w:rsidR="004A56ED">
              <w:rPr>
                <w:lang w:eastAsia="en-AU"/>
              </w:rPr>
              <w:t xml:space="preserve">recent </w:t>
            </w:r>
            <w:r w:rsidR="00E94808">
              <w:rPr>
                <w:lang w:eastAsia="en-AU"/>
              </w:rPr>
              <w:t xml:space="preserve">migration levels to </w:t>
            </w:r>
            <w:r w:rsidR="00E94808">
              <w:t xml:space="preserve">high-income countries </w:t>
            </w:r>
            <w:r w:rsidR="00325B6E">
              <w:t xml:space="preserve">is not </w:t>
            </w:r>
            <w:r w:rsidR="00AD54EF">
              <w:t>projected to continue</w:t>
            </w:r>
            <w:r w:rsidR="00E94808">
              <w:t>.</w:t>
            </w:r>
          </w:p>
        </w:tc>
        <w:tc>
          <w:tcPr>
            <w:tcW w:w="113" w:type="dxa"/>
          </w:tcPr>
          <w:p w14:paraId="400813F6" w14:textId="77777777" w:rsidR="009E0C25" w:rsidRPr="00DC365D" w:rsidRDefault="009E0C25">
            <w:pPr>
              <w:rPr>
                <w:rFonts w:ascii="Calibri" w:eastAsia="Calibri" w:hAnsi="Calibri" w:cs="Times New Roman"/>
                <w:sz w:val="22"/>
              </w:rPr>
            </w:pPr>
          </w:p>
        </w:tc>
        <w:tc>
          <w:tcPr>
            <w:tcW w:w="7087" w:type="dxa"/>
          </w:tcPr>
          <w:p w14:paraId="718D7599" w14:textId="5B24AD7E" w:rsidR="001369C5" w:rsidRDefault="001369C5" w:rsidP="003B2354">
            <w:pPr>
              <w:pStyle w:val="Heading4"/>
              <w:spacing w:line="360" w:lineRule="auto"/>
            </w:pPr>
            <w:bookmarkStart w:id="6" w:name="_Chart_7._"/>
            <w:bookmarkEnd w:id="6"/>
            <w:r>
              <w:t xml:space="preserve">Chart </w:t>
            </w:r>
            <w:r w:rsidR="008B229B">
              <w:t>7</w:t>
            </w:r>
            <w:r>
              <w:t>.  World net migration by income classification 1950 - 2100</w:t>
            </w:r>
          </w:p>
          <w:p w14:paraId="389DAB45" w14:textId="64DA560C" w:rsidR="000B4304" w:rsidRDefault="007601E7" w:rsidP="002C34A4">
            <w:pPr>
              <w:spacing w:before="0"/>
              <w:rPr>
                <w:rFonts w:ascii="Calibri" w:eastAsia="Calibri" w:hAnsi="Calibri" w:cs="Times New Roman"/>
                <w:sz w:val="22"/>
              </w:rPr>
            </w:pPr>
            <w:r>
              <w:rPr>
                <w:rFonts w:ascii="Calibri" w:eastAsia="Calibri" w:hAnsi="Calibri" w:cs="Times New Roman"/>
                <w:noProof/>
                <w:sz w:val="22"/>
              </w:rPr>
              <w:drawing>
                <wp:inline distT="0" distB="0" distL="0" distR="0" wp14:anchorId="2723FCDA" wp14:editId="19C12E12">
                  <wp:extent cx="4319025" cy="3236983"/>
                  <wp:effectExtent l="0" t="0" r="5715" b="0"/>
                  <wp:docPr id="1595697380" name="Picture 1595697380" descr="This is a line chart showing net migration flows by income group between 1950 and 2100. The UN projects people from low and lower middle-income countries to migrate to upper middle and high-income countries over the next cent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7380" name="Picture 1595697380" descr="This is a line chart showing net migration flows by income group between 1950 and 2100. The UN projects people from low and lower middle-income countries to migrate to upper middle and high-income countries over the next century.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9025" cy="3236983"/>
                          </a:xfrm>
                          <a:prstGeom prst="rect">
                            <a:avLst/>
                          </a:prstGeom>
                        </pic:spPr>
                      </pic:pic>
                    </a:graphicData>
                  </a:graphic>
                </wp:inline>
              </w:drawing>
            </w:r>
          </w:p>
          <w:p w14:paraId="10F28E40" w14:textId="3492ECEA" w:rsidR="000B4304" w:rsidRPr="00DC365D" w:rsidRDefault="004B6B80" w:rsidP="004B6B80">
            <w:pPr>
              <w:pStyle w:val="ImageCaptions"/>
            </w:pPr>
            <w:r>
              <w:t xml:space="preserve">Note: </w:t>
            </w:r>
            <w:r w:rsidR="004478A0">
              <w:t>Bold t</w:t>
            </w:r>
            <w:r>
              <w:t>hree</w:t>
            </w:r>
            <w:r w:rsidR="009454C1">
              <w:t>-</w:t>
            </w:r>
            <w:r>
              <w:t xml:space="preserve">year average </w:t>
            </w:r>
            <w:r w:rsidR="0042065C">
              <w:t xml:space="preserve">overlayed on </w:t>
            </w:r>
            <w:r w:rsidR="008C730E">
              <w:t xml:space="preserve">single </w:t>
            </w:r>
            <w:r w:rsidR="002151F5">
              <w:t xml:space="preserve">year </w:t>
            </w:r>
            <w:r>
              <w:t xml:space="preserve">values. </w:t>
            </w:r>
          </w:p>
        </w:tc>
      </w:tr>
    </w:tbl>
    <w:p w14:paraId="3B320A28" w14:textId="4319A6F3" w:rsidR="00AE4BE0" w:rsidRDefault="00AE4BE0" w:rsidP="00AE4BE0">
      <w:bookmarkStart w:id="7" w:name="_UN_projections_vary"/>
      <w:bookmarkEnd w:id="7"/>
    </w:p>
    <w:p w14:paraId="4A2699FC" w14:textId="77777777" w:rsidR="00AE4BE0" w:rsidRDefault="00AE4BE0">
      <w:pPr>
        <w:spacing w:before="0"/>
        <w:rPr>
          <w:rFonts w:asciiTheme="majorHAnsi" w:eastAsia="Times New Roman" w:hAnsiTheme="majorHAnsi" w:cstheme="majorHAnsi"/>
          <w:b/>
          <w:smallCaps/>
          <w:color w:val="002C47" w:themeColor="accent1"/>
          <w:spacing w:val="15"/>
          <w:sz w:val="26"/>
          <w:szCs w:val="26"/>
          <w:lang w:eastAsia="en-AU"/>
        </w:rPr>
      </w:pPr>
      <w:r>
        <w:br w:type="page"/>
      </w:r>
    </w:p>
    <w:p w14:paraId="6DADCB29" w14:textId="005AEC90" w:rsidR="009E0C25" w:rsidRDefault="00EF6BAB" w:rsidP="000C163C">
      <w:pPr>
        <w:pStyle w:val="Heading7"/>
      </w:pPr>
      <w:r>
        <w:t xml:space="preserve">UN projections </w:t>
      </w:r>
      <w:r w:rsidR="009C30A9">
        <w:t xml:space="preserve">vary significantly from </w:t>
      </w:r>
      <w:r w:rsidR="000C163C">
        <w:t xml:space="preserve">the </w:t>
      </w:r>
      <w:r w:rsidR="009C30A9">
        <w:t>Centre</w:t>
      </w:r>
      <w:r w:rsidR="000C163C">
        <w:t xml:space="preserve"> for Population</w:t>
      </w:r>
      <w:r w:rsidR="00D27DFF">
        <w:t>’s</w:t>
      </w:r>
    </w:p>
    <w:tbl>
      <w:tblPr>
        <w:tblStyle w:val="TableGrid"/>
        <w:tblW w:w="14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gridCol w:w="113"/>
        <w:gridCol w:w="7087"/>
      </w:tblGrid>
      <w:tr w:rsidR="009E0C25" w:rsidRPr="00DC365D" w14:paraId="3C55B0FE" w14:textId="77777777" w:rsidTr="00D55450">
        <w:tc>
          <w:tcPr>
            <w:tcW w:w="6803" w:type="dxa"/>
          </w:tcPr>
          <w:p w14:paraId="779FB8DD" w14:textId="6569367B" w:rsidR="001C1C79" w:rsidRDefault="0042065C" w:rsidP="001B3207">
            <w:pPr>
              <w:pStyle w:val="Bullet"/>
            </w:pPr>
            <w:r>
              <w:t>T</w:t>
            </w:r>
            <w:r w:rsidR="00C86EF7">
              <w:t>he</w:t>
            </w:r>
            <w:r w:rsidR="00AD54EF">
              <w:t xml:space="preserve"> Centre for Population </w:t>
            </w:r>
            <w:r w:rsidR="003E7FC2">
              <w:t xml:space="preserve">(CPOP) </w:t>
            </w:r>
            <w:r w:rsidR="00AD54EF">
              <w:t xml:space="preserve">is forecasting </w:t>
            </w:r>
            <w:r w:rsidR="00C86EF7">
              <w:t>significant</w:t>
            </w:r>
            <w:r w:rsidR="00AD54EF">
              <w:t xml:space="preserve">ly </w:t>
            </w:r>
            <w:r w:rsidR="00E32413">
              <w:t>higher</w:t>
            </w:r>
            <w:r w:rsidR="00AD54EF">
              <w:t xml:space="preserve"> growth i</w:t>
            </w:r>
            <w:r w:rsidR="008763EC">
              <w:t>n the Australian population</w:t>
            </w:r>
            <w:r w:rsidR="007D7114">
              <w:t xml:space="preserve"> (</w:t>
            </w:r>
            <w:r>
              <w:t xml:space="preserve">Chart </w:t>
            </w:r>
            <w:r w:rsidR="00882698">
              <w:t>8</w:t>
            </w:r>
            <w:r>
              <w:t>)</w:t>
            </w:r>
            <w:r w:rsidR="008763EC">
              <w:t xml:space="preserve">. </w:t>
            </w:r>
            <w:r w:rsidR="002D4A7C">
              <w:t>The Centre</w:t>
            </w:r>
            <w:r w:rsidR="003E7049">
              <w:t xml:space="preserve"> for Population</w:t>
            </w:r>
            <w:r w:rsidR="002D4A7C">
              <w:t xml:space="preserve"> </w:t>
            </w:r>
            <w:r w:rsidR="00457631">
              <w:t xml:space="preserve">forecasts </w:t>
            </w:r>
            <w:r w:rsidR="00F309C5">
              <w:t xml:space="preserve">a </w:t>
            </w:r>
            <w:r w:rsidR="00F309C5" w:rsidRPr="000E3FE3">
              <w:t xml:space="preserve">population of </w:t>
            </w:r>
            <w:r w:rsidR="00787B40" w:rsidRPr="000E3FE3">
              <w:t>40.7 million</w:t>
            </w:r>
            <w:r w:rsidR="00F309C5" w:rsidRPr="000E3FE3">
              <w:t xml:space="preserve"> people</w:t>
            </w:r>
            <w:r w:rsidR="000E3FE3" w:rsidRPr="000E3FE3">
              <w:t xml:space="preserve"> by 2063</w:t>
            </w:r>
            <w:r w:rsidR="00F309C5" w:rsidRPr="000E3FE3">
              <w:t>,</w:t>
            </w:r>
            <w:r w:rsidR="00851F78">
              <w:t xml:space="preserve"> in comparison to </w:t>
            </w:r>
            <w:r w:rsidR="00C05948">
              <w:t>35.2</w:t>
            </w:r>
            <w:r w:rsidR="00D83177">
              <w:t xml:space="preserve"> million in the UN series</w:t>
            </w:r>
            <w:r w:rsidR="0031712A" w:rsidRPr="000E3FE3">
              <w:t>.</w:t>
            </w:r>
          </w:p>
          <w:p w14:paraId="476CBBD2" w14:textId="4901719F" w:rsidR="00525560" w:rsidRDefault="00525560" w:rsidP="001B3207">
            <w:pPr>
              <w:pStyle w:val="Bullet"/>
            </w:pPr>
            <w:r>
              <w:t xml:space="preserve">The </w:t>
            </w:r>
            <w:r w:rsidRPr="00525560">
              <w:t xml:space="preserve">Centre for Population and </w:t>
            </w:r>
            <w:r w:rsidR="00B7495D">
              <w:t xml:space="preserve">the </w:t>
            </w:r>
            <w:r w:rsidRPr="00525560">
              <w:t>UN fertility and mortality assumptions are nearly identical.</w:t>
            </w:r>
          </w:p>
          <w:p w14:paraId="633739D3" w14:textId="3A937DC3" w:rsidR="004A44CB" w:rsidRDefault="00CB5C6D" w:rsidP="001B3207">
            <w:pPr>
              <w:pStyle w:val="Bullet"/>
            </w:pPr>
            <w:r>
              <w:t xml:space="preserve">The large difference between the two series is due </w:t>
            </w:r>
            <w:r w:rsidR="00C91055">
              <w:t xml:space="preserve">to </w:t>
            </w:r>
            <w:r w:rsidR="00FE2AE8">
              <w:t>different</w:t>
            </w:r>
            <w:r w:rsidR="00B14303">
              <w:t xml:space="preserve"> overseas migration</w:t>
            </w:r>
            <w:r w:rsidR="00FE2AE8">
              <w:t xml:space="preserve"> assumptions</w:t>
            </w:r>
            <w:r w:rsidR="005F3BB6">
              <w:t xml:space="preserve">, particularly </w:t>
            </w:r>
            <w:r w:rsidR="00854936">
              <w:t>in the 2020s</w:t>
            </w:r>
            <w:r w:rsidR="00635294">
              <w:t xml:space="preserve">. </w:t>
            </w:r>
          </w:p>
          <w:p w14:paraId="5252B9E8" w14:textId="3F82EA69" w:rsidR="0077328E" w:rsidRDefault="00E04825" w:rsidP="001B3207">
            <w:pPr>
              <w:pStyle w:val="Bullet"/>
            </w:pPr>
            <w:r>
              <w:t xml:space="preserve">The </w:t>
            </w:r>
            <w:r w:rsidR="001954F8">
              <w:t xml:space="preserve">different migration assumptions </w:t>
            </w:r>
            <w:r w:rsidR="00755501">
              <w:t xml:space="preserve">quickly compound, with the Centre for Population projections </w:t>
            </w:r>
            <w:r w:rsidR="00697E9D">
              <w:t>being</w:t>
            </w:r>
            <w:r w:rsidR="00755501">
              <w:t xml:space="preserve"> </w:t>
            </w:r>
            <w:r w:rsidR="00E1023B" w:rsidRPr="00E1023B">
              <w:t>1.3 million</w:t>
            </w:r>
            <w:r w:rsidR="00C236E8" w:rsidRPr="00E1023B">
              <w:t xml:space="preserve"> people </w:t>
            </w:r>
            <w:r w:rsidR="00532107" w:rsidRPr="00E1023B">
              <w:t>higher than the UN</w:t>
            </w:r>
            <w:r w:rsidR="008C0DF9" w:rsidRPr="00E1023B">
              <w:t xml:space="preserve"> projections </w:t>
            </w:r>
            <w:r w:rsidR="00C236E8" w:rsidRPr="00E1023B">
              <w:t>by 2030</w:t>
            </w:r>
            <w:r w:rsidR="00CA4057" w:rsidRPr="00E1023B">
              <w:t xml:space="preserve">, </w:t>
            </w:r>
            <w:r w:rsidR="00CA4057">
              <w:t>less than a decade into the projections.</w:t>
            </w:r>
          </w:p>
          <w:p w14:paraId="5DF8E09E" w14:textId="0F84FED6" w:rsidR="0001411D" w:rsidRDefault="0001411D" w:rsidP="001B3207">
            <w:pPr>
              <w:pStyle w:val="Dash"/>
            </w:pPr>
            <w:r>
              <w:t xml:space="preserve">The </w:t>
            </w:r>
            <w:r w:rsidR="008C4950">
              <w:t>result</w:t>
            </w:r>
            <w:r w:rsidR="00BE5D33">
              <w:t>ing</w:t>
            </w:r>
            <w:r>
              <w:t xml:space="preserve"> </w:t>
            </w:r>
            <w:r w:rsidR="002014AF">
              <w:t>lower</w:t>
            </w:r>
            <w:r w:rsidR="00C62122">
              <w:t xml:space="preserve"> population </w:t>
            </w:r>
            <w:r w:rsidR="008978BC">
              <w:t>size also</w:t>
            </w:r>
            <w:r w:rsidR="0038309C">
              <w:t xml:space="preserve"> </w:t>
            </w:r>
            <w:r w:rsidR="00843427">
              <w:t xml:space="preserve">leads to the UN </w:t>
            </w:r>
            <w:r w:rsidR="00C8577B">
              <w:t xml:space="preserve">forecasting fewer </w:t>
            </w:r>
            <w:r w:rsidR="00AE45B5">
              <w:t xml:space="preserve">total </w:t>
            </w:r>
            <w:r w:rsidR="00C8577B">
              <w:t>births than the Centre</w:t>
            </w:r>
            <w:r w:rsidR="004F2EB6">
              <w:t xml:space="preserve"> for Population</w:t>
            </w:r>
            <w:r w:rsidR="00C8577B">
              <w:t xml:space="preserve">, despite </w:t>
            </w:r>
            <w:r>
              <w:t xml:space="preserve">the total fertility rate assumptions </w:t>
            </w:r>
            <w:r w:rsidR="00C8577B">
              <w:t>being</w:t>
            </w:r>
            <w:r>
              <w:t xml:space="preserve"> similar </w:t>
            </w:r>
            <w:r w:rsidR="00C8577B">
              <w:t>(</w:t>
            </w:r>
            <w:r w:rsidRPr="00200F9A">
              <w:t>roughly 1.62 births per women</w:t>
            </w:r>
            <w:r w:rsidR="00C8577B">
              <w:t>)</w:t>
            </w:r>
            <w:r>
              <w:t xml:space="preserve">.  </w:t>
            </w:r>
          </w:p>
          <w:p w14:paraId="1D6633F0" w14:textId="77777777" w:rsidR="00E37A35" w:rsidRDefault="00430D55" w:rsidP="001B3207">
            <w:pPr>
              <w:pStyle w:val="Bullet"/>
            </w:pPr>
            <w:r>
              <w:t xml:space="preserve">The </w:t>
            </w:r>
            <w:r w:rsidR="0016699C">
              <w:t xml:space="preserve">Centre for Population </w:t>
            </w:r>
            <w:r w:rsidR="00003EBE">
              <w:t xml:space="preserve">forecasts </w:t>
            </w:r>
            <w:r w:rsidR="00854BB7">
              <w:t>are best placed</w:t>
            </w:r>
            <w:r w:rsidR="004E6F15">
              <w:t xml:space="preserve"> </w:t>
            </w:r>
            <w:r w:rsidR="007409C0">
              <w:t xml:space="preserve">to understand the Australian population </w:t>
            </w:r>
            <w:r w:rsidR="00F12A7E">
              <w:t>as</w:t>
            </w:r>
            <w:r w:rsidR="004C2593">
              <w:t xml:space="preserve"> </w:t>
            </w:r>
            <w:r w:rsidR="00A30F8C">
              <w:t>they incorporate the latest available</w:t>
            </w:r>
            <w:r w:rsidR="00FC073B">
              <w:t xml:space="preserve"> data</w:t>
            </w:r>
            <w:r w:rsidR="00854BB7">
              <w:t xml:space="preserve">, </w:t>
            </w:r>
            <w:r w:rsidR="002265F4">
              <w:t xml:space="preserve">account </w:t>
            </w:r>
            <w:r w:rsidR="003608EC">
              <w:t>for recent trends</w:t>
            </w:r>
            <w:r w:rsidR="00854BB7">
              <w:t xml:space="preserve"> and account for </w:t>
            </w:r>
            <w:r w:rsidR="00C63F3A">
              <w:t xml:space="preserve">non-demographic factors such as </w:t>
            </w:r>
            <w:r w:rsidR="00854BB7">
              <w:t>policy</w:t>
            </w:r>
            <w:r w:rsidR="003608EC">
              <w:t>.</w:t>
            </w:r>
          </w:p>
          <w:p w14:paraId="194B691F" w14:textId="5700F123" w:rsidR="00DC6BA2" w:rsidRPr="00DC365D" w:rsidRDefault="00DC6BA2" w:rsidP="00EB0946">
            <w:pPr>
              <w:pStyle w:val="Dash"/>
            </w:pPr>
            <w:r>
              <w:t>T</w:t>
            </w:r>
            <w:r w:rsidR="00E16678">
              <w:t xml:space="preserve">he </w:t>
            </w:r>
            <w:r w:rsidR="00CB20CC">
              <w:t xml:space="preserve">strength of the </w:t>
            </w:r>
            <w:r w:rsidR="00E16678">
              <w:t>UN project</w:t>
            </w:r>
            <w:r w:rsidR="00CB20CC">
              <w:t>ion</w:t>
            </w:r>
            <w:r w:rsidR="00E16678">
              <w:t>s</w:t>
            </w:r>
            <w:r w:rsidR="00CB20CC">
              <w:t xml:space="preserve"> is they </w:t>
            </w:r>
            <w:r w:rsidR="00E16678">
              <w:t xml:space="preserve">provide </w:t>
            </w:r>
            <w:r w:rsidR="0035444D">
              <w:t>a</w:t>
            </w:r>
            <w:r w:rsidR="00CB20CC">
              <w:t xml:space="preserve"> consistent and</w:t>
            </w:r>
            <w:r w:rsidR="0035444D">
              <w:t xml:space="preserve"> coherent global </w:t>
            </w:r>
            <w:r w:rsidR="00424B4A">
              <w:t xml:space="preserve">perspective </w:t>
            </w:r>
            <w:r w:rsidR="00EB0946">
              <w:t>on population growth</w:t>
            </w:r>
            <w:r w:rsidR="00816DB2">
              <w:t xml:space="preserve">, rather than </w:t>
            </w:r>
            <w:r w:rsidR="00AD76B1">
              <w:t>up-to-date national level projections</w:t>
            </w:r>
            <w:r w:rsidR="00EB0946">
              <w:t>.</w:t>
            </w:r>
          </w:p>
        </w:tc>
        <w:tc>
          <w:tcPr>
            <w:tcW w:w="113" w:type="dxa"/>
            <w:vAlign w:val="center"/>
          </w:tcPr>
          <w:p w14:paraId="7D0C84C7" w14:textId="77777777" w:rsidR="009E0C25" w:rsidRPr="00DC365D" w:rsidRDefault="009E0C25" w:rsidP="00D55450">
            <w:pPr>
              <w:jc w:val="center"/>
              <w:rPr>
                <w:rFonts w:ascii="Calibri" w:eastAsia="Calibri" w:hAnsi="Calibri" w:cs="Times New Roman"/>
                <w:sz w:val="22"/>
              </w:rPr>
            </w:pPr>
          </w:p>
        </w:tc>
        <w:tc>
          <w:tcPr>
            <w:tcW w:w="7087" w:type="dxa"/>
          </w:tcPr>
          <w:p w14:paraId="66442DAA" w14:textId="4B3A422D" w:rsidR="00DA79C8" w:rsidRDefault="00374438" w:rsidP="00374438">
            <w:pPr>
              <w:pStyle w:val="Heading4"/>
            </w:pPr>
            <w:r>
              <w:t xml:space="preserve">Chart </w:t>
            </w:r>
            <w:r w:rsidR="008B229B">
              <w:t>8</w:t>
            </w:r>
            <w:r>
              <w:t xml:space="preserve">.  </w:t>
            </w:r>
            <w:r w:rsidR="00224B2A">
              <w:t>Australian p</w:t>
            </w:r>
            <w:r w:rsidR="008A6C2F">
              <w:t xml:space="preserve">opulation growth rate - </w:t>
            </w:r>
            <w:r>
              <w:t xml:space="preserve">Comparison of UN and Centre for </w:t>
            </w:r>
            <w:r w:rsidR="00224B2A">
              <w:t xml:space="preserve">Population </w:t>
            </w:r>
            <w:r w:rsidR="00022070">
              <w:t>p</w:t>
            </w:r>
            <w:r w:rsidR="008D6682">
              <w:t>rojections</w:t>
            </w:r>
            <w:r w:rsidR="00C87A0E">
              <w:t xml:space="preserve"> </w:t>
            </w:r>
            <w:r w:rsidR="00224B2A">
              <w:t>1973 - 2063</w:t>
            </w:r>
          </w:p>
          <w:p w14:paraId="7FB67233" w14:textId="414C733F" w:rsidR="009E0C25" w:rsidRDefault="00C6785B">
            <w:pPr>
              <w:rPr>
                <w:rFonts w:ascii="Calibri" w:eastAsia="Calibri" w:hAnsi="Calibri" w:cs="Times New Roman"/>
                <w:sz w:val="22"/>
              </w:rPr>
            </w:pPr>
            <w:r>
              <w:rPr>
                <w:rFonts w:ascii="Calibri" w:eastAsia="Calibri" w:hAnsi="Calibri" w:cs="Times New Roman"/>
                <w:noProof/>
                <w:sz w:val="22"/>
              </w:rPr>
              <w:drawing>
                <wp:inline distT="0" distB="0" distL="0" distR="0" wp14:anchorId="2CEE1DA4" wp14:editId="310D6FBE">
                  <wp:extent cx="4323097" cy="3240000"/>
                  <wp:effectExtent l="0" t="0" r="1270" b="0"/>
                  <wp:docPr id="888596215" name="Picture 888596215" descr="This is a line chart showing Australian population growth rate estimates, and projections from the Centre for Population and the UN between 1973 and 2063. The Centre for Population projects significantly higher population than the UN over the entire projection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96215" name="Picture 888596215" descr="This is a line chart showing Australian population growth rate estimates, and projections from the Centre for Population and the UN between 1973 and 2063. The Centre for Population projects significantly higher population than the UN over the entire projection perio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3097" cy="3240000"/>
                          </a:xfrm>
                          <a:prstGeom prst="rect">
                            <a:avLst/>
                          </a:prstGeom>
                        </pic:spPr>
                      </pic:pic>
                    </a:graphicData>
                  </a:graphic>
                </wp:inline>
              </w:drawing>
            </w:r>
          </w:p>
          <w:p w14:paraId="644EC12C" w14:textId="5EB1861F" w:rsidR="00A14114" w:rsidRPr="00DC365D" w:rsidRDefault="00A14114">
            <w:pPr>
              <w:rPr>
                <w:rFonts w:ascii="Calibri" w:eastAsia="Calibri" w:hAnsi="Calibri" w:cs="Times New Roman"/>
                <w:sz w:val="22"/>
              </w:rPr>
            </w:pPr>
            <w:r w:rsidRPr="00EE7E6F">
              <w:rPr>
                <w:rFonts w:ascii="Calibri" w:eastAsia="Calibri" w:hAnsi="Calibri" w:cs="Times New Roman"/>
                <w:sz w:val="16"/>
                <w:szCs w:val="16"/>
              </w:rPr>
              <w:t xml:space="preserve">Note: </w:t>
            </w:r>
            <w:r w:rsidR="007132FD" w:rsidRPr="00EE7E6F">
              <w:rPr>
                <w:rFonts w:ascii="Calibri" w:eastAsia="Calibri" w:hAnsi="Calibri" w:cs="Times New Roman"/>
                <w:sz w:val="16"/>
                <w:szCs w:val="16"/>
              </w:rPr>
              <w:t xml:space="preserve">CPOP projections </w:t>
            </w:r>
            <w:r w:rsidR="000C5957" w:rsidRPr="00EE7E6F">
              <w:rPr>
                <w:rFonts w:ascii="Calibri" w:eastAsia="Calibri" w:hAnsi="Calibri" w:cs="Times New Roman"/>
                <w:sz w:val="16"/>
                <w:szCs w:val="16"/>
              </w:rPr>
              <w:t xml:space="preserve">to the medium term are from </w:t>
            </w:r>
            <w:r w:rsidR="00083641" w:rsidRPr="00EE7E6F">
              <w:rPr>
                <w:rFonts w:ascii="Calibri" w:eastAsia="Calibri" w:hAnsi="Calibri" w:cs="Times New Roman"/>
                <w:sz w:val="16"/>
                <w:szCs w:val="16"/>
              </w:rPr>
              <w:t xml:space="preserve">2024-25 Budget, </w:t>
            </w:r>
            <w:r w:rsidR="00FA2E84" w:rsidRPr="00EE7E6F">
              <w:rPr>
                <w:rFonts w:ascii="Calibri" w:eastAsia="Calibri" w:hAnsi="Calibri" w:cs="Times New Roman"/>
                <w:sz w:val="16"/>
                <w:szCs w:val="16"/>
              </w:rPr>
              <w:t>with</w:t>
            </w:r>
            <w:r w:rsidR="00031450" w:rsidRPr="00EE7E6F">
              <w:rPr>
                <w:rFonts w:ascii="Calibri" w:eastAsia="Calibri" w:hAnsi="Calibri" w:cs="Times New Roman"/>
                <w:sz w:val="16"/>
                <w:szCs w:val="16"/>
              </w:rPr>
              <w:t xml:space="preserve"> assumptions beyond the medium term aligned with 2023 IGR.</w:t>
            </w:r>
          </w:p>
        </w:tc>
      </w:tr>
    </w:tbl>
    <w:p w14:paraId="3802C29B" w14:textId="1DE56ADC" w:rsidR="00DC365D" w:rsidRDefault="00DC365D" w:rsidP="00031CF7">
      <w:bookmarkStart w:id="8" w:name="_If_World_Population"/>
      <w:bookmarkEnd w:id="8"/>
    </w:p>
    <w:sectPr w:rsidR="00DC365D" w:rsidSect="00DC365D">
      <w:pgSz w:w="16838" w:h="23811" w:code="8"/>
      <w:pgMar w:top="709"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2055D" w14:textId="77777777" w:rsidR="00B35D3F" w:rsidRDefault="00B35D3F" w:rsidP="0093082E">
      <w:pPr>
        <w:spacing w:before="0" w:after="0" w:line="240" w:lineRule="auto"/>
      </w:pPr>
      <w:r>
        <w:separator/>
      </w:r>
    </w:p>
  </w:endnote>
  <w:endnote w:type="continuationSeparator" w:id="0">
    <w:p w14:paraId="6ACD0443" w14:textId="77777777" w:rsidR="00B35D3F" w:rsidRDefault="00B35D3F" w:rsidP="009308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E2073" w14:textId="77777777" w:rsidR="00B35D3F" w:rsidRDefault="00B35D3F" w:rsidP="0093082E">
      <w:pPr>
        <w:spacing w:before="0" w:after="0" w:line="240" w:lineRule="auto"/>
      </w:pPr>
      <w:r>
        <w:separator/>
      </w:r>
    </w:p>
  </w:footnote>
  <w:footnote w:type="continuationSeparator" w:id="0">
    <w:p w14:paraId="08783495" w14:textId="77777777" w:rsidR="00B35D3F" w:rsidRDefault="00B35D3F" w:rsidP="0093082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82F17"/>
    <w:multiLevelType w:val="hybridMultilevel"/>
    <w:tmpl w:val="E9C0003A"/>
    <w:lvl w:ilvl="0" w:tplc="9A74C3E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ED61196"/>
    <w:multiLevelType w:val="multilevel"/>
    <w:tmpl w:val="A776E78A"/>
    <w:lvl w:ilvl="0">
      <w:start w:val="1"/>
      <w:numFmt w:val="decimal"/>
      <w:pStyle w:val="Heading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D901519"/>
    <w:multiLevelType w:val="hybridMultilevel"/>
    <w:tmpl w:val="4BD0BEB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7A02608D"/>
    <w:multiLevelType w:val="multilevel"/>
    <w:tmpl w:val="8D2C51AE"/>
    <w:name w:val="StandardBulletedList"/>
    <w:lvl w:ilvl="0">
      <w:start w:val="1"/>
      <w:numFmt w:val="bullet"/>
      <w:pStyle w:val="Bullet"/>
      <w:lvlText w:val="•"/>
      <w:lvlJc w:val="left"/>
      <w:pPr>
        <w:tabs>
          <w:tab w:val="num" w:pos="472"/>
        </w:tabs>
        <w:ind w:left="472" w:hanging="472"/>
      </w:pPr>
      <w:rPr>
        <w:rFonts w:ascii="Times New Roman" w:hAnsi="Times New Roman" w:cs="Times New Roman"/>
        <w:color w:val="auto"/>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04823962">
    <w:abstractNumId w:val="1"/>
  </w:num>
  <w:num w:numId="2" w16cid:durableId="580140449">
    <w:abstractNumId w:val="3"/>
  </w:num>
  <w:num w:numId="3" w16cid:durableId="1317615157">
    <w:abstractNumId w:val="3"/>
  </w:num>
  <w:num w:numId="4" w16cid:durableId="629240788">
    <w:abstractNumId w:val="0"/>
  </w:num>
  <w:num w:numId="5" w16cid:durableId="1508057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62C"/>
    <w:rsid w:val="00000063"/>
    <w:rsid w:val="000005AA"/>
    <w:rsid w:val="00000A85"/>
    <w:rsid w:val="000010AF"/>
    <w:rsid w:val="000013E6"/>
    <w:rsid w:val="00001E1D"/>
    <w:rsid w:val="000025C0"/>
    <w:rsid w:val="000027A7"/>
    <w:rsid w:val="00003A20"/>
    <w:rsid w:val="00003EBE"/>
    <w:rsid w:val="00003FE0"/>
    <w:rsid w:val="000044E7"/>
    <w:rsid w:val="000048EF"/>
    <w:rsid w:val="0000495E"/>
    <w:rsid w:val="00005380"/>
    <w:rsid w:val="000065FE"/>
    <w:rsid w:val="000069D3"/>
    <w:rsid w:val="00007052"/>
    <w:rsid w:val="00007169"/>
    <w:rsid w:val="000076D8"/>
    <w:rsid w:val="00007890"/>
    <w:rsid w:val="00007A9C"/>
    <w:rsid w:val="00007E0A"/>
    <w:rsid w:val="00007EC8"/>
    <w:rsid w:val="00010010"/>
    <w:rsid w:val="000100D7"/>
    <w:rsid w:val="0001012A"/>
    <w:rsid w:val="00010472"/>
    <w:rsid w:val="000110C9"/>
    <w:rsid w:val="00011E68"/>
    <w:rsid w:val="00012507"/>
    <w:rsid w:val="00012A96"/>
    <w:rsid w:val="00012EC2"/>
    <w:rsid w:val="0001316E"/>
    <w:rsid w:val="000132FB"/>
    <w:rsid w:val="00013935"/>
    <w:rsid w:val="00013DAD"/>
    <w:rsid w:val="00013EF6"/>
    <w:rsid w:val="0001411D"/>
    <w:rsid w:val="000141C6"/>
    <w:rsid w:val="0001449F"/>
    <w:rsid w:val="000146A9"/>
    <w:rsid w:val="000149F1"/>
    <w:rsid w:val="000153C8"/>
    <w:rsid w:val="00015753"/>
    <w:rsid w:val="00015E8A"/>
    <w:rsid w:val="00015EF8"/>
    <w:rsid w:val="00016781"/>
    <w:rsid w:val="000167B5"/>
    <w:rsid w:val="00017461"/>
    <w:rsid w:val="00020520"/>
    <w:rsid w:val="000205A4"/>
    <w:rsid w:val="00020A58"/>
    <w:rsid w:val="00020FD9"/>
    <w:rsid w:val="00022070"/>
    <w:rsid w:val="0002234F"/>
    <w:rsid w:val="0002235F"/>
    <w:rsid w:val="00022385"/>
    <w:rsid w:val="0002250E"/>
    <w:rsid w:val="00022678"/>
    <w:rsid w:val="00022C7B"/>
    <w:rsid w:val="000234D7"/>
    <w:rsid w:val="00023659"/>
    <w:rsid w:val="00023A45"/>
    <w:rsid w:val="000240EA"/>
    <w:rsid w:val="000249F5"/>
    <w:rsid w:val="00024B80"/>
    <w:rsid w:val="00025102"/>
    <w:rsid w:val="000253BB"/>
    <w:rsid w:val="00025663"/>
    <w:rsid w:val="000256BA"/>
    <w:rsid w:val="000263BF"/>
    <w:rsid w:val="00026585"/>
    <w:rsid w:val="00026689"/>
    <w:rsid w:val="00026741"/>
    <w:rsid w:val="0002727D"/>
    <w:rsid w:val="00027331"/>
    <w:rsid w:val="00027676"/>
    <w:rsid w:val="00027DF3"/>
    <w:rsid w:val="00030839"/>
    <w:rsid w:val="00030AD3"/>
    <w:rsid w:val="00031450"/>
    <w:rsid w:val="00031575"/>
    <w:rsid w:val="00031BB1"/>
    <w:rsid w:val="00031CF7"/>
    <w:rsid w:val="00032681"/>
    <w:rsid w:val="00032A59"/>
    <w:rsid w:val="00032C66"/>
    <w:rsid w:val="000332EA"/>
    <w:rsid w:val="000335F5"/>
    <w:rsid w:val="00033CFB"/>
    <w:rsid w:val="00033DE9"/>
    <w:rsid w:val="00034A91"/>
    <w:rsid w:val="00034E93"/>
    <w:rsid w:val="00035190"/>
    <w:rsid w:val="0003535C"/>
    <w:rsid w:val="000354BF"/>
    <w:rsid w:val="00035576"/>
    <w:rsid w:val="00035835"/>
    <w:rsid w:val="000359CF"/>
    <w:rsid w:val="00036070"/>
    <w:rsid w:val="000362FB"/>
    <w:rsid w:val="00036A98"/>
    <w:rsid w:val="000371A1"/>
    <w:rsid w:val="0003753C"/>
    <w:rsid w:val="0003753E"/>
    <w:rsid w:val="00037551"/>
    <w:rsid w:val="00037DE8"/>
    <w:rsid w:val="000405C1"/>
    <w:rsid w:val="0004074F"/>
    <w:rsid w:val="000408D7"/>
    <w:rsid w:val="0004095D"/>
    <w:rsid w:val="00041D33"/>
    <w:rsid w:val="000420DC"/>
    <w:rsid w:val="00042201"/>
    <w:rsid w:val="00042609"/>
    <w:rsid w:val="00042C8C"/>
    <w:rsid w:val="00042D20"/>
    <w:rsid w:val="00043169"/>
    <w:rsid w:val="0004349E"/>
    <w:rsid w:val="00043E62"/>
    <w:rsid w:val="0004415A"/>
    <w:rsid w:val="000441AD"/>
    <w:rsid w:val="00045442"/>
    <w:rsid w:val="0004582C"/>
    <w:rsid w:val="0004599E"/>
    <w:rsid w:val="00046657"/>
    <w:rsid w:val="000469EF"/>
    <w:rsid w:val="00047F79"/>
    <w:rsid w:val="00050629"/>
    <w:rsid w:val="00050777"/>
    <w:rsid w:val="00050C62"/>
    <w:rsid w:val="0005171E"/>
    <w:rsid w:val="00051E4D"/>
    <w:rsid w:val="0005243F"/>
    <w:rsid w:val="0005276F"/>
    <w:rsid w:val="00052957"/>
    <w:rsid w:val="00052992"/>
    <w:rsid w:val="00052A74"/>
    <w:rsid w:val="00052BC5"/>
    <w:rsid w:val="00052CEF"/>
    <w:rsid w:val="00052CF2"/>
    <w:rsid w:val="0005308E"/>
    <w:rsid w:val="000541FA"/>
    <w:rsid w:val="000543EA"/>
    <w:rsid w:val="00054717"/>
    <w:rsid w:val="000548B5"/>
    <w:rsid w:val="00054AAD"/>
    <w:rsid w:val="00054DA3"/>
    <w:rsid w:val="00054EB7"/>
    <w:rsid w:val="0005533C"/>
    <w:rsid w:val="000554C9"/>
    <w:rsid w:val="00055606"/>
    <w:rsid w:val="00056242"/>
    <w:rsid w:val="00056FEE"/>
    <w:rsid w:val="000570AE"/>
    <w:rsid w:val="0005778B"/>
    <w:rsid w:val="00057C78"/>
    <w:rsid w:val="00057D11"/>
    <w:rsid w:val="000608EA"/>
    <w:rsid w:val="0006094B"/>
    <w:rsid w:val="00060B59"/>
    <w:rsid w:val="00061702"/>
    <w:rsid w:val="000630FD"/>
    <w:rsid w:val="00063139"/>
    <w:rsid w:val="000634E1"/>
    <w:rsid w:val="00063A96"/>
    <w:rsid w:val="0006459C"/>
    <w:rsid w:val="00064A96"/>
    <w:rsid w:val="00064CDC"/>
    <w:rsid w:val="0006592E"/>
    <w:rsid w:val="00065FC9"/>
    <w:rsid w:val="000664C3"/>
    <w:rsid w:val="00066745"/>
    <w:rsid w:val="00066901"/>
    <w:rsid w:val="0006747D"/>
    <w:rsid w:val="00067692"/>
    <w:rsid w:val="00067B06"/>
    <w:rsid w:val="00067D11"/>
    <w:rsid w:val="00071605"/>
    <w:rsid w:val="0007170A"/>
    <w:rsid w:val="00071AF8"/>
    <w:rsid w:val="00073702"/>
    <w:rsid w:val="000738B2"/>
    <w:rsid w:val="00073A43"/>
    <w:rsid w:val="000749F2"/>
    <w:rsid w:val="00074CBB"/>
    <w:rsid w:val="000754B8"/>
    <w:rsid w:val="00075BFF"/>
    <w:rsid w:val="00075DEF"/>
    <w:rsid w:val="00076B2C"/>
    <w:rsid w:val="00076D71"/>
    <w:rsid w:val="00076E50"/>
    <w:rsid w:val="00077E5D"/>
    <w:rsid w:val="00080951"/>
    <w:rsid w:val="00080B7E"/>
    <w:rsid w:val="00080CF9"/>
    <w:rsid w:val="00080E68"/>
    <w:rsid w:val="00081023"/>
    <w:rsid w:val="00081128"/>
    <w:rsid w:val="0008115B"/>
    <w:rsid w:val="000815AE"/>
    <w:rsid w:val="00081A02"/>
    <w:rsid w:val="00081C54"/>
    <w:rsid w:val="0008241D"/>
    <w:rsid w:val="000824A7"/>
    <w:rsid w:val="00082AD9"/>
    <w:rsid w:val="00082B17"/>
    <w:rsid w:val="000834FF"/>
    <w:rsid w:val="00083641"/>
    <w:rsid w:val="0008386B"/>
    <w:rsid w:val="00083B06"/>
    <w:rsid w:val="00083BD5"/>
    <w:rsid w:val="00084BAD"/>
    <w:rsid w:val="00085988"/>
    <w:rsid w:val="000862D1"/>
    <w:rsid w:val="00087031"/>
    <w:rsid w:val="00087072"/>
    <w:rsid w:val="000874D3"/>
    <w:rsid w:val="00087583"/>
    <w:rsid w:val="00090E39"/>
    <w:rsid w:val="00090F68"/>
    <w:rsid w:val="0009125C"/>
    <w:rsid w:val="00091AA9"/>
    <w:rsid w:val="000920A6"/>
    <w:rsid w:val="000927F7"/>
    <w:rsid w:val="00092817"/>
    <w:rsid w:val="00092C47"/>
    <w:rsid w:val="00092F73"/>
    <w:rsid w:val="00093179"/>
    <w:rsid w:val="00094810"/>
    <w:rsid w:val="000969F6"/>
    <w:rsid w:val="00096A4A"/>
    <w:rsid w:val="00097525"/>
    <w:rsid w:val="00097A88"/>
    <w:rsid w:val="00097BF4"/>
    <w:rsid w:val="000A1047"/>
    <w:rsid w:val="000A117F"/>
    <w:rsid w:val="000A1489"/>
    <w:rsid w:val="000A1A41"/>
    <w:rsid w:val="000A1DAA"/>
    <w:rsid w:val="000A2358"/>
    <w:rsid w:val="000A2D25"/>
    <w:rsid w:val="000A2E18"/>
    <w:rsid w:val="000A2E6C"/>
    <w:rsid w:val="000A2F1D"/>
    <w:rsid w:val="000A3292"/>
    <w:rsid w:val="000A35CC"/>
    <w:rsid w:val="000A393C"/>
    <w:rsid w:val="000A3A84"/>
    <w:rsid w:val="000A47C1"/>
    <w:rsid w:val="000A4A58"/>
    <w:rsid w:val="000A4B7F"/>
    <w:rsid w:val="000A51A7"/>
    <w:rsid w:val="000A53DC"/>
    <w:rsid w:val="000A554D"/>
    <w:rsid w:val="000A5847"/>
    <w:rsid w:val="000A59B8"/>
    <w:rsid w:val="000A6345"/>
    <w:rsid w:val="000A6948"/>
    <w:rsid w:val="000A7038"/>
    <w:rsid w:val="000A7259"/>
    <w:rsid w:val="000A7987"/>
    <w:rsid w:val="000A7DD0"/>
    <w:rsid w:val="000B01CA"/>
    <w:rsid w:val="000B0356"/>
    <w:rsid w:val="000B06D8"/>
    <w:rsid w:val="000B15E5"/>
    <w:rsid w:val="000B1951"/>
    <w:rsid w:val="000B1AC5"/>
    <w:rsid w:val="000B1FB2"/>
    <w:rsid w:val="000B209F"/>
    <w:rsid w:val="000B20F3"/>
    <w:rsid w:val="000B23CE"/>
    <w:rsid w:val="000B2C9C"/>
    <w:rsid w:val="000B2D60"/>
    <w:rsid w:val="000B316D"/>
    <w:rsid w:val="000B3819"/>
    <w:rsid w:val="000B38C2"/>
    <w:rsid w:val="000B392E"/>
    <w:rsid w:val="000B39A9"/>
    <w:rsid w:val="000B3C72"/>
    <w:rsid w:val="000B4126"/>
    <w:rsid w:val="000B4304"/>
    <w:rsid w:val="000B4825"/>
    <w:rsid w:val="000B51AA"/>
    <w:rsid w:val="000B540D"/>
    <w:rsid w:val="000B5492"/>
    <w:rsid w:val="000B59CC"/>
    <w:rsid w:val="000B5F45"/>
    <w:rsid w:val="000B5FDF"/>
    <w:rsid w:val="000B6453"/>
    <w:rsid w:val="000B6A52"/>
    <w:rsid w:val="000B7096"/>
    <w:rsid w:val="000B70F3"/>
    <w:rsid w:val="000B724C"/>
    <w:rsid w:val="000B725B"/>
    <w:rsid w:val="000B7341"/>
    <w:rsid w:val="000B73F7"/>
    <w:rsid w:val="000B7419"/>
    <w:rsid w:val="000B7677"/>
    <w:rsid w:val="000B7F17"/>
    <w:rsid w:val="000C01F4"/>
    <w:rsid w:val="000C035F"/>
    <w:rsid w:val="000C0AA4"/>
    <w:rsid w:val="000C0B8A"/>
    <w:rsid w:val="000C163C"/>
    <w:rsid w:val="000C1A0A"/>
    <w:rsid w:val="000C2A15"/>
    <w:rsid w:val="000C2B39"/>
    <w:rsid w:val="000C2EBE"/>
    <w:rsid w:val="000C2EE5"/>
    <w:rsid w:val="000C2F92"/>
    <w:rsid w:val="000C2F99"/>
    <w:rsid w:val="000C2FE6"/>
    <w:rsid w:val="000C3C1A"/>
    <w:rsid w:val="000C41C5"/>
    <w:rsid w:val="000C4CE8"/>
    <w:rsid w:val="000C538C"/>
    <w:rsid w:val="000C5537"/>
    <w:rsid w:val="000C5957"/>
    <w:rsid w:val="000C5E10"/>
    <w:rsid w:val="000C5F97"/>
    <w:rsid w:val="000C6516"/>
    <w:rsid w:val="000C66D4"/>
    <w:rsid w:val="000C6808"/>
    <w:rsid w:val="000D02D8"/>
    <w:rsid w:val="000D08AB"/>
    <w:rsid w:val="000D09FC"/>
    <w:rsid w:val="000D0B64"/>
    <w:rsid w:val="000D0D51"/>
    <w:rsid w:val="000D1105"/>
    <w:rsid w:val="000D1166"/>
    <w:rsid w:val="000D134A"/>
    <w:rsid w:val="000D13B0"/>
    <w:rsid w:val="000D1895"/>
    <w:rsid w:val="000D1CA0"/>
    <w:rsid w:val="000D1F8E"/>
    <w:rsid w:val="000D27FC"/>
    <w:rsid w:val="000D3955"/>
    <w:rsid w:val="000D4563"/>
    <w:rsid w:val="000D4858"/>
    <w:rsid w:val="000D4C33"/>
    <w:rsid w:val="000D4D6B"/>
    <w:rsid w:val="000D4EDB"/>
    <w:rsid w:val="000D5009"/>
    <w:rsid w:val="000D5347"/>
    <w:rsid w:val="000D5E51"/>
    <w:rsid w:val="000D61AF"/>
    <w:rsid w:val="000D68A4"/>
    <w:rsid w:val="000D6B6A"/>
    <w:rsid w:val="000D70E0"/>
    <w:rsid w:val="000D7314"/>
    <w:rsid w:val="000D7387"/>
    <w:rsid w:val="000D756A"/>
    <w:rsid w:val="000D75C2"/>
    <w:rsid w:val="000D7AC8"/>
    <w:rsid w:val="000E0076"/>
    <w:rsid w:val="000E0879"/>
    <w:rsid w:val="000E0D65"/>
    <w:rsid w:val="000E1553"/>
    <w:rsid w:val="000E1734"/>
    <w:rsid w:val="000E177F"/>
    <w:rsid w:val="000E1CC8"/>
    <w:rsid w:val="000E1E07"/>
    <w:rsid w:val="000E21C8"/>
    <w:rsid w:val="000E2C16"/>
    <w:rsid w:val="000E3178"/>
    <w:rsid w:val="000E3455"/>
    <w:rsid w:val="000E39D7"/>
    <w:rsid w:val="000E3CA0"/>
    <w:rsid w:val="000E3FE3"/>
    <w:rsid w:val="000E41F8"/>
    <w:rsid w:val="000E43FF"/>
    <w:rsid w:val="000E4518"/>
    <w:rsid w:val="000E464A"/>
    <w:rsid w:val="000E466F"/>
    <w:rsid w:val="000E5584"/>
    <w:rsid w:val="000E581E"/>
    <w:rsid w:val="000E58C7"/>
    <w:rsid w:val="000E5977"/>
    <w:rsid w:val="000E5A22"/>
    <w:rsid w:val="000E5C2D"/>
    <w:rsid w:val="000E6110"/>
    <w:rsid w:val="000E61D2"/>
    <w:rsid w:val="000E64A5"/>
    <w:rsid w:val="000E671A"/>
    <w:rsid w:val="000E7304"/>
    <w:rsid w:val="000E7C71"/>
    <w:rsid w:val="000E7F6F"/>
    <w:rsid w:val="000F028A"/>
    <w:rsid w:val="000F047C"/>
    <w:rsid w:val="000F04B0"/>
    <w:rsid w:val="000F0A10"/>
    <w:rsid w:val="000F1099"/>
    <w:rsid w:val="000F10EF"/>
    <w:rsid w:val="000F1753"/>
    <w:rsid w:val="000F187D"/>
    <w:rsid w:val="000F1881"/>
    <w:rsid w:val="000F1E45"/>
    <w:rsid w:val="000F21F3"/>
    <w:rsid w:val="000F23AF"/>
    <w:rsid w:val="000F2B77"/>
    <w:rsid w:val="000F3907"/>
    <w:rsid w:val="000F3E1F"/>
    <w:rsid w:val="000F3EE7"/>
    <w:rsid w:val="000F45F1"/>
    <w:rsid w:val="000F46E7"/>
    <w:rsid w:val="000F48E4"/>
    <w:rsid w:val="000F5057"/>
    <w:rsid w:val="000F53D2"/>
    <w:rsid w:val="000F62BC"/>
    <w:rsid w:val="000F68DE"/>
    <w:rsid w:val="000F6CE4"/>
    <w:rsid w:val="000F6DB9"/>
    <w:rsid w:val="001000E6"/>
    <w:rsid w:val="001004B0"/>
    <w:rsid w:val="00100569"/>
    <w:rsid w:val="00100CF0"/>
    <w:rsid w:val="0010182F"/>
    <w:rsid w:val="00101DB9"/>
    <w:rsid w:val="00102513"/>
    <w:rsid w:val="00102C9D"/>
    <w:rsid w:val="00103046"/>
    <w:rsid w:val="0010327A"/>
    <w:rsid w:val="001035B6"/>
    <w:rsid w:val="00103698"/>
    <w:rsid w:val="00103ACF"/>
    <w:rsid w:val="00103B95"/>
    <w:rsid w:val="001048FE"/>
    <w:rsid w:val="00104929"/>
    <w:rsid w:val="00104E73"/>
    <w:rsid w:val="00105132"/>
    <w:rsid w:val="0010525D"/>
    <w:rsid w:val="00105422"/>
    <w:rsid w:val="00106204"/>
    <w:rsid w:val="0010647B"/>
    <w:rsid w:val="00106692"/>
    <w:rsid w:val="00106B0B"/>
    <w:rsid w:val="00106FBA"/>
    <w:rsid w:val="00107999"/>
    <w:rsid w:val="00107B0E"/>
    <w:rsid w:val="00110627"/>
    <w:rsid w:val="00110A2C"/>
    <w:rsid w:val="00110EBC"/>
    <w:rsid w:val="00111079"/>
    <w:rsid w:val="00111703"/>
    <w:rsid w:val="0011214C"/>
    <w:rsid w:val="001122B3"/>
    <w:rsid w:val="00112BAF"/>
    <w:rsid w:val="00112C7C"/>
    <w:rsid w:val="00112FCB"/>
    <w:rsid w:val="00113407"/>
    <w:rsid w:val="001135B8"/>
    <w:rsid w:val="00113D30"/>
    <w:rsid w:val="00113E5D"/>
    <w:rsid w:val="00114208"/>
    <w:rsid w:val="00114671"/>
    <w:rsid w:val="00114DEB"/>
    <w:rsid w:val="00114F45"/>
    <w:rsid w:val="00115358"/>
    <w:rsid w:val="00115848"/>
    <w:rsid w:val="00116749"/>
    <w:rsid w:val="00116AE2"/>
    <w:rsid w:val="00116E16"/>
    <w:rsid w:val="001172FD"/>
    <w:rsid w:val="00117B15"/>
    <w:rsid w:val="001202A4"/>
    <w:rsid w:val="001203AD"/>
    <w:rsid w:val="001217EE"/>
    <w:rsid w:val="00121915"/>
    <w:rsid w:val="00121A55"/>
    <w:rsid w:val="00121DBB"/>
    <w:rsid w:val="00121FBC"/>
    <w:rsid w:val="00122E7F"/>
    <w:rsid w:val="00123261"/>
    <w:rsid w:val="00124DF9"/>
    <w:rsid w:val="00125502"/>
    <w:rsid w:val="001258CC"/>
    <w:rsid w:val="00125A09"/>
    <w:rsid w:val="00125C24"/>
    <w:rsid w:val="00125CD7"/>
    <w:rsid w:val="00126433"/>
    <w:rsid w:val="00126804"/>
    <w:rsid w:val="0012752E"/>
    <w:rsid w:val="00127754"/>
    <w:rsid w:val="00127A65"/>
    <w:rsid w:val="00127B1E"/>
    <w:rsid w:val="00127F14"/>
    <w:rsid w:val="001304A1"/>
    <w:rsid w:val="001315A0"/>
    <w:rsid w:val="00131829"/>
    <w:rsid w:val="00131E4C"/>
    <w:rsid w:val="00131FD8"/>
    <w:rsid w:val="00132554"/>
    <w:rsid w:val="001325F9"/>
    <w:rsid w:val="00132615"/>
    <w:rsid w:val="0013284B"/>
    <w:rsid w:val="00132B00"/>
    <w:rsid w:val="00132B1A"/>
    <w:rsid w:val="00132C5F"/>
    <w:rsid w:val="00132D2C"/>
    <w:rsid w:val="001331C7"/>
    <w:rsid w:val="00134B78"/>
    <w:rsid w:val="00135920"/>
    <w:rsid w:val="0013684F"/>
    <w:rsid w:val="00136907"/>
    <w:rsid w:val="001369C5"/>
    <w:rsid w:val="00136AFA"/>
    <w:rsid w:val="00136E6C"/>
    <w:rsid w:val="001376DB"/>
    <w:rsid w:val="001378B5"/>
    <w:rsid w:val="00137F5D"/>
    <w:rsid w:val="00140CFB"/>
    <w:rsid w:val="00140D3E"/>
    <w:rsid w:val="001413BA"/>
    <w:rsid w:val="0014142C"/>
    <w:rsid w:val="001418EC"/>
    <w:rsid w:val="00141AF1"/>
    <w:rsid w:val="00141BD8"/>
    <w:rsid w:val="00141F1A"/>
    <w:rsid w:val="001425A9"/>
    <w:rsid w:val="0014295C"/>
    <w:rsid w:val="0014299C"/>
    <w:rsid w:val="00142B73"/>
    <w:rsid w:val="00142B8F"/>
    <w:rsid w:val="00142CD3"/>
    <w:rsid w:val="0014323E"/>
    <w:rsid w:val="00143254"/>
    <w:rsid w:val="00143631"/>
    <w:rsid w:val="00143807"/>
    <w:rsid w:val="00143B44"/>
    <w:rsid w:val="0014418F"/>
    <w:rsid w:val="00144559"/>
    <w:rsid w:val="0014461F"/>
    <w:rsid w:val="00144F45"/>
    <w:rsid w:val="00145899"/>
    <w:rsid w:val="0014614F"/>
    <w:rsid w:val="00146F3A"/>
    <w:rsid w:val="00147687"/>
    <w:rsid w:val="001477CB"/>
    <w:rsid w:val="001478A4"/>
    <w:rsid w:val="00147955"/>
    <w:rsid w:val="00147AF5"/>
    <w:rsid w:val="00147FDD"/>
    <w:rsid w:val="00150302"/>
    <w:rsid w:val="0015085A"/>
    <w:rsid w:val="00150B6F"/>
    <w:rsid w:val="00150CB7"/>
    <w:rsid w:val="00150D3F"/>
    <w:rsid w:val="00150DD7"/>
    <w:rsid w:val="0015103C"/>
    <w:rsid w:val="00151456"/>
    <w:rsid w:val="00152000"/>
    <w:rsid w:val="001520A7"/>
    <w:rsid w:val="00152B16"/>
    <w:rsid w:val="00152ECC"/>
    <w:rsid w:val="00153FBD"/>
    <w:rsid w:val="001542E3"/>
    <w:rsid w:val="00155250"/>
    <w:rsid w:val="00155829"/>
    <w:rsid w:val="00156560"/>
    <w:rsid w:val="00156939"/>
    <w:rsid w:val="0015785A"/>
    <w:rsid w:val="00160012"/>
    <w:rsid w:val="0016094B"/>
    <w:rsid w:val="00160B30"/>
    <w:rsid w:val="00160ECB"/>
    <w:rsid w:val="00161444"/>
    <w:rsid w:val="001614D3"/>
    <w:rsid w:val="0016200D"/>
    <w:rsid w:val="001620B1"/>
    <w:rsid w:val="0016213A"/>
    <w:rsid w:val="0016256C"/>
    <w:rsid w:val="00162AC6"/>
    <w:rsid w:val="001632ED"/>
    <w:rsid w:val="00163988"/>
    <w:rsid w:val="0016421C"/>
    <w:rsid w:val="00164572"/>
    <w:rsid w:val="001648B7"/>
    <w:rsid w:val="00164E43"/>
    <w:rsid w:val="00164E59"/>
    <w:rsid w:val="00165444"/>
    <w:rsid w:val="00165B88"/>
    <w:rsid w:val="00165BE1"/>
    <w:rsid w:val="00165EF1"/>
    <w:rsid w:val="0016699C"/>
    <w:rsid w:val="00166CD3"/>
    <w:rsid w:val="001671F3"/>
    <w:rsid w:val="0016756A"/>
    <w:rsid w:val="00167771"/>
    <w:rsid w:val="0017016E"/>
    <w:rsid w:val="00170A0A"/>
    <w:rsid w:val="00170E22"/>
    <w:rsid w:val="00171C32"/>
    <w:rsid w:val="00171C4E"/>
    <w:rsid w:val="00171E1C"/>
    <w:rsid w:val="00172257"/>
    <w:rsid w:val="00172937"/>
    <w:rsid w:val="001736C3"/>
    <w:rsid w:val="00174538"/>
    <w:rsid w:val="001745C8"/>
    <w:rsid w:val="00174FA3"/>
    <w:rsid w:val="0017520A"/>
    <w:rsid w:val="0017527C"/>
    <w:rsid w:val="00175625"/>
    <w:rsid w:val="00175F17"/>
    <w:rsid w:val="00176A0B"/>
    <w:rsid w:val="00176BB0"/>
    <w:rsid w:val="0017774E"/>
    <w:rsid w:val="001778C7"/>
    <w:rsid w:val="00177A78"/>
    <w:rsid w:val="001800BE"/>
    <w:rsid w:val="001809A8"/>
    <w:rsid w:val="00180CC1"/>
    <w:rsid w:val="00180F2B"/>
    <w:rsid w:val="00181196"/>
    <w:rsid w:val="001811FE"/>
    <w:rsid w:val="001818C6"/>
    <w:rsid w:val="00182BAB"/>
    <w:rsid w:val="00183939"/>
    <w:rsid w:val="00183DD4"/>
    <w:rsid w:val="00184159"/>
    <w:rsid w:val="0018489E"/>
    <w:rsid w:val="00184C03"/>
    <w:rsid w:val="001855A1"/>
    <w:rsid w:val="001858D5"/>
    <w:rsid w:val="001858E2"/>
    <w:rsid w:val="00185BBF"/>
    <w:rsid w:val="00185D86"/>
    <w:rsid w:val="001862F1"/>
    <w:rsid w:val="00186BE6"/>
    <w:rsid w:val="00186F2A"/>
    <w:rsid w:val="00187846"/>
    <w:rsid w:val="0019023E"/>
    <w:rsid w:val="001903E0"/>
    <w:rsid w:val="00190503"/>
    <w:rsid w:val="0019054B"/>
    <w:rsid w:val="0019087A"/>
    <w:rsid w:val="0019197C"/>
    <w:rsid w:val="0019225D"/>
    <w:rsid w:val="0019238A"/>
    <w:rsid w:val="00192446"/>
    <w:rsid w:val="00192617"/>
    <w:rsid w:val="001926C2"/>
    <w:rsid w:val="00192785"/>
    <w:rsid w:val="00192923"/>
    <w:rsid w:val="001931A0"/>
    <w:rsid w:val="001934B4"/>
    <w:rsid w:val="001934DB"/>
    <w:rsid w:val="001951A3"/>
    <w:rsid w:val="001954F8"/>
    <w:rsid w:val="00195AFC"/>
    <w:rsid w:val="00196A3B"/>
    <w:rsid w:val="001A0898"/>
    <w:rsid w:val="001A1417"/>
    <w:rsid w:val="001A1A26"/>
    <w:rsid w:val="001A1AB4"/>
    <w:rsid w:val="001A282C"/>
    <w:rsid w:val="001A2C48"/>
    <w:rsid w:val="001A2E6D"/>
    <w:rsid w:val="001A2FCD"/>
    <w:rsid w:val="001A3123"/>
    <w:rsid w:val="001A34E0"/>
    <w:rsid w:val="001A3531"/>
    <w:rsid w:val="001A3DBA"/>
    <w:rsid w:val="001A4193"/>
    <w:rsid w:val="001A4693"/>
    <w:rsid w:val="001A4797"/>
    <w:rsid w:val="001A537B"/>
    <w:rsid w:val="001A57F5"/>
    <w:rsid w:val="001A5E99"/>
    <w:rsid w:val="001A6339"/>
    <w:rsid w:val="001A64B0"/>
    <w:rsid w:val="001A6AEA"/>
    <w:rsid w:val="001A7549"/>
    <w:rsid w:val="001A770F"/>
    <w:rsid w:val="001A7EB1"/>
    <w:rsid w:val="001B042E"/>
    <w:rsid w:val="001B0529"/>
    <w:rsid w:val="001B09B5"/>
    <w:rsid w:val="001B0D72"/>
    <w:rsid w:val="001B1768"/>
    <w:rsid w:val="001B17FB"/>
    <w:rsid w:val="001B1DFA"/>
    <w:rsid w:val="001B1DFD"/>
    <w:rsid w:val="001B2885"/>
    <w:rsid w:val="001B2BA4"/>
    <w:rsid w:val="001B3207"/>
    <w:rsid w:val="001B3456"/>
    <w:rsid w:val="001B37E1"/>
    <w:rsid w:val="001B3965"/>
    <w:rsid w:val="001B3F3F"/>
    <w:rsid w:val="001B4626"/>
    <w:rsid w:val="001B48BC"/>
    <w:rsid w:val="001B48D2"/>
    <w:rsid w:val="001B490D"/>
    <w:rsid w:val="001B4ABA"/>
    <w:rsid w:val="001B4C6E"/>
    <w:rsid w:val="001B4D4A"/>
    <w:rsid w:val="001B4D4F"/>
    <w:rsid w:val="001B4E5B"/>
    <w:rsid w:val="001B5047"/>
    <w:rsid w:val="001B515E"/>
    <w:rsid w:val="001B632E"/>
    <w:rsid w:val="001B6697"/>
    <w:rsid w:val="001B6B09"/>
    <w:rsid w:val="001B6D28"/>
    <w:rsid w:val="001B7341"/>
    <w:rsid w:val="001B7596"/>
    <w:rsid w:val="001B7E56"/>
    <w:rsid w:val="001B7F60"/>
    <w:rsid w:val="001C091A"/>
    <w:rsid w:val="001C0E5C"/>
    <w:rsid w:val="001C1490"/>
    <w:rsid w:val="001C18EE"/>
    <w:rsid w:val="001C1AEC"/>
    <w:rsid w:val="001C1C79"/>
    <w:rsid w:val="001C1E70"/>
    <w:rsid w:val="001C219A"/>
    <w:rsid w:val="001C2479"/>
    <w:rsid w:val="001C2495"/>
    <w:rsid w:val="001C3AF9"/>
    <w:rsid w:val="001C3B62"/>
    <w:rsid w:val="001C3D64"/>
    <w:rsid w:val="001C3FBF"/>
    <w:rsid w:val="001C40F7"/>
    <w:rsid w:val="001C532A"/>
    <w:rsid w:val="001C61FD"/>
    <w:rsid w:val="001C6798"/>
    <w:rsid w:val="001C6D62"/>
    <w:rsid w:val="001C6E47"/>
    <w:rsid w:val="001C7EEF"/>
    <w:rsid w:val="001C7F0B"/>
    <w:rsid w:val="001D0AC5"/>
    <w:rsid w:val="001D16A1"/>
    <w:rsid w:val="001D23CC"/>
    <w:rsid w:val="001D27BF"/>
    <w:rsid w:val="001D3307"/>
    <w:rsid w:val="001D3689"/>
    <w:rsid w:val="001D3CB5"/>
    <w:rsid w:val="001D3F51"/>
    <w:rsid w:val="001D3F61"/>
    <w:rsid w:val="001D4390"/>
    <w:rsid w:val="001D493E"/>
    <w:rsid w:val="001D4D21"/>
    <w:rsid w:val="001D545B"/>
    <w:rsid w:val="001D5634"/>
    <w:rsid w:val="001D587B"/>
    <w:rsid w:val="001D60B5"/>
    <w:rsid w:val="001D647C"/>
    <w:rsid w:val="001D653F"/>
    <w:rsid w:val="001D6F2D"/>
    <w:rsid w:val="001D72BE"/>
    <w:rsid w:val="001D7DB5"/>
    <w:rsid w:val="001D7ECF"/>
    <w:rsid w:val="001E07A2"/>
    <w:rsid w:val="001E0841"/>
    <w:rsid w:val="001E0C52"/>
    <w:rsid w:val="001E1E64"/>
    <w:rsid w:val="001E1FAD"/>
    <w:rsid w:val="001E2F8A"/>
    <w:rsid w:val="001E30C3"/>
    <w:rsid w:val="001E3C0B"/>
    <w:rsid w:val="001E3CA8"/>
    <w:rsid w:val="001E3CF8"/>
    <w:rsid w:val="001E3DEA"/>
    <w:rsid w:val="001E3EA9"/>
    <w:rsid w:val="001E423A"/>
    <w:rsid w:val="001E43CC"/>
    <w:rsid w:val="001E566E"/>
    <w:rsid w:val="001E57D5"/>
    <w:rsid w:val="001E5A70"/>
    <w:rsid w:val="001E687E"/>
    <w:rsid w:val="001E6A38"/>
    <w:rsid w:val="001E6AD2"/>
    <w:rsid w:val="001E6B8C"/>
    <w:rsid w:val="001E7616"/>
    <w:rsid w:val="001E7E1E"/>
    <w:rsid w:val="001F02DB"/>
    <w:rsid w:val="001F041C"/>
    <w:rsid w:val="001F05BA"/>
    <w:rsid w:val="001F0BFA"/>
    <w:rsid w:val="001F133A"/>
    <w:rsid w:val="001F1666"/>
    <w:rsid w:val="001F2D5A"/>
    <w:rsid w:val="001F3153"/>
    <w:rsid w:val="001F3970"/>
    <w:rsid w:val="001F3F1C"/>
    <w:rsid w:val="001F4103"/>
    <w:rsid w:val="001F4640"/>
    <w:rsid w:val="001F4641"/>
    <w:rsid w:val="001F4CF7"/>
    <w:rsid w:val="001F5F4C"/>
    <w:rsid w:val="001F6510"/>
    <w:rsid w:val="001F6CB2"/>
    <w:rsid w:val="001F70E2"/>
    <w:rsid w:val="001F71B7"/>
    <w:rsid w:val="001F71C9"/>
    <w:rsid w:val="001F7514"/>
    <w:rsid w:val="001F7B00"/>
    <w:rsid w:val="001F7CFF"/>
    <w:rsid w:val="001F7F58"/>
    <w:rsid w:val="0020085B"/>
    <w:rsid w:val="00200F9A"/>
    <w:rsid w:val="002014AF"/>
    <w:rsid w:val="002024DC"/>
    <w:rsid w:val="0020283A"/>
    <w:rsid w:val="00202A57"/>
    <w:rsid w:val="00202EFB"/>
    <w:rsid w:val="00203B96"/>
    <w:rsid w:val="0020427B"/>
    <w:rsid w:val="00204546"/>
    <w:rsid w:val="002048D3"/>
    <w:rsid w:val="00204E73"/>
    <w:rsid w:val="00205704"/>
    <w:rsid w:val="00205CC4"/>
    <w:rsid w:val="00205FF7"/>
    <w:rsid w:val="002067AD"/>
    <w:rsid w:val="00206A6C"/>
    <w:rsid w:val="002070D4"/>
    <w:rsid w:val="00207186"/>
    <w:rsid w:val="00207E28"/>
    <w:rsid w:val="002106DE"/>
    <w:rsid w:val="00211341"/>
    <w:rsid w:val="0021174B"/>
    <w:rsid w:val="00211ED7"/>
    <w:rsid w:val="00212032"/>
    <w:rsid w:val="00212EBB"/>
    <w:rsid w:val="00213496"/>
    <w:rsid w:val="002137FC"/>
    <w:rsid w:val="00213A30"/>
    <w:rsid w:val="00213A54"/>
    <w:rsid w:val="00213A85"/>
    <w:rsid w:val="00214186"/>
    <w:rsid w:val="002144FD"/>
    <w:rsid w:val="002146A0"/>
    <w:rsid w:val="00214A7B"/>
    <w:rsid w:val="002151F5"/>
    <w:rsid w:val="00215D78"/>
    <w:rsid w:val="00216070"/>
    <w:rsid w:val="002166A9"/>
    <w:rsid w:val="00216974"/>
    <w:rsid w:val="00216AFC"/>
    <w:rsid w:val="00216BAF"/>
    <w:rsid w:val="00216DD0"/>
    <w:rsid w:val="00217202"/>
    <w:rsid w:val="002176AF"/>
    <w:rsid w:val="00220293"/>
    <w:rsid w:val="002202AA"/>
    <w:rsid w:val="0022063F"/>
    <w:rsid w:val="00220934"/>
    <w:rsid w:val="00220C9E"/>
    <w:rsid w:val="00220F28"/>
    <w:rsid w:val="00220F8E"/>
    <w:rsid w:val="00221E75"/>
    <w:rsid w:val="002220F5"/>
    <w:rsid w:val="00222294"/>
    <w:rsid w:val="002226A1"/>
    <w:rsid w:val="002228F8"/>
    <w:rsid w:val="00222AF6"/>
    <w:rsid w:val="00222C7A"/>
    <w:rsid w:val="00223528"/>
    <w:rsid w:val="002235BF"/>
    <w:rsid w:val="00223725"/>
    <w:rsid w:val="00223960"/>
    <w:rsid w:val="002239E9"/>
    <w:rsid w:val="00224044"/>
    <w:rsid w:val="00224197"/>
    <w:rsid w:val="002242B7"/>
    <w:rsid w:val="00224398"/>
    <w:rsid w:val="00224A3C"/>
    <w:rsid w:val="00224B2A"/>
    <w:rsid w:val="00224BF2"/>
    <w:rsid w:val="002251C2"/>
    <w:rsid w:val="0022542F"/>
    <w:rsid w:val="0022649E"/>
    <w:rsid w:val="002265F4"/>
    <w:rsid w:val="00226D42"/>
    <w:rsid w:val="0022769F"/>
    <w:rsid w:val="00227CD0"/>
    <w:rsid w:val="00230271"/>
    <w:rsid w:val="00230374"/>
    <w:rsid w:val="00230B64"/>
    <w:rsid w:val="00231151"/>
    <w:rsid w:val="00231734"/>
    <w:rsid w:val="00231BF3"/>
    <w:rsid w:val="0023202E"/>
    <w:rsid w:val="00232633"/>
    <w:rsid w:val="00232CA0"/>
    <w:rsid w:val="00233677"/>
    <w:rsid w:val="00233804"/>
    <w:rsid w:val="00233CB0"/>
    <w:rsid w:val="002340AD"/>
    <w:rsid w:val="0023486F"/>
    <w:rsid w:val="002349BE"/>
    <w:rsid w:val="002355B5"/>
    <w:rsid w:val="00235942"/>
    <w:rsid w:val="00235F40"/>
    <w:rsid w:val="00235F59"/>
    <w:rsid w:val="0023635B"/>
    <w:rsid w:val="002363E1"/>
    <w:rsid w:val="00237052"/>
    <w:rsid w:val="002371FE"/>
    <w:rsid w:val="00240D2D"/>
    <w:rsid w:val="00241D60"/>
    <w:rsid w:val="00242792"/>
    <w:rsid w:val="002427B0"/>
    <w:rsid w:val="00243C06"/>
    <w:rsid w:val="00243CC2"/>
    <w:rsid w:val="00243CD8"/>
    <w:rsid w:val="00244842"/>
    <w:rsid w:val="00244E06"/>
    <w:rsid w:val="00244E38"/>
    <w:rsid w:val="00244EE4"/>
    <w:rsid w:val="0024530B"/>
    <w:rsid w:val="00245597"/>
    <w:rsid w:val="002455DF"/>
    <w:rsid w:val="00245E96"/>
    <w:rsid w:val="00246189"/>
    <w:rsid w:val="00246229"/>
    <w:rsid w:val="002464C6"/>
    <w:rsid w:val="002465F9"/>
    <w:rsid w:val="0024661F"/>
    <w:rsid w:val="00246890"/>
    <w:rsid w:val="00246F01"/>
    <w:rsid w:val="0024777B"/>
    <w:rsid w:val="002509CD"/>
    <w:rsid w:val="00251492"/>
    <w:rsid w:val="00251835"/>
    <w:rsid w:val="002518BA"/>
    <w:rsid w:val="0025200E"/>
    <w:rsid w:val="0025296F"/>
    <w:rsid w:val="0025354B"/>
    <w:rsid w:val="00253676"/>
    <w:rsid w:val="00253760"/>
    <w:rsid w:val="00253910"/>
    <w:rsid w:val="00253ABD"/>
    <w:rsid w:val="00254200"/>
    <w:rsid w:val="002547DB"/>
    <w:rsid w:val="00254D84"/>
    <w:rsid w:val="00255717"/>
    <w:rsid w:val="0025588F"/>
    <w:rsid w:val="00255AAE"/>
    <w:rsid w:val="00255B6B"/>
    <w:rsid w:val="002560BA"/>
    <w:rsid w:val="002563C3"/>
    <w:rsid w:val="00256888"/>
    <w:rsid w:val="00257825"/>
    <w:rsid w:val="0025791C"/>
    <w:rsid w:val="00257A63"/>
    <w:rsid w:val="00257CDD"/>
    <w:rsid w:val="00260203"/>
    <w:rsid w:val="002607DE"/>
    <w:rsid w:val="002609B9"/>
    <w:rsid w:val="00260F23"/>
    <w:rsid w:val="00261166"/>
    <w:rsid w:val="00261934"/>
    <w:rsid w:val="00261DCE"/>
    <w:rsid w:val="00262523"/>
    <w:rsid w:val="00262993"/>
    <w:rsid w:val="00263748"/>
    <w:rsid w:val="00263A74"/>
    <w:rsid w:val="002643E5"/>
    <w:rsid w:val="0026484C"/>
    <w:rsid w:val="00264D73"/>
    <w:rsid w:val="0026543E"/>
    <w:rsid w:val="002654E9"/>
    <w:rsid w:val="002656CE"/>
    <w:rsid w:val="00265A7B"/>
    <w:rsid w:val="002662A8"/>
    <w:rsid w:val="00266402"/>
    <w:rsid w:val="00266C2B"/>
    <w:rsid w:val="002672FB"/>
    <w:rsid w:val="00267501"/>
    <w:rsid w:val="00267745"/>
    <w:rsid w:val="002677FB"/>
    <w:rsid w:val="002678DC"/>
    <w:rsid w:val="00267BF6"/>
    <w:rsid w:val="00270A5E"/>
    <w:rsid w:val="00270CFD"/>
    <w:rsid w:val="00270ED6"/>
    <w:rsid w:val="0027117D"/>
    <w:rsid w:val="002712E1"/>
    <w:rsid w:val="00271992"/>
    <w:rsid w:val="00271A35"/>
    <w:rsid w:val="00271C23"/>
    <w:rsid w:val="00271E4C"/>
    <w:rsid w:val="00272145"/>
    <w:rsid w:val="00272AB8"/>
    <w:rsid w:val="0027353E"/>
    <w:rsid w:val="00273D70"/>
    <w:rsid w:val="00274202"/>
    <w:rsid w:val="002745D4"/>
    <w:rsid w:val="0027487B"/>
    <w:rsid w:val="00274936"/>
    <w:rsid w:val="00274B49"/>
    <w:rsid w:val="00274FAB"/>
    <w:rsid w:val="002750F5"/>
    <w:rsid w:val="002756D0"/>
    <w:rsid w:val="002757B6"/>
    <w:rsid w:val="00275F98"/>
    <w:rsid w:val="002763CD"/>
    <w:rsid w:val="0027674A"/>
    <w:rsid w:val="00276D61"/>
    <w:rsid w:val="002772A3"/>
    <w:rsid w:val="002778A2"/>
    <w:rsid w:val="00277C68"/>
    <w:rsid w:val="00277D2A"/>
    <w:rsid w:val="00280533"/>
    <w:rsid w:val="0028091F"/>
    <w:rsid w:val="00280CA0"/>
    <w:rsid w:val="00281259"/>
    <w:rsid w:val="0028143E"/>
    <w:rsid w:val="00281D47"/>
    <w:rsid w:val="00281FA6"/>
    <w:rsid w:val="00282FA8"/>
    <w:rsid w:val="002830D0"/>
    <w:rsid w:val="002845A6"/>
    <w:rsid w:val="00284E7B"/>
    <w:rsid w:val="002855BF"/>
    <w:rsid w:val="0028641F"/>
    <w:rsid w:val="00286944"/>
    <w:rsid w:val="00286B54"/>
    <w:rsid w:val="00286C61"/>
    <w:rsid w:val="00287296"/>
    <w:rsid w:val="00287791"/>
    <w:rsid w:val="002879E2"/>
    <w:rsid w:val="00287D55"/>
    <w:rsid w:val="002905D8"/>
    <w:rsid w:val="00291164"/>
    <w:rsid w:val="002913A4"/>
    <w:rsid w:val="00291669"/>
    <w:rsid w:val="00291718"/>
    <w:rsid w:val="00291C18"/>
    <w:rsid w:val="00291EAF"/>
    <w:rsid w:val="00291F7A"/>
    <w:rsid w:val="00292530"/>
    <w:rsid w:val="00292F2A"/>
    <w:rsid w:val="00293179"/>
    <w:rsid w:val="00293331"/>
    <w:rsid w:val="00293E3A"/>
    <w:rsid w:val="00293FCA"/>
    <w:rsid w:val="0029483E"/>
    <w:rsid w:val="00295273"/>
    <w:rsid w:val="0029573D"/>
    <w:rsid w:val="00295D2D"/>
    <w:rsid w:val="00296338"/>
    <w:rsid w:val="00296497"/>
    <w:rsid w:val="002968EC"/>
    <w:rsid w:val="00296BE6"/>
    <w:rsid w:val="00297BE8"/>
    <w:rsid w:val="002A0911"/>
    <w:rsid w:val="002A0B97"/>
    <w:rsid w:val="002A0BA7"/>
    <w:rsid w:val="002A1023"/>
    <w:rsid w:val="002A1108"/>
    <w:rsid w:val="002A13A3"/>
    <w:rsid w:val="002A1563"/>
    <w:rsid w:val="002A15D6"/>
    <w:rsid w:val="002A1BED"/>
    <w:rsid w:val="002A1C3B"/>
    <w:rsid w:val="002A2192"/>
    <w:rsid w:val="002A2207"/>
    <w:rsid w:val="002A22FA"/>
    <w:rsid w:val="002A23AC"/>
    <w:rsid w:val="002A2536"/>
    <w:rsid w:val="002A271E"/>
    <w:rsid w:val="002A29D7"/>
    <w:rsid w:val="002A2A1D"/>
    <w:rsid w:val="002A2CAB"/>
    <w:rsid w:val="002A2E00"/>
    <w:rsid w:val="002A3624"/>
    <w:rsid w:val="002A39E7"/>
    <w:rsid w:val="002A3FEB"/>
    <w:rsid w:val="002A4BB8"/>
    <w:rsid w:val="002A4EA2"/>
    <w:rsid w:val="002A5379"/>
    <w:rsid w:val="002A5CAE"/>
    <w:rsid w:val="002A5D88"/>
    <w:rsid w:val="002A5F93"/>
    <w:rsid w:val="002A62FC"/>
    <w:rsid w:val="002A65A8"/>
    <w:rsid w:val="002A6C50"/>
    <w:rsid w:val="002A6E90"/>
    <w:rsid w:val="002A7304"/>
    <w:rsid w:val="002A7365"/>
    <w:rsid w:val="002A76DF"/>
    <w:rsid w:val="002A7BAE"/>
    <w:rsid w:val="002A7F57"/>
    <w:rsid w:val="002B0C99"/>
    <w:rsid w:val="002B1F80"/>
    <w:rsid w:val="002B20D9"/>
    <w:rsid w:val="002B25AB"/>
    <w:rsid w:val="002B26A1"/>
    <w:rsid w:val="002B30B8"/>
    <w:rsid w:val="002B30D2"/>
    <w:rsid w:val="002B30F2"/>
    <w:rsid w:val="002B3393"/>
    <w:rsid w:val="002B351A"/>
    <w:rsid w:val="002B353B"/>
    <w:rsid w:val="002B3C93"/>
    <w:rsid w:val="002B3E9A"/>
    <w:rsid w:val="002B4A62"/>
    <w:rsid w:val="002B52B5"/>
    <w:rsid w:val="002B5731"/>
    <w:rsid w:val="002B5968"/>
    <w:rsid w:val="002B59E6"/>
    <w:rsid w:val="002B5A25"/>
    <w:rsid w:val="002B5CC3"/>
    <w:rsid w:val="002B5EA0"/>
    <w:rsid w:val="002B5FB2"/>
    <w:rsid w:val="002B695A"/>
    <w:rsid w:val="002B6D08"/>
    <w:rsid w:val="002B73E2"/>
    <w:rsid w:val="002B76C4"/>
    <w:rsid w:val="002B7F05"/>
    <w:rsid w:val="002B7F53"/>
    <w:rsid w:val="002C077D"/>
    <w:rsid w:val="002C2489"/>
    <w:rsid w:val="002C24AA"/>
    <w:rsid w:val="002C24C1"/>
    <w:rsid w:val="002C274B"/>
    <w:rsid w:val="002C34A4"/>
    <w:rsid w:val="002C3666"/>
    <w:rsid w:val="002C3B50"/>
    <w:rsid w:val="002C3F97"/>
    <w:rsid w:val="002C406F"/>
    <w:rsid w:val="002C4318"/>
    <w:rsid w:val="002C53C7"/>
    <w:rsid w:val="002C5ABA"/>
    <w:rsid w:val="002C5E31"/>
    <w:rsid w:val="002C627F"/>
    <w:rsid w:val="002C666F"/>
    <w:rsid w:val="002C68E3"/>
    <w:rsid w:val="002C6927"/>
    <w:rsid w:val="002C7684"/>
    <w:rsid w:val="002C7845"/>
    <w:rsid w:val="002C7D6E"/>
    <w:rsid w:val="002C7F5C"/>
    <w:rsid w:val="002D07B5"/>
    <w:rsid w:val="002D08E5"/>
    <w:rsid w:val="002D0D76"/>
    <w:rsid w:val="002D191C"/>
    <w:rsid w:val="002D1D7D"/>
    <w:rsid w:val="002D21C4"/>
    <w:rsid w:val="002D262F"/>
    <w:rsid w:val="002D287E"/>
    <w:rsid w:val="002D2BCA"/>
    <w:rsid w:val="002D352F"/>
    <w:rsid w:val="002D355A"/>
    <w:rsid w:val="002D35A8"/>
    <w:rsid w:val="002D39CD"/>
    <w:rsid w:val="002D40D4"/>
    <w:rsid w:val="002D43DB"/>
    <w:rsid w:val="002D4A7C"/>
    <w:rsid w:val="002D5657"/>
    <w:rsid w:val="002D5867"/>
    <w:rsid w:val="002D5C0E"/>
    <w:rsid w:val="002D5DA5"/>
    <w:rsid w:val="002D5DC4"/>
    <w:rsid w:val="002D6523"/>
    <w:rsid w:val="002D65BA"/>
    <w:rsid w:val="002D65F3"/>
    <w:rsid w:val="002D67FD"/>
    <w:rsid w:val="002D6C49"/>
    <w:rsid w:val="002D6C6A"/>
    <w:rsid w:val="002D772D"/>
    <w:rsid w:val="002D7AB1"/>
    <w:rsid w:val="002D7EEF"/>
    <w:rsid w:val="002E067C"/>
    <w:rsid w:val="002E08AD"/>
    <w:rsid w:val="002E0CE0"/>
    <w:rsid w:val="002E13A8"/>
    <w:rsid w:val="002E13CD"/>
    <w:rsid w:val="002E16B6"/>
    <w:rsid w:val="002E16FF"/>
    <w:rsid w:val="002E1C5B"/>
    <w:rsid w:val="002E1E67"/>
    <w:rsid w:val="002E2053"/>
    <w:rsid w:val="002E2414"/>
    <w:rsid w:val="002E2FD7"/>
    <w:rsid w:val="002E30B9"/>
    <w:rsid w:val="002E36C3"/>
    <w:rsid w:val="002E3807"/>
    <w:rsid w:val="002E3994"/>
    <w:rsid w:val="002E41CF"/>
    <w:rsid w:val="002E4694"/>
    <w:rsid w:val="002E478D"/>
    <w:rsid w:val="002E4BD2"/>
    <w:rsid w:val="002E4C21"/>
    <w:rsid w:val="002E54CE"/>
    <w:rsid w:val="002E5BDE"/>
    <w:rsid w:val="002E6588"/>
    <w:rsid w:val="002E664E"/>
    <w:rsid w:val="002E67D9"/>
    <w:rsid w:val="002E7A89"/>
    <w:rsid w:val="002E7C9C"/>
    <w:rsid w:val="002F0C87"/>
    <w:rsid w:val="002F0CE1"/>
    <w:rsid w:val="002F12B4"/>
    <w:rsid w:val="002F12BD"/>
    <w:rsid w:val="002F16F2"/>
    <w:rsid w:val="002F20A1"/>
    <w:rsid w:val="002F2714"/>
    <w:rsid w:val="002F2795"/>
    <w:rsid w:val="002F2929"/>
    <w:rsid w:val="002F3313"/>
    <w:rsid w:val="002F35F1"/>
    <w:rsid w:val="002F382C"/>
    <w:rsid w:val="002F4213"/>
    <w:rsid w:val="002F46DE"/>
    <w:rsid w:val="002F4F70"/>
    <w:rsid w:val="002F5167"/>
    <w:rsid w:val="002F6D37"/>
    <w:rsid w:val="002F6EBF"/>
    <w:rsid w:val="002F70D7"/>
    <w:rsid w:val="002F712F"/>
    <w:rsid w:val="00300174"/>
    <w:rsid w:val="0030083D"/>
    <w:rsid w:val="003008D6"/>
    <w:rsid w:val="00300968"/>
    <w:rsid w:val="003009BA"/>
    <w:rsid w:val="00300A07"/>
    <w:rsid w:val="003011CF"/>
    <w:rsid w:val="00301B9D"/>
    <w:rsid w:val="0030267E"/>
    <w:rsid w:val="00302E5E"/>
    <w:rsid w:val="00303BF9"/>
    <w:rsid w:val="00303F8A"/>
    <w:rsid w:val="003041A6"/>
    <w:rsid w:val="00304961"/>
    <w:rsid w:val="00304F86"/>
    <w:rsid w:val="00305027"/>
    <w:rsid w:val="00305350"/>
    <w:rsid w:val="00305507"/>
    <w:rsid w:val="00306C3F"/>
    <w:rsid w:val="00307024"/>
    <w:rsid w:val="003070B4"/>
    <w:rsid w:val="003073D3"/>
    <w:rsid w:val="003101E7"/>
    <w:rsid w:val="00310336"/>
    <w:rsid w:val="00310EF6"/>
    <w:rsid w:val="00311320"/>
    <w:rsid w:val="00312165"/>
    <w:rsid w:val="003127BC"/>
    <w:rsid w:val="00313806"/>
    <w:rsid w:val="00313C6E"/>
    <w:rsid w:val="00313C89"/>
    <w:rsid w:val="00314019"/>
    <w:rsid w:val="00314296"/>
    <w:rsid w:val="0031434B"/>
    <w:rsid w:val="00314401"/>
    <w:rsid w:val="00315288"/>
    <w:rsid w:val="00315D91"/>
    <w:rsid w:val="00315DA3"/>
    <w:rsid w:val="003162AB"/>
    <w:rsid w:val="00316DC2"/>
    <w:rsid w:val="0031712A"/>
    <w:rsid w:val="003176D2"/>
    <w:rsid w:val="00317711"/>
    <w:rsid w:val="0031782E"/>
    <w:rsid w:val="00317D0C"/>
    <w:rsid w:val="00320458"/>
    <w:rsid w:val="00320FAA"/>
    <w:rsid w:val="0032225A"/>
    <w:rsid w:val="00322770"/>
    <w:rsid w:val="0032279A"/>
    <w:rsid w:val="00322AD9"/>
    <w:rsid w:val="00322C2F"/>
    <w:rsid w:val="003230D2"/>
    <w:rsid w:val="00323825"/>
    <w:rsid w:val="00323898"/>
    <w:rsid w:val="00323DB2"/>
    <w:rsid w:val="00323F49"/>
    <w:rsid w:val="0032546C"/>
    <w:rsid w:val="003254C0"/>
    <w:rsid w:val="0032595D"/>
    <w:rsid w:val="00325B6E"/>
    <w:rsid w:val="003264C0"/>
    <w:rsid w:val="00326CAB"/>
    <w:rsid w:val="0032716D"/>
    <w:rsid w:val="0032719E"/>
    <w:rsid w:val="003275A1"/>
    <w:rsid w:val="00327BF9"/>
    <w:rsid w:val="00330260"/>
    <w:rsid w:val="0033035F"/>
    <w:rsid w:val="00330ED9"/>
    <w:rsid w:val="00330F83"/>
    <w:rsid w:val="00331232"/>
    <w:rsid w:val="00331822"/>
    <w:rsid w:val="0033227C"/>
    <w:rsid w:val="00332844"/>
    <w:rsid w:val="003342B7"/>
    <w:rsid w:val="00334591"/>
    <w:rsid w:val="0033541F"/>
    <w:rsid w:val="003359ED"/>
    <w:rsid w:val="00335C13"/>
    <w:rsid w:val="003365A0"/>
    <w:rsid w:val="0033706D"/>
    <w:rsid w:val="00337769"/>
    <w:rsid w:val="00337C5B"/>
    <w:rsid w:val="00337DAF"/>
    <w:rsid w:val="00337E8B"/>
    <w:rsid w:val="00337F32"/>
    <w:rsid w:val="00340350"/>
    <w:rsid w:val="0034065A"/>
    <w:rsid w:val="003410A7"/>
    <w:rsid w:val="003415D5"/>
    <w:rsid w:val="00341681"/>
    <w:rsid w:val="00341BB1"/>
    <w:rsid w:val="00341C5A"/>
    <w:rsid w:val="00342000"/>
    <w:rsid w:val="00342E0C"/>
    <w:rsid w:val="003434AE"/>
    <w:rsid w:val="003435ED"/>
    <w:rsid w:val="00343A66"/>
    <w:rsid w:val="00344AA4"/>
    <w:rsid w:val="0034538B"/>
    <w:rsid w:val="003461C9"/>
    <w:rsid w:val="00346292"/>
    <w:rsid w:val="00346807"/>
    <w:rsid w:val="00346CCD"/>
    <w:rsid w:val="00346D4F"/>
    <w:rsid w:val="003470E1"/>
    <w:rsid w:val="00347FD9"/>
    <w:rsid w:val="00350113"/>
    <w:rsid w:val="0035042C"/>
    <w:rsid w:val="00350F59"/>
    <w:rsid w:val="00350FF8"/>
    <w:rsid w:val="003510E2"/>
    <w:rsid w:val="00351788"/>
    <w:rsid w:val="00351841"/>
    <w:rsid w:val="003518A3"/>
    <w:rsid w:val="00351ADD"/>
    <w:rsid w:val="00351EFB"/>
    <w:rsid w:val="003524EE"/>
    <w:rsid w:val="003528B8"/>
    <w:rsid w:val="00353669"/>
    <w:rsid w:val="003537CC"/>
    <w:rsid w:val="00353853"/>
    <w:rsid w:val="0035399E"/>
    <w:rsid w:val="003539F6"/>
    <w:rsid w:val="00353B42"/>
    <w:rsid w:val="00353D00"/>
    <w:rsid w:val="00353DDC"/>
    <w:rsid w:val="00353F76"/>
    <w:rsid w:val="00354206"/>
    <w:rsid w:val="0035442E"/>
    <w:rsid w:val="0035444D"/>
    <w:rsid w:val="00354A2D"/>
    <w:rsid w:val="00354A45"/>
    <w:rsid w:val="00354E20"/>
    <w:rsid w:val="00355791"/>
    <w:rsid w:val="00355C6A"/>
    <w:rsid w:val="0035639A"/>
    <w:rsid w:val="0035696D"/>
    <w:rsid w:val="00357879"/>
    <w:rsid w:val="00357F76"/>
    <w:rsid w:val="003608EC"/>
    <w:rsid w:val="00360FEB"/>
    <w:rsid w:val="00361183"/>
    <w:rsid w:val="00361316"/>
    <w:rsid w:val="003613A3"/>
    <w:rsid w:val="0036176C"/>
    <w:rsid w:val="0036189F"/>
    <w:rsid w:val="00361F4A"/>
    <w:rsid w:val="0036209D"/>
    <w:rsid w:val="003623BA"/>
    <w:rsid w:val="003625A1"/>
    <w:rsid w:val="0036289A"/>
    <w:rsid w:val="003629A2"/>
    <w:rsid w:val="00362D5A"/>
    <w:rsid w:val="00363022"/>
    <w:rsid w:val="00363916"/>
    <w:rsid w:val="00364072"/>
    <w:rsid w:val="00364208"/>
    <w:rsid w:val="00364567"/>
    <w:rsid w:val="00365624"/>
    <w:rsid w:val="003656B4"/>
    <w:rsid w:val="003657FD"/>
    <w:rsid w:val="00365D8E"/>
    <w:rsid w:val="0036771E"/>
    <w:rsid w:val="0036799F"/>
    <w:rsid w:val="00367A98"/>
    <w:rsid w:val="00367B54"/>
    <w:rsid w:val="0037040E"/>
    <w:rsid w:val="00370519"/>
    <w:rsid w:val="00370B9F"/>
    <w:rsid w:val="003711A2"/>
    <w:rsid w:val="0037137E"/>
    <w:rsid w:val="0037139B"/>
    <w:rsid w:val="003715CC"/>
    <w:rsid w:val="003717D6"/>
    <w:rsid w:val="003718D9"/>
    <w:rsid w:val="00371D54"/>
    <w:rsid w:val="00371F74"/>
    <w:rsid w:val="0037241A"/>
    <w:rsid w:val="0037247E"/>
    <w:rsid w:val="00372B79"/>
    <w:rsid w:val="00373028"/>
    <w:rsid w:val="0037336A"/>
    <w:rsid w:val="003737A4"/>
    <w:rsid w:val="00373913"/>
    <w:rsid w:val="003739F2"/>
    <w:rsid w:val="00374104"/>
    <w:rsid w:val="0037442B"/>
    <w:rsid w:val="00374438"/>
    <w:rsid w:val="00374985"/>
    <w:rsid w:val="00374F79"/>
    <w:rsid w:val="0037506C"/>
    <w:rsid w:val="00376ED1"/>
    <w:rsid w:val="00376FAE"/>
    <w:rsid w:val="00377193"/>
    <w:rsid w:val="00377435"/>
    <w:rsid w:val="00377825"/>
    <w:rsid w:val="003800F0"/>
    <w:rsid w:val="00380113"/>
    <w:rsid w:val="00381573"/>
    <w:rsid w:val="00381674"/>
    <w:rsid w:val="00381B93"/>
    <w:rsid w:val="00382360"/>
    <w:rsid w:val="0038309C"/>
    <w:rsid w:val="0038347D"/>
    <w:rsid w:val="00383EB0"/>
    <w:rsid w:val="0038407A"/>
    <w:rsid w:val="00384A7F"/>
    <w:rsid w:val="003850BE"/>
    <w:rsid w:val="0038539F"/>
    <w:rsid w:val="003859FD"/>
    <w:rsid w:val="00385BDD"/>
    <w:rsid w:val="003869C7"/>
    <w:rsid w:val="00386CEA"/>
    <w:rsid w:val="00386F2E"/>
    <w:rsid w:val="00386F4E"/>
    <w:rsid w:val="00387CBC"/>
    <w:rsid w:val="00387E2A"/>
    <w:rsid w:val="00387F5F"/>
    <w:rsid w:val="00387FBE"/>
    <w:rsid w:val="003901D4"/>
    <w:rsid w:val="003908A9"/>
    <w:rsid w:val="003911A5"/>
    <w:rsid w:val="003916F8"/>
    <w:rsid w:val="003917F2"/>
    <w:rsid w:val="00391988"/>
    <w:rsid w:val="00391B87"/>
    <w:rsid w:val="00391D42"/>
    <w:rsid w:val="00391EA1"/>
    <w:rsid w:val="003925DA"/>
    <w:rsid w:val="00393587"/>
    <w:rsid w:val="003936DD"/>
    <w:rsid w:val="0039387B"/>
    <w:rsid w:val="0039393F"/>
    <w:rsid w:val="003942D9"/>
    <w:rsid w:val="00394404"/>
    <w:rsid w:val="003945A1"/>
    <w:rsid w:val="003947DD"/>
    <w:rsid w:val="00394C71"/>
    <w:rsid w:val="00394D0D"/>
    <w:rsid w:val="00395165"/>
    <w:rsid w:val="0039583F"/>
    <w:rsid w:val="00395AD8"/>
    <w:rsid w:val="003967F3"/>
    <w:rsid w:val="003967F4"/>
    <w:rsid w:val="003A02BC"/>
    <w:rsid w:val="003A0689"/>
    <w:rsid w:val="003A1388"/>
    <w:rsid w:val="003A149C"/>
    <w:rsid w:val="003A1810"/>
    <w:rsid w:val="003A1A5C"/>
    <w:rsid w:val="003A210F"/>
    <w:rsid w:val="003A21FC"/>
    <w:rsid w:val="003A225E"/>
    <w:rsid w:val="003A23A6"/>
    <w:rsid w:val="003A27B2"/>
    <w:rsid w:val="003A2D31"/>
    <w:rsid w:val="003A326F"/>
    <w:rsid w:val="003A3848"/>
    <w:rsid w:val="003A39A8"/>
    <w:rsid w:val="003A40B7"/>
    <w:rsid w:val="003A41D1"/>
    <w:rsid w:val="003A4404"/>
    <w:rsid w:val="003A4DC0"/>
    <w:rsid w:val="003A4E61"/>
    <w:rsid w:val="003A5129"/>
    <w:rsid w:val="003A51C0"/>
    <w:rsid w:val="003A52A0"/>
    <w:rsid w:val="003A5427"/>
    <w:rsid w:val="003A58F7"/>
    <w:rsid w:val="003A5C82"/>
    <w:rsid w:val="003A691F"/>
    <w:rsid w:val="003A6A1E"/>
    <w:rsid w:val="003A7569"/>
    <w:rsid w:val="003A7BAC"/>
    <w:rsid w:val="003B2204"/>
    <w:rsid w:val="003B22DC"/>
    <w:rsid w:val="003B2354"/>
    <w:rsid w:val="003B235C"/>
    <w:rsid w:val="003B2430"/>
    <w:rsid w:val="003B2647"/>
    <w:rsid w:val="003B2673"/>
    <w:rsid w:val="003B2A45"/>
    <w:rsid w:val="003B2FFD"/>
    <w:rsid w:val="003B3104"/>
    <w:rsid w:val="003B3457"/>
    <w:rsid w:val="003B38D6"/>
    <w:rsid w:val="003B3906"/>
    <w:rsid w:val="003B453F"/>
    <w:rsid w:val="003B4C0B"/>
    <w:rsid w:val="003B4F9C"/>
    <w:rsid w:val="003B51E5"/>
    <w:rsid w:val="003B54DD"/>
    <w:rsid w:val="003B56CC"/>
    <w:rsid w:val="003B5B0B"/>
    <w:rsid w:val="003B65C3"/>
    <w:rsid w:val="003B6B0F"/>
    <w:rsid w:val="003B6DC5"/>
    <w:rsid w:val="003B758F"/>
    <w:rsid w:val="003B7AA2"/>
    <w:rsid w:val="003C01CC"/>
    <w:rsid w:val="003C05DB"/>
    <w:rsid w:val="003C0B17"/>
    <w:rsid w:val="003C0C46"/>
    <w:rsid w:val="003C0CD2"/>
    <w:rsid w:val="003C12F1"/>
    <w:rsid w:val="003C1ADD"/>
    <w:rsid w:val="003C1BE4"/>
    <w:rsid w:val="003C1F50"/>
    <w:rsid w:val="003C1FB8"/>
    <w:rsid w:val="003C1FE7"/>
    <w:rsid w:val="003C2184"/>
    <w:rsid w:val="003C2EF4"/>
    <w:rsid w:val="003C3542"/>
    <w:rsid w:val="003C38FF"/>
    <w:rsid w:val="003C3DF3"/>
    <w:rsid w:val="003C3F82"/>
    <w:rsid w:val="003C469C"/>
    <w:rsid w:val="003C471C"/>
    <w:rsid w:val="003C491B"/>
    <w:rsid w:val="003C5512"/>
    <w:rsid w:val="003C5892"/>
    <w:rsid w:val="003C5A01"/>
    <w:rsid w:val="003C60F9"/>
    <w:rsid w:val="003C6171"/>
    <w:rsid w:val="003C68D6"/>
    <w:rsid w:val="003C6F50"/>
    <w:rsid w:val="003C7298"/>
    <w:rsid w:val="003C7A90"/>
    <w:rsid w:val="003D0964"/>
    <w:rsid w:val="003D0EB7"/>
    <w:rsid w:val="003D1BAB"/>
    <w:rsid w:val="003D21D4"/>
    <w:rsid w:val="003D224F"/>
    <w:rsid w:val="003D2775"/>
    <w:rsid w:val="003D27D2"/>
    <w:rsid w:val="003D2BF5"/>
    <w:rsid w:val="003D322D"/>
    <w:rsid w:val="003D3417"/>
    <w:rsid w:val="003D3EB3"/>
    <w:rsid w:val="003D3F7D"/>
    <w:rsid w:val="003D4C54"/>
    <w:rsid w:val="003D52E5"/>
    <w:rsid w:val="003D55F9"/>
    <w:rsid w:val="003D57DF"/>
    <w:rsid w:val="003D5B4E"/>
    <w:rsid w:val="003D6D0D"/>
    <w:rsid w:val="003D704A"/>
    <w:rsid w:val="003D77FA"/>
    <w:rsid w:val="003E047A"/>
    <w:rsid w:val="003E0E67"/>
    <w:rsid w:val="003E1422"/>
    <w:rsid w:val="003E16E8"/>
    <w:rsid w:val="003E19AD"/>
    <w:rsid w:val="003E1FCC"/>
    <w:rsid w:val="003E1FF2"/>
    <w:rsid w:val="003E23C6"/>
    <w:rsid w:val="003E2B36"/>
    <w:rsid w:val="003E2D00"/>
    <w:rsid w:val="003E3428"/>
    <w:rsid w:val="003E3D9C"/>
    <w:rsid w:val="003E518B"/>
    <w:rsid w:val="003E52FD"/>
    <w:rsid w:val="003E589F"/>
    <w:rsid w:val="003E6B55"/>
    <w:rsid w:val="003E6B8A"/>
    <w:rsid w:val="003E6BA2"/>
    <w:rsid w:val="003E7049"/>
    <w:rsid w:val="003E757A"/>
    <w:rsid w:val="003E796F"/>
    <w:rsid w:val="003E7BA6"/>
    <w:rsid w:val="003E7FC2"/>
    <w:rsid w:val="003F0077"/>
    <w:rsid w:val="003F0436"/>
    <w:rsid w:val="003F0763"/>
    <w:rsid w:val="003F07F8"/>
    <w:rsid w:val="003F0815"/>
    <w:rsid w:val="003F09DF"/>
    <w:rsid w:val="003F111D"/>
    <w:rsid w:val="003F17EF"/>
    <w:rsid w:val="003F1C70"/>
    <w:rsid w:val="003F1D8D"/>
    <w:rsid w:val="003F299F"/>
    <w:rsid w:val="003F2B2B"/>
    <w:rsid w:val="003F460A"/>
    <w:rsid w:val="003F4EA2"/>
    <w:rsid w:val="003F56A5"/>
    <w:rsid w:val="003F5CD4"/>
    <w:rsid w:val="003F61D0"/>
    <w:rsid w:val="003F6C4D"/>
    <w:rsid w:val="003F7DEC"/>
    <w:rsid w:val="0040056A"/>
    <w:rsid w:val="00400784"/>
    <w:rsid w:val="0040089B"/>
    <w:rsid w:val="004009E0"/>
    <w:rsid w:val="00400A83"/>
    <w:rsid w:val="00400E99"/>
    <w:rsid w:val="00401643"/>
    <w:rsid w:val="00401D06"/>
    <w:rsid w:val="00401F65"/>
    <w:rsid w:val="004029AB"/>
    <w:rsid w:val="00402AFF"/>
    <w:rsid w:val="004030C6"/>
    <w:rsid w:val="00403120"/>
    <w:rsid w:val="00403138"/>
    <w:rsid w:val="00403C5D"/>
    <w:rsid w:val="00403CC1"/>
    <w:rsid w:val="00404258"/>
    <w:rsid w:val="004044F6"/>
    <w:rsid w:val="004050CA"/>
    <w:rsid w:val="004051C5"/>
    <w:rsid w:val="0040576B"/>
    <w:rsid w:val="00405BB5"/>
    <w:rsid w:val="004064BB"/>
    <w:rsid w:val="00407A63"/>
    <w:rsid w:val="00407DA0"/>
    <w:rsid w:val="00407F47"/>
    <w:rsid w:val="004108EE"/>
    <w:rsid w:val="00410A26"/>
    <w:rsid w:val="00411AEF"/>
    <w:rsid w:val="00411D3B"/>
    <w:rsid w:val="00412639"/>
    <w:rsid w:val="004126CF"/>
    <w:rsid w:val="004130F0"/>
    <w:rsid w:val="0041315E"/>
    <w:rsid w:val="0041347C"/>
    <w:rsid w:val="0041364C"/>
    <w:rsid w:val="0041399D"/>
    <w:rsid w:val="00413A3C"/>
    <w:rsid w:val="00414140"/>
    <w:rsid w:val="00414615"/>
    <w:rsid w:val="00414C07"/>
    <w:rsid w:val="00414DBF"/>
    <w:rsid w:val="00414F01"/>
    <w:rsid w:val="00415157"/>
    <w:rsid w:val="00415845"/>
    <w:rsid w:val="00415B50"/>
    <w:rsid w:val="00415E10"/>
    <w:rsid w:val="0041627E"/>
    <w:rsid w:val="00416FA4"/>
    <w:rsid w:val="00417258"/>
    <w:rsid w:val="004173FC"/>
    <w:rsid w:val="00417742"/>
    <w:rsid w:val="004179AE"/>
    <w:rsid w:val="004179ED"/>
    <w:rsid w:val="0042062D"/>
    <w:rsid w:val="0042065C"/>
    <w:rsid w:val="00421406"/>
    <w:rsid w:val="00421934"/>
    <w:rsid w:val="00421B30"/>
    <w:rsid w:val="004223B8"/>
    <w:rsid w:val="00422492"/>
    <w:rsid w:val="004227A2"/>
    <w:rsid w:val="00422F0B"/>
    <w:rsid w:val="00423095"/>
    <w:rsid w:val="004238AD"/>
    <w:rsid w:val="00424939"/>
    <w:rsid w:val="00424B4A"/>
    <w:rsid w:val="004254E3"/>
    <w:rsid w:val="00425711"/>
    <w:rsid w:val="004258AF"/>
    <w:rsid w:val="00425D75"/>
    <w:rsid w:val="00425E3D"/>
    <w:rsid w:val="0042619D"/>
    <w:rsid w:val="004262EB"/>
    <w:rsid w:val="0042653B"/>
    <w:rsid w:val="00426880"/>
    <w:rsid w:val="00426A1A"/>
    <w:rsid w:val="0042727F"/>
    <w:rsid w:val="00430338"/>
    <w:rsid w:val="00430731"/>
    <w:rsid w:val="00430905"/>
    <w:rsid w:val="00430B04"/>
    <w:rsid w:val="00430C41"/>
    <w:rsid w:val="00430D55"/>
    <w:rsid w:val="004310CD"/>
    <w:rsid w:val="00431403"/>
    <w:rsid w:val="00431782"/>
    <w:rsid w:val="004319CE"/>
    <w:rsid w:val="00431D67"/>
    <w:rsid w:val="004320E9"/>
    <w:rsid w:val="004325CD"/>
    <w:rsid w:val="00433010"/>
    <w:rsid w:val="00433173"/>
    <w:rsid w:val="00433341"/>
    <w:rsid w:val="00433644"/>
    <w:rsid w:val="004339A0"/>
    <w:rsid w:val="00433EDB"/>
    <w:rsid w:val="004342BE"/>
    <w:rsid w:val="00434883"/>
    <w:rsid w:val="00434C0C"/>
    <w:rsid w:val="00434C70"/>
    <w:rsid w:val="00434D82"/>
    <w:rsid w:val="0043531D"/>
    <w:rsid w:val="0043695F"/>
    <w:rsid w:val="00436F1A"/>
    <w:rsid w:val="00436FE2"/>
    <w:rsid w:val="00437AEF"/>
    <w:rsid w:val="00437C76"/>
    <w:rsid w:val="00437CD7"/>
    <w:rsid w:val="00440085"/>
    <w:rsid w:val="004408EA"/>
    <w:rsid w:val="004409CB"/>
    <w:rsid w:val="00441B22"/>
    <w:rsid w:val="00441F75"/>
    <w:rsid w:val="00442DB0"/>
    <w:rsid w:val="00443027"/>
    <w:rsid w:val="004431C8"/>
    <w:rsid w:val="00443873"/>
    <w:rsid w:val="00443F9D"/>
    <w:rsid w:val="00443FDE"/>
    <w:rsid w:val="00444AB0"/>
    <w:rsid w:val="00444C93"/>
    <w:rsid w:val="004451E7"/>
    <w:rsid w:val="00445AD1"/>
    <w:rsid w:val="00446C43"/>
    <w:rsid w:val="004478A0"/>
    <w:rsid w:val="00447A3C"/>
    <w:rsid w:val="00447C5B"/>
    <w:rsid w:val="00447C71"/>
    <w:rsid w:val="00450795"/>
    <w:rsid w:val="00450D08"/>
    <w:rsid w:val="00451408"/>
    <w:rsid w:val="00451A63"/>
    <w:rsid w:val="0045378C"/>
    <w:rsid w:val="00453837"/>
    <w:rsid w:val="0045389C"/>
    <w:rsid w:val="004541EA"/>
    <w:rsid w:val="004542BC"/>
    <w:rsid w:val="0045471B"/>
    <w:rsid w:val="00454889"/>
    <w:rsid w:val="0045488A"/>
    <w:rsid w:val="00454BD4"/>
    <w:rsid w:val="00454D35"/>
    <w:rsid w:val="004550CE"/>
    <w:rsid w:val="004551F9"/>
    <w:rsid w:val="00455D67"/>
    <w:rsid w:val="004560B6"/>
    <w:rsid w:val="004566D9"/>
    <w:rsid w:val="00456902"/>
    <w:rsid w:val="00456AC5"/>
    <w:rsid w:val="00456D9B"/>
    <w:rsid w:val="00456E2C"/>
    <w:rsid w:val="00457261"/>
    <w:rsid w:val="0045737B"/>
    <w:rsid w:val="00457631"/>
    <w:rsid w:val="004601C6"/>
    <w:rsid w:val="00460316"/>
    <w:rsid w:val="00460492"/>
    <w:rsid w:val="00460D28"/>
    <w:rsid w:val="00460E35"/>
    <w:rsid w:val="00460E61"/>
    <w:rsid w:val="004617FB"/>
    <w:rsid w:val="00461D80"/>
    <w:rsid w:val="00461EB3"/>
    <w:rsid w:val="00461F38"/>
    <w:rsid w:val="00462845"/>
    <w:rsid w:val="0046288C"/>
    <w:rsid w:val="00462A3C"/>
    <w:rsid w:val="00462B00"/>
    <w:rsid w:val="00462C65"/>
    <w:rsid w:val="00462F79"/>
    <w:rsid w:val="00463150"/>
    <w:rsid w:val="004632A0"/>
    <w:rsid w:val="00464223"/>
    <w:rsid w:val="00464637"/>
    <w:rsid w:val="00464D36"/>
    <w:rsid w:val="0046504D"/>
    <w:rsid w:val="004652DE"/>
    <w:rsid w:val="00465DB4"/>
    <w:rsid w:val="0046624F"/>
    <w:rsid w:val="004664A5"/>
    <w:rsid w:val="00466D22"/>
    <w:rsid w:val="00466F63"/>
    <w:rsid w:val="0047051E"/>
    <w:rsid w:val="00470EB3"/>
    <w:rsid w:val="00471797"/>
    <w:rsid w:val="0047215E"/>
    <w:rsid w:val="00472333"/>
    <w:rsid w:val="004723ED"/>
    <w:rsid w:val="00472585"/>
    <w:rsid w:val="0047290A"/>
    <w:rsid w:val="0047369F"/>
    <w:rsid w:val="00473A44"/>
    <w:rsid w:val="00473C23"/>
    <w:rsid w:val="004742D5"/>
    <w:rsid w:val="00474952"/>
    <w:rsid w:val="00474FCB"/>
    <w:rsid w:val="004750FB"/>
    <w:rsid w:val="00475401"/>
    <w:rsid w:val="00476900"/>
    <w:rsid w:val="00477482"/>
    <w:rsid w:val="0047797F"/>
    <w:rsid w:val="00477C69"/>
    <w:rsid w:val="0048026E"/>
    <w:rsid w:val="004805B8"/>
    <w:rsid w:val="00480712"/>
    <w:rsid w:val="00481D1E"/>
    <w:rsid w:val="00481F01"/>
    <w:rsid w:val="00482374"/>
    <w:rsid w:val="004823F5"/>
    <w:rsid w:val="004825DC"/>
    <w:rsid w:val="004827F0"/>
    <w:rsid w:val="00482F6A"/>
    <w:rsid w:val="004833F4"/>
    <w:rsid w:val="004836F7"/>
    <w:rsid w:val="00483E58"/>
    <w:rsid w:val="004840F1"/>
    <w:rsid w:val="00484696"/>
    <w:rsid w:val="00484DC6"/>
    <w:rsid w:val="00484F21"/>
    <w:rsid w:val="0048504A"/>
    <w:rsid w:val="00485515"/>
    <w:rsid w:val="004857A8"/>
    <w:rsid w:val="00485863"/>
    <w:rsid w:val="00485D49"/>
    <w:rsid w:val="00485F2C"/>
    <w:rsid w:val="0048642B"/>
    <w:rsid w:val="004868E1"/>
    <w:rsid w:val="0048695D"/>
    <w:rsid w:val="004869DB"/>
    <w:rsid w:val="00486BEF"/>
    <w:rsid w:val="00486E81"/>
    <w:rsid w:val="00487174"/>
    <w:rsid w:val="004879A2"/>
    <w:rsid w:val="00487B43"/>
    <w:rsid w:val="004905B0"/>
    <w:rsid w:val="0049083F"/>
    <w:rsid w:val="00490951"/>
    <w:rsid w:val="00491150"/>
    <w:rsid w:val="004917D0"/>
    <w:rsid w:val="004918AD"/>
    <w:rsid w:val="004918C1"/>
    <w:rsid w:val="00491993"/>
    <w:rsid w:val="00491CB5"/>
    <w:rsid w:val="00491DF0"/>
    <w:rsid w:val="004923C7"/>
    <w:rsid w:val="00492961"/>
    <w:rsid w:val="00492F0A"/>
    <w:rsid w:val="00493899"/>
    <w:rsid w:val="00493EF3"/>
    <w:rsid w:val="00494358"/>
    <w:rsid w:val="00494458"/>
    <w:rsid w:val="004948A8"/>
    <w:rsid w:val="00495373"/>
    <w:rsid w:val="0049554F"/>
    <w:rsid w:val="00495639"/>
    <w:rsid w:val="00495C77"/>
    <w:rsid w:val="0049600C"/>
    <w:rsid w:val="0049690A"/>
    <w:rsid w:val="00496C1C"/>
    <w:rsid w:val="004978ED"/>
    <w:rsid w:val="00497AB8"/>
    <w:rsid w:val="00497E3A"/>
    <w:rsid w:val="00497E7C"/>
    <w:rsid w:val="004A0D4A"/>
    <w:rsid w:val="004A1504"/>
    <w:rsid w:val="004A1772"/>
    <w:rsid w:val="004A20EB"/>
    <w:rsid w:val="004A22C7"/>
    <w:rsid w:val="004A2312"/>
    <w:rsid w:val="004A2721"/>
    <w:rsid w:val="004A2EC1"/>
    <w:rsid w:val="004A32C7"/>
    <w:rsid w:val="004A3CB6"/>
    <w:rsid w:val="004A3E36"/>
    <w:rsid w:val="004A44CB"/>
    <w:rsid w:val="004A4A7A"/>
    <w:rsid w:val="004A4AA2"/>
    <w:rsid w:val="004A4CE4"/>
    <w:rsid w:val="004A4FD2"/>
    <w:rsid w:val="004A55A1"/>
    <w:rsid w:val="004A56ED"/>
    <w:rsid w:val="004A5EA3"/>
    <w:rsid w:val="004A6594"/>
    <w:rsid w:val="004A6C3C"/>
    <w:rsid w:val="004A6EAE"/>
    <w:rsid w:val="004A7ADE"/>
    <w:rsid w:val="004A7FA7"/>
    <w:rsid w:val="004A7FE6"/>
    <w:rsid w:val="004B0102"/>
    <w:rsid w:val="004B03BE"/>
    <w:rsid w:val="004B063F"/>
    <w:rsid w:val="004B0844"/>
    <w:rsid w:val="004B0E85"/>
    <w:rsid w:val="004B1210"/>
    <w:rsid w:val="004B170F"/>
    <w:rsid w:val="004B1E8A"/>
    <w:rsid w:val="004B2BCD"/>
    <w:rsid w:val="004B2D0B"/>
    <w:rsid w:val="004B2FED"/>
    <w:rsid w:val="004B40F1"/>
    <w:rsid w:val="004B41E1"/>
    <w:rsid w:val="004B4313"/>
    <w:rsid w:val="004B433F"/>
    <w:rsid w:val="004B46F2"/>
    <w:rsid w:val="004B476A"/>
    <w:rsid w:val="004B4999"/>
    <w:rsid w:val="004B5239"/>
    <w:rsid w:val="004B5399"/>
    <w:rsid w:val="004B5583"/>
    <w:rsid w:val="004B5778"/>
    <w:rsid w:val="004B5C71"/>
    <w:rsid w:val="004B66EC"/>
    <w:rsid w:val="004B6702"/>
    <w:rsid w:val="004B6A15"/>
    <w:rsid w:val="004B6B80"/>
    <w:rsid w:val="004B7FCB"/>
    <w:rsid w:val="004C03A3"/>
    <w:rsid w:val="004C0893"/>
    <w:rsid w:val="004C0BEC"/>
    <w:rsid w:val="004C0C0E"/>
    <w:rsid w:val="004C0CAB"/>
    <w:rsid w:val="004C1751"/>
    <w:rsid w:val="004C2593"/>
    <w:rsid w:val="004C2C84"/>
    <w:rsid w:val="004C3774"/>
    <w:rsid w:val="004C383B"/>
    <w:rsid w:val="004C3A6A"/>
    <w:rsid w:val="004C43B9"/>
    <w:rsid w:val="004C4691"/>
    <w:rsid w:val="004C52BA"/>
    <w:rsid w:val="004C5661"/>
    <w:rsid w:val="004C57E3"/>
    <w:rsid w:val="004C58DF"/>
    <w:rsid w:val="004C596A"/>
    <w:rsid w:val="004C6E30"/>
    <w:rsid w:val="004C6F12"/>
    <w:rsid w:val="004C775D"/>
    <w:rsid w:val="004D05E8"/>
    <w:rsid w:val="004D0AAC"/>
    <w:rsid w:val="004D0E5B"/>
    <w:rsid w:val="004D1E7D"/>
    <w:rsid w:val="004D26D7"/>
    <w:rsid w:val="004D2868"/>
    <w:rsid w:val="004D2D86"/>
    <w:rsid w:val="004D30EF"/>
    <w:rsid w:val="004D3AB7"/>
    <w:rsid w:val="004D3C1F"/>
    <w:rsid w:val="004D4565"/>
    <w:rsid w:val="004D4B97"/>
    <w:rsid w:val="004D4D0E"/>
    <w:rsid w:val="004D524C"/>
    <w:rsid w:val="004D535E"/>
    <w:rsid w:val="004D537C"/>
    <w:rsid w:val="004D5450"/>
    <w:rsid w:val="004D54A6"/>
    <w:rsid w:val="004D6001"/>
    <w:rsid w:val="004D61B5"/>
    <w:rsid w:val="004D6495"/>
    <w:rsid w:val="004D6BB8"/>
    <w:rsid w:val="004D6DAA"/>
    <w:rsid w:val="004D76FD"/>
    <w:rsid w:val="004D7B40"/>
    <w:rsid w:val="004D7E2F"/>
    <w:rsid w:val="004E01E8"/>
    <w:rsid w:val="004E0C69"/>
    <w:rsid w:val="004E1331"/>
    <w:rsid w:val="004E1B02"/>
    <w:rsid w:val="004E22DB"/>
    <w:rsid w:val="004E2888"/>
    <w:rsid w:val="004E2A67"/>
    <w:rsid w:val="004E2B7D"/>
    <w:rsid w:val="004E2B8F"/>
    <w:rsid w:val="004E32EA"/>
    <w:rsid w:val="004E4EEC"/>
    <w:rsid w:val="004E55AB"/>
    <w:rsid w:val="004E58DC"/>
    <w:rsid w:val="004E58F4"/>
    <w:rsid w:val="004E6082"/>
    <w:rsid w:val="004E65EB"/>
    <w:rsid w:val="004E6B57"/>
    <w:rsid w:val="004E6C01"/>
    <w:rsid w:val="004E6D16"/>
    <w:rsid w:val="004E6DA0"/>
    <w:rsid w:val="004E6F15"/>
    <w:rsid w:val="004E7D27"/>
    <w:rsid w:val="004E7E42"/>
    <w:rsid w:val="004F0208"/>
    <w:rsid w:val="004F0930"/>
    <w:rsid w:val="004F0E69"/>
    <w:rsid w:val="004F10C7"/>
    <w:rsid w:val="004F1370"/>
    <w:rsid w:val="004F170B"/>
    <w:rsid w:val="004F2350"/>
    <w:rsid w:val="004F2EB6"/>
    <w:rsid w:val="004F2F54"/>
    <w:rsid w:val="004F34CC"/>
    <w:rsid w:val="004F37CB"/>
    <w:rsid w:val="004F39BF"/>
    <w:rsid w:val="004F3D21"/>
    <w:rsid w:val="004F3D59"/>
    <w:rsid w:val="004F4664"/>
    <w:rsid w:val="004F4A2E"/>
    <w:rsid w:val="004F4AF9"/>
    <w:rsid w:val="004F4BD8"/>
    <w:rsid w:val="004F4CCC"/>
    <w:rsid w:val="004F4D2A"/>
    <w:rsid w:val="004F5E8F"/>
    <w:rsid w:val="004F64B4"/>
    <w:rsid w:val="004F65E7"/>
    <w:rsid w:val="004F6900"/>
    <w:rsid w:val="004F6C15"/>
    <w:rsid w:val="004F745D"/>
    <w:rsid w:val="004F7B08"/>
    <w:rsid w:val="004F7BB5"/>
    <w:rsid w:val="004F7FB6"/>
    <w:rsid w:val="0050030B"/>
    <w:rsid w:val="00500346"/>
    <w:rsid w:val="0050083A"/>
    <w:rsid w:val="00500CC2"/>
    <w:rsid w:val="00500DB7"/>
    <w:rsid w:val="0050154C"/>
    <w:rsid w:val="00501D9E"/>
    <w:rsid w:val="005029B5"/>
    <w:rsid w:val="00503032"/>
    <w:rsid w:val="005032CE"/>
    <w:rsid w:val="005035D4"/>
    <w:rsid w:val="00503E19"/>
    <w:rsid w:val="0050429B"/>
    <w:rsid w:val="005044CB"/>
    <w:rsid w:val="00504A48"/>
    <w:rsid w:val="00504A6B"/>
    <w:rsid w:val="00505553"/>
    <w:rsid w:val="00505B44"/>
    <w:rsid w:val="00505E33"/>
    <w:rsid w:val="00505ECE"/>
    <w:rsid w:val="00505ED6"/>
    <w:rsid w:val="00505FCE"/>
    <w:rsid w:val="0050628C"/>
    <w:rsid w:val="00506B65"/>
    <w:rsid w:val="00506F90"/>
    <w:rsid w:val="005078E8"/>
    <w:rsid w:val="00507FA4"/>
    <w:rsid w:val="00507FB8"/>
    <w:rsid w:val="00510500"/>
    <w:rsid w:val="00511508"/>
    <w:rsid w:val="00511536"/>
    <w:rsid w:val="00511E0F"/>
    <w:rsid w:val="00512029"/>
    <w:rsid w:val="00512798"/>
    <w:rsid w:val="0051291D"/>
    <w:rsid w:val="00512977"/>
    <w:rsid w:val="00512D99"/>
    <w:rsid w:val="005130B2"/>
    <w:rsid w:val="005132F5"/>
    <w:rsid w:val="005137AB"/>
    <w:rsid w:val="005148CE"/>
    <w:rsid w:val="00514C0E"/>
    <w:rsid w:val="00514D21"/>
    <w:rsid w:val="00514D24"/>
    <w:rsid w:val="00514D7D"/>
    <w:rsid w:val="0051538C"/>
    <w:rsid w:val="005157B9"/>
    <w:rsid w:val="0051581F"/>
    <w:rsid w:val="005158F5"/>
    <w:rsid w:val="00515900"/>
    <w:rsid w:val="0051626B"/>
    <w:rsid w:val="0051673F"/>
    <w:rsid w:val="00516A16"/>
    <w:rsid w:val="00516A7E"/>
    <w:rsid w:val="0051781C"/>
    <w:rsid w:val="005178D6"/>
    <w:rsid w:val="00517962"/>
    <w:rsid w:val="0052006F"/>
    <w:rsid w:val="00520D2F"/>
    <w:rsid w:val="00520E15"/>
    <w:rsid w:val="0052122A"/>
    <w:rsid w:val="0052164E"/>
    <w:rsid w:val="0052267C"/>
    <w:rsid w:val="00522A9F"/>
    <w:rsid w:val="00522F00"/>
    <w:rsid w:val="00523039"/>
    <w:rsid w:val="00523271"/>
    <w:rsid w:val="005233EE"/>
    <w:rsid w:val="00523479"/>
    <w:rsid w:val="00523A62"/>
    <w:rsid w:val="00524214"/>
    <w:rsid w:val="00524583"/>
    <w:rsid w:val="005245CA"/>
    <w:rsid w:val="005253C8"/>
    <w:rsid w:val="00525491"/>
    <w:rsid w:val="00525560"/>
    <w:rsid w:val="00525567"/>
    <w:rsid w:val="00525897"/>
    <w:rsid w:val="00525F46"/>
    <w:rsid w:val="00525FAF"/>
    <w:rsid w:val="0052740F"/>
    <w:rsid w:val="00527AE7"/>
    <w:rsid w:val="00530297"/>
    <w:rsid w:val="00530627"/>
    <w:rsid w:val="00530C51"/>
    <w:rsid w:val="005311B8"/>
    <w:rsid w:val="005316C5"/>
    <w:rsid w:val="00531E5E"/>
    <w:rsid w:val="00532107"/>
    <w:rsid w:val="005322AD"/>
    <w:rsid w:val="005323C2"/>
    <w:rsid w:val="005324E6"/>
    <w:rsid w:val="00532517"/>
    <w:rsid w:val="005327A2"/>
    <w:rsid w:val="0053280F"/>
    <w:rsid w:val="00532D54"/>
    <w:rsid w:val="00532F70"/>
    <w:rsid w:val="005359D6"/>
    <w:rsid w:val="00535A57"/>
    <w:rsid w:val="00536035"/>
    <w:rsid w:val="00536C0D"/>
    <w:rsid w:val="00536C3F"/>
    <w:rsid w:val="00536CC1"/>
    <w:rsid w:val="005372FE"/>
    <w:rsid w:val="00537558"/>
    <w:rsid w:val="00537618"/>
    <w:rsid w:val="0053781A"/>
    <w:rsid w:val="00537CDB"/>
    <w:rsid w:val="00537D59"/>
    <w:rsid w:val="00540217"/>
    <w:rsid w:val="0054030F"/>
    <w:rsid w:val="00540794"/>
    <w:rsid w:val="00540899"/>
    <w:rsid w:val="00541138"/>
    <w:rsid w:val="0054127A"/>
    <w:rsid w:val="0054150B"/>
    <w:rsid w:val="0054156D"/>
    <w:rsid w:val="00541F5E"/>
    <w:rsid w:val="00542B06"/>
    <w:rsid w:val="00542BFB"/>
    <w:rsid w:val="00542D82"/>
    <w:rsid w:val="0054322E"/>
    <w:rsid w:val="0054413D"/>
    <w:rsid w:val="0054424A"/>
    <w:rsid w:val="00544285"/>
    <w:rsid w:val="0054440C"/>
    <w:rsid w:val="0054452D"/>
    <w:rsid w:val="0054482C"/>
    <w:rsid w:val="00544FFF"/>
    <w:rsid w:val="005452B4"/>
    <w:rsid w:val="00545411"/>
    <w:rsid w:val="00545631"/>
    <w:rsid w:val="00545CFE"/>
    <w:rsid w:val="00546448"/>
    <w:rsid w:val="005467A3"/>
    <w:rsid w:val="0054715C"/>
    <w:rsid w:val="005471D5"/>
    <w:rsid w:val="0054720C"/>
    <w:rsid w:val="00547BB4"/>
    <w:rsid w:val="00547C06"/>
    <w:rsid w:val="00547DE9"/>
    <w:rsid w:val="00547F83"/>
    <w:rsid w:val="0055039C"/>
    <w:rsid w:val="0055078D"/>
    <w:rsid w:val="00550952"/>
    <w:rsid w:val="005509AB"/>
    <w:rsid w:val="00550B12"/>
    <w:rsid w:val="005512C3"/>
    <w:rsid w:val="00551414"/>
    <w:rsid w:val="00551423"/>
    <w:rsid w:val="0055187A"/>
    <w:rsid w:val="0055193A"/>
    <w:rsid w:val="00551B62"/>
    <w:rsid w:val="005520DA"/>
    <w:rsid w:val="00553492"/>
    <w:rsid w:val="00553A82"/>
    <w:rsid w:val="00553F72"/>
    <w:rsid w:val="00554149"/>
    <w:rsid w:val="00554231"/>
    <w:rsid w:val="00554EA0"/>
    <w:rsid w:val="00554EEC"/>
    <w:rsid w:val="00555B13"/>
    <w:rsid w:val="00555ED9"/>
    <w:rsid w:val="0055683F"/>
    <w:rsid w:val="00556871"/>
    <w:rsid w:val="00556C9C"/>
    <w:rsid w:val="00556D4B"/>
    <w:rsid w:val="00556E05"/>
    <w:rsid w:val="00557308"/>
    <w:rsid w:val="00557424"/>
    <w:rsid w:val="005575F5"/>
    <w:rsid w:val="005578DE"/>
    <w:rsid w:val="00557DBD"/>
    <w:rsid w:val="005600EC"/>
    <w:rsid w:val="0056060E"/>
    <w:rsid w:val="00560935"/>
    <w:rsid w:val="00560FC2"/>
    <w:rsid w:val="0056148D"/>
    <w:rsid w:val="00561ED6"/>
    <w:rsid w:val="00562F2D"/>
    <w:rsid w:val="00563190"/>
    <w:rsid w:val="00563E47"/>
    <w:rsid w:val="005645AC"/>
    <w:rsid w:val="00564A66"/>
    <w:rsid w:val="00564E47"/>
    <w:rsid w:val="00564F17"/>
    <w:rsid w:val="0056543C"/>
    <w:rsid w:val="00565AF5"/>
    <w:rsid w:val="00565EC3"/>
    <w:rsid w:val="005661D8"/>
    <w:rsid w:val="00566AF0"/>
    <w:rsid w:val="00566C20"/>
    <w:rsid w:val="0056705F"/>
    <w:rsid w:val="0056736F"/>
    <w:rsid w:val="005675EC"/>
    <w:rsid w:val="00567BA2"/>
    <w:rsid w:val="00570955"/>
    <w:rsid w:val="00570AFE"/>
    <w:rsid w:val="00570E4F"/>
    <w:rsid w:val="00570F11"/>
    <w:rsid w:val="00571258"/>
    <w:rsid w:val="00571335"/>
    <w:rsid w:val="0057143F"/>
    <w:rsid w:val="00571F46"/>
    <w:rsid w:val="00572488"/>
    <w:rsid w:val="00572951"/>
    <w:rsid w:val="00573082"/>
    <w:rsid w:val="0057310A"/>
    <w:rsid w:val="00573123"/>
    <w:rsid w:val="00573689"/>
    <w:rsid w:val="00573914"/>
    <w:rsid w:val="00573A89"/>
    <w:rsid w:val="00574118"/>
    <w:rsid w:val="005743A1"/>
    <w:rsid w:val="005745BA"/>
    <w:rsid w:val="00574839"/>
    <w:rsid w:val="00574B3E"/>
    <w:rsid w:val="00574BC3"/>
    <w:rsid w:val="00574CBA"/>
    <w:rsid w:val="00574D1F"/>
    <w:rsid w:val="00574D45"/>
    <w:rsid w:val="00574DEF"/>
    <w:rsid w:val="00574E76"/>
    <w:rsid w:val="00575316"/>
    <w:rsid w:val="00575789"/>
    <w:rsid w:val="00575BA6"/>
    <w:rsid w:val="00575C82"/>
    <w:rsid w:val="005761FC"/>
    <w:rsid w:val="00576801"/>
    <w:rsid w:val="0057748C"/>
    <w:rsid w:val="00577B55"/>
    <w:rsid w:val="00577DB3"/>
    <w:rsid w:val="005802F6"/>
    <w:rsid w:val="00580493"/>
    <w:rsid w:val="00580541"/>
    <w:rsid w:val="005807D8"/>
    <w:rsid w:val="00580AC3"/>
    <w:rsid w:val="0058145C"/>
    <w:rsid w:val="005819F6"/>
    <w:rsid w:val="00581DC2"/>
    <w:rsid w:val="00582594"/>
    <w:rsid w:val="00582CC6"/>
    <w:rsid w:val="00582CF2"/>
    <w:rsid w:val="00582EEB"/>
    <w:rsid w:val="005835DA"/>
    <w:rsid w:val="00583785"/>
    <w:rsid w:val="00583DF5"/>
    <w:rsid w:val="00584115"/>
    <w:rsid w:val="0058585A"/>
    <w:rsid w:val="005863E4"/>
    <w:rsid w:val="0058671D"/>
    <w:rsid w:val="00586E39"/>
    <w:rsid w:val="0058754B"/>
    <w:rsid w:val="00587915"/>
    <w:rsid w:val="00587C57"/>
    <w:rsid w:val="00587E83"/>
    <w:rsid w:val="00590128"/>
    <w:rsid w:val="005901E2"/>
    <w:rsid w:val="00590572"/>
    <w:rsid w:val="0059094F"/>
    <w:rsid w:val="005916EB"/>
    <w:rsid w:val="00591C29"/>
    <w:rsid w:val="00592093"/>
    <w:rsid w:val="005920E3"/>
    <w:rsid w:val="00592141"/>
    <w:rsid w:val="00592212"/>
    <w:rsid w:val="00592651"/>
    <w:rsid w:val="005927B5"/>
    <w:rsid w:val="00593023"/>
    <w:rsid w:val="0059353C"/>
    <w:rsid w:val="00593E05"/>
    <w:rsid w:val="005940E4"/>
    <w:rsid w:val="00594A32"/>
    <w:rsid w:val="00594DE9"/>
    <w:rsid w:val="005952C0"/>
    <w:rsid w:val="00595BB9"/>
    <w:rsid w:val="00595F90"/>
    <w:rsid w:val="00596AB0"/>
    <w:rsid w:val="00596BEB"/>
    <w:rsid w:val="00596FDD"/>
    <w:rsid w:val="005972D4"/>
    <w:rsid w:val="00597754"/>
    <w:rsid w:val="005978BA"/>
    <w:rsid w:val="00597A4B"/>
    <w:rsid w:val="00597BEC"/>
    <w:rsid w:val="005A0092"/>
    <w:rsid w:val="005A02DB"/>
    <w:rsid w:val="005A04DE"/>
    <w:rsid w:val="005A062F"/>
    <w:rsid w:val="005A06A5"/>
    <w:rsid w:val="005A0A5F"/>
    <w:rsid w:val="005A1379"/>
    <w:rsid w:val="005A13D2"/>
    <w:rsid w:val="005A19C9"/>
    <w:rsid w:val="005A1AE4"/>
    <w:rsid w:val="005A22B6"/>
    <w:rsid w:val="005A28C1"/>
    <w:rsid w:val="005A2AB1"/>
    <w:rsid w:val="005A32D6"/>
    <w:rsid w:val="005A3B6E"/>
    <w:rsid w:val="005A3C16"/>
    <w:rsid w:val="005A44AC"/>
    <w:rsid w:val="005A4861"/>
    <w:rsid w:val="005A4875"/>
    <w:rsid w:val="005A488D"/>
    <w:rsid w:val="005A4ED8"/>
    <w:rsid w:val="005A512D"/>
    <w:rsid w:val="005A51C1"/>
    <w:rsid w:val="005A5423"/>
    <w:rsid w:val="005A5807"/>
    <w:rsid w:val="005A6B34"/>
    <w:rsid w:val="005A7358"/>
    <w:rsid w:val="005A73D2"/>
    <w:rsid w:val="005A75B4"/>
    <w:rsid w:val="005A7909"/>
    <w:rsid w:val="005A7955"/>
    <w:rsid w:val="005B0B60"/>
    <w:rsid w:val="005B1872"/>
    <w:rsid w:val="005B1E9C"/>
    <w:rsid w:val="005B1F88"/>
    <w:rsid w:val="005B2908"/>
    <w:rsid w:val="005B2FAE"/>
    <w:rsid w:val="005B3102"/>
    <w:rsid w:val="005B3B2F"/>
    <w:rsid w:val="005B4D7B"/>
    <w:rsid w:val="005B4FF2"/>
    <w:rsid w:val="005B525E"/>
    <w:rsid w:val="005B530A"/>
    <w:rsid w:val="005B56EF"/>
    <w:rsid w:val="005B593A"/>
    <w:rsid w:val="005B5B24"/>
    <w:rsid w:val="005B5D76"/>
    <w:rsid w:val="005B5EFE"/>
    <w:rsid w:val="005B5F0E"/>
    <w:rsid w:val="005B7120"/>
    <w:rsid w:val="005B72CD"/>
    <w:rsid w:val="005C02F6"/>
    <w:rsid w:val="005C0719"/>
    <w:rsid w:val="005C0829"/>
    <w:rsid w:val="005C0AE2"/>
    <w:rsid w:val="005C0C3E"/>
    <w:rsid w:val="005C0E65"/>
    <w:rsid w:val="005C194B"/>
    <w:rsid w:val="005C19B4"/>
    <w:rsid w:val="005C1F40"/>
    <w:rsid w:val="005C2112"/>
    <w:rsid w:val="005C23C4"/>
    <w:rsid w:val="005C2B78"/>
    <w:rsid w:val="005C3214"/>
    <w:rsid w:val="005C3426"/>
    <w:rsid w:val="005C3584"/>
    <w:rsid w:val="005C368A"/>
    <w:rsid w:val="005C3BEB"/>
    <w:rsid w:val="005C426C"/>
    <w:rsid w:val="005C4A1C"/>
    <w:rsid w:val="005C4BE2"/>
    <w:rsid w:val="005C5003"/>
    <w:rsid w:val="005C64C8"/>
    <w:rsid w:val="005C7839"/>
    <w:rsid w:val="005C78F3"/>
    <w:rsid w:val="005C7B91"/>
    <w:rsid w:val="005C7EE9"/>
    <w:rsid w:val="005D03BA"/>
    <w:rsid w:val="005D04BD"/>
    <w:rsid w:val="005D05D1"/>
    <w:rsid w:val="005D066A"/>
    <w:rsid w:val="005D0D16"/>
    <w:rsid w:val="005D1D66"/>
    <w:rsid w:val="005D2B20"/>
    <w:rsid w:val="005D3F0F"/>
    <w:rsid w:val="005D3F19"/>
    <w:rsid w:val="005D3FA0"/>
    <w:rsid w:val="005D4053"/>
    <w:rsid w:val="005D42CE"/>
    <w:rsid w:val="005D473C"/>
    <w:rsid w:val="005D4A27"/>
    <w:rsid w:val="005D4AEB"/>
    <w:rsid w:val="005D4B0F"/>
    <w:rsid w:val="005D5821"/>
    <w:rsid w:val="005D5991"/>
    <w:rsid w:val="005D5E11"/>
    <w:rsid w:val="005D61B7"/>
    <w:rsid w:val="005D61CC"/>
    <w:rsid w:val="005D62D7"/>
    <w:rsid w:val="005D6526"/>
    <w:rsid w:val="005D6824"/>
    <w:rsid w:val="005D6882"/>
    <w:rsid w:val="005D6DD0"/>
    <w:rsid w:val="005D6FEC"/>
    <w:rsid w:val="005D7271"/>
    <w:rsid w:val="005D77B0"/>
    <w:rsid w:val="005E00F8"/>
    <w:rsid w:val="005E01B9"/>
    <w:rsid w:val="005E0576"/>
    <w:rsid w:val="005E06E5"/>
    <w:rsid w:val="005E0BFE"/>
    <w:rsid w:val="005E14CB"/>
    <w:rsid w:val="005E188A"/>
    <w:rsid w:val="005E1EDD"/>
    <w:rsid w:val="005E2384"/>
    <w:rsid w:val="005E2406"/>
    <w:rsid w:val="005E2716"/>
    <w:rsid w:val="005E2924"/>
    <w:rsid w:val="005E2AD2"/>
    <w:rsid w:val="005E2DC9"/>
    <w:rsid w:val="005E2E5E"/>
    <w:rsid w:val="005E30A7"/>
    <w:rsid w:val="005E31BB"/>
    <w:rsid w:val="005E45D2"/>
    <w:rsid w:val="005E47A0"/>
    <w:rsid w:val="005E4E41"/>
    <w:rsid w:val="005E516B"/>
    <w:rsid w:val="005E51DA"/>
    <w:rsid w:val="005E5277"/>
    <w:rsid w:val="005E55FF"/>
    <w:rsid w:val="005E5832"/>
    <w:rsid w:val="005E5A26"/>
    <w:rsid w:val="005E5C95"/>
    <w:rsid w:val="005E7397"/>
    <w:rsid w:val="005E7664"/>
    <w:rsid w:val="005E789E"/>
    <w:rsid w:val="005E7B79"/>
    <w:rsid w:val="005F00D5"/>
    <w:rsid w:val="005F0C85"/>
    <w:rsid w:val="005F1440"/>
    <w:rsid w:val="005F14D8"/>
    <w:rsid w:val="005F28A0"/>
    <w:rsid w:val="005F2EF6"/>
    <w:rsid w:val="005F30E5"/>
    <w:rsid w:val="005F331B"/>
    <w:rsid w:val="005F367A"/>
    <w:rsid w:val="005F369E"/>
    <w:rsid w:val="005F37D1"/>
    <w:rsid w:val="005F3A9A"/>
    <w:rsid w:val="005F3BB6"/>
    <w:rsid w:val="005F3E37"/>
    <w:rsid w:val="005F3ECF"/>
    <w:rsid w:val="005F43CE"/>
    <w:rsid w:val="005F48A3"/>
    <w:rsid w:val="005F5363"/>
    <w:rsid w:val="005F5428"/>
    <w:rsid w:val="005F55ED"/>
    <w:rsid w:val="005F58E0"/>
    <w:rsid w:val="005F6799"/>
    <w:rsid w:val="005F6CAA"/>
    <w:rsid w:val="005F6E2E"/>
    <w:rsid w:val="005F7B55"/>
    <w:rsid w:val="005F7C34"/>
    <w:rsid w:val="0060003C"/>
    <w:rsid w:val="0060020D"/>
    <w:rsid w:val="00600353"/>
    <w:rsid w:val="006005DB"/>
    <w:rsid w:val="00600BE9"/>
    <w:rsid w:val="00600E7E"/>
    <w:rsid w:val="00601A22"/>
    <w:rsid w:val="0060232A"/>
    <w:rsid w:val="006030BF"/>
    <w:rsid w:val="0060341D"/>
    <w:rsid w:val="006035DB"/>
    <w:rsid w:val="00603C0E"/>
    <w:rsid w:val="00603CAE"/>
    <w:rsid w:val="006040BE"/>
    <w:rsid w:val="006049DC"/>
    <w:rsid w:val="006050C6"/>
    <w:rsid w:val="00605438"/>
    <w:rsid w:val="00605AC2"/>
    <w:rsid w:val="0060622B"/>
    <w:rsid w:val="0060729E"/>
    <w:rsid w:val="006075A0"/>
    <w:rsid w:val="006079D7"/>
    <w:rsid w:val="006102A7"/>
    <w:rsid w:val="00610395"/>
    <w:rsid w:val="006107AF"/>
    <w:rsid w:val="00610D69"/>
    <w:rsid w:val="00611A42"/>
    <w:rsid w:val="00611FA9"/>
    <w:rsid w:val="006124A8"/>
    <w:rsid w:val="0061255D"/>
    <w:rsid w:val="006128A8"/>
    <w:rsid w:val="00612C03"/>
    <w:rsid w:val="00612D4B"/>
    <w:rsid w:val="006130A3"/>
    <w:rsid w:val="00613615"/>
    <w:rsid w:val="00613932"/>
    <w:rsid w:val="00613A8C"/>
    <w:rsid w:val="0061427C"/>
    <w:rsid w:val="0061463A"/>
    <w:rsid w:val="00614736"/>
    <w:rsid w:val="006148F3"/>
    <w:rsid w:val="006153BB"/>
    <w:rsid w:val="006158A3"/>
    <w:rsid w:val="00616392"/>
    <w:rsid w:val="006167EA"/>
    <w:rsid w:val="00616973"/>
    <w:rsid w:val="00617154"/>
    <w:rsid w:val="0061736F"/>
    <w:rsid w:val="00617D0B"/>
    <w:rsid w:val="00620075"/>
    <w:rsid w:val="00620BC1"/>
    <w:rsid w:val="00620D60"/>
    <w:rsid w:val="00621114"/>
    <w:rsid w:val="00621645"/>
    <w:rsid w:val="00621940"/>
    <w:rsid w:val="00621F9F"/>
    <w:rsid w:val="006220B4"/>
    <w:rsid w:val="006224C1"/>
    <w:rsid w:val="00622783"/>
    <w:rsid w:val="00622838"/>
    <w:rsid w:val="00622A80"/>
    <w:rsid w:val="00622E01"/>
    <w:rsid w:val="00623317"/>
    <w:rsid w:val="00623ED2"/>
    <w:rsid w:val="006240F2"/>
    <w:rsid w:val="00624276"/>
    <w:rsid w:val="006246D3"/>
    <w:rsid w:val="00624D2C"/>
    <w:rsid w:val="00625684"/>
    <w:rsid w:val="00625D8C"/>
    <w:rsid w:val="006264DD"/>
    <w:rsid w:val="006272BC"/>
    <w:rsid w:val="006273F5"/>
    <w:rsid w:val="006274A4"/>
    <w:rsid w:val="00627559"/>
    <w:rsid w:val="00627E21"/>
    <w:rsid w:val="00630011"/>
    <w:rsid w:val="00630EC6"/>
    <w:rsid w:val="006315FD"/>
    <w:rsid w:val="00631679"/>
    <w:rsid w:val="00631B2E"/>
    <w:rsid w:val="00631FB1"/>
    <w:rsid w:val="00632D17"/>
    <w:rsid w:val="00632D95"/>
    <w:rsid w:val="00633072"/>
    <w:rsid w:val="0063346C"/>
    <w:rsid w:val="00633836"/>
    <w:rsid w:val="006339FD"/>
    <w:rsid w:val="00633F2B"/>
    <w:rsid w:val="00634721"/>
    <w:rsid w:val="00634DE8"/>
    <w:rsid w:val="00635294"/>
    <w:rsid w:val="0063529C"/>
    <w:rsid w:val="0063594F"/>
    <w:rsid w:val="0063598B"/>
    <w:rsid w:val="00635B89"/>
    <w:rsid w:val="00635F57"/>
    <w:rsid w:val="00635F70"/>
    <w:rsid w:val="00635FA6"/>
    <w:rsid w:val="00636686"/>
    <w:rsid w:val="006366AF"/>
    <w:rsid w:val="00636807"/>
    <w:rsid w:val="00636B0E"/>
    <w:rsid w:val="00636FC2"/>
    <w:rsid w:val="0063702B"/>
    <w:rsid w:val="0063727C"/>
    <w:rsid w:val="0063797E"/>
    <w:rsid w:val="00637C75"/>
    <w:rsid w:val="00637ECE"/>
    <w:rsid w:val="00637F32"/>
    <w:rsid w:val="00640128"/>
    <w:rsid w:val="00640544"/>
    <w:rsid w:val="006409A4"/>
    <w:rsid w:val="00640C45"/>
    <w:rsid w:val="00640E4B"/>
    <w:rsid w:val="00641BFF"/>
    <w:rsid w:val="00642382"/>
    <w:rsid w:val="00643451"/>
    <w:rsid w:val="00643489"/>
    <w:rsid w:val="00643749"/>
    <w:rsid w:val="00643860"/>
    <w:rsid w:val="006439F9"/>
    <w:rsid w:val="00643A95"/>
    <w:rsid w:val="0064492E"/>
    <w:rsid w:val="00645556"/>
    <w:rsid w:val="006459C3"/>
    <w:rsid w:val="00645FB2"/>
    <w:rsid w:val="0064686B"/>
    <w:rsid w:val="00646EBE"/>
    <w:rsid w:val="00646EC7"/>
    <w:rsid w:val="00647202"/>
    <w:rsid w:val="00647357"/>
    <w:rsid w:val="0064741A"/>
    <w:rsid w:val="006507E9"/>
    <w:rsid w:val="00650EF6"/>
    <w:rsid w:val="006519B4"/>
    <w:rsid w:val="006522AE"/>
    <w:rsid w:val="00652762"/>
    <w:rsid w:val="0065278D"/>
    <w:rsid w:val="00653C01"/>
    <w:rsid w:val="00653CAC"/>
    <w:rsid w:val="0065406B"/>
    <w:rsid w:val="00654120"/>
    <w:rsid w:val="00654E4C"/>
    <w:rsid w:val="00654E64"/>
    <w:rsid w:val="006550C4"/>
    <w:rsid w:val="006551F5"/>
    <w:rsid w:val="006552FE"/>
    <w:rsid w:val="00655560"/>
    <w:rsid w:val="0065559F"/>
    <w:rsid w:val="006556D7"/>
    <w:rsid w:val="006557BF"/>
    <w:rsid w:val="006558A7"/>
    <w:rsid w:val="00655D27"/>
    <w:rsid w:val="00655F4D"/>
    <w:rsid w:val="0065654B"/>
    <w:rsid w:val="006565E5"/>
    <w:rsid w:val="006566F0"/>
    <w:rsid w:val="00656C63"/>
    <w:rsid w:val="00656D7E"/>
    <w:rsid w:val="00657391"/>
    <w:rsid w:val="00657C72"/>
    <w:rsid w:val="00657D56"/>
    <w:rsid w:val="00657EB2"/>
    <w:rsid w:val="006600C5"/>
    <w:rsid w:val="006603DE"/>
    <w:rsid w:val="00660637"/>
    <w:rsid w:val="00660DB7"/>
    <w:rsid w:val="0066147C"/>
    <w:rsid w:val="00661650"/>
    <w:rsid w:val="00661CDD"/>
    <w:rsid w:val="00661DF4"/>
    <w:rsid w:val="00661EDB"/>
    <w:rsid w:val="00662232"/>
    <w:rsid w:val="006623C8"/>
    <w:rsid w:val="0066251A"/>
    <w:rsid w:val="006625DF"/>
    <w:rsid w:val="0066332E"/>
    <w:rsid w:val="00663DB2"/>
    <w:rsid w:val="006642C6"/>
    <w:rsid w:val="006648D3"/>
    <w:rsid w:val="006649A6"/>
    <w:rsid w:val="00664AFA"/>
    <w:rsid w:val="00664C74"/>
    <w:rsid w:val="0066512B"/>
    <w:rsid w:val="00665AB0"/>
    <w:rsid w:val="00665FF2"/>
    <w:rsid w:val="006662AE"/>
    <w:rsid w:val="00667179"/>
    <w:rsid w:val="0066774C"/>
    <w:rsid w:val="006677C2"/>
    <w:rsid w:val="006679FB"/>
    <w:rsid w:val="00667B2D"/>
    <w:rsid w:val="006703F5"/>
    <w:rsid w:val="006706D3"/>
    <w:rsid w:val="00670C57"/>
    <w:rsid w:val="00671363"/>
    <w:rsid w:val="006719C3"/>
    <w:rsid w:val="00671EEC"/>
    <w:rsid w:val="00672476"/>
    <w:rsid w:val="00672A2C"/>
    <w:rsid w:val="00672A32"/>
    <w:rsid w:val="00672C59"/>
    <w:rsid w:val="00672D91"/>
    <w:rsid w:val="00673380"/>
    <w:rsid w:val="006737F6"/>
    <w:rsid w:val="00674A96"/>
    <w:rsid w:val="00674E1B"/>
    <w:rsid w:val="006759B1"/>
    <w:rsid w:val="006760F9"/>
    <w:rsid w:val="0067670C"/>
    <w:rsid w:val="0067677A"/>
    <w:rsid w:val="00676CEE"/>
    <w:rsid w:val="00676DF9"/>
    <w:rsid w:val="00677E83"/>
    <w:rsid w:val="00677F12"/>
    <w:rsid w:val="00681996"/>
    <w:rsid w:val="00681A58"/>
    <w:rsid w:val="00681B9A"/>
    <w:rsid w:val="00681BB5"/>
    <w:rsid w:val="00681F79"/>
    <w:rsid w:val="00682366"/>
    <w:rsid w:val="00682432"/>
    <w:rsid w:val="0068259E"/>
    <w:rsid w:val="006831DD"/>
    <w:rsid w:val="0068369E"/>
    <w:rsid w:val="00683950"/>
    <w:rsid w:val="00683A87"/>
    <w:rsid w:val="00683A97"/>
    <w:rsid w:val="00683EC2"/>
    <w:rsid w:val="006840B0"/>
    <w:rsid w:val="006844C1"/>
    <w:rsid w:val="00684A4B"/>
    <w:rsid w:val="00684B61"/>
    <w:rsid w:val="00684C18"/>
    <w:rsid w:val="00685198"/>
    <w:rsid w:val="00685468"/>
    <w:rsid w:val="00685BEE"/>
    <w:rsid w:val="006866CC"/>
    <w:rsid w:val="006869C6"/>
    <w:rsid w:val="00686D81"/>
    <w:rsid w:val="00686F87"/>
    <w:rsid w:val="00687117"/>
    <w:rsid w:val="006872CF"/>
    <w:rsid w:val="00687337"/>
    <w:rsid w:val="00687700"/>
    <w:rsid w:val="00687A62"/>
    <w:rsid w:val="00687C10"/>
    <w:rsid w:val="00687FF4"/>
    <w:rsid w:val="006900DC"/>
    <w:rsid w:val="006900FC"/>
    <w:rsid w:val="00690401"/>
    <w:rsid w:val="00690695"/>
    <w:rsid w:val="00690850"/>
    <w:rsid w:val="00690DB0"/>
    <w:rsid w:val="00690DD1"/>
    <w:rsid w:val="00691120"/>
    <w:rsid w:val="006919D7"/>
    <w:rsid w:val="00691A11"/>
    <w:rsid w:val="00691E3E"/>
    <w:rsid w:val="00691F11"/>
    <w:rsid w:val="00692193"/>
    <w:rsid w:val="006929EB"/>
    <w:rsid w:val="00692B1E"/>
    <w:rsid w:val="00692CA5"/>
    <w:rsid w:val="00693EDF"/>
    <w:rsid w:val="0069489C"/>
    <w:rsid w:val="00694D62"/>
    <w:rsid w:val="00695196"/>
    <w:rsid w:val="00696A89"/>
    <w:rsid w:val="00696AEE"/>
    <w:rsid w:val="00696BEF"/>
    <w:rsid w:val="0069710D"/>
    <w:rsid w:val="006971E1"/>
    <w:rsid w:val="00697381"/>
    <w:rsid w:val="0069764F"/>
    <w:rsid w:val="00697666"/>
    <w:rsid w:val="00697918"/>
    <w:rsid w:val="00697968"/>
    <w:rsid w:val="00697E9D"/>
    <w:rsid w:val="006A0095"/>
    <w:rsid w:val="006A218A"/>
    <w:rsid w:val="006A2AE9"/>
    <w:rsid w:val="006A3765"/>
    <w:rsid w:val="006A3770"/>
    <w:rsid w:val="006A3A18"/>
    <w:rsid w:val="006A3B0C"/>
    <w:rsid w:val="006A4035"/>
    <w:rsid w:val="006A4637"/>
    <w:rsid w:val="006A47F5"/>
    <w:rsid w:val="006A490A"/>
    <w:rsid w:val="006A4C7E"/>
    <w:rsid w:val="006A5195"/>
    <w:rsid w:val="006A55AD"/>
    <w:rsid w:val="006A56D9"/>
    <w:rsid w:val="006A5B6B"/>
    <w:rsid w:val="006A5C31"/>
    <w:rsid w:val="006A63EE"/>
    <w:rsid w:val="006A641C"/>
    <w:rsid w:val="006A6C4E"/>
    <w:rsid w:val="006A7217"/>
    <w:rsid w:val="006A731A"/>
    <w:rsid w:val="006A7349"/>
    <w:rsid w:val="006A7379"/>
    <w:rsid w:val="006A748D"/>
    <w:rsid w:val="006B0899"/>
    <w:rsid w:val="006B0CA6"/>
    <w:rsid w:val="006B1003"/>
    <w:rsid w:val="006B137B"/>
    <w:rsid w:val="006B141E"/>
    <w:rsid w:val="006B15C8"/>
    <w:rsid w:val="006B26A3"/>
    <w:rsid w:val="006B2B71"/>
    <w:rsid w:val="006B30F6"/>
    <w:rsid w:val="006B4703"/>
    <w:rsid w:val="006B4F30"/>
    <w:rsid w:val="006B58EF"/>
    <w:rsid w:val="006B5EB3"/>
    <w:rsid w:val="006B5EEB"/>
    <w:rsid w:val="006B5F05"/>
    <w:rsid w:val="006B63A2"/>
    <w:rsid w:val="006B63AA"/>
    <w:rsid w:val="006B6834"/>
    <w:rsid w:val="006B6943"/>
    <w:rsid w:val="006B6C04"/>
    <w:rsid w:val="006B6D40"/>
    <w:rsid w:val="006C02BF"/>
    <w:rsid w:val="006C05DC"/>
    <w:rsid w:val="006C24C0"/>
    <w:rsid w:val="006C298C"/>
    <w:rsid w:val="006C2E1E"/>
    <w:rsid w:val="006C3896"/>
    <w:rsid w:val="006C417F"/>
    <w:rsid w:val="006C43C0"/>
    <w:rsid w:val="006C4FA9"/>
    <w:rsid w:val="006C5262"/>
    <w:rsid w:val="006C5994"/>
    <w:rsid w:val="006C5AEB"/>
    <w:rsid w:val="006C5ED1"/>
    <w:rsid w:val="006C6A03"/>
    <w:rsid w:val="006C6E4E"/>
    <w:rsid w:val="006C6ED1"/>
    <w:rsid w:val="006C6F90"/>
    <w:rsid w:val="006C7375"/>
    <w:rsid w:val="006D04EC"/>
    <w:rsid w:val="006D0835"/>
    <w:rsid w:val="006D106E"/>
    <w:rsid w:val="006D164F"/>
    <w:rsid w:val="006D24E3"/>
    <w:rsid w:val="006D24EE"/>
    <w:rsid w:val="006D262C"/>
    <w:rsid w:val="006D2870"/>
    <w:rsid w:val="006D2A7B"/>
    <w:rsid w:val="006D2ABD"/>
    <w:rsid w:val="006D37C0"/>
    <w:rsid w:val="006D4098"/>
    <w:rsid w:val="006D410D"/>
    <w:rsid w:val="006D4225"/>
    <w:rsid w:val="006D4594"/>
    <w:rsid w:val="006D4C96"/>
    <w:rsid w:val="006D4ED9"/>
    <w:rsid w:val="006D52C3"/>
    <w:rsid w:val="006D54CF"/>
    <w:rsid w:val="006D5E2F"/>
    <w:rsid w:val="006D61B7"/>
    <w:rsid w:val="006E030D"/>
    <w:rsid w:val="006E06D2"/>
    <w:rsid w:val="006E14D7"/>
    <w:rsid w:val="006E1543"/>
    <w:rsid w:val="006E1752"/>
    <w:rsid w:val="006E3551"/>
    <w:rsid w:val="006E3ADB"/>
    <w:rsid w:val="006E46BE"/>
    <w:rsid w:val="006E4814"/>
    <w:rsid w:val="006E507D"/>
    <w:rsid w:val="006E521B"/>
    <w:rsid w:val="006E5923"/>
    <w:rsid w:val="006E620B"/>
    <w:rsid w:val="006E62EA"/>
    <w:rsid w:val="006E661B"/>
    <w:rsid w:val="006E6808"/>
    <w:rsid w:val="006E68FD"/>
    <w:rsid w:val="006E6EB2"/>
    <w:rsid w:val="006E71A0"/>
    <w:rsid w:val="006E7234"/>
    <w:rsid w:val="006E7A77"/>
    <w:rsid w:val="006E7AFA"/>
    <w:rsid w:val="006E7FCE"/>
    <w:rsid w:val="006F0867"/>
    <w:rsid w:val="006F16D0"/>
    <w:rsid w:val="006F1876"/>
    <w:rsid w:val="006F1D49"/>
    <w:rsid w:val="006F1F60"/>
    <w:rsid w:val="006F293D"/>
    <w:rsid w:val="006F2BEE"/>
    <w:rsid w:val="006F378C"/>
    <w:rsid w:val="006F3B03"/>
    <w:rsid w:val="006F3C54"/>
    <w:rsid w:val="006F3D54"/>
    <w:rsid w:val="006F3FF4"/>
    <w:rsid w:val="006F4BA8"/>
    <w:rsid w:val="006F4C86"/>
    <w:rsid w:val="006F4D52"/>
    <w:rsid w:val="006F4E1D"/>
    <w:rsid w:val="006F4F96"/>
    <w:rsid w:val="006F5691"/>
    <w:rsid w:val="006F5BD0"/>
    <w:rsid w:val="006F63AA"/>
    <w:rsid w:val="006F729A"/>
    <w:rsid w:val="006F77A1"/>
    <w:rsid w:val="006F79E5"/>
    <w:rsid w:val="006F7A47"/>
    <w:rsid w:val="006F7CA6"/>
    <w:rsid w:val="00700318"/>
    <w:rsid w:val="00700380"/>
    <w:rsid w:val="0070289F"/>
    <w:rsid w:val="0070294E"/>
    <w:rsid w:val="007029CC"/>
    <w:rsid w:val="00702A75"/>
    <w:rsid w:val="00702AA5"/>
    <w:rsid w:val="007034D8"/>
    <w:rsid w:val="00703648"/>
    <w:rsid w:val="00703DC9"/>
    <w:rsid w:val="00703DDF"/>
    <w:rsid w:val="0070489F"/>
    <w:rsid w:val="00704945"/>
    <w:rsid w:val="00704974"/>
    <w:rsid w:val="00704DA4"/>
    <w:rsid w:val="00704FEA"/>
    <w:rsid w:val="0070500D"/>
    <w:rsid w:val="00705523"/>
    <w:rsid w:val="00705BE6"/>
    <w:rsid w:val="00705F5D"/>
    <w:rsid w:val="00706450"/>
    <w:rsid w:val="00707D96"/>
    <w:rsid w:val="00707EEA"/>
    <w:rsid w:val="0071073A"/>
    <w:rsid w:val="0071088A"/>
    <w:rsid w:val="00710C0A"/>
    <w:rsid w:val="00710F00"/>
    <w:rsid w:val="00711152"/>
    <w:rsid w:val="00711A37"/>
    <w:rsid w:val="00712546"/>
    <w:rsid w:val="00712FED"/>
    <w:rsid w:val="007132FD"/>
    <w:rsid w:val="00713363"/>
    <w:rsid w:val="00713B25"/>
    <w:rsid w:val="00713E15"/>
    <w:rsid w:val="00713E26"/>
    <w:rsid w:val="0071453F"/>
    <w:rsid w:val="007148C3"/>
    <w:rsid w:val="00715AD9"/>
    <w:rsid w:val="00715CC4"/>
    <w:rsid w:val="00715E51"/>
    <w:rsid w:val="007167B5"/>
    <w:rsid w:val="00716C05"/>
    <w:rsid w:val="00716EFD"/>
    <w:rsid w:val="0071726B"/>
    <w:rsid w:val="007174CD"/>
    <w:rsid w:val="0071771F"/>
    <w:rsid w:val="00717D05"/>
    <w:rsid w:val="00720087"/>
    <w:rsid w:val="007200D3"/>
    <w:rsid w:val="0072087E"/>
    <w:rsid w:val="00720E4F"/>
    <w:rsid w:val="0072117C"/>
    <w:rsid w:val="007214A5"/>
    <w:rsid w:val="00721F5C"/>
    <w:rsid w:val="007225D9"/>
    <w:rsid w:val="0072323E"/>
    <w:rsid w:val="0072350F"/>
    <w:rsid w:val="00723A1B"/>
    <w:rsid w:val="00723B53"/>
    <w:rsid w:val="00723CD0"/>
    <w:rsid w:val="00724300"/>
    <w:rsid w:val="007243F0"/>
    <w:rsid w:val="0072449B"/>
    <w:rsid w:val="00724855"/>
    <w:rsid w:val="0072498A"/>
    <w:rsid w:val="00724CE7"/>
    <w:rsid w:val="00724D22"/>
    <w:rsid w:val="00724F55"/>
    <w:rsid w:val="00725387"/>
    <w:rsid w:val="00725E56"/>
    <w:rsid w:val="0072653F"/>
    <w:rsid w:val="00726773"/>
    <w:rsid w:val="00726F85"/>
    <w:rsid w:val="00730747"/>
    <w:rsid w:val="00730A83"/>
    <w:rsid w:val="00730DB7"/>
    <w:rsid w:val="00730E99"/>
    <w:rsid w:val="00731916"/>
    <w:rsid w:val="00731BC7"/>
    <w:rsid w:val="00732411"/>
    <w:rsid w:val="00732788"/>
    <w:rsid w:val="00732B78"/>
    <w:rsid w:val="00732DB1"/>
    <w:rsid w:val="007330AE"/>
    <w:rsid w:val="00733265"/>
    <w:rsid w:val="0073348C"/>
    <w:rsid w:val="00733754"/>
    <w:rsid w:val="0073471D"/>
    <w:rsid w:val="00735584"/>
    <w:rsid w:val="00735F81"/>
    <w:rsid w:val="00736092"/>
    <w:rsid w:val="007360F6"/>
    <w:rsid w:val="00736534"/>
    <w:rsid w:val="00736A56"/>
    <w:rsid w:val="00736E5B"/>
    <w:rsid w:val="00737496"/>
    <w:rsid w:val="00737EA3"/>
    <w:rsid w:val="007407FD"/>
    <w:rsid w:val="0074086B"/>
    <w:rsid w:val="007409C0"/>
    <w:rsid w:val="00741084"/>
    <w:rsid w:val="00741D4E"/>
    <w:rsid w:val="00741FEF"/>
    <w:rsid w:val="00742832"/>
    <w:rsid w:val="00742B0F"/>
    <w:rsid w:val="00742CF3"/>
    <w:rsid w:val="00742CF4"/>
    <w:rsid w:val="007433AD"/>
    <w:rsid w:val="00743895"/>
    <w:rsid w:val="00743BBF"/>
    <w:rsid w:val="0074405D"/>
    <w:rsid w:val="00744556"/>
    <w:rsid w:val="00744FA9"/>
    <w:rsid w:val="0074513A"/>
    <w:rsid w:val="00745167"/>
    <w:rsid w:val="0074554B"/>
    <w:rsid w:val="00745881"/>
    <w:rsid w:val="00745F52"/>
    <w:rsid w:val="00746179"/>
    <w:rsid w:val="0074642F"/>
    <w:rsid w:val="0074649D"/>
    <w:rsid w:val="007472A8"/>
    <w:rsid w:val="0074775F"/>
    <w:rsid w:val="007478A7"/>
    <w:rsid w:val="007479BB"/>
    <w:rsid w:val="00747AEF"/>
    <w:rsid w:val="00747F5D"/>
    <w:rsid w:val="00750D86"/>
    <w:rsid w:val="00751352"/>
    <w:rsid w:val="007514DB"/>
    <w:rsid w:val="007517C0"/>
    <w:rsid w:val="00751D42"/>
    <w:rsid w:val="007520F0"/>
    <w:rsid w:val="007522B7"/>
    <w:rsid w:val="00752D48"/>
    <w:rsid w:val="00752ECE"/>
    <w:rsid w:val="007531DF"/>
    <w:rsid w:val="007531F3"/>
    <w:rsid w:val="007544EB"/>
    <w:rsid w:val="0075474F"/>
    <w:rsid w:val="00754DED"/>
    <w:rsid w:val="007550A1"/>
    <w:rsid w:val="00755501"/>
    <w:rsid w:val="00756E7B"/>
    <w:rsid w:val="00756EE2"/>
    <w:rsid w:val="007574BF"/>
    <w:rsid w:val="00757786"/>
    <w:rsid w:val="00757B52"/>
    <w:rsid w:val="00757CDB"/>
    <w:rsid w:val="00760126"/>
    <w:rsid w:val="007601E7"/>
    <w:rsid w:val="0076053D"/>
    <w:rsid w:val="00760714"/>
    <w:rsid w:val="007609FC"/>
    <w:rsid w:val="00760AE3"/>
    <w:rsid w:val="0076109B"/>
    <w:rsid w:val="00761369"/>
    <w:rsid w:val="00761826"/>
    <w:rsid w:val="0076226B"/>
    <w:rsid w:val="007625E0"/>
    <w:rsid w:val="007630EE"/>
    <w:rsid w:val="0076359D"/>
    <w:rsid w:val="007637B2"/>
    <w:rsid w:val="007638B1"/>
    <w:rsid w:val="007646A1"/>
    <w:rsid w:val="007646CE"/>
    <w:rsid w:val="007655CF"/>
    <w:rsid w:val="007656C1"/>
    <w:rsid w:val="00765846"/>
    <w:rsid w:val="00765913"/>
    <w:rsid w:val="00765FCD"/>
    <w:rsid w:val="0076630E"/>
    <w:rsid w:val="00766A81"/>
    <w:rsid w:val="00767005"/>
    <w:rsid w:val="00767CF4"/>
    <w:rsid w:val="00767D2A"/>
    <w:rsid w:val="00767E94"/>
    <w:rsid w:val="0077075F"/>
    <w:rsid w:val="007720BC"/>
    <w:rsid w:val="0077237B"/>
    <w:rsid w:val="007724F3"/>
    <w:rsid w:val="007726EF"/>
    <w:rsid w:val="0077328E"/>
    <w:rsid w:val="007738FE"/>
    <w:rsid w:val="00774486"/>
    <w:rsid w:val="0077487E"/>
    <w:rsid w:val="00774914"/>
    <w:rsid w:val="007749E3"/>
    <w:rsid w:val="00774E2B"/>
    <w:rsid w:val="00775A64"/>
    <w:rsid w:val="00776A52"/>
    <w:rsid w:val="00776ED4"/>
    <w:rsid w:val="0077740F"/>
    <w:rsid w:val="0078056D"/>
    <w:rsid w:val="00780714"/>
    <w:rsid w:val="00780971"/>
    <w:rsid w:val="00780B2C"/>
    <w:rsid w:val="00780B90"/>
    <w:rsid w:val="00780D37"/>
    <w:rsid w:val="00780EC1"/>
    <w:rsid w:val="007810E3"/>
    <w:rsid w:val="00781211"/>
    <w:rsid w:val="007814BE"/>
    <w:rsid w:val="00781EB7"/>
    <w:rsid w:val="007824B3"/>
    <w:rsid w:val="00783545"/>
    <w:rsid w:val="007838E4"/>
    <w:rsid w:val="00783AC0"/>
    <w:rsid w:val="00783BE1"/>
    <w:rsid w:val="00783DFB"/>
    <w:rsid w:val="00783E7D"/>
    <w:rsid w:val="00783FA4"/>
    <w:rsid w:val="00784C0E"/>
    <w:rsid w:val="00784E9F"/>
    <w:rsid w:val="007855D0"/>
    <w:rsid w:val="00785D17"/>
    <w:rsid w:val="00785E57"/>
    <w:rsid w:val="007862B2"/>
    <w:rsid w:val="007862E9"/>
    <w:rsid w:val="00786E08"/>
    <w:rsid w:val="007873AA"/>
    <w:rsid w:val="007873C3"/>
    <w:rsid w:val="00787496"/>
    <w:rsid w:val="00787B40"/>
    <w:rsid w:val="00790E06"/>
    <w:rsid w:val="00791075"/>
    <w:rsid w:val="007911B2"/>
    <w:rsid w:val="00791423"/>
    <w:rsid w:val="00791E45"/>
    <w:rsid w:val="00791F06"/>
    <w:rsid w:val="00792155"/>
    <w:rsid w:val="00792207"/>
    <w:rsid w:val="00792456"/>
    <w:rsid w:val="00793386"/>
    <w:rsid w:val="00793996"/>
    <w:rsid w:val="00793DDB"/>
    <w:rsid w:val="00793FBC"/>
    <w:rsid w:val="00794337"/>
    <w:rsid w:val="007949C1"/>
    <w:rsid w:val="00794AA2"/>
    <w:rsid w:val="00794C85"/>
    <w:rsid w:val="00795A15"/>
    <w:rsid w:val="00795B6F"/>
    <w:rsid w:val="00795B7F"/>
    <w:rsid w:val="00795D88"/>
    <w:rsid w:val="00795F61"/>
    <w:rsid w:val="0079611B"/>
    <w:rsid w:val="0079621C"/>
    <w:rsid w:val="00797111"/>
    <w:rsid w:val="00797194"/>
    <w:rsid w:val="0079724A"/>
    <w:rsid w:val="00797349"/>
    <w:rsid w:val="007973B2"/>
    <w:rsid w:val="007A0974"/>
    <w:rsid w:val="007A0B19"/>
    <w:rsid w:val="007A0B37"/>
    <w:rsid w:val="007A0BBF"/>
    <w:rsid w:val="007A0DAA"/>
    <w:rsid w:val="007A0EF5"/>
    <w:rsid w:val="007A141E"/>
    <w:rsid w:val="007A1525"/>
    <w:rsid w:val="007A196D"/>
    <w:rsid w:val="007A1982"/>
    <w:rsid w:val="007A1B3B"/>
    <w:rsid w:val="007A1B61"/>
    <w:rsid w:val="007A250B"/>
    <w:rsid w:val="007A26FE"/>
    <w:rsid w:val="007A271E"/>
    <w:rsid w:val="007A27E7"/>
    <w:rsid w:val="007A2DCB"/>
    <w:rsid w:val="007A2E70"/>
    <w:rsid w:val="007A2F07"/>
    <w:rsid w:val="007A3890"/>
    <w:rsid w:val="007A3A8D"/>
    <w:rsid w:val="007A3BCA"/>
    <w:rsid w:val="007A3CF2"/>
    <w:rsid w:val="007A40A1"/>
    <w:rsid w:val="007A4CE2"/>
    <w:rsid w:val="007A5430"/>
    <w:rsid w:val="007A5B02"/>
    <w:rsid w:val="007A5DF3"/>
    <w:rsid w:val="007A6048"/>
    <w:rsid w:val="007A61B9"/>
    <w:rsid w:val="007A66C9"/>
    <w:rsid w:val="007A67B7"/>
    <w:rsid w:val="007A745F"/>
    <w:rsid w:val="007A754B"/>
    <w:rsid w:val="007A76A6"/>
    <w:rsid w:val="007A7D16"/>
    <w:rsid w:val="007A7FEA"/>
    <w:rsid w:val="007B059D"/>
    <w:rsid w:val="007B0826"/>
    <w:rsid w:val="007B12A8"/>
    <w:rsid w:val="007B13BE"/>
    <w:rsid w:val="007B16B8"/>
    <w:rsid w:val="007B1BAD"/>
    <w:rsid w:val="007B20B7"/>
    <w:rsid w:val="007B2244"/>
    <w:rsid w:val="007B2C51"/>
    <w:rsid w:val="007B3321"/>
    <w:rsid w:val="007B3D1D"/>
    <w:rsid w:val="007B3D8D"/>
    <w:rsid w:val="007B47EC"/>
    <w:rsid w:val="007B5A61"/>
    <w:rsid w:val="007B5AA7"/>
    <w:rsid w:val="007B5E9E"/>
    <w:rsid w:val="007B65AC"/>
    <w:rsid w:val="007B68FF"/>
    <w:rsid w:val="007B7363"/>
    <w:rsid w:val="007B75A8"/>
    <w:rsid w:val="007B767D"/>
    <w:rsid w:val="007C016F"/>
    <w:rsid w:val="007C0576"/>
    <w:rsid w:val="007C0585"/>
    <w:rsid w:val="007C0819"/>
    <w:rsid w:val="007C0968"/>
    <w:rsid w:val="007C0A52"/>
    <w:rsid w:val="007C0CC0"/>
    <w:rsid w:val="007C0F27"/>
    <w:rsid w:val="007C12F7"/>
    <w:rsid w:val="007C16AA"/>
    <w:rsid w:val="007C16AC"/>
    <w:rsid w:val="007C1B4E"/>
    <w:rsid w:val="007C1C7D"/>
    <w:rsid w:val="007C1FCC"/>
    <w:rsid w:val="007C2008"/>
    <w:rsid w:val="007C2730"/>
    <w:rsid w:val="007C2AB1"/>
    <w:rsid w:val="007C2BB2"/>
    <w:rsid w:val="007C3316"/>
    <w:rsid w:val="007C3440"/>
    <w:rsid w:val="007C3459"/>
    <w:rsid w:val="007C353C"/>
    <w:rsid w:val="007C3693"/>
    <w:rsid w:val="007C3938"/>
    <w:rsid w:val="007C3DB8"/>
    <w:rsid w:val="007C3DEC"/>
    <w:rsid w:val="007C4021"/>
    <w:rsid w:val="007C45FA"/>
    <w:rsid w:val="007C4C37"/>
    <w:rsid w:val="007C4C94"/>
    <w:rsid w:val="007C4E08"/>
    <w:rsid w:val="007C4E45"/>
    <w:rsid w:val="007C4F12"/>
    <w:rsid w:val="007C5576"/>
    <w:rsid w:val="007C5D77"/>
    <w:rsid w:val="007C5E6F"/>
    <w:rsid w:val="007C64FC"/>
    <w:rsid w:val="007C6BB3"/>
    <w:rsid w:val="007C6EAF"/>
    <w:rsid w:val="007C7226"/>
    <w:rsid w:val="007C7905"/>
    <w:rsid w:val="007C7C9D"/>
    <w:rsid w:val="007C7D65"/>
    <w:rsid w:val="007D002F"/>
    <w:rsid w:val="007D0287"/>
    <w:rsid w:val="007D0A43"/>
    <w:rsid w:val="007D12A7"/>
    <w:rsid w:val="007D1BB8"/>
    <w:rsid w:val="007D274E"/>
    <w:rsid w:val="007D27DC"/>
    <w:rsid w:val="007D2818"/>
    <w:rsid w:val="007D2E56"/>
    <w:rsid w:val="007D3339"/>
    <w:rsid w:val="007D3855"/>
    <w:rsid w:val="007D39C8"/>
    <w:rsid w:val="007D3C05"/>
    <w:rsid w:val="007D45FE"/>
    <w:rsid w:val="007D4764"/>
    <w:rsid w:val="007D4EAE"/>
    <w:rsid w:val="007D5411"/>
    <w:rsid w:val="007D6602"/>
    <w:rsid w:val="007D676D"/>
    <w:rsid w:val="007D6B07"/>
    <w:rsid w:val="007D6C6A"/>
    <w:rsid w:val="007D7114"/>
    <w:rsid w:val="007D7EC2"/>
    <w:rsid w:val="007E0AD5"/>
    <w:rsid w:val="007E126D"/>
    <w:rsid w:val="007E14D5"/>
    <w:rsid w:val="007E1598"/>
    <w:rsid w:val="007E1929"/>
    <w:rsid w:val="007E1DB7"/>
    <w:rsid w:val="007E1E69"/>
    <w:rsid w:val="007E1F28"/>
    <w:rsid w:val="007E2354"/>
    <w:rsid w:val="007E2D12"/>
    <w:rsid w:val="007E2E63"/>
    <w:rsid w:val="007E3845"/>
    <w:rsid w:val="007E38FB"/>
    <w:rsid w:val="007E3A90"/>
    <w:rsid w:val="007E433B"/>
    <w:rsid w:val="007E541C"/>
    <w:rsid w:val="007E5B53"/>
    <w:rsid w:val="007E6C04"/>
    <w:rsid w:val="007E6C8D"/>
    <w:rsid w:val="007E6E0D"/>
    <w:rsid w:val="007E7224"/>
    <w:rsid w:val="007E757F"/>
    <w:rsid w:val="007E7833"/>
    <w:rsid w:val="007E7932"/>
    <w:rsid w:val="007E7E87"/>
    <w:rsid w:val="007F0405"/>
    <w:rsid w:val="007F1011"/>
    <w:rsid w:val="007F1229"/>
    <w:rsid w:val="007F17C4"/>
    <w:rsid w:val="007F1809"/>
    <w:rsid w:val="007F1AF1"/>
    <w:rsid w:val="007F1B8F"/>
    <w:rsid w:val="007F27DA"/>
    <w:rsid w:val="007F2C32"/>
    <w:rsid w:val="007F3697"/>
    <w:rsid w:val="007F3823"/>
    <w:rsid w:val="007F3A56"/>
    <w:rsid w:val="007F4599"/>
    <w:rsid w:val="007F45E2"/>
    <w:rsid w:val="007F47AA"/>
    <w:rsid w:val="007F4D9F"/>
    <w:rsid w:val="007F52AD"/>
    <w:rsid w:val="007F5998"/>
    <w:rsid w:val="007F6886"/>
    <w:rsid w:val="007F6CD4"/>
    <w:rsid w:val="007F7E9E"/>
    <w:rsid w:val="00800213"/>
    <w:rsid w:val="00800903"/>
    <w:rsid w:val="0080099F"/>
    <w:rsid w:val="00800C33"/>
    <w:rsid w:val="00800E36"/>
    <w:rsid w:val="008012CB"/>
    <w:rsid w:val="00801D2A"/>
    <w:rsid w:val="0080287B"/>
    <w:rsid w:val="0080299D"/>
    <w:rsid w:val="008030A0"/>
    <w:rsid w:val="00803633"/>
    <w:rsid w:val="008040BC"/>
    <w:rsid w:val="00804292"/>
    <w:rsid w:val="008043B0"/>
    <w:rsid w:val="0080452B"/>
    <w:rsid w:val="00804CC4"/>
    <w:rsid w:val="008059F7"/>
    <w:rsid w:val="00805F20"/>
    <w:rsid w:val="008061A6"/>
    <w:rsid w:val="00807483"/>
    <w:rsid w:val="008078A2"/>
    <w:rsid w:val="00807932"/>
    <w:rsid w:val="00807A6F"/>
    <w:rsid w:val="00810E61"/>
    <w:rsid w:val="008113D0"/>
    <w:rsid w:val="00813176"/>
    <w:rsid w:val="00813689"/>
    <w:rsid w:val="0081395C"/>
    <w:rsid w:val="00813B92"/>
    <w:rsid w:val="00813CE5"/>
    <w:rsid w:val="00813F92"/>
    <w:rsid w:val="00814164"/>
    <w:rsid w:val="008143AB"/>
    <w:rsid w:val="00814641"/>
    <w:rsid w:val="008149BF"/>
    <w:rsid w:val="00814C3B"/>
    <w:rsid w:val="00815080"/>
    <w:rsid w:val="0081508B"/>
    <w:rsid w:val="00815132"/>
    <w:rsid w:val="00815C1D"/>
    <w:rsid w:val="00816DB2"/>
    <w:rsid w:val="00817302"/>
    <w:rsid w:val="00817AB7"/>
    <w:rsid w:val="00817E40"/>
    <w:rsid w:val="00817EBC"/>
    <w:rsid w:val="0082015D"/>
    <w:rsid w:val="00820609"/>
    <w:rsid w:val="00820E86"/>
    <w:rsid w:val="00821394"/>
    <w:rsid w:val="00821ACD"/>
    <w:rsid w:val="00822839"/>
    <w:rsid w:val="008229BC"/>
    <w:rsid w:val="0082372E"/>
    <w:rsid w:val="00823AFC"/>
    <w:rsid w:val="0082494C"/>
    <w:rsid w:val="00825407"/>
    <w:rsid w:val="008255AB"/>
    <w:rsid w:val="008257F3"/>
    <w:rsid w:val="00825DA7"/>
    <w:rsid w:val="00826B88"/>
    <w:rsid w:val="00826C58"/>
    <w:rsid w:val="00826FCE"/>
    <w:rsid w:val="00827359"/>
    <w:rsid w:val="00827556"/>
    <w:rsid w:val="008277B4"/>
    <w:rsid w:val="00830021"/>
    <w:rsid w:val="008300FD"/>
    <w:rsid w:val="008307DA"/>
    <w:rsid w:val="00832DB4"/>
    <w:rsid w:val="0083320F"/>
    <w:rsid w:val="00833CB4"/>
    <w:rsid w:val="00833FAF"/>
    <w:rsid w:val="008347AA"/>
    <w:rsid w:val="008348B2"/>
    <w:rsid w:val="00834BED"/>
    <w:rsid w:val="00835181"/>
    <w:rsid w:val="00835187"/>
    <w:rsid w:val="00835624"/>
    <w:rsid w:val="008357E2"/>
    <w:rsid w:val="0083591D"/>
    <w:rsid w:val="00835C34"/>
    <w:rsid w:val="008362A8"/>
    <w:rsid w:val="00836339"/>
    <w:rsid w:val="0083642B"/>
    <w:rsid w:val="00836535"/>
    <w:rsid w:val="0083683E"/>
    <w:rsid w:val="008368EE"/>
    <w:rsid w:val="00836B1E"/>
    <w:rsid w:val="00837126"/>
    <w:rsid w:val="0083766D"/>
    <w:rsid w:val="008379B7"/>
    <w:rsid w:val="00837DEF"/>
    <w:rsid w:val="00840595"/>
    <w:rsid w:val="00840EC6"/>
    <w:rsid w:val="008417D7"/>
    <w:rsid w:val="00842093"/>
    <w:rsid w:val="00842134"/>
    <w:rsid w:val="0084258B"/>
    <w:rsid w:val="00842A1C"/>
    <w:rsid w:val="00842A27"/>
    <w:rsid w:val="00842CE3"/>
    <w:rsid w:val="00843042"/>
    <w:rsid w:val="008430AF"/>
    <w:rsid w:val="0084317C"/>
    <w:rsid w:val="00843427"/>
    <w:rsid w:val="0084350B"/>
    <w:rsid w:val="00843BDB"/>
    <w:rsid w:val="00844180"/>
    <w:rsid w:val="0084427A"/>
    <w:rsid w:val="00844394"/>
    <w:rsid w:val="0084592D"/>
    <w:rsid w:val="00845FBA"/>
    <w:rsid w:val="0084646B"/>
    <w:rsid w:val="0084681F"/>
    <w:rsid w:val="00846C11"/>
    <w:rsid w:val="008471E3"/>
    <w:rsid w:val="00847DFF"/>
    <w:rsid w:val="008500DB"/>
    <w:rsid w:val="0085036F"/>
    <w:rsid w:val="00850877"/>
    <w:rsid w:val="00850D1A"/>
    <w:rsid w:val="008510C8"/>
    <w:rsid w:val="008514CC"/>
    <w:rsid w:val="0085159E"/>
    <w:rsid w:val="00851781"/>
    <w:rsid w:val="008517D1"/>
    <w:rsid w:val="00851DE8"/>
    <w:rsid w:val="00851E84"/>
    <w:rsid w:val="00851F78"/>
    <w:rsid w:val="0085223B"/>
    <w:rsid w:val="008523C2"/>
    <w:rsid w:val="0085273B"/>
    <w:rsid w:val="00852C3A"/>
    <w:rsid w:val="008536C2"/>
    <w:rsid w:val="00853CA9"/>
    <w:rsid w:val="00853E5D"/>
    <w:rsid w:val="008541A2"/>
    <w:rsid w:val="008541AD"/>
    <w:rsid w:val="00854672"/>
    <w:rsid w:val="00854936"/>
    <w:rsid w:val="00854BB7"/>
    <w:rsid w:val="00855946"/>
    <w:rsid w:val="00855975"/>
    <w:rsid w:val="008560B6"/>
    <w:rsid w:val="008563E5"/>
    <w:rsid w:val="0085729B"/>
    <w:rsid w:val="00857594"/>
    <w:rsid w:val="00857C3A"/>
    <w:rsid w:val="00857D26"/>
    <w:rsid w:val="008606A9"/>
    <w:rsid w:val="00860F9F"/>
    <w:rsid w:val="00861240"/>
    <w:rsid w:val="008617CE"/>
    <w:rsid w:val="00861886"/>
    <w:rsid w:val="00861DAA"/>
    <w:rsid w:val="00861EDE"/>
    <w:rsid w:val="00863DAF"/>
    <w:rsid w:val="0086444E"/>
    <w:rsid w:val="0086459D"/>
    <w:rsid w:val="00864770"/>
    <w:rsid w:val="00864E51"/>
    <w:rsid w:val="00864EFF"/>
    <w:rsid w:val="008650B6"/>
    <w:rsid w:val="008650BF"/>
    <w:rsid w:val="008652BA"/>
    <w:rsid w:val="008663C2"/>
    <w:rsid w:val="008664E8"/>
    <w:rsid w:val="00866B98"/>
    <w:rsid w:val="008671AB"/>
    <w:rsid w:val="008677F1"/>
    <w:rsid w:val="008679BA"/>
    <w:rsid w:val="00870400"/>
    <w:rsid w:val="0087057E"/>
    <w:rsid w:val="00870699"/>
    <w:rsid w:val="00870A4E"/>
    <w:rsid w:val="00870C60"/>
    <w:rsid w:val="00871026"/>
    <w:rsid w:val="00871154"/>
    <w:rsid w:val="00871C58"/>
    <w:rsid w:val="00872594"/>
    <w:rsid w:val="00872AFC"/>
    <w:rsid w:val="0087319B"/>
    <w:rsid w:val="00873203"/>
    <w:rsid w:val="00873322"/>
    <w:rsid w:val="008742C0"/>
    <w:rsid w:val="0087440A"/>
    <w:rsid w:val="00874415"/>
    <w:rsid w:val="008747D9"/>
    <w:rsid w:val="008747F1"/>
    <w:rsid w:val="00874BA9"/>
    <w:rsid w:val="008759C1"/>
    <w:rsid w:val="008763EC"/>
    <w:rsid w:val="0087652E"/>
    <w:rsid w:val="00876977"/>
    <w:rsid w:val="00876F89"/>
    <w:rsid w:val="00877323"/>
    <w:rsid w:val="00877A3C"/>
    <w:rsid w:val="00877A42"/>
    <w:rsid w:val="008805A4"/>
    <w:rsid w:val="008815F4"/>
    <w:rsid w:val="00881B89"/>
    <w:rsid w:val="00881D6B"/>
    <w:rsid w:val="00881E61"/>
    <w:rsid w:val="00881EF7"/>
    <w:rsid w:val="00882698"/>
    <w:rsid w:val="008829B9"/>
    <w:rsid w:val="008833A2"/>
    <w:rsid w:val="008838D3"/>
    <w:rsid w:val="00883F87"/>
    <w:rsid w:val="00884571"/>
    <w:rsid w:val="008848F7"/>
    <w:rsid w:val="00884F73"/>
    <w:rsid w:val="00886166"/>
    <w:rsid w:val="00886BEA"/>
    <w:rsid w:val="00886FC9"/>
    <w:rsid w:val="0088728E"/>
    <w:rsid w:val="0088765B"/>
    <w:rsid w:val="00887CC8"/>
    <w:rsid w:val="0089035C"/>
    <w:rsid w:val="00890462"/>
    <w:rsid w:val="00890579"/>
    <w:rsid w:val="00890591"/>
    <w:rsid w:val="008906BA"/>
    <w:rsid w:val="008906CD"/>
    <w:rsid w:val="00891356"/>
    <w:rsid w:val="00891534"/>
    <w:rsid w:val="008915C0"/>
    <w:rsid w:val="00891CC4"/>
    <w:rsid w:val="00892DB8"/>
    <w:rsid w:val="00893058"/>
    <w:rsid w:val="008939CE"/>
    <w:rsid w:val="00893DC3"/>
    <w:rsid w:val="0089405A"/>
    <w:rsid w:val="0089409B"/>
    <w:rsid w:val="008940A3"/>
    <w:rsid w:val="00894F5A"/>
    <w:rsid w:val="00895064"/>
    <w:rsid w:val="00895210"/>
    <w:rsid w:val="008952D9"/>
    <w:rsid w:val="008954DC"/>
    <w:rsid w:val="00895B33"/>
    <w:rsid w:val="00895B45"/>
    <w:rsid w:val="00895D10"/>
    <w:rsid w:val="008961E9"/>
    <w:rsid w:val="00896785"/>
    <w:rsid w:val="0089688D"/>
    <w:rsid w:val="0089702D"/>
    <w:rsid w:val="008970E2"/>
    <w:rsid w:val="008978BC"/>
    <w:rsid w:val="00897AA3"/>
    <w:rsid w:val="00897C41"/>
    <w:rsid w:val="008A0109"/>
    <w:rsid w:val="008A03A4"/>
    <w:rsid w:val="008A06B7"/>
    <w:rsid w:val="008A091A"/>
    <w:rsid w:val="008A0A66"/>
    <w:rsid w:val="008A0B67"/>
    <w:rsid w:val="008A126D"/>
    <w:rsid w:val="008A232A"/>
    <w:rsid w:val="008A280F"/>
    <w:rsid w:val="008A3169"/>
    <w:rsid w:val="008A3253"/>
    <w:rsid w:val="008A3524"/>
    <w:rsid w:val="008A3CF3"/>
    <w:rsid w:val="008A46DD"/>
    <w:rsid w:val="008A4A9E"/>
    <w:rsid w:val="008A6983"/>
    <w:rsid w:val="008A6C2F"/>
    <w:rsid w:val="008A6FCC"/>
    <w:rsid w:val="008A7032"/>
    <w:rsid w:val="008A7112"/>
    <w:rsid w:val="008A7231"/>
    <w:rsid w:val="008A7370"/>
    <w:rsid w:val="008A73FC"/>
    <w:rsid w:val="008A7606"/>
    <w:rsid w:val="008A7DA0"/>
    <w:rsid w:val="008B0A52"/>
    <w:rsid w:val="008B111C"/>
    <w:rsid w:val="008B11FD"/>
    <w:rsid w:val="008B12C4"/>
    <w:rsid w:val="008B187D"/>
    <w:rsid w:val="008B1D0F"/>
    <w:rsid w:val="008B1E18"/>
    <w:rsid w:val="008B1F14"/>
    <w:rsid w:val="008B1F40"/>
    <w:rsid w:val="008B229B"/>
    <w:rsid w:val="008B22F7"/>
    <w:rsid w:val="008B276E"/>
    <w:rsid w:val="008B2B68"/>
    <w:rsid w:val="008B3732"/>
    <w:rsid w:val="008B38E3"/>
    <w:rsid w:val="008B3978"/>
    <w:rsid w:val="008B466D"/>
    <w:rsid w:val="008B51E0"/>
    <w:rsid w:val="008B528D"/>
    <w:rsid w:val="008B5315"/>
    <w:rsid w:val="008B5BAE"/>
    <w:rsid w:val="008B5D9A"/>
    <w:rsid w:val="008B5FFF"/>
    <w:rsid w:val="008B60F8"/>
    <w:rsid w:val="008B645D"/>
    <w:rsid w:val="008B67FA"/>
    <w:rsid w:val="008B6FE6"/>
    <w:rsid w:val="008B70D4"/>
    <w:rsid w:val="008B713C"/>
    <w:rsid w:val="008B765D"/>
    <w:rsid w:val="008C012A"/>
    <w:rsid w:val="008C0303"/>
    <w:rsid w:val="008C0691"/>
    <w:rsid w:val="008C075B"/>
    <w:rsid w:val="008C07EC"/>
    <w:rsid w:val="008C0DF9"/>
    <w:rsid w:val="008C10FE"/>
    <w:rsid w:val="008C12D2"/>
    <w:rsid w:val="008C1507"/>
    <w:rsid w:val="008C1774"/>
    <w:rsid w:val="008C19C0"/>
    <w:rsid w:val="008C1D49"/>
    <w:rsid w:val="008C1EDD"/>
    <w:rsid w:val="008C30EF"/>
    <w:rsid w:val="008C311B"/>
    <w:rsid w:val="008C399B"/>
    <w:rsid w:val="008C39DF"/>
    <w:rsid w:val="008C4024"/>
    <w:rsid w:val="008C40FA"/>
    <w:rsid w:val="008C4950"/>
    <w:rsid w:val="008C4BB1"/>
    <w:rsid w:val="008C5185"/>
    <w:rsid w:val="008C5666"/>
    <w:rsid w:val="008C5BA0"/>
    <w:rsid w:val="008C6542"/>
    <w:rsid w:val="008C6C85"/>
    <w:rsid w:val="008C730E"/>
    <w:rsid w:val="008D0237"/>
    <w:rsid w:val="008D0CC8"/>
    <w:rsid w:val="008D114D"/>
    <w:rsid w:val="008D17F6"/>
    <w:rsid w:val="008D194B"/>
    <w:rsid w:val="008D1C2F"/>
    <w:rsid w:val="008D26A7"/>
    <w:rsid w:val="008D26F6"/>
    <w:rsid w:val="008D2F3F"/>
    <w:rsid w:val="008D39B7"/>
    <w:rsid w:val="008D3B88"/>
    <w:rsid w:val="008D3EA0"/>
    <w:rsid w:val="008D47F3"/>
    <w:rsid w:val="008D49FE"/>
    <w:rsid w:val="008D4A35"/>
    <w:rsid w:val="008D5AA3"/>
    <w:rsid w:val="008D5EB3"/>
    <w:rsid w:val="008D619A"/>
    <w:rsid w:val="008D622E"/>
    <w:rsid w:val="008D6232"/>
    <w:rsid w:val="008D652A"/>
    <w:rsid w:val="008D6682"/>
    <w:rsid w:val="008D66FE"/>
    <w:rsid w:val="008D692B"/>
    <w:rsid w:val="008D6D6B"/>
    <w:rsid w:val="008D7091"/>
    <w:rsid w:val="008D7306"/>
    <w:rsid w:val="008D732A"/>
    <w:rsid w:val="008D7582"/>
    <w:rsid w:val="008D792B"/>
    <w:rsid w:val="008D7C78"/>
    <w:rsid w:val="008D7EF3"/>
    <w:rsid w:val="008E0563"/>
    <w:rsid w:val="008E0BE1"/>
    <w:rsid w:val="008E15FA"/>
    <w:rsid w:val="008E1759"/>
    <w:rsid w:val="008E1AA2"/>
    <w:rsid w:val="008E22BE"/>
    <w:rsid w:val="008E2541"/>
    <w:rsid w:val="008E25A7"/>
    <w:rsid w:val="008E2FE6"/>
    <w:rsid w:val="008E346E"/>
    <w:rsid w:val="008E37E9"/>
    <w:rsid w:val="008E5BD5"/>
    <w:rsid w:val="008E5C59"/>
    <w:rsid w:val="008E61FC"/>
    <w:rsid w:val="008E674D"/>
    <w:rsid w:val="008E6995"/>
    <w:rsid w:val="008E6A77"/>
    <w:rsid w:val="008E6B50"/>
    <w:rsid w:val="008E6D95"/>
    <w:rsid w:val="008E6FD8"/>
    <w:rsid w:val="008E76FF"/>
    <w:rsid w:val="008E7C51"/>
    <w:rsid w:val="008F03DE"/>
    <w:rsid w:val="008F03EE"/>
    <w:rsid w:val="008F11E0"/>
    <w:rsid w:val="008F1470"/>
    <w:rsid w:val="008F170F"/>
    <w:rsid w:val="008F1AB3"/>
    <w:rsid w:val="008F1C71"/>
    <w:rsid w:val="008F1DF7"/>
    <w:rsid w:val="008F1F04"/>
    <w:rsid w:val="008F24C2"/>
    <w:rsid w:val="008F262A"/>
    <w:rsid w:val="008F2666"/>
    <w:rsid w:val="008F2A29"/>
    <w:rsid w:val="008F2CBD"/>
    <w:rsid w:val="008F2F2F"/>
    <w:rsid w:val="008F2FA4"/>
    <w:rsid w:val="008F3337"/>
    <w:rsid w:val="008F33B8"/>
    <w:rsid w:val="008F37D9"/>
    <w:rsid w:val="008F3CED"/>
    <w:rsid w:val="008F4370"/>
    <w:rsid w:val="008F45AC"/>
    <w:rsid w:val="008F486B"/>
    <w:rsid w:val="008F52E9"/>
    <w:rsid w:val="008F5417"/>
    <w:rsid w:val="008F6B59"/>
    <w:rsid w:val="008F758C"/>
    <w:rsid w:val="008F78A6"/>
    <w:rsid w:val="008F7BF4"/>
    <w:rsid w:val="008F7D66"/>
    <w:rsid w:val="008F7DA8"/>
    <w:rsid w:val="008F7FBE"/>
    <w:rsid w:val="00900093"/>
    <w:rsid w:val="00900EF1"/>
    <w:rsid w:val="00901362"/>
    <w:rsid w:val="00901507"/>
    <w:rsid w:val="00901A24"/>
    <w:rsid w:val="00901C9A"/>
    <w:rsid w:val="00901EA7"/>
    <w:rsid w:val="00901F09"/>
    <w:rsid w:val="00901FDD"/>
    <w:rsid w:val="00902612"/>
    <w:rsid w:val="00902ED6"/>
    <w:rsid w:val="00903603"/>
    <w:rsid w:val="0090373A"/>
    <w:rsid w:val="00903A6B"/>
    <w:rsid w:val="00903CEE"/>
    <w:rsid w:val="00903EB7"/>
    <w:rsid w:val="00903F0A"/>
    <w:rsid w:val="00904187"/>
    <w:rsid w:val="00904212"/>
    <w:rsid w:val="00904858"/>
    <w:rsid w:val="00904E04"/>
    <w:rsid w:val="0090579E"/>
    <w:rsid w:val="009057BC"/>
    <w:rsid w:val="00905C8B"/>
    <w:rsid w:val="009064DD"/>
    <w:rsid w:val="009069A7"/>
    <w:rsid w:val="00906F08"/>
    <w:rsid w:val="00907CA8"/>
    <w:rsid w:val="00907DD0"/>
    <w:rsid w:val="00907E53"/>
    <w:rsid w:val="00910081"/>
    <w:rsid w:val="009100BA"/>
    <w:rsid w:val="00910399"/>
    <w:rsid w:val="00910825"/>
    <w:rsid w:val="00910B95"/>
    <w:rsid w:val="00910DF3"/>
    <w:rsid w:val="009112CA"/>
    <w:rsid w:val="009115DA"/>
    <w:rsid w:val="0091164B"/>
    <w:rsid w:val="00911D25"/>
    <w:rsid w:val="00911FFF"/>
    <w:rsid w:val="009121C4"/>
    <w:rsid w:val="009121CF"/>
    <w:rsid w:val="00912361"/>
    <w:rsid w:val="00912865"/>
    <w:rsid w:val="00913651"/>
    <w:rsid w:val="00913846"/>
    <w:rsid w:val="00913976"/>
    <w:rsid w:val="00913AB6"/>
    <w:rsid w:val="009145CB"/>
    <w:rsid w:val="00914ACE"/>
    <w:rsid w:val="00914B62"/>
    <w:rsid w:val="00914F71"/>
    <w:rsid w:val="00915115"/>
    <w:rsid w:val="009151D7"/>
    <w:rsid w:val="009153B5"/>
    <w:rsid w:val="00915562"/>
    <w:rsid w:val="0091556F"/>
    <w:rsid w:val="009157E9"/>
    <w:rsid w:val="00915BE1"/>
    <w:rsid w:val="00915C10"/>
    <w:rsid w:val="00915C3D"/>
    <w:rsid w:val="0091605C"/>
    <w:rsid w:val="009166AA"/>
    <w:rsid w:val="00916B7F"/>
    <w:rsid w:val="00916DBB"/>
    <w:rsid w:val="009170D1"/>
    <w:rsid w:val="00917737"/>
    <w:rsid w:val="00917A24"/>
    <w:rsid w:val="009206F9"/>
    <w:rsid w:val="009208CC"/>
    <w:rsid w:val="009213DF"/>
    <w:rsid w:val="00921BA0"/>
    <w:rsid w:val="00921BC4"/>
    <w:rsid w:val="00921CEF"/>
    <w:rsid w:val="00922576"/>
    <w:rsid w:val="009226AE"/>
    <w:rsid w:val="0092297D"/>
    <w:rsid w:val="00922A8A"/>
    <w:rsid w:val="00922BE7"/>
    <w:rsid w:val="009238F8"/>
    <w:rsid w:val="00923A6E"/>
    <w:rsid w:val="00923B0F"/>
    <w:rsid w:val="00923CB7"/>
    <w:rsid w:val="009246A3"/>
    <w:rsid w:val="00924BB1"/>
    <w:rsid w:val="009250BA"/>
    <w:rsid w:val="00925728"/>
    <w:rsid w:val="00925778"/>
    <w:rsid w:val="00925934"/>
    <w:rsid w:val="00926413"/>
    <w:rsid w:val="00926BBC"/>
    <w:rsid w:val="00926CF6"/>
    <w:rsid w:val="0092731A"/>
    <w:rsid w:val="00927A88"/>
    <w:rsid w:val="0093082E"/>
    <w:rsid w:val="00930BBF"/>
    <w:rsid w:val="00930C0F"/>
    <w:rsid w:val="00930D30"/>
    <w:rsid w:val="00930DC4"/>
    <w:rsid w:val="00931EB7"/>
    <w:rsid w:val="009321D9"/>
    <w:rsid w:val="00932273"/>
    <w:rsid w:val="0093248C"/>
    <w:rsid w:val="009325B1"/>
    <w:rsid w:val="00932607"/>
    <w:rsid w:val="00932B7E"/>
    <w:rsid w:val="00933758"/>
    <w:rsid w:val="00933B26"/>
    <w:rsid w:val="00933D7A"/>
    <w:rsid w:val="00934288"/>
    <w:rsid w:val="00934D82"/>
    <w:rsid w:val="009353F8"/>
    <w:rsid w:val="00935B50"/>
    <w:rsid w:val="00936A35"/>
    <w:rsid w:val="00936AA1"/>
    <w:rsid w:val="00936AE5"/>
    <w:rsid w:val="0093788F"/>
    <w:rsid w:val="00937A08"/>
    <w:rsid w:val="00937C9D"/>
    <w:rsid w:val="00937E2D"/>
    <w:rsid w:val="0094035F"/>
    <w:rsid w:val="00940389"/>
    <w:rsid w:val="009405C6"/>
    <w:rsid w:val="009407CD"/>
    <w:rsid w:val="0094151D"/>
    <w:rsid w:val="0094241A"/>
    <w:rsid w:val="00942ACC"/>
    <w:rsid w:val="00942D22"/>
    <w:rsid w:val="00943178"/>
    <w:rsid w:val="00943645"/>
    <w:rsid w:val="00943F43"/>
    <w:rsid w:val="00944261"/>
    <w:rsid w:val="00944A00"/>
    <w:rsid w:val="00944A7E"/>
    <w:rsid w:val="00944FB3"/>
    <w:rsid w:val="0094518C"/>
    <w:rsid w:val="009454C1"/>
    <w:rsid w:val="00945E5C"/>
    <w:rsid w:val="009463FB"/>
    <w:rsid w:val="009464EC"/>
    <w:rsid w:val="00946523"/>
    <w:rsid w:val="00946796"/>
    <w:rsid w:val="0094730C"/>
    <w:rsid w:val="00947CC3"/>
    <w:rsid w:val="00950045"/>
    <w:rsid w:val="009501CA"/>
    <w:rsid w:val="0095023B"/>
    <w:rsid w:val="009508C3"/>
    <w:rsid w:val="00950E34"/>
    <w:rsid w:val="0095124B"/>
    <w:rsid w:val="009512B8"/>
    <w:rsid w:val="009513AF"/>
    <w:rsid w:val="00951687"/>
    <w:rsid w:val="00951E1B"/>
    <w:rsid w:val="00952608"/>
    <w:rsid w:val="0095283D"/>
    <w:rsid w:val="009534AF"/>
    <w:rsid w:val="00953B45"/>
    <w:rsid w:val="00953C45"/>
    <w:rsid w:val="0095446C"/>
    <w:rsid w:val="00954A0B"/>
    <w:rsid w:val="00954D19"/>
    <w:rsid w:val="009552FC"/>
    <w:rsid w:val="0095569E"/>
    <w:rsid w:val="00956073"/>
    <w:rsid w:val="009562FE"/>
    <w:rsid w:val="0095670C"/>
    <w:rsid w:val="009567F0"/>
    <w:rsid w:val="00956A8F"/>
    <w:rsid w:val="00957221"/>
    <w:rsid w:val="0095738C"/>
    <w:rsid w:val="00957648"/>
    <w:rsid w:val="00957AA4"/>
    <w:rsid w:val="00960720"/>
    <w:rsid w:val="00960903"/>
    <w:rsid w:val="00960D5D"/>
    <w:rsid w:val="009612E2"/>
    <w:rsid w:val="009616B9"/>
    <w:rsid w:val="009619B0"/>
    <w:rsid w:val="00961C94"/>
    <w:rsid w:val="00962287"/>
    <w:rsid w:val="0096263C"/>
    <w:rsid w:val="00962883"/>
    <w:rsid w:val="00962E81"/>
    <w:rsid w:val="009631F9"/>
    <w:rsid w:val="00963352"/>
    <w:rsid w:val="009635DD"/>
    <w:rsid w:val="009644F5"/>
    <w:rsid w:val="00964730"/>
    <w:rsid w:val="00964BD8"/>
    <w:rsid w:val="0096529B"/>
    <w:rsid w:val="00965D9D"/>
    <w:rsid w:val="00965EF6"/>
    <w:rsid w:val="009660D7"/>
    <w:rsid w:val="00966116"/>
    <w:rsid w:val="0096671A"/>
    <w:rsid w:val="00966B31"/>
    <w:rsid w:val="00966C36"/>
    <w:rsid w:val="009678CA"/>
    <w:rsid w:val="0096792A"/>
    <w:rsid w:val="00967E18"/>
    <w:rsid w:val="0097002B"/>
    <w:rsid w:val="009706FE"/>
    <w:rsid w:val="00970883"/>
    <w:rsid w:val="00972513"/>
    <w:rsid w:val="009725A6"/>
    <w:rsid w:val="009726A7"/>
    <w:rsid w:val="00972BA4"/>
    <w:rsid w:val="00972BD9"/>
    <w:rsid w:val="00972D2F"/>
    <w:rsid w:val="00972D9E"/>
    <w:rsid w:val="0097307E"/>
    <w:rsid w:val="009735AC"/>
    <w:rsid w:val="00973DB4"/>
    <w:rsid w:val="0097424B"/>
    <w:rsid w:val="00974943"/>
    <w:rsid w:val="00974977"/>
    <w:rsid w:val="00974B9E"/>
    <w:rsid w:val="009751E1"/>
    <w:rsid w:val="00975356"/>
    <w:rsid w:val="0097561F"/>
    <w:rsid w:val="00975DB2"/>
    <w:rsid w:val="00975E71"/>
    <w:rsid w:val="009774A0"/>
    <w:rsid w:val="009779BA"/>
    <w:rsid w:val="00977FD0"/>
    <w:rsid w:val="0098001E"/>
    <w:rsid w:val="0098019F"/>
    <w:rsid w:val="0098046E"/>
    <w:rsid w:val="0098075A"/>
    <w:rsid w:val="009812F2"/>
    <w:rsid w:val="00981814"/>
    <w:rsid w:val="00981CCB"/>
    <w:rsid w:val="009829B9"/>
    <w:rsid w:val="00982FBD"/>
    <w:rsid w:val="00983BD4"/>
    <w:rsid w:val="009845C0"/>
    <w:rsid w:val="00984936"/>
    <w:rsid w:val="00984A3A"/>
    <w:rsid w:val="00984A44"/>
    <w:rsid w:val="00984A4F"/>
    <w:rsid w:val="00984A56"/>
    <w:rsid w:val="00984DC5"/>
    <w:rsid w:val="00984DCD"/>
    <w:rsid w:val="009855A4"/>
    <w:rsid w:val="00986778"/>
    <w:rsid w:val="00987099"/>
    <w:rsid w:val="009875AF"/>
    <w:rsid w:val="009878CC"/>
    <w:rsid w:val="0099043F"/>
    <w:rsid w:val="009904DA"/>
    <w:rsid w:val="009905A3"/>
    <w:rsid w:val="00990603"/>
    <w:rsid w:val="00990B01"/>
    <w:rsid w:val="00990B20"/>
    <w:rsid w:val="00990DF7"/>
    <w:rsid w:val="0099145C"/>
    <w:rsid w:val="00991529"/>
    <w:rsid w:val="0099199E"/>
    <w:rsid w:val="00991B2A"/>
    <w:rsid w:val="00991E59"/>
    <w:rsid w:val="00992023"/>
    <w:rsid w:val="00992398"/>
    <w:rsid w:val="0099265F"/>
    <w:rsid w:val="009926DC"/>
    <w:rsid w:val="0099281E"/>
    <w:rsid w:val="0099301E"/>
    <w:rsid w:val="00993404"/>
    <w:rsid w:val="009940E8"/>
    <w:rsid w:val="009942DB"/>
    <w:rsid w:val="0099492C"/>
    <w:rsid w:val="00995042"/>
    <w:rsid w:val="009954C5"/>
    <w:rsid w:val="00995BEB"/>
    <w:rsid w:val="00995BEE"/>
    <w:rsid w:val="00996043"/>
    <w:rsid w:val="009961DF"/>
    <w:rsid w:val="009966C1"/>
    <w:rsid w:val="0099687F"/>
    <w:rsid w:val="00996FE9"/>
    <w:rsid w:val="0099727F"/>
    <w:rsid w:val="00997566"/>
    <w:rsid w:val="00997BDF"/>
    <w:rsid w:val="009A040A"/>
    <w:rsid w:val="009A04C8"/>
    <w:rsid w:val="009A08CD"/>
    <w:rsid w:val="009A0FAE"/>
    <w:rsid w:val="009A1583"/>
    <w:rsid w:val="009A1AC1"/>
    <w:rsid w:val="009A23D2"/>
    <w:rsid w:val="009A2912"/>
    <w:rsid w:val="009A2A0B"/>
    <w:rsid w:val="009A2E1D"/>
    <w:rsid w:val="009A36E2"/>
    <w:rsid w:val="009A4218"/>
    <w:rsid w:val="009A4477"/>
    <w:rsid w:val="009A4E03"/>
    <w:rsid w:val="009A4EAA"/>
    <w:rsid w:val="009A4F7C"/>
    <w:rsid w:val="009A759B"/>
    <w:rsid w:val="009A7F5B"/>
    <w:rsid w:val="009B095D"/>
    <w:rsid w:val="009B0B42"/>
    <w:rsid w:val="009B0CC1"/>
    <w:rsid w:val="009B0DBC"/>
    <w:rsid w:val="009B119E"/>
    <w:rsid w:val="009B17B9"/>
    <w:rsid w:val="009B196E"/>
    <w:rsid w:val="009B2179"/>
    <w:rsid w:val="009B2F1F"/>
    <w:rsid w:val="009B3AE2"/>
    <w:rsid w:val="009B3D88"/>
    <w:rsid w:val="009B3DF5"/>
    <w:rsid w:val="009B458C"/>
    <w:rsid w:val="009B4CB1"/>
    <w:rsid w:val="009B55BE"/>
    <w:rsid w:val="009B5974"/>
    <w:rsid w:val="009B5AAD"/>
    <w:rsid w:val="009B5B6E"/>
    <w:rsid w:val="009B5D76"/>
    <w:rsid w:val="009B601C"/>
    <w:rsid w:val="009B6506"/>
    <w:rsid w:val="009B66D1"/>
    <w:rsid w:val="009B6765"/>
    <w:rsid w:val="009B67F7"/>
    <w:rsid w:val="009B6950"/>
    <w:rsid w:val="009B6A86"/>
    <w:rsid w:val="009B6E3A"/>
    <w:rsid w:val="009B741F"/>
    <w:rsid w:val="009B752C"/>
    <w:rsid w:val="009C061D"/>
    <w:rsid w:val="009C0CA0"/>
    <w:rsid w:val="009C0E95"/>
    <w:rsid w:val="009C11C8"/>
    <w:rsid w:val="009C18EE"/>
    <w:rsid w:val="009C1B2E"/>
    <w:rsid w:val="009C1B3C"/>
    <w:rsid w:val="009C1C7E"/>
    <w:rsid w:val="009C1FED"/>
    <w:rsid w:val="009C21E0"/>
    <w:rsid w:val="009C265F"/>
    <w:rsid w:val="009C27E6"/>
    <w:rsid w:val="009C2CAB"/>
    <w:rsid w:val="009C30A9"/>
    <w:rsid w:val="009C32B6"/>
    <w:rsid w:val="009C32D1"/>
    <w:rsid w:val="009C33EE"/>
    <w:rsid w:val="009C3B52"/>
    <w:rsid w:val="009C3BD5"/>
    <w:rsid w:val="009C3C0D"/>
    <w:rsid w:val="009C4228"/>
    <w:rsid w:val="009C4413"/>
    <w:rsid w:val="009C4B6F"/>
    <w:rsid w:val="009C4E96"/>
    <w:rsid w:val="009C5188"/>
    <w:rsid w:val="009C585C"/>
    <w:rsid w:val="009C599F"/>
    <w:rsid w:val="009C5A5B"/>
    <w:rsid w:val="009C5A9B"/>
    <w:rsid w:val="009C5B3E"/>
    <w:rsid w:val="009C5C21"/>
    <w:rsid w:val="009C5D4A"/>
    <w:rsid w:val="009C6031"/>
    <w:rsid w:val="009C60A5"/>
    <w:rsid w:val="009C6143"/>
    <w:rsid w:val="009C671F"/>
    <w:rsid w:val="009C6EE8"/>
    <w:rsid w:val="009C6FAD"/>
    <w:rsid w:val="009C7AB6"/>
    <w:rsid w:val="009C7E8B"/>
    <w:rsid w:val="009D045B"/>
    <w:rsid w:val="009D128A"/>
    <w:rsid w:val="009D164A"/>
    <w:rsid w:val="009D171B"/>
    <w:rsid w:val="009D1AA3"/>
    <w:rsid w:val="009D20D9"/>
    <w:rsid w:val="009D211C"/>
    <w:rsid w:val="009D26C0"/>
    <w:rsid w:val="009D2A94"/>
    <w:rsid w:val="009D3831"/>
    <w:rsid w:val="009D408F"/>
    <w:rsid w:val="009D4ADE"/>
    <w:rsid w:val="009D5497"/>
    <w:rsid w:val="009D5A22"/>
    <w:rsid w:val="009D5B97"/>
    <w:rsid w:val="009D632A"/>
    <w:rsid w:val="009D6640"/>
    <w:rsid w:val="009D6708"/>
    <w:rsid w:val="009D6F44"/>
    <w:rsid w:val="009D7475"/>
    <w:rsid w:val="009E0319"/>
    <w:rsid w:val="009E0C25"/>
    <w:rsid w:val="009E1363"/>
    <w:rsid w:val="009E26C6"/>
    <w:rsid w:val="009E2A9D"/>
    <w:rsid w:val="009E33F3"/>
    <w:rsid w:val="009E378B"/>
    <w:rsid w:val="009E3AE0"/>
    <w:rsid w:val="009E3FE8"/>
    <w:rsid w:val="009E41E3"/>
    <w:rsid w:val="009E48EE"/>
    <w:rsid w:val="009E5206"/>
    <w:rsid w:val="009E5337"/>
    <w:rsid w:val="009E5690"/>
    <w:rsid w:val="009E56CD"/>
    <w:rsid w:val="009E5770"/>
    <w:rsid w:val="009E5F10"/>
    <w:rsid w:val="009E5FF1"/>
    <w:rsid w:val="009E60A1"/>
    <w:rsid w:val="009E7010"/>
    <w:rsid w:val="009E7284"/>
    <w:rsid w:val="009E7B37"/>
    <w:rsid w:val="009E7B8B"/>
    <w:rsid w:val="009E7C15"/>
    <w:rsid w:val="009F02E2"/>
    <w:rsid w:val="009F05CE"/>
    <w:rsid w:val="009F0F87"/>
    <w:rsid w:val="009F1B23"/>
    <w:rsid w:val="009F1C49"/>
    <w:rsid w:val="009F27D8"/>
    <w:rsid w:val="009F29C3"/>
    <w:rsid w:val="009F2DEA"/>
    <w:rsid w:val="009F2EA6"/>
    <w:rsid w:val="009F3239"/>
    <w:rsid w:val="009F344F"/>
    <w:rsid w:val="009F34EA"/>
    <w:rsid w:val="009F3AA0"/>
    <w:rsid w:val="009F3B06"/>
    <w:rsid w:val="009F3E17"/>
    <w:rsid w:val="009F45A4"/>
    <w:rsid w:val="009F4964"/>
    <w:rsid w:val="009F4AD1"/>
    <w:rsid w:val="009F4F29"/>
    <w:rsid w:val="009F5299"/>
    <w:rsid w:val="009F5A81"/>
    <w:rsid w:val="009F5DD0"/>
    <w:rsid w:val="009F5E64"/>
    <w:rsid w:val="009F5F66"/>
    <w:rsid w:val="009F6324"/>
    <w:rsid w:val="009F6B3F"/>
    <w:rsid w:val="00A00AE6"/>
    <w:rsid w:val="00A00B78"/>
    <w:rsid w:val="00A03BA2"/>
    <w:rsid w:val="00A048AE"/>
    <w:rsid w:val="00A04DB2"/>
    <w:rsid w:val="00A0528D"/>
    <w:rsid w:val="00A0547E"/>
    <w:rsid w:val="00A05691"/>
    <w:rsid w:val="00A06281"/>
    <w:rsid w:val="00A06448"/>
    <w:rsid w:val="00A0657E"/>
    <w:rsid w:val="00A06AD2"/>
    <w:rsid w:val="00A07677"/>
    <w:rsid w:val="00A079BC"/>
    <w:rsid w:val="00A07B74"/>
    <w:rsid w:val="00A07BB7"/>
    <w:rsid w:val="00A1033F"/>
    <w:rsid w:val="00A10839"/>
    <w:rsid w:val="00A10FEF"/>
    <w:rsid w:val="00A11439"/>
    <w:rsid w:val="00A11481"/>
    <w:rsid w:val="00A11946"/>
    <w:rsid w:val="00A11CCD"/>
    <w:rsid w:val="00A11F22"/>
    <w:rsid w:val="00A13124"/>
    <w:rsid w:val="00A13328"/>
    <w:rsid w:val="00A13E55"/>
    <w:rsid w:val="00A13EBB"/>
    <w:rsid w:val="00A14114"/>
    <w:rsid w:val="00A142F3"/>
    <w:rsid w:val="00A1458D"/>
    <w:rsid w:val="00A145BD"/>
    <w:rsid w:val="00A14E45"/>
    <w:rsid w:val="00A150A4"/>
    <w:rsid w:val="00A15D35"/>
    <w:rsid w:val="00A15F36"/>
    <w:rsid w:val="00A16778"/>
    <w:rsid w:val="00A16C82"/>
    <w:rsid w:val="00A175C8"/>
    <w:rsid w:val="00A17961"/>
    <w:rsid w:val="00A17E76"/>
    <w:rsid w:val="00A17E94"/>
    <w:rsid w:val="00A20512"/>
    <w:rsid w:val="00A208CA"/>
    <w:rsid w:val="00A2176A"/>
    <w:rsid w:val="00A21994"/>
    <w:rsid w:val="00A21AEB"/>
    <w:rsid w:val="00A22034"/>
    <w:rsid w:val="00A2257B"/>
    <w:rsid w:val="00A227A0"/>
    <w:rsid w:val="00A2293C"/>
    <w:rsid w:val="00A2351D"/>
    <w:rsid w:val="00A237C1"/>
    <w:rsid w:val="00A2396E"/>
    <w:rsid w:val="00A23C60"/>
    <w:rsid w:val="00A23CCD"/>
    <w:rsid w:val="00A23D26"/>
    <w:rsid w:val="00A23F0E"/>
    <w:rsid w:val="00A2432F"/>
    <w:rsid w:val="00A24B21"/>
    <w:rsid w:val="00A25DB2"/>
    <w:rsid w:val="00A25F46"/>
    <w:rsid w:val="00A25F71"/>
    <w:rsid w:val="00A25FA8"/>
    <w:rsid w:val="00A26541"/>
    <w:rsid w:val="00A26861"/>
    <w:rsid w:val="00A26A6F"/>
    <w:rsid w:val="00A2712A"/>
    <w:rsid w:val="00A272A6"/>
    <w:rsid w:val="00A272CA"/>
    <w:rsid w:val="00A30235"/>
    <w:rsid w:val="00A30E38"/>
    <w:rsid w:val="00A30F8C"/>
    <w:rsid w:val="00A31030"/>
    <w:rsid w:val="00A315EA"/>
    <w:rsid w:val="00A3184D"/>
    <w:rsid w:val="00A31B68"/>
    <w:rsid w:val="00A32546"/>
    <w:rsid w:val="00A328FE"/>
    <w:rsid w:val="00A32CD1"/>
    <w:rsid w:val="00A34135"/>
    <w:rsid w:val="00A343F9"/>
    <w:rsid w:val="00A34999"/>
    <w:rsid w:val="00A358F6"/>
    <w:rsid w:val="00A35A83"/>
    <w:rsid w:val="00A3651E"/>
    <w:rsid w:val="00A367E9"/>
    <w:rsid w:val="00A3750F"/>
    <w:rsid w:val="00A376B5"/>
    <w:rsid w:val="00A377EF"/>
    <w:rsid w:val="00A4009F"/>
    <w:rsid w:val="00A40519"/>
    <w:rsid w:val="00A40B12"/>
    <w:rsid w:val="00A41392"/>
    <w:rsid w:val="00A41A48"/>
    <w:rsid w:val="00A41D5B"/>
    <w:rsid w:val="00A423C8"/>
    <w:rsid w:val="00A4246D"/>
    <w:rsid w:val="00A425EA"/>
    <w:rsid w:val="00A42E90"/>
    <w:rsid w:val="00A430CC"/>
    <w:rsid w:val="00A43200"/>
    <w:rsid w:val="00A4412B"/>
    <w:rsid w:val="00A447AD"/>
    <w:rsid w:val="00A44878"/>
    <w:rsid w:val="00A44FBB"/>
    <w:rsid w:val="00A46591"/>
    <w:rsid w:val="00A46C44"/>
    <w:rsid w:val="00A46D2A"/>
    <w:rsid w:val="00A502C8"/>
    <w:rsid w:val="00A50C62"/>
    <w:rsid w:val="00A50CDD"/>
    <w:rsid w:val="00A50D8B"/>
    <w:rsid w:val="00A5132B"/>
    <w:rsid w:val="00A528A0"/>
    <w:rsid w:val="00A52E25"/>
    <w:rsid w:val="00A530FD"/>
    <w:rsid w:val="00A533C8"/>
    <w:rsid w:val="00A5344E"/>
    <w:rsid w:val="00A53DDE"/>
    <w:rsid w:val="00A54414"/>
    <w:rsid w:val="00A54CEE"/>
    <w:rsid w:val="00A54D14"/>
    <w:rsid w:val="00A54F7C"/>
    <w:rsid w:val="00A55204"/>
    <w:rsid w:val="00A5547B"/>
    <w:rsid w:val="00A55862"/>
    <w:rsid w:val="00A5599B"/>
    <w:rsid w:val="00A559A1"/>
    <w:rsid w:val="00A55DE4"/>
    <w:rsid w:val="00A560EF"/>
    <w:rsid w:val="00A56118"/>
    <w:rsid w:val="00A56122"/>
    <w:rsid w:val="00A56EF1"/>
    <w:rsid w:val="00A56F36"/>
    <w:rsid w:val="00A57310"/>
    <w:rsid w:val="00A573A7"/>
    <w:rsid w:val="00A57A3F"/>
    <w:rsid w:val="00A57E0C"/>
    <w:rsid w:val="00A60078"/>
    <w:rsid w:val="00A6049A"/>
    <w:rsid w:val="00A60EF4"/>
    <w:rsid w:val="00A611DC"/>
    <w:rsid w:val="00A629C6"/>
    <w:rsid w:val="00A62D6B"/>
    <w:rsid w:val="00A6312F"/>
    <w:rsid w:val="00A63558"/>
    <w:rsid w:val="00A63E42"/>
    <w:rsid w:val="00A645F3"/>
    <w:rsid w:val="00A6485B"/>
    <w:rsid w:val="00A64949"/>
    <w:rsid w:val="00A64A70"/>
    <w:rsid w:val="00A64F5C"/>
    <w:rsid w:val="00A65833"/>
    <w:rsid w:val="00A65F3C"/>
    <w:rsid w:val="00A66270"/>
    <w:rsid w:val="00A6668C"/>
    <w:rsid w:val="00A66775"/>
    <w:rsid w:val="00A66B72"/>
    <w:rsid w:val="00A6709D"/>
    <w:rsid w:val="00A671F1"/>
    <w:rsid w:val="00A678AA"/>
    <w:rsid w:val="00A67AD6"/>
    <w:rsid w:val="00A7186C"/>
    <w:rsid w:val="00A71F5B"/>
    <w:rsid w:val="00A722EA"/>
    <w:rsid w:val="00A723CC"/>
    <w:rsid w:val="00A72B56"/>
    <w:rsid w:val="00A730EC"/>
    <w:rsid w:val="00A73307"/>
    <w:rsid w:val="00A7355E"/>
    <w:rsid w:val="00A736A2"/>
    <w:rsid w:val="00A7378E"/>
    <w:rsid w:val="00A742D5"/>
    <w:rsid w:val="00A7476F"/>
    <w:rsid w:val="00A74FE1"/>
    <w:rsid w:val="00A7512D"/>
    <w:rsid w:val="00A75571"/>
    <w:rsid w:val="00A764F9"/>
    <w:rsid w:val="00A77189"/>
    <w:rsid w:val="00A771B1"/>
    <w:rsid w:val="00A777DB"/>
    <w:rsid w:val="00A77B48"/>
    <w:rsid w:val="00A803BC"/>
    <w:rsid w:val="00A8065B"/>
    <w:rsid w:val="00A80760"/>
    <w:rsid w:val="00A80A22"/>
    <w:rsid w:val="00A819FF"/>
    <w:rsid w:val="00A81B83"/>
    <w:rsid w:val="00A81C07"/>
    <w:rsid w:val="00A81DC9"/>
    <w:rsid w:val="00A825DD"/>
    <w:rsid w:val="00A826D7"/>
    <w:rsid w:val="00A834FF"/>
    <w:rsid w:val="00A8393A"/>
    <w:rsid w:val="00A839F5"/>
    <w:rsid w:val="00A83ACC"/>
    <w:rsid w:val="00A83CE7"/>
    <w:rsid w:val="00A83D6E"/>
    <w:rsid w:val="00A845EC"/>
    <w:rsid w:val="00A846DB"/>
    <w:rsid w:val="00A84F55"/>
    <w:rsid w:val="00A85471"/>
    <w:rsid w:val="00A856CE"/>
    <w:rsid w:val="00A8594C"/>
    <w:rsid w:val="00A859C5"/>
    <w:rsid w:val="00A85C21"/>
    <w:rsid w:val="00A85E91"/>
    <w:rsid w:val="00A86559"/>
    <w:rsid w:val="00A8676E"/>
    <w:rsid w:val="00A9014A"/>
    <w:rsid w:val="00A90865"/>
    <w:rsid w:val="00A90A97"/>
    <w:rsid w:val="00A90BDF"/>
    <w:rsid w:val="00A9111A"/>
    <w:rsid w:val="00A9170C"/>
    <w:rsid w:val="00A91BF4"/>
    <w:rsid w:val="00A9208D"/>
    <w:rsid w:val="00A92D62"/>
    <w:rsid w:val="00A92E61"/>
    <w:rsid w:val="00A9381B"/>
    <w:rsid w:val="00A93A9D"/>
    <w:rsid w:val="00A93BAC"/>
    <w:rsid w:val="00A93C2B"/>
    <w:rsid w:val="00A9401C"/>
    <w:rsid w:val="00A9438B"/>
    <w:rsid w:val="00A94930"/>
    <w:rsid w:val="00A94971"/>
    <w:rsid w:val="00A9549C"/>
    <w:rsid w:val="00A955D8"/>
    <w:rsid w:val="00A95894"/>
    <w:rsid w:val="00A95D30"/>
    <w:rsid w:val="00A95FF2"/>
    <w:rsid w:val="00A964A5"/>
    <w:rsid w:val="00A969E8"/>
    <w:rsid w:val="00A96C7A"/>
    <w:rsid w:val="00A974C8"/>
    <w:rsid w:val="00A974EC"/>
    <w:rsid w:val="00AA0186"/>
    <w:rsid w:val="00AA061A"/>
    <w:rsid w:val="00AA19BF"/>
    <w:rsid w:val="00AA1C64"/>
    <w:rsid w:val="00AA201A"/>
    <w:rsid w:val="00AA27B4"/>
    <w:rsid w:val="00AA29F0"/>
    <w:rsid w:val="00AA2D92"/>
    <w:rsid w:val="00AA3693"/>
    <w:rsid w:val="00AA3E56"/>
    <w:rsid w:val="00AA44E6"/>
    <w:rsid w:val="00AA4A9C"/>
    <w:rsid w:val="00AA544D"/>
    <w:rsid w:val="00AA56D4"/>
    <w:rsid w:val="00AA56D5"/>
    <w:rsid w:val="00AA5812"/>
    <w:rsid w:val="00AA5AC2"/>
    <w:rsid w:val="00AA6669"/>
    <w:rsid w:val="00AA69A5"/>
    <w:rsid w:val="00AA7834"/>
    <w:rsid w:val="00AA7839"/>
    <w:rsid w:val="00AB0217"/>
    <w:rsid w:val="00AB2343"/>
    <w:rsid w:val="00AB2464"/>
    <w:rsid w:val="00AB296F"/>
    <w:rsid w:val="00AB4325"/>
    <w:rsid w:val="00AB45B4"/>
    <w:rsid w:val="00AB475F"/>
    <w:rsid w:val="00AB50AC"/>
    <w:rsid w:val="00AB570B"/>
    <w:rsid w:val="00AB5DFF"/>
    <w:rsid w:val="00AB6783"/>
    <w:rsid w:val="00AB697A"/>
    <w:rsid w:val="00AB7F49"/>
    <w:rsid w:val="00AC02A1"/>
    <w:rsid w:val="00AC02F9"/>
    <w:rsid w:val="00AC0717"/>
    <w:rsid w:val="00AC0F01"/>
    <w:rsid w:val="00AC22F3"/>
    <w:rsid w:val="00AC25A6"/>
    <w:rsid w:val="00AC28AD"/>
    <w:rsid w:val="00AC3965"/>
    <w:rsid w:val="00AC4A7E"/>
    <w:rsid w:val="00AC4DE8"/>
    <w:rsid w:val="00AC4F39"/>
    <w:rsid w:val="00AC5F97"/>
    <w:rsid w:val="00AC65AC"/>
    <w:rsid w:val="00AC6C66"/>
    <w:rsid w:val="00AC6CB1"/>
    <w:rsid w:val="00AC6EAF"/>
    <w:rsid w:val="00AC6F42"/>
    <w:rsid w:val="00AC71B3"/>
    <w:rsid w:val="00AC71E5"/>
    <w:rsid w:val="00AC732A"/>
    <w:rsid w:val="00AC7413"/>
    <w:rsid w:val="00AC7453"/>
    <w:rsid w:val="00AC75C5"/>
    <w:rsid w:val="00AD0809"/>
    <w:rsid w:val="00AD0B71"/>
    <w:rsid w:val="00AD15A8"/>
    <w:rsid w:val="00AD1610"/>
    <w:rsid w:val="00AD193E"/>
    <w:rsid w:val="00AD1E7A"/>
    <w:rsid w:val="00AD28AC"/>
    <w:rsid w:val="00AD33B5"/>
    <w:rsid w:val="00AD3FD3"/>
    <w:rsid w:val="00AD40A3"/>
    <w:rsid w:val="00AD40D2"/>
    <w:rsid w:val="00AD4578"/>
    <w:rsid w:val="00AD4734"/>
    <w:rsid w:val="00AD54EF"/>
    <w:rsid w:val="00AD6888"/>
    <w:rsid w:val="00AD68F2"/>
    <w:rsid w:val="00AD76B1"/>
    <w:rsid w:val="00AE03FA"/>
    <w:rsid w:val="00AE065B"/>
    <w:rsid w:val="00AE0865"/>
    <w:rsid w:val="00AE0A30"/>
    <w:rsid w:val="00AE0E8B"/>
    <w:rsid w:val="00AE1B32"/>
    <w:rsid w:val="00AE21FB"/>
    <w:rsid w:val="00AE2991"/>
    <w:rsid w:val="00AE2B6B"/>
    <w:rsid w:val="00AE2BEE"/>
    <w:rsid w:val="00AE3A1E"/>
    <w:rsid w:val="00AE3A2A"/>
    <w:rsid w:val="00AE454B"/>
    <w:rsid w:val="00AE45B5"/>
    <w:rsid w:val="00AE46A9"/>
    <w:rsid w:val="00AE4823"/>
    <w:rsid w:val="00AE4897"/>
    <w:rsid w:val="00AE4984"/>
    <w:rsid w:val="00AE4BE0"/>
    <w:rsid w:val="00AE5851"/>
    <w:rsid w:val="00AE6AF2"/>
    <w:rsid w:val="00AE6AF6"/>
    <w:rsid w:val="00AE7E47"/>
    <w:rsid w:val="00AF018F"/>
    <w:rsid w:val="00AF0717"/>
    <w:rsid w:val="00AF071F"/>
    <w:rsid w:val="00AF0FBD"/>
    <w:rsid w:val="00AF10B7"/>
    <w:rsid w:val="00AF13A4"/>
    <w:rsid w:val="00AF16AB"/>
    <w:rsid w:val="00AF1842"/>
    <w:rsid w:val="00AF2281"/>
    <w:rsid w:val="00AF22F8"/>
    <w:rsid w:val="00AF27F1"/>
    <w:rsid w:val="00AF2E4B"/>
    <w:rsid w:val="00AF376F"/>
    <w:rsid w:val="00AF398B"/>
    <w:rsid w:val="00AF4026"/>
    <w:rsid w:val="00AF43DE"/>
    <w:rsid w:val="00AF4718"/>
    <w:rsid w:val="00AF48A4"/>
    <w:rsid w:val="00AF48D8"/>
    <w:rsid w:val="00AF4D5F"/>
    <w:rsid w:val="00AF50E8"/>
    <w:rsid w:val="00AF61FF"/>
    <w:rsid w:val="00AF7F43"/>
    <w:rsid w:val="00B00073"/>
    <w:rsid w:val="00B003C9"/>
    <w:rsid w:val="00B00489"/>
    <w:rsid w:val="00B0105F"/>
    <w:rsid w:val="00B01195"/>
    <w:rsid w:val="00B013C4"/>
    <w:rsid w:val="00B013DD"/>
    <w:rsid w:val="00B01447"/>
    <w:rsid w:val="00B02263"/>
    <w:rsid w:val="00B02B54"/>
    <w:rsid w:val="00B02DA6"/>
    <w:rsid w:val="00B03716"/>
    <w:rsid w:val="00B03BA4"/>
    <w:rsid w:val="00B046C3"/>
    <w:rsid w:val="00B04BD7"/>
    <w:rsid w:val="00B05B43"/>
    <w:rsid w:val="00B06103"/>
    <w:rsid w:val="00B06C7C"/>
    <w:rsid w:val="00B07A79"/>
    <w:rsid w:val="00B07AB0"/>
    <w:rsid w:val="00B10054"/>
    <w:rsid w:val="00B1060C"/>
    <w:rsid w:val="00B10837"/>
    <w:rsid w:val="00B10AD8"/>
    <w:rsid w:val="00B10B34"/>
    <w:rsid w:val="00B10E0D"/>
    <w:rsid w:val="00B11948"/>
    <w:rsid w:val="00B12916"/>
    <w:rsid w:val="00B131B6"/>
    <w:rsid w:val="00B13544"/>
    <w:rsid w:val="00B13D0C"/>
    <w:rsid w:val="00B13FC4"/>
    <w:rsid w:val="00B14092"/>
    <w:rsid w:val="00B141A0"/>
    <w:rsid w:val="00B14303"/>
    <w:rsid w:val="00B143FF"/>
    <w:rsid w:val="00B14D08"/>
    <w:rsid w:val="00B154DA"/>
    <w:rsid w:val="00B15537"/>
    <w:rsid w:val="00B157C2"/>
    <w:rsid w:val="00B15888"/>
    <w:rsid w:val="00B15D45"/>
    <w:rsid w:val="00B160AD"/>
    <w:rsid w:val="00B16200"/>
    <w:rsid w:val="00B166FC"/>
    <w:rsid w:val="00B16EAD"/>
    <w:rsid w:val="00B16F6F"/>
    <w:rsid w:val="00B17037"/>
    <w:rsid w:val="00B17226"/>
    <w:rsid w:val="00B17627"/>
    <w:rsid w:val="00B1787D"/>
    <w:rsid w:val="00B20A4B"/>
    <w:rsid w:val="00B21A09"/>
    <w:rsid w:val="00B221D2"/>
    <w:rsid w:val="00B2298A"/>
    <w:rsid w:val="00B22E4C"/>
    <w:rsid w:val="00B22FE8"/>
    <w:rsid w:val="00B2354F"/>
    <w:rsid w:val="00B23B77"/>
    <w:rsid w:val="00B23C5F"/>
    <w:rsid w:val="00B23FEC"/>
    <w:rsid w:val="00B241AA"/>
    <w:rsid w:val="00B243BE"/>
    <w:rsid w:val="00B243E9"/>
    <w:rsid w:val="00B248B3"/>
    <w:rsid w:val="00B24B11"/>
    <w:rsid w:val="00B24FAD"/>
    <w:rsid w:val="00B2586A"/>
    <w:rsid w:val="00B259DA"/>
    <w:rsid w:val="00B2675D"/>
    <w:rsid w:val="00B2689F"/>
    <w:rsid w:val="00B272DC"/>
    <w:rsid w:val="00B273A6"/>
    <w:rsid w:val="00B27853"/>
    <w:rsid w:val="00B27FA0"/>
    <w:rsid w:val="00B30163"/>
    <w:rsid w:val="00B306D1"/>
    <w:rsid w:val="00B309B7"/>
    <w:rsid w:val="00B30BDE"/>
    <w:rsid w:val="00B30C72"/>
    <w:rsid w:val="00B313E5"/>
    <w:rsid w:val="00B31BB8"/>
    <w:rsid w:val="00B32CD0"/>
    <w:rsid w:val="00B336D2"/>
    <w:rsid w:val="00B33AF2"/>
    <w:rsid w:val="00B33E48"/>
    <w:rsid w:val="00B342AA"/>
    <w:rsid w:val="00B3467E"/>
    <w:rsid w:val="00B34E8A"/>
    <w:rsid w:val="00B35367"/>
    <w:rsid w:val="00B35AA5"/>
    <w:rsid w:val="00B35ADE"/>
    <w:rsid w:val="00B35B40"/>
    <w:rsid w:val="00B35D3F"/>
    <w:rsid w:val="00B363FB"/>
    <w:rsid w:val="00B369CA"/>
    <w:rsid w:val="00B372B1"/>
    <w:rsid w:val="00B373BB"/>
    <w:rsid w:val="00B3743F"/>
    <w:rsid w:val="00B40159"/>
    <w:rsid w:val="00B40B8D"/>
    <w:rsid w:val="00B41445"/>
    <w:rsid w:val="00B415A9"/>
    <w:rsid w:val="00B41A44"/>
    <w:rsid w:val="00B421C7"/>
    <w:rsid w:val="00B42A26"/>
    <w:rsid w:val="00B43250"/>
    <w:rsid w:val="00B43603"/>
    <w:rsid w:val="00B43685"/>
    <w:rsid w:val="00B43854"/>
    <w:rsid w:val="00B43D93"/>
    <w:rsid w:val="00B457CD"/>
    <w:rsid w:val="00B45830"/>
    <w:rsid w:val="00B45966"/>
    <w:rsid w:val="00B45F81"/>
    <w:rsid w:val="00B4648C"/>
    <w:rsid w:val="00B46A00"/>
    <w:rsid w:val="00B46DE3"/>
    <w:rsid w:val="00B46E2C"/>
    <w:rsid w:val="00B47018"/>
    <w:rsid w:val="00B47270"/>
    <w:rsid w:val="00B47861"/>
    <w:rsid w:val="00B47ECA"/>
    <w:rsid w:val="00B504FC"/>
    <w:rsid w:val="00B51431"/>
    <w:rsid w:val="00B5172E"/>
    <w:rsid w:val="00B51B19"/>
    <w:rsid w:val="00B51EE4"/>
    <w:rsid w:val="00B5255F"/>
    <w:rsid w:val="00B52794"/>
    <w:rsid w:val="00B52FDB"/>
    <w:rsid w:val="00B53B2C"/>
    <w:rsid w:val="00B53B88"/>
    <w:rsid w:val="00B53E58"/>
    <w:rsid w:val="00B545C5"/>
    <w:rsid w:val="00B548B8"/>
    <w:rsid w:val="00B5504C"/>
    <w:rsid w:val="00B551FB"/>
    <w:rsid w:val="00B55882"/>
    <w:rsid w:val="00B55EDC"/>
    <w:rsid w:val="00B56827"/>
    <w:rsid w:val="00B57336"/>
    <w:rsid w:val="00B604A0"/>
    <w:rsid w:val="00B60889"/>
    <w:rsid w:val="00B60CF0"/>
    <w:rsid w:val="00B61684"/>
    <w:rsid w:val="00B61C6D"/>
    <w:rsid w:val="00B61CAF"/>
    <w:rsid w:val="00B62205"/>
    <w:rsid w:val="00B6241B"/>
    <w:rsid w:val="00B626E0"/>
    <w:rsid w:val="00B6271F"/>
    <w:rsid w:val="00B62A50"/>
    <w:rsid w:val="00B62C25"/>
    <w:rsid w:val="00B62D41"/>
    <w:rsid w:val="00B63029"/>
    <w:rsid w:val="00B63227"/>
    <w:rsid w:val="00B6401E"/>
    <w:rsid w:val="00B642E5"/>
    <w:rsid w:val="00B64AD1"/>
    <w:rsid w:val="00B64C84"/>
    <w:rsid w:val="00B64E4D"/>
    <w:rsid w:val="00B6566B"/>
    <w:rsid w:val="00B65A06"/>
    <w:rsid w:val="00B65D0D"/>
    <w:rsid w:val="00B65D77"/>
    <w:rsid w:val="00B661AD"/>
    <w:rsid w:val="00B664BD"/>
    <w:rsid w:val="00B664EB"/>
    <w:rsid w:val="00B66D6E"/>
    <w:rsid w:val="00B673C6"/>
    <w:rsid w:val="00B6783D"/>
    <w:rsid w:val="00B67C1C"/>
    <w:rsid w:val="00B67DF3"/>
    <w:rsid w:val="00B70418"/>
    <w:rsid w:val="00B704FE"/>
    <w:rsid w:val="00B7089C"/>
    <w:rsid w:val="00B70A96"/>
    <w:rsid w:val="00B70C10"/>
    <w:rsid w:val="00B71295"/>
    <w:rsid w:val="00B7172D"/>
    <w:rsid w:val="00B71E79"/>
    <w:rsid w:val="00B720AA"/>
    <w:rsid w:val="00B721EA"/>
    <w:rsid w:val="00B72610"/>
    <w:rsid w:val="00B72EE5"/>
    <w:rsid w:val="00B732FF"/>
    <w:rsid w:val="00B741C9"/>
    <w:rsid w:val="00B743F7"/>
    <w:rsid w:val="00B74765"/>
    <w:rsid w:val="00B7495D"/>
    <w:rsid w:val="00B75202"/>
    <w:rsid w:val="00B75411"/>
    <w:rsid w:val="00B75C9E"/>
    <w:rsid w:val="00B75CDD"/>
    <w:rsid w:val="00B7610D"/>
    <w:rsid w:val="00B76586"/>
    <w:rsid w:val="00B7699F"/>
    <w:rsid w:val="00B77562"/>
    <w:rsid w:val="00B80C27"/>
    <w:rsid w:val="00B80CF2"/>
    <w:rsid w:val="00B810B7"/>
    <w:rsid w:val="00B815E8"/>
    <w:rsid w:val="00B823C6"/>
    <w:rsid w:val="00B82540"/>
    <w:rsid w:val="00B82E74"/>
    <w:rsid w:val="00B84071"/>
    <w:rsid w:val="00B8421A"/>
    <w:rsid w:val="00B842C0"/>
    <w:rsid w:val="00B84CE0"/>
    <w:rsid w:val="00B85031"/>
    <w:rsid w:val="00B85DA8"/>
    <w:rsid w:val="00B8600B"/>
    <w:rsid w:val="00B86827"/>
    <w:rsid w:val="00B86AA2"/>
    <w:rsid w:val="00B86F7D"/>
    <w:rsid w:val="00B874CA"/>
    <w:rsid w:val="00B876B6"/>
    <w:rsid w:val="00B87B91"/>
    <w:rsid w:val="00B87ECA"/>
    <w:rsid w:val="00B9020A"/>
    <w:rsid w:val="00B90B67"/>
    <w:rsid w:val="00B90BE9"/>
    <w:rsid w:val="00B91703"/>
    <w:rsid w:val="00B9188C"/>
    <w:rsid w:val="00B919DB"/>
    <w:rsid w:val="00B91EEF"/>
    <w:rsid w:val="00B92586"/>
    <w:rsid w:val="00B92983"/>
    <w:rsid w:val="00B92D5B"/>
    <w:rsid w:val="00B9318A"/>
    <w:rsid w:val="00B936A3"/>
    <w:rsid w:val="00B93807"/>
    <w:rsid w:val="00B93B4F"/>
    <w:rsid w:val="00B93CD4"/>
    <w:rsid w:val="00B93F81"/>
    <w:rsid w:val="00B94073"/>
    <w:rsid w:val="00B9447B"/>
    <w:rsid w:val="00B944D5"/>
    <w:rsid w:val="00B94C9B"/>
    <w:rsid w:val="00B95402"/>
    <w:rsid w:val="00B9550E"/>
    <w:rsid w:val="00B95C0F"/>
    <w:rsid w:val="00B95D91"/>
    <w:rsid w:val="00B95E67"/>
    <w:rsid w:val="00B95F33"/>
    <w:rsid w:val="00B96564"/>
    <w:rsid w:val="00B968AE"/>
    <w:rsid w:val="00B96937"/>
    <w:rsid w:val="00B96A68"/>
    <w:rsid w:val="00B96C6A"/>
    <w:rsid w:val="00B96E23"/>
    <w:rsid w:val="00B973CB"/>
    <w:rsid w:val="00B973EC"/>
    <w:rsid w:val="00B97CE5"/>
    <w:rsid w:val="00BA0427"/>
    <w:rsid w:val="00BA0A6F"/>
    <w:rsid w:val="00BA0BB0"/>
    <w:rsid w:val="00BA0CF3"/>
    <w:rsid w:val="00BA164A"/>
    <w:rsid w:val="00BA1AA1"/>
    <w:rsid w:val="00BA2183"/>
    <w:rsid w:val="00BA29A6"/>
    <w:rsid w:val="00BA365B"/>
    <w:rsid w:val="00BA38E5"/>
    <w:rsid w:val="00BA3D05"/>
    <w:rsid w:val="00BA3DA7"/>
    <w:rsid w:val="00BA40D8"/>
    <w:rsid w:val="00BA440F"/>
    <w:rsid w:val="00BA4529"/>
    <w:rsid w:val="00BA4F1C"/>
    <w:rsid w:val="00BA547E"/>
    <w:rsid w:val="00BA5894"/>
    <w:rsid w:val="00BA5F6E"/>
    <w:rsid w:val="00BA6CC6"/>
    <w:rsid w:val="00BA7255"/>
    <w:rsid w:val="00BA73F3"/>
    <w:rsid w:val="00BA7A95"/>
    <w:rsid w:val="00BA7C63"/>
    <w:rsid w:val="00BA7E10"/>
    <w:rsid w:val="00BB04E9"/>
    <w:rsid w:val="00BB06AA"/>
    <w:rsid w:val="00BB0C1D"/>
    <w:rsid w:val="00BB1445"/>
    <w:rsid w:val="00BB198F"/>
    <w:rsid w:val="00BB1E39"/>
    <w:rsid w:val="00BB2865"/>
    <w:rsid w:val="00BB290A"/>
    <w:rsid w:val="00BB2A7F"/>
    <w:rsid w:val="00BB3027"/>
    <w:rsid w:val="00BB3473"/>
    <w:rsid w:val="00BB3486"/>
    <w:rsid w:val="00BB36D6"/>
    <w:rsid w:val="00BB4159"/>
    <w:rsid w:val="00BB4224"/>
    <w:rsid w:val="00BB52A2"/>
    <w:rsid w:val="00BB5A3F"/>
    <w:rsid w:val="00BB65E4"/>
    <w:rsid w:val="00BB671B"/>
    <w:rsid w:val="00BB6B5D"/>
    <w:rsid w:val="00BB6DB6"/>
    <w:rsid w:val="00BB7804"/>
    <w:rsid w:val="00BB79E6"/>
    <w:rsid w:val="00BC000D"/>
    <w:rsid w:val="00BC006A"/>
    <w:rsid w:val="00BC01BD"/>
    <w:rsid w:val="00BC0359"/>
    <w:rsid w:val="00BC0AFA"/>
    <w:rsid w:val="00BC0EFB"/>
    <w:rsid w:val="00BC10C5"/>
    <w:rsid w:val="00BC184D"/>
    <w:rsid w:val="00BC1C31"/>
    <w:rsid w:val="00BC2318"/>
    <w:rsid w:val="00BC2AF9"/>
    <w:rsid w:val="00BC2BE6"/>
    <w:rsid w:val="00BC2C55"/>
    <w:rsid w:val="00BC2EE1"/>
    <w:rsid w:val="00BC30C2"/>
    <w:rsid w:val="00BC353F"/>
    <w:rsid w:val="00BC37B9"/>
    <w:rsid w:val="00BC3B1A"/>
    <w:rsid w:val="00BC3C3C"/>
    <w:rsid w:val="00BC4123"/>
    <w:rsid w:val="00BC4674"/>
    <w:rsid w:val="00BC4699"/>
    <w:rsid w:val="00BC4857"/>
    <w:rsid w:val="00BC4DC5"/>
    <w:rsid w:val="00BC5143"/>
    <w:rsid w:val="00BC5A45"/>
    <w:rsid w:val="00BC751B"/>
    <w:rsid w:val="00BC754C"/>
    <w:rsid w:val="00BC79BA"/>
    <w:rsid w:val="00BC7C52"/>
    <w:rsid w:val="00BD0F1F"/>
    <w:rsid w:val="00BD1CF7"/>
    <w:rsid w:val="00BD1EF4"/>
    <w:rsid w:val="00BD2AF9"/>
    <w:rsid w:val="00BD3184"/>
    <w:rsid w:val="00BD3305"/>
    <w:rsid w:val="00BD37E6"/>
    <w:rsid w:val="00BD3F4A"/>
    <w:rsid w:val="00BD3F53"/>
    <w:rsid w:val="00BD42DF"/>
    <w:rsid w:val="00BD4326"/>
    <w:rsid w:val="00BD484E"/>
    <w:rsid w:val="00BD4D02"/>
    <w:rsid w:val="00BD4E52"/>
    <w:rsid w:val="00BD502E"/>
    <w:rsid w:val="00BD58C9"/>
    <w:rsid w:val="00BD5F97"/>
    <w:rsid w:val="00BD622B"/>
    <w:rsid w:val="00BD6304"/>
    <w:rsid w:val="00BD66EE"/>
    <w:rsid w:val="00BD6FD6"/>
    <w:rsid w:val="00BD739A"/>
    <w:rsid w:val="00BD7AF3"/>
    <w:rsid w:val="00BD7C7A"/>
    <w:rsid w:val="00BD7CCC"/>
    <w:rsid w:val="00BD7FAB"/>
    <w:rsid w:val="00BD7FE7"/>
    <w:rsid w:val="00BE0040"/>
    <w:rsid w:val="00BE00A5"/>
    <w:rsid w:val="00BE0434"/>
    <w:rsid w:val="00BE066B"/>
    <w:rsid w:val="00BE0847"/>
    <w:rsid w:val="00BE1132"/>
    <w:rsid w:val="00BE1571"/>
    <w:rsid w:val="00BE1B4B"/>
    <w:rsid w:val="00BE1BD3"/>
    <w:rsid w:val="00BE1C04"/>
    <w:rsid w:val="00BE21E5"/>
    <w:rsid w:val="00BE2C17"/>
    <w:rsid w:val="00BE394D"/>
    <w:rsid w:val="00BE3B04"/>
    <w:rsid w:val="00BE49F4"/>
    <w:rsid w:val="00BE4A1E"/>
    <w:rsid w:val="00BE4C5D"/>
    <w:rsid w:val="00BE4E82"/>
    <w:rsid w:val="00BE518E"/>
    <w:rsid w:val="00BE5994"/>
    <w:rsid w:val="00BE5A39"/>
    <w:rsid w:val="00BE5CBB"/>
    <w:rsid w:val="00BE5D33"/>
    <w:rsid w:val="00BE5E9E"/>
    <w:rsid w:val="00BE6512"/>
    <w:rsid w:val="00BE6B1C"/>
    <w:rsid w:val="00BE6E10"/>
    <w:rsid w:val="00BE6E1D"/>
    <w:rsid w:val="00BE7390"/>
    <w:rsid w:val="00BE7459"/>
    <w:rsid w:val="00BE768E"/>
    <w:rsid w:val="00BE7C5A"/>
    <w:rsid w:val="00BF0107"/>
    <w:rsid w:val="00BF068F"/>
    <w:rsid w:val="00BF07E7"/>
    <w:rsid w:val="00BF1614"/>
    <w:rsid w:val="00BF1ADF"/>
    <w:rsid w:val="00BF1E02"/>
    <w:rsid w:val="00BF1F03"/>
    <w:rsid w:val="00BF2634"/>
    <w:rsid w:val="00BF2831"/>
    <w:rsid w:val="00BF2FF4"/>
    <w:rsid w:val="00BF303F"/>
    <w:rsid w:val="00BF31C5"/>
    <w:rsid w:val="00BF3253"/>
    <w:rsid w:val="00BF33EF"/>
    <w:rsid w:val="00BF387C"/>
    <w:rsid w:val="00BF3DEB"/>
    <w:rsid w:val="00BF422F"/>
    <w:rsid w:val="00BF42A1"/>
    <w:rsid w:val="00BF4667"/>
    <w:rsid w:val="00BF468A"/>
    <w:rsid w:val="00BF46E1"/>
    <w:rsid w:val="00BF4AE3"/>
    <w:rsid w:val="00BF55FA"/>
    <w:rsid w:val="00BF5717"/>
    <w:rsid w:val="00BF612B"/>
    <w:rsid w:val="00BF6BF8"/>
    <w:rsid w:val="00C0013C"/>
    <w:rsid w:val="00C001D2"/>
    <w:rsid w:val="00C00664"/>
    <w:rsid w:val="00C00800"/>
    <w:rsid w:val="00C008EC"/>
    <w:rsid w:val="00C00E86"/>
    <w:rsid w:val="00C00EC5"/>
    <w:rsid w:val="00C01426"/>
    <w:rsid w:val="00C016AA"/>
    <w:rsid w:val="00C025A2"/>
    <w:rsid w:val="00C0294C"/>
    <w:rsid w:val="00C02D9D"/>
    <w:rsid w:val="00C02DB7"/>
    <w:rsid w:val="00C032F0"/>
    <w:rsid w:val="00C033E3"/>
    <w:rsid w:val="00C0348F"/>
    <w:rsid w:val="00C0380D"/>
    <w:rsid w:val="00C0384C"/>
    <w:rsid w:val="00C03E3B"/>
    <w:rsid w:val="00C03EF9"/>
    <w:rsid w:val="00C043AE"/>
    <w:rsid w:val="00C044EF"/>
    <w:rsid w:val="00C045A2"/>
    <w:rsid w:val="00C046E2"/>
    <w:rsid w:val="00C0500A"/>
    <w:rsid w:val="00C05948"/>
    <w:rsid w:val="00C06089"/>
    <w:rsid w:val="00C0644C"/>
    <w:rsid w:val="00C065C5"/>
    <w:rsid w:val="00C072FB"/>
    <w:rsid w:val="00C07470"/>
    <w:rsid w:val="00C07506"/>
    <w:rsid w:val="00C07B9C"/>
    <w:rsid w:val="00C07F4C"/>
    <w:rsid w:val="00C1046A"/>
    <w:rsid w:val="00C10EFD"/>
    <w:rsid w:val="00C10FAD"/>
    <w:rsid w:val="00C10FF6"/>
    <w:rsid w:val="00C11134"/>
    <w:rsid w:val="00C11322"/>
    <w:rsid w:val="00C11359"/>
    <w:rsid w:val="00C11931"/>
    <w:rsid w:val="00C11BB6"/>
    <w:rsid w:val="00C11CC6"/>
    <w:rsid w:val="00C1225A"/>
    <w:rsid w:val="00C125D5"/>
    <w:rsid w:val="00C13EFF"/>
    <w:rsid w:val="00C14821"/>
    <w:rsid w:val="00C14849"/>
    <w:rsid w:val="00C14866"/>
    <w:rsid w:val="00C14921"/>
    <w:rsid w:val="00C15978"/>
    <w:rsid w:val="00C15B2D"/>
    <w:rsid w:val="00C15CD4"/>
    <w:rsid w:val="00C15DCA"/>
    <w:rsid w:val="00C1601C"/>
    <w:rsid w:val="00C16861"/>
    <w:rsid w:val="00C16A23"/>
    <w:rsid w:val="00C16A26"/>
    <w:rsid w:val="00C17238"/>
    <w:rsid w:val="00C17307"/>
    <w:rsid w:val="00C1758F"/>
    <w:rsid w:val="00C176BA"/>
    <w:rsid w:val="00C20C8A"/>
    <w:rsid w:val="00C21EED"/>
    <w:rsid w:val="00C22025"/>
    <w:rsid w:val="00C22062"/>
    <w:rsid w:val="00C227A3"/>
    <w:rsid w:val="00C22A6A"/>
    <w:rsid w:val="00C22D7E"/>
    <w:rsid w:val="00C22F01"/>
    <w:rsid w:val="00C233DB"/>
    <w:rsid w:val="00C23428"/>
    <w:rsid w:val="00C236E8"/>
    <w:rsid w:val="00C23C17"/>
    <w:rsid w:val="00C24B1F"/>
    <w:rsid w:val="00C24B32"/>
    <w:rsid w:val="00C24F0B"/>
    <w:rsid w:val="00C256A8"/>
    <w:rsid w:val="00C25BCC"/>
    <w:rsid w:val="00C25F96"/>
    <w:rsid w:val="00C26160"/>
    <w:rsid w:val="00C2692E"/>
    <w:rsid w:val="00C269BF"/>
    <w:rsid w:val="00C270F1"/>
    <w:rsid w:val="00C2752C"/>
    <w:rsid w:val="00C275E7"/>
    <w:rsid w:val="00C27AEC"/>
    <w:rsid w:val="00C27D59"/>
    <w:rsid w:val="00C3010E"/>
    <w:rsid w:val="00C303E3"/>
    <w:rsid w:val="00C3068F"/>
    <w:rsid w:val="00C3074F"/>
    <w:rsid w:val="00C308D1"/>
    <w:rsid w:val="00C3096C"/>
    <w:rsid w:val="00C31037"/>
    <w:rsid w:val="00C31523"/>
    <w:rsid w:val="00C318AB"/>
    <w:rsid w:val="00C31C27"/>
    <w:rsid w:val="00C31EBA"/>
    <w:rsid w:val="00C32570"/>
    <w:rsid w:val="00C329D8"/>
    <w:rsid w:val="00C32BF9"/>
    <w:rsid w:val="00C32F4A"/>
    <w:rsid w:val="00C332F7"/>
    <w:rsid w:val="00C33931"/>
    <w:rsid w:val="00C33B21"/>
    <w:rsid w:val="00C33BAD"/>
    <w:rsid w:val="00C33DB8"/>
    <w:rsid w:val="00C3447C"/>
    <w:rsid w:val="00C34793"/>
    <w:rsid w:val="00C34D7E"/>
    <w:rsid w:val="00C3504F"/>
    <w:rsid w:val="00C3509C"/>
    <w:rsid w:val="00C35A8C"/>
    <w:rsid w:val="00C361E7"/>
    <w:rsid w:val="00C36B2B"/>
    <w:rsid w:val="00C36D8F"/>
    <w:rsid w:val="00C36F34"/>
    <w:rsid w:val="00C3797E"/>
    <w:rsid w:val="00C37D96"/>
    <w:rsid w:val="00C37E10"/>
    <w:rsid w:val="00C37F43"/>
    <w:rsid w:val="00C400CD"/>
    <w:rsid w:val="00C402B2"/>
    <w:rsid w:val="00C40429"/>
    <w:rsid w:val="00C4085C"/>
    <w:rsid w:val="00C40DB2"/>
    <w:rsid w:val="00C41641"/>
    <w:rsid w:val="00C416C0"/>
    <w:rsid w:val="00C41CC2"/>
    <w:rsid w:val="00C41F54"/>
    <w:rsid w:val="00C42110"/>
    <w:rsid w:val="00C424E0"/>
    <w:rsid w:val="00C43685"/>
    <w:rsid w:val="00C438D2"/>
    <w:rsid w:val="00C438ED"/>
    <w:rsid w:val="00C4396A"/>
    <w:rsid w:val="00C43AA3"/>
    <w:rsid w:val="00C43B67"/>
    <w:rsid w:val="00C441D2"/>
    <w:rsid w:val="00C44599"/>
    <w:rsid w:val="00C45424"/>
    <w:rsid w:val="00C45C93"/>
    <w:rsid w:val="00C45EF7"/>
    <w:rsid w:val="00C46165"/>
    <w:rsid w:val="00C46303"/>
    <w:rsid w:val="00C46436"/>
    <w:rsid w:val="00C46584"/>
    <w:rsid w:val="00C46B34"/>
    <w:rsid w:val="00C46B37"/>
    <w:rsid w:val="00C46B4F"/>
    <w:rsid w:val="00C46D41"/>
    <w:rsid w:val="00C47067"/>
    <w:rsid w:val="00C47364"/>
    <w:rsid w:val="00C473ED"/>
    <w:rsid w:val="00C47CF0"/>
    <w:rsid w:val="00C47E63"/>
    <w:rsid w:val="00C50188"/>
    <w:rsid w:val="00C50225"/>
    <w:rsid w:val="00C50661"/>
    <w:rsid w:val="00C50E16"/>
    <w:rsid w:val="00C50F1E"/>
    <w:rsid w:val="00C5122C"/>
    <w:rsid w:val="00C513E2"/>
    <w:rsid w:val="00C51B56"/>
    <w:rsid w:val="00C51D88"/>
    <w:rsid w:val="00C5271B"/>
    <w:rsid w:val="00C52F71"/>
    <w:rsid w:val="00C532D4"/>
    <w:rsid w:val="00C5369F"/>
    <w:rsid w:val="00C53CC1"/>
    <w:rsid w:val="00C53D0E"/>
    <w:rsid w:val="00C53E73"/>
    <w:rsid w:val="00C544B7"/>
    <w:rsid w:val="00C5456C"/>
    <w:rsid w:val="00C546A0"/>
    <w:rsid w:val="00C54780"/>
    <w:rsid w:val="00C54E10"/>
    <w:rsid w:val="00C552F2"/>
    <w:rsid w:val="00C555E2"/>
    <w:rsid w:val="00C55BF7"/>
    <w:rsid w:val="00C55FCF"/>
    <w:rsid w:val="00C5605F"/>
    <w:rsid w:val="00C564D4"/>
    <w:rsid w:val="00C567C8"/>
    <w:rsid w:val="00C56C25"/>
    <w:rsid w:val="00C57550"/>
    <w:rsid w:val="00C57955"/>
    <w:rsid w:val="00C57BB8"/>
    <w:rsid w:val="00C57C8F"/>
    <w:rsid w:val="00C57F26"/>
    <w:rsid w:val="00C57FD8"/>
    <w:rsid w:val="00C600F2"/>
    <w:rsid w:val="00C60770"/>
    <w:rsid w:val="00C60D32"/>
    <w:rsid w:val="00C61704"/>
    <w:rsid w:val="00C61E2A"/>
    <w:rsid w:val="00C61FBA"/>
    <w:rsid w:val="00C62122"/>
    <w:rsid w:val="00C624E4"/>
    <w:rsid w:val="00C62863"/>
    <w:rsid w:val="00C628AC"/>
    <w:rsid w:val="00C63861"/>
    <w:rsid w:val="00C63953"/>
    <w:rsid w:val="00C6399D"/>
    <w:rsid w:val="00C63F3A"/>
    <w:rsid w:val="00C65748"/>
    <w:rsid w:val="00C65AA5"/>
    <w:rsid w:val="00C65E70"/>
    <w:rsid w:val="00C65F7C"/>
    <w:rsid w:val="00C66910"/>
    <w:rsid w:val="00C6785B"/>
    <w:rsid w:val="00C67ADF"/>
    <w:rsid w:val="00C67B53"/>
    <w:rsid w:val="00C7041E"/>
    <w:rsid w:val="00C70477"/>
    <w:rsid w:val="00C704D2"/>
    <w:rsid w:val="00C708B0"/>
    <w:rsid w:val="00C70A36"/>
    <w:rsid w:val="00C711B7"/>
    <w:rsid w:val="00C71F1E"/>
    <w:rsid w:val="00C72495"/>
    <w:rsid w:val="00C728BB"/>
    <w:rsid w:val="00C72BC4"/>
    <w:rsid w:val="00C73A47"/>
    <w:rsid w:val="00C73FF8"/>
    <w:rsid w:val="00C74301"/>
    <w:rsid w:val="00C7462E"/>
    <w:rsid w:val="00C74BDC"/>
    <w:rsid w:val="00C750FC"/>
    <w:rsid w:val="00C7553C"/>
    <w:rsid w:val="00C7594F"/>
    <w:rsid w:val="00C761E3"/>
    <w:rsid w:val="00C7642F"/>
    <w:rsid w:val="00C77906"/>
    <w:rsid w:val="00C77A80"/>
    <w:rsid w:val="00C77C42"/>
    <w:rsid w:val="00C77E85"/>
    <w:rsid w:val="00C805BC"/>
    <w:rsid w:val="00C80D04"/>
    <w:rsid w:val="00C8163D"/>
    <w:rsid w:val="00C818E3"/>
    <w:rsid w:val="00C81BAD"/>
    <w:rsid w:val="00C82672"/>
    <w:rsid w:val="00C82743"/>
    <w:rsid w:val="00C82D59"/>
    <w:rsid w:val="00C82E37"/>
    <w:rsid w:val="00C837E7"/>
    <w:rsid w:val="00C838B2"/>
    <w:rsid w:val="00C84EF6"/>
    <w:rsid w:val="00C850DF"/>
    <w:rsid w:val="00C8537C"/>
    <w:rsid w:val="00C8577B"/>
    <w:rsid w:val="00C8585D"/>
    <w:rsid w:val="00C85DAA"/>
    <w:rsid w:val="00C86034"/>
    <w:rsid w:val="00C864F7"/>
    <w:rsid w:val="00C86681"/>
    <w:rsid w:val="00C86990"/>
    <w:rsid w:val="00C86BDA"/>
    <w:rsid w:val="00C86D2C"/>
    <w:rsid w:val="00C86E4E"/>
    <w:rsid w:val="00C86EF7"/>
    <w:rsid w:val="00C87A0E"/>
    <w:rsid w:val="00C87F20"/>
    <w:rsid w:val="00C90115"/>
    <w:rsid w:val="00C9090F"/>
    <w:rsid w:val="00C90DC7"/>
    <w:rsid w:val="00C91055"/>
    <w:rsid w:val="00C91B6F"/>
    <w:rsid w:val="00C91E71"/>
    <w:rsid w:val="00C91F01"/>
    <w:rsid w:val="00C92352"/>
    <w:rsid w:val="00C92486"/>
    <w:rsid w:val="00C924B6"/>
    <w:rsid w:val="00C92831"/>
    <w:rsid w:val="00C92D0B"/>
    <w:rsid w:val="00C92DDC"/>
    <w:rsid w:val="00C92E91"/>
    <w:rsid w:val="00C933DD"/>
    <w:rsid w:val="00C93AE9"/>
    <w:rsid w:val="00C94A50"/>
    <w:rsid w:val="00C94B1F"/>
    <w:rsid w:val="00C94D1A"/>
    <w:rsid w:val="00C952B7"/>
    <w:rsid w:val="00C9557A"/>
    <w:rsid w:val="00C955BD"/>
    <w:rsid w:val="00C955F7"/>
    <w:rsid w:val="00C956FE"/>
    <w:rsid w:val="00C95973"/>
    <w:rsid w:val="00C95FEA"/>
    <w:rsid w:val="00C96225"/>
    <w:rsid w:val="00C979B6"/>
    <w:rsid w:val="00C97C2F"/>
    <w:rsid w:val="00C97D40"/>
    <w:rsid w:val="00C97D95"/>
    <w:rsid w:val="00C97EC8"/>
    <w:rsid w:val="00CA06FC"/>
    <w:rsid w:val="00CA089F"/>
    <w:rsid w:val="00CA13B0"/>
    <w:rsid w:val="00CA158E"/>
    <w:rsid w:val="00CA176D"/>
    <w:rsid w:val="00CA1925"/>
    <w:rsid w:val="00CA19D9"/>
    <w:rsid w:val="00CA2052"/>
    <w:rsid w:val="00CA2EBA"/>
    <w:rsid w:val="00CA3208"/>
    <w:rsid w:val="00CA4057"/>
    <w:rsid w:val="00CA42D3"/>
    <w:rsid w:val="00CA4474"/>
    <w:rsid w:val="00CA5CA5"/>
    <w:rsid w:val="00CA6098"/>
    <w:rsid w:val="00CA6155"/>
    <w:rsid w:val="00CA6683"/>
    <w:rsid w:val="00CA685B"/>
    <w:rsid w:val="00CA6F20"/>
    <w:rsid w:val="00CA7F9C"/>
    <w:rsid w:val="00CB0744"/>
    <w:rsid w:val="00CB0992"/>
    <w:rsid w:val="00CB09E4"/>
    <w:rsid w:val="00CB0A38"/>
    <w:rsid w:val="00CB0C0F"/>
    <w:rsid w:val="00CB1087"/>
    <w:rsid w:val="00CB14E5"/>
    <w:rsid w:val="00CB2031"/>
    <w:rsid w:val="00CB2063"/>
    <w:rsid w:val="00CB20CC"/>
    <w:rsid w:val="00CB2E06"/>
    <w:rsid w:val="00CB3728"/>
    <w:rsid w:val="00CB3CED"/>
    <w:rsid w:val="00CB4756"/>
    <w:rsid w:val="00CB4D12"/>
    <w:rsid w:val="00CB544F"/>
    <w:rsid w:val="00CB55C4"/>
    <w:rsid w:val="00CB5C6D"/>
    <w:rsid w:val="00CB5F1A"/>
    <w:rsid w:val="00CB6093"/>
    <w:rsid w:val="00CB655F"/>
    <w:rsid w:val="00CB7201"/>
    <w:rsid w:val="00CB7291"/>
    <w:rsid w:val="00CB740E"/>
    <w:rsid w:val="00CB7651"/>
    <w:rsid w:val="00CB77E3"/>
    <w:rsid w:val="00CB7818"/>
    <w:rsid w:val="00CC01D7"/>
    <w:rsid w:val="00CC0966"/>
    <w:rsid w:val="00CC09FD"/>
    <w:rsid w:val="00CC0B50"/>
    <w:rsid w:val="00CC1020"/>
    <w:rsid w:val="00CC18C6"/>
    <w:rsid w:val="00CC1C96"/>
    <w:rsid w:val="00CC2063"/>
    <w:rsid w:val="00CC2FD5"/>
    <w:rsid w:val="00CC3252"/>
    <w:rsid w:val="00CC348F"/>
    <w:rsid w:val="00CC3A9D"/>
    <w:rsid w:val="00CC3C70"/>
    <w:rsid w:val="00CC3D75"/>
    <w:rsid w:val="00CC40A5"/>
    <w:rsid w:val="00CC46C5"/>
    <w:rsid w:val="00CC4719"/>
    <w:rsid w:val="00CC49D0"/>
    <w:rsid w:val="00CC4ABE"/>
    <w:rsid w:val="00CC508E"/>
    <w:rsid w:val="00CC5F24"/>
    <w:rsid w:val="00CC6025"/>
    <w:rsid w:val="00CC6E1E"/>
    <w:rsid w:val="00CC6F09"/>
    <w:rsid w:val="00CC6F36"/>
    <w:rsid w:val="00CC6F7A"/>
    <w:rsid w:val="00CC7017"/>
    <w:rsid w:val="00CC7095"/>
    <w:rsid w:val="00CC7265"/>
    <w:rsid w:val="00CC7664"/>
    <w:rsid w:val="00CC7732"/>
    <w:rsid w:val="00CD04A7"/>
    <w:rsid w:val="00CD0755"/>
    <w:rsid w:val="00CD1054"/>
    <w:rsid w:val="00CD15F5"/>
    <w:rsid w:val="00CD1F16"/>
    <w:rsid w:val="00CD2297"/>
    <w:rsid w:val="00CD22C4"/>
    <w:rsid w:val="00CD23C6"/>
    <w:rsid w:val="00CD2773"/>
    <w:rsid w:val="00CD28ED"/>
    <w:rsid w:val="00CD2CAC"/>
    <w:rsid w:val="00CD32B8"/>
    <w:rsid w:val="00CD33A9"/>
    <w:rsid w:val="00CD3AB2"/>
    <w:rsid w:val="00CD3CE2"/>
    <w:rsid w:val="00CD3F93"/>
    <w:rsid w:val="00CD40A4"/>
    <w:rsid w:val="00CD468E"/>
    <w:rsid w:val="00CD4885"/>
    <w:rsid w:val="00CD48A7"/>
    <w:rsid w:val="00CD4E70"/>
    <w:rsid w:val="00CD659D"/>
    <w:rsid w:val="00CD6BA4"/>
    <w:rsid w:val="00CD73E0"/>
    <w:rsid w:val="00CD772A"/>
    <w:rsid w:val="00CE097B"/>
    <w:rsid w:val="00CE0A53"/>
    <w:rsid w:val="00CE108F"/>
    <w:rsid w:val="00CE131E"/>
    <w:rsid w:val="00CE1834"/>
    <w:rsid w:val="00CE194D"/>
    <w:rsid w:val="00CE1A7C"/>
    <w:rsid w:val="00CE1B5C"/>
    <w:rsid w:val="00CE22D5"/>
    <w:rsid w:val="00CE23BD"/>
    <w:rsid w:val="00CE2A17"/>
    <w:rsid w:val="00CE2B2F"/>
    <w:rsid w:val="00CE2EE8"/>
    <w:rsid w:val="00CE2FB5"/>
    <w:rsid w:val="00CE358E"/>
    <w:rsid w:val="00CE3D93"/>
    <w:rsid w:val="00CE4166"/>
    <w:rsid w:val="00CE4531"/>
    <w:rsid w:val="00CE4CB3"/>
    <w:rsid w:val="00CE4DFC"/>
    <w:rsid w:val="00CE4EAD"/>
    <w:rsid w:val="00CE54F8"/>
    <w:rsid w:val="00CE5577"/>
    <w:rsid w:val="00CE5619"/>
    <w:rsid w:val="00CE6DAB"/>
    <w:rsid w:val="00CE7521"/>
    <w:rsid w:val="00CE7528"/>
    <w:rsid w:val="00CF04B1"/>
    <w:rsid w:val="00CF0B27"/>
    <w:rsid w:val="00CF11BD"/>
    <w:rsid w:val="00CF27BC"/>
    <w:rsid w:val="00CF29A6"/>
    <w:rsid w:val="00CF2E9E"/>
    <w:rsid w:val="00CF34BF"/>
    <w:rsid w:val="00CF355A"/>
    <w:rsid w:val="00CF3837"/>
    <w:rsid w:val="00CF42B0"/>
    <w:rsid w:val="00CF42E3"/>
    <w:rsid w:val="00CF454C"/>
    <w:rsid w:val="00CF4E7E"/>
    <w:rsid w:val="00CF4F67"/>
    <w:rsid w:val="00CF5213"/>
    <w:rsid w:val="00CF5CBC"/>
    <w:rsid w:val="00CF6817"/>
    <w:rsid w:val="00CF7BC7"/>
    <w:rsid w:val="00D00682"/>
    <w:rsid w:val="00D00F8B"/>
    <w:rsid w:val="00D011E0"/>
    <w:rsid w:val="00D01532"/>
    <w:rsid w:val="00D01C7B"/>
    <w:rsid w:val="00D01E93"/>
    <w:rsid w:val="00D02701"/>
    <w:rsid w:val="00D02871"/>
    <w:rsid w:val="00D02DF2"/>
    <w:rsid w:val="00D0319B"/>
    <w:rsid w:val="00D035BE"/>
    <w:rsid w:val="00D03648"/>
    <w:rsid w:val="00D041B0"/>
    <w:rsid w:val="00D042E7"/>
    <w:rsid w:val="00D044EB"/>
    <w:rsid w:val="00D04668"/>
    <w:rsid w:val="00D04895"/>
    <w:rsid w:val="00D05757"/>
    <w:rsid w:val="00D058A5"/>
    <w:rsid w:val="00D05A56"/>
    <w:rsid w:val="00D05C33"/>
    <w:rsid w:val="00D05FDE"/>
    <w:rsid w:val="00D070BD"/>
    <w:rsid w:val="00D072D8"/>
    <w:rsid w:val="00D07403"/>
    <w:rsid w:val="00D0784B"/>
    <w:rsid w:val="00D0785C"/>
    <w:rsid w:val="00D078AA"/>
    <w:rsid w:val="00D0795C"/>
    <w:rsid w:val="00D07A40"/>
    <w:rsid w:val="00D07ED6"/>
    <w:rsid w:val="00D07F69"/>
    <w:rsid w:val="00D10182"/>
    <w:rsid w:val="00D108E3"/>
    <w:rsid w:val="00D10936"/>
    <w:rsid w:val="00D11434"/>
    <w:rsid w:val="00D11781"/>
    <w:rsid w:val="00D118C8"/>
    <w:rsid w:val="00D119A2"/>
    <w:rsid w:val="00D11A88"/>
    <w:rsid w:val="00D11BF4"/>
    <w:rsid w:val="00D11E0E"/>
    <w:rsid w:val="00D12085"/>
    <w:rsid w:val="00D12FDE"/>
    <w:rsid w:val="00D13D74"/>
    <w:rsid w:val="00D14EFF"/>
    <w:rsid w:val="00D157E5"/>
    <w:rsid w:val="00D15860"/>
    <w:rsid w:val="00D16640"/>
    <w:rsid w:val="00D16D24"/>
    <w:rsid w:val="00D176A0"/>
    <w:rsid w:val="00D20754"/>
    <w:rsid w:val="00D20843"/>
    <w:rsid w:val="00D20AAD"/>
    <w:rsid w:val="00D2105A"/>
    <w:rsid w:val="00D21113"/>
    <w:rsid w:val="00D21302"/>
    <w:rsid w:val="00D214C6"/>
    <w:rsid w:val="00D21513"/>
    <w:rsid w:val="00D2157B"/>
    <w:rsid w:val="00D215E0"/>
    <w:rsid w:val="00D22844"/>
    <w:rsid w:val="00D228B6"/>
    <w:rsid w:val="00D2291E"/>
    <w:rsid w:val="00D23062"/>
    <w:rsid w:val="00D23422"/>
    <w:rsid w:val="00D235AA"/>
    <w:rsid w:val="00D2421F"/>
    <w:rsid w:val="00D24222"/>
    <w:rsid w:val="00D24C5F"/>
    <w:rsid w:val="00D24F32"/>
    <w:rsid w:val="00D24FDC"/>
    <w:rsid w:val="00D2500C"/>
    <w:rsid w:val="00D2551F"/>
    <w:rsid w:val="00D255D3"/>
    <w:rsid w:val="00D257D8"/>
    <w:rsid w:val="00D2612E"/>
    <w:rsid w:val="00D26268"/>
    <w:rsid w:val="00D264A8"/>
    <w:rsid w:val="00D26B95"/>
    <w:rsid w:val="00D26F73"/>
    <w:rsid w:val="00D26FEB"/>
    <w:rsid w:val="00D27055"/>
    <w:rsid w:val="00D27129"/>
    <w:rsid w:val="00D2747A"/>
    <w:rsid w:val="00D276A5"/>
    <w:rsid w:val="00D27D1B"/>
    <w:rsid w:val="00D27DFF"/>
    <w:rsid w:val="00D27E33"/>
    <w:rsid w:val="00D30054"/>
    <w:rsid w:val="00D30201"/>
    <w:rsid w:val="00D30801"/>
    <w:rsid w:val="00D308D8"/>
    <w:rsid w:val="00D30AC7"/>
    <w:rsid w:val="00D30C30"/>
    <w:rsid w:val="00D3144F"/>
    <w:rsid w:val="00D31586"/>
    <w:rsid w:val="00D315E5"/>
    <w:rsid w:val="00D3276D"/>
    <w:rsid w:val="00D32A56"/>
    <w:rsid w:val="00D331CA"/>
    <w:rsid w:val="00D3341E"/>
    <w:rsid w:val="00D33798"/>
    <w:rsid w:val="00D33877"/>
    <w:rsid w:val="00D338D6"/>
    <w:rsid w:val="00D3393A"/>
    <w:rsid w:val="00D33FB2"/>
    <w:rsid w:val="00D34749"/>
    <w:rsid w:val="00D34AEA"/>
    <w:rsid w:val="00D34E25"/>
    <w:rsid w:val="00D35082"/>
    <w:rsid w:val="00D35222"/>
    <w:rsid w:val="00D35B84"/>
    <w:rsid w:val="00D371B3"/>
    <w:rsid w:val="00D371C0"/>
    <w:rsid w:val="00D374C6"/>
    <w:rsid w:val="00D3784F"/>
    <w:rsid w:val="00D37B05"/>
    <w:rsid w:val="00D37C65"/>
    <w:rsid w:val="00D40576"/>
    <w:rsid w:val="00D40C34"/>
    <w:rsid w:val="00D41311"/>
    <w:rsid w:val="00D413EF"/>
    <w:rsid w:val="00D4156F"/>
    <w:rsid w:val="00D418A4"/>
    <w:rsid w:val="00D420A4"/>
    <w:rsid w:val="00D4293F"/>
    <w:rsid w:val="00D43151"/>
    <w:rsid w:val="00D43250"/>
    <w:rsid w:val="00D4333D"/>
    <w:rsid w:val="00D43DD4"/>
    <w:rsid w:val="00D44136"/>
    <w:rsid w:val="00D44568"/>
    <w:rsid w:val="00D44C7D"/>
    <w:rsid w:val="00D44D7C"/>
    <w:rsid w:val="00D44F99"/>
    <w:rsid w:val="00D45691"/>
    <w:rsid w:val="00D45715"/>
    <w:rsid w:val="00D4592A"/>
    <w:rsid w:val="00D46231"/>
    <w:rsid w:val="00D4635D"/>
    <w:rsid w:val="00D4635F"/>
    <w:rsid w:val="00D46386"/>
    <w:rsid w:val="00D476C8"/>
    <w:rsid w:val="00D477C3"/>
    <w:rsid w:val="00D479C4"/>
    <w:rsid w:val="00D479ED"/>
    <w:rsid w:val="00D47A4A"/>
    <w:rsid w:val="00D47D22"/>
    <w:rsid w:val="00D50482"/>
    <w:rsid w:val="00D50E09"/>
    <w:rsid w:val="00D514F6"/>
    <w:rsid w:val="00D51EAE"/>
    <w:rsid w:val="00D52970"/>
    <w:rsid w:val="00D52975"/>
    <w:rsid w:val="00D52A37"/>
    <w:rsid w:val="00D52B20"/>
    <w:rsid w:val="00D52D47"/>
    <w:rsid w:val="00D52DA7"/>
    <w:rsid w:val="00D52DDD"/>
    <w:rsid w:val="00D53D77"/>
    <w:rsid w:val="00D54707"/>
    <w:rsid w:val="00D54C24"/>
    <w:rsid w:val="00D55450"/>
    <w:rsid w:val="00D5584D"/>
    <w:rsid w:val="00D55F44"/>
    <w:rsid w:val="00D56570"/>
    <w:rsid w:val="00D56594"/>
    <w:rsid w:val="00D56729"/>
    <w:rsid w:val="00D56777"/>
    <w:rsid w:val="00D56A4A"/>
    <w:rsid w:val="00D56C92"/>
    <w:rsid w:val="00D60035"/>
    <w:rsid w:val="00D60BE4"/>
    <w:rsid w:val="00D61151"/>
    <w:rsid w:val="00D61781"/>
    <w:rsid w:val="00D62105"/>
    <w:rsid w:val="00D622D4"/>
    <w:rsid w:val="00D6236C"/>
    <w:rsid w:val="00D627A1"/>
    <w:rsid w:val="00D6315E"/>
    <w:rsid w:val="00D637E2"/>
    <w:rsid w:val="00D63A54"/>
    <w:rsid w:val="00D63B68"/>
    <w:rsid w:val="00D63E21"/>
    <w:rsid w:val="00D64395"/>
    <w:rsid w:val="00D64542"/>
    <w:rsid w:val="00D64CDD"/>
    <w:rsid w:val="00D654D6"/>
    <w:rsid w:val="00D65547"/>
    <w:rsid w:val="00D660CE"/>
    <w:rsid w:val="00D66422"/>
    <w:rsid w:val="00D66699"/>
    <w:rsid w:val="00D66747"/>
    <w:rsid w:val="00D66D3C"/>
    <w:rsid w:val="00D67345"/>
    <w:rsid w:val="00D67A13"/>
    <w:rsid w:val="00D709A2"/>
    <w:rsid w:val="00D70B16"/>
    <w:rsid w:val="00D7119D"/>
    <w:rsid w:val="00D71A59"/>
    <w:rsid w:val="00D723D6"/>
    <w:rsid w:val="00D72D51"/>
    <w:rsid w:val="00D72F75"/>
    <w:rsid w:val="00D73654"/>
    <w:rsid w:val="00D740F9"/>
    <w:rsid w:val="00D74191"/>
    <w:rsid w:val="00D74566"/>
    <w:rsid w:val="00D74779"/>
    <w:rsid w:val="00D7477B"/>
    <w:rsid w:val="00D749F2"/>
    <w:rsid w:val="00D74D09"/>
    <w:rsid w:val="00D75BBE"/>
    <w:rsid w:val="00D75FBF"/>
    <w:rsid w:val="00D7646B"/>
    <w:rsid w:val="00D767AF"/>
    <w:rsid w:val="00D7692E"/>
    <w:rsid w:val="00D76E86"/>
    <w:rsid w:val="00D779C7"/>
    <w:rsid w:val="00D77E0F"/>
    <w:rsid w:val="00D77EF4"/>
    <w:rsid w:val="00D77F0E"/>
    <w:rsid w:val="00D800FC"/>
    <w:rsid w:val="00D80751"/>
    <w:rsid w:val="00D809D4"/>
    <w:rsid w:val="00D80ADE"/>
    <w:rsid w:val="00D80D77"/>
    <w:rsid w:val="00D80DBF"/>
    <w:rsid w:val="00D81410"/>
    <w:rsid w:val="00D818B3"/>
    <w:rsid w:val="00D81933"/>
    <w:rsid w:val="00D82927"/>
    <w:rsid w:val="00D83177"/>
    <w:rsid w:val="00D83293"/>
    <w:rsid w:val="00D83538"/>
    <w:rsid w:val="00D838F7"/>
    <w:rsid w:val="00D83EEB"/>
    <w:rsid w:val="00D84163"/>
    <w:rsid w:val="00D8416A"/>
    <w:rsid w:val="00D84713"/>
    <w:rsid w:val="00D8484B"/>
    <w:rsid w:val="00D84C8B"/>
    <w:rsid w:val="00D860B9"/>
    <w:rsid w:val="00D86712"/>
    <w:rsid w:val="00D86862"/>
    <w:rsid w:val="00D86953"/>
    <w:rsid w:val="00D872D4"/>
    <w:rsid w:val="00D87AC8"/>
    <w:rsid w:val="00D87F31"/>
    <w:rsid w:val="00D905DB"/>
    <w:rsid w:val="00D9061F"/>
    <w:rsid w:val="00D906DE"/>
    <w:rsid w:val="00D90AA0"/>
    <w:rsid w:val="00D90C6E"/>
    <w:rsid w:val="00D90E4F"/>
    <w:rsid w:val="00D90F87"/>
    <w:rsid w:val="00D92086"/>
    <w:rsid w:val="00D938FD"/>
    <w:rsid w:val="00D94002"/>
    <w:rsid w:val="00D94B8A"/>
    <w:rsid w:val="00D95363"/>
    <w:rsid w:val="00D95B0D"/>
    <w:rsid w:val="00D95C6E"/>
    <w:rsid w:val="00D96D30"/>
    <w:rsid w:val="00D972E0"/>
    <w:rsid w:val="00D97521"/>
    <w:rsid w:val="00DA0390"/>
    <w:rsid w:val="00DA0864"/>
    <w:rsid w:val="00DA1444"/>
    <w:rsid w:val="00DA1997"/>
    <w:rsid w:val="00DA1C1B"/>
    <w:rsid w:val="00DA1E80"/>
    <w:rsid w:val="00DA2524"/>
    <w:rsid w:val="00DA2DF1"/>
    <w:rsid w:val="00DA3108"/>
    <w:rsid w:val="00DA336E"/>
    <w:rsid w:val="00DA344A"/>
    <w:rsid w:val="00DA37DB"/>
    <w:rsid w:val="00DA3E51"/>
    <w:rsid w:val="00DA3FE0"/>
    <w:rsid w:val="00DA4020"/>
    <w:rsid w:val="00DA4581"/>
    <w:rsid w:val="00DA4962"/>
    <w:rsid w:val="00DA4986"/>
    <w:rsid w:val="00DA4B11"/>
    <w:rsid w:val="00DA4B66"/>
    <w:rsid w:val="00DA57B0"/>
    <w:rsid w:val="00DA58A0"/>
    <w:rsid w:val="00DA657A"/>
    <w:rsid w:val="00DA681C"/>
    <w:rsid w:val="00DA6CF2"/>
    <w:rsid w:val="00DA6EE7"/>
    <w:rsid w:val="00DA6F95"/>
    <w:rsid w:val="00DA73F0"/>
    <w:rsid w:val="00DA7788"/>
    <w:rsid w:val="00DA793A"/>
    <w:rsid w:val="00DA79C8"/>
    <w:rsid w:val="00DA7C28"/>
    <w:rsid w:val="00DB1124"/>
    <w:rsid w:val="00DB1228"/>
    <w:rsid w:val="00DB1611"/>
    <w:rsid w:val="00DB2137"/>
    <w:rsid w:val="00DB2221"/>
    <w:rsid w:val="00DB2594"/>
    <w:rsid w:val="00DB2F8A"/>
    <w:rsid w:val="00DB43C6"/>
    <w:rsid w:val="00DB4948"/>
    <w:rsid w:val="00DB4A00"/>
    <w:rsid w:val="00DB597E"/>
    <w:rsid w:val="00DB5D6A"/>
    <w:rsid w:val="00DB5F1F"/>
    <w:rsid w:val="00DB5F21"/>
    <w:rsid w:val="00DB6129"/>
    <w:rsid w:val="00DB6290"/>
    <w:rsid w:val="00DB6B0C"/>
    <w:rsid w:val="00DB6CCB"/>
    <w:rsid w:val="00DB6EE1"/>
    <w:rsid w:val="00DB72E6"/>
    <w:rsid w:val="00DB7A69"/>
    <w:rsid w:val="00DB7BF7"/>
    <w:rsid w:val="00DB7CEB"/>
    <w:rsid w:val="00DC0A3B"/>
    <w:rsid w:val="00DC0A83"/>
    <w:rsid w:val="00DC0EE8"/>
    <w:rsid w:val="00DC12CE"/>
    <w:rsid w:val="00DC1475"/>
    <w:rsid w:val="00DC16A0"/>
    <w:rsid w:val="00DC1739"/>
    <w:rsid w:val="00DC1D9B"/>
    <w:rsid w:val="00DC1FE3"/>
    <w:rsid w:val="00DC2076"/>
    <w:rsid w:val="00DC2182"/>
    <w:rsid w:val="00DC365D"/>
    <w:rsid w:val="00DC4299"/>
    <w:rsid w:val="00DC49DB"/>
    <w:rsid w:val="00DC4C7C"/>
    <w:rsid w:val="00DC51BA"/>
    <w:rsid w:val="00DC6427"/>
    <w:rsid w:val="00DC698A"/>
    <w:rsid w:val="00DC6BA2"/>
    <w:rsid w:val="00DC6E59"/>
    <w:rsid w:val="00DC740B"/>
    <w:rsid w:val="00DD0122"/>
    <w:rsid w:val="00DD029C"/>
    <w:rsid w:val="00DD0C80"/>
    <w:rsid w:val="00DD0D0A"/>
    <w:rsid w:val="00DD0FA3"/>
    <w:rsid w:val="00DD18B3"/>
    <w:rsid w:val="00DD1CE2"/>
    <w:rsid w:val="00DD2253"/>
    <w:rsid w:val="00DD2285"/>
    <w:rsid w:val="00DD2482"/>
    <w:rsid w:val="00DD26A1"/>
    <w:rsid w:val="00DD2E20"/>
    <w:rsid w:val="00DD3665"/>
    <w:rsid w:val="00DD3A3C"/>
    <w:rsid w:val="00DD3EE7"/>
    <w:rsid w:val="00DD42B8"/>
    <w:rsid w:val="00DD46AB"/>
    <w:rsid w:val="00DD4B8A"/>
    <w:rsid w:val="00DD4C40"/>
    <w:rsid w:val="00DD594A"/>
    <w:rsid w:val="00DD5B8E"/>
    <w:rsid w:val="00DD5FBD"/>
    <w:rsid w:val="00DD6142"/>
    <w:rsid w:val="00DD6421"/>
    <w:rsid w:val="00DD646D"/>
    <w:rsid w:val="00DD74EE"/>
    <w:rsid w:val="00DD7D4B"/>
    <w:rsid w:val="00DD7DC9"/>
    <w:rsid w:val="00DE061D"/>
    <w:rsid w:val="00DE0799"/>
    <w:rsid w:val="00DE08B9"/>
    <w:rsid w:val="00DE0ABC"/>
    <w:rsid w:val="00DE1569"/>
    <w:rsid w:val="00DE1F13"/>
    <w:rsid w:val="00DE26F8"/>
    <w:rsid w:val="00DE2A4A"/>
    <w:rsid w:val="00DE2B5E"/>
    <w:rsid w:val="00DE2C7E"/>
    <w:rsid w:val="00DE2CF4"/>
    <w:rsid w:val="00DE301B"/>
    <w:rsid w:val="00DE3086"/>
    <w:rsid w:val="00DE32C7"/>
    <w:rsid w:val="00DE394F"/>
    <w:rsid w:val="00DE3A04"/>
    <w:rsid w:val="00DE45D1"/>
    <w:rsid w:val="00DE45FB"/>
    <w:rsid w:val="00DE6338"/>
    <w:rsid w:val="00DE649D"/>
    <w:rsid w:val="00DE7D5B"/>
    <w:rsid w:val="00DE7FA6"/>
    <w:rsid w:val="00DF000D"/>
    <w:rsid w:val="00DF0C00"/>
    <w:rsid w:val="00DF0FAE"/>
    <w:rsid w:val="00DF138D"/>
    <w:rsid w:val="00DF1D62"/>
    <w:rsid w:val="00DF2105"/>
    <w:rsid w:val="00DF2428"/>
    <w:rsid w:val="00DF26F6"/>
    <w:rsid w:val="00DF2CC3"/>
    <w:rsid w:val="00DF36EC"/>
    <w:rsid w:val="00DF38CD"/>
    <w:rsid w:val="00DF3ACA"/>
    <w:rsid w:val="00DF3B5A"/>
    <w:rsid w:val="00DF41D7"/>
    <w:rsid w:val="00DF42A8"/>
    <w:rsid w:val="00DF4E23"/>
    <w:rsid w:val="00DF4E62"/>
    <w:rsid w:val="00DF5C6B"/>
    <w:rsid w:val="00DF633C"/>
    <w:rsid w:val="00DF6E35"/>
    <w:rsid w:val="00DF7421"/>
    <w:rsid w:val="00DF74FA"/>
    <w:rsid w:val="00DF75A4"/>
    <w:rsid w:val="00DF7F34"/>
    <w:rsid w:val="00E00A97"/>
    <w:rsid w:val="00E00FB2"/>
    <w:rsid w:val="00E016A3"/>
    <w:rsid w:val="00E017FD"/>
    <w:rsid w:val="00E01D1B"/>
    <w:rsid w:val="00E0204A"/>
    <w:rsid w:val="00E0262A"/>
    <w:rsid w:val="00E02879"/>
    <w:rsid w:val="00E029D3"/>
    <w:rsid w:val="00E02AB8"/>
    <w:rsid w:val="00E0305D"/>
    <w:rsid w:val="00E034A4"/>
    <w:rsid w:val="00E03894"/>
    <w:rsid w:val="00E03927"/>
    <w:rsid w:val="00E03C3D"/>
    <w:rsid w:val="00E040E3"/>
    <w:rsid w:val="00E047A8"/>
    <w:rsid w:val="00E04825"/>
    <w:rsid w:val="00E04922"/>
    <w:rsid w:val="00E04963"/>
    <w:rsid w:val="00E04F0A"/>
    <w:rsid w:val="00E05581"/>
    <w:rsid w:val="00E056A7"/>
    <w:rsid w:val="00E05796"/>
    <w:rsid w:val="00E05AB9"/>
    <w:rsid w:val="00E05C5E"/>
    <w:rsid w:val="00E063F2"/>
    <w:rsid w:val="00E0680D"/>
    <w:rsid w:val="00E068B8"/>
    <w:rsid w:val="00E068F3"/>
    <w:rsid w:val="00E06B42"/>
    <w:rsid w:val="00E077C0"/>
    <w:rsid w:val="00E1023B"/>
    <w:rsid w:val="00E10611"/>
    <w:rsid w:val="00E10670"/>
    <w:rsid w:val="00E109E7"/>
    <w:rsid w:val="00E10D75"/>
    <w:rsid w:val="00E113E7"/>
    <w:rsid w:val="00E11B03"/>
    <w:rsid w:val="00E120CE"/>
    <w:rsid w:val="00E12217"/>
    <w:rsid w:val="00E1241A"/>
    <w:rsid w:val="00E12836"/>
    <w:rsid w:val="00E1283B"/>
    <w:rsid w:val="00E12FCD"/>
    <w:rsid w:val="00E131B2"/>
    <w:rsid w:val="00E13C24"/>
    <w:rsid w:val="00E13F78"/>
    <w:rsid w:val="00E14553"/>
    <w:rsid w:val="00E15090"/>
    <w:rsid w:val="00E15411"/>
    <w:rsid w:val="00E156FA"/>
    <w:rsid w:val="00E156FC"/>
    <w:rsid w:val="00E15C2D"/>
    <w:rsid w:val="00E15E12"/>
    <w:rsid w:val="00E160B7"/>
    <w:rsid w:val="00E16678"/>
    <w:rsid w:val="00E16AE4"/>
    <w:rsid w:val="00E1718E"/>
    <w:rsid w:val="00E17471"/>
    <w:rsid w:val="00E176E7"/>
    <w:rsid w:val="00E17CAE"/>
    <w:rsid w:val="00E204B3"/>
    <w:rsid w:val="00E209EB"/>
    <w:rsid w:val="00E20DBD"/>
    <w:rsid w:val="00E2147A"/>
    <w:rsid w:val="00E21D3F"/>
    <w:rsid w:val="00E224B1"/>
    <w:rsid w:val="00E226F5"/>
    <w:rsid w:val="00E22A28"/>
    <w:rsid w:val="00E22F71"/>
    <w:rsid w:val="00E2373D"/>
    <w:rsid w:val="00E241AE"/>
    <w:rsid w:val="00E2424F"/>
    <w:rsid w:val="00E24849"/>
    <w:rsid w:val="00E24A9A"/>
    <w:rsid w:val="00E24E04"/>
    <w:rsid w:val="00E25557"/>
    <w:rsid w:val="00E259CF"/>
    <w:rsid w:val="00E26183"/>
    <w:rsid w:val="00E2634B"/>
    <w:rsid w:val="00E26B78"/>
    <w:rsid w:val="00E26F02"/>
    <w:rsid w:val="00E27212"/>
    <w:rsid w:val="00E2737D"/>
    <w:rsid w:val="00E2790A"/>
    <w:rsid w:val="00E27C79"/>
    <w:rsid w:val="00E27F16"/>
    <w:rsid w:val="00E27F49"/>
    <w:rsid w:val="00E3015D"/>
    <w:rsid w:val="00E30270"/>
    <w:rsid w:val="00E304E5"/>
    <w:rsid w:val="00E307CA"/>
    <w:rsid w:val="00E31050"/>
    <w:rsid w:val="00E322B0"/>
    <w:rsid w:val="00E32413"/>
    <w:rsid w:val="00E32CAA"/>
    <w:rsid w:val="00E33059"/>
    <w:rsid w:val="00E332E7"/>
    <w:rsid w:val="00E34466"/>
    <w:rsid w:val="00E345D2"/>
    <w:rsid w:val="00E34893"/>
    <w:rsid w:val="00E3498B"/>
    <w:rsid w:val="00E34A70"/>
    <w:rsid w:val="00E34FD6"/>
    <w:rsid w:val="00E35293"/>
    <w:rsid w:val="00E3541E"/>
    <w:rsid w:val="00E35672"/>
    <w:rsid w:val="00E3569D"/>
    <w:rsid w:val="00E35718"/>
    <w:rsid w:val="00E3675C"/>
    <w:rsid w:val="00E36E0B"/>
    <w:rsid w:val="00E373B7"/>
    <w:rsid w:val="00E37A35"/>
    <w:rsid w:val="00E37DC2"/>
    <w:rsid w:val="00E405F6"/>
    <w:rsid w:val="00E414B0"/>
    <w:rsid w:val="00E41944"/>
    <w:rsid w:val="00E41BF6"/>
    <w:rsid w:val="00E4242E"/>
    <w:rsid w:val="00E42952"/>
    <w:rsid w:val="00E42973"/>
    <w:rsid w:val="00E42CF3"/>
    <w:rsid w:val="00E43325"/>
    <w:rsid w:val="00E4362D"/>
    <w:rsid w:val="00E44028"/>
    <w:rsid w:val="00E44031"/>
    <w:rsid w:val="00E449FA"/>
    <w:rsid w:val="00E44A46"/>
    <w:rsid w:val="00E44BFF"/>
    <w:rsid w:val="00E45491"/>
    <w:rsid w:val="00E45652"/>
    <w:rsid w:val="00E456B6"/>
    <w:rsid w:val="00E45B2D"/>
    <w:rsid w:val="00E46CD8"/>
    <w:rsid w:val="00E4707B"/>
    <w:rsid w:val="00E470F0"/>
    <w:rsid w:val="00E47673"/>
    <w:rsid w:val="00E47C75"/>
    <w:rsid w:val="00E47EC9"/>
    <w:rsid w:val="00E50185"/>
    <w:rsid w:val="00E50CCA"/>
    <w:rsid w:val="00E50CED"/>
    <w:rsid w:val="00E50EC2"/>
    <w:rsid w:val="00E51479"/>
    <w:rsid w:val="00E521FA"/>
    <w:rsid w:val="00E52529"/>
    <w:rsid w:val="00E52686"/>
    <w:rsid w:val="00E52787"/>
    <w:rsid w:val="00E53948"/>
    <w:rsid w:val="00E541F6"/>
    <w:rsid w:val="00E5437A"/>
    <w:rsid w:val="00E54DC0"/>
    <w:rsid w:val="00E54E80"/>
    <w:rsid w:val="00E54EF5"/>
    <w:rsid w:val="00E54F53"/>
    <w:rsid w:val="00E55D5E"/>
    <w:rsid w:val="00E572B0"/>
    <w:rsid w:val="00E57511"/>
    <w:rsid w:val="00E57B7F"/>
    <w:rsid w:val="00E57D0B"/>
    <w:rsid w:val="00E602BA"/>
    <w:rsid w:val="00E6173A"/>
    <w:rsid w:val="00E61942"/>
    <w:rsid w:val="00E61BF4"/>
    <w:rsid w:val="00E61D2A"/>
    <w:rsid w:val="00E61F2A"/>
    <w:rsid w:val="00E62091"/>
    <w:rsid w:val="00E62194"/>
    <w:rsid w:val="00E627E6"/>
    <w:rsid w:val="00E628D7"/>
    <w:rsid w:val="00E62BF4"/>
    <w:rsid w:val="00E62DFA"/>
    <w:rsid w:val="00E62E21"/>
    <w:rsid w:val="00E62E85"/>
    <w:rsid w:val="00E63BEC"/>
    <w:rsid w:val="00E63EE4"/>
    <w:rsid w:val="00E64476"/>
    <w:rsid w:val="00E64A3E"/>
    <w:rsid w:val="00E64CDB"/>
    <w:rsid w:val="00E64D34"/>
    <w:rsid w:val="00E65411"/>
    <w:rsid w:val="00E66122"/>
    <w:rsid w:val="00E6649C"/>
    <w:rsid w:val="00E6697A"/>
    <w:rsid w:val="00E66D0A"/>
    <w:rsid w:val="00E707C5"/>
    <w:rsid w:val="00E70A5E"/>
    <w:rsid w:val="00E70E1E"/>
    <w:rsid w:val="00E7134B"/>
    <w:rsid w:val="00E72078"/>
    <w:rsid w:val="00E720B8"/>
    <w:rsid w:val="00E72593"/>
    <w:rsid w:val="00E730A2"/>
    <w:rsid w:val="00E73467"/>
    <w:rsid w:val="00E735D8"/>
    <w:rsid w:val="00E7447A"/>
    <w:rsid w:val="00E750CD"/>
    <w:rsid w:val="00E7579F"/>
    <w:rsid w:val="00E75A64"/>
    <w:rsid w:val="00E75D67"/>
    <w:rsid w:val="00E75E9D"/>
    <w:rsid w:val="00E76079"/>
    <w:rsid w:val="00E76C5A"/>
    <w:rsid w:val="00E8046E"/>
    <w:rsid w:val="00E80C38"/>
    <w:rsid w:val="00E80FB6"/>
    <w:rsid w:val="00E81013"/>
    <w:rsid w:val="00E81565"/>
    <w:rsid w:val="00E8178E"/>
    <w:rsid w:val="00E8184B"/>
    <w:rsid w:val="00E81B9F"/>
    <w:rsid w:val="00E81EE3"/>
    <w:rsid w:val="00E825BB"/>
    <w:rsid w:val="00E82C4C"/>
    <w:rsid w:val="00E833B2"/>
    <w:rsid w:val="00E836B8"/>
    <w:rsid w:val="00E84C86"/>
    <w:rsid w:val="00E8500F"/>
    <w:rsid w:val="00E85468"/>
    <w:rsid w:val="00E85784"/>
    <w:rsid w:val="00E85D3B"/>
    <w:rsid w:val="00E86147"/>
    <w:rsid w:val="00E8649F"/>
    <w:rsid w:val="00E864AB"/>
    <w:rsid w:val="00E86828"/>
    <w:rsid w:val="00E86C28"/>
    <w:rsid w:val="00E86C3C"/>
    <w:rsid w:val="00E86FEA"/>
    <w:rsid w:val="00E872D3"/>
    <w:rsid w:val="00E87D1F"/>
    <w:rsid w:val="00E87E39"/>
    <w:rsid w:val="00E90667"/>
    <w:rsid w:val="00E91B16"/>
    <w:rsid w:val="00E92AA3"/>
    <w:rsid w:val="00E92AB4"/>
    <w:rsid w:val="00E92EEE"/>
    <w:rsid w:val="00E931D9"/>
    <w:rsid w:val="00E939A0"/>
    <w:rsid w:val="00E93FF7"/>
    <w:rsid w:val="00E94331"/>
    <w:rsid w:val="00E94599"/>
    <w:rsid w:val="00E94808"/>
    <w:rsid w:val="00E948F6"/>
    <w:rsid w:val="00E94E46"/>
    <w:rsid w:val="00E9505E"/>
    <w:rsid w:val="00E9566A"/>
    <w:rsid w:val="00E96760"/>
    <w:rsid w:val="00E967E5"/>
    <w:rsid w:val="00E96A19"/>
    <w:rsid w:val="00E96ADB"/>
    <w:rsid w:val="00E96FA6"/>
    <w:rsid w:val="00E97074"/>
    <w:rsid w:val="00E9731A"/>
    <w:rsid w:val="00E977C9"/>
    <w:rsid w:val="00EA05F5"/>
    <w:rsid w:val="00EA0977"/>
    <w:rsid w:val="00EA0ABD"/>
    <w:rsid w:val="00EA0ECE"/>
    <w:rsid w:val="00EA10DA"/>
    <w:rsid w:val="00EA1110"/>
    <w:rsid w:val="00EA122F"/>
    <w:rsid w:val="00EA1C75"/>
    <w:rsid w:val="00EA1F30"/>
    <w:rsid w:val="00EA2B5F"/>
    <w:rsid w:val="00EA2E6C"/>
    <w:rsid w:val="00EA301A"/>
    <w:rsid w:val="00EA3699"/>
    <w:rsid w:val="00EA39A8"/>
    <w:rsid w:val="00EA4112"/>
    <w:rsid w:val="00EA4325"/>
    <w:rsid w:val="00EA52B3"/>
    <w:rsid w:val="00EA65D9"/>
    <w:rsid w:val="00EA67CA"/>
    <w:rsid w:val="00EA6B6A"/>
    <w:rsid w:val="00EA70ED"/>
    <w:rsid w:val="00EA7C70"/>
    <w:rsid w:val="00EB0568"/>
    <w:rsid w:val="00EB087B"/>
    <w:rsid w:val="00EB0925"/>
    <w:rsid w:val="00EB0946"/>
    <w:rsid w:val="00EB0989"/>
    <w:rsid w:val="00EB1A14"/>
    <w:rsid w:val="00EB2781"/>
    <w:rsid w:val="00EB289D"/>
    <w:rsid w:val="00EB2A0D"/>
    <w:rsid w:val="00EB2AE9"/>
    <w:rsid w:val="00EB2E15"/>
    <w:rsid w:val="00EB2EB7"/>
    <w:rsid w:val="00EB3251"/>
    <w:rsid w:val="00EB32B9"/>
    <w:rsid w:val="00EB385D"/>
    <w:rsid w:val="00EB4230"/>
    <w:rsid w:val="00EB4D7C"/>
    <w:rsid w:val="00EB5C9F"/>
    <w:rsid w:val="00EB60DC"/>
    <w:rsid w:val="00EB61EA"/>
    <w:rsid w:val="00EB6301"/>
    <w:rsid w:val="00EB6640"/>
    <w:rsid w:val="00EB7002"/>
    <w:rsid w:val="00EB7BD5"/>
    <w:rsid w:val="00EB7C3F"/>
    <w:rsid w:val="00EB7D2C"/>
    <w:rsid w:val="00EC0002"/>
    <w:rsid w:val="00EC1312"/>
    <w:rsid w:val="00EC25CB"/>
    <w:rsid w:val="00EC2BCA"/>
    <w:rsid w:val="00EC3B17"/>
    <w:rsid w:val="00EC3D0E"/>
    <w:rsid w:val="00EC437F"/>
    <w:rsid w:val="00EC4500"/>
    <w:rsid w:val="00EC4843"/>
    <w:rsid w:val="00EC513E"/>
    <w:rsid w:val="00EC5279"/>
    <w:rsid w:val="00EC5422"/>
    <w:rsid w:val="00EC5CC9"/>
    <w:rsid w:val="00EC5EE7"/>
    <w:rsid w:val="00EC628B"/>
    <w:rsid w:val="00EC6599"/>
    <w:rsid w:val="00EC6CE9"/>
    <w:rsid w:val="00EC6F3B"/>
    <w:rsid w:val="00EC72BE"/>
    <w:rsid w:val="00EC7A2A"/>
    <w:rsid w:val="00EC7BE6"/>
    <w:rsid w:val="00ED005D"/>
    <w:rsid w:val="00ED062F"/>
    <w:rsid w:val="00ED08D9"/>
    <w:rsid w:val="00ED2037"/>
    <w:rsid w:val="00ED2C82"/>
    <w:rsid w:val="00ED2F53"/>
    <w:rsid w:val="00ED4012"/>
    <w:rsid w:val="00ED408A"/>
    <w:rsid w:val="00ED4117"/>
    <w:rsid w:val="00ED4410"/>
    <w:rsid w:val="00ED4620"/>
    <w:rsid w:val="00ED4D5D"/>
    <w:rsid w:val="00ED530B"/>
    <w:rsid w:val="00ED5491"/>
    <w:rsid w:val="00ED5543"/>
    <w:rsid w:val="00ED55B3"/>
    <w:rsid w:val="00ED56EC"/>
    <w:rsid w:val="00ED5FBC"/>
    <w:rsid w:val="00ED78AF"/>
    <w:rsid w:val="00ED7C3C"/>
    <w:rsid w:val="00EE02C8"/>
    <w:rsid w:val="00EE08C8"/>
    <w:rsid w:val="00EE090A"/>
    <w:rsid w:val="00EE1B45"/>
    <w:rsid w:val="00EE20DD"/>
    <w:rsid w:val="00EE22DF"/>
    <w:rsid w:val="00EE24D2"/>
    <w:rsid w:val="00EE2C02"/>
    <w:rsid w:val="00EE2D86"/>
    <w:rsid w:val="00EE3398"/>
    <w:rsid w:val="00EE3421"/>
    <w:rsid w:val="00EE36BB"/>
    <w:rsid w:val="00EE47A0"/>
    <w:rsid w:val="00EE48CD"/>
    <w:rsid w:val="00EE48E8"/>
    <w:rsid w:val="00EE4FCB"/>
    <w:rsid w:val="00EE53E3"/>
    <w:rsid w:val="00EE5434"/>
    <w:rsid w:val="00EE5749"/>
    <w:rsid w:val="00EE67D7"/>
    <w:rsid w:val="00EE69BC"/>
    <w:rsid w:val="00EE6A46"/>
    <w:rsid w:val="00EE7058"/>
    <w:rsid w:val="00EE72C6"/>
    <w:rsid w:val="00EE782C"/>
    <w:rsid w:val="00EE7E6F"/>
    <w:rsid w:val="00EF04EB"/>
    <w:rsid w:val="00EF05B5"/>
    <w:rsid w:val="00EF0661"/>
    <w:rsid w:val="00EF0688"/>
    <w:rsid w:val="00EF074A"/>
    <w:rsid w:val="00EF0FD3"/>
    <w:rsid w:val="00EF1547"/>
    <w:rsid w:val="00EF1721"/>
    <w:rsid w:val="00EF1A24"/>
    <w:rsid w:val="00EF1BAF"/>
    <w:rsid w:val="00EF239E"/>
    <w:rsid w:val="00EF280D"/>
    <w:rsid w:val="00EF2BE7"/>
    <w:rsid w:val="00EF2D18"/>
    <w:rsid w:val="00EF30E7"/>
    <w:rsid w:val="00EF3121"/>
    <w:rsid w:val="00EF36F5"/>
    <w:rsid w:val="00EF3742"/>
    <w:rsid w:val="00EF3F86"/>
    <w:rsid w:val="00EF49A8"/>
    <w:rsid w:val="00EF4AE0"/>
    <w:rsid w:val="00EF4B25"/>
    <w:rsid w:val="00EF5680"/>
    <w:rsid w:val="00EF5C5B"/>
    <w:rsid w:val="00EF5EBE"/>
    <w:rsid w:val="00EF620C"/>
    <w:rsid w:val="00EF6292"/>
    <w:rsid w:val="00EF6A8A"/>
    <w:rsid w:val="00EF6BAB"/>
    <w:rsid w:val="00EF6CA0"/>
    <w:rsid w:val="00EF6F52"/>
    <w:rsid w:val="00EF72FB"/>
    <w:rsid w:val="00EF7B04"/>
    <w:rsid w:val="00EF7E9E"/>
    <w:rsid w:val="00F00345"/>
    <w:rsid w:val="00F01349"/>
    <w:rsid w:val="00F01B3B"/>
    <w:rsid w:val="00F01E30"/>
    <w:rsid w:val="00F01F0F"/>
    <w:rsid w:val="00F023A7"/>
    <w:rsid w:val="00F04D92"/>
    <w:rsid w:val="00F0510A"/>
    <w:rsid w:val="00F05420"/>
    <w:rsid w:val="00F0593E"/>
    <w:rsid w:val="00F05D89"/>
    <w:rsid w:val="00F06AE9"/>
    <w:rsid w:val="00F06BD7"/>
    <w:rsid w:val="00F06D3E"/>
    <w:rsid w:val="00F06DFD"/>
    <w:rsid w:val="00F071DD"/>
    <w:rsid w:val="00F074E7"/>
    <w:rsid w:val="00F0790C"/>
    <w:rsid w:val="00F07A3F"/>
    <w:rsid w:val="00F07DE7"/>
    <w:rsid w:val="00F10368"/>
    <w:rsid w:val="00F10383"/>
    <w:rsid w:val="00F10A59"/>
    <w:rsid w:val="00F10E16"/>
    <w:rsid w:val="00F10FF8"/>
    <w:rsid w:val="00F1137F"/>
    <w:rsid w:val="00F117C4"/>
    <w:rsid w:val="00F11B4C"/>
    <w:rsid w:val="00F121F6"/>
    <w:rsid w:val="00F12352"/>
    <w:rsid w:val="00F12A7E"/>
    <w:rsid w:val="00F12BF7"/>
    <w:rsid w:val="00F12F5A"/>
    <w:rsid w:val="00F135DF"/>
    <w:rsid w:val="00F13861"/>
    <w:rsid w:val="00F13A3F"/>
    <w:rsid w:val="00F13D0D"/>
    <w:rsid w:val="00F147F6"/>
    <w:rsid w:val="00F14AF1"/>
    <w:rsid w:val="00F1522B"/>
    <w:rsid w:val="00F1628A"/>
    <w:rsid w:val="00F16835"/>
    <w:rsid w:val="00F16E8F"/>
    <w:rsid w:val="00F16E93"/>
    <w:rsid w:val="00F17188"/>
    <w:rsid w:val="00F17388"/>
    <w:rsid w:val="00F1778D"/>
    <w:rsid w:val="00F17970"/>
    <w:rsid w:val="00F2015B"/>
    <w:rsid w:val="00F202F0"/>
    <w:rsid w:val="00F20B57"/>
    <w:rsid w:val="00F20C5F"/>
    <w:rsid w:val="00F20C6F"/>
    <w:rsid w:val="00F215E9"/>
    <w:rsid w:val="00F22453"/>
    <w:rsid w:val="00F2305C"/>
    <w:rsid w:val="00F239EF"/>
    <w:rsid w:val="00F23BE5"/>
    <w:rsid w:val="00F23C2E"/>
    <w:rsid w:val="00F23C99"/>
    <w:rsid w:val="00F23FC5"/>
    <w:rsid w:val="00F251B5"/>
    <w:rsid w:val="00F25683"/>
    <w:rsid w:val="00F256BA"/>
    <w:rsid w:val="00F2597B"/>
    <w:rsid w:val="00F25F80"/>
    <w:rsid w:val="00F262CF"/>
    <w:rsid w:val="00F26315"/>
    <w:rsid w:val="00F266FF"/>
    <w:rsid w:val="00F26B1B"/>
    <w:rsid w:val="00F26E33"/>
    <w:rsid w:val="00F27A26"/>
    <w:rsid w:val="00F27D0D"/>
    <w:rsid w:val="00F27D12"/>
    <w:rsid w:val="00F304E1"/>
    <w:rsid w:val="00F309C5"/>
    <w:rsid w:val="00F31198"/>
    <w:rsid w:val="00F31A14"/>
    <w:rsid w:val="00F31D0C"/>
    <w:rsid w:val="00F31D99"/>
    <w:rsid w:val="00F322CC"/>
    <w:rsid w:val="00F32764"/>
    <w:rsid w:val="00F32AA5"/>
    <w:rsid w:val="00F32F83"/>
    <w:rsid w:val="00F33022"/>
    <w:rsid w:val="00F33048"/>
    <w:rsid w:val="00F33808"/>
    <w:rsid w:val="00F33F9B"/>
    <w:rsid w:val="00F3423D"/>
    <w:rsid w:val="00F3448C"/>
    <w:rsid w:val="00F34938"/>
    <w:rsid w:val="00F34A2D"/>
    <w:rsid w:val="00F34A41"/>
    <w:rsid w:val="00F34A8C"/>
    <w:rsid w:val="00F34CC3"/>
    <w:rsid w:val="00F35BB7"/>
    <w:rsid w:val="00F36CE7"/>
    <w:rsid w:val="00F36F73"/>
    <w:rsid w:val="00F36FAC"/>
    <w:rsid w:val="00F37391"/>
    <w:rsid w:val="00F37560"/>
    <w:rsid w:val="00F37A2E"/>
    <w:rsid w:val="00F37C57"/>
    <w:rsid w:val="00F37F43"/>
    <w:rsid w:val="00F404F9"/>
    <w:rsid w:val="00F4060F"/>
    <w:rsid w:val="00F409FB"/>
    <w:rsid w:val="00F40BBF"/>
    <w:rsid w:val="00F41635"/>
    <w:rsid w:val="00F420FC"/>
    <w:rsid w:val="00F42910"/>
    <w:rsid w:val="00F42B4E"/>
    <w:rsid w:val="00F43390"/>
    <w:rsid w:val="00F4341E"/>
    <w:rsid w:val="00F43715"/>
    <w:rsid w:val="00F43C4C"/>
    <w:rsid w:val="00F444CF"/>
    <w:rsid w:val="00F44FFB"/>
    <w:rsid w:val="00F45221"/>
    <w:rsid w:val="00F457ED"/>
    <w:rsid w:val="00F45925"/>
    <w:rsid w:val="00F45CB5"/>
    <w:rsid w:val="00F45CF4"/>
    <w:rsid w:val="00F45D7B"/>
    <w:rsid w:val="00F4661A"/>
    <w:rsid w:val="00F46C1B"/>
    <w:rsid w:val="00F4783D"/>
    <w:rsid w:val="00F47BFD"/>
    <w:rsid w:val="00F47DC9"/>
    <w:rsid w:val="00F506CC"/>
    <w:rsid w:val="00F50A1C"/>
    <w:rsid w:val="00F5175C"/>
    <w:rsid w:val="00F518F1"/>
    <w:rsid w:val="00F51BEB"/>
    <w:rsid w:val="00F529D6"/>
    <w:rsid w:val="00F52C99"/>
    <w:rsid w:val="00F52D79"/>
    <w:rsid w:val="00F53364"/>
    <w:rsid w:val="00F539C3"/>
    <w:rsid w:val="00F53AFD"/>
    <w:rsid w:val="00F53EED"/>
    <w:rsid w:val="00F54415"/>
    <w:rsid w:val="00F549AC"/>
    <w:rsid w:val="00F55A2F"/>
    <w:rsid w:val="00F562D0"/>
    <w:rsid w:val="00F5699E"/>
    <w:rsid w:val="00F56A2D"/>
    <w:rsid w:val="00F576AD"/>
    <w:rsid w:val="00F604FB"/>
    <w:rsid w:val="00F606EE"/>
    <w:rsid w:val="00F609C5"/>
    <w:rsid w:val="00F60C2F"/>
    <w:rsid w:val="00F618D4"/>
    <w:rsid w:val="00F61FDC"/>
    <w:rsid w:val="00F62366"/>
    <w:rsid w:val="00F6248C"/>
    <w:rsid w:val="00F63EFD"/>
    <w:rsid w:val="00F646EE"/>
    <w:rsid w:val="00F64858"/>
    <w:rsid w:val="00F64CBE"/>
    <w:rsid w:val="00F65412"/>
    <w:rsid w:val="00F66019"/>
    <w:rsid w:val="00F663AB"/>
    <w:rsid w:val="00F664D5"/>
    <w:rsid w:val="00F66644"/>
    <w:rsid w:val="00F66DFE"/>
    <w:rsid w:val="00F66E92"/>
    <w:rsid w:val="00F67111"/>
    <w:rsid w:val="00F67634"/>
    <w:rsid w:val="00F70672"/>
    <w:rsid w:val="00F706CB"/>
    <w:rsid w:val="00F70A27"/>
    <w:rsid w:val="00F70A7F"/>
    <w:rsid w:val="00F70B3F"/>
    <w:rsid w:val="00F713FD"/>
    <w:rsid w:val="00F716FD"/>
    <w:rsid w:val="00F7170B"/>
    <w:rsid w:val="00F7198F"/>
    <w:rsid w:val="00F7212A"/>
    <w:rsid w:val="00F7247E"/>
    <w:rsid w:val="00F72700"/>
    <w:rsid w:val="00F7329F"/>
    <w:rsid w:val="00F737B5"/>
    <w:rsid w:val="00F73E3D"/>
    <w:rsid w:val="00F74232"/>
    <w:rsid w:val="00F744F4"/>
    <w:rsid w:val="00F74E5C"/>
    <w:rsid w:val="00F75218"/>
    <w:rsid w:val="00F75C05"/>
    <w:rsid w:val="00F75EBB"/>
    <w:rsid w:val="00F7612D"/>
    <w:rsid w:val="00F7646E"/>
    <w:rsid w:val="00F76477"/>
    <w:rsid w:val="00F76FE1"/>
    <w:rsid w:val="00F7709C"/>
    <w:rsid w:val="00F77AAB"/>
    <w:rsid w:val="00F8017B"/>
    <w:rsid w:val="00F80342"/>
    <w:rsid w:val="00F8080D"/>
    <w:rsid w:val="00F80D5E"/>
    <w:rsid w:val="00F810F5"/>
    <w:rsid w:val="00F8148A"/>
    <w:rsid w:val="00F81FDE"/>
    <w:rsid w:val="00F82090"/>
    <w:rsid w:val="00F82196"/>
    <w:rsid w:val="00F821B6"/>
    <w:rsid w:val="00F82203"/>
    <w:rsid w:val="00F8226E"/>
    <w:rsid w:val="00F824BB"/>
    <w:rsid w:val="00F8262F"/>
    <w:rsid w:val="00F826FE"/>
    <w:rsid w:val="00F82C26"/>
    <w:rsid w:val="00F82DDC"/>
    <w:rsid w:val="00F82FE5"/>
    <w:rsid w:val="00F833F4"/>
    <w:rsid w:val="00F83B4D"/>
    <w:rsid w:val="00F84A1E"/>
    <w:rsid w:val="00F86232"/>
    <w:rsid w:val="00F86406"/>
    <w:rsid w:val="00F872B4"/>
    <w:rsid w:val="00F87852"/>
    <w:rsid w:val="00F87A0B"/>
    <w:rsid w:val="00F902B2"/>
    <w:rsid w:val="00F90398"/>
    <w:rsid w:val="00F903BE"/>
    <w:rsid w:val="00F90660"/>
    <w:rsid w:val="00F90764"/>
    <w:rsid w:val="00F90CBD"/>
    <w:rsid w:val="00F9141E"/>
    <w:rsid w:val="00F9151A"/>
    <w:rsid w:val="00F91611"/>
    <w:rsid w:val="00F91D5F"/>
    <w:rsid w:val="00F91E6D"/>
    <w:rsid w:val="00F92928"/>
    <w:rsid w:val="00F938D1"/>
    <w:rsid w:val="00F9393F"/>
    <w:rsid w:val="00F93EAD"/>
    <w:rsid w:val="00F94FF2"/>
    <w:rsid w:val="00F9526F"/>
    <w:rsid w:val="00F95475"/>
    <w:rsid w:val="00F958C6"/>
    <w:rsid w:val="00F95BED"/>
    <w:rsid w:val="00F96416"/>
    <w:rsid w:val="00F96465"/>
    <w:rsid w:val="00F968D3"/>
    <w:rsid w:val="00F96C18"/>
    <w:rsid w:val="00F96C74"/>
    <w:rsid w:val="00F96C91"/>
    <w:rsid w:val="00F97025"/>
    <w:rsid w:val="00F97E5D"/>
    <w:rsid w:val="00FA01A8"/>
    <w:rsid w:val="00FA09C9"/>
    <w:rsid w:val="00FA0D90"/>
    <w:rsid w:val="00FA0E1B"/>
    <w:rsid w:val="00FA197D"/>
    <w:rsid w:val="00FA2A1C"/>
    <w:rsid w:val="00FA2E84"/>
    <w:rsid w:val="00FA2F35"/>
    <w:rsid w:val="00FA3618"/>
    <w:rsid w:val="00FA402F"/>
    <w:rsid w:val="00FA4686"/>
    <w:rsid w:val="00FA4F79"/>
    <w:rsid w:val="00FA515D"/>
    <w:rsid w:val="00FA533A"/>
    <w:rsid w:val="00FA5696"/>
    <w:rsid w:val="00FA572C"/>
    <w:rsid w:val="00FA5CB6"/>
    <w:rsid w:val="00FA5D55"/>
    <w:rsid w:val="00FA6037"/>
    <w:rsid w:val="00FA64D0"/>
    <w:rsid w:val="00FA6802"/>
    <w:rsid w:val="00FA6C11"/>
    <w:rsid w:val="00FA7084"/>
    <w:rsid w:val="00FA74B8"/>
    <w:rsid w:val="00FA75B9"/>
    <w:rsid w:val="00FA77A0"/>
    <w:rsid w:val="00FA78A5"/>
    <w:rsid w:val="00FA7BC8"/>
    <w:rsid w:val="00FA7E8B"/>
    <w:rsid w:val="00FB02C6"/>
    <w:rsid w:val="00FB060C"/>
    <w:rsid w:val="00FB0AE6"/>
    <w:rsid w:val="00FB0FEA"/>
    <w:rsid w:val="00FB100B"/>
    <w:rsid w:val="00FB12BD"/>
    <w:rsid w:val="00FB1371"/>
    <w:rsid w:val="00FB1D8B"/>
    <w:rsid w:val="00FB23B5"/>
    <w:rsid w:val="00FB264E"/>
    <w:rsid w:val="00FB27E4"/>
    <w:rsid w:val="00FB2B47"/>
    <w:rsid w:val="00FB2FE0"/>
    <w:rsid w:val="00FB3836"/>
    <w:rsid w:val="00FB3987"/>
    <w:rsid w:val="00FB3BF7"/>
    <w:rsid w:val="00FB3D09"/>
    <w:rsid w:val="00FB483E"/>
    <w:rsid w:val="00FB48CE"/>
    <w:rsid w:val="00FB4D94"/>
    <w:rsid w:val="00FB5313"/>
    <w:rsid w:val="00FB5420"/>
    <w:rsid w:val="00FB588C"/>
    <w:rsid w:val="00FB5C39"/>
    <w:rsid w:val="00FB67C6"/>
    <w:rsid w:val="00FB6A94"/>
    <w:rsid w:val="00FB7648"/>
    <w:rsid w:val="00FB77E0"/>
    <w:rsid w:val="00FB7E32"/>
    <w:rsid w:val="00FC04A9"/>
    <w:rsid w:val="00FC073B"/>
    <w:rsid w:val="00FC0943"/>
    <w:rsid w:val="00FC1307"/>
    <w:rsid w:val="00FC17EE"/>
    <w:rsid w:val="00FC1C07"/>
    <w:rsid w:val="00FC1CF6"/>
    <w:rsid w:val="00FC21BB"/>
    <w:rsid w:val="00FC226E"/>
    <w:rsid w:val="00FC2D1F"/>
    <w:rsid w:val="00FC2DA8"/>
    <w:rsid w:val="00FC323B"/>
    <w:rsid w:val="00FC32D5"/>
    <w:rsid w:val="00FC364B"/>
    <w:rsid w:val="00FC38A5"/>
    <w:rsid w:val="00FC41D9"/>
    <w:rsid w:val="00FC4481"/>
    <w:rsid w:val="00FC4ECA"/>
    <w:rsid w:val="00FC501F"/>
    <w:rsid w:val="00FC50FD"/>
    <w:rsid w:val="00FC5208"/>
    <w:rsid w:val="00FC522B"/>
    <w:rsid w:val="00FC528B"/>
    <w:rsid w:val="00FC651A"/>
    <w:rsid w:val="00FC6574"/>
    <w:rsid w:val="00FC6925"/>
    <w:rsid w:val="00FC6B76"/>
    <w:rsid w:val="00FC6F36"/>
    <w:rsid w:val="00FC7819"/>
    <w:rsid w:val="00FC7847"/>
    <w:rsid w:val="00FD0888"/>
    <w:rsid w:val="00FD0BC8"/>
    <w:rsid w:val="00FD0E20"/>
    <w:rsid w:val="00FD0F42"/>
    <w:rsid w:val="00FD1698"/>
    <w:rsid w:val="00FD20BF"/>
    <w:rsid w:val="00FD2A86"/>
    <w:rsid w:val="00FD2DCB"/>
    <w:rsid w:val="00FD3A6A"/>
    <w:rsid w:val="00FD3E32"/>
    <w:rsid w:val="00FD432E"/>
    <w:rsid w:val="00FD43D6"/>
    <w:rsid w:val="00FD48B6"/>
    <w:rsid w:val="00FD4A4C"/>
    <w:rsid w:val="00FD4EAE"/>
    <w:rsid w:val="00FD5FEE"/>
    <w:rsid w:val="00FD610D"/>
    <w:rsid w:val="00FD6434"/>
    <w:rsid w:val="00FD650F"/>
    <w:rsid w:val="00FD68B9"/>
    <w:rsid w:val="00FD6AFE"/>
    <w:rsid w:val="00FD6B66"/>
    <w:rsid w:val="00FD703F"/>
    <w:rsid w:val="00FD7423"/>
    <w:rsid w:val="00FD7B31"/>
    <w:rsid w:val="00FD7F21"/>
    <w:rsid w:val="00FE082A"/>
    <w:rsid w:val="00FE0FD2"/>
    <w:rsid w:val="00FE1AD6"/>
    <w:rsid w:val="00FE1ED6"/>
    <w:rsid w:val="00FE1FF4"/>
    <w:rsid w:val="00FE22BE"/>
    <w:rsid w:val="00FE2452"/>
    <w:rsid w:val="00FE2709"/>
    <w:rsid w:val="00FE287F"/>
    <w:rsid w:val="00FE2AE8"/>
    <w:rsid w:val="00FE2B3A"/>
    <w:rsid w:val="00FE326A"/>
    <w:rsid w:val="00FE3588"/>
    <w:rsid w:val="00FE36B8"/>
    <w:rsid w:val="00FE3C0F"/>
    <w:rsid w:val="00FE3FCE"/>
    <w:rsid w:val="00FE49FC"/>
    <w:rsid w:val="00FE4F7D"/>
    <w:rsid w:val="00FE54F8"/>
    <w:rsid w:val="00FE5A97"/>
    <w:rsid w:val="00FE61ED"/>
    <w:rsid w:val="00FE64D0"/>
    <w:rsid w:val="00FE7087"/>
    <w:rsid w:val="00FE735F"/>
    <w:rsid w:val="00FF0212"/>
    <w:rsid w:val="00FF075E"/>
    <w:rsid w:val="00FF0DA1"/>
    <w:rsid w:val="00FF0E53"/>
    <w:rsid w:val="00FF0F16"/>
    <w:rsid w:val="00FF0F21"/>
    <w:rsid w:val="00FF1185"/>
    <w:rsid w:val="00FF12BC"/>
    <w:rsid w:val="00FF18EA"/>
    <w:rsid w:val="00FF1B38"/>
    <w:rsid w:val="00FF1F82"/>
    <w:rsid w:val="00FF220B"/>
    <w:rsid w:val="00FF2968"/>
    <w:rsid w:val="00FF2A9B"/>
    <w:rsid w:val="00FF2E5E"/>
    <w:rsid w:val="00FF3206"/>
    <w:rsid w:val="00FF3370"/>
    <w:rsid w:val="00FF36D2"/>
    <w:rsid w:val="00FF44E7"/>
    <w:rsid w:val="00FF4722"/>
    <w:rsid w:val="00FF48D9"/>
    <w:rsid w:val="00FF4C6A"/>
    <w:rsid w:val="00FF4F02"/>
    <w:rsid w:val="00FF4F5D"/>
    <w:rsid w:val="00FF54A9"/>
    <w:rsid w:val="00FF55E1"/>
    <w:rsid w:val="00FF5859"/>
    <w:rsid w:val="00FF6901"/>
    <w:rsid w:val="00FF6977"/>
    <w:rsid w:val="00FF7751"/>
    <w:rsid w:val="00FF7A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6FB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8C3"/>
    <w:pPr>
      <w:spacing w:before="80"/>
    </w:pPr>
    <w:rPr>
      <w:sz w:val="20"/>
    </w:rPr>
  </w:style>
  <w:style w:type="paragraph" w:styleId="Heading1">
    <w:name w:val="heading 1"/>
    <w:basedOn w:val="Normal"/>
    <w:next w:val="Normal"/>
    <w:link w:val="Heading1Char"/>
    <w:qFormat/>
    <w:rsid w:val="00F7646E"/>
    <w:pPr>
      <w:keepNext/>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before="100" w:after="0" w:line="276" w:lineRule="auto"/>
      <w:outlineLvl w:val="0"/>
    </w:pPr>
    <w:rPr>
      <w:rFonts w:eastAsiaTheme="minorEastAsia"/>
      <w:b/>
      <w:smallCaps/>
      <w:color w:val="FFFFFF" w:themeColor="background1"/>
      <w:spacing w:val="15"/>
      <w:sz w:val="22"/>
    </w:rPr>
  </w:style>
  <w:style w:type="paragraph" w:styleId="Heading2">
    <w:name w:val="heading 2"/>
    <w:basedOn w:val="Normal"/>
    <w:next w:val="Normal"/>
    <w:link w:val="Heading2Char"/>
    <w:unhideWhenUsed/>
    <w:qFormat/>
    <w:rsid w:val="006D262C"/>
    <w:pPr>
      <w:keepNext/>
      <w:pBdr>
        <w:top w:val="single" w:sz="24" w:space="1" w:color="002C47" w:themeColor="accent1"/>
        <w:left w:val="single" w:sz="24" w:space="0" w:color="002C47" w:themeColor="accent1"/>
        <w:bottom w:val="single" w:sz="24" w:space="1" w:color="002C47" w:themeColor="accent1"/>
        <w:right w:val="single" w:sz="24" w:space="0" w:color="002C47" w:themeColor="accent1"/>
      </w:pBdr>
      <w:shd w:val="clear" w:color="auto" w:fill="002C47" w:themeFill="accent1"/>
      <w:spacing w:before="100" w:after="0" w:line="276" w:lineRule="auto"/>
      <w:outlineLvl w:val="1"/>
    </w:pPr>
    <w:rPr>
      <w:rFonts w:eastAsiaTheme="minorEastAsia"/>
      <w:b/>
      <w:i/>
      <w:smallCaps/>
      <w:color w:val="FFFFFF" w:themeColor="background1"/>
      <w:spacing w:val="15"/>
      <w:szCs w:val="20"/>
    </w:rPr>
  </w:style>
  <w:style w:type="paragraph" w:styleId="Heading3">
    <w:name w:val="heading 3"/>
    <w:basedOn w:val="Normal"/>
    <w:next w:val="Normal"/>
    <w:link w:val="Heading3Char"/>
    <w:unhideWhenUsed/>
    <w:qFormat/>
    <w:rsid w:val="006D262C"/>
    <w:pPr>
      <w:keepNext/>
      <w:pBdr>
        <w:top w:val="single" w:sz="6" w:space="1" w:color="002C47" w:themeColor="accent1"/>
      </w:pBdr>
      <w:spacing w:before="300" w:after="0" w:line="276" w:lineRule="auto"/>
      <w:outlineLvl w:val="2"/>
    </w:pPr>
    <w:rPr>
      <w:rFonts w:eastAsiaTheme="minorEastAsia"/>
      <w:b/>
      <w:smallCaps/>
      <w:color w:val="002C47" w:themeColor="accent1"/>
      <w:spacing w:val="15"/>
      <w:szCs w:val="20"/>
    </w:rPr>
  </w:style>
  <w:style w:type="paragraph" w:styleId="Heading4">
    <w:name w:val="heading 4"/>
    <w:basedOn w:val="Normal"/>
    <w:next w:val="Normal"/>
    <w:link w:val="Heading4Char"/>
    <w:unhideWhenUsed/>
    <w:qFormat/>
    <w:rsid w:val="00523A62"/>
    <w:pPr>
      <w:pBdr>
        <w:top w:val="dotted" w:sz="6" w:space="1" w:color="002C47" w:themeColor="accent1"/>
      </w:pBdr>
      <w:spacing w:before="0" w:after="0" w:line="276" w:lineRule="auto"/>
      <w:outlineLvl w:val="3"/>
    </w:pPr>
    <w:rPr>
      <w:rFonts w:eastAsia="Calibri"/>
      <w:b/>
      <w:smallCaps/>
      <w:color w:val="002C47" w:themeColor="accent1"/>
      <w:spacing w:val="10"/>
      <w:kern w:val="2"/>
      <w:sz w:val="21"/>
      <w:szCs w:val="21"/>
      <w14:ligatures w14:val="standardContextual"/>
    </w:rPr>
  </w:style>
  <w:style w:type="paragraph" w:styleId="Heading5">
    <w:name w:val="heading 5"/>
    <w:basedOn w:val="Normal"/>
    <w:next w:val="Normal"/>
    <w:link w:val="Heading5Char"/>
    <w:uiPriority w:val="9"/>
    <w:unhideWhenUsed/>
    <w:qFormat/>
    <w:rsid w:val="00AC7453"/>
    <w:pPr>
      <w:spacing w:before="100" w:after="0" w:line="276" w:lineRule="auto"/>
      <w:outlineLvl w:val="4"/>
    </w:pPr>
    <w:rPr>
      <w:b/>
      <w:i/>
      <w:color w:val="002C47" w:themeColor="accent1"/>
    </w:rPr>
  </w:style>
  <w:style w:type="paragraph" w:styleId="Heading6">
    <w:name w:val="heading 6"/>
    <w:basedOn w:val="Heading9"/>
    <w:next w:val="Normal"/>
    <w:link w:val="Heading6Char"/>
    <w:uiPriority w:val="9"/>
    <w:unhideWhenUsed/>
    <w:qFormat/>
    <w:rsid w:val="000E3455"/>
    <w:pPr>
      <w:numPr>
        <w:numId w:val="0"/>
      </w:numPr>
      <w:ind w:left="993" w:hanging="993"/>
      <w:outlineLvl w:val="5"/>
    </w:pPr>
  </w:style>
  <w:style w:type="paragraph" w:styleId="Heading7">
    <w:name w:val="heading 7"/>
    <w:basedOn w:val="BoxHeading"/>
    <w:next w:val="Normal"/>
    <w:link w:val="Heading7Char"/>
    <w:uiPriority w:val="9"/>
    <w:unhideWhenUsed/>
    <w:qFormat/>
    <w:rsid w:val="00992023"/>
    <w:pPr>
      <w:keepNext w:val="0"/>
      <w:spacing w:after="120"/>
      <w:outlineLvl w:val="6"/>
    </w:pPr>
    <w:rPr>
      <w:rFonts w:eastAsia="Times New Roman"/>
    </w:rPr>
  </w:style>
  <w:style w:type="paragraph" w:styleId="Heading9">
    <w:name w:val="heading 9"/>
    <w:basedOn w:val="Normal"/>
    <w:next w:val="Normal"/>
    <w:link w:val="Heading9Char"/>
    <w:uiPriority w:val="9"/>
    <w:unhideWhenUsed/>
    <w:qFormat/>
    <w:rsid w:val="003C1BE4"/>
    <w:pPr>
      <w:keepNext/>
      <w:numPr>
        <w:numId w:val="1"/>
      </w:numPr>
      <w:pBdr>
        <w:top w:val="dashed" w:sz="4" w:space="1" w:color="002C47" w:themeColor="accent1"/>
      </w:pBdr>
      <w:tabs>
        <w:tab w:val="left" w:pos="993"/>
      </w:tabs>
      <w:spacing w:before="120" w:after="0" w:line="240" w:lineRule="auto"/>
      <w:ind w:left="993" w:hanging="993"/>
      <w:outlineLvl w:val="8"/>
    </w:pPr>
    <w:rPr>
      <w:rFonts w:eastAsiaTheme="minorEastAsia"/>
      <w:b/>
      <w:smallCaps/>
      <w:color w:val="002C47" w:themeColor="accent1"/>
      <w:spacing w:val="1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646E"/>
    <w:rPr>
      <w:rFonts w:eastAsiaTheme="minorEastAsia"/>
      <w:b/>
      <w:smallCaps/>
      <w:color w:val="FFFFFF" w:themeColor="background1"/>
      <w:spacing w:val="15"/>
      <w:shd w:val="clear" w:color="auto" w:fill="002C47" w:themeFill="accent1"/>
    </w:rPr>
  </w:style>
  <w:style w:type="character" w:customStyle="1" w:styleId="Heading2Char">
    <w:name w:val="Heading 2 Char"/>
    <w:basedOn w:val="DefaultParagraphFont"/>
    <w:link w:val="Heading2"/>
    <w:rsid w:val="006D262C"/>
    <w:rPr>
      <w:rFonts w:eastAsiaTheme="minorEastAsia"/>
      <w:b/>
      <w:i/>
      <w:smallCaps/>
      <w:color w:val="FFFFFF" w:themeColor="background1"/>
      <w:spacing w:val="15"/>
      <w:sz w:val="20"/>
      <w:szCs w:val="20"/>
      <w:shd w:val="clear" w:color="auto" w:fill="002C47" w:themeFill="accent1"/>
    </w:rPr>
  </w:style>
  <w:style w:type="character" w:customStyle="1" w:styleId="Heading3Char">
    <w:name w:val="Heading 3 Char"/>
    <w:basedOn w:val="DefaultParagraphFont"/>
    <w:link w:val="Heading3"/>
    <w:rsid w:val="006D262C"/>
    <w:rPr>
      <w:rFonts w:eastAsiaTheme="minorEastAsia"/>
      <w:b/>
      <w:smallCaps/>
      <w:color w:val="002C47" w:themeColor="accent1"/>
      <w:spacing w:val="15"/>
      <w:sz w:val="20"/>
      <w:szCs w:val="20"/>
    </w:rPr>
  </w:style>
  <w:style w:type="character" w:customStyle="1" w:styleId="Heading4Char">
    <w:name w:val="Heading 4 Char"/>
    <w:basedOn w:val="DefaultParagraphFont"/>
    <w:link w:val="Heading4"/>
    <w:rsid w:val="00523A62"/>
    <w:rPr>
      <w:rFonts w:eastAsia="Calibri"/>
      <w:b/>
      <w:smallCaps/>
      <w:color w:val="002C47" w:themeColor="accent1"/>
      <w:spacing w:val="10"/>
      <w:kern w:val="2"/>
      <w:sz w:val="21"/>
      <w:szCs w:val="21"/>
      <w14:ligatures w14:val="standardContextual"/>
    </w:rPr>
  </w:style>
  <w:style w:type="paragraph" w:styleId="Title">
    <w:name w:val="Title"/>
    <w:basedOn w:val="Normal"/>
    <w:next w:val="Normal"/>
    <w:link w:val="TitleChar"/>
    <w:uiPriority w:val="10"/>
    <w:qFormat/>
    <w:rsid w:val="003539F6"/>
    <w:pPr>
      <w:spacing w:after="0" w:line="240" w:lineRule="auto"/>
    </w:pPr>
    <w:rPr>
      <w:rFonts w:asciiTheme="majorHAnsi" w:eastAsiaTheme="majorEastAsia" w:hAnsiTheme="majorHAnsi" w:cstheme="majorBidi"/>
      <w:b/>
      <w:caps/>
      <w:color w:val="002C47" w:themeColor="accent1"/>
      <w:spacing w:val="10"/>
      <w:sz w:val="44"/>
      <w:szCs w:val="52"/>
    </w:rPr>
  </w:style>
  <w:style w:type="character" w:customStyle="1" w:styleId="TitleChar">
    <w:name w:val="Title Char"/>
    <w:basedOn w:val="DefaultParagraphFont"/>
    <w:link w:val="Title"/>
    <w:uiPriority w:val="10"/>
    <w:rsid w:val="003539F6"/>
    <w:rPr>
      <w:rFonts w:asciiTheme="majorHAnsi" w:eastAsiaTheme="majorEastAsia" w:hAnsiTheme="majorHAnsi" w:cstheme="majorBidi"/>
      <w:b/>
      <w:caps/>
      <w:color w:val="002C47" w:themeColor="accent1"/>
      <w:spacing w:val="10"/>
      <w:sz w:val="44"/>
      <w:szCs w:val="52"/>
    </w:rPr>
  </w:style>
  <w:style w:type="character" w:customStyle="1" w:styleId="Heading5Char">
    <w:name w:val="Heading 5 Char"/>
    <w:basedOn w:val="DefaultParagraphFont"/>
    <w:link w:val="Heading5"/>
    <w:uiPriority w:val="9"/>
    <w:rsid w:val="00AC7453"/>
    <w:rPr>
      <w:b/>
      <w:i/>
      <w:color w:val="002C47" w:themeColor="accent1"/>
      <w:sz w:val="20"/>
    </w:rPr>
  </w:style>
  <w:style w:type="character" w:customStyle="1" w:styleId="Heading6Char">
    <w:name w:val="Heading 6 Char"/>
    <w:basedOn w:val="DefaultParagraphFont"/>
    <w:link w:val="Heading6"/>
    <w:uiPriority w:val="9"/>
    <w:rsid w:val="000E3455"/>
    <w:rPr>
      <w:rFonts w:eastAsiaTheme="minorEastAsia"/>
      <w:b/>
      <w:smallCaps/>
      <w:color w:val="002C47" w:themeColor="accent1"/>
      <w:spacing w:val="15"/>
      <w:sz w:val="20"/>
      <w:szCs w:val="20"/>
    </w:rPr>
  </w:style>
  <w:style w:type="character" w:customStyle="1" w:styleId="Heading9Char">
    <w:name w:val="Heading 9 Char"/>
    <w:basedOn w:val="DefaultParagraphFont"/>
    <w:link w:val="Heading9"/>
    <w:uiPriority w:val="9"/>
    <w:rsid w:val="003C1BE4"/>
    <w:rPr>
      <w:rFonts w:eastAsiaTheme="minorEastAsia"/>
      <w:b/>
      <w:smallCaps/>
      <w:color w:val="002C47" w:themeColor="accent1"/>
      <w:spacing w:val="15"/>
      <w:sz w:val="20"/>
      <w:szCs w:val="20"/>
    </w:rPr>
  </w:style>
  <w:style w:type="paragraph" w:customStyle="1" w:styleId="ImageCaptions">
    <w:name w:val="ImageCaptions"/>
    <w:basedOn w:val="Normal"/>
    <w:qFormat/>
    <w:rsid w:val="0067677A"/>
    <w:pPr>
      <w:spacing w:after="0"/>
    </w:pPr>
    <w:rPr>
      <w:sz w:val="16"/>
    </w:rPr>
  </w:style>
  <w:style w:type="paragraph" w:styleId="Subtitle">
    <w:name w:val="Subtitle"/>
    <w:basedOn w:val="Normal"/>
    <w:next w:val="Normal"/>
    <w:link w:val="SubtitleChar"/>
    <w:uiPriority w:val="11"/>
    <w:qFormat/>
    <w:rsid w:val="00DB2221"/>
    <w:rPr>
      <w:i/>
      <w:iCs/>
      <w:sz w:val="28"/>
      <w:szCs w:val="28"/>
    </w:rPr>
  </w:style>
  <w:style w:type="character" w:customStyle="1" w:styleId="SubtitleChar">
    <w:name w:val="Subtitle Char"/>
    <w:basedOn w:val="DefaultParagraphFont"/>
    <w:link w:val="Subtitle"/>
    <w:uiPriority w:val="11"/>
    <w:rsid w:val="00DB2221"/>
    <w:rPr>
      <w:i/>
      <w:iCs/>
      <w:sz w:val="28"/>
      <w:szCs w:val="28"/>
    </w:rPr>
  </w:style>
  <w:style w:type="paragraph" w:customStyle="1" w:styleId="BoxHeading">
    <w:name w:val="Box Heading"/>
    <w:basedOn w:val="Heading3"/>
    <w:next w:val="Normal"/>
    <w:qFormat/>
    <w:rsid w:val="00DD5B8E"/>
    <w:pPr>
      <w:tabs>
        <w:tab w:val="left" w:pos="1134"/>
      </w:tabs>
      <w:spacing w:before="240"/>
      <w:jc w:val="both"/>
    </w:pPr>
    <w:rPr>
      <w:rFonts w:asciiTheme="majorHAnsi" w:hAnsiTheme="majorHAnsi" w:cstheme="majorHAnsi"/>
      <w:sz w:val="26"/>
      <w:szCs w:val="26"/>
      <w:lang w:eastAsia="en-AU"/>
    </w:rPr>
  </w:style>
  <w:style w:type="character" w:customStyle="1" w:styleId="Heading7Char">
    <w:name w:val="Heading 7 Char"/>
    <w:basedOn w:val="DefaultParagraphFont"/>
    <w:link w:val="Heading7"/>
    <w:uiPriority w:val="9"/>
    <w:rsid w:val="00992023"/>
    <w:rPr>
      <w:rFonts w:asciiTheme="majorHAnsi" w:eastAsia="Times New Roman" w:hAnsiTheme="majorHAnsi" w:cstheme="majorHAnsi"/>
      <w:b/>
      <w:smallCaps/>
      <w:color w:val="002C47" w:themeColor="accent1"/>
      <w:spacing w:val="15"/>
      <w:sz w:val="26"/>
      <w:szCs w:val="26"/>
      <w:lang w:eastAsia="en-AU"/>
    </w:rPr>
  </w:style>
  <w:style w:type="table" w:styleId="TableGrid">
    <w:name w:val="Table Grid"/>
    <w:basedOn w:val="TableNormal"/>
    <w:uiPriority w:val="39"/>
    <w:rsid w:val="00DC365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rsid w:val="001B3207"/>
    <w:pPr>
      <w:numPr>
        <w:numId w:val="2"/>
      </w:numPr>
      <w:tabs>
        <w:tab w:val="clear" w:pos="472"/>
        <w:tab w:val="num" w:pos="851"/>
      </w:tabs>
      <w:spacing w:before="0" w:after="120" w:line="240" w:lineRule="auto"/>
      <w:ind w:left="284" w:hanging="284"/>
    </w:pPr>
    <w:rPr>
      <w:rFonts w:ascii="Calibri" w:eastAsia="Calibri" w:hAnsi="Calibri" w:cs="Times New Roman"/>
      <w:kern w:val="2"/>
      <w:szCs w:val="20"/>
      <w14:ligatures w14:val="standardContextual"/>
    </w:rPr>
  </w:style>
  <w:style w:type="character" w:customStyle="1" w:styleId="BulletChar">
    <w:name w:val="Bullet Char"/>
    <w:basedOn w:val="DefaultParagraphFont"/>
    <w:link w:val="Bullet"/>
    <w:rsid w:val="001B3207"/>
    <w:rPr>
      <w:rFonts w:ascii="Calibri" w:eastAsia="Calibri" w:hAnsi="Calibri" w:cs="Times New Roman"/>
      <w:kern w:val="2"/>
      <w:sz w:val="20"/>
      <w:szCs w:val="20"/>
      <w14:ligatures w14:val="standardContextual"/>
    </w:rPr>
  </w:style>
  <w:style w:type="paragraph" w:customStyle="1" w:styleId="Dash">
    <w:name w:val="Dash"/>
    <w:basedOn w:val="Normal"/>
    <w:link w:val="DashChar"/>
    <w:rsid w:val="001B3207"/>
    <w:pPr>
      <w:numPr>
        <w:ilvl w:val="1"/>
        <w:numId w:val="2"/>
      </w:numPr>
      <w:tabs>
        <w:tab w:val="clear" w:pos="944"/>
        <w:tab w:val="num" w:pos="1560"/>
      </w:tabs>
      <w:spacing w:before="0" w:after="120" w:line="240" w:lineRule="auto"/>
      <w:ind w:left="567" w:hanging="235"/>
    </w:pPr>
    <w:rPr>
      <w:rFonts w:ascii="Calibri" w:eastAsia="Calibri" w:hAnsi="Calibri" w:cs="Times New Roman"/>
      <w:kern w:val="2"/>
      <w:szCs w:val="20"/>
      <w14:ligatures w14:val="standardContextual"/>
    </w:rPr>
  </w:style>
  <w:style w:type="character" w:customStyle="1" w:styleId="DashChar">
    <w:name w:val="Dash Char"/>
    <w:basedOn w:val="DefaultParagraphFont"/>
    <w:link w:val="Dash"/>
    <w:rsid w:val="001B3207"/>
    <w:rPr>
      <w:rFonts w:ascii="Calibri" w:eastAsia="Calibri" w:hAnsi="Calibri" w:cs="Times New Roman"/>
      <w:kern w:val="2"/>
      <w:sz w:val="20"/>
      <w:szCs w:val="20"/>
      <w14:ligatures w14:val="standardContextual"/>
    </w:rPr>
  </w:style>
  <w:style w:type="paragraph" w:customStyle="1" w:styleId="DoubleDot">
    <w:name w:val="Double Dot"/>
    <w:basedOn w:val="Normal"/>
    <w:link w:val="DoubleDotChar"/>
    <w:rsid w:val="001B3207"/>
    <w:pPr>
      <w:numPr>
        <w:ilvl w:val="2"/>
        <w:numId w:val="2"/>
      </w:numPr>
      <w:tabs>
        <w:tab w:val="clear" w:pos="1416"/>
        <w:tab w:val="num" w:pos="1843"/>
      </w:tabs>
      <w:spacing w:before="0" w:after="120" w:line="240" w:lineRule="auto"/>
      <w:ind w:left="851" w:hanging="282"/>
    </w:pPr>
    <w:rPr>
      <w:rFonts w:ascii="Calibri" w:eastAsia="Calibri" w:hAnsi="Calibri" w:cs="Times New Roman"/>
      <w:kern w:val="2"/>
      <w:szCs w:val="20"/>
      <w:lang w:eastAsia="en-AU"/>
      <w14:ligatures w14:val="standardContextual"/>
    </w:rPr>
  </w:style>
  <w:style w:type="character" w:customStyle="1" w:styleId="DoubleDotChar">
    <w:name w:val="Double Dot Char"/>
    <w:basedOn w:val="DefaultParagraphFont"/>
    <w:link w:val="DoubleDot"/>
    <w:rsid w:val="001B3207"/>
    <w:rPr>
      <w:rFonts w:ascii="Calibri" w:eastAsia="Calibri" w:hAnsi="Calibri" w:cs="Times New Roman"/>
      <w:kern w:val="2"/>
      <w:sz w:val="20"/>
      <w:szCs w:val="20"/>
      <w:lang w:eastAsia="en-AU"/>
      <w14:ligatures w14:val="standardContextual"/>
    </w:rPr>
  </w:style>
  <w:style w:type="character" w:styleId="Hyperlink">
    <w:name w:val="Hyperlink"/>
    <w:basedOn w:val="DefaultParagraphFont"/>
    <w:uiPriority w:val="99"/>
    <w:unhideWhenUsed/>
    <w:rsid w:val="00481D1E"/>
    <w:rPr>
      <w:color w:val="0563C1" w:themeColor="hyperlink"/>
      <w:u w:val="single"/>
    </w:rPr>
  </w:style>
  <w:style w:type="character" w:styleId="CommentReference">
    <w:name w:val="annotation reference"/>
    <w:basedOn w:val="DefaultParagraphFont"/>
    <w:uiPriority w:val="99"/>
    <w:semiHidden/>
    <w:unhideWhenUsed/>
    <w:rsid w:val="000013E6"/>
    <w:rPr>
      <w:sz w:val="16"/>
      <w:szCs w:val="16"/>
    </w:rPr>
  </w:style>
  <w:style w:type="paragraph" w:styleId="CommentText">
    <w:name w:val="annotation text"/>
    <w:basedOn w:val="Normal"/>
    <w:link w:val="CommentTextChar"/>
    <w:uiPriority w:val="99"/>
    <w:unhideWhenUsed/>
    <w:rsid w:val="000013E6"/>
    <w:pPr>
      <w:spacing w:line="240" w:lineRule="auto"/>
    </w:pPr>
    <w:rPr>
      <w:szCs w:val="20"/>
    </w:rPr>
  </w:style>
  <w:style w:type="character" w:customStyle="1" w:styleId="CommentTextChar">
    <w:name w:val="Comment Text Char"/>
    <w:basedOn w:val="DefaultParagraphFont"/>
    <w:link w:val="CommentText"/>
    <w:uiPriority w:val="99"/>
    <w:rsid w:val="000013E6"/>
    <w:rPr>
      <w:sz w:val="20"/>
      <w:szCs w:val="20"/>
    </w:rPr>
  </w:style>
  <w:style w:type="paragraph" w:styleId="CommentSubject">
    <w:name w:val="annotation subject"/>
    <w:basedOn w:val="CommentText"/>
    <w:next w:val="CommentText"/>
    <w:link w:val="CommentSubjectChar"/>
    <w:uiPriority w:val="99"/>
    <w:semiHidden/>
    <w:unhideWhenUsed/>
    <w:rsid w:val="000013E6"/>
    <w:rPr>
      <w:b/>
      <w:bCs/>
    </w:rPr>
  </w:style>
  <w:style w:type="character" w:customStyle="1" w:styleId="CommentSubjectChar">
    <w:name w:val="Comment Subject Char"/>
    <w:basedOn w:val="CommentTextChar"/>
    <w:link w:val="CommentSubject"/>
    <w:uiPriority w:val="99"/>
    <w:semiHidden/>
    <w:rsid w:val="000013E6"/>
    <w:rPr>
      <w:b/>
      <w:bCs/>
      <w:sz w:val="20"/>
      <w:szCs w:val="20"/>
    </w:rPr>
  </w:style>
  <w:style w:type="paragraph" w:styleId="Revision">
    <w:name w:val="Revision"/>
    <w:hidden/>
    <w:uiPriority w:val="99"/>
    <w:semiHidden/>
    <w:rsid w:val="009678CA"/>
    <w:pPr>
      <w:spacing w:after="0" w:line="240" w:lineRule="auto"/>
    </w:pPr>
    <w:rPr>
      <w:sz w:val="20"/>
    </w:rPr>
  </w:style>
  <w:style w:type="paragraph" w:styleId="NoSpacing">
    <w:name w:val="No Spacing"/>
    <w:uiPriority w:val="1"/>
    <w:qFormat/>
    <w:rsid w:val="00184C03"/>
    <w:pPr>
      <w:spacing w:after="0" w:line="240" w:lineRule="auto"/>
    </w:pPr>
    <w:rPr>
      <w:sz w:val="20"/>
    </w:rPr>
  </w:style>
  <w:style w:type="character" w:styleId="UnresolvedMention">
    <w:name w:val="Unresolved Mention"/>
    <w:basedOn w:val="DefaultParagraphFont"/>
    <w:uiPriority w:val="99"/>
    <w:semiHidden/>
    <w:unhideWhenUsed/>
    <w:rsid w:val="00637C75"/>
    <w:rPr>
      <w:color w:val="605E5C"/>
      <w:shd w:val="clear" w:color="auto" w:fill="E1DFDD"/>
    </w:rPr>
  </w:style>
  <w:style w:type="character" w:styleId="Mention">
    <w:name w:val="Mention"/>
    <w:basedOn w:val="DefaultParagraphFont"/>
    <w:uiPriority w:val="99"/>
    <w:unhideWhenUsed/>
    <w:rsid w:val="00B721EA"/>
    <w:rPr>
      <w:color w:val="2B579A"/>
      <w:shd w:val="clear" w:color="auto" w:fill="E1DFDD"/>
    </w:rPr>
  </w:style>
  <w:style w:type="character" w:styleId="FollowedHyperlink">
    <w:name w:val="FollowedHyperlink"/>
    <w:basedOn w:val="DefaultParagraphFont"/>
    <w:uiPriority w:val="99"/>
    <w:semiHidden/>
    <w:unhideWhenUsed/>
    <w:rsid w:val="004E1B02"/>
    <w:rPr>
      <w:color w:val="954F72" w:themeColor="followedHyperlink"/>
      <w:u w:val="single"/>
    </w:rPr>
  </w:style>
  <w:style w:type="paragraph" w:styleId="Header">
    <w:name w:val="header"/>
    <w:basedOn w:val="Normal"/>
    <w:link w:val="HeaderChar"/>
    <w:uiPriority w:val="99"/>
    <w:unhideWhenUsed/>
    <w:rsid w:val="0093082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3082E"/>
    <w:rPr>
      <w:sz w:val="20"/>
    </w:rPr>
  </w:style>
  <w:style w:type="paragraph" w:styleId="Footer">
    <w:name w:val="footer"/>
    <w:basedOn w:val="Normal"/>
    <w:link w:val="FooterChar"/>
    <w:uiPriority w:val="99"/>
    <w:unhideWhenUsed/>
    <w:rsid w:val="0093082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3082E"/>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pulation.un.org/wpp/"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topics.worldbank.org/world-development-indicators/the-world-by-income-and-region.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CPOP interim">
      <a:dk1>
        <a:sysClr val="windowText" lastClr="000000"/>
      </a:dk1>
      <a:lt1>
        <a:sysClr val="window" lastClr="FFFFFF"/>
      </a:lt1>
      <a:dk2>
        <a:srgbClr val="38AFCF"/>
      </a:dk2>
      <a:lt2>
        <a:srgbClr val="A39794"/>
      </a:lt2>
      <a:accent1>
        <a:srgbClr val="002C47"/>
      </a:accent1>
      <a:accent2>
        <a:srgbClr val="1E75BA"/>
      </a:accent2>
      <a:accent3>
        <a:srgbClr val="4DBC8D"/>
      </a:accent3>
      <a:accent4>
        <a:srgbClr val="69C3DB"/>
      </a:accent4>
      <a:accent5>
        <a:srgbClr val="D1CBD3"/>
      </a:accent5>
      <a:accent6>
        <a:srgbClr val="CF54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3EDEE-B1DE-475A-AC98-281FF6ADC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1923</Words>
  <Characters>10339</Characters>
  <Application>Microsoft Office Word</Application>
  <DocSecurity>0</DocSecurity>
  <Lines>228</Lines>
  <Paragraphs>88</Paragraphs>
  <ScaleCrop>false</ScaleCrop>
  <HeadingPairs>
    <vt:vector size="2" baseType="variant">
      <vt:variant>
        <vt:lpstr>Title</vt:lpstr>
      </vt:variant>
      <vt:variant>
        <vt:i4>1</vt:i4>
      </vt:variant>
    </vt:vector>
  </HeadingPairs>
  <TitlesOfParts>
    <vt:vector size="1" baseType="lpstr">
      <vt:lpstr>UN world population projections: 21st century population decline</vt:lpstr>
    </vt:vector>
  </TitlesOfParts>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world population projections: 21st century population decline</dc:title>
  <dc:subject/>
  <dc:creator>Centre for Population</dc:creator>
  <cp:keywords/>
  <dc:description/>
  <cp:lastModifiedBy/>
  <cp:revision>1</cp:revision>
  <dcterms:created xsi:type="dcterms:W3CDTF">2025-02-10T23:14:00Z</dcterms:created>
  <dcterms:modified xsi:type="dcterms:W3CDTF">2025-02-10T23:15:00Z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2025-02-10T23:15:25Z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1b44c741-4c03-4fc8-9941-1453b9f8c8b8</vt:lpwstr>
  </property>
  <property fmtid="{D5CDD505-2E9C-101B-9397-08002B2CF9AE}" pid="8" name="MSIP_Label_4f932d64-9ab1-4d9b-81d2-a3a8b82dd47d_ContentBits">
    <vt:lpwstr>0</vt:lpwstr>
  </property>
</Properties>
</file>