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CD1B" w14:textId="2705E799" w:rsidR="006C5B73" w:rsidRDefault="000A0F5A" w:rsidP="007A1ED0">
      <w:pPr>
        <w:pStyle w:val="Heading1"/>
      </w:pPr>
      <w:r>
        <w:t>T</w:t>
      </w:r>
      <w:r w:rsidR="009A6E79">
        <w:t xml:space="preserve">echnical </w:t>
      </w:r>
      <w:r w:rsidR="008E3ECC">
        <w:t>a</w:t>
      </w:r>
      <w:r w:rsidR="009A6E79">
        <w:t>ppendix</w:t>
      </w:r>
    </w:p>
    <w:p w14:paraId="506AC5BA" w14:textId="1C4569BC" w:rsidR="00F12204" w:rsidRPr="000A0F5A" w:rsidRDefault="00F12204" w:rsidP="00F12204">
      <w:pPr>
        <w:pStyle w:val="Heading2Numbered"/>
      </w:pPr>
      <w:r>
        <w:t>Components</w:t>
      </w:r>
    </w:p>
    <w:p w14:paraId="7C3CA8F6" w14:textId="576FBAB1" w:rsidR="004B2FB8" w:rsidRDefault="0067726D" w:rsidP="005E3859">
      <w:r w:rsidRPr="00A12FD8">
        <w:t xml:space="preserve">The Centre projects the future population using the </w:t>
      </w:r>
      <w:r w:rsidR="00EE3C04">
        <w:t>‘</w:t>
      </w:r>
      <w:r w:rsidRPr="00A12FD8">
        <w:t>cohort component</w:t>
      </w:r>
      <w:r w:rsidR="00EE3C04">
        <w:t>’</w:t>
      </w:r>
      <w:r w:rsidRPr="00A12FD8">
        <w:t xml:space="preserve"> method. This involves developing forecasts, by single year of age and sex, of the components of population change – fertility, mortality and migration. These components are added to the population at the start of a financial year to calculate the population at the end of the financial year. This process is repeated until the end of the projection period. </w:t>
      </w:r>
    </w:p>
    <w:p w14:paraId="428FF791" w14:textId="4F9E0543" w:rsidR="0067726D" w:rsidRPr="00A12FD8" w:rsidRDefault="0067726D" w:rsidP="005E3859">
      <w:r w:rsidRPr="00A12FD8">
        <w:t xml:space="preserve">For consistency across different geographic projections, components of population change at the national level constrain components at the state level which, in turn, constrain components of change at the national level. </w:t>
      </w:r>
    </w:p>
    <w:p w14:paraId="2B304970" w14:textId="77777777" w:rsidR="00F12204" w:rsidRDefault="00F12204" w:rsidP="00F12204">
      <w:pPr>
        <w:pStyle w:val="Heading3Numbered"/>
      </w:pPr>
      <w:r>
        <w:t>Net overseas migration</w:t>
      </w:r>
    </w:p>
    <w:p w14:paraId="767E117F" w14:textId="159BB6D8" w:rsidR="00F12204" w:rsidRPr="00CF3FD0" w:rsidRDefault="00F12204" w:rsidP="005E3859">
      <w:r w:rsidRPr="00CF3FD0">
        <w:t xml:space="preserve">The </w:t>
      </w:r>
      <w:r w:rsidR="00B00D5A">
        <w:t>net overseas migration (</w:t>
      </w:r>
      <w:r w:rsidRPr="00CF3FD0">
        <w:t>NOM</w:t>
      </w:r>
      <w:r w:rsidR="00B00D5A">
        <w:t>)</w:t>
      </w:r>
      <w:r w:rsidRPr="00CF3FD0">
        <w:t xml:space="preserve"> forecasts begin with </w:t>
      </w:r>
      <w:r w:rsidR="00B00D5A">
        <w:t>Australian Bureau of Statistics (</w:t>
      </w:r>
      <w:r w:rsidRPr="00CF3FD0">
        <w:t>ABS</w:t>
      </w:r>
      <w:r w:rsidR="00B00D5A">
        <w:t>)</w:t>
      </w:r>
      <w:r w:rsidRPr="00CF3FD0">
        <w:t xml:space="preserve"> estimates of quarterly overseas migrant arrivals and departures by visa group and by state. The ABS provides preliminary estimates of overseas migration </w:t>
      </w:r>
      <w:r w:rsidR="008469A5">
        <w:t>around six</w:t>
      </w:r>
      <w:r w:rsidRPr="00CF3FD0">
        <w:t xml:space="preserve"> months after the reference period and final estimates a further 12</w:t>
      </w:r>
      <w:r w:rsidR="008D11FD">
        <w:t> </w:t>
      </w:r>
      <w:r w:rsidRPr="00CF3FD0">
        <w:t>months later.</w:t>
      </w:r>
      <w:r w:rsidR="005660A1">
        <w:rPr>
          <w:rStyle w:val="FootnoteReference"/>
          <w:rFonts w:eastAsia="SimSun"/>
        </w:rPr>
        <w:footnoteReference w:id="2"/>
      </w:r>
      <w:r w:rsidRPr="00CF3FD0">
        <w:t xml:space="preserve"> </w:t>
      </w:r>
    </w:p>
    <w:p w14:paraId="7DEBA503" w14:textId="4F09ABEE" w:rsidR="00F12204" w:rsidRPr="00CF3FD0" w:rsidRDefault="00F12204" w:rsidP="005E3859">
      <w:r w:rsidRPr="00CF3FD0">
        <w:t xml:space="preserve">The Centre analyses ABS </w:t>
      </w:r>
      <w:r w:rsidR="00B919B8">
        <w:t>O</w:t>
      </w:r>
      <w:r w:rsidR="00B919B8" w:rsidRPr="00CF3FD0">
        <w:t xml:space="preserve">verseas </w:t>
      </w:r>
      <w:r w:rsidR="00B919B8">
        <w:t>A</w:t>
      </w:r>
      <w:r w:rsidR="00B919B8" w:rsidRPr="00CF3FD0">
        <w:t xml:space="preserve">rrivals </w:t>
      </w:r>
      <w:r w:rsidRPr="00CF3FD0">
        <w:t xml:space="preserve">and </w:t>
      </w:r>
      <w:r w:rsidR="00B919B8">
        <w:t>D</w:t>
      </w:r>
      <w:r w:rsidR="00B919B8" w:rsidRPr="00CF3FD0">
        <w:t xml:space="preserve">epartures </w:t>
      </w:r>
      <w:r w:rsidRPr="00CF3FD0">
        <w:t xml:space="preserve">data </w:t>
      </w:r>
      <w:r>
        <w:t>as a source of information in preparing NOM</w:t>
      </w:r>
      <w:r w:rsidR="00AF3419">
        <w:t> </w:t>
      </w:r>
      <w:r>
        <w:t>forecasts. This includes</w:t>
      </w:r>
      <w:r w:rsidRPr="00CF3FD0">
        <w:t xml:space="preserve"> more detailed data than is published</w:t>
      </w:r>
      <w:r>
        <w:t xml:space="preserve"> </w:t>
      </w:r>
      <w:r w:rsidR="00E83A80">
        <w:t xml:space="preserve">by the ABS, </w:t>
      </w:r>
      <w:r>
        <w:t xml:space="preserve">which </w:t>
      </w:r>
      <w:r w:rsidR="00E83A80">
        <w:t xml:space="preserve">the Centre </w:t>
      </w:r>
      <w:r>
        <w:t>adjust</w:t>
      </w:r>
      <w:r w:rsidR="00E83A80">
        <w:t>s</w:t>
      </w:r>
      <w:r w:rsidRPr="00CF3FD0">
        <w:t xml:space="preserve"> to account for known discrepancies between border crossing and migration data. The Centre also analyses other data as leading indicators of NOM, including data from the Department of Home Affairs on the number of temporary visa holders in Australia and offshore visa grants. The Centre takes into consideration Government policy and its expected future effect on overseas migration.</w:t>
      </w:r>
    </w:p>
    <w:p w14:paraId="54265D9F" w14:textId="77E8702D" w:rsidR="00F12204" w:rsidRPr="00CF3FD0" w:rsidRDefault="00044D51" w:rsidP="005E3859">
      <w:r>
        <w:t xml:space="preserve">NOM forecasts </w:t>
      </w:r>
      <w:r w:rsidR="00AA33C3">
        <w:t>are produced by visa group</w:t>
      </w:r>
      <w:r w:rsidR="00FC5911">
        <w:t xml:space="preserve"> for each quarter</w:t>
      </w:r>
      <w:r w:rsidR="0026027B">
        <w:t xml:space="preserve"> until 2028</w:t>
      </w:r>
      <w:r w:rsidR="00D34484" w:rsidRPr="00D34484">
        <w:t>–</w:t>
      </w:r>
      <w:r w:rsidR="0026027B">
        <w:t>29</w:t>
      </w:r>
      <w:r w:rsidR="00AA33C3">
        <w:t xml:space="preserve">. </w:t>
      </w:r>
      <w:r w:rsidR="00D919D5">
        <w:t>After that, NOM is assumed to</w:t>
      </w:r>
      <w:r w:rsidR="00AF3419">
        <w:t> </w:t>
      </w:r>
      <w:r w:rsidR="00D919D5">
        <w:t xml:space="preserve">return to </w:t>
      </w:r>
      <w:r w:rsidR="00605927">
        <w:t xml:space="preserve">the long run assumption by </w:t>
      </w:r>
      <w:r w:rsidR="008A74E4">
        <w:t>2035</w:t>
      </w:r>
      <w:r w:rsidR="00D34484" w:rsidRPr="00D34484">
        <w:t>–</w:t>
      </w:r>
      <w:r w:rsidR="003243F8">
        <w:t>3</w:t>
      </w:r>
      <w:r w:rsidR="008A74E4">
        <w:t>6</w:t>
      </w:r>
      <w:r w:rsidR="00F4407E">
        <w:t xml:space="preserve">. </w:t>
      </w:r>
      <w:r w:rsidR="00A165BC" w:rsidRPr="00CF3FD0">
        <w:t>The long run assumption of NOM is 235,000 per year, which</w:t>
      </w:r>
      <w:r w:rsidR="00AF3419">
        <w:t> </w:t>
      </w:r>
      <w:r w:rsidR="00A165BC" w:rsidRPr="00CF3FD0">
        <w:t>is</w:t>
      </w:r>
      <w:r w:rsidR="00AF3419">
        <w:t> </w:t>
      </w:r>
      <w:r w:rsidR="00A165BC" w:rsidRPr="00CF3FD0">
        <w:t>unchanged since the 2021 Intergenerational Report (IGR).</w:t>
      </w:r>
      <w:r w:rsidR="00BA3A34">
        <w:rPr>
          <w:rStyle w:val="FootnoteReference"/>
          <w:rFonts w:eastAsia="SimSun"/>
        </w:rPr>
        <w:footnoteReference w:id="3"/>
      </w:r>
      <w:r w:rsidR="00A165BC" w:rsidRPr="00CF3FD0">
        <w:t xml:space="preserve"> </w:t>
      </w:r>
      <w:r w:rsidR="00F12204" w:rsidRPr="00CF3FD0">
        <w:t>NOM projections from 2029–30 onwards</w:t>
      </w:r>
      <w:r w:rsidR="00AF3419">
        <w:t> </w:t>
      </w:r>
      <w:r w:rsidR="00F12204" w:rsidRPr="00CF3FD0">
        <w:t>have</w:t>
      </w:r>
      <w:r w:rsidR="00AF3419">
        <w:t> </w:t>
      </w:r>
      <w:r w:rsidR="00F12204" w:rsidRPr="00CF3FD0">
        <w:t>no</w:t>
      </w:r>
      <w:r w:rsidR="00AF3419">
        <w:t> </w:t>
      </w:r>
      <w:r w:rsidR="00F12204" w:rsidRPr="00CF3FD0">
        <w:t>visa breakdown.</w:t>
      </w:r>
      <w:r w:rsidR="004D4522">
        <w:t xml:space="preserve"> </w:t>
      </w:r>
      <w:r w:rsidR="00F12204" w:rsidRPr="00CF3FD0">
        <w:t>Further explanation of the long run assumption can be found in the 2022</w:t>
      </w:r>
      <w:r w:rsidR="00AF3419">
        <w:t> </w:t>
      </w:r>
      <w:r w:rsidR="00F12204" w:rsidRPr="00CF3FD0">
        <w:t>Population Statement.</w:t>
      </w:r>
      <w:r w:rsidR="00D15AE3">
        <w:rPr>
          <w:rStyle w:val="FootnoteReference"/>
          <w:rFonts w:eastAsia="SimSun"/>
        </w:rPr>
        <w:footnoteReference w:id="4"/>
      </w:r>
    </w:p>
    <w:p w14:paraId="5EE28E94" w14:textId="691F7734" w:rsidR="00F12204" w:rsidRPr="00CF3FD0" w:rsidRDefault="00F12204" w:rsidP="005E3859">
      <w:r w:rsidRPr="00CF3FD0">
        <w:t>Pre</w:t>
      </w:r>
      <w:r w:rsidR="00EE3C04">
        <w:noBreakHyphen/>
      </w:r>
      <w:r w:rsidRPr="00CF3FD0">
        <w:t>pandemic average (2016–17 to 2018–19) age and sex profiles of migrant arrivals and departures, by visa and state, are assumed in forecasts up to 2028–29. Pre</w:t>
      </w:r>
      <w:r w:rsidR="00EE3C04">
        <w:noBreakHyphen/>
      </w:r>
      <w:r w:rsidRPr="00CF3FD0">
        <w:t>pandemic age and sex profiles without a visa breakdown are assumed from 2029–30 onwards.</w:t>
      </w:r>
    </w:p>
    <w:p w14:paraId="34849A3C" w14:textId="08B51FDB" w:rsidR="00F12204" w:rsidRPr="00CF3FD0" w:rsidRDefault="00F12204" w:rsidP="005E3859">
      <w:r w:rsidRPr="00CF3FD0">
        <w:t>State</w:t>
      </w:r>
      <w:r w:rsidR="00EE3C04">
        <w:noBreakHyphen/>
      </w:r>
      <w:r w:rsidRPr="00CF3FD0">
        <w:t xml:space="preserve">level overseas migration figures are derived as a share of the national total. </w:t>
      </w:r>
      <w:r w:rsidR="006D0744">
        <w:t>H</w:t>
      </w:r>
      <w:r w:rsidRPr="00CF3FD0">
        <w:t xml:space="preserve">istorical state shares, disaggregated by migrant visa type and direction, inform the forecast shares. A </w:t>
      </w:r>
      <w:r>
        <w:t>phased</w:t>
      </w:r>
      <w:r w:rsidRPr="00CF3FD0">
        <w:t xml:space="preserve"> transition from recent state shares (June 2024 to March 2025 quarters) to pre</w:t>
      </w:r>
      <w:r w:rsidR="00EE3C04">
        <w:noBreakHyphen/>
      </w:r>
      <w:r w:rsidRPr="00CF3FD0">
        <w:t>pandemic shares (2004–05 to 2017–18) is applied over the first 8 forecast quarters, after which pre</w:t>
      </w:r>
      <w:r w:rsidR="00EE3C04">
        <w:noBreakHyphen/>
      </w:r>
      <w:r w:rsidRPr="00CF3FD0">
        <w:t xml:space="preserve">pandemic shares are applied. </w:t>
      </w:r>
    </w:p>
    <w:p w14:paraId="5E1DBACC" w14:textId="55E05193" w:rsidR="00F12204" w:rsidRPr="00CF3FD0" w:rsidRDefault="00E83499" w:rsidP="005E3859">
      <w:r>
        <w:t>Greater Capital City Statistical Area (</w:t>
      </w:r>
      <w:r w:rsidR="00F12204" w:rsidRPr="00CF3FD0">
        <w:t>GCCSA</w:t>
      </w:r>
      <w:r>
        <w:t>)</w:t>
      </w:r>
      <w:r w:rsidR="00F12204" w:rsidRPr="00CF3FD0">
        <w:t xml:space="preserve"> level overseas migration figures are derived as a share of forecast state totals. The average GCCSA share of migrants over 2016–17 to 2018–19 is used to inform forecast GCCSA shares, disaggregated by direction, age, and sex.</w:t>
      </w:r>
    </w:p>
    <w:p w14:paraId="35941D7F" w14:textId="77777777" w:rsidR="00F12204" w:rsidRDefault="00F12204" w:rsidP="00F12204">
      <w:pPr>
        <w:pStyle w:val="Heading3Numbered"/>
      </w:pPr>
      <w:r>
        <w:lastRenderedPageBreak/>
        <w:t>Fertility</w:t>
      </w:r>
    </w:p>
    <w:p w14:paraId="0E3C4E82" w14:textId="6900EEE0" w:rsidR="00F12204" w:rsidRPr="00A644B1" w:rsidRDefault="00F12204" w:rsidP="005E3859">
      <w:r w:rsidRPr="00A644B1">
        <w:t>The fertility forecasts are made up of 2 components</w:t>
      </w:r>
      <w:r w:rsidR="00617186">
        <w:t>:</w:t>
      </w:r>
      <w:r w:rsidRPr="00A644B1">
        <w:t xml:space="preserve"> leading indicator data in the near term </w:t>
      </w:r>
      <w:r>
        <w:t>before transitioning to the</w:t>
      </w:r>
      <w:r w:rsidRPr="00A644B1">
        <w:t xml:space="preserve"> long</w:t>
      </w:r>
      <w:r w:rsidR="00EE3C04">
        <w:noBreakHyphen/>
      </w:r>
      <w:r>
        <w:t>run</w:t>
      </w:r>
      <w:r w:rsidRPr="00A644B1">
        <w:t xml:space="preserve"> assumption. </w:t>
      </w:r>
    </w:p>
    <w:p w14:paraId="3A9C7BA3" w14:textId="447E3B1F" w:rsidR="00F12204" w:rsidRPr="00A644B1" w:rsidRDefault="00F12204" w:rsidP="005E3859">
      <w:r w:rsidRPr="00A644B1">
        <w:t>The near</w:t>
      </w:r>
      <w:r w:rsidR="00EE3C04">
        <w:noBreakHyphen/>
      </w:r>
      <w:r w:rsidRPr="00A644B1">
        <w:t>term</w:t>
      </w:r>
      <w:r w:rsidR="00EE3C04">
        <w:noBreakHyphen/>
      </w:r>
      <w:r w:rsidRPr="00A644B1">
        <w:t>fertility forecasts have been formulated using data on pregnancy scans as a leading indicator. As most women undergo an ultrasound at around 20 weeks of pregnancy, the scan data provides a 4</w:t>
      </w:r>
      <w:r w:rsidR="00EE3C04">
        <w:noBreakHyphen/>
      </w:r>
      <w:r w:rsidRPr="00A644B1">
        <w:t>to</w:t>
      </w:r>
      <w:r w:rsidR="00EE3C04">
        <w:noBreakHyphen/>
      </w:r>
      <w:r w:rsidRPr="00A644B1">
        <w:t>6</w:t>
      </w:r>
      <w:r w:rsidR="00EE3C04">
        <w:noBreakHyphen/>
      </w:r>
      <w:r w:rsidRPr="00A644B1">
        <w:t>month lead time on births. The statistical model incorporates a four month</w:t>
      </w:r>
      <w:r w:rsidR="00D625A6">
        <w:t xml:space="preserve"> </w:t>
      </w:r>
      <w:r w:rsidRPr="00A644B1">
        <w:t xml:space="preserve">lag of scan data to project quarterly births. In the 2025 Population Statement, the leading indicator model </w:t>
      </w:r>
      <w:r>
        <w:t>is used to</w:t>
      </w:r>
      <w:r w:rsidRPr="00A644B1">
        <w:t xml:space="preserve"> forecast </w:t>
      </w:r>
      <w:r>
        <w:t xml:space="preserve">up </w:t>
      </w:r>
      <w:r w:rsidRPr="00A644B1">
        <w:t>to December 2025, with the remainder of 2025–26 extrapolated using an exponential smoothing model. Age specific fertility rates are estimated using the projected births and forecasts of the female population aged between 15 to 49 years</w:t>
      </w:r>
      <w:r w:rsidR="00947C69">
        <w:t xml:space="preserve">. </w:t>
      </w:r>
    </w:p>
    <w:p w14:paraId="203FEEB7" w14:textId="1993EEDE" w:rsidR="00F12204" w:rsidRPr="00A644B1" w:rsidRDefault="00F12204" w:rsidP="005E3859">
      <w:r w:rsidRPr="00A644B1">
        <w:t>From 2026</w:t>
      </w:r>
      <w:r w:rsidRPr="00CF3FD0">
        <w:rPr>
          <w:rFonts w:eastAsia="SimSun"/>
        </w:rPr>
        <w:t>–</w:t>
      </w:r>
      <w:r w:rsidRPr="00A644B1">
        <w:t xml:space="preserve">27, the fertility </w:t>
      </w:r>
      <w:r>
        <w:t>rate is expected to gradually recover. This assumes that shorter</w:t>
      </w:r>
      <w:r w:rsidR="00EE3C04">
        <w:noBreakHyphen/>
      </w:r>
      <w:r>
        <w:t>term factors weighing on fertility will unwind</w:t>
      </w:r>
      <w:r w:rsidRPr="00A644B1">
        <w:t>. The long run assumption is that the total fertility rate will stabilise at 1.62</w:t>
      </w:r>
      <w:r w:rsidR="00062D1E">
        <w:t> </w:t>
      </w:r>
      <w:r w:rsidRPr="00A644B1">
        <w:t>children per women by 2031</w:t>
      </w:r>
      <w:r w:rsidR="00383620" w:rsidRPr="00383620">
        <w:t>–</w:t>
      </w:r>
      <w:r w:rsidRPr="00A644B1">
        <w:t xml:space="preserve">32, in accordance with the analysis in the report </w:t>
      </w:r>
      <w:r w:rsidRPr="007C70D4">
        <w:rPr>
          <w:i/>
        </w:rPr>
        <w:t>A Projection of Australia</w:t>
      </w:r>
      <w:r w:rsidR="00EE3C04">
        <w:rPr>
          <w:i/>
        </w:rPr>
        <w:t>’</w:t>
      </w:r>
      <w:r w:rsidRPr="007C70D4">
        <w:rPr>
          <w:i/>
        </w:rPr>
        <w:t>s Future Fertility Rates</w:t>
      </w:r>
      <w:r w:rsidRPr="00A644B1">
        <w:t>.</w:t>
      </w:r>
      <w:r w:rsidR="003B2D38">
        <w:rPr>
          <w:rStyle w:val="FootnoteReference"/>
          <w:rFonts w:eastAsia="Calibri" w:cs="Calibri"/>
        </w:rPr>
        <w:footnoteReference w:id="5"/>
      </w:r>
      <w:r w:rsidRPr="00A644B1">
        <w:t xml:space="preserve"> </w:t>
      </w:r>
      <w:r>
        <w:t>The expectation that fertility will rise to this long run rate reflects the fact that the proportion of women without children has not increased significantly in recent years and Australia has historically seen relatively strong fertility recuperation.</w:t>
      </w:r>
    </w:p>
    <w:p w14:paraId="04328A96" w14:textId="52AF43D4" w:rsidR="00F12204" w:rsidRDefault="00F12204" w:rsidP="005E3859">
      <w:r w:rsidRPr="00A644B1">
        <w:t>Estimates are produced at the national and state and territory level using the above methods. At the capital city and rest</w:t>
      </w:r>
      <w:r w:rsidR="00EE3C04">
        <w:noBreakHyphen/>
      </w:r>
      <w:r w:rsidRPr="00A644B1">
        <w:t>of</w:t>
      </w:r>
      <w:r w:rsidR="00EE3C04">
        <w:noBreakHyphen/>
      </w:r>
      <w:r w:rsidRPr="00A644B1">
        <w:t>state level, the recent ratios of location</w:t>
      </w:r>
      <w:r w:rsidR="00EE3C04">
        <w:noBreakHyphen/>
      </w:r>
      <w:r w:rsidRPr="00A644B1">
        <w:t>specific fertility rates to the state total fertility rate are assumed to remain constant. The fertility rates for these areas are also constrained to state fertility rates.</w:t>
      </w:r>
    </w:p>
    <w:p w14:paraId="21FB4601" w14:textId="77777777" w:rsidR="00F12204" w:rsidRDefault="00F12204" w:rsidP="00F12204">
      <w:pPr>
        <w:pStyle w:val="Heading3Numbered"/>
      </w:pPr>
      <w:r>
        <w:t>Mortality</w:t>
      </w:r>
    </w:p>
    <w:p w14:paraId="3FB95FF7" w14:textId="2386A67D" w:rsidR="00F12204" w:rsidRDefault="00F12204" w:rsidP="005E3859">
      <w:r w:rsidRPr="272E8945">
        <w:t>Projected national mortality is based on the ABS</w:t>
      </w:r>
      <w:r w:rsidR="00EE3C04">
        <w:t>’</w:t>
      </w:r>
      <w:r w:rsidRPr="272E8945">
        <w:t xml:space="preserve">s </w:t>
      </w:r>
      <w:r w:rsidRPr="272E8945" w:rsidDel="00205880">
        <w:t>2019</w:t>
      </w:r>
      <w:r w:rsidRPr="272E8945">
        <w:t>–</w:t>
      </w:r>
      <w:r w:rsidRPr="272E8945" w:rsidDel="00205880">
        <w:t>2021</w:t>
      </w:r>
      <w:r w:rsidRPr="272E8945">
        <w:t xml:space="preserve"> national life table, adjusted for future improvement by applying mortality improvement factors from the Australian Government Actuary</w:t>
      </w:r>
      <w:r>
        <w:t xml:space="preserve"> (AGA).</w:t>
      </w:r>
      <w:r w:rsidR="0002325C">
        <w:rPr>
          <w:rStyle w:val="FootnoteReference"/>
          <w:rFonts w:eastAsia="Calibri" w:cs="Calibri"/>
        </w:rPr>
        <w:footnoteReference w:id="6"/>
      </w:r>
      <w:r>
        <w:t xml:space="preserve"> </w:t>
      </w:r>
      <w:r w:rsidRPr="272E8945">
        <w:t>The adjusted 2019–2021 life table is used to represent the level of mortality that would be expected in the absence of the pandemic.</w:t>
      </w:r>
    </w:p>
    <w:p w14:paraId="45A36B22" w14:textId="73D110EF" w:rsidR="00F12204" w:rsidRDefault="00F12204" w:rsidP="005E3859">
      <w:r w:rsidRPr="2DD9B105">
        <w:t>This</w:t>
      </w:r>
      <w:r w:rsidRPr="00AC6381">
        <w:t xml:space="preserve"> year, the AGA </w:t>
      </w:r>
      <w:r>
        <w:t>reviewed the mortality improvement factors and has lowered the rate of increase in life expectancy over the next 25 years</w:t>
      </w:r>
      <w:r w:rsidRPr="00AC6381">
        <w:t xml:space="preserve">. This reflects evidence that </w:t>
      </w:r>
      <w:r>
        <w:t xml:space="preserve">the </w:t>
      </w:r>
      <w:r w:rsidRPr="00AC6381">
        <w:t xml:space="preserve">large </w:t>
      </w:r>
      <w:r>
        <w:t xml:space="preserve">improvements </w:t>
      </w:r>
      <w:r w:rsidRPr="00AC6381">
        <w:t xml:space="preserve">seen for those born 1930–1950 are unlikely to continue. </w:t>
      </w:r>
      <w:r>
        <w:t xml:space="preserve">Life expectancy is now projected to increase from </w:t>
      </w:r>
      <w:r w:rsidRPr="00930249">
        <w:t>85.8 years</w:t>
      </w:r>
      <w:r>
        <w:t xml:space="preserve"> for females and </w:t>
      </w:r>
      <w:r w:rsidRPr="00930249">
        <w:t xml:space="preserve">81.9 years </w:t>
      </w:r>
      <w:r>
        <w:t>for males in 2024</w:t>
      </w:r>
      <w:r w:rsidRPr="00937ECF">
        <w:t>–</w:t>
      </w:r>
      <w:r>
        <w:t>25 to 89.5</w:t>
      </w:r>
      <w:r w:rsidRPr="00930249">
        <w:t xml:space="preserve"> years</w:t>
      </w:r>
      <w:r>
        <w:t xml:space="preserve"> for females and 86.1</w:t>
      </w:r>
      <w:r w:rsidRPr="00930249">
        <w:t xml:space="preserve"> years</w:t>
      </w:r>
      <w:r>
        <w:t xml:space="preserve"> for males in </w:t>
      </w:r>
      <w:r w:rsidRPr="00CA751C">
        <w:t>20</w:t>
      </w:r>
      <w:r>
        <w:t>65</w:t>
      </w:r>
      <w:r w:rsidRPr="00CA751C">
        <w:t>–</w:t>
      </w:r>
      <w:r>
        <w:t>66 (compared to</w:t>
      </w:r>
      <w:r w:rsidRPr="00930249">
        <w:t xml:space="preserve"> </w:t>
      </w:r>
      <w:r>
        <w:t>89.7</w:t>
      </w:r>
      <w:r w:rsidRPr="00930249">
        <w:t xml:space="preserve"> </w:t>
      </w:r>
      <w:r>
        <w:t>for females and 87.3</w:t>
      </w:r>
      <w:r w:rsidRPr="00CA751C">
        <w:t xml:space="preserve"> </w:t>
      </w:r>
      <w:r>
        <w:t>for males in the 2024 Population Statement).</w:t>
      </w:r>
      <w:r w:rsidR="00606379">
        <w:rPr>
          <w:rStyle w:val="FootnoteReference"/>
          <w:rFonts w:eastAsia="Calibri" w:cs="Calibri"/>
        </w:rPr>
        <w:footnoteReference w:id="7"/>
      </w:r>
    </w:p>
    <w:p w14:paraId="2951E07A" w14:textId="4BC32DA1" w:rsidR="00D32329" w:rsidRDefault="00F12204" w:rsidP="005E3859">
      <w:r>
        <w:t>The m</w:t>
      </w:r>
      <w:r w:rsidRPr="005F577B">
        <w:t>ortality projections also incorporate short</w:t>
      </w:r>
      <w:r w:rsidR="00EE3C04">
        <w:noBreakHyphen/>
      </w:r>
      <w:r w:rsidRPr="005F577B">
        <w:t>term uplift factors to account for the ongoing impacts of COVID</w:t>
      </w:r>
      <w:r>
        <w:t>‍</w:t>
      </w:r>
      <w:r w:rsidR="00EE3C04">
        <w:noBreakHyphen/>
      </w:r>
      <w:r>
        <w:t>‍</w:t>
      </w:r>
      <w:r w:rsidRPr="005F577B">
        <w:t>19, concentrated among those aged 50 and above. Based on observed mortality in 2024–25, these uplifts have been revised downward from last year</w:t>
      </w:r>
      <w:r w:rsidR="00EE3C04">
        <w:t>’</w:t>
      </w:r>
      <w:r w:rsidRPr="005F577B">
        <w:t>s assumptions. Excess mortality peaked in 2022 and declined through</w:t>
      </w:r>
      <w:r>
        <w:t> </w:t>
      </w:r>
      <w:r w:rsidRPr="005F577B">
        <w:t xml:space="preserve">2023, but the </w:t>
      </w:r>
      <w:r>
        <w:t>number</w:t>
      </w:r>
      <w:r w:rsidRPr="005F577B">
        <w:t xml:space="preserve"> </w:t>
      </w:r>
      <w:r>
        <w:t xml:space="preserve">of </w:t>
      </w:r>
      <w:r w:rsidRPr="005F577B">
        <w:t>COVID</w:t>
      </w:r>
      <w:r w:rsidR="00EE3C04">
        <w:noBreakHyphen/>
      </w:r>
      <w:r w:rsidRPr="005F577B">
        <w:t xml:space="preserve">19 deaths during the second half of 2024–25 was </w:t>
      </w:r>
      <w:r>
        <w:t xml:space="preserve">lower </w:t>
      </w:r>
      <w:r w:rsidRPr="005F577B">
        <w:t>than expected.</w:t>
      </w:r>
      <w:r w:rsidR="00C31EB3">
        <w:rPr>
          <w:rStyle w:val="FootnoteReference"/>
          <w:rFonts w:eastAsia="Calibri" w:cs="Calibri"/>
        </w:rPr>
        <w:footnoteReference w:id="8"/>
      </w:r>
      <w:r w:rsidRPr="005F577B">
        <w:t xml:space="preserve"> As a result, the uplift for 2024–25 is now estimated at 2.6</w:t>
      </w:r>
      <w:r w:rsidR="008E54EF">
        <w:t xml:space="preserve"> per cent</w:t>
      </w:r>
      <w:r w:rsidRPr="005F577B">
        <w:t xml:space="preserve"> (previously 4</w:t>
      </w:r>
      <w:r w:rsidR="008E54EF">
        <w:t xml:space="preserve"> per cent</w:t>
      </w:r>
      <w:r w:rsidRPr="005F577B">
        <w:t>). Uplifts for subsequent years have also been reduced</w:t>
      </w:r>
      <w:r>
        <w:t xml:space="preserve">, </w:t>
      </w:r>
      <w:r w:rsidRPr="008C34AF">
        <w:t>with the impact still assumed to fall to zero from 2028–29</w:t>
      </w:r>
      <w:r>
        <w:t xml:space="preserve"> (</w:t>
      </w:r>
      <w:r w:rsidRPr="005F577B">
        <w:t xml:space="preserve">Table </w:t>
      </w:r>
      <w:r w:rsidR="000B4EE6">
        <w:t>1</w:t>
      </w:r>
      <w:r>
        <w:t xml:space="preserve">). </w:t>
      </w:r>
      <w:r w:rsidRPr="0057169A">
        <w:t>Although the impact of COVID</w:t>
      </w:r>
      <w:r w:rsidR="00EE3C04">
        <w:noBreakHyphen/>
      </w:r>
      <w:r w:rsidRPr="0057169A">
        <w:t>19 has eased, the longer</w:t>
      </w:r>
      <w:r w:rsidR="00EE3C04">
        <w:noBreakHyphen/>
      </w:r>
      <w:r w:rsidRPr="0057169A">
        <w:t xml:space="preserve">term implications for mortality remain </w:t>
      </w:r>
      <w:r w:rsidRPr="2DD9B105">
        <w:t>uncertain.</w:t>
      </w:r>
    </w:p>
    <w:p w14:paraId="59E2CA90" w14:textId="77777777" w:rsidR="00D32329" w:rsidRDefault="00D32329">
      <w:pPr>
        <w:spacing w:before="0" w:after="160" w:line="259" w:lineRule="auto"/>
        <w:rPr>
          <w:rFonts w:eastAsia="Calibri" w:cs="Calibri"/>
        </w:rPr>
      </w:pPr>
      <w:r>
        <w:rPr>
          <w:rFonts w:eastAsia="Calibri" w:cs="Calibri"/>
        </w:rPr>
        <w:br w:type="page"/>
      </w:r>
    </w:p>
    <w:p w14:paraId="451D7C17" w14:textId="706EC3D4" w:rsidR="00F12204" w:rsidRDefault="00C22117" w:rsidP="00F12204">
      <w:pPr>
        <w:pStyle w:val="TableMainHeading"/>
        <w:ind w:left="360" w:hanging="360"/>
      </w:pPr>
      <w:r>
        <w:lastRenderedPageBreak/>
        <w:t>E</w:t>
      </w:r>
      <w:r w:rsidR="00830090">
        <w:t>xcess mortality projecti</w:t>
      </w:r>
      <w:r w:rsidR="00866DCF">
        <w:t>o</w:t>
      </w:r>
      <w:r w:rsidR="00830090">
        <w:t>n</w:t>
      </w:r>
      <w:r w:rsidR="00866DCF">
        <w:t>s</w:t>
      </w:r>
      <w:r>
        <w:t xml:space="preserve"> </w:t>
      </w:r>
    </w:p>
    <w:tbl>
      <w:tblPr>
        <w:tblStyle w:val="CPOPTable"/>
        <w:tblW w:w="5000" w:type="pct"/>
        <w:tblLook w:val="04A0" w:firstRow="1" w:lastRow="0" w:firstColumn="1" w:lastColumn="0" w:noHBand="0" w:noVBand="1"/>
      </w:tblPr>
      <w:tblGrid>
        <w:gridCol w:w="2362"/>
        <w:gridCol w:w="1017"/>
        <w:gridCol w:w="1129"/>
        <w:gridCol w:w="1269"/>
        <w:gridCol w:w="1409"/>
        <w:gridCol w:w="1884"/>
      </w:tblGrid>
      <w:tr w:rsidR="00F12204" w:rsidRPr="00EE3C04" w14:paraId="4D488296" w14:textId="77777777" w:rsidTr="00A252F6">
        <w:trPr>
          <w:cnfStyle w:val="100000000000" w:firstRow="1" w:lastRow="0" w:firstColumn="0" w:lastColumn="0" w:oddVBand="0" w:evenVBand="0" w:oddHBand="0" w:evenHBand="0" w:firstRowFirstColumn="0" w:firstRowLastColumn="0" w:lastRowFirstColumn="0" w:lastRowLastColumn="0"/>
          <w:trHeight w:val="302"/>
        </w:trPr>
        <w:tc>
          <w:tcPr>
            <w:tcW w:w="2381" w:type="dxa"/>
            <w:tcMar>
              <w:left w:w="0" w:type="dxa"/>
            </w:tcMar>
          </w:tcPr>
          <w:p w14:paraId="172E5B0B" w14:textId="77777777" w:rsidR="00F12204" w:rsidRPr="00EE3C04" w:rsidRDefault="00F12204">
            <w:pPr>
              <w:pStyle w:val="TableTextRight"/>
              <w:rPr>
                <w:b/>
                <w:bCs/>
              </w:rPr>
            </w:pPr>
            <w:r w:rsidRPr="00EE3C04">
              <w:rPr>
                <w:b/>
                <w:bCs/>
              </w:rPr>
              <w:t>%</w:t>
            </w:r>
          </w:p>
        </w:tc>
        <w:tc>
          <w:tcPr>
            <w:tcW w:w="1021" w:type="dxa"/>
          </w:tcPr>
          <w:p w14:paraId="686782EB" w14:textId="77777777" w:rsidR="00F12204" w:rsidRPr="00EE3C04" w:rsidRDefault="00F12204">
            <w:pPr>
              <w:pStyle w:val="TableTextRight"/>
              <w:rPr>
                <w:b/>
                <w:bCs/>
              </w:rPr>
            </w:pPr>
            <w:r w:rsidRPr="00EE3C04">
              <w:rPr>
                <w:b/>
                <w:bCs/>
              </w:rPr>
              <w:t>2024–25</w:t>
            </w:r>
          </w:p>
        </w:tc>
        <w:tc>
          <w:tcPr>
            <w:tcW w:w="1134" w:type="dxa"/>
          </w:tcPr>
          <w:p w14:paraId="66166DFA" w14:textId="77777777" w:rsidR="00F12204" w:rsidRPr="00EE3C04" w:rsidRDefault="00F12204">
            <w:pPr>
              <w:pStyle w:val="TableTextRight"/>
              <w:rPr>
                <w:b/>
                <w:bCs/>
              </w:rPr>
            </w:pPr>
            <w:r w:rsidRPr="00EE3C04">
              <w:rPr>
                <w:b/>
                <w:bCs/>
              </w:rPr>
              <w:t>2025–26</w:t>
            </w:r>
          </w:p>
        </w:tc>
        <w:tc>
          <w:tcPr>
            <w:tcW w:w="1276" w:type="dxa"/>
          </w:tcPr>
          <w:p w14:paraId="0585EC49" w14:textId="77777777" w:rsidR="00F12204" w:rsidRPr="00EE3C04" w:rsidRDefault="00F12204">
            <w:pPr>
              <w:pStyle w:val="TableTextRight"/>
              <w:rPr>
                <w:b/>
                <w:bCs/>
              </w:rPr>
            </w:pPr>
            <w:r w:rsidRPr="00EE3C04">
              <w:rPr>
                <w:b/>
                <w:bCs/>
              </w:rPr>
              <w:t>2026–27</w:t>
            </w:r>
          </w:p>
        </w:tc>
        <w:tc>
          <w:tcPr>
            <w:tcW w:w="1418" w:type="dxa"/>
          </w:tcPr>
          <w:p w14:paraId="7DC66589" w14:textId="77777777" w:rsidR="00F12204" w:rsidRPr="00EE3C04" w:rsidRDefault="00F12204">
            <w:pPr>
              <w:pStyle w:val="TableTextRight"/>
              <w:rPr>
                <w:b/>
                <w:bCs/>
              </w:rPr>
            </w:pPr>
            <w:r w:rsidRPr="00EE3C04">
              <w:rPr>
                <w:b/>
                <w:bCs/>
              </w:rPr>
              <w:t>2027–28</w:t>
            </w:r>
          </w:p>
        </w:tc>
        <w:tc>
          <w:tcPr>
            <w:tcW w:w="1896" w:type="dxa"/>
          </w:tcPr>
          <w:p w14:paraId="0610CB00" w14:textId="73FA9B44" w:rsidR="00F12204" w:rsidRPr="00EE3C04" w:rsidRDefault="00F12204" w:rsidP="00D32329">
            <w:pPr>
              <w:pStyle w:val="TableTextRight"/>
              <w:rPr>
                <w:b/>
                <w:bCs/>
              </w:rPr>
            </w:pPr>
            <w:r w:rsidRPr="00EE3C04">
              <w:rPr>
                <w:b/>
                <w:bCs/>
              </w:rPr>
              <w:t>2028–29 onwards</w:t>
            </w:r>
          </w:p>
        </w:tc>
      </w:tr>
      <w:tr w:rsidR="00F12204" w:rsidRPr="00EE3C04" w14:paraId="5D6251C0" w14:textId="77777777" w:rsidTr="00A252F6">
        <w:trPr>
          <w:trHeight w:val="222"/>
        </w:trPr>
        <w:tc>
          <w:tcPr>
            <w:tcW w:w="2381" w:type="dxa"/>
            <w:tcMar>
              <w:left w:w="0" w:type="dxa"/>
            </w:tcMar>
          </w:tcPr>
          <w:p w14:paraId="71C6882F" w14:textId="77777777" w:rsidR="00F12204" w:rsidRPr="00EE3C04" w:rsidRDefault="00F12204">
            <w:pPr>
              <w:pStyle w:val="TableTextLeft"/>
            </w:pPr>
            <w:r w:rsidRPr="00EE3C04">
              <w:t xml:space="preserve">2024 Population Statement </w:t>
            </w:r>
          </w:p>
        </w:tc>
        <w:tc>
          <w:tcPr>
            <w:tcW w:w="1021" w:type="dxa"/>
          </w:tcPr>
          <w:p w14:paraId="68636F27" w14:textId="77777777" w:rsidR="00F12204" w:rsidRPr="00EE3C04" w:rsidRDefault="00F12204">
            <w:pPr>
              <w:pStyle w:val="TableTextRight"/>
            </w:pPr>
            <w:r w:rsidRPr="00EE3C04">
              <w:t>4</w:t>
            </w:r>
          </w:p>
        </w:tc>
        <w:tc>
          <w:tcPr>
            <w:tcW w:w="1134" w:type="dxa"/>
          </w:tcPr>
          <w:p w14:paraId="49AC2394" w14:textId="77777777" w:rsidR="00F12204" w:rsidRPr="00EE3C04" w:rsidRDefault="00F12204">
            <w:pPr>
              <w:pStyle w:val="TableTextRight"/>
            </w:pPr>
            <w:r w:rsidRPr="00EE3C04">
              <w:t>3</w:t>
            </w:r>
          </w:p>
        </w:tc>
        <w:tc>
          <w:tcPr>
            <w:tcW w:w="1276" w:type="dxa"/>
          </w:tcPr>
          <w:p w14:paraId="6BDDBAA2" w14:textId="77777777" w:rsidR="00F12204" w:rsidRPr="00EE3C04" w:rsidRDefault="00F12204">
            <w:pPr>
              <w:pStyle w:val="TableTextRight"/>
            </w:pPr>
            <w:r w:rsidRPr="00EE3C04">
              <w:t>2</w:t>
            </w:r>
          </w:p>
        </w:tc>
        <w:tc>
          <w:tcPr>
            <w:tcW w:w="1418" w:type="dxa"/>
          </w:tcPr>
          <w:p w14:paraId="344DB8D6" w14:textId="77777777" w:rsidR="00F12204" w:rsidRPr="00EE3C04" w:rsidRDefault="00F12204">
            <w:pPr>
              <w:pStyle w:val="TableTextRight"/>
            </w:pPr>
            <w:r w:rsidRPr="00EE3C04">
              <w:t>1</w:t>
            </w:r>
          </w:p>
        </w:tc>
        <w:tc>
          <w:tcPr>
            <w:tcW w:w="1896" w:type="dxa"/>
          </w:tcPr>
          <w:p w14:paraId="24B8B772" w14:textId="77777777" w:rsidR="00F12204" w:rsidRPr="00EE3C04" w:rsidRDefault="00F12204">
            <w:pPr>
              <w:pStyle w:val="TableTextRight"/>
            </w:pPr>
            <w:r w:rsidRPr="00EE3C04">
              <w:t>0</w:t>
            </w:r>
          </w:p>
        </w:tc>
      </w:tr>
      <w:tr w:rsidR="00F12204" w:rsidRPr="00EE3C04" w14:paraId="4CE60DA3" w14:textId="77777777" w:rsidTr="00A252F6">
        <w:trPr>
          <w:trHeight w:val="280"/>
        </w:trPr>
        <w:tc>
          <w:tcPr>
            <w:tcW w:w="2381" w:type="dxa"/>
            <w:tcMar>
              <w:left w:w="0" w:type="dxa"/>
            </w:tcMar>
          </w:tcPr>
          <w:p w14:paraId="1FE71B94" w14:textId="77777777" w:rsidR="00F12204" w:rsidRPr="00EE3C04" w:rsidRDefault="00F12204">
            <w:pPr>
              <w:pStyle w:val="TableTextLeft"/>
            </w:pPr>
            <w:r w:rsidRPr="00EE3C04">
              <w:t>2025 Population Statement</w:t>
            </w:r>
          </w:p>
        </w:tc>
        <w:tc>
          <w:tcPr>
            <w:tcW w:w="1021" w:type="dxa"/>
          </w:tcPr>
          <w:p w14:paraId="0019B4AB" w14:textId="77777777" w:rsidR="00F12204" w:rsidRPr="00EE3C04" w:rsidRDefault="00F12204">
            <w:pPr>
              <w:pStyle w:val="TableTextRight"/>
            </w:pPr>
            <w:r w:rsidRPr="00EE3C04">
              <w:t>2.6</w:t>
            </w:r>
          </w:p>
        </w:tc>
        <w:tc>
          <w:tcPr>
            <w:tcW w:w="1134" w:type="dxa"/>
          </w:tcPr>
          <w:p w14:paraId="7534A490" w14:textId="77777777" w:rsidR="00F12204" w:rsidRPr="00EE3C04" w:rsidRDefault="00F12204">
            <w:pPr>
              <w:pStyle w:val="TableTextRight"/>
            </w:pPr>
            <w:r w:rsidRPr="00EE3C04">
              <w:t>2</w:t>
            </w:r>
          </w:p>
        </w:tc>
        <w:tc>
          <w:tcPr>
            <w:tcW w:w="1276" w:type="dxa"/>
          </w:tcPr>
          <w:p w14:paraId="7F9A1B1A" w14:textId="77777777" w:rsidR="00F12204" w:rsidRPr="00EE3C04" w:rsidRDefault="00F12204">
            <w:pPr>
              <w:pStyle w:val="TableTextRight"/>
            </w:pPr>
            <w:r w:rsidRPr="00EE3C04">
              <w:t>1.5</w:t>
            </w:r>
          </w:p>
        </w:tc>
        <w:tc>
          <w:tcPr>
            <w:tcW w:w="1418" w:type="dxa"/>
          </w:tcPr>
          <w:p w14:paraId="560EA68F" w14:textId="77777777" w:rsidR="00F12204" w:rsidRPr="00EE3C04" w:rsidRDefault="00F12204">
            <w:pPr>
              <w:pStyle w:val="TableTextRight"/>
            </w:pPr>
            <w:r w:rsidRPr="00EE3C04">
              <w:t>1</w:t>
            </w:r>
          </w:p>
        </w:tc>
        <w:tc>
          <w:tcPr>
            <w:tcW w:w="1896" w:type="dxa"/>
          </w:tcPr>
          <w:p w14:paraId="0B18AE5E" w14:textId="77777777" w:rsidR="00F12204" w:rsidRPr="00EE3C04" w:rsidRDefault="00F12204">
            <w:pPr>
              <w:pStyle w:val="TableTextRight"/>
            </w:pPr>
            <w:r w:rsidRPr="00EE3C04">
              <w:t>0</w:t>
            </w:r>
          </w:p>
        </w:tc>
      </w:tr>
    </w:tbl>
    <w:p w14:paraId="30A5F69D" w14:textId="77777777" w:rsidR="00F12204" w:rsidRDefault="00F12204" w:rsidP="00F12204">
      <w:pPr>
        <w:pStyle w:val="SingleParagraph"/>
      </w:pPr>
    </w:p>
    <w:p w14:paraId="69F2BB0D" w14:textId="6FE0CF70" w:rsidR="00F12204" w:rsidRDefault="00F12204" w:rsidP="005E3859">
      <w:r w:rsidRPr="002F7A42">
        <w:t xml:space="preserve">The same approach as above has been used at the state level. </w:t>
      </w:r>
      <w:r w:rsidRPr="00DD5BFC">
        <w:t>For capital city and rest</w:t>
      </w:r>
      <w:r w:rsidR="00EE3C04">
        <w:noBreakHyphen/>
      </w:r>
      <w:r w:rsidRPr="00DD5BFC">
        <w:t>of</w:t>
      </w:r>
      <w:r w:rsidR="00EE3C04">
        <w:noBreakHyphen/>
      </w:r>
      <w:r w:rsidRPr="00DD5BFC">
        <w:t>state projections, abridged life tables were constructed using ABS deaths data and estimated resident population data from 2003–04 to 202</w:t>
      </w:r>
      <w:r>
        <w:t>2</w:t>
      </w:r>
      <w:r w:rsidRPr="00DD5BFC">
        <w:t>–2</w:t>
      </w:r>
      <w:r>
        <w:t>3</w:t>
      </w:r>
      <w:r w:rsidRPr="00DD5BFC">
        <w:t>.</w:t>
      </w:r>
      <w:r w:rsidRPr="00771F98">
        <w:t xml:space="preserve"> </w:t>
      </w:r>
      <w:r>
        <w:t>Projected mortality rates for capital cities and rest</w:t>
      </w:r>
      <w:r w:rsidR="00EE3C04">
        <w:noBreakHyphen/>
      </w:r>
      <w:r>
        <w:t>of</w:t>
      </w:r>
      <w:r w:rsidR="00EE3C04">
        <w:noBreakHyphen/>
      </w:r>
      <w:r>
        <w:t>state areas are then calculated by multiplying projected state mortality rates prepared by the Australian Government Actuary by the historical ratios.</w:t>
      </w:r>
    </w:p>
    <w:p w14:paraId="1FFECFA5" w14:textId="77777777" w:rsidR="00F12204" w:rsidRDefault="00F12204" w:rsidP="00F12204">
      <w:pPr>
        <w:pStyle w:val="Heading3Numbered"/>
      </w:pPr>
      <w:r>
        <w:t>Net interstate migration</w:t>
      </w:r>
    </w:p>
    <w:p w14:paraId="0D70B254" w14:textId="219330C0" w:rsidR="00F12204" w:rsidRDefault="00F12204" w:rsidP="005E3859">
      <w:r>
        <w:t>The distribution and size of internal migration flows is influenced by both regional economic conditions and a range of social factors, making internal migration flows difficult to forecast. Interruptions to internal migration flows brought about by the COVID</w:t>
      </w:r>
      <w:r w:rsidR="00EE3C04">
        <w:noBreakHyphen/>
      </w:r>
      <w:r>
        <w:t xml:space="preserve">19 pandemic also make recent trends difficult to interpret. </w:t>
      </w:r>
    </w:p>
    <w:p w14:paraId="3775FBA3" w14:textId="4E99A769" w:rsidR="00F12204" w:rsidRDefault="00F12204" w:rsidP="005E3859">
      <w:r>
        <w:t>Previously, the ABS revised its NIM estimates during Census rebasing, once every five years. Since the 2024</w:t>
      </w:r>
      <w:r w:rsidR="009D055D">
        <w:t> </w:t>
      </w:r>
      <w:r>
        <w:t>Population Statement, the ABS has implemented a new methodology which resulted in net internal</w:t>
      </w:r>
      <w:r w:rsidR="009D055D">
        <w:t xml:space="preserve"> </w:t>
      </w:r>
      <w:r>
        <w:t>migration (NIM) estimates being revised mid</w:t>
      </w:r>
      <w:r w:rsidR="00EE3C04">
        <w:noBreakHyphen/>
      </w:r>
      <w:r>
        <w:t>way through the Census cycle. This revision resulted</w:t>
      </w:r>
      <w:r w:rsidR="009D055D">
        <w:t xml:space="preserve"> </w:t>
      </w:r>
      <w:r>
        <w:t>in</w:t>
      </w:r>
      <w:r w:rsidR="009D055D">
        <w:t> </w:t>
      </w:r>
      <w:r>
        <w:t>large</w:t>
      </w:r>
      <w:r w:rsidR="009D055D">
        <w:t> </w:t>
      </w:r>
      <w:r>
        <w:t>changes in NIM for Western Australia, Victoria and the Northern Territory. These revisions have been</w:t>
      </w:r>
      <w:r w:rsidR="009D055D">
        <w:t> </w:t>
      </w:r>
      <w:r>
        <w:t xml:space="preserve">incorporated into the NIM forecasts in this Population Statement. </w:t>
      </w:r>
      <w:r w:rsidRPr="008B0ADF">
        <w:t>The ABS provide</w:t>
      </w:r>
      <w:r>
        <w:t>s</w:t>
      </w:r>
      <w:r w:rsidRPr="008B0ADF">
        <w:t xml:space="preserve"> detail for this</w:t>
      </w:r>
      <w:r w:rsidR="009D055D">
        <w:t> </w:t>
      </w:r>
      <w:r w:rsidRPr="008B0ADF">
        <w:t>new</w:t>
      </w:r>
      <w:r w:rsidR="009D055D">
        <w:t> </w:t>
      </w:r>
      <w:r w:rsidRPr="008B0ADF">
        <w:t xml:space="preserve">methodology in the </w:t>
      </w:r>
      <w:r w:rsidRPr="00292FFF">
        <w:rPr>
          <w:i/>
        </w:rPr>
        <w:t>Net Interstate Migration Review,</w:t>
      </w:r>
      <w:r w:rsidRPr="008B0ADF">
        <w:t xml:space="preserve"> </w:t>
      </w:r>
      <w:r>
        <w:t xml:space="preserve">which was made </w:t>
      </w:r>
      <w:r w:rsidRPr="008B0ADF">
        <w:t xml:space="preserve">available </w:t>
      </w:r>
      <w:r>
        <w:t xml:space="preserve">alongside </w:t>
      </w:r>
      <w:r w:rsidRPr="008B0ADF">
        <w:t>the June</w:t>
      </w:r>
      <w:r w:rsidR="009D055D">
        <w:t> </w:t>
      </w:r>
      <w:r w:rsidRPr="008B0ADF">
        <w:t xml:space="preserve">2025 </w:t>
      </w:r>
      <w:r w:rsidRPr="00E90C30">
        <w:t>National, state and territory population</w:t>
      </w:r>
      <w:r>
        <w:t xml:space="preserve"> (NSTP)</w:t>
      </w:r>
      <w:r w:rsidRPr="008B0ADF">
        <w:t>.</w:t>
      </w:r>
      <w:r>
        <w:rPr>
          <w:rStyle w:val="FootnoteReference"/>
        </w:rPr>
        <w:footnoteReference w:id="9"/>
      </w:r>
    </w:p>
    <w:p w14:paraId="44435BC1" w14:textId="771AD8F7" w:rsidR="00F12204" w:rsidRDefault="00F12204" w:rsidP="00F12204">
      <w:r>
        <w:t>Forecasts of internal migration are made by age and sex for each state and territory, and GCCSA. The current methodology incorporates these historical age and sex compositional trends. Compositional assumptions are based on the 2016 Census because pandemic lockdowns significantly affected the 2021 Census movement data.</w:t>
      </w:r>
      <w:r w:rsidR="00320582">
        <w:rPr>
          <w:rStyle w:val="FootnoteReference"/>
        </w:rPr>
        <w:footnoteReference w:id="10"/>
      </w:r>
    </w:p>
    <w:p w14:paraId="6723D626" w14:textId="1D38FA32" w:rsidR="00F12204" w:rsidRDefault="00F12204" w:rsidP="005E3859">
      <w:r>
        <w:t>The methodology for forecasting internal migration has been updated to produce experimental 40</w:t>
      </w:r>
      <w:r w:rsidR="00EE3C04">
        <w:noBreakHyphen/>
      </w:r>
      <w:r>
        <w:t xml:space="preserve">year projections. This is in contrast to the previous projection horizon of 11 years. In order to produce robust estimates for the 40 year horizon, the methods for forecasting net internal migration have been improved. </w:t>
      </w:r>
    </w:p>
    <w:p w14:paraId="64DB643E" w14:textId="77777777" w:rsidR="00F12204" w:rsidRDefault="00F12204" w:rsidP="005E3859">
      <w:r>
        <w:t xml:space="preserve">The following methodology is used for state and territory interstate arrival and departure flows and GCCSA level inter and intra arrival and departure flows. </w:t>
      </w:r>
    </w:p>
    <w:p w14:paraId="4FA182B4" w14:textId="77777777" w:rsidR="00F12204" w:rsidRPr="00651BC1" w:rsidRDefault="00F12204" w:rsidP="00EB72EA">
      <w:pPr>
        <w:pStyle w:val="Heading4"/>
      </w:pPr>
      <w:r w:rsidRPr="00651BC1">
        <w:t>Methodology to 2027–28</w:t>
      </w:r>
    </w:p>
    <w:p w14:paraId="0220079D" w14:textId="054D81A3" w:rsidR="00F12204" w:rsidRDefault="00F12204" w:rsidP="005E3859">
      <w:r>
        <w:t xml:space="preserve">Expected internal migration for the first quarter of the forecast is based on recent internal migration estimates. Internal migration is then assumed to return to a historical average by 2027–28. </w:t>
      </w:r>
    </w:p>
    <w:p w14:paraId="21D0CBCF" w14:textId="3F3CBA17" w:rsidR="00F35F04" w:rsidRDefault="00F12204" w:rsidP="005E3859">
      <w:r>
        <w:t xml:space="preserve">The historical average calculation uses 20 years of data, consisting of the 18 years to 2018–19 plus 2022–23 and 2023–24. The pandemic period is excluded from the averages because of disruptions to the data. </w:t>
      </w:r>
    </w:p>
    <w:p w14:paraId="17BBE8C3" w14:textId="77777777" w:rsidR="00F35F04" w:rsidRDefault="00F35F04">
      <w:pPr>
        <w:spacing w:before="0" w:after="160" w:line="259" w:lineRule="auto"/>
      </w:pPr>
      <w:r>
        <w:br w:type="page"/>
      </w:r>
    </w:p>
    <w:p w14:paraId="62277966" w14:textId="77777777" w:rsidR="00F12204" w:rsidRPr="00651BC1" w:rsidRDefault="00F12204" w:rsidP="00EB72EA">
      <w:pPr>
        <w:pStyle w:val="Heading4"/>
      </w:pPr>
      <w:r>
        <w:rPr>
          <w:bCs/>
        </w:rPr>
        <w:lastRenderedPageBreak/>
        <w:t>M</w:t>
      </w:r>
      <w:r w:rsidRPr="00651BC1">
        <w:t>ethodology beyond 2027–28</w:t>
      </w:r>
    </w:p>
    <w:p w14:paraId="1F692D8D" w14:textId="464BB403" w:rsidR="00F12204" w:rsidRDefault="00F12204" w:rsidP="005E3859">
      <w:r>
        <w:t>With internal migration forecasts now experimentally projected beyond the medium term (2035</w:t>
      </w:r>
      <w:r w:rsidR="00CF047D" w:rsidRPr="00CF047D">
        <w:t>–</w:t>
      </w:r>
      <w:r>
        <w:t xml:space="preserve">36), holding the historical rates of internal migration constant can create circumstances where NIM levels </w:t>
      </w:r>
      <w:r w:rsidR="006542F0">
        <w:t xml:space="preserve">diverge </w:t>
      </w:r>
      <w:r>
        <w:t xml:space="preserve">from historically observed trends. For example, due to low projected population growth in Tasmania, the number of departures would slowly drop while higher growth in other states would drive arrivals to Tasmania up. Over the medium term, this leads to </w:t>
      </w:r>
      <w:r w:rsidR="001D6689">
        <w:t>the</w:t>
      </w:r>
      <w:r>
        <w:t xml:space="preserve"> NIM level gradually increasing to a point where it does not align with historically observed levels.</w:t>
      </w:r>
    </w:p>
    <w:p w14:paraId="191117E8" w14:textId="1E43765C" w:rsidR="00CB5120" w:rsidRDefault="00F12204" w:rsidP="005E3859">
      <w:r>
        <w:t>To address this, from 2028–29 onwards, internal arrival rates (by age and sex) to a region are scaled based on changes in that state</w:t>
      </w:r>
      <w:r w:rsidR="00EE3C04">
        <w:t>’</w:t>
      </w:r>
      <w:r>
        <w:t>s population share relative to their share in 2027–2028. This means that arrival rates to slower</w:t>
      </w:r>
      <w:r w:rsidR="00EE3C04">
        <w:noBreakHyphen/>
      </w:r>
      <w:r>
        <w:t>growing states are assumed to fall over time, while faster</w:t>
      </w:r>
      <w:r w:rsidR="00EE3C04">
        <w:noBreakHyphen/>
      </w:r>
      <w:r>
        <w:t>growing states have a higher rate of arrival. Internal migration departures are a constant rate, allowing departures to reflect the size of the population at risk of departing. This methodology draws on approaches used by Statistics Canada and the UK Office for National Statistics.</w:t>
      </w:r>
      <w:r w:rsidR="0055740A" w:rsidRPr="0055740A">
        <w:rPr>
          <w:rStyle w:val="FootnoteReference"/>
        </w:rPr>
        <w:footnoteReference w:id="11"/>
      </w:r>
    </w:p>
    <w:p w14:paraId="1DEF83B0" w14:textId="77777777" w:rsidR="00CB5120" w:rsidRDefault="00CB5120">
      <w:pPr>
        <w:spacing w:before="0" w:after="160" w:line="259" w:lineRule="auto"/>
      </w:pPr>
      <w:r>
        <w:br w:type="page"/>
      </w:r>
    </w:p>
    <w:p w14:paraId="79524602" w14:textId="57EC233F" w:rsidR="008E3ECC" w:rsidRDefault="000A0F5A" w:rsidP="008E3ECC">
      <w:pPr>
        <w:pStyle w:val="Heading2Numbered"/>
      </w:pPr>
      <w:r>
        <w:lastRenderedPageBreak/>
        <w:t>C</w:t>
      </w:r>
      <w:r w:rsidR="009A6E79">
        <w:t>omparing</w:t>
      </w:r>
      <w:r>
        <w:t xml:space="preserve"> </w:t>
      </w:r>
      <w:r w:rsidR="008E3ECC">
        <w:t>p</w:t>
      </w:r>
      <w:r>
        <w:t xml:space="preserve">ast </w:t>
      </w:r>
      <w:r w:rsidR="008E3ECC">
        <w:t>p</w:t>
      </w:r>
      <w:r>
        <w:t xml:space="preserve">rojections </w:t>
      </w:r>
      <w:r w:rsidR="008E3ECC">
        <w:t>t</w:t>
      </w:r>
      <w:r>
        <w:t xml:space="preserve">o </w:t>
      </w:r>
      <w:r w:rsidR="008E3ECC">
        <w:t>o</w:t>
      </w:r>
      <w:r>
        <w:t>utcome</w:t>
      </w:r>
      <w:r w:rsidR="00767AC6">
        <w:t>s</w:t>
      </w:r>
    </w:p>
    <w:p w14:paraId="3F3ADB28" w14:textId="0B716134" w:rsidR="00D03C66" w:rsidRDefault="00365A16" w:rsidP="005E3859">
      <w:r>
        <w:t>P</w:t>
      </w:r>
      <w:r w:rsidR="008E3ECC" w:rsidRPr="00AB5D82">
        <w:t>rojecting populations</w:t>
      </w:r>
      <w:r>
        <w:t xml:space="preserve"> is challenging</w:t>
      </w:r>
      <w:r w:rsidR="004F57B1">
        <w:t>, with f</w:t>
      </w:r>
      <w:r w:rsidR="008E3ECC" w:rsidRPr="00AB5D82">
        <w:t>orecasts vary</w:t>
      </w:r>
      <w:r w:rsidR="004F57B1">
        <w:t>ing</w:t>
      </w:r>
      <w:r w:rsidR="008E3ECC" w:rsidRPr="00AB5D82">
        <w:t xml:space="preserve"> from outcomes for several reasons</w:t>
      </w:r>
      <w:r w:rsidR="004F57B1">
        <w:t>. These in</w:t>
      </w:r>
      <w:r w:rsidR="008E3ECC" w:rsidRPr="00AB5D82">
        <w:t>clud</w:t>
      </w:r>
      <w:r w:rsidR="004F57B1">
        <w:t>e</w:t>
      </w:r>
      <w:r w:rsidR="008E3ECC" w:rsidRPr="00AB5D82">
        <w:t xml:space="preserve"> changes in trends, behaviours</w:t>
      </w:r>
      <w:r w:rsidR="004F57B1">
        <w:t xml:space="preserve"> and </w:t>
      </w:r>
      <w:r w:rsidR="008E3ECC" w:rsidRPr="00AB5D82">
        <w:t>government policy</w:t>
      </w:r>
      <w:r>
        <w:t>,</w:t>
      </w:r>
      <w:r w:rsidR="004F57B1">
        <w:t xml:space="preserve"> as well as</w:t>
      </w:r>
      <w:r w:rsidR="008E3ECC" w:rsidRPr="00AB5D82">
        <w:t xml:space="preserve"> data revisions. </w:t>
      </w:r>
      <w:r w:rsidR="008E3ECC" w:rsidRPr="006D513B">
        <w:t xml:space="preserve">This </w:t>
      </w:r>
      <w:r w:rsidR="00885E44">
        <w:t>variation</w:t>
      </w:r>
      <w:r w:rsidR="00C906AB">
        <w:t xml:space="preserve"> </w:t>
      </w:r>
      <w:r w:rsidR="008E3ECC" w:rsidRPr="006D513B">
        <w:t>highlights the importance of evaluating how closely forecasts align with actual outcomes.</w:t>
      </w:r>
      <w:r w:rsidR="008E3ECC" w:rsidRPr="00AB5D82">
        <w:t xml:space="preserve"> </w:t>
      </w:r>
    </w:p>
    <w:p w14:paraId="43315409" w14:textId="631CA5EA" w:rsidR="008E3ECC" w:rsidRPr="00AB5D82" w:rsidRDefault="008E3ECC" w:rsidP="005E3859">
      <w:r w:rsidRPr="00AB5D82">
        <w:t>Measuring forecast accuracy provides insight into the uncertainty surrounding future population change and help</w:t>
      </w:r>
      <w:r w:rsidR="00F80378">
        <w:t>s</w:t>
      </w:r>
      <w:r w:rsidRPr="00AB5D82">
        <w:t xml:space="preserve"> identify areas where forecasting could be improved. </w:t>
      </w:r>
      <w:r w:rsidR="00DA65BC">
        <w:t>T</w:t>
      </w:r>
      <w:r w:rsidRPr="00AB5D82">
        <w:t xml:space="preserve">ransparency </w:t>
      </w:r>
      <w:r w:rsidR="00DA65BC">
        <w:t>on</w:t>
      </w:r>
      <w:r w:rsidR="00DA65BC" w:rsidRPr="00AB5D82">
        <w:t xml:space="preserve"> </w:t>
      </w:r>
      <w:r w:rsidRPr="00AB5D82">
        <w:t xml:space="preserve">the limitations and assumptions underlying forecasts </w:t>
      </w:r>
      <w:r w:rsidR="009C1EC9">
        <w:t xml:space="preserve">also </w:t>
      </w:r>
      <w:r w:rsidR="00166B7F">
        <w:t>supports better interpretation of results</w:t>
      </w:r>
      <w:r w:rsidR="001B5BD4">
        <w:t xml:space="preserve">. </w:t>
      </w:r>
    </w:p>
    <w:p w14:paraId="5671C113" w14:textId="4A41A713" w:rsidR="008E3ECC" w:rsidRPr="00AB5D82" w:rsidRDefault="008E3ECC" w:rsidP="008E3ECC">
      <w:pPr>
        <w:rPr>
          <w:rFonts w:cs="Calibri"/>
        </w:rPr>
      </w:pPr>
      <w:r w:rsidRPr="006D513B">
        <w:rPr>
          <w:rFonts w:cs="Calibri"/>
        </w:rPr>
        <w:t xml:space="preserve">Population </w:t>
      </w:r>
      <w:r w:rsidR="005B7B5B">
        <w:rPr>
          <w:rFonts w:cs="Calibri"/>
        </w:rPr>
        <w:t>change was</w:t>
      </w:r>
      <w:r w:rsidRPr="006D513B">
        <w:rPr>
          <w:rFonts w:cs="Calibri"/>
        </w:rPr>
        <w:t xml:space="preserve"> volatile during and after the </w:t>
      </w:r>
      <w:r w:rsidR="005A2B1A" w:rsidRPr="006D513B">
        <w:rPr>
          <w:rFonts w:cs="Calibri"/>
        </w:rPr>
        <w:t>COVID</w:t>
      </w:r>
      <w:r w:rsidR="00EE3C04">
        <w:rPr>
          <w:rFonts w:cs="Calibri"/>
        </w:rPr>
        <w:noBreakHyphen/>
      </w:r>
      <w:r w:rsidR="005A2B1A" w:rsidRPr="006D513B">
        <w:rPr>
          <w:rFonts w:cs="Calibri"/>
        </w:rPr>
        <w:t xml:space="preserve">19 </w:t>
      </w:r>
      <w:r w:rsidRPr="006D513B">
        <w:rPr>
          <w:rFonts w:cs="Calibri"/>
        </w:rPr>
        <w:t>pandemic.</w:t>
      </w:r>
      <w:r w:rsidR="00D57E4C">
        <w:rPr>
          <w:rStyle w:val="FootnoteReference"/>
          <w:rFonts w:cs="Calibri"/>
        </w:rPr>
        <w:footnoteReference w:id="12"/>
      </w:r>
      <w:r w:rsidRPr="00AB5D82">
        <w:rPr>
          <w:rFonts w:cs="Calibri"/>
        </w:rPr>
        <w:t xml:space="preserve"> Forecasts in the 2020, 2021 and 2022</w:t>
      </w:r>
      <w:r w:rsidR="00F35F04">
        <w:rPr>
          <w:rFonts w:cs="Calibri"/>
        </w:rPr>
        <w:t> </w:t>
      </w:r>
      <w:r w:rsidRPr="00AB5D82">
        <w:rPr>
          <w:rFonts w:cs="Calibri"/>
        </w:rPr>
        <w:t>Population Statements did not anticipate the magnitude of the post</w:t>
      </w:r>
      <w:r w:rsidR="00EE3C04">
        <w:rPr>
          <w:rFonts w:cs="Calibri"/>
        </w:rPr>
        <w:noBreakHyphen/>
      </w:r>
      <w:r w:rsidRPr="00AB5D82">
        <w:rPr>
          <w:rFonts w:cs="Calibri"/>
        </w:rPr>
        <w:t xml:space="preserve">pandemic </w:t>
      </w:r>
      <w:r w:rsidR="003450F6">
        <w:rPr>
          <w:rFonts w:cs="Calibri"/>
        </w:rPr>
        <w:t>surge</w:t>
      </w:r>
      <w:r w:rsidRPr="00AB5D82">
        <w:rPr>
          <w:rFonts w:cs="Calibri"/>
        </w:rPr>
        <w:t xml:space="preserve"> in migrant arrivals across 2021</w:t>
      </w:r>
      <w:r w:rsidR="009443ED" w:rsidRPr="009443ED">
        <w:rPr>
          <w:rFonts w:cs="Calibri"/>
        </w:rPr>
        <w:t>–</w:t>
      </w:r>
      <w:r w:rsidRPr="00AB5D82">
        <w:rPr>
          <w:rFonts w:cs="Calibri"/>
        </w:rPr>
        <w:t>22 and 2022</w:t>
      </w:r>
      <w:r w:rsidR="009443ED" w:rsidRPr="009443ED">
        <w:rPr>
          <w:rFonts w:cs="Calibri"/>
        </w:rPr>
        <w:t>–</w:t>
      </w:r>
      <w:r w:rsidRPr="00AB5D82">
        <w:rPr>
          <w:rFonts w:cs="Calibri"/>
        </w:rPr>
        <w:t>23.</w:t>
      </w:r>
      <w:r w:rsidR="00D0022C">
        <w:rPr>
          <w:rStyle w:val="FootnoteReference"/>
          <w:rFonts w:cs="Calibri"/>
        </w:rPr>
        <w:footnoteReference w:id="13"/>
      </w:r>
      <w:r w:rsidRPr="00AB5D82">
        <w:rPr>
          <w:rFonts w:cs="Calibri"/>
        </w:rPr>
        <w:t xml:space="preserve"> Improvements in forecasting methods as well as an easing in migrant arrivals ha</w:t>
      </w:r>
      <w:r w:rsidR="00A744C8">
        <w:rPr>
          <w:rFonts w:cs="Calibri"/>
        </w:rPr>
        <w:t>ve</w:t>
      </w:r>
      <w:r w:rsidRPr="00AB5D82">
        <w:rPr>
          <w:rFonts w:cs="Calibri"/>
        </w:rPr>
        <w:t xml:space="preserve"> resulted in </w:t>
      </w:r>
      <w:r w:rsidR="003740E0">
        <w:rPr>
          <w:rFonts w:cs="Calibri"/>
        </w:rPr>
        <w:t>significantly</w:t>
      </w:r>
      <w:r w:rsidRPr="00AB5D82">
        <w:rPr>
          <w:rFonts w:cs="Calibri"/>
        </w:rPr>
        <w:t xml:space="preserve"> smaller misses in the 2023 and 2024 Population Statements</w:t>
      </w:r>
      <w:r w:rsidR="001C3DCA">
        <w:rPr>
          <w:rFonts w:cs="Calibri"/>
        </w:rPr>
        <w:t>.</w:t>
      </w:r>
      <w:r w:rsidR="003740E0">
        <w:rPr>
          <w:rFonts w:cs="Calibri"/>
        </w:rPr>
        <w:t xml:space="preserve"> </w:t>
      </w:r>
      <w:r w:rsidR="00BD75E9">
        <w:rPr>
          <w:rFonts w:cs="Calibri"/>
        </w:rPr>
        <w:t>The 2024 Population Statement is expected to over</w:t>
      </w:r>
      <w:r w:rsidR="00506A1D">
        <w:rPr>
          <w:rFonts w:cs="Calibri"/>
        </w:rPr>
        <w:t xml:space="preserve">estimate net overseas migration (NOM) </w:t>
      </w:r>
      <w:r w:rsidR="00DA7CF4">
        <w:rPr>
          <w:rFonts w:cs="Calibri"/>
        </w:rPr>
        <w:t>for 2023</w:t>
      </w:r>
      <w:r w:rsidR="00803AFB" w:rsidRPr="00803AFB">
        <w:rPr>
          <w:rFonts w:cs="Calibri"/>
        </w:rPr>
        <w:t>–</w:t>
      </w:r>
      <w:r w:rsidR="00DA7CF4">
        <w:rPr>
          <w:rFonts w:cs="Calibri"/>
        </w:rPr>
        <w:t>24</w:t>
      </w:r>
      <w:r w:rsidR="00C65A33">
        <w:rPr>
          <w:rFonts w:cs="Calibri"/>
        </w:rPr>
        <w:t xml:space="preserve">, </w:t>
      </w:r>
      <w:r w:rsidR="000F543C">
        <w:rPr>
          <w:rFonts w:cs="Calibri"/>
        </w:rPr>
        <w:t>in contrast</w:t>
      </w:r>
      <w:r w:rsidR="001A700E">
        <w:rPr>
          <w:rFonts w:cs="Calibri"/>
        </w:rPr>
        <w:t xml:space="preserve"> to </w:t>
      </w:r>
      <w:r w:rsidR="00B04A83">
        <w:rPr>
          <w:rFonts w:cs="Calibri"/>
        </w:rPr>
        <w:t xml:space="preserve">the prior statements </w:t>
      </w:r>
      <w:r w:rsidR="000F543C">
        <w:rPr>
          <w:rFonts w:cs="Calibri"/>
        </w:rPr>
        <w:t>which underestimated NOM</w:t>
      </w:r>
      <w:r w:rsidR="009C02ED">
        <w:rPr>
          <w:rFonts w:cs="Calibri"/>
        </w:rPr>
        <w:t>.</w:t>
      </w:r>
      <w:r w:rsidR="00D0022C">
        <w:rPr>
          <w:rStyle w:val="FootnoteReference"/>
          <w:rFonts w:cs="Calibri"/>
        </w:rPr>
        <w:footnoteReference w:id="14"/>
      </w:r>
      <w:r w:rsidRPr="00AB5D82">
        <w:rPr>
          <w:rFonts w:cs="Calibri"/>
        </w:rPr>
        <w:t xml:space="preserve"> </w:t>
      </w:r>
    </w:p>
    <w:p w14:paraId="6508CDA4" w14:textId="0FEFEE0F" w:rsidR="008E3ECC" w:rsidRPr="00AB5D82" w:rsidRDefault="008E3ECC" w:rsidP="005E3859">
      <w:r w:rsidRPr="00AB5D82">
        <w:t xml:space="preserve">Since the 2022 Population Statement, migrant departures have </w:t>
      </w:r>
      <w:r w:rsidR="004909CA">
        <w:t>generally been</w:t>
      </w:r>
      <w:r w:rsidR="004909CA" w:rsidRPr="00AB5D82">
        <w:t xml:space="preserve"> </w:t>
      </w:r>
      <w:r w:rsidRPr="00AB5D82">
        <w:t xml:space="preserve">the largest source of forecast </w:t>
      </w:r>
      <w:r w:rsidR="00B05ADE">
        <w:t>misses</w:t>
      </w:r>
      <w:r w:rsidRPr="00AB5D82">
        <w:t xml:space="preserve">. Births forecasts are also an emerging issue with increasingly larger forecast </w:t>
      </w:r>
      <w:r w:rsidR="00B05ADE">
        <w:t>misses</w:t>
      </w:r>
      <w:r w:rsidR="00B05ADE" w:rsidRPr="00AB5D82">
        <w:t xml:space="preserve"> </w:t>
      </w:r>
      <w:r w:rsidR="00CC126F">
        <w:t>in all Population Statements</w:t>
      </w:r>
      <w:r w:rsidR="00243FD0">
        <w:t>, excluding 2024,</w:t>
      </w:r>
      <w:r w:rsidR="00CC126F">
        <w:t xml:space="preserve"> for forecast yea</w:t>
      </w:r>
      <w:r w:rsidR="00886638">
        <w:t>r</w:t>
      </w:r>
      <w:r w:rsidR="00CC126F">
        <w:t xml:space="preserve">s from </w:t>
      </w:r>
      <w:r w:rsidRPr="00AB5D82">
        <w:t>2022</w:t>
      </w:r>
      <w:r w:rsidR="009443ED" w:rsidRPr="009443ED">
        <w:t>–</w:t>
      </w:r>
      <w:r w:rsidRPr="00AB5D82">
        <w:t>23</w:t>
      </w:r>
      <w:r w:rsidR="00CC126F">
        <w:t xml:space="preserve"> </w:t>
      </w:r>
      <w:r w:rsidR="00CF4B83">
        <w:t>and 2023</w:t>
      </w:r>
      <w:r w:rsidR="00800846" w:rsidRPr="009443ED">
        <w:t>–</w:t>
      </w:r>
      <w:r w:rsidR="00CF4B83">
        <w:t>24</w:t>
      </w:r>
      <w:r w:rsidRPr="00AB5D82">
        <w:t xml:space="preserve">. </w:t>
      </w:r>
    </w:p>
    <w:p w14:paraId="71B792C0" w14:textId="52D233DC" w:rsidR="007E7A49" w:rsidRDefault="008E3ECC" w:rsidP="005E3859">
      <w:r w:rsidRPr="00AB5D82">
        <w:t xml:space="preserve">At the subnational level, forecasting misses often reflect the national misses. However, net interstate migration has been </w:t>
      </w:r>
      <w:r w:rsidR="00B10682">
        <w:t>significant</w:t>
      </w:r>
      <w:r w:rsidRPr="00AB5D82">
        <w:t xml:space="preserve"> to the forecast misses outside the capital cities of the larger states. </w:t>
      </w:r>
      <w:r w:rsidR="005927BB" w:rsidRPr="00AB5D82">
        <w:t xml:space="preserve">The Centre has continued to </w:t>
      </w:r>
      <w:r w:rsidR="005927BB">
        <w:t>develop better forecasting methods and identify new data sources to improve the population forecasts</w:t>
      </w:r>
      <w:r w:rsidR="005927BB" w:rsidRPr="00AB5D82">
        <w:t>.</w:t>
      </w:r>
    </w:p>
    <w:p w14:paraId="25C9463B" w14:textId="77777777" w:rsidR="007E7A49" w:rsidRDefault="007E7A49">
      <w:pPr>
        <w:rPr>
          <w:rFonts w:cs="Calibri"/>
        </w:rPr>
      </w:pPr>
      <w:r>
        <w:rPr>
          <w:rFonts w:cs="Calibri"/>
        </w:rPr>
        <w:br w:type="page"/>
      </w:r>
    </w:p>
    <w:p w14:paraId="3313A7B6" w14:textId="0DCFF8AA" w:rsidR="008E3ECC" w:rsidRDefault="008E3ECC" w:rsidP="008E3ECC">
      <w:pPr>
        <w:pStyle w:val="Heading3Numbered"/>
      </w:pPr>
      <w:r>
        <w:lastRenderedPageBreak/>
        <w:t>National Projections</w:t>
      </w:r>
    </w:p>
    <w:p w14:paraId="5AB89274" w14:textId="22B7AD50" w:rsidR="007E7A49" w:rsidRPr="007A0D01" w:rsidRDefault="00816D74" w:rsidP="009D055D">
      <w:r w:rsidRPr="00AB5D82">
        <w:t>The Centre</w:t>
      </w:r>
      <w:r w:rsidR="00EE3C04">
        <w:t>’</w:t>
      </w:r>
      <w:r w:rsidRPr="00AB5D82">
        <w:t xml:space="preserve">s </w:t>
      </w:r>
      <w:r w:rsidR="00242F9E">
        <w:t>P</w:t>
      </w:r>
      <w:r w:rsidR="00804028">
        <w:t xml:space="preserve">opulation </w:t>
      </w:r>
      <w:r w:rsidR="00242F9E">
        <w:t>S</w:t>
      </w:r>
      <w:r w:rsidR="00804028">
        <w:t>tatements since 202</w:t>
      </w:r>
      <w:r w:rsidR="00242F9E">
        <w:t>0</w:t>
      </w:r>
      <w:r w:rsidRPr="00AB5D82">
        <w:t xml:space="preserve"> ha</w:t>
      </w:r>
      <w:r w:rsidR="00C41CB3">
        <w:t xml:space="preserve">ve </w:t>
      </w:r>
      <w:r w:rsidRPr="00AB5D82">
        <w:t>had</w:t>
      </w:r>
      <w:r w:rsidRPr="00AB5D82" w:rsidDel="0047707D">
        <w:t xml:space="preserve"> </w:t>
      </w:r>
      <w:r w:rsidRPr="00AB5D82">
        <w:t xml:space="preserve">mixed performance at forecasting national population growth (Chart </w:t>
      </w:r>
      <w:r w:rsidR="000061EE">
        <w:t>1</w:t>
      </w:r>
      <w:r w:rsidRPr="00AB5D82">
        <w:t xml:space="preserve">). This </w:t>
      </w:r>
      <w:r w:rsidR="00C41CB3">
        <w:t>has been</w:t>
      </w:r>
      <w:r w:rsidRPr="00AB5D82">
        <w:t xml:space="preserve"> due to the unprecedented circumstances introduced by the COVID</w:t>
      </w:r>
      <w:r w:rsidR="00EE3C04">
        <w:noBreakHyphen/>
      </w:r>
      <w:r w:rsidR="004D4171">
        <w:t>19</w:t>
      </w:r>
      <w:r w:rsidRPr="00AB5D82">
        <w:t xml:space="preserve"> pandemic, </w:t>
      </w:r>
      <w:r w:rsidR="00F7668D">
        <w:t>as well as</w:t>
      </w:r>
      <w:r w:rsidRPr="00AB5D82">
        <w:t xml:space="preserve"> restrictions placed on international and domestic movement.</w:t>
      </w:r>
      <w:r w:rsidR="004534B9">
        <w:t xml:space="preserve"> Since the 2023</w:t>
      </w:r>
      <w:r w:rsidR="00F35F04">
        <w:t> </w:t>
      </w:r>
      <w:r w:rsidR="004534B9">
        <w:t xml:space="preserve">Population Statement, </w:t>
      </w:r>
      <w:r w:rsidR="002F3408">
        <w:t xml:space="preserve">actuals </w:t>
      </w:r>
      <w:r w:rsidR="004534B9">
        <w:t xml:space="preserve">have more closely followed </w:t>
      </w:r>
      <w:r w:rsidR="002F3408">
        <w:t>the Centre</w:t>
      </w:r>
      <w:r w:rsidR="00EE3C04">
        <w:t>’</w:t>
      </w:r>
      <w:r w:rsidR="002F3408">
        <w:t>s forecasts</w:t>
      </w:r>
      <w:r w:rsidR="004534B9">
        <w:t>.</w:t>
      </w:r>
    </w:p>
    <w:p w14:paraId="6956F0A2" w14:textId="242EA37D" w:rsidR="00816D74" w:rsidRPr="006F03D9" w:rsidRDefault="00816D74" w:rsidP="00D32329">
      <w:pPr>
        <w:pStyle w:val="ChartMainHeading"/>
      </w:pPr>
      <w:r w:rsidRPr="00D32329">
        <w:t>Population</w:t>
      </w:r>
      <w:r w:rsidRPr="006F03D9">
        <w:t xml:space="preserve"> growth </w:t>
      </w:r>
      <w:r w:rsidRPr="00CB5120">
        <w:t>forecast</w:t>
      </w:r>
      <w:r w:rsidRPr="006F03D9">
        <w:t xml:space="preserve"> and outcomes, Australia </w:t>
      </w:r>
    </w:p>
    <w:p w14:paraId="4B9B4F71" w14:textId="6FAAC27E" w:rsidR="00006FD1" w:rsidRPr="00006FD1" w:rsidRDefault="00075B07" w:rsidP="00CB5120">
      <w:pPr>
        <w:pStyle w:val="ChartGraphic"/>
      </w:pPr>
      <w:r w:rsidRPr="00075B07">
        <w:rPr>
          <w:noProof/>
        </w:rPr>
        <w:drawing>
          <wp:inline distT="0" distB="0" distL="0" distR="0" wp14:anchorId="1CE6EE0E" wp14:editId="0AC50060">
            <wp:extent cx="5581650" cy="2886075"/>
            <wp:effectExtent l="0" t="0" r="0" b="0"/>
            <wp:docPr id="667917322" name="Picture 2" descr="This chart shows Australia’s population growth rates outcomes from 2017–18 to 2027–28, as well as projections from the 2020 to 2024 Population Statement releases. &#10;Population Statement forecasts to 2022 consistently underestimated the post-pandemic population growth rate. &#10;Since the 2023 Population Statement, outcomes have more closely followed the fore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17322" name="Picture 2" descr="This chart shows Australia’s population growth rates outcomes from 2017–18 to 2027–28, as well as projections from the 2020 to 2024 Population Statement releases. &#10;Population Statement forecasts to 2022 consistently underestimated the post-pandemic population growth rate. &#10;Since the 2023 Population Statement, outcomes have more closely followed the forecas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2886075"/>
                    </a:xfrm>
                    <a:prstGeom prst="rect">
                      <a:avLst/>
                    </a:prstGeom>
                    <a:noFill/>
                    <a:ln>
                      <a:noFill/>
                    </a:ln>
                  </pic:spPr>
                </pic:pic>
              </a:graphicData>
            </a:graphic>
          </wp:inline>
        </w:drawing>
      </w:r>
    </w:p>
    <w:p w14:paraId="254C49D1" w14:textId="7CD91737" w:rsidR="00816D74" w:rsidRPr="00AB5D82" w:rsidRDefault="00816D74" w:rsidP="00F35F04">
      <w:pPr>
        <w:pStyle w:val="Source"/>
      </w:pPr>
      <w:r w:rsidRPr="00AB5D82">
        <w:t>Source:</w:t>
      </w:r>
      <w:r w:rsidRPr="00AB5D82">
        <w:tab/>
        <w:t xml:space="preserve">ABS, </w:t>
      </w:r>
      <w:r w:rsidR="00CA5A4B" w:rsidRPr="00303013">
        <w:rPr>
          <w:i/>
          <w:iCs/>
        </w:rPr>
        <w:t>National, state and territory population</w:t>
      </w:r>
      <w:r w:rsidR="00CA5A4B" w:rsidRPr="00AB5D82">
        <w:t xml:space="preserve">, </w:t>
      </w:r>
      <w:r w:rsidR="00CA5A4B" w:rsidRPr="00C126F9">
        <w:rPr>
          <w:i/>
        </w:rPr>
        <w:t>March 2025</w:t>
      </w:r>
      <w:r w:rsidR="00576A75">
        <w:t>;</w:t>
      </w:r>
      <w:r w:rsidRPr="00AB5D82">
        <w:t xml:space="preserve"> Centre for Population projections</w:t>
      </w:r>
      <w:r w:rsidR="001B5BD4">
        <w:t>.</w:t>
      </w:r>
    </w:p>
    <w:p w14:paraId="18920E54" w14:textId="77777777" w:rsidR="00F65C37" w:rsidRPr="00594C1F" w:rsidRDefault="00F65C37" w:rsidP="00594C1F">
      <w:pPr>
        <w:pStyle w:val="SingleParagraph"/>
      </w:pPr>
    </w:p>
    <w:p w14:paraId="3EEA78AB" w14:textId="77777777" w:rsidR="00F65C37" w:rsidRDefault="00F65C37" w:rsidP="00F35F04">
      <w:pPr>
        <w:pStyle w:val="ChartMainHeading"/>
      </w:pPr>
      <w:r w:rsidRPr="00CB5120">
        <w:t>National</w:t>
      </w:r>
      <w:r w:rsidRPr="00B859E7">
        <w:t xml:space="preserve"> contribution of components to growth, difference between forecasts and</w:t>
      </w:r>
      <w:r>
        <w:t> </w:t>
      </w:r>
      <w:r w:rsidRPr="00F35F04">
        <w:t>outcome</w:t>
      </w:r>
      <w:r w:rsidRPr="005741FD">
        <w:t xml:space="preserve"> </w:t>
      </w:r>
    </w:p>
    <w:p w14:paraId="44241D33" w14:textId="77777777" w:rsidR="00F65C37" w:rsidRPr="005741FD" w:rsidRDefault="00F65C37" w:rsidP="00F35F04">
      <w:pPr>
        <w:pStyle w:val="ChartGraphic"/>
      </w:pPr>
      <w:r w:rsidRPr="00F35F04">
        <w:rPr>
          <w:noProof/>
        </w:rPr>
        <w:drawing>
          <wp:inline distT="0" distB="0" distL="0" distR="0" wp14:anchorId="1D62C3D2" wp14:editId="70FF23E1">
            <wp:extent cx="5582285" cy="2881630"/>
            <wp:effectExtent l="0" t="0" r="0" b="0"/>
            <wp:docPr id="486602506" name="Picture 1" descr="This chart shows that the forecasts miss for 2023–24 has declined over the past five releases of the Population Statement. In the 2020, 2021 and 2022 statements, the underestimation in growth was driven by migrant arrivals, with the next-largest contributor being migrant departures. In the 2023 statement, the overestimation of migrant departures was mostly offset by an overestimation of births.&#10;In 2024, the forecasts slightly overestimated population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02506" name="Picture 1" descr="This chart shows that the forecasts miss for 2023–24 has declined over the past five releases of the Population Statement. In the 2020, 2021 and 2022 statements, the underestimation in growth was driven by migrant arrivals, with the next-largest contributor being migrant departures. In the 2023 statement, the overestimation of migrant departures was mostly offset by an overestimation of births.&#10;In 2024, the forecasts slightly overestimated population grow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2285" cy="2881630"/>
                    </a:xfrm>
                    <a:prstGeom prst="rect">
                      <a:avLst/>
                    </a:prstGeom>
                    <a:noFill/>
                    <a:ln>
                      <a:noFill/>
                    </a:ln>
                  </pic:spPr>
                </pic:pic>
              </a:graphicData>
            </a:graphic>
          </wp:inline>
        </w:drawing>
      </w:r>
    </w:p>
    <w:p w14:paraId="388108A4" w14:textId="77777777" w:rsidR="00F65C37" w:rsidRDefault="00F65C37" w:rsidP="00F35F04">
      <w:pPr>
        <w:pStyle w:val="Source"/>
      </w:pPr>
      <w:r>
        <w:t xml:space="preserve">Note: </w:t>
      </w:r>
      <w:r>
        <w:tab/>
      </w:r>
      <w:r w:rsidRPr="00F35F04">
        <w:t>Forecast</w:t>
      </w:r>
      <w:r>
        <w:t xml:space="preserve"> comparisons are made to the 2023</w:t>
      </w:r>
      <w:r w:rsidRPr="009443ED">
        <w:t>–</w:t>
      </w:r>
      <w:r>
        <w:t>24 actuals.</w:t>
      </w:r>
    </w:p>
    <w:p w14:paraId="4935509F" w14:textId="6E11A146" w:rsidR="00F65C37" w:rsidRDefault="00F65C37" w:rsidP="00F35F04">
      <w:pPr>
        <w:pStyle w:val="Source"/>
      </w:pPr>
      <w:r w:rsidRPr="00F35F04">
        <w:t>Source</w:t>
      </w:r>
      <w:r w:rsidRPr="00AB5D82">
        <w:t>:</w:t>
      </w:r>
      <w:r w:rsidRPr="00AB5D82">
        <w:tab/>
        <w:t xml:space="preserve">ABS, </w:t>
      </w:r>
      <w:r w:rsidR="00CA5A4B" w:rsidRPr="00303013">
        <w:rPr>
          <w:i/>
          <w:iCs/>
        </w:rPr>
        <w:t>National, state and territory population</w:t>
      </w:r>
      <w:r w:rsidR="00CA5A4B" w:rsidRPr="00AB5D82">
        <w:t xml:space="preserve">, </w:t>
      </w:r>
      <w:r w:rsidR="00CA5A4B" w:rsidRPr="00C126F9">
        <w:rPr>
          <w:i/>
        </w:rPr>
        <w:t>March 2025</w:t>
      </w:r>
      <w:r>
        <w:t>;</w:t>
      </w:r>
      <w:r w:rsidRPr="00AB5D82">
        <w:t xml:space="preserve"> Centre for Population projections</w:t>
      </w:r>
      <w:r>
        <w:t>.</w:t>
      </w:r>
    </w:p>
    <w:p w14:paraId="0CC2D01B" w14:textId="363C5C8C" w:rsidR="0027588B" w:rsidRDefault="0027588B">
      <w:pPr>
        <w:spacing w:before="0" w:after="160" w:line="259" w:lineRule="auto"/>
        <w:rPr>
          <w:b/>
          <w:smallCaps/>
          <w:color w:val="002C47" w:themeColor="accent1"/>
          <w:spacing w:val="15"/>
          <w:sz w:val="22"/>
          <w:szCs w:val="22"/>
        </w:rPr>
      </w:pPr>
      <w:r>
        <w:br w:type="page"/>
      </w:r>
    </w:p>
    <w:p w14:paraId="283754F2" w14:textId="51260314" w:rsidR="008E3ECC" w:rsidRDefault="00816D74" w:rsidP="00816D74">
      <w:pPr>
        <w:pStyle w:val="Heading3Numbered"/>
      </w:pPr>
      <w:r>
        <w:lastRenderedPageBreak/>
        <w:t>Net overseas migration</w:t>
      </w:r>
    </w:p>
    <w:p w14:paraId="12F7EF71" w14:textId="719DC9AF" w:rsidR="00F95C42" w:rsidRDefault="00F95C42" w:rsidP="00C504C5">
      <w:r>
        <w:t xml:space="preserve">NOM has been the most volatile component of national population growth and the most difficult to forecast, particularly due to the disruption of overseas migration during </w:t>
      </w:r>
      <w:r w:rsidR="0040564D">
        <w:t xml:space="preserve">and since </w:t>
      </w:r>
      <w:r>
        <w:t xml:space="preserve">the </w:t>
      </w:r>
      <w:r w:rsidR="001B2025" w:rsidRPr="001B2025">
        <w:t>COVID</w:t>
      </w:r>
      <w:r w:rsidR="00EE3C04">
        <w:noBreakHyphen/>
      </w:r>
      <w:r w:rsidR="001B2025" w:rsidRPr="001B2025">
        <w:t xml:space="preserve">19 </w:t>
      </w:r>
      <w:r w:rsidDel="001B2025">
        <w:t>pandemic</w:t>
      </w:r>
      <w:r>
        <w:t>.</w:t>
      </w:r>
    </w:p>
    <w:p w14:paraId="68828801" w14:textId="4DF80A6C" w:rsidR="00F77F98" w:rsidRPr="00AB5D82" w:rsidRDefault="007D39A2" w:rsidP="00C504C5">
      <w:r>
        <w:t xml:space="preserve">In the 2020, 2021 and 2022 Population </w:t>
      </w:r>
      <w:r w:rsidR="00AD11E4">
        <w:t>S</w:t>
      </w:r>
      <w:r>
        <w:t>tatements, NOM f</w:t>
      </w:r>
      <w:r w:rsidR="00F77F98" w:rsidRPr="00AB5D82">
        <w:t xml:space="preserve">orecast </w:t>
      </w:r>
      <w:r w:rsidR="00965E5D">
        <w:t>misses</w:t>
      </w:r>
      <w:r w:rsidR="00F77F98" w:rsidRPr="00AB5D82">
        <w:t xml:space="preserve"> were</w:t>
      </w:r>
      <w:r>
        <w:t xml:space="preserve"> largely</w:t>
      </w:r>
      <w:r w:rsidR="00F77F98" w:rsidRPr="00AB5D82">
        <w:t xml:space="preserve"> driven by underestimating migrant arrivals following the </w:t>
      </w:r>
      <w:r w:rsidR="002B6A45">
        <w:t xml:space="preserve">staged </w:t>
      </w:r>
      <w:r w:rsidR="00F77F98" w:rsidRPr="00AB5D82">
        <w:t>reopening of Australia</w:t>
      </w:r>
      <w:r w:rsidR="00EE3C04">
        <w:t>’</w:t>
      </w:r>
      <w:r w:rsidR="00F77F98" w:rsidRPr="00AB5D82">
        <w:t xml:space="preserve">s international borders </w:t>
      </w:r>
      <w:r w:rsidR="002B6A45">
        <w:t>from</w:t>
      </w:r>
      <w:r w:rsidR="002B6A45" w:rsidRPr="00AB5D82">
        <w:t xml:space="preserve"> </w:t>
      </w:r>
      <w:r w:rsidR="00F77F98" w:rsidRPr="00AB5D82">
        <w:t xml:space="preserve">late 2021 (Chart </w:t>
      </w:r>
      <w:r w:rsidR="0042614C">
        <w:t>3</w:t>
      </w:r>
      <w:r w:rsidR="00F77F98" w:rsidRPr="00AB5D82">
        <w:t xml:space="preserve">). The 2020 and 2021 </w:t>
      </w:r>
      <w:r w:rsidR="00925E68">
        <w:t>Population</w:t>
      </w:r>
      <w:r w:rsidR="00402895">
        <w:t xml:space="preserve"> </w:t>
      </w:r>
      <w:r w:rsidR="00F77F98" w:rsidRPr="00AB5D82">
        <w:t xml:space="preserve">Statements </w:t>
      </w:r>
      <w:r w:rsidR="00882B01">
        <w:t>underestimated migrant arrivals in</w:t>
      </w:r>
      <w:r w:rsidR="00F77F98" w:rsidRPr="00AB5D82">
        <w:t xml:space="preserve"> 2021–22 by </w:t>
      </w:r>
      <w:r w:rsidR="00F77F98" w:rsidRPr="00CD2772">
        <w:t>45</w:t>
      </w:r>
      <w:r w:rsidR="00354E46">
        <w:t> </w:t>
      </w:r>
      <w:r w:rsidR="00F77F98" w:rsidRPr="00CD2772">
        <w:t>and 5</w:t>
      </w:r>
      <w:r w:rsidR="009E767A" w:rsidRPr="00CD2772">
        <w:t>3</w:t>
      </w:r>
      <w:r w:rsidR="00F77F98" w:rsidRPr="00CD2772">
        <w:t xml:space="preserve"> per cent </w:t>
      </w:r>
      <w:r w:rsidR="00123375" w:rsidRPr="00CD2772">
        <w:t>respectively</w:t>
      </w:r>
      <w:r w:rsidR="00545757" w:rsidRPr="00CD2772">
        <w:t xml:space="preserve"> (</w:t>
      </w:r>
      <w:r w:rsidR="00C2652C" w:rsidRPr="00CD2772">
        <w:t>192</w:t>
      </w:r>
      <w:r w:rsidR="00545757" w:rsidRPr="00CD2772">
        <w:t>,</w:t>
      </w:r>
      <w:r w:rsidR="00C2652C" w:rsidRPr="00CD2772">
        <w:t>000</w:t>
      </w:r>
      <w:r w:rsidR="00545757" w:rsidRPr="00CD2772">
        <w:t xml:space="preserve"> and </w:t>
      </w:r>
      <w:r w:rsidR="000F5494" w:rsidRPr="00CD2772">
        <w:t>227</w:t>
      </w:r>
      <w:r w:rsidR="00545757" w:rsidRPr="00CD2772">
        <w:t>,</w:t>
      </w:r>
      <w:r w:rsidR="000F5494" w:rsidRPr="00CD2772">
        <w:t>000</w:t>
      </w:r>
      <w:r w:rsidR="00545757" w:rsidRPr="00CD2772">
        <w:t>)</w:t>
      </w:r>
      <w:r w:rsidR="00F77F98" w:rsidRPr="00CD2772">
        <w:t>.</w:t>
      </w:r>
      <w:r w:rsidR="00F77F98" w:rsidRPr="00AB5D82">
        <w:t xml:space="preserve"> </w:t>
      </w:r>
      <w:r w:rsidR="008A67C4">
        <w:t xml:space="preserve">Forecast </w:t>
      </w:r>
      <w:r w:rsidR="00A93C5D">
        <w:t>misses</w:t>
      </w:r>
      <w:r w:rsidR="008A67C4">
        <w:t xml:space="preserve"> for migrant arrivals were smaller in the</w:t>
      </w:r>
      <w:r w:rsidR="00F77F98" w:rsidRPr="00AB5D82">
        <w:t xml:space="preserve"> 2023 and 2024 </w:t>
      </w:r>
      <w:r w:rsidR="00712151">
        <w:t xml:space="preserve">Population </w:t>
      </w:r>
      <w:r w:rsidR="00F77F98" w:rsidRPr="00AB5D82">
        <w:t>Statements</w:t>
      </w:r>
      <w:r w:rsidR="006C4750">
        <w:t>.</w:t>
      </w:r>
    </w:p>
    <w:p w14:paraId="72A876E3" w14:textId="345BB9A0" w:rsidR="00F77F98" w:rsidRDefault="00F77F98" w:rsidP="0003064F">
      <w:pPr>
        <w:pStyle w:val="ChartMainHeading"/>
      </w:pPr>
      <w:r w:rsidRPr="00AB5D82">
        <w:t xml:space="preserve">Difference between </w:t>
      </w:r>
      <w:r w:rsidR="00E860AB">
        <w:t>m</w:t>
      </w:r>
      <w:r w:rsidR="003C747D">
        <w:t>igrant</w:t>
      </w:r>
      <w:r w:rsidR="003C747D" w:rsidRPr="00AB5D82">
        <w:t xml:space="preserve"> </w:t>
      </w:r>
      <w:r w:rsidRPr="00AB5D82">
        <w:t>arrivals and departures forecast</w:t>
      </w:r>
      <w:r w:rsidR="003A1491">
        <w:t>s</w:t>
      </w:r>
      <w:r w:rsidRPr="00AB5D82">
        <w:t xml:space="preserve"> and outcome</w:t>
      </w:r>
      <w:r w:rsidR="003A1491">
        <w:t>s</w:t>
      </w:r>
    </w:p>
    <w:tbl>
      <w:tblPr>
        <w:tblW w:w="5000" w:type="pct"/>
        <w:tblLayout w:type="fixed"/>
        <w:tblLook w:val="0020" w:firstRow="1" w:lastRow="0" w:firstColumn="0" w:lastColumn="0" w:noHBand="0" w:noVBand="0"/>
      </w:tblPr>
      <w:tblGrid>
        <w:gridCol w:w="4535"/>
        <w:gridCol w:w="4535"/>
      </w:tblGrid>
      <w:tr w:rsidR="00F65C37" w:rsidRPr="00EE3C04" w14:paraId="1DCA2505" w14:textId="77777777" w:rsidTr="00594C1F">
        <w:trPr>
          <w:cantSplit/>
        </w:trPr>
        <w:tc>
          <w:tcPr>
            <w:tcW w:w="4535" w:type="dxa"/>
          </w:tcPr>
          <w:p w14:paraId="0D74BA4F" w14:textId="2D50372E" w:rsidR="00F65C37" w:rsidRPr="00EE3C04" w:rsidRDefault="00F65C37" w:rsidP="00704137">
            <w:pPr>
              <w:pStyle w:val="ChartSecondHeading"/>
            </w:pPr>
            <w:r w:rsidRPr="00EE3C04">
              <w:t>Migrant arrivals</w:t>
            </w:r>
          </w:p>
        </w:tc>
        <w:tc>
          <w:tcPr>
            <w:tcW w:w="4535" w:type="dxa"/>
          </w:tcPr>
          <w:p w14:paraId="521C2BD3" w14:textId="05CF9378" w:rsidR="00F65C37" w:rsidRPr="00EE3C04" w:rsidRDefault="00F65C37" w:rsidP="00704137">
            <w:pPr>
              <w:pStyle w:val="ChartSecondHeading"/>
            </w:pPr>
            <w:r w:rsidRPr="00EE3C04">
              <w:t>Migrant departures</w:t>
            </w:r>
          </w:p>
        </w:tc>
      </w:tr>
      <w:tr w:rsidR="00F65C37" w:rsidRPr="00EE3C04" w14:paraId="6E7F78CA" w14:textId="77777777" w:rsidTr="00594C1F">
        <w:trPr>
          <w:cantSplit/>
          <w:trHeight w:val="3839"/>
        </w:trPr>
        <w:tc>
          <w:tcPr>
            <w:tcW w:w="4535" w:type="dxa"/>
          </w:tcPr>
          <w:p w14:paraId="6EFAE710" w14:textId="1D24C566" w:rsidR="00F65C37" w:rsidRPr="00EE3C04" w:rsidRDefault="00AE0D92" w:rsidP="00F65C37">
            <w:pPr>
              <w:pStyle w:val="ChartGraphic"/>
            </w:pPr>
            <w:r w:rsidRPr="00EE3C04">
              <w:rPr>
                <w:noProof/>
              </w:rPr>
              <w:drawing>
                <wp:inline distT="0" distB="0" distL="0" distR="0" wp14:anchorId="6FC91F58" wp14:editId="697A5E30">
                  <wp:extent cx="2773345" cy="2879090"/>
                  <wp:effectExtent l="0" t="0" r="8255" b="0"/>
                  <wp:docPr id="1096288180" name="Picture 1" descr="This chart shows the percentage difference between previous population statements’ NOM forecasts for 2019–20 to 2023–24, and the outcome. &#10;The largest differences in migrant arrivals were in 2021–22 and 2022–23, which were underestimated in the 2020, 2021 and 2022 Population Statements.&#10;Arrivals in 2023–24 were slightly overestimated in the 2024 Population Statem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88180" name="Picture 1" descr="This chart shows the percentage difference between previous population statements’ NOM forecasts for 2019–20 to 2023–24, and the outcome. &#10;The largest differences in migrant arrivals were in 2021–22 and 2022–23, which were underestimated in the 2020, 2021 and 2022 Population Statements.&#10;Arrivals in 2023–24 were slightly overestimated in the 2024 Population Statement.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887" cy="2880691"/>
                          </a:xfrm>
                          <a:prstGeom prst="rect">
                            <a:avLst/>
                          </a:prstGeom>
                          <a:noFill/>
                          <a:ln>
                            <a:noFill/>
                          </a:ln>
                        </pic:spPr>
                      </pic:pic>
                    </a:graphicData>
                  </a:graphic>
                </wp:inline>
              </w:drawing>
            </w:r>
          </w:p>
        </w:tc>
        <w:tc>
          <w:tcPr>
            <w:tcW w:w="4535" w:type="dxa"/>
          </w:tcPr>
          <w:p w14:paraId="2A7F3E22" w14:textId="5EA8D600" w:rsidR="00F65C37" w:rsidRPr="00EE3C04" w:rsidRDefault="00AE0D92" w:rsidP="00704137">
            <w:pPr>
              <w:pStyle w:val="ChartGraphic"/>
            </w:pPr>
            <w:r w:rsidRPr="00EE3C04">
              <w:rPr>
                <w:noProof/>
              </w:rPr>
              <w:drawing>
                <wp:inline distT="0" distB="0" distL="0" distR="0" wp14:anchorId="5BC2E0CF" wp14:editId="11969FE2">
                  <wp:extent cx="2759676" cy="2879214"/>
                  <wp:effectExtent l="0" t="0" r="3175" b="0"/>
                  <wp:docPr id="395697568" name="Picture 2" descr="This chart shows the percentage difference between previous population statements’ NOM forecasts for 2019–20 to 2023–24, and the outcome. &#10;The largest differences in migrant departures were in 2022–23 and 2023–24, which were significantly overestimated in the 2020, 2021, 2022 and 2023 Population Statements. Departures in 2023–24 were slightly underestimated in the 2024 Population State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97568" name="Picture 2" descr="This chart shows the percentage difference between previous population statements’ NOM forecasts for 2019–20 to 2023–24, and the outcome. &#10;The largest differences in migrant departures were in 2022–23 and 2023–24, which were significantly overestimated in the 2020, 2021, 2022 and 2023 Population Statements. Departures in 2023–24 were slightly underestimated in the 2024 Population Statement.&#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1757" cy="2881386"/>
                          </a:xfrm>
                          <a:prstGeom prst="rect">
                            <a:avLst/>
                          </a:prstGeom>
                          <a:noFill/>
                          <a:ln>
                            <a:noFill/>
                          </a:ln>
                        </pic:spPr>
                      </pic:pic>
                    </a:graphicData>
                  </a:graphic>
                </wp:inline>
              </w:drawing>
            </w:r>
          </w:p>
        </w:tc>
      </w:tr>
    </w:tbl>
    <w:p w14:paraId="3B65A70A" w14:textId="0AECB828" w:rsidR="001925FF" w:rsidRDefault="001925FF" w:rsidP="00CA5A4B">
      <w:pPr>
        <w:pStyle w:val="Source"/>
      </w:pPr>
      <w:r w:rsidRPr="00594C1F">
        <w:t>Note</w:t>
      </w:r>
      <w:r>
        <w:t xml:space="preserve">: </w:t>
      </w:r>
      <w:r>
        <w:tab/>
        <w:t xml:space="preserve">A </w:t>
      </w:r>
      <w:r w:rsidRPr="00CA5A4B">
        <w:t>positive</w:t>
      </w:r>
      <w:r>
        <w:t xml:space="preserve"> </w:t>
      </w:r>
      <w:r w:rsidR="00E4501A" w:rsidRPr="00594C1F">
        <w:t>difference</w:t>
      </w:r>
      <w:r>
        <w:t xml:space="preserve"> indicates the forecast was an overestimate</w:t>
      </w:r>
      <w:r w:rsidR="000E7657">
        <w:t xml:space="preserve"> of the outcome</w:t>
      </w:r>
      <w:r>
        <w:t>.</w:t>
      </w:r>
      <w:r w:rsidR="00E4501A">
        <w:t xml:space="preserve"> A negative difference indicates the forecast was an underestimate</w:t>
      </w:r>
      <w:r w:rsidR="000E7657">
        <w:t xml:space="preserve"> of the outcome</w:t>
      </w:r>
      <w:r>
        <w:t>.</w:t>
      </w:r>
    </w:p>
    <w:p w14:paraId="20F7979A" w14:textId="1B696D96" w:rsidR="00D80111" w:rsidRPr="00AB5D82" w:rsidRDefault="00F77F98" w:rsidP="00CA5A4B">
      <w:pPr>
        <w:pStyle w:val="Source"/>
      </w:pPr>
      <w:r w:rsidRPr="00CA5A4B">
        <w:t>Source</w:t>
      </w:r>
      <w:r w:rsidRPr="00AB5D82">
        <w:t>:</w:t>
      </w:r>
      <w:r w:rsidRPr="00AB5D82">
        <w:tab/>
        <w:t xml:space="preserve">ABS, </w:t>
      </w:r>
      <w:r w:rsidRPr="00303013">
        <w:rPr>
          <w:i/>
          <w:iCs/>
        </w:rPr>
        <w:t>National, state and territory population</w:t>
      </w:r>
      <w:r w:rsidRPr="00AB5D82">
        <w:t xml:space="preserve">, </w:t>
      </w:r>
      <w:r w:rsidR="00602642" w:rsidRPr="00C126F9">
        <w:rPr>
          <w:i/>
        </w:rPr>
        <w:t>March 2025</w:t>
      </w:r>
      <w:r w:rsidR="00576A75">
        <w:t>;</w:t>
      </w:r>
      <w:r w:rsidRPr="00AB5D82">
        <w:t xml:space="preserve"> Centre for Population projections</w:t>
      </w:r>
      <w:r w:rsidR="001B5BD4">
        <w:t>.</w:t>
      </w:r>
    </w:p>
    <w:p w14:paraId="71C924AA" w14:textId="3D0A8E6A" w:rsidR="00F77F98" w:rsidRPr="00AB5D82" w:rsidRDefault="00BE306C" w:rsidP="00F77F98">
      <w:pPr>
        <w:rPr>
          <w:rFonts w:cs="Calibri"/>
        </w:rPr>
      </w:pPr>
      <w:r>
        <w:rPr>
          <w:rFonts w:cs="Calibri"/>
        </w:rPr>
        <w:t>O</w:t>
      </w:r>
      <w:r w:rsidR="00F77F98" w:rsidRPr="00AB5D82">
        <w:rPr>
          <w:rFonts w:cs="Calibri"/>
        </w:rPr>
        <w:t xml:space="preserve">verestimating migrant departures </w:t>
      </w:r>
      <w:r>
        <w:rPr>
          <w:rFonts w:cs="Calibri"/>
        </w:rPr>
        <w:t xml:space="preserve">has also been a source of forecast </w:t>
      </w:r>
      <w:r w:rsidR="00297B38">
        <w:rPr>
          <w:rFonts w:cs="Calibri"/>
        </w:rPr>
        <w:t>misse</w:t>
      </w:r>
      <w:r>
        <w:rPr>
          <w:rFonts w:cs="Calibri"/>
        </w:rPr>
        <w:t>s</w:t>
      </w:r>
      <w:r w:rsidR="00F77F98" w:rsidRPr="00AB5D82">
        <w:rPr>
          <w:rFonts w:cs="Calibri"/>
        </w:rPr>
        <w:t xml:space="preserve">. </w:t>
      </w:r>
      <w:r>
        <w:rPr>
          <w:rFonts w:cs="Calibri"/>
        </w:rPr>
        <w:t>T</w:t>
      </w:r>
      <w:r w:rsidR="00F77F98" w:rsidRPr="00AB5D82">
        <w:rPr>
          <w:rFonts w:cs="Calibri"/>
        </w:rPr>
        <w:t xml:space="preserve">he 2020 and 2021 </w:t>
      </w:r>
      <w:r w:rsidR="00D728AB">
        <w:rPr>
          <w:rFonts w:cs="Calibri"/>
        </w:rPr>
        <w:t xml:space="preserve">Population </w:t>
      </w:r>
      <w:r w:rsidR="00F77F98" w:rsidRPr="00AB5D82">
        <w:rPr>
          <w:rFonts w:cs="Calibri"/>
        </w:rPr>
        <w:t xml:space="preserve">Statements </w:t>
      </w:r>
      <w:r w:rsidR="006559DE">
        <w:rPr>
          <w:rFonts w:cs="Calibri"/>
        </w:rPr>
        <w:t xml:space="preserve">both </w:t>
      </w:r>
      <w:r w:rsidR="00545757">
        <w:rPr>
          <w:rFonts w:cs="Calibri"/>
        </w:rPr>
        <w:t>overestimated migrant departures in 2023</w:t>
      </w:r>
      <w:r w:rsidR="00BD7843" w:rsidRPr="009443ED">
        <w:rPr>
          <w:rFonts w:cs="Calibri"/>
        </w:rPr>
        <w:t>–</w:t>
      </w:r>
      <w:r w:rsidR="00545757">
        <w:rPr>
          <w:rFonts w:cs="Calibri"/>
        </w:rPr>
        <w:t>24 by</w:t>
      </w:r>
      <w:r w:rsidR="00F77F98" w:rsidRPr="00AB5D82">
        <w:rPr>
          <w:rFonts w:cs="Calibri"/>
        </w:rPr>
        <w:t xml:space="preserve"> </w:t>
      </w:r>
      <w:r w:rsidR="004B6CCD" w:rsidRPr="00CD2772">
        <w:rPr>
          <w:rFonts w:cs="Calibri"/>
        </w:rPr>
        <w:t>37</w:t>
      </w:r>
      <w:r w:rsidR="00C61DB3" w:rsidRPr="00CD2772">
        <w:rPr>
          <w:rFonts w:cs="Calibri"/>
        </w:rPr>
        <w:t xml:space="preserve"> </w:t>
      </w:r>
      <w:r w:rsidR="00F77F98" w:rsidRPr="00CD2772">
        <w:rPr>
          <w:rFonts w:cs="Calibri"/>
        </w:rPr>
        <w:t>per cent</w:t>
      </w:r>
      <w:r w:rsidR="00545757" w:rsidRPr="00CD2772">
        <w:rPr>
          <w:rFonts w:cs="Calibri"/>
        </w:rPr>
        <w:t xml:space="preserve"> or </w:t>
      </w:r>
      <w:r w:rsidR="00CF4B65" w:rsidRPr="00CD2772">
        <w:rPr>
          <w:rFonts w:cs="Calibri"/>
        </w:rPr>
        <w:t xml:space="preserve">around </w:t>
      </w:r>
      <w:r w:rsidR="00144134" w:rsidRPr="00CD2772">
        <w:rPr>
          <w:rFonts w:cs="Calibri"/>
        </w:rPr>
        <w:t>8</w:t>
      </w:r>
      <w:r w:rsidR="00384E3F" w:rsidRPr="00CD2772">
        <w:rPr>
          <w:rFonts w:cs="Calibri"/>
        </w:rPr>
        <w:t>5</w:t>
      </w:r>
      <w:r w:rsidR="00144134" w:rsidRPr="00CD2772">
        <w:rPr>
          <w:rFonts w:cs="Calibri"/>
        </w:rPr>
        <w:t>,000</w:t>
      </w:r>
      <w:r w:rsidR="00F77F98" w:rsidRPr="00AB5D82">
        <w:rPr>
          <w:rFonts w:cs="Calibri"/>
        </w:rPr>
        <w:t xml:space="preserve">. </w:t>
      </w:r>
      <w:r w:rsidR="00545757">
        <w:rPr>
          <w:rFonts w:cs="Calibri"/>
        </w:rPr>
        <w:t xml:space="preserve">Forecast </w:t>
      </w:r>
      <w:r w:rsidR="00D728AB">
        <w:rPr>
          <w:rFonts w:cs="Calibri"/>
        </w:rPr>
        <w:t>misses</w:t>
      </w:r>
      <w:r w:rsidR="00545757">
        <w:rPr>
          <w:rFonts w:cs="Calibri"/>
        </w:rPr>
        <w:t xml:space="preserve"> for </w:t>
      </w:r>
      <w:r w:rsidR="00036EE6">
        <w:rPr>
          <w:rFonts w:cs="Calibri"/>
        </w:rPr>
        <w:t>migrant</w:t>
      </w:r>
      <w:r w:rsidR="00545757">
        <w:rPr>
          <w:rFonts w:cs="Calibri"/>
        </w:rPr>
        <w:t xml:space="preserve"> departures in</w:t>
      </w:r>
      <w:r w:rsidR="00F77F98" w:rsidRPr="00AB5D82">
        <w:rPr>
          <w:rFonts w:cs="Calibri"/>
        </w:rPr>
        <w:t xml:space="preserve"> 2023</w:t>
      </w:r>
      <w:r w:rsidR="009443ED" w:rsidRPr="009443ED">
        <w:rPr>
          <w:rFonts w:cs="Calibri"/>
        </w:rPr>
        <w:t>–</w:t>
      </w:r>
      <w:r w:rsidR="00F77F98" w:rsidRPr="00AB5D82">
        <w:rPr>
          <w:rFonts w:cs="Calibri"/>
        </w:rPr>
        <w:t xml:space="preserve">24 </w:t>
      </w:r>
      <w:r w:rsidR="00445DD8">
        <w:rPr>
          <w:rFonts w:cs="Calibri"/>
        </w:rPr>
        <w:t xml:space="preserve">were </w:t>
      </w:r>
      <w:r w:rsidR="002D170D">
        <w:rPr>
          <w:rFonts w:cs="Calibri"/>
        </w:rPr>
        <w:t xml:space="preserve">smaller in the 2022 and </w:t>
      </w:r>
      <w:r w:rsidR="00F77F98" w:rsidRPr="00AB5D82">
        <w:rPr>
          <w:rFonts w:cs="Calibri"/>
        </w:rPr>
        <w:t xml:space="preserve">2023 </w:t>
      </w:r>
      <w:r w:rsidR="00D728AB">
        <w:rPr>
          <w:rFonts w:cs="Calibri"/>
        </w:rPr>
        <w:t xml:space="preserve">Population </w:t>
      </w:r>
      <w:r w:rsidR="00F77F98" w:rsidRPr="00AB5D82">
        <w:rPr>
          <w:rFonts w:cs="Calibri"/>
        </w:rPr>
        <w:t>Statement</w:t>
      </w:r>
      <w:r w:rsidR="009A72EE">
        <w:rPr>
          <w:rFonts w:cs="Calibri"/>
        </w:rPr>
        <w:t xml:space="preserve">s, declining to </w:t>
      </w:r>
      <w:r w:rsidR="009A72EE" w:rsidRPr="00CD2772">
        <w:rPr>
          <w:rFonts w:cs="Calibri"/>
        </w:rPr>
        <w:t>3</w:t>
      </w:r>
      <w:r w:rsidR="00AB273A" w:rsidRPr="00CD2772">
        <w:rPr>
          <w:rFonts w:cs="Calibri"/>
        </w:rPr>
        <w:t>0</w:t>
      </w:r>
      <w:r w:rsidR="009A72EE" w:rsidRPr="00CD2772">
        <w:rPr>
          <w:rFonts w:cs="Calibri"/>
        </w:rPr>
        <w:t xml:space="preserve"> per cent (</w:t>
      </w:r>
      <w:r w:rsidR="00814E39" w:rsidRPr="00CD2772">
        <w:rPr>
          <w:rFonts w:cs="Calibri"/>
        </w:rPr>
        <w:t>69</w:t>
      </w:r>
      <w:r w:rsidR="009A72EE" w:rsidRPr="00CD2772">
        <w:rPr>
          <w:rFonts w:cs="Calibri"/>
        </w:rPr>
        <w:t>,000) and</w:t>
      </w:r>
      <w:r w:rsidR="00F77F98" w:rsidRPr="00CD2772">
        <w:rPr>
          <w:rFonts w:cs="Calibri"/>
        </w:rPr>
        <w:t xml:space="preserve"> 2</w:t>
      </w:r>
      <w:r w:rsidR="007574EC" w:rsidRPr="00CD2772">
        <w:rPr>
          <w:rFonts w:cs="Calibri"/>
        </w:rPr>
        <w:t>2</w:t>
      </w:r>
      <w:r w:rsidR="00F77F98" w:rsidRPr="00CD2772">
        <w:rPr>
          <w:rFonts w:cs="Calibri"/>
        </w:rPr>
        <w:t xml:space="preserve"> per cent</w:t>
      </w:r>
      <w:r w:rsidR="009A72EE" w:rsidRPr="00CD2772">
        <w:rPr>
          <w:rFonts w:cs="Calibri"/>
        </w:rPr>
        <w:t xml:space="preserve"> (</w:t>
      </w:r>
      <w:r w:rsidR="002F561E" w:rsidRPr="00CD2772">
        <w:rPr>
          <w:rFonts w:cs="Calibri"/>
        </w:rPr>
        <w:t>52</w:t>
      </w:r>
      <w:r w:rsidR="009A72EE" w:rsidRPr="00CD2772">
        <w:rPr>
          <w:rFonts w:cs="Calibri"/>
        </w:rPr>
        <w:t>,</w:t>
      </w:r>
      <w:r w:rsidR="002F561E" w:rsidRPr="00CD2772">
        <w:rPr>
          <w:rFonts w:cs="Calibri"/>
        </w:rPr>
        <w:t>000</w:t>
      </w:r>
      <w:r w:rsidR="009A72EE" w:rsidRPr="00CD2772">
        <w:rPr>
          <w:rFonts w:cs="Calibri"/>
        </w:rPr>
        <w:t>)</w:t>
      </w:r>
      <w:r w:rsidR="009A72EE">
        <w:rPr>
          <w:rFonts w:cs="Calibri"/>
        </w:rPr>
        <w:t xml:space="preserve"> respectively</w:t>
      </w:r>
      <w:r w:rsidR="00F77F98" w:rsidRPr="00AB5D82">
        <w:rPr>
          <w:rFonts w:cs="Calibri"/>
        </w:rPr>
        <w:t xml:space="preserve">. </w:t>
      </w:r>
    </w:p>
    <w:p w14:paraId="4C906F3D" w14:textId="70DB100F" w:rsidR="00F77F98" w:rsidRPr="00AB5D82" w:rsidRDefault="0088258C" w:rsidP="00F77F98">
      <w:pPr>
        <w:rPr>
          <w:rFonts w:cs="Calibri"/>
        </w:rPr>
      </w:pPr>
      <w:r>
        <w:rPr>
          <w:rFonts w:cs="Calibri"/>
        </w:rPr>
        <w:t xml:space="preserve">Forecasting migrant departures is inherently difficult. The significant disruptions to travel and </w:t>
      </w:r>
      <w:r w:rsidR="00F77F98" w:rsidRPr="00AB5D82">
        <w:rPr>
          <w:rFonts w:cs="Calibri"/>
        </w:rPr>
        <w:t xml:space="preserve">migration </w:t>
      </w:r>
      <w:r>
        <w:rPr>
          <w:rFonts w:cs="Calibri"/>
        </w:rPr>
        <w:t>trends</w:t>
      </w:r>
      <w:r w:rsidR="00F77F98" w:rsidRPr="00AB5D82">
        <w:rPr>
          <w:rFonts w:cs="Calibri"/>
        </w:rPr>
        <w:t xml:space="preserve"> during the COVID</w:t>
      </w:r>
      <w:r w:rsidR="00EE3C04">
        <w:rPr>
          <w:rFonts w:cs="Calibri"/>
        </w:rPr>
        <w:noBreakHyphen/>
      </w:r>
      <w:r w:rsidR="00F77F98" w:rsidRPr="00AB5D82">
        <w:rPr>
          <w:rFonts w:cs="Calibri"/>
        </w:rPr>
        <w:t xml:space="preserve">19 pandemic </w:t>
      </w:r>
      <w:r w:rsidR="000F2916">
        <w:rPr>
          <w:rFonts w:cs="Calibri"/>
        </w:rPr>
        <w:t xml:space="preserve">and subsequent border restrictions </w:t>
      </w:r>
      <w:r w:rsidR="00B00E30">
        <w:rPr>
          <w:rFonts w:cs="Calibri"/>
        </w:rPr>
        <w:t>increased</w:t>
      </w:r>
      <w:r w:rsidR="00F77F98" w:rsidRPr="00AB5D82">
        <w:rPr>
          <w:rFonts w:cs="Calibri"/>
        </w:rPr>
        <w:t xml:space="preserve"> forecasting </w:t>
      </w:r>
      <w:r w:rsidR="00B00E30">
        <w:rPr>
          <w:rFonts w:cs="Calibri"/>
        </w:rPr>
        <w:t>uncertainty</w:t>
      </w:r>
      <w:r w:rsidR="00F77F98" w:rsidRPr="00AB5D82">
        <w:rPr>
          <w:rFonts w:cs="Calibri"/>
        </w:rPr>
        <w:t xml:space="preserve">. </w:t>
      </w:r>
      <w:r w:rsidR="00C76FCD">
        <w:rPr>
          <w:rFonts w:cs="Calibri"/>
        </w:rPr>
        <w:t>Since the pandemic, migrants on temporary visas have also been departing Australia at lower rates.</w:t>
      </w:r>
      <w:r w:rsidR="00F77F98" w:rsidRPr="00AB5D82">
        <w:rPr>
          <w:rFonts w:cs="Calibri"/>
        </w:rPr>
        <w:t xml:space="preserve"> </w:t>
      </w:r>
    </w:p>
    <w:p w14:paraId="7AE99172" w14:textId="01F128FF" w:rsidR="00F77F98" w:rsidRPr="00AB5D82" w:rsidRDefault="00D77881" w:rsidP="00F77F98">
      <w:pPr>
        <w:rPr>
          <w:rFonts w:cs="Calibri"/>
        </w:rPr>
      </w:pPr>
      <w:r>
        <w:rPr>
          <w:rFonts w:cs="Calibri"/>
        </w:rPr>
        <w:t>Students and other t</w:t>
      </w:r>
      <w:r w:rsidR="00F77F98" w:rsidRPr="00AB5D82">
        <w:rPr>
          <w:rFonts w:cs="Calibri"/>
        </w:rPr>
        <w:t xml:space="preserve">emporary visa holders have been the primary source of </w:t>
      </w:r>
      <w:r>
        <w:rPr>
          <w:rFonts w:cs="Calibri"/>
        </w:rPr>
        <w:t xml:space="preserve">NOM </w:t>
      </w:r>
      <w:r w:rsidR="00F77F98" w:rsidRPr="00AB5D82">
        <w:rPr>
          <w:rFonts w:cs="Calibri"/>
        </w:rPr>
        <w:t xml:space="preserve">forecast </w:t>
      </w:r>
      <w:r w:rsidR="00B16AE9">
        <w:rPr>
          <w:rFonts w:cs="Calibri"/>
        </w:rPr>
        <w:t>misses</w:t>
      </w:r>
      <w:r w:rsidRPr="00AB5D82">
        <w:rPr>
          <w:rFonts w:cs="Calibri"/>
        </w:rPr>
        <w:t xml:space="preserve"> </w:t>
      </w:r>
      <w:r w:rsidR="00F77F98" w:rsidRPr="00AB5D82">
        <w:rPr>
          <w:rFonts w:cs="Calibri"/>
        </w:rPr>
        <w:t xml:space="preserve">(Chart </w:t>
      </w:r>
      <w:r w:rsidR="001F074E">
        <w:rPr>
          <w:rFonts w:cs="Calibri"/>
        </w:rPr>
        <w:t>4</w:t>
      </w:r>
      <w:r w:rsidR="00F77F98" w:rsidRPr="00AB5D82">
        <w:rPr>
          <w:rFonts w:cs="Calibri"/>
        </w:rPr>
        <w:t xml:space="preserve">). </w:t>
      </w:r>
      <w:r w:rsidR="00C37FD9">
        <w:rPr>
          <w:rFonts w:cs="Calibri"/>
        </w:rPr>
        <w:t>In</w:t>
      </w:r>
      <w:r w:rsidR="00594C1F">
        <w:rPr>
          <w:rFonts w:cs="Calibri"/>
        </w:rPr>
        <w:t> </w:t>
      </w:r>
      <w:r w:rsidR="00C37FD9">
        <w:rPr>
          <w:rFonts w:cs="Calibri"/>
        </w:rPr>
        <w:t xml:space="preserve">the 2020, 2021 and 2022 </w:t>
      </w:r>
      <w:r w:rsidR="00B16AE9">
        <w:rPr>
          <w:rFonts w:cs="Calibri"/>
        </w:rPr>
        <w:t xml:space="preserve">Population </w:t>
      </w:r>
      <w:r w:rsidR="007811E1">
        <w:rPr>
          <w:rFonts w:cs="Calibri"/>
        </w:rPr>
        <w:t>St</w:t>
      </w:r>
      <w:r w:rsidR="00C37FD9">
        <w:rPr>
          <w:rFonts w:cs="Calibri"/>
        </w:rPr>
        <w:t xml:space="preserve">atements, </w:t>
      </w:r>
      <w:r w:rsidR="00F77F98" w:rsidRPr="00AB5D82">
        <w:rPr>
          <w:rFonts w:cs="Calibri"/>
        </w:rPr>
        <w:t xml:space="preserve">arrivals of </w:t>
      </w:r>
      <w:r w:rsidR="00B80971">
        <w:rPr>
          <w:rFonts w:cs="Calibri"/>
        </w:rPr>
        <w:t>all</w:t>
      </w:r>
      <w:r w:rsidR="00F77F98" w:rsidRPr="00AB5D82">
        <w:rPr>
          <w:rFonts w:cs="Calibri"/>
        </w:rPr>
        <w:t xml:space="preserve"> temporary visa holders </w:t>
      </w:r>
      <w:r w:rsidR="00C37FD9">
        <w:rPr>
          <w:rFonts w:cs="Calibri"/>
        </w:rPr>
        <w:t>in 2023</w:t>
      </w:r>
      <w:r w:rsidR="00BD7843" w:rsidRPr="009443ED">
        <w:rPr>
          <w:rFonts w:cs="Calibri"/>
        </w:rPr>
        <w:t>–</w:t>
      </w:r>
      <w:r w:rsidR="00C37FD9">
        <w:rPr>
          <w:rFonts w:cs="Calibri"/>
        </w:rPr>
        <w:t>24</w:t>
      </w:r>
      <w:r w:rsidR="00F77F98" w:rsidRPr="00AB5D82">
        <w:rPr>
          <w:rFonts w:cs="Calibri"/>
        </w:rPr>
        <w:t xml:space="preserve"> were underestimated by up to </w:t>
      </w:r>
      <w:r w:rsidR="00E15D6F" w:rsidRPr="00F15587">
        <w:rPr>
          <w:rFonts w:cs="Calibri"/>
        </w:rPr>
        <w:t>3</w:t>
      </w:r>
      <w:r w:rsidR="00D27731" w:rsidRPr="00F15587">
        <w:rPr>
          <w:rFonts w:cs="Calibri"/>
        </w:rPr>
        <w:t>1</w:t>
      </w:r>
      <w:r w:rsidR="00F77F98" w:rsidRPr="00F15587">
        <w:rPr>
          <w:rFonts w:cs="Calibri"/>
        </w:rPr>
        <w:t xml:space="preserve"> per cent (</w:t>
      </w:r>
      <w:r w:rsidR="00D349DF" w:rsidRPr="00F15587">
        <w:rPr>
          <w:rFonts w:cs="Calibri"/>
        </w:rPr>
        <w:t xml:space="preserve">or up to </w:t>
      </w:r>
      <w:r w:rsidR="00151F1F" w:rsidRPr="00F15587">
        <w:rPr>
          <w:rFonts w:cs="Calibri"/>
        </w:rPr>
        <w:t>141</w:t>
      </w:r>
      <w:r w:rsidR="007E6576" w:rsidRPr="00F15587">
        <w:rPr>
          <w:rFonts w:cs="Calibri"/>
        </w:rPr>
        <w:t>,000</w:t>
      </w:r>
      <w:r w:rsidR="00F77F98" w:rsidRPr="00AB5D82">
        <w:rPr>
          <w:rFonts w:cs="Calibri"/>
        </w:rPr>
        <w:t xml:space="preserve">), while departures were overestimated by up to </w:t>
      </w:r>
      <w:r w:rsidR="002F42B3" w:rsidRPr="00F15587">
        <w:rPr>
          <w:rFonts w:cs="Calibri"/>
        </w:rPr>
        <w:t>7</w:t>
      </w:r>
      <w:r w:rsidR="00CE3878" w:rsidRPr="00F15587">
        <w:rPr>
          <w:rFonts w:cs="Calibri"/>
        </w:rPr>
        <w:t>0</w:t>
      </w:r>
      <w:r w:rsidR="00594C1F">
        <w:rPr>
          <w:rFonts w:cs="Calibri"/>
        </w:rPr>
        <w:t> </w:t>
      </w:r>
      <w:r w:rsidR="00F77F98" w:rsidRPr="00F15587">
        <w:rPr>
          <w:rFonts w:cs="Calibri"/>
        </w:rPr>
        <w:t>per</w:t>
      </w:r>
      <w:r w:rsidR="00594C1F">
        <w:rPr>
          <w:rFonts w:cs="Calibri"/>
        </w:rPr>
        <w:t> </w:t>
      </w:r>
      <w:r w:rsidR="00F77F98" w:rsidRPr="00F15587">
        <w:rPr>
          <w:rFonts w:cs="Calibri"/>
        </w:rPr>
        <w:t>cent (</w:t>
      </w:r>
      <w:r w:rsidR="00FB31A6" w:rsidRPr="00F15587">
        <w:rPr>
          <w:rFonts w:cs="Calibri"/>
        </w:rPr>
        <w:t>80</w:t>
      </w:r>
      <w:r w:rsidR="00E63072" w:rsidRPr="00F15587">
        <w:rPr>
          <w:rFonts w:cs="Calibri"/>
        </w:rPr>
        <w:t>,000</w:t>
      </w:r>
      <w:r w:rsidR="00F77F98" w:rsidRPr="00F15587">
        <w:rPr>
          <w:rFonts w:cs="Calibri"/>
        </w:rPr>
        <w:t>)</w:t>
      </w:r>
      <w:r w:rsidR="00F77F98" w:rsidRPr="00AB5D82">
        <w:rPr>
          <w:rFonts w:cs="Calibri"/>
        </w:rPr>
        <w:t xml:space="preserve">. </w:t>
      </w:r>
    </w:p>
    <w:p w14:paraId="6D7DB99F" w14:textId="4C5450C3" w:rsidR="00F77F98" w:rsidRDefault="00F77F98" w:rsidP="0003064F">
      <w:pPr>
        <w:pStyle w:val="ChartMainHeading"/>
      </w:pPr>
      <w:r w:rsidRPr="00AB5D82">
        <w:lastRenderedPageBreak/>
        <w:t xml:space="preserve">Difference between </w:t>
      </w:r>
      <w:r w:rsidR="00ED027F">
        <w:t>migrant</w:t>
      </w:r>
      <w:r w:rsidRPr="00AB5D82">
        <w:t xml:space="preserve"> arrivals and departures forecast and outcome, by</w:t>
      </w:r>
      <w:r w:rsidR="008B7FD0">
        <w:t> </w:t>
      </w:r>
      <w:r w:rsidRPr="00AB5D82">
        <w:t>visa</w:t>
      </w:r>
      <w:r w:rsidR="008B7FD0">
        <w:t> </w:t>
      </w:r>
      <w:r w:rsidRPr="00AB5D82">
        <w:t>group</w:t>
      </w:r>
    </w:p>
    <w:tbl>
      <w:tblPr>
        <w:tblW w:w="5000" w:type="pct"/>
        <w:tblLayout w:type="fixed"/>
        <w:tblLook w:val="0020" w:firstRow="1" w:lastRow="0" w:firstColumn="0" w:lastColumn="0" w:noHBand="0" w:noVBand="0"/>
      </w:tblPr>
      <w:tblGrid>
        <w:gridCol w:w="4535"/>
        <w:gridCol w:w="4535"/>
      </w:tblGrid>
      <w:tr w:rsidR="008B7FD0" w:rsidRPr="00EE3C04" w14:paraId="3DBF239D" w14:textId="77777777" w:rsidTr="00CA5A4B">
        <w:trPr>
          <w:cantSplit/>
        </w:trPr>
        <w:tc>
          <w:tcPr>
            <w:tcW w:w="4535" w:type="dxa"/>
          </w:tcPr>
          <w:p w14:paraId="1116DD0A" w14:textId="77777777" w:rsidR="008B7FD0" w:rsidRPr="00EE3C04" w:rsidRDefault="008B7FD0" w:rsidP="00704137">
            <w:pPr>
              <w:pStyle w:val="ChartSecondHeading"/>
            </w:pPr>
            <w:r w:rsidRPr="00EE3C04">
              <w:t>Migrant arrivals</w:t>
            </w:r>
          </w:p>
        </w:tc>
        <w:tc>
          <w:tcPr>
            <w:tcW w:w="4535" w:type="dxa"/>
          </w:tcPr>
          <w:p w14:paraId="352A95BC" w14:textId="77777777" w:rsidR="008B7FD0" w:rsidRPr="00EE3C04" w:rsidRDefault="008B7FD0" w:rsidP="00704137">
            <w:pPr>
              <w:pStyle w:val="ChartSecondHeading"/>
            </w:pPr>
            <w:r w:rsidRPr="00EE3C04">
              <w:t>Migrant departures</w:t>
            </w:r>
          </w:p>
        </w:tc>
      </w:tr>
      <w:tr w:rsidR="008B7FD0" w:rsidRPr="00EE3C04" w14:paraId="2C529DC1" w14:textId="77777777" w:rsidTr="00CA5A4B">
        <w:trPr>
          <w:cantSplit/>
          <w:trHeight w:val="3839"/>
        </w:trPr>
        <w:tc>
          <w:tcPr>
            <w:tcW w:w="4535" w:type="dxa"/>
          </w:tcPr>
          <w:p w14:paraId="68C62176" w14:textId="6200289C" w:rsidR="008B7FD0" w:rsidRPr="00EE3C04" w:rsidRDefault="00634958" w:rsidP="00704137">
            <w:pPr>
              <w:pStyle w:val="ChartGraphic"/>
            </w:pPr>
            <w:r w:rsidRPr="00EE3C04">
              <w:rPr>
                <w:noProof/>
              </w:rPr>
              <w:drawing>
                <wp:inline distT="0" distB="0" distL="0" distR="0" wp14:anchorId="020B86E9" wp14:editId="51739269">
                  <wp:extent cx="2779602" cy="2880000"/>
                  <wp:effectExtent l="0" t="0" r="1905" b="0"/>
                  <wp:docPr id="274810015" name="Picture 3" descr="This chart shows the difference between previous population statements’ overseas arrivals forecasts for 2023–24 and the outcome, by major visa group. &#10;It shows that the largest differences were for students, followed by all other temporary visas grouped together, which were both underestimated in the 2020, 2021 and 2022 Population Statements. However, they were overestimated in the 2023 and 2024 Population Statements, although less so in 2024 than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10015" name="Picture 3" descr="This chart shows the difference between previous population statements’ overseas arrivals forecasts for 2023–24 and the outcome, by major visa group. &#10;It shows that the largest differences were for students, followed by all other temporary visas grouped together, which were both underestimated in the 2020, 2021 and 2022 Population Statements. However, they were overestimated in the 2023 and 2024 Population Statements, although less so in 2024 than in 20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602" cy="2880000"/>
                          </a:xfrm>
                          <a:prstGeom prst="rect">
                            <a:avLst/>
                          </a:prstGeom>
                          <a:noFill/>
                          <a:ln>
                            <a:noFill/>
                          </a:ln>
                        </pic:spPr>
                      </pic:pic>
                    </a:graphicData>
                  </a:graphic>
                </wp:inline>
              </w:drawing>
            </w:r>
          </w:p>
        </w:tc>
        <w:tc>
          <w:tcPr>
            <w:tcW w:w="4535" w:type="dxa"/>
          </w:tcPr>
          <w:p w14:paraId="13FEAD7F" w14:textId="1C4A9AE4" w:rsidR="008B7FD0" w:rsidRPr="00EE3C04" w:rsidRDefault="00C0210B" w:rsidP="00704137">
            <w:pPr>
              <w:pStyle w:val="ChartGraphic"/>
            </w:pPr>
            <w:r w:rsidRPr="00EE3C04">
              <w:rPr>
                <w:noProof/>
              </w:rPr>
              <w:drawing>
                <wp:inline distT="0" distB="0" distL="0" distR="0" wp14:anchorId="57A0D927" wp14:editId="69C9BABB">
                  <wp:extent cx="2779602" cy="2880000"/>
                  <wp:effectExtent l="0" t="0" r="1905" b="0"/>
                  <wp:docPr id="677826583" name="Picture 4" descr="This chart shows the difference between previous population statements’ overseas departures forecasts for 2023–24 and the outcome, by major visa group. &#10;It shows that that the largest differences were for students, followed by all other temporary visas grouped together, which were both overestimated in the 2020, 2021, 2022 and 2023 Population Statements. &#10;However, they were underestimated in the 2024 Population Statement.&#10;In all previous releases, the Centre slightly overestimated the number of Australian citizens, New Zealand citizens and other permanent residents that departed the count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26583" name="Picture 4" descr="This chart shows the difference between previous population statements’ overseas departures forecasts for 2023–24 and the outcome, by major visa group. &#10;It shows that that the largest differences were for students, followed by all other temporary visas grouped together, which were both overestimated in the 2020, 2021, 2022 and 2023 Population Statements. &#10;However, they were underestimated in the 2024 Population Statement.&#10;In all previous releases, the Centre slightly overestimated the number of Australian citizens, New Zealand citizens and other permanent residents that departed the country.&#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9602" cy="2880000"/>
                          </a:xfrm>
                          <a:prstGeom prst="rect">
                            <a:avLst/>
                          </a:prstGeom>
                          <a:noFill/>
                          <a:ln>
                            <a:noFill/>
                          </a:ln>
                        </pic:spPr>
                      </pic:pic>
                    </a:graphicData>
                  </a:graphic>
                </wp:inline>
              </w:drawing>
            </w:r>
          </w:p>
        </w:tc>
      </w:tr>
    </w:tbl>
    <w:p w14:paraId="51E242A9" w14:textId="7D472B33" w:rsidR="00D80111" w:rsidRDefault="00D80111" w:rsidP="00C504C5">
      <w:pPr>
        <w:pStyle w:val="Source"/>
      </w:pPr>
      <w:r w:rsidRPr="008F5BFC">
        <w:t>Note</w:t>
      </w:r>
      <w:r>
        <w:t xml:space="preserve">: </w:t>
      </w:r>
      <w:r>
        <w:tab/>
      </w:r>
      <w:r w:rsidRPr="00213120">
        <w:t>Forecast</w:t>
      </w:r>
      <w:r>
        <w:t xml:space="preserve"> comparisons are made to the 2023</w:t>
      </w:r>
      <w:r w:rsidRPr="009443ED">
        <w:t>–</w:t>
      </w:r>
      <w:r>
        <w:t xml:space="preserve">24 actuals. </w:t>
      </w:r>
      <w:r w:rsidR="008601BD">
        <w:t xml:space="preserve">A positive number indicates </w:t>
      </w:r>
      <w:r w:rsidR="00212533">
        <w:t>the forecast was an overestimate.</w:t>
      </w:r>
    </w:p>
    <w:p w14:paraId="002EE43C" w14:textId="2A36E3FC" w:rsidR="0050639D" w:rsidRDefault="00F77F98" w:rsidP="00213120">
      <w:pPr>
        <w:pStyle w:val="Source"/>
      </w:pPr>
      <w:r w:rsidRPr="00213120">
        <w:t>Source</w:t>
      </w:r>
      <w:r w:rsidRPr="00AB5D82">
        <w:t>:</w:t>
      </w:r>
      <w:r w:rsidRPr="00AB5D82">
        <w:tab/>
        <w:t xml:space="preserve">ABS, </w:t>
      </w:r>
      <w:r w:rsidR="00213120" w:rsidRPr="00303013">
        <w:rPr>
          <w:i/>
          <w:iCs/>
        </w:rPr>
        <w:t>National, state and territory population</w:t>
      </w:r>
      <w:r w:rsidR="00213120" w:rsidRPr="00AB5D82">
        <w:t xml:space="preserve">, </w:t>
      </w:r>
      <w:r w:rsidR="00213120" w:rsidRPr="00C126F9">
        <w:rPr>
          <w:i/>
        </w:rPr>
        <w:t>March 2025</w:t>
      </w:r>
      <w:r w:rsidR="00576A75">
        <w:t xml:space="preserve">; </w:t>
      </w:r>
      <w:r w:rsidRPr="00AB5D82">
        <w:t>Centre for Population projections</w:t>
      </w:r>
      <w:r w:rsidR="001B5BD4">
        <w:t>.</w:t>
      </w:r>
    </w:p>
    <w:p w14:paraId="2590BCC4" w14:textId="445512D4" w:rsidR="00F77F98" w:rsidRDefault="00F77F98" w:rsidP="00F77F98">
      <w:pPr>
        <w:pStyle w:val="Heading3Numbered"/>
      </w:pPr>
      <w:r>
        <w:t>Births</w:t>
      </w:r>
    </w:p>
    <w:p w14:paraId="18C69F6C" w14:textId="6726089E" w:rsidR="00F77F98" w:rsidRPr="00AB5D82" w:rsidRDefault="00F77F98" w:rsidP="00C504C5">
      <w:r w:rsidRPr="00AB5D82">
        <w:t>The births forecast in the 2023 Population Statement</w:t>
      </w:r>
      <w:r w:rsidR="0006157A">
        <w:t xml:space="preserve"> </w:t>
      </w:r>
      <w:r w:rsidRPr="00AB5D82">
        <w:t xml:space="preserve">overestimated outcomes, with a </w:t>
      </w:r>
      <w:r w:rsidR="00893640" w:rsidRPr="007C5106">
        <w:t>7</w:t>
      </w:r>
      <w:r w:rsidRPr="007C5106">
        <w:t xml:space="preserve"> </w:t>
      </w:r>
      <w:r w:rsidRPr="00AB5D82">
        <w:t>per cent miss for 2022</w:t>
      </w:r>
      <w:r w:rsidR="009443ED" w:rsidRPr="009443ED">
        <w:t>–</w:t>
      </w:r>
      <w:r w:rsidRPr="00AB5D82">
        <w:t xml:space="preserve">23 and </w:t>
      </w:r>
      <w:r w:rsidR="00617C8D" w:rsidRPr="007C5106">
        <w:t>9</w:t>
      </w:r>
      <w:r w:rsidRPr="00AB5D82">
        <w:t xml:space="preserve"> per cent for 2023</w:t>
      </w:r>
      <w:r w:rsidR="009443ED" w:rsidRPr="009443ED">
        <w:t>–</w:t>
      </w:r>
      <w:r w:rsidRPr="00AB5D82">
        <w:t xml:space="preserve">24 (Chart </w:t>
      </w:r>
      <w:r w:rsidR="0090120A">
        <w:t>5</w:t>
      </w:r>
      <w:r w:rsidRPr="00AB5D82">
        <w:t xml:space="preserve">). These misses were notably larger than those in earlier </w:t>
      </w:r>
      <w:r w:rsidR="00460914">
        <w:t>S</w:t>
      </w:r>
      <w:r w:rsidR="00834D44" w:rsidRPr="00AB5D82">
        <w:t>tatements</w:t>
      </w:r>
      <w:r w:rsidRPr="00AB5D82">
        <w:t>. The Centre has since developed a new leading indicator model to assist in predicting births, which uses Medicare data on the number of pregnancy</w:t>
      </w:r>
      <w:r w:rsidR="00EE3C04">
        <w:noBreakHyphen/>
      </w:r>
      <w:r w:rsidRPr="00AB5D82">
        <w:t>related ultrasound scans. This method was used in the 2024</w:t>
      </w:r>
      <w:r w:rsidR="00213120">
        <w:t> </w:t>
      </w:r>
      <w:r w:rsidRPr="00AB5D82">
        <w:t xml:space="preserve">and 2025 Population </w:t>
      </w:r>
      <w:r w:rsidR="00460914">
        <w:t>S</w:t>
      </w:r>
      <w:r w:rsidRPr="00AB5D82">
        <w:t>tatement projections</w:t>
      </w:r>
      <w:r w:rsidR="00044505">
        <w:t>. This saw</w:t>
      </w:r>
      <w:r w:rsidR="00D5506F">
        <w:t xml:space="preserve"> </w:t>
      </w:r>
      <w:r w:rsidR="0000225A">
        <w:t>smaller</w:t>
      </w:r>
      <w:r w:rsidR="005860AC">
        <w:t xml:space="preserve"> forecasting misses </w:t>
      </w:r>
      <w:r w:rsidR="00315803">
        <w:t>for 2023</w:t>
      </w:r>
      <w:r w:rsidR="00C504C5">
        <w:t>–</w:t>
      </w:r>
      <w:r w:rsidR="00315803">
        <w:t>24 in</w:t>
      </w:r>
      <w:r w:rsidR="00044505">
        <w:t xml:space="preserve"> the 2024</w:t>
      </w:r>
      <w:r w:rsidR="00213120">
        <w:t> </w:t>
      </w:r>
      <w:r w:rsidR="00044505">
        <w:t>Statement</w:t>
      </w:r>
      <w:r w:rsidRPr="00AB5D82">
        <w:t>. More information regarding this method can be found in the 2024 Population Statement technical appendix.</w:t>
      </w:r>
      <w:r w:rsidR="00435149">
        <w:rPr>
          <w:rStyle w:val="FootnoteReference"/>
          <w:rFonts w:cs="Calibri"/>
        </w:rPr>
        <w:footnoteReference w:id="15"/>
      </w:r>
      <w:r w:rsidRPr="00AB5D82">
        <w:t xml:space="preserve"> </w:t>
      </w:r>
    </w:p>
    <w:p w14:paraId="6D5D10CB" w14:textId="642B8532" w:rsidR="00F77F98" w:rsidRDefault="00F77F98" w:rsidP="00F77F98">
      <w:pPr>
        <w:pStyle w:val="Heading3Numbered"/>
      </w:pPr>
      <w:r>
        <w:t>Deaths</w:t>
      </w:r>
    </w:p>
    <w:p w14:paraId="268C01D7" w14:textId="5D3C6CB6" w:rsidR="00F77F98" w:rsidRPr="00AB5D82" w:rsidRDefault="00F77F98" w:rsidP="00C504C5">
      <w:r w:rsidRPr="00AB5D82">
        <w:t>Assumptions regarding mortality varied during the COVID</w:t>
      </w:r>
      <w:r w:rsidR="00EE3C04">
        <w:noBreakHyphen/>
      </w:r>
      <w:r w:rsidRPr="00AB5D82">
        <w:t xml:space="preserve">19 pandemic, reflecting the evolving understanding of the virus and its impacts. Given the uncertainty surrounding the virus prior to its widespread transmission, the first </w:t>
      </w:r>
      <w:r w:rsidR="002C21FC">
        <w:t xml:space="preserve">two </w:t>
      </w:r>
      <w:r w:rsidRPr="00AB5D82">
        <w:t>Population Statements assumed no impact of COVID</w:t>
      </w:r>
      <w:r w:rsidR="00EE3C04">
        <w:noBreakHyphen/>
      </w:r>
      <w:r w:rsidRPr="00AB5D82">
        <w:t>19 on mortality. This led to significant underestimates of deaths from 2021</w:t>
      </w:r>
      <w:r w:rsidR="009443ED" w:rsidRPr="009443ED">
        <w:t>–</w:t>
      </w:r>
      <w:r w:rsidRPr="00AB5D82">
        <w:t>22 onwards (when COVID</w:t>
      </w:r>
      <w:r w:rsidR="00EE3C04">
        <w:noBreakHyphen/>
      </w:r>
      <w:r w:rsidRPr="00AB5D82">
        <w:t xml:space="preserve">19 became widespread) (Chart </w:t>
      </w:r>
      <w:r w:rsidR="001214F5">
        <w:t>5</w:t>
      </w:r>
      <w:r w:rsidRPr="00AB5D82">
        <w:t xml:space="preserve">). Subsequent </w:t>
      </w:r>
      <w:r w:rsidR="00460914">
        <w:t>P</w:t>
      </w:r>
      <w:r w:rsidRPr="00AB5D82">
        <w:t xml:space="preserve">opulation </w:t>
      </w:r>
      <w:r w:rsidR="00460914">
        <w:t>S</w:t>
      </w:r>
      <w:r w:rsidRPr="00AB5D82">
        <w:t>tatements updated this expectation, using data on COVID</w:t>
      </w:r>
      <w:r w:rsidR="00EE3C04">
        <w:noBreakHyphen/>
      </w:r>
      <w:r w:rsidRPr="00AB5D82">
        <w:t xml:space="preserve">19 deaths to provide a more realistic forecast of deaths. </w:t>
      </w:r>
    </w:p>
    <w:p w14:paraId="642F570A" w14:textId="4D44BA96" w:rsidR="00F77F98" w:rsidRDefault="00F77F98" w:rsidP="0003064F">
      <w:pPr>
        <w:pStyle w:val="ChartMainHeading"/>
      </w:pPr>
      <w:r w:rsidRPr="00AB5D82">
        <w:lastRenderedPageBreak/>
        <w:t>Difference between births and deaths forecast and outcome</w:t>
      </w:r>
    </w:p>
    <w:tbl>
      <w:tblPr>
        <w:tblW w:w="5000" w:type="pct"/>
        <w:tblLayout w:type="fixed"/>
        <w:tblLook w:val="0020" w:firstRow="1" w:lastRow="0" w:firstColumn="0" w:lastColumn="0" w:noHBand="0" w:noVBand="0"/>
      </w:tblPr>
      <w:tblGrid>
        <w:gridCol w:w="4535"/>
        <w:gridCol w:w="4535"/>
      </w:tblGrid>
      <w:tr w:rsidR="008B7FD0" w:rsidRPr="00EE3C04" w14:paraId="52FE114A" w14:textId="77777777" w:rsidTr="008F5BFC">
        <w:trPr>
          <w:cantSplit/>
        </w:trPr>
        <w:tc>
          <w:tcPr>
            <w:tcW w:w="4535" w:type="dxa"/>
          </w:tcPr>
          <w:p w14:paraId="32907152" w14:textId="50BF8700" w:rsidR="008B7FD0" w:rsidRPr="00EE3C04" w:rsidRDefault="008B7FD0" w:rsidP="00704137">
            <w:pPr>
              <w:pStyle w:val="ChartSecondHeading"/>
            </w:pPr>
            <w:r w:rsidRPr="00EE3C04">
              <w:t>Births</w:t>
            </w:r>
          </w:p>
        </w:tc>
        <w:tc>
          <w:tcPr>
            <w:tcW w:w="4535" w:type="dxa"/>
          </w:tcPr>
          <w:p w14:paraId="6A5827DC" w14:textId="447B5190" w:rsidR="008B7FD0" w:rsidRPr="00EE3C04" w:rsidRDefault="008B7FD0" w:rsidP="00704137">
            <w:pPr>
              <w:pStyle w:val="ChartSecondHeading"/>
            </w:pPr>
            <w:r w:rsidRPr="00EE3C04">
              <w:t>Deaths</w:t>
            </w:r>
          </w:p>
        </w:tc>
      </w:tr>
      <w:tr w:rsidR="008B7FD0" w:rsidRPr="00EE3C04" w14:paraId="63025B0A" w14:textId="77777777" w:rsidTr="008F5BFC">
        <w:trPr>
          <w:cantSplit/>
          <w:trHeight w:val="3839"/>
        </w:trPr>
        <w:tc>
          <w:tcPr>
            <w:tcW w:w="4535" w:type="dxa"/>
          </w:tcPr>
          <w:p w14:paraId="77EA3313" w14:textId="3469E4A8" w:rsidR="008B7FD0" w:rsidRPr="00EE3C04" w:rsidRDefault="007161BF" w:rsidP="00704137">
            <w:pPr>
              <w:pStyle w:val="ChartGraphic"/>
            </w:pPr>
            <w:r w:rsidRPr="00EE3C04">
              <w:rPr>
                <w:noProof/>
              </w:rPr>
              <w:drawing>
                <wp:inline distT="0" distB="0" distL="0" distR="0" wp14:anchorId="3B63A825" wp14:editId="4C1B5699">
                  <wp:extent cx="2772000" cy="2910632"/>
                  <wp:effectExtent l="0" t="0" r="0" b="4445"/>
                  <wp:docPr id="1604964887" name="Picture 21" descr="This chart shows the difference between previous population statements’ births forecasts from 2019–20 to 2023–24, and the outcome. &#10;The largest differences for births were in 2022–23 and 2023–24, which were overestimated in the 2020, 2021, 2022 and 2023 Population Statements. Forecasts for 2023-24 were slightly underestimated in the 2024 Population Stat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4887" name="Picture 21" descr="This chart shows the difference between previous population statements’ births forecasts from 2019–20 to 2023–24, and the outcome. &#10;The largest differences for births were in 2022–23 and 2023–24, which were overestimated in the 2020, 2021, 2022 and 2023 Population Statements. Forecasts for 2023-24 were slightly underestimated in the 2024 Population Statemen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2000" cy="2910632"/>
                          </a:xfrm>
                          <a:prstGeom prst="rect">
                            <a:avLst/>
                          </a:prstGeom>
                          <a:noFill/>
                          <a:ln>
                            <a:noFill/>
                          </a:ln>
                        </pic:spPr>
                      </pic:pic>
                    </a:graphicData>
                  </a:graphic>
                </wp:inline>
              </w:drawing>
            </w:r>
          </w:p>
        </w:tc>
        <w:tc>
          <w:tcPr>
            <w:tcW w:w="4535" w:type="dxa"/>
          </w:tcPr>
          <w:p w14:paraId="6EB64F05" w14:textId="153FEB8D" w:rsidR="008B7FD0" w:rsidRPr="00EE3C04" w:rsidRDefault="002701DB" w:rsidP="00704137">
            <w:pPr>
              <w:pStyle w:val="ChartGraphic"/>
            </w:pPr>
            <w:r w:rsidRPr="00EE3C04">
              <w:rPr>
                <w:noProof/>
              </w:rPr>
              <w:drawing>
                <wp:inline distT="0" distB="0" distL="0" distR="0" wp14:anchorId="2F108EA9" wp14:editId="7D2EFCF4">
                  <wp:extent cx="2787700" cy="2880000"/>
                  <wp:effectExtent l="0" t="0" r="0" b="0"/>
                  <wp:docPr id="384168058" name="Picture 6" descr="This chart shows the difference between previous population statements’ deaths forecasts from 2019–20 to 2023–24, and the outcome.&#10;In the 2020, 2021, and 2022 statements, deaths were overestimated for 2019–20 and 2020–21 and underestimated thereafter. In the 2023 and 2024 releases, forecast misses have been comparatively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68058" name="Picture 6" descr="This chart shows the difference between previous population statements’ deaths forecasts from 2019–20 to 2023–24, and the outcome.&#10;In the 2020, 2021, and 2022 statements, deaths were overestimated for 2019–20 and 2020–21 and underestimated thereafter. In the 2023 and 2024 releases, forecast misses have been comparatively small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7700" cy="2880000"/>
                          </a:xfrm>
                          <a:prstGeom prst="rect">
                            <a:avLst/>
                          </a:prstGeom>
                          <a:noFill/>
                          <a:ln>
                            <a:noFill/>
                          </a:ln>
                        </pic:spPr>
                      </pic:pic>
                    </a:graphicData>
                  </a:graphic>
                </wp:inline>
              </w:drawing>
            </w:r>
          </w:p>
        </w:tc>
      </w:tr>
    </w:tbl>
    <w:p w14:paraId="79DB611C" w14:textId="7B1F7C9E" w:rsidR="00F77F98" w:rsidRPr="00AB5D82" w:rsidRDefault="00F77F98" w:rsidP="008F5BFC">
      <w:pPr>
        <w:pStyle w:val="Source"/>
      </w:pPr>
      <w:r w:rsidRPr="008F5BFC">
        <w:t>Source</w:t>
      </w:r>
      <w:r w:rsidRPr="00AB5D82">
        <w:t>:</w:t>
      </w:r>
      <w:r w:rsidRPr="00AB5D82">
        <w:tab/>
        <w:t xml:space="preserve">ABS, </w:t>
      </w:r>
      <w:r w:rsidRPr="008F5BFC">
        <w:rPr>
          <w:i/>
          <w:iCs/>
        </w:rPr>
        <w:t xml:space="preserve">National, state and territory population, </w:t>
      </w:r>
      <w:r w:rsidR="006004F9" w:rsidRPr="008F5BFC">
        <w:rPr>
          <w:i/>
          <w:iCs/>
        </w:rPr>
        <w:t xml:space="preserve">March </w:t>
      </w:r>
      <w:r w:rsidRPr="008F5BFC">
        <w:rPr>
          <w:i/>
          <w:iCs/>
        </w:rPr>
        <w:t>202</w:t>
      </w:r>
      <w:r w:rsidR="006004F9" w:rsidRPr="008F5BFC">
        <w:rPr>
          <w:i/>
          <w:iCs/>
        </w:rPr>
        <w:t>5</w:t>
      </w:r>
      <w:r w:rsidR="00576A75">
        <w:t xml:space="preserve">; </w:t>
      </w:r>
      <w:r w:rsidRPr="00AB5D82">
        <w:t>Centre for Population projections</w:t>
      </w:r>
      <w:r w:rsidR="001B5BD4">
        <w:t>.</w:t>
      </w:r>
    </w:p>
    <w:p w14:paraId="4F4FC478" w14:textId="57190A97" w:rsidR="00F77F98" w:rsidRDefault="00F77F98" w:rsidP="00F77F98">
      <w:pPr>
        <w:pStyle w:val="Heading3Numbered"/>
      </w:pPr>
      <w:r>
        <w:t>Projections by age</w:t>
      </w:r>
    </w:p>
    <w:p w14:paraId="297B215F" w14:textId="2F8C35B4" w:rsidR="00F77F98" w:rsidRPr="00AB5D82" w:rsidRDefault="00143683" w:rsidP="00C504C5">
      <w:r>
        <w:t>Except fo</w:t>
      </w:r>
      <w:r w:rsidR="00283769">
        <w:t>r</w:t>
      </w:r>
      <w:r w:rsidR="00DE3E8B">
        <w:t xml:space="preserve"> the 2024 Population Statement</w:t>
      </w:r>
      <w:r w:rsidR="00D90BB3">
        <w:t>, p</w:t>
      </w:r>
      <w:r w:rsidR="00F77F98" w:rsidRPr="00AB5D82">
        <w:t>rojections for 2023–24 underestimated the number of 20</w:t>
      </w:r>
      <w:r w:rsidR="00730D80" w:rsidRPr="00AB5D82">
        <w:t>–</w:t>
      </w:r>
      <w:r w:rsidR="00730D80">
        <w:t>‍</w:t>
      </w:r>
      <w:r w:rsidR="00F77F98" w:rsidRPr="00AB5D82">
        <w:t>29</w:t>
      </w:r>
      <w:r w:rsidR="00730D80">
        <w:t> </w:t>
      </w:r>
      <w:r w:rsidR="00F77F98" w:rsidRPr="00AB5D82">
        <w:t>year</w:t>
      </w:r>
      <w:r w:rsidR="00EE3C04">
        <w:noBreakHyphen/>
      </w:r>
      <w:r w:rsidR="00F77F98" w:rsidRPr="00AB5D82">
        <w:t>olds, and to a lesser extent, 30–</w:t>
      </w:r>
      <w:r w:rsidR="00915FBD">
        <w:t>‍</w:t>
      </w:r>
      <w:r w:rsidR="00F77F98" w:rsidRPr="00AB5D82">
        <w:t>39</w:t>
      </w:r>
      <w:r w:rsidR="00915FBD">
        <w:rPr>
          <w:rFonts w:eastAsia="Calibri"/>
        </w:rPr>
        <w:t> </w:t>
      </w:r>
      <w:r w:rsidR="00F77F98" w:rsidRPr="00AB5D82">
        <w:t>year</w:t>
      </w:r>
      <w:r w:rsidR="00EE3C04">
        <w:noBreakHyphen/>
      </w:r>
      <w:r w:rsidR="00F77F98" w:rsidRPr="00AB5D82">
        <w:t xml:space="preserve">olds. The younger cohort was underestimated by approximately </w:t>
      </w:r>
      <w:r w:rsidR="00057F3F">
        <w:t>8</w:t>
      </w:r>
      <w:r w:rsidR="00730D80">
        <w:t> </w:t>
      </w:r>
      <w:r w:rsidR="00F77F98" w:rsidRPr="00AB5D82">
        <w:t xml:space="preserve">per cent </w:t>
      </w:r>
      <w:r w:rsidR="00057F3F">
        <w:t>or more</w:t>
      </w:r>
      <w:r w:rsidR="00F77F98" w:rsidRPr="00AB5D82">
        <w:t xml:space="preserve"> </w:t>
      </w:r>
      <w:r w:rsidR="00D370BB">
        <w:t>in</w:t>
      </w:r>
      <w:r w:rsidR="00F42470">
        <w:t xml:space="preserve"> the 202</w:t>
      </w:r>
      <w:r w:rsidR="00D370BB">
        <w:t>0</w:t>
      </w:r>
      <w:r w:rsidR="0045792C">
        <w:t>,</w:t>
      </w:r>
      <w:r w:rsidR="000B4A79">
        <w:t xml:space="preserve"> 202</w:t>
      </w:r>
      <w:r w:rsidR="00D370BB">
        <w:t>1</w:t>
      </w:r>
      <w:r w:rsidR="000B4A79">
        <w:t xml:space="preserve"> </w:t>
      </w:r>
      <w:r w:rsidR="0045792C">
        <w:t xml:space="preserve">and 2022 </w:t>
      </w:r>
      <w:r w:rsidR="000B4A79">
        <w:t xml:space="preserve">Population </w:t>
      </w:r>
      <w:r w:rsidR="00A128F1">
        <w:t>S</w:t>
      </w:r>
      <w:r w:rsidR="000B4A79">
        <w:t>tatements</w:t>
      </w:r>
      <w:r w:rsidR="00D370BB">
        <w:t xml:space="preserve">, </w:t>
      </w:r>
      <w:r w:rsidR="000B4A79">
        <w:t xml:space="preserve">and </w:t>
      </w:r>
      <w:r w:rsidR="00CC08AC">
        <w:t>3 per cent</w:t>
      </w:r>
      <w:r w:rsidR="00B86979">
        <w:t xml:space="preserve"> </w:t>
      </w:r>
      <w:r w:rsidR="00CC08AC">
        <w:t>for the 2023</w:t>
      </w:r>
      <w:r w:rsidR="006C5AD6">
        <w:t> </w:t>
      </w:r>
      <w:r w:rsidR="00A128F1">
        <w:t>S</w:t>
      </w:r>
      <w:r w:rsidR="00CC08AC">
        <w:t>tatement</w:t>
      </w:r>
      <w:r w:rsidR="00F77F98" w:rsidRPr="00AB5D82">
        <w:t xml:space="preserve"> (Chart </w:t>
      </w:r>
      <w:r w:rsidR="00E7419D">
        <w:t>6</w:t>
      </w:r>
      <w:r w:rsidR="00F77F98" w:rsidRPr="00AB5D82">
        <w:t xml:space="preserve">). These misses are mostly due to underestimating migration by temporary visa holders, particularly international students, who tend to be in these age ranges. </w:t>
      </w:r>
    </w:p>
    <w:p w14:paraId="0DAFFE5E" w14:textId="60952343" w:rsidR="00F77F98" w:rsidRPr="00AB5D82" w:rsidRDefault="00F77F98" w:rsidP="00052ACC">
      <w:pPr>
        <w:pStyle w:val="ChartMainHeading"/>
      </w:pPr>
      <w:r w:rsidRPr="00AB5D82">
        <w:t>Difference between forecast and outcomes, by age</w:t>
      </w:r>
    </w:p>
    <w:p w14:paraId="4168C65D" w14:textId="538E8EF0" w:rsidR="007E47E5" w:rsidRDefault="007E47E5" w:rsidP="006C5AD6">
      <w:pPr>
        <w:pStyle w:val="ChartGraphic"/>
        <w:rPr>
          <w:rFonts w:cs="Calibri"/>
        </w:rPr>
      </w:pPr>
      <w:r w:rsidRPr="007E47E5">
        <w:rPr>
          <w:noProof/>
        </w:rPr>
        <w:drawing>
          <wp:inline distT="0" distB="0" distL="0" distR="0" wp14:anchorId="5789142C" wp14:editId="414E4912">
            <wp:extent cx="5586095" cy="2882265"/>
            <wp:effectExtent l="0" t="0" r="0" b="0"/>
            <wp:docPr id="1293499334" name="Picture 8" descr="This chart shows the percentage difference between 2023–24 population forecasts by age group in previous Population Statements, and outcomes. It shows that the 2024 Population Statement contains the smallest forecast errors. The 2020 Population Statement shows the biggest forecast errors, significantly overestimating the 0-9 age group. The 2021 and 2022 releases  significantly underestimated the 20-29 age group. All of the releases except for 2024 have overestimated the 80+ ag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99334" name="Picture 8" descr="This chart shows the percentage difference between 2023–24 population forecasts by age group in previous Population Statements, and outcomes. It shows that the 2024 Population Statement contains the smallest forecast errors. The 2020 Population Statement shows the biggest forecast errors, significantly overestimating the 0-9 age group. The 2021 and 2022 releases  significantly underestimated the 20-29 age group. All of the releases except for 2024 have overestimated the 80+ age group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6095" cy="2882265"/>
                    </a:xfrm>
                    <a:prstGeom prst="rect">
                      <a:avLst/>
                    </a:prstGeom>
                    <a:noFill/>
                    <a:ln>
                      <a:noFill/>
                    </a:ln>
                  </pic:spPr>
                </pic:pic>
              </a:graphicData>
            </a:graphic>
          </wp:inline>
        </w:drawing>
      </w:r>
    </w:p>
    <w:p w14:paraId="3EEFBDA0" w14:textId="3E59F418" w:rsidR="0060018C" w:rsidRDefault="0060018C" w:rsidP="006C5AD6">
      <w:pPr>
        <w:pStyle w:val="Source"/>
      </w:pPr>
      <w:r w:rsidRPr="006C5AD6">
        <w:t>Note</w:t>
      </w:r>
      <w:r>
        <w:t xml:space="preserve">: </w:t>
      </w:r>
      <w:r>
        <w:tab/>
      </w:r>
      <w:r w:rsidRPr="008F5BFC">
        <w:t>Forecast</w:t>
      </w:r>
      <w:r>
        <w:t xml:space="preserve"> comparisons are made to the 2023</w:t>
      </w:r>
      <w:r w:rsidRPr="00AB5D82">
        <w:t>–</w:t>
      </w:r>
      <w:r>
        <w:t>24 actuals.</w:t>
      </w:r>
    </w:p>
    <w:p w14:paraId="33BE1146" w14:textId="762D9407" w:rsidR="00F77F98" w:rsidRPr="00AB5D82" w:rsidRDefault="00F77F98" w:rsidP="008F5BFC">
      <w:pPr>
        <w:pStyle w:val="Source"/>
      </w:pPr>
      <w:r w:rsidRPr="008F5BFC">
        <w:t>Source</w:t>
      </w:r>
      <w:r w:rsidRPr="00AB5D82">
        <w:t>:</w:t>
      </w:r>
      <w:r w:rsidRPr="00AB5D82">
        <w:tab/>
        <w:t xml:space="preserve">ABS, </w:t>
      </w:r>
      <w:r w:rsidRPr="008F5BFC">
        <w:rPr>
          <w:i/>
          <w:iCs/>
        </w:rPr>
        <w:t xml:space="preserve">National, state and territory population, </w:t>
      </w:r>
      <w:r w:rsidR="006004F9" w:rsidRPr="008F5BFC">
        <w:rPr>
          <w:i/>
          <w:iCs/>
        </w:rPr>
        <w:t xml:space="preserve">March </w:t>
      </w:r>
      <w:r w:rsidRPr="008F5BFC">
        <w:rPr>
          <w:i/>
          <w:iCs/>
        </w:rPr>
        <w:t>202</w:t>
      </w:r>
      <w:r w:rsidR="006004F9" w:rsidRPr="008F5BFC">
        <w:rPr>
          <w:i/>
          <w:iCs/>
        </w:rPr>
        <w:t>5</w:t>
      </w:r>
      <w:r w:rsidR="00576A75">
        <w:t>;</w:t>
      </w:r>
      <w:r w:rsidRPr="00AB5D82">
        <w:t xml:space="preserve"> Centre for Population projections</w:t>
      </w:r>
      <w:r w:rsidR="001B5BD4">
        <w:t>.</w:t>
      </w:r>
    </w:p>
    <w:p w14:paraId="54BAC541" w14:textId="70D586AA" w:rsidR="00F77F98" w:rsidRDefault="00F77F98" w:rsidP="00F77F98">
      <w:pPr>
        <w:pStyle w:val="Heading3Numbered"/>
      </w:pPr>
      <w:r>
        <w:lastRenderedPageBreak/>
        <w:t>State and territory projections</w:t>
      </w:r>
    </w:p>
    <w:p w14:paraId="2974A97B" w14:textId="6184573F" w:rsidR="00F77F98" w:rsidRPr="00AB5D82" w:rsidRDefault="009556E9" w:rsidP="00C504C5">
      <w:r>
        <w:t>Early statements had large</w:t>
      </w:r>
      <w:r w:rsidR="000D6495">
        <w:t xml:space="preserve"> f</w:t>
      </w:r>
      <w:r w:rsidR="00F77F98" w:rsidRPr="00AB5D82">
        <w:t xml:space="preserve">orecast misses </w:t>
      </w:r>
      <w:r w:rsidR="000D6495">
        <w:t>for</w:t>
      </w:r>
      <w:r w:rsidR="00F77F98" w:rsidRPr="00AB5D82">
        <w:t xml:space="preserve"> Western Australia and the Australian Capital Territory (Chart </w:t>
      </w:r>
      <w:r w:rsidR="00B83213">
        <w:t>7</w:t>
      </w:r>
      <w:r w:rsidR="00F77F98" w:rsidRPr="00AB5D82">
        <w:t xml:space="preserve">). The 2020 Population Statement underestimated population </w:t>
      </w:r>
      <w:r w:rsidR="00A46E19">
        <w:t>growth</w:t>
      </w:r>
      <w:r w:rsidR="00F77F98" w:rsidRPr="00AB5D82">
        <w:t xml:space="preserve"> in 2023</w:t>
      </w:r>
      <w:r w:rsidR="009443ED" w:rsidRPr="009443ED">
        <w:t>–</w:t>
      </w:r>
      <w:r w:rsidR="00F77F98" w:rsidRPr="00AB5D82">
        <w:t xml:space="preserve">24 by </w:t>
      </w:r>
      <w:r w:rsidR="00FE340D">
        <w:t>8</w:t>
      </w:r>
      <w:r w:rsidR="004C092B">
        <w:t> </w:t>
      </w:r>
      <w:r w:rsidR="004C092B" w:rsidRPr="00AB5D82">
        <w:t>per</w:t>
      </w:r>
      <w:r w:rsidR="004C092B">
        <w:t> </w:t>
      </w:r>
      <w:r w:rsidR="00F77F98" w:rsidRPr="00AB5D82">
        <w:t xml:space="preserve">cent for </w:t>
      </w:r>
      <w:r w:rsidR="00D236F8">
        <w:t xml:space="preserve">both </w:t>
      </w:r>
      <w:r w:rsidR="00F77F98" w:rsidRPr="00AB5D82">
        <w:t xml:space="preserve">these states, with the 2021 Population Statement </w:t>
      </w:r>
      <w:r w:rsidR="00682AFE">
        <w:t xml:space="preserve">having </w:t>
      </w:r>
      <w:r w:rsidR="00F77F98" w:rsidRPr="00AB5D82">
        <w:t>similar misses. By the 2023</w:t>
      </w:r>
      <w:r w:rsidR="00517BD0">
        <w:t> </w:t>
      </w:r>
      <w:r w:rsidR="00F77F98" w:rsidRPr="00AB5D82">
        <w:t xml:space="preserve">Population Statement, state forecasts were more aligned with the latest estimates for 2023–24, reflecting the incorporation of updated </w:t>
      </w:r>
      <w:r w:rsidR="007D72FD">
        <w:t xml:space="preserve">historical </w:t>
      </w:r>
      <w:r w:rsidR="00F77F98" w:rsidRPr="00AB5D82">
        <w:t>data.</w:t>
      </w:r>
    </w:p>
    <w:p w14:paraId="263CA8E5" w14:textId="07B03191" w:rsidR="00791FD5" w:rsidRDefault="00F77F98" w:rsidP="00791FD5">
      <w:pPr>
        <w:pStyle w:val="ChartMainHeading"/>
      </w:pPr>
      <w:r w:rsidRPr="00AB5D82">
        <w:t>Difference between population forecasts and outcomes, by state</w:t>
      </w:r>
    </w:p>
    <w:p w14:paraId="7B8E3947" w14:textId="1A385208" w:rsidR="006C5AD6" w:rsidRPr="006C5AD6" w:rsidRDefault="006C5AD6" w:rsidP="006C5AD6">
      <w:pPr>
        <w:pStyle w:val="ChartGraphic"/>
        <w:rPr>
          <w:lang w:eastAsia="en-US"/>
        </w:rPr>
      </w:pPr>
      <w:r w:rsidRPr="006C5AD6">
        <w:rPr>
          <w:noProof/>
        </w:rPr>
        <w:drawing>
          <wp:inline distT="0" distB="0" distL="0" distR="0" wp14:anchorId="7DAFAC7B" wp14:editId="04B987AC">
            <wp:extent cx="5531432" cy="2844000"/>
            <wp:effectExtent l="0" t="0" r="0" b="0"/>
            <wp:docPr id="1056663583" name="Picture 7" descr="This chart shows the percentage difference between the 2020 to 2024 Population Statement forecasts for 2023–24, and the population outcome, by state and territory. The 2020 Population Statement shows the biggest forecast errors, underestimating the populations of all of the states and territories, barring Victoria. The largest forecast misses have occurred in the Northern Territory, Western Australian and the Australian Capital Territory. Forecast errors have tended to get smaller in later sta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85647" name="Picture 7" descr="This chart shows the percentage difference between the 2020 to 2024 Population Statement forecasts for 2023–24, and the population outcome, by state and territory. The 2020 Population Statement shows the biggest forecast errors, underestimating the populations of all of the states and territories, barring Victoria. The largest forecast misses have occurred in the Northern Territory, Western Australian and the Australian Capital Territory. Forecast errors have tended to get smaller in later statemen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1432" cy="2844000"/>
                    </a:xfrm>
                    <a:prstGeom prst="rect">
                      <a:avLst/>
                    </a:prstGeom>
                    <a:noFill/>
                    <a:ln>
                      <a:noFill/>
                    </a:ln>
                  </pic:spPr>
                </pic:pic>
              </a:graphicData>
            </a:graphic>
          </wp:inline>
        </w:drawing>
      </w:r>
    </w:p>
    <w:p w14:paraId="645F5E51" w14:textId="64D33626" w:rsidR="00E27503" w:rsidRPr="00AB5D82" w:rsidRDefault="00E27503" w:rsidP="006C5AD6">
      <w:pPr>
        <w:pStyle w:val="Source"/>
      </w:pPr>
      <w:r>
        <w:t xml:space="preserve">Note: </w:t>
      </w:r>
      <w:r>
        <w:tab/>
      </w:r>
      <w:r w:rsidRPr="006C5AD6">
        <w:t>Forecast</w:t>
      </w:r>
      <w:r>
        <w:t xml:space="preserve"> comparisons are made to the 2023</w:t>
      </w:r>
      <w:r w:rsidRPr="009443ED">
        <w:t>–</w:t>
      </w:r>
      <w:r>
        <w:t xml:space="preserve">24 actuals. </w:t>
      </w:r>
    </w:p>
    <w:p w14:paraId="5A345C39" w14:textId="53DA034B" w:rsidR="00F77F98" w:rsidRPr="00AB5D82" w:rsidRDefault="00F77F98" w:rsidP="006C5AD6">
      <w:pPr>
        <w:pStyle w:val="Source"/>
        <w:rPr>
          <w:rFonts w:cs="Calibri"/>
          <w:sz w:val="20"/>
        </w:rPr>
      </w:pPr>
      <w:r w:rsidRPr="006C5AD6">
        <w:t>Source</w:t>
      </w:r>
      <w:r w:rsidRPr="00AB5D82">
        <w:rPr>
          <w:rFonts w:cs="Calibri"/>
          <w:sz w:val="20"/>
        </w:rPr>
        <w:t>:</w:t>
      </w:r>
      <w:r w:rsidRPr="00AB5D82">
        <w:rPr>
          <w:rFonts w:cs="Calibri"/>
          <w:sz w:val="20"/>
        </w:rPr>
        <w:tab/>
        <w:t xml:space="preserve">ABS, </w:t>
      </w:r>
      <w:r w:rsidRPr="00AB798C">
        <w:rPr>
          <w:i/>
          <w:iCs/>
        </w:rPr>
        <w:t xml:space="preserve">National, state and territory population, </w:t>
      </w:r>
      <w:r w:rsidR="006004F9" w:rsidRPr="00AB798C">
        <w:rPr>
          <w:i/>
          <w:iCs/>
        </w:rPr>
        <w:t xml:space="preserve">March </w:t>
      </w:r>
      <w:r w:rsidRPr="00AB798C">
        <w:rPr>
          <w:i/>
          <w:iCs/>
        </w:rPr>
        <w:t>202</w:t>
      </w:r>
      <w:r w:rsidR="006004F9" w:rsidRPr="00AB798C">
        <w:rPr>
          <w:i/>
          <w:iCs/>
        </w:rPr>
        <w:t>5</w:t>
      </w:r>
      <w:r w:rsidR="00576A75" w:rsidRPr="006C5AD6">
        <w:t>;</w:t>
      </w:r>
      <w:r w:rsidRPr="006C5AD6">
        <w:t xml:space="preserve"> Centre for Population projections</w:t>
      </w:r>
      <w:r w:rsidR="001B5BD4" w:rsidRPr="006C5AD6">
        <w:t>.</w:t>
      </w:r>
    </w:p>
    <w:p w14:paraId="594ECF8B" w14:textId="79B8507A" w:rsidR="00F77F98" w:rsidRDefault="00F77F98" w:rsidP="00F77F98">
      <w:pPr>
        <w:pStyle w:val="Heading3Numbered"/>
      </w:pPr>
      <w:r>
        <w:t>State forecast components</w:t>
      </w:r>
    </w:p>
    <w:p w14:paraId="741DA4E5" w14:textId="2B166949" w:rsidR="00F77F98" w:rsidRPr="00AB5D82" w:rsidRDefault="00F77F98" w:rsidP="00C504C5">
      <w:r w:rsidRPr="00AB5D82">
        <w:t xml:space="preserve">The charts below illustrate the difference between forecasts and ABS actuals for each state and territory in 2023–24, as published in the first four </w:t>
      </w:r>
      <w:r w:rsidR="00AF5607">
        <w:t>P</w:t>
      </w:r>
      <w:r w:rsidRPr="00AB5D82">
        <w:t xml:space="preserve">opulation </w:t>
      </w:r>
      <w:r w:rsidR="00AF5607">
        <w:t>S</w:t>
      </w:r>
      <w:r w:rsidRPr="00AB5D82">
        <w:t>tatements, broken down by components of growth (Chart</w:t>
      </w:r>
      <w:r w:rsidR="00517BD0">
        <w:t> </w:t>
      </w:r>
      <w:r w:rsidR="001D0D9D">
        <w:t>8</w:t>
      </w:r>
      <w:r w:rsidRPr="00AB5D82">
        <w:t>).</w:t>
      </w:r>
      <w:r w:rsidR="00DD5D81">
        <w:t xml:space="preserve"> </w:t>
      </w:r>
    </w:p>
    <w:p w14:paraId="304BE2C6" w14:textId="01A8FBDD" w:rsidR="00F77F98" w:rsidRPr="00AB5D82" w:rsidRDefault="00F77F98" w:rsidP="00C504C5">
      <w:r w:rsidRPr="00AB5D82">
        <w:t xml:space="preserve">Underestimation of NOM was the primary driver of forecast </w:t>
      </w:r>
      <w:r w:rsidR="00D6409C">
        <w:t>misses</w:t>
      </w:r>
      <w:r w:rsidRPr="00AB5D82">
        <w:t>, with impacts distributed relatively evenly. Tasmania was least affected by NOM misses, reflecting the fact that the state received only a small share of the pick</w:t>
      </w:r>
      <w:r w:rsidR="00EE3C04">
        <w:noBreakHyphen/>
      </w:r>
      <w:r w:rsidRPr="00AB5D82">
        <w:t>up in migrant arrivals post</w:t>
      </w:r>
      <w:r w:rsidR="00EE3C04">
        <w:noBreakHyphen/>
      </w:r>
      <w:r w:rsidRPr="00AB5D82">
        <w:t xml:space="preserve">pandemic. By contrast, </w:t>
      </w:r>
      <w:r w:rsidR="00D6409C" w:rsidRPr="00AB5D82">
        <w:t>W</w:t>
      </w:r>
      <w:r w:rsidR="00D6409C">
        <w:t>estern Australia</w:t>
      </w:r>
      <w:r w:rsidR="00D6409C" w:rsidRPr="00AB5D82">
        <w:t xml:space="preserve"> </w:t>
      </w:r>
      <w:r w:rsidRPr="00AB5D82">
        <w:t>was more affected as it received an unexpectedly large share of migrant arrivals.</w:t>
      </w:r>
    </w:p>
    <w:p w14:paraId="6A4789E3" w14:textId="6DBD31FB" w:rsidR="00F77F98" w:rsidRPr="00AB5D82" w:rsidRDefault="00F77F98" w:rsidP="00C504C5">
      <w:r w:rsidRPr="00AB5D82">
        <w:t xml:space="preserve">Forecast </w:t>
      </w:r>
      <w:r w:rsidR="00D6409C">
        <w:t>misses</w:t>
      </w:r>
      <w:r w:rsidR="00D6409C" w:rsidRPr="00AB5D82">
        <w:t xml:space="preserve"> </w:t>
      </w:r>
      <w:r w:rsidRPr="00AB5D82">
        <w:t>in the 2020 and 2021 Population Statements were further influenced by subsequent revisions to population data following the 2021 Census. This became the second largest contributor to the overall error. Tasmania and the Australian Capital Territory had the largest adjustments, contributing up to 4 per cent</w:t>
      </w:r>
      <w:r w:rsidR="001B5BD4">
        <w:t xml:space="preserve">. </w:t>
      </w:r>
    </w:p>
    <w:p w14:paraId="5581C000" w14:textId="0E334CF1" w:rsidR="00F77F98" w:rsidRPr="00AB5D82" w:rsidRDefault="00F77F98" w:rsidP="00C504C5">
      <w:r w:rsidRPr="00AB5D82">
        <w:t xml:space="preserve">Net interstate migration was the third major source of forecast </w:t>
      </w:r>
      <w:r w:rsidR="009C5A3E">
        <w:t>misses</w:t>
      </w:r>
      <w:r w:rsidRPr="00AB5D82">
        <w:t>, with the distribution varying by jurisdiction. The Northern Territory and Western Australia recorded the largest NIM misses in the 2020</w:t>
      </w:r>
      <w:r w:rsidR="001D4638">
        <w:t> </w:t>
      </w:r>
      <w:r w:rsidRPr="00AB5D82">
        <w:t xml:space="preserve">Population Statement, while Tasmania saw the highest deviation in the 2021 Population Statement. </w:t>
      </w:r>
    </w:p>
    <w:p w14:paraId="6DAFA779" w14:textId="611B7C9C" w:rsidR="00F77F98" w:rsidRPr="00AB5D82" w:rsidRDefault="00F96D6E" w:rsidP="00C504C5">
      <w:r>
        <w:lastRenderedPageBreak/>
        <w:t>Forecasting</w:t>
      </w:r>
      <w:r w:rsidR="00F77F98" w:rsidRPr="00AB5D82">
        <w:t xml:space="preserve"> accuracy </w:t>
      </w:r>
      <w:r w:rsidR="00623096">
        <w:t xml:space="preserve">for </w:t>
      </w:r>
      <w:r w:rsidR="00623096" w:rsidRPr="00AB5D82">
        <w:t>2023</w:t>
      </w:r>
      <w:r w:rsidR="00623096" w:rsidRPr="009443ED">
        <w:t>–</w:t>
      </w:r>
      <w:r w:rsidR="00623096" w:rsidRPr="00AB5D82">
        <w:t>24</w:t>
      </w:r>
      <w:r w:rsidR="00623096">
        <w:t xml:space="preserve"> </w:t>
      </w:r>
      <w:r>
        <w:t xml:space="preserve">improved </w:t>
      </w:r>
      <w:r w:rsidR="00F77F98" w:rsidRPr="00AB5D82">
        <w:t xml:space="preserve">for </w:t>
      </w:r>
      <w:r>
        <w:t xml:space="preserve">the 2022 Population </w:t>
      </w:r>
      <w:r w:rsidR="00E14625">
        <w:t>S</w:t>
      </w:r>
      <w:r>
        <w:t>tatement</w:t>
      </w:r>
      <w:r w:rsidR="00E51167">
        <w:t xml:space="preserve"> </w:t>
      </w:r>
      <w:r w:rsidR="00F77F98" w:rsidRPr="00AB5D82">
        <w:t xml:space="preserve">supported by </w:t>
      </w:r>
      <w:r w:rsidR="003B17E6">
        <w:t xml:space="preserve">updated </w:t>
      </w:r>
      <w:r w:rsidR="00E14625">
        <w:t xml:space="preserve">historical </w:t>
      </w:r>
      <w:r w:rsidR="003B17E6">
        <w:t>data</w:t>
      </w:r>
      <w:r w:rsidR="00F77F98" w:rsidRPr="00AB5D82">
        <w:t>. NOM continued to be slightly underestimated in the 2022 Population Statement, but the 2023</w:t>
      </w:r>
      <w:r w:rsidR="009C4AD3">
        <w:t> </w:t>
      </w:r>
      <w:r w:rsidR="00F77F98" w:rsidRPr="00AB5D82">
        <w:t>Population Statement showed improvement across components</w:t>
      </w:r>
      <w:r w:rsidR="00EB25C9" w:rsidRPr="00AB5D82">
        <w:t>.</w:t>
      </w:r>
      <w:r w:rsidR="00565977">
        <w:rPr>
          <w:rStyle w:val="FootnoteReference"/>
          <w:rFonts w:cs="Calibri"/>
        </w:rPr>
        <w:footnoteReference w:id="16"/>
      </w:r>
      <w:r w:rsidR="00F77F98" w:rsidRPr="00AB5D82">
        <w:t xml:space="preserve"> </w:t>
      </w:r>
    </w:p>
    <w:p w14:paraId="4E0CD976" w14:textId="442EAFA3" w:rsidR="006F03D9" w:rsidRDefault="00F77F98" w:rsidP="00593978">
      <w:pPr>
        <w:pStyle w:val="ChartMainHeading"/>
      </w:pPr>
      <w:r w:rsidRPr="00AB5D82">
        <w:t>Components contribution to growth by state, difference between forecasts and</w:t>
      </w:r>
      <w:r w:rsidR="000C01AD">
        <w:t> </w:t>
      </w:r>
      <w:r w:rsidR="00C10C04" w:rsidRPr="00AB5D82">
        <w:t>outcom</w:t>
      </w:r>
      <w:r w:rsidR="00C10C04">
        <w:t>e</w:t>
      </w:r>
    </w:p>
    <w:tbl>
      <w:tblPr>
        <w:tblW w:w="5000" w:type="pct"/>
        <w:tblLayout w:type="fixed"/>
        <w:tblLook w:val="0020" w:firstRow="1" w:lastRow="0" w:firstColumn="0" w:lastColumn="0" w:noHBand="0" w:noVBand="0"/>
      </w:tblPr>
      <w:tblGrid>
        <w:gridCol w:w="4535"/>
        <w:gridCol w:w="4535"/>
      </w:tblGrid>
      <w:tr w:rsidR="007501D0" w:rsidRPr="00EE3C04" w14:paraId="5EB57287" w14:textId="77777777" w:rsidTr="006C5AD6">
        <w:trPr>
          <w:cantSplit/>
        </w:trPr>
        <w:tc>
          <w:tcPr>
            <w:tcW w:w="4535" w:type="dxa"/>
          </w:tcPr>
          <w:p w14:paraId="502291C4" w14:textId="5A01CFB3" w:rsidR="007501D0" w:rsidRPr="00EE3C04" w:rsidRDefault="007501D0" w:rsidP="00704137">
            <w:pPr>
              <w:pStyle w:val="ChartSecondHeading"/>
            </w:pPr>
            <w:r w:rsidRPr="00EE3C04">
              <w:t>2020 Population Statement</w:t>
            </w:r>
          </w:p>
        </w:tc>
        <w:tc>
          <w:tcPr>
            <w:tcW w:w="4535" w:type="dxa"/>
          </w:tcPr>
          <w:p w14:paraId="593EF121" w14:textId="69C7DCF9" w:rsidR="007501D0" w:rsidRPr="00EE3C04" w:rsidRDefault="007501D0" w:rsidP="00704137">
            <w:pPr>
              <w:pStyle w:val="ChartSecondHeading"/>
            </w:pPr>
            <w:r w:rsidRPr="00EE3C04">
              <w:t>2021 Population Statement</w:t>
            </w:r>
          </w:p>
        </w:tc>
      </w:tr>
      <w:tr w:rsidR="007501D0" w:rsidRPr="00EE3C04" w14:paraId="6F190D49" w14:textId="77777777" w:rsidTr="006C5AD6">
        <w:trPr>
          <w:cantSplit/>
          <w:trHeight w:val="3839"/>
        </w:trPr>
        <w:tc>
          <w:tcPr>
            <w:tcW w:w="4535" w:type="dxa"/>
          </w:tcPr>
          <w:p w14:paraId="71F78253" w14:textId="7EE387F0" w:rsidR="007501D0" w:rsidRPr="00EE3C04" w:rsidRDefault="00825E9B" w:rsidP="00704137">
            <w:pPr>
              <w:pStyle w:val="ChartGraphic"/>
            </w:pPr>
            <w:r w:rsidRPr="00EE3C04">
              <w:rPr>
                <w:noProof/>
              </w:rPr>
              <w:drawing>
                <wp:inline distT="0" distB="0" distL="0" distR="0" wp14:anchorId="1B443669" wp14:editId="6134EF97">
                  <wp:extent cx="2779602" cy="2880000"/>
                  <wp:effectExtent l="0" t="0" r="1905" b="0"/>
                  <wp:docPr id="1387595230" name="Picture 13" descr="This chart shows the percentage difference between outcomes and forecasts contained in the 2020 Population Statement, by components of population change, for 2023–24, for each of the states and territories.&#10;NOM errors were the largest of the forecasting errors. NOM was underestimated for all states and territories. &#10;ABS revisions contributed to underestimation in Western Australia, South Australia, Tasmania and Australian Capital Territory.&#10;NIM was underestimated in Queensland, Western Australia, South Australia, Northern Territory and Australian Capital Territory; and overestimated in New South Wales, Victoria and Tasmania.&#10;Births and deaths forecast errors were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95230" name="Picture 13" descr="This chart shows the percentage difference between outcomes and forecasts contained in the 2020 Population Statement, by components of population change, for 2023–24, for each of the states and territories.&#10;NOM errors were the largest of the forecasting errors. NOM was underestimated for all states and territories. &#10;ABS revisions contributed to underestimation in Western Australia, South Australia, Tasmania and Australian Capital Territory.&#10;NIM was underestimated in Queensland, Western Australia, South Australia, Northern Territory and Australian Capital Territory; and overestimated in New South Wales, Victoria and Tasmania.&#10;Births and deaths forecast errors were minim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9602" cy="2880000"/>
                          </a:xfrm>
                          <a:prstGeom prst="rect">
                            <a:avLst/>
                          </a:prstGeom>
                          <a:noFill/>
                          <a:ln>
                            <a:noFill/>
                          </a:ln>
                        </pic:spPr>
                      </pic:pic>
                    </a:graphicData>
                  </a:graphic>
                </wp:inline>
              </w:drawing>
            </w:r>
          </w:p>
        </w:tc>
        <w:tc>
          <w:tcPr>
            <w:tcW w:w="4535" w:type="dxa"/>
          </w:tcPr>
          <w:p w14:paraId="3F4FAFD3" w14:textId="7ADDDD46" w:rsidR="007501D0" w:rsidRPr="00EE3C04" w:rsidRDefault="00825E9B" w:rsidP="00704137">
            <w:pPr>
              <w:pStyle w:val="ChartGraphic"/>
            </w:pPr>
            <w:r w:rsidRPr="00EE3C04">
              <w:rPr>
                <w:noProof/>
              </w:rPr>
              <w:drawing>
                <wp:inline distT="0" distB="0" distL="0" distR="0" wp14:anchorId="720C0366" wp14:editId="2BAC5A95">
                  <wp:extent cx="2779602" cy="2880000"/>
                  <wp:effectExtent l="0" t="0" r="1905" b="0"/>
                  <wp:docPr id="988536643" name="Picture 14" descr="This chart shows the percentage difference between outcomes and forecasts contained in the 2021 Population Statement, by components of population change, for 2023–24, for each of the states and territories.&#10;NOM errors were the largest of the forecasting errors. NOM was underestimated for all states and territories.&#10;ABS revisions contributed to underestimation in Western Australia, South Australia, Tasmania and Australian Capital Territory.&#10;NIM was underestimated in Queensland, Western Australia, South Australia and the Australian Capital Territory; and overestimated in New South Wales, Victoria, Tasmania and Northern Territory. &#10;Births and deaths forecast errors were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6643" name="Picture 14" descr="This chart shows the percentage difference between outcomes and forecasts contained in the 2021 Population Statement, by components of population change, for 2023–24, for each of the states and territories.&#10;NOM errors were the largest of the forecasting errors. NOM was underestimated for all states and territories.&#10;ABS revisions contributed to underestimation in Western Australia, South Australia, Tasmania and Australian Capital Territory.&#10;NIM was underestimated in Queensland, Western Australia, South Australia and the Australian Capital Territory; and overestimated in New South Wales, Victoria, Tasmania and Northern Territory. &#10;Births and deaths forecast errors were minim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9602" cy="2880000"/>
                          </a:xfrm>
                          <a:prstGeom prst="rect">
                            <a:avLst/>
                          </a:prstGeom>
                          <a:noFill/>
                          <a:ln>
                            <a:noFill/>
                          </a:ln>
                        </pic:spPr>
                      </pic:pic>
                    </a:graphicData>
                  </a:graphic>
                </wp:inline>
              </w:drawing>
            </w:r>
          </w:p>
        </w:tc>
      </w:tr>
      <w:tr w:rsidR="007501D0" w:rsidRPr="00EE3C04" w14:paraId="32D20DC7" w14:textId="77777777" w:rsidTr="006C5AD6">
        <w:trPr>
          <w:cantSplit/>
        </w:trPr>
        <w:tc>
          <w:tcPr>
            <w:tcW w:w="4535" w:type="dxa"/>
          </w:tcPr>
          <w:p w14:paraId="61C7675A" w14:textId="51D8636F" w:rsidR="007501D0" w:rsidRPr="00EE3C04" w:rsidRDefault="007501D0" w:rsidP="00704137">
            <w:pPr>
              <w:pStyle w:val="ChartSecondHeading"/>
            </w:pPr>
            <w:r w:rsidRPr="00EE3C04">
              <w:t>2022 Population Statement</w:t>
            </w:r>
          </w:p>
        </w:tc>
        <w:tc>
          <w:tcPr>
            <w:tcW w:w="4535" w:type="dxa"/>
          </w:tcPr>
          <w:p w14:paraId="39D4C68E" w14:textId="50F39A98" w:rsidR="007501D0" w:rsidRPr="00EE3C04" w:rsidRDefault="007501D0" w:rsidP="00704137">
            <w:pPr>
              <w:pStyle w:val="ChartSecondHeading"/>
            </w:pPr>
            <w:r w:rsidRPr="00EE3C04">
              <w:t>2023 Population Statement</w:t>
            </w:r>
          </w:p>
        </w:tc>
      </w:tr>
      <w:tr w:rsidR="007501D0" w:rsidRPr="00EE3C04" w14:paraId="7A9CCC44" w14:textId="77777777" w:rsidTr="006C5AD6">
        <w:trPr>
          <w:cantSplit/>
          <w:trHeight w:val="3839"/>
        </w:trPr>
        <w:tc>
          <w:tcPr>
            <w:tcW w:w="4535" w:type="dxa"/>
          </w:tcPr>
          <w:p w14:paraId="3F675D1D" w14:textId="63BDB14C" w:rsidR="007501D0" w:rsidRPr="00EE3C04" w:rsidRDefault="002E6E39" w:rsidP="00704137">
            <w:pPr>
              <w:pStyle w:val="ChartGraphic"/>
            </w:pPr>
            <w:r w:rsidRPr="00EE3C04">
              <w:rPr>
                <w:noProof/>
              </w:rPr>
              <w:drawing>
                <wp:inline distT="0" distB="0" distL="0" distR="0" wp14:anchorId="164EE5CB" wp14:editId="7758EFAA">
                  <wp:extent cx="2779602" cy="2880000"/>
                  <wp:effectExtent l="0" t="0" r="1905" b="0"/>
                  <wp:docPr id="2043313704" name="Picture 15" descr="This chart shows the percentage difference between outcomes and forecasts contained in the 2022 Population Statement, by components of population change, for 2023–24, for each of the states and territories.&#10;NOM errors were the largest of the forecasting errors. NOM was underestimated for all states and territories.&#10;NIM was underestimated in New South Wales, Queensland, Western Australia and South Australia; and overestimated in Victoria, Tasmania, Northern Territory and Australian Capital Territory. &#10;ABS revisions, births and deaths forecast errors were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13704" name="Picture 15" descr="This chart shows the percentage difference between outcomes and forecasts contained in the 2022 Population Statement, by components of population change, for 2023–24, for each of the states and territories.&#10;NOM errors were the largest of the forecasting errors. NOM was underestimated for all states and territories.&#10;NIM was underestimated in New South Wales, Queensland, Western Australia and South Australia; and overestimated in Victoria, Tasmania, Northern Territory and Australian Capital Territory. &#10;ABS revisions, births and deaths forecast errors were minim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9602" cy="2880000"/>
                          </a:xfrm>
                          <a:prstGeom prst="rect">
                            <a:avLst/>
                          </a:prstGeom>
                          <a:noFill/>
                          <a:ln>
                            <a:noFill/>
                          </a:ln>
                        </pic:spPr>
                      </pic:pic>
                    </a:graphicData>
                  </a:graphic>
                </wp:inline>
              </w:drawing>
            </w:r>
          </w:p>
        </w:tc>
        <w:tc>
          <w:tcPr>
            <w:tcW w:w="4535" w:type="dxa"/>
          </w:tcPr>
          <w:p w14:paraId="7B6C08DC" w14:textId="3F43795E" w:rsidR="007501D0" w:rsidRPr="00EE3C04" w:rsidRDefault="00844243" w:rsidP="00704137">
            <w:pPr>
              <w:pStyle w:val="ChartGraphic"/>
            </w:pPr>
            <w:r w:rsidRPr="00EE3C04">
              <w:rPr>
                <w:noProof/>
              </w:rPr>
              <w:drawing>
                <wp:inline distT="0" distB="0" distL="0" distR="0" wp14:anchorId="63F8B8B3" wp14:editId="26C19A1C">
                  <wp:extent cx="2779602" cy="2880000"/>
                  <wp:effectExtent l="0" t="0" r="1905" b="0"/>
                  <wp:docPr id="227543880" name="Picture 16" descr="This chart shows the percentage difference between outcomes and forecasts contained in the 2023 Population Statement, by components of population change for 2023–24, for each of the states and territories.&#10;NOM errors were the largest of the forecasting errors: NOM was underestimated for Queensland, Western Australia and Northern Territory.&#10;ABS revisions contributed to underestimation in Northern Territory.&#10;NIM was slightly underestimated in Western Australia and Northern Territory; and slightly overestimated in Tasmania.&#10;Births and deaths forecast errors were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43880" name="Picture 16" descr="This chart shows the percentage difference between outcomes and forecasts contained in the 2023 Population Statement, by components of population change for 2023–24, for each of the states and territories.&#10;NOM errors were the largest of the forecasting errors: NOM was underestimated for Queensland, Western Australia and Northern Territory.&#10;ABS revisions contributed to underestimation in Northern Territory.&#10;NIM was slightly underestimated in Western Australia and Northern Territory; and slightly overestimated in Tasmania.&#10;Births and deaths forecast errors were minim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9602" cy="2880000"/>
                          </a:xfrm>
                          <a:prstGeom prst="rect">
                            <a:avLst/>
                          </a:prstGeom>
                          <a:noFill/>
                          <a:ln>
                            <a:noFill/>
                          </a:ln>
                        </pic:spPr>
                      </pic:pic>
                    </a:graphicData>
                  </a:graphic>
                </wp:inline>
              </w:drawing>
            </w:r>
          </w:p>
        </w:tc>
      </w:tr>
    </w:tbl>
    <w:p w14:paraId="5455BF37" w14:textId="6B2B97C6" w:rsidR="00E27503" w:rsidRDefault="00E27503" w:rsidP="000C01AD">
      <w:pPr>
        <w:pStyle w:val="Source"/>
      </w:pPr>
      <w:r>
        <w:t xml:space="preserve">Note: </w:t>
      </w:r>
      <w:r>
        <w:tab/>
      </w:r>
      <w:r w:rsidRPr="000C01AD">
        <w:t>Forecast</w:t>
      </w:r>
      <w:r>
        <w:t xml:space="preserve"> comparisons are made to the 2023</w:t>
      </w:r>
      <w:r w:rsidRPr="009443ED">
        <w:t>–</w:t>
      </w:r>
      <w:r>
        <w:t>24 actuals.</w:t>
      </w:r>
    </w:p>
    <w:p w14:paraId="0E2F9767" w14:textId="570D520D" w:rsidR="00FB0ED1" w:rsidRPr="006C5AD6" w:rsidRDefault="00F77F98" w:rsidP="006C5AD6">
      <w:pPr>
        <w:pStyle w:val="Source"/>
      </w:pPr>
      <w:r w:rsidRPr="006C5AD6">
        <w:t>Source:</w:t>
      </w:r>
      <w:r w:rsidRPr="006C5AD6">
        <w:tab/>
        <w:t xml:space="preserve">ABS, </w:t>
      </w:r>
      <w:r w:rsidRPr="006C5AD6">
        <w:rPr>
          <w:i/>
          <w:iCs/>
        </w:rPr>
        <w:t xml:space="preserve">National, state and territory population, </w:t>
      </w:r>
      <w:r w:rsidR="006004F9" w:rsidRPr="006C5AD6">
        <w:rPr>
          <w:i/>
          <w:iCs/>
        </w:rPr>
        <w:t xml:space="preserve">March </w:t>
      </w:r>
      <w:r w:rsidRPr="006C5AD6">
        <w:rPr>
          <w:i/>
          <w:iCs/>
        </w:rPr>
        <w:t>202</w:t>
      </w:r>
      <w:r w:rsidR="006004F9" w:rsidRPr="006C5AD6">
        <w:rPr>
          <w:i/>
          <w:iCs/>
        </w:rPr>
        <w:t>5</w:t>
      </w:r>
      <w:r w:rsidR="00576A75" w:rsidRPr="006C5AD6">
        <w:t>;</w:t>
      </w:r>
      <w:r w:rsidRPr="006C5AD6">
        <w:t xml:space="preserve"> Centre for Population projections</w:t>
      </w:r>
      <w:r w:rsidR="001B5BD4" w:rsidRPr="006C5AD6">
        <w:t>.</w:t>
      </w:r>
    </w:p>
    <w:p w14:paraId="7D927B41" w14:textId="77777777" w:rsidR="00DD5D81" w:rsidRDefault="00DD5D81">
      <w:pPr>
        <w:rPr>
          <w:b/>
          <w:smallCaps/>
          <w:color w:val="002C47" w:themeColor="accent1"/>
          <w:spacing w:val="15"/>
        </w:rPr>
      </w:pPr>
      <w:r>
        <w:br w:type="page"/>
      </w:r>
    </w:p>
    <w:p w14:paraId="350741B8" w14:textId="596C2A21" w:rsidR="00F77F98" w:rsidRDefault="00F77F98" w:rsidP="00F77F98">
      <w:pPr>
        <w:pStyle w:val="Heading3Numbered"/>
      </w:pPr>
      <w:r>
        <w:lastRenderedPageBreak/>
        <w:t>Capital city and rest</w:t>
      </w:r>
      <w:r w:rsidR="00EE3C04">
        <w:noBreakHyphen/>
      </w:r>
      <w:r>
        <w:t>of</w:t>
      </w:r>
      <w:r w:rsidR="00EE3C04">
        <w:noBreakHyphen/>
      </w:r>
      <w:r>
        <w:t>state forecasts</w:t>
      </w:r>
    </w:p>
    <w:p w14:paraId="6833AB88" w14:textId="3511925E" w:rsidR="00B91A97" w:rsidRPr="00AB5D82" w:rsidRDefault="00C76D7C" w:rsidP="00C504C5">
      <w:r>
        <w:t xml:space="preserve">For larger states, </w:t>
      </w:r>
      <w:r w:rsidR="00872EE6">
        <w:t xml:space="preserve">underestimation of </w:t>
      </w:r>
      <w:r w:rsidR="00B91A97" w:rsidRPr="00AB5D82">
        <w:t xml:space="preserve">NOM </w:t>
      </w:r>
      <w:r w:rsidR="00B549AC">
        <w:t>was the</w:t>
      </w:r>
      <w:r w:rsidRPr="00C76D7C">
        <w:t xml:space="preserve"> largest contributor to forecast misses</w:t>
      </w:r>
      <w:r w:rsidR="00593537">
        <w:t xml:space="preserve">. </w:t>
      </w:r>
      <w:r w:rsidR="00DA635F">
        <w:t xml:space="preserve">The </w:t>
      </w:r>
      <w:r w:rsidR="00D64573">
        <w:t xml:space="preserve">forecast </w:t>
      </w:r>
      <w:r w:rsidR="00DA635F">
        <w:t>NOM misses in 2023</w:t>
      </w:r>
      <w:r w:rsidR="00A03651" w:rsidRPr="00A03651">
        <w:t>–</w:t>
      </w:r>
      <w:r w:rsidR="00DA635F">
        <w:t>24</w:t>
      </w:r>
      <w:r w:rsidR="003F4FC5">
        <w:t xml:space="preserve"> </w:t>
      </w:r>
      <w:r w:rsidR="00B91A97" w:rsidRPr="00AB5D82">
        <w:t xml:space="preserve">were concentrated in capital cities, particularly of the larger states (Chart </w:t>
      </w:r>
      <w:r w:rsidR="00F37D96">
        <w:t>9</w:t>
      </w:r>
      <w:r w:rsidR="00B91A97" w:rsidRPr="00AB5D82">
        <w:t>)</w:t>
      </w:r>
      <w:r w:rsidR="00A85C1E">
        <w:t xml:space="preserve"> with </w:t>
      </w:r>
      <w:r w:rsidR="009C721A">
        <w:t>the magnitude of misses declin</w:t>
      </w:r>
      <w:r w:rsidR="00D64573">
        <w:t>ing</w:t>
      </w:r>
      <w:r w:rsidR="009C721A">
        <w:t xml:space="preserve"> </w:t>
      </w:r>
      <w:r w:rsidR="00C95A06">
        <w:t>over time</w:t>
      </w:r>
      <w:r w:rsidR="00B91A97" w:rsidRPr="00AB5D82">
        <w:t xml:space="preserve">. This </w:t>
      </w:r>
      <w:r w:rsidR="00E224B6">
        <w:t>pattern</w:t>
      </w:r>
      <w:r w:rsidR="00C62F06">
        <w:t xml:space="preserve"> is</w:t>
      </w:r>
      <w:r w:rsidR="00B91A97" w:rsidRPr="00AB5D82">
        <w:t xml:space="preserve"> reflected </w:t>
      </w:r>
      <w:r w:rsidR="00DA0363">
        <w:t>in</w:t>
      </w:r>
      <w:r w:rsidR="00B91A97" w:rsidRPr="00AB5D82">
        <w:t xml:space="preserve"> smaller states and territories, </w:t>
      </w:r>
      <w:r w:rsidR="000E2599">
        <w:t xml:space="preserve">with the </w:t>
      </w:r>
      <w:r w:rsidR="00B91A97" w:rsidRPr="00AB5D82">
        <w:t>except</w:t>
      </w:r>
      <w:r w:rsidR="000E2599">
        <w:t>ion of</w:t>
      </w:r>
      <w:r w:rsidR="00B91A97" w:rsidRPr="00AB5D82">
        <w:t xml:space="preserve"> NOM forecasts for capital cities in the 2020 Population Statement.</w:t>
      </w:r>
    </w:p>
    <w:p w14:paraId="561D2AC6" w14:textId="5C2CE7C9" w:rsidR="00DD5D81" w:rsidRPr="00B859E7" w:rsidRDefault="00B91A97" w:rsidP="00C504C5">
      <w:r w:rsidRPr="00AB5D82">
        <w:t>The ABS rebasing, where population is updated to the 2021 Census, to the estimated resident population were the second</w:t>
      </w:r>
      <w:r w:rsidR="00EE3C04">
        <w:noBreakHyphen/>
      </w:r>
      <w:r w:rsidRPr="00AB5D82">
        <w:t xml:space="preserve">largest contributor to forecast </w:t>
      </w:r>
      <w:r w:rsidR="00DF044B">
        <w:t>misses</w:t>
      </w:r>
      <w:r w:rsidRPr="00AB5D82">
        <w:t xml:space="preserve">. These revisions were particularly prominent among the </w:t>
      </w:r>
      <w:r w:rsidR="00983244">
        <w:t>rest of state areas in smaller states</w:t>
      </w:r>
      <w:r w:rsidRPr="00AB5D82">
        <w:t xml:space="preserve">. In several jurisdictions, these revisions were the dominant source of </w:t>
      </w:r>
      <w:r w:rsidR="00DF044B">
        <w:t>forecast misses</w:t>
      </w:r>
      <w:r w:rsidRPr="00AB5D82">
        <w:t xml:space="preserve">, contributing to discrepancies of approximately </w:t>
      </w:r>
      <w:r w:rsidR="0094480F" w:rsidRPr="007C5106">
        <w:t>3</w:t>
      </w:r>
      <w:r w:rsidRPr="00AB5D82">
        <w:t xml:space="preserve"> percentage points in the rest</w:t>
      </w:r>
      <w:r w:rsidR="00EE3C04">
        <w:noBreakHyphen/>
      </w:r>
      <w:r w:rsidRPr="00AB5D82">
        <w:t>of</w:t>
      </w:r>
      <w:r w:rsidR="00EE3C04">
        <w:noBreakHyphen/>
      </w:r>
      <w:r w:rsidRPr="00AB5D82">
        <w:t>state forecasts.</w:t>
      </w:r>
      <w:r w:rsidR="00983513">
        <w:rPr>
          <w:rStyle w:val="FootnoteReference"/>
          <w:rFonts w:cs="Calibri"/>
        </w:rPr>
        <w:footnoteReference w:id="17"/>
      </w:r>
    </w:p>
    <w:p w14:paraId="70E944F2" w14:textId="0ACCA4AD" w:rsidR="00882DB0" w:rsidRDefault="001850BA" w:rsidP="00D32329">
      <w:pPr>
        <w:pStyle w:val="ChartMainHeading"/>
      </w:pPr>
      <w:r w:rsidRPr="00D32329">
        <w:t>Difference</w:t>
      </w:r>
      <w:r>
        <w:t xml:space="preserve"> between forecast and outcomes</w:t>
      </w:r>
      <w:r w:rsidR="00B91A97" w:rsidRPr="00AB5D82">
        <w:t>, by aggregated capital cities and rest of</w:t>
      </w:r>
      <w:r w:rsidR="000C01AD">
        <w:t> </w:t>
      </w:r>
      <w:r w:rsidR="00B91A97" w:rsidRPr="00AB5D82">
        <w:t>states</w:t>
      </w:r>
    </w:p>
    <w:tbl>
      <w:tblPr>
        <w:tblW w:w="5000" w:type="pct"/>
        <w:tblLayout w:type="fixed"/>
        <w:tblLook w:val="0020" w:firstRow="1" w:lastRow="0" w:firstColumn="0" w:lastColumn="0" w:noHBand="0" w:noVBand="0"/>
      </w:tblPr>
      <w:tblGrid>
        <w:gridCol w:w="4535"/>
        <w:gridCol w:w="4535"/>
      </w:tblGrid>
      <w:tr w:rsidR="00BD71A9" w:rsidRPr="00EE3C04" w14:paraId="7ECD12D4" w14:textId="77777777" w:rsidTr="000C01AD">
        <w:trPr>
          <w:cantSplit/>
        </w:trPr>
        <w:tc>
          <w:tcPr>
            <w:tcW w:w="4535" w:type="dxa"/>
          </w:tcPr>
          <w:p w14:paraId="6A8F3DBC" w14:textId="3E7BFA97" w:rsidR="00BD71A9" w:rsidRPr="00EE3C04" w:rsidRDefault="00BD71A9" w:rsidP="00704137">
            <w:pPr>
              <w:pStyle w:val="ChartSecondHeading"/>
            </w:pPr>
            <w:r w:rsidRPr="00EE3C04">
              <w:t>Larger states (NSW, Vic, Q</w:t>
            </w:r>
            <w:r w:rsidR="00113EFE" w:rsidRPr="00EE3C04">
              <w:t>ld</w:t>
            </w:r>
            <w:r w:rsidRPr="00EE3C04">
              <w:t>, WA)</w:t>
            </w:r>
          </w:p>
        </w:tc>
        <w:tc>
          <w:tcPr>
            <w:tcW w:w="4535" w:type="dxa"/>
          </w:tcPr>
          <w:p w14:paraId="144038BB" w14:textId="195B63F0" w:rsidR="00BD71A9" w:rsidRPr="00EE3C04" w:rsidRDefault="00BD71A9" w:rsidP="00704137">
            <w:pPr>
              <w:pStyle w:val="ChartSecondHeading"/>
            </w:pPr>
            <w:r w:rsidRPr="00EE3C04">
              <w:t>Smaller states and territories (SA, Tas, NT, ACT)</w:t>
            </w:r>
          </w:p>
        </w:tc>
      </w:tr>
      <w:tr w:rsidR="00BD71A9" w:rsidRPr="00EE3C04" w14:paraId="0A006E61" w14:textId="77777777" w:rsidTr="000C01AD">
        <w:trPr>
          <w:cantSplit/>
          <w:trHeight w:val="3839"/>
        </w:trPr>
        <w:tc>
          <w:tcPr>
            <w:tcW w:w="4535" w:type="dxa"/>
          </w:tcPr>
          <w:p w14:paraId="1C58585D" w14:textId="0A97620F" w:rsidR="00BD71A9" w:rsidRPr="00EE3C04" w:rsidRDefault="00782648" w:rsidP="00704137">
            <w:pPr>
              <w:pStyle w:val="ChartGraphic"/>
            </w:pPr>
            <w:r w:rsidRPr="00EE3C04">
              <w:rPr>
                <w:noProof/>
              </w:rPr>
              <w:drawing>
                <wp:inline distT="0" distB="0" distL="0" distR="0" wp14:anchorId="669B448C" wp14:editId="544757A9">
                  <wp:extent cx="2742565" cy="2842895"/>
                  <wp:effectExtent l="0" t="0" r="0" b="0"/>
                  <wp:docPr id="1053336227" name="Picture 18" descr="This chart shows the percentage difference between forecasts in the Population Statements released in 2020, 2021, 2022, 2023 and 2024, and the outcomes for capital cities and the rest of state areas in NSW, Vic, Qld and WA, broken down by components of growth.&#10;The 2020 and 2021 statements had the largest forecast errors, underestimating the populations of capital cities and rest of states. Net overseas migration was underestimated in all areas, especially capital cities. Rebasing was also a significant driver of forecast errors in the 2020 and 2021 statements.&#10;The 2022, 2023 and 2024 statements have smaller forecast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36227" name="Picture 18" descr="This chart shows the percentage difference between forecasts in the Population Statements released in 2020, 2021, 2022, 2023 and 2024, and the outcomes for capital cities and the rest of state areas in NSW, Vic, Qld and WA, broken down by components of growth.&#10;The 2020 and 2021 statements had the largest forecast errors, underestimating the populations of capital cities and rest of states. Net overseas migration was underestimated in all areas, especially capital cities. Rebasing was also a significant driver of forecast errors in the 2020 and 2021 statements.&#10;The 2022, 2023 and 2024 statements have smaller forecast erro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2565" cy="2842895"/>
                          </a:xfrm>
                          <a:prstGeom prst="rect">
                            <a:avLst/>
                          </a:prstGeom>
                          <a:noFill/>
                          <a:ln>
                            <a:noFill/>
                          </a:ln>
                        </pic:spPr>
                      </pic:pic>
                    </a:graphicData>
                  </a:graphic>
                </wp:inline>
              </w:drawing>
            </w:r>
          </w:p>
        </w:tc>
        <w:tc>
          <w:tcPr>
            <w:tcW w:w="4535" w:type="dxa"/>
          </w:tcPr>
          <w:p w14:paraId="04429951" w14:textId="39F5F568" w:rsidR="00BD71A9" w:rsidRPr="00EE3C04" w:rsidRDefault="0065172A" w:rsidP="00704137">
            <w:pPr>
              <w:pStyle w:val="ChartGraphic"/>
            </w:pPr>
            <w:r w:rsidRPr="00EE3C04">
              <w:rPr>
                <w:noProof/>
              </w:rPr>
              <w:drawing>
                <wp:inline distT="0" distB="0" distL="0" distR="0" wp14:anchorId="3F785ADF" wp14:editId="007E5688">
                  <wp:extent cx="2726266" cy="2826000"/>
                  <wp:effectExtent l="0" t="0" r="0" b="0"/>
                  <wp:docPr id="111426144" name="Picture 17" descr="This chart shows the percentage difference between forecasts in the Population Statements released in 2020, 2021, 2022, 2023 and 2024, and the outcomes for capital cities and rest of state areas for SA, Tas, NT and the ACT, broken down by components of growth.&#10;The 2020 and 2021 statements had the largest forecast errors, underestimating the populations of capital cities and rest of states. Net overseas migration was underestimated in all areas, especially capital cities. Rebasing was also a significant driver of forecast errors in the 2020 and 2021 statements.&#10;The 2022, 2023 and 2024 statements have smaller forecast errors, though they have tended to overestimate NIM to smaller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6144" name="Picture 17" descr="This chart shows the percentage difference between forecasts in the Population Statements released in 2020, 2021, 2022, 2023 and 2024, and the outcomes for capital cities and rest of state areas for SA, Tas, NT and the ACT, broken down by components of growth.&#10;The 2020 and 2021 statements had the largest forecast errors, underestimating the populations of capital cities and rest of states. Net overseas migration was underestimated in all areas, especially capital cities. Rebasing was also a significant driver of forecast errors in the 2020 and 2021 statements.&#10;The 2022, 2023 and 2024 statements have smaller forecast errors, though they have tended to overestimate NIM to smaller stat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6266" cy="2826000"/>
                          </a:xfrm>
                          <a:prstGeom prst="rect">
                            <a:avLst/>
                          </a:prstGeom>
                          <a:noFill/>
                          <a:ln>
                            <a:noFill/>
                          </a:ln>
                        </pic:spPr>
                      </pic:pic>
                    </a:graphicData>
                  </a:graphic>
                </wp:inline>
              </w:drawing>
            </w:r>
          </w:p>
        </w:tc>
      </w:tr>
    </w:tbl>
    <w:p w14:paraId="63C18832" w14:textId="28A5E9B5" w:rsidR="00E27503" w:rsidRDefault="00E27503" w:rsidP="000C01AD">
      <w:pPr>
        <w:pStyle w:val="Source"/>
      </w:pPr>
      <w:r>
        <w:t xml:space="preserve">Note: </w:t>
      </w:r>
      <w:r>
        <w:tab/>
      </w:r>
      <w:r w:rsidRPr="000C01AD">
        <w:t>Forecast</w:t>
      </w:r>
      <w:r>
        <w:t xml:space="preserve"> comparisons are made to the 2023</w:t>
      </w:r>
      <w:r w:rsidRPr="009443ED">
        <w:t>–</w:t>
      </w:r>
      <w:r>
        <w:t>24 actuals.</w:t>
      </w:r>
      <w:r w:rsidR="00116EB3">
        <w:t xml:space="preserve"> </w:t>
      </w:r>
      <w:r w:rsidR="00116EB3" w:rsidRPr="00AC6D26">
        <w:rPr>
          <w:szCs w:val="22"/>
        </w:rPr>
        <w:t>PS refers to Population Statement.</w:t>
      </w:r>
    </w:p>
    <w:p w14:paraId="73CDDE62" w14:textId="56B628E2" w:rsidR="00F77F98" w:rsidRPr="00B91A97" w:rsidRDefault="00B91A97" w:rsidP="000C01AD">
      <w:pPr>
        <w:pStyle w:val="Source"/>
        <w:rPr>
          <w:rFonts w:eastAsia="SimSun"/>
          <w:color w:val="002C47"/>
          <w:spacing w:val="15"/>
        </w:rPr>
      </w:pPr>
      <w:r w:rsidRPr="000C01AD">
        <w:t>Source</w:t>
      </w:r>
      <w:r w:rsidRPr="002A19C6">
        <w:rPr>
          <w:szCs w:val="22"/>
        </w:rPr>
        <w:t>:</w:t>
      </w:r>
      <w:r w:rsidRPr="002A19C6">
        <w:rPr>
          <w:szCs w:val="22"/>
        </w:rPr>
        <w:tab/>
      </w:r>
      <w:r w:rsidRPr="009127EF">
        <w:t xml:space="preserve">ABS, </w:t>
      </w:r>
      <w:r w:rsidR="009127EF" w:rsidRPr="00C126F9">
        <w:rPr>
          <w:i/>
        </w:rPr>
        <w:t>Regional Population, 2023–24</w:t>
      </w:r>
      <w:r w:rsidR="00576A75">
        <w:t>;</w:t>
      </w:r>
      <w:r w:rsidRPr="009127EF">
        <w:t xml:space="preserve"> Centre for Population</w:t>
      </w:r>
      <w:r w:rsidRPr="002A19C6">
        <w:rPr>
          <w:szCs w:val="22"/>
        </w:rPr>
        <w:t xml:space="preserve"> projections</w:t>
      </w:r>
      <w:r w:rsidR="001B5BD4" w:rsidRPr="002A19C6">
        <w:rPr>
          <w:szCs w:val="22"/>
        </w:rPr>
        <w:t>.</w:t>
      </w:r>
      <w:r w:rsidRPr="005741FD">
        <w:rPr>
          <w:rFonts w:eastAsia="SimSun"/>
        </w:rPr>
        <w:br w:type="page"/>
      </w:r>
    </w:p>
    <w:p w14:paraId="78B3FB06" w14:textId="0B58B708" w:rsidR="000F1409" w:rsidRDefault="00632EAD" w:rsidP="000F1409">
      <w:pPr>
        <w:pStyle w:val="Heading2Numbered"/>
      </w:pPr>
      <w:r>
        <w:lastRenderedPageBreak/>
        <w:t>R</w:t>
      </w:r>
      <w:r w:rsidR="000F1409">
        <w:t xml:space="preserve">esearch </w:t>
      </w:r>
      <w:r w:rsidR="008E238B">
        <w:t>and analysis</w:t>
      </w:r>
    </w:p>
    <w:p w14:paraId="15DE8862" w14:textId="732C3678" w:rsidR="009F01BD" w:rsidRDefault="00483D38" w:rsidP="009F01BD">
      <w:pPr>
        <w:pStyle w:val="Heading3"/>
      </w:pPr>
      <w:r>
        <w:t xml:space="preserve">Box 4: </w:t>
      </w:r>
      <w:r w:rsidR="009F01BD">
        <w:t xml:space="preserve">Dwelling demand </w:t>
      </w:r>
      <w:r w:rsidR="00E84130">
        <w:t>by citizenship and visa class box</w:t>
      </w:r>
    </w:p>
    <w:p w14:paraId="26631E24" w14:textId="602FB300" w:rsidR="00483D38" w:rsidRPr="00483D38" w:rsidRDefault="00483D38" w:rsidP="005C0A76">
      <w:pPr>
        <w:pStyle w:val="Heading4"/>
      </w:pPr>
      <w:r>
        <w:t>Methodology</w:t>
      </w:r>
    </w:p>
    <w:p w14:paraId="69A72328" w14:textId="254B3D9F" w:rsidR="00890230" w:rsidRPr="00890230" w:rsidRDefault="00995621" w:rsidP="00361C72">
      <w:r>
        <w:t>The</w:t>
      </w:r>
      <w:r w:rsidR="00890230">
        <w:t xml:space="preserve"> analysis</w:t>
      </w:r>
      <w:r>
        <w:t xml:space="preserve"> in Box 4</w:t>
      </w:r>
      <w:r w:rsidR="00890230" w:rsidRPr="00890230">
        <w:t> </w:t>
      </w:r>
      <w:r w:rsidR="000F03EA">
        <w:t xml:space="preserve">estimates average housing </w:t>
      </w:r>
      <w:r w:rsidR="00890230" w:rsidRPr="00890230">
        <w:t>demand</w:t>
      </w:r>
      <w:r w:rsidR="000F03EA">
        <w:t xml:space="preserve"> of demographic groups</w:t>
      </w:r>
      <w:r w:rsidR="00890230" w:rsidRPr="00890230">
        <w:t xml:space="preserve"> </w:t>
      </w:r>
      <w:r w:rsidR="00BE163C" w:rsidRPr="00890230">
        <w:t>using information on family and household structures</w:t>
      </w:r>
      <w:r w:rsidR="00BE163C">
        <w:t xml:space="preserve">, </w:t>
      </w:r>
      <w:r w:rsidR="000F03EA">
        <w:t>drawing</w:t>
      </w:r>
      <w:r w:rsidR="002019CF">
        <w:t xml:space="preserve"> upon</w:t>
      </w:r>
      <w:r w:rsidR="00890230" w:rsidRPr="00890230">
        <w:t> </w:t>
      </w:r>
      <w:r w:rsidR="00681D6F">
        <w:t>methods</w:t>
      </w:r>
      <w:r w:rsidR="00681D6F" w:rsidRPr="00890230">
        <w:t xml:space="preserve"> </w:t>
      </w:r>
      <w:r w:rsidR="003B284D">
        <w:t>outlined in</w:t>
      </w:r>
      <w:r w:rsidR="00681D6F" w:rsidRPr="00890230">
        <w:t xml:space="preserve"> </w:t>
      </w:r>
      <w:r w:rsidR="00890230" w:rsidRPr="00890230">
        <w:t>Wilson (2013)</w:t>
      </w:r>
      <w:r w:rsidR="0026020F">
        <w:t>.</w:t>
      </w:r>
      <w:r w:rsidR="00D94A27">
        <w:rPr>
          <w:rStyle w:val="FootnoteReference"/>
        </w:rPr>
        <w:footnoteReference w:id="18"/>
      </w:r>
      <w:r w:rsidR="00890230" w:rsidRPr="00890230">
        <w:t xml:space="preserve"> </w:t>
      </w:r>
    </w:p>
    <w:p w14:paraId="2400C380" w14:textId="2D14093E" w:rsidR="009D0C92" w:rsidRDefault="00890230" w:rsidP="00361C72">
      <w:r w:rsidRPr="00890230">
        <w:t>Applying the</w:t>
      </w:r>
      <w:r w:rsidR="00380C47">
        <w:t xml:space="preserve"> below</w:t>
      </w:r>
      <w:r w:rsidRPr="00890230">
        <w:t xml:space="preserve"> rules</w:t>
      </w:r>
      <w:r w:rsidR="00380C47">
        <w:t xml:space="preserve"> (</w:t>
      </w:r>
      <w:r w:rsidR="003F1211">
        <w:t>T</w:t>
      </w:r>
      <w:r w:rsidR="00380C47">
        <w:t xml:space="preserve">able </w:t>
      </w:r>
      <w:r w:rsidR="003F1211">
        <w:t>2</w:t>
      </w:r>
      <w:r w:rsidR="00380C47">
        <w:t xml:space="preserve">) </w:t>
      </w:r>
      <w:r w:rsidRPr="00890230">
        <w:t>to </w:t>
      </w:r>
      <w:r w:rsidR="00762077">
        <w:t xml:space="preserve">the </w:t>
      </w:r>
      <w:r w:rsidR="004F0B61" w:rsidRPr="0015377C">
        <w:t>ABS</w:t>
      </w:r>
      <w:r w:rsidR="00EE3C04">
        <w:t>’</w:t>
      </w:r>
      <w:r w:rsidR="004F0B61" w:rsidRPr="0015377C">
        <w:t>s Australian Census and Temporary Entrants Integrated Dataset</w:t>
      </w:r>
      <w:r w:rsidR="004F0B61">
        <w:t xml:space="preserve"> (ACTEID)</w:t>
      </w:r>
      <w:r w:rsidRPr="00890230">
        <w:t xml:space="preserve">, </w:t>
      </w:r>
      <w:r w:rsidR="00131FC1" w:rsidRPr="0015377C">
        <w:t>the Australian Census and Migrants Integrated Dataset (</w:t>
      </w:r>
      <w:r w:rsidRPr="00890230">
        <w:t>ACMID</w:t>
      </w:r>
      <w:r w:rsidR="00131FC1" w:rsidRPr="0015377C">
        <w:t xml:space="preserve">), </w:t>
      </w:r>
      <w:r w:rsidRPr="00890230">
        <w:t>and Census data allows for the estimation of dwelling demand by each visa and citizenship cohort, as well as by age. This allows for the calculation of average household representation propensity (AHRP), or the average per capita dwelling demand</w:t>
      </w:r>
      <w:r w:rsidRPr="008726AD">
        <w:t>.</w:t>
      </w:r>
      <w:r w:rsidR="00C67D9D">
        <w:t xml:space="preserve"> </w:t>
      </w:r>
      <w:r w:rsidR="00202D1C">
        <w:t>Using person</w:t>
      </w:r>
      <w:r w:rsidR="00EE3C04">
        <w:noBreakHyphen/>
      </w:r>
      <w:r w:rsidRPr="00890230">
        <w:t>specific data </w:t>
      </w:r>
      <w:r w:rsidR="00202D1C">
        <w:t>allows</w:t>
      </w:r>
      <w:r w:rsidR="007C3DD4">
        <w:t xml:space="preserve"> demand to be</w:t>
      </w:r>
      <w:r w:rsidR="00202D1C" w:rsidDel="007C3DD4">
        <w:t xml:space="preserve"> </w:t>
      </w:r>
      <w:r w:rsidR="001F2023">
        <w:t>attribute</w:t>
      </w:r>
      <w:r w:rsidR="007C3DD4">
        <w:t>d</w:t>
      </w:r>
      <w:r w:rsidR="001F2023">
        <w:t xml:space="preserve"> </w:t>
      </w:r>
      <w:r w:rsidR="007C3DD4">
        <w:t>with</w:t>
      </w:r>
      <w:r w:rsidR="001F2023">
        <w:t>in</w:t>
      </w:r>
      <w:r w:rsidR="001F2023" w:rsidRPr="00890230">
        <w:t xml:space="preserve"> </w:t>
      </w:r>
      <w:r w:rsidRPr="00890230">
        <w:t>households comprised of people holding different visas and citizenships. </w:t>
      </w:r>
    </w:p>
    <w:p w14:paraId="3554CE69" w14:textId="32420B37" w:rsidR="009D0C92" w:rsidRPr="009F01BD" w:rsidRDefault="009D0C92" w:rsidP="00361C72">
      <w:r w:rsidRPr="00890230">
        <w:t>An individual</w:t>
      </w:r>
      <w:r w:rsidR="00EE3C04">
        <w:t>’</w:t>
      </w:r>
      <w:r w:rsidRPr="00890230">
        <w:t xml:space="preserve">s </w:t>
      </w:r>
      <w:r w:rsidR="000E7F61">
        <w:t>living arrangements</w:t>
      </w:r>
      <w:r w:rsidRPr="00890230">
        <w:t xml:space="preserve"> determines their contribution to dwelling demand. </w:t>
      </w:r>
      <w:r>
        <w:t xml:space="preserve">The </w:t>
      </w:r>
      <w:r w:rsidR="004A0AFB">
        <w:t>C</w:t>
      </w:r>
      <w:r>
        <w:t>ensus asks for each individual</w:t>
      </w:r>
      <w:r w:rsidR="00EE3C04">
        <w:t>’</w:t>
      </w:r>
      <w:r>
        <w:t>s r</w:t>
      </w:r>
      <w:r w:rsidRPr="009F01BD">
        <w:t>elationship in household (RLHP)</w:t>
      </w:r>
      <w:r>
        <w:t xml:space="preserve">, which describes </w:t>
      </w:r>
      <w:r w:rsidR="00FE23DD">
        <w:t>the relationship of each person in a family to the family</w:t>
      </w:r>
      <w:r w:rsidRPr="009F01BD">
        <w:t xml:space="preserve"> reference person</w:t>
      </w:r>
      <w:r w:rsidR="00FE23DD">
        <w:t>, or where</w:t>
      </w:r>
      <w:r w:rsidRPr="009F01BD">
        <w:t xml:space="preserve"> a person is not part of a family, that person</w:t>
      </w:r>
      <w:r w:rsidR="00EE3C04">
        <w:t>’</w:t>
      </w:r>
      <w:r w:rsidRPr="009F01BD">
        <w:t>s relationship to the household reference person.</w:t>
      </w:r>
      <w:r w:rsidR="006879B0">
        <w:rPr>
          <w:rStyle w:val="FootnoteReference"/>
        </w:rPr>
        <w:footnoteReference w:id="19"/>
      </w:r>
    </w:p>
    <w:p w14:paraId="2139577A" w14:textId="3DDF0993" w:rsidR="009B1B70" w:rsidRDefault="008A1FFC" w:rsidP="00361C72">
      <w:r>
        <w:t xml:space="preserve">Assuming </w:t>
      </w:r>
      <w:r w:rsidR="009D0C92">
        <w:t xml:space="preserve">a </w:t>
      </w:r>
      <w:r>
        <w:t>single</w:t>
      </w:r>
      <w:r w:rsidR="00EE3C04">
        <w:noBreakHyphen/>
      </w:r>
      <w:r>
        <w:t xml:space="preserve">family household, in </w:t>
      </w:r>
      <w:r w:rsidR="009D0C92">
        <w:t xml:space="preserve">a couple family, each </w:t>
      </w:r>
      <w:r>
        <w:t xml:space="preserve">member of the couple </w:t>
      </w:r>
      <w:r w:rsidR="009D0C92">
        <w:t xml:space="preserve">is assumed to </w:t>
      </w:r>
      <w:r w:rsidR="00B06E13">
        <w:t xml:space="preserve">contribute </w:t>
      </w:r>
      <w:r w:rsidR="009D0C92">
        <w:t xml:space="preserve">demand </w:t>
      </w:r>
      <w:r w:rsidR="00B06E13">
        <w:t>for</w:t>
      </w:r>
      <w:r w:rsidR="009D0C92">
        <w:t xml:space="preserve"> half of the dwelling</w:t>
      </w:r>
      <w:r w:rsidR="00B06E13">
        <w:t xml:space="preserve"> </w:t>
      </w:r>
      <w:r w:rsidR="009D0C92">
        <w:t xml:space="preserve">(0.5 per individual). </w:t>
      </w:r>
      <w:r w:rsidR="00BF1E81">
        <w:t>I</w:t>
      </w:r>
      <w:r w:rsidR="009D0C92">
        <w:t>n a three</w:t>
      </w:r>
      <w:r w:rsidR="00EE3C04">
        <w:noBreakHyphen/>
      </w:r>
      <w:r w:rsidR="009D0C92">
        <w:t>person group household, each person is assumed to demand one third of a dwelling.</w:t>
      </w:r>
      <w:r w:rsidR="002226C1" w:rsidRPr="002226C1">
        <w:t xml:space="preserve"> </w:t>
      </w:r>
      <w:r w:rsidR="002226C1">
        <w:t>Usual residents of non</w:t>
      </w:r>
      <w:r w:rsidR="00EE3C04">
        <w:noBreakHyphen/>
      </w:r>
      <w:r w:rsidR="002226C1">
        <w:t xml:space="preserve">private dwellings, such as </w:t>
      </w:r>
      <w:r w:rsidR="002226C1" w:rsidRPr="009F01BD">
        <w:t xml:space="preserve">students that live in </w:t>
      </w:r>
      <w:r w:rsidR="002226C1">
        <w:t>on</w:t>
      </w:r>
      <w:r w:rsidR="00EE3C04">
        <w:noBreakHyphen/>
      </w:r>
      <w:r w:rsidR="002226C1" w:rsidRPr="009F01BD">
        <w:t>campus accommodation</w:t>
      </w:r>
      <w:r w:rsidR="002226C1">
        <w:t>, do not contribute to demand for dwellings.</w:t>
      </w:r>
    </w:p>
    <w:p w14:paraId="2ABF0263" w14:textId="6B059A2A" w:rsidR="009F01BD" w:rsidRDefault="004621F6" w:rsidP="004B7959">
      <w:pPr>
        <w:pStyle w:val="TableMainHeading"/>
      </w:pPr>
      <w:r>
        <w:t>Method</w:t>
      </w:r>
      <w:r w:rsidRPr="009F01BD">
        <w:t xml:space="preserve"> </w:t>
      </w:r>
    </w:p>
    <w:tbl>
      <w:tblPr>
        <w:tblStyle w:val="CPOPTable"/>
        <w:tblW w:w="5000" w:type="pct"/>
        <w:tblLayout w:type="fixed"/>
        <w:tblLook w:val="04A0" w:firstRow="1" w:lastRow="0" w:firstColumn="1" w:lastColumn="0" w:noHBand="0" w:noVBand="1"/>
        <w:tblCaption w:val="Table"/>
      </w:tblPr>
      <w:tblGrid>
        <w:gridCol w:w="4678"/>
        <w:gridCol w:w="4392"/>
      </w:tblGrid>
      <w:tr w:rsidR="00524EE1" w:rsidRPr="00EE3C04" w14:paraId="5B768CA7" w14:textId="77777777" w:rsidTr="00A252F6">
        <w:trPr>
          <w:cnfStyle w:val="100000000000" w:firstRow="1" w:lastRow="0" w:firstColumn="0" w:lastColumn="0" w:oddVBand="0" w:evenVBand="0" w:oddHBand="0" w:evenHBand="0" w:firstRowFirstColumn="0" w:firstRowLastColumn="0" w:lastRowFirstColumn="0" w:lastRowLastColumn="0"/>
          <w:trHeight w:val="250"/>
        </w:trPr>
        <w:tc>
          <w:tcPr>
            <w:tcW w:w="2579" w:type="pct"/>
            <w:tcBorders>
              <w:top w:val="single" w:sz="4" w:space="0" w:color="auto"/>
              <w:bottom w:val="single" w:sz="4" w:space="0" w:color="auto"/>
            </w:tcBorders>
          </w:tcPr>
          <w:p w14:paraId="50952937" w14:textId="5DDC6471" w:rsidR="00524EE1" w:rsidRPr="00EE3C04" w:rsidRDefault="00524EE1" w:rsidP="00524EE1">
            <w:pPr>
              <w:pStyle w:val="TableColumnHeadingLeft"/>
            </w:pPr>
            <w:r w:rsidRPr="00EE3C04">
              <w:t>Family household composition</w:t>
            </w:r>
          </w:p>
        </w:tc>
        <w:tc>
          <w:tcPr>
            <w:tcW w:w="2421" w:type="pct"/>
            <w:tcBorders>
              <w:top w:val="single" w:sz="4" w:space="0" w:color="auto"/>
              <w:bottom w:val="single" w:sz="4" w:space="0" w:color="auto"/>
            </w:tcBorders>
          </w:tcPr>
          <w:p w14:paraId="055B1600" w14:textId="0D6DBFB4" w:rsidR="00524EE1" w:rsidRPr="00EE3C04" w:rsidRDefault="001B0DC0" w:rsidP="00524EE1">
            <w:pPr>
              <w:pStyle w:val="TableColumnHeadingLeft"/>
              <w:rPr>
                <w:color w:val="004672" w:themeColor="accent1" w:themeTint="E6"/>
              </w:rPr>
            </w:pPr>
            <w:r w:rsidRPr="00EE3C04">
              <w:t xml:space="preserve">Relationship in household </w:t>
            </w:r>
            <w:r w:rsidR="00424F1B" w:rsidRPr="00EE3C04">
              <w:t>- household c</w:t>
            </w:r>
            <w:r w:rsidR="00524EE1" w:rsidRPr="00EE3C04">
              <w:t xml:space="preserve">alculation </w:t>
            </w:r>
          </w:p>
        </w:tc>
      </w:tr>
      <w:tr w:rsidR="005C0A76" w:rsidRPr="00EE3C04" w14:paraId="7B660A6B" w14:textId="77777777" w:rsidTr="00A252F6">
        <w:trPr>
          <w:trHeight w:val="594"/>
        </w:trPr>
        <w:tc>
          <w:tcPr>
            <w:tcW w:w="2579" w:type="pct"/>
            <w:tcBorders>
              <w:top w:val="single" w:sz="4" w:space="0" w:color="auto"/>
              <w:left w:val="nil"/>
              <w:bottom w:val="single" w:sz="4" w:space="0" w:color="002C47" w:themeColor="accent1"/>
              <w:right w:val="nil"/>
            </w:tcBorders>
            <w:hideMark/>
          </w:tcPr>
          <w:p w14:paraId="6DFEC5CC" w14:textId="5490335A" w:rsidR="005C0A76" w:rsidRPr="00EE3C04" w:rsidRDefault="005C0A76" w:rsidP="009B1B70">
            <w:pPr>
              <w:pStyle w:val="TableTextLeft"/>
              <w:rPr>
                <w:b/>
                <w:bCs/>
              </w:rPr>
            </w:pPr>
            <w:r w:rsidRPr="00EE3C04">
              <w:t>Couple family with or without children*</w:t>
            </w:r>
          </w:p>
        </w:tc>
        <w:tc>
          <w:tcPr>
            <w:tcW w:w="2421" w:type="pct"/>
            <w:tcBorders>
              <w:top w:val="single" w:sz="4" w:space="0" w:color="auto"/>
              <w:left w:val="nil"/>
              <w:bottom w:val="single" w:sz="4" w:space="0" w:color="002C47" w:themeColor="accent1"/>
              <w:right w:val="nil"/>
            </w:tcBorders>
            <w:vAlign w:val="bottom"/>
          </w:tcPr>
          <w:p w14:paraId="4AAA88F2" w14:textId="77777777" w:rsidR="009B1B70" w:rsidRPr="00EE3C04" w:rsidRDefault="005C0A76" w:rsidP="009B1B70">
            <w:pPr>
              <w:pStyle w:val="TableTextLeft"/>
            </w:pPr>
            <w:r w:rsidRPr="00EE3C04">
              <w:t>Husband, Wife or Partner = 0.5</w:t>
            </w:r>
          </w:p>
          <w:p w14:paraId="61F708DC" w14:textId="4CE00EF4" w:rsidR="005C0A76" w:rsidRPr="00EE3C04" w:rsidRDefault="005C0A76" w:rsidP="009B1B70">
            <w:pPr>
              <w:pStyle w:val="TableTextLeft"/>
              <w:rPr>
                <w:b/>
                <w:bCs/>
              </w:rPr>
            </w:pPr>
            <w:r w:rsidRPr="00EE3C04">
              <w:t>All other household members = 0 </w:t>
            </w:r>
          </w:p>
        </w:tc>
      </w:tr>
      <w:tr w:rsidR="005C0A76" w:rsidRPr="00EE3C04" w14:paraId="24BB52A2" w14:textId="77777777" w:rsidTr="009B1B70">
        <w:trPr>
          <w:trHeight w:val="224"/>
        </w:trPr>
        <w:tc>
          <w:tcPr>
            <w:tcW w:w="2579" w:type="pct"/>
            <w:tcBorders>
              <w:top w:val="single" w:sz="4" w:space="0" w:color="002C47" w:themeColor="accent1"/>
              <w:left w:val="nil"/>
              <w:bottom w:val="single" w:sz="4" w:space="0" w:color="002C47" w:themeColor="accent1"/>
              <w:right w:val="nil"/>
            </w:tcBorders>
            <w:hideMark/>
          </w:tcPr>
          <w:p w14:paraId="14AAB14C" w14:textId="4752400A" w:rsidR="005C0A76" w:rsidRPr="00EE3C04" w:rsidRDefault="005C0A76" w:rsidP="00361C72">
            <w:pPr>
              <w:pStyle w:val="TableTextLeft"/>
            </w:pPr>
            <w:r w:rsidRPr="00EE3C04">
              <w:t xml:space="preserve">One </w:t>
            </w:r>
            <w:r w:rsidRPr="00361C72">
              <w:t>parent</w:t>
            </w:r>
            <w:r w:rsidRPr="00EE3C04">
              <w:t xml:space="preserve"> family*</w:t>
            </w:r>
          </w:p>
        </w:tc>
        <w:tc>
          <w:tcPr>
            <w:tcW w:w="2421" w:type="pct"/>
            <w:tcBorders>
              <w:top w:val="single" w:sz="4" w:space="0" w:color="002C47" w:themeColor="accent1"/>
              <w:left w:val="nil"/>
              <w:bottom w:val="single" w:sz="4" w:space="0" w:color="002C47" w:themeColor="accent1"/>
              <w:right w:val="nil"/>
            </w:tcBorders>
            <w:vAlign w:val="bottom"/>
          </w:tcPr>
          <w:p w14:paraId="79AA4E01" w14:textId="77777777" w:rsidR="005C0A76" w:rsidRPr="00EE3C04" w:rsidRDefault="005C0A76" w:rsidP="005C0A76">
            <w:pPr>
              <w:pStyle w:val="TableTextLeft"/>
            </w:pPr>
            <w:r w:rsidRPr="00EE3C04">
              <w:t>Lone parent = 1</w:t>
            </w:r>
          </w:p>
          <w:p w14:paraId="73605EFD" w14:textId="157F6B43" w:rsidR="005C0A76" w:rsidRPr="00EE3C04" w:rsidRDefault="005C0A76" w:rsidP="005C0A76">
            <w:pPr>
              <w:pStyle w:val="TableTextLeft"/>
            </w:pPr>
            <w:r w:rsidRPr="00EE3C04">
              <w:t>All other household members = 0 </w:t>
            </w:r>
          </w:p>
        </w:tc>
      </w:tr>
      <w:tr w:rsidR="005C0A76" w:rsidRPr="00EE3C04" w14:paraId="7927875F" w14:textId="77777777" w:rsidTr="009B1B70">
        <w:trPr>
          <w:trHeight w:val="80"/>
        </w:trPr>
        <w:tc>
          <w:tcPr>
            <w:tcW w:w="2579" w:type="pct"/>
            <w:tcBorders>
              <w:top w:val="single" w:sz="4" w:space="0" w:color="002C47" w:themeColor="accent1"/>
              <w:left w:val="nil"/>
              <w:bottom w:val="single" w:sz="4" w:space="0" w:color="002C47" w:themeColor="accent1"/>
              <w:right w:val="nil"/>
            </w:tcBorders>
            <w:hideMark/>
          </w:tcPr>
          <w:p w14:paraId="415DC441" w14:textId="0BC0ED37" w:rsidR="005C0A76" w:rsidRPr="00EE3C04" w:rsidRDefault="005C0A76" w:rsidP="009B1B70">
            <w:pPr>
              <w:pStyle w:val="TableTextLeft"/>
            </w:pPr>
            <w:r w:rsidRPr="00EE3C04">
              <w:t>Other family type household*</w:t>
            </w:r>
          </w:p>
        </w:tc>
        <w:tc>
          <w:tcPr>
            <w:tcW w:w="2421" w:type="pct"/>
            <w:tcBorders>
              <w:top w:val="single" w:sz="4" w:space="0" w:color="002C47" w:themeColor="accent1"/>
              <w:left w:val="nil"/>
              <w:bottom w:val="single" w:sz="4" w:space="0" w:color="002C47" w:themeColor="accent1"/>
              <w:right w:val="nil"/>
            </w:tcBorders>
            <w:vAlign w:val="bottom"/>
          </w:tcPr>
          <w:p w14:paraId="453EBC51" w14:textId="50F81D64" w:rsidR="005C0A76" w:rsidRPr="00EE3C04" w:rsidRDefault="005C0A76" w:rsidP="005C0A76">
            <w:pPr>
              <w:pStyle w:val="TableTextLeft"/>
            </w:pPr>
            <w:r w:rsidRPr="00EE3C04">
              <w:t>Siblings, cousins, grandparents, nephew, nieces, other related individuals (nec), uncles and aunts = 1/</w:t>
            </w:r>
            <w:r w:rsidR="00B85B5E" w:rsidRPr="00EE3C04">
              <w:t>Count of persons in family</w:t>
            </w:r>
          </w:p>
        </w:tc>
      </w:tr>
      <w:tr w:rsidR="005C0A76" w:rsidRPr="00EE3C04" w14:paraId="3E72B765" w14:textId="77777777" w:rsidTr="009B1B70">
        <w:trPr>
          <w:trHeight w:val="324"/>
        </w:trPr>
        <w:tc>
          <w:tcPr>
            <w:tcW w:w="2579" w:type="pct"/>
            <w:tcBorders>
              <w:top w:val="single" w:sz="4" w:space="0" w:color="002C47" w:themeColor="accent1"/>
              <w:left w:val="nil"/>
              <w:bottom w:val="single" w:sz="4" w:space="0" w:color="002C47" w:themeColor="accent1"/>
              <w:right w:val="nil"/>
            </w:tcBorders>
            <w:hideMark/>
          </w:tcPr>
          <w:p w14:paraId="7C813774" w14:textId="0B2F2DF4" w:rsidR="005C0A76" w:rsidRPr="00EE3C04" w:rsidRDefault="005C0A76" w:rsidP="009B1B70">
            <w:pPr>
              <w:pStyle w:val="TableTextLeft"/>
            </w:pPr>
            <w:r w:rsidRPr="00EE3C04">
              <w:t>Group households</w:t>
            </w:r>
          </w:p>
        </w:tc>
        <w:tc>
          <w:tcPr>
            <w:tcW w:w="2421" w:type="pct"/>
            <w:tcBorders>
              <w:top w:val="single" w:sz="4" w:space="0" w:color="002C47" w:themeColor="accent1"/>
              <w:left w:val="nil"/>
              <w:bottom w:val="single" w:sz="4" w:space="0" w:color="002C47" w:themeColor="accent1"/>
              <w:right w:val="nil"/>
            </w:tcBorders>
            <w:vAlign w:val="bottom"/>
          </w:tcPr>
          <w:p w14:paraId="0439455F" w14:textId="598C60F7" w:rsidR="005C0A76" w:rsidRPr="00EE3C04" w:rsidRDefault="005C0A76" w:rsidP="005C0A76">
            <w:pPr>
              <w:pStyle w:val="TableTextLeft"/>
            </w:pPr>
            <w:r w:rsidRPr="00EE3C04">
              <w:t>1/</w:t>
            </w:r>
            <w:r w:rsidR="002A0502" w:rsidRPr="00EE3C04">
              <w:t>Number of persons usually residing in dwelling</w:t>
            </w:r>
          </w:p>
        </w:tc>
      </w:tr>
      <w:tr w:rsidR="005C0A76" w:rsidRPr="00EE3C04" w14:paraId="60D6C177" w14:textId="77777777" w:rsidTr="009B1B70">
        <w:tc>
          <w:tcPr>
            <w:tcW w:w="2579" w:type="pct"/>
            <w:tcBorders>
              <w:top w:val="single" w:sz="4" w:space="0" w:color="002C47" w:themeColor="accent1"/>
              <w:left w:val="nil"/>
              <w:bottom w:val="single" w:sz="4" w:space="0" w:color="002C47" w:themeColor="accent1"/>
              <w:right w:val="nil"/>
            </w:tcBorders>
            <w:hideMark/>
          </w:tcPr>
          <w:p w14:paraId="50D84882" w14:textId="7C4F4E30" w:rsidR="005C0A76" w:rsidRPr="00EE3C04" w:rsidRDefault="005C0A76" w:rsidP="009B1B70">
            <w:pPr>
              <w:pStyle w:val="TableTextLeft"/>
            </w:pPr>
            <w:r w:rsidRPr="00EE3C04">
              <w:t>Lone person </w:t>
            </w:r>
          </w:p>
        </w:tc>
        <w:tc>
          <w:tcPr>
            <w:tcW w:w="2421" w:type="pct"/>
            <w:tcBorders>
              <w:top w:val="single" w:sz="4" w:space="0" w:color="002C47" w:themeColor="accent1"/>
              <w:left w:val="nil"/>
              <w:bottom w:val="single" w:sz="4" w:space="0" w:color="002C47" w:themeColor="accent1"/>
              <w:right w:val="nil"/>
            </w:tcBorders>
            <w:vAlign w:val="bottom"/>
          </w:tcPr>
          <w:p w14:paraId="1462768D" w14:textId="7A77037B" w:rsidR="005C0A76" w:rsidRPr="00EE3C04" w:rsidRDefault="005C0A76" w:rsidP="005C0A76">
            <w:pPr>
              <w:pStyle w:val="TableTextLeft"/>
            </w:pPr>
            <w:r w:rsidRPr="00EE3C04">
              <w:t>Lone person = 1 </w:t>
            </w:r>
          </w:p>
        </w:tc>
      </w:tr>
    </w:tbl>
    <w:p w14:paraId="1416BF0A" w14:textId="6F986208" w:rsidR="006C2792" w:rsidRDefault="003A393A" w:rsidP="00A252F6">
      <w:pPr>
        <w:pStyle w:val="Source"/>
      </w:pPr>
      <w:r>
        <w:t xml:space="preserve">* For </w:t>
      </w:r>
      <w:r w:rsidRPr="00A252F6">
        <w:t>dwellings</w:t>
      </w:r>
      <w:r>
        <w:t xml:space="preserve"> with multiple families, the HH calculation is divided by the number of families.</w:t>
      </w:r>
    </w:p>
    <w:p w14:paraId="7EB8FD44" w14:textId="77CD67AE" w:rsidR="0021424E" w:rsidRDefault="0021424E" w:rsidP="00C504C5">
      <w:r>
        <w:t>The AHRP for permanent migrants may be higher than the analysis in Box 4 suggests. This is because the propensities were estimated using the Australian Census and Migrants Integrated Dataset (ACMID), which only includes individuals who were granted a permanent visa after 2000.</w:t>
      </w:r>
      <w:r>
        <w:rPr>
          <w:rStyle w:val="FootnoteReference"/>
        </w:rPr>
        <w:footnoteReference w:id="20"/>
      </w:r>
      <w:r w:rsidR="005C0401">
        <w:t xml:space="preserve"> </w:t>
      </w:r>
      <w:r>
        <w:t xml:space="preserve">As a result, it excludes many older permanent migrants, who are likely to have higher AHRPs. </w:t>
      </w:r>
    </w:p>
    <w:p w14:paraId="16EA3350" w14:textId="77777777" w:rsidR="00657D4C" w:rsidRDefault="00657D4C" w:rsidP="008726AD">
      <w:pPr>
        <w:pStyle w:val="Heading4"/>
      </w:pPr>
      <w:r w:rsidRPr="00657D4C">
        <w:lastRenderedPageBreak/>
        <w:t>Limitations</w:t>
      </w:r>
    </w:p>
    <w:p w14:paraId="1A8ACCC3" w14:textId="693CA04D" w:rsidR="00E91FF2" w:rsidRDefault="00E91FF2" w:rsidP="00C504C5">
      <w:r w:rsidRPr="00657D4C">
        <w:t>AHRP</w:t>
      </w:r>
      <w:r>
        <w:t xml:space="preserve"> measures the average housing demand attributable to each group, based on their living arrangements.</w:t>
      </w:r>
      <w:r w:rsidRPr="00657D4C">
        <w:t xml:space="preserve"> As such, short</w:t>
      </w:r>
      <w:r w:rsidR="00EE3C04">
        <w:noBreakHyphen/>
      </w:r>
      <w:r w:rsidRPr="00657D4C">
        <w:t>term fluctuations in migration</w:t>
      </w:r>
      <w:r>
        <w:t xml:space="preserve"> may not immediately increase or decrease housing demand to the same extent</w:t>
      </w:r>
      <w:r w:rsidRPr="00657D4C">
        <w:t>. Many visa holders share housing with citizens or others, so their departure may shift household composition rather than free up dwellings. For instance, if a visa holder in a relationship with an Australian citizen left the country and the citizen remained, the dwelling would transition from a couple to a lone</w:t>
      </w:r>
      <w:r w:rsidR="00EE3C04">
        <w:noBreakHyphen/>
      </w:r>
      <w:r w:rsidRPr="00657D4C">
        <w:t>person household</w:t>
      </w:r>
      <w:r w:rsidR="00947C69">
        <w:t xml:space="preserve"> –</w:t>
      </w:r>
      <w:r w:rsidRPr="00657D4C">
        <w:t>with no immediate impact on the quantity of dwellings demanded. Over time, household adjustments would begin to impact dwelling demand, pending the supply elasticity of the various housing markets around Australia</w:t>
      </w:r>
      <w:r w:rsidR="00947C69">
        <w:t xml:space="preserve">. </w:t>
      </w:r>
    </w:p>
    <w:p w14:paraId="59DE2037" w14:textId="3896D665" w:rsidR="00E91FF2" w:rsidRDefault="00E91FF2" w:rsidP="00C504C5">
      <w:r w:rsidRPr="00657D4C">
        <w:t>The AHRP method calculates the quantity of dwellings demanded, but not the type of dwelling demanded or the market a specific dwelling is in, such as rental or owner occupied. The use of person specific data measures each person</w:t>
      </w:r>
      <w:r w:rsidR="00EE3C04">
        <w:t>’</w:t>
      </w:r>
      <w:r w:rsidRPr="00657D4C">
        <w:t xml:space="preserve">s contribution to dwelling demand. This ensures that </w:t>
      </w:r>
      <w:r w:rsidR="00EE3C04">
        <w:t>‘</w:t>
      </w:r>
      <w:r w:rsidRPr="00657D4C">
        <w:t>mixed</w:t>
      </w:r>
      <w:r w:rsidR="00EE3C04">
        <w:t>’</w:t>
      </w:r>
      <w:r w:rsidRPr="00657D4C">
        <w:t xml:space="preserve"> visa and </w:t>
      </w:r>
      <w:r w:rsidR="0014160C">
        <w:t>citizenship</w:t>
      </w:r>
      <w:r w:rsidRPr="00657D4C">
        <w:t xml:space="preserve"> households are accurately captured. </w:t>
      </w:r>
    </w:p>
    <w:p w14:paraId="4DE3CCEE" w14:textId="38D4D5B1" w:rsidR="00F957ED" w:rsidRPr="00F5550D" w:rsidRDefault="00F5550D" w:rsidP="00154360">
      <w:pPr>
        <w:pStyle w:val="Heading3"/>
      </w:pPr>
      <w:r w:rsidRPr="00F5550D">
        <w:t xml:space="preserve">Box </w:t>
      </w:r>
      <w:r w:rsidR="008A5AF3">
        <w:t>5</w:t>
      </w:r>
      <w:r w:rsidRPr="00F5550D">
        <w:t>:</w:t>
      </w:r>
      <w:r w:rsidR="008A5AF3">
        <w:t xml:space="preserve"> Understanding fertility patterns in Australia</w:t>
      </w:r>
    </w:p>
    <w:p w14:paraId="58949617" w14:textId="5062B614" w:rsidR="008C2E69" w:rsidRDefault="005440E4" w:rsidP="00154360">
      <w:pPr>
        <w:pStyle w:val="Heading4"/>
      </w:pPr>
      <w:r>
        <w:t>Data sources and methodology</w:t>
      </w:r>
      <w:r w:rsidR="00DD3839">
        <w:t xml:space="preserve"> to measure fertility intentions</w:t>
      </w:r>
    </w:p>
    <w:p w14:paraId="7B01E6A1" w14:textId="4257E29F" w:rsidR="00BA46EC" w:rsidRDefault="00BA46EC" w:rsidP="00C504C5">
      <w:r>
        <w:t>This analysis primarily uses results from the HILDA survey. HILDA asks questions surrounding how likely participants are to have a child, how many more children they intend to have, when they intend to have more children and the importance in their decision to have a child.</w:t>
      </w:r>
      <w:r>
        <w:rPr>
          <w:rStyle w:val="FootnoteReference"/>
        </w:rPr>
        <w:footnoteReference w:id="21"/>
      </w:r>
      <w:r>
        <w:t xml:space="preserve"> The results from these questions have been used to calculate average fertility intentions for both female and male respondents.</w:t>
      </w:r>
    </w:p>
    <w:p w14:paraId="500338DD" w14:textId="38F327F4" w:rsidR="009612A5" w:rsidRDefault="00BA46EC" w:rsidP="00C504C5">
      <w:r>
        <w:t>Estimates of female fertility intentions have then been used to project intended birth rates through applying the ratio of intended fertility to actual fertility and multiplying this by live births. Current sex ratios were then used to estimate the sex of these intended births. This gives an approximation of how many additional births would have occurred if fertility rates had met intentions. Thus, these calculations show the additional people that would exist in the population had intentions been met.</w:t>
      </w:r>
      <w:r w:rsidR="007626BF">
        <w:rPr>
          <w:rStyle w:val="FootnoteReference"/>
        </w:rPr>
        <w:footnoteReference w:id="22"/>
      </w:r>
      <w:r w:rsidR="000D1320">
        <w:br w:type="page"/>
      </w:r>
    </w:p>
    <w:p w14:paraId="13E202D0" w14:textId="77777777" w:rsidR="00780759" w:rsidRDefault="00780759" w:rsidP="002A19C6">
      <w:pPr>
        <w:pStyle w:val="Heading2"/>
      </w:pPr>
      <w:bookmarkStart w:id="0" w:name="_Toc214014413"/>
      <w:bookmarkStart w:id="1" w:name="_Toc211351050"/>
      <w:bookmarkStart w:id="2" w:name="_Toc211957758"/>
      <w:r>
        <w:lastRenderedPageBreak/>
        <w:t>References</w:t>
      </w:r>
      <w:bookmarkEnd w:id="0"/>
      <w:r>
        <w:t xml:space="preserve"> </w:t>
      </w:r>
      <w:bookmarkEnd w:id="1"/>
      <w:bookmarkEnd w:id="2"/>
    </w:p>
    <w:p w14:paraId="36CAC2B1" w14:textId="19E46A8C" w:rsidR="00F0384F" w:rsidRDefault="00F0384F" w:rsidP="00F0384F">
      <w:pPr>
        <w:pStyle w:val="Reference"/>
      </w:pPr>
      <w:r>
        <w:t xml:space="preserve">Australian Bureau of Statistics (ABS), </w:t>
      </w:r>
      <w:hyperlink r:id="rId23" w:history="1">
        <w:r w:rsidRPr="005C135E">
          <w:rPr>
            <w:rStyle w:val="Hyperlink"/>
            <w:i/>
            <w:iCs/>
          </w:rPr>
          <w:t>Australian Census and Migrants Integrated Dataset (ACMID)</w:t>
        </w:r>
      </w:hyperlink>
      <w:r>
        <w:t xml:space="preserve">, ABS website, 2025. </w:t>
      </w:r>
    </w:p>
    <w:p w14:paraId="1B9BD712" w14:textId="77777777" w:rsidR="00F0384F" w:rsidRDefault="00F0384F" w:rsidP="00F0384F">
      <w:pPr>
        <w:pStyle w:val="Reference"/>
      </w:pPr>
      <w:r>
        <w:t xml:space="preserve">ABS, </w:t>
      </w:r>
      <w:hyperlink r:id="rId24" w:history="1">
        <w:r w:rsidRPr="00C126F9">
          <w:rPr>
            <w:rStyle w:val="Hyperlink"/>
            <w:i/>
          </w:rPr>
          <w:t>Births</w:t>
        </w:r>
      </w:hyperlink>
      <w:r>
        <w:t>, ABS website, multiple releases, 2024.</w:t>
      </w:r>
    </w:p>
    <w:p w14:paraId="44968E0D" w14:textId="77777777" w:rsidR="00F0384F" w:rsidRDefault="00F0384F" w:rsidP="00F0384F">
      <w:pPr>
        <w:pStyle w:val="Reference"/>
      </w:pPr>
      <w:r>
        <w:t xml:space="preserve">ABS, </w:t>
      </w:r>
      <w:hyperlink r:id="rId25" w:history="1">
        <w:r w:rsidRPr="00911A27">
          <w:rPr>
            <w:rStyle w:val="Hyperlink"/>
            <w:i/>
            <w:iCs/>
          </w:rPr>
          <w:t>Census of Population and Housing</w:t>
        </w:r>
      </w:hyperlink>
      <w:r>
        <w:t>, ABS website, 2016.</w:t>
      </w:r>
    </w:p>
    <w:p w14:paraId="5ED4719F" w14:textId="77777777" w:rsidR="00F0384F" w:rsidRPr="00C126F9" w:rsidRDefault="00F0384F" w:rsidP="00F0384F">
      <w:pPr>
        <w:pStyle w:val="Reference"/>
        <w:rPr>
          <w:sz w:val="22"/>
          <w:szCs w:val="22"/>
        </w:rPr>
      </w:pPr>
      <w:r w:rsidRPr="00C126F9">
        <w:rPr>
          <w:rFonts w:cs="Calibri"/>
          <w:color w:val="000000" w:themeColor="text1"/>
        </w:rPr>
        <w:t xml:space="preserve">ABS, </w:t>
      </w:r>
      <w:hyperlink r:id="rId26" w:history="1">
        <w:r w:rsidRPr="00C126F9">
          <w:rPr>
            <w:rStyle w:val="Hyperlink"/>
            <w:rFonts w:cs="Calibri"/>
            <w:i/>
          </w:rPr>
          <w:t>Census of Population and Housing</w:t>
        </w:r>
      </w:hyperlink>
      <w:r w:rsidRPr="00C126F9">
        <w:rPr>
          <w:rFonts w:cs="Calibri"/>
          <w:i/>
          <w:color w:val="000000" w:themeColor="text1"/>
        </w:rPr>
        <w:t xml:space="preserve">, </w:t>
      </w:r>
      <w:r w:rsidRPr="00C126F9">
        <w:rPr>
          <w:rFonts w:cs="Calibri"/>
          <w:color w:val="000000" w:themeColor="text1"/>
        </w:rPr>
        <w:t>ABS website</w:t>
      </w:r>
      <w:r w:rsidRPr="00C126F9">
        <w:rPr>
          <w:rFonts w:cs="Calibri"/>
          <w:i/>
          <w:color w:val="000000" w:themeColor="text1"/>
        </w:rPr>
        <w:t xml:space="preserve">, </w:t>
      </w:r>
      <w:r w:rsidRPr="00C126F9">
        <w:rPr>
          <w:rFonts w:cs="Calibri"/>
          <w:color w:val="000000" w:themeColor="text1"/>
        </w:rPr>
        <w:t>2021.</w:t>
      </w:r>
    </w:p>
    <w:p w14:paraId="1717C5FE" w14:textId="77777777" w:rsidR="00F0384F" w:rsidRDefault="00F0384F" w:rsidP="0089788B">
      <w:pPr>
        <w:pStyle w:val="Reference"/>
      </w:pPr>
      <w:r w:rsidRPr="0047099B">
        <w:t xml:space="preserve">ABS, </w:t>
      </w:r>
      <w:hyperlink r:id="rId27" w:anchor="data-downloads" w:history="1">
        <w:r w:rsidRPr="009A18A7">
          <w:rPr>
            <w:rStyle w:val="Hyperlink"/>
            <w:i/>
          </w:rPr>
          <w:t>Life tables</w:t>
        </w:r>
        <w:r w:rsidRPr="009A18A7">
          <w:rPr>
            <w:rStyle w:val="Hyperlink"/>
          </w:rPr>
          <w:t xml:space="preserve"> </w:t>
        </w:r>
        <w:r w:rsidRPr="009A18A7">
          <w:rPr>
            <w:rStyle w:val="Hyperlink"/>
            <w:i/>
            <w:iCs/>
          </w:rPr>
          <w:t>2019 – 2021</w:t>
        </w:r>
      </w:hyperlink>
      <w:r w:rsidRPr="0047099B">
        <w:t xml:space="preserve">, </w:t>
      </w:r>
      <w:r>
        <w:t>ABS website,</w:t>
      </w:r>
      <w:r w:rsidRPr="0047099B">
        <w:t xml:space="preserve"> 2022.</w:t>
      </w:r>
    </w:p>
    <w:p w14:paraId="061363F7" w14:textId="77777777" w:rsidR="00F0384F" w:rsidRDefault="00F0384F" w:rsidP="00F0384F">
      <w:pPr>
        <w:pStyle w:val="Reference"/>
      </w:pPr>
      <w:r>
        <w:t xml:space="preserve">ABS, </w:t>
      </w:r>
      <w:hyperlink r:id="rId28" w:history="1">
        <w:r>
          <w:rPr>
            <w:rStyle w:val="Hyperlink"/>
            <w:i/>
            <w:iCs/>
          </w:rPr>
          <w:t>Measuring Australia's excess mortality by remoteness areas during the COVID-19 pandemic until December 2023</w:t>
        </w:r>
      </w:hyperlink>
      <w:r>
        <w:t>, ABS website, 2025.</w:t>
      </w:r>
    </w:p>
    <w:p w14:paraId="30EEA12C" w14:textId="7A3B33F6" w:rsidR="00F0384F" w:rsidRDefault="00F0384F" w:rsidP="00F0384F">
      <w:pPr>
        <w:pStyle w:val="Reference"/>
        <w:rPr>
          <w:rFonts w:cs="Calibri"/>
        </w:rPr>
      </w:pPr>
      <w:r>
        <w:rPr>
          <w:rFonts w:cs="Calibri"/>
        </w:rPr>
        <w:t xml:space="preserve">ABS, </w:t>
      </w:r>
      <w:hyperlink r:id="rId29" w:anchor="overseas-migration" w:history="1">
        <w:r w:rsidRPr="00FE0706">
          <w:rPr>
            <w:rStyle w:val="Hyperlink"/>
            <w:rFonts w:cs="Calibri"/>
            <w:i/>
            <w:iCs/>
          </w:rPr>
          <w:t>National, state and territory population methodology</w:t>
        </w:r>
      </w:hyperlink>
      <w:r w:rsidRPr="002133A9">
        <w:rPr>
          <w:rFonts w:cs="Calibri"/>
          <w:iCs/>
        </w:rPr>
        <w:t>,</w:t>
      </w:r>
      <w:r w:rsidRPr="00C126F9">
        <w:rPr>
          <w:rFonts w:cs="Calibri"/>
          <w:i/>
        </w:rPr>
        <w:t xml:space="preserve"> multiple releases</w:t>
      </w:r>
      <w:r>
        <w:rPr>
          <w:rFonts w:cs="Calibri"/>
        </w:rPr>
        <w:t>, ABS website, 2020</w:t>
      </w:r>
      <w:r w:rsidR="00C504C5">
        <w:rPr>
          <w:rFonts w:cs="Calibri"/>
        </w:rPr>
        <w:t>–</w:t>
      </w:r>
      <w:r>
        <w:rPr>
          <w:rFonts w:cs="Calibri"/>
        </w:rPr>
        <w:t>2025.</w:t>
      </w:r>
    </w:p>
    <w:p w14:paraId="4DA9CF6E" w14:textId="196FF1FC" w:rsidR="00F0384F" w:rsidRDefault="00F0384F" w:rsidP="00F0384F">
      <w:pPr>
        <w:pStyle w:val="Reference"/>
      </w:pPr>
      <w:r>
        <w:rPr>
          <w:rFonts w:cs="Calibri"/>
        </w:rPr>
        <w:t>ABS</w:t>
      </w:r>
      <w:hyperlink r:id="rId30" w:history="1">
        <w:r w:rsidRPr="00704A7E">
          <w:t xml:space="preserve">, </w:t>
        </w:r>
        <w:r w:rsidRPr="00C126F9">
          <w:rPr>
            <w:rStyle w:val="Hyperlink"/>
            <w:i/>
          </w:rPr>
          <w:t>National, state and territory population</w:t>
        </w:r>
      </w:hyperlink>
      <w:r w:rsidRPr="002133A9">
        <w:rPr>
          <w:rFonts w:cs="Calibri"/>
          <w:iCs/>
        </w:rPr>
        <w:t>,</w:t>
      </w:r>
      <w:r w:rsidRPr="00C126F9">
        <w:rPr>
          <w:rFonts w:cs="Calibri"/>
          <w:i/>
        </w:rPr>
        <w:t xml:space="preserve"> multiple releases</w:t>
      </w:r>
      <w:r>
        <w:rPr>
          <w:rFonts w:cs="Calibri"/>
        </w:rPr>
        <w:t>, ABS website, 2020</w:t>
      </w:r>
      <w:r w:rsidR="00C504C5">
        <w:rPr>
          <w:rFonts w:cs="Calibri"/>
        </w:rPr>
        <w:t>–</w:t>
      </w:r>
      <w:r>
        <w:rPr>
          <w:rFonts w:cs="Calibri"/>
        </w:rPr>
        <w:t>2025.</w:t>
      </w:r>
    </w:p>
    <w:p w14:paraId="06877C84" w14:textId="77777777" w:rsidR="00F0384F" w:rsidRDefault="00F0384F" w:rsidP="00F0384F">
      <w:pPr>
        <w:pStyle w:val="Reference"/>
      </w:pPr>
      <w:r>
        <w:t>ABS,</w:t>
      </w:r>
      <w:r w:rsidRPr="00A41D90">
        <w:t xml:space="preserve"> </w:t>
      </w:r>
      <w:hyperlink r:id="rId31" w:history="1">
        <w:r w:rsidRPr="00AB798C">
          <w:rPr>
            <w:rStyle w:val="Hyperlink"/>
            <w:i/>
            <w:iCs/>
          </w:rPr>
          <w:t>National state and territory population: Net interstate migration review</w:t>
        </w:r>
      </w:hyperlink>
      <w:r>
        <w:t>, ABS website, 2025.</w:t>
      </w:r>
    </w:p>
    <w:p w14:paraId="16C0875B" w14:textId="77777777" w:rsidR="00F0384F" w:rsidRPr="00081EC2" w:rsidRDefault="00F0384F" w:rsidP="00F0384F">
      <w:pPr>
        <w:pStyle w:val="Reference"/>
        <w:rPr>
          <w:rFonts w:cs="Calibri"/>
        </w:rPr>
      </w:pPr>
      <w:r>
        <w:rPr>
          <w:rFonts w:cs="Calibri"/>
        </w:rPr>
        <w:t xml:space="preserve">ABS, </w:t>
      </w:r>
      <w:hyperlink r:id="rId32" w:history="1">
        <w:r w:rsidRPr="00081EC2">
          <w:rPr>
            <w:rStyle w:val="Hyperlink"/>
            <w:rFonts w:cs="Calibri"/>
            <w:i/>
            <w:iCs/>
          </w:rPr>
          <w:t>Regional Population 2023</w:t>
        </w:r>
        <w:r w:rsidRPr="007C072F">
          <w:rPr>
            <w:rStyle w:val="Hyperlink"/>
            <w:rFonts w:cs="Calibri"/>
            <w:i/>
            <w:iCs/>
          </w:rPr>
          <w:t>–</w:t>
        </w:r>
        <w:r w:rsidRPr="00081EC2">
          <w:rPr>
            <w:rStyle w:val="Hyperlink"/>
            <w:rFonts w:cs="Calibri"/>
            <w:i/>
            <w:iCs/>
          </w:rPr>
          <w:t>24</w:t>
        </w:r>
      </w:hyperlink>
      <w:r>
        <w:rPr>
          <w:rFonts w:cs="Calibri"/>
          <w:i/>
          <w:iCs/>
        </w:rPr>
        <w:t xml:space="preserve">, </w:t>
      </w:r>
      <w:r>
        <w:rPr>
          <w:rFonts w:cs="Calibri"/>
        </w:rPr>
        <w:t xml:space="preserve">ABS website, 2025. </w:t>
      </w:r>
    </w:p>
    <w:p w14:paraId="731578C2" w14:textId="77777777" w:rsidR="00F0384F" w:rsidRDefault="00F0384F" w:rsidP="0089788B">
      <w:pPr>
        <w:pStyle w:val="Reference"/>
        <w:rPr>
          <w:rFonts w:cs="Calibri"/>
        </w:rPr>
      </w:pPr>
      <w:r>
        <w:t xml:space="preserve">ABS, </w:t>
      </w:r>
      <w:hyperlink r:id="rId33" w:history="1">
        <w:r w:rsidRPr="007F5E2B">
          <w:rPr>
            <w:rStyle w:val="Hyperlink"/>
            <w:i/>
            <w:iCs/>
          </w:rPr>
          <w:t>Regional population by age and sex</w:t>
        </w:r>
      </w:hyperlink>
      <w:r>
        <w:t>, ABS website, 2024.</w:t>
      </w:r>
    </w:p>
    <w:p w14:paraId="19C6AE5A" w14:textId="77777777" w:rsidR="00F0384F" w:rsidRPr="00C126F9" w:rsidRDefault="00F0384F" w:rsidP="00F0384F">
      <w:pPr>
        <w:pStyle w:val="Reference"/>
      </w:pPr>
      <w:r>
        <w:t xml:space="preserve">ABS, </w:t>
      </w:r>
      <w:hyperlink r:id="rId34" w:history="1">
        <w:r w:rsidRPr="001832E5">
          <w:rPr>
            <w:rStyle w:val="Hyperlink"/>
            <w:i/>
            <w:iCs/>
          </w:rPr>
          <w:t>Relationship in household (RLHP)</w:t>
        </w:r>
      </w:hyperlink>
      <w:r>
        <w:rPr>
          <w:i/>
          <w:iCs/>
        </w:rPr>
        <w:t xml:space="preserve">, </w:t>
      </w:r>
      <w:r>
        <w:t>ABS website, 2021.</w:t>
      </w:r>
    </w:p>
    <w:p w14:paraId="761B808B" w14:textId="77777777" w:rsidR="00F0384F" w:rsidRDefault="00F0384F" w:rsidP="00F0384F">
      <w:pPr>
        <w:pStyle w:val="Reference"/>
      </w:pPr>
      <w:r>
        <w:t xml:space="preserve">Australian Government, </w:t>
      </w:r>
      <w:hyperlink r:id="rId35" w:history="1">
        <w:r w:rsidRPr="00675038">
          <w:rPr>
            <w:rStyle w:val="Hyperlink"/>
            <w:rFonts w:cs="Calibri"/>
            <w:i/>
            <w:iCs/>
          </w:rPr>
          <w:t>Intergenerational Report 2023</w:t>
        </w:r>
      </w:hyperlink>
      <w:r>
        <w:t>, The Department of the Treasury, 2023, pg. 228.</w:t>
      </w:r>
    </w:p>
    <w:p w14:paraId="181F4A23" w14:textId="77777777" w:rsidR="00F0384F" w:rsidRDefault="00F0384F" w:rsidP="00F0384F">
      <w:pPr>
        <w:pStyle w:val="Reference"/>
      </w:pPr>
      <w:r>
        <w:t xml:space="preserve">Centre for Population, </w:t>
      </w:r>
      <w:hyperlink r:id="rId36" w:history="1">
        <w:r w:rsidRPr="007417A2">
          <w:rPr>
            <w:rStyle w:val="Hyperlink"/>
            <w:rFonts w:cs="Calibri"/>
            <w:i/>
            <w:iCs/>
          </w:rPr>
          <w:t>202</w:t>
        </w:r>
        <w:r>
          <w:rPr>
            <w:rStyle w:val="Hyperlink"/>
            <w:rFonts w:cs="Calibri"/>
            <w:i/>
            <w:iCs/>
          </w:rPr>
          <w:t>0</w:t>
        </w:r>
        <w:r w:rsidRPr="007417A2">
          <w:rPr>
            <w:rStyle w:val="Hyperlink"/>
            <w:rFonts w:cs="Calibri"/>
            <w:i/>
            <w:iCs/>
          </w:rPr>
          <w:t xml:space="preserve"> Population Statement</w:t>
        </w:r>
      </w:hyperlink>
      <w:r>
        <w:t>, Department of the Treasury, Australian Government, 2020.</w:t>
      </w:r>
    </w:p>
    <w:p w14:paraId="036BDB17" w14:textId="77777777" w:rsidR="00F0384F" w:rsidRDefault="00F0384F" w:rsidP="00F0384F">
      <w:pPr>
        <w:pStyle w:val="Reference"/>
      </w:pPr>
      <w:r>
        <w:t xml:space="preserve">Centre for Population, </w:t>
      </w:r>
      <w:hyperlink r:id="rId37" w:history="1">
        <w:r w:rsidRPr="007417A2">
          <w:rPr>
            <w:rStyle w:val="Hyperlink"/>
            <w:rFonts w:cs="Calibri"/>
            <w:i/>
            <w:iCs/>
          </w:rPr>
          <w:t>202</w:t>
        </w:r>
        <w:r>
          <w:rPr>
            <w:rStyle w:val="Hyperlink"/>
            <w:rFonts w:cs="Calibri"/>
            <w:i/>
            <w:iCs/>
          </w:rPr>
          <w:t>1</w:t>
        </w:r>
        <w:r w:rsidRPr="007417A2">
          <w:rPr>
            <w:rStyle w:val="Hyperlink"/>
            <w:rFonts w:cs="Calibri"/>
            <w:i/>
            <w:iCs/>
          </w:rPr>
          <w:t xml:space="preserve"> Population Statement</w:t>
        </w:r>
      </w:hyperlink>
      <w:r>
        <w:t xml:space="preserve">, Department of the Treasury, Australian Government, 2021. </w:t>
      </w:r>
    </w:p>
    <w:p w14:paraId="5BC0A193" w14:textId="77777777" w:rsidR="00F0384F" w:rsidRDefault="00F0384F" w:rsidP="0089788B">
      <w:pPr>
        <w:pStyle w:val="Reference"/>
      </w:pPr>
      <w:r>
        <w:t xml:space="preserve">Centre for Population, </w:t>
      </w:r>
      <w:hyperlink r:id="rId38" w:history="1">
        <w:r w:rsidRPr="007417A2">
          <w:rPr>
            <w:rStyle w:val="Hyperlink"/>
            <w:rFonts w:cs="Calibri"/>
            <w:i/>
            <w:iCs/>
          </w:rPr>
          <w:t>202</w:t>
        </w:r>
        <w:r>
          <w:rPr>
            <w:rStyle w:val="Hyperlink"/>
            <w:rFonts w:cs="Calibri"/>
            <w:i/>
            <w:iCs/>
          </w:rPr>
          <w:t>2</w:t>
        </w:r>
        <w:r w:rsidRPr="007417A2">
          <w:rPr>
            <w:rStyle w:val="Hyperlink"/>
            <w:rFonts w:cs="Calibri"/>
            <w:i/>
            <w:iCs/>
          </w:rPr>
          <w:t xml:space="preserve"> Population Statement</w:t>
        </w:r>
      </w:hyperlink>
      <w:r>
        <w:t>, Department of the Treasury, Australian Government, 2022.</w:t>
      </w:r>
    </w:p>
    <w:p w14:paraId="0803624B" w14:textId="77777777" w:rsidR="00F0384F" w:rsidRDefault="00F0384F" w:rsidP="0089788B">
      <w:pPr>
        <w:pStyle w:val="Reference"/>
      </w:pPr>
      <w:r>
        <w:t xml:space="preserve">Centre for Population, </w:t>
      </w:r>
      <w:hyperlink r:id="rId39" w:history="1">
        <w:r w:rsidRPr="007417A2">
          <w:rPr>
            <w:rStyle w:val="Hyperlink"/>
            <w:rFonts w:cs="Calibri"/>
            <w:i/>
            <w:iCs/>
          </w:rPr>
          <w:t>202</w:t>
        </w:r>
        <w:r>
          <w:rPr>
            <w:rStyle w:val="Hyperlink"/>
            <w:rFonts w:cs="Calibri"/>
            <w:i/>
            <w:iCs/>
          </w:rPr>
          <w:t>3</w:t>
        </w:r>
        <w:r w:rsidRPr="007417A2">
          <w:rPr>
            <w:rStyle w:val="Hyperlink"/>
            <w:rFonts w:cs="Calibri"/>
            <w:i/>
            <w:iCs/>
          </w:rPr>
          <w:t xml:space="preserve"> Population Statement</w:t>
        </w:r>
      </w:hyperlink>
      <w:r>
        <w:t>, Department of the Treasury, Australian Government, 2023.</w:t>
      </w:r>
    </w:p>
    <w:p w14:paraId="04DE7B37" w14:textId="77777777" w:rsidR="00F0384F" w:rsidRDefault="00F0384F" w:rsidP="0089788B">
      <w:pPr>
        <w:pStyle w:val="Reference"/>
      </w:pPr>
      <w:r>
        <w:t xml:space="preserve">Centre for Population, </w:t>
      </w:r>
      <w:hyperlink r:id="rId40" w:history="1">
        <w:r w:rsidRPr="007417A2">
          <w:rPr>
            <w:rStyle w:val="Hyperlink"/>
            <w:rFonts w:cs="Calibri"/>
            <w:i/>
            <w:iCs/>
          </w:rPr>
          <w:t>202</w:t>
        </w:r>
        <w:r>
          <w:rPr>
            <w:rStyle w:val="Hyperlink"/>
            <w:rFonts w:cs="Calibri"/>
            <w:i/>
            <w:iCs/>
          </w:rPr>
          <w:t>4</w:t>
        </w:r>
        <w:r w:rsidRPr="007417A2">
          <w:rPr>
            <w:rStyle w:val="Hyperlink"/>
            <w:rFonts w:cs="Calibri"/>
            <w:i/>
            <w:iCs/>
          </w:rPr>
          <w:t xml:space="preserve"> Population Statement</w:t>
        </w:r>
      </w:hyperlink>
      <w:r>
        <w:t>, Department of the Treasury, Australian Government, 2024.</w:t>
      </w:r>
    </w:p>
    <w:p w14:paraId="67116DC2" w14:textId="77777777" w:rsidR="00F0384F" w:rsidRDefault="00F0384F" w:rsidP="00F0384F">
      <w:pPr>
        <w:pStyle w:val="Reference"/>
      </w:pPr>
      <w:r>
        <w:t xml:space="preserve">Department of Social Services; Melbourne Institute of Applied Economic and Social Research, ‘The household, income and labour dynamics in Australia (HILDA) survey. </w:t>
      </w:r>
      <w:r w:rsidRPr="00AF3BB1">
        <w:t xml:space="preserve">GENERAL RELEASE (Waves 1-23)’, </w:t>
      </w:r>
      <w:r w:rsidRPr="00E2682D">
        <w:rPr>
          <w:i/>
          <w:iCs/>
        </w:rPr>
        <w:t>ADA Dataverse</w:t>
      </w:r>
      <w:r w:rsidRPr="00AF3BB1">
        <w:t>, 2024, doi:10.26193/NBTNMV</w:t>
      </w:r>
      <w:r>
        <w:t>.</w:t>
      </w:r>
    </w:p>
    <w:p w14:paraId="5365D95A" w14:textId="5C21367C" w:rsidR="00F0384F" w:rsidRDefault="00F0384F" w:rsidP="00F0384F">
      <w:pPr>
        <w:pStyle w:val="Reference"/>
      </w:pPr>
      <w:r>
        <w:t xml:space="preserve">National Housing Supply and Affordability Council (NHSAC), </w:t>
      </w:r>
      <w:hyperlink r:id="rId41" w:history="1">
        <w:r w:rsidRPr="0044393F">
          <w:rPr>
            <w:rStyle w:val="Hyperlink"/>
            <w:i/>
            <w:iCs/>
          </w:rPr>
          <w:t>State of the Housing System 2025</w:t>
        </w:r>
      </w:hyperlink>
      <w:r>
        <w:t>, NHSAC website, 2025.</w:t>
      </w:r>
    </w:p>
    <w:p w14:paraId="055024A5" w14:textId="77777777" w:rsidR="00F0384F" w:rsidRDefault="00F0384F" w:rsidP="00F0384F">
      <w:pPr>
        <w:pStyle w:val="Reference"/>
      </w:pPr>
      <w:r>
        <w:t xml:space="preserve">Office for National Statistics (ONS), </w:t>
      </w:r>
      <w:hyperlink r:id="rId42" w:history="1">
        <w:r w:rsidRPr="00AB798C">
          <w:rPr>
            <w:rStyle w:val="Hyperlink"/>
            <w:i/>
            <w:iCs/>
          </w:rPr>
          <w:t>Method for incorporating cross border migration rates into the UK National Population Projections</w:t>
        </w:r>
      </w:hyperlink>
      <w:r>
        <w:t>, ONS</w:t>
      </w:r>
      <w:r w:rsidRPr="00C179B8">
        <w:t>, 201</w:t>
      </w:r>
      <w:r>
        <w:t>6.</w:t>
      </w:r>
    </w:p>
    <w:p w14:paraId="6E9A8456" w14:textId="31CC9539" w:rsidR="00F0384F" w:rsidRDefault="00F0384F" w:rsidP="00F0384F">
      <w:pPr>
        <w:pStyle w:val="Reference"/>
      </w:pPr>
      <w:r>
        <w:t xml:space="preserve">P </w:t>
      </w:r>
      <w:r w:rsidRPr="00EE430F">
        <w:t>McDonald</w:t>
      </w:r>
      <w:r>
        <w:t>,</w:t>
      </w:r>
      <w:r w:rsidRPr="00EE430F">
        <w:t xml:space="preserve"> </w:t>
      </w:r>
      <w:hyperlink r:id="rId43" w:history="1">
        <w:r w:rsidRPr="007D55A8">
          <w:rPr>
            <w:rStyle w:val="Hyperlink"/>
            <w:i/>
            <w:iCs/>
          </w:rPr>
          <w:t>A Projection of Australia’s Future Fertility Rates</w:t>
        </w:r>
      </w:hyperlink>
      <w:r>
        <w:t>,</w:t>
      </w:r>
      <w:r w:rsidRPr="00EE430F">
        <w:t xml:space="preserve"> </w:t>
      </w:r>
      <w:r>
        <w:t xml:space="preserve">The </w:t>
      </w:r>
      <w:r w:rsidRPr="00EE430F">
        <w:t>Centre for Population</w:t>
      </w:r>
      <w:r>
        <w:t>, Department of the Treasury, 2020.</w:t>
      </w:r>
    </w:p>
    <w:p w14:paraId="38D3D280" w14:textId="77777777" w:rsidR="00F0384F" w:rsidRDefault="00F0384F" w:rsidP="00F0384F">
      <w:pPr>
        <w:pStyle w:val="Reference"/>
      </w:pPr>
      <w:r>
        <w:t xml:space="preserve">Statistics Canada, </w:t>
      </w:r>
      <w:hyperlink r:id="rId44" w:history="1">
        <w:r w:rsidRPr="00AB798C">
          <w:rPr>
            <w:rStyle w:val="Hyperlink"/>
            <w:i/>
            <w:iCs/>
          </w:rPr>
          <w:t>Population Projections for Canada (2024 to 2074), Provinces and Territories (2024 to 2049)</w:t>
        </w:r>
      </w:hyperlink>
      <w:r>
        <w:t xml:space="preserve">, </w:t>
      </w:r>
      <w:r w:rsidRPr="00C179B8">
        <w:t>Statistics Canada</w:t>
      </w:r>
      <w:r>
        <w:t xml:space="preserve"> website</w:t>
      </w:r>
      <w:r w:rsidRPr="00C179B8">
        <w:t>, 2025</w:t>
      </w:r>
      <w:r>
        <w:t>.</w:t>
      </w:r>
    </w:p>
    <w:p w14:paraId="313F4AB3" w14:textId="21344E17" w:rsidR="00F0384F" w:rsidRPr="00624F52" w:rsidRDefault="00F0384F" w:rsidP="00F0384F">
      <w:pPr>
        <w:pStyle w:val="Reference"/>
      </w:pPr>
      <w:r w:rsidRPr="00C126F9">
        <w:t xml:space="preserve">T Wilson, </w:t>
      </w:r>
      <w:r w:rsidRPr="00624F52">
        <w:t>The sequential propensity household projection model</w:t>
      </w:r>
      <w:r w:rsidRPr="00C126F9">
        <w:t xml:space="preserve">’, </w:t>
      </w:r>
      <w:r w:rsidRPr="00C126F9">
        <w:rPr>
          <w:i/>
        </w:rPr>
        <w:t>Demographic Research</w:t>
      </w:r>
      <w:r w:rsidRPr="00C126F9">
        <w:t>, 2013, 28</w:t>
      </w:r>
      <w:r w:rsidR="005E0197">
        <w:t> </w:t>
      </w:r>
      <w:r w:rsidR="003143B5">
        <w:t>(4):</w:t>
      </w:r>
      <w:r w:rsidR="005E0197">
        <w:t> </w:t>
      </w:r>
      <w:r w:rsidRPr="00C126F9">
        <w:t>681-</w:t>
      </w:r>
      <w:r w:rsidR="005E0197">
        <w:t>‍</w:t>
      </w:r>
      <w:r w:rsidRPr="00C126F9">
        <w:t>712, doi:10.4054/DemRes.2013.28.24</w:t>
      </w:r>
      <w:r>
        <w:t>.</w:t>
      </w:r>
    </w:p>
    <w:sectPr w:rsidR="00F0384F" w:rsidRPr="00624F52" w:rsidSect="00517BD0">
      <w:headerReference w:type="even" r:id="rId45"/>
      <w:headerReference w:type="default" r:id="rId46"/>
      <w:footerReference w:type="even" r:id="rId47"/>
      <w:footerReference w:type="default" r:id="rId4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577F" w14:textId="77777777" w:rsidR="007F76A8" w:rsidRDefault="007F76A8">
      <w:pPr>
        <w:spacing w:after="0"/>
      </w:pPr>
      <w:r>
        <w:separator/>
      </w:r>
    </w:p>
  </w:endnote>
  <w:endnote w:type="continuationSeparator" w:id="0">
    <w:p w14:paraId="1762B8F7" w14:textId="77777777" w:rsidR="007F76A8" w:rsidRDefault="007F76A8">
      <w:pPr>
        <w:spacing w:after="0"/>
      </w:pPr>
      <w:r>
        <w:continuationSeparator/>
      </w:r>
    </w:p>
  </w:endnote>
  <w:endnote w:type="continuationNotice" w:id="1">
    <w:p w14:paraId="6546A34D" w14:textId="77777777" w:rsidR="007F76A8" w:rsidRDefault="007F76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5701" w14:textId="77777777" w:rsidR="00EF145E" w:rsidRPr="00E77C89" w:rsidRDefault="00EF145E" w:rsidP="00EE1447">
    <w:pPr>
      <w:pStyle w:val="FooterEven"/>
    </w:pPr>
    <w:r>
      <w:fldChar w:fldCharType="begin"/>
    </w:r>
    <w:r>
      <w:instrText xml:space="preserve"> PAGE  \* Arabic  \* MERGEFORMAT </w:instrText>
    </w:r>
    <w:r>
      <w:fldChar w:fldCharType="separate"/>
    </w:r>
    <w:r w:rsidR="00EE43CD">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EE1F" w14:textId="44D475C8" w:rsidR="003E664D" w:rsidRPr="00F60198" w:rsidRDefault="00EC77B2" w:rsidP="003E664D">
    <w:pPr>
      <w:pStyle w:val="FooterOdd"/>
      <w:ind w:firstLine="720"/>
    </w:pPr>
    <w:fldSimple w:instr="SUBJECT  \* Caps  \* MERGEFORMAT">
      <w:r>
        <w:t>Technical Appendix</w:t>
      </w:r>
    </w:fldSimple>
    <w:r w:rsidR="003E664D">
      <w:t xml:space="preserve"> | </w:t>
    </w:r>
    <w:r w:rsidR="003E664D" w:rsidRPr="00F60198">
      <w:fldChar w:fldCharType="begin"/>
    </w:r>
    <w:r w:rsidR="003E664D" w:rsidRPr="00F60198">
      <w:instrText xml:space="preserve"> PAGE   \* MERGEFORMAT </w:instrText>
    </w:r>
    <w:r w:rsidR="003E664D" w:rsidRPr="00F60198">
      <w:fldChar w:fldCharType="separate"/>
    </w:r>
    <w:r w:rsidR="003E664D">
      <w:t>1</w:t>
    </w:r>
    <w:r w:rsidR="003E664D" w:rsidRPr="00F601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C17E" w14:textId="77777777" w:rsidR="007F76A8" w:rsidRDefault="007F76A8">
      <w:pPr>
        <w:spacing w:after="0"/>
      </w:pPr>
      <w:r>
        <w:separator/>
      </w:r>
    </w:p>
  </w:footnote>
  <w:footnote w:type="continuationSeparator" w:id="0">
    <w:p w14:paraId="4F721A2A" w14:textId="77777777" w:rsidR="007F76A8" w:rsidRDefault="007F76A8">
      <w:pPr>
        <w:spacing w:after="0"/>
      </w:pPr>
      <w:r>
        <w:continuationSeparator/>
      </w:r>
    </w:p>
  </w:footnote>
  <w:footnote w:type="continuationNotice" w:id="1">
    <w:p w14:paraId="4C512B7F" w14:textId="77777777" w:rsidR="007F76A8" w:rsidRDefault="007F76A8">
      <w:pPr>
        <w:spacing w:after="0"/>
      </w:pPr>
    </w:p>
  </w:footnote>
  <w:footnote w:id="2">
    <w:p w14:paraId="27904B99" w14:textId="0F8685E6" w:rsidR="005660A1" w:rsidRPr="005660A1" w:rsidRDefault="00EE3C04" w:rsidP="000E6352">
      <w:pPr>
        <w:pStyle w:val="FootnoteText"/>
      </w:pPr>
      <w:r w:rsidRPr="00EE3C04">
        <w:rPr>
          <w:rStyle w:val="FootnoteReference"/>
          <w:sz w:val="18"/>
          <w:vertAlign w:val="baseline"/>
        </w:rPr>
        <w:footnoteRef/>
      </w:r>
      <w:r w:rsidR="000E6352">
        <w:tab/>
      </w:r>
      <w:r w:rsidR="005660A1" w:rsidRPr="005660A1">
        <w:rPr>
          <w:rFonts w:cs="Calibri"/>
        </w:rPr>
        <w:t xml:space="preserve">ABS, </w:t>
      </w:r>
      <w:hyperlink r:id="rId1" w:anchor="overseas-migration" w:history="1">
        <w:r w:rsidR="005660A1" w:rsidRPr="005660A1">
          <w:rPr>
            <w:rStyle w:val="Hyperlink"/>
            <w:rFonts w:cs="Calibri"/>
            <w:i/>
            <w:iCs/>
          </w:rPr>
          <w:t>National, state and territory population methodology</w:t>
        </w:r>
      </w:hyperlink>
      <w:r w:rsidR="005660A1" w:rsidRPr="005660A1">
        <w:rPr>
          <w:rFonts w:cs="Calibri"/>
        </w:rPr>
        <w:t>,  2025.</w:t>
      </w:r>
    </w:p>
  </w:footnote>
  <w:footnote w:id="3">
    <w:p w14:paraId="3AF30A84" w14:textId="5E7B7AD9" w:rsidR="00BA3A34" w:rsidRDefault="00EE3C04" w:rsidP="000E6352">
      <w:pPr>
        <w:pStyle w:val="FootnoteText"/>
      </w:pPr>
      <w:r w:rsidRPr="00EE3C04">
        <w:rPr>
          <w:rStyle w:val="FootnoteReference"/>
          <w:sz w:val="18"/>
          <w:vertAlign w:val="baseline"/>
        </w:rPr>
        <w:footnoteRef/>
      </w:r>
      <w:r w:rsidR="000E6352">
        <w:tab/>
      </w:r>
      <w:r w:rsidR="00BA3A34" w:rsidRPr="00F958CA">
        <w:t xml:space="preserve">Australian Government, </w:t>
      </w:r>
      <w:hyperlink r:id="rId2" w:history="1">
        <w:r w:rsidR="00BA3A34" w:rsidRPr="00F958CA">
          <w:rPr>
            <w:rStyle w:val="Hyperlink"/>
            <w:rFonts w:cs="Calibri"/>
            <w:i/>
          </w:rPr>
          <w:t>Intergenerational Report 2023</w:t>
        </w:r>
      </w:hyperlink>
      <w:r w:rsidR="00BA3A34" w:rsidRPr="00F958CA">
        <w:t xml:space="preserve">, </w:t>
      </w:r>
      <w:r w:rsidR="00BA3A34" w:rsidRPr="000E6352">
        <w:t>Department</w:t>
      </w:r>
      <w:r w:rsidR="00BA3A34" w:rsidRPr="00F958CA">
        <w:t xml:space="preserve"> of the Treasury, Australian Government,</w:t>
      </w:r>
      <w:r>
        <w:t> </w:t>
      </w:r>
      <w:r w:rsidR="00BA3A34" w:rsidRPr="00F958CA">
        <w:t>2023, pg.</w:t>
      </w:r>
      <w:r w:rsidR="00062D1E">
        <w:t> </w:t>
      </w:r>
      <w:r w:rsidR="00BA3A34" w:rsidRPr="00F958CA">
        <w:t>228.</w:t>
      </w:r>
    </w:p>
  </w:footnote>
  <w:footnote w:id="4">
    <w:p w14:paraId="5908760C" w14:textId="3763C05F" w:rsidR="00D15AE3" w:rsidRDefault="00EE3C04" w:rsidP="000E6352">
      <w:pPr>
        <w:pStyle w:val="FootnoteText"/>
      </w:pPr>
      <w:r w:rsidRPr="00EE3C04">
        <w:rPr>
          <w:rStyle w:val="FootnoteReference"/>
          <w:sz w:val="18"/>
          <w:vertAlign w:val="baseline"/>
        </w:rPr>
        <w:footnoteRef/>
      </w:r>
      <w:r w:rsidR="000E6352">
        <w:tab/>
      </w:r>
      <w:r w:rsidR="00EC5676" w:rsidRPr="00C126F9">
        <w:t xml:space="preserve">Centre for Population, </w:t>
      </w:r>
      <w:hyperlink r:id="rId3" w:history="1">
        <w:r w:rsidR="00EC5676" w:rsidRPr="00C126F9">
          <w:rPr>
            <w:rStyle w:val="Hyperlink"/>
            <w:rFonts w:cs="Calibri"/>
            <w:i/>
          </w:rPr>
          <w:t>2022 Population Statement</w:t>
        </w:r>
      </w:hyperlink>
      <w:r w:rsidR="00EC5676" w:rsidRPr="00C126F9">
        <w:t xml:space="preserve">, Department </w:t>
      </w:r>
      <w:r w:rsidR="00EC5676" w:rsidRPr="000E6352">
        <w:t>of</w:t>
      </w:r>
      <w:r w:rsidR="00EC5676" w:rsidRPr="00C126F9">
        <w:t xml:space="preserve"> the Treasury, Australian Government, 2022, pg. 56.</w:t>
      </w:r>
    </w:p>
  </w:footnote>
  <w:footnote w:id="5">
    <w:p w14:paraId="027C1E24" w14:textId="003B8B87" w:rsidR="003B2D38" w:rsidRPr="003B2D38" w:rsidRDefault="00EE3C04" w:rsidP="00CB5120">
      <w:pPr>
        <w:pStyle w:val="FootnoteText"/>
      </w:pPr>
      <w:r w:rsidRPr="00EE3C04">
        <w:rPr>
          <w:rStyle w:val="FootnoteReference"/>
          <w:sz w:val="18"/>
          <w:vertAlign w:val="baseline"/>
        </w:rPr>
        <w:footnoteRef/>
      </w:r>
      <w:r w:rsidR="00CB5120">
        <w:tab/>
      </w:r>
      <w:r w:rsidR="003B2D38" w:rsidRPr="00CB5120">
        <w:rPr>
          <w:spacing w:val="-2"/>
        </w:rPr>
        <w:t xml:space="preserve">P McDonald, </w:t>
      </w:r>
      <w:hyperlink r:id="rId4" w:history="1">
        <w:r w:rsidR="003B2D38" w:rsidRPr="00CB5120">
          <w:rPr>
            <w:rStyle w:val="Hyperlink"/>
            <w:i/>
            <w:iCs/>
            <w:spacing w:val="-2"/>
          </w:rPr>
          <w:t>A Projection of Australia’s Future Fertility Rates</w:t>
        </w:r>
      </w:hyperlink>
      <w:r w:rsidR="003B2D38" w:rsidRPr="00CB5120">
        <w:rPr>
          <w:spacing w:val="-2"/>
        </w:rPr>
        <w:t>, The Centre for Population</w:t>
      </w:r>
      <w:r w:rsidR="009420C1" w:rsidRPr="00CB5120">
        <w:rPr>
          <w:spacing w:val="-2"/>
        </w:rPr>
        <w:t>, Department of the Treasury</w:t>
      </w:r>
      <w:r w:rsidR="003B2D38" w:rsidRPr="00CB5120">
        <w:rPr>
          <w:spacing w:val="-2"/>
        </w:rPr>
        <w:t>, 2020.</w:t>
      </w:r>
    </w:p>
  </w:footnote>
  <w:footnote w:id="6">
    <w:p w14:paraId="60DF0588" w14:textId="35AA445E" w:rsidR="0002325C" w:rsidRDefault="00EE3C04" w:rsidP="00CB5120">
      <w:pPr>
        <w:pStyle w:val="FootnoteText"/>
      </w:pPr>
      <w:r w:rsidRPr="00EE3C04">
        <w:rPr>
          <w:rStyle w:val="FootnoteReference"/>
          <w:sz w:val="18"/>
          <w:vertAlign w:val="baseline"/>
        </w:rPr>
        <w:footnoteRef/>
      </w:r>
      <w:r w:rsidR="00CB5120">
        <w:tab/>
      </w:r>
      <w:r w:rsidR="00E26FD9" w:rsidRPr="00CB5120">
        <w:t>ABS</w:t>
      </w:r>
      <w:r w:rsidR="00E26FD9" w:rsidRPr="00C126F9">
        <w:t xml:space="preserve">, </w:t>
      </w:r>
      <w:hyperlink r:id="rId5" w:anchor="data-downloads" w:history="1">
        <w:r w:rsidR="00E26FD9" w:rsidRPr="00C126F9">
          <w:rPr>
            <w:rStyle w:val="Hyperlink"/>
            <w:i/>
          </w:rPr>
          <w:t>Life tables</w:t>
        </w:r>
        <w:r w:rsidR="00E26FD9" w:rsidRPr="00C126F9">
          <w:rPr>
            <w:rStyle w:val="Hyperlink"/>
          </w:rPr>
          <w:t xml:space="preserve"> </w:t>
        </w:r>
        <w:r w:rsidR="00E26FD9" w:rsidRPr="00C126F9">
          <w:rPr>
            <w:rStyle w:val="Hyperlink"/>
            <w:i/>
          </w:rPr>
          <w:t>2019 – 2021</w:t>
        </w:r>
      </w:hyperlink>
      <w:r w:rsidR="00E26FD9" w:rsidRPr="00C126F9">
        <w:t>, 2022.</w:t>
      </w:r>
    </w:p>
  </w:footnote>
  <w:footnote w:id="7">
    <w:p w14:paraId="36839D81" w14:textId="628DBB30" w:rsidR="00606379" w:rsidRDefault="00EE3C04" w:rsidP="00CB5120">
      <w:pPr>
        <w:pStyle w:val="FootnoteText"/>
      </w:pPr>
      <w:r w:rsidRPr="00EE3C04">
        <w:rPr>
          <w:rStyle w:val="FootnoteReference"/>
          <w:sz w:val="18"/>
          <w:vertAlign w:val="baseline"/>
        </w:rPr>
        <w:footnoteRef/>
      </w:r>
      <w:r w:rsidR="00CB5120">
        <w:tab/>
      </w:r>
      <w:r w:rsidR="0055740A" w:rsidRPr="00C126F9">
        <w:t xml:space="preserve">Centre for Population, </w:t>
      </w:r>
      <w:hyperlink r:id="rId6" w:history="1">
        <w:r w:rsidR="0055740A" w:rsidRPr="00C126F9">
          <w:rPr>
            <w:rStyle w:val="Hyperlink"/>
            <w:rFonts w:cs="Calibri"/>
            <w:i/>
          </w:rPr>
          <w:t>2024 Population Statement</w:t>
        </w:r>
      </w:hyperlink>
      <w:r w:rsidR="0055740A" w:rsidRPr="00C126F9">
        <w:t xml:space="preserve">, </w:t>
      </w:r>
      <w:r w:rsidR="0055740A" w:rsidRPr="00CB5120">
        <w:t>Department</w:t>
      </w:r>
      <w:r w:rsidR="0055740A" w:rsidRPr="00C126F9">
        <w:t xml:space="preserve"> of the Treasury, Australian Government, 2024.</w:t>
      </w:r>
    </w:p>
  </w:footnote>
  <w:footnote w:id="8">
    <w:p w14:paraId="127A6DA0" w14:textId="600D8DE2" w:rsidR="00C31EB3" w:rsidRDefault="00EE3C04" w:rsidP="00547DE7">
      <w:pPr>
        <w:pStyle w:val="FootnoteText"/>
      </w:pPr>
      <w:r w:rsidRPr="00EE3C04">
        <w:rPr>
          <w:rStyle w:val="FootnoteReference"/>
          <w:sz w:val="18"/>
          <w:szCs w:val="16"/>
          <w:vertAlign w:val="baseline"/>
        </w:rPr>
        <w:footnoteRef/>
      </w:r>
      <w:r w:rsidR="00CB5120">
        <w:tab/>
      </w:r>
      <w:r w:rsidR="00C31EB3" w:rsidRPr="009D055D">
        <w:rPr>
          <w:spacing w:val="-3"/>
        </w:rPr>
        <w:t xml:space="preserve">ABS, </w:t>
      </w:r>
      <w:hyperlink r:id="rId7" w:history="1">
        <w:r w:rsidR="00C31EB3" w:rsidRPr="009D055D">
          <w:rPr>
            <w:rStyle w:val="Hyperlink"/>
            <w:i/>
            <w:iCs/>
            <w:spacing w:val="-3"/>
          </w:rPr>
          <w:t>Measuring Australia's excess mortality by remoteness areas during the COVID-19 pandemic until December 2023</w:t>
        </w:r>
      </w:hyperlink>
      <w:r w:rsidR="00C31EB3" w:rsidRPr="009D055D">
        <w:rPr>
          <w:spacing w:val="-3"/>
        </w:rPr>
        <w:t>, 2025.</w:t>
      </w:r>
    </w:p>
  </w:footnote>
  <w:footnote w:id="9">
    <w:p w14:paraId="16B21B99" w14:textId="1725ABBB" w:rsidR="00F12204" w:rsidRPr="00A41D90" w:rsidRDefault="00EE3C04" w:rsidP="00CB5120">
      <w:pPr>
        <w:pStyle w:val="FootnoteText"/>
      </w:pPr>
      <w:r w:rsidRPr="00EE3C04">
        <w:rPr>
          <w:rStyle w:val="FootnoteReference"/>
          <w:sz w:val="18"/>
          <w:vertAlign w:val="baseline"/>
        </w:rPr>
        <w:footnoteRef/>
      </w:r>
      <w:r w:rsidR="00CB5120">
        <w:tab/>
      </w:r>
      <w:r w:rsidR="00A31ACE">
        <w:t>ABS,</w:t>
      </w:r>
      <w:r w:rsidR="00A31ACE" w:rsidRPr="00A41D90">
        <w:t xml:space="preserve"> </w:t>
      </w:r>
      <w:hyperlink r:id="rId8" w:history="1">
        <w:r w:rsidR="00A31ACE" w:rsidRPr="00C126F9">
          <w:rPr>
            <w:rStyle w:val="Hyperlink"/>
            <w:i/>
          </w:rPr>
          <w:t>National state and territory population: Net interstate migration review</w:t>
        </w:r>
      </w:hyperlink>
      <w:r w:rsidR="00A31ACE">
        <w:t>, 2025.</w:t>
      </w:r>
      <w:r w:rsidR="00A41D90">
        <w:t xml:space="preserve"> </w:t>
      </w:r>
    </w:p>
  </w:footnote>
  <w:footnote w:id="10">
    <w:p w14:paraId="5C0284A0" w14:textId="1B39E464" w:rsidR="00320582" w:rsidRDefault="00EE3C04" w:rsidP="00CB5120">
      <w:pPr>
        <w:pStyle w:val="FootnoteText"/>
      </w:pPr>
      <w:r w:rsidRPr="00EE3C04">
        <w:rPr>
          <w:rStyle w:val="FootnoteReference"/>
          <w:sz w:val="18"/>
          <w:vertAlign w:val="baseline"/>
        </w:rPr>
        <w:footnoteRef/>
      </w:r>
      <w:r w:rsidR="00CB5120">
        <w:tab/>
      </w:r>
      <w:r w:rsidR="00320582" w:rsidRPr="00C126F9">
        <w:t xml:space="preserve">ABS, </w:t>
      </w:r>
      <w:hyperlink r:id="rId9" w:history="1">
        <w:r w:rsidR="00320582" w:rsidRPr="00C126F9">
          <w:rPr>
            <w:rStyle w:val="Hyperlink"/>
            <w:i/>
          </w:rPr>
          <w:t>Census of Population and Housing</w:t>
        </w:r>
      </w:hyperlink>
      <w:r w:rsidR="00320582" w:rsidRPr="00C126F9">
        <w:t>, 2016.</w:t>
      </w:r>
    </w:p>
  </w:footnote>
  <w:footnote w:id="11">
    <w:p w14:paraId="7C433F27" w14:textId="687A2117" w:rsidR="0055740A" w:rsidRDefault="00EE3C04" w:rsidP="00F35F04">
      <w:pPr>
        <w:pStyle w:val="FootnoteText"/>
      </w:pPr>
      <w:r w:rsidRPr="00EE3C04">
        <w:rPr>
          <w:rStyle w:val="FootnoteReference"/>
          <w:sz w:val="18"/>
          <w:vertAlign w:val="baseline"/>
        </w:rPr>
        <w:footnoteRef/>
      </w:r>
      <w:r w:rsidR="00CB5120">
        <w:tab/>
      </w:r>
      <w:r w:rsidR="006A156F" w:rsidRPr="00CB5120">
        <w:t>Statistics</w:t>
      </w:r>
      <w:r w:rsidR="006A156F">
        <w:t xml:space="preserve"> Canada, </w:t>
      </w:r>
      <w:hyperlink r:id="rId10" w:history="1">
        <w:r w:rsidR="006A156F" w:rsidRPr="00C126F9">
          <w:rPr>
            <w:rStyle w:val="Hyperlink"/>
            <w:i/>
          </w:rPr>
          <w:t>Population Projections for Canada (2024 to 2074), Provinces and Territories (2024 to 2049)</w:t>
        </w:r>
      </w:hyperlink>
      <w:r w:rsidR="006A156F">
        <w:t xml:space="preserve">, </w:t>
      </w:r>
      <w:r w:rsidR="006A156F" w:rsidRPr="00C179B8">
        <w:t>Statistics Canada</w:t>
      </w:r>
      <w:r w:rsidR="006A156F">
        <w:t xml:space="preserve"> website</w:t>
      </w:r>
      <w:r w:rsidR="006A156F" w:rsidRPr="00C179B8">
        <w:t>, 2025</w:t>
      </w:r>
      <w:r w:rsidR="000A6DDC">
        <w:t xml:space="preserve">; Office for National Statistics (ONS), </w:t>
      </w:r>
      <w:hyperlink r:id="rId11" w:history="1">
        <w:r w:rsidR="000A6DDC" w:rsidRPr="007F5E2B">
          <w:rPr>
            <w:rStyle w:val="Hyperlink"/>
            <w:i/>
            <w:iCs/>
          </w:rPr>
          <w:t>Method for incorporating cross border migration rates into the UK National Population Projections</w:t>
        </w:r>
      </w:hyperlink>
      <w:r w:rsidR="000A6DDC">
        <w:t xml:space="preserve">, ONS </w:t>
      </w:r>
      <w:r w:rsidR="000A6DDC" w:rsidRPr="00F35F04">
        <w:t>website</w:t>
      </w:r>
      <w:r w:rsidR="000A6DDC" w:rsidRPr="00C179B8">
        <w:t>, 201</w:t>
      </w:r>
      <w:r w:rsidR="000A6DDC">
        <w:t>6.</w:t>
      </w:r>
    </w:p>
  </w:footnote>
  <w:footnote w:id="12">
    <w:p w14:paraId="27D9AEFD" w14:textId="16FB9527" w:rsidR="00D57E4C" w:rsidRDefault="00EE3C04" w:rsidP="00CB5120">
      <w:pPr>
        <w:pStyle w:val="FootnoteText"/>
      </w:pPr>
      <w:r w:rsidRPr="00EE3C04">
        <w:rPr>
          <w:rStyle w:val="FootnoteReference"/>
          <w:sz w:val="18"/>
          <w:vertAlign w:val="baseline"/>
        </w:rPr>
        <w:footnoteRef/>
      </w:r>
      <w:r w:rsidR="00CB5120">
        <w:tab/>
      </w:r>
      <w:r w:rsidR="00D0022C" w:rsidRPr="00C126F9">
        <w:t xml:space="preserve">ABS, </w:t>
      </w:r>
      <w:hyperlink r:id="rId12" w:history="1">
        <w:r w:rsidR="00D0022C" w:rsidRPr="00C126F9">
          <w:rPr>
            <w:rStyle w:val="Hyperlink"/>
            <w:i/>
          </w:rPr>
          <w:t>National, state and territory population</w:t>
        </w:r>
      </w:hyperlink>
      <w:r w:rsidR="00D0022C" w:rsidRPr="00C126F9">
        <w:t xml:space="preserve">, </w:t>
      </w:r>
      <w:r w:rsidR="00D0022C" w:rsidRPr="00C126F9">
        <w:rPr>
          <w:i/>
        </w:rPr>
        <w:t>multiple releases</w:t>
      </w:r>
      <w:r w:rsidR="00D0022C" w:rsidRPr="00C126F9">
        <w:t xml:space="preserve">, </w:t>
      </w:r>
      <w:r w:rsidR="00D0022C" w:rsidRPr="00CB5120">
        <w:t>2020</w:t>
      </w:r>
      <w:r w:rsidR="00C504C5">
        <w:t>–</w:t>
      </w:r>
      <w:r w:rsidR="00D0022C" w:rsidRPr="00C126F9">
        <w:t>2025.</w:t>
      </w:r>
    </w:p>
  </w:footnote>
  <w:footnote w:id="13">
    <w:p w14:paraId="6A50257E" w14:textId="26FCE14E" w:rsidR="00D0022C" w:rsidRDefault="00EE3C04" w:rsidP="00F35F04">
      <w:pPr>
        <w:pStyle w:val="FootnoteText"/>
      </w:pPr>
      <w:r w:rsidRPr="00EE3C04">
        <w:rPr>
          <w:rStyle w:val="FootnoteReference"/>
          <w:sz w:val="18"/>
          <w:vertAlign w:val="baseline"/>
        </w:rPr>
        <w:footnoteRef/>
      </w:r>
      <w:r w:rsidR="00CB5120">
        <w:tab/>
      </w:r>
      <w:r w:rsidR="00DE660D" w:rsidRPr="00C126F9">
        <w:t xml:space="preserve">Centre for Population, </w:t>
      </w:r>
      <w:hyperlink r:id="rId13" w:history="1">
        <w:r w:rsidR="00DE660D" w:rsidRPr="00C126F9">
          <w:rPr>
            <w:rStyle w:val="Hyperlink"/>
            <w:rFonts w:cs="Calibri"/>
            <w:i/>
          </w:rPr>
          <w:t>2020 Population Statement</w:t>
        </w:r>
      </w:hyperlink>
      <w:r w:rsidR="00DE660D" w:rsidRPr="00C126F9">
        <w:t xml:space="preserve">, </w:t>
      </w:r>
      <w:r w:rsidR="00DE660D" w:rsidRPr="00CB5120">
        <w:t>Department</w:t>
      </w:r>
      <w:r w:rsidR="00DE660D" w:rsidRPr="00C126F9">
        <w:t xml:space="preserve"> of the Treasury, Australian Government, 2020</w:t>
      </w:r>
      <w:r w:rsidR="00DE660D">
        <w:t xml:space="preserve">; </w:t>
      </w:r>
      <w:r w:rsidR="00595151" w:rsidRPr="00C126F9">
        <w:t>Centre</w:t>
      </w:r>
      <w:r w:rsidR="00595151">
        <w:t> </w:t>
      </w:r>
      <w:r w:rsidR="00DE660D" w:rsidRPr="00C126F9">
        <w:t xml:space="preserve">for Population, </w:t>
      </w:r>
      <w:hyperlink r:id="rId14" w:history="1">
        <w:r w:rsidR="00DE660D" w:rsidRPr="00C126F9">
          <w:rPr>
            <w:rStyle w:val="Hyperlink"/>
            <w:rFonts w:cs="Calibri"/>
            <w:i/>
          </w:rPr>
          <w:t>2021 Population Statement</w:t>
        </w:r>
      </w:hyperlink>
      <w:r w:rsidR="00DE660D" w:rsidRPr="00C126F9">
        <w:t>, Department of the Treasury, Australian Government, 2021</w:t>
      </w:r>
      <w:r w:rsidR="00DE660D">
        <w:t xml:space="preserve">; </w:t>
      </w:r>
      <w:r w:rsidR="00595151" w:rsidRPr="00C126F9">
        <w:t>Centre</w:t>
      </w:r>
      <w:r w:rsidR="00595151">
        <w:t> </w:t>
      </w:r>
      <w:r w:rsidR="00DE660D" w:rsidRPr="00C126F9">
        <w:t xml:space="preserve">for Population, </w:t>
      </w:r>
      <w:hyperlink r:id="rId15" w:history="1">
        <w:r w:rsidR="00DE660D" w:rsidRPr="00C126F9">
          <w:rPr>
            <w:rStyle w:val="Hyperlink"/>
            <w:rFonts w:cs="Calibri"/>
            <w:i/>
          </w:rPr>
          <w:t>2022 Population Statement</w:t>
        </w:r>
      </w:hyperlink>
      <w:r w:rsidR="00DE660D" w:rsidRPr="00C126F9">
        <w:t xml:space="preserve">, Department of the Treasury, Australian </w:t>
      </w:r>
      <w:r w:rsidR="00DE660D" w:rsidRPr="00F35F04">
        <w:t>Government</w:t>
      </w:r>
      <w:r w:rsidR="00DE660D" w:rsidRPr="00C126F9">
        <w:t>, 2022.</w:t>
      </w:r>
    </w:p>
  </w:footnote>
  <w:footnote w:id="14">
    <w:p w14:paraId="51896A04" w14:textId="4E5C459A" w:rsidR="00D0022C" w:rsidRDefault="00EE3C04" w:rsidP="00CB5120">
      <w:pPr>
        <w:pStyle w:val="FootnoteText"/>
      </w:pPr>
      <w:r w:rsidRPr="00EE3C04">
        <w:rPr>
          <w:rStyle w:val="FootnoteReference"/>
          <w:sz w:val="18"/>
          <w:vertAlign w:val="baseline"/>
        </w:rPr>
        <w:footnoteRef/>
      </w:r>
      <w:r w:rsidR="00CB5120">
        <w:tab/>
      </w:r>
      <w:r w:rsidR="006A1045" w:rsidRPr="00C126F9">
        <w:t xml:space="preserve">Centre for Population, </w:t>
      </w:r>
      <w:hyperlink r:id="rId16" w:history="1">
        <w:r w:rsidR="006A1045" w:rsidRPr="00C126F9">
          <w:rPr>
            <w:rStyle w:val="Hyperlink"/>
            <w:rFonts w:cs="Calibri"/>
            <w:i/>
          </w:rPr>
          <w:t>2023 Population Statement</w:t>
        </w:r>
      </w:hyperlink>
      <w:r w:rsidR="006A1045" w:rsidRPr="00C126F9">
        <w:t>, Department of the Treasury, Australian Government, 2023</w:t>
      </w:r>
      <w:r w:rsidR="006A1045">
        <w:t xml:space="preserve">; </w:t>
      </w:r>
      <w:r w:rsidR="00595151" w:rsidRPr="00C126F9">
        <w:t>Centre</w:t>
      </w:r>
      <w:r w:rsidR="00595151">
        <w:t> </w:t>
      </w:r>
      <w:r w:rsidR="006A1045" w:rsidRPr="00C126F9">
        <w:t xml:space="preserve">for Population, </w:t>
      </w:r>
      <w:hyperlink r:id="rId17" w:history="1">
        <w:r w:rsidR="006A1045" w:rsidRPr="00C126F9">
          <w:rPr>
            <w:rStyle w:val="Hyperlink"/>
            <w:rFonts w:cs="Calibri"/>
            <w:i/>
          </w:rPr>
          <w:t>2024 Population Statement</w:t>
        </w:r>
      </w:hyperlink>
      <w:r w:rsidR="006A1045" w:rsidRPr="00C126F9">
        <w:t xml:space="preserve">, Department of the Treasury, </w:t>
      </w:r>
      <w:r w:rsidR="006A1045" w:rsidRPr="00CB5120">
        <w:t>Australian</w:t>
      </w:r>
      <w:r w:rsidR="006A1045" w:rsidRPr="00C126F9">
        <w:t xml:space="preserve"> Government, 2024.</w:t>
      </w:r>
    </w:p>
  </w:footnote>
  <w:footnote w:id="15">
    <w:p w14:paraId="4687924B" w14:textId="417D7964" w:rsidR="00435149" w:rsidRDefault="00EE3C04" w:rsidP="00213120">
      <w:pPr>
        <w:pStyle w:val="FootnoteText"/>
      </w:pPr>
      <w:r w:rsidRPr="00EE3C04">
        <w:rPr>
          <w:rStyle w:val="FootnoteReference"/>
          <w:sz w:val="18"/>
          <w:vertAlign w:val="baseline"/>
        </w:rPr>
        <w:footnoteRef/>
      </w:r>
      <w:r w:rsidR="00213120">
        <w:tab/>
      </w:r>
      <w:r w:rsidR="00740863" w:rsidRPr="00C126F9">
        <w:rPr>
          <w:rFonts w:cs="Calibri"/>
        </w:rPr>
        <w:t xml:space="preserve">Centre for Population, </w:t>
      </w:r>
      <w:hyperlink r:id="rId18" w:history="1">
        <w:r w:rsidR="00740863" w:rsidRPr="00C126F9">
          <w:rPr>
            <w:rStyle w:val="Hyperlink"/>
            <w:rFonts w:cs="Calibri"/>
            <w:i/>
          </w:rPr>
          <w:t>2024 Population Statement</w:t>
        </w:r>
      </w:hyperlink>
      <w:r w:rsidR="00740863" w:rsidRPr="00C126F9">
        <w:rPr>
          <w:rFonts w:cs="Calibri"/>
        </w:rPr>
        <w:t>, pg. 69-71.</w:t>
      </w:r>
    </w:p>
  </w:footnote>
  <w:footnote w:id="16">
    <w:p w14:paraId="6A6D24F9" w14:textId="04EC7245" w:rsidR="00565977" w:rsidRDefault="00EE3C04" w:rsidP="006C5AD6">
      <w:pPr>
        <w:pStyle w:val="FootnoteText"/>
      </w:pPr>
      <w:r w:rsidRPr="00EE3C04">
        <w:rPr>
          <w:rStyle w:val="FootnoteReference"/>
          <w:sz w:val="18"/>
          <w:szCs w:val="16"/>
          <w:vertAlign w:val="baseline"/>
        </w:rPr>
        <w:footnoteRef/>
      </w:r>
      <w:r w:rsidR="00D32329">
        <w:tab/>
      </w:r>
      <w:r w:rsidR="00900272">
        <w:t xml:space="preserve">Births </w:t>
      </w:r>
      <w:r w:rsidR="00900272" w:rsidRPr="00D32329">
        <w:t>forecasts</w:t>
      </w:r>
      <w:r w:rsidR="00900272">
        <w:t xml:space="preserve"> </w:t>
      </w:r>
      <w:r w:rsidR="0085657C">
        <w:t>for the year 2023</w:t>
      </w:r>
      <w:r w:rsidR="00B3337C" w:rsidRPr="009443ED">
        <w:rPr>
          <w:rFonts w:cs="Calibri"/>
        </w:rPr>
        <w:t>–</w:t>
      </w:r>
      <w:r w:rsidR="0085657C">
        <w:t>2</w:t>
      </w:r>
      <w:r w:rsidR="00D2229D">
        <w:t xml:space="preserve">4 </w:t>
      </w:r>
      <w:r w:rsidR="0010052C">
        <w:t xml:space="preserve">did not show improvement prior to the 2024 Population </w:t>
      </w:r>
      <w:r w:rsidR="00AD1D74">
        <w:t>S</w:t>
      </w:r>
      <w:r w:rsidR="0010052C">
        <w:t xml:space="preserve">tatement. </w:t>
      </w:r>
      <w:r w:rsidR="00CD0F28">
        <w:t xml:space="preserve">However, </w:t>
      </w:r>
      <w:r w:rsidR="004E6D69">
        <w:t xml:space="preserve">misses in </w:t>
      </w:r>
      <w:r w:rsidR="00CD0F28">
        <w:t xml:space="preserve">births </w:t>
      </w:r>
      <w:r w:rsidR="004E6D69">
        <w:t xml:space="preserve">as a contribution to </w:t>
      </w:r>
      <w:r w:rsidR="004E6D69" w:rsidRPr="006C5AD6">
        <w:t>growth</w:t>
      </w:r>
      <w:r w:rsidR="004E6D69">
        <w:t xml:space="preserve"> </w:t>
      </w:r>
      <w:r w:rsidR="00CD0F28">
        <w:t>are minimal relative to</w:t>
      </w:r>
      <w:r w:rsidR="0013236D">
        <w:t xml:space="preserve"> </w:t>
      </w:r>
      <w:r w:rsidR="004E6D69">
        <w:t xml:space="preserve">all components. </w:t>
      </w:r>
    </w:p>
  </w:footnote>
  <w:footnote w:id="17">
    <w:p w14:paraId="38FDB0EE" w14:textId="6CA0F880" w:rsidR="00983513" w:rsidRPr="00C126F9" w:rsidRDefault="00EE3C04" w:rsidP="00B803CE">
      <w:pPr>
        <w:pStyle w:val="FootnoteText"/>
        <w:rPr>
          <w:rFonts w:cs="Calibri"/>
        </w:rPr>
      </w:pPr>
      <w:r w:rsidRPr="00EE3C04">
        <w:rPr>
          <w:rStyle w:val="FootnoteReference"/>
          <w:sz w:val="18"/>
          <w:vertAlign w:val="baseline"/>
        </w:rPr>
        <w:footnoteRef/>
      </w:r>
      <w:r w:rsidR="00B803CE">
        <w:tab/>
      </w:r>
      <w:r w:rsidR="00983513" w:rsidRPr="00C126F9">
        <w:rPr>
          <w:rFonts w:cs="Calibri"/>
        </w:rPr>
        <w:t xml:space="preserve">ABS, </w:t>
      </w:r>
      <w:hyperlink r:id="rId19" w:history="1">
        <w:r w:rsidR="00983513" w:rsidRPr="00C126F9">
          <w:rPr>
            <w:rStyle w:val="Hyperlink"/>
            <w:rFonts w:cs="Calibri"/>
            <w:i/>
          </w:rPr>
          <w:t>Regional Population 2023</w:t>
        </w:r>
        <w:r w:rsidR="00012340" w:rsidRPr="00012340">
          <w:rPr>
            <w:rStyle w:val="Hyperlink"/>
            <w:rFonts w:cs="Calibri"/>
            <w:i/>
          </w:rPr>
          <w:t>–</w:t>
        </w:r>
        <w:r w:rsidR="00983513" w:rsidRPr="00C126F9">
          <w:rPr>
            <w:rStyle w:val="Hyperlink"/>
            <w:rFonts w:cs="Calibri"/>
            <w:i/>
          </w:rPr>
          <w:t>24</w:t>
        </w:r>
      </w:hyperlink>
      <w:r w:rsidR="00983513" w:rsidRPr="00C126F9">
        <w:rPr>
          <w:rFonts w:cs="Calibri"/>
          <w:i/>
        </w:rPr>
        <w:t>,</w:t>
      </w:r>
      <w:r w:rsidR="00983513" w:rsidRPr="00C126F9">
        <w:rPr>
          <w:rFonts w:cs="Calibri"/>
        </w:rPr>
        <w:t xml:space="preserve"> 2025. </w:t>
      </w:r>
    </w:p>
  </w:footnote>
  <w:footnote w:id="18">
    <w:p w14:paraId="256EBDDF" w14:textId="633BDAC3" w:rsidR="00D94A27" w:rsidRPr="00D400FB" w:rsidRDefault="00EE3C04" w:rsidP="00B803CE">
      <w:pPr>
        <w:pStyle w:val="FootnoteText"/>
      </w:pPr>
      <w:r w:rsidRPr="00EE3C04">
        <w:rPr>
          <w:rStyle w:val="FootnoteReference"/>
          <w:rFonts w:eastAsiaTheme="minorEastAsia"/>
          <w:sz w:val="18"/>
          <w:bdr w:val="none" w:sz="0" w:space="0" w:color="auto" w:frame="1"/>
          <w:vertAlign w:val="baseline"/>
        </w:rPr>
        <w:footnoteRef/>
      </w:r>
      <w:r w:rsidR="00B803CE">
        <w:tab/>
      </w:r>
      <w:r w:rsidR="00D91927" w:rsidRPr="00A12FD8">
        <w:rPr>
          <w:rFonts w:eastAsiaTheme="minorEastAsia"/>
          <w:bdr w:val="none" w:sz="0" w:space="0" w:color="auto" w:frame="1"/>
        </w:rPr>
        <w:t xml:space="preserve">T Wilson, </w:t>
      </w:r>
      <w:r w:rsidR="00791D49" w:rsidRPr="00C126F9">
        <w:t>The sequential propensity household projection model</w:t>
      </w:r>
      <w:r w:rsidR="00791D49">
        <w:t>’</w:t>
      </w:r>
      <w:r w:rsidR="00D91927" w:rsidRPr="00791D49">
        <w:t>,</w:t>
      </w:r>
      <w:r w:rsidR="00D91927" w:rsidRPr="00A12FD8">
        <w:t xml:space="preserve"> </w:t>
      </w:r>
      <w:r w:rsidR="00D91927" w:rsidRPr="00C126F9">
        <w:rPr>
          <w:i/>
        </w:rPr>
        <w:t>Demographic Research</w:t>
      </w:r>
      <w:r w:rsidR="00D91927" w:rsidRPr="00A12FD8">
        <w:t>, 2013</w:t>
      </w:r>
      <w:r w:rsidR="00E92230">
        <w:t>, 28</w:t>
      </w:r>
      <w:r w:rsidR="00A32721">
        <w:t>(4)</w:t>
      </w:r>
      <w:r w:rsidR="000B7966">
        <w:t>:</w:t>
      </w:r>
      <w:r w:rsidR="00481D29">
        <w:t>681-712</w:t>
      </w:r>
      <w:r w:rsidR="00161A4C">
        <w:t>, doi:</w:t>
      </w:r>
      <w:r w:rsidR="005B5A20">
        <w:t>10.4054/DemRes.2013.28.24</w:t>
      </w:r>
      <w:r w:rsidR="00D90D64">
        <w:t xml:space="preserve">; National Housing Supply and Affordability Council (NHSAC), </w:t>
      </w:r>
      <w:hyperlink r:id="rId20" w:history="1">
        <w:r w:rsidR="00D90D64" w:rsidRPr="0044393F">
          <w:rPr>
            <w:rStyle w:val="Hyperlink"/>
            <w:i/>
            <w:iCs/>
          </w:rPr>
          <w:t>State of the Housing System 2025</w:t>
        </w:r>
      </w:hyperlink>
      <w:r w:rsidR="00D90D64">
        <w:t>, NHSAC website, 2025</w:t>
      </w:r>
      <w:r w:rsidR="005B5A20">
        <w:t>.</w:t>
      </w:r>
    </w:p>
  </w:footnote>
  <w:footnote w:id="19">
    <w:p w14:paraId="05922160" w14:textId="7CB5C0C9" w:rsidR="006879B0" w:rsidRPr="00361C72" w:rsidRDefault="00EE3C04" w:rsidP="00361C72">
      <w:pPr>
        <w:pStyle w:val="FootnoteText"/>
      </w:pPr>
      <w:r w:rsidRPr="00EE3C04">
        <w:rPr>
          <w:rStyle w:val="FootnoteReference"/>
          <w:sz w:val="18"/>
          <w:vertAlign w:val="baseline"/>
        </w:rPr>
        <w:footnoteRef/>
      </w:r>
      <w:r w:rsidR="00B803CE">
        <w:tab/>
      </w:r>
      <w:r w:rsidR="0031580C">
        <w:t xml:space="preserve">ABS, </w:t>
      </w:r>
      <w:hyperlink r:id="rId21" w:history="1">
        <w:r w:rsidR="0031580C" w:rsidRPr="001832E5">
          <w:rPr>
            <w:rStyle w:val="Hyperlink"/>
            <w:i/>
            <w:iCs/>
          </w:rPr>
          <w:t>Relationship in household (RLHP)</w:t>
        </w:r>
      </w:hyperlink>
      <w:r w:rsidR="0031580C">
        <w:rPr>
          <w:i/>
          <w:iCs/>
        </w:rPr>
        <w:t xml:space="preserve">, </w:t>
      </w:r>
      <w:r w:rsidR="0031580C">
        <w:t>ABS website, 2021.</w:t>
      </w:r>
    </w:p>
  </w:footnote>
  <w:footnote w:id="20">
    <w:p w14:paraId="38A9CC45" w14:textId="72865C2F" w:rsidR="0021424E" w:rsidRPr="00B803CE" w:rsidRDefault="00EE3C04" w:rsidP="00B803CE">
      <w:pPr>
        <w:pStyle w:val="FootnoteText"/>
      </w:pPr>
      <w:r w:rsidRPr="00EE3C04">
        <w:rPr>
          <w:rStyle w:val="FootnoteReference"/>
          <w:sz w:val="18"/>
          <w:vertAlign w:val="baseline"/>
        </w:rPr>
        <w:footnoteRef/>
      </w:r>
      <w:r w:rsidR="00B803CE">
        <w:tab/>
      </w:r>
      <w:r w:rsidR="0021424E" w:rsidRPr="00225832">
        <w:t xml:space="preserve">ABS, </w:t>
      </w:r>
      <w:hyperlink r:id="rId22" w:history="1">
        <w:r w:rsidR="0021424E" w:rsidRPr="00225832">
          <w:rPr>
            <w:rStyle w:val="Hyperlink"/>
            <w:i/>
            <w:iCs/>
          </w:rPr>
          <w:t>Australian Census and Migrants Integrated Dataset (ACMID)</w:t>
        </w:r>
      </w:hyperlink>
      <w:r w:rsidR="0021424E" w:rsidRPr="00225832">
        <w:t xml:space="preserve">, ABS </w:t>
      </w:r>
      <w:r w:rsidR="0021424E" w:rsidRPr="00B803CE">
        <w:t xml:space="preserve">website, 2025. </w:t>
      </w:r>
    </w:p>
  </w:footnote>
  <w:footnote w:id="21">
    <w:p w14:paraId="2CD46E7A" w14:textId="76478575" w:rsidR="00BA46EC" w:rsidRPr="00C126F9" w:rsidRDefault="00EE3C04" w:rsidP="001E5864">
      <w:pPr>
        <w:pStyle w:val="FootnoteText"/>
      </w:pPr>
      <w:r w:rsidRPr="00EE3C04">
        <w:rPr>
          <w:rStyle w:val="FootnoteReference"/>
          <w:sz w:val="18"/>
          <w:vertAlign w:val="baseline"/>
        </w:rPr>
        <w:footnoteRef/>
      </w:r>
      <w:r w:rsidR="001E5864">
        <w:tab/>
      </w:r>
      <w:r w:rsidR="00BA46EC" w:rsidRPr="00C126F9">
        <w:t>Department of Social Services</w:t>
      </w:r>
      <w:r w:rsidR="003C776B" w:rsidRPr="00C126F9">
        <w:t>; Melbourne Institute of Applied Economic and Social Research</w:t>
      </w:r>
      <w:r w:rsidR="00BA46EC" w:rsidRPr="00C126F9">
        <w:t>, ‘The household, income and labour dynamics in Australia (</w:t>
      </w:r>
      <w:r w:rsidR="00BA46EC" w:rsidRPr="001E5864">
        <w:t>HILDA</w:t>
      </w:r>
      <w:r w:rsidR="00BA46EC" w:rsidRPr="00C126F9">
        <w:t xml:space="preserve">) survey. </w:t>
      </w:r>
      <w:r w:rsidR="003C776B" w:rsidRPr="00C126F9">
        <w:t xml:space="preserve">GENERAL RELEASE (Waves 1-23)’, </w:t>
      </w:r>
      <w:r w:rsidR="003C776B" w:rsidRPr="00C126F9">
        <w:rPr>
          <w:i/>
        </w:rPr>
        <w:t>ADA Dataverse</w:t>
      </w:r>
      <w:r w:rsidR="003C776B" w:rsidRPr="00C126F9">
        <w:t>, 2024, doi:10.26193/NBTNMV.</w:t>
      </w:r>
    </w:p>
  </w:footnote>
  <w:footnote w:id="22">
    <w:p w14:paraId="3A528810" w14:textId="4E14CD9E" w:rsidR="007626BF" w:rsidRDefault="00EE3C04" w:rsidP="001E5864">
      <w:pPr>
        <w:pStyle w:val="FootnoteText"/>
      </w:pPr>
      <w:r w:rsidRPr="00EE3C04">
        <w:rPr>
          <w:rStyle w:val="FootnoteReference"/>
          <w:sz w:val="18"/>
          <w:vertAlign w:val="baseline"/>
        </w:rPr>
        <w:footnoteRef/>
      </w:r>
      <w:r w:rsidR="001E5864">
        <w:tab/>
      </w:r>
      <w:r w:rsidR="007626BF">
        <w:t xml:space="preserve">ABS, </w:t>
      </w:r>
      <w:hyperlink r:id="rId23" w:history="1">
        <w:r w:rsidR="007626BF" w:rsidRPr="00C126F9">
          <w:rPr>
            <w:rStyle w:val="Hyperlink"/>
            <w:i/>
          </w:rPr>
          <w:t>Regional population by age and sex</w:t>
        </w:r>
      </w:hyperlink>
      <w:r w:rsidR="007626BF">
        <w:t>,</w:t>
      </w:r>
      <w:r w:rsidR="00D233C8">
        <w:t xml:space="preserve"> 202</w:t>
      </w:r>
      <w:r w:rsidR="004D31D0">
        <w:t>4</w:t>
      </w:r>
      <w:r w:rsidR="00D233C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9D0B" w14:textId="2C8054D9" w:rsidR="00EF145E" w:rsidRPr="001F3912" w:rsidRDefault="00EF145E" w:rsidP="00A12F62">
    <w:pPr>
      <w:pStyle w:val="HeaderEven"/>
    </w:pPr>
    <w:r>
      <w:fldChar w:fldCharType="begin"/>
    </w:r>
    <w:r>
      <w:instrText xml:space="preserve"> STYLEREF  Title  \* MERGEFORMAT </w:instrText>
    </w:r>
    <w:r>
      <w:fldChar w:fldCharType="separate"/>
    </w:r>
    <w:r w:rsidR="00EC77B2">
      <w:rPr>
        <w:b/>
        <w:bCs/>
        <w:noProof/>
        <w:lang w:val="en-US"/>
      </w:rPr>
      <w:t>Error! No text of specified style in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8CE5" w14:textId="10367F5A" w:rsidR="004F16DC" w:rsidRPr="00F60198" w:rsidRDefault="00EC77B2" w:rsidP="004F16DC">
    <w:pPr>
      <w:pStyle w:val="HeaderOdd"/>
    </w:pPr>
    <w:fldSimple w:instr="DOCPROPERTY  Title  \* MERGEFORMAT">
      <w:r>
        <w:t>2025 Population Statement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0C1E2400"/>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A2A1E74"/>
    <w:multiLevelType w:val="hybridMultilevel"/>
    <w:tmpl w:val="17CA18C6"/>
    <w:lvl w:ilvl="0" w:tplc="CA022EBA">
      <w:start w:val="1"/>
      <w:numFmt w:val="decimal"/>
      <w:lvlText w:val="%1."/>
      <w:lvlJc w:val="left"/>
      <w:pPr>
        <w:ind w:left="1020" w:hanging="360"/>
      </w:pPr>
    </w:lvl>
    <w:lvl w:ilvl="1" w:tplc="044E790E">
      <w:start w:val="1"/>
      <w:numFmt w:val="decimal"/>
      <w:lvlText w:val="%2."/>
      <w:lvlJc w:val="left"/>
      <w:pPr>
        <w:ind w:left="1020" w:hanging="360"/>
      </w:pPr>
    </w:lvl>
    <w:lvl w:ilvl="2" w:tplc="956E01D4">
      <w:start w:val="1"/>
      <w:numFmt w:val="decimal"/>
      <w:lvlText w:val="%3."/>
      <w:lvlJc w:val="left"/>
      <w:pPr>
        <w:ind w:left="1020" w:hanging="360"/>
      </w:pPr>
    </w:lvl>
    <w:lvl w:ilvl="3" w:tplc="8A02F5F4">
      <w:start w:val="1"/>
      <w:numFmt w:val="decimal"/>
      <w:lvlText w:val="%4."/>
      <w:lvlJc w:val="left"/>
      <w:pPr>
        <w:ind w:left="1020" w:hanging="360"/>
      </w:pPr>
    </w:lvl>
    <w:lvl w:ilvl="4" w:tplc="1ABCE23A">
      <w:start w:val="1"/>
      <w:numFmt w:val="decimal"/>
      <w:lvlText w:val="%5."/>
      <w:lvlJc w:val="left"/>
      <w:pPr>
        <w:ind w:left="1020" w:hanging="360"/>
      </w:pPr>
    </w:lvl>
    <w:lvl w:ilvl="5" w:tplc="5BA06AAC">
      <w:start w:val="1"/>
      <w:numFmt w:val="decimal"/>
      <w:lvlText w:val="%6."/>
      <w:lvlJc w:val="left"/>
      <w:pPr>
        <w:ind w:left="1020" w:hanging="360"/>
      </w:pPr>
    </w:lvl>
    <w:lvl w:ilvl="6" w:tplc="B34E6D50">
      <w:start w:val="1"/>
      <w:numFmt w:val="decimal"/>
      <w:lvlText w:val="%7."/>
      <w:lvlJc w:val="left"/>
      <w:pPr>
        <w:ind w:left="1020" w:hanging="360"/>
      </w:pPr>
    </w:lvl>
    <w:lvl w:ilvl="7" w:tplc="0CFA20F8">
      <w:start w:val="1"/>
      <w:numFmt w:val="decimal"/>
      <w:lvlText w:val="%8."/>
      <w:lvlJc w:val="left"/>
      <w:pPr>
        <w:ind w:left="1020" w:hanging="360"/>
      </w:pPr>
    </w:lvl>
    <w:lvl w:ilvl="8" w:tplc="53CAF84E">
      <w:start w:val="1"/>
      <w:numFmt w:val="decimal"/>
      <w:lvlText w:val="%9."/>
      <w:lvlJc w:val="left"/>
      <w:pPr>
        <w:ind w:left="1020" w:hanging="360"/>
      </w:pPr>
    </w:lvl>
  </w:abstractNum>
  <w:abstractNum w:abstractNumId="2" w15:restartNumberingAfterBreak="0">
    <w:nsid w:val="0AC00F17"/>
    <w:multiLevelType w:val="hybridMultilevel"/>
    <w:tmpl w:val="BC8E4A8C"/>
    <w:lvl w:ilvl="0" w:tplc="5E322EEE">
      <w:start w:val="1"/>
      <w:numFmt w:val="decimal"/>
      <w:lvlText w:val="Table %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471BC8"/>
    <w:multiLevelType w:val="multilevel"/>
    <w:tmpl w:val="B17201A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DF7717"/>
    <w:multiLevelType w:val="multilevel"/>
    <w:tmpl w:val="AE6CD25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4A0461"/>
    <w:multiLevelType w:val="hybridMultilevel"/>
    <w:tmpl w:val="91260442"/>
    <w:lvl w:ilvl="0" w:tplc="B49A184C">
      <w:start w:val="1"/>
      <w:numFmt w:val="decimal"/>
      <w:lvlText w:val="Chart %1."/>
      <w:lvlJc w:val="left"/>
      <w:pPr>
        <w:ind w:left="5038" w:hanging="360"/>
      </w:pPr>
      <w:rPr>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6118" w:hanging="360"/>
      </w:pPr>
    </w:lvl>
    <w:lvl w:ilvl="2" w:tplc="0C09001B" w:tentative="1">
      <w:start w:val="1"/>
      <w:numFmt w:val="lowerRoman"/>
      <w:lvlText w:val="%3."/>
      <w:lvlJc w:val="right"/>
      <w:pPr>
        <w:ind w:left="6838" w:hanging="180"/>
      </w:pPr>
    </w:lvl>
    <w:lvl w:ilvl="3" w:tplc="0C09000F" w:tentative="1">
      <w:start w:val="1"/>
      <w:numFmt w:val="decimal"/>
      <w:lvlText w:val="%4."/>
      <w:lvlJc w:val="left"/>
      <w:pPr>
        <w:ind w:left="7558" w:hanging="360"/>
      </w:pPr>
    </w:lvl>
    <w:lvl w:ilvl="4" w:tplc="0C090019" w:tentative="1">
      <w:start w:val="1"/>
      <w:numFmt w:val="lowerLetter"/>
      <w:lvlText w:val="%5."/>
      <w:lvlJc w:val="left"/>
      <w:pPr>
        <w:ind w:left="8278" w:hanging="360"/>
      </w:pPr>
    </w:lvl>
    <w:lvl w:ilvl="5" w:tplc="0C09001B" w:tentative="1">
      <w:start w:val="1"/>
      <w:numFmt w:val="lowerRoman"/>
      <w:lvlText w:val="%6."/>
      <w:lvlJc w:val="right"/>
      <w:pPr>
        <w:ind w:left="8998" w:hanging="180"/>
      </w:pPr>
    </w:lvl>
    <w:lvl w:ilvl="6" w:tplc="0C09000F" w:tentative="1">
      <w:start w:val="1"/>
      <w:numFmt w:val="decimal"/>
      <w:lvlText w:val="%7."/>
      <w:lvlJc w:val="left"/>
      <w:pPr>
        <w:ind w:left="9718" w:hanging="360"/>
      </w:pPr>
    </w:lvl>
    <w:lvl w:ilvl="7" w:tplc="0C090019" w:tentative="1">
      <w:start w:val="1"/>
      <w:numFmt w:val="lowerLetter"/>
      <w:lvlText w:val="%8."/>
      <w:lvlJc w:val="left"/>
      <w:pPr>
        <w:ind w:left="10438" w:hanging="360"/>
      </w:pPr>
    </w:lvl>
    <w:lvl w:ilvl="8" w:tplc="0C09001B" w:tentative="1">
      <w:start w:val="1"/>
      <w:numFmt w:val="lowerRoman"/>
      <w:lvlText w:val="%9."/>
      <w:lvlJc w:val="right"/>
      <w:pPr>
        <w:ind w:left="11158" w:hanging="180"/>
      </w:pPr>
    </w:lvl>
  </w:abstractNum>
  <w:abstractNum w:abstractNumId="7" w15:restartNumberingAfterBreak="0">
    <w:nsid w:val="27826BF0"/>
    <w:multiLevelType w:val="multilevel"/>
    <w:tmpl w:val="863C3022"/>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5810D1F2"/>
    <w:styleLink w:val="BulletedList"/>
    <w:lvl w:ilvl="0">
      <w:start w:val="1"/>
      <w:numFmt w:val="bullet"/>
      <w:lvlRestart w:val="0"/>
      <w:pStyle w:val="Norm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Normaldash"/>
      <w:lvlText w:val="–"/>
      <w:lvlJc w:val="left"/>
      <w:pPr>
        <w:tabs>
          <w:tab w:val="num" w:pos="567"/>
        </w:tabs>
        <w:ind w:left="567" w:hanging="284"/>
      </w:pPr>
      <w:rPr>
        <w:rFonts w:ascii="Times New Roman" w:hAnsi="Times New Roman" w:cs="Times New Roman" w:hint="default"/>
        <w:b w:val="0"/>
        <w:i w:val="0"/>
      </w:rPr>
    </w:lvl>
    <w:lvl w:ilvl="2">
      <w:start w:val="1"/>
      <w:numFmt w:val="bullet"/>
      <w:pStyle w:val="Norm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0C37C0"/>
    <w:multiLevelType w:val="hybridMultilevel"/>
    <w:tmpl w:val="7E4EFDA8"/>
    <w:lvl w:ilvl="0" w:tplc="BD6EB0BC">
      <w:start w:val="1"/>
      <w:numFmt w:val="decimal"/>
      <w:lvlText w:val="Chart %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7F6AB3"/>
    <w:multiLevelType w:val="hybridMultilevel"/>
    <w:tmpl w:val="E8D02006"/>
    <w:lvl w:ilvl="0" w:tplc="56DE09CA">
      <w:start w:val="1"/>
      <w:numFmt w:val="decimal"/>
      <w:lvlText w:val="Table %1."/>
      <w:lvlJc w:val="left"/>
      <w:pPr>
        <w:ind w:left="360" w:hanging="360"/>
      </w:pPr>
      <w:rPr>
        <w:rFonts w:ascii="Calibri" w:hAnsi="Calibri" w:hint="default"/>
        <w:b/>
        <w:bCs w:val="0"/>
        <w:i w:val="0"/>
        <w:iCs w:val="0"/>
        <w:caps w:val="0"/>
        <w:strike w:val="0"/>
        <w:dstrike w:val="0"/>
        <w:outline w:val="0"/>
        <w:shadow w:val="0"/>
        <w:emboss w:val="0"/>
        <w:imprint w:val="0"/>
        <w:vanish w:val="0"/>
        <w:color w:val="002C47" w:themeColor="accent1"/>
        <w:spacing w:val="0"/>
        <w:kern w:val="0"/>
        <w:position w:val="0"/>
        <w:sz w:val="28"/>
        <w:szCs w:val="28"/>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DA4A96"/>
    <w:multiLevelType w:val="hybridMultilevel"/>
    <w:tmpl w:val="39D4E17E"/>
    <w:lvl w:ilvl="0" w:tplc="06B0D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B228A7"/>
    <w:multiLevelType w:val="multilevel"/>
    <w:tmpl w:val="AF6E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20637"/>
    <w:multiLevelType w:val="hybridMultilevel"/>
    <w:tmpl w:val="E57A028C"/>
    <w:lvl w:ilvl="0" w:tplc="345E5FF0">
      <w:start w:val="1"/>
      <w:numFmt w:val="decimal"/>
      <w:lvlText w:val="Table %1."/>
      <w:lvlJc w:val="left"/>
      <w:pPr>
        <w:ind w:left="720" w:hanging="360"/>
      </w:pPr>
      <w:rPr>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0F57A5"/>
    <w:multiLevelType w:val="hybridMultilevel"/>
    <w:tmpl w:val="A6684C64"/>
    <w:lvl w:ilvl="0" w:tplc="C4603256">
      <w:start w:val="1"/>
      <w:numFmt w:val="decimal"/>
      <w:pStyle w:val="TableMainHeading"/>
      <w:lvlText w:val="Table %1."/>
      <w:lvlJc w:val="left"/>
      <w:pPr>
        <w:ind w:left="360" w:hanging="360"/>
      </w:pPr>
      <w:rPr>
        <w:rFonts w:ascii="Calibri" w:hAnsi="Calibri" w:hint="default"/>
        <w:b/>
        <w:i w:val="0"/>
        <w:smallCaps w:val="0"/>
        <w:color w:val="002C47" w:themeColor="accent1"/>
        <w:spacing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7508C2"/>
    <w:multiLevelType w:val="hybridMultilevel"/>
    <w:tmpl w:val="76307676"/>
    <w:lvl w:ilvl="0" w:tplc="E162F2F0">
      <w:start w:val="1"/>
      <w:numFmt w:val="decimal"/>
      <w:lvlText w:val="Table %1."/>
      <w:lvlJc w:val="left"/>
      <w:pPr>
        <w:ind w:left="360" w:hanging="360"/>
      </w:pPr>
      <w:rPr>
        <w:rFonts w:ascii="Calibri" w:hAnsi="Calibri" w:hint="default"/>
        <w:b/>
        <w:bCs w:val="0"/>
        <w:i w:val="0"/>
        <w:iCs w:val="0"/>
        <w:caps w:val="0"/>
        <w:strike w:val="0"/>
        <w:dstrike w:val="0"/>
        <w:outline w:val="0"/>
        <w:shadow w:val="0"/>
        <w:emboss w:val="0"/>
        <w:imprint w:val="0"/>
        <w:vanish w:val="0"/>
        <w:color w:val="002C47" w:themeColor="accent1"/>
        <w:spacing w:val="0"/>
        <w:kern w:val="0"/>
        <w:position w:val="0"/>
        <w:sz w:val="28"/>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966D76"/>
    <w:multiLevelType w:val="hybridMultilevel"/>
    <w:tmpl w:val="99C2424C"/>
    <w:lvl w:ilvl="0" w:tplc="E72C289C">
      <w:start w:val="1"/>
      <w:numFmt w:val="decimal"/>
      <w:pStyle w:val="BoxHeading"/>
      <w:lvlText w:val="Box %1."/>
      <w:lvlJc w:val="left"/>
      <w:pPr>
        <w:ind w:left="907" w:hanging="907"/>
      </w:pPr>
      <w:rPr>
        <w:rFonts w:hint="default"/>
        <w:caps w:val="0"/>
        <w:smallCap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CF6848"/>
    <w:multiLevelType w:val="multilevel"/>
    <w:tmpl w:val="BAB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A02C0"/>
    <w:multiLevelType w:val="hybridMultilevel"/>
    <w:tmpl w:val="09507FCA"/>
    <w:lvl w:ilvl="0" w:tplc="93049AF0">
      <w:start w:val="1"/>
      <w:numFmt w:val="decimal"/>
      <w:pStyle w:val="ChartMainHeading"/>
      <w:lvlText w:val="Chart %1."/>
      <w:lvlJc w:val="left"/>
      <w:pPr>
        <w:ind w:left="360" w:hanging="360"/>
      </w:pPr>
      <w:rPr>
        <w:rFonts w:ascii="Calibri" w:hAnsi="Calibri" w:hint="default"/>
        <w:b/>
        <w:i w:val="0"/>
        <w:color w:val="002C47" w:themeColor="accent1"/>
        <w:spacing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72668850">
    <w:abstractNumId w:val="0"/>
  </w:num>
  <w:num w:numId="2" w16cid:durableId="1990591168">
    <w:abstractNumId w:val="0"/>
  </w:num>
  <w:num w:numId="3" w16cid:durableId="398870424">
    <w:abstractNumId w:val="0"/>
  </w:num>
  <w:num w:numId="4" w16cid:durableId="1872035842">
    <w:abstractNumId w:val="8"/>
  </w:num>
  <w:num w:numId="5" w16cid:durableId="338971827">
    <w:abstractNumId w:val="17"/>
  </w:num>
  <w:num w:numId="6" w16cid:durableId="1004942432">
    <w:abstractNumId w:val="9"/>
  </w:num>
  <w:num w:numId="7" w16cid:durableId="760222523">
    <w:abstractNumId w:val="8"/>
  </w:num>
  <w:num w:numId="8" w16cid:durableId="1931424642">
    <w:abstractNumId w:val="5"/>
  </w:num>
  <w:num w:numId="9" w16cid:durableId="2119059593">
    <w:abstractNumId w:val="12"/>
  </w:num>
  <w:num w:numId="10" w16cid:durableId="1848207983">
    <w:abstractNumId w:val="6"/>
  </w:num>
  <w:num w:numId="11" w16cid:durableId="292445393">
    <w:abstractNumId w:val="10"/>
  </w:num>
  <w:num w:numId="12" w16cid:durableId="1668824426">
    <w:abstractNumId w:val="4"/>
  </w:num>
  <w:num w:numId="13" w16cid:durableId="624895609">
    <w:abstractNumId w:val="7"/>
  </w:num>
  <w:num w:numId="14" w16cid:durableId="264461676">
    <w:abstractNumId w:val="7"/>
  </w:num>
  <w:num w:numId="15" w16cid:durableId="1388063680">
    <w:abstractNumId w:val="0"/>
  </w:num>
  <w:num w:numId="16" w16cid:durableId="1511094162">
    <w:abstractNumId w:val="0"/>
  </w:num>
  <w:num w:numId="17" w16cid:durableId="291330327">
    <w:abstractNumId w:val="8"/>
  </w:num>
  <w:num w:numId="18" w16cid:durableId="398408875">
    <w:abstractNumId w:val="8"/>
  </w:num>
  <w:num w:numId="19" w16cid:durableId="192622067">
    <w:abstractNumId w:val="9"/>
  </w:num>
  <w:num w:numId="20" w16cid:durableId="1975520973">
    <w:abstractNumId w:val="17"/>
  </w:num>
  <w:num w:numId="21" w16cid:durableId="2045135184">
    <w:abstractNumId w:val="6"/>
  </w:num>
  <w:num w:numId="22" w16cid:durableId="2005814795">
    <w:abstractNumId w:val="9"/>
  </w:num>
  <w:num w:numId="23" w16cid:durableId="1169298228">
    <w:abstractNumId w:val="8"/>
  </w:num>
  <w:num w:numId="24" w16cid:durableId="384378288">
    <w:abstractNumId w:val="8"/>
  </w:num>
  <w:num w:numId="25" w16cid:durableId="1061826942">
    <w:abstractNumId w:val="5"/>
  </w:num>
  <w:num w:numId="26" w16cid:durableId="1206718648">
    <w:abstractNumId w:val="5"/>
  </w:num>
  <w:num w:numId="27" w16cid:durableId="1601914791">
    <w:abstractNumId w:val="5"/>
  </w:num>
  <w:num w:numId="28" w16cid:durableId="1737241553">
    <w:abstractNumId w:val="6"/>
  </w:num>
  <w:num w:numId="29" w16cid:durableId="1905530743">
    <w:abstractNumId w:val="15"/>
  </w:num>
  <w:num w:numId="30" w16cid:durableId="1025519161">
    <w:abstractNumId w:val="10"/>
  </w:num>
  <w:num w:numId="31" w16cid:durableId="910385499">
    <w:abstractNumId w:val="10"/>
  </w:num>
  <w:num w:numId="32" w16cid:durableId="1376471390">
    <w:abstractNumId w:val="4"/>
  </w:num>
  <w:num w:numId="33" w16cid:durableId="1189679792">
    <w:abstractNumId w:val="4"/>
  </w:num>
  <w:num w:numId="34" w16cid:durableId="227887330">
    <w:abstractNumId w:val="4"/>
  </w:num>
  <w:num w:numId="35" w16cid:durableId="676427906">
    <w:abstractNumId w:val="4"/>
  </w:num>
  <w:num w:numId="36" w16cid:durableId="135684260">
    <w:abstractNumId w:val="7"/>
  </w:num>
  <w:num w:numId="37" w16cid:durableId="1493833892">
    <w:abstractNumId w:val="0"/>
  </w:num>
  <w:num w:numId="38" w16cid:durableId="507520645">
    <w:abstractNumId w:val="12"/>
  </w:num>
  <w:num w:numId="39" w16cid:durableId="609312859">
    <w:abstractNumId w:val="0"/>
  </w:num>
  <w:num w:numId="40" w16cid:durableId="462889911">
    <w:abstractNumId w:val="0"/>
  </w:num>
  <w:num w:numId="41" w16cid:durableId="194318468">
    <w:abstractNumId w:val="11"/>
  </w:num>
  <w:num w:numId="42" w16cid:durableId="1048380231">
    <w:abstractNumId w:val="16"/>
  </w:num>
  <w:num w:numId="43" w16cid:durableId="1562594193">
    <w:abstractNumId w:val="20"/>
  </w:num>
  <w:num w:numId="44" w16cid:durableId="377780139">
    <w:abstractNumId w:val="18"/>
  </w:num>
  <w:num w:numId="45" w16cid:durableId="722873055">
    <w:abstractNumId w:val="2"/>
  </w:num>
  <w:num w:numId="46" w16cid:durableId="1692804246">
    <w:abstractNumId w:val="3"/>
  </w:num>
  <w:num w:numId="47" w16cid:durableId="1091896147">
    <w:abstractNumId w:val="13"/>
  </w:num>
  <w:num w:numId="48" w16cid:durableId="975918403">
    <w:abstractNumId w:val="14"/>
  </w:num>
  <w:num w:numId="49" w16cid:durableId="1676765203">
    <w:abstractNumId w:val="19"/>
  </w:num>
  <w:num w:numId="50" w16cid:durableId="73166357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79"/>
    <w:rsid w:val="0000004A"/>
    <w:rsid w:val="000001F3"/>
    <w:rsid w:val="000002FB"/>
    <w:rsid w:val="00000465"/>
    <w:rsid w:val="000008DD"/>
    <w:rsid w:val="0000095D"/>
    <w:rsid w:val="00000A1E"/>
    <w:rsid w:val="00001743"/>
    <w:rsid w:val="00001773"/>
    <w:rsid w:val="00002043"/>
    <w:rsid w:val="000020B9"/>
    <w:rsid w:val="000020C5"/>
    <w:rsid w:val="0000224E"/>
    <w:rsid w:val="0000225A"/>
    <w:rsid w:val="00002B34"/>
    <w:rsid w:val="00002CBD"/>
    <w:rsid w:val="00003121"/>
    <w:rsid w:val="00003BBB"/>
    <w:rsid w:val="0000486F"/>
    <w:rsid w:val="00004B42"/>
    <w:rsid w:val="00004C22"/>
    <w:rsid w:val="00004E5C"/>
    <w:rsid w:val="000050AC"/>
    <w:rsid w:val="0000590A"/>
    <w:rsid w:val="00005D1E"/>
    <w:rsid w:val="00005D45"/>
    <w:rsid w:val="000061EE"/>
    <w:rsid w:val="000066BC"/>
    <w:rsid w:val="00006909"/>
    <w:rsid w:val="0000691C"/>
    <w:rsid w:val="00006C05"/>
    <w:rsid w:val="00006D21"/>
    <w:rsid w:val="00006EFF"/>
    <w:rsid w:val="00006F72"/>
    <w:rsid w:val="00006FD1"/>
    <w:rsid w:val="000072BF"/>
    <w:rsid w:val="000073DE"/>
    <w:rsid w:val="00007432"/>
    <w:rsid w:val="000074F0"/>
    <w:rsid w:val="0000764B"/>
    <w:rsid w:val="0000786E"/>
    <w:rsid w:val="00007AF6"/>
    <w:rsid w:val="00007BDD"/>
    <w:rsid w:val="00007C19"/>
    <w:rsid w:val="00007C2D"/>
    <w:rsid w:val="000102C9"/>
    <w:rsid w:val="000106CC"/>
    <w:rsid w:val="000107B2"/>
    <w:rsid w:val="00010AD7"/>
    <w:rsid w:val="00010DFF"/>
    <w:rsid w:val="0001105A"/>
    <w:rsid w:val="00011725"/>
    <w:rsid w:val="00011880"/>
    <w:rsid w:val="00011AB1"/>
    <w:rsid w:val="0001205E"/>
    <w:rsid w:val="00012340"/>
    <w:rsid w:val="00012515"/>
    <w:rsid w:val="000127C6"/>
    <w:rsid w:val="0001286B"/>
    <w:rsid w:val="0001290F"/>
    <w:rsid w:val="00012C62"/>
    <w:rsid w:val="00012DAE"/>
    <w:rsid w:val="00012EA2"/>
    <w:rsid w:val="00013194"/>
    <w:rsid w:val="00013238"/>
    <w:rsid w:val="0001328D"/>
    <w:rsid w:val="000135B9"/>
    <w:rsid w:val="0001369D"/>
    <w:rsid w:val="0001396A"/>
    <w:rsid w:val="00013E52"/>
    <w:rsid w:val="00013E87"/>
    <w:rsid w:val="00013EB6"/>
    <w:rsid w:val="0001422F"/>
    <w:rsid w:val="00014313"/>
    <w:rsid w:val="0001459E"/>
    <w:rsid w:val="00014B29"/>
    <w:rsid w:val="00014B6C"/>
    <w:rsid w:val="00014C17"/>
    <w:rsid w:val="000151F7"/>
    <w:rsid w:val="00015229"/>
    <w:rsid w:val="000158CD"/>
    <w:rsid w:val="000159AB"/>
    <w:rsid w:val="00015A22"/>
    <w:rsid w:val="00015CE9"/>
    <w:rsid w:val="00015DE4"/>
    <w:rsid w:val="000168F7"/>
    <w:rsid w:val="00016DBD"/>
    <w:rsid w:val="0001707C"/>
    <w:rsid w:val="000173BB"/>
    <w:rsid w:val="0001757A"/>
    <w:rsid w:val="00017AFC"/>
    <w:rsid w:val="00017B82"/>
    <w:rsid w:val="00017E63"/>
    <w:rsid w:val="00020705"/>
    <w:rsid w:val="00020F7A"/>
    <w:rsid w:val="00021058"/>
    <w:rsid w:val="00021279"/>
    <w:rsid w:val="000213EF"/>
    <w:rsid w:val="000216A2"/>
    <w:rsid w:val="00021810"/>
    <w:rsid w:val="000218ED"/>
    <w:rsid w:val="00021A51"/>
    <w:rsid w:val="00021B19"/>
    <w:rsid w:val="00021F73"/>
    <w:rsid w:val="00022931"/>
    <w:rsid w:val="000229D0"/>
    <w:rsid w:val="00022B38"/>
    <w:rsid w:val="00022D48"/>
    <w:rsid w:val="00022DD0"/>
    <w:rsid w:val="0002325C"/>
    <w:rsid w:val="000232F1"/>
    <w:rsid w:val="00023D27"/>
    <w:rsid w:val="00023E0D"/>
    <w:rsid w:val="00024ECC"/>
    <w:rsid w:val="00025385"/>
    <w:rsid w:val="0002544D"/>
    <w:rsid w:val="00025A46"/>
    <w:rsid w:val="00025ACC"/>
    <w:rsid w:val="00025DC7"/>
    <w:rsid w:val="00025F6E"/>
    <w:rsid w:val="0002636E"/>
    <w:rsid w:val="0002683F"/>
    <w:rsid w:val="00026927"/>
    <w:rsid w:val="00026E7A"/>
    <w:rsid w:val="00026FEC"/>
    <w:rsid w:val="00027059"/>
    <w:rsid w:val="00027DDB"/>
    <w:rsid w:val="00030540"/>
    <w:rsid w:val="000305A2"/>
    <w:rsid w:val="0003064F"/>
    <w:rsid w:val="000308C1"/>
    <w:rsid w:val="000308F3"/>
    <w:rsid w:val="00030C7E"/>
    <w:rsid w:val="00030CA6"/>
    <w:rsid w:val="00030EEC"/>
    <w:rsid w:val="00030F8F"/>
    <w:rsid w:val="00031055"/>
    <w:rsid w:val="000311A4"/>
    <w:rsid w:val="000316B4"/>
    <w:rsid w:val="00031875"/>
    <w:rsid w:val="00031C0A"/>
    <w:rsid w:val="00031DBA"/>
    <w:rsid w:val="00031F35"/>
    <w:rsid w:val="00032101"/>
    <w:rsid w:val="00032628"/>
    <w:rsid w:val="00032A5B"/>
    <w:rsid w:val="00032A5F"/>
    <w:rsid w:val="00032CA8"/>
    <w:rsid w:val="00032DDB"/>
    <w:rsid w:val="00032FEB"/>
    <w:rsid w:val="00033693"/>
    <w:rsid w:val="00033799"/>
    <w:rsid w:val="00033E9B"/>
    <w:rsid w:val="00034403"/>
    <w:rsid w:val="00034462"/>
    <w:rsid w:val="000346E7"/>
    <w:rsid w:val="00034808"/>
    <w:rsid w:val="00034CE9"/>
    <w:rsid w:val="00034D4F"/>
    <w:rsid w:val="00034E93"/>
    <w:rsid w:val="00035386"/>
    <w:rsid w:val="00035E0A"/>
    <w:rsid w:val="00036269"/>
    <w:rsid w:val="000363FD"/>
    <w:rsid w:val="00036476"/>
    <w:rsid w:val="00036664"/>
    <w:rsid w:val="00036AD0"/>
    <w:rsid w:val="00036BBC"/>
    <w:rsid w:val="00036EE6"/>
    <w:rsid w:val="000376BA"/>
    <w:rsid w:val="0003777B"/>
    <w:rsid w:val="000377EF"/>
    <w:rsid w:val="00037D2E"/>
    <w:rsid w:val="00037DCE"/>
    <w:rsid w:val="00037E45"/>
    <w:rsid w:val="00037F81"/>
    <w:rsid w:val="00040463"/>
    <w:rsid w:val="000404C5"/>
    <w:rsid w:val="00040979"/>
    <w:rsid w:val="00040C58"/>
    <w:rsid w:val="00040C61"/>
    <w:rsid w:val="000410FD"/>
    <w:rsid w:val="000412B9"/>
    <w:rsid w:val="00041363"/>
    <w:rsid w:val="00041538"/>
    <w:rsid w:val="00041A5B"/>
    <w:rsid w:val="00041D20"/>
    <w:rsid w:val="00041FDF"/>
    <w:rsid w:val="00042116"/>
    <w:rsid w:val="00042237"/>
    <w:rsid w:val="0004274D"/>
    <w:rsid w:val="00042773"/>
    <w:rsid w:val="0004283F"/>
    <w:rsid w:val="00042C4B"/>
    <w:rsid w:val="00042EF8"/>
    <w:rsid w:val="000432BC"/>
    <w:rsid w:val="00043348"/>
    <w:rsid w:val="00043901"/>
    <w:rsid w:val="00043C4C"/>
    <w:rsid w:val="00043D3F"/>
    <w:rsid w:val="00043E52"/>
    <w:rsid w:val="00043F16"/>
    <w:rsid w:val="000443CF"/>
    <w:rsid w:val="00044505"/>
    <w:rsid w:val="0004456B"/>
    <w:rsid w:val="0004483F"/>
    <w:rsid w:val="00044D51"/>
    <w:rsid w:val="00044E2F"/>
    <w:rsid w:val="00045820"/>
    <w:rsid w:val="00045CF6"/>
    <w:rsid w:val="00045CFF"/>
    <w:rsid w:val="00046900"/>
    <w:rsid w:val="00046BB0"/>
    <w:rsid w:val="000470AB"/>
    <w:rsid w:val="00047224"/>
    <w:rsid w:val="00047236"/>
    <w:rsid w:val="0004729C"/>
    <w:rsid w:val="000473C0"/>
    <w:rsid w:val="00047405"/>
    <w:rsid w:val="00047C43"/>
    <w:rsid w:val="00047C68"/>
    <w:rsid w:val="00047D32"/>
    <w:rsid w:val="00047EAD"/>
    <w:rsid w:val="000501F2"/>
    <w:rsid w:val="000502BF"/>
    <w:rsid w:val="000504DB"/>
    <w:rsid w:val="0005092D"/>
    <w:rsid w:val="00050932"/>
    <w:rsid w:val="0005138B"/>
    <w:rsid w:val="00051A8F"/>
    <w:rsid w:val="00051B8F"/>
    <w:rsid w:val="00052197"/>
    <w:rsid w:val="000522B7"/>
    <w:rsid w:val="000526B7"/>
    <w:rsid w:val="0005270E"/>
    <w:rsid w:val="00052ACC"/>
    <w:rsid w:val="00052B22"/>
    <w:rsid w:val="000530A4"/>
    <w:rsid w:val="00053650"/>
    <w:rsid w:val="0005395F"/>
    <w:rsid w:val="00053C51"/>
    <w:rsid w:val="00053F55"/>
    <w:rsid w:val="000543B1"/>
    <w:rsid w:val="00054762"/>
    <w:rsid w:val="0005570D"/>
    <w:rsid w:val="00055776"/>
    <w:rsid w:val="000558CB"/>
    <w:rsid w:val="00055DAC"/>
    <w:rsid w:val="00056624"/>
    <w:rsid w:val="00056794"/>
    <w:rsid w:val="00056880"/>
    <w:rsid w:val="00056AC6"/>
    <w:rsid w:val="00056B84"/>
    <w:rsid w:val="00056C57"/>
    <w:rsid w:val="00056F50"/>
    <w:rsid w:val="0005739F"/>
    <w:rsid w:val="000574F8"/>
    <w:rsid w:val="00057546"/>
    <w:rsid w:val="000575D1"/>
    <w:rsid w:val="00057B1A"/>
    <w:rsid w:val="00057EFE"/>
    <w:rsid w:val="00057F3F"/>
    <w:rsid w:val="000601F3"/>
    <w:rsid w:val="00060297"/>
    <w:rsid w:val="000602B2"/>
    <w:rsid w:val="0006093A"/>
    <w:rsid w:val="00060BAE"/>
    <w:rsid w:val="000614E4"/>
    <w:rsid w:val="0006157A"/>
    <w:rsid w:val="00061B86"/>
    <w:rsid w:val="00061D0B"/>
    <w:rsid w:val="00061F83"/>
    <w:rsid w:val="00062284"/>
    <w:rsid w:val="000622F4"/>
    <w:rsid w:val="00062D1E"/>
    <w:rsid w:val="00062DE9"/>
    <w:rsid w:val="00062F8F"/>
    <w:rsid w:val="00063B40"/>
    <w:rsid w:val="00063C7C"/>
    <w:rsid w:val="00063D2E"/>
    <w:rsid w:val="00064290"/>
    <w:rsid w:val="00064516"/>
    <w:rsid w:val="00064955"/>
    <w:rsid w:val="000649C8"/>
    <w:rsid w:val="00064B75"/>
    <w:rsid w:val="00064DA4"/>
    <w:rsid w:val="000655F1"/>
    <w:rsid w:val="00065DE3"/>
    <w:rsid w:val="00066429"/>
    <w:rsid w:val="000664EF"/>
    <w:rsid w:val="0006696E"/>
    <w:rsid w:val="00066B4A"/>
    <w:rsid w:val="00066D1B"/>
    <w:rsid w:val="00066E3B"/>
    <w:rsid w:val="0006715A"/>
    <w:rsid w:val="000673BA"/>
    <w:rsid w:val="000675A0"/>
    <w:rsid w:val="000675D1"/>
    <w:rsid w:val="000679F5"/>
    <w:rsid w:val="00067DEB"/>
    <w:rsid w:val="00067EA7"/>
    <w:rsid w:val="00067F64"/>
    <w:rsid w:val="0007047F"/>
    <w:rsid w:val="000704EF"/>
    <w:rsid w:val="000706FC"/>
    <w:rsid w:val="000708BD"/>
    <w:rsid w:val="000709FD"/>
    <w:rsid w:val="00070C9E"/>
    <w:rsid w:val="00070EED"/>
    <w:rsid w:val="0007130C"/>
    <w:rsid w:val="00071600"/>
    <w:rsid w:val="00071CC0"/>
    <w:rsid w:val="00071DDF"/>
    <w:rsid w:val="00071E1B"/>
    <w:rsid w:val="00071EEC"/>
    <w:rsid w:val="0007214B"/>
    <w:rsid w:val="00072C18"/>
    <w:rsid w:val="000731CC"/>
    <w:rsid w:val="0007336A"/>
    <w:rsid w:val="00073521"/>
    <w:rsid w:val="00073530"/>
    <w:rsid w:val="00074775"/>
    <w:rsid w:val="00074A70"/>
    <w:rsid w:val="00074AF4"/>
    <w:rsid w:val="00074B63"/>
    <w:rsid w:val="00074C3A"/>
    <w:rsid w:val="00074D26"/>
    <w:rsid w:val="00074F59"/>
    <w:rsid w:val="00074F7A"/>
    <w:rsid w:val="000750DE"/>
    <w:rsid w:val="0007515F"/>
    <w:rsid w:val="00075286"/>
    <w:rsid w:val="0007549A"/>
    <w:rsid w:val="000754C7"/>
    <w:rsid w:val="000755B8"/>
    <w:rsid w:val="00075632"/>
    <w:rsid w:val="00075B07"/>
    <w:rsid w:val="00075D9E"/>
    <w:rsid w:val="00075EAF"/>
    <w:rsid w:val="00075ED5"/>
    <w:rsid w:val="00075ED6"/>
    <w:rsid w:val="00076359"/>
    <w:rsid w:val="000766AD"/>
    <w:rsid w:val="000766FD"/>
    <w:rsid w:val="00076735"/>
    <w:rsid w:val="00076AF1"/>
    <w:rsid w:val="000770AB"/>
    <w:rsid w:val="0007757D"/>
    <w:rsid w:val="000775DE"/>
    <w:rsid w:val="00077796"/>
    <w:rsid w:val="00080438"/>
    <w:rsid w:val="000804BA"/>
    <w:rsid w:val="0008099F"/>
    <w:rsid w:val="000809D0"/>
    <w:rsid w:val="00080D1C"/>
    <w:rsid w:val="00080D57"/>
    <w:rsid w:val="00081001"/>
    <w:rsid w:val="0008113F"/>
    <w:rsid w:val="00081EC2"/>
    <w:rsid w:val="00081F63"/>
    <w:rsid w:val="00082103"/>
    <w:rsid w:val="00082643"/>
    <w:rsid w:val="00082644"/>
    <w:rsid w:val="00082E36"/>
    <w:rsid w:val="00082E49"/>
    <w:rsid w:val="00083915"/>
    <w:rsid w:val="00083939"/>
    <w:rsid w:val="00083B42"/>
    <w:rsid w:val="00083C10"/>
    <w:rsid w:val="00083D56"/>
    <w:rsid w:val="00083E86"/>
    <w:rsid w:val="00083EC6"/>
    <w:rsid w:val="00084372"/>
    <w:rsid w:val="0008437E"/>
    <w:rsid w:val="00084558"/>
    <w:rsid w:val="0008455B"/>
    <w:rsid w:val="00084767"/>
    <w:rsid w:val="0008487A"/>
    <w:rsid w:val="00084B60"/>
    <w:rsid w:val="000850DA"/>
    <w:rsid w:val="0008510A"/>
    <w:rsid w:val="00085442"/>
    <w:rsid w:val="00085660"/>
    <w:rsid w:val="00085D52"/>
    <w:rsid w:val="00085FEB"/>
    <w:rsid w:val="000861EE"/>
    <w:rsid w:val="0008640A"/>
    <w:rsid w:val="00086501"/>
    <w:rsid w:val="00086919"/>
    <w:rsid w:val="00086C8D"/>
    <w:rsid w:val="00086D57"/>
    <w:rsid w:val="00087296"/>
    <w:rsid w:val="00087456"/>
    <w:rsid w:val="000878A6"/>
    <w:rsid w:val="00087AF7"/>
    <w:rsid w:val="00087C77"/>
    <w:rsid w:val="00087CF9"/>
    <w:rsid w:val="00087FAF"/>
    <w:rsid w:val="000902AE"/>
    <w:rsid w:val="000903A9"/>
    <w:rsid w:val="000903B8"/>
    <w:rsid w:val="00090606"/>
    <w:rsid w:val="000909C4"/>
    <w:rsid w:val="00090C62"/>
    <w:rsid w:val="00090E04"/>
    <w:rsid w:val="000912F5"/>
    <w:rsid w:val="00091489"/>
    <w:rsid w:val="000914C2"/>
    <w:rsid w:val="00091680"/>
    <w:rsid w:val="000919BF"/>
    <w:rsid w:val="00091BE1"/>
    <w:rsid w:val="00091BF2"/>
    <w:rsid w:val="00092243"/>
    <w:rsid w:val="000925A3"/>
    <w:rsid w:val="00092BAA"/>
    <w:rsid w:val="00092ED8"/>
    <w:rsid w:val="00093071"/>
    <w:rsid w:val="00093278"/>
    <w:rsid w:val="0009342A"/>
    <w:rsid w:val="000937AA"/>
    <w:rsid w:val="00093B11"/>
    <w:rsid w:val="00093C64"/>
    <w:rsid w:val="00093D07"/>
    <w:rsid w:val="000941A3"/>
    <w:rsid w:val="000948A9"/>
    <w:rsid w:val="00094B00"/>
    <w:rsid w:val="00094FFF"/>
    <w:rsid w:val="000953C2"/>
    <w:rsid w:val="00095B23"/>
    <w:rsid w:val="00095F89"/>
    <w:rsid w:val="00096399"/>
    <w:rsid w:val="00096995"/>
    <w:rsid w:val="00096997"/>
    <w:rsid w:val="00096A68"/>
    <w:rsid w:val="00096D06"/>
    <w:rsid w:val="00096F5C"/>
    <w:rsid w:val="000970BC"/>
    <w:rsid w:val="0009736E"/>
    <w:rsid w:val="000974E6"/>
    <w:rsid w:val="000977B7"/>
    <w:rsid w:val="00097BA3"/>
    <w:rsid w:val="00097EF3"/>
    <w:rsid w:val="00097F6E"/>
    <w:rsid w:val="000A0183"/>
    <w:rsid w:val="000A0894"/>
    <w:rsid w:val="000A089F"/>
    <w:rsid w:val="000A0C40"/>
    <w:rsid w:val="000A0E52"/>
    <w:rsid w:val="000A0E54"/>
    <w:rsid w:val="000A0E89"/>
    <w:rsid w:val="000A0F5A"/>
    <w:rsid w:val="000A12D6"/>
    <w:rsid w:val="000A12E2"/>
    <w:rsid w:val="000A16F6"/>
    <w:rsid w:val="000A1D4D"/>
    <w:rsid w:val="000A209C"/>
    <w:rsid w:val="000A2219"/>
    <w:rsid w:val="000A245F"/>
    <w:rsid w:val="000A295D"/>
    <w:rsid w:val="000A2A13"/>
    <w:rsid w:val="000A2D32"/>
    <w:rsid w:val="000A2E83"/>
    <w:rsid w:val="000A3063"/>
    <w:rsid w:val="000A32F2"/>
    <w:rsid w:val="000A3700"/>
    <w:rsid w:val="000A38D2"/>
    <w:rsid w:val="000A40C7"/>
    <w:rsid w:val="000A4320"/>
    <w:rsid w:val="000A4352"/>
    <w:rsid w:val="000A4572"/>
    <w:rsid w:val="000A4648"/>
    <w:rsid w:val="000A49BD"/>
    <w:rsid w:val="000A4A99"/>
    <w:rsid w:val="000A4B79"/>
    <w:rsid w:val="000A4D18"/>
    <w:rsid w:val="000A4DD6"/>
    <w:rsid w:val="000A4FBF"/>
    <w:rsid w:val="000A51C2"/>
    <w:rsid w:val="000A5878"/>
    <w:rsid w:val="000A5C0C"/>
    <w:rsid w:val="000A5CB1"/>
    <w:rsid w:val="000A604B"/>
    <w:rsid w:val="000A626A"/>
    <w:rsid w:val="000A66D1"/>
    <w:rsid w:val="000A67E2"/>
    <w:rsid w:val="000A6B32"/>
    <w:rsid w:val="000A6BD7"/>
    <w:rsid w:val="000A6DDC"/>
    <w:rsid w:val="000A7118"/>
    <w:rsid w:val="000A726F"/>
    <w:rsid w:val="000A73C0"/>
    <w:rsid w:val="000A7417"/>
    <w:rsid w:val="000A79EC"/>
    <w:rsid w:val="000A7F76"/>
    <w:rsid w:val="000A7FB6"/>
    <w:rsid w:val="000B01FC"/>
    <w:rsid w:val="000B092D"/>
    <w:rsid w:val="000B0AB6"/>
    <w:rsid w:val="000B0BEE"/>
    <w:rsid w:val="000B0E80"/>
    <w:rsid w:val="000B0FDE"/>
    <w:rsid w:val="000B10EB"/>
    <w:rsid w:val="000B1273"/>
    <w:rsid w:val="000B1670"/>
    <w:rsid w:val="000B16EC"/>
    <w:rsid w:val="000B1821"/>
    <w:rsid w:val="000B18B4"/>
    <w:rsid w:val="000B1E3F"/>
    <w:rsid w:val="000B1F0F"/>
    <w:rsid w:val="000B208B"/>
    <w:rsid w:val="000B20B1"/>
    <w:rsid w:val="000B23C6"/>
    <w:rsid w:val="000B28A6"/>
    <w:rsid w:val="000B2AA9"/>
    <w:rsid w:val="000B2B42"/>
    <w:rsid w:val="000B2BCD"/>
    <w:rsid w:val="000B2DA0"/>
    <w:rsid w:val="000B2EB9"/>
    <w:rsid w:val="000B3054"/>
    <w:rsid w:val="000B30E2"/>
    <w:rsid w:val="000B326E"/>
    <w:rsid w:val="000B3488"/>
    <w:rsid w:val="000B3540"/>
    <w:rsid w:val="000B38A3"/>
    <w:rsid w:val="000B3A67"/>
    <w:rsid w:val="000B3D3C"/>
    <w:rsid w:val="000B3D74"/>
    <w:rsid w:val="000B402C"/>
    <w:rsid w:val="000B413F"/>
    <w:rsid w:val="000B43B3"/>
    <w:rsid w:val="000B458E"/>
    <w:rsid w:val="000B481C"/>
    <w:rsid w:val="000B4A79"/>
    <w:rsid w:val="000B4EE6"/>
    <w:rsid w:val="000B4F58"/>
    <w:rsid w:val="000B5194"/>
    <w:rsid w:val="000B53AA"/>
    <w:rsid w:val="000B584A"/>
    <w:rsid w:val="000B5978"/>
    <w:rsid w:val="000B622E"/>
    <w:rsid w:val="000B64E8"/>
    <w:rsid w:val="000B6A9D"/>
    <w:rsid w:val="000B6E26"/>
    <w:rsid w:val="000B707D"/>
    <w:rsid w:val="000B71CA"/>
    <w:rsid w:val="000B7591"/>
    <w:rsid w:val="000B788C"/>
    <w:rsid w:val="000B7966"/>
    <w:rsid w:val="000B7AB1"/>
    <w:rsid w:val="000B7D90"/>
    <w:rsid w:val="000B7FEA"/>
    <w:rsid w:val="000C0011"/>
    <w:rsid w:val="000C001B"/>
    <w:rsid w:val="000C00C6"/>
    <w:rsid w:val="000C01AD"/>
    <w:rsid w:val="000C0988"/>
    <w:rsid w:val="000C0D53"/>
    <w:rsid w:val="000C0D97"/>
    <w:rsid w:val="000C13D8"/>
    <w:rsid w:val="000C17B1"/>
    <w:rsid w:val="000C17C6"/>
    <w:rsid w:val="000C2539"/>
    <w:rsid w:val="000C2649"/>
    <w:rsid w:val="000C26C1"/>
    <w:rsid w:val="000C275A"/>
    <w:rsid w:val="000C27C1"/>
    <w:rsid w:val="000C3109"/>
    <w:rsid w:val="000C310E"/>
    <w:rsid w:val="000C3815"/>
    <w:rsid w:val="000C387D"/>
    <w:rsid w:val="000C3939"/>
    <w:rsid w:val="000C3B8B"/>
    <w:rsid w:val="000C3E39"/>
    <w:rsid w:val="000C3FA0"/>
    <w:rsid w:val="000C410F"/>
    <w:rsid w:val="000C430C"/>
    <w:rsid w:val="000C46D1"/>
    <w:rsid w:val="000C4717"/>
    <w:rsid w:val="000C49C7"/>
    <w:rsid w:val="000C4BB0"/>
    <w:rsid w:val="000C4DB1"/>
    <w:rsid w:val="000C4DDF"/>
    <w:rsid w:val="000C4E37"/>
    <w:rsid w:val="000C5047"/>
    <w:rsid w:val="000C543C"/>
    <w:rsid w:val="000C571D"/>
    <w:rsid w:val="000C5E8A"/>
    <w:rsid w:val="000C5F40"/>
    <w:rsid w:val="000C62CE"/>
    <w:rsid w:val="000C647A"/>
    <w:rsid w:val="000C6560"/>
    <w:rsid w:val="000C658C"/>
    <w:rsid w:val="000C6732"/>
    <w:rsid w:val="000C687C"/>
    <w:rsid w:val="000C6C2E"/>
    <w:rsid w:val="000C6D62"/>
    <w:rsid w:val="000C77F2"/>
    <w:rsid w:val="000C7821"/>
    <w:rsid w:val="000C7B34"/>
    <w:rsid w:val="000C7C06"/>
    <w:rsid w:val="000C7DB0"/>
    <w:rsid w:val="000C7E99"/>
    <w:rsid w:val="000D0080"/>
    <w:rsid w:val="000D019D"/>
    <w:rsid w:val="000D045F"/>
    <w:rsid w:val="000D0519"/>
    <w:rsid w:val="000D0731"/>
    <w:rsid w:val="000D0AA9"/>
    <w:rsid w:val="000D0AAF"/>
    <w:rsid w:val="000D0C27"/>
    <w:rsid w:val="000D0CCF"/>
    <w:rsid w:val="000D0EEE"/>
    <w:rsid w:val="000D1109"/>
    <w:rsid w:val="000D11BC"/>
    <w:rsid w:val="000D1320"/>
    <w:rsid w:val="000D1479"/>
    <w:rsid w:val="000D1778"/>
    <w:rsid w:val="000D1CE1"/>
    <w:rsid w:val="000D1F1B"/>
    <w:rsid w:val="000D209D"/>
    <w:rsid w:val="000D2B5D"/>
    <w:rsid w:val="000D335B"/>
    <w:rsid w:val="000D353E"/>
    <w:rsid w:val="000D3D03"/>
    <w:rsid w:val="000D3E0D"/>
    <w:rsid w:val="000D3EA9"/>
    <w:rsid w:val="000D40F1"/>
    <w:rsid w:val="000D44C1"/>
    <w:rsid w:val="000D4773"/>
    <w:rsid w:val="000D4BC5"/>
    <w:rsid w:val="000D5857"/>
    <w:rsid w:val="000D5AA3"/>
    <w:rsid w:val="000D5C7E"/>
    <w:rsid w:val="000D5E31"/>
    <w:rsid w:val="000D5F84"/>
    <w:rsid w:val="000D6495"/>
    <w:rsid w:val="000D649E"/>
    <w:rsid w:val="000D6A4B"/>
    <w:rsid w:val="000D6B97"/>
    <w:rsid w:val="000D7014"/>
    <w:rsid w:val="000D71DE"/>
    <w:rsid w:val="000D7699"/>
    <w:rsid w:val="000D7A30"/>
    <w:rsid w:val="000D7C52"/>
    <w:rsid w:val="000D7E83"/>
    <w:rsid w:val="000E04FA"/>
    <w:rsid w:val="000E0698"/>
    <w:rsid w:val="000E0ACC"/>
    <w:rsid w:val="000E0B74"/>
    <w:rsid w:val="000E0C70"/>
    <w:rsid w:val="000E10D3"/>
    <w:rsid w:val="000E145C"/>
    <w:rsid w:val="000E15A6"/>
    <w:rsid w:val="000E165F"/>
    <w:rsid w:val="000E177E"/>
    <w:rsid w:val="000E17F3"/>
    <w:rsid w:val="000E1BDB"/>
    <w:rsid w:val="000E1EEB"/>
    <w:rsid w:val="000E21EE"/>
    <w:rsid w:val="000E2366"/>
    <w:rsid w:val="000E2599"/>
    <w:rsid w:val="000E2751"/>
    <w:rsid w:val="000E29F6"/>
    <w:rsid w:val="000E2A04"/>
    <w:rsid w:val="000E2A38"/>
    <w:rsid w:val="000E2AAB"/>
    <w:rsid w:val="000E2C9D"/>
    <w:rsid w:val="000E3021"/>
    <w:rsid w:val="000E3982"/>
    <w:rsid w:val="000E3D17"/>
    <w:rsid w:val="000E4171"/>
    <w:rsid w:val="000E46B6"/>
    <w:rsid w:val="000E4922"/>
    <w:rsid w:val="000E4DE2"/>
    <w:rsid w:val="000E516D"/>
    <w:rsid w:val="000E51AD"/>
    <w:rsid w:val="000E53DE"/>
    <w:rsid w:val="000E55E3"/>
    <w:rsid w:val="000E5642"/>
    <w:rsid w:val="000E5B15"/>
    <w:rsid w:val="000E5DAD"/>
    <w:rsid w:val="000E6352"/>
    <w:rsid w:val="000E6512"/>
    <w:rsid w:val="000E6590"/>
    <w:rsid w:val="000E6980"/>
    <w:rsid w:val="000E6A2B"/>
    <w:rsid w:val="000E6C06"/>
    <w:rsid w:val="000E71EC"/>
    <w:rsid w:val="000E7488"/>
    <w:rsid w:val="000E7657"/>
    <w:rsid w:val="000E7901"/>
    <w:rsid w:val="000E7F5E"/>
    <w:rsid w:val="000E7F61"/>
    <w:rsid w:val="000F0313"/>
    <w:rsid w:val="000F0350"/>
    <w:rsid w:val="000F03EA"/>
    <w:rsid w:val="000F054A"/>
    <w:rsid w:val="000F069F"/>
    <w:rsid w:val="000F087F"/>
    <w:rsid w:val="000F0AA4"/>
    <w:rsid w:val="000F0E84"/>
    <w:rsid w:val="000F1324"/>
    <w:rsid w:val="000F1409"/>
    <w:rsid w:val="000F145E"/>
    <w:rsid w:val="000F1A32"/>
    <w:rsid w:val="000F23CD"/>
    <w:rsid w:val="000F2861"/>
    <w:rsid w:val="000F2916"/>
    <w:rsid w:val="000F2977"/>
    <w:rsid w:val="000F2D59"/>
    <w:rsid w:val="000F32C5"/>
    <w:rsid w:val="000F3327"/>
    <w:rsid w:val="000F35D0"/>
    <w:rsid w:val="000F35F6"/>
    <w:rsid w:val="000F3C31"/>
    <w:rsid w:val="000F3FAB"/>
    <w:rsid w:val="000F4108"/>
    <w:rsid w:val="000F41ED"/>
    <w:rsid w:val="000F424B"/>
    <w:rsid w:val="000F442B"/>
    <w:rsid w:val="000F46FE"/>
    <w:rsid w:val="000F4DA3"/>
    <w:rsid w:val="000F4EF6"/>
    <w:rsid w:val="000F543C"/>
    <w:rsid w:val="000F5474"/>
    <w:rsid w:val="000F5494"/>
    <w:rsid w:val="000F54EB"/>
    <w:rsid w:val="000F5645"/>
    <w:rsid w:val="000F5F3E"/>
    <w:rsid w:val="000F5FCE"/>
    <w:rsid w:val="000F619B"/>
    <w:rsid w:val="000F6523"/>
    <w:rsid w:val="000F6679"/>
    <w:rsid w:val="000F66B6"/>
    <w:rsid w:val="000F67B7"/>
    <w:rsid w:val="000F6954"/>
    <w:rsid w:val="000F69FB"/>
    <w:rsid w:val="000F6AAD"/>
    <w:rsid w:val="000F6AB4"/>
    <w:rsid w:val="000F6D37"/>
    <w:rsid w:val="000F6FC0"/>
    <w:rsid w:val="000F7094"/>
    <w:rsid w:val="000F76AD"/>
    <w:rsid w:val="000F7C33"/>
    <w:rsid w:val="000F7C47"/>
    <w:rsid w:val="000F7DC3"/>
    <w:rsid w:val="0010046B"/>
    <w:rsid w:val="0010052C"/>
    <w:rsid w:val="0010104A"/>
    <w:rsid w:val="0010160C"/>
    <w:rsid w:val="0010160D"/>
    <w:rsid w:val="001019EA"/>
    <w:rsid w:val="00101D37"/>
    <w:rsid w:val="0010210B"/>
    <w:rsid w:val="0010222C"/>
    <w:rsid w:val="00102FC9"/>
    <w:rsid w:val="001031AE"/>
    <w:rsid w:val="00103298"/>
    <w:rsid w:val="001033F4"/>
    <w:rsid w:val="001036E3"/>
    <w:rsid w:val="00103B4B"/>
    <w:rsid w:val="00104991"/>
    <w:rsid w:val="0010501C"/>
    <w:rsid w:val="001050DA"/>
    <w:rsid w:val="001052DB"/>
    <w:rsid w:val="001053CB"/>
    <w:rsid w:val="00105550"/>
    <w:rsid w:val="001057CA"/>
    <w:rsid w:val="00105DF8"/>
    <w:rsid w:val="00106322"/>
    <w:rsid w:val="00106421"/>
    <w:rsid w:val="0010645A"/>
    <w:rsid w:val="00106629"/>
    <w:rsid w:val="0010692A"/>
    <w:rsid w:val="00106D22"/>
    <w:rsid w:val="00106E44"/>
    <w:rsid w:val="001070F0"/>
    <w:rsid w:val="001077F4"/>
    <w:rsid w:val="00107E13"/>
    <w:rsid w:val="00110166"/>
    <w:rsid w:val="0011026D"/>
    <w:rsid w:val="00110800"/>
    <w:rsid w:val="00110976"/>
    <w:rsid w:val="001109A1"/>
    <w:rsid w:val="001113CC"/>
    <w:rsid w:val="001114AF"/>
    <w:rsid w:val="00111577"/>
    <w:rsid w:val="0011176B"/>
    <w:rsid w:val="00111ACC"/>
    <w:rsid w:val="00111BBE"/>
    <w:rsid w:val="00111F14"/>
    <w:rsid w:val="00112237"/>
    <w:rsid w:val="00112292"/>
    <w:rsid w:val="00112951"/>
    <w:rsid w:val="00112997"/>
    <w:rsid w:val="00112D45"/>
    <w:rsid w:val="00113017"/>
    <w:rsid w:val="00113516"/>
    <w:rsid w:val="001137EA"/>
    <w:rsid w:val="00113EFE"/>
    <w:rsid w:val="00113F8E"/>
    <w:rsid w:val="0011436A"/>
    <w:rsid w:val="0011455F"/>
    <w:rsid w:val="00114A7A"/>
    <w:rsid w:val="00114EA4"/>
    <w:rsid w:val="0011548F"/>
    <w:rsid w:val="001159C1"/>
    <w:rsid w:val="00115DF7"/>
    <w:rsid w:val="00116004"/>
    <w:rsid w:val="001160B3"/>
    <w:rsid w:val="00116992"/>
    <w:rsid w:val="00116A71"/>
    <w:rsid w:val="00116E83"/>
    <w:rsid w:val="00116EB3"/>
    <w:rsid w:val="001170E9"/>
    <w:rsid w:val="001175B6"/>
    <w:rsid w:val="00117AC6"/>
    <w:rsid w:val="00117B5D"/>
    <w:rsid w:val="00117C76"/>
    <w:rsid w:val="00117E0D"/>
    <w:rsid w:val="00117F79"/>
    <w:rsid w:val="001203F5"/>
    <w:rsid w:val="0012139B"/>
    <w:rsid w:val="001213B1"/>
    <w:rsid w:val="001214F5"/>
    <w:rsid w:val="001215C6"/>
    <w:rsid w:val="001219E4"/>
    <w:rsid w:val="00121A22"/>
    <w:rsid w:val="00121B2D"/>
    <w:rsid w:val="00121F68"/>
    <w:rsid w:val="001223A3"/>
    <w:rsid w:val="0012252D"/>
    <w:rsid w:val="0012295D"/>
    <w:rsid w:val="00122B69"/>
    <w:rsid w:val="00122BA3"/>
    <w:rsid w:val="00122ECE"/>
    <w:rsid w:val="0012317F"/>
    <w:rsid w:val="001232DA"/>
    <w:rsid w:val="00123375"/>
    <w:rsid w:val="00123AEF"/>
    <w:rsid w:val="0012408F"/>
    <w:rsid w:val="001241FC"/>
    <w:rsid w:val="0012445F"/>
    <w:rsid w:val="00124895"/>
    <w:rsid w:val="00124C42"/>
    <w:rsid w:val="00124DA0"/>
    <w:rsid w:val="00124F9C"/>
    <w:rsid w:val="00125337"/>
    <w:rsid w:val="001253C3"/>
    <w:rsid w:val="00125431"/>
    <w:rsid w:val="00125A78"/>
    <w:rsid w:val="00125CF6"/>
    <w:rsid w:val="00125F9E"/>
    <w:rsid w:val="00126126"/>
    <w:rsid w:val="001261CB"/>
    <w:rsid w:val="001268A4"/>
    <w:rsid w:val="001268D7"/>
    <w:rsid w:val="00126C78"/>
    <w:rsid w:val="00126D4F"/>
    <w:rsid w:val="00126D62"/>
    <w:rsid w:val="001272B4"/>
    <w:rsid w:val="00127327"/>
    <w:rsid w:val="001273AD"/>
    <w:rsid w:val="0012777B"/>
    <w:rsid w:val="00127CF9"/>
    <w:rsid w:val="00127F09"/>
    <w:rsid w:val="001303F8"/>
    <w:rsid w:val="00130630"/>
    <w:rsid w:val="0013088E"/>
    <w:rsid w:val="00130EF0"/>
    <w:rsid w:val="00130F44"/>
    <w:rsid w:val="00131478"/>
    <w:rsid w:val="00131DC3"/>
    <w:rsid w:val="00131FC1"/>
    <w:rsid w:val="001320A1"/>
    <w:rsid w:val="0013236D"/>
    <w:rsid w:val="001323C4"/>
    <w:rsid w:val="0013296A"/>
    <w:rsid w:val="001329E4"/>
    <w:rsid w:val="00132AB1"/>
    <w:rsid w:val="00132C47"/>
    <w:rsid w:val="00132D78"/>
    <w:rsid w:val="0013358C"/>
    <w:rsid w:val="00133654"/>
    <w:rsid w:val="0013368B"/>
    <w:rsid w:val="00133C05"/>
    <w:rsid w:val="00133F0E"/>
    <w:rsid w:val="00133FF6"/>
    <w:rsid w:val="00134830"/>
    <w:rsid w:val="00134CC9"/>
    <w:rsid w:val="00134F4C"/>
    <w:rsid w:val="00134FE8"/>
    <w:rsid w:val="0013530B"/>
    <w:rsid w:val="0013574F"/>
    <w:rsid w:val="001358A8"/>
    <w:rsid w:val="00135BF4"/>
    <w:rsid w:val="00135E4C"/>
    <w:rsid w:val="001360C9"/>
    <w:rsid w:val="00136BB7"/>
    <w:rsid w:val="00136C3B"/>
    <w:rsid w:val="001370D2"/>
    <w:rsid w:val="00137149"/>
    <w:rsid w:val="00137234"/>
    <w:rsid w:val="001373F5"/>
    <w:rsid w:val="0013766C"/>
    <w:rsid w:val="00137914"/>
    <w:rsid w:val="001379C2"/>
    <w:rsid w:val="00137A80"/>
    <w:rsid w:val="00137D7A"/>
    <w:rsid w:val="0014002F"/>
    <w:rsid w:val="001400F9"/>
    <w:rsid w:val="001404AE"/>
    <w:rsid w:val="00140FB7"/>
    <w:rsid w:val="00141294"/>
    <w:rsid w:val="0014160C"/>
    <w:rsid w:val="00142592"/>
    <w:rsid w:val="001426AA"/>
    <w:rsid w:val="00142B28"/>
    <w:rsid w:val="00142B56"/>
    <w:rsid w:val="00142CDD"/>
    <w:rsid w:val="00142EE7"/>
    <w:rsid w:val="00142F61"/>
    <w:rsid w:val="00142F9B"/>
    <w:rsid w:val="00143304"/>
    <w:rsid w:val="001433AB"/>
    <w:rsid w:val="00143683"/>
    <w:rsid w:val="00143886"/>
    <w:rsid w:val="0014392F"/>
    <w:rsid w:val="00143B54"/>
    <w:rsid w:val="00143BC2"/>
    <w:rsid w:val="00143FA9"/>
    <w:rsid w:val="00143FE9"/>
    <w:rsid w:val="00144134"/>
    <w:rsid w:val="0014415B"/>
    <w:rsid w:val="0014430A"/>
    <w:rsid w:val="00144442"/>
    <w:rsid w:val="00144AB3"/>
    <w:rsid w:val="00145113"/>
    <w:rsid w:val="001453DD"/>
    <w:rsid w:val="001455B3"/>
    <w:rsid w:val="001456BA"/>
    <w:rsid w:val="001457A6"/>
    <w:rsid w:val="0014586B"/>
    <w:rsid w:val="00145C8A"/>
    <w:rsid w:val="00145E71"/>
    <w:rsid w:val="00145FFF"/>
    <w:rsid w:val="00146542"/>
    <w:rsid w:val="001465A3"/>
    <w:rsid w:val="00146680"/>
    <w:rsid w:val="00146BFF"/>
    <w:rsid w:val="00146DDF"/>
    <w:rsid w:val="00146ED9"/>
    <w:rsid w:val="0014712F"/>
    <w:rsid w:val="00147391"/>
    <w:rsid w:val="0014744D"/>
    <w:rsid w:val="00147633"/>
    <w:rsid w:val="00147759"/>
    <w:rsid w:val="00147886"/>
    <w:rsid w:val="00147B80"/>
    <w:rsid w:val="00147D1A"/>
    <w:rsid w:val="00147DB1"/>
    <w:rsid w:val="001505C6"/>
    <w:rsid w:val="001507B5"/>
    <w:rsid w:val="00150A88"/>
    <w:rsid w:val="00150C78"/>
    <w:rsid w:val="00150ED8"/>
    <w:rsid w:val="00151199"/>
    <w:rsid w:val="00151431"/>
    <w:rsid w:val="001517B3"/>
    <w:rsid w:val="00151949"/>
    <w:rsid w:val="00151985"/>
    <w:rsid w:val="00151A76"/>
    <w:rsid w:val="00151F1F"/>
    <w:rsid w:val="00151F5E"/>
    <w:rsid w:val="001526A6"/>
    <w:rsid w:val="001528A8"/>
    <w:rsid w:val="00152BD2"/>
    <w:rsid w:val="00152CD7"/>
    <w:rsid w:val="001536EA"/>
    <w:rsid w:val="00153773"/>
    <w:rsid w:val="001538B2"/>
    <w:rsid w:val="00153F4C"/>
    <w:rsid w:val="00154082"/>
    <w:rsid w:val="0015430F"/>
    <w:rsid w:val="00154360"/>
    <w:rsid w:val="00154544"/>
    <w:rsid w:val="00154ACE"/>
    <w:rsid w:val="00154EC5"/>
    <w:rsid w:val="00155006"/>
    <w:rsid w:val="001552C2"/>
    <w:rsid w:val="001552DB"/>
    <w:rsid w:val="001557F5"/>
    <w:rsid w:val="0015607C"/>
    <w:rsid w:val="001560C4"/>
    <w:rsid w:val="0015676D"/>
    <w:rsid w:val="00156A92"/>
    <w:rsid w:val="00156DD6"/>
    <w:rsid w:val="00157294"/>
    <w:rsid w:val="001574C0"/>
    <w:rsid w:val="0015769B"/>
    <w:rsid w:val="00157AB0"/>
    <w:rsid w:val="001602C9"/>
    <w:rsid w:val="001606CF"/>
    <w:rsid w:val="0016075A"/>
    <w:rsid w:val="00160C81"/>
    <w:rsid w:val="00160DF2"/>
    <w:rsid w:val="00161289"/>
    <w:rsid w:val="0016128D"/>
    <w:rsid w:val="0016164A"/>
    <w:rsid w:val="0016164E"/>
    <w:rsid w:val="0016192C"/>
    <w:rsid w:val="00161A4C"/>
    <w:rsid w:val="00161E47"/>
    <w:rsid w:val="00161ED8"/>
    <w:rsid w:val="001622C0"/>
    <w:rsid w:val="00162769"/>
    <w:rsid w:val="00162F1E"/>
    <w:rsid w:val="0016301A"/>
    <w:rsid w:val="001630A7"/>
    <w:rsid w:val="001632A6"/>
    <w:rsid w:val="001632BD"/>
    <w:rsid w:val="001633BF"/>
    <w:rsid w:val="001635C8"/>
    <w:rsid w:val="00163917"/>
    <w:rsid w:val="00163972"/>
    <w:rsid w:val="00163B44"/>
    <w:rsid w:val="00164063"/>
    <w:rsid w:val="001643CB"/>
    <w:rsid w:val="001645FB"/>
    <w:rsid w:val="001647ED"/>
    <w:rsid w:val="00164C1C"/>
    <w:rsid w:val="00164CF0"/>
    <w:rsid w:val="00164DFD"/>
    <w:rsid w:val="001654DF"/>
    <w:rsid w:val="001654EC"/>
    <w:rsid w:val="001655DA"/>
    <w:rsid w:val="00165855"/>
    <w:rsid w:val="001659B5"/>
    <w:rsid w:val="00165D7B"/>
    <w:rsid w:val="001666D0"/>
    <w:rsid w:val="00166973"/>
    <w:rsid w:val="00166A1D"/>
    <w:rsid w:val="00166B7F"/>
    <w:rsid w:val="00166C0E"/>
    <w:rsid w:val="00166FCA"/>
    <w:rsid w:val="00167021"/>
    <w:rsid w:val="001671E7"/>
    <w:rsid w:val="001672BE"/>
    <w:rsid w:val="0016756B"/>
    <w:rsid w:val="0016785F"/>
    <w:rsid w:val="00167D25"/>
    <w:rsid w:val="00167F1C"/>
    <w:rsid w:val="0017089D"/>
    <w:rsid w:val="00170C98"/>
    <w:rsid w:val="00170D61"/>
    <w:rsid w:val="0017103D"/>
    <w:rsid w:val="00171471"/>
    <w:rsid w:val="0017156C"/>
    <w:rsid w:val="001717E0"/>
    <w:rsid w:val="00171822"/>
    <w:rsid w:val="00171A73"/>
    <w:rsid w:val="00171C8C"/>
    <w:rsid w:val="00171E39"/>
    <w:rsid w:val="001721FD"/>
    <w:rsid w:val="001722B1"/>
    <w:rsid w:val="001726BE"/>
    <w:rsid w:val="001727BE"/>
    <w:rsid w:val="00172930"/>
    <w:rsid w:val="00172A4F"/>
    <w:rsid w:val="0017314A"/>
    <w:rsid w:val="0017329C"/>
    <w:rsid w:val="001733BE"/>
    <w:rsid w:val="001734B7"/>
    <w:rsid w:val="0017383D"/>
    <w:rsid w:val="00173F3D"/>
    <w:rsid w:val="001740D8"/>
    <w:rsid w:val="0017415A"/>
    <w:rsid w:val="0017454B"/>
    <w:rsid w:val="0017498F"/>
    <w:rsid w:val="001751F8"/>
    <w:rsid w:val="00175354"/>
    <w:rsid w:val="001756C3"/>
    <w:rsid w:val="0017591B"/>
    <w:rsid w:val="00175A61"/>
    <w:rsid w:val="00176701"/>
    <w:rsid w:val="001767D9"/>
    <w:rsid w:val="00176892"/>
    <w:rsid w:val="00176B15"/>
    <w:rsid w:val="001771DC"/>
    <w:rsid w:val="00177AE4"/>
    <w:rsid w:val="00177B4E"/>
    <w:rsid w:val="00177BE9"/>
    <w:rsid w:val="00177EB7"/>
    <w:rsid w:val="001805F4"/>
    <w:rsid w:val="00180C8E"/>
    <w:rsid w:val="0018104B"/>
    <w:rsid w:val="00181447"/>
    <w:rsid w:val="00181E81"/>
    <w:rsid w:val="00181F9A"/>
    <w:rsid w:val="0018204D"/>
    <w:rsid w:val="001823B6"/>
    <w:rsid w:val="00182BD7"/>
    <w:rsid w:val="001830E0"/>
    <w:rsid w:val="00183625"/>
    <w:rsid w:val="00183673"/>
    <w:rsid w:val="00183AE9"/>
    <w:rsid w:val="00183D24"/>
    <w:rsid w:val="00184112"/>
    <w:rsid w:val="00184409"/>
    <w:rsid w:val="00184642"/>
    <w:rsid w:val="00184D52"/>
    <w:rsid w:val="00184F7F"/>
    <w:rsid w:val="001850BA"/>
    <w:rsid w:val="001852E9"/>
    <w:rsid w:val="001853F3"/>
    <w:rsid w:val="0018545C"/>
    <w:rsid w:val="00185DD3"/>
    <w:rsid w:val="00185E31"/>
    <w:rsid w:val="00185F62"/>
    <w:rsid w:val="0018614E"/>
    <w:rsid w:val="00186A1D"/>
    <w:rsid w:val="00186C2C"/>
    <w:rsid w:val="00186DD7"/>
    <w:rsid w:val="0018713B"/>
    <w:rsid w:val="0018717B"/>
    <w:rsid w:val="00187482"/>
    <w:rsid w:val="00187491"/>
    <w:rsid w:val="0018766A"/>
    <w:rsid w:val="001876C3"/>
    <w:rsid w:val="00187A8D"/>
    <w:rsid w:val="00187B14"/>
    <w:rsid w:val="00187D7D"/>
    <w:rsid w:val="00190024"/>
    <w:rsid w:val="0019027D"/>
    <w:rsid w:val="0019036C"/>
    <w:rsid w:val="001908BA"/>
    <w:rsid w:val="00190CA0"/>
    <w:rsid w:val="00191003"/>
    <w:rsid w:val="0019101A"/>
    <w:rsid w:val="001912F3"/>
    <w:rsid w:val="00191598"/>
    <w:rsid w:val="001915E6"/>
    <w:rsid w:val="00191D49"/>
    <w:rsid w:val="001921BA"/>
    <w:rsid w:val="00192217"/>
    <w:rsid w:val="001925FF"/>
    <w:rsid w:val="00192870"/>
    <w:rsid w:val="00192877"/>
    <w:rsid w:val="00192936"/>
    <w:rsid w:val="0019298B"/>
    <w:rsid w:val="00192A21"/>
    <w:rsid w:val="00192A70"/>
    <w:rsid w:val="0019326E"/>
    <w:rsid w:val="001932F5"/>
    <w:rsid w:val="001935E7"/>
    <w:rsid w:val="00193673"/>
    <w:rsid w:val="001937CD"/>
    <w:rsid w:val="00193AF5"/>
    <w:rsid w:val="00193C6B"/>
    <w:rsid w:val="00194487"/>
    <w:rsid w:val="0019473D"/>
    <w:rsid w:val="00194C3B"/>
    <w:rsid w:val="00194E02"/>
    <w:rsid w:val="00194F9E"/>
    <w:rsid w:val="001950F1"/>
    <w:rsid w:val="00195342"/>
    <w:rsid w:val="001953F5"/>
    <w:rsid w:val="00195512"/>
    <w:rsid w:val="00195937"/>
    <w:rsid w:val="00195CA0"/>
    <w:rsid w:val="00195F1A"/>
    <w:rsid w:val="001963FA"/>
    <w:rsid w:val="0019665B"/>
    <w:rsid w:val="001967AD"/>
    <w:rsid w:val="00196CA7"/>
    <w:rsid w:val="00196D35"/>
    <w:rsid w:val="00196D93"/>
    <w:rsid w:val="00196EC7"/>
    <w:rsid w:val="001970D6"/>
    <w:rsid w:val="001972D2"/>
    <w:rsid w:val="001975B7"/>
    <w:rsid w:val="001975C3"/>
    <w:rsid w:val="0019770E"/>
    <w:rsid w:val="00197710"/>
    <w:rsid w:val="00197848"/>
    <w:rsid w:val="0019794B"/>
    <w:rsid w:val="00197CA3"/>
    <w:rsid w:val="00197EE2"/>
    <w:rsid w:val="001A019C"/>
    <w:rsid w:val="001A06AB"/>
    <w:rsid w:val="001A095F"/>
    <w:rsid w:val="001A0CB2"/>
    <w:rsid w:val="001A1A4C"/>
    <w:rsid w:val="001A1CD2"/>
    <w:rsid w:val="001A218D"/>
    <w:rsid w:val="001A21B6"/>
    <w:rsid w:val="001A2318"/>
    <w:rsid w:val="001A2B95"/>
    <w:rsid w:val="001A2D8E"/>
    <w:rsid w:val="001A340D"/>
    <w:rsid w:val="001A40C0"/>
    <w:rsid w:val="001A417B"/>
    <w:rsid w:val="001A48C2"/>
    <w:rsid w:val="001A4C49"/>
    <w:rsid w:val="001A5210"/>
    <w:rsid w:val="001A5381"/>
    <w:rsid w:val="001A542C"/>
    <w:rsid w:val="001A5A01"/>
    <w:rsid w:val="001A5F38"/>
    <w:rsid w:val="001A600F"/>
    <w:rsid w:val="001A6079"/>
    <w:rsid w:val="001A6473"/>
    <w:rsid w:val="001A691D"/>
    <w:rsid w:val="001A6BE1"/>
    <w:rsid w:val="001A6D04"/>
    <w:rsid w:val="001A6D9C"/>
    <w:rsid w:val="001A6DF8"/>
    <w:rsid w:val="001A6E4A"/>
    <w:rsid w:val="001A700E"/>
    <w:rsid w:val="001A7061"/>
    <w:rsid w:val="001A7216"/>
    <w:rsid w:val="001A7266"/>
    <w:rsid w:val="001A7270"/>
    <w:rsid w:val="001A7333"/>
    <w:rsid w:val="001A745D"/>
    <w:rsid w:val="001A7843"/>
    <w:rsid w:val="001A78E9"/>
    <w:rsid w:val="001A7ABB"/>
    <w:rsid w:val="001A7B01"/>
    <w:rsid w:val="001A7BB3"/>
    <w:rsid w:val="001A7C47"/>
    <w:rsid w:val="001A7D69"/>
    <w:rsid w:val="001A7EA0"/>
    <w:rsid w:val="001B04FD"/>
    <w:rsid w:val="001B0515"/>
    <w:rsid w:val="001B0558"/>
    <w:rsid w:val="001B077C"/>
    <w:rsid w:val="001B097B"/>
    <w:rsid w:val="001B0DC0"/>
    <w:rsid w:val="001B1539"/>
    <w:rsid w:val="001B161C"/>
    <w:rsid w:val="001B1A45"/>
    <w:rsid w:val="001B1B5D"/>
    <w:rsid w:val="001B2025"/>
    <w:rsid w:val="001B2623"/>
    <w:rsid w:val="001B29E9"/>
    <w:rsid w:val="001B3333"/>
    <w:rsid w:val="001B384F"/>
    <w:rsid w:val="001B483E"/>
    <w:rsid w:val="001B4B47"/>
    <w:rsid w:val="001B4C66"/>
    <w:rsid w:val="001B4FF4"/>
    <w:rsid w:val="001B5045"/>
    <w:rsid w:val="001B5074"/>
    <w:rsid w:val="001B514F"/>
    <w:rsid w:val="001B535C"/>
    <w:rsid w:val="001B566A"/>
    <w:rsid w:val="001B5767"/>
    <w:rsid w:val="001B57FA"/>
    <w:rsid w:val="001B5BD4"/>
    <w:rsid w:val="001B5DBC"/>
    <w:rsid w:val="001B5EE6"/>
    <w:rsid w:val="001B6E56"/>
    <w:rsid w:val="001B7733"/>
    <w:rsid w:val="001C01EA"/>
    <w:rsid w:val="001C031B"/>
    <w:rsid w:val="001C032A"/>
    <w:rsid w:val="001C0367"/>
    <w:rsid w:val="001C0B15"/>
    <w:rsid w:val="001C0D2F"/>
    <w:rsid w:val="001C0F9A"/>
    <w:rsid w:val="001C1835"/>
    <w:rsid w:val="001C1838"/>
    <w:rsid w:val="001C1CE1"/>
    <w:rsid w:val="001C1D0A"/>
    <w:rsid w:val="001C2BD8"/>
    <w:rsid w:val="001C2E04"/>
    <w:rsid w:val="001C3108"/>
    <w:rsid w:val="001C312D"/>
    <w:rsid w:val="001C32DE"/>
    <w:rsid w:val="001C350C"/>
    <w:rsid w:val="001C358D"/>
    <w:rsid w:val="001C361A"/>
    <w:rsid w:val="001C37C9"/>
    <w:rsid w:val="001C390F"/>
    <w:rsid w:val="001C3DCA"/>
    <w:rsid w:val="001C3F6C"/>
    <w:rsid w:val="001C4007"/>
    <w:rsid w:val="001C4170"/>
    <w:rsid w:val="001C42F7"/>
    <w:rsid w:val="001C45C0"/>
    <w:rsid w:val="001C49C8"/>
    <w:rsid w:val="001C4B1B"/>
    <w:rsid w:val="001C4C60"/>
    <w:rsid w:val="001C4CE6"/>
    <w:rsid w:val="001C4DC1"/>
    <w:rsid w:val="001C4DDC"/>
    <w:rsid w:val="001C4E66"/>
    <w:rsid w:val="001C4EEC"/>
    <w:rsid w:val="001C51FC"/>
    <w:rsid w:val="001C53A7"/>
    <w:rsid w:val="001C54FA"/>
    <w:rsid w:val="001C5608"/>
    <w:rsid w:val="001C5A4F"/>
    <w:rsid w:val="001C5ACC"/>
    <w:rsid w:val="001C5EA5"/>
    <w:rsid w:val="001C617C"/>
    <w:rsid w:val="001C6746"/>
    <w:rsid w:val="001C6E59"/>
    <w:rsid w:val="001C7028"/>
    <w:rsid w:val="001C7CC9"/>
    <w:rsid w:val="001C7E1F"/>
    <w:rsid w:val="001D018C"/>
    <w:rsid w:val="001D0393"/>
    <w:rsid w:val="001D080B"/>
    <w:rsid w:val="001D0899"/>
    <w:rsid w:val="001D097E"/>
    <w:rsid w:val="001D0D9D"/>
    <w:rsid w:val="001D1151"/>
    <w:rsid w:val="001D133C"/>
    <w:rsid w:val="001D15C2"/>
    <w:rsid w:val="001D17AB"/>
    <w:rsid w:val="001D229C"/>
    <w:rsid w:val="001D2A14"/>
    <w:rsid w:val="001D2F0A"/>
    <w:rsid w:val="001D2F37"/>
    <w:rsid w:val="001D2FEE"/>
    <w:rsid w:val="001D3029"/>
    <w:rsid w:val="001D33A6"/>
    <w:rsid w:val="001D33AF"/>
    <w:rsid w:val="001D3E79"/>
    <w:rsid w:val="001D409C"/>
    <w:rsid w:val="001D4638"/>
    <w:rsid w:val="001D52AF"/>
    <w:rsid w:val="001D5408"/>
    <w:rsid w:val="001D5458"/>
    <w:rsid w:val="001D595E"/>
    <w:rsid w:val="001D5A62"/>
    <w:rsid w:val="001D6453"/>
    <w:rsid w:val="001D657A"/>
    <w:rsid w:val="001D6689"/>
    <w:rsid w:val="001D68EA"/>
    <w:rsid w:val="001D6BA5"/>
    <w:rsid w:val="001D6D80"/>
    <w:rsid w:val="001D6D86"/>
    <w:rsid w:val="001D6E33"/>
    <w:rsid w:val="001D7133"/>
    <w:rsid w:val="001D7463"/>
    <w:rsid w:val="001D7A51"/>
    <w:rsid w:val="001D7A5A"/>
    <w:rsid w:val="001E02CF"/>
    <w:rsid w:val="001E037E"/>
    <w:rsid w:val="001E0961"/>
    <w:rsid w:val="001E0B27"/>
    <w:rsid w:val="001E0D5B"/>
    <w:rsid w:val="001E13A5"/>
    <w:rsid w:val="001E16DF"/>
    <w:rsid w:val="001E1C09"/>
    <w:rsid w:val="001E1D5B"/>
    <w:rsid w:val="001E20C6"/>
    <w:rsid w:val="001E236F"/>
    <w:rsid w:val="001E23E8"/>
    <w:rsid w:val="001E242D"/>
    <w:rsid w:val="001E2722"/>
    <w:rsid w:val="001E2983"/>
    <w:rsid w:val="001E2C2F"/>
    <w:rsid w:val="001E3751"/>
    <w:rsid w:val="001E3BD2"/>
    <w:rsid w:val="001E3EAC"/>
    <w:rsid w:val="001E4CB4"/>
    <w:rsid w:val="001E4CE0"/>
    <w:rsid w:val="001E4FAA"/>
    <w:rsid w:val="001E56E1"/>
    <w:rsid w:val="001E5823"/>
    <w:rsid w:val="001E5864"/>
    <w:rsid w:val="001E6050"/>
    <w:rsid w:val="001E6310"/>
    <w:rsid w:val="001E6814"/>
    <w:rsid w:val="001E681E"/>
    <w:rsid w:val="001E6957"/>
    <w:rsid w:val="001E6BE8"/>
    <w:rsid w:val="001E70C9"/>
    <w:rsid w:val="001E7283"/>
    <w:rsid w:val="001E7672"/>
    <w:rsid w:val="001E7886"/>
    <w:rsid w:val="001E7A56"/>
    <w:rsid w:val="001E7B02"/>
    <w:rsid w:val="001E7B2B"/>
    <w:rsid w:val="001E7F1C"/>
    <w:rsid w:val="001F014C"/>
    <w:rsid w:val="001F0345"/>
    <w:rsid w:val="001F074E"/>
    <w:rsid w:val="001F082E"/>
    <w:rsid w:val="001F09C1"/>
    <w:rsid w:val="001F0DA7"/>
    <w:rsid w:val="001F0FCA"/>
    <w:rsid w:val="001F105A"/>
    <w:rsid w:val="001F12AB"/>
    <w:rsid w:val="001F145B"/>
    <w:rsid w:val="001F17CC"/>
    <w:rsid w:val="001F1912"/>
    <w:rsid w:val="001F1B27"/>
    <w:rsid w:val="001F1C0F"/>
    <w:rsid w:val="001F1C81"/>
    <w:rsid w:val="001F1CC2"/>
    <w:rsid w:val="001F2023"/>
    <w:rsid w:val="001F2856"/>
    <w:rsid w:val="001F295A"/>
    <w:rsid w:val="001F2A33"/>
    <w:rsid w:val="001F2AE2"/>
    <w:rsid w:val="001F2CE7"/>
    <w:rsid w:val="001F2DE6"/>
    <w:rsid w:val="001F30E4"/>
    <w:rsid w:val="001F3151"/>
    <w:rsid w:val="001F393B"/>
    <w:rsid w:val="001F3B66"/>
    <w:rsid w:val="001F3BCB"/>
    <w:rsid w:val="001F3BD7"/>
    <w:rsid w:val="001F3C01"/>
    <w:rsid w:val="001F3E47"/>
    <w:rsid w:val="001F3F29"/>
    <w:rsid w:val="001F4262"/>
    <w:rsid w:val="001F4BFB"/>
    <w:rsid w:val="001F4F80"/>
    <w:rsid w:val="001F51A3"/>
    <w:rsid w:val="001F51EC"/>
    <w:rsid w:val="001F53D2"/>
    <w:rsid w:val="001F5873"/>
    <w:rsid w:val="001F5A81"/>
    <w:rsid w:val="001F5BB4"/>
    <w:rsid w:val="001F5C28"/>
    <w:rsid w:val="001F5FC5"/>
    <w:rsid w:val="001F6058"/>
    <w:rsid w:val="001F6575"/>
    <w:rsid w:val="001F6632"/>
    <w:rsid w:val="001F67F0"/>
    <w:rsid w:val="001F689D"/>
    <w:rsid w:val="001F6C06"/>
    <w:rsid w:val="001F6F35"/>
    <w:rsid w:val="001F7135"/>
    <w:rsid w:val="001F73DD"/>
    <w:rsid w:val="001F7AE7"/>
    <w:rsid w:val="001F7D47"/>
    <w:rsid w:val="001F7EA5"/>
    <w:rsid w:val="0020003D"/>
    <w:rsid w:val="002002B5"/>
    <w:rsid w:val="0020062F"/>
    <w:rsid w:val="0020065A"/>
    <w:rsid w:val="00200C66"/>
    <w:rsid w:val="00200F20"/>
    <w:rsid w:val="002010A6"/>
    <w:rsid w:val="0020135B"/>
    <w:rsid w:val="002019CF"/>
    <w:rsid w:val="00201A2A"/>
    <w:rsid w:val="00201ACD"/>
    <w:rsid w:val="00201D30"/>
    <w:rsid w:val="00201E60"/>
    <w:rsid w:val="00201F2E"/>
    <w:rsid w:val="00201F65"/>
    <w:rsid w:val="0020206B"/>
    <w:rsid w:val="0020246E"/>
    <w:rsid w:val="002024D8"/>
    <w:rsid w:val="00202D1C"/>
    <w:rsid w:val="00203100"/>
    <w:rsid w:val="00203386"/>
    <w:rsid w:val="002036D3"/>
    <w:rsid w:val="00203A0A"/>
    <w:rsid w:val="00203C2D"/>
    <w:rsid w:val="00203FCA"/>
    <w:rsid w:val="00204124"/>
    <w:rsid w:val="0020412E"/>
    <w:rsid w:val="00204375"/>
    <w:rsid w:val="00204E53"/>
    <w:rsid w:val="002055D3"/>
    <w:rsid w:val="00205880"/>
    <w:rsid w:val="002059ED"/>
    <w:rsid w:val="00205A7C"/>
    <w:rsid w:val="00205DBD"/>
    <w:rsid w:val="00206341"/>
    <w:rsid w:val="002063B7"/>
    <w:rsid w:val="00206636"/>
    <w:rsid w:val="00206BD2"/>
    <w:rsid w:val="00206D54"/>
    <w:rsid w:val="00206FAE"/>
    <w:rsid w:val="00207168"/>
    <w:rsid w:val="00207569"/>
    <w:rsid w:val="00207D67"/>
    <w:rsid w:val="00210068"/>
    <w:rsid w:val="00210170"/>
    <w:rsid w:val="002109CE"/>
    <w:rsid w:val="00211092"/>
    <w:rsid w:val="002110E2"/>
    <w:rsid w:val="002112DA"/>
    <w:rsid w:val="00211533"/>
    <w:rsid w:val="00211578"/>
    <w:rsid w:val="002116EA"/>
    <w:rsid w:val="00211831"/>
    <w:rsid w:val="00211A17"/>
    <w:rsid w:val="00211AE2"/>
    <w:rsid w:val="00211EF2"/>
    <w:rsid w:val="002120D4"/>
    <w:rsid w:val="002122DE"/>
    <w:rsid w:val="00212533"/>
    <w:rsid w:val="00212627"/>
    <w:rsid w:val="00213120"/>
    <w:rsid w:val="00213354"/>
    <w:rsid w:val="002133A9"/>
    <w:rsid w:val="0021380E"/>
    <w:rsid w:val="0021393C"/>
    <w:rsid w:val="00213F58"/>
    <w:rsid w:val="0021424E"/>
    <w:rsid w:val="002147F7"/>
    <w:rsid w:val="0021485C"/>
    <w:rsid w:val="002148E0"/>
    <w:rsid w:val="00215088"/>
    <w:rsid w:val="00215532"/>
    <w:rsid w:val="0021592E"/>
    <w:rsid w:val="00215936"/>
    <w:rsid w:val="00215A9D"/>
    <w:rsid w:val="00215B5F"/>
    <w:rsid w:val="00215ED7"/>
    <w:rsid w:val="002160BE"/>
    <w:rsid w:val="0021661C"/>
    <w:rsid w:val="00216755"/>
    <w:rsid w:val="00216DD1"/>
    <w:rsid w:val="00216EF2"/>
    <w:rsid w:val="00217DC9"/>
    <w:rsid w:val="00217F21"/>
    <w:rsid w:val="002207BA"/>
    <w:rsid w:val="00221BFF"/>
    <w:rsid w:val="00221C51"/>
    <w:rsid w:val="00221C6F"/>
    <w:rsid w:val="00221EC0"/>
    <w:rsid w:val="00221EFD"/>
    <w:rsid w:val="00222035"/>
    <w:rsid w:val="00222280"/>
    <w:rsid w:val="00222456"/>
    <w:rsid w:val="002226C1"/>
    <w:rsid w:val="00222904"/>
    <w:rsid w:val="00222928"/>
    <w:rsid w:val="00222A7A"/>
    <w:rsid w:val="00222D01"/>
    <w:rsid w:val="00222E5D"/>
    <w:rsid w:val="00222ED7"/>
    <w:rsid w:val="00223ECA"/>
    <w:rsid w:val="00224050"/>
    <w:rsid w:val="002244C2"/>
    <w:rsid w:val="00224588"/>
    <w:rsid w:val="00224A69"/>
    <w:rsid w:val="00224B75"/>
    <w:rsid w:val="00225274"/>
    <w:rsid w:val="0022531F"/>
    <w:rsid w:val="002256E5"/>
    <w:rsid w:val="00225936"/>
    <w:rsid w:val="00225AF5"/>
    <w:rsid w:val="00225B38"/>
    <w:rsid w:val="00225B74"/>
    <w:rsid w:val="00225D40"/>
    <w:rsid w:val="00226151"/>
    <w:rsid w:val="002263EC"/>
    <w:rsid w:val="002267B2"/>
    <w:rsid w:val="00226E7A"/>
    <w:rsid w:val="00227126"/>
    <w:rsid w:val="002276FB"/>
    <w:rsid w:val="00227881"/>
    <w:rsid w:val="00230283"/>
    <w:rsid w:val="002303A2"/>
    <w:rsid w:val="00230A58"/>
    <w:rsid w:val="00230B07"/>
    <w:rsid w:val="00230CC5"/>
    <w:rsid w:val="00230FD5"/>
    <w:rsid w:val="0023102E"/>
    <w:rsid w:val="00231049"/>
    <w:rsid w:val="002314A9"/>
    <w:rsid w:val="002314D2"/>
    <w:rsid w:val="00231BB9"/>
    <w:rsid w:val="00231E68"/>
    <w:rsid w:val="00231E8C"/>
    <w:rsid w:val="00231F94"/>
    <w:rsid w:val="002329CC"/>
    <w:rsid w:val="00232D01"/>
    <w:rsid w:val="0023305C"/>
    <w:rsid w:val="00233280"/>
    <w:rsid w:val="0023359F"/>
    <w:rsid w:val="002335D8"/>
    <w:rsid w:val="00233721"/>
    <w:rsid w:val="00233CDC"/>
    <w:rsid w:val="00233D1A"/>
    <w:rsid w:val="00234187"/>
    <w:rsid w:val="00234AF6"/>
    <w:rsid w:val="0023508A"/>
    <w:rsid w:val="002350A2"/>
    <w:rsid w:val="002350A4"/>
    <w:rsid w:val="0023525F"/>
    <w:rsid w:val="00235322"/>
    <w:rsid w:val="002353B8"/>
    <w:rsid w:val="00235429"/>
    <w:rsid w:val="0023554C"/>
    <w:rsid w:val="00235784"/>
    <w:rsid w:val="00235957"/>
    <w:rsid w:val="002359F0"/>
    <w:rsid w:val="00235F79"/>
    <w:rsid w:val="002361DE"/>
    <w:rsid w:val="00236391"/>
    <w:rsid w:val="0023651B"/>
    <w:rsid w:val="00236959"/>
    <w:rsid w:val="00236A0F"/>
    <w:rsid w:val="00236B6E"/>
    <w:rsid w:val="00236BAB"/>
    <w:rsid w:val="00236F35"/>
    <w:rsid w:val="002376A7"/>
    <w:rsid w:val="00237991"/>
    <w:rsid w:val="00237E0D"/>
    <w:rsid w:val="00240948"/>
    <w:rsid w:val="00240AD7"/>
    <w:rsid w:val="0024101C"/>
    <w:rsid w:val="00241235"/>
    <w:rsid w:val="00241556"/>
    <w:rsid w:val="00241881"/>
    <w:rsid w:val="00241BB4"/>
    <w:rsid w:val="00241EE6"/>
    <w:rsid w:val="002422DE"/>
    <w:rsid w:val="002426D4"/>
    <w:rsid w:val="00242831"/>
    <w:rsid w:val="0024294C"/>
    <w:rsid w:val="00242F9E"/>
    <w:rsid w:val="0024310B"/>
    <w:rsid w:val="0024341A"/>
    <w:rsid w:val="00243567"/>
    <w:rsid w:val="00243640"/>
    <w:rsid w:val="00243B58"/>
    <w:rsid w:val="00243F1A"/>
    <w:rsid w:val="00243F3B"/>
    <w:rsid w:val="00243FD0"/>
    <w:rsid w:val="00244379"/>
    <w:rsid w:val="00244EA2"/>
    <w:rsid w:val="00245402"/>
    <w:rsid w:val="002455E4"/>
    <w:rsid w:val="00245648"/>
    <w:rsid w:val="002456CA"/>
    <w:rsid w:val="00245A18"/>
    <w:rsid w:val="00245DBC"/>
    <w:rsid w:val="002461E7"/>
    <w:rsid w:val="00246AF3"/>
    <w:rsid w:val="00246B9B"/>
    <w:rsid w:val="0024765B"/>
    <w:rsid w:val="00247780"/>
    <w:rsid w:val="00247B7F"/>
    <w:rsid w:val="00247BD0"/>
    <w:rsid w:val="00247BD8"/>
    <w:rsid w:val="00247CA8"/>
    <w:rsid w:val="00247CAC"/>
    <w:rsid w:val="002500C4"/>
    <w:rsid w:val="002500FF"/>
    <w:rsid w:val="002501D2"/>
    <w:rsid w:val="00250FF2"/>
    <w:rsid w:val="002518B1"/>
    <w:rsid w:val="002521C2"/>
    <w:rsid w:val="002521F2"/>
    <w:rsid w:val="00252581"/>
    <w:rsid w:val="00252AA0"/>
    <w:rsid w:val="00252BCA"/>
    <w:rsid w:val="00253024"/>
    <w:rsid w:val="00253067"/>
    <w:rsid w:val="002533F0"/>
    <w:rsid w:val="002536C9"/>
    <w:rsid w:val="00253D85"/>
    <w:rsid w:val="00253E94"/>
    <w:rsid w:val="002541AA"/>
    <w:rsid w:val="002545EB"/>
    <w:rsid w:val="002548D8"/>
    <w:rsid w:val="00254C25"/>
    <w:rsid w:val="00254D6E"/>
    <w:rsid w:val="0025509D"/>
    <w:rsid w:val="002550C7"/>
    <w:rsid w:val="002554B9"/>
    <w:rsid w:val="0025563B"/>
    <w:rsid w:val="00255652"/>
    <w:rsid w:val="0025590F"/>
    <w:rsid w:val="002560B5"/>
    <w:rsid w:val="00256519"/>
    <w:rsid w:val="0025652F"/>
    <w:rsid w:val="002566BD"/>
    <w:rsid w:val="00256BE6"/>
    <w:rsid w:val="00256DFD"/>
    <w:rsid w:val="002570EB"/>
    <w:rsid w:val="0025734B"/>
    <w:rsid w:val="002576E9"/>
    <w:rsid w:val="002579B2"/>
    <w:rsid w:val="0026020F"/>
    <w:rsid w:val="0026027B"/>
    <w:rsid w:val="00260378"/>
    <w:rsid w:val="002607F9"/>
    <w:rsid w:val="00260C91"/>
    <w:rsid w:val="00261145"/>
    <w:rsid w:val="00261A4B"/>
    <w:rsid w:val="00262100"/>
    <w:rsid w:val="00262196"/>
    <w:rsid w:val="00262BF1"/>
    <w:rsid w:val="00262D8E"/>
    <w:rsid w:val="00262DC9"/>
    <w:rsid w:val="00262DEE"/>
    <w:rsid w:val="00263B6C"/>
    <w:rsid w:val="00263C5E"/>
    <w:rsid w:val="00263EA5"/>
    <w:rsid w:val="0026441A"/>
    <w:rsid w:val="002646C4"/>
    <w:rsid w:val="00264F9E"/>
    <w:rsid w:val="00264FCB"/>
    <w:rsid w:val="00265191"/>
    <w:rsid w:val="002651F1"/>
    <w:rsid w:val="002655CE"/>
    <w:rsid w:val="002656A9"/>
    <w:rsid w:val="00265C41"/>
    <w:rsid w:val="00265C87"/>
    <w:rsid w:val="00265E6D"/>
    <w:rsid w:val="00265ED2"/>
    <w:rsid w:val="002661CE"/>
    <w:rsid w:val="00266233"/>
    <w:rsid w:val="002666A1"/>
    <w:rsid w:val="0026672F"/>
    <w:rsid w:val="002668A1"/>
    <w:rsid w:val="00266969"/>
    <w:rsid w:val="00266A40"/>
    <w:rsid w:val="00266B4D"/>
    <w:rsid w:val="00266E17"/>
    <w:rsid w:val="00267266"/>
    <w:rsid w:val="002673CD"/>
    <w:rsid w:val="00267670"/>
    <w:rsid w:val="002701DB"/>
    <w:rsid w:val="0027041A"/>
    <w:rsid w:val="00270842"/>
    <w:rsid w:val="00270995"/>
    <w:rsid w:val="00271548"/>
    <w:rsid w:val="00271C6C"/>
    <w:rsid w:val="00271FF6"/>
    <w:rsid w:val="002721A1"/>
    <w:rsid w:val="00272243"/>
    <w:rsid w:val="00272256"/>
    <w:rsid w:val="00272335"/>
    <w:rsid w:val="0027243D"/>
    <w:rsid w:val="0027262C"/>
    <w:rsid w:val="00272939"/>
    <w:rsid w:val="00272C45"/>
    <w:rsid w:val="00272F8F"/>
    <w:rsid w:val="00272FDA"/>
    <w:rsid w:val="002733F3"/>
    <w:rsid w:val="00273468"/>
    <w:rsid w:val="002738AF"/>
    <w:rsid w:val="00273BF7"/>
    <w:rsid w:val="00273D0F"/>
    <w:rsid w:val="00273E7E"/>
    <w:rsid w:val="00273EAD"/>
    <w:rsid w:val="00274451"/>
    <w:rsid w:val="002744CC"/>
    <w:rsid w:val="0027450D"/>
    <w:rsid w:val="00274670"/>
    <w:rsid w:val="002748A5"/>
    <w:rsid w:val="00274918"/>
    <w:rsid w:val="002749D2"/>
    <w:rsid w:val="00274A57"/>
    <w:rsid w:val="00274DD7"/>
    <w:rsid w:val="00274EA0"/>
    <w:rsid w:val="00274F0E"/>
    <w:rsid w:val="00274F28"/>
    <w:rsid w:val="0027503A"/>
    <w:rsid w:val="0027551D"/>
    <w:rsid w:val="002755B4"/>
    <w:rsid w:val="0027568B"/>
    <w:rsid w:val="0027588B"/>
    <w:rsid w:val="0027590B"/>
    <w:rsid w:val="00275D99"/>
    <w:rsid w:val="00275F61"/>
    <w:rsid w:val="002760EA"/>
    <w:rsid w:val="00276102"/>
    <w:rsid w:val="002762B3"/>
    <w:rsid w:val="00276518"/>
    <w:rsid w:val="00276771"/>
    <w:rsid w:val="002772EC"/>
    <w:rsid w:val="002774BA"/>
    <w:rsid w:val="002778E0"/>
    <w:rsid w:val="00277902"/>
    <w:rsid w:val="0027790F"/>
    <w:rsid w:val="00277A7B"/>
    <w:rsid w:val="00277D6A"/>
    <w:rsid w:val="00280B60"/>
    <w:rsid w:val="00280BFD"/>
    <w:rsid w:val="00281343"/>
    <w:rsid w:val="00281CF5"/>
    <w:rsid w:val="0028241C"/>
    <w:rsid w:val="0028242D"/>
    <w:rsid w:val="00282FD4"/>
    <w:rsid w:val="00283032"/>
    <w:rsid w:val="0028307B"/>
    <w:rsid w:val="00283140"/>
    <w:rsid w:val="002833C8"/>
    <w:rsid w:val="00283769"/>
    <w:rsid w:val="00283C7D"/>
    <w:rsid w:val="00284305"/>
    <w:rsid w:val="00284767"/>
    <w:rsid w:val="002847EB"/>
    <w:rsid w:val="00284842"/>
    <w:rsid w:val="0028492C"/>
    <w:rsid w:val="00284943"/>
    <w:rsid w:val="00284FBE"/>
    <w:rsid w:val="00284FC1"/>
    <w:rsid w:val="0028536C"/>
    <w:rsid w:val="00285969"/>
    <w:rsid w:val="00285F90"/>
    <w:rsid w:val="002862D6"/>
    <w:rsid w:val="002862F0"/>
    <w:rsid w:val="00286FC6"/>
    <w:rsid w:val="002871FF"/>
    <w:rsid w:val="0028722B"/>
    <w:rsid w:val="002876B8"/>
    <w:rsid w:val="00287731"/>
    <w:rsid w:val="00290CA9"/>
    <w:rsid w:val="00290F8D"/>
    <w:rsid w:val="002911E1"/>
    <w:rsid w:val="00291410"/>
    <w:rsid w:val="002914EE"/>
    <w:rsid w:val="00291FC4"/>
    <w:rsid w:val="002920BF"/>
    <w:rsid w:val="0029219B"/>
    <w:rsid w:val="00292313"/>
    <w:rsid w:val="0029250E"/>
    <w:rsid w:val="00292527"/>
    <w:rsid w:val="002926DF"/>
    <w:rsid w:val="00292894"/>
    <w:rsid w:val="002928F0"/>
    <w:rsid w:val="00292BAC"/>
    <w:rsid w:val="00292FFF"/>
    <w:rsid w:val="0029379B"/>
    <w:rsid w:val="00293B14"/>
    <w:rsid w:val="00293D76"/>
    <w:rsid w:val="0029415C"/>
    <w:rsid w:val="00294563"/>
    <w:rsid w:val="002949AF"/>
    <w:rsid w:val="00294E0D"/>
    <w:rsid w:val="00294E30"/>
    <w:rsid w:val="002951B1"/>
    <w:rsid w:val="00295AAC"/>
    <w:rsid w:val="00295DE3"/>
    <w:rsid w:val="00295FA2"/>
    <w:rsid w:val="00295FD9"/>
    <w:rsid w:val="00296564"/>
    <w:rsid w:val="00296A89"/>
    <w:rsid w:val="00296B3C"/>
    <w:rsid w:val="00296E8C"/>
    <w:rsid w:val="0029742A"/>
    <w:rsid w:val="00297B1C"/>
    <w:rsid w:val="00297B28"/>
    <w:rsid w:val="00297B38"/>
    <w:rsid w:val="00297BCF"/>
    <w:rsid w:val="00297E8B"/>
    <w:rsid w:val="002A00A6"/>
    <w:rsid w:val="002A0502"/>
    <w:rsid w:val="002A0699"/>
    <w:rsid w:val="002A10E4"/>
    <w:rsid w:val="002A13B3"/>
    <w:rsid w:val="002A161B"/>
    <w:rsid w:val="002A174E"/>
    <w:rsid w:val="002A19C6"/>
    <w:rsid w:val="002A1A2B"/>
    <w:rsid w:val="002A1AE8"/>
    <w:rsid w:val="002A1FCF"/>
    <w:rsid w:val="002A2273"/>
    <w:rsid w:val="002A22EB"/>
    <w:rsid w:val="002A25E1"/>
    <w:rsid w:val="002A26AC"/>
    <w:rsid w:val="002A27B7"/>
    <w:rsid w:val="002A2F8C"/>
    <w:rsid w:val="002A30F0"/>
    <w:rsid w:val="002A3338"/>
    <w:rsid w:val="002A33EC"/>
    <w:rsid w:val="002A362A"/>
    <w:rsid w:val="002A36BA"/>
    <w:rsid w:val="002A37BE"/>
    <w:rsid w:val="002A3915"/>
    <w:rsid w:val="002A3ADB"/>
    <w:rsid w:val="002A3B7A"/>
    <w:rsid w:val="002A486B"/>
    <w:rsid w:val="002A48B0"/>
    <w:rsid w:val="002A4EAF"/>
    <w:rsid w:val="002A514C"/>
    <w:rsid w:val="002A555C"/>
    <w:rsid w:val="002A55D6"/>
    <w:rsid w:val="002A5F65"/>
    <w:rsid w:val="002A5F6A"/>
    <w:rsid w:val="002A62E0"/>
    <w:rsid w:val="002A640D"/>
    <w:rsid w:val="002A6444"/>
    <w:rsid w:val="002A64D3"/>
    <w:rsid w:val="002A669A"/>
    <w:rsid w:val="002A66F6"/>
    <w:rsid w:val="002A673E"/>
    <w:rsid w:val="002A6C1E"/>
    <w:rsid w:val="002A6CD3"/>
    <w:rsid w:val="002A6DA4"/>
    <w:rsid w:val="002A6DC6"/>
    <w:rsid w:val="002A7052"/>
    <w:rsid w:val="002A7132"/>
    <w:rsid w:val="002A71A6"/>
    <w:rsid w:val="002A748A"/>
    <w:rsid w:val="002A74EF"/>
    <w:rsid w:val="002A76EA"/>
    <w:rsid w:val="002B01DD"/>
    <w:rsid w:val="002B0207"/>
    <w:rsid w:val="002B02E9"/>
    <w:rsid w:val="002B0564"/>
    <w:rsid w:val="002B08EB"/>
    <w:rsid w:val="002B0934"/>
    <w:rsid w:val="002B09B8"/>
    <w:rsid w:val="002B0C90"/>
    <w:rsid w:val="002B0CE6"/>
    <w:rsid w:val="002B113B"/>
    <w:rsid w:val="002B11B9"/>
    <w:rsid w:val="002B1279"/>
    <w:rsid w:val="002B17C9"/>
    <w:rsid w:val="002B1924"/>
    <w:rsid w:val="002B19CF"/>
    <w:rsid w:val="002B1AC7"/>
    <w:rsid w:val="002B1ACA"/>
    <w:rsid w:val="002B1C4E"/>
    <w:rsid w:val="002B1C9C"/>
    <w:rsid w:val="002B1F58"/>
    <w:rsid w:val="002B23B2"/>
    <w:rsid w:val="002B266C"/>
    <w:rsid w:val="002B26A2"/>
    <w:rsid w:val="002B2770"/>
    <w:rsid w:val="002B27F9"/>
    <w:rsid w:val="002B29A0"/>
    <w:rsid w:val="002B2B31"/>
    <w:rsid w:val="002B2F2B"/>
    <w:rsid w:val="002B3189"/>
    <w:rsid w:val="002B3771"/>
    <w:rsid w:val="002B3829"/>
    <w:rsid w:val="002B3F80"/>
    <w:rsid w:val="002B41DF"/>
    <w:rsid w:val="002B4726"/>
    <w:rsid w:val="002B47F9"/>
    <w:rsid w:val="002B50A4"/>
    <w:rsid w:val="002B5C04"/>
    <w:rsid w:val="002B5D42"/>
    <w:rsid w:val="002B5D6E"/>
    <w:rsid w:val="002B5E33"/>
    <w:rsid w:val="002B6402"/>
    <w:rsid w:val="002B6A45"/>
    <w:rsid w:val="002B6B10"/>
    <w:rsid w:val="002B70F6"/>
    <w:rsid w:val="002B7244"/>
    <w:rsid w:val="002B74C3"/>
    <w:rsid w:val="002B770B"/>
    <w:rsid w:val="002B77A6"/>
    <w:rsid w:val="002C01D7"/>
    <w:rsid w:val="002C0234"/>
    <w:rsid w:val="002C0349"/>
    <w:rsid w:val="002C0365"/>
    <w:rsid w:val="002C0843"/>
    <w:rsid w:val="002C0C84"/>
    <w:rsid w:val="002C0CF7"/>
    <w:rsid w:val="002C0FC8"/>
    <w:rsid w:val="002C10CE"/>
    <w:rsid w:val="002C1175"/>
    <w:rsid w:val="002C1264"/>
    <w:rsid w:val="002C164B"/>
    <w:rsid w:val="002C188E"/>
    <w:rsid w:val="002C1E02"/>
    <w:rsid w:val="002C1FAD"/>
    <w:rsid w:val="002C2055"/>
    <w:rsid w:val="002C2166"/>
    <w:rsid w:val="002C21FC"/>
    <w:rsid w:val="002C22EF"/>
    <w:rsid w:val="002C277E"/>
    <w:rsid w:val="002C2A48"/>
    <w:rsid w:val="002C2D11"/>
    <w:rsid w:val="002C2F5E"/>
    <w:rsid w:val="002C30C1"/>
    <w:rsid w:val="002C37C5"/>
    <w:rsid w:val="002C3A97"/>
    <w:rsid w:val="002C3B74"/>
    <w:rsid w:val="002C3E7E"/>
    <w:rsid w:val="002C4690"/>
    <w:rsid w:val="002C4C49"/>
    <w:rsid w:val="002C4DBE"/>
    <w:rsid w:val="002C51D8"/>
    <w:rsid w:val="002C5239"/>
    <w:rsid w:val="002C5808"/>
    <w:rsid w:val="002C581D"/>
    <w:rsid w:val="002C5BF7"/>
    <w:rsid w:val="002C6310"/>
    <w:rsid w:val="002C6347"/>
    <w:rsid w:val="002C641B"/>
    <w:rsid w:val="002C6D05"/>
    <w:rsid w:val="002C70CD"/>
    <w:rsid w:val="002C70DD"/>
    <w:rsid w:val="002C7422"/>
    <w:rsid w:val="002C7865"/>
    <w:rsid w:val="002C78C3"/>
    <w:rsid w:val="002C7A2E"/>
    <w:rsid w:val="002C7BA4"/>
    <w:rsid w:val="002C7D1C"/>
    <w:rsid w:val="002C7F2F"/>
    <w:rsid w:val="002D044D"/>
    <w:rsid w:val="002D0A59"/>
    <w:rsid w:val="002D0AF4"/>
    <w:rsid w:val="002D0CE0"/>
    <w:rsid w:val="002D0D23"/>
    <w:rsid w:val="002D0FB5"/>
    <w:rsid w:val="002D110F"/>
    <w:rsid w:val="002D1136"/>
    <w:rsid w:val="002D1198"/>
    <w:rsid w:val="002D170D"/>
    <w:rsid w:val="002D1808"/>
    <w:rsid w:val="002D1958"/>
    <w:rsid w:val="002D1D71"/>
    <w:rsid w:val="002D263E"/>
    <w:rsid w:val="002D2AE8"/>
    <w:rsid w:val="002D2D9F"/>
    <w:rsid w:val="002D2E32"/>
    <w:rsid w:val="002D2F12"/>
    <w:rsid w:val="002D32CD"/>
    <w:rsid w:val="002D36F6"/>
    <w:rsid w:val="002D388E"/>
    <w:rsid w:val="002D3CDC"/>
    <w:rsid w:val="002D3EAF"/>
    <w:rsid w:val="002D422C"/>
    <w:rsid w:val="002D4731"/>
    <w:rsid w:val="002D4AFF"/>
    <w:rsid w:val="002D5123"/>
    <w:rsid w:val="002D5277"/>
    <w:rsid w:val="002D57F4"/>
    <w:rsid w:val="002D593A"/>
    <w:rsid w:val="002D59C5"/>
    <w:rsid w:val="002D5BCA"/>
    <w:rsid w:val="002D5C75"/>
    <w:rsid w:val="002D5CE2"/>
    <w:rsid w:val="002D5CF5"/>
    <w:rsid w:val="002D5ED6"/>
    <w:rsid w:val="002D6010"/>
    <w:rsid w:val="002D604A"/>
    <w:rsid w:val="002D6292"/>
    <w:rsid w:val="002D650C"/>
    <w:rsid w:val="002D655D"/>
    <w:rsid w:val="002D6960"/>
    <w:rsid w:val="002D6AE8"/>
    <w:rsid w:val="002D6B64"/>
    <w:rsid w:val="002D6D1E"/>
    <w:rsid w:val="002D7215"/>
    <w:rsid w:val="002D725A"/>
    <w:rsid w:val="002D7509"/>
    <w:rsid w:val="002D7AC2"/>
    <w:rsid w:val="002D7E4F"/>
    <w:rsid w:val="002D7FBF"/>
    <w:rsid w:val="002E038E"/>
    <w:rsid w:val="002E040E"/>
    <w:rsid w:val="002E0438"/>
    <w:rsid w:val="002E091D"/>
    <w:rsid w:val="002E130A"/>
    <w:rsid w:val="002E154A"/>
    <w:rsid w:val="002E19C7"/>
    <w:rsid w:val="002E1B7F"/>
    <w:rsid w:val="002E1CA2"/>
    <w:rsid w:val="002E1EDF"/>
    <w:rsid w:val="002E1F75"/>
    <w:rsid w:val="002E1F77"/>
    <w:rsid w:val="002E21CC"/>
    <w:rsid w:val="002E26B4"/>
    <w:rsid w:val="002E2714"/>
    <w:rsid w:val="002E27A9"/>
    <w:rsid w:val="002E289F"/>
    <w:rsid w:val="002E31EC"/>
    <w:rsid w:val="002E3406"/>
    <w:rsid w:val="002E3738"/>
    <w:rsid w:val="002E389A"/>
    <w:rsid w:val="002E3D23"/>
    <w:rsid w:val="002E402A"/>
    <w:rsid w:val="002E44FA"/>
    <w:rsid w:val="002E454C"/>
    <w:rsid w:val="002E4701"/>
    <w:rsid w:val="002E4741"/>
    <w:rsid w:val="002E498E"/>
    <w:rsid w:val="002E4A31"/>
    <w:rsid w:val="002E4B45"/>
    <w:rsid w:val="002E4F0F"/>
    <w:rsid w:val="002E5B17"/>
    <w:rsid w:val="002E64DB"/>
    <w:rsid w:val="002E6536"/>
    <w:rsid w:val="002E6CC2"/>
    <w:rsid w:val="002E6E39"/>
    <w:rsid w:val="002E6E93"/>
    <w:rsid w:val="002E7515"/>
    <w:rsid w:val="002E7572"/>
    <w:rsid w:val="002E78C3"/>
    <w:rsid w:val="002F06E0"/>
    <w:rsid w:val="002F0A64"/>
    <w:rsid w:val="002F0EDA"/>
    <w:rsid w:val="002F0EDE"/>
    <w:rsid w:val="002F1724"/>
    <w:rsid w:val="002F1C12"/>
    <w:rsid w:val="002F1E6D"/>
    <w:rsid w:val="002F1F40"/>
    <w:rsid w:val="002F208E"/>
    <w:rsid w:val="002F2471"/>
    <w:rsid w:val="002F2B57"/>
    <w:rsid w:val="002F2B6D"/>
    <w:rsid w:val="002F2D24"/>
    <w:rsid w:val="002F32C3"/>
    <w:rsid w:val="002F3408"/>
    <w:rsid w:val="002F3514"/>
    <w:rsid w:val="002F3742"/>
    <w:rsid w:val="002F3E6D"/>
    <w:rsid w:val="002F3E94"/>
    <w:rsid w:val="002F3FDF"/>
    <w:rsid w:val="002F4016"/>
    <w:rsid w:val="002F413D"/>
    <w:rsid w:val="002F42B3"/>
    <w:rsid w:val="002F46D6"/>
    <w:rsid w:val="002F4952"/>
    <w:rsid w:val="002F4E54"/>
    <w:rsid w:val="002F4E59"/>
    <w:rsid w:val="002F4E9A"/>
    <w:rsid w:val="002F50CD"/>
    <w:rsid w:val="002F52A3"/>
    <w:rsid w:val="002F5394"/>
    <w:rsid w:val="002F561E"/>
    <w:rsid w:val="002F5E77"/>
    <w:rsid w:val="002F6086"/>
    <w:rsid w:val="002F60BE"/>
    <w:rsid w:val="002F6136"/>
    <w:rsid w:val="002F617F"/>
    <w:rsid w:val="002F65D2"/>
    <w:rsid w:val="002F65FE"/>
    <w:rsid w:val="002F6643"/>
    <w:rsid w:val="002F6731"/>
    <w:rsid w:val="002F6BA4"/>
    <w:rsid w:val="002F7072"/>
    <w:rsid w:val="002F7083"/>
    <w:rsid w:val="002F72BF"/>
    <w:rsid w:val="002F772B"/>
    <w:rsid w:val="002F78E0"/>
    <w:rsid w:val="002F79C8"/>
    <w:rsid w:val="002F7A15"/>
    <w:rsid w:val="002F7A9A"/>
    <w:rsid w:val="002F7C39"/>
    <w:rsid w:val="00300109"/>
    <w:rsid w:val="0030012C"/>
    <w:rsid w:val="003004D4"/>
    <w:rsid w:val="0030053A"/>
    <w:rsid w:val="003006D1"/>
    <w:rsid w:val="003006F6"/>
    <w:rsid w:val="00300785"/>
    <w:rsid w:val="00300849"/>
    <w:rsid w:val="003009F9"/>
    <w:rsid w:val="00300C32"/>
    <w:rsid w:val="00300F9B"/>
    <w:rsid w:val="00301043"/>
    <w:rsid w:val="003011E2"/>
    <w:rsid w:val="003013BE"/>
    <w:rsid w:val="003014E6"/>
    <w:rsid w:val="003015E1"/>
    <w:rsid w:val="00301755"/>
    <w:rsid w:val="0030188C"/>
    <w:rsid w:val="003018C8"/>
    <w:rsid w:val="003019FF"/>
    <w:rsid w:val="00301DE9"/>
    <w:rsid w:val="00302C8B"/>
    <w:rsid w:val="00303013"/>
    <w:rsid w:val="003031BA"/>
    <w:rsid w:val="003036F2"/>
    <w:rsid w:val="003039E9"/>
    <w:rsid w:val="00303BEC"/>
    <w:rsid w:val="00303DC2"/>
    <w:rsid w:val="00303EF0"/>
    <w:rsid w:val="003046DA"/>
    <w:rsid w:val="00304B36"/>
    <w:rsid w:val="00305362"/>
    <w:rsid w:val="00305535"/>
    <w:rsid w:val="00305688"/>
    <w:rsid w:val="003057DB"/>
    <w:rsid w:val="0030580C"/>
    <w:rsid w:val="003058F6"/>
    <w:rsid w:val="00305B3C"/>
    <w:rsid w:val="00306125"/>
    <w:rsid w:val="003061D9"/>
    <w:rsid w:val="0030665E"/>
    <w:rsid w:val="00306878"/>
    <w:rsid w:val="00306894"/>
    <w:rsid w:val="00306923"/>
    <w:rsid w:val="00306974"/>
    <w:rsid w:val="00306B78"/>
    <w:rsid w:val="00306CE3"/>
    <w:rsid w:val="003070FB"/>
    <w:rsid w:val="003071B8"/>
    <w:rsid w:val="003072DB"/>
    <w:rsid w:val="00307719"/>
    <w:rsid w:val="00307AF1"/>
    <w:rsid w:val="00307C21"/>
    <w:rsid w:val="00307D4B"/>
    <w:rsid w:val="00307EB6"/>
    <w:rsid w:val="00310199"/>
    <w:rsid w:val="003101FA"/>
    <w:rsid w:val="00310293"/>
    <w:rsid w:val="003108AB"/>
    <w:rsid w:val="0031090C"/>
    <w:rsid w:val="00310999"/>
    <w:rsid w:val="00310B5B"/>
    <w:rsid w:val="0031135A"/>
    <w:rsid w:val="0031143A"/>
    <w:rsid w:val="0031175F"/>
    <w:rsid w:val="00311786"/>
    <w:rsid w:val="00311DCF"/>
    <w:rsid w:val="00311ED6"/>
    <w:rsid w:val="00311FDC"/>
    <w:rsid w:val="003122B2"/>
    <w:rsid w:val="003122F4"/>
    <w:rsid w:val="003129CF"/>
    <w:rsid w:val="00312BF0"/>
    <w:rsid w:val="00312E53"/>
    <w:rsid w:val="003130A7"/>
    <w:rsid w:val="0031337D"/>
    <w:rsid w:val="0031341C"/>
    <w:rsid w:val="003134DF"/>
    <w:rsid w:val="003134EB"/>
    <w:rsid w:val="003139C1"/>
    <w:rsid w:val="00313C6C"/>
    <w:rsid w:val="00313D9F"/>
    <w:rsid w:val="003142AC"/>
    <w:rsid w:val="00314399"/>
    <w:rsid w:val="003143B5"/>
    <w:rsid w:val="003143EA"/>
    <w:rsid w:val="00314447"/>
    <w:rsid w:val="00314629"/>
    <w:rsid w:val="00314730"/>
    <w:rsid w:val="003147CB"/>
    <w:rsid w:val="00314832"/>
    <w:rsid w:val="0031510D"/>
    <w:rsid w:val="003152C0"/>
    <w:rsid w:val="00315675"/>
    <w:rsid w:val="0031568F"/>
    <w:rsid w:val="00315803"/>
    <w:rsid w:val="0031580C"/>
    <w:rsid w:val="003159A9"/>
    <w:rsid w:val="003159EB"/>
    <w:rsid w:val="00315D26"/>
    <w:rsid w:val="00315E18"/>
    <w:rsid w:val="00315F66"/>
    <w:rsid w:val="00316199"/>
    <w:rsid w:val="003166D3"/>
    <w:rsid w:val="003166EB"/>
    <w:rsid w:val="00316AFC"/>
    <w:rsid w:val="00316B8A"/>
    <w:rsid w:val="00316E99"/>
    <w:rsid w:val="00317806"/>
    <w:rsid w:val="00317C90"/>
    <w:rsid w:val="003200F0"/>
    <w:rsid w:val="00320582"/>
    <w:rsid w:val="00320DC1"/>
    <w:rsid w:val="003210E9"/>
    <w:rsid w:val="00321145"/>
    <w:rsid w:val="003216EE"/>
    <w:rsid w:val="00321DF8"/>
    <w:rsid w:val="00322924"/>
    <w:rsid w:val="003229F0"/>
    <w:rsid w:val="003229F5"/>
    <w:rsid w:val="00322AE2"/>
    <w:rsid w:val="00322B69"/>
    <w:rsid w:val="00322F27"/>
    <w:rsid w:val="00323039"/>
    <w:rsid w:val="00323927"/>
    <w:rsid w:val="00323B5F"/>
    <w:rsid w:val="00323CDC"/>
    <w:rsid w:val="00324023"/>
    <w:rsid w:val="00324064"/>
    <w:rsid w:val="003243F8"/>
    <w:rsid w:val="0032444A"/>
    <w:rsid w:val="00325174"/>
    <w:rsid w:val="003257C7"/>
    <w:rsid w:val="0032599A"/>
    <w:rsid w:val="00325CF3"/>
    <w:rsid w:val="003260CA"/>
    <w:rsid w:val="00326176"/>
    <w:rsid w:val="00326535"/>
    <w:rsid w:val="003268D5"/>
    <w:rsid w:val="00326E31"/>
    <w:rsid w:val="00327157"/>
    <w:rsid w:val="00327213"/>
    <w:rsid w:val="0032753A"/>
    <w:rsid w:val="00327658"/>
    <w:rsid w:val="00327A6A"/>
    <w:rsid w:val="00327AB3"/>
    <w:rsid w:val="00327C9C"/>
    <w:rsid w:val="00327E23"/>
    <w:rsid w:val="00327EB0"/>
    <w:rsid w:val="0033042E"/>
    <w:rsid w:val="0033080F"/>
    <w:rsid w:val="00330AC7"/>
    <w:rsid w:val="00330BF3"/>
    <w:rsid w:val="00331285"/>
    <w:rsid w:val="00331386"/>
    <w:rsid w:val="003313A3"/>
    <w:rsid w:val="003314C7"/>
    <w:rsid w:val="00331697"/>
    <w:rsid w:val="00331B57"/>
    <w:rsid w:val="00331C72"/>
    <w:rsid w:val="00331DD5"/>
    <w:rsid w:val="00332093"/>
    <w:rsid w:val="003326DC"/>
    <w:rsid w:val="00332727"/>
    <w:rsid w:val="00332B37"/>
    <w:rsid w:val="00332BC5"/>
    <w:rsid w:val="00332C76"/>
    <w:rsid w:val="00332D06"/>
    <w:rsid w:val="00332DCB"/>
    <w:rsid w:val="00332F9F"/>
    <w:rsid w:val="003331E3"/>
    <w:rsid w:val="003334C1"/>
    <w:rsid w:val="003338AC"/>
    <w:rsid w:val="00333960"/>
    <w:rsid w:val="003339C1"/>
    <w:rsid w:val="00333B2D"/>
    <w:rsid w:val="00334071"/>
    <w:rsid w:val="003341AA"/>
    <w:rsid w:val="0033437F"/>
    <w:rsid w:val="003343BE"/>
    <w:rsid w:val="00334A1E"/>
    <w:rsid w:val="00334FC1"/>
    <w:rsid w:val="00334FC2"/>
    <w:rsid w:val="00335646"/>
    <w:rsid w:val="00335A6E"/>
    <w:rsid w:val="00335C9D"/>
    <w:rsid w:val="00335EE8"/>
    <w:rsid w:val="00335FF2"/>
    <w:rsid w:val="00336812"/>
    <w:rsid w:val="00336899"/>
    <w:rsid w:val="00336B17"/>
    <w:rsid w:val="00336CC8"/>
    <w:rsid w:val="00336CE3"/>
    <w:rsid w:val="00336EAF"/>
    <w:rsid w:val="00337049"/>
    <w:rsid w:val="0033738E"/>
    <w:rsid w:val="00337930"/>
    <w:rsid w:val="00337E16"/>
    <w:rsid w:val="0034017F"/>
    <w:rsid w:val="0034027F"/>
    <w:rsid w:val="003402A8"/>
    <w:rsid w:val="003403A7"/>
    <w:rsid w:val="003405C0"/>
    <w:rsid w:val="00340647"/>
    <w:rsid w:val="003406DA"/>
    <w:rsid w:val="00340EFE"/>
    <w:rsid w:val="00341103"/>
    <w:rsid w:val="003414A7"/>
    <w:rsid w:val="00341563"/>
    <w:rsid w:val="00341B62"/>
    <w:rsid w:val="00341F9C"/>
    <w:rsid w:val="0034218F"/>
    <w:rsid w:val="00342387"/>
    <w:rsid w:val="003424AD"/>
    <w:rsid w:val="0034254F"/>
    <w:rsid w:val="003425E9"/>
    <w:rsid w:val="0034297F"/>
    <w:rsid w:val="00342AE9"/>
    <w:rsid w:val="00342DFE"/>
    <w:rsid w:val="0034395C"/>
    <w:rsid w:val="00343AB6"/>
    <w:rsid w:val="00343D9E"/>
    <w:rsid w:val="00343DB8"/>
    <w:rsid w:val="00343E34"/>
    <w:rsid w:val="00343E50"/>
    <w:rsid w:val="00344054"/>
    <w:rsid w:val="0034461F"/>
    <w:rsid w:val="003447B4"/>
    <w:rsid w:val="003447E5"/>
    <w:rsid w:val="00344806"/>
    <w:rsid w:val="003448F6"/>
    <w:rsid w:val="00344929"/>
    <w:rsid w:val="00344C18"/>
    <w:rsid w:val="00344C67"/>
    <w:rsid w:val="00344C92"/>
    <w:rsid w:val="00344D84"/>
    <w:rsid w:val="003450F6"/>
    <w:rsid w:val="003455C8"/>
    <w:rsid w:val="00345687"/>
    <w:rsid w:val="00345755"/>
    <w:rsid w:val="00346006"/>
    <w:rsid w:val="00346156"/>
    <w:rsid w:val="003463D8"/>
    <w:rsid w:val="003464D0"/>
    <w:rsid w:val="003466CC"/>
    <w:rsid w:val="003466F9"/>
    <w:rsid w:val="003469D0"/>
    <w:rsid w:val="00346C89"/>
    <w:rsid w:val="00347449"/>
    <w:rsid w:val="003475FA"/>
    <w:rsid w:val="003476E9"/>
    <w:rsid w:val="003478DA"/>
    <w:rsid w:val="00347E11"/>
    <w:rsid w:val="00350081"/>
    <w:rsid w:val="0035009F"/>
    <w:rsid w:val="0035042D"/>
    <w:rsid w:val="00350514"/>
    <w:rsid w:val="00350759"/>
    <w:rsid w:val="00350B50"/>
    <w:rsid w:val="00350BD9"/>
    <w:rsid w:val="00350CA1"/>
    <w:rsid w:val="00350D4C"/>
    <w:rsid w:val="00350DB8"/>
    <w:rsid w:val="00350ED4"/>
    <w:rsid w:val="003514F1"/>
    <w:rsid w:val="00351723"/>
    <w:rsid w:val="003517B9"/>
    <w:rsid w:val="00351A2D"/>
    <w:rsid w:val="00351F4A"/>
    <w:rsid w:val="003522CB"/>
    <w:rsid w:val="0035237D"/>
    <w:rsid w:val="0035252F"/>
    <w:rsid w:val="003525B8"/>
    <w:rsid w:val="003525E3"/>
    <w:rsid w:val="003527C0"/>
    <w:rsid w:val="00352CC8"/>
    <w:rsid w:val="003530DE"/>
    <w:rsid w:val="0035317A"/>
    <w:rsid w:val="0035357E"/>
    <w:rsid w:val="00353767"/>
    <w:rsid w:val="003538B4"/>
    <w:rsid w:val="00353B02"/>
    <w:rsid w:val="00353C51"/>
    <w:rsid w:val="00353CAE"/>
    <w:rsid w:val="00354080"/>
    <w:rsid w:val="00354092"/>
    <w:rsid w:val="003540A2"/>
    <w:rsid w:val="003545C6"/>
    <w:rsid w:val="00354B3F"/>
    <w:rsid w:val="00354C3D"/>
    <w:rsid w:val="00354D27"/>
    <w:rsid w:val="00354DCE"/>
    <w:rsid w:val="00354E46"/>
    <w:rsid w:val="00354FA1"/>
    <w:rsid w:val="0035500F"/>
    <w:rsid w:val="0035524F"/>
    <w:rsid w:val="00355299"/>
    <w:rsid w:val="003555AB"/>
    <w:rsid w:val="00356008"/>
    <w:rsid w:val="00356188"/>
    <w:rsid w:val="00356349"/>
    <w:rsid w:val="00356888"/>
    <w:rsid w:val="00356A8C"/>
    <w:rsid w:val="00357204"/>
    <w:rsid w:val="003572B0"/>
    <w:rsid w:val="003572FE"/>
    <w:rsid w:val="00357335"/>
    <w:rsid w:val="0035734D"/>
    <w:rsid w:val="0035738A"/>
    <w:rsid w:val="003575E7"/>
    <w:rsid w:val="0035782C"/>
    <w:rsid w:val="0035791B"/>
    <w:rsid w:val="00357945"/>
    <w:rsid w:val="00357BB4"/>
    <w:rsid w:val="00357E23"/>
    <w:rsid w:val="003600A9"/>
    <w:rsid w:val="0036027C"/>
    <w:rsid w:val="00360D6D"/>
    <w:rsid w:val="00360F77"/>
    <w:rsid w:val="00361B10"/>
    <w:rsid w:val="00361BF3"/>
    <w:rsid w:val="00361C72"/>
    <w:rsid w:val="00361EB5"/>
    <w:rsid w:val="00362263"/>
    <w:rsid w:val="003623BF"/>
    <w:rsid w:val="0036269B"/>
    <w:rsid w:val="00362CB8"/>
    <w:rsid w:val="00362CD9"/>
    <w:rsid w:val="00362CDA"/>
    <w:rsid w:val="00362E8B"/>
    <w:rsid w:val="00363A2D"/>
    <w:rsid w:val="00363A32"/>
    <w:rsid w:val="00363BC7"/>
    <w:rsid w:val="00363BD1"/>
    <w:rsid w:val="00363E06"/>
    <w:rsid w:val="00364815"/>
    <w:rsid w:val="00364F4C"/>
    <w:rsid w:val="00365145"/>
    <w:rsid w:val="00365218"/>
    <w:rsid w:val="003659D2"/>
    <w:rsid w:val="00365A16"/>
    <w:rsid w:val="003661C9"/>
    <w:rsid w:val="0036646F"/>
    <w:rsid w:val="00366490"/>
    <w:rsid w:val="00366569"/>
    <w:rsid w:val="00366630"/>
    <w:rsid w:val="00367A22"/>
    <w:rsid w:val="00367B5D"/>
    <w:rsid w:val="003702EE"/>
    <w:rsid w:val="003704FC"/>
    <w:rsid w:val="0037057B"/>
    <w:rsid w:val="00370719"/>
    <w:rsid w:val="003707BF"/>
    <w:rsid w:val="00370AB5"/>
    <w:rsid w:val="00370AFD"/>
    <w:rsid w:val="00370C7B"/>
    <w:rsid w:val="0037116B"/>
    <w:rsid w:val="0037175F"/>
    <w:rsid w:val="00371966"/>
    <w:rsid w:val="00371D50"/>
    <w:rsid w:val="00371DB2"/>
    <w:rsid w:val="00372105"/>
    <w:rsid w:val="003729CF"/>
    <w:rsid w:val="00372AD9"/>
    <w:rsid w:val="00372B69"/>
    <w:rsid w:val="00372B74"/>
    <w:rsid w:val="00372D18"/>
    <w:rsid w:val="00372EB9"/>
    <w:rsid w:val="003733D4"/>
    <w:rsid w:val="00373967"/>
    <w:rsid w:val="00373BA0"/>
    <w:rsid w:val="003740E0"/>
    <w:rsid w:val="003745D5"/>
    <w:rsid w:val="00374D49"/>
    <w:rsid w:val="00374E54"/>
    <w:rsid w:val="003752B7"/>
    <w:rsid w:val="00376025"/>
    <w:rsid w:val="00376113"/>
    <w:rsid w:val="003763F7"/>
    <w:rsid w:val="003766D2"/>
    <w:rsid w:val="00376A31"/>
    <w:rsid w:val="00376C0E"/>
    <w:rsid w:val="00376D07"/>
    <w:rsid w:val="00376E8E"/>
    <w:rsid w:val="00376EC9"/>
    <w:rsid w:val="00377365"/>
    <w:rsid w:val="00377531"/>
    <w:rsid w:val="0037760D"/>
    <w:rsid w:val="00377B8D"/>
    <w:rsid w:val="00377D15"/>
    <w:rsid w:val="00377E24"/>
    <w:rsid w:val="003804AF"/>
    <w:rsid w:val="003804F2"/>
    <w:rsid w:val="003806AA"/>
    <w:rsid w:val="003807AE"/>
    <w:rsid w:val="003807B4"/>
    <w:rsid w:val="00380B15"/>
    <w:rsid w:val="00380C47"/>
    <w:rsid w:val="00380D25"/>
    <w:rsid w:val="00381088"/>
    <w:rsid w:val="00381593"/>
    <w:rsid w:val="003817EF"/>
    <w:rsid w:val="00381859"/>
    <w:rsid w:val="00381A91"/>
    <w:rsid w:val="00381DA9"/>
    <w:rsid w:val="00381DD2"/>
    <w:rsid w:val="00381FF2"/>
    <w:rsid w:val="0038210D"/>
    <w:rsid w:val="00382129"/>
    <w:rsid w:val="0038244C"/>
    <w:rsid w:val="0038248C"/>
    <w:rsid w:val="00383128"/>
    <w:rsid w:val="00383242"/>
    <w:rsid w:val="00383620"/>
    <w:rsid w:val="00383871"/>
    <w:rsid w:val="00384160"/>
    <w:rsid w:val="0038426C"/>
    <w:rsid w:val="0038451B"/>
    <w:rsid w:val="00384B96"/>
    <w:rsid w:val="00384E3F"/>
    <w:rsid w:val="00384EBE"/>
    <w:rsid w:val="003854F0"/>
    <w:rsid w:val="0038555A"/>
    <w:rsid w:val="003858A6"/>
    <w:rsid w:val="003859EF"/>
    <w:rsid w:val="00386B7E"/>
    <w:rsid w:val="00386BFA"/>
    <w:rsid w:val="00386D0C"/>
    <w:rsid w:val="00386D93"/>
    <w:rsid w:val="003870CB"/>
    <w:rsid w:val="003872E8"/>
    <w:rsid w:val="003873D2"/>
    <w:rsid w:val="00387546"/>
    <w:rsid w:val="00387692"/>
    <w:rsid w:val="0038770E"/>
    <w:rsid w:val="003878B0"/>
    <w:rsid w:val="00387D37"/>
    <w:rsid w:val="00387F6C"/>
    <w:rsid w:val="00390229"/>
    <w:rsid w:val="00390C09"/>
    <w:rsid w:val="00390C0B"/>
    <w:rsid w:val="00390CD7"/>
    <w:rsid w:val="00391383"/>
    <w:rsid w:val="00391809"/>
    <w:rsid w:val="00391AA5"/>
    <w:rsid w:val="00391E72"/>
    <w:rsid w:val="00391EE3"/>
    <w:rsid w:val="00392AAE"/>
    <w:rsid w:val="00392B65"/>
    <w:rsid w:val="00392D47"/>
    <w:rsid w:val="00392DCC"/>
    <w:rsid w:val="00392DD8"/>
    <w:rsid w:val="0039339D"/>
    <w:rsid w:val="00393831"/>
    <w:rsid w:val="003938B2"/>
    <w:rsid w:val="00393A80"/>
    <w:rsid w:val="00393AC4"/>
    <w:rsid w:val="00393B15"/>
    <w:rsid w:val="00393EB0"/>
    <w:rsid w:val="00394A01"/>
    <w:rsid w:val="00394A09"/>
    <w:rsid w:val="00394A23"/>
    <w:rsid w:val="00394C51"/>
    <w:rsid w:val="00394C5B"/>
    <w:rsid w:val="00395424"/>
    <w:rsid w:val="00395A47"/>
    <w:rsid w:val="0039601B"/>
    <w:rsid w:val="00396290"/>
    <w:rsid w:val="003963BB"/>
    <w:rsid w:val="003965FB"/>
    <w:rsid w:val="00396638"/>
    <w:rsid w:val="0039674A"/>
    <w:rsid w:val="003971BC"/>
    <w:rsid w:val="0039730D"/>
    <w:rsid w:val="0039784F"/>
    <w:rsid w:val="0039795A"/>
    <w:rsid w:val="00397A7C"/>
    <w:rsid w:val="00397EE3"/>
    <w:rsid w:val="003A00ED"/>
    <w:rsid w:val="003A0148"/>
    <w:rsid w:val="003A0318"/>
    <w:rsid w:val="003A0800"/>
    <w:rsid w:val="003A0A5F"/>
    <w:rsid w:val="003A130E"/>
    <w:rsid w:val="003A1431"/>
    <w:rsid w:val="003A1491"/>
    <w:rsid w:val="003A157F"/>
    <w:rsid w:val="003A1699"/>
    <w:rsid w:val="003A183C"/>
    <w:rsid w:val="003A1B1F"/>
    <w:rsid w:val="003A1B7A"/>
    <w:rsid w:val="003A1F24"/>
    <w:rsid w:val="003A2142"/>
    <w:rsid w:val="003A2196"/>
    <w:rsid w:val="003A21AA"/>
    <w:rsid w:val="003A23A5"/>
    <w:rsid w:val="003A23F2"/>
    <w:rsid w:val="003A27BE"/>
    <w:rsid w:val="003A2BFD"/>
    <w:rsid w:val="003A314F"/>
    <w:rsid w:val="003A334A"/>
    <w:rsid w:val="003A393A"/>
    <w:rsid w:val="003A39AE"/>
    <w:rsid w:val="003A3B3B"/>
    <w:rsid w:val="003A3BB3"/>
    <w:rsid w:val="003A3C10"/>
    <w:rsid w:val="003A41B6"/>
    <w:rsid w:val="003A4321"/>
    <w:rsid w:val="003A49FB"/>
    <w:rsid w:val="003A4F24"/>
    <w:rsid w:val="003A4FA3"/>
    <w:rsid w:val="003A54F4"/>
    <w:rsid w:val="003A556C"/>
    <w:rsid w:val="003A576E"/>
    <w:rsid w:val="003A5ACA"/>
    <w:rsid w:val="003A5B36"/>
    <w:rsid w:val="003A5FA3"/>
    <w:rsid w:val="003A60CA"/>
    <w:rsid w:val="003A6881"/>
    <w:rsid w:val="003A6C2B"/>
    <w:rsid w:val="003A6DB5"/>
    <w:rsid w:val="003A6F07"/>
    <w:rsid w:val="003A737C"/>
    <w:rsid w:val="003A7837"/>
    <w:rsid w:val="003A7908"/>
    <w:rsid w:val="003A7B29"/>
    <w:rsid w:val="003A7B74"/>
    <w:rsid w:val="003A7F79"/>
    <w:rsid w:val="003B03CB"/>
    <w:rsid w:val="003B060C"/>
    <w:rsid w:val="003B06F4"/>
    <w:rsid w:val="003B083E"/>
    <w:rsid w:val="003B11A1"/>
    <w:rsid w:val="003B12DD"/>
    <w:rsid w:val="003B17E6"/>
    <w:rsid w:val="003B1F76"/>
    <w:rsid w:val="003B2161"/>
    <w:rsid w:val="003B21BB"/>
    <w:rsid w:val="003B2290"/>
    <w:rsid w:val="003B245D"/>
    <w:rsid w:val="003B24AF"/>
    <w:rsid w:val="003B284D"/>
    <w:rsid w:val="003B2D04"/>
    <w:rsid w:val="003B2D38"/>
    <w:rsid w:val="003B3221"/>
    <w:rsid w:val="003B3432"/>
    <w:rsid w:val="003B3543"/>
    <w:rsid w:val="003B3550"/>
    <w:rsid w:val="003B3E42"/>
    <w:rsid w:val="003B42C1"/>
    <w:rsid w:val="003B463D"/>
    <w:rsid w:val="003B46D0"/>
    <w:rsid w:val="003B475A"/>
    <w:rsid w:val="003B4962"/>
    <w:rsid w:val="003B4AAF"/>
    <w:rsid w:val="003B4D27"/>
    <w:rsid w:val="003B4E59"/>
    <w:rsid w:val="003B6210"/>
    <w:rsid w:val="003B63B0"/>
    <w:rsid w:val="003B6425"/>
    <w:rsid w:val="003B6A0C"/>
    <w:rsid w:val="003B6F90"/>
    <w:rsid w:val="003B70C9"/>
    <w:rsid w:val="003B710B"/>
    <w:rsid w:val="003B72A0"/>
    <w:rsid w:val="003B738A"/>
    <w:rsid w:val="003B7505"/>
    <w:rsid w:val="003B78AB"/>
    <w:rsid w:val="003B79F2"/>
    <w:rsid w:val="003C0203"/>
    <w:rsid w:val="003C074A"/>
    <w:rsid w:val="003C088A"/>
    <w:rsid w:val="003C090A"/>
    <w:rsid w:val="003C0922"/>
    <w:rsid w:val="003C0A5A"/>
    <w:rsid w:val="003C0AE6"/>
    <w:rsid w:val="003C0BB9"/>
    <w:rsid w:val="003C13B2"/>
    <w:rsid w:val="003C1442"/>
    <w:rsid w:val="003C1659"/>
    <w:rsid w:val="003C168B"/>
    <w:rsid w:val="003C16DC"/>
    <w:rsid w:val="003C1A6D"/>
    <w:rsid w:val="003C1B0E"/>
    <w:rsid w:val="003C1E2C"/>
    <w:rsid w:val="003C210B"/>
    <w:rsid w:val="003C24B4"/>
    <w:rsid w:val="003C24E9"/>
    <w:rsid w:val="003C25A3"/>
    <w:rsid w:val="003C2FCD"/>
    <w:rsid w:val="003C3015"/>
    <w:rsid w:val="003C3252"/>
    <w:rsid w:val="003C36D4"/>
    <w:rsid w:val="003C3A0B"/>
    <w:rsid w:val="003C3ACE"/>
    <w:rsid w:val="003C3C09"/>
    <w:rsid w:val="003C3DEA"/>
    <w:rsid w:val="003C3DEE"/>
    <w:rsid w:val="003C3E58"/>
    <w:rsid w:val="003C3EC0"/>
    <w:rsid w:val="003C4016"/>
    <w:rsid w:val="003C4124"/>
    <w:rsid w:val="003C4501"/>
    <w:rsid w:val="003C4678"/>
    <w:rsid w:val="003C4773"/>
    <w:rsid w:val="003C4E8F"/>
    <w:rsid w:val="003C515B"/>
    <w:rsid w:val="003C538D"/>
    <w:rsid w:val="003C545E"/>
    <w:rsid w:val="003C58C4"/>
    <w:rsid w:val="003C590F"/>
    <w:rsid w:val="003C5941"/>
    <w:rsid w:val="003C6005"/>
    <w:rsid w:val="003C6057"/>
    <w:rsid w:val="003C6402"/>
    <w:rsid w:val="003C6478"/>
    <w:rsid w:val="003C6573"/>
    <w:rsid w:val="003C658A"/>
    <w:rsid w:val="003C747D"/>
    <w:rsid w:val="003C776B"/>
    <w:rsid w:val="003C7FC4"/>
    <w:rsid w:val="003D005B"/>
    <w:rsid w:val="003D1006"/>
    <w:rsid w:val="003D1128"/>
    <w:rsid w:val="003D1790"/>
    <w:rsid w:val="003D1DC1"/>
    <w:rsid w:val="003D2711"/>
    <w:rsid w:val="003D2ACC"/>
    <w:rsid w:val="003D2E3A"/>
    <w:rsid w:val="003D2ED1"/>
    <w:rsid w:val="003D3536"/>
    <w:rsid w:val="003D3538"/>
    <w:rsid w:val="003D3610"/>
    <w:rsid w:val="003D3FD2"/>
    <w:rsid w:val="003D425E"/>
    <w:rsid w:val="003D432C"/>
    <w:rsid w:val="003D433E"/>
    <w:rsid w:val="003D4863"/>
    <w:rsid w:val="003D506A"/>
    <w:rsid w:val="003D54DC"/>
    <w:rsid w:val="003D55BE"/>
    <w:rsid w:val="003D62A1"/>
    <w:rsid w:val="003D645D"/>
    <w:rsid w:val="003D6616"/>
    <w:rsid w:val="003D6C2A"/>
    <w:rsid w:val="003D7063"/>
    <w:rsid w:val="003D72A1"/>
    <w:rsid w:val="003D735A"/>
    <w:rsid w:val="003D7927"/>
    <w:rsid w:val="003D7A44"/>
    <w:rsid w:val="003D7DCB"/>
    <w:rsid w:val="003D7EA0"/>
    <w:rsid w:val="003D7F9F"/>
    <w:rsid w:val="003E0869"/>
    <w:rsid w:val="003E0DC6"/>
    <w:rsid w:val="003E112F"/>
    <w:rsid w:val="003E14EA"/>
    <w:rsid w:val="003E1647"/>
    <w:rsid w:val="003E1A53"/>
    <w:rsid w:val="003E1D86"/>
    <w:rsid w:val="003E20D6"/>
    <w:rsid w:val="003E2312"/>
    <w:rsid w:val="003E2DC6"/>
    <w:rsid w:val="003E2F1B"/>
    <w:rsid w:val="003E3138"/>
    <w:rsid w:val="003E3383"/>
    <w:rsid w:val="003E3D36"/>
    <w:rsid w:val="003E460E"/>
    <w:rsid w:val="003E4B78"/>
    <w:rsid w:val="003E4D87"/>
    <w:rsid w:val="003E4E97"/>
    <w:rsid w:val="003E5026"/>
    <w:rsid w:val="003E5035"/>
    <w:rsid w:val="003E5099"/>
    <w:rsid w:val="003E5505"/>
    <w:rsid w:val="003E57ED"/>
    <w:rsid w:val="003E58FA"/>
    <w:rsid w:val="003E5956"/>
    <w:rsid w:val="003E5D14"/>
    <w:rsid w:val="003E5D20"/>
    <w:rsid w:val="003E6482"/>
    <w:rsid w:val="003E664D"/>
    <w:rsid w:val="003E6734"/>
    <w:rsid w:val="003E6775"/>
    <w:rsid w:val="003E7994"/>
    <w:rsid w:val="003E79F1"/>
    <w:rsid w:val="003F0099"/>
    <w:rsid w:val="003F04B8"/>
    <w:rsid w:val="003F05B1"/>
    <w:rsid w:val="003F09D4"/>
    <w:rsid w:val="003F0B17"/>
    <w:rsid w:val="003F0DA8"/>
    <w:rsid w:val="003F0E80"/>
    <w:rsid w:val="003F10DF"/>
    <w:rsid w:val="003F1211"/>
    <w:rsid w:val="003F1221"/>
    <w:rsid w:val="003F1DA2"/>
    <w:rsid w:val="003F1E39"/>
    <w:rsid w:val="003F2C66"/>
    <w:rsid w:val="003F2D04"/>
    <w:rsid w:val="003F312F"/>
    <w:rsid w:val="003F3394"/>
    <w:rsid w:val="003F3A87"/>
    <w:rsid w:val="003F3B6E"/>
    <w:rsid w:val="003F3BB5"/>
    <w:rsid w:val="003F3BE7"/>
    <w:rsid w:val="003F402A"/>
    <w:rsid w:val="003F439C"/>
    <w:rsid w:val="003F43A4"/>
    <w:rsid w:val="003F44E4"/>
    <w:rsid w:val="003F47FD"/>
    <w:rsid w:val="003F48A1"/>
    <w:rsid w:val="003F490A"/>
    <w:rsid w:val="003F49C7"/>
    <w:rsid w:val="003F4FC5"/>
    <w:rsid w:val="003F51E2"/>
    <w:rsid w:val="003F53A5"/>
    <w:rsid w:val="003F53C2"/>
    <w:rsid w:val="003F54D3"/>
    <w:rsid w:val="003F559D"/>
    <w:rsid w:val="003F55B8"/>
    <w:rsid w:val="003F58DE"/>
    <w:rsid w:val="003F5A10"/>
    <w:rsid w:val="003F5ACB"/>
    <w:rsid w:val="003F6837"/>
    <w:rsid w:val="003F6934"/>
    <w:rsid w:val="003F6BF3"/>
    <w:rsid w:val="003F6C27"/>
    <w:rsid w:val="003F6D20"/>
    <w:rsid w:val="003F7271"/>
    <w:rsid w:val="003F7282"/>
    <w:rsid w:val="003F7718"/>
    <w:rsid w:val="003F7868"/>
    <w:rsid w:val="003F79BE"/>
    <w:rsid w:val="003F7E52"/>
    <w:rsid w:val="0040012E"/>
    <w:rsid w:val="0040034D"/>
    <w:rsid w:val="0040064F"/>
    <w:rsid w:val="0040065B"/>
    <w:rsid w:val="00401082"/>
    <w:rsid w:val="004015A7"/>
    <w:rsid w:val="0040173F"/>
    <w:rsid w:val="004019C3"/>
    <w:rsid w:val="0040205E"/>
    <w:rsid w:val="004020A2"/>
    <w:rsid w:val="00402256"/>
    <w:rsid w:val="00402771"/>
    <w:rsid w:val="004027A8"/>
    <w:rsid w:val="00402895"/>
    <w:rsid w:val="004029A4"/>
    <w:rsid w:val="00402CC2"/>
    <w:rsid w:val="00402DF6"/>
    <w:rsid w:val="00402E6F"/>
    <w:rsid w:val="00403068"/>
    <w:rsid w:val="0040330B"/>
    <w:rsid w:val="00403387"/>
    <w:rsid w:val="0040381A"/>
    <w:rsid w:val="00404926"/>
    <w:rsid w:val="00404953"/>
    <w:rsid w:val="00404E6E"/>
    <w:rsid w:val="0040564D"/>
    <w:rsid w:val="004056BC"/>
    <w:rsid w:val="00405C1B"/>
    <w:rsid w:val="004066AE"/>
    <w:rsid w:val="004069A1"/>
    <w:rsid w:val="00406D59"/>
    <w:rsid w:val="00406D71"/>
    <w:rsid w:val="004073FA"/>
    <w:rsid w:val="004076C6"/>
    <w:rsid w:val="00407A50"/>
    <w:rsid w:val="00407DAD"/>
    <w:rsid w:val="004101A2"/>
    <w:rsid w:val="00410616"/>
    <w:rsid w:val="0041065A"/>
    <w:rsid w:val="00410883"/>
    <w:rsid w:val="00410A58"/>
    <w:rsid w:val="00410AFC"/>
    <w:rsid w:val="00411235"/>
    <w:rsid w:val="004118AC"/>
    <w:rsid w:val="00412062"/>
    <w:rsid w:val="00412618"/>
    <w:rsid w:val="00412ABD"/>
    <w:rsid w:val="00412BD7"/>
    <w:rsid w:val="00412FA1"/>
    <w:rsid w:val="00412FE0"/>
    <w:rsid w:val="004135C1"/>
    <w:rsid w:val="00413731"/>
    <w:rsid w:val="00413816"/>
    <w:rsid w:val="00413B36"/>
    <w:rsid w:val="00413CEA"/>
    <w:rsid w:val="00413ED2"/>
    <w:rsid w:val="00414276"/>
    <w:rsid w:val="004142CF"/>
    <w:rsid w:val="00414406"/>
    <w:rsid w:val="004148F8"/>
    <w:rsid w:val="00414E5E"/>
    <w:rsid w:val="00414F96"/>
    <w:rsid w:val="00415135"/>
    <w:rsid w:val="0041525B"/>
    <w:rsid w:val="00415362"/>
    <w:rsid w:val="00415FD0"/>
    <w:rsid w:val="00416762"/>
    <w:rsid w:val="004167F2"/>
    <w:rsid w:val="00416939"/>
    <w:rsid w:val="00416E55"/>
    <w:rsid w:val="00417421"/>
    <w:rsid w:val="00417475"/>
    <w:rsid w:val="00417863"/>
    <w:rsid w:val="00417D7C"/>
    <w:rsid w:val="00417E08"/>
    <w:rsid w:val="00417E81"/>
    <w:rsid w:val="004200CA"/>
    <w:rsid w:val="0042024A"/>
    <w:rsid w:val="004205FD"/>
    <w:rsid w:val="0042069B"/>
    <w:rsid w:val="004207BE"/>
    <w:rsid w:val="004208A5"/>
    <w:rsid w:val="00420C39"/>
    <w:rsid w:val="00420F92"/>
    <w:rsid w:val="004214EE"/>
    <w:rsid w:val="004215D9"/>
    <w:rsid w:val="00421A18"/>
    <w:rsid w:val="00422BE2"/>
    <w:rsid w:val="00422EA8"/>
    <w:rsid w:val="0042338F"/>
    <w:rsid w:val="00423520"/>
    <w:rsid w:val="00423988"/>
    <w:rsid w:val="00423C33"/>
    <w:rsid w:val="00424834"/>
    <w:rsid w:val="00424BC8"/>
    <w:rsid w:val="00424D41"/>
    <w:rsid w:val="00424EE2"/>
    <w:rsid w:val="00424F1B"/>
    <w:rsid w:val="00424FF3"/>
    <w:rsid w:val="0042518A"/>
    <w:rsid w:val="0042614C"/>
    <w:rsid w:val="00426594"/>
    <w:rsid w:val="0042660A"/>
    <w:rsid w:val="00426F77"/>
    <w:rsid w:val="00427303"/>
    <w:rsid w:val="004275E8"/>
    <w:rsid w:val="004275ED"/>
    <w:rsid w:val="004276A0"/>
    <w:rsid w:val="004277EB"/>
    <w:rsid w:val="004278BD"/>
    <w:rsid w:val="00427F01"/>
    <w:rsid w:val="004305AD"/>
    <w:rsid w:val="00430B1E"/>
    <w:rsid w:val="00431385"/>
    <w:rsid w:val="00431C3D"/>
    <w:rsid w:val="00431DC6"/>
    <w:rsid w:val="00432005"/>
    <w:rsid w:val="0043210E"/>
    <w:rsid w:val="004326D1"/>
    <w:rsid w:val="00432A62"/>
    <w:rsid w:val="00432E91"/>
    <w:rsid w:val="00433061"/>
    <w:rsid w:val="004333BA"/>
    <w:rsid w:val="004334E6"/>
    <w:rsid w:val="004336F4"/>
    <w:rsid w:val="00433B64"/>
    <w:rsid w:val="00433E3F"/>
    <w:rsid w:val="00434094"/>
    <w:rsid w:val="004341C5"/>
    <w:rsid w:val="00434357"/>
    <w:rsid w:val="0043481A"/>
    <w:rsid w:val="004348E5"/>
    <w:rsid w:val="00434915"/>
    <w:rsid w:val="00434AFB"/>
    <w:rsid w:val="00434B4A"/>
    <w:rsid w:val="00435093"/>
    <w:rsid w:val="00435149"/>
    <w:rsid w:val="004357C4"/>
    <w:rsid w:val="00435A4F"/>
    <w:rsid w:val="00435B5B"/>
    <w:rsid w:val="00435D57"/>
    <w:rsid w:val="00436018"/>
    <w:rsid w:val="004360C6"/>
    <w:rsid w:val="00436180"/>
    <w:rsid w:val="00436655"/>
    <w:rsid w:val="00436853"/>
    <w:rsid w:val="00436A07"/>
    <w:rsid w:val="00436CC4"/>
    <w:rsid w:val="00437F4F"/>
    <w:rsid w:val="00440698"/>
    <w:rsid w:val="0044073A"/>
    <w:rsid w:val="004408CA"/>
    <w:rsid w:val="0044091E"/>
    <w:rsid w:val="00440B29"/>
    <w:rsid w:val="00440EC7"/>
    <w:rsid w:val="00440EE9"/>
    <w:rsid w:val="00441169"/>
    <w:rsid w:val="004414EA"/>
    <w:rsid w:val="00441759"/>
    <w:rsid w:val="00441800"/>
    <w:rsid w:val="00441C90"/>
    <w:rsid w:val="00441CEB"/>
    <w:rsid w:val="00441D2B"/>
    <w:rsid w:val="00441EA1"/>
    <w:rsid w:val="00442208"/>
    <w:rsid w:val="0044251B"/>
    <w:rsid w:val="00442761"/>
    <w:rsid w:val="00442B60"/>
    <w:rsid w:val="004435D0"/>
    <w:rsid w:val="0044366D"/>
    <w:rsid w:val="00443936"/>
    <w:rsid w:val="00443B5B"/>
    <w:rsid w:val="00443C9B"/>
    <w:rsid w:val="00443DCB"/>
    <w:rsid w:val="00443F8A"/>
    <w:rsid w:val="004448A7"/>
    <w:rsid w:val="00444963"/>
    <w:rsid w:val="00444E3C"/>
    <w:rsid w:val="00444F49"/>
    <w:rsid w:val="0044504A"/>
    <w:rsid w:val="004450D4"/>
    <w:rsid w:val="00445155"/>
    <w:rsid w:val="00445265"/>
    <w:rsid w:val="00445A41"/>
    <w:rsid w:val="00445A4C"/>
    <w:rsid w:val="00445B10"/>
    <w:rsid w:val="00445BFB"/>
    <w:rsid w:val="00445DD8"/>
    <w:rsid w:val="004461E0"/>
    <w:rsid w:val="0044622E"/>
    <w:rsid w:val="004463AC"/>
    <w:rsid w:val="00446516"/>
    <w:rsid w:val="00446CFF"/>
    <w:rsid w:val="00446F92"/>
    <w:rsid w:val="00447077"/>
    <w:rsid w:val="00447120"/>
    <w:rsid w:val="004472D7"/>
    <w:rsid w:val="0044744F"/>
    <w:rsid w:val="00447609"/>
    <w:rsid w:val="00447666"/>
    <w:rsid w:val="00447A68"/>
    <w:rsid w:val="00447AC7"/>
    <w:rsid w:val="004504DD"/>
    <w:rsid w:val="004504EB"/>
    <w:rsid w:val="00450581"/>
    <w:rsid w:val="004507C7"/>
    <w:rsid w:val="00450AA2"/>
    <w:rsid w:val="00450E8D"/>
    <w:rsid w:val="00450EED"/>
    <w:rsid w:val="00450FEA"/>
    <w:rsid w:val="00451154"/>
    <w:rsid w:val="00451174"/>
    <w:rsid w:val="00451A1C"/>
    <w:rsid w:val="00451B48"/>
    <w:rsid w:val="00451CD8"/>
    <w:rsid w:val="0045237F"/>
    <w:rsid w:val="00452749"/>
    <w:rsid w:val="00452CD9"/>
    <w:rsid w:val="004534B9"/>
    <w:rsid w:val="004534D2"/>
    <w:rsid w:val="00453B9E"/>
    <w:rsid w:val="004541E0"/>
    <w:rsid w:val="00454B3A"/>
    <w:rsid w:val="00454B55"/>
    <w:rsid w:val="00454BF4"/>
    <w:rsid w:val="00454CFC"/>
    <w:rsid w:val="00454EC6"/>
    <w:rsid w:val="00455164"/>
    <w:rsid w:val="004553F6"/>
    <w:rsid w:val="00455447"/>
    <w:rsid w:val="0045544B"/>
    <w:rsid w:val="004556C0"/>
    <w:rsid w:val="004559CE"/>
    <w:rsid w:val="00455A7A"/>
    <w:rsid w:val="00455DFA"/>
    <w:rsid w:val="00455E9D"/>
    <w:rsid w:val="00456021"/>
    <w:rsid w:val="0045616E"/>
    <w:rsid w:val="004561E7"/>
    <w:rsid w:val="00456261"/>
    <w:rsid w:val="004566AB"/>
    <w:rsid w:val="00456F3E"/>
    <w:rsid w:val="0045792C"/>
    <w:rsid w:val="00457AD3"/>
    <w:rsid w:val="00457C9D"/>
    <w:rsid w:val="00457D2A"/>
    <w:rsid w:val="004600DF"/>
    <w:rsid w:val="0046062B"/>
    <w:rsid w:val="00460639"/>
    <w:rsid w:val="00460914"/>
    <w:rsid w:val="00460944"/>
    <w:rsid w:val="00460E1A"/>
    <w:rsid w:val="004618AB"/>
    <w:rsid w:val="0046196D"/>
    <w:rsid w:val="00461BF3"/>
    <w:rsid w:val="00461D46"/>
    <w:rsid w:val="00461FE2"/>
    <w:rsid w:val="004621F6"/>
    <w:rsid w:val="0046232F"/>
    <w:rsid w:val="00462585"/>
    <w:rsid w:val="004625AA"/>
    <w:rsid w:val="004626A0"/>
    <w:rsid w:val="00462724"/>
    <w:rsid w:val="00462799"/>
    <w:rsid w:val="0046349E"/>
    <w:rsid w:val="00463DBC"/>
    <w:rsid w:val="00463DF8"/>
    <w:rsid w:val="004649EF"/>
    <w:rsid w:val="00465542"/>
    <w:rsid w:val="0046587A"/>
    <w:rsid w:val="004658CE"/>
    <w:rsid w:val="00465BAA"/>
    <w:rsid w:val="00465C54"/>
    <w:rsid w:val="00465EA1"/>
    <w:rsid w:val="004661D3"/>
    <w:rsid w:val="00466273"/>
    <w:rsid w:val="004662B6"/>
    <w:rsid w:val="0046645B"/>
    <w:rsid w:val="00466792"/>
    <w:rsid w:val="00466996"/>
    <w:rsid w:val="0046721A"/>
    <w:rsid w:val="00467B03"/>
    <w:rsid w:val="00467B9A"/>
    <w:rsid w:val="004702A0"/>
    <w:rsid w:val="00470354"/>
    <w:rsid w:val="00470459"/>
    <w:rsid w:val="0047058B"/>
    <w:rsid w:val="0047061A"/>
    <w:rsid w:val="00470975"/>
    <w:rsid w:val="00470C2C"/>
    <w:rsid w:val="00470C38"/>
    <w:rsid w:val="00470EC1"/>
    <w:rsid w:val="00470FE2"/>
    <w:rsid w:val="00471009"/>
    <w:rsid w:val="004712FF"/>
    <w:rsid w:val="004715AB"/>
    <w:rsid w:val="004716A3"/>
    <w:rsid w:val="00471956"/>
    <w:rsid w:val="00471B15"/>
    <w:rsid w:val="00471B1F"/>
    <w:rsid w:val="004725DE"/>
    <w:rsid w:val="0047277E"/>
    <w:rsid w:val="004728DF"/>
    <w:rsid w:val="00472BAA"/>
    <w:rsid w:val="00472E08"/>
    <w:rsid w:val="004733D8"/>
    <w:rsid w:val="004736C8"/>
    <w:rsid w:val="00473867"/>
    <w:rsid w:val="004740F5"/>
    <w:rsid w:val="004741FE"/>
    <w:rsid w:val="00474305"/>
    <w:rsid w:val="00474514"/>
    <w:rsid w:val="004746D0"/>
    <w:rsid w:val="00474A79"/>
    <w:rsid w:val="00474CEC"/>
    <w:rsid w:val="00475085"/>
    <w:rsid w:val="004750ED"/>
    <w:rsid w:val="0047524A"/>
    <w:rsid w:val="0047525B"/>
    <w:rsid w:val="00475608"/>
    <w:rsid w:val="00475996"/>
    <w:rsid w:val="00475D46"/>
    <w:rsid w:val="00476346"/>
    <w:rsid w:val="0047663E"/>
    <w:rsid w:val="00476725"/>
    <w:rsid w:val="004769A9"/>
    <w:rsid w:val="004769B9"/>
    <w:rsid w:val="00476CF6"/>
    <w:rsid w:val="00476E61"/>
    <w:rsid w:val="0047707D"/>
    <w:rsid w:val="00477193"/>
    <w:rsid w:val="004772F1"/>
    <w:rsid w:val="00477474"/>
    <w:rsid w:val="00477714"/>
    <w:rsid w:val="00477AA8"/>
    <w:rsid w:val="00477E11"/>
    <w:rsid w:val="004805A5"/>
    <w:rsid w:val="004805D5"/>
    <w:rsid w:val="00480786"/>
    <w:rsid w:val="00480896"/>
    <w:rsid w:val="00480FD9"/>
    <w:rsid w:val="004816FC"/>
    <w:rsid w:val="004818BD"/>
    <w:rsid w:val="00481C1B"/>
    <w:rsid w:val="00481D29"/>
    <w:rsid w:val="00481FA7"/>
    <w:rsid w:val="0048213F"/>
    <w:rsid w:val="00482A49"/>
    <w:rsid w:val="00482ED3"/>
    <w:rsid w:val="00483162"/>
    <w:rsid w:val="00483465"/>
    <w:rsid w:val="0048375D"/>
    <w:rsid w:val="00483AF7"/>
    <w:rsid w:val="00483B80"/>
    <w:rsid w:val="00483BFF"/>
    <w:rsid w:val="00483CF8"/>
    <w:rsid w:val="00483D38"/>
    <w:rsid w:val="00484540"/>
    <w:rsid w:val="004847CF"/>
    <w:rsid w:val="00484D4B"/>
    <w:rsid w:val="00484E4B"/>
    <w:rsid w:val="004852A4"/>
    <w:rsid w:val="0048533D"/>
    <w:rsid w:val="004855C3"/>
    <w:rsid w:val="0048578D"/>
    <w:rsid w:val="00485836"/>
    <w:rsid w:val="00485C88"/>
    <w:rsid w:val="00486082"/>
    <w:rsid w:val="00486264"/>
    <w:rsid w:val="004862AF"/>
    <w:rsid w:val="004864DD"/>
    <w:rsid w:val="004867C4"/>
    <w:rsid w:val="00486AFD"/>
    <w:rsid w:val="00486B9B"/>
    <w:rsid w:val="00486E98"/>
    <w:rsid w:val="0048703E"/>
    <w:rsid w:val="00487E98"/>
    <w:rsid w:val="0049004B"/>
    <w:rsid w:val="0049005B"/>
    <w:rsid w:val="004901DA"/>
    <w:rsid w:val="00490295"/>
    <w:rsid w:val="0049029B"/>
    <w:rsid w:val="004902EC"/>
    <w:rsid w:val="00490413"/>
    <w:rsid w:val="00490614"/>
    <w:rsid w:val="004907CF"/>
    <w:rsid w:val="004909CA"/>
    <w:rsid w:val="00490D75"/>
    <w:rsid w:val="00491083"/>
    <w:rsid w:val="004912AF"/>
    <w:rsid w:val="004914D8"/>
    <w:rsid w:val="00491722"/>
    <w:rsid w:val="0049176D"/>
    <w:rsid w:val="00491A97"/>
    <w:rsid w:val="00491BAA"/>
    <w:rsid w:val="00492370"/>
    <w:rsid w:val="00492E19"/>
    <w:rsid w:val="00492E62"/>
    <w:rsid w:val="00492FAE"/>
    <w:rsid w:val="00492FCB"/>
    <w:rsid w:val="004934F0"/>
    <w:rsid w:val="00493B94"/>
    <w:rsid w:val="00493C98"/>
    <w:rsid w:val="00493F30"/>
    <w:rsid w:val="0049404F"/>
    <w:rsid w:val="00494355"/>
    <w:rsid w:val="004946D8"/>
    <w:rsid w:val="00494B8D"/>
    <w:rsid w:val="00494CA3"/>
    <w:rsid w:val="004950E6"/>
    <w:rsid w:val="00495119"/>
    <w:rsid w:val="0049515B"/>
    <w:rsid w:val="0049563D"/>
    <w:rsid w:val="0049573F"/>
    <w:rsid w:val="0049586D"/>
    <w:rsid w:val="00495940"/>
    <w:rsid w:val="00495A85"/>
    <w:rsid w:val="00495AB8"/>
    <w:rsid w:val="004960EA"/>
    <w:rsid w:val="0049650F"/>
    <w:rsid w:val="004965DB"/>
    <w:rsid w:val="004966BF"/>
    <w:rsid w:val="00496D67"/>
    <w:rsid w:val="00496E52"/>
    <w:rsid w:val="00496EC0"/>
    <w:rsid w:val="00497193"/>
    <w:rsid w:val="004974A4"/>
    <w:rsid w:val="004975F7"/>
    <w:rsid w:val="00497962"/>
    <w:rsid w:val="00497B56"/>
    <w:rsid w:val="00497B70"/>
    <w:rsid w:val="00497CBB"/>
    <w:rsid w:val="00497DCF"/>
    <w:rsid w:val="00497F12"/>
    <w:rsid w:val="00497F1E"/>
    <w:rsid w:val="004A0465"/>
    <w:rsid w:val="004A0874"/>
    <w:rsid w:val="004A0977"/>
    <w:rsid w:val="004A0AFB"/>
    <w:rsid w:val="004A0BAA"/>
    <w:rsid w:val="004A0C30"/>
    <w:rsid w:val="004A0CF2"/>
    <w:rsid w:val="004A0F11"/>
    <w:rsid w:val="004A119B"/>
    <w:rsid w:val="004A163D"/>
    <w:rsid w:val="004A165D"/>
    <w:rsid w:val="004A17E6"/>
    <w:rsid w:val="004A180C"/>
    <w:rsid w:val="004A1915"/>
    <w:rsid w:val="004A19BA"/>
    <w:rsid w:val="004A1A6A"/>
    <w:rsid w:val="004A1D1C"/>
    <w:rsid w:val="004A1D57"/>
    <w:rsid w:val="004A1D7C"/>
    <w:rsid w:val="004A1D9E"/>
    <w:rsid w:val="004A1EE9"/>
    <w:rsid w:val="004A1FE5"/>
    <w:rsid w:val="004A2194"/>
    <w:rsid w:val="004A2551"/>
    <w:rsid w:val="004A2893"/>
    <w:rsid w:val="004A2EF5"/>
    <w:rsid w:val="004A35A1"/>
    <w:rsid w:val="004A3659"/>
    <w:rsid w:val="004A396B"/>
    <w:rsid w:val="004A3B38"/>
    <w:rsid w:val="004A3EAA"/>
    <w:rsid w:val="004A3FD7"/>
    <w:rsid w:val="004A4068"/>
    <w:rsid w:val="004A4353"/>
    <w:rsid w:val="004A445B"/>
    <w:rsid w:val="004A4E99"/>
    <w:rsid w:val="004A51ED"/>
    <w:rsid w:val="004A5288"/>
    <w:rsid w:val="004A54B4"/>
    <w:rsid w:val="004A5A72"/>
    <w:rsid w:val="004A631B"/>
    <w:rsid w:val="004A687F"/>
    <w:rsid w:val="004A6DFB"/>
    <w:rsid w:val="004A7053"/>
    <w:rsid w:val="004A75A0"/>
    <w:rsid w:val="004A769F"/>
    <w:rsid w:val="004A7877"/>
    <w:rsid w:val="004A7975"/>
    <w:rsid w:val="004A79E7"/>
    <w:rsid w:val="004A7D97"/>
    <w:rsid w:val="004A7E33"/>
    <w:rsid w:val="004A7E7D"/>
    <w:rsid w:val="004B0163"/>
    <w:rsid w:val="004B02A8"/>
    <w:rsid w:val="004B058A"/>
    <w:rsid w:val="004B0997"/>
    <w:rsid w:val="004B0B0A"/>
    <w:rsid w:val="004B0BB6"/>
    <w:rsid w:val="004B14A8"/>
    <w:rsid w:val="004B1985"/>
    <w:rsid w:val="004B1BB1"/>
    <w:rsid w:val="004B1D80"/>
    <w:rsid w:val="004B25BF"/>
    <w:rsid w:val="004B29AE"/>
    <w:rsid w:val="004B2D92"/>
    <w:rsid w:val="004B2F75"/>
    <w:rsid w:val="004B2FB8"/>
    <w:rsid w:val="004B3477"/>
    <w:rsid w:val="004B34FA"/>
    <w:rsid w:val="004B371C"/>
    <w:rsid w:val="004B3EEA"/>
    <w:rsid w:val="004B40E7"/>
    <w:rsid w:val="004B45A4"/>
    <w:rsid w:val="004B4853"/>
    <w:rsid w:val="004B4BAB"/>
    <w:rsid w:val="004B4D0C"/>
    <w:rsid w:val="004B4E8E"/>
    <w:rsid w:val="004B5133"/>
    <w:rsid w:val="004B572B"/>
    <w:rsid w:val="004B5A59"/>
    <w:rsid w:val="004B5AAC"/>
    <w:rsid w:val="004B5B5A"/>
    <w:rsid w:val="004B6019"/>
    <w:rsid w:val="004B629E"/>
    <w:rsid w:val="004B65F9"/>
    <w:rsid w:val="004B67EC"/>
    <w:rsid w:val="004B6BFF"/>
    <w:rsid w:val="004B6C18"/>
    <w:rsid w:val="004B6C8E"/>
    <w:rsid w:val="004B6CCD"/>
    <w:rsid w:val="004B6D68"/>
    <w:rsid w:val="004B6D69"/>
    <w:rsid w:val="004B6D90"/>
    <w:rsid w:val="004B6F29"/>
    <w:rsid w:val="004B721F"/>
    <w:rsid w:val="004B768C"/>
    <w:rsid w:val="004B769E"/>
    <w:rsid w:val="004B7891"/>
    <w:rsid w:val="004B7959"/>
    <w:rsid w:val="004B7D2E"/>
    <w:rsid w:val="004B7E91"/>
    <w:rsid w:val="004C0012"/>
    <w:rsid w:val="004C0057"/>
    <w:rsid w:val="004C054E"/>
    <w:rsid w:val="004C092B"/>
    <w:rsid w:val="004C0E66"/>
    <w:rsid w:val="004C0EC3"/>
    <w:rsid w:val="004C0F85"/>
    <w:rsid w:val="004C105F"/>
    <w:rsid w:val="004C1720"/>
    <w:rsid w:val="004C175D"/>
    <w:rsid w:val="004C1879"/>
    <w:rsid w:val="004C1969"/>
    <w:rsid w:val="004C1A1F"/>
    <w:rsid w:val="004C1B51"/>
    <w:rsid w:val="004C1E47"/>
    <w:rsid w:val="004C1F27"/>
    <w:rsid w:val="004C223F"/>
    <w:rsid w:val="004C2340"/>
    <w:rsid w:val="004C23C2"/>
    <w:rsid w:val="004C24BE"/>
    <w:rsid w:val="004C2BCC"/>
    <w:rsid w:val="004C2D9C"/>
    <w:rsid w:val="004C2EBC"/>
    <w:rsid w:val="004C36E5"/>
    <w:rsid w:val="004C38A9"/>
    <w:rsid w:val="004C3A73"/>
    <w:rsid w:val="004C3CF0"/>
    <w:rsid w:val="004C41B6"/>
    <w:rsid w:val="004C4200"/>
    <w:rsid w:val="004C4451"/>
    <w:rsid w:val="004C449E"/>
    <w:rsid w:val="004C468F"/>
    <w:rsid w:val="004C4D7E"/>
    <w:rsid w:val="004C5087"/>
    <w:rsid w:val="004C50F2"/>
    <w:rsid w:val="004C5404"/>
    <w:rsid w:val="004C57F3"/>
    <w:rsid w:val="004C5F67"/>
    <w:rsid w:val="004C5F86"/>
    <w:rsid w:val="004C619A"/>
    <w:rsid w:val="004C6581"/>
    <w:rsid w:val="004C6765"/>
    <w:rsid w:val="004C694E"/>
    <w:rsid w:val="004C6A66"/>
    <w:rsid w:val="004C6E35"/>
    <w:rsid w:val="004C718D"/>
    <w:rsid w:val="004C71EB"/>
    <w:rsid w:val="004C747E"/>
    <w:rsid w:val="004C74C5"/>
    <w:rsid w:val="004C779A"/>
    <w:rsid w:val="004C7A5F"/>
    <w:rsid w:val="004C7AAB"/>
    <w:rsid w:val="004D0734"/>
    <w:rsid w:val="004D0906"/>
    <w:rsid w:val="004D0943"/>
    <w:rsid w:val="004D0A46"/>
    <w:rsid w:val="004D0D65"/>
    <w:rsid w:val="004D0F12"/>
    <w:rsid w:val="004D0F61"/>
    <w:rsid w:val="004D0F85"/>
    <w:rsid w:val="004D1044"/>
    <w:rsid w:val="004D1067"/>
    <w:rsid w:val="004D1CDE"/>
    <w:rsid w:val="004D1DF8"/>
    <w:rsid w:val="004D1F62"/>
    <w:rsid w:val="004D222B"/>
    <w:rsid w:val="004D2318"/>
    <w:rsid w:val="004D2355"/>
    <w:rsid w:val="004D2D0F"/>
    <w:rsid w:val="004D2D50"/>
    <w:rsid w:val="004D2E3E"/>
    <w:rsid w:val="004D2E90"/>
    <w:rsid w:val="004D31D0"/>
    <w:rsid w:val="004D351A"/>
    <w:rsid w:val="004D3739"/>
    <w:rsid w:val="004D3BFD"/>
    <w:rsid w:val="004D4171"/>
    <w:rsid w:val="004D4295"/>
    <w:rsid w:val="004D4522"/>
    <w:rsid w:val="004D458A"/>
    <w:rsid w:val="004D481F"/>
    <w:rsid w:val="004D4941"/>
    <w:rsid w:val="004D5245"/>
    <w:rsid w:val="004D54D7"/>
    <w:rsid w:val="004D54DE"/>
    <w:rsid w:val="004D592B"/>
    <w:rsid w:val="004D5C08"/>
    <w:rsid w:val="004D5D1C"/>
    <w:rsid w:val="004D5EFA"/>
    <w:rsid w:val="004D6669"/>
    <w:rsid w:val="004D6B2D"/>
    <w:rsid w:val="004D6E37"/>
    <w:rsid w:val="004D6F4E"/>
    <w:rsid w:val="004D705E"/>
    <w:rsid w:val="004D743B"/>
    <w:rsid w:val="004D7E8A"/>
    <w:rsid w:val="004E00EA"/>
    <w:rsid w:val="004E0B93"/>
    <w:rsid w:val="004E10D9"/>
    <w:rsid w:val="004E125D"/>
    <w:rsid w:val="004E138E"/>
    <w:rsid w:val="004E19C9"/>
    <w:rsid w:val="004E1C20"/>
    <w:rsid w:val="004E212A"/>
    <w:rsid w:val="004E2202"/>
    <w:rsid w:val="004E2742"/>
    <w:rsid w:val="004E2F03"/>
    <w:rsid w:val="004E32A2"/>
    <w:rsid w:val="004E3621"/>
    <w:rsid w:val="004E3982"/>
    <w:rsid w:val="004E447E"/>
    <w:rsid w:val="004E4907"/>
    <w:rsid w:val="004E4A24"/>
    <w:rsid w:val="004E4BCE"/>
    <w:rsid w:val="004E4C4A"/>
    <w:rsid w:val="004E4DCA"/>
    <w:rsid w:val="004E6411"/>
    <w:rsid w:val="004E6D69"/>
    <w:rsid w:val="004E701C"/>
    <w:rsid w:val="004E74A0"/>
    <w:rsid w:val="004E7609"/>
    <w:rsid w:val="004E7ED3"/>
    <w:rsid w:val="004F0300"/>
    <w:rsid w:val="004F0328"/>
    <w:rsid w:val="004F033D"/>
    <w:rsid w:val="004F03A0"/>
    <w:rsid w:val="004F0B53"/>
    <w:rsid w:val="004F0B61"/>
    <w:rsid w:val="004F0E18"/>
    <w:rsid w:val="004F0E63"/>
    <w:rsid w:val="004F1271"/>
    <w:rsid w:val="004F12BD"/>
    <w:rsid w:val="004F1603"/>
    <w:rsid w:val="004F16DC"/>
    <w:rsid w:val="004F1B56"/>
    <w:rsid w:val="004F1B98"/>
    <w:rsid w:val="004F212C"/>
    <w:rsid w:val="004F215E"/>
    <w:rsid w:val="004F25FA"/>
    <w:rsid w:val="004F28A5"/>
    <w:rsid w:val="004F2DB1"/>
    <w:rsid w:val="004F31A2"/>
    <w:rsid w:val="004F31C3"/>
    <w:rsid w:val="004F3281"/>
    <w:rsid w:val="004F3820"/>
    <w:rsid w:val="004F3B47"/>
    <w:rsid w:val="004F3D80"/>
    <w:rsid w:val="004F4068"/>
    <w:rsid w:val="004F4781"/>
    <w:rsid w:val="004F47B8"/>
    <w:rsid w:val="004F4893"/>
    <w:rsid w:val="004F4A48"/>
    <w:rsid w:val="004F4B4E"/>
    <w:rsid w:val="004F4B92"/>
    <w:rsid w:val="004F4D8E"/>
    <w:rsid w:val="004F4DEF"/>
    <w:rsid w:val="004F4F1F"/>
    <w:rsid w:val="004F545E"/>
    <w:rsid w:val="004F5671"/>
    <w:rsid w:val="004F57B1"/>
    <w:rsid w:val="004F59CF"/>
    <w:rsid w:val="004F5B7A"/>
    <w:rsid w:val="004F5D9D"/>
    <w:rsid w:val="004F63B6"/>
    <w:rsid w:val="004F6663"/>
    <w:rsid w:val="004F68DB"/>
    <w:rsid w:val="004F6CEF"/>
    <w:rsid w:val="004F6E74"/>
    <w:rsid w:val="004F6F95"/>
    <w:rsid w:val="004F78E3"/>
    <w:rsid w:val="005001E0"/>
    <w:rsid w:val="005003AE"/>
    <w:rsid w:val="00500512"/>
    <w:rsid w:val="00500735"/>
    <w:rsid w:val="00500A8C"/>
    <w:rsid w:val="00500F6E"/>
    <w:rsid w:val="0050165F"/>
    <w:rsid w:val="005016A1"/>
    <w:rsid w:val="005018D1"/>
    <w:rsid w:val="00501931"/>
    <w:rsid w:val="00501F5B"/>
    <w:rsid w:val="005022C4"/>
    <w:rsid w:val="005026C0"/>
    <w:rsid w:val="00502AB5"/>
    <w:rsid w:val="00502B4B"/>
    <w:rsid w:val="00502CA9"/>
    <w:rsid w:val="00502D8E"/>
    <w:rsid w:val="00503146"/>
    <w:rsid w:val="00503346"/>
    <w:rsid w:val="00503A1E"/>
    <w:rsid w:val="00503B88"/>
    <w:rsid w:val="00503D36"/>
    <w:rsid w:val="00503F3D"/>
    <w:rsid w:val="005049F1"/>
    <w:rsid w:val="00504A37"/>
    <w:rsid w:val="00504E39"/>
    <w:rsid w:val="00504EAA"/>
    <w:rsid w:val="00504F44"/>
    <w:rsid w:val="005050AB"/>
    <w:rsid w:val="00505124"/>
    <w:rsid w:val="0050518C"/>
    <w:rsid w:val="005053AB"/>
    <w:rsid w:val="005057DC"/>
    <w:rsid w:val="00505916"/>
    <w:rsid w:val="00505CAC"/>
    <w:rsid w:val="00505FDC"/>
    <w:rsid w:val="00505FFF"/>
    <w:rsid w:val="0050639D"/>
    <w:rsid w:val="005064C2"/>
    <w:rsid w:val="00506A1D"/>
    <w:rsid w:val="00506CA7"/>
    <w:rsid w:val="00506E32"/>
    <w:rsid w:val="00506F1C"/>
    <w:rsid w:val="005070BA"/>
    <w:rsid w:val="005070DB"/>
    <w:rsid w:val="00507527"/>
    <w:rsid w:val="0050790B"/>
    <w:rsid w:val="00507B44"/>
    <w:rsid w:val="00507B51"/>
    <w:rsid w:val="00507E4C"/>
    <w:rsid w:val="00510395"/>
    <w:rsid w:val="005104B6"/>
    <w:rsid w:val="00510536"/>
    <w:rsid w:val="005107B5"/>
    <w:rsid w:val="005108D0"/>
    <w:rsid w:val="005109A7"/>
    <w:rsid w:val="00510EB8"/>
    <w:rsid w:val="005113E8"/>
    <w:rsid w:val="005114E6"/>
    <w:rsid w:val="00511A0C"/>
    <w:rsid w:val="00511DA8"/>
    <w:rsid w:val="0051217F"/>
    <w:rsid w:val="00512946"/>
    <w:rsid w:val="00512B62"/>
    <w:rsid w:val="00512BC6"/>
    <w:rsid w:val="00512DFC"/>
    <w:rsid w:val="00513459"/>
    <w:rsid w:val="00513653"/>
    <w:rsid w:val="005140CA"/>
    <w:rsid w:val="005146D3"/>
    <w:rsid w:val="005149D9"/>
    <w:rsid w:val="00514DFA"/>
    <w:rsid w:val="005155CF"/>
    <w:rsid w:val="00515D94"/>
    <w:rsid w:val="00515FC6"/>
    <w:rsid w:val="0051663E"/>
    <w:rsid w:val="005166B8"/>
    <w:rsid w:val="00516735"/>
    <w:rsid w:val="00516785"/>
    <w:rsid w:val="00516931"/>
    <w:rsid w:val="005169E9"/>
    <w:rsid w:val="00516B3A"/>
    <w:rsid w:val="00516B3B"/>
    <w:rsid w:val="00516BF7"/>
    <w:rsid w:val="00516CA1"/>
    <w:rsid w:val="00516D75"/>
    <w:rsid w:val="00516D78"/>
    <w:rsid w:val="00516DCC"/>
    <w:rsid w:val="00516FBE"/>
    <w:rsid w:val="00517052"/>
    <w:rsid w:val="005173C9"/>
    <w:rsid w:val="005178F9"/>
    <w:rsid w:val="005179BC"/>
    <w:rsid w:val="00517BA7"/>
    <w:rsid w:val="00517BD0"/>
    <w:rsid w:val="00517D43"/>
    <w:rsid w:val="0052042A"/>
    <w:rsid w:val="005209BE"/>
    <w:rsid w:val="00520BCB"/>
    <w:rsid w:val="00520C5D"/>
    <w:rsid w:val="00520F3A"/>
    <w:rsid w:val="005210D5"/>
    <w:rsid w:val="00521187"/>
    <w:rsid w:val="0052145E"/>
    <w:rsid w:val="005217A6"/>
    <w:rsid w:val="0052244F"/>
    <w:rsid w:val="00522722"/>
    <w:rsid w:val="005227C3"/>
    <w:rsid w:val="00522E36"/>
    <w:rsid w:val="005231D8"/>
    <w:rsid w:val="00523607"/>
    <w:rsid w:val="00523B5A"/>
    <w:rsid w:val="00523D9D"/>
    <w:rsid w:val="0052419D"/>
    <w:rsid w:val="005241E1"/>
    <w:rsid w:val="00524C99"/>
    <w:rsid w:val="00524DF3"/>
    <w:rsid w:val="00524EE1"/>
    <w:rsid w:val="005250B1"/>
    <w:rsid w:val="00525305"/>
    <w:rsid w:val="00525434"/>
    <w:rsid w:val="00525716"/>
    <w:rsid w:val="005257CD"/>
    <w:rsid w:val="00525AC0"/>
    <w:rsid w:val="00526536"/>
    <w:rsid w:val="005267FD"/>
    <w:rsid w:val="00526C30"/>
    <w:rsid w:val="00526F23"/>
    <w:rsid w:val="005271C5"/>
    <w:rsid w:val="0052728D"/>
    <w:rsid w:val="0052757D"/>
    <w:rsid w:val="0052763D"/>
    <w:rsid w:val="00527A70"/>
    <w:rsid w:val="00527E57"/>
    <w:rsid w:val="00527EE7"/>
    <w:rsid w:val="005300DF"/>
    <w:rsid w:val="005301F8"/>
    <w:rsid w:val="0053047D"/>
    <w:rsid w:val="00530514"/>
    <w:rsid w:val="005305C4"/>
    <w:rsid w:val="0053066C"/>
    <w:rsid w:val="005306A7"/>
    <w:rsid w:val="005306B8"/>
    <w:rsid w:val="0053108B"/>
    <w:rsid w:val="005310D7"/>
    <w:rsid w:val="005312FC"/>
    <w:rsid w:val="0053138E"/>
    <w:rsid w:val="00531900"/>
    <w:rsid w:val="00531EEA"/>
    <w:rsid w:val="00532087"/>
    <w:rsid w:val="005320F3"/>
    <w:rsid w:val="00532262"/>
    <w:rsid w:val="00532539"/>
    <w:rsid w:val="00532618"/>
    <w:rsid w:val="00532795"/>
    <w:rsid w:val="00532888"/>
    <w:rsid w:val="0053295C"/>
    <w:rsid w:val="00532A9C"/>
    <w:rsid w:val="00532AA6"/>
    <w:rsid w:val="00532B5E"/>
    <w:rsid w:val="00532B72"/>
    <w:rsid w:val="00532BA2"/>
    <w:rsid w:val="00532CEB"/>
    <w:rsid w:val="00533163"/>
    <w:rsid w:val="005331C7"/>
    <w:rsid w:val="00533218"/>
    <w:rsid w:val="0053355F"/>
    <w:rsid w:val="00533695"/>
    <w:rsid w:val="0053371F"/>
    <w:rsid w:val="005338E2"/>
    <w:rsid w:val="00533ADD"/>
    <w:rsid w:val="00533C71"/>
    <w:rsid w:val="00533CDF"/>
    <w:rsid w:val="00533F29"/>
    <w:rsid w:val="00533F61"/>
    <w:rsid w:val="00534100"/>
    <w:rsid w:val="00534138"/>
    <w:rsid w:val="00534645"/>
    <w:rsid w:val="00534681"/>
    <w:rsid w:val="00534F9C"/>
    <w:rsid w:val="0053500B"/>
    <w:rsid w:val="005354D1"/>
    <w:rsid w:val="0053569E"/>
    <w:rsid w:val="00535986"/>
    <w:rsid w:val="00535F80"/>
    <w:rsid w:val="0053603D"/>
    <w:rsid w:val="005364C9"/>
    <w:rsid w:val="00536C39"/>
    <w:rsid w:val="00536CD2"/>
    <w:rsid w:val="00536D63"/>
    <w:rsid w:val="00536DF9"/>
    <w:rsid w:val="00536F8F"/>
    <w:rsid w:val="00537205"/>
    <w:rsid w:val="005372D9"/>
    <w:rsid w:val="0053742A"/>
    <w:rsid w:val="005374F6"/>
    <w:rsid w:val="005375CE"/>
    <w:rsid w:val="0053774A"/>
    <w:rsid w:val="0053784A"/>
    <w:rsid w:val="00537A63"/>
    <w:rsid w:val="00537C85"/>
    <w:rsid w:val="00537E60"/>
    <w:rsid w:val="005400DD"/>
    <w:rsid w:val="00540201"/>
    <w:rsid w:val="0054032F"/>
    <w:rsid w:val="00540913"/>
    <w:rsid w:val="005409F6"/>
    <w:rsid w:val="00540B29"/>
    <w:rsid w:val="00540C3A"/>
    <w:rsid w:val="00540D06"/>
    <w:rsid w:val="005418FB"/>
    <w:rsid w:val="00541A5F"/>
    <w:rsid w:val="00541D29"/>
    <w:rsid w:val="005422F1"/>
    <w:rsid w:val="005423B8"/>
    <w:rsid w:val="005425EF"/>
    <w:rsid w:val="00542769"/>
    <w:rsid w:val="0054288C"/>
    <w:rsid w:val="005428C2"/>
    <w:rsid w:val="00542AE3"/>
    <w:rsid w:val="00542B26"/>
    <w:rsid w:val="00542D3B"/>
    <w:rsid w:val="00543055"/>
    <w:rsid w:val="005433AB"/>
    <w:rsid w:val="005438EF"/>
    <w:rsid w:val="005440CA"/>
    <w:rsid w:val="005440E4"/>
    <w:rsid w:val="005440F0"/>
    <w:rsid w:val="005441A5"/>
    <w:rsid w:val="00544415"/>
    <w:rsid w:val="00544901"/>
    <w:rsid w:val="00544B37"/>
    <w:rsid w:val="00544B65"/>
    <w:rsid w:val="00544F3A"/>
    <w:rsid w:val="00545238"/>
    <w:rsid w:val="0054538D"/>
    <w:rsid w:val="00545673"/>
    <w:rsid w:val="00545757"/>
    <w:rsid w:val="00545978"/>
    <w:rsid w:val="00545DB5"/>
    <w:rsid w:val="00546BA5"/>
    <w:rsid w:val="00546D09"/>
    <w:rsid w:val="00547167"/>
    <w:rsid w:val="00547171"/>
    <w:rsid w:val="005478D1"/>
    <w:rsid w:val="00547A81"/>
    <w:rsid w:val="00547C56"/>
    <w:rsid w:val="00547DE7"/>
    <w:rsid w:val="00547E97"/>
    <w:rsid w:val="00547EB2"/>
    <w:rsid w:val="00550BB9"/>
    <w:rsid w:val="0055113C"/>
    <w:rsid w:val="005511B8"/>
    <w:rsid w:val="0055122A"/>
    <w:rsid w:val="00551721"/>
    <w:rsid w:val="00551AA5"/>
    <w:rsid w:val="00551B0A"/>
    <w:rsid w:val="00552296"/>
    <w:rsid w:val="0055254E"/>
    <w:rsid w:val="00552675"/>
    <w:rsid w:val="0055278B"/>
    <w:rsid w:val="005527B1"/>
    <w:rsid w:val="00552E9F"/>
    <w:rsid w:val="0055315D"/>
    <w:rsid w:val="005531C7"/>
    <w:rsid w:val="005531F5"/>
    <w:rsid w:val="00553290"/>
    <w:rsid w:val="005532D2"/>
    <w:rsid w:val="00553DD4"/>
    <w:rsid w:val="00553E47"/>
    <w:rsid w:val="00553F5A"/>
    <w:rsid w:val="0055417C"/>
    <w:rsid w:val="00554415"/>
    <w:rsid w:val="00554CC0"/>
    <w:rsid w:val="00554FB9"/>
    <w:rsid w:val="005552AD"/>
    <w:rsid w:val="005553B0"/>
    <w:rsid w:val="005555DD"/>
    <w:rsid w:val="00555763"/>
    <w:rsid w:val="00555AD9"/>
    <w:rsid w:val="00555B51"/>
    <w:rsid w:val="005566A0"/>
    <w:rsid w:val="0055718F"/>
    <w:rsid w:val="0055740A"/>
    <w:rsid w:val="00557B25"/>
    <w:rsid w:val="005603D3"/>
    <w:rsid w:val="00560A2A"/>
    <w:rsid w:val="00560B3F"/>
    <w:rsid w:val="00560BAB"/>
    <w:rsid w:val="00560FAE"/>
    <w:rsid w:val="0056103E"/>
    <w:rsid w:val="00561A55"/>
    <w:rsid w:val="00562302"/>
    <w:rsid w:val="00562517"/>
    <w:rsid w:val="0056258B"/>
    <w:rsid w:val="00562844"/>
    <w:rsid w:val="00562A0D"/>
    <w:rsid w:val="00562F17"/>
    <w:rsid w:val="00563505"/>
    <w:rsid w:val="005635A6"/>
    <w:rsid w:val="00563913"/>
    <w:rsid w:val="00563955"/>
    <w:rsid w:val="00563B1F"/>
    <w:rsid w:val="005642D8"/>
    <w:rsid w:val="005643E1"/>
    <w:rsid w:val="00564B81"/>
    <w:rsid w:val="00564C09"/>
    <w:rsid w:val="00564C4A"/>
    <w:rsid w:val="00564C6C"/>
    <w:rsid w:val="00564D65"/>
    <w:rsid w:val="0056532D"/>
    <w:rsid w:val="00565594"/>
    <w:rsid w:val="0056567C"/>
    <w:rsid w:val="005656F5"/>
    <w:rsid w:val="0056582C"/>
    <w:rsid w:val="00565977"/>
    <w:rsid w:val="00565C91"/>
    <w:rsid w:val="00565D95"/>
    <w:rsid w:val="005660A1"/>
    <w:rsid w:val="005661BB"/>
    <w:rsid w:val="0056620D"/>
    <w:rsid w:val="00566590"/>
    <w:rsid w:val="00566845"/>
    <w:rsid w:val="00566907"/>
    <w:rsid w:val="0056696F"/>
    <w:rsid w:val="0056714E"/>
    <w:rsid w:val="0056781B"/>
    <w:rsid w:val="00567929"/>
    <w:rsid w:val="005679F6"/>
    <w:rsid w:val="00567B20"/>
    <w:rsid w:val="00567C16"/>
    <w:rsid w:val="00567D89"/>
    <w:rsid w:val="00567EEB"/>
    <w:rsid w:val="005704C8"/>
    <w:rsid w:val="00570805"/>
    <w:rsid w:val="0057096F"/>
    <w:rsid w:val="00570D20"/>
    <w:rsid w:val="00570FA2"/>
    <w:rsid w:val="0057101A"/>
    <w:rsid w:val="00571255"/>
    <w:rsid w:val="0057169A"/>
    <w:rsid w:val="005717CC"/>
    <w:rsid w:val="005719A7"/>
    <w:rsid w:val="00571B3E"/>
    <w:rsid w:val="0057209F"/>
    <w:rsid w:val="005722E0"/>
    <w:rsid w:val="0057257C"/>
    <w:rsid w:val="005729BF"/>
    <w:rsid w:val="00572AFD"/>
    <w:rsid w:val="00572CA2"/>
    <w:rsid w:val="00572EF7"/>
    <w:rsid w:val="00573041"/>
    <w:rsid w:val="005734D2"/>
    <w:rsid w:val="00573717"/>
    <w:rsid w:val="00573977"/>
    <w:rsid w:val="005739FA"/>
    <w:rsid w:val="00573C52"/>
    <w:rsid w:val="0057409E"/>
    <w:rsid w:val="00574BB9"/>
    <w:rsid w:val="00574E41"/>
    <w:rsid w:val="005757FE"/>
    <w:rsid w:val="00575966"/>
    <w:rsid w:val="00575EEE"/>
    <w:rsid w:val="00575F6A"/>
    <w:rsid w:val="00576071"/>
    <w:rsid w:val="00576657"/>
    <w:rsid w:val="005768F9"/>
    <w:rsid w:val="005769CB"/>
    <w:rsid w:val="00576A75"/>
    <w:rsid w:val="00576E49"/>
    <w:rsid w:val="00576F51"/>
    <w:rsid w:val="00577192"/>
    <w:rsid w:val="00577CF7"/>
    <w:rsid w:val="00580345"/>
    <w:rsid w:val="00580C8D"/>
    <w:rsid w:val="00580CF1"/>
    <w:rsid w:val="00580FBA"/>
    <w:rsid w:val="00581742"/>
    <w:rsid w:val="005817E6"/>
    <w:rsid w:val="00581884"/>
    <w:rsid w:val="005819E2"/>
    <w:rsid w:val="00581C10"/>
    <w:rsid w:val="00581DCF"/>
    <w:rsid w:val="00582170"/>
    <w:rsid w:val="005823B6"/>
    <w:rsid w:val="0058243B"/>
    <w:rsid w:val="00582522"/>
    <w:rsid w:val="00582548"/>
    <w:rsid w:val="00582BE3"/>
    <w:rsid w:val="00582BFA"/>
    <w:rsid w:val="00582C3B"/>
    <w:rsid w:val="00582D9C"/>
    <w:rsid w:val="00583026"/>
    <w:rsid w:val="00583121"/>
    <w:rsid w:val="0058355A"/>
    <w:rsid w:val="0058393A"/>
    <w:rsid w:val="00583ED8"/>
    <w:rsid w:val="0058413A"/>
    <w:rsid w:val="00584783"/>
    <w:rsid w:val="005848E0"/>
    <w:rsid w:val="00584A0E"/>
    <w:rsid w:val="00584FEB"/>
    <w:rsid w:val="005857C9"/>
    <w:rsid w:val="00585C43"/>
    <w:rsid w:val="00585EA9"/>
    <w:rsid w:val="00585EE7"/>
    <w:rsid w:val="005860AC"/>
    <w:rsid w:val="005862A9"/>
    <w:rsid w:val="0058671D"/>
    <w:rsid w:val="00586821"/>
    <w:rsid w:val="005868DE"/>
    <w:rsid w:val="00586C93"/>
    <w:rsid w:val="005877AC"/>
    <w:rsid w:val="00587C60"/>
    <w:rsid w:val="00587D2A"/>
    <w:rsid w:val="005901FA"/>
    <w:rsid w:val="005905A2"/>
    <w:rsid w:val="005905A4"/>
    <w:rsid w:val="00590608"/>
    <w:rsid w:val="00590945"/>
    <w:rsid w:val="00590DED"/>
    <w:rsid w:val="00590E2A"/>
    <w:rsid w:val="00590F47"/>
    <w:rsid w:val="00590FE5"/>
    <w:rsid w:val="00591433"/>
    <w:rsid w:val="0059144B"/>
    <w:rsid w:val="00591964"/>
    <w:rsid w:val="00591E60"/>
    <w:rsid w:val="005920BD"/>
    <w:rsid w:val="005921EC"/>
    <w:rsid w:val="005923E6"/>
    <w:rsid w:val="005926E6"/>
    <w:rsid w:val="005927BB"/>
    <w:rsid w:val="0059288D"/>
    <w:rsid w:val="00593415"/>
    <w:rsid w:val="0059342E"/>
    <w:rsid w:val="00593452"/>
    <w:rsid w:val="00593537"/>
    <w:rsid w:val="00593799"/>
    <w:rsid w:val="00593978"/>
    <w:rsid w:val="00593A62"/>
    <w:rsid w:val="0059414E"/>
    <w:rsid w:val="0059477A"/>
    <w:rsid w:val="00594872"/>
    <w:rsid w:val="005949F4"/>
    <w:rsid w:val="00594B37"/>
    <w:rsid w:val="00594B96"/>
    <w:rsid w:val="00594BB6"/>
    <w:rsid w:val="00594C1F"/>
    <w:rsid w:val="00594D94"/>
    <w:rsid w:val="00595151"/>
    <w:rsid w:val="00595350"/>
    <w:rsid w:val="005958DA"/>
    <w:rsid w:val="00595B0E"/>
    <w:rsid w:val="00596141"/>
    <w:rsid w:val="0059625F"/>
    <w:rsid w:val="0059659B"/>
    <w:rsid w:val="005966B7"/>
    <w:rsid w:val="00596F1B"/>
    <w:rsid w:val="005973B1"/>
    <w:rsid w:val="00597B0C"/>
    <w:rsid w:val="005A008B"/>
    <w:rsid w:val="005A00E8"/>
    <w:rsid w:val="005A0171"/>
    <w:rsid w:val="005A083E"/>
    <w:rsid w:val="005A0918"/>
    <w:rsid w:val="005A0D19"/>
    <w:rsid w:val="005A0F55"/>
    <w:rsid w:val="005A0FC6"/>
    <w:rsid w:val="005A1019"/>
    <w:rsid w:val="005A1040"/>
    <w:rsid w:val="005A110F"/>
    <w:rsid w:val="005A1972"/>
    <w:rsid w:val="005A1F35"/>
    <w:rsid w:val="005A2315"/>
    <w:rsid w:val="005A2ACF"/>
    <w:rsid w:val="005A2B1A"/>
    <w:rsid w:val="005A3094"/>
    <w:rsid w:val="005A319E"/>
    <w:rsid w:val="005A346A"/>
    <w:rsid w:val="005A3D1F"/>
    <w:rsid w:val="005A3E41"/>
    <w:rsid w:val="005A45B1"/>
    <w:rsid w:val="005A48D3"/>
    <w:rsid w:val="005A4AC1"/>
    <w:rsid w:val="005A4D58"/>
    <w:rsid w:val="005A4DD3"/>
    <w:rsid w:val="005A5089"/>
    <w:rsid w:val="005A519C"/>
    <w:rsid w:val="005A584C"/>
    <w:rsid w:val="005A59FA"/>
    <w:rsid w:val="005A5B9E"/>
    <w:rsid w:val="005A6376"/>
    <w:rsid w:val="005A64B6"/>
    <w:rsid w:val="005A669F"/>
    <w:rsid w:val="005A67F7"/>
    <w:rsid w:val="005A697F"/>
    <w:rsid w:val="005A6999"/>
    <w:rsid w:val="005A6A7C"/>
    <w:rsid w:val="005A6F1F"/>
    <w:rsid w:val="005A6FFC"/>
    <w:rsid w:val="005A708C"/>
    <w:rsid w:val="005A70C6"/>
    <w:rsid w:val="005A70F6"/>
    <w:rsid w:val="005A72EF"/>
    <w:rsid w:val="005A739A"/>
    <w:rsid w:val="005A74EE"/>
    <w:rsid w:val="005A7501"/>
    <w:rsid w:val="005A7602"/>
    <w:rsid w:val="005A765B"/>
    <w:rsid w:val="005A7A04"/>
    <w:rsid w:val="005A7C81"/>
    <w:rsid w:val="005A7DE9"/>
    <w:rsid w:val="005A7EA6"/>
    <w:rsid w:val="005B016D"/>
    <w:rsid w:val="005B02A5"/>
    <w:rsid w:val="005B0392"/>
    <w:rsid w:val="005B0765"/>
    <w:rsid w:val="005B0A58"/>
    <w:rsid w:val="005B0AB9"/>
    <w:rsid w:val="005B0B25"/>
    <w:rsid w:val="005B0B5E"/>
    <w:rsid w:val="005B0C11"/>
    <w:rsid w:val="005B0D38"/>
    <w:rsid w:val="005B10F3"/>
    <w:rsid w:val="005B1357"/>
    <w:rsid w:val="005B135E"/>
    <w:rsid w:val="005B142A"/>
    <w:rsid w:val="005B14B7"/>
    <w:rsid w:val="005B15EA"/>
    <w:rsid w:val="005B216C"/>
    <w:rsid w:val="005B217E"/>
    <w:rsid w:val="005B2323"/>
    <w:rsid w:val="005B2416"/>
    <w:rsid w:val="005B2FB2"/>
    <w:rsid w:val="005B306F"/>
    <w:rsid w:val="005B315B"/>
    <w:rsid w:val="005B3197"/>
    <w:rsid w:val="005B3530"/>
    <w:rsid w:val="005B38D7"/>
    <w:rsid w:val="005B3C2F"/>
    <w:rsid w:val="005B3CAF"/>
    <w:rsid w:val="005B48BF"/>
    <w:rsid w:val="005B579A"/>
    <w:rsid w:val="005B5A20"/>
    <w:rsid w:val="005B5E2A"/>
    <w:rsid w:val="005B604D"/>
    <w:rsid w:val="005B60DE"/>
    <w:rsid w:val="005B61B9"/>
    <w:rsid w:val="005B685C"/>
    <w:rsid w:val="005B6EF3"/>
    <w:rsid w:val="005B7454"/>
    <w:rsid w:val="005B7602"/>
    <w:rsid w:val="005B7B5B"/>
    <w:rsid w:val="005B7ED1"/>
    <w:rsid w:val="005C02A4"/>
    <w:rsid w:val="005C0401"/>
    <w:rsid w:val="005C050D"/>
    <w:rsid w:val="005C090C"/>
    <w:rsid w:val="005C0A76"/>
    <w:rsid w:val="005C0F6F"/>
    <w:rsid w:val="005C11CD"/>
    <w:rsid w:val="005C1537"/>
    <w:rsid w:val="005C1700"/>
    <w:rsid w:val="005C18DF"/>
    <w:rsid w:val="005C1D2E"/>
    <w:rsid w:val="005C2045"/>
    <w:rsid w:val="005C20D2"/>
    <w:rsid w:val="005C22EA"/>
    <w:rsid w:val="005C240D"/>
    <w:rsid w:val="005C24E5"/>
    <w:rsid w:val="005C2617"/>
    <w:rsid w:val="005C28A4"/>
    <w:rsid w:val="005C2A1A"/>
    <w:rsid w:val="005C2B1A"/>
    <w:rsid w:val="005C2D1C"/>
    <w:rsid w:val="005C2E6A"/>
    <w:rsid w:val="005C32FE"/>
    <w:rsid w:val="005C372A"/>
    <w:rsid w:val="005C384C"/>
    <w:rsid w:val="005C3DCD"/>
    <w:rsid w:val="005C4011"/>
    <w:rsid w:val="005C412B"/>
    <w:rsid w:val="005C4342"/>
    <w:rsid w:val="005C45E9"/>
    <w:rsid w:val="005C4BD8"/>
    <w:rsid w:val="005C4C54"/>
    <w:rsid w:val="005C4FF7"/>
    <w:rsid w:val="005C503A"/>
    <w:rsid w:val="005C5213"/>
    <w:rsid w:val="005C546E"/>
    <w:rsid w:val="005C54B6"/>
    <w:rsid w:val="005C54EC"/>
    <w:rsid w:val="005C5DF1"/>
    <w:rsid w:val="005C5DF8"/>
    <w:rsid w:val="005C649B"/>
    <w:rsid w:val="005C66B4"/>
    <w:rsid w:val="005C6C05"/>
    <w:rsid w:val="005C6CAA"/>
    <w:rsid w:val="005C72E0"/>
    <w:rsid w:val="005C7301"/>
    <w:rsid w:val="005C7368"/>
    <w:rsid w:val="005C73DA"/>
    <w:rsid w:val="005C7761"/>
    <w:rsid w:val="005C7768"/>
    <w:rsid w:val="005C787A"/>
    <w:rsid w:val="005C7BF0"/>
    <w:rsid w:val="005C7F1A"/>
    <w:rsid w:val="005C7F79"/>
    <w:rsid w:val="005C7FFC"/>
    <w:rsid w:val="005D024A"/>
    <w:rsid w:val="005D07D8"/>
    <w:rsid w:val="005D099C"/>
    <w:rsid w:val="005D1051"/>
    <w:rsid w:val="005D15B4"/>
    <w:rsid w:val="005D1605"/>
    <w:rsid w:val="005D19D2"/>
    <w:rsid w:val="005D19E2"/>
    <w:rsid w:val="005D1DB0"/>
    <w:rsid w:val="005D20F7"/>
    <w:rsid w:val="005D2347"/>
    <w:rsid w:val="005D24DE"/>
    <w:rsid w:val="005D2800"/>
    <w:rsid w:val="005D29AF"/>
    <w:rsid w:val="005D2C0E"/>
    <w:rsid w:val="005D2EE1"/>
    <w:rsid w:val="005D2EE3"/>
    <w:rsid w:val="005D3160"/>
    <w:rsid w:val="005D31FE"/>
    <w:rsid w:val="005D3535"/>
    <w:rsid w:val="005D35DD"/>
    <w:rsid w:val="005D3C49"/>
    <w:rsid w:val="005D47DA"/>
    <w:rsid w:val="005D4AFE"/>
    <w:rsid w:val="005D4DB6"/>
    <w:rsid w:val="005D4FD4"/>
    <w:rsid w:val="005D5113"/>
    <w:rsid w:val="005D5261"/>
    <w:rsid w:val="005D556A"/>
    <w:rsid w:val="005D5B9E"/>
    <w:rsid w:val="005D5BB2"/>
    <w:rsid w:val="005D6141"/>
    <w:rsid w:val="005D628C"/>
    <w:rsid w:val="005D6D64"/>
    <w:rsid w:val="005D70BA"/>
    <w:rsid w:val="005D7600"/>
    <w:rsid w:val="005D7C3B"/>
    <w:rsid w:val="005E0197"/>
    <w:rsid w:val="005E04F9"/>
    <w:rsid w:val="005E050B"/>
    <w:rsid w:val="005E0C51"/>
    <w:rsid w:val="005E10CF"/>
    <w:rsid w:val="005E110F"/>
    <w:rsid w:val="005E16F3"/>
    <w:rsid w:val="005E19C1"/>
    <w:rsid w:val="005E1BC1"/>
    <w:rsid w:val="005E21B3"/>
    <w:rsid w:val="005E260F"/>
    <w:rsid w:val="005E282F"/>
    <w:rsid w:val="005E294A"/>
    <w:rsid w:val="005E2ADE"/>
    <w:rsid w:val="005E2B3D"/>
    <w:rsid w:val="005E2CD5"/>
    <w:rsid w:val="005E3859"/>
    <w:rsid w:val="005E3B67"/>
    <w:rsid w:val="005E3C2E"/>
    <w:rsid w:val="005E425E"/>
    <w:rsid w:val="005E4317"/>
    <w:rsid w:val="005E439A"/>
    <w:rsid w:val="005E43D9"/>
    <w:rsid w:val="005E4492"/>
    <w:rsid w:val="005E47CC"/>
    <w:rsid w:val="005E50E2"/>
    <w:rsid w:val="005E5282"/>
    <w:rsid w:val="005E55CA"/>
    <w:rsid w:val="005E5817"/>
    <w:rsid w:val="005E5C66"/>
    <w:rsid w:val="005E6610"/>
    <w:rsid w:val="005E6771"/>
    <w:rsid w:val="005E68D6"/>
    <w:rsid w:val="005E69C9"/>
    <w:rsid w:val="005E6AF4"/>
    <w:rsid w:val="005E6C53"/>
    <w:rsid w:val="005E6E7B"/>
    <w:rsid w:val="005E6F0C"/>
    <w:rsid w:val="005E7136"/>
    <w:rsid w:val="005E735B"/>
    <w:rsid w:val="005E7931"/>
    <w:rsid w:val="005E7993"/>
    <w:rsid w:val="005E7A65"/>
    <w:rsid w:val="005E7AAC"/>
    <w:rsid w:val="005F01F9"/>
    <w:rsid w:val="005F02F2"/>
    <w:rsid w:val="005F035D"/>
    <w:rsid w:val="005F0483"/>
    <w:rsid w:val="005F04A9"/>
    <w:rsid w:val="005F0563"/>
    <w:rsid w:val="005F0935"/>
    <w:rsid w:val="005F0A28"/>
    <w:rsid w:val="005F10CE"/>
    <w:rsid w:val="005F11B6"/>
    <w:rsid w:val="005F146A"/>
    <w:rsid w:val="005F14B3"/>
    <w:rsid w:val="005F16BB"/>
    <w:rsid w:val="005F1770"/>
    <w:rsid w:val="005F1BAE"/>
    <w:rsid w:val="005F1F60"/>
    <w:rsid w:val="005F2376"/>
    <w:rsid w:val="005F23FB"/>
    <w:rsid w:val="005F2461"/>
    <w:rsid w:val="005F24F8"/>
    <w:rsid w:val="005F29F3"/>
    <w:rsid w:val="005F2D8F"/>
    <w:rsid w:val="005F2F6A"/>
    <w:rsid w:val="005F31CF"/>
    <w:rsid w:val="005F34EF"/>
    <w:rsid w:val="005F35CD"/>
    <w:rsid w:val="005F3952"/>
    <w:rsid w:val="005F3BFA"/>
    <w:rsid w:val="005F4343"/>
    <w:rsid w:val="005F453C"/>
    <w:rsid w:val="005F48DA"/>
    <w:rsid w:val="005F49C7"/>
    <w:rsid w:val="005F4EC8"/>
    <w:rsid w:val="005F5476"/>
    <w:rsid w:val="005F574E"/>
    <w:rsid w:val="005F5A38"/>
    <w:rsid w:val="005F5E5A"/>
    <w:rsid w:val="005F630E"/>
    <w:rsid w:val="005F6334"/>
    <w:rsid w:val="005F6561"/>
    <w:rsid w:val="005F680E"/>
    <w:rsid w:val="005F690A"/>
    <w:rsid w:val="005F6A8A"/>
    <w:rsid w:val="005F6B54"/>
    <w:rsid w:val="005F6D03"/>
    <w:rsid w:val="00600091"/>
    <w:rsid w:val="0060018C"/>
    <w:rsid w:val="00600200"/>
    <w:rsid w:val="006004F9"/>
    <w:rsid w:val="0060067F"/>
    <w:rsid w:val="00600BB9"/>
    <w:rsid w:val="00600FC4"/>
    <w:rsid w:val="006010F2"/>
    <w:rsid w:val="00601650"/>
    <w:rsid w:val="0060184C"/>
    <w:rsid w:val="006019A8"/>
    <w:rsid w:val="006019DB"/>
    <w:rsid w:val="00601DAA"/>
    <w:rsid w:val="00601F6B"/>
    <w:rsid w:val="0060207B"/>
    <w:rsid w:val="00602100"/>
    <w:rsid w:val="00602642"/>
    <w:rsid w:val="00602829"/>
    <w:rsid w:val="00602910"/>
    <w:rsid w:val="006029F8"/>
    <w:rsid w:val="00602B0F"/>
    <w:rsid w:val="00603367"/>
    <w:rsid w:val="006033C2"/>
    <w:rsid w:val="00603830"/>
    <w:rsid w:val="00603884"/>
    <w:rsid w:val="0060393E"/>
    <w:rsid w:val="00603BD2"/>
    <w:rsid w:val="00604984"/>
    <w:rsid w:val="00604EEF"/>
    <w:rsid w:val="006052A5"/>
    <w:rsid w:val="006057B0"/>
    <w:rsid w:val="00605927"/>
    <w:rsid w:val="00605AFD"/>
    <w:rsid w:val="006061C7"/>
    <w:rsid w:val="00606379"/>
    <w:rsid w:val="00606384"/>
    <w:rsid w:val="006068BC"/>
    <w:rsid w:val="00606989"/>
    <w:rsid w:val="00606D4A"/>
    <w:rsid w:val="00606E5E"/>
    <w:rsid w:val="00607083"/>
    <w:rsid w:val="00607508"/>
    <w:rsid w:val="00607709"/>
    <w:rsid w:val="00607E6D"/>
    <w:rsid w:val="00610035"/>
    <w:rsid w:val="006105EA"/>
    <w:rsid w:val="0061075D"/>
    <w:rsid w:val="00610AD8"/>
    <w:rsid w:val="00611086"/>
    <w:rsid w:val="0061121B"/>
    <w:rsid w:val="00611B0C"/>
    <w:rsid w:val="00611C6E"/>
    <w:rsid w:val="00611D56"/>
    <w:rsid w:val="006123C2"/>
    <w:rsid w:val="006123D4"/>
    <w:rsid w:val="006123E1"/>
    <w:rsid w:val="00612429"/>
    <w:rsid w:val="006125D2"/>
    <w:rsid w:val="006129E0"/>
    <w:rsid w:val="00612C27"/>
    <w:rsid w:val="00612C9D"/>
    <w:rsid w:val="00612ED4"/>
    <w:rsid w:val="006132DB"/>
    <w:rsid w:val="006132DF"/>
    <w:rsid w:val="00613498"/>
    <w:rsid w:val="006136C1"/>
    <w:rsid w:val="006139D3"/>
    <w:rsid w:val="00613A55"/>
    <w:rsid w:val="00613D8D"/>
    <w:rsid w:val="00614030"/>
    <w:rsid w:val="0061445B"/>
    <w:rsid w:val="006149E1"/>
    <w:rsid w:val="00614FCB"/>
    <w:rsid w:val="0061526E"/>
    <w:rsid w:val="00615821"/>
    <w:rsid w:val="0061590B"/>
    <w:rsid w:val="00615BC3"/>
    <w:rsid w:val="00615D9B"/>
    <w:rsid w:val="00615F72"/>
    <w:rsid w:val="00616085"/>
    <w:rsid w:val="00616476"/>
    <w:rsid w:val="006164BF"/>
    <w:rsid w:val="00616962"/>
    <w:rsid w:val="00616BE0"/>
    <w:rsid w:val="00616D21"/>
    <w:rsid w:val="00616FD9"/>
    <w:rsid w:val="00616FF3"/>
    <w:rsid w:val="00617110"/>
    <w:rsid w:val="00617186"/>
    <w:rsid w:val="00617336"/>
    <w:rsid w:val="0061744A"/>
    <w:rsid w:val="0061759C"/>
    <w:rsid w:val="006178C0"/>
    <w:rsid w:val="00617A0B"/>
    <w:rsid w:val="00617A75"/>
    <w:rsid w:val="00617C8D"/>
    <w:rsid w:val="00617E2C"/>
    <w:rsid w:val="00617E77"/>
    <w:rsid w:val="00620636"/>
    <w:rsid w:val="00620686"/>
    <w:rsid w:val="006207AD"/>
    <w:rsid w:val="00620B48"/>
    <w:rsid w:val="0062115C"/>
    <w:rsid w:val="0062117B"/>
    <w:rsid w:val="006212B3"/>
    <w:rsid w:val="00621A9A"/>
    <w:rsid w:val="00621B21"/>
    <w:rsid w:val="00621B3D"/>
    <w:rsid w:val="006223E7"/>
    <w:rsid w:val="00622403"/>
    <w:rsid w:val="006224D6"/>
    <w:rsid w:val="00622688"/>
    <w:rsid w:val="0062299A"/>
    <w:rsid w:val="00622BA4"/>
    <w:rsid w:val="00623096"/>
    <w:rsid w:val="00623233"/>
    <w:rsid w:val="006232FA"/>
    <w:rsid w:val="00623ABF"/>
    <w:rsid w:val="00623DF1"/>
    <w:rsid w:val="00623E1D"/>
    <w:rsid w:val="00623F58"/>
    <w:rsid w:val="006242D5"/>
    <w:rsid w:val="0062455E"/>
    <w:rsid w:val="006248ED"/>
    <w:rsid w:val="00624AAD"/>
    <w:rsid w:val="00624C4B"/>
    <w:rsid w:val="00624DC3"/>
    <w:rsid w:val="00624F52"/>
    <w:rsid w:val="006253EE"/>
    <w:rsid w:val="00625A29"/>
    <w:rsid w:val="00625CE9"/>
    <w:rsid w:val="006262F1"/>
    <w:rsid w:val="006267C4"/>
    <w:rsid w:val="00626AE1"/>
    <w:rsid w:val="00626AEB"/>
    <w:rsid w:val="00626C82"/>
    <w:rsid w:val="00626FE4"/>
    <w:rsid w:val="006270A4"/>
    <w:rsid w:val="00627496"/>
    <w:rsid w:val="0062775E"/>
    <w:rsid w:val="006301DC"/>
    <w:rsid w:val="00630366"/>
    <w:rsid w:val="0063055F"/>
    <w:rsid w:val="0063064E"/>
    <w:rsid w:val="00630781"/>
    <w:rsid w:val="00630784"/>
    <w:rsid w:val="00630876"/>
    <w:rsid w:val="00630B15"/>
    <w:rsid w:val="00630CC9"/>
    <w:rsid w:val="00631999"/>
    <w:rsid w:val="006319EE"/>
    <w:rsid w:val="0063208F"/>
    <w:rsid w:val="0063217F"/>
    <w:rsid w:val="0063232C"/>
    <w:rsid w:val="006327F7"/>
    <w:rsid w:val="00632C88"/>
    <w:rsid w:val="00632EAD"/>
    <w:rsid w:val="0063325F"/>
    <w:rsid w:val="00633295"/>
    <w:rsid w:val="006332BF"/>
    <w:rsid w:val="006332E4"/>
    <w:rsid w:val="006332F2"/>
    <w:rsid w:val="00633637"/>
    <w:rsid w:val="0063364E"/>
    <w:rsid w:val="006339EE"/>
    <w:rsid w:val="00633B79"/>
    <w:rsid w:val="00634017"/>
    <w:rsid w:val="006344BF"/>
    <w:rsid w:val="006345B5"/>
    <w:rsid w:val="006345DB"/>
    <w:rsid w:val="00634958"/>
    <w:rsid w:val="00634BF1"/>
    <w:rsid w:val="00634D84"/>
    <w:rsid w:val="0063561F"/>
    <w:rsid w:val="00635A59"/>
    <w:rsid w:val="00635D44"/>
    <w:rsid w:val="00635E20"/>
    <w:rsid w:val="00635F38"/>
    <w:rsid w:val="00636004"/>
    <w:rsid w:val="006372F0"/>
    <w:rsid w:val="00637806"/>
    <w:rsid w:val="00637B23"/>
    <w:rsid w:val="00637C07"/>
    <w:rsid w:val="00637C9D"/>
    <w:rsid w:val="00637D94"/>
    <w:rsid w:val="00637F88"/>
    <w:rsid w:val="00640075"/>
    <w:rsid w:val="006400CF"/>
    <w:rsid w:val="0064040C"/>
    <w:rsid w:val="00640CB5"/>
    <w:rsid w:val="00640D9D"/>
    <w:rsid w:val="00640DAC"/>
    <w:rsid w:val="00640DD4"/>
    <w:rsid w:val="00640ED7"/>
    <w:rsid w:val="00640FE5"/>
    <w:rsid w:val="0064136F"/>
    <w:rsid w:val="006413B4"/>
    <w:rsid w:val="00641997"/>
    <w:rsid w:val="00641F2A"/>
    <w:rsid w:val="0064214C"/>
    <w:rsid w:val="006424AE"/>
    <w:rsid w:val="00642552"/>
    <w:rsid w:val="00642656"/>
    <w:rsid w:val="006426E2"/>
    <w:rsid w:val="006428AF"/>
    <w:rsid w:val="00642BB6"/>
    <w:rsid w:val="00642D6B"/>
    <w:rsid w:val="00642DB1"/>
    <w:rsid w:val="00642E9A"/>
    <w:rsid w:val="00642F81"/>
    <w:rsid w:val="0064302F"/>
    <w:rsid w:val="00643094"/>
    <w:rsid w:val="0064326F"/>
    <w:rsid w:val="006437A7"/>
    <w:rsid w:val="006442D5"/>
    <w:rsid w:val="0064438D"/>
    <w:rsid w:val="006445DD"/>
    <w:rsid w:val="00644B4D"/>
    <w:rsid w:val="00644BAF"/>
    <w:rsid w:val="00644CCC"/>
    <w:rsid w:val="006454DF"/>
    <w:rsid w:val="00645609"/>
    <w:rsid w:val="00645719"/>
    <w:rsid w:val="00645C6D"/>
    <w:rsid w:val="0064619D"/>
    <w:rsid w:val="0064638D"/>
    <w:rsid w:val="006463C0"/>
    <w:rsid w:val="006465A8"/>
    <w:rsid w:val="00646786"/>
    <w:rsid w:val="00646D56"/>
    <w:rsid w:val="00646D62"/>
    <w:rsid w:val="0064712B"/>
    <w:rsid w:val="00647B87"/>
    <w:rsid w:val="00647C7A"/>
    <w:rsid w:val="00647F0B"/>
    <w:rsid w:val="00650389"/>
    <w:rsid w:val="00650877"/>
    <w:rsid w:val="006508D8"/>
    <w:rsid w:val="00650F0A"/>
    <w:rsid w:val="006511D8"/>
    <w:rsid w:val="0065172A"/>
    <w:rsid w:val="006518FF"/>
    <w:rsid w:val="00651AB3"/>
    <w:rsid w:val="00651AE5"/>
    <w:rsid w:val="00651BC1"/>
    <w:rsid w:val="00651CE0"/>
    <w:rsid w:val="00651D21"/>
    <w:rsid w:val="006521DB"/>
    <w:rsid w:val="006522BC"/>
    <w:rsid w:val="0065265D"/>
    <w:rsid w:val="0065276B"/>
    <w:rsid w:val="00652C9F"/>
    <w:rsid w:val="0065330D"/>
    <w:rsid w:val="0065363C"/>
    <w:rsid w:val="006538EE"/>
    <w:rsid w:val="006539AD"/>
    <w:rsid w:val="00653A08"/>
    <w:rsid w:val="006542F0"/>
    <w:rsid w:val="00654B33"/>
    <w:rsid w:val="00654EE3"/>
    <w:rsid w:val="00654F4B"/>
    <w:rsid w:val="006553DE"/>
    <w:rsid w:val="006559DE"/>
    <w:rsid w:val="00655DC1"/>
    <w:rsid w:val="00656022"/>
    <w:rsid w:val="00656689"/>
    <w:rsid w:val="00656918"/>
    <w:rsid w:val="00656C75"/>
    <w:rsid w:val="00656CEE"/>
    <w:rsid w:val="00657386"/>
    <w:rsid w:val="00657639"/>
    <w:rsid w:val="006576E1"/>
    <w:rsid w:val="0065786E"/>
    <w:rsid w:val="0065791E"/>
    <w:rsid w:val="00657D4C"/>
    <w:rsid w:val="0066008B"/>
    <w:rsid w:val="0066010A"/>
    <w:rsid w:val="0066065E"/>
    <w:rsid w:val="00660B59"/>
    <w:rsid w:val="00661BA0"/>
    <w:rsid w:val="00661E3E"/>
    <w:rsid w:val="006620A0"/>
    <w:rsid w:val="0066248B"/>
    <w:rsid w:val="00662DED"/>
    <w:rsid w:val="00662FED"/>
    <w:rsid w:val="006632D9"/>
    <w:rsid w:val="0066337F"/>
    <w:rsid w:val="00663551"/>
    <w:rsid w:val="0066362C"/>
    <w:rsid w:val="00663A06"/>
    <w:rsid w:val="00663D4E"/>
    <w:rsid w:val="0066409A"/>
    <w:rsid w:val="00664186"/>
    <w:rsid w:val="00664294"/>
    <w:rsid w:val="006647C7"/>
    <w:rsid w:val="006649CD"/>
    <w:rsid w:val="00664AB0"/>
    <w:rsid w:val="00664B38"/>
    <w:rsid w:val="00664C98"/>
    <w:rsid w:val="00664E65"/>
    <w:rsid w:val="00665138"/>
    <w:rsid w:val="006651A9"/>
    <w:rsid w:val="00665315"/>
    <w:rsid w:val="0066559F"/>
    <w:rsid w:val="006655AF"/>
    <w:rsid w:val="0066561F"/>
    <w:rsid w:val="006659E9"/>
    <w:rsid w:val="00665B54"/>
    <w:rsid w:val="00665E9B"/>
    <w:rsid w:val="006665B9"/>
    <w:rsid w:val="006666F7"/>
    <w:rsid w:val="00666707"/>
    <w:rsid w:val="00666AC5"/>
    <w:rsid w:val="00666BBA"/>
    <w:rsid w:val="00666DB3"/>
    <w:rsid w:val="006672FA"/>
    <w:rsid w:val="0066752B"/>
    <w:rsid w:val="006677B0"/>
    <w:rsid w:val="00667877"/>
    <w:rsid w:val="00667FE8"/>
    <w:rsid w:val="006701F1"/>
    <w:rsid w:val="0067022D"/>
    <w:rsid w:val="006708E7"/>
    <w:rsid w:val="00670DF4"/>
    <w:rsid w:val="00670E09"/>
    <w:rsid w:val="00670E17"/>
    <w:rsid w:val="006711FF"/>
    <w:rsid w:val="00671486"/>
    <w:rsid w:val="00671A3A"/>
    <w:rsid w:val="00671A93"/>
    <w:rsid w:val="00672256"/>
    <w:rsid w:val="0067229F"/>
    <w:rsid w:val="0067234A"/>
    <w:rsid w:val="006728F3"/>
    <w:rsid w:val="00672ADE"/>
    <w:rsid w:val="00672C7C"/>
    <w:rsid w:val="00672D00"/>
    <w:rsid w:val="00672F7E"/>
    <w:rsid w:val="00673BF7"/>
    <w:rsid w:val="00673F9D"/>
    <w:rsid w:val="00674C58"/>
    <w:rsid w:val="006751D0"/>
    <w:rsid w:val="0067522A"/>
    <w:rsid w:val="00675322"/>
    <w:rsid w:val="006754B2"/>
    <w:rsid w:val="006755C5"/>
    <w:rsid w:val="006757B1"/>
    <w:rsid w:val="0067622C"/>
    <w:rsid w:val="00676A67"/>
    <w:rsid w:val="0067706C"/>
    <w:rsid w:val="006770DC"/>
    <w:rsid w:val="00677265"/>
    <w:rsid w:val="0067726D"/>
    <w:rsid w:val="006777BF"/>
    <w:rsid w:val="00677953"/>
    <w:rsid w:val="00677A76"/>
    <w:rsid w:val="00677B6C"/>
    <w:rsid w:val="006801AC"/>
    <w:rsid w:val="00680433"/>
    <w:rsid w:val="00680548"/>
    <w:rsid w:val="0068058B"/>
    <w:rsid w:val="006808C8"/>
    <w:rsid w:val="00681164"/>
    <w:rsid w:val="00681338"/>
    <w:rsid w:val="00681490"/>
    <w:rsid w:val="00681890"/>
    <w:rsid w:val="00681957"/>
    <w:rsid w:val="00681A36"/>
    <w:rsid w:val="00681AB7"/>
    <w:rsid w:val="00681D6F"/>
    <w:rsid w:val="00681D72"/>
    <w:rsid w:val="00681E20"/>
    <w:rsid w:val="00681E59"/>
    <w:rsid w:val="00681F9B"/>
    <w:rsid w:val="00682593"/>
    <w:rsid w:val="0068261F"/>
    <w:rsid w:val="00682825"/>
    <w:rsid w:val="0068294E"/>
    <w:rsid w:val="00682AFE"/>
    <w:rsid w:val="00682BD3"/>
    <w:rsid w:val="006831F6"/>
    <w:rsid w:val="0068372A"/>
    <w:rsid w:val="006838C7"/>
    <w:rsid w:val="006839EE"/>
    <w:rsid w:val="00683B07"/>
    <w:rsid w:val="00683F71"/>
    <w:rsid w:val="006841C1"/>
    <w:rsid w:val="006842D7"/>
    <w:rsid w:val="006842D9"/>
    <w:rsid w:val="00684466"/>
    <w:rsid w:val="00684563"/>
    <w:rsid w:val="00684E75"/>
    <w:rsid w:val="00684FC0"/>
    <w:rsid w:val="006853E6"/>
    <w:rsid w:val="0068553F"/>
    <w:rsid w:val="0068558B"/>
    <w:rsid w:val="0068574B"/>
    <w:rsid w:val="00685894"/>
    <w:rsid w:val="00685CF7"/>
    <w:rsid w:val="00686160"/>
    <w:rsid w:val="00686165"/>
    <w:rsid w:val="006863BE"/>
    <w:rsid w:val="00686B8C"/>
    <w:rsid w:val="00686C82"/>
    <w:rsid w:val="00687189"/>
    <w:rsid w:val="006871B9"/>
    <w:rsid w:val="00687263"/>
    <w:rsid w:val="0068762C"/>
    <w:rsid w:val="00687632"/>
    <w:rsid w:val="0068765C"/>
    <w:rsid w:val="006876FD"/>
    <w:rsid w:val="0068788D"/>
    <w:rsid w:val="006878DF"/>
    <w:rsid w:val="006879B0"/>
    <w:rsid w:val="00687C3C"/>
    <w:rsid w:val="006908EA"/>
    <w:rsid w:val="00690972"/>
    <w:rsid w:val="00690DF0"/>
    <w:rsid w:val="00690DF5"/>
    <w:rsid w:val="00690E9C"/>
    <w:rsid w:val="0069118C"/>
    <w:rsid w:val="006912D1"/>
    <w:rsid w:val="006918D4"/>
    <w:rsid w:val="00691A73"/>
    <w:rsid w:val="00691ABE"/>
    <w:rsid w:val="00691CB5"/>
    <w:rsid w:val="00691EA2"/>
    <w:rsid w:val="006922B0"/>
    <w:rsid w:val="0069230C"/>
    <w:rsid w:val="006923DF"/>
    <w:rsid w:val="00692644"/>
    <w:rsid w:val="00692773"/>
    <w:rsid w:val="006929EB"/>
    <w:rsid w:val="00692C67"/>
    <w:rsid w:val="00692FF2"/>
    <w:rsid w:val="0069359C"/>
    <w:rsid w:val="006935B4"/>
    <w:rsid w:val="00693E44"/>
    <w:rsid w:val="006940A9"/>
    <w:rsid w:val="006941C1"/>
    <w:rsid w:val="0069422A"/>
    <w:rsid w:val="0069444C"/>
    <w:rsid w:val="00694729"/>
    <w:rsid w:val="006947DC"/>
    <w:rsid w:val="006947ED"/>
    <w:rsid w:val="00694838"/>
    <w:rsid w:val="0069488A"/>
    <w:rsid w:val="00694F3B"/>
    <w:rsid w:val="00694F43"/>
    <w:rsid w:val="00694FC0"/>
    <w:rsid w:val="00695537"/>
    <w:rsid w:val="006955B0"/>
    <w:rsid w:val="0069568F"/>
    <w:rsid w:val="0069599E"/>
    <w:rsid w:val="00695D25"/>
    <w:rsid w:val="00695D5A"/>
    <w:rsid w:val="00695FA0"/>
    <w:rsid w:val="00696088"/>
    <w:rsid w:val="006965E7"/>
    <w:rsid w:val="00696740"/>
    <w:rsid w:val="006967B9"/>
    <w:rsid w:val="00696A2A"/>
    <w:rsid w:val="00696A5C"/>
    <w:rsid w:val="00696DA4"/>
    <w:rsid w:val="006976CF"/>
    <w:rsid w:val="006A0411"/>
    <w:rsid w:val="006A0449"/>
    <w:rsid w:val="006A0769"/>
    <w:rsid w:val="006A076B"/>
    <w:rsid w:val="006A08D7"/>
    <w:rsid w:val="006A099D"/>
    <w:rsid w:val="006A1045"/>
    <w:rsid w:val="006A1245"/>
    <w:rsid w:val="006A156F"/>
    <w:rsid w:val="006A167F"/>
    <w:rsid w:val="006A17B6"/>
    <w:rsid w:val="006A199E"/>
    <w:rsid w:val="006A1C46"/>
    <w:rsid w:val="006A2713"/>
    <w:rsid w:val="006A2A3B"/>
    <w:rsid w:val="006A2A5B"/>
    <w:rsid w:val="006A2D2D"/>
    <w:rsid w:val="006A2F1D"/>
    <w:rsid w:val="006A2FE7"/>
    <w:rsid w:val="006A32A3"/>
    <w:rsid w:val="006A3453"/>
    <w:rsid w:val="006A3600"/>
    <w:rsid w:val="006A36B8"/>
    <w:rsid w:val="006A37DF"/>
    <w:rsid w:val="006A37F5"/>
    <w:rsid w:val="006A39CA"/>
    <w:rsid w:val="006A3B7C"/>
    <w:rsid w:val="006A3D03"/>
    <w:rsid w:val="006A3F0E"/>
    <w:rsid w:val="006A415D"/>
    <w:rsid w:val="006A41A7"/>
    <w:rsid w:val="006A41F3"/>
    <w:rsid w:val="006A422E"/>
    <w:rsid w:val="006A4EA0"/>
    <w:rsid w:val="006A584D"/>
    <w:rsid w:val="006A5962"/>
    <w:rsid w:val="006A5BCF"/>
    <w:rsid w:val="006A5C00"/>
    <w:rsid w:val="006A5DBE"/>
    <w:rsid w:val="006A65DB"/>
    <w:rsid w:val="006A66BB"/>
    <w:rsid w:val="006A6A1A"/>
    <w:rsid w:val="006A6C31"/>
    <w:rsid w:val="006A728B"/>
    <w:rsid w:val="006A73A2"/>
    <w:rsid w:val="006A7740"/>
    <w:rsid w:val="006A78B5"/>
    <w:rsid w:val="006A7AB4"/>
    <w:rsid w:val="006B0056"/>
    <w:rsid w:val="006B007A"/>
    <w:rsid w:val="006B08A5"/>
    <w:rsid w:val="006B0E3E"/>
    <w:rsid w:val="006B1661"/>
    <w:rsid w:val="006B1CA2"/>
    <w:rsid w:val="006B1CE5"/>
    <w:rsid w:val="006B1EC4"/>
    <w:rsid w:val="006B20EE"/>
    <w:rsid w:val="006B24A8"/>
    <w:rsid w:val="006B38FF"/>
    <w:rsid w:val="006B39CC"/>
    <w:rsid w:val="006B3BA6"/>
    <w:rsid w:val="006B3CD5"/>
    <w:rsid w:val="006B3D76"/>
    <w:rsid w:val="006B3F4F"/>
    <w:rsid w:val="006B44AB"/>
    <w:rsid w:val="006B4671"/>
    <w:rsid w:val="006B4B1B"/>
    <w:rsid w:val="006B51E7"/>
    <w:rsid w:val="006B5986"/>
    <w:rsid w:val="006B5DBD"/>
    <w:rsid w:val="006B6786"/>
    <w:rsid w:val="006B6E81"/>
    <w:rsid w:val="006B6EAD"/>
    <w:rsid w:val="006B6F29"/>
    <w:rsid w:val="006B7AFB"/>
    <w:rsid w:val="006B7B1C"/>
    <w:rsid w:val="006B7C47"/>
    <w:rsid w:val="006C006D"/>
    <w:rsid w:val="006C0314"/>
    <w:rsid w:val="006C0AC4"/>
    <w:rsid w:val="006C0D37"/>
    <w:rsid w:val="006C0DE6"/>
    <w:rsid w:val="006C0E59"/>
    <w:rsid w:val="006C17ED"/>
    <w:rsid w:val="006C1863"/>
    <w:rsid w:val="006C1892"/>
    <w:rsid w:val="006C1A0F"/>
    <w:rsid w:val="006C1D96"/>
    <w:rsid w:val="006C23CB"/>
    <w:rsid w:val="006C2792"/>
    <w:rsid w:val="006C2CA9"/>
    <w:rsid w:val="006C303F"/>
    <w:rsid w:val="006C31DD"/>
    <w:rsid w:val="006C32CD"/>
    <w:rsid w:val="006C3395"/>
    <w:rsid w:val="006C3B07"/>
    <w:rsid w:val="006C3F9F"/>
    <w:rsid w:val="006C3FA8"/>
    <w:rsid w:val="006C4750"/>
    <w:rsid w:val="006C48D5"/>
    <w:rsid w:val="006C4B09"/>
    <w:rsid w:val="006C4C30"/>
    <w:rsid w:val="006C4E2E"/>
    <w:rsid w:val="006C4FA4"/>
    <w:rsid w:val="006C5036"/>
    <w:rsid w:val="006C5101"/>
    <w:rsid w:val="006C5263"/>
    <w:rsid w:val="006C530D"/>
    <w:rsid w:val="006C557E"/>
    <w:rsid w:val="006C56FB"/>
    <w:rsid w:val="006C593F"/>
    <w:rsid w:val="006C5A00"/>
    <w:rsid w:val="006C5AD6"/>
    <w:rsid w:val="006C5B73"/>
    <w:rsid w:val="006C624C"/>
    <w:rsid w:val="006C645D"/>
    <w:rsid w:val="006C665B"/>
    <w:rsid w:val="006C6801"/>
    <w:rsid w:val="006C6AF5"/>
    <w:rsid w:val="006C6C2F"/>
    <w:rsid w:val="006C6ECD"/>
    <w:rsid w:val="006C6F51"/>
    <w:rsid w:val="006C6F69"/>
    <w:rsid w:val="006C6FCF"/>
    <w:rsid w:val="006C7082"/>
    <w:rsid w:val="006C71F3"/>
    <w:rsid w:val="006C7F20"/>
    <w:rsid w:val="006D04FE"/>
    <w:rsid w:val="006D0744"/>
    <w:rsid w:val="006D0975"/>
    <w:rsid w:val="006D0D6B"/>
    <w:rsid w:val="006D0DB4"/>
    <w:rsid w:val="006D1136"/>
    <w:rsid w:val="006D1163"/>
    <w:rsid w:val="006D1191"/>
    <w:rsid w:val="006D12DD"/>
    <w:rsid w:val="006D1C1A"/>
    <w:rsid w:val="006D21C3"/>
    <w:rsid w:val="006D23D2"/>
    <w:rsid w:val="006D2685"/>
    <w:rsid w:val="006D26FF"/>
    <w:rsid w:val="006D2885"/>
    <w:rsid w:val="006D3244"/>
    <w:rsid w:val="006D37D8"/>
    <w:rsid w:val="006D3804"/>
    <w:rsid w:val="006D38E7"/>
    <w:rsid w:val="006D39EB"/>
    <w:rsid w:val="006D3A5B"/>
    <w:rsid w:val="006D3E7A"/>
    <w:rsid w:val="006D3EAE"/>
    <w:rsid w:val="006D3F9E"/>
    <w:rsid w:val="006D4059"/>
    <w:rsid w:val="006D440B"/>
    <w:rsid w:val="006D49B8"/>
    <w:rsid w:val="006D4BA0"/>
    <w:rsid w:val="006D4C29"/>
    <w:rsid w:val="006D4CB2"/>
    <w:rsid w:val="006D5038"/>
    <w:rsid w:val="006D513B"/>
    <w:rsid w:val="006D5226"/>
    <w:rsid w:val="006D52A7"/>
    <w:rsid w:val="006D53AC"/>
    <w:rsid w:val="006D5978"/>
    <w:rsid w:val="006D5B54"/>
    <w:rsid w:val="006D5BA2"/>
    <w:rsid w:val="006D5C8B"/>
    <w:rsid w:val="006D5FA8"/>
    <w:rsid w:val="006D6012"/>
    <w:rsid w:val="006D6306"/>
    <w:rsid w:val="006D630D"/>
    <w:rsid w:val="006D6474"/>
    <w:rsid w:val="006D6516"/>
    <w:rsid w:val="006D68E2"/>
    <w:rsid w:val="006D7BAF"/>
    <w:rsid w:val="006D7E68"/>
    <w:rsid w:val="006D7E96"/>
    <w:rsid w:val="006D7FFE"/>
    <w:rsid w:val="006E0202"/>
    <w:rsid w:val="006E0209"/>
    <w:rsid w:val="006E02D6"/>
    <w:rsid w:val="006E08A6"/>
    <w:rsid w:val="006E09CA"/>
    <w:rsid w:val="006E0B8A"/>
    <w:rsid w:val="006E0C04"/>
    <w:rsid w:val="006E0C53"/>
    <w:rsid w:val="006E13EB"/>
    <w:rsid w:val="006E13F6"/>
    <w:rsid w:val="006E1A05"/>
    <w:rsid w:val="006E200B"/>
    <w:rsid w:val="006E216E"/>
    <w:rsid w:val="006E25DC"/>
    <w:rsid w:val="006E281C"/>
    <w:rsid w:val="006E2C8F"/>
    <w:rsid w:val="006E2D2A"/>
    <w:rsid w:val="006E328C"/>
    <w:rsid w:val="006E3390"/>
    <w:rsid w:val="006E35C5"/>
    <w:rsid w:val="006E36CA"/>
    <w:rsid w:val="006E3754"/>
    <w:rsid w:val="006E3847"/>
    <w:rsid w:val="006E3CC3"/>
    <w:rsid w:val="006E3D4D"/>
    <w:rsid w:val="006E3DC1"/>
    <w:rsid w:val="006E42B8"/>
    <w:rsid w:val="006E42B9"/>
    <w:rsid w:val="006E4314"/>
    <w:rsid w:val="006E49D4"/>
    <w:rsid w:val="006E54F4"/>
    <w:rsid w:val="006E5521"/>
    <w:rsid w:val="006E55DB"/>
    <w:rsid w:val="006E586D"/>
    <w:rsid w:val="006E5AE6"/>
    <w:rsid w:val="006E5D91"/>
    <w:rsid w:val="006E6192"/>
    <w:rsid w:val="006E671C"/>
    <w:rsid w:val="006E67E9"/>
    <w:rsid w:val="006E6933"/>
    <w:rsid w:val="006E693A"/>
    <w:rsid w:val="006E6987"/>
    <w:rsid w:val="006E6B13"/>
    <w:rsid w:val="006E6DDD"/>
    <w:rsid w:val="006E6DF0"/>
    <w:rsid w:val="006E7069"/>
    <w:rsid w:val="006E7723"/>
    <w:rsid w:val="006E7775"/>
    <w:rsid w:val="006E77F0"/>
    <w:rsid w:val="006E7BDB"/>
    <w:rsid w:val="006E7D50"/>
    <w:rsid w:val="006E7FF1"/>
    <w:rsid w:val="006F0163"/>
    <w:rsid w:val="006F03D9"/>
    <w:rsid w:val="006F0516"/>
    <w:rsid w:val="006F064B"/>
    <w:rsid w:val="006F0750"/>
    <w:rsid w:val="006F07D1"/>
    <w:rsid w:val="006F0829"/>
    <w:rsid w:val="006F0A0F"/>
    <w:rsid w:val="006F11F0"/>
    <w:rsid w:val="006F1D89"/>
    <w:rsid w:val="006F1EEC"/>
    <w:rsid w:val="006F2185"/>
    <w:rsid w:val="006F2524"/>
    <w:rsid w:val="006F2605"/>
    <w:rsid w:val="006F27E6"/>
    <w:rsid w:val="006F2B56"/>
    <w:rsid w:val="006F2EC1"/>
    <w:rsid w:val="006F3001"/>
    <w:rsid w:val="006F3034"/>
    <w:rsid w:val="006F31EB"/>
    <w:rsid w:val="006F3361"/>
    <w:rsid w:val="006F366F"/>
    <w:rsid w:val="006F3790"/>
    <w:rsid w:val="006F39B0"/>
    <w:rsid w:val="006F406D"/>
    <w:rsid w:val="006F41A2"/>
    <w:rsid w:val="006F45B0"/>
    <w:rsid w:val="006F4AEE"/>
    <w:rsid w:val="006F4E3E"/>
    <w:rsid w:val="006F4F42"/>
    <w:rsid w:val="006F519B"/>
    <w:rsid w:val="006F5300"/>
    <w:rsid w:val="006F56E1"/>
    <w:rsid w:val="006F5848"/>
    <w:rsid w:val="006F5BA4"/>
    <w:rsid w:val="006F5EA4"/>
    <w:rsid w:val="006F5EAE"/>
    <w:rsid w:val="006F5EFC"/>
    <w:rsid w:val="006F5F42"/>
    <w:rsid w:val="006F5FF9"/>
    <w:rsid w:val="006F60BC"/>
    <w:rsid w:val="006F60CD"/>
    <w:rsid w:val="006F6B71"/>
    <w:rsid w:val="006F6D5B"/>
    <w:rsid w:val="006F6E01"/>
    <w:rsid w:val="006F72F0"/>
    <w:rsid w:val="00700103"/>
    <w:rsid w:val="0070018A"/>
    <w:rsid w:val="00700766"/>
    <w:rsid w:val="00700CE7"/>
    <w:rsid w:val="007011DE"/>
    <w:rsid w:val="00701328"/>
    <w:rsid w:val="0070144F"/>
    <w:rsid w:val="0070178F"/>
    <w:rsid w:val="00702651"/>
    <w:rsid w:val="00702CD2"/>
    <w:rsid w:val="00702F7B"/>
    <w:rsid w:val="00702F9A"/>
    <w:rsid w:val="00703170"/>
    <w:rsid w:val="0070359D"/>
    <w:rsid w:val="00703B1A"/>
    <w:rsid w:val="00704058"/>
    <w:rsid w:val="00704137"/>
    <w:rsid w:val="00704923"/>
    <w:rsid w:val="00704A7E"/>
    <w:rsid w:val="00704C9A"/>
    <w:rsid w:val="00704CD8"/>
    <w:rsid w:val="00704F72"/>
    <w:rsid w:val="00704F79"/>
    <w:rsid w:val="00704FC3"/>
    <w:rsid w:val="007053A9"/>
    <w:rsid w:val="0070544C"/>
    <w:rsid w:val="00705572"/>
    <w:rsid w:val="007057CD"/>
    <w:rsid w:val="0070584B"/>
    <w:rsid w:val="00705C2A"/>
    <w:rsid w:val="00705DC7"/>
    <w:rsid w:val="00705F15"/>
    <w:rsid w:val="00706777"/>
    <w:rsid w:val="00706C9C"/>
    <w:rsid w:val="00706E8E"/>
    <w:rsid w:val="007076A7"/>
    <w:rsid w:val="0071083E"/>
    <w:rsid w:val="00710A3F"/>
    <w:rsid w:val="00710CFD"/>
    <w:rsid w:val="00710EFF"/>
    <w:rsid w:val="00710F6E"/>
    <w:rsid w:val="0071102A"/>
    <w:rsid w:val="007111F9"/>
    <w:rsid w:val="0071132A"/>
    <w:rsid w:val="007113CE"/>
    <w:rsid w:val="007115B7"/>
    <w:rsid w:val="007118CE"/>
    <w:rsid w:val="00711A41"/>
    <w:rsid w:val="00711A9C"/>
    <w:rsid w:val="00711C1B"/>
    <w:rsid w:val="00711EBF"/>
    <w:rsid w:val="00712151"/>
    <w:rsid w:val="007122AC"/>
    <w:rsid w:val="007125F6"/>
    <w:rsid w:val="00712D69"/>
    <w:rsid w:val="00712E29"/>
    <w:rsid w:val="00713834"/>
    <w:rsid w:val="007139E9"/>
    <w:rsid w:val="00713C0E"/>
    <w:rsid w:val="00713C1B"/>
    <w:rsid w:val="00713FF2"/>
    <w:rsid w:val="0071408B"/>
    <w:rsid w:val="007145FA"/>
    <w:rsid w:val="00714894"/>
    <w:rsid w:val="00714950"/>
    <w:rsid w:val="00714CB9"/>
    <w:rsid w:val="0071568F"/>
    <w:rsid w:val="00715A8E"/>
    <w:rsid w:val="00715AF3"/>
    <w:rsid w:val="00715DD0"/>
    <w:rsid w:val="007161BF"/>
    <w:rsid w:val="0071688F"/>
    <w:rsid w:val="00716A1F"/>
    <w:rsid w:val="00716C6C"/>
    <w:rsid w:val="00716F67"/>
    <w:rsid w:val="00717219"/>
    <w:rsid w:val="00717524"/>
    <w:rsid w:val="00717545"/>
    <w:rsid w:val="007175B5"/>
    <w:rsid w:val="0071764F"/>
    <w:rsid w:val="00717745"/>
    <w:rsid w:val="007177DD"/>
    <w:rsid w:val="007179A2"/>
    <w:rsid w:val="00717C4B"/>
    <w:rsid w:val="00717E6A"/>
    <w:rsid w:val="00717FF4"/>
    <w:rsid w:val="0072002A"/>
    <w:rsid w:val="007208EB"/>
    <w:rsid w:val="0072099F"/>
    <w:rsid w:val="00720B03"/>
    <w:rsid w:val="00720C32"/>
    <w:rsid w:val="00720E3D"/>
    <w:rsid w:val="00720F03"/>
    <w:rsid w:val="0072119F"/>
    <w:rsid w:val="00721253"/>
    <w:rsid w:val="00721378"/>
    <w:rsid w:val="00721650"/>
    <w:rsid w:val="00721832"/>
    <w:rsid w:val="00721902"/>
    <w:rsid w:val="00721ACB"/>
    <w:rsid w:val="00721CA0"/>
    <w:rsid w:val="007225D8"/>
    <w:rsid w:val="00722753"/>
    <w:rsid w:val="00722B04"/>
    <w:rsid w:val="00722B53"/>
    <w:rsid w:val="00723016"/>
    <w:rsid w:val="007230B3"/>
    <w:rsid w:val="00723452"/>
    <w:rsid w:val="00723466"/>
    <w:rsid w:val="00723974"/>
    <w:rsid w:val="00723A81"/>
    <w:rsid w:val="00723B24"/>
    <w:rsid w:val="00723E48"/>
    <w:rsid w:val="00723E8D"/>
    <w:rsid w:val="007241BC"/>
    <w:rsid w:val="007241F4"/>
    <w:rsid w:val="007249DE"/>
    <w:rsid w:val="00724D08"/>
    <w:rsid w:val="0072561C"/>
    <w:rsid w:val="007258DB"/>
    <w:rsid w:val="00725B79"/>
    <w:rsid w:val="00725CC1"/>
    <w:rsid w:val="00726115"/>
    <w:rsid w:val="0072623D"/>
    <w:rsid w:val="00726533"/>
    <w:rsid w:val="00726E7B"/>
    <w:rsid w:val="00727556"/>
    <w:rsid w:val="0072777F"/>
    <w:rsid w:val="00727B5D"/>
    <w:rsid w:val="00727C31"/>
    <w:rsid w:val="00730877"/>
    <w:rsid w:val="00730D80"/>
    <w:rsid w:val="00730F9E"/>
    <w:rsid w:val="007313D6"/>
    <w:rsid w:val="00731960"/>
    <w:rsid w:val="007319D0"/>
    <w:rsid w:val="00731A13"/>
    <w:rsid w:val="00731A67"/>
    <w:rsid w:val="007326AF"/>
    <w:rsid w:val="00732A4E"/>
    <w:rsid w:val="00732CC2"/>
    <w:rsid w:val="00732D34"/>
    <w:rsid w:val="00732D38"/>
    <w:rsid w:val="00733011"/>
    <w:rsid w:val="007334CB"/>
    <w:rsid w:val="00733774"/>
    <w:rsid w:val="00733A7A"/>
    <w:rsid w:val="00733AA7"/>
    <w:rsid w:val="00733BB2"/>
    <w:rsid w:val="00733C72"/>
    <w:rsid w:val="00733DB0"/>
    <w:rsid w:val="00733DCB"/>
    <w:rsid w:val="00734123"/>
    <w:rsid w:val="0073422A"/>
    <w:rsid w:val="00734296"/>
    <w:rsid w:val="00734312"/>
    <w:rsid w:val="007343CF"/>
    <w:rsid w:val="0073442C"/>
    <w:rsid w:val="00734C81"/>
    <w:rsid w:val="00734CAA"/>
    <w:rsid w:val="00735110"/>
    <w:rsid w:val="007351CC"/>
    <w:rsid w:val="00735434"/>
    <w:rsid w:val="007355D5"/>
    <w:rsid w:val="007358B8"/>
    <w:rsid w:val="00735E77"/>
    <w:rsid w:val="00736286"/>
    <w:rsid w:val="007366B6"/>
    <w:rsid w:val="00736989"/>
    <w:rsid w:val="00736A3E"/>
    <w:rsid w:val="00736A50"/>
    <w:rsid w:val="00736B37"/>
    <w:rsid w:val="00736DC8"/>
    <w:rsid w:val="007371CA"/>
    <w:rsid w:val="0073729E"/>
    <w:rsid w:val="0073733E"/>
    <w:rsid w:val="0073740F"/>
    <w:rsid w:val="007374E3"/>
    <w:rsid w:val="00737D4B"/>
    <w:rsid w:val="007401C3"/>
    <w:rsid w:val="00740863"/>
    <w:rsid w:val="00740C80"/>
    <w:rsid w:val="00740D8C"/>
    <w:rsid w:val="00741688"/>
    <w:rsid w:val="00741858"/>
    <w:rsid w:val="0074206C"/>
    <w:rsid w:val="007420F7"/>
    <w:rsid w:val="0074210C"/>
    <w:rsid w:val="00742191"/>
    <w:rsid w:val="007426BD"/>
    <w:rsid w:val="00742BC9"/>
    <w:rsid w:val="00742EFF"/>
    <w:rsid w:val="0074308E"/>
    <w:rsid w:val="0074333E"/>
    <w:rsid w:val="00743DB1"/>
    <w:rsid w:val="00743E3C"/>
    <w:rsid w:val="007443D4"/>
    <w:rsid w:val="007444B8"/>
    <w:rsid w:val="007445A7"/>
    <w:rsid w:val="007447D8"/>
    <w:rsid w:val="00744953"/>
    <w:rsid w:val="00744A91"/>
    <w:rsid w:val="00744EDE"/>
    <w:rsid w:val="00744FAC"/>
    <w:rsid w:val="00745393"/>
    <w:rsid w:val="00745668"/>
    <w:rsid w:val="007459BE"/>
    <w:rsid w:val="00745A1E"/>
    <w:rsid w:val="00745A53"/>
    <w:rsid w:val="0074600B"/>
    <w:rsid w:val="007461AE"/>
    <w:rsid w:val="00746267"/>
    <w:rsid w:val="00746295"/>
    <w:rsid w:val="007467B4"/>
    <w:rsid w:val="00746B9D"/>
    <w:rsid w:val="00746C8B"/>
    <w:rsid w:val="00746FE7"/>
    <w:rsid w:val="0074743D"/>
    <w:rsid w:val="00747553"/>
    <w:rsid w:val="007479AD"/>
    <w:rsid w:val="00747AFB"/>
    <w:rsid w:val="00747FE9"/>
    <w:rsid w:val="0075014B"/>
    <w:rsid w:val="007501D0"/>
    <w:rsid w:val="0075040D"/>
    <w:rsid w:val="007509DD"/>
    <w:rsid w:val="00750BD6"/>
    <w:rsid w:val="00750DB0"/>
    <w:rsid w:val="00750DBB"/>
    <w:rsid w:val="007512AA"/>
    <w:rsid w:val="007513F4"/>
    <w:rsid w:val="007514CD"/>
    <w:rsid w:val="007515D9"/>
    <w:rsid w:val="00751803"/>
    <w:rsid w:val="00751D1D"/>
    <w:rsid w:val="00751DF8"/>
    <w:rsid w:val="007522FB"/>
    <w:rsid w:val="00752567"/>
    <w:rsid w:val="00752655"/>
    <w:rsid w:val="00752993"/>
    <w:rsid w:val="00752A2E"/>
    <w:rsid w:val="00752AC3"/>
    <w:rsid w:val="00752E53"/>
    <w:rsid w:val="00752E57"/>
    <w:rsid w:val="00753154"/>
    <w:rsid w:val="007531AB"/>
    <w:rsid w:val="007535B7"/>
    <w:rsid w:val="0075395F"/>
    <w:rsid w:val="00753AFC"/>
    <w:rsid w:val="00753D20"/>
    <w:rsid w:val="00753D67"/>
    <w:rsid w:val="00753DFC"/>
    <w:rsid w:val="007541A7"/>
    <w:rsid w:val="0075464F"/>
    <w:rsid w:val="00754776"/>
    <w:rsid w:val="00754DA8"/>
    <w:rsid w:val="00754EC7"/>
    <w:rsid w:val="0075566B"/>
    <w:rsid w:val="00756267"/>
    <w:rsid w:val="007567D6"/>
    <w:rsid w:val="007568D2"/>
    <w:rsid w:val="00756903"/>
    <w:rsid w:val="00756A4C"/>
    <w:rsid w:val="0075711C"/>
    <w:rsid w:val="00757190"/>
    <w:rsid w:val="007574EC"/>
    <w:rsid w:val="007578FD"/>
    <w:rsid w:val="00757B7D"/>
    <w:rsid w:val="00760290"/>
    <w:rsid w:val="007604C9"/>
    <w:rsid w:val="00760B57"/>
    <w:rsid w:val="00760C13"/>
    <w:rsid w:val="00760D24"/>
    <w:rsid w:val="0076129D"/>
    <w:rsid w:val="007617FC"/>
    <w:rsid w:val="00762077"/>
    <w:rsid w:val="0076237D"/>
    <w:rsid w:val="007626BF"/>
    <w:rsid w:val="0076285A"/>
    <w:rsid w:val="00762C4D"/>
    <w:rsid w:val="00762D5E"/>
    <w:rsid w:val="00763208"/>
    <w:rsid w:val="007633F0"/>
    <w:rsid w:val="00763474"/>
    <w:rsid w:val="00763674"/>
    <w:rsid w:val="007636D4"/>
    <w:rsid w:val="007644A0"/>
    <w:rsid w:val="00764689"/>
    <w:rsid w:val="00764AE2"/>
    <w:rsid w:val="00764D11"/>
    <w:rsid w:val="00764E87"/>
    <w:rsid w:val="0076527C"/>
    <w:rsid w:val="00765360"/>
    <w:rsid w:val="007656C2"/>
    <w:rsid w:val="00765739"/>
    <w:rsid w:val="007657EF"/>
    <w:rsid w:val="00765825"/>
    <w:rsid w:val="00765FCF"/>
    <w:rsid w:val="00765FDF"/>
    <w:rsid w:val="00766462"/>
    <w:rsid w:val="0076647E"/>
    <w:rsid w:val="007665BD"/>
    <w:rsid w:val="00766A49"/>
    <w:rsid w:val="00766BE9"/>
    <w:rsid w:val="00766C58"/>
    <w:rsid w:val="00766D6A"/>
    <w:rsid w:val="00766FA3"/>
    <w:rsid w:val="00767330"/>
    <w:rsid w:val="0076754C"/>
    <w:rsid w:val="00767564"/>
    <w:rsid w:val="007675D0"/>
    <w:rsid w:val="00767AC6"/>
    <w:rsid w:val="00767B44"/>
    <w:rsid w:val="00767B75"/>
    <w:rsid w:val="00767D48"/>
    <w:rsid w:val="00767E6C"/>
    <w:rsid w:val="00767E77"/>
    <w:rsid w:val="00767F00"/>
    <w:rsid w:val="00770003"/>
    <w:rsid w:val="0077026A"/>
    <w:rsid w:val="00770309"/>
    <w:rsid w:val="00770356"/>
    <w:rsid w:val="007705B7"/>
    <w:rsid w:val="00770B67"/>
    <w:rsid w:val="00770E9B"/>
    <w:rsid w:val="00770F97"/>
    <w:rsid w:val="007710C2"/>
    <w:rsid w:val="007713A9"/>
    <w:rsid w:val="00772140"/>
    <w:rsid w:val="00772336"/>
    <w:rsid w:val="00772BCE"/>
    <w:rsid w:val="00772C3B"/>
    <w:rsid w:val="00772CA9"/>
    <w:rsid w:val="00773056"/>
    <w:rsid w:val="0077313E"/>
    <w:rsid w:val="00773D2A"/>
    <w:rsid w:val="00773FAB"/>
    <w:rsid w:val="00774255"/>
    <w:rsid w:val="007747A7"/>
    <w:rsid w:val="00775030"/>
    <w:rsid w:val="007751F6"/>
    <w:rsid w:val="007755B6"/>
    <w:rsid w:val="007755F5"/>
    <w:rsid w:val="0077568E"/>
    <w:rsid w:val="00775781"/>
    <w:rsid w:val="00775B99"/>
    <w:rsid w:val="00776087"/>
    <w:rsid w:val="00776257"/>
    <w:rsid w:val="00776732"/>
    <w:rsid w:val="00776E6D"/>
    <w:rsid w:val="00776E72"/>
    <w:rsid w:val="007772A8"/>
    <w:rsid w:val="00777357"/>
    <w:rsid w:val="007775F0"/>
    <w:rsid w:val="00777748"/>
    <w:rsid w:val="00777787"/>
    <w:rsid w:val="00777D1D"/>
    <w:rsid w:val="00777DB4"/>
    <w:rsid w:val="00777E23"/>
    <w:rsid w:val="007801BC"/>
    <w:rsid w:val="00780297"/>
    <w:rsid w:val="007805A8"/>
    <w:rsid w:val="00780678"/>
    <w:rsid w:val="00780759"/>
    <w:rsid w:val="007811E1"/>
    <w:rsid w:val="007813CF"/>
    <w:rsid w:val="0078142D"/>
    <w:rsid w:val="00781709"/>
    <w:rsid w:val="0078191F"/>
    <w:rsid w:val="00781DC1"/>
    <w:rsid w:val="00781DF5"/>
    <w:rsid w:val="00781ED7"/>
    <w:rsid w:val="00781EE1"/>
    <w:rsid w:val="007820B3"/>
    <w:rsid w:val="0078251E"/>
    <w:rsid w:val="00782648"/>
    <w:rsid w:val="00782CFA"/>
    <w:rsid w:val="007831E9"/>
    <w:rsid w:val="00783699"/>
    <w:rsid w:val="00783F3F"/>
    <w:rsid w:val="00784B44"/>
    <w:rsid w:val="00784C0A"/>
    <w:rsid w:val="00784CBF"/>
    <w:rsid w:val="00784ED3"/>
    <w:rsid w:val="00785B9C"/>
    <w:rsid w:val="00785D29"/>
    <w:rsid w:val="00785E34"/>
    <w:rsid w:val="007861A8"/>
    <w:rsid w:val="00786586"/>
    <w:rsid w:val="00786A5A"/>
    <w:rsid w:val="00786CEE"/>
    <w:rsid w:val="007874CD"/>
    <w:rsid w:val="00787582"/>
    <w:rsid w:val="0078759E"/>
    <w:rsid w:val="00787844"/>
    <w:rsid w:val="007878EE"/>
    <w:rsid w:val="00787DB5"/>
    <w:rsid w:val="00790197"/>
    <w:rsid w:val="007902F6"/>
    <w:rsid w:val="00791137"/>
    <w:rsid w:val="00791151"/>
    <w:rsid w:val="0079131E"/>
    <w:rsid w:val="007918C8"/>
    <w:rsid w:val="007918E6"/>
    <w:rsid w:val="00791939"/>
    <w:rsid w:val="00791D49"/>
    <w:rsid w:val="00791FD5"/>
    <w:rsid w:val="007921E2"/>
    <w:rsid w:val="007923F2"/>
    <w:rsid w:val="00792466"/>
    <w:rsid w:val="00792B49"/>
    <w:rsid w:val="00792D63"/>
    <w:rsid w:val="00792E75"/>
    <w:rsid w:val="00793467"/>
    <w:rsid w:val="007934BF"/>
    <w:rsid w:val="007936A0"/>
    <w:rsid w:val="00793754"/>
    <w:rsid w:val="00793E10"/>
    <w:rsid w:val="00794A53"/>
    <w:rsid w:val="00794B40"/>
    <w:rsid w:val="00794D21"/>
    <w:rsid w:val="00794D6B"/>
    <w:rsid w:val="00795126"/>
    <w:rsid w:val="0079523B"/>
    <w:rsid w:val="007957A1"/>
    <w:rsid w:val="007964E1"/>
    <w:rsid w:val="00796B5D"/>
    <w:rsid w:val="00796DF2"/>
    <w:rsid w:val="0079751C"/>
    <w:rsid w:val="00797773"/>
    <w:rsid w:val="007979C1"/>
    <w:rsid w:val="007A0CAA"/>
    <w:rsid w:val="007A0D01"/>
    <w:rsid w:val="007A0E97"/>
    <w:rsid w:val="007A1079"/>
    <w:rsid w:val="007A1537"/>
    <w:rsid w:val="007A1669"/>
    <w:rsid w:val="007A1ED0"/>
    <w:rsid w:val="007A20E5"/>
    <w:rsid w:val="007A2118"/>
    <w:rsid w:val="007A2D0B"/>
    <w:rsid w:val="007A2D68"/>
    <w:rsid w:val="007A33C6"/>
    <w:rsid w:val="007A3538"/>
    <w:rsid w:val="007A3A13"/>
    <w:rsid w:val="007A3A8D"/>
    <w:rsid w:val="007A3BE7"/>
    <w:rsid w:val="007A3D7D"/>
    <w:rsid w:val="007A45CC"/>
    <w:rsid w:val="007A49DD"/>
    <w:rsid w:val="007A4A20"/>
    <w:rsid w:val="007A4FA1"/>
    <w:rsid w:val="007A509B"/>
    <w:rsid w:val="007A53CA"/>
    <w:rsid w:val="007A5C2C"/>
    <w:rsid w:val="007A5DAA"/>
    <w:rsid w:val="007A5EC7"/>
    <w:rsid w:val="007A5EC9"/>
    <w:rsid w:val="007A675F"/>
    <w:rsid w:val="007A678A"/>
    <w:rsid w:val="007A79C2"/>
    <w:rsid w:val="007A7DEC"/>
    <w:rsid w:val="007A7E80"/>
    <w:rsid w:val="007A7EFE"/>
    <w:rsid w:val="007B009C"/>
    <w:rsid w:val="007B056D"/>
    <w:rsid w:val="007B07F6"/>
    <w:rsid w:val="007B09BD"/>
    <w:rsid w:val="007B0A5A"/>
    <w:rsid w:val="007B139C"/>
    <w:rsid w:val="007B1684"/>
    <w:rsid w:val="007B16BA"/>
    <w:rsid w:val="007B19B7"/>
    <w:rsid w:val="007B1D6D"/>
    <w:rsid w:val="007B1E78"/>
    <w:rsid w:val="007B2295"/>
    <w:rsid w:val="007B2457"/>
    <w:rsid w:val="007B2677"/>
    <w:rsid w:val="007B28F3"/>
    <w:rsid w:val="007B290F"/>
    <w:rsid w:val="007B2A6F"/>
    <w:rsid w:val="007B2DA0"/>
    <w:rsid w:val="007B31EF"/>
    <w:rsid w:val="007B343A"/>
    <w:rsid w:val="007B3799"/>
    <w:rsid w:val="007B3CC0"/>
    <w:rsid w:val="007B401C"/>
    <w:rsid w:val="007B435D"/>
    <w:rsid w:val="007B43DF"/>
    <w:rsid w:val="007B4503"/>
    <w:rsid w:val="007B4E91"/>
    <w:rsid w:val="007B56FB"/>
    <w:rsid w:val="007B5A42"/>
    <w:rsid w:val="007B5E1A"/>
    <w:rsid w:val="007B607A"/>
    <w:rsid w:val="007B6373"/>
    <w:rsid w:val="007B63DB"/>
    <w:rsid w:val="007B64A9"/>
    <w:rsid w:val="007B64AB"/>
    <w:rsid w:val="007B68A8"/>
    <w:rsid w:val="007B69AE"/>
    <w:rsid w:val="007B6BB6"/>
    <w:rsid w:val="007B6C03"/>
    <w:rsid w:val="007B7514"/>
    <w:rsid w:val="007B769D"/>
    <w:rsid w:val="007B76AB"/>
    <w:rsid w:val="007B78E2"/>
    <w:rsid w:val="007B7A65"/>
    <w:rsid w:val="007B7C31"/>
    <w:rsid w:val="007C011A"/>
    <w:rsid w:val="007C0161"/>
    <w:rsid w:val="007C06CF"/>
    <w:rsid w:val="007C072F"/>
    <w:rsid w:val="007C0C6E"/>
    <w:rsid w:val="007C106B"/>
    <w:rsid w:val="007C10DA"/>
    <w:rsid w:val="007C119F"/>
    <w:rsid w:val="007C13A8"/>
    <w:rsid w:val="007C152B"/>
    <w:rsid w:val="007C15A2"/>
    <w:rsid w:val="007C1AA9"/>
    <w:rsid w:val="007C1D1D"/>
    <w:rsid w:val="007C2116"/>
    <w:rsid w:val="007C21B3"/>
    <w:rsid w:val="007C2215"/>
    <w:rsid w:val="007C2582"/>
    <w:rsid w:val="007C25A1"/>
    <w:rsid w:val="007C297B"/>
    <w:rsid w:val="007C2E12"/>
    <w:rsid w:val="007C3043"/>
    <w:rsid w:val="007C3A99"/>
    <w:rsid w:val="007C3AF5"/>
    <w:rsid w:val="007C3CC2"/>
    <w:rsid w:val="007C3DD4"/>
    <w:rsid w:val="007C3F1E"/>
    <w:rsid w:val="007C412F"/>
    <w:rsid w:val="007C453B"/>
    <w:rsid w:val="007C463C"/>
    <w:rsid w:val="007C4F21"/>
    <w:rsid w:val="007C4FE8"/>
    <w:rsid w:val="007C5106"/>
    <w:rsid w:val="007C52E8"/>
    <w:rsid w:val="007C5F8C"/>
    <w:rsid w:val="007C6110"/>
    <w:rsid w:val="007C6453"/>
    <w:rsid w:val="007C6848"/>
    <w:rsid w:val="007C6F77"/>
    <w:rsid w:val="007C6F7E"/>
    <w:rsid w:val="007C70D4"/>
    <w:rsid w:val="007C7163"/>
    <w:rsid w:val="007C73E3"/>
    <w:rsid w:val="007C7447"/>
    <w:rsid w:val="007C7B2D"/>
    <w:rsid w:val="007D0089"/>
    <w:rsid w:val="007D05AB"/>
    <w:rsid w:val="007D05BB"/>
    <w:rsid w:val="007D0A98"/>
    <w:rsid w:val="007D0B0A"/>
    <w:rsid w:val="007D0F0B"/>
    <w:rsid w:val="007D16A0"/>
    <w:rsid w:val="007D1CA4"/>
    <w:rsid w:val="007D24E4"/>
    <w:rsid w:val="007D26C9"/>
    <w:rsid w:val="007D28B5"/>
    <w:rsid w:val="007D2E87"/>
    <w:rsid w:val="007D316B"/>
    <w:rsid w:val="007D32BC"/>
    <w:rsid w:val="007D34E9"/>
    <w:rsid w:val="007D39A2"/>
    <w:rsid w:val="007D3BE2"/>
    <w:rsid w:val="007D3DA6"/>
    <w:rsid w:val="007D3DE9"/>
    <w:rsid w:val="007D3E99"/>
    <w:rsid w:val="007D40A2"/>
    <w:rsid w:val="007D4719"/>
    <w:rsid w:val="007D474F"/>
    <w:rsid w:val="007D4972"/>
    <w:rsid w:val="007D4AED"/>
    <w:rsid w:val="007D4B60"/>
    <w:rsid w:val="007D4DB3"/>
    <w:rsid w:val="007D54FF"/>
    <w:rsid w:val="007D57C0"/>
    <w:rsid w:val="007D57E9"/>
    <w:rsid w:val="007D592B"/>
    <w:rsid w:val="007D59C7"/>
    <w:rsid w:val="007D5AA6"/>
    <w:rsid w:val="007D5B05"/>
    <w:rsid w:val="007D5ED2"/>
    <w:rsid w:val="007D60B8"/>
    <w:rsid w:val="007D625B"/>
    <w:rsid w:val="007D645F"/>
    <w:rsid w:val="007D6A8A"/>
    <w:rsid w:val="007D6C1C"/>
    <w:rsid w:val="007D6D72"/>
    <w:rsid w:val="007D6EB6"/>
    <w:rsid w:val="007D72FD"/>
    <w:rsid w:val="007D736C"/>
    <w:rsid w:val="007D75E3"/>
    <w:rsid w:val="007D779A"/>
    <w:rsid w:val="007D77D9"/>
    <w:rsid w:val="007D7A91"/>
    <w:rsid w:val="007E0013"/>
    <w:rsid w:val="007E01F9"/>
    <w:rsid w:val="007E05C3"/>
    <w:rsid w:val="007E05FC"/>
    <w:rsid w:val="007E0641"/>
    <w:rsid w:val="007E084C"/>
    <w:rsid w:val="007E088F"/>
    <w:rsid w:val="007E0D28"/>
    <w:rsid w:val="007E0DFA"/>
    <w:rsid w:val="007E1559"/>
    <w:rsid w:val="007E170F"/>
    <w:rsid w:val="007E177B"/>
    <w:rsid w:val="007E19D9"/>
    <w:rsid w:val="007E1A1B"/>
    <w:rsid w:val="007E1AB6"/>
    <w:rsid w:val="007E1B26"/>
    <w:rsid w:val="007E1BC9"/>
    <w:rsid w:val="007E1C12"/>
    <w:rsid w:val="007E1E21"/>
    <w:rsid w:val="007E2823"/>
    <w:rsid w:val="007E28D0"/>
    <w:rsid w:val="007E3180"/>
    <w:rsid w:val="007E34F5"/>
    <w:rsid w:val="007E3550"/>
    <w:rsid w:val="007E42E9"/>
    <w:rsid w:val="007E44CD"/>
    <w:rsid w:val="007E454F"/>
    <w:rsid w:val="007E47E5"/>
    <w:rsid w:val="007E4B03"/>
    <w:rsid w:val="007E4F42"/>
    <w:rsid w:val="007E5042"/>
    <w:rsid w:val="007E54A9"/>
    <w:rsid w:val="007E5582"/>
    <w:rsid w:val="007E5983"/>
    <w:rsid w:val="007E5F39"/>
    <w:rsid w:val="007E616E"/>
    <w:rsid w:val="007E6379"/>
    <w:rsid w:val="007E6456"/>
    <w:rsid w:val="007E6576"/>
    <w:rsid w:val="007E68D1"/>
    <w:rsid w:val="007E6C8E"/>
    <w:rsid w:val="007E734D"/>
    <w:rsid w:val="007E763B"/>
    <w:rsid w:val="007E796F"/>
    <w:rsid w:val="007E7A49"/>
    <w:rsid w:val="007E7FBC"/>
    <w:rsid w:val="007F032B"/>
    <w:rsid w:val="007F0689"/>
    <w:rsid w:val="007F088F"/>
    <w:rsid w:val="007F0E59"/>
    <w:rsid w:val="007F1222"/>
    <w:rsid w:val="007F1512"/>
    <w:rsid w:val="007F19C8"/>
    <w:rsid w:val="007F1CF3"/>
    <w:rsid w:val="007F1E49"/>
    <w:rsid w:val="007F2110"/>
    <w:rsid w:val="007F2E03"/>
    <w:rsid w:val="007F3201"/>
    <w:rsid w:val="007F34B1"/>
    <w:rsid w:val="007F37D4"/>
    <w:rsid w:val="007F3A30"/>
    <w:rsid w:val="007F3C2D"/>
    <w:rsid w:val="007F3C3D"/>
    <w:rsid w:val="007F3CB6"/>
    <w:rsid w:val="007F4067"/>
    <w:rsid w:val="007F4314"/>
    <w:rsid w:val="007F436F"/>
    <w:rsid w:val="007F44EE"/>
    <w:rsid w:val="007F49CA"/>
    <w:rsid w:val="007F4BAB"/>
    <w:rsid w:val="007F4BB8"/>
    <w:rsid w:val="007F5292"/>
    <w:rsid w:val="007F5496"/>
    <w:rsid w:val="007F557C"/>
    <w:rsid w:val="007F55D0"/>
    <w:rsid w:val="007F5946"/>
    <w:rsid w:val="007F5E8F"/>
    <w:rsid w:val="007F5F9D"/>
    <w:rsid w:val="007F602F"/>
    <w:rsid w:val="007F62BF"/>
    <w:rsid w:val="007F659C"/>
    <w:rsid w:val="007F65EC"/>
    <w:rsid w:val="007F671E"/>
    <w:rsid w:val="007F69DB"/>
    <w:rsid w:val="007F6A89"/>
    <w:rsid w:val="007F6BB7"/>
    <w:rsid w:val="007F6CD5"/>
    <w:rsid w:val="007F6D6E"/>
    <w:rsid w:val="007F6E12"/>
    <w:rsid w:val="007F6F7B"/>
    <w:rsid w:val="007F749F"/>
    <w:rsid w:val="007F760B"/>
    <w:rsid w:val="007F76A8"/>
    <w:rsid w:val="007F7A15"/>
    <w:rsid w:val="007F7A94"/>
    <w:rsid w:val="007F7E20"/>
    <w:rsid w:val="007F7F86"/>
    <w:rsid w:val="0080043B"/>
    <w:rsid w:val="00800846"/>
    <w:rsid w:val="00800984"/>
    <w:rsid w:val="00800A5D"/>
    <w:rsid w:val="00801394"/>
    <w:rsid w:val="008015E5"/>
    <w:rsid w:val="0080185A"/>
    <w:rsid w:val="00801B11"/>
    <w:rsid w:val="00801B95"/>
    <w:rsid w:val="00802499"/>
    <w:rsid w:val="00802802"/>
    <w:rsid w:val="008028F1"/>
    <w:rsid w:val="00802ECA"/>
    <w:rsid w:val="00802FB5"/>
    <w:rsid w:val="0080332F"/>
    <w:rsid w:val="00803A27"/>
    <w:rsid w:val="00803AFB"/>
    <w:rsid w:val="00803EE6"/>
    <w:rsid w:val="00804028"/>
    <w:rsid w:val="00804135"/>
    <w:rsid w:val="0080451B"/>
    <w:rsid w:val="0080483A"/>
    <w:rsid w:val="00804AD5"/>
    <w:rsid w:val="00804C10"/>
    <w:rsid w:val="00804C5A"/>
    <w:rsid w:val="00804F41"/>
    <w:rsid w:val="00805015"/>
    <w:rsid w:val="0080542E"/>
    <w:rsid w:val="008054AB"/>
    <w:rsid w:val="00805536"/>
    <w:rsid w:val="00805726"/>
    <w:rsid w:val="0080583C"/>
    <w:rsid w:val="00805B70"/>
    <w:rsid w:val="00806464"/>
    <w:rsid w:val="00806476"/>
    <w:rsid w:val="008065DC"/>
    <w:rsid w:val="0080674A"/>
    <w:rsid w:val="00806F5A"/>
    <w:rsid w:val="00807393"/>
    <w:rsid w:val="008073EC"/>
    <w:rsid w:val="0080774F"/>
    <w:rsid w:val="008077E7"/>
    <w:rsid w:val="00810233"/>
    <w:rsid w:val="0081038C"/>
    <w:rsid w:val="00810522"/>
    <w:rsid w:val="008107D8"/>
    <w:rsid w:val="00810B32"/>
    <w:rsid w:val="00810CAA"/>
    <w:rsid w:val="00810EA6"/>
    <w:rsid w:val="00810EDD"/>
    <w:rsid w:val="00810F78"/>
    <w:rsid w:val="0081140C"/>
    <w:rsid w:val="00811943"/>
    <w:rsid w:val="008119FA"/>
    <w:rsid w:val="0081200C"/>
    <w:rsid w:val="00812243"/>
    <w:rsid w:val="00812260"/>
    <w:rsid w:val="00812561"/>
    <w:rsid w:val="008127DD"/>
    <w:rsid w:val="0081305A"/>
    <w:rsid w:val="008132E5"/>
    <w:rsid w:val="00813333"/>
    <w:rsid w:val="0081353F"/>
    <w:rsid w:val="00813BFD"/>
    <w:rsid w:val="00814221"/>
    <w:rsid w:val="008147CA"/>
    <w:rsid w:val="00814E39"/>
    <w:rsid w:val="00815293"/>
    <w:rsid w:val="008152C1"/>
    <w:rsid w:val="0081532C"/>
    <w:rsid w:val="00815CD0"/>
    <w:rsid w:val="00815DE2"/>
    <w:rsid w:val="008162CF"/>
    <w:rsid w:val="0081661F"/>
    <w:rsid w:val="00816706"/>
    <w:rsid w:val="008169CD"/>
    <w:rsid w:val="00816BE2"/>
    <w:rsid w:val="00816D74"/>
    <w:rsid w:val="00817702"/>
    <w:rsid w:val="008177CA"/>
    <w:rsid w:val="00817E7A"/>
    <w:rsid w:val="00817EFB"/>
    <w:rsid w:val="00817FEE"/>
    <w:rsid w:val="0082057A"/>
    <w:rsid w:val="008207E3"/>
    <w:rsid w:val="008208C3"/>
    <w:rsid w:val="0082171A"/>
    <w:rsid w:val="0082174A"/>
    <w:rsid w:val="00821822"/>
    <w:rsid w:val="00821834"/>
    <w:rsid w:val="00822021"/>
    <w:rsid w:val="00822473"/>
    <w:rsid w:val="0082269C"/>
    <w:rsid w:val="0082272E"/>
    <w:rsid w:val="008227F3"/>
    <w:rsid w:val="00822ADB"/>
    <w:rsid w:val="00822B08"/>
    <w:rsid w:val="00822CD1"/>
    <w:rsid w:val="00822FE9"/>
    <w:rsid w:val="008230BC"/>
    <w:rsid w:val="008235B5"/>
    <w:rsid w:val="008235F4"/>
    <w:rsid w:val="00823831"/>
    <w:rsid w:val="00823B21"/>
    <w:rsid w:val="0082409C"/>
    <w:rsid w:val="00824420"/>
    <w:rsid w:val="0082478D"/>
    <w:rsid w:val="0082488D"/>
    <w:rsid w:val="0082496A"/>
    <w:rsid w:val="00824E16"/>
    <w:rsid w:val="00824E29"/>
    <w:rsid w:val="00825316"/>
    <w:rsid w:val="008255A6"/>
    <w:rsid w:val="00825693"/>
    <w:rsid w:val="008256FC"/>
    <w:rsid w:val="00825E55"/>
    <w:rsid w:val="00825E64"/>
    <w:rsid w:val="00825E9B"/>
    <w:rsid w:val="0082666E"/>
    <w:rsid w:val="008266D7"/>
    <w:rsid w:val="00826C54"/>
    <w:rsid w:val="00826E5C"/>
    <w:rsid w:val="00826EAC"/>
    <w:rsid w:val="00827A9E"/>
    <w:rsid w:val="00827C63"/>
    <w:rsid w:val="00827F58"/>
    <w:rsid w:val="00830090"/>
    <w:rsid w:val="008305DF"/>
    <w:rsid w:val="00830638"/>
    <w:rsid w:val="008308D8"/>
    <w:rsid w:val="00830DE1"/>
    <w:rsid w:val="00830F36"/>
    <w:rsid w:val="008311B8"/>
    <w:rsid w:val="0083120D"/>
    <w:rsid w:val="0083195C"/>
    <w:rsid w:val="00831B56"/>
    <w:rsid w:val="00831DAE"/>
    <w:rsid w:val="00832350"/>
    <w:rsid w:val="0083243B"/>
    <w:rsid w:val="0083243F"/>
    <w:rsid w:val="008328BD"/>
    <w:rsid w:val="00832B65"/>
    <w:rsid w:val="00832FF3"/>
    <w:rsid w:val="00833038"/>
    <w:rsid w:val="00833C38"/>
    <w:rsid w:val="00833CCB"/>
    <w:rsid w:val="00833FDD"/>
    <w:rsid w:val="00834243"/>
    <w:rsid w:val="0083489A"/>
    <w:rsid w:val="00834A72"/>
    <w:rsid w:val="00834D44"/>
    <w:rsid w:val="00834DF0"/>
    <w:rsid w:val="00834F33"/>
    <w:rsid w:val="00835142"/>
    <w:rsid w:val="00835412"/>
    <w:rsid w:val="008356CE"/>
    <w:rsid w:val="008358E1"/>
    <w:rsid w:val="00835CA7"/>
    <w:rsid w:val="008361A3"/>
    <w:rsid w:val="0083627B"/>
    <w:rsid w:val="0083629B"/>
    <w:rsid w:val="008366E3"/>
    <w:rsid w:val="00836A17"/>
    <w:rsid w:val="00836A1E"/>
    <w:rsid w:val="00836D6A"/>
    <w:rsid w:val="0083709F"/>
    <w:rsid w:val="008371AA"/>
    <w:rsid w:val="00837625"/>
    <w:rsid w:val="00837933"/>
    <w:rsid w:val="00837E54"/>
    <w:rsid w:val="00840774"/>
    <w:rsid w:val="00840F2E"/>
    <w:rsid w:val="00841363"/>
    <w:rsid w:val="008416F0"/>
    <w:rsid w:val="008418BB"/>
    <w:rsid w:val="00841E10"/>
    <w:rsid w:val="00841FFA"/>
    <w:rsid w:val="008429DD"/>
    <w:rsid w:val="00842F9B"/>
    <w:rsid w:val="00843058"/>
    <w:rsid w:val="008431A0"/>
    <w:rsid w:val="0084326C"/>
    <w:rsid w:val="00843360"/>
    <w:rsid w:val="00843537"/>
    <w:rsid w:val="00843CCC"/>
    <w:rsid w:val="00843E8B"/>
    <w:rsid w:val="00844243"/>
    <w:rsid w:val="008444B8"/>
    <w:rsid w:val="00844B6B"/>
    <w:rsid w:val="00844E9D"/>
    <w:rsid w:val="008450F4"/>
    <w:rsid w:val="008451EE"/>
    <w:rsid w:val="0084619F"/>
    <w:rsid w:val="008463B7"/>
    <w:rsid w:val="008463CF"/>
    <w:rsid w:val="0084642C"/>
    <w:rsid w:val="008469A5"/>
    <w:rsid w:val="00846C6C"/>
    <w:rsid w:val="00846E3B"/>
    <w:rsid w:val="0084730E"/>
    <w:rsid w:val="008474C3"/>
    <w:rsid w:val="00847C52"/>
    <w:rsid w:val="00847D50"/>
    <w:rsid w:val="0085018B"/>
    <w:rsid w:val="0085039E"/>
    <w:rsid w:val="008503E4"/>
    <w:rsid w:val="00850620"/>
    <w:rsid w:val="00850E60"/>
    <w:rsid w:val="00851070"/>
    <w:rsid w:val="00851628"/>
    <w:rsid w:val="00851794"/>
    <w:rsid w:val="0085185B"/>
    <w:rsid w:val="00851988"/>
    <w:rsid w:val="0085234C"/>
    <w:rsid w:val="008523EC"/>
    <w:rsid w:val="00852597"/>
    <w:rsid w:val="0085261D"/>
    <w:rsid w:val="008528FE"/>
    <w:rsid w:val="00852F62"/>
    <w:rsid w:val="00852FC0"/>
    <w:rsid w:val="00853039"/>
    <w:rsid w:val="008534B8"/>
    <w:rsid w:val="00853EFB"/>
    <w:rsid w:val="00854015"/>
    <w:rsid w:val="008540EF"/>
    <w:rsid w:val="008541BC"/>
    <w:rsid w:val="00854383"/>
    <w:rsid w:val="008543EF"/>
    <w:rsid w:val="00854409"/>
    <w:rsid w:val="00854B9D"/>
    <w:rsid w:val="00854D54"/>
    <w:rsid w:val="00854D59"/>
    <w:rsid w:val="00855021"/>
    <w:rsid w:val="00855073"/>
    <w:rsid w:val="008552BA"/>
    <w:rsid w:val="0085540D"/>
    <w:rsid w:val="00855719"/>
    <w:rsid w:val="00855834"/>
    <w:rsid w:val="00855B27"/>
    <w:rsid w:val="00855C62"/>
    <w:rsid w:val="00855D4A"/>
    <w:rsid w:val="00856225"/>
    <w:rsid w:val="00856392"/>
    <w:rsid w:val="0085657C"/>
    <w:rsid w:val="0085685F"/>
    <w:rsid w:val="00856925"/>
    <w:rsid w:val="008571CA"/>
    <w:rsid w:val="00857458"/>
    <w:rsid w:val="00857969"/>
    <w:rsid w:val="00857A28"/>
    <w:rsid w:val="00857BA1"/>
    <w:rsid w:val="00857D4E"/>
    <w:rsid w:val="00857D68"/>
    <w:rsid w:val="00857E4E"/>
    <w:rsid w:val="008601BD"/>
    <w:rsid w:val="00860516"/>
    <w:rsid w:val="00860560"/>
    <w:rsid w:val="00860633"/>
    <w:rsid w:val="0086067A"/>
    <w:rsid w:val="00860847"/>
    <w:rsid w:val="008609BE"/>
    <w:rsid w:val="00860A4B"/>
    <w:rsid w:val="00860D05"/>
    <w:rsid w:val="00860D64"/>
    <w:rsid w:val="008616BF"/>
    <w:rsid w:val="00861A62"/>
    <w:rsid w:val="00861ACE"/>
    <w:rsid w:val="0086220D"/>
    <w:rsid w:val="008623CB"/>
    <w:rsid w:val="00862679"/>
    <w:rsid w:val="00862684"/>
    <w:rsid w:val="0086290E"/>
    <w:rsid w:val="00862A4F"/>
    <w:rsid w:val="00862E40"/>
    <w:rsid w:val="00862F72"/>
    <w:rsid w:val="00863788"/>
    <w:rsid w:val="00863896"/>
    <w:rsid w:val="00863B45"/>
    <w:rsid w:val="00863CA6"/>
    <w:rsid w:val="00863D56"/>
    <w:rsid w:val="00863E76"/>
    <w:rsid w:val="00863E86"/>
    <w:rsid w:val="00864248"/>
    <w:rsid w:val="00864371"/>
    <w:rsid w:val="0086447D"/>
    <w:rsid w:val="008644CA"/>
    <w:rsid w:val="00864661"/>
    <w:rsid w:val="0086475C"/>
    <w:rsid w:val="008647C7"/>
    <w:rsid w:val="008647EA"/>
    <w:rsid w:val="00864910"/>
    <w:rsid w:val="00864B39"/>
    <w:rsid w:val="008652AF"/>
    <w:rsid w:val="00865972"/>
    <w:rsid w:val="00865D02"/>
    <w:rsid w:val="00865DAE"/>
    <w:rsid w:val="00865F4A"/>
    <w:rsid w:val="00866601"/>
    <w:rsid w:val="008666C4"/>
    <w:rsid w:val="008667A0"/>
    <w:rsid w:val="00866CE8"/>
    <w:rsid w:val="00866D57"/>
    <w:rsid w:val="00866DCF"/>
    <w:rsid w:val="00866EF8"/>
    <w:rsid w:val="00866EF9"/>
    <w:rsid w:val="00866FA9"/>
    <w:rsid w:val="00867161"/>
    <w:rsid w:val="00867591"/>
    <w:rsid w:val="0086762B"/>
    <w:rsid w:val="00867C01"/>
    <w:rsid w:val="00867D64"/>
    <w:rsid w:val="00867EA7"/>
    <w:rsid w:val="00870013"/>
    <w:rsid w:val="008701BA"/>
    <w:rsid w:val="008701BB"/>
    <w:rsid w:val="00870494"/>
    <w:rsid w:val="00870666"/>
    <w:rsid w:val="008709E4"/>
    <w:rsid w:val="00870C37"/>
    <w:rsid w:val="00870D35"/>
    <w:rsid w:val="0087108B"/>
    <w:rsid w:val="00871295"/>
    <w:rsid w:val="00871345"/>
    <w:rsid w:val="00871795"/>
    <w:rsid w:val="00871B73"/>
    <w:rsid w:val="00871D2A"/>
    <w:rsid w:val="00872317"/>
    <w:rsid w:val="00872560"/>
    <w:rsid w:val="008726AD"/>
    <w:rsid w:val="00872B35"/>
    <w:rsid w:val="00872EE6"/>
    <w:rsid w:val="00873B3B"/>
    <w:rsid w:val="00873B45"/>
    <w:rsid w:val="00873C60"/>
    <w:rsid w:val="008743F1"/>
    <w:rsid w:val="008748BC"/>
    <w:rsid w:val="00874C41"/>
    <w:rsid w:val="00874EAE"/>
    <w:rsid w:val="0087504F"/>
    <w:rsid w:val="00875126"/>
    <w:rsid w:val="0087516B"/>
    <w:rsid w:val="0087520A"/>
    <w:rsid w:val="00875556"/>
    <w:rsid w:val="008758FA"/>
    <w:rsid w:val="00875932"/>
    <w:rsid w:val="00875C3D"/>
    <w:rsid w:val="0087630D"/>
    <w:rsid w:val="00876443"/>
    <w:rsid w:val="0087664E"/>
    <w:rsid w:val="00876CE5"/>
    <w:rsid w:val="00877676"/>
    <w:rsid w:val="008776CA"/>
    <w:rsid w:val="008778A8"/>
    <w:rsid w:val="00877A7B"/>
    <w:rsid w:val="00877B41"/>
    <w:rsid w:val="00877B9A"/>
    <w:rsid w:val="00877F4B"/>
    <w:rsid w:val="008802E7"/>
    <w:rsid w:val="00880441"/>
    <w:rsid w:val="00880763"/>
    <w:rsid w:val="00880815"/>
    <w:rsid w:val="008809E5"/>
    <w:rsid w:val="00880D2A"/>
    <w:rsid w:val="00880EE2"/>
    <w:rsid w:val="008812D0"/>
    <w:rsid w:val="008812DA"/>
    <w:rsid w:val="00881505"/>
    <w:rsid w:val="00881571"/>
    <w:rsid w:val="00881A8A"/>
    <w:rsid w:val="00881B16"/>
    <w:rsid w:val="00882198"/>
    <w:rsid w:val="0088246C"/>
    <w:rsid w:val="0088258C"/>
    <w:rsid w:val="00882B01"/>
    <w:rsid w:val="00882CC4"/>
    <w:rsid w:val="00882DB0"/>
    <w:rsid w:val="00883121"/>
    <w:rsid w:val="00883235"/>
    <w:rsid w:val="0088323D"/>
    <w:rsid w:val="00883313"/>
    <w:rsid w:val="00883BD7"/>
    <w:rsid w:val="008844AC"/>
    <w:rsid w:val="00885104"/>
    <w:rsid w:val="00885252"/>
    <w:rsid w:val="00885733"/>
    <w:rsid w:val="00885C16"/>
    <w:rsid w:val="00885CA0"/>
    <w:rsid w:val="00885E44"/>
    <w:rsid w:val="00886125"/>
    <w:rsid w:val="008861DB"/>
    <w:rsid w:val="00886638"/>
    <w:rsid w:val="00886D4F"/>
    <w:rsid w:val="00886FCB"/>
    <w:rsid w:val="00887630"/>
    <w:rsid w:val="008877B4"/>
    <w:rsid w:val="008877DF"/>
    <w:rsid w:val="00887A94"/>
    <w:rsid w:val="00887D45"/>
    <w:rsid w:val="00887F2C"/>
    <w:rsid w:val="00887F5D"/>
    <w:rsid w:val="00890230"/>
    <w:rsid w:val="008909D9"/>
    <w:rsid w:val="00890D5F"/>
    <w:rsid w:val="00890DAC"/>
    <w:rsid w:val="00890F48"/>
    <w:rsid w:val="0089154A"/>
    <w:rsid w:val="00891768"/>
    <w:rsid w:val="008917C9"/>
    <w:rsid w:val="00891D5A"/>
    <w:rsid w:val="00891E17"/>
    <w:rsid w:val="0089216C"/>
    <w:rsid w:val="00892904"/>
    <w:rsid w:val="00892B10"/>
    <w:rsid w:val="0089311C"/>
    <w:rsid w:val="00893157"/>
    <w:rsid w:val="00893262"/>
    <w:rsid w:val="008932E1"/>
    <w:rsid w:val="00893304"/>
    <w:rsid w:val="0089353B"/>
    <w:rsid w:val="00893640"/>
    <w:rsid w:val="0089376B"/>
    <w:rsid w:val="008938B8"/>
    <w:rsid w:val="00893A2D"/>
    <w:rsid w:val="00893A31"/>
    <w:rsid w:val="00893B79"/>
    <w:rsid w:val="00893C93"/>
    <w:rsid w:val="00893D52"/>
    <w:rsid w:val="008942A8"/>
    <w:rsid w:val="00894781"/>
    <w:rsid w:val="00894A48"/>
    <w:rsid w:val="00894DF9"/>
    <w:rsid w:val="00895323"/>
    <w:rsid w:val="0089549D"/>
    <w:rsid w:val="00895581"/>
    <w:rsid w:val="00895619"/>
    <w:rsid w:val="008958EB"/>
    <w:rsid w:val="00895ECD"/>
    <w:rsid w:val="0089604B"/>
    <w:rsid w:val="0089608F"/>
    <w:rsid w:val="00896FB5"/>
    <w:rsid w:val="00897125"/>
    <w:rsid w:val="008974BC"/>
    <w:rsid w:val="008975D5"/>
    <w:rsid w:val="0089788B"/>
    <w:rsid w:val="00897E75"/>
    <w:rsid w:val="008A0060"/>
    <w:rsid w:val="008A00B4"/>
    <w:rsid w:val="008A034B"/>
    <w:rsid w:val="008A03A0"/>
    <w:rsid w:val="008A05DB"/>
    <w:rsid w:val="008A073B"/>
    <w:rsid w:val="008A0813"/>
    <w:rsid w:val="008A0937"/>
    <w:rsid w:val="008A09F0"/>
    <w:rsid w:val="008A1335"/>
    <w:rsid w:val="008A1BAB"/>
    <w:rsid w:val="008A1E85"/>
    <w:rsid w:val="008A1E91"/>
    <w:rsid w:val="008A1FFC"/>
    <w:rsid w:val="008A209E"/>
    <w:rsid w:val="008A238F"/>
    <w:rsid w:val="008A2CAA"/>
    <w:rsid w:val="008A30F8"/>
    <w:rsid w:val="008A3846"/>
    <w:rsid w:val="008A3B94"/>
    <w:rsid w:val="008A3C63"/>
    <w:rsid w:val="008A3F57"/>
    <w:rsid w:val="008A4171"/>
    <w:rsid w:val="008A4314"/>
    <w:rsid w:val="008A44AE"/>
    <w:rsid w:val="008A4554"/>
    <w:rsid w:val="008A4625"/>
    <w:rsid w:val="008A46C1"/>
    <w:rsid w:val="008A4B31"/>
    <w:rsid w:val="008A4BD6"/>
    <w:rsid w:val="008A51B9"/>
    <w:rsid w:val="008A524B"/>
    <w:rsid w:val="008A533E"/>
    <w:rsid w:val="008A57C3"/>
    <w:rsid w:val="008A5AF3"/>
    <w:rsid w:val="008A5B85"/>
    <w:rsid w:val="008A5E5F"/>
    <w:rsid w:val="008A67C4"/>
    <w:rsid w:val="008A6BB0"/>
    <w:rsid w:val="008A7123"/>
    <w:rsid w:val="008A74C6"/>
    <w:rsid w:val="008A74E4"/>
    <w:rsid w:val="008A7E10"/>
    <w:rsid w:val="008A7FC5"/>
    <w:rsid w:val="008A7FF4"/>
    <w:rsid w:val="008B0ADF"/>
    <w:rsid w:val="008B0EE1"/>
    <w:rsid w:val="008B12EA"/>
    <w:rsid w:val="008B15CC"/>
    <w:rsid w:val="008B24AC"/>
    <w:rsid w:val="008B26BB"/>
    <w:rsid w:val="008B29ED"/>
    <w:rsid w:val="008B2C01"/>
    <w:rsid w:val="008B2CB8"/>
    <w:rsid w:val="008B2D2E"/>
    <w:rsid w:val="008B2EB2"/>
    <w:rsid w:val="008B3695"/>
    <w:rsid w:val="008B3B01"/>
    <w:rsid w:val="008B3B7E"/>
    <w:rsid w:val="008B3C96"/>
    <w:rsid w:val="008B3F50"/>
    <w:rsid w:val="008B41E0"/>
    <w:rsid w:val="008B41ED"/>
    <w:rsid w:val="008B4348"/>
    <w:rsid w:val="008B47CF"/>
    <w:rsid w:val="008B49C0"/>
    <w:rsid w:val="008B4AAF"/>
    <w:rsid w:val="008B508B"/>
    <w:rsid w:val="008B562E"/>
    <w:rsid w:val="008B57EC"/>
    <w:rsid w:val="008B5C29"/>
    <w:rsid w:val="008B62B9"/>
    <w:rsid w:val="008B67B7"/>
    <w:rsid w:val="008B68D6"/>
    <w:rsid w:val="008B6DE1"/>
    <w:rsid w:val="008B72BA"/>
    <w:rsid w:val="008B741A"/>
    <w:rsid w:val="008B76F0"/>
    <w:rsid w:val="008B779D"/>
    <w:rsid w:val="008B78EF"/>
    <w:rsid w:val="008B79D9"/>
    <w:rsid w:val="008B7DEB"/>
    <w:rsid w:val="008B7FD0"/>
    <w:rsid w:val="008C0002"/>
    <w:rsid w:val="008C02D6"/>
    <w:rsid w:val="008C0497"/>
    <w:rsid w:val="008C058A"/>
    <w:rsid w:val="008C0731"/>
    <w:rsid w:val="008C0D77"/>
    <w:rsid w:val="008C0E8A"/>
    <w:rsid w:val="008C1032"/>
    <w:rsid w:val="008C1580"/>
    <w:rsid w:val="008C1855"/>
    <w:rsid w:val="008C1C1A"/>
    <w:rsid w:val="008C1F05"/>
    <w:rsid w:val="008C1F85"/>
    <w:rsid w:val="008C24AA"/>
    <w:rsid w:val="008C2511"/>
    <w:rsid w:val="008C25B7"/>
    <w:rsid w:val="008C2E69"/>
    <w:rsid w:val="008C2E7B"/>
    <w:rsid w:val="008C2F6A"/>
    <w:rsid w:val="008C3152"/>
    <w:rsid w:val="008C33D1"/>
    <w:rsid w:val="008C34AF"/>
    <w:rsid w:val="008C4226"/>
    <w:rsid w:val="008C4756"/>
    <w:rsid w:val="008C4907"/>
    <w:rsid w:val="008C491C"/>
    <w:rsid w:val="008C494F"/>
    <w:rsid w:val="008C4D34"/>
    <w:rsid w:val="008C4D93"/>
    <w:rsid w:val="008C512B"/>
    <w:rsid w:val="008C5140"/>
    <w:rsid w:val="008C55FE"/>
    <w:rsid w:val="008C5729"/>
    <w:rsid w:val="008C5F91"/>
    <w:rsid w:val="008C669E"/>
    <w:rsid w:val="008C6715"/>
    <w:rsid w:val="008C6BD8"/>
    <w:rsid w:val="008C6CB5"/>
    <w:rsid w:val="008C6DC8"/>
    <w:rsid w:val="008C7585"/>
    <w:rsid w:val="008C7724"/>
    <w:rsid w:val="008C7B23"/>
    <w:rsid w:val="008C7CA9"/>
    <w:rsid w:val="008C7DCC"/>
    <w:rsid w:val="008C7F71"/>
    <w:rsid w:val="008D0803"/>
    <w:rsid w:val="008D08BC"/>
    <w:rsid w:val="008D0F84"/>
    <w:rsid w:val="008D11FD"/>
    <w:rsid w:val="008D1581"/>
    <w:rsid w:val="008D180C"/>
    <w:rsid w:val="008D18F0"/>
    <w:rsid w:val="008D1925"/>
    <w:rsid w:val="008D193C"/>
    <w:rsid w:val="008D263E"/>
    <w:rsid w:val="008D28CA"/>
    <w:rsid w:val="008D2A81"/>
    <w:rsid w:val="008D2C4B"/>
    <w:rsid w:val="008D2D3B"/>
    <w:rsid w:val="008D2E75"/>
    <w:rsid w:val="008D2E8C"/>
    <w:rsid w:val="008D339F"/>
    <w:rsid w:val="008D36D9"/>
    <w:rsid w:val="008D39DE"/>
    <w:rsid w:val="008D3F9F"/>
    <w:rsid w:val="008D4194"/>
    <w:rsid w:val="008D4811"/>
    <w:rsid w:val="008D4D1C"/>
    <w:rsid w:val="008D4DF9"/>
    <w:rsid w:val="008D50EE"/>
    <w:rsid w:val="008D511D"/>
    <w:rsid w:val="008D51C9"/>
    <w:rsid w:val="008D60F2"/>
    <w:rsid w:val="008D6124"/>
    <w:rsid w:val="008D627F"/>
    <w:rsid w:val="008D6313"/>
    <w:rsid w:val="008D633B"/>
    <w:rsid w:val="008D6CB9"/>
    <w:rsid w:val="008D73CA"/>
    <w:rsid w:val="008D7BE1"/>
    <w:rsid w:val="008D7FE8"/>
    <w:rsid w:val="008E00AD"/>
    <w:rsid w:val="008E0117"/>
    <w:rsid w:val="008E0220"/>
    <w:rsid w:val="008E0224"/>
    <w:rsid w:val="008E0241"/>
    <w:rsid w:val="008E0A27"/>
    <w:rsid w:val="008E0B34"/>
    <w:rsid w:val="008E0BB1"/>
    <w:rsid w:val="008E1104"/>
    <w:rsid w:val="008E18A3"/>
    <w:rsid w:val="008E21CC"/>
    <w:rsid w:val="008E238B"/>
    <w:rsid w:val="008E298E"/>
    <w:rsid w:val="008E2D10"/>
    <w:rsid w:val="008E350A"/>
    <w:rsid w:val="008E3665"/>
    <w:rsid w:val="008E3ECC"/>
    <w:rsid w:val="008E4080"/>
    <w:rsid w:val="008E40E8"/>
    <w:rsid w:val="008E4C39"/>
    <w:rsid w:val="008E4DC4"/>
    <w:rsid w:val="008E4F8B"/>
    <w:rsid w:val="008E5275"/>
    <w:rsid w:val="008E54EE"/>
    <w:rsid w:val="008E54EF"/>
    <w:rsid w:val="008E5710"/>
    <w:rsid w:val="008E57B5"/>
    <w:rsid w:val="008E5CC5"/>
    <w:rsid w:val="008E5D25"/>
    <w:rsid w:val="008E5FA6"/>
    <w:rsid w:val="008E60B3"/>
    <w:rsid w:val="008E60D7"/>
    <w:rsid w:val="008E6292"/>
    <w:rsid w:val="008E62B2"/>
    <w:rsid w:val="008E6426"/>
    <w:rsid w:val="008E65DE"/>
    <w:rsid w:val="008E661A"/>
    <w:rsid w:val="008E6839"/>
    <w:rsid w:val="008E7465"/>
    <w:rsid w:val="008E7B10"/>
    <w:rsid w:val="008E7F07"/>
    <w:rsid w:val="008F00A2"/>
    <w:rsid w:val="008F0174"/>
    <w:rsid w:val="008F04B9"/>
    <w:rsid w:val="008F0543"/>
    <w:rsid w:val="008F0886"/>
    <w:rsid w:val="008F089F"/>
    <w:rsid w:val="008F0D08"/>
    <w:rsid w:val="008F0EAB"/>
    <w:rsid w:val="008F1521"/>
    <w:rsid w:val="008F1961"/>
    <w:rsid w:val="008F23EB"/>
    <w:rsid w:val="008F258E"/>
    <w:rsid w:val="008F2788"/>
    <w:rsid w:val="008F28EB"/>
    <w:rsid w:val="008F2993"/>
    <w:rsid w:val="008F3067"/>
    <w:rsid w:val="008F3138"/>
    <w:rsid w:val="008F332F"/>
    <w:rsid w:val="008F3615"/>
    <w:rsid w:val="008F3686"/>
    <w:rsid w:val="008F372D"/>
    <w:rsid w:val="008F3A84"/>
    <w:rsid w:val="008F3D34"/>
    <w:rsid w:val="008F3E17"/>
    <w:rsid w:val="008F3FC7"/>
    <w:rsid w:val="008F41BC"/>
    <w:rsid w:val="008F41D9"/>
    <w:rsid w:val="008F478A"/>
    <w:rsid w:val="008F4800"/>
    <w:rsid w:val="008F4976"/>
    <w:rsid w:val="008F4E91"/>
    <w:rsid w:val="008F571B"/>
    <w:rsid w:val="008F577C"/>
    <w:rsid w:val="008F5825"/>
    <w:rsid w:val="008F591C"/>
    <w:rsid w:val="008F5BFC"/>
    <w:rsid w:val="008F5D78"/>
    <w:rsid w:val="008F5EDC"/>
    <w:rsid w:val="008F6584"/>
    <w:rsid w:val="008F6A02"/>
    <w:rsid w:val="008F6B6D"/>
    <w:rsid w:val="008F6F27"/>
    <w:rsid w:val="00900119"/>
    <w:rsid w:val="0090020E"/>
    <w:rsid w:val="00900272"/>
    <w:rsid w:val="00900312"/>
    <w:rsid w:val="00900588"/>
    <w:rsid w:val="009006DA"/>
    <w:rsid w:val="009008CC"/>
    <w:rsid w:val="00900C49"/>
    <w:rsid w:val="00900F97"/>
    <w:rsid w:val="0090120A"/>
    <w:rsid w:val="009013DF"/>
    <w:rsid w:val="00901B9E"/>
    <w:rsid w:val="00902363"/>
    <w:rsid w:val="00902390"/>
    <w:rsid w:val="009023BC"/>
    <w:rsid w:val="009028E0"/>
    <w:rsid w:val="00902A54"/>
    <w:rsid w:val="00902BF7"/>
    <w:rsid w:val="00903167"/>
    <w:rsid w:val="00903349"/>
    <w:rsid w:val="0090376A"/>
    <w:rsid w:val="00903814"/>
    <w:rsid w:val="009039F0"/>
    <w:rsid w:val="00903BE2"/>
    <w:rsid w:val="00903F5C"/>
    <w:rsid w:val="009041A5"/>
    <w:rsid w:val="00904707"/>
    <w:rsid w:val="0090494F"/>
    <w:rsid w:val="00904ECC"/>
    <w:rsid w:val="00904F24"/>
    <w:rsid w:val="009054D0"/>
    <w:rsid w:val="0090567A"/>
    <w:rsid w:val="00905A1D"/>
    <w:rsid w:val="00905B0A"/>
    <w:rsid w:val="00905EB5"/>
    <w:rsid w:val="009060FD"/>
    <w:rsid w:val="0090673A"/>
    <w:rsid w:val="00906A31"/>
    <w:rsid w:val="00906AC1"/>
    <w:rsid w:val="00906B6E"/>
    <w:rsid w:val="0090739F"/>
    <w:rsid w:val="0090743F"/>
    <w:rsid w:val="009074D9"/>
    <w:rsid w:val="009075D8"/>
    <w:rsid w:val="009076A5"/>
    <w:rsid w:val="00907787"/>
    <w:rsid w:val="009078E8"/>
    <w:rsid w:val="00907B73"/>
    <w:rsid w:val="00907D5A"/>
    <w:rsid w:val="00907DCA"/>
    <w:rsid w:val="00907E4B"/>
    <w:rsid w:val="009101D1"/>
    <w:rsid w:val="009106E5"/>
    <w:rsid w:val="009107C6"/>
    <w:rsid w:val="00910B1C"/>
    <w:rsid w:val="00910C05"/>
    <w:rsid w:val="00910F98"/>
    <w:rsid w:val="009110C8"/>
    <w:rsid w:val="009112F7"/>
    <w:rsid w:val="00911373"/>
    <w:rsid w:val="009119F0"/>
    <w:rsid w:val="0091224E"/>
    <w:rsid w:val="00912551"/>
    <w:rsid w:val="009127EF"/>
    <w:rsid w:val="009139C6"/>
    <w:rsid w:val="00913CAC"/>
    <w:rsid w:val="00913D8E"/>
    <w:rsid w:val="00913DFE"/>
    <w:rsid w:val="00914026"/>
    <w:rsid w:val="009143D1"/>
    <w:rsid w:val="00914586"/>
    <w:rsid w:val="009145E5"/>
    <w:rsid w:val="0091489B"/>
    <w:rsid w:val="00914A88"/>
    <w:rsid w:val="00914D42"/>
    <w:rsid w:val="00915223"/>
    <w:rsid w:val="00915430"/>
    <w:rsid w:val="009157C2"/>
    <w:rsid w:val="00915FBD"/>
    <w:rsid w:val="009161E1"/>
    <w:rsid w:val="0091649D"/>
    <w:rsid w:val="00916CDD"/>
    <w:rsid w:val="00916D67"/>
    <w:rsid w:val="009170F8"/>
    <w:rsid w:val="00917255"/>
    <w:rsid w:val="0091737F"/>
    <w:rsid w:val="00917654"/>
    <w:rsid w:val="0091785A"/>
    <w:rsid w:val="009179C8"/>
    <w:rsid w:val="00917A2A"/>
    <w:rsid w:val="00917A4D"/>
    <w:rsid w:val="00917B60"/>
    <w:rsid w:val="00917C93"/>
    <w:rsid w:val="00917E28"/>
    <w:rsid w:val="00920145"/>
    <w:rsid w:val="0092065D"/>
    <w:rsid w:val="00920667"/>
    <w:rsid w:val="009208D5"/>
    <w:rsid w:val="00920D1A"/>
    <w:rsid w:val="009212CE"/>
    <w:rsid w:val="009214FB"/>
    <w:rsid w:val="0092167E"/>
    <w:rsid w:val="009218C2"/>
    <w:rsid w:val="009219AD"/>
    <w:rsid w:val="00921F0E"/>
    <w:rsid w:val="009225D1"/>
    <w:rsid w:val="0092280C"/>
    <w:rsid w:val="00922B5E"/>
    <w:rsid w:val="00923195"/>
    <w:rsid w:val="009232A0"/>
    <w:rsid w:val="009232AD"/>
    <w:rsid w:val="00923329"/>
    <w:rsid w:val="00923559"/>
    <w:rsid w:val="00923649"/>
    <w:rsid w:val="00923AD4"/>
    <w:rsid w:val="00923CB2"/>
    <w:rsid w:val="00923F0A"/>
    <w:rsid w:val="0092433B"/>
    <w:rsid w:val="009243D6"/>
    <w:rsid w:val="009243F5"/>
    <w:rsid w:val="009247BB"/>
    <w:rsid w:val="009248F0"/>
    <w:rsid w:val="00924B6C"/>
    <w:rsid w:val="00924EF9"/>
    <w:rsid w:val="00925179"/>
    <w:rsid w:val="0092524C"/>
    <w:rsid w:val="00925659"/>
    <w:rsid w:val="00925AA5"/>
    <w:rsid w:val="00925C83"/>
    <w:rsid w:val="00925E68"/>
    <w:rsid w:val="00925EA8"/>
    <w:rsid w:val="00925ED5"/>
    <w:rsid w:val="00926782"/>
    <w:rsid w:val="00926EEA"/>
    <w:rsid w:val="00926FBA"/>
    <w:rsid w:val="009271FC"/>
    <w:rsid w:val="009275E5"/>
    <w:rsid w:val="0092763A"/>
    <w:rsid w:val="00927964"/>
    <w:rsid w:val="00927BE5"/>
    <w:rsid w:val="00927DC2"/>
    <w:rsid w:val="00927DCD"/>
    <w:rsid w:val="00927FF1"/>
    <w:rsid w:val="00930046"/>
    <w:rsid w:val="00930386"/>
    <w:rsid w:val="009303F3"/>
    <w:rsid w:val="009304A3"/>
    <w:rsid w:val="009304FE"/>
    <w:rsid w:val="00930C9C"/>
    <w:rsid w:val="0093115E"/>
    <w:rsid w:val="009312FF"/>
    <w:rsid w:val="00931342"/>
    <w:rsid w:val="0093144E"/>
    <w:rsid w:val="009314B8"/>
    <w:rsid w:val="00931599"/>
    <w:rsid w:val="009315ED"/>
    <w:rsid w:val="00931768"/>
    <w:rsid w:val="00931C0C"/>
    <w:rsid w:val="00931DD0"/>
    <w:rsid w:val="0093220E"/>
    <w:rsid w:val="0093238C"/>
    <w:rsid w:val="00932462"/>
    <w:rsid w:val="009326B1"/>
    <w:rsid w:val="00933021"/>
    <w:rsid w:val="0093331C"/>
    <w:rsid w:val="00933507"/>
    <w:rsid w:val="009335B3"/>
    <w:rsid w:val="0093360B"/>
    <w:rsid w:val="009336CA"/>
    <w:rsid w:val="009336D0"/>
    <w:rsid w:val="009338EF"/>
    <w:rsid w:val="00933ABC"/>
    <w:rsid w:val="00933DE0"/>
    <w:rsid w:val="00933E7D"/>
    <w:rsid w:val="00933E8B"/>
    <w:rsid w:val="00933EBF"/>
    <w:rsid w:val="00934385"/>
    <w:rsid w:val="0093440F"/>
    <w:rsid w:val="0093459F"/>
    <w:rsid w:val="009347D4"/>
    <w:rsid w:val="00934A4D"/>
    <w:rsid w:val="00935100"/>
    <w:rsid w:val="0093540D"/>
    <w:rsid w:val="0093566D"/>
    <w:rsid w:val="00935BEC"/>
    <w:rsid w:val="00936138"/>
    <w:rsid w:val="00936553"/>
    <w:rsid w:val="00936C78"/>
    <w:rsid w:val="00936D2A"/>
    <w:rsid w:val="00936EF4"/>
    <w:rsid w:val="00936FF8"/>
    <w:rsid w:val="00937C7F"/>
    <w:rsid w:val="00937EA4"/>
    <w:rsid w:val="00937ECF"/>
    <w:rsid w:val="009400CA"/>
    <w:rsid w:val="0094019D"/>
    <w:rsid w:val="00940202"/>
    <w:rsid w:val="0094081B"/>
    <w:rsid w:val="00940C4F"/>
    <w:rsid w:val="00940E71"/>
    <w:rsid w:val="00940F36"/>
    <w:rsid w:val="0094122A"/>
    <w:rsid w:val="009412BA"/>
    <w:rsid w:val="009413AF"/>
    <w:rsid w:val="009417D5"/>
    <w:rsid w:val="00941A2D"/>
    <w:rsid w:val="009420C1"/>
    <w:rsid w:val="009425DE"/>
    <w:rsid w:val="009428E8"/>
    <w:rsid w:val="00942AFE"/>
    <w:rsid w:val="00942C11"/>
    <w:rsid w:val="00942D2A"/>
    <w:rsid w:val="00942DCE"/>
    <w:rsid w:val="009433F7"/>
    <w:rsid w:val="0094351F"/>
    <w:rsid w:val="0094387C"/>
    <w:rsid w:val="00943A29"/>
    <w:rsid w:val="00943A83"/>
    <w:rsid w:val="00943B0F"/>
    <w:rsid w:val="009440D5"/>
    <w:rsid w:val="009443ED"/>
    <w:rsid w:val="009445FD"/>
    <w:rsid w:val="009446D5"/>
    <w:rsid w:val="0094480F"/>
    <w:rsid w:val="00944A0E"/>
    <w:rsid w:val="00944B2E"/>
    <w:rsid w:val="009451A0"/>
    <w:rsid w:val="0094545E"/>
    <w:rsid w:val="009455B1"/>
    <w:rsid w:val="00945805"/>
    <w:rsid w:val="0094590C"/>
    <w:rsid w:val="00945997"/>
    <w:rsid w:val="009464CA"/>
    <w:rsid w:val="009466CA"/>
    <w:rsid w:val="00946FB9"/>
    <w:rsid w:val="00947343"/>
    <w:rsid w:val="0094736C"/>
    <w:rsid w:val="00947381"/>
    <w:rsid w:val="00947C69"/>
    <w:rsid w:val="009505D2"/>
    <w:rsid w:val="009509C0"/>
    <w:rsid w:val="00950CA4"/>
    <w:rsid w:val="00950D3D"/>
    <w:rsid w:val="00950F93"/>
    <w:rsid w:val="00951233"/>
    <w:rsid w:val="00952212"/>
    <w:rsid w:val="00952D79"/>
    <w:rsid w:val="00953212"/>
    <w:rsid w:val="00953525"/>
    <w:rsid w:val="00953AC4"/>
    <w:rsid w:val="00953AF2"/>
    <w:rsid w:val="00953ED0"/>
    <w:rsid w:val="0095478C"/>
    <w:rsid w:val="009547F8"/>
    <w:rsid w:val="00954B61"/>
    <w:rsid w:val="00954C82"/>
    <w:rsid w:val="00955328"/>
    <w:rsid w:val="0095547B"/>
    <w:rsid w:val="00955584"/>
    <w:rsid w:val="0095561A"/>
    <w:rsid w:val="009556E9"/>
    <w:rsid w:val="00955BF1"/>
    <w:rsid w:val="00955C3F"/>
    <w:rsid w:val="00955CF5"/>
    <w:rsid w:val="00955FC7"/>
    <w:rsid w:val="00956281"/>
    <w:rsid w:val="009562BC"/>
    <w:rsid w:val="0095661B"/>
    <w:rsid w:val="00956AA5"/>
    <w:rsid w:val="00956B70"/>
    <w:rsid w:val="00956EC8"/>
    <w:rsid w:val="0095715E"/>
    <w:rsid w:val="0095775F"/>
    <w:rsid w:val="00957E57"/>
    <w:rsid w:val="0096053A"/>
    <w:rsid w:val="00960628"/>
    <w:rsid w:val="0096074B"/>
    <w:rsid w:val="00960820"/>
    <w:rsid w:val="00960AFF"/>
    <w:rsid w:val="00961062"/>
    <w:rsid w:val="0096116C"/>
    <w:rsid w:val="00961180"/>
    <w:rsid w:val="009612A5"/>
    <w:rsid w:val="00961353"/>
    <w:rsid w:val="009613FF"/>
    <w:rsid w:val="00961536"/>
    <w:rsid w:val="00961E39"/>
    <w:rsid w:val="0096208C"/>
    <w:rsid w:val="00962177"/>
    <w:rsid w:val="009622D8"/>
    <w:rsid w:val="0096256F"/>
    <w:rsid w:val="00962699"/>
    <w:rsid w:val="009626B2"/>
    <w:rsid w:val="00962E37"/>
    <w:rsid w:val="009630FC"/>
    <w:rsid w:val="0096319A"/>
    <w:rsid w:val="0096395D"/>
    <w:rsid w:val="009639F1"/>
    <w:rsid w:val="00963A27"/>
    <w:rsid w:val="00963B80"/>
    <w:rsid w:val="00963ED7"/>
    <w:rsid w:val="00963EE7"/>
    <w:rsid w:val="00964115"/>
    <w:rsid w:val="00964148"/>
    <w:rsid w:val="0096414E"/>
    <w:rsid w:val="00964244"/>
    <w:rsid w:val="00964479"/>
    <w:rsid w:val="009645BD"/>
    <w:rsid w:val="00964A7C"/>
    <w:rsid w:val="00964B01"/>
    <w:rsid w:val="00964B84"/>
    <w:rsid w:val="00964CCB"/>
    <w:rsid w:val="009658D4"/>
    <w:rsid w:val="00965C43"/>
    <w:rsid w:val="00965CEF"/>
    <w:rsid w:val="00965D1C"/>
    <w:rsid w:val="00965E5D"/>
    <w:rsid w:val="0096631A"/>
    <w:rsid w:val="009665B9"/>
    <w:rsid w:val="0096667E"/>
    <w:rsid w:val="009667D5"/>
    <w:rsid w:val="00966D38"/>
    <w:rsid w:val="009675A4"/>
    <w:rsid w:val="0096760D"/>
    <w:rsid w:val="009676AA"/>
    <w:rsid w:val="00967732"/>
    <w:rsid w:val="009677B7"/>
    <w:rsid w:val="009678BD"/>
    <w:rsid w:val="009679E8"/>
    <w:rsid w:val="00970491"/>
    <w:rsid w:val="009704A7"/>
    <w:rsid w:val="0097069A"/>
    <w:rsid w:val="00970794"/>
    <w:rsid w:val="009708F9"/>
    <w:rsid w:val="00970AAE"/>
    <w:rsid w:val="00970E18"/>
    <w:rsid w:val="00970EC6"/>
    <w:rsid w:val="00971010"/>
    <w:rsid w:val="009715F0"/>
    <w:rsid w:val="00971B88"/>
    <w:rsid w:val="009721A4"/>
    <w:rsid w:val="009722A6"/>
    <w:rsid w:val="00972318"/>
    <w:rsid w:val="009729D4"/>
    <w:rsid w:val="00972D2B"/>
    <w:rsid w:val="00972D63"/>
    <w:rsid w:val="0097310C"/>
    <w:rsid w:val="00973169"/>
    <w:rsid w:val="009731C5"/>
    <w:rsid w:val="009734A3"/>
    <w:rsid w:val="00973519"/>
    <w:rsid w:val="009736D4"/>
    <w:rsid w:val="0097391D"/>
    <w:rsid w:val="00973CC1"/>
    <w:rsid w:val="00974266"/>
    <w:rsid w:val="0097427C"/>
    <w:rsid w:val="00974328"/>
    <w:rsid w:val="0097470A"/>
    <w:rsid w:val="0097473B"/>
    <w:rsid w:val="009747F2"/>
    <w:rsid w:val="00974AB5"/>
    <w:rsid w:val="00974B70"/>
    <w:rsid w:val="00974DD8"/>
    <w:rsid w:val="00974F61"/>
    <w:rsid w:val="00975122"/>
    <w:rsid w:val="00975217"/>
    <w:rsid w:val="0097525F"/>
    <w:rsid w:val="009753AD"/>
    <w:rsid w:val="00975CF9"/>
    <w:rsid w:val="00976E9B"/>
    <w:rsid w:val="00976F1C"/>
    <w:rsid w:val="009771DB"/>
    <w:rsid w:val="009775DF"/>
    <w:rsid w:val="009778BA"/>
    <w:rsid w:val="00977BDB"/>
    <w:rsid w:val="00977DCE"/>
    <w:rsid w:val="00977EEE"/>
    <w:rsid w:val="00980045"/>
    <w:rsid w:val="0098006E"/>
    <w:rsid w:val="009801A4"/>
    <w:rsid w:val="00980724"/>
    <w:rsid w:val="0098073C"/>
    <w:rsid w:val="00980759"/>
    <w:rsid w:val="00980A88"/>
    <w:rsid w:val="00981146"/>
    <w:rsid w:val="0098115B"/>
    <w:rsid w:val="00981166"/>
    <w:rsid w:val="009815AF"/>
    <w:rsid w:val="009817B0"/>
    <w:rsid w:val="009818FB"/>
    <w:rsid w:val="00981B75"/>
    <w:rsid w:val="00981D4E"/>
    <w:rsid w:val="00981DE8"/>
    <w:rsid w:val="00981E70"/>
    <w:rsid w:val="009820A2"/>
    <w:rsid w:val="009821CE"/>
    <w:rsid w:val="00982913"/>
    <w:rsid w:val="00983244"/>
    <w:rsid w:val="0098338F"/>
    <w:rsid w:val="00983513"/>
    <w:rsid w:val="00983734"/>
    <w:rsid w:val="00983765"/>
    <w:rsid w:val="0098378B"/>
    <w:rsid w:val="00983894"/>
    <w:rsid w:val="00983E37"/>
    <w:rsid w:val="00983E9F"/>
    <w:rsid w:val="00984080"/>
    <w:rsid w:val="009842CB"/>
    <w:rsid w:val="00984370"/>
    <w:rsid w:val="00984444"/>
    <w:rsid w:val="0098495C"/>
    <w:rsid w:val="0098530D"/>
    <w:rsid w:val="0098599D"/>
    <w:rsid w:val="00985B92"/>
    <w:rsid w:val="00985E34"/>
    <w:rsid w:val="00986198"/>
    <w:rsid w:val="009861CD"/>
    <w:rsid w:val="009862B3"/>
    <w:rsid w:val="00986C06"/>
    <w:rsid w:val="00987203"/>
    <w:rsid w:val="0098762B"/>
    <w:rsid w:val="00987AD8"/>
    <w:rsid w:val="00987B56"/>
    <w:rsid w:val="00987D45"/>
    <w:rsid w:val="00987D77"/>
    <w:rsid w:val="00987E20"/>
    <w:rsid w:val="00990196"/>
    <w:rsid w:val="0099029B"/>
    <w:rsid w:val="00990B85"/>
    <w:rsid w:val="00990C60"/>
    <w:rsid w:val="00990D4A"/>
    <w:rsid w:val="00991283"/>
    <w:rsid w:val="00991350"/>
    <w:rsid w:val="00991814"/>
    <w:rsid w:val="00991D9B"/>
    <w:rsid w:val="00992083"/>
    <w:rsid w:val="009923DB"/>
    <w:rsid w:val="00992607"/>
    <w:rsid w:val="00992F10"/>
    <w:rsid w:val="0099308F"/>
    <w:rsid w:val="009930B9"/>
    <w:rsid w:val="009931CA"/>
    <w:rsid w:val="00993456"/>
    <w:rsid w:val="009934D1"/>
    <w:rsid w:val="00993636"/>
    <w:rsid w:val="0099368A"/>
    <w:rsid w:val="00993743"/>
    <w:rsid w:val="00993803"/>
    <w:rsid w:val="00993BB6"/>
    <w:rsid w:val="00993D18"/>
    <w:rsid w:val="00993E26"/>
    <w:rsid w:val="00993E9B"/>
    <w:rsid w:val="00993F9E"/>
    <w:rsid w:val="009941E3"/>
    <w:rsid w:val="00994513"/>
    <w:rsid w:val="00994650"/>
    <w:rsid w:val="00994682"/>
    <w:rsid w:val="00994CD6"/>
    <w:rsid w:val="00994D30"/>
    <w:rsid w:val="00995621"/>
    <w:rsid w:val="0099563A"/>
    <w:rsid w:val="009957B2"/>
    <w:rsid w:val="00995B2C"/>
    <w:rsid w:val="009960FE"/>
    <w:rsid w:val="00996362"/>
    <w:rsid w:val="00996365"/>
    <w:rsid w:val="00996384"/>
    <w:rsid w:val="00996551"/>
    <w:rsid w:val="00996632"/>
    <w:rsid w:val="00996A5E"/>
    <w:rsid w:val="00996B3E"/>
    <w:rsid w:val="00996CB8"/>
    <w:rsid w:val="00996E58"/>
    <w:rsid w:val="00996EC4"/>
    <w:rsid w:val="00997002"/>
    <w:rsid w:val="00997024"/>
    <w:rsid w:val="00997096"/>
    <w:rsid w:val="0099713D"/>
    <w:rsid w:val="00997590"/>
    <w:rsid w:val="00997A96"/>
    <w:rsid w:val="00997ED1"/>
    <w:rsid w:val="009A01E5"/>
    <w:rsid w:val="009A064F"/>
    <w:rsid w:val="009A0F1E"/>
    <w:rsid w:val="009A101C"/>
    <w:rsid w:val="009A1621"/>
    <w:rsid w:val="009A1AD6"/>
    <w:rsid w:val="009A1BEB"/>
    <w:rsid w:val="009A21CA"/>
    <w:rsid w:val="009A237C"/>
    <w:rsid w:val="009A2519"/>
    <w:rsid w:val="009A256F"/>
    <w:rsid w:val="009A277C"/>
    <w:rsid w:val="009A28C6"/>
    <w:rsid w:val="009A295E"/>
    <w:rsid w:val="009A2AB9"/>
    <w:rsid w:val="009A2B44"/>
    <w:rsid w:val="009A2B4F"/>
    <w:rsid w:val="009A2CFA"/>
    <w:rsid w:val="009A3029"/>
    <w:rsid w:val="009A337F"/>
    <w:rsid w:val="009A35BE"/>
    <w:rsid w:val="009A3A51"/>
    <w:rsid w:val="009A3B0F"/>
    <w:rsid w:val="009A4415"/>
    <w:rsid w:val="009A4799"/>
    <w:rsid w:val="009A482B"/>
    <w:rsid w:val="009A4835"/>
    <w:rsid w:val="009A4931"/>
    <w:rsid w:val="009A4A73"/>
    <w:rsid w:val="009A4ED3"/>
    <w:rsid w:val="009A5133"/>
    <w:rsid w:val="009A51FF"/>
    <w:rsid w:val="009A54C4"/>
    <w:rsid w:val="009A54D8"/>
    <w:rsid w:val="009A5807"/>
    <w:rsid w:val="009A6046"/>
    <w:rsid w:val="009A61B2"/>
    <w:rsid w:val="009A658F"/>
    <w:rsid w:val="009A6700"/>
    <w:rsid w:val="009A67A8"/>
    <w:rsid w:val="009A69A3"/>
    <w:rsid w:val="009A6B2A"/>
    <w:rsid w:val="009A6BFE"/>
    <w:rsid w:val="009A6E79"/>
    <w:rsid w:val="009A6FD5"/>
    <w:rsid w:val="009A721C"/>
    <w:rsid w:val="009A72EE"/>
    <w:rsid w:val="009A73F6"/>
    <w:rsid w:val="009A74DC"/>
    <w:rsid w:val="009A7E68"/>
    <w:rsid w:val="009B0036"/>
    <w:rsid w:val="009B0317"/>
    <w:rsid w:val="009B0334"/>
    <w:rsid w:val="009B0444"/>
    <w:rsid w:val="009B053B"/>
    <w:rsid w:val="009B076C"/>
    <w:rsid w:val="009B0789"/>
    <w:rsid w:val="009B0D61"/>
    <w:rsid w:val="009B1846"/>
    <w:rsid w:val="009B1B70"/>
    <w:rsid w:val="009B1B71"/>
    <w:rsid w:val="009B1E03"/>
    <w:rsid w:val="009B27A7"/>
    <w:rsid w:val="009B29C9"/>
    <w:rsid w:val="009B2AA1"/>
    <w:rsid w:val="009B2DF9"/>
    <w:rsid w:val="009B2E23"/>
    <w:rsid w:val="009B2F41"/>
    <w:rsid w:val="009B33B8"/>
    <w:rsid w:val="009B33E7"/>
    <w:rsid w:val="009B369C"/>
    <w:rsid w:val="009B42B6"/>
    <w:rsid w:val="009B42DE"/>
    <w:rsid w:val="009B42F0"/>
    <w:rsid w:val="009B490E"/>
    <w:rsid w:val="009B49C9"/>
    <w:rsid w:val="009B4AAD"/>
    <w:rsid w:val="009B4B46"/>
    <w:rsid w:val="009B4BA0"/>
    <w:rsid w:val="009B4BBB"/>
    <w:rsid w:val="009B54C0"/>
    <w:rsid w:val="009B59D1"/>
    <w:rsid w:val="009B5E62"/>
    <w:rsid w:val="009B6187"/>
    <w:rsid w:val="009B61B2"/>
    <w:rsid w:val="009B622B"/>
    <w:rsid w:val="009B639D"/>
    <w:rsid w:val="009B64E5"/>
    <w:rsid w:val="009B66C3"/>
    <w:rsid w:val="009B73DF"/>
    <w:rsid w:val="009B74EC"/>
    <w:rsid w:val="009B765F"/>
    <w:rsid w:val="009B77ED"/>
    <w:rsid w:val="009B7800"/>
    <w:rsid w:val="009B78D2"/>
    <w:rsid w:val="009B7D04"/>
    <w:rsid w:val="009C02ED"/>
    <w:rsid w:val="009C16F5"/>
    <w:rsid w:val="009C1C8C"/>
    <w:rsid w:val="009C1EC9"/>
    <w:rsid w:val="009C1F54"/>
    <w:rsid w:val="009C2151"/>
    <w:rsid w:val="009C28D5"/>
    <w:rsid w:val="009C29BF"/>
    <w:rsid w:val="009C2B80"/>
    <w:rsid w:val="009C2C20"/>
    <w:rsid w:val="009C2D5F"/>
    <w:rsid w:val="009C2D82"/>
    <w:rsid w:val="009C3015"/>
    <w:rsid w:val="009C30EA"/>
    <w:rsid w:val="009C314F"/>
    <w:rsid w:val="009C32C0"/>
    <w:rsid w:val="009C350C"/>
    <w:rsid w:val="009C3548"/>
    <w:rsid w:val="009C3BA1"/>
    <w:rsid w:val="009C3CA5"/>
    <w:rsid w:val="009C3E17"/>
    <w:rsid w:val="009C43B0"/>
    <w:rsid w:val="009C4792"/>
    <w:rsid w:val="009C4859"/>
    <w:rsid w:val="009C4AD3"/>
    <w:rsid w:val="009C4D42"/>
    <w:rsid w:val="009C5026"/>
    <w:rsid w:val="009C53C1"/>
    <w:rsid w:val="009C5483"/>
    <w:rsid w:val="009C5A3E"/>
    <w:rsid w:val="009C5C83"/>
    <w:rsid w:val="009C5D62"/>
    <w:rsid w:val="009C5DDB"/>
    <w:rsid w:val="009C62BC"/>
    <w:rsid w:val="009C64D6"/>
    <w:rsid w:val="009C721A"/>
    <w:rsid w:val="009C723C"/>
    <w:rsid w:val="009C7A2C"/>
    <w:rsid w:val="009C7B4B"/>
    <w:rsid w:val="009C7CDB"/>
    <w:rsid w:val="009C7DFF"/>
    <w:rsid w:val="009C7FFE"/>
    <w:rsid w:val="009D000F"/>
    <w:rsid w:val="009D00CE"/>
    <w:rsid w:val="009D048B"/>
    <w:rsid w:val="009D055D"/>
    <w:rsid w:val="009D0A1A"/>
    <w:rsid w:val="009D0AF7"/>
    <w:rsid w:val="009D0C92"/>
    <w:rsid w:val="009D0CF5"/>
    <w:rsid w:val="009D0D4D"/>
    <w:rsid w:val="009D0E0B"/>
    <w:rsid w:val="009D0EDD"/>
    <w:rsid w:val="009D10DD"/>
    <w:rsid w:val="009D129F"/>
    <w:rsid w:val="009D1448"/>
    <w:rsid w:val="009D1778"/>
    <w:rsid w:val="009D186C"/>
    <w:rsid w:val="009D18A5"/>
    <w:rsid w:val="009D1982"/>
    <w:rsid w:val="009D1A29"/>
    <w:rsid w:val="009D1C4A"/>
    <w:rsid w:val="009D1C9E"/>
    <w:rsid w:val="009D1E86"/>
    <w:rsid w:val="009D1F48"/>
    <w:rsid w:val="009D25B1"/>
    <w:rsid w:val="009D26B1"/>
    <w:rsid w:val="009D2803"/>
    <w:rsid w:val="009D29DD"/>
    <w:rsid w:val="009D2DD9"/>
    <w:rsid w:val="009D30D8"/>
    <w:rsid w:val="009D3229"/>
    <w:rsid w:val="009D35D9"/>
    <w:rsid w:val="009D3AF0"/>
    <w:rsid w:val="009D3D6B"/>
    <w:rsid w:val="009D3E8C"/>
    <w:rsid w:val="009D3F55"/>
    <w:rsid w:val="009D404D"/>
    <w:rsid w:val="009D438C"/>
    <w:rsid w:val="009D440D"/>
    <w:rsid w:val="009D45CB"/>
    <w:rsid w:val="009D4D25"/>
    <w:rsid w:val="009D50D1"/>
    <w:rsid w:val="009D5380"/>
    <w:rsid w:val="009D54E8"/>
    <w:rsid w:val="009D551C"/>
    <w:rsid w:val="009D5526"/>
    <w:rsid w:val="009D5570"/>
    <w:rsid w:val="009D57B8"/>
    <w:rsid w:val="009D6400"/>
    <w:rsid w:val="009D6ADA"/>
    <w:rsid w:val="009D6F26"/>
    <w:rsid w:val="009D7226"/>
    <w:rsid w:val="009D77A0"/>
    <w:rsid w:val="009D77DF"/>
    <w:rsid w:val="009D79D0"/>
    <w:rsid w:val="009E0006"/>
    <w:rsid w:val="009E03C2"/>
    <w:rsid w:val="009E0476"/>
    <w:rsid w:val="009E04D9"/>
    <w:rsid w:val="009E0510"/>
    <w:rsid w:val="009E063F"/>
    <w:rsid w:val="009E0A3D"/>
    <w:rsid w:val="009E0AD7"/>
    <w:rsid w:val="009E138E"/>
    <w:rsid w:val="009E171B"/>
    <w:rsid w:val="009E17A9"/>
    <w:rsid w:val="009E1836"/>
    <w:rsid w:val="009E1886"/>
    <w:rsid w:val="009E1AA0"/>
    <w:rsid w:val="009E1DD3"/>
    <w:rsid w:val="009E263D"/>
    <w:rsid w:val="009E2CEE"/>
    <w:rsid w:val="009E2F04"/>
    <w:rsid w:val="009E3000"/>
    <w:rsid w:val="009E348C"/>
    <w:rsid w:val="009E361A"/>
    <w:rsid w:val="009E383C"/>
    <w:rsid w:val="009E3D77"/>
    <w:rsid w:val="009E3DE0"/>
    <w:rsid w:val="009E405F"/>
    <w:rsid w:val="009E409E"/>
    <w:rsid w:val="009E447D"/>
    <w:rsid w:val="009E4732"/>
    <w:rsid w:val="009E4C6B"/>
    <w:rsid w:val="009E4C78"/>
    <w:rsid w:val="009E4EBF"/>
    <w:rsid w:val="009E4EEA"/>
    <w:rsid w:val="009E4F9F"/>
    <w:rsid w:val="009E4FF8"/>
    <w:rsid w:val="009E517D"/>
    <w:rsid w:val="009E51E9"/>
    <w:rsid w:val="009E5243"/>
    <w:rsid w:val="009E5705"/>
    <w:rsid w:val="009E5A45"/>
    <w:rsid w:val="009E5B5B"/>
    <w:rsid w:val="009E5B64"/>
    <w:rsid w:val="009E5BDE"/>
    <w:rsid w:val="009E5E36"/>
    <w:rsid w:val="009E5FA0"/>
    <w:rsid w:val="009E6A42"/>
    <w:rsid w:val="009E7531"/>
    <w:rsid w:val="009E7538"/>
    <w:rsid w:val="009E7659"/>
    <w:rsid w:val="009E767A"/>
    <w:rsid w:val="009F010D"/>
    <w:rsid w:val="009F01BD"/>
    <w:rsid w:val="009F0542"/>
    <w:rsid w:val="009F0591"/>
    <w:rsid w:val="009F1167"/>
    <w:rsid w:val="009F1262"/>
    <w:rsid w:val="009F13AB"/>
    <w:rsid w:val="009F1463"/>
    <w:rsid w:val="009F1782"/>
    <w:rsid w:val="009F18BA"/>
    <w:rsid w:val="009F1E2C"/>
    <w:rsid w:val="009F21CE"/>
    <w:rsid w:val="009F2223"/>
    <w:rsid w:val="009F2AE0"/>
    <w:rsid w:val="009F2CA8"/>
    <w:rsid w:val="009F2D75"/>
    <w:rsid w:val="009F2F69"/>
    <w:rsid w:val="009F3EDF"/>
    <w:rsid w:val="009F41E4"/>
    <w:rsid w:val="009F43D7"/>
    <w:rsid w:val="009F444B"/>
    <w:rsid w:val="009F48AC"/>
    <w:rsid w:val="009F490A"/>
    <w:rsid w:val="009F491D"/>
    <w:rsid w:val="009F4C6B"/>
    <w:rsid w:val="009F5189"/>
    <w:rsid w:val="009F5273"/>
    <w:rsid w:val="009F541C"/>
    <w:rsid w:val="009F5503"/>
    <w:rsid w:val="009F55FA"/>
    <w:rsid w:val="009F5723"/>
    <w:rsid w:val="009F5D98"/>
    <w:rsid w:val="009F6654"/>
    <w:rsid w:val="009F735F"/>
    <w:rsid w:val="009F7545"/>
    <w:rsid w:val="009F7817"/>
    <w:rsid w:val="009F7BBD"/>
    <w:rsid w:val="00A00093"/>
    <w:rsid w:val="00A002F5"/>
    <w:rsid w:val="00A00B06"/>
    <w:rsid w:val="00A0106D"/>
    <w:rsid w:val="00A0108C"/>
    <w:rsid w:val="00A0134C"/>
    <w:rsid w:val="00A01360"/>
    <w:rsid w:val="00A014C5"/>
    <w:rsid w:val="00A014F3"/>
    <w:rsid w:val="00A015E8"/>
    <w:rsid w:val="00A017A4"/>
    <w:rsid w:val="00A019C5"/>
    <w:rsid w:val="00A01A30"/>
    <w:rsid w:val="00A01D59"/>
    <w:rsid w:val="00A022C8"/>
    <w:rsid w:val="00A03373"/>
    <w:rsid w:val="00A0346B"/>
    <w:rsid w:val="00A034FC"/>
    <w:rsid w:val="00A03651"/>
    <w:rsid w:val="00A037BE"/>
    <w:rsid w:val="00A037F5"/>
    <w:rsid w:val="00A03AAB"/>
    <w:rsid w:val="00A03AF2"/>
    <w:rsid w:val="00A03DD6"/>
    <w:rsid w:val="00A0418A"/>
    <w:rsid w:val="00A0423C"/>
    <w:rsid w:val="00A04362"/>
    <w:rsid w:val="00A04515"/>
    <w:rsid w:val="00A04705"/>
    <w:rsid w:val="00A04D2B"/>
    <w:rsid w:val="00A04D88"/>
    <w:rsid w:val="00A04F50"/>
    <w:rsid w:val="00A050DC"/>
    <w:rsid w:val="00A0542E"/>
    <w:rsid w:val="00A05514"/>
    <w:rsid w:val="00A060E0"/>
    <w:rsid w:val="00A06B99"/>
    <w:rsid w:val="00A073F2"/>
    <w:rsid w:val="00A0749F"/>
    <w:rsid w:val="00A0765C"/>
    <w:rsid w:val="00A07889"/>
    <w:rsid w:val="00A07A77"/>
    <w:rsid w:val="00A07D47"/>
    <w:rsid w:val="00A10281"/>
    <w:rsid w:val="00A10323"/>
    <w:rsid w:val="00A10544"/>
    <w:rsid w:val="00A107CD"/>
    <w:rsid w:val="00A110EC"/>
    <w:rsid w:val="00A1132E"/>
    <w:rsid w:val="00A11386"/>
    <w:rsid w:val="00A1150D"/>
    <w:rsid w:val="00A11CA5"/>
    <w:rsid w:val="00A11FC5"/>
    <w:rsid w:val="00A120B0"/>
    <w:rsid w:val="00A12202"/>
    <w:rsid w:val="00A1237E"/>
    <w:rsid w:val="00A12711"/>
    <w:rsid w:val="00A128F1"/>
    <w:rsid w:val="00A1294B"/>
    <w:rsid w:val="00A12AEF"/>
    <w:rsid w:val="00A12B2E"/>
    <w:rsid w:val="00A12CE7"/>
    <w:rsid w:val="00A12EDB"/>
    <w:rsid w:val="00A12F62"/>
    <w:rsid w:val="00A12FD8"/>
    <w:rsid w:val="00A134FA"/>
    <w:rsid w:val="00A1366D"/>
    <w:rsid w:val="00A13996"/>
    <w:rsid w:val="00A13A64"/>
    <w:rsid w:val="00A13C5C"/>
    <w:rsid w:val="00A13D27"/>
    <w:rsid w:val="00A13E80"/>
    <w:rsid w:val="00A146E4"/>
    <w:rsid w:val="00A14863"/>
    <w:rsid w:val="00A149F4"/>
    <w:rsid w:val="00A14B5F"/>
    <w:rsid w:val="00A14F74"/>
    <w:rsid w:val="00A14FD1"/>
    <w:rsid w:val="00A14FE9"/>
    <w:rsid w:val="00A15C20"/>
    <w:rsid w:val="00A165BC"/>
    <w:rsid w:val="00A169EB"/>
    <w:rsid w:val="00A16F26"/>
    <w:rsid w:val="00A16FA2"/>
    <w:rsid w:val="00A1704A"/>
    <w:rsid w:val="00A17647"/>
    <w:rsid w:val="00A17AEA"/>
    <w:rsid w:val="00A17C11"/>
    <w:rsid w:val="00A17CAD"/>
    <w:rsid w:val="00A17D51"/>
    <w:rsid w:val="00A20275"/>
    <w:rsid w:val="00A20321"/>
    <w:rsid w:val="00A20A2B"/>
    <w:rsid w:val="00A20BE3"/>
    <w:rsid w:val="00A20D0E"/>
    <w:rsid w:val="00A20D4A"/>
    <w:rsid w:val="00A2108D"/>
    <w:rsid w:val="00A21129"/>
    <w:rsid w:val="00A212F0"/>
    <w:rsid w:val="00A21882"/>
    <w:rsid w:val="00A21DBF"/>
    <w:rsid w:val="00A21F70"/>
    <w:rsid w:val="00A223BD"/>
    <w:rsid w:val="00A22608"/>
    <w:rsid w:val="00A228FC"/>
    <w:rsid w:val="00A22916"/>
    <w:rsid w:val="00A2295E"/>
    <w:rsid w:val="00A2299D"/>
    <w:rsid w:val="00A22A1A"/>
    <w:rsid w:val="00A230EC"/>
    <w:rsid w:val="00A230FC"/>
    <w:rsid w:val="00A232D7"/>
    <w:rsid w:val="00A2376F"/>
    <w:rsid w:val="00A238D0"/>
    <w:rsid w:val="00A23A82"/>
    <w:rsid w:val="00A23AB9"/>
    <w:rsid w:val="00A23C3F"/>
    <w:rsid w:val="00A23E41"/>
    <w:rsid w:val="00A2425B"/>
    <w:rsid w:val="00A242DE"/>
    <w:rsid w:val="00A24690"/>
    <w:rsid w:val="00A24AA9"/>
    <w:rsid w:val="00A24C06"/>
    <w:rsid w:val="00A2502A"/>
    <w:rsid w:val="00A25156"/>
    <w:rsid w:val="00A252F6"/>
    <w:rsid w:val="00A255BC"/>
    <w:rsid w:val="00A255C6"/>
    <w:rsid w:val="00A25CE2"/>
    <w:rsid w:val="00A25FA9"/>
    <w:rsid w:val="00A260B6"/>
    <w:rsid w:val="00A2614C"/>
    <w:rsid w:val="00A26B37"/>
    <w:rsid w:val="00A26E61"/>
    <w:rsid w:val="00A271A0"/>
    <w:rsid w:val="00A27A68"/>
    <w:rsid w:val="00A30B0E"/>
    <w:rsid w:val="00A30C1C"/>
    <w:rsid w:val="00A30EA7"/>
    <w:rsid w:val="00A30EFA"/>
    <w:rsid w:val="00A30F95"/>
    <w:rsid w:val="00A31038"/>
    <w:rsid w:val="00A31630"/>
    <w:rsid w:val="00A318A9"/>
    <w:rsid w:val="00A31AAA"/>
    <w:rsid w:val="00A31ACE"/>
    <w:rsid w:val="00A31BF6"/>
    <w:rsid w:val="00A31CEC"/>
    <w:rsid w:val="00A322A7"/>
    <w:rsid w:val="00A322C6"/>
    <w:rsid w:val="00A322DD"/>
    <w:rsid w:val="00A32718"/>
    <w:rsid w:val="00A32721"/>
    <w:rsid w:val="00A32759"/>
    <w:rsid w:val="00A327E6"/>
    <w:rsid w:val="00A328CB"/>
    <w:rsid w:val="00A32CC9"/>
    <w:rsid w:val="00A331B0"/>
    <w:rsid w:val="00A333C4"/>
    <w:rsid w:val="00A334E1"/>
    <w:rsid w:val="00A33775"/>
    <w:rsid w:val="00A3379F"/>
    <w:rsid w:val="00A33FB4"/>
    <w:rsid w:val="00A34094"/>
    <w:rsid w:val="00A3463E"/>
    <w:rsid w:val="00A346EB"/>
    <w:rsid w:val="00A34CEC"/>
    <w:rsid w:val="00A3550F"/>
    <w:rsid w:val="00A35539"/>
    <w:rsid w:val="00A35851"/>
    <w:rsid w:val="00A35B43"/>
    <w:rsid w:val="00A365E5"/>
    <w:rsid w:val="00A36C28"/>
    <w:rsid w:val="00A36F5E"/>
    <w:rsid w:val="00A3749B"/>
    <w:rsid w:val="00A37530"/>
    <w:rsid w:val="00A37CAD"/>
    <w:rsid w:val="00A37D87"/>
    <w:rsid w:val="00A4000E"/>
    <w:rsid w:val="00A404D0"/>
    <w:rsid w:val="00A40A98"/>
    <w:rsid w:val="00A40B59"/>
    <w:rsid w:val="00A40CD8"/>
    <w:rsid w:val="00A40D8E"/>
    <w:rsid w:val="00A410C7"/>
    <w:rsid w:val="00A41115"/>
    <w:rsid w:val="00A412EA"/>
    <w:rsid w:val="00A4152C"/>
    <w:rsid w:val="00A41D90"/>
    <w:rsid w:val="00A41DDC"/>
    <w:rsid w:val="00A4223C"/>
    <w:rsid w:val="00A422A1"/>
    <w:rsid w:val="00A42803"/>
    <w:rsid w:val="00A428CF"/>
    <w:rsid w:val="00A42C51"/>
    <w:rsid w:val="00A42F4D"/>
    <w:rsid w:val="00A431D4"/>
    <w:rsid w:val="00A4325F"/>
    <w:rsid w:val="00A434B2"/>
    <w:rsid w:val="00A4378E"/>
    <w:rsid w:val="00A43C62"/>
    <w:rsid w:val="00A4410A"/>
    <w:rsid w:val="00A4436D"/>
    <w:rsid w:val="00A4465E"/>
    <w:rsid w:val="00A447C5"/>
    <w:rsid w:val="00A44C43"/>
    <w:rsid w:val="00A44D39"/>
    <w:rsid w:val="00A451D2"/>
    <w:rsid w:val="00A4540C"/>
    <w:rsid w:val="00A456F3"/>
    <w:rsid w:val="00A4587E"/>
    <w:rsid w:val="00A45B6F"/>
    <w:rsid w:val="00A45F01"/>
    <w:rsid w:val="00A461CD"/>
    <w:rsid w:val="00A46B9D"/>
    <w:rsid w:val="00A46C3A"/>
    <w:rsid w:val="00A46E19"/>
    <w:rsid w:val="00A46F00"/>
    <w:rsid w:val="00A46F9A"/>
    <w:rsid w:val="00A4719F"/>
    <w:rsid w:val="00A47243"/>
    <w:rsid w:val="00A47287"/>
    <w:rsid w:val="00A47352"/>
    <w:rsid w:val="00A475EA"/>
    <w:rsid w:val="00A477B6"/>
    <w:rsid w:val="00A47FCA"/>
    <w:rsid w:val="00A5005E"/>
    <w:rsid w:val="00A5032C"/>
    <w:rsid w:val="00A50383"/>
    <w:rsid w:val="00A50953"/>
    <w:rsid w:val="00A50D88"/>
    <w:rsid w:val="00A50DED"/>
    <w:rsid w:val="00A50E4C"/>
    <w:rsid w:val="00A50F8B"/>
    <w:rsid w:val="00A50FA7"/>
    <w:rsid w:val="00A51115"/>
    <w:rsid w:val="00A5115A"/>
    <w:rsid w:val="00A5123F"/>
    <w:rsid w:val="00A513B5"/>
    <w:rsid w:val="00A5161D"/>
    <w:rsid w:val="00A52077"/>
    <w:rsid w:val="00A529A7"/>
    <w:rsid w:val="00A529F0"/>
    <w:rsid w:val="00A531EF"/>
    <w:rsid w:val="00A532F2"/>
    <w:rsid w:val="00A5334D"/>
    <w:rsid w:val="00A5336B"/>
    <w:rsid w:val="00A53576"/>
    <w:rsid w:val="00A53DE0"/>
    <w:rsid w:val="00A54411"/>
    <w:rsid w:val="00A54923"/>
    <w:rsid w:val="00A54BC1"/>
    <w:rsid w:val="00A552BE"/>
    <w:rsid w:val="00A55403"/>
    <w:rsid w:val="00A55642"/>
    <w:rsid w:val="00A55F65"/>
    <w:rsid w:val="00A55F92"/>
    <w:rsid w:val="00A56029"/>
    <w:rsid w:val="00A560E3"/>
    <w:rsid w:val="00A56487"/>
    <w:rsid w:val="00A56923"/>
    <w:rsid w:val="00A569AF"/>
    <w:rsid w:val="00A56E53"/>
    <w:rsid w:val="00A56F35"/>
    <w:rsid w:val="00A57077"/>
    <w:rsid w:val="00A57342"/>
    <w:rsid w:val="00A57581"/>
    <w:rsid w:val="00A57641"/>
    <w:rsid w:val="00A57AAF"/>
    <w:rsid w:val="00A57B79"/>
    <w:rsid w:val="00A60279"/>
    <w:rsid w:val="00A60635"/>
    <w:rsid w:val="00A60FB3"/>
    <w:rsid w:val="00A61565"/>
    <w:rsid w:val="00A6171E"/>
    <w:rsid w:val="00A61FAE"/>
    <w:rsid w:val="00A62166"/>
    <w:rsid w:val="00A6266E"/>
    <w:rsid w:val="00A627A6"/>
    <w:rsid w:val="00A629D6"/>
    <w:rsid w:val="00A62E42"/>
    <w:rsid w:val="00A62E87"/>
    <w:rsid w:val="00A62F26"/>
    <w:rsid w:val="00A63129"/>
    <w:rsid w:val="00A6337E"/>
    <w:rsid w:val="00A63774"/>
    <w:rsid w:val="00A63AD5"/>
    <w:rsid w:val="00A63B53"/>
    <w:rsid w:val="00A63BAD"/>
    <w:rsid w:val="00A63CBC"/>
    <w:rsid w:val="00A63FCF"/>
    <w:rsid w:val="00A64255"/>
    <w:rsid w:val="00A6430A"/>
    <w:rsid w:val="00A644B1"/>
    <w:rsid w:val="00A64500"/>
    <w:rsid w:val="00A64779"/>
    <w:rsid w:val="00A64A71"/>
    <w:rsid w:val="00A64B63"/>
    <w:rsid w:val="00A64D3C"/>
    <w:rsid w:val="00A65A82"/>
    <w:rsid w:val="00A65BBF"/>
    <w:rsid w:val="00A661B2"/>
    <w:rsid w:val="00A66539"/>
    <w:rsid w:val="00A66907"/>
    <w:rsid w:val="00A66AB8"/>
    <w:rsid w:val="00A66BC0"/>
    <w:rsid w:val="00A66C00"/>
    <w:rsid w:val="00A66FAF"/>
    <w:rsid w:val="00A673D7"/>
    <w:rsid w:val="00A6745C"/>
    <w:rsid w:val="00A67521"/>
    <w:rsid w:val="00A675D4"/>
    <w:rsid w:val="00A67677"/>
    <w:rsid w:val="00A677CD"/>
    <w:rsid w:val="00A679C0"/>
    <w:rsid w:val="00A67FF9"/>
    <w:rsid w:val="00A702FC"/>
    <w:rsid w:val="00A7072A"/>
    <w:rsid w:val="00A707C0"/>
    <w:rsid w:val="00A70B61"/>
    <w:rsid w:val="00A70BC5"/>
    <w:rsid w:val="00A70BCE"/>
    <w:rsid w:val="00A7122B"/>
    <w:rsid w:val="00A7141F"/>
    <w:rsid w:val="00A7176B"/>
    <w:rsid w:val="00A71838"/>
    <w:rsid w:val="00A71B90"/>
    <w:rsid w:val="00A71BB1"/>
    <w:rsid w:val="00A71BD3"/>
    <w:rsid w:val="00A71E12"/>
    <w:rsid w:val="00A71F76"/>
    <w:rsid w:val="00A727DD"/>
    <w:rsid w:val="00A72960"/>
    <w:rsid w:val="00A729A7"/>
    <w:rsid w:val="00A72B71"/>
    <w:rsid w:val="00A72CEA"/>
    <w:rsid w:val="00A72D8F"/>
    <w:rsid w:val="00A7313B"/>
    <w:rsid w:val="00A732A3"/>
    <w:rsid w:val="00A7354D"/>
    <w:rsid w:val="00A736E9"/>
    <w:rsid w:val="00A73759"/>
    <w:rsid w:val="00A73F20"/>
    <w:rsid w:val="00A744C8"/>
    <w:rsid w:val="00A7464D"/>
    <w:rsid w:val="00A74872"/>
    <w:rsid w:val="00A74895"/>
    <w:rsid w:val="00A748ED"/>
    <w:rsid w:val="00A74B27"/>
    <w:rsid w:val="00A74D83"/>
    <w:rsid w:val="00A74D88"/>
    <w:rsid w:val="00A74D94"/>
    <w:rsid w:val="00A75075"/>
    <w:rsid w:val="00A754A2"/>
    <w:rsid w:val="00A75601"/>
    <w:rsid w:val="00A75750"/>
    <w:rsid w:val="00A75A6A"/>
    <w:rsid w:val="00A75C30"/>
    <w:rsid w:val="00A75C86"/>
    <w:rsid w:val="00A75C95"/>
    <w:rsid w:val="00A75CAB"/>
    <w:rsid w:val="00A75F8B"/>
    <w:rsid w:val="00A760B9"/>
    <w:rsid w:val="00A767B5"/>
    <w:rsid w:val="00A767BD"/>
    <w:rsid w:val="00A76B8F"/>
    <w:rsid w:val="00A770EE"/>
    <w:rsid w:val="00A775BE"/>
    <w:rsid w:val="00A77880"/>
    <w:rsid w:val="00A77CE9"/>
    <w:rsid w:val="00A77F59"/>
    <w:rsid w:val="00A80200"/>
    <w:rsid w:val="00A80261"/>
    <w:rsid w:val="00A804AE"/>
    <w:rsid w:val="00A80853"/>
    <w:rsid w:val="00A810DC"/>
    <w:rsid w:val="00A81396"/>
    <w:rsid w:val="00A815AD"/>
    <w:rsid w:val="00A81D79"/>
    <w:rsid w:val="00A81E7C"/>
    <w:rsid w:val="00A82521"/>
    <w:rsid w:val="00A82E2C"/>
    <w:rsid w:val="00A82ECB"/>
    <w:rsid w:val="00A841EA"/>
    <w:rsid w:val="00A846BD"/>
    <w:rsid w:val="00A848D5"/>
    <w:rsid w:val="00A84989"/>
    <w:rsid w:val="00A84BE2"/>
    <w:rsid w:val="00A84C7A"/>
    <w:rsid w:val="00A84EA9"/>
    <w:rsid w:val="00A85072"/>
    <w:rsid w:val="00A850B8"/>
    <w:rsid w:val="00A851BA"/>
    <w:rsid w:val="00A8538E"/>
    <w:rsid w:val="00A8589D"/>
    <w:rsid w:val="00A85BE5"/>
    <w:rsid w:val="00A85C1E"/>
    <w:rsid w:val="00A8627A"/>
    <w:rsid w:val="00A86753"/>
    <w:rsid w:val="00A86942"/>
    <w:rsid w:val="00A86EB1"/>
    <w:rsid w:val="00A87124"/>
    <w:rsid w:val="00A8761C"/>
    <w:rsid w:val="00A8762F"/>
    <w:rsid w:val="00A87A26"/>
    <w:rsid w:val="00A87C3C"/>
    <w:rsid w:val="00A902F1"/>
    <w:rsid w:val="00A904CA"/>
    <w:rsid w:val="00A909D3"/>
    <w:rsid w:val="00A90BF5"/>
    <w:rsid w:val="00A90C05"/>
    <w:rsid w:val="00A91174"/>
    <w:rsid w:val="00A91713"/>
    <w:rsid w:val="00A91E70"/>
    <w:rsid w:val="00A91EA5"/>
    <w:rsid w:val="00A92025"/>
    <w:rsid w:val="00A92268"/>
    <w:rsid w:val="00A92E67"/>
    <w:rsid w:val="00A9339E"/>
    <w:rsid w:val="00A93401"/>
    <w:rsid w:val="00A935BE"/>
    <w:rsid w:val="00A93674"/>
    <w:rsid w:val="00A93C5D"/>
    <w:rsid w:val="00A95119"/>
    <w:rsid w:val="00A9515D"/>
    <w:rsid w:val="00A95217"/>
    <w:rsid w:val="00A95E30"/>
    <w:rsid w:val="00A9627E"/>
    <w:rsid w:val="00A96AD3"/>
    <w:rsid w:val="00A96DFF"/>
    <w:rsid w:val="00A97187"/>
    <w:rsid w:val="00A97573"/>
    <w:rsid w:val="00A975DC"/>
    <w:rsid w:val="00A97778"/>
    <w:rsid w:val="00A977C4"/>
    <w:rsid w:val="00A9789F"/>
    <w:rsid w:val="00A97DB8"/>
    <w:rsid w:val="00AA0178"/>
    <w:rsid w:val="00AA07EB"/>
    <w:rsid w:val="00AA08D6"/>
    <w:rsid w:val="00AA09BD"/>
    <w:rsid w:val="00AA0FA8"/>
    <w:rsid w:val="00AA18A3"/>
    <w:rsid w:val="00AA1B52"/>
    <w:rsid w:val="00AA1EFA"/>
    <w:rsid w:val="00AA1EFE"/>
    <w:rsid w:val="00AA234B"/>
    <w:rsid w:val="00AA2423"/>
    <w:rsid w:val="00AA25D0"/>
    <w:rsid w:val="00AA26FB"/>
    <w:rsid w:val="00AA2837"/>
    <w:rsid w:val="00AA2E4B"/>
    <w:rsid w:val="00AA2FDD"/>
    <w:rsid w:val="00AA30E3"/>
    <w:rsid w:val="00AA32CA"/>
    <w:rsid w:val="00AA33B8"/>
    <w:rsid w:val="00AA33C3"/>
    <w:rsid w:val="00AA38E2"/>
    <w:rsid w:val="00AA3A17"/>
    <w:rsid w:val="00AA419D"/>
    <w:rsid w:val="00AA424D"/>
    <w:rsid w:val="00AA42F5"/>
    <w:rsid w:val="00AA4A03"/>
    <w:rsid w:val="00AA4C3C"/>
    <w:rsid w:val="00AA4FCB"/>
    <w:rsid w:val="00AA5026"/>
    <w:rsid w:val="00AA50A6"/>
    <w:rsid w:val="00AA54A3"/>
    <w:rsid w:val="00AA57C9"/>
    <w:rsid w:val="00AA5BE6"/>
    <w:rsid w:val="00AA6258"/>
    <w:rsid w:val="00AA6A04"/>
    <w:rsid w:val="00AA6D7D"/>
    <w:rsid w:val="00AA72CC"/>
    <w:rsid w:val="00AA76FC"/>
    <w:rsid w:val="00AA7833"/>
    <w:rsid w:val="00AA78AE"/>
    <w:rsid w:val="00AA7C1B"/>
    <w:rsid w:val="00AA7C37"/>
    <w:rsid w:val="00AB00D0"/>
    <w:rsid w:val="00AB09E1"/>
    <w:rsid w:val="00AB0F91"/>
    <w:rsid w:val="00AB1104"/>
    <w:rsid w:val="00AB116D"/>
    <w:rsid w:val="00AB128A"/>
    <w:rsid w:val="00AB1448"/>
    <w:rsid w:val="00AB1754"/>
    <w:rsid w:val="00AB1759"/>
    <w:rsid w:val="00AB1ABB"/>
    <w:rsid w:val="00AB1D5E"/>
    <w:rsid w:val="00AB1E3B"/>
    <w:rsid w:val="00AB1F99"/>
    <w:rsid w:val="00AB2267"/>
    <w:rsid w:val="00AB229A"/>
    <w:rsid w:val="00AB24B1"/>
    <w:rsid w:val="00AB25A0"/>
    <w:rsid w:val="00AB26F8"/>
    <w:rsid w:val="00AB273A"/>
    <w:rsid w:val="00AB2917"/>
    <w:rsid w:val="00AB2A72"/>
    <w:rsid w:val="00AB2AE7"/>
    <w:rsid w:val="00AB2BE7"/>
    <w:rsid w:val="00AB2BEA"/>
    <w:rsid w:val="00AB34C3"/>
    <w:rsid w:val="00AB36B5"/>
    <w:rsid w:val="00AB3776"/>
    <w:rsid w:val="00AB3933"/>
    <w:rsid w:val="00AB39AF"/>
    <w:rsid w:val="00AB3B85"/>
    <w:rsid w:val="00AB3D00"/>
    <w:rsid w:val="00AB3F70"/>
    <w:rsid w:val="00AB4285"/>
    <w:rsid w:val="00AB4404"/>
    <w:rsid w:val="00AB46D8"/>
    <w:rsid w:val="00AB46E8"/>
    <w:rsid w:val="00AB4E0B"/>
    <w:rsid w:val="00AB5214"/>
    <w:rsid w:val="00AB575C"/>
    <w:rsid w:val="00AB5AEF"/>
    <w:rsid w:val="00AB5E28"/>
    <w:rsid w:val="00AB607A"/>
    <w:rsid w:val="00AB6375"/>
    <w:rsid w:val="00AB648F"/>
    <w:rsid w:val="00AB6C36"/>
    <w:rsid w:val="00AB6DB8"/>
    <w:rsid w:val="00AB6E10"/>
    <w:rsid w:val="00AB7445"/>
    <w:rsid w:val="00AB798C"/>
    <w:rsid w:val="00AC0394"/>
    <w:rsid w:val="00AC0410"/>
    <w:rsid w:val="00AC047D"/>
    <w:rsid w:val="00AC05C6"/>
    <w:rsid w:val="00AC06B6"/>
    <w:rsid w:val="00AC0916"/>
    <w:rsid w:val="00AC0CE3"/>
    <w:rsid w:val="00AC1168"/>
    <w:rsid w:val="00AC13C9"/>
    <w:rsid w:val="00AC1660"/>
    <w:rsid w:val="00AC1BE1"/>
    <w:rsid w:val="00AC1D69"/>
    <w:rsid w:val="00AC247D"/>
    <w:rsid w:val="00AC25FF"/>
    <w:rsid w:val="00AC2AE5"/>
    <w:rsid w:val="00AC2C9A"/>
    <w:rsid w:val="00AC2DDB"/>
    <w:rsid w:val="00AC3093"/>
    <w:rsid w:val="00AC3196"/>
    <w:rsid w:val="00AC31F4"/>
    <w:rsid w:val="00AC3994"/>
    <w:rsid w:val="00AC41E9"/>
    <w:rsid w:val="00AC4665"/>
    <w:rsid w:val="00AC46CD"/>
    <w:rsid w:val="00AC46F5"/>
    <w:rsid w:val="00AC481F"/>
    <w:rsid w:val="00AC4B63"/>
    <w:rsid w:val="00AC4BA3"/>
    <w:rsid w:val="00AC4F5F"/>
    <w:rsid w:val="00AC5157"/>
    <w:rsid w:val="00AC52E3"/>
    <w:rsid w:val="00AC5C7F"/>
    <w:rsid w:val="00AC604F"/>
    <w:rsid w:val="00AC61C4"/>
    <w:rsid w:val="00AC6451"/>
    <w:rsid w:val="00AC651C"/>
    <w:rsid w:val="00AC6C25"/>
    <w:rsid w:val="00AC6CA3"/>
    <w:rsid w:val="00AC6CEC"/>
    <w:rsid w:val="00AC6D26"/>
    <w:rsid w:val="00AC6D83"/>
    <w:rsid w:val="00AC6E16"/>
    <w:rsid w:val="00AC76A2"/>
    <w:rsid w:val="00AC7A69"/>
    <w:rsid w:val="00AD00AC"/>
    <w:rsid w:val="00AD021D"/>
    <w:rsid w:val="00AD0235"/>
    <w:rsid w:val="00AD0588"/>
    <w:rsid w:val="00AD093D"/>
    <w:rsid w:val="00AD0AA7"/>
    <w:rsid w:val="00AD0F69"/>
    <w:rsid w:val="00AD11E4"/>
    <w:rsid w:val="00AD14F9"/>
    <w:rsid w:val="00AD17CE"/>
    <w:rsid w:val="00AD18F3"/>
    <w:rsid w:val="00AD1BFA"/>
    <w:rsid w:val="00AD1D1F"/>
    <w:rsid w:val="00AD1D74"/>
    <w:rsid w:val="00AD1E69"/>
    <w:rsid w:val="00AD1FE2"/>
    <w:rsid w:val="00AD237D"/>
    <w:rsid w:val="00AD2A74"/>
    <w:rsid w:val="00AD2CC7"/>
    <w:rsid w:val="00AD3523"/>
    <w:rsid w:val="00AD353A"/>
    <w:rsid w:val="00AD3574"/>
    <w:rsid w:val="00AD39DD"/>
    <w:rsid w:val="00AD3A8C"/>
    <w:rsid w:val="00AD40B1"/>
    <w:rsid w:val="00AD4131"/>
    <w:rsid w:val="00AD4352"/>
    <w:rsid w:val="00AD4806"/>
    <w:rsid w:val="00AD49E5"/>
    <w:rsid w:val="00AD4A9F"/>
    <w:rsid w:val="00AD4BA7"/>
    <w:rsid w:val="00AD4BF6"/>
    <w:rsid w:val="00AD4C56"/>
    <w:rsid w:val="00AD4CCB"/>
    <w:rsid w:val="00AD56C8"/>
    <w:rsid w:val="00AD590E"/>
    <w:rsid w:val="00AD5B33"/>
    <w:rsid w:val="00AD5E82"/>
    <w:rsid w:val="00AD637C"/>
    <w:rsid w:val="00AD6386"/>
    <w:rsid w:val="00AD65EE"/>
    <w:rsid w:val="00AD663D"/>
    <w:rsid w:val="00AD66A9"/>
    <w:rsid w:val="00AD6873"/>
    <w:rsid w:val="00AD70D3"/>
    <w:rsid w:val="00AD71CE"/>
    <w:rsid w:val="00AD7206"/>
    <w:rsid w:val="00AD7229"/>
    <w:rsid w:val="00AD726F"/>
    <w:rsid w:val="00AD7430"/>
    <w:rsid w:val="00AD778B"/>
    <w:rsid w:val="00AD77F5"/>
    <w:rsid w:val="00AD7A0A"/>
    <w:rsid w:val="00AD7AD3"/>
    <w:rsid w:val="00AD7DFD"/>
    <w:rsid w:val="00AD7E35"/>
    <w:rsid w:val="00AE0080"/>
    <w:rsid w:val="00AE0095"/>
    <w:rsid w:val="00AE0433"/>
    <w:rsid w:val="00AE0D92"/>
    <w:rsid w:val="00AE1435"/>
    <w:rsid w:val="00AE1795"/>
    <w:rsid w:val="00AE1816"/>
    <w:rsid w:val="00AE183D"/>
    <w:rsid w:val="00AE2594"/>
    <w:rsid w:val="00AE25F7"/>
    <w:rsid w:val="00AE2D64"/>
    <w:rsid w:val="00AE2E12"/>
    <w:rsid w:val="00AE2F7D"/>
    <w:rsid w:val="00AE2F90"/>
    <w:rsid w:val="00AE3166"/>
    <w:rsid w:val="00AE3173"/>
    <w:rsid w:val="00AE372D"/>
    <w:rsid w:val="00AE377A"/>
    <w:rsid w:val="00AE4011"/>
    <w:rsid w:val="00AE408E"/>
    <w:rsid w:val="00AE421C"/>
    <w:rsid w:val="00AE46D2"/>
    <w:rsid w:val="00AE4851"/>
    <w:rsid w:val="00AE4E73"/>
    <w:rsid w:val="00AE5046"/>
    <w:rsid w:val="00AE50D6"/>
    <w:rsid w:val="00AE50E5"/>
    <w:rsid w:val="00AE536D"/>
    <w:rsid w:val="00AE578A"/>
    <w:rsid w:val="00AE5EFE"/>
    <w:rsid w:val="00AE63EA"/>
    <w:rsid w:val="00AE6529"/>
    <w:rsid w:val="00AE65EB"/>
    <w:rsid w:val="00AE65EF"/>
    <w:rsid w:val="00AE68A2"/>
    <w:rsid w:val="00AE6AB0"/>
    <w:rsid w:val="00AE6E35"/>
    <w:rsid w:val="00AE7275"/>
    <w:rsid w:val="00AE73B7"/>
    <w:rsid w:val="00AE7CA8"/>
    <w:rsid w:val="00AE7D87"/>
    <w:rsid w:val="00AF00B0"/>
    <w:rsid w:val="00AF012C"/>
    <w:rsid w:val="00AF03AB"/>
    <w:rsid w:val="00AF04A3"/>
    <w:rsid w:val="00AF04D6"/>
    <w:rsid w:val="00AF053F"/>
    <w:rsid w:val="00AF07E7"/>
    <w:rsid w:val="00AF0D71"/>
    <w:rsid w:val="00AF0D85"/>
    <w:rsid w:val="00AF0D96"/>
    <w:rsid w:val="00AF0DC1"/>
    <w:rsid w:val="00AF0E82"/>
    <w:rsid w:val="00AF1E17"/>
    <w:rsid w:val="00AF1E4C"/>
    <w:rsid w:val="00AF2018"/>
    <w:rsid w:val="00AF2154"/>
    <w:rsid w:val="00AF28A4"/>
    <w:rsid w:val="00AF2BEE"/>
    <w:rsid w:val="00AF30A1"/>
    <w:rsid w:val="00AF3419"/>
    <w:rsid w:val="00AF3E41"/>
    <w:rsid w:val="00AF419D"/>
    <w:rsid w:val="00AF5026"/>
    <w:rsid w:val="00AF50C6"/>
    <w:rsid w:val="00AF51DA"/>
    <w:rsid w:val="00AF5607"/>
    <w:rsid w:val="00AF56CE"/>
    <w:rsid w:val="00AF5916"/>
    <w:rsid w:val="00AF5E56"/>
    <w:rsid w:val="00AF5E77"/>
    <w:rsid w:val="00AF61C6"/>
    <w:rsid w:val="00AF6215"/>
    <w:rsid w:val="00AF63D1"/>
    <w:rsid w:val="00AF6581"/>
    <w:rsid w:val="00AF6656"/>
    <w:rsid w:val="00AF68D2"/>
    <w:rsid w:val="00AF6AEE"/>
    <w:rsid w:val="00AF6BF2"/>
    <w:rsid w:val="00AF6E1D"/>
    <w:rsid w:val="00AF6E5E"/>
    <w:rsid w:val="00AF70F4"/>
    <w:rsid w:val="00AF715D"/>
    <w:rsid w:val="00AF7181"/>
    <w:rsid w:val="00AF74AE"/>
    <w:rsid w:val="00AF77B9"/>
    <w:rsid w:val="00AF7B55"/>
    <w:rsid w:val="00B00661"/>
    <w:rsid w:val="00B0077B"/>
    <w:rsid w:val="00B00A68"/>
    <w:rsid w:val="00B00BD0"/>
    <w:rsid w:val="00B00C2C"/>
    <w:rsid w:val="00B00C78"/>
    <w:rsid w:val="00B00D5A"/>
    <w:rsid w:val="00B00E30"/>
    <w:rsid w:val="00B01356"/>
    <w:rsid w:val="00B01437"/>
    <w:rsid w:val="00B015FA"/>
    <w:rsid w:val="00B01A48"/>
    <w:rsid w:val="00B01D1E"/>
    <w:rsid w:val="00B01E9C"/>
    <w:rsid w:val="00B0237F"/>
    <w:rsid w:val="00B02416"/>
    <w:rsid w:val="00B024C1"/>
    <w:rsid w:val="00B02D86"/>
    <w:rsid w:val="00B03111"/>
    <w:rsid w:val="00B032AD"/>
    <w:rsid w:val="00B032F5"/>
    <w:rsid w:val="00B032F6"/>
    <w:rsid w:val="00B03776"/>
    <w:rsid w:val="00B03DD6"/>
    <w:rsid w:val="00B03F81"/>
    <w:rsid w:val="00B04A83"/>
    <w:rsid w:val="00B04C10"/>
    <w:rsid w:val="00B04E7D"/>
    <w:rsid w:val="00B05296"/>
    <w:rsid w:val="00B054E4"/>
    <w:rsid w:val="00B05ADE"/>
    <w:rsid w:val="00B05BFD"/>
    <w:rsid w:val="00B05C9F"/>
    <w:rsid w:val="00B05EA0"/>
    <w:rsid w:val="00B0678D"/>
    <w:rsid w:val="00B06917"/>
    <w:rsid w:val="00B069D8"/>
    <w:rsid w:val="00B06B53"/>
    <w:rsid w:val="00B06E13"/>
    <w:rsid w:val="00B06E21"/>
    <w:rsid w:val="00B0754D"/>
    <w:rsid w:val="00B0778D"/>
    <w:rsid w:val="00B07861"/>
    <w:rsid w:val="00B07BD3"/>
    <w:rsid w:val="00B07C6C"/>
    <w:rsid w:val="00B102DA"/>
    <w:rsid w:val="00B10682"/>
    <w:rsid w:val="00B10A06"/>
    <w:rsid w:val="00B10FFF"/>
    <w:rsid w:val="00B1102A"/>
    <w:rsid w:val="00B111D0"/>
    <w:rsid w:val="00B11409"/>
    <w:rsid w:val="00B11BBB"/>
    <w:rsid w:val="00B11EA0"/>
    <w:rsid w:val="00B129AB"/>
    <w:rsid w:val="00B13142"/>
    <w:rsid w:val="00B1324A"/>
    <w:rsid w:val="00B13502"/>
    <w:rsid w:val="00B13E55"/>
    <w:rsid w:val="00B13EDE"/>
    <w:rsid w:val="00B14200"/>
    <w:rsid w:val="00B1432F"/>
    <w:rsid w:val="00B14605"/>
    <w:rsid w:val="00B14658"/>
    <w:rsid w:val="00B1491F"/>
    <w:rsid w:val="00B15C4A"/>
    <w:rsid w:val="00B15DD2"/>
    <w:rsid w:val="00B1607A"/>
    <w:rsid w:val="00B160D9"/>
    <w:rsid w:val="00B16382"/>
    <w:rsid w:val="00B16AE9"/>
    <w:rsid w:val="00B16B35"/>
    <w:rsid w:val="00B16BFA"/>
    <w:rsid w:val="00B16F11"/>
    <w:rsid w:val="00B172C3"/>
    <w:rsid w:val="00B17A01"/>
    <w:rsid w:val="00B17A42"/>
    <w:rsid w:val="00B17D34"/>
    <w:rsid w:val="00B20637"/>
    <w:rsid w:val="00B20A0D"/>
    <w:rsid w:val="00B20A2E"/>
    <w:rsid w:val="00B2117B"/>
    <w:rsid w:val="00B21228"/>
    <w:rsid w:val="00B21CD9"/>
    <w:rsid w:val="00B21D92"/>
    <w:rsid w:val="00B22B91"/>
    <w:rsid w:val="00B22C9E"/>
    <w:rsid w:val="00B22DB0"/>
    <w:rsid w:val="00B23109"/>
    <w:rsid w:val="00B23204"/>
    <w:rsid w:val="00B2356A"/>
    <w:rsid w:val="00B23855"/>
    <w:rsid w:val="00B2396E"/>
    <w:rsid w:val="00B24209"/>
    <w:rsid w:val="00B24506"/>
    <w:rsid w:val="00B247EF"/>
    <w:rsid w:val="00B24C16"/>
    <w:rsid w:val="00B24DA7"/>
    <w:rsid w:val="00B2518E"/>
    <w:rsid w:val="00B25280"/>
    <w:rsid w:val="00B253EA"/>
    <w:rsid w:val="00B2547D"/>
    <w:rsid w:val="00B256A1"/>
    <w:rsid w:val="00B25886"/>
    <w:rsid w:val="00B25AFB"/>
    <w:rsid w:val="00B25BDB"/>
    <w:rsid w:val="00B25CB0"/>
    <w:rsid w:val="00B25CD2"/>
    <w:rsid w:val="00B25DC8"/>
    <w:rsid w:val="00B265AC"/>
    <w:rsid w:val="00B266B4"/>
    <w:rsid w:val="00B26743"/>
    <w:rsid w:val="00B26BCE"/>
    <w:rsid w:val="00B26D49"/>
    <w:rsid w:val="00B26E66"/>
    <w:rsid w:val="00B2725F"/>
    <w:rsid w:val="00B278D4"/>
    <w:rsid w:val="00B27A39"/>
    <w:rsid w:val="00B27BA7"/>
    <w:rsid w:val="00B27F12"/>
    <w:rsid w:val="00B30137"/>
    <w:rsid w:val="00B30A0C"/>
    <w:rsid w:val="00B30CBE"/>
    <w:rsid w:val="00B311D8"/>
    <w:rsid w:val="00B31211"/>
    <w:rsid w:val="00B31456"/>
    <w:rsid w:val="00B314FD"/>
    <w:rsid w:val="00B317D1"/>
    <w:rsid w:val="00B32209"/>
    <w:rsid w:val="00B32454"/>
    <w:rsid w:val="00B32581"/>
    <w:rsid w:val="00B325CF"/>
    <w:rsid w:val="00B3281C"/>
    <w:rsid w:val="00B32DC7"/>
    <w:rsid w:val="00B32E64"/>
    <w:rsid w:val="00B330DD"/>
    <w:rsid w:val="00B33126"/>
    <w:rsid w:val="00B3316B"/>
    <w:rsid w:val="00B3337C"/>
    <w:rsid w:val="00B3345E"/>
    <w:rsid w:val="00B334B7"/>
    <w:rsid w:val="00B33757"/>
    <w:rsid w:val="00B3424C"/>
    <w:rsid w:val="00B34956"/>
    <w:rsid w:val="00B34D93"/>
    <w:rsid w:val="00B34EAC"/>
    <w:rsid w:val="00B354F9"/>
    <w:rsid w:val="00B357D6"/>
    <w:rsid w:val="00B3583B"/>
    <w:rsid w:val="00B35876"/>
    <w:rsid w:val="00B35C7A"/>
    <w:rsid w:val="00B3605F"/>
    <w:rsid w:val="00B37A64"/>
    <w:rsid w:val="00B37A8F"/>
    <w:rsid w:val="00B40247"/>
    <w:rsid w:val="00B403EF"/>
    <w:rsid w:val="00B408DB"/>
    <w:rsid w:val="00B40D85"/>
    <w:rsid w:val="00B40F89"/>
    <w:rsid w:val="00B412DA"/>
    <w:rsid w:val="00B416BB"/>
    <w:rsid w:val="00B417B8"/>
    <w:rsid w:val="00B4189B"/>
    <w:rsid w:val="00B418EA"/>
    <w:rsid w:val="00B41929"/>
    <w:rsid w:val="00B41EFC"/>
    <w:rsid w:val="00B42398"/>
    <w:rsid w:val="00B4266B"/>
    <w:rsid w:val="00B42A51"/>
    <w:rsid w:val="00B42B94"/>
    <w:rsid w:val="00B43011"/>
    <w:rsid w:val="00B4334E"/>
    <w:rsid w:val="00B434FC"/>
    <w:rsid w:val="00B437F6"/>
    <w:rsid w:val="00B43BC0"/>
    <w:rsid w:val="00B43E52"/>
    <w:rsid w:val="00B43F32"/>
    <w:rsid w:val="00B44289"/>
    <w:rsid w:val="00B4433B"/>
    <w:rsid w:val="00B44848"/>
    <w:rsid w:val="00B44852"/>
    <w:rsid w:val="00B4494F"/>
    <w:rsid w:val="00B44B4A"/>
    <w:rsid w:val="00B44C46"/>
    <w:rsid w:val="00B44D8C"/>
    <w:rsid w:val="00B44E3F"/>
    <w:rsid w:val="00B44E78"/>
    <w:rsid w:val="00B4522B"/>
    <w:rsid w:val="00B45370"/>
    <w:rsid w:val="00B453B1"/>
    <w:rsid w:val="00B455BE"/>
    <w:rsid w:val="00B45654"/>
    <w:rsid w:val="00B4585B"/>
    <w:rsid w:val="00B45965"/>
    <w:rsid w:val="00B45AE1"/>
    <w:rsid w:val="00B45BC7"/>
    <w:rsid w:val="00B45CBB"/>
    <w:rsid w:val="00B45E5F"/>
    <w:rsid w:val="00B465EB"/>
    <w:rsid w:val="00B468F7"/>
    <w:rsid w:val="00B46917"/>
    <w:rsid w:val="00B4695A"/>
    <w:rsid w:val="00B46B1B"/>
    <w:rsid w:val="00B46B99"/>
    <w:rsid w:val="00B46CDA"/>
    <w:rsid w:val="00B46CF0"/>
    <w:rsid w:val="00B46D65"/>
    <w:rsid w:val="00B47384"/>
    <w:rsid w:val="00B473E7"/>
    <w:rsid w:val="00B475B3"/>
    <w:rsid w:val="00B4796A"/>
    <w:rsid w:val="00B47E40"/>
    <w:rsid w:val="00B504FC"/>
    <w:rsid w:val="00B50595"/>
    <w:rsid w:val="00B507F4"/>
    <w:rsid w:val="00B50A4A"/>
    <w:rsid w:val="00B50D74"/>
    <w:rsid w:val="00B50F63"/>
    <w:rsid w:val="00B512D4"/>
    <w:rsid w:val="00B5133A"/>
    <w:rsid w:val="00B52077"/>
    <w:rsid w:val="00B523C7"/>
    <w:rsid w:val="00B52552"/>
    <w:rsid w:val="00B52F87"/>
    <w:rsid w:val="00B53500"/>
    <w:rsid w:val="00B53666"/>
    <w:rsid w:val="00B53667"/>
    <w:rsid w:val="00B537FA"/>
    <w:rsid w:val="00B538F3"/>
    <w:rsid w:val="00B53BE4"/>
    <w:rsid w:val="00B54018"/>
    <w:rsid w:val="00B543E6"/>
    <w:rsid w:val="00B548CD"/>
    <w:rsid w:val="00B549AC"/>
    <w:rsid w:val="00B54B4A"/>
    <w:rsid w:val="00B54DE1"/>
    <w:rsid w:val="00B54EC4"/>
    <w:rsid w:val="00B55133"/>
    <w:rsid w:val="00B551EE"/>
    <w:rsid w:val="00B55288"/>
    <w:rsid w:val="00B552FC"/>
    <w:rsid w:val="00B556F4"/>
    <w:rsid w:val="00B5582B"/>
    <w:rsid w:val="00B55E67"/>
    <w:rsid w:val="00B5601E"/>
    <w:rsid w:val="00B563E9"/>
    <w:rsid w:val="00B56609"/>
    <w:rsid w:val="00B56B3A"/>
    <w:rsid w:val="00B56CCD"/>
    <w:rsid w:val="00B575F1"/>
    <w:rsid w:val="00B5783F"/>
    <w:rsid w:val="00B57AFF"/>
    <w:rsid w:val="00B57E44"/>
    <w:rsid w:val="00B57F65"/>
    <w:rsid w:val="00B6038B"/>
    <w:rsid w:val="00B603A8"/>
    <w:rsid w:val="00B606BB"/>
    <w:rsid w:val="00B60A1E"/>
    <w:rsid w:val="00B60C17"/>
    <w:rsid w:val="00B60C9B"/>
    <w:rsid w:val="00B61099"/>
    <w:rsid w:val="00B610FF"/>
    <w:rsid w:val="00B61400"/>
    <w:rsid w:val="00B614D4"/>
    <w:rsid w:val="00B61658"/>
    <w:rsid w:val="00B6239D"/>
    <w:rsid w:val="00B625BD"/>
    <w:rsid w:val="00B627C7"/>
    <w:rsid w:val="00B62842"/>
    <w:rsid w:val="00B62ACD"/>
    <w:rsid w:val="00B630CE"/>
    <w:rsid w:val="00B6335A"/>
    <w:rsid w:val="00B64060"/>
    <w:rsid w:val="00B640D3"/>
    <w:rsid w:val="00B641DB"/>
    <w:rsid w:val="00B647FD"/>
    <w:rsid w:val="00B64BE9"/>
    <w:rsid w:val="00B65347"/>
    <w:rsid w:val="00B65394"/>
    <w:rsid w:val="00B6569B"/>
    <w:rsid w:val="00B658FC"/>
    <w:rsid w:val="00B65C10"/>
    <w:rsid w:val="00B65DE1"/>
    <w:rsid w:val="00B66062"/>
    <w:rsid w:val="00B665FB"/>
    <w:rsid w:val="00B66B04"/>
    <w:rsid w:val="00B67223"/>
    <w:rsid w:val="00B679CC"/>
    <w:rsid w:val="00B67C21"/>
    <w:rsid w:val="00B67F25"/>
    <w:rsid w:val="00B7006D"/>
    <w:rsid w:val="00B70168"/>
    <w:rsid w:val="00B701D3"/>
    <w:rsid w:val="00B7042F"/>
    <w:rsid w:val="00B704F8"/>
    <w:rsid w:val="00B705AA"/>
    <w:rsid w:val="00B70A8C"/>
    <w:rsid w:val="00B70CBD"/>
    <w:rsid w:val="00B716BF"/>
    <w:rsid w:val="00B722DC"/>
    <w:rsid w:val="00B725C2"/>
    <w:rsid w:val="00B72655"/>
    <w:rsid w:val="00B727F9"/>
    <w:rsid w:val="00B72824"/>
    <w:rsid w:val="00B72ABB"/>
    <w:rsid w:val="00B73156"/>
    <w:rsid w:val="00B733DD"/>
    <w:rsid w:val="00B73564"/>
    <w:rsid w:val="00B735EA"/>
    <w:rsid w:val="00B73CF6"/>
    <w:rsid w:val="00B73F20"/>
    <w:rsid w:val="00B743A6"/>
    <w:rsid w:val="00B750E6"/>
    <w:rsid w:val="00B7588C"/>
    <w:rsid w:val="00B75C8B"/>
    <w:rsid w:val="00B75DDF"/>
    <w:rsid w:val="00B75F8E"/>
    <w:rsid w:val="00B75FD1"/>
    <w:rsid w:val="00B7642F"/>
    <w:rsid w:val="00B76E77"/>
    <w:rsid w:val="00B77F6D"/>
    <w:rsid w:val="00B80218"/>
    <w:rsid w:val="00B803CE"/>
    <w:rsid w:val="00B80535"/>
    <w:rsid w:val="00B80971"/>
    <w:rsid w:val="00B80C22"/>
    <w:rsid w:val="00B80F54"/>
    <w:rsid w:val="00B80FAF"/>
    <w:rsid w:val="00B81146"/>
    <w:rsid w:val="00B81756"/>
    <w:rsid w:val="00B818DC"/>
    <w:rsid w:val="00B81B26"/>
    <w:rsid w:val="00B81BD6"/>
    <w:rsid w:val="00B82013"/>
    <w:rsid w:val="00B8202C"/>
    <w:rsid w:val="00B82192"/>
    <w:rsid w:val="00B82BCA"/>
    <w:rsid w:val="00B83213"/>
    <w:rsid w:val="00B8359D"/>
    <w:rsid w:val="00B83BD4"/>
    <w:rsid w:val="00B83BEF"/>
    <w:rsid w:val="00B8467F"/>
    <w:rsid w:val="00B84816"/>
    <w:rsid w:val="00B84994"/>
    <w:rsid w:val="00B84A76"/>
    <w:rsid w:val="00B854D9"/>
    <w:rsid w:val="00B85925"/>
    <w:rsid w:val="00B859E7"/>
    <w:rsid w:val="00B85B5E"/>
    <w:rsid w:val="00B85D5F"/>
    <w:rsid w:val="00B8605E"/>
    <w:rsid w:val="00B861AF"/>
    <w:rsid w:val="00B86481"/>
    <w:rsid w:val="00B86979"/>
    <w:rsid w:val="00B86AD6"/>
    <w:rsid w:val="00B86D10"/>
    <w:rsid w:val="00B87221"/>
    <w:rsid w:val="00B872BB"/>
    <w:rsid w:val="00B87513"/>
    <w:rsid w:val="00B877CE"/>
    <w:rsid w:val="00B87927"/>
    <w:rsid w:val="00B87B6D"/>
    <w:rsid w:val="00B87FF6"/>
    <w:rsid w:val="00B901EC"/>
    <w:rsid w:val="00B9048A"/>
    <w:rsid w:val="00B90611"/>
    <w:rsid w:val="00B90A9C"/>
    <w:rsid w:val="00B90AC5"/>
    <w:rsid w:val="00B90B3A"/>
    <w:rsid w:val="00B90BAD"/>
    <w:rsid w:val="00B90C6B"/>
    <w:rsid w:val="00B91382"/>
    <w:rsid w:val="00B919B8"/>
    <w:rsid w:val="00B91A97"/>
    <w:rsid w:val="00B91B49"/>
    <w:rsid w:val="00B91BFA"/>
    <w:rsid w:val="00B91C33"/>
    <w:rsid w:val="00B91D3D"/>
    <w:rsid w:val="00B91DAC"/>
    <w:rsid w:val="00B91E1E"/>
    <w:rsid w:val="00B92091"/>
    <w:rsid w:val="00B923E7"/>
    <w:rsid w:val="00B924F4"/>
    <w:rsid w:val="00B92C0A"/>
    <w:rsid w:val="00B92F15"/>
    <w:rsid w:val="00B933B8"/>
    <w:rsid w:val="00B93440"/>
    <w:rsid w:val="00B9348C"/>
    <w:rsid w:val="00B9351B"/>
    <w:rsid w:val="00B93642"/>
    <w:rsid w:val="00B937DB"/>
    <w:rsid w:val="00B93866"/>
    <w:rsid w:val="00B939FA"/>
    <w:rsid w:val="00B93CBF"/>
    <w:rsid w:val="00B9402C"/>
    <w:rsid w:val="00B941C0"/>
    <w:rsid w:val="00B9465E"/>
    <w:rsid w:val="00B9472E"/>
    <w:rsid w:val="00B94BB5"/>
    <w:rsid w:val="00B94C05"/>
    <w:rsid w:val="00B94DF0"/>
    <w:rsid w:val="00B94F01"/>
    <w:rsid w:val="00B95470"/>
    <w:rsid w:val="00B955DA"/>
    <w:rsid w:val="00B95768"/>
    <w:rsid w:val="00B958E6"/>
    <w:rsid w:val="00B95ADB"/>
    <w:rsid w:val="00B95B4D"/>
    <w:rsid w:val="00B95ED2"/>
    <w:rsid w:val="00B960B6"/>
    <w:rsid w:val="00B964DA"/>
    <w:rsid w:val="00B966B3"/>
    <w:rsid w:val="00B96703"/>
    <w:rsid w:val="00B9747F"/>
    <w:rsid w:val="00B976FA"/>
    <w:rsid w:val="00B97A8E"/>
    <w:rsid w:val="00B97FFA"/>
    <w:rsid w:val="00BA015A"/>
    <w:rsid w:val="00BA0592"/>
    <w:rsid w:val="00BA0606"/>
    <w:rsid w:val="00BA0EBB"/>
    <w:rsid w:val="00BA1305"/>
    <w:rsid w:val="00BA16A4"/>
    <w:rsid w:val="00BA16CE"/>
    <w:rsid w:val="00BA195A"/>
    <w:rsid w:val="00BA1C6F"/>
    <w:rsid w:val="00BA1DFE"/>
    <w:rsid w:val="00BA1F67"/>
    <w:rsid w:val="00BA1FDD"/>
    <w:rsid w:val="00BA1FEC"/>
    <w:rsid w:val="00BA252C"/>
    <w:rsid w:val="00BA2D53"/>
    <w:rsid w:val="00BA2F58"/>
    <w:rsid w:val="00BA3254"/>
    <w:rsid w:val="00BA3349"/>
    <w:rsid w:val="00BA3410"/>
    <w:rsid w:val="00BA35C1"/>
    <w:rsid w:val="00BA38E3"/>
    <w:rsid w:val="00BA3944"/>
    <w:rsid w:val="00BA3984"/>
    <w:rsid w:val="00BA39C9"/>
    <w:rsid w:val="00BA3A34"/>
    <w:rsid w:val="00BA3C55"/>
    <w:rsid w:val="00BA3D17"/>
    <w:rsid w:val="00BA3D9D"/>
    <w:rsid w:val="00BA3E5A"/>
    <w:rsid w:val="00BA3EA3"/>
    <w:rsid w:val="00BA42D3"/>
    <w:rsid w:val="00BA46EC"/>
    <w:rsid w:val="00BA4A1C"/>
    <w:rsid w:val="00BA4B11"/>
    <w:rsid w:val="00BA4C5D"/>
    <w:rsid w:val="00BA4F96"/>
    <w:rsid w:val="00BA537E"/>
    <w:rsid w:val="00BA5897"/>
    <w:rsid w:val="00BA58A3"/>
    <w:rsid w:val="00BA6169"/>
    <w:rsid w:val="00BA6460"/>
    <w:rsid w:val="00BA64D0"/>
    <w:rsid w:val="00BA650B"/>
    <w:rsid w:val="00BA65A0"/>
    <w:rsid w:val="00BA6818"/>
    <w:rsid w:val="00BA6FAE"/>
    <w:rsid w:val="00BA6FB1"/>
    <w:rsid w:val="00BA70EC"/>
    <w:rsid w:val="00BA7DC2"/>
    <w:rsid w:val="00BA7F81"/>
    <w:rsid w:val="00BA7FAB"/>
    <w:rsid w:val="00BB0143"/>
    <w:rsid w:val="00BB0334"/>
    <w:rsid w:val="00BB051D"/>
    <w:rsid w:val="00BB05E5"/>
    <w:rsid w:val="00BB0A9B"/>
    <w:rsid w:val="00BB133F"/>
    <w:rsid w:val="00BB1418"/>
    <w:rsid w:val="00BB1CE9"/>
    <w:rsid w:val="00BB2295"/>
    <w:rsid w:val="00BB2796"/>
    <w:rsid w:val="00BB2854"/>
    <w:rsid w:val="00BB361C"/>
    <w:rsid w:val="00BB39E2"/>
    <w:rsid w:val="00BB4091"/>
    <w:rsid w:val="00BB46A6"/>
    <w:rsid w:val="00BB482D"/>
    <w:rsid w:val="00BB48B6"/>
    <w:rsid w:val="00BB4EC5"/>
    <w:rsid w:val="00BB50A6"/>
    <w:rsid w:val="00BB53D9"/>
    <w:rsid w:val="00BB552A"/>
    <w:rsid w:val="00BB579A"/>
    <w:rsid w:val="00BB5994"/>
    <w:rsid w:val="00BB5C22"/>
    <w:rsid w:val="00BB5ED0"/>
    <w:rsid w:val="00BB5F1C"/>
    <w:rsid w:val="00BB5FE1"/>
    <w:rsid w:val="00BB61EA"/>
    <w:rsid w:val="00BB649A"/>
    <w:rsid w:val="00BB6844"/>
    <w:rsid w:val="00BB68DD"/>
    <w:rsid w:val="00BB77C1"/>
    <w:rsid w:val="00BB7D32"/>
    <w:rsid w:val="00BB7E6B"/>
    <w:rsid w:val="00BC0512"/>
    <w:rsid w:val="00BC0931"/>
    <w:rsid w:val="00BC0C57"/>
    <w:rsid w:val="00BC1636"/>
    <w:rsid w:val="00BC1677"/>
    <w:rsid w:val="00BC1826"/>
    <w:rsid w:val="00BC1C53"/>
    <w:rsid w:val="00BC2065"/>
    <w:rsid w:val="00BC22B9"/>
    <w:rsid w:val="00BC23DF"/>
    <w:rsid w:val="00BC2506"/>
    <w:rsid w:val="00BC263A"/>
    <w:rsid w:val="00BC268F"/>
    <w:rsid w:val="00BC2781"/>
    <w:rsid w:val="00BC2A6A"/>
    <w:rsid w:val="00BC30E4"/>
    <w:rsid w:val="00BC34A0"/>
    <w:rsid w:val="00BC360E"/>
    <w:rsid w:val="00BC36D6"/>
    <w:rsid w:val="00BC399C"/>
    <w:rsid w:val="00BC39F0"/>
    <w:rsid w:val="00BC3AC4"/>
    <w:rsid w:val="00BC3B33"/>
    <w:rsid w:val="00BC3BAE"/>
    <w:rsid w:val="00BC3EFE"/>
    <w:rsid w:val="00BC3F17"/>
    <w:rsid w:val="00BC3F1C"/>
    <w:rsid w:val="00BC404F"/>
    <w:rsid w:val="00BC4198"/>
    <w:rsid w:val="00BC44FB"/>
    <w:rsid w:val="00BC4577"/>
    <w:rsid w:val="00BC48B6"/>
    <w:rsid w:val="00BC4BCD"/>
    <w:rsid w:val="00BC4C54"/>
    <w:rsid w:val="00BC4D35"/>
    <w:rsid w:val="00BC52F9"/>
    <w:rsid w:val="00BC53E7"/>
    <w:rsid w:val="00BC58B4"/>
    <w:rsid w:val="00BC5A28"/>
    <w:rsid w:val="00BC5A3A"/>
    <w:rsid w:val="00BC60CF"/>
    <w:rsid w:val="00BC69B6"/>
    <w:rsid w:val="00BC6ADC"/>
    <w:rsid w:val="00BC6C1E"/>
    <w:rsid w:val="00BC6CC1"/>
    <w:rsid w:val="00BC6CE8"/>
    <w:rsid w:val="00BC709B"/>
    <w:rsid w:val="00BC74B3"/>
    <w:rsid w:val="00BC7A85"/>
    <w:rsid w:val="00BC7AF4"/>
    <w:rsid w:val="00BC7BFD"/>
    <w:rsid w:val="00BC7DDA"/>
    <w:rsid w:val="00BD0703"/>
    <w:rsid w:val="00BD0870"/>
    <w:rsid w:val="00BD0B41"/>
    <w:rsid w:val="00BD1697"/>
    <w:rsid w:val="00BD17FB"/>
    <w:rsid w:val="00BD17FD"/>
    <w:rsid w:val="00BD18B5"/>
    <w:rsid w:val="00BD1A41"/>
    <w:rsid w:val="00BD203C"/>
    <w:rsid w:val="00BD22BC"/>
    <w:rsid w:val="00BD26AA"/>
    <w:rsid w:val="00BD2A09"/>
    <w:rsid w:val="00BD2A27"/>
    <w:rsid w:val="00BD2B1B"/>
    <w:rsid w:val="00BD2B41"/>
    <w:rsid w:val="00BD2CC3"/>
    <w:rsid w:val="00BD2EC7"/>
    <w:rsid w:val="00BD3625"/>
    <w:rsid w:val="00BD380C"/>
    <w:rsid w:val="00BD3C93"/>
    <w:rsid w:val="00BD3E2F"/>
    <w:rsid w:val="00BD4106"/>
    <w:rsid w:val="00BD414B"/>
    <w:rsid w:val="00BD454F"/>
    <w:rsid w:val="00BD4D9A"/>
    <w:rsid w:val="00BD5390"/>
    <w:rsid w:val="00BD546C"/>
    <w:rsid w:val="00BD59EC"/>
    <w:rsid w:val="00BD5FBC"/>
    <w:rsid w:val="00BD6002"/>
    <w:rsid w:val="00BD6013"/>
    <w:rsid w:val="00BD65EA"/>
    <w:rsid w:val="00BD6915"/>
    <w:rsid w:val="00BD6FC2"/>
    <w:rsid w:val="00BD71A9"/>
    <w:rsid w:val="00BD7496"/>
    <w:rsid w:val="00BD75E9"/>
    <w:rsid w:val="00BD7843"/>
    <w:rsid w:val="00BD7B5A"/>
    <w:rsid w:val="00BD7D11"/>
    <w:rsid w:val="00BE0055"/>
    <w:rsid w:val="00BE032B"/>
    <w:rsid w:val="00BE0387"/>
    <w:rsid w:val="00BE0B20"/>
    <w:rsid w:val="00BE0B5A"/>
    <w:rsid w:val="00BE0CAF"/>
    <w:rsid w:val="00BE0D5C"/>
    <w:rsid w:val="00BE0FF4"/>
    <w:rsid w:val="00BE1209"/>
    <w:rsid w:val="00BE12C3"/>
    <w:rsid w:val="00BE163C"/>
    <w:rsid w:val="00BE18AF"/>
    <w:rsid w:val="00BE2110"/>
    <w:rsid w:val="00BE2593"/>
    <w:rsid w:val="00BE279C"/>
    <w:rsid w:val="00BE2BB5"/>
    <w:rsid w:val="00BE2DC5"/>
    <w:rsid w:val="00BE2EB9"/>
    <w:rsid w:val="00BE305F"/>
    <w:rsid w:val="00BE306C"/>
    <w:rsid w:val="00BE30B2"/>
    <w:rsid w:val="00BE371B"/>
    <w:rsid w:val="00BE3D48"/>
    <w:rsid w:val="00BE4200"/>
    <w:rsid w:val="00BE44B2"/>
    <w:rsid w:val="00BE44C6"/>
    <w:rsid w:val="00BE4B8E"/>
    <w:rsid w:val="00BE4DBD"/>
    <w:rsid w:val="00BE4FF8"/>
    <w:rsid w:val="00BE50EF"/>
    <w:rsid w:val="00BE517A"/>
    <w:rsid w:val="00BE51FD"/>
    <w:rsid w:val="00BE5BFA"/>
    <w:rsid w:val="00BE5CC6"/>
    <w:rsid w:val="00BE5F87"/>
    <w:rsid w:val="00BE678C"/>
    <w:rsid w:val="00BE73C9"/>
    <w:rsid w:val="00BE73DF"/>
    <w:rsid w:val="00BE7579"/>
    <w:rsid w:val="00BE76F7"/>
    <w:rsid w:val="00BE797E"/>
    <w:rsid w:val="00BF00C5"/>
    <w:rsid w:val="00BF00D9"/>
    <w:rsid w:val="00BF0717"/>
    <w:rsid w:val="00BF0C38"/>
    <w:rsid w:val="00BF0CAD"/>
    <w:rsid w:val="00BF12B4"/>
    <w:rsid w:val="00BF13CC"/>
    <w:rsid w:val="00BF14DF"/>
    <w:rsid w:val="00BF1660"/>
    <w:rsid w:val="00BF168C"/>
    <w:rsid w:val="00BF1865"/>
    <w:rsid w:val="00BF1A11"/>
    <w:rsid w:val="00BF1C05"/>
    <w:rsid w:val="00BF1DBB"/>
    <w:rsid w:val="00BF1DC3"/>
    <w:rsid w:val="00BF1E81"/>
    <w:rsid w:val="00BF2336"/>
    <w:rsid w:val="00BF27A3"/>
    <w:rsid w:val="00BF2804"/>
    <w:rsid w:val="00BF2B2F"/>
    <w:rsid w:val="00BF2E35"/>
    <w:rsid w:val="00BF2F3C"/>
    <w:rsid w:val="00BF340D"/>
    <w:rsid w:val="00BF3DA4"/>
    <w:rsid w:val="00BF3FE3"/>
    <w:rsid w:val="00BF4953"/>
    <w:rsid w:val="00BF4BCA"/>
    <w:rsid w:val="00BF50F4"/>
    <w:rsid w:val="00BF51B2"/>
    <w:rsid w:val="00BF51C1"/>
    <w:rsid w:val="00BF5417"/>
    <w:rsid w:val="00BF54CA"/>
    <w:rsid w:val="00BF56D8"/>
    <w:rsid w:val="00BF5AE4"/>
    <w:rsid w:val="00BF5FB0"/>
    <w:rsid w:val="00BF600D"/>
    <w:rsid w:val="00BF606E"/>
    <w:rsid w:val="00BF60D8"/>
    <w:rsid w:val="00BF64A5"/>
    <w:rsid w:val="00BF665D"/>
    <w:rsid w:val="00BF66FC"/>
    <w:rsid w:val="00BF6CA1"/>
    <w:rsid w:val="00BF6CA6"/>
    <w:rsid w:val="00BF6E0E"/>
    <w:rsid w:val="00BF73EF"/>
    <w:rsid w:val="00BF7702"/>
    <w:rsid w:val="00C0017B"/>
    <w:rsid w:val="00C002EF"/>
    <w:rsid w:val="00C003D2"/>
    <w:rsid w:val="00C0065B"/>
    <w:rsid w:val="00C00ACB"/>
    <w:rsid w:val="00C00AF1"/>
    <w:rsid w:val="00C0123B"/>
    <w:rsid w:val="00C0152F"/>
    <w:rsid w:val="00C015E7"/>
    <w:rsid w:val="00C01952"/>
    <w:rsid w:val="00C01DCC"/>
    <w:rsid w:val="00C01E66"/>
    <w:rsid w:val="00C01F97"/>
    <w:rsid w:val="00C0210B"/>
    <w:rsid w:val="00C0248B"/>
    <w:rsid w:val="00C02839"/>
    <w:rsid w:val="00C02AC4"/>
    <w:rsid w:val="00C02DEF"/>
    <w:rsid w:val="00C02F4B"/>
    <w:rsid w:val="00C02F91"/>
    <w:rsid w:val="00C03100"/>
    <w:rsid w:val="00C032AC"/>
    <w:rsid w:val="00C037F6"/>
    <w:rsid w:val="00C038E7"/>
    <w:rsid w:val="00C03AE3"/>
    <w:rsid w:val="00C04161"/>
    <w:rsid w:val="00C041C0"/>
    <w:rsid w:val="00C04204"/>
    <w:rsid w:val="00C048DD"/>
    <w:rsid w:val="00C0492C"/>
    <w:rsid w:val="00C04BF5"/>
    <w:rsid w:val="00C05377"/>
    <w:rsid w:val="00C0550A"/>
    <w:rsid w:val="00C05701"/>
    <w:rsid w:val="00C05BCB"/>
    <w:rsid w:val="00C05E85"/>
    <w:rsid w:val="00C05E9C"/>
    <w:rsid w:val="00C061D8"/>
    <w:rsid w:val="00C062F9"/>
    <w:rsid w:val="00C06631"/>
    <w:rsid w:val="00C0698A"/>
    <w:rsid w:val="00C06D66"/>
    <w:rsid w:val="00C06E04"/>
    <w:rsid w:val="00C073A6"/>
    <w:rsid w:val="00C07525"/>
    <w:rsid w:val="00C07862"/>
    <w:rsid w:val="00C07BDC"/>
    <w:rsid w:val="00C07C12"/>
    <w:rsid w:val="00C1002A"/>
    <w:rsid w:val="00C1038F"/>
    <w:rsid w:val="00C1057B"/>
    <w:rsid w:val="00C10585"/>
    <w:rsid w:val="00C10A5D"/>
    <w:rsid w:val="00C10C04"/>
    <w:rsid w:val="00C1100C"/>
    <w:rsid w:val="00C111A8"/>
    <w:rsid w:val="00C11293"/>
    <w:rsid w:val="00C1157E"/>
    <w:rsid w:val="00C1160B"/>
    <w:rsid w:val="00C11654"/>
    <w:rsid w:val="00C11ACB"/>
    <w:rsid w:val="00C12270"/>
    <w:rsid w:val="00C12463"/>
    <w:rsid w:val="00C12524"/>
    <w:rsid w:val="00C125C0"/>
    <w:rsid w:val="00C126F9"/>
    <w:rsid w:val="00C12A4B"/>
    <w:rsid w:val="00C12D4F"/>
    <w:rsid w:val="00C12E6F"/>
    <w:rsid w:val="00C12F48"/>
    <w:rsid w:val="00C13154"/>
    <w:rsid w:val="00C131CF"/>
    <w:rsid w:val="00C134C8"/>
    <w:rsid w:val="00C13C82"/>
    <w:rsid w:val="00C13CD9"/>
    <w:rsid w:val="00C1451C"/>
    <w:rsid w:val="00C146E1"/>
    <w:rsid w:val="00C147CE"/>
    <w:rsid w:val="00C14825"/>
    <w:rsid w:val="00C1488F"/>
    <w:rsid w:val="00C14983"/>
    <w:rsid w:val="00C14B6E"/>
    <w:rsid w:val="00C14E11"/>
    <w:rsid w:val="00C14FB4"/>
    <w:rsid w:val="00C151C7"/>
    <w:rsid w:val="00C1529F"/>
    <w:rsid w:val="00C15349"/>
    <w:rsid w:val="00C15637"/>
    <w:rsid w:val="00C156A7"/>
    <w:rsid w:val="00C15731"/>
    <w:rsid w:val="00C15948"/>
    <w:rsid w:val="00C15A4E"/>
    <w:rsid w:val="00C15A77"/>
    <w:rsid w:val="00C15C05"/>
    <w:rsid w:val="00C16452"/>
    <w:rsid w:val="00C16553"/>
    <w:rsid w:val="00C165C3"/>
    <w:rsid w:val="00C1686B"/>
    <w:rsid w:val="00C169FD"/>
    <w:rsid w:val="00C16A48"/>
    <w:rsid w:val="00C16E24"/>
    <w:rsid w:val="00C1702B"/>
    <w:rsid w:val="00C1709E"/>
    <w:rsid w:val="00C17289"/>
    <w:rsid w:val="00C179B8"/>
    <w:rsid w:val="00C17D35"/>
    <w:rsid w:val="00C17DA5"/>
    <w:rsid w:val="00C17E75"/>
    <w:rsid w:val="00C17FA4"/>
    <w:rsid w:val="00C17FDF"/>
    <w:rsid w:val="00C20023"/>
    <w:rsid w:val="00C202B3"/>
    <w:rsid w:val="00C20447"/>
    <w:rsid w:val="00C208AC"/>
    <w:rsid w:val="00C20A54"/>
    <w:rsid w:val="00C20E92"/>
    <w:rsid w:val="00C2108B"/>
    <w:rsid w:val="00C2145B"/>
    <w:rsid w:val="00C217AA"/>
    <w:rsid w:val="00C217FD"/>
    <w:rsid w:val="00C21ACA"/>
    <w:rsid w:val="00C21B89"/>
    <w:rsid w:val="00C21C15"/>
    <w:rsid w:val="00C21EE0"/>
    <w:rsid w:val="00C21F0C"/>
    <w:rsid w:val="00C22117"/>
    <w:rsid w:val="00C22542"/>
    <w:rsid w:val="00C22669"/>
    <w:rsid w:val="00C2275B"/>
    <w:rsid w:val="00C22A20"/>
    <w:rsid w:val="00C22D59"/>
    <w:rsid w:val="00C22D86"/>
    <w:rsid w:val="00C22F81"/>
    <w:rsid w:val="00C2307B"/>
    <w:rsid w:val="00C2327A"/>
    <w:rsid w:val="00C237C8"/>
    <w:rsid w:val="00C23C8A"/>
    <w:rsid w:val="00C242C0"/>
    <w:rsid w:val="00C2488A"/>
    <w:rsid w:val="00C248BA"/>
    <w:rsid w:val="00C249C2"/>
    <w:rsid w:val="00C249CE"/>
    <w:rsid w:val="00C24C2A"/>
    <w:rsid w:val="00C252B5"/>
    <w:rsid w:val="00C25380"/>
    <w:rsid w:val="00C255D1"/>
    <w:rsid w:val="00C258C8"/>
    <w:rsid w:val="00C259D1"/>
    <w:rsid w:val="00C260E7"/>
    <w:rsid w:val="00C26240"/>
    <w:rsid w:val="00C2634B"/>
    <w:rsid w:val="00C2652C"/>
    <w:rsid w:val="00C265E8"/>
    <w:rsid w:val="00C26DD2"/>
    <w:rsid w:val="00C26F51"/>
    <w:rsid w:val="00C2703D"/>
    <w:rsid w:val="00C27546"/>
    <w:rsid w:val="00C27AE2"/>
    <w:rsid w:val="00C27E3E"/>
    <w:rsid w:val="00C30099"/>
    <w:rsid w:val="00C300FC"/>
    <w:rsid w:val="00C30297"/>
    <w:rsid w:val="00C30413"/>
    <w:rsid w:val="00C304F1"/>
    <w:rsid w:val="00C30FC1"/>
    <w:rsid w:val="00C315E8"/>
    <w:rsid w:val="00C3179E"/>
    <w:rsid w:val="00C318A1"/>
    <w:rsid w:val="00C31C92"/>
    <w:rsid w:val="00C31EB0"/>
    <w:rsid w:val="00C31EB3"/>
    <w:rsid w:val="00C32208"/>
    <w:rsid w:val="00C323B2"/>
    <w:rsid w:val="00C324D7"/>
    <w:rsid w:val="00C32721"/>
    <w:rsid w:val="00C3276E"/>
    <w:rsid w:val="00C32A2F"/>
    <w:rsid w:val="00C32DDB"/>
    <w:rsid w:val="00C32F7C"/>
    <w:rsid w:val="00C338E9"/>
    <w:rsid w:val="00C33B13"/>
    <w:rsid w:val="00C33B86"/>
    <w:rsid w:val="00C33FE5"/>
    <w:rsid w:val="00C341C0"/>
    <w:rsid w:val="00C343C9"/>
    <w:rsid w:val="00C35587"/>
    <w:rsid w:val="00C3588A"/>
    <w:rsid w:val="00C35AC4"/>
    <w:rsid w:val="00C35B0C"/>
    <w:rsid w:val="00C36204"/>
    <w:rsid w:val="00C3637E"/>
    <w:rsid w:val="00C3639A"/>
    <w:rsid w:val="00C36615"/>
    <w:rsid w:val="00C3675C"/>
    <w:rsid w:val="00C36772"/>
    <w:rsid w:val="00C370A8"/>
    <w:rsid w:val="00C3715F"/>
    <w:rsid w:val="00C37647"/>
    <w:rsid w:val="00C37675"/>
    <w:rsid w:val="00C37A2D"/>
    <w:rsid w:val="00C37DE2"/>
    <w:rsid w:val="00C37FD9"/>
    <w:rsid w:val="00C4035A"/>
    <w:rsid w:val="00C4056C"/>
    <w:rsid w:val="00C40A2D"/>
    <w:rsid w:val="00C40AB5"/>
    <w:rsid w:val="00C40E73"/>
    <w:rsid w:val="00C40ED7"/>
    <w:rsid w:val="00C41096"/>
    <w:rsid w:val="00C41196"/>
    <w:rsid w:val="00C4155D"/>
    <w:rsid w:val="00C41CB3"/>
    <w:rsid w:val="00C41F45"/>
    <w:rsid w:val="00C41FC6"/>
    <w:rsid w:val="00C42183"/>
    <w:rsid w:val="00C422E2"/>
    <w:rsid w:val="00C42879"/>
    <w:rsid w:val="00C428C1"/>
    <w:rsid w:val="00C42BEB"/>
    <w:rsid w:val="00C43AC8"/>
    <w:rsid w:val="00C43B56"/>
    <w:rsid w:val="00C43E78"/>
    <w:rsid w:val="00C442B2"/>
    <w:rsid w:val="00C443E8"/>
    <w:rsid w:val="00C44484"/>
    <w:rsid w:val="00C444BF"/>
    <w:rsid w:val="00C446E3"/>
    <w:rsid w:val="00C44734"/>
    <w:rsid w:val="00C44B70"/>
    <w:rsid w:val="00C45291"/>
    <w:rsid w:val="00C456A0"/>
    <w:rsid w:val="00C464CB"/>
    <w:rsid w:val="00C467F2"/>
    <w:rsid w:val="00C473DF"/>
    <w:rsid w:val="00C474B6"/>
    <w:rsid w:val="00C47B92"/>
    <w:rsid w:val="00C47DE1"/>
    <w:rsid w:val="00C504C5"/>
    <w:rsid w:val="00C50621"/>
    <w:rsid w:val="00C506AD"/>
    <w:rsid w:val="00C50718"/>
    <w:rsid w:val="00C51284"/>
    <w:rsid w:val="00C5140C"/>
    <w:rsid w:val="00C515E9"/>
    <w:rsid w:val="00C5168D"/>
    <w:rsid w:val="00C51A04"/>
    <w:rsid w:val="00C51B1C"/>
    <w:rsid w:val="00C51F16"/>
    <w:rsid w:val="00C5201B"/>
    <w:rsid w:val="00C5209F"/>
    <w:rsid w:val="00C5230A"/>
    <w:rsid w:val="00C5284D"/>
    <w:rsid w:val="00C52AAA"/>
    <w:rsid w:val="00C52C13"/>
    <w:rsid w:val="00C52F2F"/>
    <w:rsid w:val="00C530FD"/>
    <w:rsid w:val="00C53373"/>
    <w:rsid w:val="00C53794"/>
    <w:rsid w:val="00C539D0"/>
    <w:rsid w:val="00C53A7F"/>
    <w:rsid w:val="00C53B14"/>
    <w:rsid w:val="00C5428F"/>
    <w:rsid w:val="00C544C4"/>
    <w:rsid w:val="00C54AAF"/>
    <w:rsid w:val="00C554CE"/>
    <w:rsid w:val="00C55698"/>
    <w:rsid w:val="00C55EDC"/>
    <w:rsid w:val="00C55FB4"/>
    <w:rsid w:val="00C563E1"/>
    <w:rsid w:val="00C56CEA"/>
    <w:rsid w:val="00C56DE8"/>
    <w:rsid w:val="00C56FEC"/>
    <w:rsid w:val="00C57130"/>
    <w:rsid w:val="00C57153"/>
    <w:rsid w:val="00C57822"/>
    <w:rsid w:val="00C57A71"/>
    <w:rsid w:val="00C57ABB"/>
    <w:rsid w:val="00C603DC"/>
    <w:rsid w:val="00C60870"/>
    <w:rsid w:val="00C60A25"/>
    <w:rsid w:val="00C614F5"/>
    <w:rsid w:val="00C618D1"/>
    <w:rsid w:val="00C61DB3"/>
    <w:rsid w:val="00C62163"/>
    <w:rsid w:val="00C624E9"/>
    <w:rsid w:val="00C62F06"/>
    <w:rsid w:val="00C6332E"/>
    <w:rsid w:val="00C635E8"/>
    <w:rsid w:val="00C637CE"/>
    <w:rsid w:val="00C63B95"/>
    <w:rsid w:val="00C6433E"/>
    <w:rsid w:val="00C64447"/>
    <w:rsid w:val="00C644B9"/>
    <w:rsid w:val="00C6453C"/>
    <w:rsid w:val="00C646E7"/>
    <w:rsid w:val="00C64A5F"/>
    <w:rsid w:val="00C64DE8"/>
    <w:rsid w:val="00C64DFA"/>
    <w:rsid w:val="00C64E39"/>
    <w:rsid w:val="00C6509A"/>
    <w:rsid w:val="00C65198"/>
    <w:rsid w:val="00C655A4"/>
    <w:rsid w:val="00C655E8"/>
    <w:rsid w:val="00C657FA"/>
    <w:rsid w:val="00C65A33"/>
    <w:rsid w:val="00C66189"/>
    <w:rsid w:val="00C66369"/>
    <w:rsid w:val="00C66718"/>
    <w:rsid w:val="00C667DF"/>
    <w:rsid w:val="00C668C8"/>
    <w:rsid w:val="00C67001"/>
    <w:rsid w:val="00C67034"/>
    <w:rsid w:val="00C67471"/>
    <w:rsid w:val="00C676C4"/>
    <w:rsid w:val="00C67D9D"/>
    <w:rsid w:val="00C67DEC"/>
    <w:rsid w:val="00C7004D"/>
    <w:rsid w:val="00C708CF"/>
    <w:rsid w:val="00C70B5A"/>
    <w:rsid w:val="00C71034"/>
    <w:rsid w:val="00C711D8"/>
    <w:rsid w:val="00C714B2"/>
    <w:rsid w:val="00C71573"/>
    <w:rsid w:val="00C71940"/>
    <w:rsid w:val="00C71C7B"/>
    <w:rsid w:val="00C71D32"/>
    <w:rsid w:val="00C71D5A"/>
    <w:rsid w:val="00C722C9"/>
    <w:rsid w:val="00C722FF"/>
    <w:rsid w:val="00C72318"/>
    <w:rsid w:val="00C724E6"/>
    <w:rsid w:val="00C7285F"/>
    <w:rsid w:val="00C72B31"/>
    <w:rsid w:val="00C72B76"/>
    <w:rsid w:val="00C72F61"/>
    <w:rsid w:val="00C73038"/>
    <w:rsid w:val="00C73048"/>
    <w:rsid w:val="00C734F7"/>
    <w:rsid w:val="00C73D10"/>
    <w:rsid w:val="00C73F51"/>
    <w:rsid w:val="00C74225"/>
    <w:rsid w:val="00C747A5"/>
    <w:rsid w:val="00C749DD"/>
    <w:rsid w:val="00C754E5"/>
    <w:rsid w:val="00C75797"/>
    <w:rsid w:val="00C758DE"/>
    <w:rsid w:val="00C75A0A"/>
    <w:rsid w:val="00C75EF8"/>
    <w:rsid w:val="00C7603B"/>
    <w:rsid w:val="00C7608A"/>
    <w:rsid w:val="00C762BA"/>
    <w:rsid w:val="00C762CC"/>
    <w:rsid w:val="00C76363"/>
    <w:rsid w:val="00C76570"/>
    <w:rsid w:val="00C76D7C"/>
    <w:rsid w:val="00C76FCD"/>
    <w:rsid w:val="00C770A6"/>
    <w:rsid w:val="00C77551"/>
    <w:rsid w:val="00C77577"/>
    <w:rsid w:val="00C7762A"/>
    <w:rsid w:val="00C777DD"/>
    <w:rsid w:val="00C77EA2"/>
    <w:rsid w:val="00C8014D"/>
    <w:rsid w:val="00C8030C"/>
    <w:rsid w:val="00C80367"/>
    <w:rsid w:val="00C80548"/>
    <w:rsid w:val="00C805B8"/>
    <w:rsid w:val="00C80752"/>
    <w:rsid w:val="00C8131A"/>
    <w:rsid w:val="00C8148B"/>
    <w:rsid w:val="00C817BD"/>
    <w:rsid w:val="00C8185D"/>
    <w:rsid w:val="00C81B4E"/>
    <w:rsid w:val="00C81BF1"/>
    <w:rsid w:val="00C81D56"/>
    <w:rsid w:val="00C81D6A"/>
    <w:rsid w:val="00C82115"/>
    <w:rsid w:val="00C821DC"/>
    <w:rsid w:val="00C82218"/>
    <w:rsid w:val="00C823BD"/>
    <w:rsid w:val="00C8240C"/>
    <w:rsid w:val="00C82CBB"/>
    <w:rsid w:val="00C82EBD"/>
    <w:rsid w:val="00C830E9"/>
    <w:rsid w:val="00C83293"/>
    <w:rsid w:val="00C833A0"/>
    <w:rsid w:val="00C83469"/>
    <w:rsid w:val="00C834F9"/>
    <w:rsid w:val="00C83851"/>
    <w:rsid w:val="00C83B81"/>
    <w:rsid w:val="00C83BA6"/>
    <w:rsid w:val="00C83BE6"/>
    <w:rsid w:val="00C83EDD"/>
    <w:rsid w:val="00C83F38"/>
    <w:rsid w:val="00C84544"/>
    <w:rsid w:val="00C84BFA"/>
    <w:rsid w:val="00C85221"/>
    <w:rsid w:val="00C85224"/>
    <w:rsid w:val="00C8529F"/>
    <w:rsid w:val="00C85301"/>
    <w:rsid w:val="00C85314"/>
    <w:rsid w:val="00C85674"/>
    <w:rsid w:val="00C85C40"/>
    <w:rsid w:val="00C85F21"/>
    <w:rsid w:val="00C85FF5"/>
    <w:rsid w:val="00C86A02"/>
    <w:rsid w:val="00C86D27"/>
    <w:rsid w:val="00C86E09"/>
    <w:rsid w:val="00C870C2"/>
    <w:rsid w:val="00C8712C"/>
    <w:rsid w:val="00C87C74"/>
    <w:rsid w:val="00C87CF3"/>
    <w:rsid w:val="00C903B8"/>
    <w:rsid w:val="00C906AB"/>
    <w:rsid w:val="00C908C3"/>
    <w:rsid w:val="00C90E9B"/>
    <w:rsid w:val="00C91157"/>
    <w:rsid w:val="00C911EC"/>
    <w:rsid w:val="00C9138D"/>
    <w:rsid w:val="00C91444"/>
    <w:rsid w:val="00C91571"/>
    <w:rsid w:val="00C917B5"/>
    <w:rsid w:val="00C91F1A"/>
    <w:rsid w:val="00C92282"/>
    <w:rsid w:val="00C9236F"/>
    <w:rsid w:val="00C923A5"/>
    <w:rsid w:val="00C928D0"/>
    <w:rsid w:val="00C92E5C"/>
    <w:rsid w:val="00C930DE"/>
    <w:rsid w:val="00C93896"/>
    <w:rsid w:val="00C93ADE"/>
    <w:rsid w:val="00C93F19"/>
    <w:rsid w:val="00C94508"/>
    <w:rsid w:val="00C94565"/>
    <w:rsid w:val="00C9484E"/>
    <w:rsid w:val="00C94867"/>
    <w:rsid w:val="00C9489D"/>
    <w:rsid w:val="00C94BCE"/>
    <w:rsid w:val="00C94C26"/>
    <w:rsid w:val="00C94C28"/>
    <w:rsid w:val="00C9525C"/>
    <w:rsid w:val="00C95A06"/>
    <w:rsid w:val="00C95AEC"/>
    <w:rsid w:val="00C95C75"/>
    <w:rsid w:val="00C95CA7"/>
    <w:rsid w:val="00C96A66"/>
    <w:rsid w:val="00C96A7B"/>
    <w:rsid w:val="00C970CE"/>
    <w:rsid w:val="00C970CF"/>
    <w:rsid w:val="00C9730A"/>
    <w:rsid w:val="00C9737B"/>
    <w:rsid w:val="00C975C9"/>
    <w:rsid w:val="00C9774E"/>
    <w:rsid w:val="00C97C67"/>
    <w:rsid w:val="00C97DFF"/>
    <w:rsid w:val="00C97F49"/>
    <w:rsid w:val="00CA0116"/>
    <w:rsid w:val="00CA0161"/>
    <w:rsid w:val="00CA0360"/>
    <w:rsid w:val="00CA04CB"/>
    <w:rsid w:val="00CA0977"/>
    <w:rsid w:val="00CA0A96"/>
    <w:rsid w:val="00CA0E7A"/>
    <w:rsid w:val="00CA0F48"/>
    <w:rsid w:val="00CA0FD2"/>
    <w:rsid w:val="00CA1293"/>
    <w:rsid w:val="00CA1366"/>
    <w:rsid w:val="00CA1915"/>
    <w:rsid w:val="00CA1CC0"/>
    <w:rsid w:val="00CA210E"/>
    <w:rsid w:val="00CA2D32"/>
    <w:rsid w:val="00CA2EC4"/>
    <w:rsid w:val="00CA34D8"/>
    <w:rsid w:val="00CA3A2B"/>
    <w:rsid w:val="00CA3EA2"/>
    <w:rsid w:val="00CA3ED0"/>
    <w:rsid w:val="00CA4239"/>
    <w:rsid w:val="00CA46FF"/>
    <w:rsid w:val="00CA4BC0"/>
    <w:rsid w:val="00CA4BF2"/>
    <w:rsid w:val="00CA4E67"/>
    <w:rsid w:val="00CA4F80"/>
    <w:rsid w:val="00CA4F8E"/>
    <w:rsid w:val="00CA534D"/>
    <w:rsid w:val="00CA5404"/>
    <w:rsid w:val="00CA554F"/>
    <w:rsid w:val="00CA5A4B"/>
    <w:rsid w:val="00CA5B33"/>
    <w:rsid w:val="00CA5CA8"/>
    <w:rsid w:val="00CA5DA9"/>
    <w:rsid w:val="00CA5F37"/>
    <w:rsid w:val="00CA5FE6"/>
    <w:rsid w:val="00CA6516"/>
    <w:rsid w:val="00CA66EA"/>
    <w:rsid w:val="00CA6967"/>
    <w:rsid w:val="00CA6AE5"/>
    <w:rsid w:val="00CA6B87"/>
    <w:rsid w:val="00CA6BC8"/>
    <w:rsid w:val="00CA6FC2"/>
    <w:rsid w:val="00CA6FDF"/>
    <w:rsid w:val="00CA75EA"/>
    <w:rsid w:val="00CA795B"/>
    <w:rsid w:val="00CA795C"/>
    <w:rsid w:val="00CA7BF8"/>
    <w:rsid w:val="00CB0157"/>
    <w:rsid w:val="00CB08EF"/>
    <w:rsid w:val="00CB09C3"/>
    <w:rsid w:val="00CB0BF6"/>
    <w:rsid w:val="00CB1185"/>
    <w:rsid w:val="00CB1195"/>
    <w:rsid w:val="00CB1582"/>
    <w:rsid w:val="00CB16E9"/>
    <w:rsid w:val="00CB1841"/>
    <w:rsid w:val="00CB1BA5"/>
    <w:rsid w:val="00CB1C83"/>
    <w:rsid w:val="00CB26AE"/>
    <w:rsid w:val="00CB272F"/>
    <w:rsid w:val="00CB2797"/>
    <w:rsid w:val="00CB2D0E"/>
    <w:rsid w:val="00CB315A"/>
    <w:rsid w:val="00CB35E8"/>
    <w:rsid w:val="00CB3909"/>
    <w:rsid w:val="00CB4200"/>
    <w:rsid w:val="00CB4249"/>
    <w:rsid w:val="00CB4269"/>
    <w:rsid w:val="00CB4524"/>
    <w:rsid w:val="00CB470B"/>
    <w:rsid w:val="00CB4A99"/>
    <w:rsid w:val="00CB4D4F"/>
    <w:rsid w:val="00CB4E28"/>
    <w:rsid w:val="00CB5120"/>
    <w:rsid w:val="00CB5205"/>
    <w:rsid w:val="00CB554D"/>
    <w:rsid w:val="00CB59CF"/>
    <w:rsid w:val="00CB6422"/>
    <w:rsid w:val="00CB6509"/>
    <w:rsid w:val="00CB6AAD"/>
    <w:rsid w:val="00CB6B0A"/>
    <w:rsid w:val="00CB6D72"/>
    <w:rsid w:val="00CB71D4"/>
    <w:rsid w:val="00CB76B0"/>
    <w:rsid w:val="00CB7821"/>
    <w:rsid w:val="00CB7874"/>
    <w:rsid w:val="00CB7910"/>
    <w:rsid w:val="00CC02FB"/>
    <w:rsid w:val="00CC05D4"/>
    <w:rsid w:val="00CC07C2"/>
    <w:rsid w:val="00CC08AC"/>
    <w:rsid w:val="00CC0C20"/>
    <w:rsid w:val="00CC1004"/>
    <w:rsid w:val="00CC126F"/>
    <w:rsid w:val="00CC1299"/>
    <w:rsid w:val="00CC12B1"/>
    <w:rsid w:val="00CC1559"/>
    <w:rsid w:val="00CC1ED9"/>
    <w:rsid w:val="00CC22A7"/>
    <w:rsid w:val="00CC248B"/>
    <w:rsid w:val="00CC2B15"/>
    <w:rsid w:val="00CC2B39"/>
    <w:rsid w:val="00CC2BB7"/>
    <w:rsid w:val="00CC3243"/>
    <w:rsid w:val="00CC3B95"/>
    <w:rsid w:val="00CC3D4D"/>
    <w:rsid w:val="00CC41DB"/>
    <w:rsid w:val="00CC4F01"/>
    <w:rsid w:val="00CC5173"/>
    <w:rsid w:val="00CC51C3"/>
    <w:rsid w:val="00CC5482"/>
    <w:rsid w:val="00CC559D"/>
    <w:rsid w:val="00CC5702"/>
    <w:rsid w:val="00CC58C5"/>
    <w:rsid w:val="00CC5B40"/>
    <w:rsid w:val="00CC6842"/>
    <w:rsid w:val="00CC69A2"/>
    <w:rsid w:val="00CC6E8E"/>
    <w:rsid w:val="00CC7145"/>
    <w:rsid w:val="00CC71CC"/>
    <w:rsid w:val="00CC7843"/>
    <w:rsid w:val="00CC798B"/>
    <w:rsid w:val="00CC7BC3"/>
    <w:rsid w:val="00CC7D5F"/>
    <w:rsid w:val="00CC7EC0"/>
    <w:rsid w:val="00CD003D"/>
    <w:rsid w:val="00CD02DE"/>
    <w:rsid w:val="00CD0479"/>
    <w:rsid w:val="00CD061E"/>
    <w:rsid w:val="00CD0646"/>
    <w:rsid w:val="00CD08FD"/>
    <w:rsid w:val="00CD0A31"/>
    <w:rsid w:val="00CD0C15"/>
    <w:rsid w:val="00CD0F28"/>
    <w:rsid w:val="00CD14A4"/>
    <w:rsid w:val="00CD1575"/>
    <w:rsid w:val="00CD157E"/>
    <w:rsid w:val="00CD16DA"/>
    <w:rsid w:val="00CD1774"/>
    <w:rsid w:val="00CD177A"/>
    <w:rsid w:val="00CD1B35"/>
    <w:rsid w:val="00CD2452"/>
    <w:rsid w:val="00CD2772"/>
    <w:rsid w:val="00CD3028"/>
    <w:rsid w:val="00CD3226"/>
    <w:rsid w:val="00CD330B"/>
    <w:rsid w:val="00CD379C"/>
    <w:rsid w:val="00CD3A8B"/>
    <w:rsid w:val="00CD3D91"/>
    <w:rsid w:val="00CD3E04"/>
    <w:rsid w:val="00CD43F0"/>
    <w:rsid w:val="00CD4A9D"/>
    <w:rsid w:val="00CD4D2B"/>
    <w:rsid w:val="00CD4E10"/>
    <w:rsid w:val="00CD53BA"/>
    <w:rsid w:val="00CD54EF"/>
    <w:rsid w:val="00CD5635"/>
    <w:rsid w:val="00CD5758"/>
    <w:rsid w:val="00CD5775"/>
    <w:rsid w:val="00CD57C8"/>
    <w:rsid w:val="00CD5830"/>
    <w:rsid w:val="00CD5B09"/>
    <w:rsid w:val="00CD5B15"/>
    <w:rsid w:val="00CD5CBF"/>
    <w:rsid w:val="00CD5CDC"/>
    <w:rsid w:val="00CD6208"/>
    <w:rsid w:val="00CD6262"/>
    <w:rsid w:val="00CD62A2"/>
    <w:rsid w:val="00CD642D"/>
    <w:rsid w:val="00CD654B"/>
    <w:rsid w:val="00CD688C"/>
    <w:rsid w:val="00CD6FF6"/>
    <w:rsid w:val="00CD7070"/>
    <w:rsid w:val="00CD77E0"/>
    <w:rsid w:val="00CE054D"/>
    <w:rsid w:val="00CE0577"/>
    <w:rsid w:val="00CE06B4"/>
    <w:rsid w:val="00CE07D2"/>
    <w:rsid w:val="00CE092F"/>
    <w:rsid w:val="00CE0F89"/>
    <w:rsid w:val="00CE114B"/>
    <w:rsid w:val="00CE1168"/>
    <w:rsid w:val="00CE124C"/>
    <w:rsid w:val="00CE14CE"/>
    <w:rsid w:val="00CE1531"/>
    <w:rsid w:val="00CE1D20"/>
    <w:rsid w:val="00CE1DD2"/>
    <w:rsid w:val="00CE20AC"/>
    <w:rsid w:val="00CE20C2"/>
    <w:rsid w:val="00CE223E"/>
    <w:rsid w:val="00CE25C5"/>
    <w:rsid w:val="00CE2728"/>
    <w:rsid w:val="00CE28B7"/>
    <w:rsid w:val="00CE2AEB"/>
    <w:rsid w:val="00CE2C0D"/>
    <w:rsid w:val="00CE365E"/>
    <w:rsid w:val="00CE3878"/>
    <w:rsid w:val="00CE3945"/>
    <w:rsid w:val="00CE39AB"/>
    <w:rsid w:val="00CE3A8B"/>
    <w:rsid w:val="00CE4415"/>
    <w:rsid w:val="00CE478C"/>
    <w:rsid w:val="00CE52FD"/>
    <w:rsid w:val="00CE54A3"/>
    <w:rsid w:val="00CE5C2B"/>
    <w:rsid w:val="00CE6514"/>
    <w:rsid w:val="00CE6852"/>
    <w:rsid w:val="00CE71B2"/>
    <w:rsid w:val="00CE723C"/>
    <w:rsid w:val="00CE75AC"/>
    <w:rsid w:val="00CE7777"/>
    <w:rsid w:val="00CE7849"/>
    <w:rsid w:val="00CE7A86"/>
    <w:rsid w:val="00CE7B1F"/>
    <w:rsid w:val="00CE7E5F"/>
    <w:rsid w:val="00CF021C"/>
    <w:rsid w:val="00CF047D"/>
    <w:rsid w:val="00CF04E4"/>
    <w:rsid w:val="00CF0544"/>
    <w:rsid w:val="00CF0869"/>
    <w:rsid w:val="00CF0D34"/>
    <w:rsid w:val="00CF1098"/>
    <w:rsid w:val="00CF15AD"/>
    <w:rsid w:val="00CF16A9"/>
    <w:rsid w:val="00CF1BC2"/>
    <w:rsid w:val="00CF1CA9"/>
    <w:rsid w:val="00CF22F0"/>
    <w:rsid w:val="00CF258F"/>
    <w:rsid w:val="00CF2BFC"/>
    <w:rsid w:val="00CF2DF8"/>
    <w:rsid w:val="00CF35D8"/>
    <w:rsid w:val="00CF392E"/>
    <w:rsid w:val="00CF3F0D"/>
    <w:rsid w:val="00CF3F3E"/>
    <w:rsid w:val="00CF4745"/>
    <w:rsid w:val="00CF4AA4"/>
    <w:rsid w:val="00CF4B65"/>
    <w:rsid w:val="00CF4B83"/>
    <w:rsid w:val="00CF4E9A"/>
    <w:rsid w:val="00CF5237"/>
    <w:rsid w:val="00CF5CAB"/>
    <w:rsid w:val="00CF63B6"/>
    <w:rsid w:val="00CF671F"/>
    <w:rsid w:val="00CF697F"/>
    <w:rsid w:val="00CF6CA4"/>
    <w:rsid w:val="00CF6E3D"/>
    <w:rsid w:val="00CF72B8"/>
    <w:rsid w:val="00CF745C"/>
    <w:rsid w:val="00CF7573"/>
    <w:rsid w:val="00D0019F"/>
    <w:rsid w:val="00D0022C"/>
    <w:rsid w:val="00D00329"/>
    <w:rsid w:val="00D004A0"/>
    <w:rsid w:val="00D00809"/>
    <w:rsid w:val="00D00950"/>
    <w:rsid w:val="00D00A24"/>
    <w:rsid w:val="00D00B6C"/>
    <w:rsid w:val="00D00D82"/>
    <w:rsid w:val="00D0111D"/>
    <w:rsid w:val="00D01123"/>
    <w:rsid w:val="00D01567"/>
    <w:rsid w:val="00D01878"/>
    <w:rsid w:val="00D01C66"/>
    <w:rsid w:val="00D02179"/>
    <w:rsid w:val="00D023A7"/>
    <w:rsid w:val="00D02714"/>
    <w:rsid w:val="00D036E2"/>
    <w:rsid w:val="00D03BC1"/>
    <w:rsid w:val="00D03C66"/>
    <w:rsid w:val="00D0404D"/>
    <w:rsid w:val="00D04420"/>
    <w:rsid w:val="00D04479"/>
    <w:rsid w:val="00D04671"/>
    <w:rsid w:val="00D04A3D"/>
    <w:rsid w:val="00D04CA8"/>
    <w:rsid w:val="00D05263"/>
    <w:rsid w:val="00D05784"/>
    <w:rsid w:val="00D05A5D"/>
    <w:rsid w:val="00D05B7B"/>
    <w:rsid w:val="00D06015"/>
    <w:rsid w:val="00D061F6"/>
    <w:rsid w:val="00D06269"/>
    <w:rsid w:val="00D06459"/>
    <w:rsid w:val="00D065FF"/>
    <w:rsid w:val="00D067C3"/>
    <w:rsid w:val="00D06864"/>
    <w:rsid w:val="00D06AE9"/>
    <w:rsid w:val="00D06E24"/>
    <w:rsid w:val="00D06E61"/>
    <w:rsid w:val="00D06EAB"/>
    <w:rsid w:val="00D06EC8"/>
    <w:rsid w:val="00D06F94"/>
    <w:rsid w:val="00D07AA4"/>
    <w:rsid w:val="00D07D6A"/>
    <w:rsid w:val="00D10140"/>
    <w:rsid w:val="00D101F7"/>
    <w:rsid w:val="00D10456"/>
    <w:rsid w:val="00D105B1"/>
    <w:rsid w:val="00D105F8"/>
    <w:rsid w:val="00D106CB"/>
    <w:rsid w:val="00D10985"/>
    <w:rsid w:val="00D10A07"/>
    <w:rsid w:val="00D10AF3"/>
    <w:rsid w:val="00D10B08"/>
    <w:rsid w:val="00D10D4D"/>
    <w:rsid w:val="00D1125E"/>
    <w:rsid w:val="00D1192C"/>
    <w:rsid w:val="00D11BDC"/>
    <w:rsid w:val="00D11D40"/>
    <w:rsid w:val="00D12059"/>
    <w:rsid w:val="00D1223C"/>
    <w:rsid w:val="00D12542"/>
    <w:rsid w:val="00D12618"/>
    <w:rsid w:val="00D126A8"/>
    <w:rsid w:val="00D129F3"/>
    <w:rsid w:val="00D129F9"/>
    <w:rsid w:val="00D12B79"/>
    <w:rsid w:val="00D13285"/>
    <w:rsid w:val="00D13C1B"/>
    <w:rsid w:val="00D143DE"/>
    <w:rsid w:val="00D1457F"/>
    <w:rsid w:val="00D145D6"/>
    <w:rsid w:val="00D145F5"/>
    <w:rsid w:val="00D14D7B"/>
    <w:rsid w:val="00D14E17"/>
    <w:rsid w:val="00D155F7"/>
    <w:rsid w:val="00D156ED"/>
    <w:rsid w:val="00D15830"/>
    <w:rsid w:val="00D1588F"/>
    <w:rsid w:val="00D159BC"/>
    <w:rsid w:val="00D15AE3"/>
    <w:rsid w:val="00D15DB3"/>
    <w:rsid w:val="00D1661D"/>
    <w:rsid w:val="00D169D3"/>
    <w:rsid w:val="00D16B58"/>
    <w:rsid w:val="00D1748C"/>
    <w:rsid w:val="00D174EC"/>
    <w:rsid w:val="00D1759C"/>
    <w:rsid w:val="00D1772C"/>
    <w:rsid w:val="00D17780"/>
    <w:rsid w:val="00D1798D"/>
    <w:rsid w:val="00D17A15"/>
    <w:rsid w:val="00D200C2"/>
    <w:rsid w:val="00D207AA"/>
    <w:rsid w:val="00D207EE"/>
    <w:rsid w:val="00D20903"/>
    <w:rsid w:val="00D20E42"/>
    <w:rsid w:val="00D21013"/>
    <w:rsid w:val="00D213DF"/>
    <w:rsid w:val="00D21D90"/>
    <w:rsid w:val="00D22226"/>
    <w:rsid w:val="00D2229D"/>
    <w:rsid w:val="00D225B4"/>
    <w:rsid w:val="00D225D5"/>
    <w:rsid w:val="00D228E0"/>
    <w:rsid w:val="00D22CFF"/>
    <w:rsid w:val="00D22E67"/>
    <w:rsid w:val="00D22FE5"/>
    <w:rsid w:val="00D23062"/>
    <w:rsid w:val="00D233C8"/>
    <w:rsid w:val="00D23574"/>
    <w:rsid w:val="00D236F8"/>
    <w:rsid w:val="00D237B4"/>
    <w:rsid w:val="00D23D7A"/>
    <w:rsid w:val="00D24459"/>
    <w:rsid w:val="00D24783"/>
    <w:rsid w:val="00D24845"/>
    <w:rsid w:val="00D24B29"/>
    <w:rsid w:val="00D24DEC"/>
    <w:rsid w:val="00D24F57"/>
    <w:rsid w:val="00D2500E"/>
    <w:rsid w:val="00D25076"/>
    <w:rsid w:val="00D25086"/>
    <w:rsid w:val="00D250AC"/>
    <w:rsid w:val="00D250F1"/>
    <w:rsid w:val="00D25773"/>
    <w:rsid w:val="00D25904"/>
    <w:rsid w:val="00D25E77"/>
    <w:rsid w:val="00D260CF"/>
    <w:rsid w:val="00D26676"/>
    <w:rsid w:val="00D26752"/>
    <w:rsid w:val="00D2687F"/>
    <w:rsid w:val="00D26D33"/>
    <w:rsid w:val="00D26D9E"/>
    <w:rsid w:val="00D2746B"/>
    <w:rsid w:val="00D274A1"/>
    <w:rsid w:val="00D274BB"/>
    <w:rsid w:val="00D27543"/>
    <w:rsid w:val="00D27731"/>
    <w:rsid w:val="00D2776D"/>
    <w:rsid w:val="00D27A16"/>
    <w:rsid w:val="00D3049F"/>
    <w:rsid w:val="00D304F5"/>
    <w:rsid w:val="00D3051B"/>
    <w:rsid w:val="00D30D0F"/>
    <w:rsid w:val="00D30D60"/>
    <w:rsid w:val="00D312F6"/>
    <w:rsid w:val="00D317AA"/>
    <w:rsid w:val="00D31A25"/>
    <w:rsid w:val="00D3229C"/>
    <w:rsid w:val="00D32329"/>
    <w:rsid w:val="00D3234B"/>
    <w:rsid w:val="00D3236E"/>
    <w:rsid w:val="00D329A5"/>
    <w:rsid w:val="00D32A08"/>
    <w:rsid w:val="00D32D40"/>
    <w:rsid w:val="00D32E09"/>
    <w:rsid w:val="00D32FA0"/>
    <w:rsid w:val="00D3300E"/>
    <w:rsid w:val="00D330CA"/>
    <w:rsid w:val="00D33143"/>
    <w:rsid w:val="00D33191"/>
    <w:rsid w:val="00D33355"/>
    <w:rsid w:val="00D3342B"/>
    <w:rsid w:val="00D33827"/>
    <w:rsid w:val="00D33A9A"/>
    <w:rsid w:val="00D33B27"/>
    <w:rsid w:val="00D33E19"/>
    <w:rsid w:val="00D34250"/>
    <w:rsid w:val="00D34484"/>
    <w:rsid w:val="00D349DF"/>
    <w:rsid w:val="00D34CCA"/>
    <w:rsid w:val="00D34E8C"/>
    <w:rsid w:val="00D35282"/>
    <w:rsid w:val="00D35448"/>
    <w:rsid w:val="00D355F0"/>
    <w:rsid w:val="00D357C6"/>
    <w:rsid w:val="00D35820"/>
    <w:rsid w:val="00D35B29"/>
    <w:rsid w:val="00D35DCA"/>
    <w:rsid w:val="00D35E85"/>
    <w:rsid w:val="00D3604B"/>
    <w:rsid w:val="00D3608D"/>
    <w:rsid w:val="00D365D7"/>
    <w:rsid w:val="00D3682C"/>
    <w:rsid w:val="00D3692D"/>
    <w:rsid w:val="00D3694F"/>
    <w:rsid w:val="00D370BB"/>
    <w:rsid w:val="00D37142"/>
    <w:rsid w:val="00D372C3"/>
    <w:rsid w:val="00D37307"/>
    <w:rsid w:val="00D3762B"/>
    <w:rsid w:val="00D3773D"/>
    <w:rsid w:val="00D37742"/>
    <w:rsid w:val="00D37966"/>
    <w:rsid w:val="00D37B7F"/>
    <w:rsid w:val="00D400FB"/>
    <w:rsid w:val="00D40172"/>
    <w:rsid w:val="00D40177"/>
    <w:rsid w:val="00D403F8"/>
    <w:rsid w:val="00D406EE"/>
    <w:rsid w:val="00D41051"/>
    <w:rsid w:val="00D4111B"/>
    <w:rsid w:val="00D418A1"/>
    <w:rsid w:val="00D42144"/>
    <w:rsid w:val="00D42BE8"/>
    <w:rsid w:val="00D42CA9"/>
    <w:rsid w:val="00D42CC1"/>
    <w:rsid w:val="00D431AF"/>
    <w:rsid w:val="00D4338F"/>
    <w:rsid w:val="00D4358E"/>
    <w:rsid w:val="00D43775"/>
    <w:rsid w:val="00D439BD"/>
    <w:rsid w:val="00D43AC8"/>
    <w:rsid w:val="00D43BDE"/>
    <w:rsid w:val="00D440A6"/>
    <w:rsid w:val="00D44117"/>
    <w:rsid w:val="00D44139"/>
    <w:rsid w:val="00D4429A"/>
    <w:rsid w:val="00D44636"/>
    <w:rsid w:val="00D44AA9"/>
    <w:rsid w:val="00D44AD2"/>
    <w:rsid w:val="00D44B6F"/>
    <w:rsid w:val="00D44E1D"/>
    <w:rsid w:val="00D44FB5"/>
    <w:rsid w:val="00D45500"/>
    <w:rsid w:val="00D45983"/>
    <w:rsid w:val="00D45AFE"/>
    <w:rsid w:val="00D45C8B"/>
    <w:rsid w:val="00D468D7"/>
    <w:rsid w:val="00D4743B"/>
    <w:rsid w:val="00D474B3"/>
    <w:rsid w:val="00D47560"/>
    <w:rsid w:val="00D4798A"/>
    <w:rsid w:val="00D47C06"/>
    <w:rsid w:val="00D47C29"/>
    <w:rsid w:val="00D47C9F"/>
    <w:rsid w:val="00D47DCC"/>
    <w:rsid w:val="00D47F08"/>
    <w:rsid w:val="00D50495"/>
    <w:rsid w:val="00D506FC"/>
    <w:rsid w:val="00D50AC7"/>
    <w:rsid w:val="00D51797"/>
    <w:rsid w:val="00D51839"/>
    <w:rsid w:val="00D51AD7"/>
    <w:rsid w:val="00D51BEF"/>
    <w:rsid w:val="00D51D57"/>
    <w:rsid w:val="00D51E73"/>
    <w:rsid w:val="00D51F25"/>
    <w:rsid w:val="00D52444"/>
    <w:rsid w:val="00D52B1E"/>
    <w:rsid w:val="00D52C1F"/>
    <w:rsid w:val="00D5305B"/>
    <w:rsid w:val="00D53181"/>
    <w:rsid w:val="00D534B8"/>
    <w:rsid w:val="00D53581"/>
    <w:rsid w:val="00D5380D"/>
    <w:rsid w:val="00D53819"/>
    <w:rsid w:val="00D539D8"/>
    <w:rsid w:val="00D53CF2"/>
    <w:rsid w:val="00D53E3E"/>
    <w:rsid w:val="00D54392"/>
    <w:rsid w:val="00D543C0"/>
    <w:rsid w:val="00D546BD"/>
    <w:rsid w:val="00D5506F"/>
    <w:rsid w:val="00D55211"/>
    <w:rsid w:val="00D55316"/>
    <w:rsid w:val="00D554E8"/>
    <w:rsid w:val="00D5582A"/>
    <w:rsid w:val="00D55AFE"/>
    <w:rsid w:val="00D56113"/>
    <w:rsid w:val="00D56461"/>
    <w:rsid w:val="00D5657D"/>
    <w:rsid w:val="00D566C3"/>
    <w:rsid w:val="00D566D6"/>
    <w:rsid w:val="00D56A9F"/>
    <w:rsid w:val="00D56AEF"/>
    <w:rsid w:val="00D56B4C"/>
    <w:rsid w:val="00D56B4F"/>
    <w:rsid w:val="00D56C6B"/>
    <w:rsid w:val="00D572A6"/>
    <w:rsid w:val="00D575C8"/>
    <w:rsid w:val="00D57E4C"/>
    <w:rsid w:val="00D6009C"/>
    <w:rsid w:val="00D601E1"/>
    <w:rsid w:val="00D61049"/>
    <w:rsid w:val="00D6105B"/>
    <w:rsid w:val="00D6127C"/>
    <w:rsid w:val="00D6157E"/>
    <w:rsid w:val="00D6173E"/>
    <w:rsid w:val="00D6180E"/>
    <w:rsid w:val="00D6184E"/>
    <w:rsid w:val="00D62310"/>
    <w:rsid w:val="00D62573"/>
    <w:rsid w:val="00D625A6"/>
    <w:rsid w:val="00D6278A"/>
    <w:rsid w:val="00D63011"/>
    <w:rsid w:val="00D630C2"/>
    <w:rsid w:val="00D633FC"/>
    <w:rsid w:val="00D639DD"/>
    <w:rsid w:val="00D63DC7"/>
    <w:rsid w:val="00D6409C"/>
    <w:rsid w:val="00D643EC"/>
    <w:rsid w:val="00D64573"/>
    <w:rsid w:val="00D647F1"/>
    <w:rsid w:val="00D64B60"/>
    <w:rsid w:val="00D64B80"/>
    <w:rsid w:val="00D64C3D"/>
    <w:rsid w:val="00D64F9F"/>
    <w:rsid w:val="00D65797"/>
    <w:rsid w:val="00D65860"/>
    <w:rsid w:val="00D659FD"/>
    <w:rsid w:val="00D66085"/>
    <w:rsid w:val="00D66739"/>
    <w:rsid w:val="00D66D01"/>
    <w:rsid w:val="00D67462"/>
    <w:rsid w:val="00D6758C"/>
    <w:rsid w:val="00D678AD"/>
    <w:rsid w:val="00D67A33"/>
    <w:rsid w:val="00D67B58"/>
    <w:rsid w:val="00D67E25"/>
    <w:rsid w:val="00D7007C"/>
    <w:rsid w:val="00D70855"/>
    <w:rsid w:val="00D70B28"/>
    <w:rsid w:val="00D70B85"/>
    <w:rsid w:val="00D70CC8"/>
    <w:rsid w:val="00D71067"/>
    <w:rsid w:val="00D710E5"/>
    <w:rsid w:val="00D71387"/>
    <w:rsid w:val="00D718F3"/>
    <w:rsid w:val="00D71BB0"/>
    <w:rsid w:val="00D71F3B"/>
    <w:rsid w:val="00D72082"/>
    <w:rsid w:val="00D720BF"/>
    <w:rsid w:val="00D721B9"/>
    <w:rsid w:val="00D726FD"/>
    <w:rsid w:val="00D7288F"/>
    <w:rsid w:val="00D728AB"/>
    <w:rsid w:val="00D73015"/>
    <w:rsid w:val="00D730A3"/>
    <w:rsid w:val="00D7331B"/>
    <w:rsid w:val="00D7331D"/>
    <w:rsid w:val="00D7340A"/>
    <w:rsid w:val="00D73883"/>
    <w:rsid w:val="00D7390C"/>
    <w:rsid w:val="00D73BD9"/>
    <w:rsid w:val="00D73C5E"/>
    <w:rsid w:val="00D73DFA"/>
    <w:rsid w:val="00D74046"/>
    <w:rsid w:val="00D741B1"/>
    <w:rsid w:val="00D741EF"/>
    <w:rsid w:val="00D74398"/>
    <w:rsid w:val="00D74480"/>
    <w:rsid w:val="00D744F0"/>
    <w:rsid w:val="00D74B51"/>
    <w:rsid w:val="00D74BDD"/>
    <w:rsid w:val="00D74DF8"/>
    <w:rsid w:val="00D75390"/>
    <w:rsid w:val="00D758A8"/>
    <w:rsid w:val="00D75AF2"/>
    <w:rsid w:val="00D75B99"/>
    <w:rsid w:val="00D75B9B"/>
    <w:rsid w:val="00D75C5C"/>
    <w:rsid w:val="00D75F20"/>
    <w:rsid w:val="00D7639F"/>
    <w:rsid w:val="00D76B81"/>
    <w:rsid w:val="00D76C54"/>
    <w:rsid w:val="00D7700F"/>
    <w:rsid w:val="00D772F8"/>
    <w:rsid w:val="00D773C2"/>
    <w:rsid w:val="00D776BD"/>
    <w:rsid w:val="00D77881"/>
    <w:rsid w:val="00D77A26"/>
    <w:rsid w:val="00D77D86"/>
    <w:rsid w:val="00D80111"/>
    <w:rsid w:val="00D80746"/>
    <w:rsid w:val="00D807ED"/>
    <w:rsid w:val="00D80986"/>
    <w:rsid w:val="00D80D93"/>
    <w:rsid w:val="00D80E1C"/>
    <w:rsid w:val="00D80F08"/>
    <w:rsid w:val="00D80F5F"/>
    <w:rsid w:val="00D81193"/>
    <w:rsid w:val="00D8135F"/>
    <w:rsid w:val="00D81589"/>
    <w:rsid w:val="00D816B7"/>
    <w:rsid w:val="00D819E1"/>
    <w:rsid w:val="00D82082"/>
    <w:rsid w:val="00D82604"/>
    <w:rsid w:val="00D82A34"/>
    <w:rsid w:val="00D82EBA"/>
    <w:rsid w:val="00D8312B"/>
    <w:rsid w:val="00D83144"/>
    <w:rsid w:val="00D8322D"/>
    <w:rsid w:val="00D833D9"/>
    <w:rsid w:val="00D833F3"/>
    <w:rsid w:val="00D83BAD"/>
    <w:rsid w:val="00D83BD9"/>
    <w:rsid w:val="00D83EC8"/>
    <w:rsid w:val="00D8456B"/>
    <w:rsid w:val="00D848B0"/>
    <w:rsid w:val="00D84BB7"/>
    <w:rsid w:val="00D84BEF"/>
    <w:rsid w:val="00D84CA3"/>
    <w:rsid w:val="00D84CC0"/>
    <w:rsid w:val="00D84D77"/>
    <w:rsid w:val="00D8502D"/>
    <w:rsid w:val="00D85120"/>
    <w:rsid w:val="00D8515F"/>
    <w:rsid w:val="00D85770"/>
    <w:rsid w:val="00D85A8B"/>
    <w:rsid w:val="00D85BF6"/>
    <w:rsid w:val="00D85CB9"/>
    <w:rsid w:val="00D85DBE"/>
    <w:rsid w:val="00D860A3"/>
    <w:rsid w:val="00D863EF"/>
    <w:rsid w:val="00D86722"/>
    <w:rsid w:val="00D8680F"/>
    <w:rsid w:val="00D86C29"/>
    <w:rsid w:val="00D8704D"/>
    <w:rsid w:val="00D872B6"/>
    <w:rsid w:val="00D87B10"/>
    <w:rsid w:val="00D87DF5"/>
    <w:rsid w:val="00D87FC4"/>
    <w:rsid w:val="00D90153"/>
    <w:rsid w:val="00D90396"/>
    <w:rsid w:val="00D90446"/>
    <w:rsid w:val="00D904BF"/>
    <w:rsid w:val="00D905DD"/>
    <w:rsid w:val="00D9077D"/>
    <w:rsid w:val="00D90BB3"/>
    <w:rsid w:val="00D90D64"/>
    <w:rsid w:val="00D9141E"/>
    <w:rsid w:val="00D914CC"/>
    <w:rsid w:val="00D9154D"/>
    <w:rsid w:val="00D9171F"/>
    <w:rsid w:val="00D91927"/>
    <w:rsid w:val="00D919D5"/>
    <w:rsid w:val="00D91C7D"/>
    <w:rsid w:val="00D91FEF"/>
    <w:rsid w:val="00D920D7"/>
    <w:rsid w:val="00D92492"/>
    <w:rsid w:val="00D9277F"/>
    <w:rsid w:val="00D927AA"/>
    <w:rsid w:val="00D92A8B"/>
    <w:rsid w:val="00D92BEF"/>
    <w:rsid w:val="00D92F9A"/>
    <w:rsid w:val="00D930EF"/>
    <w:rsid w:val="00D9319A"/>
    <w:rsid w:val="00D932AB"/>
    <w:rsid w:val="00D93327"/>
    <w:rsid w:val="00D9338F"/>
    <w:rsid w:val="00D937FC"/>
    <w:rsid w:val="00D9384B"/>
    <w:rsid w:val="00D938C1"/>
    <w:rsid w:val="00D93D12"/>
    <w:rsid w:val="00D945B0"/>
    <w:rsid w:val="00D94632"/>
    <w:rsid w:val="00D94A27"/>
    <w:rsid w:val="00D94DCF"/>
    <w:rsid w:val="00D94EAE"/>
    <w:rsid w:val="00D9539B"/>
    <w:rsid w:val="00D953AD"/>
    <w:rsid w:val="00D9541D"/>
    <w:rsid w:val="00D954D0"/>
    <w:rsid w:val="00D95CF7"/>
    <w:rsid w:val="00D95D6E"/>
    <w:rsid w:val="00D96406"/>
    <w:rsid w:val="00D96589"/>
    <w:rsid w:val="00D9668C"/>
    <w:rsid w:val="00D969A2"/>
    <w:rsid w:val="00D96EE9"/>
    <w:rsid w:val="00D972FF"/>
    <w:rsid w:val="00D977D8"/>
    <w:rsid w:val="00D97971"/>
    <w:rsid w:val="00DA005B"/>
    <w:rsid w:val="00DA0363"/>
    <w:rsid w:val="00DA04B6"/>
    <w:rsid w:val="00DA0678"/>
    <w:rsid w:val="00DA08B9"/>
    <w:rsid w:val="00DA0A7A"/>
    <w:rsid w:val="00DA1064"/>
    <w:rsid w:val="00DA1286"/>
    <w:rsid w:val="00DA152C"/>
    <w:rsid w:val="00DA15FA"/>
    <w:rsid w:val="00DA1E1F"/>
    <w:rsid w:val="00DA1E93"/>
    <w:rsid w:val="00DA2AD2"/>
    <w:rsid w:val="00DA2C10"/>
    <w:rsid w:val="00DA2F0E"/>
    <w:rsid w:val="00DA3251"/>
    <w:rsid w:val="00DA3372"/>
    <w:rsid w:val="00DA341A"/>
    <w:rsid w:val="00DA3724"/>
    <w:rsid w:val="00DA3DB2"/>
    <w:rsid w:val="00DA464D"/>
    <w:rsid w:val="00DA4D1D"/>
    <w:rsid w:val="00DA52D4"/>
    <w:rsid w:val="00DA530D"/>
    <w:rsid w:val="00DA55C4"/>
    <w:rsid w:val="00DA5821"/>
    <w:rsid w:val="00DA586F"/>
    <w:rsid w:val="00DA61AC"/>
    <w:rsid w:val="00DA632D"/>
    <w:rsid w:val="00DA635F"/>
    <w:rsid w:val="00DA643A"/>
    <w:rsid w:val="00DA6488"/>
    <w:rsid w:val="00DA65BC"/>
    <w:rsid w:val="00DA674F"/>
    <w:rsid w:val="00DA6811"/>
    <w:rsid w:val="00DA68D9"/>
    <w:rsid w:val="00DA750F"/>
    <w:rsid w:val="00DA76C6"/>
    <w:rsid w:val="00DA76D0"/>
    <w:rsid w:val="00DA7762"/>
    <w:rsid w:val="00DA79BE"/>
    <w:rsid w:val="00DA7C2A"/>
    <w:rsid w:val="00DA7CF4"/>
    <w:rsid w:val="00DA7D59"/>
    <w:rsid w:val="00DB003E"/>
    <w:rsid w:val="00DB028A"/>
    <w:rsid w:val="00DB08DA"/>
    <w:rsid w:val="00DB0962"/>
    <w:rsid w:val="00DB0A72"/>
    <w:rsid w:val="00DB0D79"/>
    <w:rsid w:val="00DB0DA1"/>
    <w:rsid w:val="00DB123C"/>
    <w:rsid w:val="00DB1244"/>
    <w:rsid w:val="00DB15F9"/>
    <w:rsid w:val="00DB1615"/>
    <w:rsid w:val="00DB1667"/>
    <w:rsid w:val="00DB1965"/>
    <w:rsid w:val="00DB1D99"/>
    <w:rsid w:val="00DB2719"/>
    <w:rsid w:val="00DB27EE"/>
    <w:rsid w:val="00DB2927"/>
    <w:rsid w:val="00DB2B47"/>
    <w:rsid w:val="00DB2D3A"/>
    <w:rsid w:val="00DB3371"/>
    <w:rsid w:val="00DB342B"/>
    <w:rsid w:val="00DB350E"/>
    <w:rsid w:val="00DB391C"/>
    <w:rsid w:val="00DB3A7F"/>
    <w:rsid w:val="00DB3BE0"/>
    <w:rsid w:val="00DB459D"/>
    <w:rsid w:val="00DB462B"/>
    <w:rsid w:val="00DB4702"/>
    <w:rsid w:val="00DB4AFD"/>
    <w:rsid w:val="00DB4F95"/>
    <w:rsid w:val="00DB5060"/>
    <w:rsid w:val="00DB5321"/>
    <w:rsid w:val="00DB5644"/>
    <w:rsid w:val="00DB57AF"/>
    <w:rsid w:val="00DB5AB5"/>
    <w:rsid w:val="00DB5FBC"/>
    <w:rsid w:val="00DB611F"/>
    <w:rsid w:val="00DB633D"/>
    <w:rsid w:val="00DB699E"/>
    <w:rsid w:val="00DB6C9B"/>
    <w:rsid w:val="00DB7064"/>
    <w:rsid w:val="00DB7231"/>
    <w:rsid w:val="00DB7783"/>
    <w:rsid w:val="00DB78AC"/>
    <w:rsid w:val="00DB7F09"/>
    <w:rsid w:val="00DC00E8"/>
    <w:rsid w:val="00DC01A6"/>
    <w:rsid w:val="00DC030B"/>
    <w:rsid w:val="00DC04F6"/>
    <w:rsid w:val="00DC0696"/>
    <w:rsid w:val="00DC0B68"/>
    <w:rsid w:val="00DC1B5F"/>
    <w:rsid w:val="00DC1C45"/>
    <w:rsid w:val="00DC1C56"/>
    <w:rsid w:val="00DC1DDF"/>
    <w:rsid w:val="00DC1F6F"/>
    <w:rsid w:val="00DC242E"/>
    <w:rsid w:val="00DC2B9D"/>
    <w:rsid w:val="00DC2E49"/>
    <w:rsid w:val="00DC2E7D"/>
    <w:rsid w:val="00DC2FA1"/>
    <w:rsid w:val="00DC31F4"/>
    <w:rsid w:val="00DC3241"/>
    <w:rsid w:val="00DC324C"/>
    <w:rsid w:val="00DC34D0"/>
    <w:rsid w:val="00DC37A4"/>
    <w:rsid w:val="00DC3B06"/>
    <w:rsid w:val="00DC3B7B"/>
    <w:rsid w:val="00DC4756"/>
    <w:rsid w:val="00DC4817"/>
    <w:rsid w:val="00DC4B35"/>
    <w:rsid w:val="00DC504E"/>
    <w:rsid w:val="00DC521A"/>
    <w:rsid w:val="00DC5254"/>
    <w:rsid w:val="00DC5625"/>
    <w:rsid w:val="00DC5B7D"/>
    <w:rsid w:val="00DC5C29"/>
    <w:rsid w:val="00DC5DB2"/>
    <w:rsid w:val="00DC604B"/>
    <w:rsid w:val="00DC62AE"/>
    <w:rsid w:val="00DC6379"/>
    <w:rsid w:val="00DC653B"/>
    <w:rsid w:val="00DC6728"/>
    <w:rsid w:val="00DC6BDB"/>
    <w:rsid w:val="00DC6DEE"/>
    <w:rsid w:val="00DC6F6C"/>
    <w:rsid w:val="00DC6F6E"/>
    <w:rsid w:val="00DC7157"/>
    <w:rsid w:val="00DC7259"/>
    <w:rsid w:val="00DC7616"/>
    <w:rsid w:val="00DC76A1"/>
    <w:rsid w:val="00DC7820"/>
    <w:rsid w:val="00DC7834"/>
    <w:rsid w:val="00DC783D"/>
    <w:rsid w:val="00DC784F"/>
    <w:rsid w:val="00DC7B11"/>
    <w:rsid w:val="00DC7CC0"/>
    <w:rsid w:val="00DD007C"/>
    <w:rsid w:val="00DD0108"/>
    <w:rsid w:val="00DD0144"/>
    <w:rsid w:val="00DD0872"/>
    <w:rsid w:val="00DD0B20"/>
    <w:rsid w:val="00DD0E29"/>
    <w:rsid w:val="00DD0EC7"/>
    <w:rsid w:val="00DD17D6"/>
    <w:rsid w:val="00DD1950"/>
    <w:rsid w:val="00DD2006"/>
    <w:rsid w:val="00DD2049"/>
    <w:rsid w:val="00DD20E5"/>
    <w:rsid w:val="00DD21AC"/>
    <w:rsid w:val="00DD357A"/>
    <w:rsid w:val="00DD36DC"/>
    <w:rsid w:val="00DD37AD"/>
    <w:rsid w:val="00DD3839"/>
    <w:rsid w:val="00DD3885"/>
    <w:rsid w:val="00DD38DA"/>
    <w:rsid w:val="00DD3A16"/>
    <w:rsid w:val="00DD3B44"/>
    <w:rsid w:val="00DD3D99"/>
    <w:rsid w:val="00DD405C"/>
    <w:rsid w:val="00DD4124"/>
    <w:rsid w:val="00DD48D6"/>
    <w:rsid w:val="00DD4DCA"/>
    <w:rsid w:val="00DD4F3F"/>
    <w:rsid w:val="00DD55E8"/>
    <w:rsid w:val="00DD5663"/>
    <w:rsid w:val="00DD57AE"/>
    <w:rsid w:val="00DD58DD"/>
    <w:rsid w:val="00DD593E"/>
    <w:rsid w:val="00DD5D81"/>
    <w:rsid w:val="00DD5E94"/>
    <w:rsid w:val="00DD60E1"/>
    <w:rsid w:val="00DD631A"/>
    <w:rsid w:val="00DD67F2"/>
    <w:rsid w:val="00DD698D"/>
    <w:rsid w:val="00DD6DCC"/>
    <w:rsid w:val="00DD6E76"/>
    <w:rsid w:val="00DD7750"/>
    <w:rsid w:val="00DD7A5B"/>
    <w:rsid w:val="00DD7AC0"/>
    <w:rsid w:val="00DD7D7D"/>
    <w:rsid w:val="00DD7E65"/>
    <w:rsid w:val="00DD7FF5"/>
    <w:rsid w:val="00DE00CE"/>
    <w:rsid w:val="00DE0878"/>
    <w:rsid w:val="00DE0CC7"/>
    <w:rsid w:val="00DE12C5"/>
    <w:rsid w:val="00DE1891"/>
    <w:rsid w:val="00DE1DEC"/>
    <w:rsid w:val="00DE1EE5"/>
    <w:rsid w:val="00DE202D"/>
    <w:rsid w:val="00DE21E6"/>
    <w:rsid w:val="00DE24A1"/>
    <w:rsid w:val="00DE2C91"/>
    <w:rsid w:val="00DE2F08"/>
    <w:rsid w:val="00DE3809"/>
    <w:rsid w:val="00DE38D3"/>
    <w:rsid w:val="00DE3950"/>
    <w:rsid w:val="00DE3A42"/>
    <w:rsid w:val="00DE3A4A"/>
    <w:rsid w:val="00DE3AFD"/>
    <w:rsid w:val="00DE3C77"/>
    <w:rsid w:val="00DE3CCE"/>
    <w:rsid w:val="00DE3E8B"/>
    <w:rsid w:val="00DE3EFA"/>
    <w:rsid w:val="00DE4170"/>
    <w:rsid w:val="00DE4689"/>
    <w:rsid w:val="00DE47FA"/>
    <w:rsid w:val="00DE4B08"/>
    <w:rsid w:val="00DE4C41"/>
    <w:rsid w:val="00DE4F6A"/>
    <w:rsid w:val="00DE4F98"/>
    <w:rsid w:val="00DE5030"/>
    <w:rsid w:val="00DE5072"/>
    <w:rsid w:val="00DE5577"/>
    <w:rsid w:val="00DE569F"/>
    <w:rsid w:val="00DE5E51"/>
    <w:rsid w:val="00DE660D"/>
    <w:rsid w:val="00DE6687"/>
    <w:rsid w:val="00DE6726"/>
    <w:rsid w:val="00DE6829"/>
    <w:rsid w:val="00DE6831"/>
    <w:rsid w:val="00DE6CF5"/>
    <w:rsid w:val="00DE6D9F"/>
    <w:rsid w:val="00DE6E6A"/>
    <w:rsid w:val="00DE7293"/>
    <w:rsid w:val="00DE72BC"/>
    <w:rsid w:val="00DE73CB"/>
    <w:rsid w:val="00DE7415"/>
    <w:rsid w:val="00DE7A21"/>
    <w:rsid w:val="00DE7B14"/>
    <w:rsid w:val="00DE7ED1"/>
    <w:rsid w:val="00DF0068"/>
    <w:rsid w:val="00DF01D1"/>
    <w:rsid w:val="00DF044B"/>
    <w:rsid w:val="00DF088C"/>
    <w:rsid w:val="00DF0983"/>
    <w:rsid w:val="00DF0A07"/>
    <w:rsid w:val="00DF0AA5"/>
    <w:rsid w:val="00DF1500"/>
    <w:rsid w:val="00DF1BBC"/>
    <w:rsid w:val="00DF1BEA"/>
    <w:rsid w:val="00DF1D0C"/>
    <w:rsid w:val="00DF202F"/>
    <w:rsid w:val="00DF229A"/>
    <w:rsid w:val="00DF282B"/>
    <w:rsid w:val="00DF288F"/>
    <w:rsid w:val="00DF2EE8"/>
    <w:rsid w:val="00DF3134"/>
    <w:rsid w:val="00DF3311"/>
    <w:rsid w:val="00DF3694"/>
    <w:rsid w:val="00DF39D1"/>
    <w:rsid w:val="00DF3F00"/>
    <w:rsid w:val="00DF4404"/>
    <w:rsid w:val="00DF444C"/>
    <w:rsid w:val="00DF44B7"/>
    <w:rsid w:val="00DF49AC"/>
    <w:rsid w:val="00DF513C"/>
    <w:rsid w:val="00DF5C74"/>
    <w:rsid w:val="00DF606A"/>
    <w:rsid w:val="00DF6073"/>
    <w:rsid w:val="00DF676A"/>
    <w:rsid w:val="00DF6AC5"/>
    <w:rsid w:val="00DF6B1C"/>
    <w:rsid w:val="00DF6F61"/>
    <w:rsid w:val="00DF7416"/>
    <w:rsid w:val="00DF770C"/>
    <w:rsid w:val="00DF784A"/>
    <w:rsid w:val="00E00199"/>
    <w:rsid w:val="00E0041E"/>
    <w:rsid w:val="00E00474"/>
    <w:rsid w:val="00E00633"/>
    <w:rsid w:val="00E00655"/>
    <w:rsid w:val="00E00669"/>
    <w:rsid w:val="00E007AB"/>
    <w:rsid w:val="00E008D2"/>
    <w:rsid w:val="00E00A1B"/>
    <w:rsid w:val="00E00A31"/>
    <w:rsid w:val="00E00D32"/>
    <w:rsid w:val="00E00D6F"/>
    <w:rsid w:val="00E012D7"/>
    <w:rsid w:val="00E0135E"/>
    <w:rsid w:val="00E018A9"/>
    <w:rsid w:val="00E01AFB"/>
    <w:rsid w:val="00E01F2C"/>
    <w:rsid w:val="00E022C6"/>
    <w:rsid w:val="00E0284C"/>
    <w:rsid w:val="00E0284F"/>
    <w:rsid w:val="00E0297D"/>
    <w:rsid w:val="00E02A0F"/>
    <w:rsid w:val="00E02D92"/>
    <w:rsid w:val="00E02F90"/>
    <w:rsid w:val="00E036C9"/>
    <w:rsid w:val="00E036D1"/>
    <w:rsid w:val="00E03ECC"/>
    <w:rsid w:val="00E044C9"/>
    <w:rsid w:val="00E04743"/>
    <w:rsid w:val="00E04869"/>
    <w:rsid w:val="00E04941"/>
    <w:rsid w:val="00E05288"/>
    <w:rsid w:val="00E05302"/>
    <w:rsid w:val="00E053D7"/>
    <w:rsid w:val="00E06390"/>
    <w:rsid w:val="00E064CD"/>
    <w:rsid w:val="00E06653"/>
    <w:rsid w:val="00E06737"/>
    <w:rsid w:val="00E069A1"/>
    <w:rsid w:val="00E06A72"/>
    <w:rsid w:val="00E07053"/>
    <w:rsid w:val="00E070C2"/>
    <w:rsid w:val="00E0730D"/>
    <w:rsid w:val="00E074FF"/>
    <w:rsid w:val="00E07A6D"/>
    <w:rsid w:val="00E07A8E"/>
    <w:rsid w:val="00E07AEC"/>
    <w:rsid w:val="00E07D17"/>
    <w:rsid w:val="00E101C6"/>
    <w:rsid w:val="00E10779"/>
    <w:rsid w:val="00E10934"/>
    <w:rsid w:val="00E10DAB"/>
    <w:rsid w:val="00E11111"/>
    <w:rsid w:val="00E114AD"/>
    <w:rsid w:val="00E11578"/>
    <w:rsid w:val="00E11829"/>
    <w:rsid w:val="00E118A1"/>
    <w:rsid w:val="00E118A9"/>
    <w:rsid w:val="00E11F7A"/>
    <w:rsid w:val="00E1211E"/>
    <w:rsid w:val="00E12252"/>
    <w:rsid w:val="00E122D7"/>
    <w:rsid w:val="00E12315"/>
    <w:rsid w:val="00E125A3"/>
    <w:rsid w:val="00E12B60"/>
    <w:rsid w:val="00E12C33"/>
    <w:rsid w:val="00E12F66"/>
    <w:rsid w:val="00E13046"/>
    <w:rsid w:val="00E1318C"/>
    <w:rsid w:val="00E13FF9"/>
    <w:rsid w:val="00E14055"/>
    <w:rsid w:val="00E140A4"/>
    <w:rsid w:val="00E14625"/>
    <w:rsid w:val="00E146C1"/>
    <w:rsid w:val="00E14833"/>
    <w:rsid w:val="00E14D3A"/>
    <w:rsid w:val="00E14D6A"/>
    <w:rsid w:val="00E14EE3"/>
    <w:rsid w:val="00E15763"/>
    <w:rsid w:val="00E158FE"/>
    <w:rsid w:val="00E15BD5"/>
    <w:rsid w:val="00E15D6F"/>
    <w:rsid w:val="00E1631F"/>
    <w:rsid w:val="00E166CC"/>
    <w:rsid w:val="00E16BF7"/>
    <w:rsid w:val="00E16DA5"/>
    <w:rsid w:val="00E17380"/>
    <w:rsid w:val="00E174B0"/>
    <w:rsid w:val="00E175DD"/>
    <w:rsid w:val="00E17A1E"/>
    <w:rsid w:val="00E17BC5"/>
    <w:rsid w:val="00E17CC5"/>
    <w:rsid w:val="00E17D57"/>
    <w:rsid w:val="00E17D65"/>
    <w:rsid w:val="00E17EF3"/>
    <w:rsid w:val="00E17F0E"/>
    <w:rsid w:val="00E2025D"/>
    <w:rsid w:val="00E2049D"/>
    <w:rsid w:val="00E207D7"/>
    <w:rsid w:val="00E20DE1"/>
    <w:rsid w:val="00E212B3"/>
    <w:rsid w:val="00E219B7"/>
    <w:rsid w:val="00E21AD1"/>
    <w:rsid w:val="00E21EF8"/>
    <w:rsid w:val="00E224B6"/>
    <w:rsid w:val="00E225F8"/>
    <w:rsid w:val="00E2267E"/>
    <w:rsid w:val="00E227B2"/>
    <w:rsid w:val="00E22A10"/>
    <w:rsid w:val="00E22D51"/>
    <w:rsid w:val="00E22E39"/>
    <w:rsid w:val="00E230E7"/>
    <w:rsid w:val="00E231CD"/>
    <w:rsid w:val="00E23C8F"/>
    <w:rsid w:val="00E2417B"/>
    <w:rsid w:val="00E24B1F"/>
    <w:rsid w:val="00E24BD1"/>
    <w:rsid w:val="00E24C0C"/>
    <w:rsid w:val="00E25148"/>
    <w:rsid w:val="00E251D1"/>
    <w:rsid w:val="00E25223"/>
    <w:rsid w:val="00E25710"/>
    <w:rsid w:val="00E2574D"/>
    <w:rsid w:val="00E257DA"/>
    <w:rsid w:val="00E257E4"/>
    <w:rsid w:val="00E258AD"/>
    <w:rsid w:val="00E25994"/>
    <w:rsid w:val="00E25AE2"/>
    <w:rsid w:val="00E25C07"/>
    <w:rsid w:val="00E25CF7"/>
    <w:rsid w:val="00E25E86"/>
    <w:rsid w:val="00E26490"/>
    <w:rsid w:val="00E264C8"/>
    <w:rsid w:val="00E267DD"/>
    <w:rsid w:val="00E26825"/>
    <w:rsid w:val="00E26FD9"/>
    <w:rsid w:val="00E27317"/>
    <w:rsid w:val="00E27503"/>
    <w:rsid w:val="00E2764F"/>
    <w:rsid w:val="00E27756"/>
    <w:rsid w:val="00E278A9"/>
    <w:rsid w:val="00E27C67"/>
    <w:rsid w:val="00E27DCD"/>
    <w:rsid w:val="00E27F38"/>
    <w:rsid w:val="00E30045"/>
    <w:rsid w:val="00E3056F"/>
    <w:rsid w:val="00E309D2"/>
    <w:rsid w:val="00E313DA"/>
    <w:rsid w:val="00E31969"/>
    <w:rsid w:val="00E319A2"/>
    <w:rsid w:val="00E31BF6"/>
    <w:rsid w:val="00E31C00"/>
    <w:rsid w:val="00E31C9B"/>
    <w:rsid w:val="00E31CCF"/>
    <w:rsid w:val="00E31D6C"/>
    <w:rsid w:val="00E31F33"/>
    <w:rsid w:val="00E32366"/>
    <w:rsid w:val="00E32530"/>
    <w:rsid w:val="00E32635"/>
    <w:rsid w:val="00E32787"/>
    <w:rsid w:val="00E32C04"/>
    <w:rsid w:val="00E32DC5"/>
    <w:rsid w:val="00E33240"/>
    <w:rsid w:val="00E33577"/>
    <w:rsid w:val="00E33687"/>
    <w:rsid w:val="00E336B7"/>
    <w:rsid w:val="00E33CDD"/>
    <w:rsid w:val="00E342D5"/>
    <w:rsid w:val="00E3436E"/>
    <w:rsid w:val="00E3444F"/>
    <w:rsid w:val="00E346EF"/>
    <w:rsid w:val="00E34C09"/>
    <w:rsid w:val="00E34E12"/>
    <w:rsid w:val="00E35242"/>
    <w:rsid w:val="00E3538A"/>
    <w:rsid w:val="00E35C85"/>
    <w:rsid w:val="00E35F1D"/>
    <w:rsid w:val="00E3623E"/>
    <w:rsid w:val="00E36618"/>
    <w:rsid w:val="00E36779"/>
    <w:rsid w:val="00E36A65"/>
    <w:rsid w:val="00E36CD4"/>
    <w:rsid w:val="00E36F60"/>
    <w:rsid w:val="00E37347"/>
    <w:rsid w:val="00E373E6"/>
    <w:rsid w:val="00E37C82"/>
    <w:rsid w:val="00E37DE6"/>
    <w:rsid w:val="00E40021"/>
    <w:rsid w:val="00E4041E"/>
    <w:rsid w:val="00E4056E"/>
    <w:rsid w:val="00E40D59"/>
    <w:rsid w:val="00E40E38"/>
    <w:rsid w:val="00E40E6C"/>
    <w:rsid w:val="00E40EED"/>
    <w:rsid w:val="00E413AD"/>
    <w:rsid w:val="00E415A0"/>
    <w:rsid w:val="00E415BA"/>
    <w:rsid w:val="00E415FB"/>
    <w:rsid w:val="00E4189A"/>
    <w:rsid w:val="00E41985"/>
    <w:rsid w:val="00E41B21"/>
    <w:rsid w:val="00E41E79"/>
    <w:rsid w:val="00E42030"/>
    <w:rsid w:val="00E42031"/>
    <w:rsid w:val="00E42178"/>
    <w:rsid w:val="00E426D6"/>
    <w:rsid w:val="00E427F8"/>
    <w:rsid w:val="00E429D4"/>
    <w:rsid w:val="00E429F6"/>
    <w:rsid w:val="00E42EDA"/>
    <w:rsid w:val="00E438D6"/>
    <w:rsid w:val="00E43C65"/>
    <w:rsid w:val="00E448E1"/>
    <w:rsid w:val="00E44934"/>
    <w:rsid w:val="00E44A0D"/>
    <w:rsid w:val="00E44A22"/>
    <w:rsid w:val="00E44A9A"/>
    <w:rsid w:val="00E44AC4"/>
    <w:rsid w:val="00E44CCF"/>
    <w:rsid w:val="00E44EE3"/>
    <w:rsid w:val="00E4501A"/>
    <w:rsid w:val="00E4540C"/>
    <w:rsid w:val="00E4552D"/>
    <w:rsid w:val="00E456BF"/>
    <w:rsid w:val="00E459BB"/>
    <w:rsid w:val="00E45C48"/>
    <w:rsid w:val="00E45E42"/>
    <w:rsid w:val="00E4627B"/>
    <w:rsid w:val="00E46452"/>
    <w:rsid w:val="00E466F8"/>
    <w:rsid w:val="00E46CCC"/>
    <w:rsid w:val="00E46DF2"/>
    <w:rsid w:val="00E5002C"/>
    <w:rsid w:val="00E505E2"/>
    <w:rsid w:val="00E5089C"/>
    <w:rsid w:val="00E508E0"/>
    <w:rsid w:val="00E508F8"/>
    <w:rsid w:val="00E50D76"/>
    <w:rsid w:val="00E50DD5"/>
    <w:rsid w:val="00E50E7C"/>
    <w:rsid w:val="00E51036"/>
    <w:rsid w:val="00E51167"/>
    <w:rsid w:val="00E51179"/>
    <w:rsid w:val="00E51545"/>
    <w:rsid w:val="00E517D9"/>
    <w:rsid w:val="00E51C5E"/>
    <w:rsid w:val="00E51D65"/>
    <w:rsid w:val="00E51D9E"/>
    <w:rsid w:val="00E51DE6"/>
    <w:rsid w:val="00E51EBB"/>
    <w:rsid w:val="00E52176"/>
    <w:rsid w:val="00E52181"/>
    <w:rsid w:val="00E52202"/>
    <w:rsid w:val="00E522F7"/>
    <w:rsid w:val="00E5236C"/>
    <w:rsid w:val="00E52CC1"/>
    <w:rsid w:val="00E5310D"/>
    <w:rsid w:val="00E531BC"/>
    <w:rsid w:val="00E532E3"/>
    <w:rsid w:val="00E5334F"/>
    <w:rsid w:val="00E534FF"/>
    <w:rsid w:val="00E5362C"/>
    <w:rsid w:val="00E537C5"/>
    <w:rsid w:val="00E537D1"/>
    <w:rsid w:val="00E53DB6"/>
    <w:rsid w:val="00E53F37"/>
    <w:rsid w:val="00E54289"/>
    <w:rsid w:val="00E54291"/>
    <w:rsid w:val="00E551AC"/>
    <w:rsid w:val="00E553A6"/>
    <w:rsid w:val="00E5541A"/>
    <w:rsid w:val="00E55B48"/>
    <w:rsid w:val="00E56098"/>
    <w:rsid w:val="00E5626B"/>
    <w:rsid w:val="00E567E6"/>
    <w:rsid w:val="00E568BE"/>
    <w:rsid w:val="00E56971"/>
    <w:rsid w:val="00E570C8"/>
    <w:rsid w:val="00E57AFF"/>
    <w:rsid w:val="00E57B3E"/>
    <w:rsid w:val="00E57BF6"/>
    <w:rsid w:val="00E57F4E"/>
    <w:rsid w:val="00E60242"/>
    <w:rsid w:val="00E6026B"/>
    <w:rsid w:val="00E606D7"/>
    <w:rsid w:val="00E60B0C"/>
    <w:rsid w:val="00E60B25"/>
    <w:rsid w:val="00E60E2E"/>
    <w:rsid w:val="00E6123B"/>
    <w:rsid w:val="00E61484"/>
    <w:rsid w:val="00E615C7"/>
    <w:rsid w:val="00E617AC"/>
    <w:rsid w:val="00E618E3"/>
    <w:rsid w:val="00E61B5B"/>
    <w:rsid w:val="00E61F50"/>
    <w:rsid w:val="00E61FE4"/>
    <w:rsid w:val="00E624C0"/>
    <w:rsid w:val="00E625AD"/>
    <w:rsid w:val="00E62677"/>
    <w:rsid w:val="00E627C3"/>
    <w:rsid w:val="00E62920"/>
    <w:rsid w:val="00E62B99"/>
    <w:rsid w:val="00E62F6B"/>
    <w:rsid w:val="00E63072"/>
    <w:rsid w:val="00E63267"/>
    <w:rsid w:val="00E63A42"/>
    <w:rsid w:val="00E64097"/>
    <w:rsid w:val="00E64225"/>
    <w:rsid w:val="00E643C9"/>
    <w:rsid w:val="00E6441F"/>
    <w:rsid w:val="00E6445B"/>
    <w:rsid w:val="00E64A91"/>
    <w:rsid w:val="00E64C41"/>
    <w:rsid w:val="00E64D52"/>
    <w:rsid w:val="00E6519D"/>
    <w:rsid w:val="00E6583D"/>
    <w:rsid w:val="00E65997"/>
    <w:rsid w:val="00E65A58"/>
    <w:rsid w:val="00E65D3F"/>
    <w:rsid w:val="00E660E5"/>
    <w:rsid w:val="00E661EC"/>
    <w:rsid w:val="00E66541"/>
    <w:rsid w:val="00E665A6"/>
    <w:rsid w:val="00E66B4E"/>
    <w:rsid w:val="00E66CDA"/>
    <w:rsid w:val="00E66F2B"/>
    <w:rsid w:val="00E672D6"/>
    <w:rsid w:val="00E6793F"/>
    <w:rsid w:val="00E67BD8"/>
    <w:rsid w:val="00E67CEC"/>
    <w:rsid w:val="00E70AEA"/>
    <w:rsid w:val="00E7105C"/>
    <w:rsid w:val="00E71177"/>
    <w:rsid w:val="00E711D7"/>
    <w:rsid w:val="00E713A5"/>
    <w:rsid w:val="00E713BE"/>
    <w:rsid w:val="00E71500"/>
    <w:rsid w:val="00E716A4"/>
    <w:rsid w:val="00E71DEF"/>
    <w:rsid w:val="00E72135"/>
    <w:rsid w:val="00E723C2"/>
    <w:rsid w:val="00E72693"/>
    <w:rsid w:val="00E72C48"/>
    <w:rsid w:val="00E72D5C"/>
    <w:rsid w:val="00E734F7"/>
    <w:rsid w:val="00E736BC"/>
    <w:rsid w:val="00E73B14"/>
    <w:rsid w:val="00E73B4C"/>
    <w:rsid w:val="00E73C44"/>
    <w:rsid w:val="00E73CF9"/>
    <w:rsid w:val="00E73F39"/>
    <w:rsid w:val="00E74035"/>
    <w:rsid w:val="00E7419D"/>
    <w:rsid w:val="00E74287"/>
    <w:rsid w:val="00E74498"/>
    <w:rsid w:val="00E747FB"/>
    <w:rsid w:val="00E74942"/>
    <w:rsid w:val="00E74BE0"/>
    <w:rsid w:val="00E74E40"/>
    <w:rsid w:val="00E75646"/>
    <w:rsid w:val="00E756FF"/>
    <w:rsid w:val="00E75BAB"/>
    <w:rsid w:val="00E75D53"/>
    <w:rsid w:val="00E75E9B"/>
    <w:rsid w:val="00E7620E"/>
    <w:rsid w:val="00E762F0"/>
    <w:rsid w:val="00E76698"/>
    <w:rsid w:val="00E76CAA"/>
    <w:rsid w:val="00E76CEA"/>
    <w:rsid w:val="00E76F04"/>
    <w:rsid w:val="00E76F75"/>
    <w:rsid w:val="00E774D6"/>
    <w:rsid w:val="00E77A9F"/>
    <w:rsid w:val="00E77B2E"/>
    <w:rsid w:val="00E80550"/>
    <w:rsid w:val="00E80890"/>
    <w:rsid w:val="00E815E1"/>
    <w:rsid w:val="00E8168C"/>
    <w:rsid w:val="00E81B4F"/>
    <w:rsid w:val="00E81BFC"/>
    <w:rsid w:val="00E81C01"/>
    <w:rsid w:val="00E81F91"/>
    <w:rsid w:val="00E82176"/>
    <w:rsid w:val="00E82BCB"/>
    <w:rsid w:val="00E82C63"/>
    <w:rsid w:val="00E82CBE"/>
    <w:rsid w:val="00E82D97"/>
    <w:rsid w:val="00E83499"/>
    <w:rsid w:val="00E83718"/>
    <w:rsid w:val="00E83A80"/>
    <w:rsid w:val="00E83BBC"/>
    <w:rsid w:val="00E83C3F"/>
    <w:rsid w:val="00E83D4C"/>
    <w:rsid w:val="00E83E17"/>
    <w:rsid w:val="00E84130"/>
    <w:rsid w:val="00E844DB"/>
    <w:rsid w:val="00E84652"/>
    <w:rsid w:val="00E8482C"/>
    <w:rsid w:val="00E84B21"/>
    <w:rsid w:val="00E84D03"/>
    <w:rsid w:val="00E85880"/>
    <w:rsid w:val="00E860AB"/>
    <w:rsid w:val="00E86165"/>
    <w:rsid w:val="00E863D9"/>
    <w:rsid w:val="00E8659C"/>
    <w:rsid w:val="00E86754"/>
    <w:rsid w:val="00E86F6B"/>
    <w:rsid w:val="00E8733E"/>
    <w:rsid w:val="00E87355"/>
    <w:rsid w:val="00E87A88"/>
    <w:rsid w:val="00E87E6D"/>
    <w:rsid w:val="00E902B0"/>
    <w:rsid w:val="00E902E8"/>
    <w:rsid w:val="00E904A7"/>
    <w:rsid w:val="00E90772"/>
    <w:rsid w:val="00E90C30"/>
    <w:rsid w:val="00E90CCA"/>
    <w:rsid w:val="00E91030"/>
    <w:rsid w:val="00E9111E"/>
    <w:rsid w:val="00E914D2"/>
    <w:rsid w:val="00E91731"/>
    <w:rsid w:val="00E917B7"/>
    <w:rsid w:val="00E9185F"/>
    <w:rsid w:val="00E9195A"/>
    <w:rsid w:val="00E91C5F"/>
    <w:rsid w:val="00E91EA4"/>
    <w:rsid w:val="00E91FF2"/>
    <w:rsid w:val="00E92230"/>
    <w:rsid w:val="00E926A9"/>
    <w:rsid w:val="00E92CC4"/>
    <w:rsid w:val="00E933D5"/>
    <w:rsid w:val="00E93619"/>
    <w:rsid w:val="00E93C28"/>
    <w:rsid w:val="00E93C94"/>
    <w:rsid w:val="00E94287"/>
    <w:rsid w:val="00E942CD"/>
    <w:rsid w:val="00E942E7"/>
    <w:rsid w:val="00E945E3"/>
    <w:rsid w:val="00E94689"/>
    <w:rsid w:val="00E9471B"/>
    <w:rsid w:val="00E94A3E"/>
    <w:rsid w:val="00E94B18"/>
    <w:rsid w:val="00E94DD8"/>
    <w:rsid w:val="00E9564A"/>
    <w:rsid w:val="00E95733"/>
    <w:rsid w:val="00E95CBE"/>
    <w:rsid w:val="00E95E78"/>
    <w:rsid w:val="00E95EAA"/>
    <w:rsid w:val="00E96299"/>
    <w:rsid w:val="00E96573"/>
    <w:rsid w:val="00E966E5"/>
    <w:rsid w:val="00E96B81"/>
    <w:rsid w:val="00E96E10"/>
    <w:rsid w:val="00E97246"/>
    <w:rsid w:val="00E975A6"/>
    <w:rsid w:val="00E97687"/>
    <w:rsid w:val="00E9795C"/>
    <w:rsid w:val="00E97A3C"/>
    <w:rsid w:val="00EA0666"/>
    <w:rsid w:val="00EA0BD4"/>
    <w:rsid w:val="00EA1A83"/>
    <w:rsid w:val="00EA1C02"/>
    <w:rsid w:val="00EA1C82"/>
    <w:rsid w:val="00EA2377"/>
    <w:rsid w:val="00EA23AC"/>
    <w:rsid w:val="00EA2547"/>
    <w:rsid w:val="00EA2B3A"/>
    <w:rsid w:val="00EA2B8F"/>
    <w:rsid w:val="00EA2CB1"/>
    <w:rsid w:val="00EA2E8D"/>
    <w:rsid w:val="00EA2FF5"/>
    <w:rsid w:val="00EA312F"/>
    <w:rsid w:val="00EA330F"/>
    <w:rsid w:val="00EA36E1"/>
    <w:rsid w:val="00EA39F7"/>
    <w:rsid w:val="00EA3E11"/>
    <w:rsid w:val="00EA3FAF"/>
    <w:rsid w:val="00EA459A"/>
    <w:rsid w:val="00EA4C0E"/>
    <w:rsid w:val="00EA4C2D"/>
    <w:rsid w:val="00EA55FD"/>
    <w:rsid w:val="00EA57B0"/>
    <w:rsid w:val="00EA5A77"/>
    <w:rsid w:val="00EA5AD4"/>
    <w:rsid w:val="00EA6151"/>
    <w:rsid w:val="00EA657B"/>
    <w:rsid w:val="00EA7131"/>
    <w:rsid w:val="00EA74F0"/>
    <w:rsid w:val="00EA7A14"/>
    <w:rsid w:val="00EA7B63"/>
    <w:rsid w:val="00EA7C3D"/>
    <w:rsid w:val="00EA7DD1"/>
    <w:rsid w:val="00EB0024"/>
    <w:rsid w:val="00EB0C35"/>
    <w:rsid w:val="00EB0E1D"/>
    <w:rsid w:val="00EB156F"/>
    <w:rsid w:val="00EB1867"/>
    <w:rsid w:val="00EB1AAF"/>
    <w:rsid w:val="00EB2128"/>
    <w:rsid w:val="00EB2190"/>
    <w:rsid w:val="00EB24A8"/>
    <w:rsid w:val="00EB25C9"/>
    <w:rsid w:val="00EB2738"/>
    <w:rsid w:val="00EB27A0"/>
    <w:rsid w:val="00EB32CA"/>
    <w:rsid w:val="00EB34E9"/>
    <w:rsid w:val="00EB36A1"/>
    <w:rsid w:val="00EB38B8"/>
    <w:rsid w:val="00EB3DFD"/>
    <w:rsid w:val="00EB4287"/>
    <w:rsid w:val="00EB43AD"/>
    <w:rsid w:val="00EB43BC"/>
    <w:rsid w:val="00EB47E1"/>
    <w:rsid w:val="00EB4AF2"/>
    <w:rsid w:val="00EB4C95"/>
    <w:rsid w:val="00EB58AF"/>
    <w:rsid w:val="00EB5B2B"/>
    <w:rsid w:val="00EB5F42"/>
    <w:rsid w:val="00EB5FBE"/>
    <w:rsid w:val="00EB6878"/>
    <w:rsid w:val="00EB6981"/>
    <w:rsid w:val="00EB6A1F"/>
    <w:rsid w:val="00EB6E21"/>
    <w:rsid w:val="00EB6F1D"/>
    <w:rsid w:val="00EB6FC8"/>
    <w:rsid w:val="00EB72EA"/>
    <w:rsid w:val="00EB74A4"/>
    <w:rsid w:val="00EB7507"/>
    <w:rsid w:val="00EB779E"/>
    <w:rsid w:val="00EB7AE7"/>
    <w:rsid w:val="00EB7BF3"/>
    <w:rsid w:val="00EB7E2B"/>
    <w:rsid w:val="00EC00AE"/>
    <w:rsid w:val="00EC0492"/>
    <w:rsid w:val="00EC0580"/>
    <w:rsid w:val="00EC084E"/>
    <w:rsid w:val="00EC0918"/>
    <w:rsid w:val="00EC0979"/>
    <w:rsid w:val="00EC0B1A"/>
    <w:rsid w:val="00EC10B5"/>
    <w:rsid w:val="00EC1844"/>
    <w:rsid w:val="00EC1864"/>
    <w:rsid w:val="00EC1D1A"/>
    <w:rsid w:val="00EC1E0E"/>
    <w:rsid w:val="00EC225B"/>
    <w:rsid w:val="00EC2320"/>
    <w:rsid w:val="00EC234D"/>
    <w:rsid w:val="00EC236D"/>
    <w:rsid w:val="00EC289B"/>
    <w:rsid w:val="00EC2C0F"/>
    <w:rsid w:val="00EC3036"/>
    <w:rsid w:val="00EC3286"/>
    <w:rsid w:val="00EC36F8"/>
    <w:rsid w:val="00EC39AE"/>
    <w:rsid w:val="00EC3CE6"/>
    <w:rsid w:val="00EC3E3B"/>
    <w:rsid w:val="00EC40EF"/>
    <w:rsid w:val="00EC4244"/>
    <w:rsid w:val="00EC44C2"/>
    <w:rsid w:val="00EC455D"/>
    <w:rsid w:val="00EC4AA2"/>
    <w:rsid w:val="00EC4B0A"/>
    <w:rsid w:val="00EC4BB4"/>
    <w:rsid w:val="00EC520A"/>
    <w:rsid w:val="00EC52C8"/>
    <w:rsid w:val="00EC54FB"/>
    <w:rsid w:val="00EC5500"/>
    <w:rsid w:val="00EC5676"/>
    <w:rsid w:val="00EC56D4"/>
    <w:rsid w:val="00EC580A"/>
    <w:rsid w:val="00EC58A0"/>
    <w:rsid w:val="00EC5BEB"/>
    <w:rsid w:val="00EC6241"/>
    <w:rsid w:val="00EC6242"/>
    <w:rsid w:val="00EC6762"/>
    <w:rsid w:val="00EC6823"/>
    <w:rsid w:val="00EC6B16"/>
    <w:rsid w:val="00EC6D30"/>
    <w:rsid w:val="00EC6F98"/>
    <w:rsid w:val="00EC71EE"/>
    <w:rsid w:val="00EC7333"/>
    <w:rsid w:val="00EC7458"/>
    <w:rsid w:val="00EC77B2"/>
    <w:rsid w:val="00EC7844"/>
    <w:rsid w:val="00EC7A91"/>
    <w:rsid w:val="00EC7F2F"/>
    <w:rsid w:val="00ED027F"/>
    <w:rsid w:val="00ED0713"/>
    <w:rsid w:val="00ED097C"/>
    <w:rsid w:val="00ED0AB7"/>
    <w:rsid w:val="00ED0B20"/>
    <w:rsid w:val="00ED0F97"/>
    <w:rsid w:val="00ED1235"/>
    <w:rsid w:val="00ED129B"/>
    <w:rsid w:val="00ED1423"/>
    <w:rsid w:val="00ED142B"/>
    <w:rsid w:val="00ED1893"/>
    <w:rsid w:val="00ED1A37"/>
    <w:rsid w:val="00ED1D9F"/>
    <w:rsid w:val="00ED1E93"/>
    <w:rsid w:val="00ED21E3"/>
    <w:rsid w:val="00ED2276"/>
    <w:rsid w:val="00ED2422"/>
    <w:rsid w:val="00ED2792"/>
    <w:rsid w:val="00ED2DF3"/>
    <w:rsid w:val="00ED2E0D"/>
    <w:rsid w:val="00ED3034"/>
    <w:rsid w:val="00ED3193"/>
    <w:rsid w:val="00ED342F"/>
    <w:rsid w:val="00ED3BF3"/>
    <w:rsid w:val="00ED3E22"/>
    <w:rsid w:val="00ED4072"/>
    <w:rsid w:val="00ED43A4"/>
    <w:rsid w:val="00ED4D30"/>
    <w:rsid w:val="00ED4FD7"/>
    <w:rsid w:val="00ED50EE"/>
    <w:rsid w:val="00ED554B"/>
    <w:rsid w:val="00ED56D1"/>
    <w:rsid w:val="00ED5765"/>
    <w:rsid w:val="00ED5962"/>
    <w:rsid w:val="00ED5A61"/>
    <w:rsid w:val="00ED5A74"/>
    <w:rsid w:val="00ED5BDF"/>
    <w:rsid w:val="00ED5C80"/>
    <w:rsid w:val="00ED5D34"/>
    <w:rsid w:val="00ED5EB0"/>
    <w:rsid w:val="00ED61DE"/>
    <w:rsid w:val="00ED61F8"/>
    <w:rsid w:val="00ED679A"/>
    <w:rsid w:val="00ED73AA"/>
    <w:rsid w:val="00ED77A4"/>
    <w:rsid w:val="00ED77BD"/>
    <w:rsid w:val="00ED77FD"/>
    <w:rsid w:val="00ED7C32"/>
    <w:rsid w:val="00ED7D1B"/>
    <w:rsid w:val="00EE01BB"/>
    <w:rsid w:val="00EE0972"/>
    <w:rsid w:val="00EE0A4C"/>
    <w:rsid w:val="00EE126F"/>
    <w:rsid w:val="00EE1447"/>
    <w:rsid w:val="00EE19F5"/>
    <w:rsid w:val="00EE1B54"/>
    <w:rsid w:val="00EE1DEC"/>
    <w:rsid w:val="00EE2F09"/>
    <w:rsid w:val="00EE31D7"/>
    <w:rsid w:val="00EE391A"/>
    <w:rsid w:val="00EE3A12"/>
    <w:rsid w:val="00EE3B7B"/>
    <w:rsid w:val="00EE3C04"/>
    <w:rsid w:val="00EE3C2D"/>
    <w:rsid w:val="00EE43CD"/>
    <w:rsid w:val="00EE4470"/>
    <w:rsid w:val="00EE450E"/>
    <w:rsid w:val="00EE4A65"/>
    <w:rsid w:val="00EE4E33"/>
    <w:rsid w:val="00EE4E64"/>
    <w:rsid w:val="00EE52F3"/>
    <w:rsid w:val="00EE5556"/>
    <w:rsid w:val="00EE5701"/>
    <w:rsid w:val="00EE5A47"/>
    <w:rsid w:val="00EE5A82"/>
    <w:rsid w:val="00EE5E85"/>
    <w:rsid w:val="00EE5F2D"/>
    <w:rsid w:val="00EE5F6C"/>
    <w:rsid w:val="00EE61DB"/>
    <w:rsid w:val="00EE63C8"/>
    <w:rsid w:val="00EE640E"/>
    <w:rsid w:val="00EE64F2"/>
    <w:rsid w:val="00EE698A"/>
    <w:rsid w:val="00EE6B23"/>
    <w:rsid w:val="00EE6BE3"/>
    <w:rsid w:val="00EE6DA0"/>
    <w:rsid w:val="00EE74B4"/>
    <w:rsid w:val="00EE7E73"/>
    <w:rsid w:val="00EE7F6A"/>
    <w:rsid w:val="00EF0041"/>
    <w:rsid w:val="00EF0061"/>
    <w:rsid w:val="00EF075B"/>
    <w:rsid w:val="00EF0837"/>
    <w:rsid w:val="00EF1136"/>
    <w:rsid w:val="00EF145E"/>
    <w:rsid w:val="00EF1523"/>
    <w:rsid w:val="00EF189A"/>
    <w:rsid w:val="00EF1ADA"/>
    <w:rsid w:val="00EF22F0"/>
    <w:rsid w:val="00EF235D"/>
    <w:rsid w:val="00EF23D3"/>
    <w:rsid w:val="00EF2532"/>
    <w:rsid w:val="00EF29DF"/>
    <w:rsid w:val="00EF2B62"/>
    <w:rsid w:val="00EF2BBB"/>
    <w:rsid w:val="00EF2BEE"/>
    <w:rsid w:val="00EF33BB"/>
    <w:rsid w:val="00EF3538"/>
    <w:rsid w:val="00EF3632"/>
    <w:rsid w:val="00EF4000"/>
    <w:rsid w:val="00EF4201"/>
    <w:rsid w:val="00EF4A04"/>
    <w:rsid w:val="00EF4A9C"/>
    <w:rsid w:val="00EF4B19"/>
    <w:rsid w:val="00EF4D02"/>
    <w:rsid w:val="00EF50B6"/>
    <w:rsid w:val="00EF5755"/>
    <w:rsid w:val="00EF5AEF"/>
    <w:rsid w:val="00EF6512"/>
    <w:rsid w:val="00EF656F"/>
    <w:rsid w:val="00EF65CB"/>
    <w:rsid w:val="00EF6997"/>
    <w:rsid w:val="00EF6D27"/>
    <w:rsid w:val="00EF7061"/>
    <w:rsid w:val="00EF7141"/>
    <w:rsid w:val="00EF7153"/>
    <w:rsid w:val="00EF717E"/>
    <w:rsid w:val="00EF7496"/>
    <w:rsid w:val="00EF7506"/>
    <w:rsid w:val="00EF7837"/>
    <w:rsid w:val="00EF7963"/>
    <w:rsid w:val="00F00585"/>
    <w:rsid w:val="00F0082D"/>
    <w:rsid w:val="00F00CF6"/>
    <w:rsid w:val="00F00F04"/>
    <w:rsid w:val="00F00F91"/>
    <w:rsid w:val="00F010D7"/>
    <w:rsid w:val="00F015AB"/>
    <w:rsid w:val="00F015E8"/>
    <w:rsid w:val="00F01677"/>
    <w:rsid w:val="00F01A84"/>
    <w:rsid w:val="00F01BCF"/>
    <w:rsid w:val="00F01D6C"/>
    <w:rsid w:val="00F01FBE"/>
    <w:rsid w:val="00F022DC"/>
    <w:rsid w:val="00F022ED"/>
    <w:rsid w:val="00F023C1"/>
    <w:rsid w:val="00F026F4"/>
    <w:rsid w:val="00F027C8"/>
    <w:rsid w:val="00F02C38"/>
    <w:rsid w:val="00F02ED1"/>
    <w:rsid w:val="00F03810"/>
    <w:rsid w:val="00F0384F"/>
    <w:rsid w:val="00F03886"/>
    <w:rsid w:val="00F03B40"/>
    <w:rsid w:val="00F03E22"/>
    <w:rsid w:val="00F03E6B"/>
    <w:rsid w:val="00F0431B"/>
    <w:rsid w:val="00F043D4"/>
    <w:rsid w:val="00F043F1"/>
    <w:rsid w:val="00F04421"/>
    <w:rsid w:val="00F048AD"/>
    <w:rsid w:val="00F049BC"/>
    <w:rsid w:val="00F05B0A"/>
    <w:rsid w:val="00F05BBF"/>
    <w:rsid w:val="00F05F57"/>
    <w:rsid w:val="00F06276"/>
    <w:rsid w:val="00F06396"/>
    <w:rsid w:val="00F06C65"/>
    <w:rsid w:val="00F06D1F"/>
    <w:rsid w:val="00F06E4C"/>
    <w:rsid w:val="00F0714F"/>
    <w:rsid w:val="00F073A4"/>
    <w:rsid w:val="00F074D8"/>
    <w:rsid w:val="00F077A0"/>
    <w:rsid w:val="00F07917"/>
    <w:rsid w:val="00F079F3"/>
    <w:rsid w:val="00F07A3E"/>
    <w:rsid w:val="00F07C90"/>
    <w:rsid w:val="00F07D29"/>
    <w:rsid w:val="00F07E50"/>
    <w:rsid w:val="00F07F6A"/>
    <w:rsid w:val="00F100B7"/>
    <w:rsid w:val="00F1018D"/>
    <w:rsid w:val="00F103CB"/>
    <w:rsid w:val="00F10FFF"/>
    <w:rsid w:val="00F1112E"/>
    <w:rsid w:val="00F11175"/>
    <w:rsid w:val="00F12055"/>
    <w:rsid w:val="00F12204"/>
    <w:rsid w:val="00F12A74"/>
    <w:rsid w:val="00F12F0D"/>
    <w:rsid w:val="00F13080"/>
    <w:rsid w:val="00F13299"/>
    <w:rsid w:val="00F133EE"/>
    <w:rsid w:val="00F137B0"/>
    <w:rsid w:val="00F1381F"/>
    <w:rsid w:val="00F138A3"/>
    <w:rsid w:val="00F13A0A"/>
    <w:rsid w:val="00F13B08"/>
    <w:rsid w:val="00F13D95"/>
    <w:rsid w:val="00F147D7"/>
    <w:rsid w:val="00F1480D"/>
    <w:rsid w:val="00F1491F"/>
    <w:rsid w:val="00F14923"/>
    <w:rsid w:val="00F14E7A"/>
    <w:rsid w:val="00F15032"/>
    <w:rsid w:val="00F1508D"/>
    <w:rsid w:val="00F15171"/>
    <w:rsid w:val="00F154C0"/>
    <w:rsid w:val="00F15587"/>
    <w:rsid w:val="00F15669"/>
    <w:rsid w:val="00F15908"/>
    <w:rsid w:val="00F15C31"/>
    <w:rsid w:val="00F15DAF"/>
    <w:rsid w:val="00F15FFD"/>
    <w:rsid w:val="00F16028"/>
    <w:rsid w:val="00F166CC"/>
    <w:rsid w:val="00F16C07"/>
    <w:rsid w:val="00F16C4D"/>
    <w:rsid w:val="00F16EEB"/>
    <w:rsid w:val="00F16F61"/>
    <w:rsid w:val="00F174BC"/>
    <w:rsid w:val="00F177D6"/>
    <w:rsid w:val="00F17A90"/>
    <w:rsid w:val="00F20345"/>
    <w:rsid w:val="00F2057C"/>
    <w:rsid w:val="00F20EEB"/>
    <w:rsid w:val="00F20F67"/>
    <w:rsid w:val="00F21084"/>
    <w:rsid w:val="00F21544"/>
    <w:rsid w:val="00F21760"/>
    <w:rsid w:val="00F21A09"/>
    <w:rsid w:val="00F220F4"/>
    <w:rsid w:val="00F2215A"/>
    <w:rsid w:val="00F226E1"/>
    <w:rsid w:val="00F227C3"/>
    <w:rsid w:val="00F22A55"/>
    <w:rsid w:val="00F22C4D"/>
    <w:rsid w:val="00F22DCC"/>
    <w:rsid w:val="00F22F43"/>
    <w:rsid w:val="00F23089"/>
    <w:rsid w:val="00F231D6"/>
    <w:rsid w:val="00F23310"/>
    <w:rsid w:val="00F233E6"/>
    <w:rsid w:val="00F23642"/>
    <w:rsid w:val="00F23D3C"/>
    <w:rsid w:val="00F23ED3"/>
    <w:rsid w:val="00F23F51"/>
    <w:rsid w:val="00F23F73"/>
    <w:rsid w:val="00F24248"/>
    <w:rsid w:val="00F245DD"/>
    <w:rsid w:val="00F248E6"/>
    <w:rsid w:val="00F24DAF"/>
    <w:rsid w:val="00F24DB0"/>
    <w:rsid w:val="00F2501E"/>
    <w:rsid w:val="00F25422"/>
    <w:rsid w:val="00F256A3"/>
    <w:rsid w:val="00F25AE0"/>
    <w:rsid w:val="00F25E0B"/>
    <w:rsid w:val="00F261CA"/>
    <w:rsid w:val="00F2662E"/>
    <w:rsid w:val="00F2685C"/>
    <w:rsid w:val="00F26C9E"/>
    <w:rsid w:val="00F26CDB"/>
    <w:rsid w:val="00F27B95"/>
    <w:rsid w:val="00F27D85"/>
    <w:rsid w:val="00F30360"/>
    <w:rsid w:val="00F30702"/>
    <w:rsid w:val="00F30825"/>
    <w:rsid w:val="00F3082A"/>
    <w:rsid w:val="00F30D33"/>
    <w:rsid w:val="00F3147C"/>
    <w:rsid w:val="00F31A3D"/>
    <w:rsid w:val="00F31D11"/>
    <w:rsid w:val="00F321B1"/>
    <w:rsid w:val="00F32214"/>
    <w:rsid w:val="00F3244B"/>
    <w:rsid w:val="00F3289C"/>
    <w:rsid w:val="00F32D0B"/>
    <w:rsid w:val="00F32E2E"/>
    <w:rsid w:val="00F32E62"/>
    <w:rsid w:val="00F3315F"/>
    <w:rsid w:val="00F331A7"/>
    <w:rsid w:val="00F33282"/>
    <w:rsid w:val="00F334FC"/>
    <w:rsid w:val="00F33565"/>
    <w:rsid w:val="00F337C0"/>
    <w:rsid w:val="00F3383C"/>
    <w:rsid w:val="00F338AD"/>
    <w:rsid w:val="00F33B8B"/>
    <w:rsid w:val="00F33B9D"/>
    <w:rsid w:val="00F33C7A"/>
    <w:rsid w:val="00F33CB4"/>
    <w:rsid w:val="00F33D0C"/>
    <w:rsid w:val="00F33D33"/>
    <w:rsid w:val="00F33DB8"/>
    <w:rsid w:val="00F33E08"/>
    <w:rsid w:val="00F3428C"/>
    <w:rsid w:val="00F34A5B"/>
    <w:rsid w:val="00F34B28"/>
    <w:rsid w:val="00F34C20"/>
    <w:rsid w:val="00F353E9"/>
    <w:rsid w:val="00F354FA"/>
    <w:rsid w:val="00F35925"/>
    <w:rsid w:val="00F35B12"/>
    <w:rsid w:val="00F35D26"/>
    <w:rsid w:val="00F35D5F"/>
    <w:rsid w:val="00F35F04"/>
    <w:rsid w:val="00F364EF"/>
    <w:rsid w:val="00F36C79"/>
    <w:rsid w:val="00F36CAE"/>
    <w:rsid w:val="00F36CE2"/>
    <w:rsid w:val="00F37978"/>
    <w:rsid w:val="00F37B1A"/>
    <w:rsid w:val="00F37B61"/>
    <w:rsid w:val="00F37D96"/>
    <w:rsid w:val="00F37E04"/>
    <w:rsid w:val="00F400A8"/>
    <w:rsid w:val="00F406D1"/>
    <w:rsid w:val="00F40803"/>
    <w:rsid w:val="00F40B04"/>
    <w:rsid w:val="00F40E5E"/>
    <w:rsid w:val="00F4148F"/>
    <w:rsid w:val="00F4177A"/>
    <w:rsid w:val="00F4195F"/>
    <w:rsid w:val="00F419CA"/>
    <w:rsid w:val="00F41A9C"/>
    <w:rsid w:val="00F421AE"/>
    <w:rsid w:val="00F422FC"/>
    <w:rsid w:val="00F42470"/>
    <w:rsid w:val="00F424E8"/>
    <w:rsid w:val="00F42B50"/>
    <w:rsid w:val="00F4336E"/>
    <w:rsid w:val="00F4340A"/>
    <w:rsid w:val="00F434C4"/>
    <w:rsid w:val="00F44062"/>
    <w:rsid w:val="00F4407E"/>
    <w:rsid w:val="00F4426C"/>
    <w:rsid w:val="00F444EF"/>
    <w:rsid w:val="00F445A8"/>
    <w:rsid w:val="00F44620"/>
    <w:rsid w:val="00F44780"/>
    <w:rsid w:val="00F447BA"/>
    <w:rsid w:val="00F44BF1"/>
    <w:rsid w:val="00F452B2"/>
    <w:rsid w:val="00F4565B"/>
    <w:rsid w:val="00F45ADF"/>
    <w:rsid w:val="00F45E4B"/>
    <w:rsid w:val="00F465D6"/>
    <w:rsid w:val="00F46B75"/>
    <w:rsid w:val="00F47192"/>
    <w:rsid w:val="00F47977"/>
    <w:rsid w:val="00F47A8E"/>
    <w:rsid w:val="00F47B8D"/>
    <w:rsid w:val="00F50428"/>
    <w:rsid w:val="00F5062A"/>
    <w:rsid w:val="00F50C7E"/>
    <w:rsid w:val="00F50E25"/>
    <w:rsid w:val="00F50F19"/>
    <w:rsid w:val="00F51B41"/>
    <w:rsid w:val="00F51F92"/>
    <w:rsid w:val="00F52127"/>
    <w:rsid w:val="00F5214D"/>
    <w:rsid w:val="00F5221A"/>
    <w:rsid w:val="00F5222C"/>
    <w:rsid w:val="00F52408"/>
    <w:rsid w:val="00F526A1"/>
    <w:rsid w:val="00F52A79"/>
    <w:rsid w:val="00F52CD7"/>
    <w:rsid w:val="00F52D0A"/>
    <w:rsid w:val="00F52F58"/>
    <w:rsid w:val="00F5306C"/>
    <w:rsid w:val="00F53316"/>
    <w:rsid w:val="00F536EB"/>
    <w:rsid w:val="00F537EF"/>
    <w:rsid w:val="00F53A1E"/>
    <w:rsid w:val="00F53B85"/>
    <w:rsid w:val="00F53D91"/>
    <w:rsid w:val="00F54336"/>
    <w:rsid w:val="00F544B2"/>
    <w:rsid w:val="00F544B3"/>
    <w:rsid w:val="00F545AC"/>
    <w:rsid w:val="00F54720"/>
    <w:rsid w:val="00F54BEF"/>
    <w:rsid w:val="00F54D23"/>
    <w:rsid w:val="00F54D69"/>
    <w:rsid w:val="00F54E6F"/>
    <w:rsid w:val="00F55288"/>
    <w:rsid w:val="00F5550D"/>
    <w:rsid w:val="00F55999"/>
    <w:rsid w:val="00F55D58"/>
    <w:rsid w:val="00F56098"/>
    <w:rsid w:val="00F5698F"/>
    <w:rsid w:val="00F569D0"/>
    <w:rsid w:val="00F56E3B"/>
    <w:rsid w:val="00F575F2"/>
    <w:rsid w:val="00F57A52"/>
    <w:rsid w:val="00F57BB4"/>
    <w:rsid w:val="00F57BED"/>
    <w:rsid w:val="00F57BF5"/>
    <w:rsid w:val="00F60198"/>
    <w:rsid w:val="00F60278"/>
    <w:rsid w:val="00F6066A"/>
    <w:rsid w:val="00F60885"/>
    <w:rsid w:val="00F60A64"/>
    <w:rsid w:val="00F60DE5"/>
    <w:rsid w:val="00F60EFF"/>
    <w:rsid w:val="00F60F1C"/>
    <w:rsid w:val="00F611EC"/>
    <w:rsid w:val="00F61383"/>
    <w:rsid w:val="00F613EB"/>
    <w:rsid w:val="00F61453"/>
    <w:rsid w:val="00F61811"/>
    <w:rsid w:val="00F6203B"/>
    <w:rsid w:val="00F62C0F"/>
    <w:rsid w:val="00F62C95"/>
    <w:rsid w:val="00F62F41"/>
    <w:rsid w:val="00F6312A"/>
    <w:rsid w:val="00F633FB"/>
    <w:rsid w:val="00F63D5B"/>
    <w:rsid w:val="00F63FB9"/>
    <w:rsid w:val="00F643A7"/>
    <w:rsid w:val="00F64542"/>
    <w:rsid w:val="00F646E6"/>
    <w:rsid w:val="00F647A5"/>
    <w:rsid w:val="00F647C1"/>
    <w:rsid w:val="00F647C4"/>
    <w:rsid w:val="00F6482F"/>
    <w:rsid w:val="00F64B58"/>
    <w:rsid w:val="00F64C20"/>
    <w:rsid w:val="00F65185"/>
    <w:rsid w:val="00F65282"/>
    <w:rsid w:val="00F6550E"/>
    <w:rsid w:val="00F65B12"/>
    <w:rsid w:val="00F65C37"/>
    <w:rsid w:val="00F65DDE"/>
    <w:rsid w:val="00F66007"/>
    <w:rsid w:val="00F665E5"/>
    <w:rsid w:val="00F6664A"/>
    <w:rsid w:val="00F666A4"/>
    <w:rsid w:val="00F668A5"/>
    <w:rsid w:val="00F66A4A"/>
    <w:rsid w:val="00F672DE"/>
    <w:rsid w:val="00F67613"/>
    <w:rsid w:val="00F677A8"/>
    <w:rsid w:val="00F70546"/>
    <w:rsid w:val="00F7055F"/>
    <w:rsid w:val="00F70741"/>
    <w:rsid w:val="00F70825"/>
    <w:rsid w:val="00F708F8"/>
    <w:rsid w:val="00F70D07"/>
    <w:rsid w:val="00F70ED3"/>
    <w:rsid w:val="00F71069"/>
    <w:rsid w:val="00F714C5"/>
    <w:rsid w:val="00F715EF"/>
    <w:rsid w:val="00F717D1"/>
    <w:rsid w:val="00F71811"/>
    <w:rsid w:val="00F7184E"/>
    <w:rsid w:val="00F71E76"/>
    <w:rsid w:val="00F722B6"/>
    <w:rsid w:val="00F72437"/>
    <w:rsid w:val="00F7248C"/>
    <w:rsid w:val="00F726A6"/>
    <w:rsid w:val="00F72874"/>
    <w:rsid w:val="00F72B4C"/>
    <w:rsid w:val="00F73773"/>
    <w:rsid w:val="00F73A4B"/>
    <w:rsid w:val="00F73DC4"/>
    <w:rsid w:val="00F74445"/>
    <w:rsid w:val="00F74476"/>
    <w:rsid w:val="00F74872"/>
    <w:rsid w:val="00F74926"/>
    <w:rsid w:val="00F74932"/>
    <w:rsid w:val="00F74A6D"/>
    <w:rsid w:val="00F74B75"/>
    <w:rsid w:val="00F74C1E"/>
    <w:rsid w:val="00F74CAF"/>
    <w:rsid w:val="00F74EEE"/>
    <w:rsid w:val="00F74FE7"/>
    <w:rsid w:val="00F75582"/>
    <w:rsid w:val="00F75BBC"/>
    <w:rsid w:val="00F75C99"/>
    <w:rsid w:val="00F75EB3"/>
    <w:rsid w:val="00F75F9E"/>
    <w:rsid w:val="00F7613A"/>
    <w:rsid w:val="00F7668D"/>
    <w:rsid w:val="00F76907"/>
    <w:rsid w:val="00F77347"/>
    <w:rsid w:val="00F77363"/>
    <w:rsid w:val="00F77436"/>
    <w:rsid w:val="00F77B1B"/>
    <w:rsid w:val="00F77F98"/>
    <w:rsid w:val="00F8034C"/>
    <w:rsid w:val="00F80378"/>
    <w:rsid w:val="00F803F7"/>
    <w:rsid w:val="00F80445"/>
    <w:rsid w:val="00F80BB7"/>
    <w:rsid w:val="00F80F0B"/>
    <w:rsid w:val="00F81222"/>
    <w:rsid w:val="00F816F8"/>
    <w:rsid w:val="00F81A84"/>
    <w:rsid w:val="00F81D9D"/>
    <w:rsid w:val="00F820E4"/>
    <w:rsid w:val="00F824A8"/>
    <w:rsid w:val="00F824C6"/>
    <w:rsid w:val="00F8272E"/>
    <w:rsid w:val="00F82746"/>
    <w:rsid w:val="00F830E3"/>
    <w:rsid w:val="00F83575"/>
    <w:rsid w:val="00F836F9"/>
    <w:rsid w:val="00F83802"/>
    <w:rsid w:val="00F83CCA"/>
    <w:rsid w:val="00F83D45"/>
    <w:rsid w:val="00F83DD7"/>
    <w:rsid w:val="00F83E2E"/>
    <w:rsid w:val="00F83E55"/>
    <w:rsid w:val="00F84004"/>
    <w:rsid w:val="00F844A2"/>
    <w:rsid w:val="00F8457C"/>
    <w:rsid w:val="00F845D7"/>
    <w:rsid w:val="00F847E3"/>
    <w:rsid w:val="00F848B8"/>
    <w:rsid w:val="00F85247"/>
    <w:rsid w:val="00F86272"/>
    <w:rsid w:val="00F8634C"/>
    <w:rsid w:val="00F86795"/>
    <w:rsid w:val="00F86CAF"/>
    <w:rsid w:val="00F86DB0"/>
    <w:rsid w:val="00F872FE"/>
    <w:rsid w:val="00F87592"/>
    <w:rsid w:val="00F87843"/>
    <w:rsid w:val="00F87F31"/>
    <w:rsid w:val="00F90513"/>
    <w:rsid w:val="00F90AE6"/>
    <w:rsid w:val="00F90CE3"/>
    <w:rsid w:val="00F90E87"/>
    <w:rsid w:val="00F91406"/>
    <w:rsid w:val="00F91E50"/>
    <w:rsid w:val="00F91EDA"/>
    <w:rsid w:val="00F92279"/>
    <w:rsid w:val="00F92293"/>
    <w:rsid w:val="00F92422"/>
    <w:rsid w:val="00F926D7"/>
    <w:rsid w:val="00F9270D"/>
    <w:rsid w:val="00F9271B"/>
    <w:rsid w:val="00F92792"/>
    <w:rsid w:val="00F92A6D"/>
    <w:rsid w:val="00F92BAF"/>
    <w:rsid w:val="00F92BC1"/>
    <w:rsid w:val="00F92C79"/>
    <w:rsid w:val="00F93004"/>
    <w:rsid w:val="00F93461"/>
    <w:rsid w:val="00F936CD"/>
    <w:rsid w:val="00F93AEB"/>
    <w:rsid w:val="00F940B1"/>
    <w:rsid w:val="00F940FC"/>
    <w:rsid w:val="00F94FB7"/>
    <w:rsid w:val="00F94FC2"/>
    <w:rsid w:val="00F95147"/>
    <w:rsid w:val="00F95264"/>
    <w:rsid w:val="00F95265"/>
    <w:rsid w:val="00F95536"/>
    <w:rsid w:val="00F95635"/>
    <w:rsid w:val="00F957ED"/>
    <w:rsid w:val="00F9585C"/>
    <w:rsid w:val="00F958B6"/>
    <w:rsid w:val="00F958CA"/>
    <w:rsid w:val="00F95C42"/>
    <w:rsid w:val="00F95C52"/>
    <w:rsid w:val="00F95E3C"/>
    <w:rsid w:val="00F95E92"/>
    <w:rsid w:val="00F95F2A"/>
    <w:rsid w:val="00F96125"/>
    <w:rsid w:val="00F96313"/>
    <w:rsid w:val="00F967F5"/>
    <w:rsid w:val="00F9691A"/>
    <w:rsid w:val="00F96AB5"/>
    <w:rsid w:val="00F96D6E"/>
    <w:rsid w:val="00F96F35"/>
    <w:rsid w:val="00F9702B"/>
    <w:rsid w:val="00F972CE"/>
    <w:rsid w:val="00F9751E"/>
    <w:rsid w:val="00F97851"/>
    <w:rsid w:val="00F978E3"/>
    <w:rsid w:val="00F979CA"/>
    <w:rsid w:val="00F97A0A"/>
    <w:rsid w:val="00F97EC8"/>
    <w:rsid w:val="00F97FA1"/>
    <w:rsid w:val="00FA023F"/>
    <w:rsid w:val="00FA0738"/>
    <w:rsid w:val="00FA0A99"/>
    <w:rsid w:val="00FA0C85"/>
    <w:rsid w:val="00FA0F28"/>
    <w:rsid w:val="00FA143C"/>
    <w:rsid w:val="00FA16C0"/>
    <w:rsid w:val="00FA16D0"/>
    <w:rsid w:val="00FA1790"/>
    <w:rsid w:val="00FA1A64"/>
    <w:rsid w:val="00FA1D27"/>
    <w:rsid w:val="00FA1D76"/>
    <w:rsid w:val="00FA216B"/>
    <w:rsid w:val="00FA2228"/>
    <w:rsid w:val="00FA28FD"/>
    <w:rsid w:val="00FA3113"/>
    <w:rsid w:val="00FA31A7"/>
    <w:rsid w:val="00FA3579"/>
    <w:rsid w:val="00FA3699"/>
    <w:rsid w:val="00FA3AD3"/>
    <w:rsid w:val="00FA450D"/>
    <w:rsid w:val="00FA4938"/>
    <w:rsid w:val="00FA4943"/>
    <w:rsid w:val="00FA4E37"/>
    <w:rsid w:val="00FA5586"/>
    <w:rsid w:val="00FA5B41"/>
    <w:rsid w:val="00FA5D64"/>
    <w:rsid w:val="00FA5EFA"/>
    <w:rsid w:val="00FA60C7"/>
    <w:rsid w:val="00FA623C"/>
    <w:rsid w:val="00FA65CE"/>
    <w:rsid w:val="00FA67D9"/>
    <w:rsid w:val="00FA6880"/>
    <w:rsid w:val="00FA6889"/>
    <w:rsid w:val="00FA6D6C"/>
    <w:rsid w:val="00FA6E97"/>
    <w:rsid w:val="00FA6F16"/>
    <w:rsid w:val="00FA719B"/>
    <w:rsid w:val="00FA778C"/>
    <w:rsid w:val="00FA79F9"/>
    <w:rsid w:val="00FA7EF8"/>
    <w:rsid w:val="00FB0DE9"/>
    <w:rsid w:val="00FB0ED1"/>
    <w:rsid w:val="00FB1319"/>
    <w:rsid w:val="00FB1515"/>
    <w:rsid w:val="00FB1637"/>
    <w:rsid w:val="00FB1F5B"/>
    <w:rsid w:val="00FB201E"/>
    <w:rsid w:val="00FB2207"/>
    <w:rsid w:val="00FB224F"/>
    <w:rsid w:val="00FB26C5"/>
    <w:rsid w:val="00FB29BD"/>
    <w:rsid w:val="00FB3037"/>
    <w:rsid w:val="00FB30C3"/>
    <w:rsid w:val="00FB31A6"/>
    <w:rsid w:val="00FB31DC"/>
    <w:rsid w:val="00FB3A09"/>
    <w:rsid w:val="00FB3ACB"/>
    <w:rsid w:val="00FB3B23"/>
    <w:rsid w:val="00FB4623"/>
    <w:rsid w:val="00FB48B5"/>
    <w:rsid w:val="00FB4AA4"/>
    <w:rsid w:val="00FB4C69"/>
    <w:rsid w:val="00FB4D21"/>
    <w:rsid w:val="00FB4E66"/>
    <w:rsid w:val="00FB5011"/>
    <w:rsid w:val="00FB5061"/>
    <w:rsid w:val="00FB50DE"/>
    <w:rsid w:val="00FB5711"/>
    <w:rsid w:val="00FB597C"/>
    <w:rsid w:val="00FB5B34"/>
    <w:rsid w:val="00FB5C96"/>
    <w:rsid w:val="00FB5F1A"/>
    <w:rsid w:val="00FB6106"/>
    <w:rsid w:val="00FB63AB"/>
    <w:rsid w:val="00FB64CF"/>
    <w:rsid w:val="00FB6A64"/>
    <w:rsid w:val="00FB6AA5"/>
    <w:rsid w:val="00FB6B2C"/>
    <w:rsid w:val="00FB6B98"/>
    <w:rsid w:val="00FB6EC4"/>
    <w:rsid w:val="00FB6FD5"/>
    <w:rsid w:val="00FB738A"/>
    <w:rsid w:val="00FB7404"/>
    <w:rsid w:val="00FB752F"/>
    <w:rsid w:val="00FB762B"/>
    <w:rsid w:val="00FB7F33"/>
    <w:rsid w:val="00FB7FF3"/>
    <w:rsid w:val="00FC023F"/>
    <w:rsid w:val="00FC0383"/>
    <w:rsid w:val="00FC03BB"/>
    <w:rsid w:val="00FC0AFC"/>
    <w:rsid w:val="00FC0C9E"/>
    <w:rsid w:val="00FC0EC4"/>
    <w:rsid w:val="00FC11C1"/>
    <w:rsid w:val="00FC1BD7"/>
    <w:rsid w:val="00FC1CE8"/>
    <w:rsid w:val="00FC1EA1"/>
    <w:rsid w:val="00FC1EE9"/>
    <w:rsid w:val="00FC2350"/>
    <w:rsid w:val="00FC24C9"/>
    <w:rsid w:val="00FC2522"/>
    <w:rsid w:val="00FC28BB"/>
    <w:rsid w:val="00FC2A0D"/>
    <w:rsid w:val="00FC31D5"/>
    <w:rsid w:val="00FC3453"/>
    <w:rsid w:val="00FC3A86"/>
    <w:rsid w:val="00FC3BBF"/>
    <w:rsid w:val="00FC3F26"/>
    <w:rsid w:val="00FC4355"/>
    <w:rsid w:val="00FC4472"/>
    <w:rsid w:val="00FC44F5"/>
    <w:rsid w:val="00FC4C46"/>
    <w:rsid w:val="00FC4EB3"/>
    <w:rsid w:val="00FC4FD1"/>
    <w:rsid w:val="00FC5192"/>
    <w:rsid w:val="00FC5195"/>
    <w:rsid w:val="00FC5573"/>
    <w:rsid w:val="00FC5911"/>
    <w:rsid w:val="00FC59C9"/>
    <w:rsid w:val="00FC5F8E"/>
    <w:rsid w:val="00FC6245"/>
    <w:rsid w:val="00FC64CE"/>
    <w:rsid w:val="00FC6603"/>
    <w:rsid w:val="00FC688C"/>
    <w:rsid w:val="00FC69A2"/>
    <w:rsid w:val="00FC6ADA"/>
    <w:rsid w:val="00FC7108"/>
    <w:rsid w:val="00FC71B9"/>
    <w:rsid w:val="00FC7770"/>
    <w:rsid w:val="00FC77CF"/>
    <w:rsid w:val="00FC77D3"/>
    <w:rsid w:val="00FC7883"/>
    <w:rsid w:val="00FC7C66"/>
    <w:rsid w:val="00FC7DE2"/>
    <w:rsid w:val="00FD01C3"/>
    <w:rsid w:val="00FD0255"/>
    <w:rsid w:val="00FD0489"/>
    <w:rsid w:val="00FD0BA5"/>
    <w:rsid w:val="00FD0D5E"/>
    <w:rsid w:val="00FD0D98"/>
    <w:rsid w:val="00FD0E7D"/>
    <w:rsid w:val="00FD0F5F"/>
    <w:rsid w:val="00FD14F4"/>
    <w:rsid w:val="00FD1518"/>
    <w:rsid w:val="00FD171B"/>
    <w:rsid w:val="00FD18C3"/>
    <w:rsid w:val="00FD1F7F"/>
    <w:rsid w:val="00FD2024"/>
    <w:rsid w:val="00FD207E"/>
    <w:rsid w:val="00FD23EE"/>
    <w:rsid w:val="00FD2897"/>
    <w:rsid w:val="00FD2B1D"/>
    <w:rsid w:val="00FD2D68"/>
    <w:rsid w:val="00FD32F3"/>
    <w:rsid w:val="00FD3570"/>
    <w:rsid w:val="00FD3653"/>
    <w:rsid w:val="00FD3DFD"/>
    <w:rsid w:val="00FD3EDF"/>
    <w:rsid w:val="00FD404A"/>
    <w:rsid w:val="00FD46CB"/>
    <w:rsid w:val="00FD4721"/>
    <w:rsid w:val="00FD4A94"/>
    <w:rsid w:val="00FD4B31"/>
    <w:rsid w:val="00FD4C87"/>
    <w:rsid w:val="00FD4FA1"/>
    <w:rsid w:val="00FD5151"/>
    <w:rsid w:val="00FD52B1"/>
    <w:rsid w:val="00FD5340"/>
    <w:rsid w:val="00FD5421"/>
    <w:rsid w:val="00FD55D1"/>
    <w:rsid w:val="00FD5839"/>
    <w:rsid w:val="00FD5D0E"/>
    <w:rsid w:val="00FD6225"/>
    <w:rsid w:val="00FD6878"/>
    <w:rsid w:val="00FD6B1A"/>
    <w:rsid w:val="00FD7028"/>
    <w:rsid w:val="00FD7464"/>
    <w:rsid w:val="00FD7A89"/>
    <w:rsid w:val="00FD7A9B"/>
    <w:rsid w:val="00FE00EF"/>
    <w:rsid w:val="00FE082A"/>
    <w:rsid w:val="00FE098C"/>
    <w:rsid w:val="00FE0A91"/>
    <w:rsid w:val="00FE0AC6"/>
    <w:rsid w:val="00FE0B06"/>
    <w:rsid w:val="00FE14EB"/>
    <w:rsid w:val="00FE1D20"/>
    <w:rsid w:val="00FE23DD"/>
    <w:rsid w:val="00FE249B"/>
    <w:rsid w:val="00FE24AD"/>
    <w:rsid w:val="00FE2524"/>
    <w:rsid w:val="00FE262D"/>
    <w:rsid w:val="00FE2B86"/>
    <w:rsid w:val="00FE30D0"/>
    <w:rsid w:val="00FE3207"/>
    <w:rsid w:val="00FE329B"/>
    <w:rsid w:val="00FE340D"/>
    <w:rsid w:val="00FE3492"/>
    <w:rsid w:val="00FE38FB"/>
    <w:rsid w:val="00FE3998"/>
    <w:rsid w:val="00FE39DE"/>
    <w:rsid w:val="00FE3EF2"/>
    <w:rsid w:val="00FE4239"/>
    <w:rsid w:val="00FE4841"/>
    <w:rsid w:val="00FE512D"/>
    <w:rsid w:val="00FE5277"/>
    <w:rsid w:val="00FE5292"/>
    <w:rsid w:val="00FE52ED"/>
    <w:rsid w:val="00FE5510"/>
    <w:rsid w:val="00FE5540"/>
    <w:rsid w:val="00FE5636"/>
    <w:rsid w:val="00FE572A"/>
    <w:rsid w:val="00FE580C"/>
    <w:rsid w:val="00FE601F"/>
    <w:rsid w:val="00FE64F4"/>
    <w:rsid w:val="00FE6690"/>
    <w:rsid w:val="00FE6A4F"/>
    <w:rsid w:val="00FE6BA7"/>
    <w:rsid w:val="00FE7993"/>
    <w:rsid w:val="00FE7ADD"/>
    <w:rsid w:val="00FE7B8F"/>
    <w:rsid w:val="00FE7C9F"/>
    <w:rsid w:val="00FF0193"/>
    <w:rsid w:val="00FF04F6"/>
    <w:rsid w:val="00FF0BA9"/>
    <w:rsid w:val="00FF0E05"/>
    <w:rsid w:val="00FF1059"/>
    <w:rsid w:val="00FF13BC"/>
    <w:rsid w:val="00FF15CB"/>
    <w:rsid w:val="00FF1700"/>
    <w:rsid w:val="00FF189D"/>
    <w:rsid w:val="00FF1B8A"/>
    <w:rsid w:val="00FF2907"/>
    <w:rsid w:val="00FF2A0B"/>
    <w:rsid w:val="00FF2B23"/>
    <w:rsid w:val="00FF2C3E"/>
    <w:rsid w:val="00FF31DC"/>
    <w:rsid w:val="00FF3362"/>
    <w:rsid w:val="00FF3684"/>
    <w:rsid w:val="00FF38E9"/>
    <w:rsid w:val="00FF38F3"/>
    <w:rsid w:val="00FF3D89"/>
    <w:rsid w:val="00FF3DC2"/>
    <w:rsid w:val="00FF3DF0"/>
    <w:rsid w:val="00FF3FAF"/>
    <w:rsid w:val="00FF4174"/>
    <w:rsid w:val="00FF47D0"/>
    <w:rsid w:val="00FF4987"/>
    <w:rsid w:val="00FF4B03"/>
    <w:rsid w:val="00FF4B3D"/>
    <w:rsid w:val="00FF4E10"/>
    <w:rsid w:val="00FF51D1"/>
    <w:rsid w:val="00FF5275"/>
    <w:rsid w:val="00FF54E2"/>
    <w:rsid w:val="00FF5707"/>
    <w:rsid w:val="00FF583E"/>
    <w:rsid w:val="00FF596A"/>
    <w:rsid w:val="00FF61A7"/>
    <w:rsid w:val="00FF6640"/>
    <w:rsid w:val="00FF6A85"/>
    <w:rsid w:val="00FF730B"/>
    <w:rsid w:val="00FF7DAC"/>
    <w:rsid w:val="032E5AD6"/>
    <w:rsid w:val="0ADEEDBA"/>
    <w:rsid w:val="0B31241C"/>
    <w:rsid w:val="0D0944C3"/>
    <w:rsid w:val="0E982632"/>
    <w:rsid w:val="11314105"/>
    <w:rsid w:val="1D4F0802"/>
    <w:rsid w:val="21819172"/>
    <w:rsid w:val="264E551E"/>
    <w:rsid w:val="2E89AE6B"/>
    <w:rsid w:val="2FA3BB02"/>
    <w:rsid w:val="3921EC81"/>
    <w:rsid w:val="3C5CA34A"/>
    <w:rsid w:val="3F2659E1"/>
    <w:rsid w:val="40DFCCB7"/>
    <w:rsid w:val="56292F27"/>
    <w:rsid w:val="5C0A1723"/>
    <w:rsid w:val="5EB667D0"/>
    <w:rsid w:val="6A7E23E4"/>
    <w:rsid w:val="6BEF589C"/>
    <w:rsid w:val="7259C1A8"/>
    <w:rsid w:val="75430A41"/>
    <w:rsid w:val="78FF207E"/>
    <w:rsid w:val="7D4923F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20"/>
    <w:pPr>
      <w:spacing w:before="100" w:after="200" w:line="276" w:lineRule="auto"/>
    </w:pPr>
    <w:rPr>
      <w:rFonts w:ascii="Calibri" w:hAnsi="Calibri"/>
      <w:sz w:val="20"/>
      <w:szCs w:val="20"/>
    </w:rPr>
  </w:style>
  <w:style w:type="paragraph" w:styleId="Heading1">
    <w:name w:val="heading 1"/>
    <w:basedOn w:val="Normal"/>
    <w:next w:val="Normal"/>
    <w:link w:val="Heading1Char"/>
    <w:qFormat/>
    <w:rsid w:val="00213120"/>
    <w:pPr>
      <w:keepNext/>
      <w:pageBreakBefore/>
      <w:pBdr>
        <w:top w:val="single" w:sz="24" w:space="0" w:color="002C47" w:themeColor="accent1"/>
        <w:left w:val="single" w:sz="24" w:space="0" w:color="002C47" w:themeColor="accent1"/>
        <w:bottom w:val="single" w:sz="24" w:space="0" w:color="002C47" w:themeColor="accent1"/>
        <w:right w:val="single" w:sz="24" w:space="0" w:color="002C47" w:themeColor="accent1"/>
      </w:pBdr>
      <w:shd w:val="clear" w:color="auto" w:fill="002C47" w:themeFill="accent1"/>
      <w:spacing w:after="0"/>
      <w:outlineLvl w:val="0"/>
    </w:pPr>
    <w:rPr>
      <w:b/>
      <w:smallCaps/>
      <w:color w:val="FFFFFF" w:themeColor="background1"/>
      <w:spacing w:val="15"/>
      <w:sz w:val="24"/>
      <w:szCs w:val="24"/>
    </w:rPr>
  </w:style>
  <w:style w:type="paragraph" w:styleId="Heading2">
    <w:name w:val="heading 2"/>
    <w:basedOn w:val="Normal"/>
    <w:next w:val="Normal"/>
    <w:link w:val="Heading2Char"/>
    <w:unhideWhenUsed/>
    <w:qFormat/>
    <w:rsid w:val="00213120"/>
    <w:pPr>
      <w:keepNext/>
      <w:pBdr>
        <w:top w:val="single" w:sz="24" w:space="1" w:color="1E75BA" w:themeColor="accent2"/>
        <w:left w:val="single" w:sz="24" w:space="0" w:color="1E75BA" w:themeColor="accent2"/>
        <w:bottom w:val="single" w:sz="24" w:space="1" w:color="1E75BA" w:themeColor="accent2"/>
        <w:right w:val="single" w:sz="24" w:space="0" w:color="1E75BA" w:themeColor="accent2"/>
      </w:pBdr>
      <w:shd w:val="clear" w:color="auto" w:fill="1E75BA"/>
      <w:spacing w:after="0"/>
      <w:outlineLvl w:val="1"/>
    </w:pPr>
    <w:rPr>
      <w:b/>
      <w:smallCaps/>
      <w:color w:val="FFFFFF" w:themeColor="background1"/>
      <w:spacing w:val="15"/>
      <w:sz w:val="22"/>
      <w:szCs w:val="22"/>
    </w:rPr>
  </w:style>
  <w:style w:type="paragraph" w:styleId="Heading3">
    <w:name w:val="heading 3"/>
    <w:basedOn w:val="Normal"/>
    <w:next w:val="Normal"/>
    <w:link w:val="Heading3Char"/>
    <w:unhideWhenUsed/>
    <w:qFormat/>
    <w:rsid w:val="00213120"/>
    <w:pPr>
      <w:keepNext/>
      <w:pBdr>
        <w:top w:val="single" w:sz="8" w:space="1" w:color="1E75BA" w:themeColor="accent2"/>
      </w:pBdr>
      <w:spacing w:before="300" w:after="0"/>
      <w:outlineLvl w:val="2"/>
    </w:pPr>
    <w:rPr>
      <w:b/>
      <w:smallCaps/>
      <w:color w:val="002C47" w:themeColor="accent1"/>
      <w:spacing w:val="15"/>
      <w:sz w:val="22"/>
      <w:szCs w:val="22"/>
    </w:rPr>
  </w:style>
  <w:style w:type="paragraph" w:styleId="Heading4">
    <w:name w:val="heading 4"/>
    <w:basedOn w:val="Normal"/>
    <w:next w:val="Normal"/>
    <w:link w:val="Heading4Char"/>
    <w:unhideWhenUsed/>
    <w:qFormat/>
    <w:rsid w:val="00213120"/>
    <w:pPr>
      <w:spacing w:before="200" w:after="0"/>
      <w:outlineLvl w:val="3"/>
    </w:pPr>
    <w:rPr>
      <w:b/>
      <w:smallCaps/>
      <w:color w:val="2F8361" w:themeColor="accent4"/>
      <w:spacing w:val="10"/>
      <w:sz w:val="22"/>
      <w:szCs w:val="22"/>
    </w:rPr>
  </w:style>
  <w:style w:type="paragraph" w:styleId="Heading5">
    <w:name w:val="heading 5"/>
    <w:basedOn w:val="Normal"/>
    <w:next w:val="Normal"/>
    <w:link w:val="Heading5Char"/>
    <w:unhideWhenUsed/>
    <w:qFormat/>
    <w:rsid w:val="00213120"/>
    <w:pPr>
      <w:keepNext/>
      <w:spacing w:before="200" w:after="0"/>
      <w:outlineLvl w:val="4"/>
    </w:pPr>
    <w:rPr>
      <w:iCs/>
      <w:smallCaps/>
      <w:color w:val="277F98" w:themeColor="accent6"/>
      <w:spacing w:val="10"/>
      <w:sz w:val="22"/>
      <w:szCs w:val="22"/>
    </w:rPr>
  </w:style>
  <w:style w:type="paragraph" w:styleId="Heading6">
    <w:name w:val="heading 6"/>
    <w:basedOn w:val="Normal"/>
    <w:next w:val="Normal"/>
    <w:link w:val="Heading6Char"/>
    <w:unhideWhenUsed/>
    <w:qFormat/>
    <w:rsid w:val="00213120"/>
    <w:pPr>
      <w:spacing w:before="200" w:after="0"/>
      <w:outlineLvl w:val="5"/>
    </w:pPr>
    <w:rPr>
      <w:b/>
      <w:bCs/>
      <w:iCs/>
      <w:color w:val="002C47" w:themeColor="accent1"/>
      <w:spacing w:val="10"/>
    </w:rPr>
  </w:style>
  <w:style w:type="paragraph" w:styleId="Heading7">
    <w:name w:val="heading 7"/>
    <w:basedOn w:val="Normal"/>
    <w:next w:val="Normal"/>
    <w:link w:val="Heading7Char"/>
    <w:uiPriority w:val="9"/>
    <w:unhideWhenUsed/>
    <w:qFormat/>
    <w:rsid w:val="00213120"/>
    <w:pPr>
      <w:spacing w:after="0"/>
      <w:outlineLvl w:val="6"/>
    </w:pPr>
    <w:rPr>
      <w:iCs/>
      <w:color w:val="CF542F" w:themeColor="accent3"/>
      <w:spacing w:val="10"/>
    </w:rPr>
  </w:style>
  <w:style w:type="paragraph" w:styleId="Heading8">
    <w:name w:val="heading 8"/>
    <w:basedOn w:val="Normal"/>
    <w:next w:val="Normal"/>
    <w:link w:val="Heading8Char"/>
    <w:uiPriority w:val="9"/>
    <w:unhideWhenUsed/>
    <w:rsid w:val="00213120"/>
    <w:pPr>
      <w:outlineLvl w:val="7"/>
    </w:pPr>
    <w:rPr>
      <w:bCs/>
    </w:rPr>
  </w:style>
  <w:style w:type="paragraph" w:styleId="Heading9">
    <w:name w:val="heading 9"/>
    <w:basedOn w:val="Heading8"/>
    <w:next w:val="Normal"/>
    <w:link w:val="Heading9Char"/>
    <w:uiPriority w:val="9"/>
    <w:unhideWhenUsed/>
    <w:rsid w:val="002131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120"/>
    <w:rPr>
      <w:rFonts w:ascii="Calibri" w:hAnsi="Calibri"/>
      <w:b/>
      <w:smallCaps/>
      <w:color w:val="FFFFFF" w:themeColor="background1"/>
      <w:spacing w:val="15"/>
      <w:sz w:val="24"/>
      <w:szCs w:val="24"/>
      <w:shd w:val="clear" w:color="auto" w:fill="002C47" w:themeFill="accent1"/>
    </w:rPr>
  </w:style>
  <w:style w:type="character" w:customStyle="1" w:styleId="Heading2Char">
    <w:name w:val="Heading 2 Char"/>
    <w:basedOn w:val="DefaultParagraphFont"/>
    <w:link w:val="Heading2"/>
    <w:rsid w:val="00213120"/>
    <w:rPr>
      <w:rFonts w:ascii="Calibri" w:hAnsi="Calibri"/>
      <w:b/>
      <w:smallCaps/>
      <w:color w:val="FFFFFF" w:themeColor="background1"/>
      <w:spacing w:val="15"/>
      <w:shd w:val="clear" w:color="auto" w:fill="1E75BA"/>
    </w:rPr>
  </w:style>
  <w:style w:type="character" w:customStyle="1" w:styleId="Heading3Char">
    <w:name w:val="Heading 3 Char"/>
    <w:basedOn w:val="DefaultParagraphFont"/>
    <w:link w:val="Heading3"/>
    <w:rsid w:val="00213120"/>
    <w:rPr>
      <w:rFonts w:ascii="Calibri" w:hAnsi="Calibri"/>
      <w:b/>
      <w:smallCaps/>
      <w:color w:val="002C47" w:themeColor="accent1"/>
      <w:spacing w:val="15"/>
    </w:rPr>
  </w:style>
  <w:style w:type="character" w:customStyle="1" w:styleId="Heading4Char">
    <w:name w:val="Heading 4 Char"/>
    <w:basedOn w:val="DefaultParagraphFont"/>
    <w:link w:val="Heading4"/>
    <w:rsid w:val="00213120"/>
    <w:rPr>
      <w:rFonts w:ascii="Calibri" w:hAnsi="Calibri"/>
      <w:b/>
      <w:smallCaps/>
      <w:color w:val="2F8361" w:themeColor="accent4"/>
      <w:spacing w:val="10"/>
    </w:rPr>
  </w:style>
  <w:style w:type="character" w:customStyle="1" w:styleId="Heading5Char">
    <w:name w:val="Heading 5 Char"/>
    <w:basedOn w:val="DefaultParagraphFont"/>
    <w:link w:val="Heading5"/>
    <w:rsid w:val="00213120"/>
    <w:rPr>
      <w:rFonts w:ascii="Calibri" w:hAnsi="Calibri"/>
      <w:iCs/>
      <w:smallCaps/>
      <w:color w:val="277F98" w:themeColor="accent6"/>
      <w:spacing w:val="10"/>
    </w:rPr>
  </w:style>
  <w:style w:type="character" w:customStyle="1" w:styleId="Heading6Char">
    <w:name w:val="Heading 6 Char"/>
    <w:basedOn w:val="DefaultParagraphFont"/>
    <w:link w:val="Heading6"/>
    <w:rsid w:val="00213120"/>
    <w:rPr>
      <w:rFonts w:ascii="Calibri" w:hAnsi="Calibri"/>
      <w:b/>
      <w:bCs/>
      <w:iCs/>
      <w:color w:val="002C47" w:themeColor="accent1"/>
      <w:spacing w:val="10"/>
      <w:sz w:val="20"/>
      <w:szCs w:val="20"/>
    </w:rPr>
  </w:style>
  <w:style w:type="paragraph" w:customStyle="1" w:styleId="ChartGraphic">
    <w:name w:val="Chart Graphic"/>
    <w:basedOn w:val="Normal"/>
    <w:next w:val="Normal"/>
    <w:link w:val="ChartGraphicChar"/>
    <w:rsid w:val="00213120"/>
    <w:pPr>
      <w:keepNext/>
      <w:spacing w:before="0" w:after="0"/>
      <w:jc w:val="center"/>
    </w:pPr>
    <w:rPr>
      <w:color w:val="1E75BA" w:themeColor="accent2"/>
      <w:lang w:eastAsia="en-AU"/>
    </w:rPr>
  </w:style>
  <w:style w:type="paragraph" w:customStyle="1" w:styleId="AlphaParagraph">
    <w:name w:val="Alpha Paragraph"/>
    <w:basedOn w:val="Normal"/>
    <w:rsid w:val="00213120"/>
    <w:pPr>
      <w:numPr>
        <w:ilvl w:val="1"/>
        <w:numId w:val="36"/>
      </w:numPr>
      <w:spacing w:before="0"/>
    </w:pPr>
  </w:style>
  <w:style w:type="paragraph" w:customStyle="1" w:styleId="BoxBullet">
    <w:name w:val="Box Bullet"/>
    <w:basedOn w:val="Normal"/>
    <w:link w:val="BoxBulletChar"/>
    <w:rsid w:val="00213120"/>
    <w:pPr>
      <w:numPr>
        <w:numId w:val="40"/>
      </w:numPr>
      <w:spacing w:before="40" w:after="40"/>
      <w:jc w:val="both"/>
    </w:pPr>
    <w:rPr>
      <w:rFonts w:cs="Times New Roman"/>
      <w:bdr w:val="none" w:sz="0" w:space="0" w:color="auto" w:frame="1"/>
      <w:lang w:eastAsia="en-AU"/>
    </w:rPr>
  </w:style>
  <w:style w:type="paragraph" w:customStyle="1" w:styleId="BoxDash">
    <w:name w:val="Box Dash"/>
    <w:basedOn w:val="Normal"/>
    <w:link w:val="BoxDashChar"/>
    <w:rsid w:val="00213120"/>
    <w:pPr>
      <w:numPr>
        <w:ilvl w:val="1"/>
        <w:numId w:val="40"/>
      </w:numPr>
      <w:spacing w:before="40" w:after="40"/>
      <w:jc w:val="both"/>
    </w:pPr>
    <w:rPr>
      <w:rFonts w:cs="Times New Roman"/>
      <w:bdr w:val="none" w:sz="0" w:space="0" w:color="auto" w:frame="1"/>
      <w:lang w:eastAsia="en-AU"/>
    </w:rPr>
  </w:style>
  <w:style w:type="paragraph" w:customStyle="1" w:styleId="BoxDoubleDot">
    <w:name w:val="Box Double Dot"/>
    <w:basedOn w:val="Normal"/>
    <w:rsid w:val="00213120"/>
    <w:pPr>
      <w:numPr>
        <w:ilvl w:val="2"/>
        <w:numId w:val="40"/>
      </w:numPr>
      <w:spacing w:before="0"/>
    </w:pPr>
  </w:style>
  <w:style w:type="paragraph" w:customStyle="1" w:styleId="BoxHeading">
    <w:name w:val="Box Heading"/>
    <w:basedOn w:val="Heading3"/>
    <w:next w:val="BoxText"/>
    <w:qFormat/>
    <w:rsid w:val="00213120"/>
    <w:pPr>
      <w:numPr>
        <w:numId w:val="44"/>
      </w:numPr>
      <w:pBdr>
        <w:top w:val="single" w:sz="24" w:space="1" w:color="EBE9E8" w:themeColor="accent5" w:themeTint="33"/>
        <w:left w:val="single" w:sz="24" w:space="4" w:color="EBE9E8" w:themeColor="accent5" w:themeTint="33"/>
        <w:bottom w:val="single" w:sz="24" w:space="1" w:color="EBE9E8" w:themeColor="accent5" w:themeTint="33"/>
        <w:right w:val="single" w:sz="24" w:space="4" w:color="EBE9E8" w:themeColor="accent5" w:themeTint="33"/>
      </w:pBdr>
      <w:shd w:val="clear" w:color="auto" w:fill="EBE9E8" w:themeFill="accent5" w:themeFillTint="33"/>
      <w:spacing w:before="100" w:beforeAutospacing="1"/>
    </w:pPr>
    <w:rPr>
      <w:rFonts w:asciiTheme="majorHAnsi" w:eastAsia="Times New Roman" w:hAnsiTheme="majorHAnsi" w:cstheme="majorHAnsi"/>
      <w:szCs w:val="32"/>
      <w:lang w:eastAsia="en-AU"/>
    </w:rPr>
  </w:style>
  <w:style w:type="paragraph" w:customStyle="1" w:styleId="BoxText">
    <w:name w:val="Box Text"/>
    <w:basedOn w:val="Normal"/>
    <w:rsid w:val="00213120"/>
    <w:pPr>
      <w:spacing w:before="80" w:after="80" w:line="264" w:lineRule="auto"/>
    </w:pPr>
    <w:rPr>
      <w:rFonts w:cstheme="minorHAnsi"/>
      <w:lang w:eastAsia="en-AU"/>
    </w:rPr>
  </w:style>
  <w:style w:type="paragraph" w:customStyle="1" w:styleId="Normalbullet">
    <w:name w:val="Normal bullet"/>
    <w:basedOn w:val="Normal"/>
    <w:link w:val="NormalbulletChar"/>
    <w:qFormat/>
    <w:rsid w:val="00213120"/>
    <w:pPr>
      <w:numPr>
        <w:numId w:val="24"/>
      </w:numPr>
      <w:spacing w:before="0"/>
      <w:ind w:left="284" w:hanging="284"/>
      <w:contextualSpacing/>
    </w:pPr>
  </w:style>
  <w:style w:type="paragraph" w:customStyle="1" w:styleId="ChartandTableFootnoteAlpha">
    <w:name w:val="Chart and Table Footnote Alpha"/>
    <w:rsid w:val="00213120"/>
    <w:pPr>
      <w:numPr>
        <w:numId w:val="22"/>
      </w:numPr>
      <w:spacing w:before="100"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Normal"/>
    <w:next w:val="ChartGraphic"/>
    <w:rsid w:val="00213120"/>
    <w:pPr>
      <w:keepNext/>
      <w:numPr>
        <w:numId w:val="43"/>
      </w:numPr>
      <w:pBdr>
        <w:top w:val="dashed" w:sz="4" w:space="1" w:color="002C47" w:themeColor="accent1"/>
      </w:pBdr>
      <w:tabs>
        <w:tab w:val="left" w:pos="993"/>
      </w:tabs>
      <w:spacing w:before="120" w:after="120" w:line="240" w:lineRule="auto"/>
      <w:ind w:left="907" w:hanging="907"/>
    </w:pPr>
    <w:rPr>
      <w:b/>
      <w:smallCaps/>
      <w:color w:val="002C47" w:themeColor="accent1"/>
      <w:spacing w:val="15"/>
    </w:rPr>
  </w:style>
  <w:style w:type="paragraph" w:customStyle="1" w:styleId="ChartorTableNote">
    <w:name w:val="Chart or Table Note"/>
    <w:next w:val="Normal"/>
    <w:rsid w:val="00213120"/>
    <w:pPr>
      <w:spacing w:before="100"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213120"/>
  </w:style>
  <w:style w:type="paragraph" w:customStyle="1" w:styleId="ReportDate">
    <w:name w:val="Report Date"/>
    <w:basedOn w:val="Normal"/>
    <w:link w:val="ReportDateChar"/>
    <w:rsid w:val="00213120"/>
    <w:pPr>
      <w:keepNext/>
      <w:spacing w:before="0" w:after="360"/>
    </w:pPr>
    <w:rPr>
      <w:color w:val="FFFFFF" w:themeColor="background1"/>
      <w:sz w:val="32"/>
    </w:rPr>
  </w:style>
  <w:style w:type="paragraph" w:customStyle="1" w:styleId="Normaldash">
    <w:name w:val="Normal dash"/>
    <w:basedOn w:val="Normal"/>
    <w:link w:val="NormaldashChar"/>
    <w:qFormat/>
    <w:rsid w:val="00213120"/>
    <w:pPr>
      <w:numPr>
        <w:ilvl w:val="1"/>
        <w:numId w:val="24"/>
      </w:numPr>
      <w:spacing w:before="0"/>
    </w:pPr>
  </w:style>
  <w:style w:type="paragraph" w:customStyle="1" w:styleId="Normaldoubledot">
    <w:name w:val="Normal double dot"/>
    <w:basedOn w:val="Normal"/>
    <w:qFormat/>
    <w:rsid w:val="00213120"/>
    <w:pPr>
      <w:numPr>
        <w:ilvl w:val="2"/>
        <w:numId w:val="24"/>
      </w:numPr>
      <w:spacing w:before="0"/>
    </w:pPr>
  </w:style>
  <w:style w:type="paragraph" w:customStyle="1" w:styleId="TableMainHeading">
    <w:name w:val="Table Main Heading"/>
    <w:basedOn w:val="Normal"/>
    <w:next w:val="Normal"/>
    <w:rsid w:val="00A252F6"/>
    <w:pPr>
      <w:keepNext/>
      <w:numPr>
        <w:numId w:val="42"/>
      </w:numPr>
      <w:pBdr>
        <w:top w:val="dashed" w:sz="4" w:space="1" w:color="002C47" w:themeColor="accent1"/>
      </w:pBdr>
      <w:tabs>
        <w:tab w:val="left" w:pos="993"/>
      </w:tabs>
      <w:spacing w:before="120" w:after="120" w:line="240" w:lineRule="auto"/>
      <w:ind w:left="907" w:hanging="907"/>
    </w:pPr>
    <w:rPr>
      <w:b/>
      <w:smallCaps/>
      <w:color w:val="002C47" w:themeColor="accent1"/>
      <w:spacing w:val="15"/>
    </w:rPr>
  </w:style>
  <w:style w:type="paragraph" w:customStyle="1" w:styleId="FooterEven">
    <w:name w:val="Footer Even"/>
    <w:basedOn w:val="Footer"/>
    <w:rsid w:val="00213120"/>
    <w:pPr>
      <w:keepNext/>
      <w:tabs>
        <w:tab w:val="clear" w:pos="4513"/>
        <w:tab w:val="clear" w:pos="9026"/>
      </w:tabs>
      <w:jc w:val="left"/>
    </w:pPr>
    <w:rPr>
      <w:noProof/>
      <w:color w:val="002C47" w:themeColor="accent1"/>
    </w:rPr>
  </w:style>
  <w:style w:type="paragraph" w:customStyle="1" w:styleId="FooterOdd">
    <w:name w:val="Footer Odd"/>
    <w:basedOn w:val="Footer"/>
    <w:rsid w:val="00213120"/>
    <w:pPr>
      <w:keepNext/>
      <w:tabs>
        <w:tab w:val="clear" w:pos="4513"/>
        <w:tab w:val="clear" w:pos="9026"/>
      </w:tabs>
      <w:jc w:val="right"/>
    </w:pPr>
    <w:rPr>
      <w:color w:val="002C47" w:themeColor="accent1"/>
    </w:rPr>
  </w:style>
  <w:style w:type="character" w:styleId="Hyperlink">
    <w:name w:val="Hyperlink"/>
    <w:basedOn w:val="DefaultParagraphFont"/>
    <w:uiPriority w:val="99"/>
    <w:rsid w:val="00213120"/>
    <w:rPr>
      <w:color w:val="1E75BA" w:themeColor="accent2"/>
      <w:u w:val="single"/>
    </w:rPr>
  </w:style>
  <w:style w:type="paragraph" w:customStyle="1" w:styleId="OutlineNumbered1">
    <w:name w:val="Outline Numbered 1"/>
    <w:basedOn w:val="Normal"/>
    <w:rsid w:val="00213120"/>
    <w:pPr>
      <w:numPr>
        <w:numId w:val="35"/>
      </w:numPr>
      <w:spacing w:before="0"/>
    </w:pPr>
  </w:style>
  <w:style w:type="paragraph" w:customStyle="1" w:styleId="OneLevelNumberedParagraph">
    <w:name w:val="One Level Numbered Paragraph"/>
    <w:basedOn w:val="Normal"/>
    <w:rsid w:val="00AB575C"/>
    <w:pPr>
      <w:tabs>
        <w:tab w:val="num" w:pos="284"/>
      </w:tabs>
      <w:ind w:left="284" w:hanging="284"/>
    </w:pPr>
  </w:style>
  <w:style w:type="paragraph" w:customStyle="1" w:styleId="OutlineNumbered2">
    <w:name w:val="Outline Numbered 2"/>
    <w:basedOn w:val="Normal"/>
    <w:rsid w:val="00213120"/>
    <w:pPr>
      <w:numPr>
        <w:ilvl w:val="1"/>
        <w:numId w:val="35"/>
      </w:numPr>
      <w:spacing w:before="0"/>
    </w:pPr>
  </w:style>
  <w:style w:type="paragraph" w:customStyle="1" w:styleId="OutlineNumbered3">
    <w:name w:val="Outline Numbered 3"/>
    <w:basedOn w:val="Normal"/>
    <w:rsid w:val="00213120"/>
    <w:pPr>
      <w:numPr>
        <w:ilvl w:val="2"/>
        <w:numId w:val="35"/>
      </w:numPr>
      <w:spacing w:before="0"/>
    </w:pPr>
  </w:style>
  <w:style w:type="paragraph" w:customStyle="1" w:styleId="Romannumeral">
    <w:name w:val="Roman numeral"/>
    <w:basedOn w:val="Normal"/>
    <w:rsid w:val="00213120"/>
    <w:pPr>
      <w:numPr>
        <w:numId w:val="36"/>
      </w:numPr>
      <w:tabs>
        <w:tab w:val="clear" w:pos="720"/>
        <w:tab w:val="num" w:pos="851"/>
      </w:tabs>
      <w:spacing w:before="0"/>
    </w:pPr>
  </w:style>
  <w:style w:type="paragraph" w:customStyle="1" w:styleId="SingleParagraph">
    <w:name w:val="Single Paragraph"/>
    <w:basedOn w:val="Normal"/>
    <w:link w:val="SingleParagraphChar"/>
    <w:rsid w:val="00213120"/>
    <w:pPr>
      <w:spacing w:before="0" w:after="0" w:line="216" w:lineRule="auto"/>
    </w:pPr>
  </w:style>
  <w:style w:type="paragraph" w:customStyle="1" w:styleId="TableSecondHeading">
    <w:name w:val="Table Second Heading"/>
    <w:basedOn w:val="Normal"/>
    <w:next w:val="Normal"/>
    <w:qFormat/>
    <w:rsid w:val="00213120"/>
    <w:pPr>
      <w:keepNext/>
      <w:spacing w:before="40" w:after="40"/>
    </w:pPr>
    <w:rPr>
      <w:rFonts w:cs="Times New Roman"/>
      <w:b/>
      <w:smallCaps/>
      <w:color w:val="277F98" w:themeColor="accent6"/>
      <w:bdr w:val="none" w:sz="0" w:space="0" w:color="auto" w:frame="1"/>
      <w:lang w:eastAsia="en-AU"/>
    </w:rPr>
  </w:style>
  <w:style w:type="paragraph" w:customStyle="1" w:styleId="TableColumnHeadingCentred">
    <w:name w:val="Table Column Heading Centred"/>
    <w:basedOn w:val="TableTextLeft"/>
    <w:rsid w:val="00213120"/>
    <w:pPr>
      <w:jc w:val="center"/>
    </w:pPr>
    <w:rPr>
      <w:b/>
      <w:color w:val="002C47" w:themeColor="accent1"/>
    </w:rPr>
  </w:style>
  <w:style w:type="paragraph" w:customStyle="1" w:styleId="TableColumnHeadingLeft">
    <w:name w:val="Table Column Heading Left"/>
    <w:basedOn w:val="TableTextLeft"/>
    <w:rsid w:val="00213120"/>
    <w:rPr>
      <w:b/>
      <w:color w:val="002C47" w:themeColor="accent1"/>
    </w:rPr>
  </w:style>
  <w:style w:type="paragraph" w:customStyle="1" w:styleId="TableColumnHeadingRight">
    <w:name w:val="Table Column Heading Right"/>
    <w:basedOn w:val="TableTextLeft"/>
    <w:rsid w:val="00213120"/>
    <w:pPr>
      <w:jc w:val="right"/>
    </w:pPr>
    <w:rPr>
      <w:b/>
      <w:color w:val="002C47" w:themeColor="accent1"/>
    </w:rPr>
  </w:style>
  <w:style w:type="table" w:styleId="TableGrid">
    <w:name w:val="Table Grid"/>
    <w:basedOn w:val="TableNormal"/>
    <w:uiPriority w:val="39"/>
    <w:rsid w:val="00213120"/>
    <w:pPr>
      <w:spacing w:before="100" w:after="240" w:line="260" w:lineRule="exact"/>
      <w:jc w:val="both"/>
    </w:pPr>
    <w:rPr>
      <w:rFonts w:ascii="Calibri" w:eastAsia="Times New Roman" w:hAnsi="Calibri" w:cs="Times New Roman"/>
      <w:sz w:val="20"/>
      <w:szCs w:val="20"/>
      <w:lang w:eastAsia="en-AU"/>
    </w:rPr>
    <w:tblPr/>
    <w:tcPr>
      <w:shd w:val="clear" w:color="auto" w:fill="E6E6E6"/>
    </w:tcPr>
  </w:style>
  <w:style w:type="paragraph" w:customStyle="1" w:styleId="TableTextCentered">
    <w:name w:val="Table Text Centered"/>
    <w:basedOn w:val="TableTextRight"/>
    <w:rsid w:val="00213120"/>
    <w:pPr>
      <w:jc w:val="center"/>
    </w:pPr>
  </w:style>
  <w:style w:type="paragraph" w:customStyle="1" w:styleId="TableTextLeft">
    <w:name w:val="Table Text Left"/>
    <w:basedOn w:val="TableTextRight"/>
    <w:rsid w:val="00A252F6"/>
    <w:pPr>
      <w:jc w:val="left"/>
    </w:pPr>
    <w:rPr>
      <w:rFonts w:cs="Times New Roman"/>
      <w:bdr w:val="none" w:sz="0" w:space="0" w:color="auto" w:frame="1"/>
      <w:lang w:eastAsia="en-AU"/>
    </w:rPr>
  </w:style>
  <w:style w:type="paragraph" w:customStyle="1" w:styleId="TableTextRight">
    <w:name w:val="Table Text Right"/>
    <w:basedOn w:val="Normal"/>
    <w:rsid w:val="00A252F6"/>
    <w:pPr>
      <w:spacing w:before="40" w:after="40" w:line="240" w:lineRule="auto"/>
      <w:jc w:val="right"/>
    </w:pPr>
    <w:rPr>
      <w:color w:val="000000"/>
    </w:rPr>
  </w:style>
  <w:style w:type="paragraph" w:styleId="TOC1">
    <w:name w:val="toc 1"/>
    <w:basedOn w:val="Normal"/>
    <w:next w:val="Normal"/>
    <w:uiPriority w:val="39"/>
    <w:rsid w:val="00213120"/>
    <w:pPr>
      <w:keepNext/>
      <w:tabs>
        <w:tab w:val="right" w:leader="dot" w:pos="9072"/>
      </w:tabs>
      <w:spacing w:before="180" w:after="0"/>
      <w:ind w:right="-2"/>
    </w:pPr>
    <w:rPr>
      <w:b/>
      <w:noProof/>
      <w:color w:val="000000" w:themeColor="text1"/>
      <w:szCs w:val="22"/>
    </w:rPr>
  </w:style>
  <w:style w:type="paragraph" w:styleId="TOC2">
    <w:name w:val="toc 2"/>
    <w:basedOn w:val="Normal"/>
    <w:next w:val="Normal"/>
    <w:uiPriority w:val="39"/>
    <w:rsid w:val="00213120"/>
    <w:pPr>
      <w:keepNext/>
      <w:tabs>
        <w:tab w:val="right" w:leader="dot" w:pos="9072"/>
      </w:tabs>
      <w:spacing w:before="40" w:after="20"/>
    </w:pPr>
    <w:rPr>
      <w:noProof/>
      <w:color w:val="000000" w:themeColor="text1"/>
    </w:rPr>
  </w:style>
  <w:style w:type="paragraph" w:styleId="TOC3">
    <w:name w:val="toc 3"/>
    <w:basedOn w:val="Normal"/>
    <w:next w:val="Normal"/>
    <w:uiPriority w:val="39"/>
    <w:rsid w:val="00213120"/>
    <w:pPr>
      <w:tabs>
        <w:tab w:val="right" w:leader="dot" w:pos="9072"/>
      </w:tabs>
      <w:spacing w:before="20" w:after="0"/>
    </w:pPr>
    <w:rPr>
      <w:rFonts w:cs="Calibri"/>
      <w:noProof/>
      <w:color w:val="000000" w:themeColor="text1"/>
    </w:rPr>
  </w:style>
  <w:style w:type="numbering" w:customStyle="1" w:styleId="OutlineList">
    <w:name w:val="OutlineList"/>
    <w:uiPriority w:val="99"/>
    <w:rsid w:val="00213120"/>
    <w:pPr>
      <w:numPr>
        <w:numId w:val="12"/>
      </w:numPr>
    </w:pPr>
  </w:style>
  <w:style w:type="numbering" w:customStyle="1" w:styleId="BulletedList">
    <w:name w:val="Bulleted List"/>
    <w:uiPriority w:val="99"/>
    <w:rsid w:val="00213120"/>
    <w:pPr>
      <w:numPr>
        <w:numId w:val="4"/>
      </w:numPr>
    </w:pPr>
  </w:style>
  <w:style w:type="numbering" w:customStyle="1" w:styleId="BoxBulletedList">
    <w:name w:val="Box Bulleted List"/>
    <w:uiPriority w:val="99"/>
    <w:rsid w:val="00213120"/>
    <w:pPr>
      <w:numPr>
        <w:numId w:val="1"/>
      </w:numPr>
    </w:pPr>
  </w:style>
  <w:style w:type="numbering" w:customStyle="1" w:styleId="OneLevelList">
    <w:name w:val="OneLevelList"/>
    <w:uiPriority w:val="99"/>
    <w:rsid w:val="00213120"/>
    <w:pPr>
      <w:numPr>
        <w:numId w:val="11"/>
      </w:numPr>
    </w:pPr>
  </w:style>
  <w:style w:type="numbering" w:customStyle="1" w:styleId="ChartandTableFootnoteAlphaList">
    <w:name w:val="ChartandTableFootnoteAlphaList"/>
    <w:uiPriority w:val="99"/>
    <w:rsid w:val="00213120"/>
    <w:pPr>
      <w:numPr>
        <w:numId w:val="6"/>
      </w:numPr>
    </w:pPr>
  </w:style>
  <w:style w:type="paragraph" w:customStyle="1" w:styleId="Crest">
    <w:name w:val="Crest"/>
    <w:basedOn w:val="Header"/>
    <w:rsid w:val="00AB575C"/>
    <w:pPr>
      <w:spacing w:after="480"/>
    </w:pPr>
    <w:rPr>
      <w:color w:val="000000" w:themeColor="text1"/>
    </w:rPr>
  </w:style>
  <w:style w:type="paragraph" w:customStyle="1" w:styleId="Heading1Numbered">
    <w:name w:val="Heading 1 Numbered"/>
    <w:basedOn w:val="Heading1"/>
    <w:next w:val="Normal"/>
    <w:rsid w:val="00213120"/>
    <w:pPr>
      <w:numPr>
        <w:numId w:val="27"/>
      </w:numPr>
    </w:pPr>
  </w:style>
  <w:style w:type="character" w:customStyle="1" w:styleId="SingleParagraphChar">
    <w:name w:val="Single Paragraph Char"/>
    <w:basedOn w:val="DefaultParagraphFont"/>
    <w:link w:val="SingleParagraph"/>
    <w:rsid w:val="00213120"/>
    <w:rPr>
      <w:rFonts w:ascii="Calibri" w:hAnsi="Calibri"/>
      <w:sz w:val="20"/>
      <w:szCs w:val="20"/>
    </w:rPr>
  </w:style>
  <w:style w:type="paragraph" w:customStyle="1" w:styleId="Heading2Numbered">
    <w:name w:val="Heading 2 Numbered"/>
    <w:basedOn w:val="Heading2"/>
    <w:next w:val="Normal"/>
    <w:rsid w:val="00213120"/>
    <w:pPr>
      <w:numPr>
        <w:ilvl w:val="1"/>
        <w:numId w:val="27"/>
      </w:numPr>
    </w:pPr>
  </w:style>
  <w:style w:type="paragraph" w:customStyle="1" w:styleId="Heading3Numbered">
    <w:name w:val="Heading 3 Numbered"/>
    <w:basedOn w:val="Heading3"/>
    <w:qFormat/>
    <w:rsid w:val="00213120"/>
    <w:pPr>
      <w:numPr>
        <w:ilvl w:val="2"/>
        <w:numId w:val="27"/>
      </w:numPr>
    </w:pPr>
  </w:style>
  <w:style w:type="paragraph" w:styleId="Title">
    <w:name w:val="Title"/>
    <w:basedOn w:val="Normal"/>
    <w:next w:val="Normal"/>
    <w:link w:val="TitleChar"/>
    <w:uiPriority w:val="10"/>
    <w:qFormat/>
    <w:rsid w:val="00213120"/>
    <w:pPr>
      <w:spacing w:before="0" w:after="0"/>
    </w:pPr>
    <w:rPr>
      <w:rFonts w:asciiTheme="majorHAnsi" w:eastAsiaTheme="majorEastAsia" w:hAnsiTheme="majorHAnsi" w:cstheme="majorBidi"/>
      <w:b/>
      <w:caps/>
      <w:color w:val="FFFFFF" w:themeColor="background1"/>
      <w:spacing w:val="10"/>
      <w:sz w:val="44"/>
      <w:szCs w:val="52"/>
    </w:rPr>
  </w:style>
  <w:style w:type="character" w:customStyle="1" w:styleId="TitleChar">
    <w:name w:val="Title Char"/>
    <w:basedOn w:val="DefaultParagraphFont"/>
    <w:link w:val="Title"/>
    <w:uiPriority w:val="10"/>
    <w:rsid w:val="00213120"/>
    <w:rPr>
      <w:rFonts w:asciiTheme="majorHAnsi" w:eastAsiaTheme="majorEastAsia" w:hAnsiTheme="majorHAnsi" w:cstheme="majorBidi"/>
      <w:b/>
      <w:caps/>
      <w:color w:val="FFFFFF" w:themeColor="background1"/>
      <w:spacing w:val="10"/>
      <w:sz w:val="44"/>
      <w:szCs w:val="52"/>
    </w:rPr>
  </w:style>
  <w:style w:type="paragraph" w:styleId="Subtitle">
    <w:name w:val="Subtitle"/>
    <w:basedOn w:val="Normal"/>
    <w:next w:val="Normal"/>
    <w:link w:val="SubtitleChar"/>
    <w:uiPriority w:val="11"/>
    <w:rsid w:val="00213120"/>
    <w:pPr>
      <w:spacing w:before="120" w:after="500" w:line="240" w:lineRule="auto"/>
    </w:pPr>
    <w:rPr>
      <w:caps/>
      <w:color w:val="FFFFFF" w:themeColor="background1"/>
      <w:spacing w:val="10"/>
      <w:sz w:val="24"/>
      <w:szCs w:val="24"/>
    </w:rPr>
  </w:style>
  <w:style w:type="character" w:customStyle="1" w:styleId="SubtitleChar">
    <w:name w:val="Subtitle Char"/>
    <w:basedOn w:val="DefaultParagraphFont"/>
    <w:link w:val="Subtitle"/>
    <w:uiPriority w:val="11"/>
    <w:rsid w:val="00213120"/>
    <w:rPr>
      <w:rFonts w:ascii="Calibri" w:hAnsi="Calibri"/>
      <w:caps/>
      <w:color w:val="FFFFFF" w:themeColor="background1"/>
      <w:spacing w:val="10"/>
      <w:sz w:val="24"/>
      <w:szCs w:val="24"/>
    </w:rPr>
  </w:style>
  <w:style w:type="character" w:styleId="SubtleEmphasis">
    <w:name w:val="Subtle Emphasis"/>
    <w:uiPriority w:val="19"/>
    <w:rsid w:val="00AB575C"/>
    <w:rPr>
      <w:i/>
      <w:iCs/>
      <w:color w:val="001523" w:themeColor="accent1" w:themeShade="7F"/>
    </w:rPr>
  </w:style>
  <w:style w:type="paragraph" w:styleId="Footer">
    <w:name w:val="footer"/>
    <w:basedOn w:val="Normal"/>
    <w:link w:val="FooterChar"/>
    <w:unhideWhenUsed/>
    <w:rsid w:val="00213120"/>
    <w:pPr>
      <w:tabs>
        <w:tab w:val="center" w:pos="4513"/>
        <w:tab w:val="right" w:pos="9026"/>
      </w:tabs>
      <w:spacing w:before="0" w:after="0"/>
      <w:jc w:val="center"/>
    </w:pPr>
    <w:rPr>
      <w:color w:val="002C47"/>
    </w:rPr>
  </w:style>
  <w:style w:type="character" w:customStyle="1" w:styleId="FooterChar">
    <w:name w:val="Footer Char"/>
    <w:basedOn w:val="DefaultParagraphFont"/>
    <w:link w:val="Footer"/>
    <w:rsid w:val="00213120"/>
    <w:rPr>
      <w:rFonts w:ascii="Calibri" w:hAnsi="Calibri"/>
      <w:color w:val="002C47"/>
      <w:sz w:val="20"/>
      <w:szCs w:val="20"/>
    </w:rPr>
  </w:style>
  <w:style w:type="paragraph" w:styleId="Header">
    <w:name w:val="header"/>
    <w:basedOn w:val="Footer"/>
    <w:link w:val="HeaderChar"/>
    <w:uiPriority w:val="99"/>
    <w:unhideWhenUsed/>
    <w:rsid w:val="00213120"/>
  </w:style>
  <w:style w:type="character" w:customStyle="1" w:styleId="HeaderChar">
    <w:name w:val="Header Char"/>
    <w:basedOn w:val="DefaultParagraphFont"/>
    <w:link w:val="Header"/>
    <w:uiPriority w:val="99"/>
    <w:rsid w:val="00213120"/>
    <w:rPr>
      <w:rFonts w:ascii="Calibri" w:hAnsi="Calibri"/>
      <w:color w:val="002C47"/>
      <w:sz w:val="20"/>
      <w:szCs w:val="20"/>
    </w:rPr>
  </w:style>
  <w:style w:type="character" w:styleId="PlaceholderText">
    <w:name w:val="Placeholder Text"/>
    <w:basedOn w:val="DefaultParagraphFont"/>
    <w:uiPriority w:val="99"/>
    <w:semiHidden/>
    <w:rsid w:val="00213120"/>
    <w:rPr>
      <w:color w:val="808080"/>
    </w:rPr>
  </w:style>
  <w:style w:type="paragraph" w:customStyle="1" w:styleId="AppendixHeading">
    <w:name w:val="Appendix Heading"/>
    <w:basedOn w:val="Normal"/>
    <w:next w:val="Normal"/>
    <w:rsid w:val="00AB575C"/>
    <w:pPr>
      <w:keepNext/>
      <w:spacing w:before="720" w:after="360"/>
    </w:pPr>
    <w:rPr>
      <w:rFonts w:ascii="Arial Bold" w:hAnsi="Arial Bold"/>
      <w:b/>
      <w:smallCaps/>
      <w:color w:val="004A7F"/>
      <w:sz w:val="36"/>
      <w:szCs w:val="36"/>
    </w:rPr>
  </w:style>
  <w:style w:type="paragraph" w:customStyle="1" w:styleId="HeadingBase">
    <w:name w:val="Heading Base"/>
    <w:rsid w:val="00213120"/>
    <w:pPr>
      <w:keepNext/>
      <w:spacing w:before="100"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213120"/>
    <w:rPr>
      <w:rFonts w:ascii="Calibri" w:hAnsi="Calibri"/>
      <w:color w:val="FFFFFF" w:themeColor="background1"/>
      <w:sz w:val="32"/>
      <w:szCs w:val="20"/>
    </w:rPr>
  </w:style>
  <w:style w:type="paragraph" w:customStyle="1" w:styleId="Disclaimer">
    <w:name w:val="Disclaimer"/>
    <w:basedOn w:val="ReportDate"/>
    <w:rsid w:val="00AB575C"/>
    <w:pPr>
      <w:spacing w:after="1800"/>
      <w:ind w:right="142"/>
    </w:pPr>
    <w:rPr>
      <w:rFonts w:ascii="Century Gothic" w:hAnsi="Century Gothic"/>
      <w:b/>
      <w:bCs/>
      <w:color w:val="38AFCF" w:themeColor="text2"/>
      <w:sz w:val="22"/>
    </w:rPr>
  </w:style>
  <w:style w:type="paragraph" w:customStyle="1" w:styleId="NotesHeading">
    <w:name w:val="Notes Heading"/>
    <w:basedOn w:val="Normal"/>
    <w:rsid w:val="00AB575C"/>
    <w:pPr>
      <w:keepNext/>
      <w:spacing w:before="240" w:after="360"/>
      <w:jc w:val="center"/>
    </w:pPr>
    <w:rPr>
      <w:rFonts w:ascii="Century Gothic" w:hAnsi="Century Gothic"/>
      <w:smallCaps/>
      <w:color w:val="38AFCF" w:themeColor="text2"/>
      <w:sz w:val="36"/>
      <w:szCs w:val="36"/>
    </w:rPr>
  </w:style>
  <w:style w:type="paragraph" w:customStyle="1" w:styleId="Divider">
    <w:name w:val="Divider"/>
    <w:basedOn w:val="ReportDate"/>
    <w:rsid w:val="00AB575C"/>
    <w:pPr>
      <w:spacing w:after="1800"/>
    </w:pPr>
    <w:rPr>
      <w:rFonts w:ascii="Rockwell" w:hAnsi="Rockwell"/>
      <w:sz w:val="24"/>
    </w:rPr>
  </w:style>
  <w:style w:type="character" w:customStyle="1" w:styleId="FramedFooter">
    <w:name w:val="Framed Footer"/>
    <w:rsid w:val="00AB575C"/>
    <w:rPr>
      <w:rFonts w:ascii="Arial" w:hAnsi="Arial"/>
      <w:color w:val="002C47"/>
      <w:sz w:val="18"/>
    </w:rPr>
  </w:style>
  <w:style w:type="character" w:customStyle="1" w:styleId="FramedHeader">
    <w:name w:val="Framed Header"/>
    <w:basedOn w:val="DefaultParagraphFont"/>
    <w:rsid w:val="00AB575C"/>
    <w:rPr>
      <w:rFonts w:ascii="Arial" w:hAnsi="Arial"/>
      <w:dstrike w:val="0"/>
      <w:color w:val="auto"/>
      <w:sz w:val="18"/>
      <w:vertAlign w:val="baseline"/>
    </w:rPr>
  </w:style>
  <w:style w:type="paragraph" w:customStyle="1" w:styleId="TableTextIndented">
    <w:name w:val="Table Text Indented"/>
    <w:basedOn w:val="TableTextLeft"/>
    <w:rsid w:val="00213120"/>
    <w:pPr>
      <w:ind w:left="284"/>
    </w:pPr>
  </w:style>
  <w:style w:type="paragraph" w:customStyle="1" w:styleId="TableHeadingContinued">
    <w:name w:val="Table Heading Continued"/>
    <w:basedOn w:val="TableMainHeading"/>
    <w:next w:val="TableGraphic"/>
    <w:qFormat/>
    <w:rsid w:val="00213120"/>
    <w:pPr>
      <w:numPr>
        <w:numId w:val="0"/>
      </w:numPr>
    </w:pPr>
  </w:style>
  <w:style w:type="paragraph" w:customStyle="1" w:styleId="TableGraphic">
    <w:name w:val="Table Graphic"/>
    <w:basedOn w:val="HeadingBase"/>
    <w:next w:val="Normal"/>
    <w:rsid w:val="00213120"/>
    <w:pPr>
      <w:spacing w:after="0"/>
    </w:pPr>
    <w:rPr>
      <w:color w:val="auto"/>
      <w:sz w:val="20"/>
    </w:rPr>
  </w:style>
  <w:style w:type="paragraph" w:customStyle="1" w:styleId="HeaderEven">
    <w:name w:val="Header Even"/>
    <w:basedOn w:val="Header"/>
    <w:rsid w:val="00213120"/>
    <w:pPr>
      <w:jc w:val="left"/>
    </w:pPr>
    <w:rPr>
      <w:color w:val="002C47" w:themeColor="accent1"/>
    </w:rPr>
  </w:style>
  <w:style w:type="paragraph" w:customStyle="1" w:styleId="HeaderOdd">
    <w:name w:val="Header Odd"/>
    <w:basedOn w:val="Header"/>
    <w:rsid w:val="00213120"/>
    <w:pPr>
      <w:jc w:val="right"/>
    </w:pPr>
    <w:rPr>
      <w:color w:val="002C47" w:themeColor="accent1"/>
    </w:rPr>
  </w:style>
  <w:style w:type="paragraph" w:styleId="FootnoteText">
    <w:name w:val="footnote text"/>
    <w:basedOn w:val="CommentText"/>
    <w:link w:val="FootnoteTextChar"/>
    <w:uiPriority w:val="99"/>
    <w:rsid w:val="00213120"/>
    <w:pPr>
      <w:tabs>
        <w:tab w:val="left" w:pos="284"/>
      </w:tabs>
      <w:spacing w:before="0"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213120"/>
    <w:rPr>
      <w:rFonts w:ascii="Calibri" w:hAnsi="Calibri"/>
      <w:sz w:val="18"/>
      <w:szCs w:val="18"/>
    </w:rPr>
  </w:style>
  <w:style w:type="character" w:styleId="FootnoteReference">
    <w:name w:val="footnote reference"/>
    <w:basedOn w:val="DefaultParagraphFont"/>
    <w:uiPriority w:val="99"/>
    <w:rsid w:val="00213120"/>
    <w:rPr>
      <w:rFonts w:ascii="Calibri" w:hAnsi="Calibri"/>
      <w:sz w:val="20"/>
      <w:vertAlign w:val="superscript"/>
    </w:rPr>
  </w:style>
  <w:style w:type="paragraph" w:styleId="BalloonText">
    <w:name w:val="Balloon Text"/>
    <w:basedOn w:val="Normal"/>
    <w:link w:val="BalloonTextChar"/>
    <w:uiPriority w:val="99"/>
    <w:semiHidden/>
    <w:unhideWhenUsed/>
    <w:rsid w:val="0021312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120"/>
    <w:rPr>
      <w:rFonts w:ascii="Tahoma" w:hAnsi="Tahoma" w:cs="Tahoma"/>
      <w:sz w:val="16"/>
      <w:szCs w:val="16"/>
    </w:rPr>
  </w:style>
  <w:style w:type="paragraph" w:styleId="NoSpacing">
    <w:name w:val="No Spacing"/>
    <w:link w:val="NoSpacingChar"/>
    <w:uiPriority w:val="1"/>
    <w:rsid w:val="00AB575C"/>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AB575C"/>
    <w:rPr>
      <w:rFonts w:eastAsiaTheme="minorEastAsia"/>
      <w:sz w:val="20"/>
      <w:szCs w:val="20"/>
    </w:rPr>
  </w:style>
  <w:style w:type="character" w:styleId="CommentReference">
    <w:name w:val="annotation reference"/>
    <w:basedOn w:val="DefaultParagraphFont"/>
    <w:uiPriority w:val="99"/>
    <w:semiHidden/>
    <w:unhideWhenUsed/>
    <w:rsid w:val="00213120"/>
    <w:rPr>
      <w:sz w:val="16"/>
      <w:szCs w:val="16"/>
    </w:rPr>
  </w:style>
  <w:style w:type="paragraph" w:styleId="CommentText">
    <w:name w:val="annotation text"/>
    <w:basedOn w:val="Normal"/>
    <w:link w:val="CommentTextChar"/>
    <w:uiPriority w:val="99"/>
    <w:unhideWhenUsed/>
    <w:rsid w:val="00213120"/>
  </w:style>
  <w:style w:type="character" w:customStyle="1" w:styleId="CommentTextChar">
    <w:name w:val="Comment Text Char"/>
    <w:basedOn w:val="DefaultParagraphFont"/>
    <w:link w:val="CommentText"/>
    <w:uiPriority w:val="99"/>
    <w:rsid w:val="00213120"/>
    <w:rPr>
      <w:rFonts w:ascii="Calibri" w:hAnsi="Calibri"/>
      <w:sz w:val="20"/>
      <w:szCs w:val="20"/>
    </w:rPr>
  </w:style>
  <w:style w:type="paragraph" w:customStyle="1" w:styleId="PreparedBy">
    <w:name w:val="PreparedBy"/>
    <w:basedOn w:val="Subtitle"/>
    <w:qFormat/>
    <w:rsid w:val="00213120"/>
    <w:rPr>
      <w:sz w:val="22"/>
      <w:szCs w:val="22"/>
    </w:rPr>
  </w:style>
  <w:style w:type="character" w:styleId="BookTitle">
    <w:name w:val="Book Title"/>
    <w:uiPriority w:val="33"/>
    <w:rsid w:val="00AB575C"/>
    <w:rPr>
      <w:b/>
      <w:bCs/>
      <w:i/>
      <w:iCs/>
      <w:spacing w:val="0"/>
    </w:rPr>
  </w:style>
  <w:style w:type="character" w:customStyle="1" w:styleId="NormalbulletChar">
    <w:name w:val="Normal bullet Char"/>
    <w:basedOn w:val="DefaultParagraphFont"/>
    <w:link w:val="Normalbullet"/>
    <w:locked/>
    <w:rsid w:val="00213120"/>
    <w:rPr>
      <w:rFonts w:ascii="Calibri" w:hAnsi="Calibri"/>
      <w:sz w:val="20"/>
      <w:szCs w:val="20"/>
    </w:rPr>
  </w:style>
  <w:style w:type="paragraph" w:styleId="Caption">
    <w:name w:val="caption"/>
    <w:basedOn w:val="Normal"/>
    <w:next w:val="Normal"/>
    <w:uiPriority w:val="35"/>
    <w:semiHidden/>
    <w:unhideWhenUsed/>
    <w:qFormat/>
    <w:rsid w:val="00213120"/>
    <w:rPr>
      <w:b/>
      <w:bCs/>
      <w:color w:val="002035" w:themeColor="accent1" w:themeShade="BF"/>
      <w:sz w:val="16"/>
      <w:szCs w:val="16"/>
    </w:rPr>
  </w:style>
  <w:style w:type="paragraph" w:styleId="CommentSubject">
    <w:name w:val="annotation subject"/>
    <w:basedOn w:val="CommentText"/>
    <w:next w:val="CommentText"/>
    <w:link w:val="CommentSubjectChar"/>
    <w:uiPriority w:val="99"/>
    <w:semiHidden/>
    <w:unhideWhenUsed/>
    <w:rsid w:val="00213120"/>
    <w:rPr>
      <w:b/>
      <w:bCs/>
    </w:rPr>
  </w:style>
  <w:style w:type="character" w:customStyle="1" w:styleId="CommentSubjectChar">
    <w:name w:val="Comment Subject Char"/>
    <w:basedOn w:val="CommentTextChar"/>
    <w:link w:val="CommentSubject"/>
    <w:uiPriority w:val="99"/>
    <w:semiHidden/>
    <w:rsid w:val="00213120"/>
    <w:rPr>
      <w:rFonts w:ascii="Calibri" w:hAnsi="Calibri"/>
      <w:b/>
      <w:bCs/>
      <w:sz w:val="20"/>
      <w:szCs w:val="20"/>
    </w:rPr>
  </w:style>
  <w:style w:type="character" w:customStyle="1" w:styleId="NormaldashChar">
    <w:name w:val="Normal dash Char"/>
    <w:basedOn w:val="DefaultParagraphFont"/>
    <w:link w:val="Normaldash"/>
    <w:locked/>
    <w:rsid w:val="00213120"/>
    <w:rPr>
      <w:rFonts w:ascii="Calibri" w:hAnsi="Calibri"/>
      <w:sz w:val="20"/>
      <w:szCs w:val="20"/>
    </w:rPr>
  </w:style>
  <w:style w:type="paragraph" w:customStyle="1" w:styleId="Default">
    <w:name w:val="Default"/>
    <w:rsid w:val="00AB575C"/>
    <w:pPr>
      <w:autoSpaceDE w:val="0"/>
      <w:autoSpaceDN w:val="0"/>
      <w:adjustRightInd w:val="0"/>
      <w:spacing w:before="100" w:after="0" w:line="240" w:lineRule="auto"/>
    </w:pPr>
    <w:rPr>
      <w:rFonts w:ascii="Palatino" w:eastAsia="Times New Roman" w:hAnsi="Palatino" w:cs="Palatino"/>
      <w:color w:val="000000"/>
      <w:sz w:val="24"/>
      <w:szCs w:val="24"/>
      <w:lang w:val="en-US"/>
    </w:rPr>
  </w:style>
  <w:style w:type="character" w:styleId="Emphasis">
    <w:name w:val="Emphasis"/>
    <w:uiPriority w:val="20"/>
    <w:rsid w:val="00AB575C"/>
    <w:rPr>
      <w:caps/>
      <w:color w:val="001523" w:themeColor="accent1" w:themeShade="7F"/>
      <w:spacing w:val="5"/>
    </w:rPr>
  </w:style>
  <w:style w:type="character" w:customStyle="1" w:styleId="Heading7Char">
    <w:name w:val="Heading 7 Char"/>
    <w:basedOn w:val="DefaultParagraphFont"/>
    <w:link w:val="Heading7"/>
    <w:uiPriority w:val="9"/>
    <w:rsid w:val="00213120"/>
    <w:rPr>
      <w:rFonts w:ascii="Calibri" w:hAnsi="Calibri"/>
      <w:iCs/>
      <w:color w:val="CF542F" w:themeColor="accent3"/>
      <w:spacing w:val="10"/>
      <w:sz w:val="20"/>
      <w:szCs w:val="20"/>
    </w:rPr>
  </w:style>
  <w:style w:type="character" w:customStyle="1" w:styleId="Heading8Char">
    <w:name w:val="Heading 8 Char"/>
    <w:basedOn w:val="DefaultParagraphFont"/>
    <w:link w:val="Heading8"/>
    <w:uiPriority w:val="9"/>
    <w:rsid w:val="00213120"/>
    <w:rPr>
      <w:rFonts w:ascii="Calibri" w:hAnsi="Calibri"/>
      <w:bCs/>
      <w:sz w:val="20"/>
      <w:szCs w:val="20"/>
    </w:rPr>
  </w:style>
  <w:style w:type="character" w:customStyle="1" w:styleId="Heading9Char">
    <w:name w:val="Heading 9 Char"/>
    <w:basedOn w:val="DefaultParagraphFont"/>
    <w:link w:val="Heading9"/>
    <w:uiPriority w:val="9"/>
    <w:rsid w:val="00213120"/>
    <w:rPr>
      <w:rFonts w:ascii="Calibri" w:hAnsi="Calibri"/>
      <w:bCs/>
      <w:sz w:val="20"/>
      <w:szCs w:val="20"/>
    </w:rPr>
  </w:style>
  <w:style w:type="character" w:styleId="IntenseEmphasis">
    <w:name w:val="Intense Emphasis"/>
    <w:uiPriority w:val="21"/>
    <w:rsid w:val="00AB575C"/>
    <w:rPr>
      <w:b/>
      <w:bCs/>
      <w:caps/>
      <w:color w:val="001523" w:themeColor="accent1" w:themeShade="7F"/>
      <w:spacing w:val="10"/>
    </w:rPr>
  </w:style>
  <w:style w:type="paragraph" w:styleId="IntenseQuote">
    <w:name w:val="Intense Quote"/>
    <w:basedOn w:val="Normal"/>
    <w:next w:val="Normal"/>
    <w:link w:val="IntenseQuoteChar"/>
    <w:uiPriority w:val="30"/>
    <w:rsid w:val="00AB575C"/>
    <w:pPr>
      <w:spacing w:before="240" w:after="240"/>
      <w:ind w:left="1080" w:right="1080"/>
      <w:jc w:val="center"/>
    </w:pPr>
    <w:rPr>
      <w:color w:val="002C47" w:themeColor="accent1"/>
    </w:rPr>
  </w:style>
  <w:style w:type="character" w:customStyle="1" w:styleId="IntenseQuoteChar">
    <w:name w:val="Intense Quote Char"/>
    <w:basedOn w:val="DefaultParagraphFont"/>
    <w:link w:val="IntenseQuote"/>
    <w:uiPriority w:val="30"/>
    <w:rsid w:val="00AB575C"/>
    <w:rPr>
      <w:rFonts w:eastAsia="Times New Roman" w:cs="Times New Roman"/>
      <w:color w:val="002C47" w:themeColor="accent1"/>
      <w:sz w:val="20"/>
      <w:szCs w:val="20"/>
      <w:lang w:eastAsia="en-AU"/>
    </w:rPr>
  </w:style>
  <w:style w:type="character" w:styleId="IntenseReference">
    <w:name w:val="Intense Reference"/>
    <w:uiPriority w:val="32"/>
    <w:rsid w:val="00AB575C"/>
    <w:rPr>
      <w:b/>
      <w:bCs/>
      <w:i/>
      <w:iCs/>
      <w:caps/>
      <w:color w:val="002C47" w:themeColor="accent1"/>
    </w:rPr>
  </w:style>
  <w:style w:type="paragraph" w:styleId="ListParagraph">
    <w:name w:val="List Paragraph"/>
    <w:basedOn w:val="Normal"/>
    <w:uiPriority w:val="34"/>
    <w:rsid w:val="00213120"/>
    <w:pPr>
      <w:ind w:left="720"/>
      <w:contextualSpacing/>
    </w:pPr>
  </w:style>
  <w:style w:type="paragraph" w:styleId="NormalWeb">
    <w:name w:val="Normal (Web)"/>
    <w:basedOn w:val="Normal"/>
    <w:uiPriority w:val="99"/>
    <w:unhideWhenUsed/>
    <w:rsid w:val="00AB575C"/>
    <w:pPr>
      <w:spacing w:beforeAutospacing="1" w:after="100" w:afterAutospacing="1"/>
    </w:pPr>
    <w:rPr>
      <w:rFonts w:ascii="Times New Roman" w:hAnsi="Times New Roman"/>
    </w:rPr>
  </w:style>
  <w:style w:type="paragraph" w:styleId="Quote">
    <w:name w:val="Quote"/>
    <w:basedOn w:val="Normal"/>
    <w:next w:val="Normal"/>
    <w:link w:val="QuoteChar"/>
    <w:uiPriority w:val="29"/>
    <w:rsid w:val="00AB575C"/>
    <w:rPr>
      <w:i/>
      <w:iCs/>
    </w:rPr>
  </w:style>
  <w:style w:type="character" w:customStyle="1" w:styleId="QuoteChar">
    <w:name w:val="Quote Char"/>
    <w:basedOn w:val="DefaultParagraphFont"/>
    <w:link w:val="Quote"/>
    <w:uiPriority w:val="29"/>
    <w:rsid w:val="00AB575C"/>
    <w:rPr>
      <w:rFonts w:eastAsiaTheme="minorEastAsia"/>
      <w:i/>
      <w:iCs/>
      <w:sz w:val="24"/>
      <w:szCs w:val="24"/>
    </w:rPr>
  </w:style>
  <w:style w:type="character" w:styleId="Strong">
    <w:name w:val="Strong"/>
    <w:uiPriority w:val="22"/>
    <w:rsid w:val="00AB575C"/>
    <w:rPr>
      <w:b/>
      <w:bCs/>
    </w:rPr>
  </w:style>
  <w:style w:type="character" w:styleId="SubtleReference">
    <w:name w:val="Subtle Reference"/>
    <w:uiPriority w:val="31"/>
    <w:rsid w:val="00AB575C"/>
    <w:rPr>
      <w:b/>
      <w:bCs/>
      <w:color w:val="002C47" w:themeColor="accent1"/>
    </w:rPr>
  </w:style>
  <w:style w:type="paragraph" w:styleId="TOCHeading">
    <w:name w:val="TOC Heading"/>
    <w:basedOn w:val="Heading1"/>
    <w:next w:val="Normal"/>
    <w:uiPriority w:val="39"/>
    <w:semiHidden/>
    <w:unhideWhenUsed/>
    <w:qFormat/>
    <w:rsid w:val="00213120"/>
    <w:pPr>
      <w:outlineLvl w:val="9"/>
    </w:pPr>
  </w:style>
  <w:style w:type="character" w:customStyle="1" w:styleId="value">
    <w:name w:val="value"/>
    <w:basedOn w:val="DefaultParagraphFont"/>
    <w:rsid w:val="00930386"/>
  </w:style>
  <w:style w:type="paragraph" w:styleId="BodyText">
    <w:name w:val="Body Text"/>
    <w:basedOn w:val="Normal"/>
    <w:link w:val="BodyTextChar"/>
    <w:uiPriority w:val="99"/>
    <w:semiHidden/>
    <w:unhideWhenUsed/>
    <w:rsid w:val="00213120"/>
    <w:pPr>
      <w:spacing w:after="120"/>
    </w:pPr>
  </w:style>
  <w:style w:type="character" w:customStyle="1" w:styleId="BodyTextChar">
    <w:name w:val="Body Text Char"/>
    <w:basedOn w:val="DefaultParagraphFont"/>
    <w:link w:val="BodyText"/>
    <w:uiPriority w:val="99"/>
    <w:semiHidden/>
    <w:rsid w:val="00213120"/>
    <w:rPr>
      <w:rFonts w:ascii="Calibri" w:hAnsi="Calibri"/>
      <w:sz w:val="20"/>
      <w:szCs w:val="20"/>
    </w:rPr>
  </w:style>
  <w:style w:type="character" w:customStyle="1" w:styleId="BoxBulletChar">
    <w:name w:val="Box Bullet Char"/>
    <w:basedOn w:val="DefaultParagraphFont"/>
    <w:link w:val="BoxBullet"/>
    <w:rsid w:val="00213120"/>
    <w:rPr>
      <w:rFonts w:ascii="Calibri" w:hAnsi="Calibri" w:cs="Times New Roman"/>
      <w:sz w:val="20"/>
      <w:szCs w:val="20"/>
      <w:bdr w:val="none" w:sz="0" w:space="0" w:color="auto" w:frame="1"/>
      <w:lang w:eastAsia="en-AU"/>
    </w:rPr>
  </w:style>
  <w:style w:type="character" w:customStyle="1" w:styleId="BoxDashChar">
    <w:name w:val="Box Dash Char"/>
    <w:basedOn w:val="DefaultParagraphFont"/>
    <w:link w:val="BoxDash"/>
    <w:rsid w:val="00213120"/>
    <w:rPr>
      <w:rFonts w:ascii="Calibri" w:hAnsi="Calibri" w:cs="Times New Roman"/>
      <w:sz w:val="20"/>
      <w:szCs w:val="20"/>
      <w:bdr w:val="none" w:sz="0" w:space="0" w:color="auto" w:frame="1"/>
      <w:lang w:eastAsia="en-AU"/>
    </w:rPr>
  </w:style>
  <w:style w:type="paragraph" w:customStyle="1" w:styleId="Source">
    <w:name w:val="Source"/>
    <w:basedOn w:val="Normaldash"/>
    <w:link w:val="SourceChar"/>
    <w:qFormat/>
    <w:rsid w:val="00213120"/>
    <w:pPr>
      <w:numPr>
        <w:ilvl w:val="0"/>
        <w:numId w:val="0"/>
      </w:numPr>
      <w:pBdr>
        <w:bottom w:val="dashed" w:sz="4" w:space="1" w:color="002C47" w:themeColor="accent1"/>
      </w:pBdr>
      <w:tabs>
        <w:tab w:val="left" w:pos="0"/>
      </w:tabs>
      <w:spacing w:before="40" w:line="240" w:lineRule="auto"/>
      <w:ind w:left="851" w:hanging="851"/>
      <w:contextualSpacing/>
    </w:pPr>
    <w:rPr>
      <w:sz w:val="18"/>
      <w:bdr w:val="none" w:sz="0" w:space="0" w:color="auto" w:frame="1"/>
    </w:rPr>
  </w:style>
  <w:style w:type="character" w:customStyle="1" w:styleId="SourceChar">
    <w:name w:val="Source Char"/>
    <w:basedOn w:val="NormaldashChar"/>
    <w:link w:val="Source"/>
    <w:rsid w:val="00213120"/>
    <w:rPr>
      <w:rFonts w:ascii="Calibri" w:hAnsi="Calibri"/>
      <w:sz w:val="18"/>
      <w:szCs w:val="20"/>
      <w:bdr w:val="none" w:sz="0" w:space="0" w:color="auto" w:frame="1"/>
    </w:rPr>
  </w:style>
  <w:style w:type="paragraph" w:customStyle="1" w:styleId="Tabledash">
    <w:name w:val="Table dash"/>
    <w:basedOn w:val="BoxDash"/>
    <w:link w:val="TabledashChar"/>
    <w:qFormat/>
    <w:rsid w:val="00213120"/>
    <w:pPr>
      <w:tabs>
        <w:tab w:val="clear" w:pos="567"/>
        <w:tab w:val="num" w:pos="283"/>
      </w:tabs>
      <w:ind w:left="568" w:hanging="283"/>
    </w:pPr>
  </w:style>
  <w:style w:type="character" w:customStyle="1" w:styleId="TabledashChar">
    <w:name w:val="Table dash Char"/>
    <w:basedOn w:val="BoxDashChar"/>
    <w:link w:val="Tabledash"/>
    <w:rsid w:val="00213120"/>
    <w:rPr>
      <w:rFonts w:ascii="Calibri" w:hAnsi="Calibri" w:cs="Times New Roman"/>
      <w:sz w:val="20"/>
      <w:szCs w:val="20"/>
      <w:bdr w:val="none" w:sz="0" w:space="0" w:color="auto" w:frame="1"/>
      <w:lang w:eastAsia="en-AU"/>
    </w:rPr>
  </w:style>
  <w:style w:type="paragraph" w:customStyle="1" w:styleId="Tabledot">
    <w:name w:val="Table dot"/>
    <w:basedOn w:val="BoxBullet"/>
    <w:link w:val="TabledotChar"/>
    <w:qFormat/>
    <w:rsid w:val="00213120"/>
  </w:style>
  <w:style w:type="character" w:customStyle="1" w:styleId="TabledotChar">
    <w:name w:val="Table dot Char"/>
    <w:basedOn w:val="BoxBulletChar"/>
    <w:link w:val="Tabledot"/>
    <w:rsid w:val="00213120"/>
    <w:rPr>
      <w:rFonts w:ascii="Calibri" w:hAnsi="Calibri" w:cs="Times New Roman"/>
      <w:sz w:val="20"/>
      <w:szCs w:val="20"/>
      <w:bdr w:val="none" w:sz="0" w:space="0" w:color="auto" w:frame="1"/>
      <w:lang w:eastAsia="en-AU"/>
    </w:rPr>
  </w:style>
  <w:style w:type="table" w:customStyle="1" w:styleId="CPOPTable">
    <w:name w:val="CPOP Table"/>
    <w:basedOn w:val="TableNormal"/>
    <w:uiPriority w:val="99"/>
    <w:rsid w:val="00213120"/>
    <w:pPr>
      <w:spacing w:after="0" w:line="240" w:lineRule="auto"/>
    </w:pPr>
    <w:rPr>
      <w:rFonts w:ascii="Calibri" w:hAnsi="Calibri"/>
      <w:sz w:val="20"/>
      <w:szCs w:val="20"/>
    </w:rPr>
    <w:tblPr>
      <w:tblBorders>
        <w:bottom w:val="single" w:sz="8" w:space="0" w:color="000000" w:themeColor="text1"/>
      </w:tblBorders>
    </w:tblPr>
    <w:tcPr>
      <w:shd w:val="clear" w:color="auto" w:fill="auto"/>
    </w:tcPr>
    <w:tblStylePr w:type="firstRow">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lastRow">
      <w:tblPr/>
      <w:tcPr>
        <w:tcBorders>
          <w:bottom w:val="nil"/>
        </w:tcBorders>
      </w:tcPr>
    </w:tblStylePr>
  </w:style>
  <w:style w:type="character" w:customStyle="1" w:styleId="ChartGraphicChar">
    <w:name w:val="Chart Graphic Char"/>
    <w:basedOn w:val="Heading4Char"/>
    <w:link w:val="ChartGraphic"/>
    <w:rsid w:val="00816D74"/>
    <w:rPr>
      <w:rFonts w:ascii="Calibri" w:hAnsi="Calibri"/>
      <w:b w:val="0"/>
      <w:smallCaps w:val="0"/>
      <w:color w:val="1E75BA" w:themeColor="accent2"/>
      <w:spacing w:val="10"/>
      <w:sz w:val="20"/>
      <w:szCs w:val="20"/>
      <w:lang w:eastAsia="en-AU"/>
    </w:rPr>
  </w:style>
  <w:style w:type="paragraph" w:customStyle="1" w:styleId="Sidebysidechartheading">
    <w:name w:val="Side by side chart heading"/>
    <w:basedOn w:val="Normal"/>
    <w:qFormat/>
    <w:rsid w:val="00F77F98"/>
    <w:pPr>
      <w:spacing w:before="80" w:after="0"/>
      <w:jc w:val="center"/>
    </w:pPr>
    <w:rPr>
      <w:rFonts w:cstheme="minorHAnsi"/>
      <w:color w:val="133F4C" w:themeColor="accent6" w:themeShade="80"/>
    </w:rPr>
  </w:style>
  <w:style w:type="table" w:styleId="TableGridLight">
    <w:name w:val="Grid Table Light"/>
    <w:basedOn w:val="TableNormal"/>
    <w:uiPriority w:val="40"/>
    <w:rsid w:val="000F3327"/>
    <w:pPr>
      <w:spacing w:after="0" w:line="240" w:lineRule="auto"/>
    </w:pPr>
    <w:rPr>
      <w:kern w:val="2"/>
      <w:sz w:val="24"/>
      <w:szCs w:val="24"/>
      <w14:ligatures w14:val="standardContextual"/>
    </w:rPr>
    <w:tblPr/>
  </w:style>
  <w:style w:type="table" w:customStyle="1" w:styleId="CPOPBoxTable">
    <w:name w:val="CPOP Box Table"/>
    <w:basedOn w:val="TableNormal"/>
    <w:uiPriority w:val="99"/>
    <w:rsid w:val="00213120"/>
    <w:pPr>
      <w:spacing w:after="0" w:line="240" w:lineRule="auto"/>
    </w:pPr>
    <w:rPr>
      <w:rFonts w:ascii="Calibri" w:hAnsi="Calibri"/>
      <w:sz w:val="20"/>
      <w:szCs w:val="20"/>
    </w:rPr>
    <w:tblPr>
      <w:tblBorders>
        <w:top w:val="single" w:sz="8" w:space="0" w:color="9E928F" w:themeColor="accent5"/>
        <w:left w:val="single" w:sz="8" w:space="0" w:color="9E928F" w:themeColor="accent5"/>
        <w:bottom w:val="single" w:sz="8" w:space="0" w:color="9E928F" w:themeColor="accent5"/>
        <w:right w:val="single" w:sz="8" w:space="0" w:color="9E928F" w:themeColor="accent5"/>
      </w:tblBorders>
    </w:tblPr>
  </w:style>
  <w:style w:type="paragraph" w:customStyle="1" w:styleId="BoxHeadingcontinued">
    <w:name w:val="Box Heading (continued)"/>
    <w:basedOn w:val="BoxHeading"/>
    <w:qFormat/>
    <w:rsid w:val="00213120"/>
    <w:pPr>
      <w:numPr>
        <w:numId w:val="0"/>
      </w:numPr>
      <w:tabs>
        <w:tab w:val="left" w:pos="907"/>
      </w:tabs>
      <w:ind w:left="907" w:hanging="907"/>
    </w:pPr>
  </w:style>
  <w:style w:type="paragraph" w:customStyle="1" w:styleId="Boxcontinuedover">
    <w:name w:val="Box continued over"/>
    <w:basedOn w:val="BoxText"/>
    <w:qFormat/>
    <w:rsid w:val="00213120"/>
    <w:pPr>
      <w:jc w:val="right"/>
    </w:pPr>
    <w:rPr>
      <w:i/>
      <w:iCs/>
      <w:sz w:val="18"/>
      <w:szCs w:val="18"/>
    </w:rPr>
  </w:style>
  <w:style w:type="paragraph" w:customStyle="1" w:styleId="Bullet">
    <w:name w:val="Bullet"/>
    <w:basedOn w:val="Normal"/>
    <w:link w:val="BulletChar"/>
    <w:qFormat/>
    <w:rsid w:val="00213120"/>
    <w:pPr>
      <w:numPr>
        <w:numId w:val="46"/>
      </w:numPr>
    </w:pPr>
    <w:rPr>
      <w:rFonts w:eastAsiaTheme="minorEastAsia" w:cs="Times New Roman"/>
      <w:bdr w:val="none" w:sz="0" w:space="0" w:color="auto" w:frame="1"/>
      <w:lang w:eastAsia="en-AU"/>
    </w:rPr>
  </w:style>
  <w:style w:type="character" w:customStyle="1" w:styleId="BulletChar">
    <w:name w:val="Bullet Char"/>
    <w:basedOn w:val="TabledotChar"/>
    <w:link w:val="Bullet"/>
    <w:qFormat/>
    <w:rsid w:val="00213120"/>
    <w:rPr>
      <w:rFonts w:ascii="Calibri" w:eastAsiaTheme="minorEastAsia" w:hAnsi="Calibri" w:cs="Times New Roman"/>
      <w:sz w:val="20"/>
      <w:szCs w:val="20"/>
      <w:bdr w:val="none" w:sz="0" w:space="0" w:color="auto" w:frame="1"/>
      <w:lang w:eastAsia="en-AU"/>
    </w:rPr>
  </w:style>
  <w:style w:type="paragraph" w:customStyle="1" w:styleId="Dash">
    <w:name w:val="Dash"/>
    <w:basedOn w:val="Normal"/>
    <w:link w:val="DashChar"/>
    <w:qFormat/>
    <w:rsid w:val="00213120"/>
    <w:pPr>
      <w:numPr>
        <w:ilvl w:val="1"/>
        <w:numId w:val="46"/>
      </w:numPr>
    </w:pPr>
    <w:rPr>
      <w:rFonts w:eastAsiaTheme="minorEastAsia" w:cs="Times New Roman"/>
      <w:bdr w:val="none" w:sz="0" w:space="0" w:color="auto" w:frame="1"/>
      <w:lang w:eastAsia="en-AU"/>
    </w:rPr>
  </w:style>
  <w:style w:type="character" w:customStyle="1" w:styleId="DashChar">
    <w:name w:val="Dash Char"/>
    <w:basedOn w:val="TabledotChar"/>
    <w:link w:val="Dash"/>
    <w:rsid w:val="00213120"/>
    <w:rPr>
      <w:rFonts w:ascii="Calibri" w:eastAsiaTheme="minorEastAsia" w:hAnsi="Calibri" w:cs="Times New Roman"/>
      <w:sz w:val="20"/>
      <w:szCs w:val="20"/>
      <w:bdr w:val="none" w:sz="0" w:space="0" w:color="auto" w:frame="1"/>
      <w:lang w:eastAsia="en-AU"/>
    </w:rPr>
  </w:style>
  <w:style w:type="paragraph" w:customStyle="1" w:styleId="DoubleDot">
    <w:name w:val="Double Dot"/>
    <w:basedOn w:val="Normal"/>
    <w:link w:val="DoubleDotChar"/>
    <w:qFormat/>
    <w:rsid w:val="00213120"/>
    <w:pPr>
      <w:numPr>
        <w:ilvl w:val="2"/>
        <w:numId w:val="46"/>
      </w:numPr>
    </w:pPr>
    <w:rPr>
      <w:rFonts w:eastAsiaTheme="minorEastAsia" w:cs="Times New Roman"/>
      <w:bdr w:val="none" w:sz="0" w:space="0" w:color="auto" w:frame="1"/>
      <w:lang w:eastAsia="en-AU"/>
    </w:rPr>
  </w:style>
  <w:style w:type="character" w:customStyle="1" w:styleId="DoubleDotChar">
    <w:name w:val="Double Dot Char"/>
    <w:basedOn w:val="TabledotChar"/>
    <w:link w:val="DoubleDot"/>
    <w:rsid w:val="00213120"/>
    <w:rPr>
      <w:rFonts w:ascii="Calibri" w:eastAsiaTheme="minorEastAsia" w:hAnsi="Calibri" w:cs="Times New Roman"/>
      <w:sz w:val="20"/>
      <w:szCs w:val="20"/>
      <w:bdr w:val="none" w:sz="0" w:space="0" w:color="auto" w:frame="1"/>
      <w:lang w:eastAsia="en-AU"/>
    </w:rPr>
  </w:style>
  <w:style w:type="paragraph" w:styleId="Revision">
    <w:name w:val="Revision"/>
    <w:hidden/>
    <w:uiPriority w:val="99"/>
    <w:semiHidden/>
    <w:rsid w:val="00B6239D"/>
    <w:pPr>
      <w:spacing w:after="0" w:line="240" w:lineRule="auto"/>
    </w:pPr>
    <w:rPr>
      <w:kern w:val="2"/>
      <w:sz w:val="24"/>
      <w:szCs w:val="24"/>
      <w14:ligatures w14:val="standardContextual"/>
    </w:rPr>
  </w:style>
  <w:style w:type="paragraph" w:styleId="EndnoteText">
    <w:name w:val="endnote text"/>
    <w:basedOn w:val="Normal"/>
    <w:link w:val="EndnoteTextChar"/>
    <w:uiPriority w:val="99"/>
    <w:semiHidden/>
    <w:unhideWhenUsed/>
    <w:rsid w:val="003D7063"/>
    <w:pPr>
      <w:spacing w:before="0" w:after="0"/>
    </w:pPr>
  </w:style>
  <w:style w:type="character" w:customStyle="1" w:styleId="EndnoteTextChar">
    <w:name w:val="Endnote Text Char"/>
    <w:basedOn w:val="DefaultParagraphFont"/>
    <w:link w:val="EndnoteText"/>
    <w:uiPriority w:val="99"/>
    <w:semiHidden/>
    <w:rsid w:val="003D7063"/>
    <w:rPr>
      <w:rFonts w:eastAsia="Times New Roman" w:cs="Times New Roman"/>
      <w:sz w:val="20"/>
      <w:szCs w:val="20"/>
      <w:lang w:eastAsia="en-AU"/>
    </w:rPr>
  </w:style>
  <w:style w:type="character" w:styleId="EndnoteReference">
    <w:name w:val="endnote reference"/>
    <w:basedOn w:val="DefaultParagraphFont"/>
    <w:uiPriority w:val="99"/>
    <w:semiHidden/>
    <w:unhideWhenUsed/>
    <w:rsid w:val="003D7063"/>
    <w:rPr>
      <w:vertAlign w:val="superscript"/>
    </w:rPr>
  </w:style>
  <w:style w:type="character" w:styleId="UnresolvedMention">
    <w:name w:val="Unresolved Mention"/>
    <w:basedOn w:val="DefaultParagraphFont"/>
    <w:uiPriority w:val="99"/>
    <w:semiHidden/>
    <w:unhideWhenUsed/>
    <w:rsid w:val="00E459BB"/>
    <w:rPr>
      <w:color w:val="605E5C"/>
      <w:shd w:val="clear" w:color="auto" w:fill="E1DFDD"/>
    </w:rPr>
  </w:style>
  <w:style w:type="character" w:styleId="Mention">
    <w:name w:val="Mention"/>
    <w:basedOn w:val="DefaultParagraphFont"/>
    <w:uiPriority w:val="99"/>
    <w:unhideWhenUsed/>
    <w:rsid w:val="00E459BB"/>
    <w:rPr>
      <w:color w:val="2B579A"/>
      <w:shd w:val="clear" w:color="auto" w:fill="E1DFDD"/>
    </w:rPr>
  </w:style>
  <w:style w:type="paragraph" w:customStyle="1" w:styleId="pf0">
    <w:name w:val="pf0"/>
    <w:basedOn w:val="Normal"/>
    <w:rsid w:val="00BE12C3"/>
    <w:pPr>
      <w:spacing w:beforeAutospacing="1" w:after="100" w:afterAutospacing="1"/>
    </w:pPr>
    <w:rPr>
      <w:rFonts w:ascii="Times New Roman" w:hAnsi="Times New Roman"/>
      <w:sz w:val="24"/>
      <w:szCs w:val="24"/>
    </w:rPr>
  </w:style>
  <w:style w:type="character" w:customStyle="1" w:styleId="cf01">
    <w:name w:val="cf01"/>
    <w:basedOn w:val="DefaultParagraphFont"/>
    <w:rsid w:val="00BE12C3"/>
    <w:rPr>
      <w:rFonts w:ascii="Segoe UI" w:hAnsi="Segoe UI" w:cs="Segoe UI" w:hint="default"/>
      <w:sz w:val="18"/>
      <w:szCs w:val="18"/>
    </w:rPr>
  </w:style>
  <w:style w:type="character" w:styleId="FollowedHyperlink">
    <w:name w:val="FollowedHyperlink"/>
    <w:basedOn w:val="DefaultParagraphFont"/>
    <w:uiPriority w:val="99"/>
    <w:semiHidden/>
    <w:unhideWhenUsed/>
    <w:rsid w:val="00D0022C"/>
    <w:rPr>
      <w:color w:val="954F72" w:themeColor="followedHyperlink"/>
      <w:u w:val="single"/>
    </w:rPr>
  </w:style>
  <w:style w:type="paragraph" w:customStyle="1" w:styleId="Reference">
    <w:name w:val="Reference"/>
    <w:basedOn w:val="Normal"/>
    <w:qFormat/>
    <w:rsid w:val="00F0384F"/>
    <w:pPr>
      <w:spacing w:before="120" w:after="120" w:line="240" w:lineRule="auto"/>
      <w:ind w:left="567" w:hanging="567"/>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9015">
      <w:bodyDiv w:val="1"/>
      <w:marLeft w:val="0"/>
      <w:marRight w:val="0"/>
      <w:marTop w:val="0"/>
      <w:marBottom w:val="0"/>
      <w:divBdr>
        <w:top w:val="none" w:sz="0" w:space="0" w:color="auto"/>
        <w:left w:val="none" w:sz="0" w:space="0" w:color="auto"/>
        <w:bottom w:val="none" w:sz="0" w:space="0" w:color="auto"/>
        <w:right w:val="none" w:sz="0" w:space="0" w:color="auto"/>
      </w:divBdr>
    </w:div>
    <w:div w:id="198591686">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19590852">
      <w:bodyDiv w:val="1"/>
      <w:marLeft w:val="0"/>
      <w:marRight w:val="0"/>
      <w:marTop w:val="0"/>
      <w:marBottom w:val="0"/>
      <w:divBdr>
        <w:top w:val="none" w:sz="0" w:space="0" w:color="auto"/>
        <w:left w:val="none" w:sz="0" w:space="0" w:color="auto"/>
        <w:bottom w:val="none" w:sz="0" w:space="0" w:color="auto"/>
        <w:right w:val="none" w:sz="0" w:space="0" w:color="auto"/>
      </w:divBdr>
      <w:divsChild>
        <w:div w:id="436369705">
          <w:marLeft w:val="0"/>
          <w:marRight w:val="0"/>
          <w:marTop w:val="0"/>
          <w:marBottom w:val="0"/>
          <w:divBdr>
            <w:top w:val="none" w:sz="0" w:space="0" w:color="auto"/>
            <w:left w:val="none" w:sz="0" w:space="0" w:color="auto"/>
            <w:bottom w:val="none" w:sz="0" w:space="0" w:color="auto"/>
            <w:right w:val="none" w:sz="0" w:space="0" w:color="auto"/>
          </w:divBdr>
        </w:div>
        <w:div w:id="932781910">
          <w:marLeft w:val="0"/>
          <w:marRight w:val="0"/>
          <w:marTop w:val="0"/>
          <w:marBottom w:val="0"/>
          <w:divBdr>
            <w:top w:val="none" w:sz="0" w:space="0" w:color="auto"/>
            <w:left w:val="none" w:sz="0" w:space="0" w:color="auto"/>
            <w:bottom w:val="none" w:sz="0" w:space="0" w:color="auto"/>
            <w:right w:val="none" w:sz="0" w:space="0" w:color="auto"/>
          </w:divBdr>
        </w:div>
        <w:div w:id="1944217958">
          <w:marLeft w:val="0"/>
          <w:marRight w:val="0"/>
          <w:marTop w:val="0"/>
          <w:marBottom w:val="0"/>
          <w:divBdr>
            <w:top w:val="none" w:sz="0" w:space="0" w:color="auto"/>
            <w:left w:val="none" w:sz="0" w:space="0" w:color="auto"/>
            <w:bottom w:val="none" w:sz="0" w:space="0" w:color="auto"/>
            <w:right w:val="none" w:sz="0" w:space="0" w:color="auto"/>
          </w:divBdr>
        </w:div>
      </w:divsChild>
    </w:div>
    <w:div w:id="763764217">
      <w:bodyDiv w:val="1"/>
      <w:marLeft w:val="0"/>
      <w:marRight w:val="0"/>
      <w:marTop w:val="0"/>
      <w:marBottom w:val="0"/>
      <w:divBdr>
        <w:top w:val="none" w:sz="0" w:space="0" w:color="auto"/>
        <w:left w:val="none" w:sz="0" w:space="0" w:color="auto"/>
        <w:bottom w:val="none" w:sz="0" w:space="0" w:color="auto"/>
        <w:right w:val="none" w:sz="0" w:space="0" w:color="auto"/>
      </w:divBdr>
    </w:div>
    <w:div w:id="940527678">
      <w:bodyDiv w:val="1"/>
      <w:marLeft w:val="0"/>
      <w:marRight w:val="0"/>
      <w:marTop w:val="0"/>
      <w:marBottom w:val="0"/>
      <w:divBdr>
        <w:top w:val="none" w:sz="0" w:space="0" w:color="auto"/>
        <w:left w:val="none" w:sz="0" w:space="0" w:color="auto"/>
        <w:bottom w:val="none" w:sz="0" w:space="0" w:color="auto"/>
        <w:right w:val="none" w:sz="0" w:space="0" w:color="auto"/>
      </w:divBdr>
    </w:div>
    <w:div w:id="1486162995">
      <w:bodyDiv w:val="1"/>
      <w:marLeft w:val="0"/>
      <w:marRight w:val="0"/>
      <w:marTop w:val="0"/>
      <w:marBottom w:val="0"/>
      <w:divBdr>
        <w:top w:val="none" w:sz="0" w:space="0" w:color="auto"/>
        <w:left w:val="none" w:sz="0" w:space="0" w:color="auto"/>
        <w:bottom w:val="none" w:sz="0" w:space="0" w:color="auto"/>
        <w:right w:val="none" w:sz="0" w:space="0" w:color="auto"/>
      </w:divBdr>
    </w:div>
    <w:div w:id="1535846113">
      <w:bodyDiv w:val="1"/>
      <w:marLeft w:val="0"/>
      <w:marRight w:val="0"/>
      <w:marTop w:val="0"/>
      <w:marBottom w:val="0"/>
      <w:divBdr>
        <w:top w:val="none" w:sz="0" w:space="0" w:color="auto"/>
        <w:left w:val="none" w:sz="0" w:space="0" w:color="auto"/>
        <w:bottom w:val="none" w:sz="0" w:space="0" w:color="auto"/>
        <w:right w:val="none" w:sz="0" w:space="0" w:color="auto"/>
      </w:divBdr>
      <w:divsChild>
        <w:div w:id="1248728081">
          <w:marLeft w:val="0"/>
          <w:marRight w:val="0"/>
          <w:marTop w:val="0"/>
          <w:marBottom w:val="0"/>
          <w:divBdr>
            <w:top w:val="none" w:sz="0" w:space="0" w:color="auto"/>
            <w:left w:val="none" w:sz="0" w:space="0" w:color="auto"/>
            <w:bottom w:val="none" w:sz="0" w:space="0" w:color="auto"/>
            <w:right w:val="none" w:sz="0" w:space="0" w:color="auto"/>
          </w:divBdr>
        </w:div>
        <w:div w:id="1269854258">
          <w:marLeft w:val="0"/>
          <w:marRight w:val="0"/>
          <w:marTop w:val="0"/>
          <w:marBottom w:val="0"/>
          <w:divBdr>
            <w:top w:val="none" w:sz="0" w:space="0" w:color="auto"/>
            <w:left w:val="none" w:sz="0" w:space="0" w:color="auto"/>
            <w:bottom w:val="none" w:sz="0" w:space="0" w:color="auto"/>
            <w:right w:val="none" w:sz="0" w:space="0" w:color="auto"/>
          </w:divBdr>
        </w:div>
        <w:div w:id="1620990524">
          <w:marLeft w:val="0"/>
          <w:marRight w:val="0"/>
          <w:marTop w:val="0"/>
          <w:marBottom w:val="0"/>
          <w:divBdr>
            <w:top w:val="none" w:sz="0" w:space="0" w:color="auto"/>
            <w:left w:val="none" w:sz="0" w:space="0" w:color="auto"/>
            <w:bottom w:val="none" w:sz="0" w:space="0" w:color="auto"/>
            <w:right w:val="none" w:sz="0" w:space="0" w:color="auto"/>
          </w:divBdr>
        </w:div>
      </w:divsChild>
    </w:div>
    <w:div w:id="1685856862">
      <w:bodyDiv w:val="1"/>
      <w:marLeft w:val="0"/>
      <w:marRight w:val="0"/>
      <w:marTop w:val="0"/>
      <w:marBottom w:val="0"/>
      <w:divBdr>
        <w:top w:val="none" w:sz="0" w:space="0" w:color="auto"/>
        <w:left w:val="none" w:sz="0" w:space="0" w:color="auto"/>
        <w:bottom w:val="none" w:sz="0" w:space="0" w:color="auto"/>
        <w:right w:val="none" w:sz="0" w:space="0" w:color="auto"/>
      </w:divBdr>
    </w:div>
    <w:div w:id="176163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yperlink" Target="https://www.abs.gov.au/census/find-census-data/search-by-area" TargetMode="External"/><Relationship Id="rId39" Type="http://schemas.openxmlformats.org/officeDocument/2006/relationships/hyperlink" Target="https://population.gov.au/publications/statements/2023-population-statement" TargetMode="External"/><Relationship Id="rId21" Type="http://schemas.openxmlformats.org/officeDocument/2006/relationships/image" Target="media/image15.emf"/><Relationship Id="rId34" Type="http://schemas.openxmlformats.org/officeDocument/2006/relationships/hyperlink" Target="https://www.abs.gov.au/census/guide-census-data/census-dictionary/2021/variables-topic/household-and-families/relationship-household-rlhp" TargetMode="External"/><Relationship Id="rId42" Type="http://schemas.openxmlformats.org/officeDocument/2006/relationships/hyperlink" Target="https://www.ons.gov.uk/peoplepopulationandcommunity/populationandmigration/populationprojections/methodologies/methodforincorporatingcrossbordermigrationratesintotheuknationalpopulationprojection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hyperlink" Target="https://www.abs.gov.au/methodologies/national-state-and-territory-population-methodology/mar-2025" TargetMode="External"/><Relationship Id="rId11" Type="http://schemas.openxmlformats.org/officeDocument/2006/relationships/image" Target="media/image5.emf"/><Relationship Id="rId24" Type="http://schemas.openxmlformats.org/officeDocument/2006/relationships/hyperlink" Target="https://www.abs.gov.au/statistics/people/population/births-australia/latest-release" TargetMode="External"/><Relationship Id="rId32" Type="http://schemas.openxmlformats.org/officeDocument/2006/relationships/hyperlink" Target="https://www.abs.gov.au/statistics/people/population/regional-population/latest-release" TargetMode="External"/><Relationship Id="rId37" Type="http://schemas.openxmlformats.org/officeDocument/2006/relationships/hyperlink" Target="https://population.gov.au/publications/statements/2021-population-statement" TargetMode="External"/><Relationship Id="rId40" Type="http://schemas.openxmlformats.org/officeDocument/2006/relationships/hyperlink" Target="https://population.gov.au/publications/statements/2024-population-statement"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www.abs.gov.au/about/data-services/data-integration/integrated-data/australian-census-and-migrants-integrated-dataset-acmid" TargetMode="External"/><Relationship Id="rId28" Type="http://schemas.openxmlformats.org/officeDocument/2006/relationships/hyperlink" Target="https://www.abs.gov.au/articles/measuring-australias-excess-mortality-remoteness-areas-during-covid-19-pandemic-until-december-2023" TargetMode="External"/><Relationship Id="rId36" Type="http://schemas.openxmlformats.org/officeDocument/2006/relationships/hyperlink" Target="https://population.gov.au/publications/statements/2020-population-statement" TargetMode="External"/><Relationship Id="rId49"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hyperlink" Target="https://www.abs.gov.au/statistics/detailed-methodology-information/information-papers/net-interstate-migration-review" TargetMode="External"/><Relationship Id="rId44" Type="http://schemas.openxmlformats.org/officeDocument/2006/relationships/hyperlink" Target="https://www150.statcan.gc.ca/n1/pub/91-520-x/91-520-x2025001-eng.htm"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yperlink" Target="https://www.abs.gov.au/statistics/people/population/life-expectancy/2019-2021" TargetMode="External"/><Relationship Id="rId30" Type="http://schemas.openxmlformats.org/officeDocument/2006/relationships/hyperlink" Target="https://www.abs.gov.au/statistics/people/population/national-state-and-territory-population/mar-2025" TargetMode="External"/><Relationship Id="rId35" Type="http://schemas.openxmlformats.org/officeDocument/2006/relationships/hyperlink" Target="https://treasury.gov.au/publication/2023-intergenerational-report" TargetMode="External"/><Relationship Id="rId43" Type="http://schemas.openxmlformats.org/officeDocument/2006/relationships/hyperlink" Target="https://population.gov.au/research/research-fertility" TargetMode="External"/><Relationship Id="rId48" Type="http://schemas.openxmlformats.org/officeDocument/2006/relationships/footer" Target="footer2.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s://www.abs.gov.au/census/find-census-data/search-by-area" TargetMode="External"/><Relationship Id="rId33" Type="http://schemas.openxmlformats.org/officeDocument/2006/relationships/hyperlink" Target="https://www.abs.gov.au/statistics/people/population/regional-population-age-and-sex/2023" TargetMode="External"/><Relationship Id="rId38" Type="http://schemas.openxmlformats.org/officeDocument/2006/relationships/hyperlink" Target="https://population.gov.au/publications/statements/2022-population-statement" TargetMode="External"/><Relationship Id="rId46" Type="http://schemas.openxmlformats.org/officeDocument/2006/relationships/header" Target="header2.xml"/><Relationship Id="rId20" Type="http://schemas.openxmlformats.org/officeDocument/2006/relationships/image" Target="media/image14.emf"/><Relationship Id="rId41" Type="http://schemas.openxmlformats.org/officeDocument/2006/relationships/hyperlink" Target="https://nhsac.gov.au/reports-and-submissions/state-housing-system-2025"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statistics/detailed-methodology-information/information-papers/net-interstate-migration-review" TargetMode="External"/><Relationship Id="rId13" Type="http://schemas.openxmlformats.org/officeDocument/2006/relationships/hyperlink" Target="https://population.gov.au/publications/statements/2020-population-statement" TargetMode="External"/><Relationship Id="rId18" Type="http://schemas.openxmlformats.org/officeDocument/2006/relationships/hyperlink" Target="https://population.gov.au/publications/statements/2024-population-statement" TargetMode="External"/><Relationship Id="rId3" Type="http://schemas.openxmlformats.org/officeDocument/2006/relationships/hyperlink" Target="https://population.gov.au/publications/statements/2022-population-statement" TargetMode="External"/><Relationship Id="rId21" Type="http://schemas.openxmlformats.org/officeDocument/2006/relationships/hyperlink" Target="https://www.abs.gov.au/census/guide-census-data/census-dictionary/2021/variables-topic/household-and-families/relationship-household-rlhp" TargetMode="External"/><Relationship Id="rId7" Type="http://schemas.openxmlformats.org/officeDocument/2006/relationships/hyperlink" Target="https://www.abs.gov.au/articles/measuring-australias-excess-mortality-remoteness-areas-during-covid-19-pandemic-until-december-2023" TargetMode="External"/><Relationship Id="rId12" Type="http://schemas.openxmlformats.org/officeDocument/2006/relationships/hyperlink" Target="https://www.abs.gov.au/statistics/people/population/national-state-and-territory-population/mar-2025" TargetMode="External"/><Relationship Id="rId17" Type="http://schemas.openxmlformats.org/officeDocument/2006/relationships/hyperlink" Target="https://population.gov.au/publications/statements/2024-population-statement" TargetMode="External"/><Relationship Id="rId2" Type="http://schemas.openxmlformats.org/officeDocument/2006/relationships/hyperlink" Target="https://treasury.gov.au/publication/2023-intergenerational-report" TargetMode="External"/><Relationship Id="rId16" Type="http://schemas.openxmlformats.org/officeDocument/2006/relationships/hyperlink" Target="https://population.gov.au/publications/statements/2023-population-statement" TargetMode="External"/><Relationship Id="rId20" Type="http://schemas.openxmlformats.org/officeDocument/2006/relationships/hyperlink" Target="https://nhsac.gov.au/reports-and-submissions/state-housing-system-2025" TargetMode="External"/><Relationship Id="rId1" Type="http://schemas.openxmlformats.org/officeDocument/2006/relationships/hyperlink" Target="https://www.abs.gov.au/methodologies/national-state-and-territory-population-methodology/mar-2025" TargetMode="External"/><Relationship Id="rId6" Type="http://schemas.openxmlformats.org/officeDocument/2006/relationships/hyperlink" Target="https://population.gov.au/publications/statements/2024-population-statement" TargetMode="External"/><Relationship Id="rId11" Type="http://schemas.openxmlformats.org/officeDocument/2006/relationships/hyperlink" Target="https://www.ons.gov.uk/peoplepopulationandcommunity/populationandmigration/populationprojections/methodologies/methodforincorporatingcrossbordermigrationratesintotheuknationalpopulationprojections" TargetMode="External"/><Relationship Id="rId5" Type="http://schemas.openxmlformats.org/officeDocument/2006/relationships/hyperlink" Target="https://www.abs.gov.au/statistics/people/population/life-expectancy/2019-2021" TargetMode="External"/><Relationship Id="rId15" Type="http://schemas.openxmlformats.org/officeDocument/2006/relationships/hyperlink" Target="https://population.gov.au/publications/statements/2022-population-statement" TargetMode="External"/><Relationship Id="rId23" Type="http://schemas.openxmlformats.org/officeDocument/2006/relationships/hyperlink" Target="https://www.abs.gov.au/statistics/people/population/regional-population-age-and-sex/2023" TargetMode="External"/><Relationship Id="rId10" Type="http://schemas.openxmlformats.org/officeDocument/2006/relationships/hyperlink" Target="https://www150.statcan.gc.ca/n1/pub/91-520-x/91-520-x2025001-eng.htm" TargetMode="External"/><Relationship Id="rId19" Type="http://schemas.openxmlformats.org/officeDocument/2006/relationships/hyperlink" Target="https://www.abs.gov.au/statistics/people/population/regional-population/latest-release" TargetMode="External"/><Relationship Id="rId4" Type="http://schemas.openxmlformats.org/officeDocument/2006/relationships/hyperlink" Target="https://population.gov.au/research/research-fertility" TargetMode="External"/><Relationship Id="rId9" Type="http://schemas.openxmlformats.org/officeDocument/2006/relationships/hyperlink" Target="https://www.abs.gov.au/census/find-census-data/search-by-area" TargetMode="External"/><Relationship Id="rId14" Type="http://schemas.openxmlformats.org/officeDocument/2006/relationships/hyperlink" Target="https://population.gov.au/publications/statements/2021-population-statement" TargetMode="External"/><Relationship Id="rId22" Type="http://schemas.openxmlformats.org/officeDocument/2006/relationships/hyperlink" Target="https://www.abs.gov.au/about/data-services/data-integration/integrated-data/australian-census-and-migrants-integrated-dataset-acmid" TargetMode="External"/></Relationships>
</file>

<file path=word/theme/theme1.xml><?xml version="1.0" encoding="utf-8"?>
<a:theme xmlns:a="http://schemas.openxmlformats.org/drawingml/2006/main" name="Corporate">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4290</Words>
  <Characters>24439</Characters>
  <Application>Microsoft Office Word</Application>
  <DocSecurity>0</DocSecurity>
  <Lines>394</Lines>
  <Paragraphs>176</Paragraphs>
  <ScaleCrop>false</ScaleCrop>
  <HeadingPairs>
    <vt:vector size="2" baseType="variant">
      <vt:variant>
        <vt:lpstr>Title</vt:lpstr>
      </vt:variant>
      <vt:variant>
        <vt:i4>1</vt:i4>
      </vt:variant>
    </vt:vector>
  </HeadingPairs>
  <TitlesOfParts>
    <vt:vector size="1" baseType="lpstr">
      <vt:lpstr>2025 Population Statement – Technical appendix</vt:lpstr>
    </vt:vector>
  </TitlesOfParts>
  <Company/>
  <LinksUpToDate>false</LinksUpToDate>
  <CharactersWithSpaces>28537</CharactersWithSpaces>
  <SharedDoc>false</SharedDoc>
  <HLinks>
    <vt:vector size="270" baseType="variant">
      <vt:variant>
        <vt:i4>655452</vt:i4>
      </vt:variant>
      <vt:variant>
        <vt:i4>63</vt:i4>
      </vt:variant>
      <vt:variant>
        <vt:i4>0</vt:i4>
      </vt:variant>
      <vt:variant>
        <vt:i4>5</vt:i4>
      </vt:variant>
      <vt:variant>
        <vt:lpwstr>https://www150.statcan.gc.ca/n1/pub/91-520-x/91-520-x2025001-eng.htm</vt:lpwstr>
      </vt:variant>
      <vt:variant>
        <vt:lpwstr/>
      </vt:variant>
      <vt:variant>
        <vt:i4>983055</vt:i4>
      </vt:variant>
      <vt:variant>
        <vt:i4>60</vt:i4>
      </vt:variant>
      <vt:variant>
        <vt:i4>0</vt:i4>
      </vt:variant>
      <vt:variant>
        <vt:i4>5</vt:i4>
      </vt:variant>
      <vt:variant>
        <vt:lpwstr>https://population.gov.au/research/research-fertility</vt:lpwstr>
      </vt:variant>
      <vt:variant>
        <vt:lpwstr/>
      </vt:variant>
      <vt:variant>
        <vt:i4>393291</vt:i4>
      </vt:variant>
      <vt:variant>
        <vt:i4>57</vt:i4>
      </vt:variant>
      <vt:variant>
        <vt:i4>0</vt:i4>
      </vt:variant>
      <vt:variant>
        <vt:i4>5</vt:i4>
      </vt:variant>
      <vt:variant>
        <vt:lpwstr>https://www.ons.gov.uk/peoplepopulationandcommunity/populationandmigration/populationprojections/methodologies/methodforincorporatingcrossbordermigrationratesintotheuknationalpopulationprojections</vt:lpwstr>
      </vt:variant>
      <vt:variant>
        <vt:lpwstr/>
      </vt:variant>
      <vt:variant>
        <vt:i4>3801120</vt:i4>
      </vt:variant>
      <vt:variant>
        <vt:i4>54</vt:i4>
      </vt:variant>
      <vt:variant>
        <vt:i4>0</vt:i4>
      </vt:variant>
      <vt:variant>
        <vt:i4>5</vt:i4>
      </vt:variant>
      <vt:variant>
        <vt:lpwstr>https://nhsac.gov.au/reports-and-submissions/state-housing-system-2025</vt:lpwstr>
      </vt:variant>
      <vt:variant>
        <vt:lpwstr/>
      </vt:variant>
      <vt:variant>
        <vt:i4>3407916</vt:i4>
      </vt:variant>
      <vt:variant>
        <vt:i4>51</vt:i4>
      </vt:variant>
      <vt:variant>
        <vt:i4>0</vt:i4>
      </vt:variant>
      <vt:variant>
        <vt:i4>5</vt:i4>
      </vt:variant>
      <vt:variant>
        <vt:lpwstr>https://population.gov.au/publications/statements/2024-population-statement</vt:lpwstr>
      </vt:variant>
      <vt:variant>
        <vt:lpwstr/>
      </vt:variant>
      <vt:variant>
        <vt:i4>3342380</vt:i4>
      </vt:variant>
      <vt:variant>
        <vt:i4>48</vt:i4>
      </vt:variant>
      <vt:variant>
        <vt:i4>0</vt:i4>
      </vt:variant>
      <vt:variant>
        <vt:i4>5</vt:i4>
      </vt:variant>
      <vt:variant>
        <vt:lpwstr>https://population.gov.au/publications/statements/2023-population-statement</vt:lpwstr>
      </vt:variant>
      <vt:variant>
        <vt:lpwstr/>
      </vt:variant>
      <vt:variant>
        <vt:i4>3276844</vt:i4>
      </vt:variant>
      <vt:variant>
        <vt:i4>45</vt:i4>
      </vt:variant>
      <vt:variant>
        <vt:i4>0</vt:i4>
      </vt:variant>
      <vt:variant>
        <vt:i4>5</vt:i4>
      </vt:variant>
      <vt:variant>
        <vt:lpwstr>https://population.gov.au/publications/statements/2022-population-statement</vt:lpwstr>
      </vt:variant>
      <vt:variant>
        <vt:lpwstr/>
      </vt:variant>
      <vt:variant>
        <vt:i4>3211308</vt:i4>
      </vt:variant>
      <vt:variant>
        <vt:i4>42</vt:i4>
      </vt:variant>
      <vt:variant>
        <vt:i4>0</vt:i4>
      </vt:variant>
      <vt:variant>
        <vt:i4>5</vt:i4>
      </vt:variant>
      <vt:variant>
        <vt:lpwstr>https://population.gov.au/publications/statements/2021-population-statement</vt:lpwstr>
      </vt:variant>
      <vt:variant>
        <vt:lpwstr/>
      </vt:variant>
      <vt:variant>
        <vt:i4>3145772</vt:i4>
      </vt:variant>
      <vt:variant>
        <vt:i4>39</vt:i4>
      </vt:variant>
      <vt:variant>
        <vt:i4>0</vt:i4>
      </vt:variant>
      <vt:variant>
        <vt:i4>5</vt:i4>
      </vt:variant>
      <vt:variant>
        <vt:lpwstr>https://population.gov.au/publications/statements/2020-population-statement</vt:lpwstr>
      </vt:variant>
      <vt:variant>
        <vt:lpwstr/>
      </vt:variant>
      <vt:variant>
        <vt:i4>589911</vt:i4>
      </vt:variant>
      <vt:variant>
        <vt:i4>36</vt:i4>
      </vt:variant>
      <vt:variant>
        <vt:i4>0</vt:i4>
      </vt:variant>
      <vt:variant>
        <vt:i4>5</vt:i4>
      </vt:variant>
      <vt:variant>
        <vt:lpwstr>https://treasury.gov.au/publication/2023-intergenerational-report</vt:lpwstr>
      </vt:variant>
      <vt:variant>
        <vt:lpwstr/>
      </vt:variant>
      <vt:variant>
        <vt:i4>786498</vt:i4>
      </vt:variant>
      <vt:variant>
        <vt:i4>33</vt:i4>
      </vt:variant>
      <vt:variant>
        <vt:i4>0</vt:i4>
      </vt:variant>
      <vt:variant>
        <vt:i4>5</vt:i4>
      </vt:variant>
      <vt:variant>
        <vt:lpwstr>https://www.abs.gov.au/census/guide-census-data/census-dictionary/2021/variables-topic/household-and-families/relationship-household-rlhp</vt:lpwstr>
      </vt:variant>
      <vt:variant>
        <vt:lpwstr/>
      </vt:variant>
      <vt:variant>
        <vt:i4>5177348</vt:i4>
      </vt:variant>
      <vt:variant>
        <vt:i4>30</vt:i4>
      </vt:variant>
      <vt:variant>
        <vt:i4>0</vt:i4>
      </vt:variant>
      <vt:variant>
        <vt:i4>5</vt:i4>
      </vt:variant>
      <vt:variant>
        <vt:lpwstr>https://www.abs.gov.au/statistics/people/population/regional-population-age-and-sex/2023</vt:lpwstr>
      </vt:variant>
      <vt:variant>
        <vt:lpwstr/>
      </vt:variant>
      <vt:variant>
        <vt:i4>6750267</vt:i4>
      </vt:variant>
      <vt:variant>
        <vt:i4>27</vt:i4>
      </vt:variant>
      <vt:variant>
        <vt:i4>0</vt:i4>
      </vt:variant>
      <vt:variant>
        <vt:i4>5</vt:i4>
      </vt:variant>
      <vt:variant>
        <vt:lpwstr>https://www.abs.gov.au/statistics/people/population/regional-population/latest-release</vt:lpwstr>
      </vt:variant>
      <vt:variant>
        <vt:lpwstr/>
      </vt:variant>
      <vt:variant>
        <vt:i4>1310742</vt:i4>
      </vt:variant>
      <vt:variant>
        <vt:i4>24</vt:i4>
      </vt:variant>
      <vt:variant>
        <vt:i4>0</vt:i4>
      </vt:variant>
      <vt:variant>
        <vt:i4>5</vt:i4>
      </vt:variant>
      <vt:variant>
        <vt:lpwstr>https://www.abs.gov.au/statistics/detailed-methodology-information/information-papers/net-interstate-migration-review</vt:lpwstr>
      </vt:variant>
      <vt:variant>
        <vt:lpwstr/>
      </vt:variant>
      <vt:variant>
        <vt:i4>4915276</vt:i4>
      </vt:variant>
      <vt:variant>
        <vt:i4>21</vt:i4>
      </vt:variant>
      <vt:variant>
        <vt:i4>0</vt:i4>
      </vt:variant>
      <vt:variant>
        <vt:i4>5</vt:i4>
      </vt:variant>
      <vt:variant>
        <vt:lpwstr>https://www.abs.gov.au/statistics/people/population/national-state-and-territory-population/mar-2025</vt:lpwstr>
      </vt:variant>
      <vt:variant>
        <vt:lpwstr/>
      </vt:variant>
      <vt:variant>
        <vt:i4>2424954</vt:i4>
      </vt:variant>
      <vt:variant>
        <vt:i4>18</vt:i4>
      </vt:variant>
      <vt:variant>
        <vt:i4>0</vt:i4>
      </vt:variant>
      <vt:variant>
        <vt:i4>5</vt:i4>
      </vt:variant>
      <vt:variant>
        <vt:lpwstr>https://www.abs.gov.au/methodologies/national-state-and-territory-population-methodology/mar-2025</vt:lpwstr>
      </vt:variant>
      <vt:variant>
        <vt:lpwstr>overseas-migration</vt:lpwstr>
      </vt:variant>
      <vt:variant>
        <vt:i4>7012409</vt:i4>
      </vt:variant>
      <vt:variant>
        <vt:i4>15</vt:i4>
      </vt:variant>
      <vt:variant>
        <vt:i4>0</vt:i4>
      </vt:variant>
      <vt:variant>
        <vt:i4>5</vt:i4>
      </vt:variant>
      <vt:variant>
        <vt:lpwstr>https://www.abs.gov.au/articles/measuring-australias-excess-mortality-remoteness-areas-during-covid-19-pandemic-until-december-2023</vt:lpwstr>
      </vt:variant>
      <vt:variant>
        <vt:lpwstr/>
      </vt:variant>
      <vt:variant>
        <vt:i4>6815796</vt:i4>
      </vt:variant>
      <vt:variant>
        <vt:i4>12</vt:i4>
      </vt:variant>
      <vt:variant>
        <vt:i4>0</vt:i4>
      </vt:variant>
      <vt:variant>
        <vt:i4>5</vt:i4>
      </vt:variant>
      <vt:variant>
        <vt:lpwstr>https://www.abs.gov.au/statistics/people/population/life-expectancy/2019-2021</vt:lpwstr>
      </vt:variant>
      <vt:variant>
        <vt:lpwstr>data-downloads</vt:lpwstr>
      </vt:variant>
      <vt:variant>
        <vt:i4>1966165</vt:i4>
      </vt:variant>
      <vt:variant>
        <vt:i4>9</vt:i4>
      </vt:variant>
      <vt:variant>
        <vt:i4>0</vt:i4>
      </vt:variant>
      <vt:variant>
        <vt:i4>5</vt:i4>
      </vt:variant>
      <vt:variant>
        <vt:lpwstr>https://www.abs.gov.au/census/find-census-data/search-by-area</vt:lpwstr>
      </vt:variant>
      <vt:variant>
        <vt:lpwstr/>
      </vt:variant>
      <vt:variant>
        <vt:i4>1966165</vt:i4>
      </vt:variant>
      <vt:variant>
        <vt:i4>6</vt:i4>
      </vt:variant>
      <vt:variant>
        <vt:i4>0</vt:i4>
      </vt:variant>
      <vt:variant>
        <vt:i4>5</vt:i4>
      </vt:variant>
      <vt:variant>
        <vt:lpwstr>https://www.abs.gov.au/census/find-census-data/search-by-area</vt:lpwstr>
      </vt:variant>
      <vt:variant>
        <vt:lpwstr/>
      </vt:variant>
      <vt:variant>
        <vt:i4>7143480</vt:i4>
      </vt:variant>
      <vt:variant>
        <vt:i4>3</vt:i4>
      </vt:variant>
      <vt:variant>
        <vt:i4>0</vt:i4>
      </vt:variant>
      <vt:variant>
        <vt:i4>5</vt:i4>
      </vt:variant>
      <vt:variant>
        <vt:lpwstr>https://www.abs.gov.au/statistics/people/population/births-australia/latest-release</vt:lpwstr>
      </vt:variant>
      <vt:variant>
        <vt:lpwstr/>
      </vt:variant>
      <vt:variant>
        <vt:i4>3407928</vt:i4>
      </vt:variant>
      <vt:variant>
        <vt:i4>0</vt:i4>
      </vt:variant>
      <vt:variant>
        <vt:i4>0</vt:i4>
      </vt:variant>
      <vt:variant>
        <vt:i4>5</vt:i4>
      </vt:variant>
      <vt:variant>
        <vt:lpwstr>https://www.abs.gov.au/about/data-services/data-integration/integrated-data/australian-census-and-migrants-integrated-dataset-acmid</vt:lpwstr>
      </vt:variant>
      <vt:variant>
        <vt:lpwstr/>
      </vt:variant>
      <vt:variant>
        <vt:i4>5177348</vt:i4>
      </vt:variant>
      <vt:variant>
        <vt:i4>66</vt:i4>
      </vt:variant>
      <vt:variant>
        <vt:i4>0</vt:i4>
      </vt:variant>
      <vt:variant>
        <vt:i4>5</vt:i4>
      </vt:variant>
      <vt:variant>
        <vt:lpwstr>https://www.abs.gov.au/statistics/people/population/regional-population-age-and-sex/2023</vt:lpwstr>
      </vt:variant>
      <vt:variant>
        <vt:lpwstr/>
      </vt:variant>
      <vt:variant>
        <vt:i4>3407928</vt:i4>
      </vt:variant>
      <vt:variant>
        <vt:i4>63</vt:i4>
      </vt:variant>
      <vt:variant>
        <vt:i4>0</vt:i4>
      </vt:variant>
      <vt:variant>
        <vt:i4>5</vt:i4>
      </vt:variant>
      <vt:variant>
        <vt:lpwstr>https://www.abs.gov.au/about/data-services/data-integration/integrated-data/australian-census-and-migrants-integrated-dataset-acmid</vt:lpwstr>
      </vt:variant>
      <vt:variant>
        <vt:lpwstr/>
      </vt:variant>
      <vt:variant>
        <vt:i4>786498</vt:i4>
      </vt:variant>
      <vt:variant>
        <vt:i4>60</vt:i4>
      </vt:variant>
      <vt:variant>
        <vt:i4>0</vt:i4>
      </vt:variant>
      <vt:variant>
        <vt:i4>5</vt:i4>
      </vt:variant>
      <vt:variant>
        <vt:lpwstr>https://www.abs.gov.au/census/guide-census-data/census-dictionary/2021/variables-topic/household-and-families/relationship-household-rlhp</vt:lpwstr>
      </vt:variant>
      <vt:variant>
        <vt:lpwstr/>
      </vt:variant>
      <vt:variant>
        <vt:i4>3801120</vt:i4>
      </vt:variant>
      <vt:variant>
        <vt:i4>57</vt:i4>
      </vt:variant>
      <vt:variant>
        <vt:i4>0</vt:i4>
      </vt:variant>
      <vt:variant>
        <vt:i4>5</vt:i4>
      </vt:variant>
      <vt:variant>
        <vt:lpwstr>https://nhsac.gov.au/reports-and-submissions/state-housing-system-2025</vt:lpwstr>
      </vt:variant>
      <vt:variant>
        <vt:lpwstr/>
      </vt:variant>
      <vt:variant>
        <vt:i4>6750267</vt:i4>
      </vt:variant>
      <vt:variant>
        <vt:i4>54</vt:i4>
      </vt:variant>
      <vt:variant>
        <vt:i4>0</vt:i4>
      </vt:variant>
      <vt:variant>
        <vt:i4>5</vt:i4>
      </vt:variant>
      <vt:variant>
        <vt:lpwstr>https://www.abs.gov.au/statistics/people/population/regional-population/latest-release</vt:lpwstr>
      </vt:variant>
      <vt:variant>
        <vt:lpwstr/>
      </vt:variant>
      <vt:variant>
        <vt:i4>3407916</vt:i4>
      </vt:variant>
      <vt:variant>
        <vt:i4>51</vt:i4>
      </vt:variant>
      <vt:variant>
        <vt:i4>0</vt:i4>
      </vt:variant>
      <vt:variant>
        <vt:i4>5</vt:i4>
      </vt:variant>
      <vt:variant>
        <vt:lpwstr>https://population.gov.au/publications/statements/2024-population-statement</vt:lpwstr>
      </vt:variant>
      <vt:variant>
        <vt:lpwstr/>
      </vt:variant>
      <vt:variant>
        <vt:i4>3407916</vt:i4>
      </vt:variant>
      <vt:variant>
        <vt:i4>48</vt:i4>
      </vt:variant>
      <vt:variant>
        <vt:i4>0</vt:i4>
      </vt:variant>
      <vt:variant>
        <vt:i4>5</vt:i4>
      </vt:variant>
      <vt:variant>
        <vt:lpwstr>https://population.gov.au/publications/statements/2024-population-statement</vt:lpwstr>
      </vt:variant>
      <vt:variant>
        <vt:lpwstr/>
      </vt:variant>
      <vt:variant>
        <vt:i4>3342380</vt:i4>
      </vt:variant>
      <vt:variant>
        <vt:i4>45</vt:i4>
      </vt:variant>
      <vt:variant>
        <vt:i4>0</vt:i4>
      </vt:variant>
      <vt:variant>
        <vt:i4>5</vt:i4>
      </vt:variant>
      <vt:variant>
        <vt:lpwstr>https://population.gov.au/publications/statements/2023-population-statement</vt:lpwstr>
      </vt:variant>
      <vt:variant>
        <vt:lpwstr/>
      </vt:variant>
      <vt:variant>
        <vt:i4>3276844</vt:i4>
      </vt:variant>
      <vt:variant>
        <vt:i4>42</vt:i4>
      </vt:variant>
      <vt:variant>
        <vt:i4>0</vt:i4>
      </vt:variant>
      <vt:variant>
        <vt:i4>5</vt:i4>
      </vt:variant>
      <vt:variant>
        <vt:lpwstr>https://population.gov.au/publications/statements/2022-population-statement</vt:lpwstr>
      </vt:variant>
      <vt:variant>
        <vt:lpwstr/>
      </vt:variant>
      <vt:variant>
        <vt:i4>3211308</vt:i4>
      </vt:variant>
      <vt:variant>
        <vt:i4>39</vt:i4>
      </vt:variant>
      <vt:variant>
        <vt:i4>0</vt:i4>
      </vt:variant>
      <vt:variant>
        <vt:i4>5</vt:i4>
      </vt:variant>
      <vt:variant>
        <vt:lpwstr>https://population.gov.au/publications/statements/2021-population-statement</vt:lpwstr>
      </vt:variant>
      <vt:variant>
        <vt:lpwstr/>
      </vt:variant>
      <vt:variant>
        <vt:i4>3145772</vt:i4>
      </vt:variant>
      <vt:variant>
        <vt:i4>36</vt:i4>
      </vt:variant>
      <vt:variant>
        <vt:i4>0</vt:i4>
      </vt:variant>
      <vt:variant>
        <vt:i4>5</vt:i4>
      </vt:variant>
      <vt:variant>
        <vt:lpwstr>https://population.gov.au/publications/statements/2020-population-statement</vt:lpwstr>
      </vt:variant>
      <vt:variant>
        <vt:lpwstr/>
      </vt:variant>
      <vt:variant>
        <vt:i4>4915276</vt:i4>
      </vt:variant>
      <vt:variant>
        <vt:i4>33</vt:i4>
      </vt:variant>
      <vt:variant>
        <vt:i4>0</vt:i4>
      </vt:variant>
      <vt:variant>
        <vt:i4>5</vt:i4>
      </vt:variant>
      <vt:variant>
        <vt:lpwstr>https://www.abs.gov.au/statistics/people/population/national-state-and-territory-population/mar-2025</vt:lpwstr>
      </vt:variant>
      <vt:variant>
        <vt:lpwstr/>
      </vt:variant>
      <vt:variant>
        <vt:i4>393291</vt:i4>
      </vt:variant>
      <vt:variant>
        <vt:i4>30</vt:i4>
      </vt:variant>
      <vt:variant>
        <vt:i4>0</vt:i4>
      </vt:variant>
      <vt:variant>
        <vt:i4>5</vt:i4>
      </vt:variant>
      <vt:variant>
        <vt:lpwstr>https://www.ons.gov.uk/peoplepopulationandcommunity/populationandmigration/populationprojections/methodologies/methodforincorporatingcrossbordermigrationratesintotheuknationalpopulationprojections</vt:lpwstr>
      </vt:variant>
      <vt:variant>
        <vt:lpwstr/>
      </vt:variant>
      <vt:variant>
        <vt:i4>655452</vt:i4>
      </vt:variant>
      <vt:variant>
        <vt:i4>27</vt:i4>
      </vt:variant>
      <vt:variant>
        <vt:i4>0</vt:i4>
      </vt:variant>
      <vt:variant>
        <vt:i4>5</vt:i4>
      </vt:variant>
      <vt:variant>
        <vt:lpwstr>https://www150.statcan.gc.ca/n1/pub/91-520-x/91-520-x2025001-eng.htm</vt:lpwstr>
      </vt:variant>
      <vt:variant>
        <vt:lpwstr/>
      </vt:variant>
      <vt:variant>
        <vt:i4>1966165</vt:i4>
      </vt:variant>
      <vt:variant>
        <vt:i4>24</vt:i4>
      </vt:variant>
      <vt:variant>
        <vt:i4>0</vt:i4>
      </vt:variant>
      <vt:variant>
        <vt:i4>5</vt:i4>
      </vt:variant>
      <vt:variant>
        <vt:lpwstr>https://www.abs.gov.au/census/find-census-data/search-by-area</vt:lpwstr>
      </vt:variant>
      <vt:variant>
        <vt:lpwstr/>
      </vt:variant>
      <vt:variant>
        <vt:i4>1310742</vt:i4>
      </vt:variant>
      <vt:variant>
        <vt:i4>21</vt:i4>
      </vt:variant>
      <vt:variant>
        <vt:i4>0</vt:i4>
      </vt:variant>
      <vt:variant>
        <vt:i4>5</vt:i4>
      </vt:variant>
      <vt:variant>
        <vt:lpwstr>https://www.abs.gov.au/statistics/detailed-methodology-information/information-papers/net-interstate-migration-review</vt:lpwstr>
      </vt:variant>
      <vt:variant>
        <vt:lpwstr/>
      </vt:variant>
      <vt:variant>
        <vt:i4>7012409</vt:i4>
      </vt:variant>
      <vt:variant>
        <vt:i4>18</vt:i4>
      </vt:variant>
      <vt:variant>
        <vt:i4>0</vt:i4>
      </vt:variant>
      <vt:variant>
        <vt:i4>5</vt:i4>
      </vt:variant>
      <vt:variant>
        <vt:lpwstr>https://www.abs.gov.au/articles/measuring-australias-excess-mortality-remoteness-areas-during-covid-19-pandemic-until-december-2023</vt:lpwstr>
      </vt:variant>
      <vt:variant>
        <vt:lpwstr/>
      </vt:variant>
      <vt:variant>
        <vt:i4>3407916</vt:i4>
      </vt:variant>
      <vt:variant>
        <vt:i4>15</vt:i4>
      </vt:variant>
      <vt:variant>
        <vt:i4>0</vt:i4>
      </vt:variant>
      <vt:variant>
        <vt:i4>5</vt:i4>
      </vt:variant>
      <vt:variant>
        <vt:lpwstr>https://population.gov.au/publications/statements/2024-population-statement</vt:lpwstr>
      </vt:variant>
      <vt:variant>
        <vt:lpwstr/>
      </vt:variant>
      <vt:variant>
        <vt:i4>6815796</vt:i4>
      </vt:variant>
      <vt:variant>
        <vt:i4>12</vt:i4>
      </vt:variant>
      <vt:variant>
        <vt:i4>0</vt:i4>
      </vt:variant>
      <vt:variant>
        <vt:i4>5</vt:i4>
      </vt:variant>
      <vt:variant>
        <vt:lpwstr>https://www.abs.gov.au/statistics/people/population/life-expectancy/2019-2021</vt:lpwstr>
      </vt:variant>
      <vt:variant>
        <vt:lpwstr>data-downloads</vt:lpwstr>
      </vt:variant>
      <vt:variant>
        <vt:i4>983055</vt:i4>
      </vt:variant>
      <vt:variant>
        <vt:i4>9</vt:i4>
      </vt:variant>
      <vt:variant>
        <vt:i4>0</vt:i4>
      </vt:variant>
      <vt:variant>
        <vt:i4>5</vt:i4>
      </vt:variant>
      <vt:variant>
        <vt:lpwstr>https://population.gov.au/research/research-fertility</vt:lpwstr>
      </vt:variant>
      <vt:variant>
        <vt:lpwstr/>
      </vt:variant>
      <vt:variant>
        <vt:i4>3276844</vt:i4>
      </vt:variant>
      <vt:variant>
        <vt:i4>6</vt:i4>
      </vt:variant>
      <vt:variant>
        <vt:i4>0</vt:i4>
      </vt:variant>
      <vt:variant>
        <vt:i4>5</vt:i4>
      </vt:variant>
      <vt:variant>
        <vt:lpwstr>https://population.gov.au/publications/statements/2022-population-statement</vt:lpwstr>
      </vt:variant>
      <vt:variant>
        <vt:lpwstr/>
      </vt:variant>
      <vt:variant>
        <vt:i4>589911</vt:i4>
      </vt:variant>
      <vt:variant>
        <vt:i4>3</vt:i4>
      </vt:variant>
      <vt:variant>
        <vt:i4>0</vt:i4>
      </vt:variant>
      <vt:variant>
        <vt:i4>5</vt:i4>
      </vt:variant>
      <vt:variant>
        <vt:lpwstr>https://treasury.gov.au/publication/2023-intergenerational-report</vt:lpwstr>
      </vt:variant>
      <vt:variant>
        <vt:lpwstr/>
      </vt:variant>
      <vt:variant>
        <vt:i4>2424954</vt:i4>
      </vt:variant>
      <vt:variant>
        <vt:i4>0</vt:i4>
      </vt:variant>
      <vt:variant>
        <vt:i4>0</vt:i4>
      </vt:variant>
      <vt:variant>
        <vt:i4>5</vt:i4>
      </vt:variant>
      <vt:variant>
        <vt:lpwstr>https://www.abs.gov.au/methodologies/national-state-and-territory-population-methodology/mar-2025</vt:lpwstr>
      </vt:variant>
      <vt:variant>
        <vt:lpwstr>overseas-migration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 – Technical appendix</dc:title>
  <dc:subject/>
  <dc:creator>Centre for Population</dc:creator>
  <cp:keywords/>
  <cp:lastModifiedBy/>
  <cp:revision>1</cp:revision>
  <dcterms:created xsi:type="dcterms:W3CDTF">2026-01-16T05:12:00Z</dcterms:created>
  <dcterms:modified xsi:type="dcterms:W3CDTF">2026-01-16T05:13:00Z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2026-01-16T05:13:09Z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d0fa8df4-5397-4d3e-af82-364077d1c45f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