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539A" w14:textId="3C1C1E51" w:rsidR="006D67D4" w:rsidRPr="006D67D4" w:rsidRDefault="006B06C8" w:rsidP="00C74B1E">
      <w:pPr>
        <w:pStyle w:val="Title-PopulationStatement"/>
      </w:pPr>
      <w:r w:rsidRPr="006D67D4">
        <w:t>2025 Population Statement</w:t>
      </w:r>
    </w:p>
    <w:p w14:paraId="36A76A31" w14:textId="3958552E" w:rsidR="00D81270" w:rsidRDefault="000C2827" w:rsidP="00C74B1E">
      <w:pPr>
        <w:pStyle w:val="Title-StateTerritory"/>
      </w:pPr>
      <w:r>
        <w:t>South Australia</w:t>
      </w:r>
      <w:r w:rsidR="00250564" w:rsidRPr="006D67D4">
        <w:t xml:space="preserve"> snapshot</w:t>
      </w:r>
    </w:p>
    <w:p w14:paraId="2518BD70" w14:textId="1968B0C6" w:rsidR="00560F39" w:rsidRPr="007800E9" w:rsidRDefault="00560F39" w:rsidP="00560F39">
      <w:pPr>
        <w:pStyle w:val="Heading1"/>
      </w:pPr>
      <w:r>
        <w:t>S</w:t>
      </w:r>
      <w:r w:rsidR="00025DE6">
        <w:t xml:space="preserve">outh </w:t>
      </w:r>
      <w:r w:rsidR="00E00438">
        <w:t>A</w:t>
      </w:r>
      <w:r w:rsidR="00025DE6">
        <w:t>ustralia</w:t>
      </w:r>
      <w:r w:rsidR="00E00438">
        <w:t xml:space="preserve"> </w:t>
      </w:r>
      <w:r>
        <w:t xml:space="preserve">is expected to </w:t>
      </w:r>
      <w:r w:rsidR="001647CA">
        <w:t>be</w:t>
      </w:r>
      <w:r w:rsidR="009A1210">
        <w:t xml:space="preserve"> </w:t>
      </w:r>
      <w:r>
        <w:t>the second slowest</w:t>
      </w:r>
      <w:r w:rsidR="00D86B24">
        <w:t xml:space="preserve"> </w:t>
      </w:r>
      <w:r w:rsidR="001647CA">
        <w:t>growing</w:t>
      </w:r>
      <w:r w:rsidR="001647CA" w:rsidDel="000512AA">
        <w:t xml:space="preserve"> </w:t>
      </w:r>
      <w:r>
        <w:t>stat</w:t>
      </w:r>
      <w:r w:rsidR="00D86B24">
        <w:t>e</w:t>
      </w:r>
      <w:r w:rsidR="00072883">
        <w:rPr>
          <w:rStyle w:val="FootnoteReference"/>
        </w:rPr>
        <w:footnoteReference w:id="2"/>
      </w:r>
    </w:p>
    <w:p w14:paraId="41283FFD" w14:textId="31144C3D" w:rsidR="00560F39" w:rsidRDefault="00560F39" w:rsidP="00560F39">
      <w:pPr>
        <w:pStyle w:val="Bullet"/>
        <w:rPr>
          <w:b/>
          <w:bCs/>
        </w:rPr>
      </w:pPr>
      <w:r>
        <w:t>South Australia</w:t>
      </w:r>
      <w:r w:rsidR="00FF556E">
        <w:t>’</w:t>
      </w:r>
      <w:r>
        <w:t>s population growth rate is expected to fall below 1 per cent per year</w:t>
      </w:r>
      <w:r w:rsidR="0000296B">
        <w:t xml:space="preserve"> over the next decade</w:t>
      </w:r>
      <w:r>
        <w:t>.</w:t>
      </w:r>
    </w:p>
    <w:p w14:paraId="402B9FA2" w14:textId="6EEF21FD" w:rsidR="00560F39" w:rsidRPr="00FF556E" w:rsidRDefault="006C0DBB" w:rsidP="00560F39">
      <w:pPr>
        <w:pStyle w:val="Bullet"/>
        <w:rPr>
          <w:rFonts w:ascii="Calibri" w:hAnsi="Calibri"/>
          <w:spacing w:val="-2"/>
        </w:rPr>
      </w:pPr>
      <w:r w:rsidRPr="00FF556E">
        <w:rPr>
          <w:rFonts w:ascii="Calibri" w:hAnsi="Calibri" w:cs="Calibri"/>
          <w:spacing w:val="-2"/>
        </w:rPr>
        <w:t>Most</w:t>
      </w:r>
      <w:r w:rsidR="00560F39" w:rsidRPr="00FF556E">
        <w:rPr>
          <w:rFonts w:ascii="Calibri" w:hAnsi="Calibri" w:cs="Calibri"/>
          <w:spacing w:val="-2"/>
        </w:rPr>
        <w:t xml:space="preserve"> of South Australia</w:t>
      </w:r>
      <w:r w:rsidR="00FF556E" w:rsidRPr="00FF556E">
        <w:rPr>
          <w:rFonts w:ascii="Calibri" w:hAnsi="Calibri" w:cs="Calibri"/>
          <w:spacing w:val="-2"/>
        </w:rPr>
        <w:t>’</w:t>
      </w:r>
      <w:r w:rsidR="00560F39" w:rsidRPr="00FF556E">
        <w:rPr>
          <w:rFonts w:ascii="Calibri" w:hAnsi="Calibri" w:cs="Calibri"/>
          <w:spacing w:val="-2"/>
        </w:rPr>
        <w:t xml:space="preserve">s </w:t>
      </w:r>
      <w:r w:rsidR="00560F39" w:rsidRPr="00FF556E">
        <w:rPr>
          <w:rFonts w:ascii="Calibri" w:hAnsi="Calibri"/>
          <w:spacing w:val="-2"/>
        </w:rPr>
        <w:t xml:space="preserve">population </w:t>
      </w:r>
      <w:r w:rsidR="00560F39" w:rsidRPr="00FF556E">
        <w:rPr>
          <w:rFonts w:ascii="Calibri" w:hAnsi="Calibri" w:cs="Calibri"/>
          <w:spacing w:val="-2"/>
        </w:rPr>
        <w:t xml:space="preserve">growth occurs in Adelaide, which is home to </w:t>
      </w:r>
      <w:r w:rsidR="0091552B" w:rsidRPr="00FF556E">
        <w:rPr>
          <w:rFonts w:ascii="Calibri" w:hAnsi="Calibri"/>
          <w:spacing w:val="-2"/>
        </w:rPr>
        <w:t xml:space="preserve">79 </w:t>
      </w:r>
      <w:r w:rsidR="00560F39" w:rsidRPr="00FF556E">
        <w:rPr>
          <w:rFonts w:ascii="Calibri" w:hAnsi="Calibri"/>
          <w:spacing w:val="-2"/>
        </w:rPr>
        <w:t>per cent of</w:t>
      </w:r>
      <w:r w:rsidR="00DD7390" w:rsidRPr="00FF556E">
        <w:rPr>
          <w:rFonts w:ascii="Calibri" w:hAnsi="Calibri"/>
          <w:spacing w:val="-2"/>
        </w:rPr>
        <w:t> </w:t>
      </w:r>
      <w:r w:rsidR="00560F39" w:rsidRPr="00FF556E">
        <w:rPr>
          <w:rFonts w:ascii="Calibri" w:hAnsi="Calibri"/>
          <w:spacing w:val="-2"/>
        </w:rPr>
        <w:t xml:space="preserve">the state population. </w:t>
      </w:r>
    </w:p>
    <w:p w14:paraId="6497D1B5" w14:textId="4D14302E" w:rsidR="00560F39" w:rsidRPr="00254A94" w:rsidRDefault="00560F39" w:rsidP="00560F39">
      <w:pPr>
        <w:pStyle w:val="Bullet"/>
        <w:rPr>
          <w:b/>
          <w:bCs/>
        </w:rPr>
      </w:pPr>
      <w:r w:rsidRPr="00254A94">
        <w:rPr>
          <w:rFonts w:ascii="Calibri" w:hAnsi="Calibri" w:cs="Calibri"/>
          <w:bCs/>
        </w:rPr>
        <w:t xml:space="preserve">Net overseas migration </w:t>
      </w:r>
      <w:r>
        <w:t xml:space="preserve">is the main </w:t>
      </w:r>
      <w:r w:rsidRPr="00254A94">
        <w:rPr>
          <w:rFonts w:ascii="Calibri" w:hAnsi="Calibri" w:cs="Calibri"/>
          <w:bCs/>
        </w:rPr>
        <w:t>contribut</w:t>
      </w:r>
      <w:r>
        <w:t xml:space="preserve">or to </w:t>
      </w:r>
      <w:r w:rsidRPr="00254A94">
        <w:rPr>
          <w:rFonts w:ascii="Calibri" w:hAnsi="Calibri" w:cs="Calibri"/>
          <w:bCs/>
        </w:rPr>
        <w:t>South Australia</w:t>
      </w:r>
      <w:r w:rsidR="00FF556E">
        <w:rPr>
          <w:rFonts w:ascii="Calibri" w:hAnsi="Calibri" w:cs="Calibri"/>
          <w:bCs/>
        </w:rPr>
        <w:t>’</w:t>
      </w:r>
      <w:r w:rsidRPr="00254A94">
        <w:rPr>
          <w:rFonts w:ascii="Calibri" w:hAnsi="Calibri" w:cs="Calibri"/>
          <w:bCs/>
        </w:rPr>
        <w:t xml:space="preserve">s </w:t>
      </w:r>
      <w:r>
        <w:t xml:space="preserve">population </w:t>
      </w:r>
      <w:r w:rsidRPr="00254A94">
        <w:rPr>
          <w:rFonts w:ascii="Calibri" w:hAnsi="Calibri" w:cs="Calibri"/>
          <w:bCs/>
        </w:rPr>
        <w:t>growth</w:t>
      </w:r>
      <w:r>
        <w:t xml:space="preserve">. </w:t>
      </w:r>
      <w:r w:rsidRPr="005E2216">
        <w:t>Growth is partially offset</w:t>
      </w:r>
      <w:r w:rsidR="00DD7390">
        <w:t> </w:t>
      </w:r>
      <w:r w:rsidRPr="005E2216">
        <w:t>by</w:t>
      </w:r>
      <w:r w:rsidR="00DD7390">
        <w:t> </w:t>
      </w:r>
      <w:r w:rsidRPr="005E2216">
        <w:t xml:space="preserve">negative net internal migration, as young adults </w:t>
      </w:r>
      <w:r>
        <w:t>tend</w:t>
      </w:r>
      <w:r w:rsidRPr="005E2216">
        <w:t xml:space="preserve"> to leave the state. </w:t>
      </w:r>
      <w:r w:rsidR="009B6AA8">
        <w:t>Compared to</w:t>
      </w:r>
      <w:r w:rsidR="09CB4B67">
        <w:t xml:space="preserve"> most</w:t>
      </w:r>
      <w:r w:rsidR="009B6AA8">
        <w:t xml:space="preserve"> other states and territories, n</w:t>
      </w:r>
      <w:r>
        <w:t>atural increase contributes</w:t>
      </w:r>
      <w:r w:rsidR="00DD7390">
        <w:t> </w:t>
      </w:r>
      <w:r w:rsidDel="00FA214E">
        <w:t xml:space="preserve">a </w:t>
      </w:r>
      <w:r w:rsidR="00FA214E">
        <w:t xml:space="preserve">very small amount </w:t>
      </w:r>
      <w:r>
        <w:t>to population growth.</w:t>
      </w:r>
    </w:p>
    <w:p w14:paraId="2F54EE03" w14:textId="48F16EFD" w:rsidR="00560F39" w:rsidRPr="00254A94" w:rsidRDefault="00560F39" w:rsidP="00560F39">
      <w:pPr>
        <w:pStyle w:val="Bullet"/>
        <w:rPr>
          <w:b/>
          <w:bCs/>
        </w:rPr>
      </w:pPr>
      <w:r w:rsidRPr="005E2216">
        <w:t>Th</w:t>
      </w:r>
      <w:r>
        <w:t>e</w:t>
      </w:r>
      <w:r w:rsidRPr="005E2216">
        <w:t xml:space="preserve"> outflow of young adults contributes to </w:t>
      </w:r>
      <w:r>
        <w:t>South Australia</w:t>
      </w:r>
      <w:r w:rsidRPr="005E2216">
        <w:t xml:space="preserve"> having the second oldest population of any state</w:t>
      </w:r>
      <w:r w:rsidR="00DD7390">
        <w:t> </w:t>
      </w:r>
      <w:r>
        <w:t>or</w:t>
      </w:r>
      <w:r w:rsidR="00DD7390">
        <w:t> </w:t>
      </w:r>
      <w:r>
        <w:t>territory</w:t>
      </w:r>
      <w:r w:rsidRPr="005E2216">
        <w:t xml:space="preserve">. </w:t>
      </w:r>
    </w:p>
    <w:p w14:paraId="7780D92E" w14:textId="398CACE9" w:rsidR="00560F39" w:rsidRDefault="00560F39" w:rsidP="00560F39">
      <w:pPr>
        <w:pStyle w:val="Bullet"/>
      </w:pPr>
      <w:r>
        <w:t xml:space="preserve">The ageing population also reflects low natural increase. By the </w:t>
      </w:r>
      <w:r w:rsidR="7C19363D">
        <w:t>2060s</w:t>
      </w:r>
      <w:r>
        <w:t>, South Australia is projected to follow Tasmania in having deaths outnumber births.</w:t>
      </w:r>
    </w:p>
    <w:p w14:paraId="5D23A3B1" w14:textId="0680B087" w:rsidR="00222188" w:rsidRDefault="00222188" w:rsidP="002337D6">
      <w:pPr>
        <w:pStyle w:val="TableChartFigureHeading"/>
      </w:pPr>
      <w:r>
        <w:t>Chart 1: South Australia population growth</w:t>
      </w:r>
    </w:p>
    <w:tbl>
      <w:tblPr>
        <w:tblW w:w="5000" w:type="pct"/>
        <w:tblCellMar>
          <w:left w:w="0" w:type="dxa"/>
        </w:tblCellMar>
        <w:tblLook w:val="04A0" w:firstRow="1" w:lastRow="0" w:firstColumn="1" w:lastColumn="0" w:noHBand="0" w:noVBand="1"/>
      </w:tblPr>
      <w:tblGrid>
        <w:gridCol w:w="4819"/>
        <w:gridCol w:w="4819"/>
      </w:tblGrid>
      <w:tr w:rsidR="00222188" w:rsidRPr="00FF556E" w14:paraId="422D2B8C" w14:textId="77777777" w:rsidTr="00357340">
        <w:tc>
          <w:tcPr>
            <w:tcW w:w="4819" w:type="dxa"/>
          </w:tcPr>
          <w:p w14:paraId="3B4B9A4A" w14:textId="0A3820E7" w:rsidR="00222188" w:rsidRPr="00FF556E" w:rsidRDefault="00222188" w:rsidP="00FF556E">
            <w:pPr>
              <w:pStyle w:val="TableChartFiguresecondheading-Side-by-side"/>
              <w:spacing w:after="80"/>
            </w:pPr>
            <w:r w:rsidRPr="00FF556E">
              <w:t xml:space="preserve">Components of growth in South Australia </w:t>
            </w:r>
          </w:p>
        </w:tc>
        <w:tc>
          <w:tcPr>
            <w:tcW w:w="4819" w:type="dxa"/>
            <w:tcMar>
              <w:left w:w="113" w:type="dxa"/>
              <w:right w:w="0" w:type="dxa"/>
            </w:tcMar>
          </w:tcPr>
          <w:p w14:paraId="5E6ACC51" w14:textId="68AAF17A" w:rsidR="00222188" w:rsidRPr="00FF556E" w:rsidRDefault="00222188" w:rsidP="00FF556E">
            <w:pPr>
              <w:pStyle w:val="TableChartFiguresecondheading-Side-by-side"/>
              <w:spacing w:after="80"/>
            </w:pPr>
            <w:r w:rsidRPr="00FF556E">
              <w:t>Population growth in South Australia and Australia</w:t>
            </w:r>
          </w:p>
        </w:tc>
      </w:tr>
      <w:tr w:rsidR="00222188" w:rsidRPr="00FF556E" w14:paraId="04944B68" w14:textId="77777777" w:rsidTr="00357340">
        <w:tblPrEx>
          <w:tblCellMar>
            <w:left w:w="108" w:type="dxa"/>
          </w:tblCellMar>
        </w:tblPrEx>
        <w:tc>
          <w:tcPr>
            <w:tcW w:w="4819" w:type="dxa"/>
          </w:tcPr>
          <w:p w14:paraId="59EC77D1" w14:textId="3F573D37" w:rsidR="00222188" w:rsidRPr="00FF556E" w:rsidRDefault="00961B0D" w:rsidP="00442F89">
            <w:pPr>
              <w:pStyle w:val="ChartGraphic"/>
            </w:pPr>
            <w:r w:rsidRPr="00FF556E">
              <w:rPr>
                <w:noProof/>
              </w:rPr>
              <w:drawing>
                <wp:inline distT="0" distB="0" distL="0" distR="0" wp14:anchorId="15A08663" wp14:editId="055CF023">
                  <wp:extent cx="2917825" cy="1945640"/>
                  <wp:effectExtent l="0" t="0" r="0" b="0"/>
                  <wp:docPr id="1490267788" name="Picture 1" descr="This chart shows the population growth rate and contribution to growth by components in South Australia. Growth in South Australia declined significantly in 2020–21 but recovered and peaked in 2022–23 driven by net overseas migration, which was the main driver of growth and is forecast to continue. Net overseas migration is expected to decline and stabilise by 2026–27, while interstate migration outflows are expected to increase and stabilise in the same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67788" name="Picture 1" descr="This chart shows the population growth rate and contribution to growth by components in South Australia. Growth in South Australia declined significantly in 2020–21 but recovered and peaked in 2022–23 driven by net overseas migration, which was the main driver of growth and is forecast to continue. Net overseas migration is expected to decline and stabilise by 2026–27, while interstate migration outflows are expected to increase and stabilise in the same yea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3704" cy="1949560"/>
                          </a:xfrm>
                          <a:prstGeom prst="rect">
                            <a:avLst/>
                          </a:prstGeom>
                          <a:noFill/>
                          <a:ln>
                            <a:noFill/>
                          </a:ln>
                        </pic:spPr>
                      </pic:pic>
                    </a:graphicData>
                  </a:graphic>
                </wp:inline>
              </w:drawing>
            </w:r>
          </w:p>
        </w:tc>
        <w:tc>
          <w:tcPr>
            <w:tcW w:w="4819" w:type="dxa"/>
          </w:tcPr>
          <w:p w14:paraId="5FBD8496" w14:textId="34F2B929" w:rsidR="00222188" w:rsidRPr="00FF556E" w:rsidRDefault="002D73B3" w:rsidP="00442F89">
            <w:pPr>
              <w:pStyle w:val="ChartGraphic"/>
            </w:pPr>
            <w:r w:rsidRPr="00FF556E">
              <w:rPr>
                <w:noProof/>
              </w:rPr>
              <w:drawing>
                <wp:inline distT="0" distB="0" distL="0" distR="0" wp14:anchorId="10D46487" wp14:editId="36AE5F59">
                  <wp:extent cx="2918460" cy="1945640"/>
                  <wp:effectExtent l="0" t="0" r="0" b="0"/>
                  <wp:docPr id="1997460971" name="Picture 2" descr="Chart showing population growth for South Australia, Adelaide, the rest of South Australia, and Australia. Growth in South Australia is driven by Adelaide, following a similar trajectory: both declined significantly in 2020–21. Adelaide’s growth recovered quickly, peaked in 2022–23, and is forecast to decline and stabilise. Growth in the rest of South Australia is expected to keep declining before increasing from 20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60971" name="Picture 2" descr="Chart showing population growth for South Australia, Adelaide, the rest of South Australia, and Australia. Growth in South Australia is driven by Adelaide, following a similar trajectory: both declined significantly in 2020–21. Adelaide’s growth recovered quickly, peaked in 2022–23, and is forecast to decline and stabilise. Growth in the rest of South Australia is expected to keep declining before increasing from 2026–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8460" cy="1945640"/>
                          </a:xfrm>
                          <a:prstGeom prst="rect">
                            <a:avLst/>
                          </a:prstGeom>
                          <a:noFill/>
                          <a:ln>
                            <a:noFill/>
                          </a:ln>
                        </pic:spPr>
                      </pic:pic>
                    </a:graphicData>
                  </a:graphic>
                </wp:inline>
              </w:drawing>
            </w:r>
          </w:p>
        </w:tc>
      </w:tr>
    </w:tbl>
    <w:p w14:paraId="7CC6AC1F" w14:textId="184A3710" w:rsidR="00222188" w:rsidRDefault="00222188" w:rsidP="00D743F1">
      <w:pPr>
        <w:pStyle w:val="TableChartFigureSource"/>
      </w:pPr>
      <w:r w:rsidRPr="00222188">
        <w:t xml:space="preserve">Source: </w:t>
      </w:r>
      <w:r w:rsidRPr="00222188">
        <w:tab/>
        <w:t xml:space="preserve">ABS, </w:t>
      </w:r>
      <w:r w:rsidRPr="006440E5">
        <w:rPr>
          <w:i/>
          <w:iCs/>
        </w:rPr>
        <w:t>National, state and territory population, March 2025</w:t>
      </w:r>
      <w:r w:rsidRPr="00222188">
        <w:t>; and Centre for Population.</w:t>
      </w:r>
    </w:p>
    <w:p w14:paraId="48E3C7D2" w14:textId="322FB325" w:rsidR="00D81270" w:rsidRDefault="007E1AA7" w:rsidP="00FF556E">
      <w:pPr>
        <w:pStyle w:val="TableChartFigureHeading"/>
      </w:pPr>
      <w:r>
        <w:t>Chart 2</w:t>
      </w:r>
      <w:r w:rsidR="007D35FE">
        <w:t>:</w:t>
      </w:r>
      <w:r>
        <w:t xml:space="preserve"> </w:t>
      </w:r>
      <w:r w:rsidRPr="00FF556E">
        <w:t>Comparing</w:t>
      </w:r>
      <w:r w:rsidR="00365E6B">
        <w:t xml:space="preserve"> the proportional age structure</w:t>
      </w:r>
      <w:r w:rsidR="00195605">
        <w:t>s</w:t>
      </w:r>
      <w:r w:rsidR="00365E6B">
        <w:t xml:space="preserve"> of</w:t>
      </w:r>
      <w:r>
        <w:t xml:space="preserve"> South Australia</w:t>
      </w:r>
      <w:r w:rsidR="00365E6B">
        <w:t xml:space="preserve"> and </w:t>
      </w:r>
      <w:r>
        <w:t>Australia</w:t>
      </w:r>
      <w:r w:rsidR="00D81270" w:rsidRPr="004F0673">
        <w:t xml:space="preserve"> </w:t>
      </w:r>
    </w:p>
    <w:p w14:paraId="16E54592" w14:textId="1332C69D" w:rsidR="004E042F" w:rsidRDefault="00977D76" w:rsidP="00FF556E">
      <w:pPr>
        <w:pStyle w:val="ChartGraphic"/>
      </w:pPr>
      <w:r w:rsidRPr="00FF556E">
        <w:rPr>
          <w:noProof/>
        </w:rPr>
        <w:drawing>
          <wp:inline distT="0" distB="0" distL="0" distR="0" wp14:anchorId="6F561C06" wp14:editId="42C605CF">
            <wp:extent cx="6083300" cy="1950085"/>
            <wp:effectExtent l="0" t="0" r="0" b="0"/>
            <wp:docPr id="1144232077" name="Picture 1" descr=" This series of charts compares the age structure of South Australia with that of Australia’s in 2023–24, 2035–36 and 2065–66. The Y axis shows the age from 0 to over 100 and the X axis shows the proportion of people at each age. In 2023–24, the ages with the highest proportions of people fall mostly between the 20 and 40. In 2035–36, the ages with the highest proportions of people have shifted upwards to be between late 20 and 50, with a distinct peak around age 40. By 2065–66, South Australia has a smoother age distribution. Compared to Australia, South Australia has a higher proportion of aged over 50 and a lower proportion of people under 50 by a significant margin from 2023–24 to 2065–6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32077" name="Picture 1" descr=" This series of charts compares the age structure of South Australia with that of Australia’s in 2023–24, 2035–36 and 2065–66. The Y axis shows the age from 0 to over 100 and the X axis shows the proportion of people at each age. In 2023–24, the ages with the highest proportions of people fall mostly between the 20 and 40. In 2035–36, the ages with the highest proportions of people have shifted upwards to be between late 20 and 50, with a distinct peak around age 40. By 2065–66, South Australia has a smoother age distribution. Compared to Australia, South Australia has a higher proportion of aged over 50 and a lower proportion of people under 50 by a significant margin from 2023–24 to 2065–66.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3300" cy="1950085"/>
                    </a:xfrm>
                    <a:prstGeom prst="rect">
                      <a:avLst/>
                    </a:prstGeom>
                    <a:noFill/>
                    <a:ln>
                      <a:noFill/>
                    </a:ln>
                  </pic:spPr>
                </pic:pic>
              </a:graphicData>
            </a:graphic>
          </wp:inline>
        </w:drawing>
      </w:r>
    </w:p>
    <w:p w14:paraId="1C389DD2" w14:textId="4EB382F0" w:rsidR="008C2216" w:rsidRPr="00FF556E" w:rsidRDefault="00A655B3" w:rsidP="00FF556E">
      <w:pPr>
        <w:pStyle w:val="TableChartFigureSource"/>
        <w:rPr>
          <w:spacing w:val="-1"/>
        </w:rPr>
      </w:pPr>
      <w:r w:rsidRPr="00FF556E">
        <w:rPr>
          <w:spacing w:val="-1"/>
        </w:rPr>
        <w:t>S</w:t>
      </w:r>
      <w:r w:rsidR="00E66C9F" w:rsidRPr="00FF556E">
        <w:rPr>
          <w:spacing w:val="-1"/>
        </w:rPr>
        <w:t xml:space="preserve">ource: </w:t>
      </w:r>
      <w:r w:rsidR="00E66C9F" w:rsidRPr="00FF556E">
        <w:rPr>
          <w:spacing w:val="-1"/>
        </w:rPr>
        <w:tab/>
        <w:t xml:space="preserve">ABS, </w:t>
      </w:r>
      <w:r w:rsidR="00E66C9F" w:rsidRPr="00FF556E">
        <w:rPr>
          <w:i/>
          <w:iCs/>
          <w:spacing w:val="-1"/>
        </w:rPr>
        <w:t>National, state and territory population</w:t>
      </w:r>
      <w:r w:rsidR="00E66C9F" w:rsidRPr="00FF556E">
        <w:rPr>
          <w:spacing w:val="-1"/>
        </w:rPr>
        <w:t xml:space="preserve">, </w:t>
      </w:r>
      <w:r w:rsidR="00E66C9F" w:rsidRPr="00FF556E">
        <w:rPr>
          <w:i/>
          <w:iCs/>
          <w:spacing w:val="-1"/>
        </w:rPr>
        <w:t>March 2025</w:t>
      </w:r>
      <w:r w:rsidR="00E66C9F" w:rsidRPr="00FF556E">
        <w:rPr>
          <w:spacing w:val="-1"/>
        </w:rPr>
        <w:t>; and Centre for Population</w:t>
      </w:r>
      <w:r w:rsidR="005C59D3" w:rsidRPr="00FF556E">
        <w:rPr>
          <w:spacing w:val="-1"/>
        </w:rPr>
        <w:t xml:space="preserve"> </w:t>
      </w:r>
      <w:r w:rsidR="00FF6278" w:rsidRPr="00FF556E">
        <w:rPr>
          <w:spacing w:val="-1"/>
        </w:rPr>
        <w:t xml:space="preserve">analysis of </w:t>
      </w:r>
      <w:r w:rsidR="005C59D3" w:rsidRPr="00FF556E">
        <w:rPr>
          <w:spacing w:val="-1"/>
        </w:rPr>
        <w:t>ABS customised consultancy data</w:t>
      </w:r>
      <w:r w:rsidR="00E66C9F" w:rsidRPr="00FF556E">
        <w:rPr>
          <w:spacing w:val="-1"/>
        </w:rPr>
        <w:t>.</w:t>
      </w:r>
    </w:p>
    <w:p w14:paraId="78940375" w14:textId="1D280E13" w:rsidR="006800EF" w:rsidRPr="006800EF" w:rsidRDefault="00413ACA" w:rsidP="006800EF">
      <w:pPr>
        <w:pStyle w:val="TableChartFigureHeading"/>
      </w:pPr>
      <w:r w:rsidRPr="00413ACA">
        <w:lastRenderedPageBreak/>
        <w:t xml:space="preserve">Table 1: Population projections and key statistics, </w:t>
      </w:r>
      <w:r>
        <w:t xml:space="preserve">South Australia </w:t>
      </w:r>
    </w:p>
    <w:tbl>
      <w:tblPr>
        <w:tblStyle w:val="CPOPSnapshotTable"/>
        <w:tblW w:w="5000" w:type="pct"/>
        <w:tblLayout w:type="fixed"/>
        <w:tblLook w:val="04A0" w:firstRow="1" w:lastRow="0" w:firstColumn="1" w:lastColumn="0" w:noHBand="0" w:noVBand="1"/>
      </w:tblPr>
      <w:tblGrid>
        <w:gridCol w:w="2694"/>
        <w:gridCol w:w="992"/>
        <w:gridCol w:w="992"/>
        <w:gridCol w:w="992"/>
        <w:gridCol w:w="992"/>
        <w:gridCol w:w="992"/>
        <w:gridCol w:w="992"/>
        <w:gridCol w:w="992"/>
      </w:tblGrid>
      <w:tr w:rsidR="004D4DEB" w:rsidRPr="00FF556E" w14:paraId="0A01DF9B" w14:textId="77777777" w:rsidTr="007706FA">
        <w:trPr>
          <w:cnfStyle w:val="100000000000" w:firstRow="1" w:lastRow="0" w:firstColumn="0" w:lastColumn="0" w:oddVBand="0" w:evenVBand="0" w:oddHBand="0" w:evenHBand="0" w:firstRowFirstColumn="0" w:firstRowLastColumn="0" w:lastRowFirstColumn="0" w:lastRowLastColumn="0"/>
          <w:trHeight w:val="238"/>
        </w:trPr>
        <w:tc>
          <w:tcPr>
            <w:tcW w:w="2694" w:type="dxa"/>
            <w:hideMark/>
          </w:tcPr>
          <w:p w14:paraId="61559F24" w14:textId="2421B5A5" w:rsidR="004D4DEB" w:rsidRPr="00FF556E" w:rsidRDefault="004D4DEB" w:rsidP="004D4DEB">
            <w:pPr>
              <w:pStyle w:val="TableColumnHeadingLeft"/>
            </w:pPr>
            <w:r w:rsidRPr="00FF556E">
              <w:t>Population projections</w:t>
            </w:r>
          </w:p>
        </w:tc>
        <w:tc>
          <w:tcPr>
            <w:tcW w:w="992" w:type="dxa"/>
            <w:noWrap/>
            <w:hideMark/>
          </w:tcPr>
          <w:p w14:paraId="2CC7256F" w14:textId="6A59FB4A" w:rsidR="004D4DEB" w:rsidRPr="00FF556E" w:rsidRDefault="004D4DEB" w:rsidP="004D4DEB">
            <w:pPr>
              <w:pStyle w:val="TableColumnHeadingRight"/>
            </w:pPr>
            <w:r w:rsidRPr="00FF556E">
              <w:t>2023–24</w:t>
            </w:r>
            <w:r w:rsidR="00CD52CD" w:rsidRPr="00FF556E">
              <w:rPr>
                <w:rStyle w:val="FootnoteReference"/>
              </w:rPr>
              <w:footnoteReference w:id="3"/>
            </w:r>
          </w:p>
        </w:tc>
        <w:tc>
          <w:tcPr>
            <w:tcW w:w="992" w:type="dxa"/>
            <w:shd w:val="clear" w:color="auto" w:fill="D6EEF5" w:themeFill="text2" w:themeFillTint="33"/>
            <w:noWrap/>
            <w:hideMark/>
          </w:tcPr>
          <w:p w14:paraId="6EF3E8BD" w14:textId="24B4F605" w:rsidR="004D4DEB" w:rsidRPr="00FF556E" w:rsidRDefault="004D4DEB" w:rsidP="004D4DEB">
            <w:pPr>
              <w:pStyle w:val="TableColumnHeadingRight"/>
            </w:pPr>
            <w:r w:rsidRPr="00FF556E">
              <w:t>2024–25</w:t>
            </w:r>
          </w:p>
        </w:tc>
        <w:tc>
          <w:tcPr>
            <w:tcW w:w="992" w:type="dxa"/>
            <w:noWrap/>
            <w:hideMark/>
          </w:tcPr>
          <w:p w14:paraId="1E349D90" w14:textId="68D90134" w:rsidR="004D4DEB" w:rsidRPr="00FF556E" w:rsidRDefault="004D4DEB" w:rsidP="004D4DEB">
            <w:pPr>
              <w:pStyle w:val="TableColumnHeadingRight"/>
            </w:pPr>
            <w:r w:rsidRPr="00FF556E">
              <w:t>2025–26</w:t>
            </w:r>
          </w:p>
        </w:tc>
        <w:tc>
          <w:tcPr>
            <w:tcW w:w="992" w:type="dxa"/>
            <w:noWrap/>
            <w:hideMark/>
          </w:tcPr>
          <w:p w14:paraId="638D5D60" w14:textId="4A61261F" w:rsidR="004D4DEB" w:rsidRPr="00FF556E" w:rsidRDefault="004D4DEB" w:rsidP="004D4DEB">
            <w:pPr>
              <w:pStyle w:val="TableColumnHeadingRight"/>
            </w:pPr>
            <w:r w:rsidRPr="00FF556E">
              <w:t>2026–27</w:t>
            </w:r>
          </w:p>
        </w:tc>
        <w:tc>
          <w:tcPr>
            <w:tcW w:w="992" w:type="dxa"/>
          </w:tcPr>
          <w:p w14:paraId="41441154" w14:textId="025B72F7" w:rsidR="004D4DEB" w:rsidRPr="00FF556E" w:rsidRDefault="004D4DEB" w:rsidP="004D4DEB">
            <w:pPr>
              <w:pStyle w:val="TableColumnHeadingRight"/>
            </w:pPr>
            <w:r w:rsidRPr="00FF556E">
              <w:t>2027–28</w:t>
            </w:r>
          </w:p>
        </w:tc>
        <w:tc>
          <w:tcPr>
            <w:tcW w:w="992" w:type="dxa"/>
            <w:shd w:val="clear" w:color="auto" w:fill="DBF1E8" w:themeFill="background2" w:themeFillTint="33"/>
            <w:noWrap/>
            <w:hideMark/>
          </w:tcPr>
          <w:p w14:paraId="6B599B1B" w14:textId="4A4A28A6" w:rsidR="004D4DEB" w:rsidRPr="00FF556E" w:rsidRDefault="004D4DEB" w:rsidP="004D4DEB">
            <w:pPr>
              <w:pStyle w:val="TableColumnHeadingRight"/>
            </w:pPr>
            <w:r w:rsidRPr="00FF556E">
              <w:t>2035–36</w:t>
            </w:r>
          </w:p>
        </w:tc>
        <w:tc>
          <w:tcPr>
            <w:tcW w:w="992" w:type="dxa"/>
            <w:shd w:val="clear" w:color="auto" w:fill="DBF1E8" w:themeFill="background2" w:themeFillTint="33"/>
          </w:tcPr>
          <w:p w14:paraId="67A0419C" w14:textId="7F6A7303" w:rsidR="004D4DEB" w:rsidRPr="00FF556E" w:rsidRDefault="004D4DEB" w:rsidP="004D4DEB">
            <w:pPr>
              <w:pStyle w:val="TableColumnHeadingRight"/>
            </w:pPr>
            <w:r w:rsidRPr="00FF556E">
              <w:t>2065–66</w:t>
            </w:r>
            <w:r w:rsidR="009609AB" w:rsidRPr="00FF556E">
              <w:rPr>
                <w:rStyle w:val="FootnoteReference"/>
              </w:rPr>
              <w:footnoteReference w:id="4"/>
            </w:r>
          </w:p>
        </w:tc>
      </w:tr>
      <w:tr w:rsidR="006509A9" w:rsidRPr="00FF556E" w14:paraId="59959AFC" w14:textId="77777777" w:rsidTr="007706FA">
        <w:trPr>
          <w:trHeight w:val="238"/>
        </w:trPr>
        <w:tc>
          <w:tcPr>
            <w:tcW w:w="2694" w:type="dxa"/>
            <w:hideMark/>
          </w:tcPr>
          <w:p w14:paraId="04EC004C" w14:textId="77777777" w:rsidR="006509A9" w:rsidRPr="00FF556E" w:rsidRDefault="006509A9" w:rsidP="006509A9">
            <w:pPr>
              <w:pStyle w:val="TableColumnHeadingLeft"/>
            </w:pPr>
            <w:r w:rsidRPr="00FF556E">
              <w:t>Population (‘000)</w:t>
            </w:r>
          </w:p>
        </w:tc>
        <w:tc>
          <w:tcPr>
            <w:tcW w:w="992" w:type="dxa"/>
            <w:vAlign w:val="bottom"/>
          </w:tcPr>
          <w:p w14:paraId="6CD425EB" w14:textId="77777777" w:rsidR="006509A9" w:rsidRPr="00FF556E" w:rsidRDefault="006509A9" w:rsidP="007706FA">
            <w:pPr>
              <w:pStyle w:val="TableTextRight"/>
            </w:pPr>
          </w:p>
        </w:tc>
        <w:tc>
          <w:tcPr>
            <w:tcW w:w="992" w:type="dxa"/>
            <w:shd w:val="clear" w:color="auto" w:fill="D6EEF5" w:themeFill="text2" w:themeFillTint="33"/>
            <w:vAlign w:val="bottom"/>
          </w:tcPr>
          <w:p w14:paraId="21BF9F0F" w14:textId="77777777" w:rsidR="006509A9" w:rsidRPr="00FF556E" w:rsidRDefault="006509A9" w:rsidP="007706FA">
            <w:pPr>
              <w:pStyle w:val="TableTextRight"/>
            </w:pPr>
          </w:p>
        </w:tc>
        <w:tc>
          <w:tcPr>
            <w:tcW w:w="992" w:type="dxa"/>
            <w:vAlign w:val="bottom"/>
          </w:tcPr>
          <w:p w14:paraId="4F45D17F" w14:textId="77777777" w:rsidR="006509A9" w:rsidRPr="00FF556E" w:rsidRDefault="006509A9" w:rsidP="007706FA">
            <w:pPr>
              <w:pStyle w:val="TableTextRight"/>
            </w:pPr>
          </w:p>
        </w:tc>
        <w:tc>
          <w:tcPr>
            <w:tcW w:w="992" w:type="dxa"/>
            <w:vAlign w:val="bottom"/>
          </w:tcPr>
          <w:p w14:paraId="4482E72D" w14:textId="77777777" w:rsidR="006509A9" w:rsidRPr="00FF556E" w:rsidRDefault="006509A9" w:rsidP="007706FA">
            <w:pPr>
              <w:pStyle w:val="TableTextRight"/>
            </w:pPr>
          </w:p>
        </w:tc>
        <w:tc>
          <w:tcPr>
            <w:tcW w:w="992" w:type="dxa"/>
            <w:vAlign w:val="bottom"/>
          </w:tcPr>
          <w:p w14:paraId="6CEB94B8" w14:textId="77777777" w:rsidR="006509A9" w:rsidRPr="00FF556E" w:rsidRDefault="006509A9" w:rsidP="007706FA">
            <w:pPr>
              <w:pStyle w:val="TableTextRight"/>
            </w:pPr>
          </w:p>
        </w:tc>
        <w:tc>
          <w:tcPr>
            <w:tcW w:w="992" w:type="dxa"/>
            <w:shd w:val="clear" w:color="auto" w:fill="DBF1E8" w:themeFill="background2" w:themeFillTint="33"/>
            <w:vAlign w:val="bottom"/>
          </w:tcPr>
          <w:p w14:paraId="24B53BD9" w14:textId="77777777" w:rsidR="006509A9" w:rsidRPr="00FF556E" w:rsidRDefault="006509A9" w:rsidP="007706FA">
            <w:pPr>
              <w:pStyle w:val="TableTextRight"/>
            </w:pPr>
          </w:p>
        </w:tc>
        <w:tc>
          <w:tcPr>
            <w:tcW w:w="992" w:type="dxa"/>
            <w:shd w:val="clear" w:color="auto" w:fill="DBF1E8" w:themeFill="background2" w:themeFillTint="33"/>
            <w:vAlign w:val="bottom"/>
          </w:tcPr>
          <w:p w14:paraId="57C5C7FA" w14:textId="77777777" w:rsidR="006509A9" w:rsidRPr="00FF556E" w:rsidRDefault="006509A9" w:rsidP="007706FA">
            <w:pPr>
              <w:pStyle w:val="TableTextRight"/>
            </w:pPr>
          </w:p>
        </w:tc>
      </w:tr>
      <w:tr w:rsidR="006509A9" w:rsidRPr="00FF556E" w14:paraId="0DE07DEC" w14:textId="77777777" w:rsidTr="007706FA">
        <w:trPr>
          <w:trHeight w:val="238"/>
        </w:trPr>
        <w:tc>
          <w:tcPr>
            <w:tcW w:w="2694" w:type="dxa"/>
            <w:hideMark/>
          </w:tcPr>
          <w:p w14:paraId="5B67953B" w14:textId="3073E28C" w:rsidR="006509A9" w:rsidRPr="00FF556E" w:rsidRDefault="006509A9" w:rsidP="007706FA">
            <w:pPr>
              <w:pStyle w:val="TableTextLeft"/>
            </w:pPr>
            <w:r w:rsidRPr="00FF556E">
              <w:t>South Australia</w:t>
            </w:r>
          </w:p>
        </w:tc>
        <w:tc>
          <w:tcPr>
            <w:tcW w:w="992" w:type="dxa"/>
            <w:vAlign w:val="bottom"/>
          </w:tcPr>
          <w:p w14:paraId="397D66B5" w14:textId="69D1C77B" w:rsidR="36F6A452" w:rsidRPr="00FF556E" w:rsidRDefault="009F36C1" w:rsidP="007706FA">
            <w:pPr>
              <w:pStyle w:val="TableTextRight"/>
              <w:rPr>
                <w:color w:val="000000" w:themeColor="text1"/>
              </w:rPr>
            </w:pPr>
            <w:r w:rsidRPr="00FF556E">
              <w:rPr>
                <w:rFonts w:ascii="Calibri" w:hAnsi="Calibri" w:cs="Calibri"/>
              </w:rPr>
              <w:t>1,882</w:t>
            </w:r>
          </w:p>
        </w:tc>
        <w:tc>
          <w:tcPr>
            <w:tcW w:w="992" w:type="dxa"/>
            <w:shd w:val="clear" w:color="auto" w:fill="D6EEF5" w:themeFill="text2" w:themeFillTint="33"/>
            <w:vAlign w:val="bottom"/>
          </w:tcPr>
          <w:p w14:paraId="21216604" w14:textId="2FDEBA69" w:rsidR="36F6A452" w:rsidRPr="00FF556E" w:rsidRDefault="009F36C1" w:rsidP="007706FA">
            <w:pPr>
              <w:pStyle w:val="TableTextRight"/>
              <w:rPr>
                <w:color w:val="000000" w:themeColor="text1"/>
              </w:rPr>
            </w:pPr>
            <w:r w:rsidRPr="00FF556E">
              <w:rPr>
                <w:rFonts w:ascii="Calibri" w:hAnsi="Calibri" w:cs="Calibri"/>
              </w:rPr>
              <w:t>1,902</w:t>
            </w:r>
          </w:p>
        </w:tc>
        <w:tc>
          <w:tcPr>
            <w:tcW w:w="992" w:type="dxa"/>
            <w:vAlign w:val="bottom"/>
          </w:tcPr>
          <w:p w14:paraId="17806194" w14:textId="0EA22A3C" w:rsidR="36F6A452" w:rsidRPr="00FF556E" w:rsidRDefault="009F36C1" w:rsidP="007706FA">
            <w:pPr>
              <w:pStyle w:val="TableTextRight"/>
              <w:rPr>
                <w:color w:val="000000" w:themeColor="text1"/>
              </w:rPr>
            </w:pPr>
            <w:r w:rsidRPr="00FF556E">
              <w:rPr>
                <w:rFonts w:ascii="Calibri" w:hAnsi="Calibri" w:cs="Calibri"/>
              </w:rPr>
              <w:t>1,918</w:t>
            </w:r>
          </w:p>
        </w:tc>
        <w:tc>
          <w:tcPr>
            <w:tcW w:w="992" w:type="dxa"/>
            <w:vAlign w:val="bottom"/>
          </w:tcPr>
          <w:p w14:paraId="49E8CC1E" w14:textId="7E3AFC56" w:rsidR="36F6A452" w:rsidRPr="00FF556E" w:rsidRDefault="009F36C1" w:rsidP="007706FA">
            <w:pPr>
              <w:pStyle w:val="TableTextRight"/>
              <w:rPr>
                <w:color w:val="000000" w:themeColor="text1"/>
              </w:rPr>
            </w:pPr>
            <w:r w:rsidRPr="00FF556E">
              <w:rPr>
                <w:rFonts w:ascii="Calibri" w:hAnsi="Calibri" w:cs="Calibri"/>
              </w:rPr>
              <w:t>1,932</w:t>
            </w:r>
          </w:p>
        </w:tc>
        <w:tc>
          <w:tcPr>
            <w:tcW w:w="992" w:type="dxa"/>
            <w:vAlign w:val="bottom"/>
          </w:tcPr>
          <w:p w14:paraId="221A2F22" w14:textId="37EF6674" w:rsidR="36F6A452" w:rsidRPr="00FF556E" w:rsidRDefault="009F36C1" w:rsidP="007706FA">
            <w:pPr>
              <w:pStyle w:val="TableTextRight"/>
              <w:rPr>
                <w:color w:val="000000" w:themeColor="text1"/>
              </w:rPr>
            </w:pPr>
            <w:r w:rsidRPr="00FF556E">
              <w:rPr>
                <w:rFonts w:ascii="Calibri" w:hAnsi="Calibri" w:cs="Calibri"/>
              </w:rPr>
              <w:t>1,945</w:t>
            </w:r>
          </w:p>
        </w:tc>
        <w:tc>
          <w:tcPr>
            <w:tcW w:w="992" w:type="dxa"/>
            <w:shd w:val="clear" w:color="auto" w:fill="DBF1E8" w:themeFill="background2" w:themeFillTint="33"/>
            <w:vAlign w:val="bottom"/>
          </w:tcPr>
          <w:p w14:paraId="09AE84A4" w14:textId="763A49AD" w:rsidR="36F6A452" w:rsidRPr="00FF556E" w:rsidRDefault="009F36C1" w:rsidP="007706FA">
            <w:pPr>
              <w:pStyle w:val="TableTextRight"/>
              <w:rPr>
                <w:color w:val="000000" w:themeColor="text1"/>
              </w:rPr>
            </w:pPr>
            <w:r w:rsidRPr="00FF556E">
              <w:rPr>
                <w:rFonts w:ascii="Calibri" w:hAnsi="Calibri" w:cs="Calibri"/>
              </w:rPr>
              <w:t>2,053</w:t>
            </w:r>
          </w:p>
        </w:tc>
        <w:tc>
          <w:tcPr>
            <w:tcW w:w="992" w:type="dxa"/>
            <w:shd w:val="clear" w:color="auto" w:fill="DBF1E8" w:themeFill="background2" w:themeFillTint="33"/>
            <w:vAlign w:val="bottom"/>
          </w:tcPr>
          <w:p w14:paraId="60142A0F" w14:textId="35297460" w:rsidR="36F6A452" w:rsidRPr="00FF556E" w:rsidRDefault="009F36C1" w:rsidP="007706FA">
            <w:pPr>
              <w:pStyle w:val="TableTextRight"/>
              <w:rPr>
                <w:color w:val="000000" w:themeColor="text1"/>
              </w:rPr>
            </w:pPr>
            <w:r w:rsidRPr="00FF556E">
              <w:rPr>
                <w:rFonts w:ascii="Calibri" w:hAnsi="Calibri" w:cs="Calibri"/>
              </w:rPr>
              <w:t>2,351</w:t>
            </w:r>
          </w:p>
        </w:tc>
      </w:tr>
      <w:tr w:rsidR="006509A9" w:rsidRPr="00FF556E" w14:paraId="151A9161" w14:textId="77777777" w:rsidTr="007706FA">
        <w:trPr>
          <w:trHeight w:val="238"/>
        </w:trPr>
        <w:tc>
          <w:tcPr>
            <w:tcW w:w="2694" w:type="dxa"/>
            <w:tcBorders>
              <w:bottom w:val="single" w:sz="4" w:space="0" w:color="EBE9E8" w:themeColor="accent5" w:themeTint="33"/>
            </w:tcBorders>
            <w:hideMark/>
          </w:tcPr>
          <w:p w14:paraId="784B6D18" w14:textId="12888D99" w:rsidR="006509A9" w:rsidRPr="00FF556E" w:rsidRDefault="006509A9" w:rsidP="006509A9">
            <w:pPr>
              <w:pStyle w:val="Tabletextleftindent"/>
            </w:pPr>
            <w:r w:rsidRPr="00FF556E">
              <w:t>Greater Adelaide</w:t>
            </w:r>
          </w:p>
        </w:tc>
        <w:tc>
          <w:tcPr>
            <w:tcW w:w="992" w:type="dxa"/>
            <w:tcBorders>
              <w:bottom w:val="single" w:sz="4" w:space="0" w:color="EBE9E8" w:themeColor="accent5" w:themeTint="33"/>
            </w:tcBorders>
            <w:vAlign w:val="bottom"/>
          </w:tcPr>
          <w:p w14:paraId="2F687DDE" w14:textId="12624A8A" w:rsidR="36F6A452" w:rsidRPr="00FF556E" w:rsidRDefault="009F36C1" w:rsidP="007706FA">
            <w:pPr>
              <w:pStyle w:val="TableTextRight"/>
              <w:rPr>
                <w:color w:val="000000" w:themeColor="text1"/>
              </w:rPr>
            </w:pPr>
            <w:r w:rsidRPr="00FF556E">
              <w:rPr>
                <w:rFonts w:ascii="Calibri" w:hAnsi="Calibri" w:cs="Calibri"/>
              </w:rPr>
              <w:t>1,469</w:t>
            </w:r>
          </w:p>
        </w:tc>
        <w:tc>
          <w:tcPr>
            <w:tcW w:w="992" w:type="dxa"/>
            <w:tcBorders>
              <w:bottom w:val="single" w:sz="4" w:space="0" w:color="EBE9E8" w:themeColor="accent5" w:themeTint="33"/>
            </w:tcBorders>
            <w:shd w:val="clear" w:color="auto" w:fill="D6EEF5" w:themeFill="text2" w:themeFillTint="33"/>
            <w:vAlign w:val="bottom"/>
          </w:tcPr>
          <w:p w14:paraId="5A29DFF5" w14:textId="5FD2446E" w:rsidR="36F6A452" w:rsidRPr="00FF556E" w:rsidRDefault="009F36C1" w:rsidP="007706FA">
            <w:pPr>
              <w:pStyle w:val="TableTextRight"/>
              <w:rPr>
                <w:color w:val="000000" w:themeColor="text1"/>
              </w:rPr>
            </w:pPr>
            <w:r w:rsidRPr="00FF556E">
              <w:rPr>
                <w:rFonts w:ascii="Calibri" w:hAnsi="Calibri" w:cs="Calibri"/>
              </w:rPr>
              <w:t>1,490</w:t>
            </w:r>
          </w:p>
        </w:tc>
        <w:tc>
          <w:tcPr>
            <w:tcW w:w="992" w:type="dxa"/>
            <w:tcBorders>
              <w:bottom w:val="single" w:sz="4" w:space="0" w:color="EBE9E8" w:themeColor="accent5" w:themeTint="33"/>
            </w:tcBorders>
            <w:vAlign w:val="bottom"/>
          </w:tcPr>
          <w:p w14:paraId="6150811A" w14:textId="209827EC" w:rsidR="36F6A452" w:rsidRPr="00FF556E" w:rsidRDefault="009F36C1" w:rsidP="007706FA">
            <w:pPr>
              <w:pStyle w:val="TableTextRight"/>
              <w:rPr>
                <w:color w:val="000000" w:themeColor="text1"/>
              </w:rPr>
            </w:pPr>
            <w:r w:rsidRPr="00FF556E">
              <w:rPr>
                <w:rFonts w:ascii="Calibri" w:hAnsi="Calibri" w:cs="Calibri"/>
              </w:rPr>
              <w:t>1,504</w:t>
            </w:r>
          </w:p>
        </w:tc>
        <w:tc>
          <w:tcPr>
            <w:tcW w:w="992" w:type="dxa"/>
            <w:tcBorders>
              <w:bottom w:val="single" w:sz="4" w:space="0" w:color="EBE9E8" w:themeColor="accent5" w:themeTint="33"/>
            </w:tcBorders>
            <w:vAlign w:val="bottom"/>
          </w:tcPr>
          <w:p w14:paraId="1E2AF355" w14:textId="08405B29" w:rsidR="36F6A452" w:rsidRPr="00FF556E" w:rsidRDefault="009F36C1" w:rsidP="007706FA">
            <w:pPr>
              <w:pStyle w:val="TableTextRight"/>
              <w:rPr>
                <w:color w:val="000000" w:themeColor="text1"/>
              </w:rPr>
            </w:pPr>
            <w:r w:rsidRPr="00FF556E">
              <w:rPr>
                <w:rFonts w:ascii="Calibri" w:hAnsi="Calibri" w:cs="Calibri"/>
              </w:rPr>
              <w:t>1,517</w:t>
            </w:r>
          </w:p>
        </w:tc>
        <w:tc>
          <w:tcPr>
            <w:tcW w:w="992" w:type="dxa"/>
            <w:tcBorders>
              <w:bottom w:val="single" w:sz="4" w:space="0" w:color="EBE9E8" w:themeColor="accent5" w:themeTint="33"/>
            </w:tcBorders>
            <w:vAlign w:val="bottom"/>
          </w:tcPr>
          <w:p w14:paraId="1C7EE416" w14:textId="27F5DFE1" w:rsidR="36F6A452" w:rsidRPr="00FF556E" w:rsidRDefault="009F36C1" w:rsidP="007706FA">
            <w:pPr>
              <w:pStyle w:val="TableTextRight"/>
              <w:rPr>
                <w:color w:val="000000" w:themeColor="text1"/>
              </w:rPr>
            </w:pPr>
            <w:r w:rsidRPr="00FF556E">
              <w:rPr>
                <w:rFonts w:ascii="Calibri" w:hAnsi="Calibri" w:cs="Calibri"/>
              </w:rPr>
              <w:t>1,529</w:t>
            </w:r>
          </w:p>
        </w:tc>
        <w:tc>
          <w:tcPr>
            <w:tcW w:w="992" w:type="dxa"/>
            <w:tcBorders>
              <w:bottom w:val="single" w:sz="4" w:space="0" w:color="EBE9E8" w:themeColor="accent5" w:themeTint="33"/>
            </w:tcBorders>
            <w:shd w:val="clear" w:color="auto" w:fill="DBF1E8" w:themeFill="background2" w:themeFillTint="33"/>
            <w:vAlign w:val="bottom"/>
          </w:tcPr>
          <w:p w14:paraId="0B7500DC" w14:textId="1E9A861E" w:rsidR="36F6A452" w:rsidRPr="00FF556E" w:rsidRDefault="009F36C1" w:rsidP="007706FA">
            <w:pPr>
              <w:pStyle w:val="TableTextRight"/>
              <w:rPr>
                <w:color w:val="000000" w:themeColor="text1"/>
              </w:rPr>
            </w:pPr>
            <w:r w:rsidRPr="00FF556E">
              <w:rPr>
                <w:rFonts w:ascii="Calibri" w:hAnsi="Calibri" w:cs="Calibri"/>
              </w:rPr>
              <w:t>1,631</w:t>
            </w:r>
          </w:p>
        </w:tc>
        <w:tc>
          <w:tcPr>
            <w:tcW w:w="992" w:type="dxa"/>
            <w:tcBorders>
              <w:bottom w:val="single" w:sz="4" w:space="0" w:color="EBE9E8" w:themeColor="accent5" w:themeTint="33"/>
            </w:tcBorders>
            <w:shd w:val="clear" w:color="auto" w:fill="DBF1E8" w:themeFill="background2" w:themeFillTint="33"/>
            <w:vAlign w:val="bottom"/>
          </w:tcPr>
          <w:p w14:paraId="2507E29C" w14:textId="2917FC66" w:rsidR="36F6A452" w:rsidRPr="00FF556E" w:rsidRDefault="009F36C1" w:rsidP="007706FA">
            <w:pPr>
              <w:pStyle w:val="TableTextRight"/>
              <w:rPr>
                <w:color w:val="000000" w:themeColor="text1"/>
              </w:rPr>
            </w:pPr>
            <w:r w:rsidRPr="00FF556E">
              <w:rPr>
                <w:rFonts w:ascii="Calibri" w:hAnsi="Calibri" w:cs="Calibri"/>
              </w:rPr>
              <w:t>1,921</w:t>
            </w:r>
          </w:p>
        </w:tc>
      </w:tr>
      <w:tr w:rsidR="006509A9" w:rsidRPr="00FF556E" w14:paraId="2B8F2A70" w14:textId="77777777" w:rsidTr="007706FA">
        <w:trPr>
          <w:trHeight w:val="238"/>
        </w:trPr>
        <w:tc>
          <w:tcPr>
            <w:tcW w:w="2694" w:type="dxa"/>
            <w:tcBorders>
              <w:bottom w:val="single" w:sz="4" w:space="0" w:color="002C47" w:themeColor="accent1"/>
            </w:tcBorders>
            <w:hideMark/>
          </w:tcPr>
          <w:p w14:paraId="3747F375" w14:textId="1CB94B5C" w:rsidR="006509A9" w:rsidRPr="00FF556E" w:rsidRDefault="006509A9" w:rsidP="006509A9">
            <w:pPr>
              <w:pStyle w:val="Tabletextleftindent"/>
            </w:pPr>
            <w:r w:rsidRPr="00FF556E">
              <w:t>Rest</w:t>
            </w:r>
            <w:r w:rsidR="00396724" w:rsidRPr="00FF556E">
              <w:t>-</w:t>
            </w:r>
            <w:r w:rsidRPr="00FF556E">
              <w:t>of</w:t>
            </w:r>
            <w:r w:rsidR="00396724" w:rsidRPr="00FF556E">
              <w:t>-</w:t>
            </w:r>
            <w:r w:rsidRPr="00FF556E">
              <w:t>South Australia</w:t>
            </w:r>
          </w:p>
        </w:tc>
        <w:tc>
          <w:tcPr>
            <w:tcW w:w="992" w:type="dxa"/>
            <w:tcBorders>
              <w:bottom w:val="single" w:sz="4" w:space="0" w:color="002C47" w:themeColor="accent1"/>
            </w:tcBorders>
            <w:vAlign w:val="bottom"/>
          </w:tcPr>
          <w:p w14:paraId="4C6194C4" w14:textId="0B8CC950" w:rsidR="36F6A452" w:rsidRPr="00FF556E" w:rsidRDefault="009F36C1" w:rsidP="007706FA">
            <w:pPr>
              <w:pStyle w:val="TableTextRight"/>
              <w:rPr>
                <w:color w:val="000000" w:themeColor="text1"/>
              </w:rPr>
            </w:pPr>
            <w:r w:rsidRPr="00FF556E">
              <w:rPr>
                <w:rFonts w:ascii="Calibri" w:hAnsi="Calibri" w:cs="Calibri"/>
              </w:rPr>
              <w:t>409</w:t>
            </w:r>
          </w:p>
        </w:tc>
        <w:tc>
          <w:tcPr>
            <w:tcW w:w="992" w:type="dxa"/>
            <w:tcBorders>
              <w:bottom w:val="single" w:sz="4" w:space="0" w:color="002C47" w:themeColor="accent1"/>
            </w:tcBorders>
            <w:shd w:val="clear" w:color="auto" w:fill="D6EEF5" w:themeFill="text2" w:themeFillTint="33"/>
            <w:vAlign w:val="bottom"/>
          </w:tcPr>
          <w:p w14:paraId="4C1BC2F5" w14:textId="3313C114" w:rsidR="36F6A452" w:rsidRPr="00FF556E" w:rsidRDefault="009F36C1" w:rsidP="007706FA">
            <w:pPr>
              <w:pStyle w:val="TableTextRight"/>
              <w:rPr>
                <w:color w:val="000000" w:themeColor="text1"/>
              </w:rPr>
            </w:pPr>
            <w:r w:rsidRPr="00FF556E">
              <w:rPr>
                <w:rFonts w:ascii="Calibri" w:hAnsi="Calibri" w:cs="Calibri"/>
              </w:rPr>
              <w:t>412</w:t>
            </w:r>
          </w:p>
        </w:tc>
        <w:tc>
          <w:tcPr>
            <w:tcW w:w="992" w:type="dxa"/>
            <w:tcBorders>
              <w:bottom w:val="single" w:sz="4" w:space="0" w:color="002C47" w:themeColor="accent1"/>
            </w:tcBorders>
            <w:vAlign w:val="bottom"/>
          </w:tcPr>
          <w:p w14:paraId="127121B0" w14:textId="17E2ECE4" w:rsidR="36F6A452" w:rsidRPr="00FF556E" w:rsidRDefault="009F36C1" w:rsidP="007706FA">
            <w:pPr>
              <w:pStyle w:val="TableTextRight"/>
              <w:rPr>
                <w:color w:val="000000" w:themeColor="text1"/>
              </w:rPr>
            </w:pPr>
            <w:r w:rsidRPr="00FF556E">
              <w:rPr>
                <w:rFonts w:ascii="Calibri" w:hAnsi="Calibri" w:cs="Calibri"/>
              </w:rPr>
              <w:t>414</w:t>
            </w:r>
          </w:p>
        </w:tc>
        <w:tc>
          <w:tcPr>
            <w:tcW w:w="992" w:type="dxa"/>
            <w:tcBorders>
              <w:bottom w:val="single" w:sz="4" w:space="0" w:color="002C47" w:themeColor="accent1"/>
            </w:tcBorders>
            <w:vAlign w:val="bottom"/>
          </w:tcPr>
          <w:p w14:paraId="238C7FFC" w14:textId="77A6AB62" w:rsidR="36F6A452" w:rsidRPr="00FF556E" w:rsidRDefault="009F36C1" w:rsidP="007706FA">
            <w:pPr>
              <w:pStyle w:val="TableTextRight"/>
              <w:rPr>
                <w:color w:val="000000" w:themeColor="text1"/>
              </w:rPr>
            </w:pPr>
            <w:r w:rsidRPr="00FF556E">
              <w:rPr>
                <w:rFonts w:ascii="Calibri" w:hAnsi="Calibri" w:cs="Calibri"/>
              </w:rPr>
              <w:t>415</w:t>
            </w:r>
          </w:p>
        </w:tc>
        <w:tc>
          <w:tcPr>
            <w:tcW w:w="992" w:type="dxa"/>
            <w:tcBorders>
              <w:bottom w:val="single" w:sz="4" w:space="0" w:color="002C47" w:themeColor="accent1"/>
            </w:tcBorders>
            <w:vAlign w:val="bottom"/>
          </w:tcPr>
          <w:p w14:paraId="4DA40CFB" w14:textId="5009D685" w:rsidR="36F6A452" w:rsidRPr="00FF556E" w:rsidRDefault="009F36C1" w:rsidP="007706FA">
            <w:pPr>
              <w:pStyle w:val="TableTextRight"/>
              <w:rPr>
                <w:color w:val="000000" w:themeColor="text1"/>
              </w:rPr>
            </w:pPr>
            <w:r w:rsidRPr="00FF556E">
              <w:rPr>
                <w:rFonts w:ascii="Calibri" w:hAnsi="Calibri" w:cs="Calibri"/>
              </w:rPr>
              <w:t>416</w:t>
            </w:r>
          </w:p>
        </w:tc>
        <w:tc>
          <w:tcPr>
            <w:tcW w:w="992" w:type="dxa"/>
            <w:tcBorders>
              <w:bottom w:val="single" w:sz="4" w:space="0" w:color="002C47" w:themeColor="accent1"/>
            </w:tcBorders>
            <w:shd w:val="clear" w:color="auto" w:fill="DBF1E8" w:themeFill="background2" w:themeFillTint="33"/>
            <w:vAlign w:val="bottom"/>
          </w:tcPr>
          <w:p w14:paraId="30959C22" w14:textId="24779957" w:rsidR="36F6A452" w:rsidRPr="00FF556E" w:rsidRDefault="009F36C1" w:rsidP="007706FA">
            <w:pPr>
              <w:pStyle w:val="TableTextRight"/>
              <w:rPr>
                <w:color w:val="000000" w:themeColor="text1"/>
              </w:rPr>
            </w:pPr>
            <w:r w:rsidRPr="00FF556E">
              <w:rPr>
                <w:rFonts w:ascii="Calibri" w:hAnsi="Calibri" w:cs="Calibri"/>
              </w:rPr>
              <w:t>422</w:t>
            </w:r>
          </w:p>
        </w:tc>
        <w:tc>
          <w:tcPr>
            <w:tcW w:w="992" w:type="dxa"/>
            <w:tcBorders>
              <w:bottom w:val="single" w:sz="4" w:space="0" w:color="002C47" w:themeColor="accent1"/>
            </w:tcBorders>
            <w:shd w:val="clear" w:color="auto" w:fill="DBF1E8" w:themeFill="background2" w:themeFillTint="33"/>
            <w:vAlign w:val="bottom"/>
          </w:tcPr>
          <w:p w14:paraId="1FA832C6" w14:textId="1B425D19" w:rsidR="36F6A452" w:rsidRPr="00FF556E" w:rsidRDefault="009F36C1" w:rsidP="007706FA">
            <w:pPr>
              <w:pStyle w:val="TableTextRight"/>
              <w:rPr>
                <w:color w:val="000000" w:themeColor="text1"/>
              </w:rPr>
            </w:pPr>
            <w:r w:rsidRPr="00FF556E">
              <w:rPr>
                <w:rFonts w:ascii="Calibri" w:hAnsi="Calibri" w:cs="Calibri"/>
              </w:rPr>
              <w:t>430</w:t>
            </w:r>
          </w:p>
        </w:tc>
      </w:tr>
      <w:tr w:rsidR="006509A9" w:rsidRPr="00FF556E" w14:paraId="716DF5B1" w14:textId="77777777" w:rsidTr="007706FA">
        <w:trPr>
          <w:trHeight w:val="238"/>
        </w:trPr>
        <w:tc>
          <w:tcPr>
            <w:tcW w:w="2694" w:type="dxa"/>
            <w:tcBorders>
              <w:top w:val="single" w:sz="4" w:space="0" w:color="002C47" w:themeColor="accent1"/>
            </w:tcBorders>
            <w:hideMark/>
          </w:tcPr>
          <w:p w14:paraId="2E5BC834" w14:textId="49B7ABA5" w:rsidR="006509A9" w:rsidRPr="00FF556E" w:rsidRDefault="006509A9" w:rsidP="006509A9">
            <w:pPr>
              <w:pStyle w:val="TableColumnHeadingLeft"/>
            </w:pPr>
            <w:r w:rsidRPr="00FF556E">
              <w:t>Population growth (per cent)</w:t>
            </w:r>
          </w:p>
        </w:tc>
        <w:tc>
          <w:tcPr>
            <w:tcW w:w="992" w:type="dxa"/>
            <w:tcBorders>
              <w:top w:val="single" w:sz="4" w:space="0" w:color="002C47" w:themeColor="accent1"/>
            </w:tcBorders>
            <w:vAlign w:val="bottom"/>
          </w:tcPr>
          <w:p w14:paraId="080B9719" w14:textId="2FF081D5" w:rsidR="36F6A452" w:rsidRPr="00FF556E" w:rsidRDefault="36F6A452" w:rsidP="007706FA">
            <w:pPr>
              <w:pStyle w:val="TableTextRight"/>
            </w:pPr>
          </w:p>
        </w:tc>
        <w:tc>
          <w:tcPr>
            <w:tcW w:w="992" w:type="dxa"/>
            <w:tcBorders>
              <w:top w:val="single" w:sz="4" w:space="0" w:color="002C47" w:themeColor="accent1"/>
            </w:tcBorders>
            <w:shd w:val="clear" w:color="auto" w:fill="D6EEF5" w:themeFill="text2" w:themeFillTint="33"/>
            <w:vAlign w:val="bottom"/>
          </w:tcPr>
          <w:p w14:paraId="672CB2D9" w14:textId="4515FC0C" w:rsidR="36F6A452" w:rsidRPr="00FF556E" w:rsidRDefault="36F6A452" w:rsidP="007706FA">
            <w:pPr>
              <w:pStyle w:val="TableTextRight"/>
            </w:pPr>
          </w:p>
        </w:tc>
        <w:tc>
          <w:tcPr>
            <w:tcW w:w="992" w:type="dxa"/>
            <w:tcBorders>
              <w:top w:val="single" w:sz="4" w:space="0" w:color="002C47" w:themeColor="accent1"/>
            </w:tcBorders>
            <w:vAlign w:val="bottom"/>
          </w:tcPr>
          <w:p w14:paraId="51AE7D9B" w14:textId="0B470408" w:rsidR="36F6A452" w:rsidRPr="00FF556E" w:rsidRDefault="36F6A452" w:rsidP="007706FA">
            <w:pPr>
              <w:pStyle w:val="TableTextRight"/>
            </w:pPr>
          </w:p>
        </w:tc>
        <w:tc>
          <w:tcPr>
            <w:tcW w:w="992" w:type="dxa"/>
            <w:tcBorders>
              <w:top w:val="single" w:sz="4" w:space="0" w:color="002C47" w:themeColor="accent1"/>
            </w:tcBorders>
            <w:vAlign w:val="bottom"/>
          </w:tcPr>
          <w:p w14:paraId="3D470650" w14:textId="40ADEDC8" w:rsidR="36F6A452" w:rsidRPr="00FF556E" w:rsidRDefault="36F6A452" w:rsidP="007706FA">
            <w:pPr>
              <w:pStyle w:val="TableTextRight"/>
            </w:pPr>
          </w:p>
        </w:tc>
        <w:tc>
          <w:tcPr>
            <w:tcW w:w="992" w:type="dxa"/>
            <w:tcBorders>
              <w:top w:val="single" w:sz="4" w:space="0" w:color="002C47" w:themeColor="accent1"/>
            </w:tcBorders>
            <w:vAlign w:val="bottom"/>
          </w:tcPr>
          <w:p w14:paraId="7FA31522" w14:textId="4ED7363E" w:rsidR="36F6A452" w:rsidRPr="00FF556E" w:rsidRDefault="36F6A452" w:rsidP="007706FA">
            <w:pPr>
              <w:pStyle w:val="TableTextRight"/>
            </w:pPr>
          </w:p>
        </w:tc>
        <w:tc>
          <w:tcPr>
            <w:tcW w:w="992" w:type="dxa"/>
            <w:tcBorders>
              <w:top w:val="single" w:sz="4" w:space="0" w:color="002C47" w:themeColor="accent1"/>
            </w:tcBorders>
            <w:shd w:val="clear" w:color="auto" w:fill="DBF1E8" w:themeFill="background2" w:themeFillTint="33"/>
            <w:vAlign w:val="bottom"/>
          </w:tcPr>
          <w:p w14:paraId="36A677DE" w14:textId="12ECCA66" w:rsidR="36F6A452" w:rsidRPr="00FF556E" w:rsidRDefault="36F6A452" w:rsidP="007706FA">
            <w:pPr>
              <w:pStyle w:val="TableTextRight"/>
            </w:pPr>
          </w:p>
        </w:tc>
        <w:tc>
          <w:tcPr>
            <w:tcW w:w="992" w:type="dxa"/>
            <w:tcBorders>
              <w:top w:val="single" w:sz="4" w:space="0" w:color="002C47" w:themeColor="accent1"/>
            </w:tcBorders>
            <w:shd w:val="clear" w:color="auto" w:fill="DBF1E8" w:themeFill="background2" w:themeFillTint="33"/>
            <w:vAlign w:val="bottom"/>
          </w:tcPr>
          <w:p w14:paraId="5714A21B" w14:textId="5ACDFB8B" w:rsidR="36F6A452" w:rsidRPr="00FF556E" w:rsidRDefault="36F6A452" w:rsidP="007706FA">
            <w:pPr>
              <w:pStyle w:val="TableTextRight"/>
            </w:pPr>
          </w:p>
        </w:tc>
      </w:tr>
      <w:tr w:rsidR="006509A9" w:rsidRPr="00FF556E" w14:paraId="3FD66610" w14:textId="77777777" w:rsidTr="007706FA">
        <w:trPr>
          <w:trHeight w:val="238"/>
        </w:trPr>
        <w:tc>
          <w:tcPr>
            <w:tcW w:w="2694" w:type="dxa"/>
            <w:hideMark/>
          </w:tcPr>
          <w:p w14:paraId="227770A7" w14:textId="77D57CA6" w:rsidR="006509A9" w:rsidRPr="00FF556E" w:rsidRDefault="006509A9" w:rsidP="007706FA">
            <w:pPr>
              <w:pStyle w:val="TableTextLeft"/>
            </w:pPr>
            <w:r w:rsidRPr="00FF556E">
              <w:t>South Australia</w:t>
            </w:r>
          </w:p>
        </w:tc>
        <w:tc>
          <w:tcPr>
            <w:tcW w:w="992" w:type="dxa"/>
            <w:vAlign w:val="bottom"/>
          </w:tcPr>
          <w:p w14:paraId="75712EBF" w14:textId="5BFA4E4A" w:rsidR="36F6A452" w:rsidRPr="00FF556E" w:rsidRDefault="009F36C1" w:rsidP="007706FA">
            <w:pPr>
              <w:pStyle w:val="TableTextRight"/>
              <w:rPr>
                <w:color w:val="000000" w:themeColor="text1"/>
              </w:rPr>
            </w:pPr>
            <w:r w:rsidRPr="00FF556E">
              <w:rPr>
                <w:rFonts w:ascii="Calibri" w:hAnsi="Calibri" w:cs="Calibri"/>
              </w:rPr>
              <w:t>1.3</w:t>
            </w:r>
          </w:p>
        </w:tc>
        <w:tc>
          <w:tcPr>
            <w:tcW w:w="992" w:type="dxa"/>
            <w:shd w:val="clear" w:color="auto" w:fill="D6EEF5" w:themeFill="text2" w:themeFillTint="33"/>
            <w:vAlign w:val="bottom"/>
          </w:tcPr>
          <w:p w14:paraId="00400A94" w14:textId="2C9A4E4B" w:rsidR="36F6A452" w:rsidRPr="00FF556E" w:rsidRDefault="009F36C1" w:rsidP="007706FA">
            <w:pPr>
              <w:pStyle w:val="TableTextRight"/>
              <w:rPr>
                <w:color w:val="000000" w:themeColor="text1"/>
              </w:rPr>
            </w:pPr>
            <w:r w:rsidRPr="00FF556E">
              <w:rPr>
                <w:rFonts w:ascii="Calibri" w:hAnsi="Calibri" w:cs="Calibri"/>
              </w:rPr>
              <w:t>1.1</w:t>
            </w:r>
          </w:p>
        </w:tc>
        <w:tc>
          <w:tcPr>
            <w:tcW w:w="992" w:type="dxa"/>
            <w:vAlign w:val="bottom"/>
          </w:tcPr>
          <w:p w14:paraId="5F6F047E" w14:textId="36BA4BD1" w:rsidR="36F6A452" w:rsidRPr="00FF556E" w:rsidRDefault="009F36C1" w:rsidP="007706FA">
            <w:pPr>
              <w:pStyle w:val="TableTextRight"/>
              <w:rPr>
                <w:color w:val="000000" w:themeColor="text1"/>
              </w:rPr>
            </w:pPr>
            <w:r w:rsidRPr="00FF556E">
              <w:rPr>
                <w:rFonts w:ascii="Calibri" w:hAnsi="Calibri" w:cs="Calibri"/>
              </w:rPr>
              <w:t>0.8</w:t>
            </w:r>
          </w:p>
        </w:tc>
        <w:tc>
          <w:tcPr>
            <w:tcW w:w="992" w:type="dxa"/>
            <w:vAlign w:val="bottom"/>
          </w:tcPr>
          <w:p w14:paraId="731FF7C0" w14:textId="23FB7016" w:rsidR="36F6A452" w:rsidRPr="00FF556E" w:rsidRDefault="009F36C1" w:rsidP="007706FA">
            <w:pPr>
              <w:pStyle w:val="TableTextRight"/>
              <w:rPr>
                <w:color w:val="000000" w:themeColor="text1"/>
              </w:rPr>
            </w:pPr>
            <w:r w:rsidRPr="00FF556E">
              <w:rPr>
                <w:rFonts w:ascii="Calibri" w:hAnsi="Calibri" w:cs="Calibri"/>
              </w:rPr>
              <w:t>0.7</w:t>
            </w:r>
          </w:p>
        </w:tc>
        <w:tc>
          <w:tcPr>
            <w:tcW w:w="992" w:type="dxa"/>
            <w:vAlign w:val="bottom"/>
          </w:tcPr>
          <w:p w14:paraId="6983D833" w14:textId="0007C9B2" w:rsidR="36F6A452" w:rsidRPr="00FF556E" w:rsidRDefault="009F36C1" w:rsidP="007706FA">
            <w:pPr>
              <w:pStyle w:val="TableTextRight"/>
              <w:rPr>
                <w:color w:val="000000" w:themeColor="text1"/>
              </w:rPr>
            </w:pPr>
            <w:r w:rsidRPr="00FF556E">
              <w:rPr>
                <w:rFonts w:ascii="Calibri" w:hAnsi="Calibri" w:cs="Calibri"/>
              </w:rPr>
              <w:t>0.7</w:t>
            </w:r>
          </w:p>
        </w:tc>
        <w:tc>
          <w:tcPr>
            <w:tcW w:w="992" w:type="dxa"/>
            <w:shd w:val="clear" w:color="auto" w:fill="DBF1E8" w:themeFill="background2" w:themeFillTint="33"/>
            <w:vAlign w:val="bottom"/>
          </w:tcPr>
          <w:p w14:paraId="2B6D6735" w14:textId="45D17300" w:rsidR="36F6A452" w:rsidRPr="00FF556E" w:rsidRDefault="009F36C1" w:rsidP="007706FA">
            <w:pPr>
              <w:pStyle w:val="TableTextRight"/>
              <w:rPr>
                <w:color w:val="000000" w:themeColor="text1"/>
              </w:rPr>
            </w:pPr>
            <w:r w:rsidRPr="00FF556E">
              <w:rPr>
                <w:rFonts w:ascii="Calibri" w:hAnsi="Calibri" w:cs="Calibri"/>
              </w:rPr>
              <w:t>0.6</w:t>
            </w:r>
          </w:p>
        </w:tc>
        <w:tc>
          <w:tcPr>
            <w:tcW w:w="992" w:type="dxa"/>
            <w:shd w:val="clear" w:color="auto" w:fill="DBF1E8" w:themeFill="background2" w:themeFillTint="33"/>
            <w:vAlign w:val="bottom"/>
          </w:tcPr>
          <w:p w14:paraId="24AD57E1" w14:textId="0F35AFD4" w:rsidR="36F6A452" w:rsidRPr="00FF556E" w:rsidRDefault="009F36C1" w:rsidP="007706FA">
            <w:pPr>
              <w:pStyle w:val="TableTextRight"/>
              <w:rPr>
                <w:color w:val="000000" w:themeColor="text1"/>
              </w:rPr>
            </w:pPr>
            <w:r w:rsidRPr="00FF556E">
              <w:rPr>
                <w:rFonts w:ascii="Calibri" w:hAnsi="Calibri" w:cs="Calibri"/>
              </w:rPr>
              <w:t>0.4</w:t>
            </w:r>
          </w:p>
        </w:tc>
      </w:tr>
      <w:tr w:rsidR="006509A9" w:rsidRPr="00FF556E" w14:paraId="666BB8A2" w14:textId="77777777" w:rsidTr="007706FA">
        <w:trPr>
          <w:trHeight w:val="238"/>
        </w:trPr>
        <w:tc>
          <w:tcPr>
            <w:tcW w:w="2694" w:type="dxa"/>
            <w:tcBorders>
              <w:bottom w:val="single" w:sz="4" w:space="0" w:color="EBE9E8" w:themeColor="accent5" w:themeTint="33"/>
            </w:tcBorders>
            <w:hideMark/>
          </w:tcPr>
          <w:p w14:paraId="1F164544" w14:textId="4960703F" w:rsidR="006509A9" w:rsidRPr="00FF556E" w:rsidRDefault="006509A9" w:rsidP="006509A9">
            <w:pPr>
              <w:pStyle w:val="Tabletextleftindent"/>
            </w:pPr>
            <w:r w:rsidRPr="00FF556E">
              <w:t>Greater Adelaide</w:t>
            </w:r>
          </w:p>
        </w:tc>
        <w:tc>
          <w:tcPr>
            <w:tcW w:w="992" w:type="dxa"/>
            <w:tcBorders>
              <w:bottom w:val="single" w:sz="4" w:space="0" w:color="EBE9E8" w:themeColor="accent5" w:themeTint="33"/>
            </w:tcBorders>
            <w:vAlign w:val="bottom"/>
          </w:tcPr>
          <w:p w14:paraId="4480DE60" w14:textId="19A71D8D" w:rsidR="36F6A452" w:rsidRPr="00FF556E" w:rsidRDefault="009F36C1" w:rsidP="007706FA">
            <w:pPr>
              <w:pStyle w:val="TableTextRight"/>
              <w:rPr>
                <w:color w:val="000000" w:themeColor="text1"/>
              </w:rPr>
            </w:pPr>
            <w:r w:rsidRPr="00FF556E">
              <w:rPr>
                <w:rFonts w:ascii="Calibri" w:hAnsi="Calibri" w:cs="Calibri"/>
              </w:rPr>
              <w:t>1.5</w:t>
            </w:r>
          </w:p>
        </w:tc>
        <w:tc>
          <w:tcPr>
            <w:tcW w:w="992" w:type="dxa"/>
            <w:tcBorders>
              <w:bottom w:val="single" w:sz="4" w:space="0" w:color="EBE9E8" w:themeColor="accent5" w:themeTint="33"/>
            </w:tcBorders>
            <w:shd w:val="clear" w:color="auto" w:fill="D6EEF5" w:themeFill="text2" w:themeFillTint="33"/>
            <w:vAlign w:val="bottom"/>
          </w:tcPr>
          <w:p w14:paraId="41AF6F60" w14:textId="3B257347" w:rsidR="36F6A452" w:rsidRPr="00FF556E" w:rsidRDefault="009F36C1" w:rsidP="007706FA">
            <w:pPr>
              <w:pStyle w:val="TableTextRight"/>
              <w:rPr>
                <w:color w:val="000000" w:themeColor="text1"/>
              </w:rPr>
            </w:pPr>
            <w:r w:rsidRPr="00FF556E">
              <w:rPr>
                <w:rFonts w:ascii="Calibri" w:hAnsi="Calibri" w:cs="Calibri"/>
              </w:rPr>
              <w:t>1.2</w:t>
            </w:r>
          </w:p>
        </w:tc>
        <w:tc>
          <w:tcPr>
            <w:tcW w:w="992" w:type="dxa"/>
            <w:tcBorders>
              <w:bottom w:val="single" w:sz="4" w:space="0" w:color="EBE9E8" w:themeColor="accent5" w:themeTint="33"/>
            </w:tcBorders>
            <w:vAlign w:val="bottom"/>
          </w:tcPr>
          <w:p w14:paraId="4E9A6692" w14:textId="26C44875" w:rsidR="36F6A452" w:rsidRPr="00FF556E" w:rsidRDefault="009F36C1" w:rsidP="007706FA">
            <w:pPr>
              <w:pStyle w:val="TableTextRight"/>
              <w:rPr>
                <w:color w:val="000000" w:themeColor="text1"/>
              </w:rPr>
            </w:pPr>
            <w:r w:rsidRPr="00FF556E">
              <w:rPr>
                <w:rFonts w:ascii="Calibri" w:hAnsi="Calibri" w:cs="Calibri"/>
              </w:rPr>
              <w:t>1.0</w:t>
            </w:r>
          </w:p>
        </w:tc>
        <w:tc>
          <w:tcPr>
            <w:tcW w:w="992" w:type="dxa"/>
            <w:tcBorders>
              <w:bottom w:val="single" w:sz="4" w:space="0" w:color="EBE9E8" w:themeColor="accent5" w:themeTint="33"/>
            </w:tcBorders>
            <w:vAlign w:val="bottom"/>
          </w:tcPr>
          <w:p w14:paraId="04F7461B" w14:textId="531C65ED" w:rsidR="36F6A452" w:rsidRPr="00FF556E" w:rsidRDefault="009F36C1" w:rsidP="007706FA">
            <w:pPr>
              <w:pStyle w:val="TableTextRight"/>
              <w:rPr>
                <w:color w:val="000000" w:themeColor="text1"/>
              </w:rPr>
            </w:pPr>
            <w:r w:rsidRPr="00FF556E">
              <w:rPr>
                <w:rFonts w:ascii="Calibri" w:hAnsi="Calibri" w:cs="Calibri"/>
              </w:rPr>
              <w:t>0.8</w:t>
            </w:r>
          </w:p>
        </w:tc>
        <w:tc>
          <w:tcPr>
            <w:tcW w:w="992" w:type="dxa"/>
            <w:tcBorders>
              <w:bottom w:val="single" w:sz="4" w:space="0" w:color="EBE9E8" w:themeColor="accent5" w:themeTint="33"/>
            </w:tcBorders>
            <w:vAlign w:val="bottom"/>
          </w:tcPr>
          <w:p w14:paraId="69D140C6" w14:textId="037F227F" w:rsidR="36F6A452" w:rsidRPr="00FF556E" w:rsidRDefault="009F36C1" w:rsidP="007706FA">
            <w:pPr>
              <w:pStyle w:val="TableTextRight"/>
              <w:rPr>
                <w:color w:val="000000" w:themeColor="text1"/>
              </w:rPr>
            </w:pPr>
            <w:r w:rsidRPr="00FF556E">
              <w:rPr>
                <w:rFonts w:ascii="Calibri" w:hAnsi="Calibri" w:cs="Calibri"/>
              </w:rPr>
              <w:t>0.8</w:t>
            </w:r>
          </w:p>
        </w:tc>
        <w:tc>
          <w:tcPr>
            <w:tcW w:w="992" w:type="dxa"/>
            <w:tcBorders>
              <w:bottom w:val="single" w:sz="4" w:space="0" w:color="EBE9E8" w:themeColor="accent5" w:themeTint="33"/>
            </w:tcBorders>
            <w:shd w:val="clear" w:color="auto" w:fill="DBF1E8" w:themeFill="background2" w:themeFillTint="33"/>
            <w:vAlign w:val="bottom"/>
          </w:tcPr>
          <w:p w14:paraId="710441E4" w14:textId="3F5B1D1B" w:rsidR="36F6A452" w:rsidRPr="00FF556E" w:rsidRDefault="009F36C1" w:rsidP="007706FA">
            <w:pPr>
              <w:pStyle w:val="TableTextRight"/>
              <w:rPr>
                <w:color w:val="000000" w:themeColor="text1"/>
              </w:rPr>
            </w:pPr>
            <w:r w:rsidRPr="00FF556E">
              <w:rPr>
                <w:rFonts w:ascii="Calibri" w:hAnsi="Calibri" w:cs="Calibri"/>
              </w:rPr>
              <w:t>0.8</w:t>
            </w:r>
          </w:p>
        </w:tc>
        <w:tc>
          <w:tcPr>
            <w:tcW w:w="992" w:type="dxa"/>
            <w:tcBorders>
              <w:bottom w:val="single" w:sz="4" w:space="0" w:color="EBE9E8" w:themeColor="accent5" w:themeTint="33"/>
            </w:tcBorders>
            <w:shd w:val="clear" w:color="auto" w:fill="DBF1E8" w:themeFill="background2" w:themeFillTint="33"/>
            <w:vAlign w:val="bottom"/>
          </w:tcPr>
          <w:p w14:paraId="3134FE83" w14:textId="25786CC7" w:rsidR="36F6A452" w:rsidRPr="00FF556E" w:rsidRDefault="009F36C1" w:rsidP="007706FA">
            <w:pPr>
              <w:pStyle w:val="TableTextRight"/>
              <w:rPr>
                <w:color w:val="000000" w:themeColor="text1"/>
              </w:rPr>
            </w:pPr>
            <w:r w:rsidRPr="00FF556E">
              <w:rPr>
                <w:rFonts w:ascii="Calibri" w:hAnsi="Calibri" w:cs="Calibri"/>
              </w:rPr>
              <w:t>0.5</w:t>
            </w:r>
          </w:p>
        </w:tc>
      </w:tr>
      <w:tr w:rsidR="006509A9" w:rsidRPr="00FF556E" w14:paraId="2D4CB0C1" w14:textId="77777777" w:rsidTr="007706FA">
        <w:trPr>
          <w:trHeight w:val="238"/>
        </w:trPr>
        <w:tc>
          <w:tcPr>
            <w:tcW w:w="2694" w:type="dxa"/>
            <w:tcBorders>
              <w:bottom w:val="single" w:sz="4" w:space="0" w:color="002C47" w:themeColor="accent1"/>
            </w:tcBorders>
            <w:hideMark/>
          </w:tcPr>
          <w:p w14:paraId="4D970893" w14:textId="320DA3F2" w:rsidR="006509A9" w:rsidRPr="00FF556E" w:rsidRDefault="006509A9" w:rsidP="006509A9">
            <w:pPr>
              <w:pStyle w:val="Tabletextleftindent"/>
            </w:pPr>
            <w:r w:rsidRPr="00FF556E">
              <w:t>Rest</w:t>
            </w:r>
            <w:r w:rsidR="00396724" w:rsidRPr="00FF556E">
              <w:t>-</w:t>
            </w:r>
            <w:r w:rsidRPr="00FF556E">
              <w:t>of</w:t>
            </w:r>
            <w:r w:rsidR="00396724" w:rsidRPr="00FF556E">
              <w:t>-</w:t>
            </w:r>
            <w:r w:rsidRPr="00FF556E">
              <w:t>South Australia</w:t>
            </w:r>
          </w:p>
        </w:tc>
        <w:tc>
          <w:tcPr>
            <w:tcW w:w="992" w:type="dxa"/>
            <w:tcBorders>
              <w:bottom w:val="single" w:sz="4" w:space="0" w:color="002C47" w:themeColor="accent1"/>
            </w:tcBorders>
            <w:vAlign w:val="bottom"/>
          </w:tcPr>
          <w:p w14:paraId="14DD368B" w14:textId="50573FC6" w:rsidR="36F6A452" w:rsidRPr="00FF556E" w:rsidRDefault="009F36C1" w:rsidP="007706FA">
            <w:pPr>
              <w:pStyle w:val="TableTextRight"/>
              <w:rPr>
                <w:color w:val="000000" w:themeColor="text1"/>
              </w:rPr>
            </w:pPr>
            <w:r w:rsidRPr="00FF556E">
              <w:rPr>
                <w:rFonts w:ascii="Calibri" w:hAnsi="Calibri" w:cs="Calibri"/>
              </w:rPr>
              <w:t>0.7</w:t>
            </w:r>
          </w:p>
        </w:tc>
        <w:tc>
          <w:tcPr>
            <w:tcW w:w="992" w:type="dxa"/>
            <w:tcBorders>
              <w:bottom w:val="single" w:sz="4" w:space="0" w:color="002C47" w:themeColor="accent1"/>
            </w:tcBorders>
            <w:shd w:val="clear" w:color="auto" w:fill="D6EEF5" w:themeFill="text2" w:themeFillTint="33"/>
            <w:vAlign w:val="bottom"/>
          </w:tcPr>
          <w:p w14:paraId="7319A0AC" w14:textId="3E3665FF" w:rsidR="36F6A452" w:rsidRPr="00FF556E" w:rsidRDefault="009F36C1" w:rsidP="007706FA">
            <w:pPr>
              <w:pStyle w:val="TableTextRight"/>
              <w:rPr>
                <w:color w:val="000000" w:themeColor="text1"/>
              </w:rPr>
            </w:pPr>
            <w:r w:rsidRPr="00FF556E">
              <w:rPr>
                <w:rFonts w:ascii="Calibri" w:hAnsi="Calibri" w:cs="Calibri"/>
              </w:rPr>
              <w:t>0.7</w:t>
            </w:r>
          </w:p>
        </w:tc>
        <w:tc>
          <w:tcPr>
            <w:tcW w:w="992" w:type="dxa"/>
            <w:tcBorders>
              <w:bottom w:val="single" w:sz="4" w:space="0" w:color="002C47" w:themeColor="accent1"/>
            </w:tcBorders>
            <w:vAlign w:val="bottom"/>
          </w:tcPr>
          <w:p w14:paraId="23C8E1B5" w14:textId="47F3C406" w:rsidR="36F6A452" w:rsidRPr="00FF556E" w:rsidRDefault="009F36C1" w:rsidP="007706FA">
            <w:pPr>
              <w:pStyle w:val="TableTextRight"/>
              <w:rPr>
                <w:color w:val="000000" w:themeColor="text1"/>
              </w:rPr>
            </w:pPr>
            <w:r w:rsidRPr="00FF556E">
              <w:rPr>
                <w:rFonts w:ascii="Calibri" w:hAnsi="Calibri" w:cs="Calibri"/>
              </w:rPr>
              <w:t>0.4</w:t>
            </w:r>
          </w:p>
        </w:tc>
        <w:tc>
          <w:tcPr>
            <w:tcW w:w="992" w:type="dxa"/>
            <w:tcBorders>
              <w:bottom w:val="single" w:sz="4" w:space="0" w:color="002C47" w:themeColor="accent1"/>
            </w:tcBorders>
            <w:vAlign w:val="bottom"/>
          </w:tcPr>
          <w:p w14:paraId="2AF43914" w14:textId="6DB3F298" w:rsidR="36F6A452" w:rsidRPr="00FF556E" w:rsidRDefault="009F36C1" w:rsidP="007706FA">
            <w:pPr>
              <w:pStyle w:val="TableTextRight"/>
              <w:rPr>
                <w:color w:val="000000" w:themeColor="text1"/>
              </w:rPr>
            </w:pPr>
            <w:r w:rsidRPr="00FF556E">
              <w:rPr>
                <w:rFonts w:ascii="Calibri" w:hAnsi="Calibri" w:cs="Calibri"/>
              </w:rPr>
              <w:t>0.2</w:t>
            </w:r>
          </w:p>
        </w:tc>
        <w:tc>
          <w:tcPr>
            <w:tcW w:w="992" w:type="dxa"/>
            <w:tcBorders>
              <w:bottom w:val="single" w:sz="4" w:space="0" w:color="002C47" w:themeColor="accent1"/>
            </w:tcBorders>
            <w:vAlign w:val="bottom"/>
          </w:tcPr>
          <w:p w14:paraId="3D022442" w14:textId="2B6E97F2" w:rsidR="36F6A452" w:rsidRPr="00FF556E" w:rsidRDefault="009F36C1" w:rsidP="007706FA">
            <w:pPr>
              <w:pStyle w:val="TableTextRight"/>
              <w:rPr>
                <w:color w:val="000000" w:themeColor="text1"/>
              </w:rPr>
            </w:pPr>
            <w:r w:rsidRPr="00FF556E">
              <w:rPr>
                <w:rFonts w:ascii="Calibri" w:hAnsi="Calibri" w:cs="Calibri"/>
              </w:rPr>
              <w:t>0.1</w:t>
            </w:r>
          </w:p>
        </w:tc>
        <w:tc>
          <w:tcPr>
            <w:tcW w:w="992" w:type="dxa"/>
            <w:tcBorders>
              <w:bottom w:val="single" w:sz="4" w:space="0" w:color="002C47" w:themeColor="accent1"/>
            </w:tcBorders>
            <w:shd w:val="clear" w:color="auto" w:fill="DBF1E8" w:themeFill="background2" w:themeFillTint="33"/>
            <w:vAlign w:val="bottom"/>
          </w:tcPr>
          <w:p w14:paraId="689C2BB5" w14:textId="4CC7F9F4" w:rsidR="36F6A452" w:rsidRPr="00FF556E" w:rsidRDefault="009F36C1" w:rsidP="007706FA">
            <w:pPr>
              <w:pStyle w:val="TableTextRight"/>
              <w:rPr>
                <w:color w:val="000000" w:themeColor="text1"/>
              </w:rPr>
            </w:pPr>
            <w:r w:rsidRPr="00FF556E">
              <w:rPr>
                <w:rFonts w:ascii="Calibri" w:hAnsi="Calibri" w:cs="Calibri"/>
              </w:rPr>
              <w:t>0.2</w:t>
            </w:r>
          </w:p>
        </w:tc>
        <w:tc>
          <w:tcPr>
            <w:tcW w:w="992" w:type="dxa"/>
            <w:tcBorders>
              <w:bottom w:val="single" w:sz="4" w:space="0" w:color="002C47" w:themeColor="accent1"/>
            </w:tcBorders>
            <w:shd w:val="clear" w:color="auto" w:fill="DBF1E8" w:themeFill="background2" w:themeFillTint="33"/>
            <w:vAlign w:val="bottom"/>
          </w:tcPr>
          <w:p w14:paraId="34D684E2" w14:textId="2ECCD3B8" w:rsidR="36F6A452" w:rsidRPr="00FF556E" w:rsidRDefault="009F36C1" w:rsidP="007706FA">
            <w:pPr>
              <w:pStyle w:val="TableTextRight"/>
              <w:rPr>
                <w:color w:val="000000" w:themeColor="text1"/>
              </w:rPr>
            </w:pPr>
            <w:r w:rsidRPr="00FF556E">
              <w:rPr>
                <w:rFonts w:ascii="Calibri" w:hAnsi="Calibri" w:cs="Calibri"/>
              </w:rPr>
              <w:t>0.1</w:t>
            </w:r>
          </w:p>
        </w:tc>
      </w:tr>
      <w:tr w:rsidR="006509A9" w:rsidRPr="00FF556E" w14:paraId="04D40F35" w14:textId="77777777" w:rsidTr="007706FA">
        <w:trPr>
          <w:trHeight w:val="238"/>
        </w:trPr>
        <w:tc>
          <w:tcPr>
            <w:tcW w:w="2694" w:type="dxa"/>
            <w:tcBorders>
              <w:top w:val="single" w:sz="4" w:space="0" w:color="002C47" w:themeColor="accent1"/>
            </w:tcBorders>
            <w:hideMark/>
          </w:tcPr>
          <w:p w14:paraId="722599C7" w14:textId="77777777" w:rsidR="006509A9" w:rsidRPr="00FF556E" w:rsidRDefault="006509A9" w:rsidP="006509A9">
            <w:pPr>
              <w:pStyle w:val="TableColumnHeadingLeft"/>
            </w:pPr>
            <w:r w:rsidRPr="00FF556E">
              <w:t>Natural increase (‘000)</w:t>
            </w:r>
          </w:p>
        </w:tc>
        <w:tc>
          <w:tcPr>
            <w:tcW w:w="992" w:type="dxa"/>
            <w:tcBorders>
              <w:top w:val="single" w:sz="4" w:space="0" w:color="002C47" w:themeColor="accent1"/>
            </w:tcBorders>
            <w:vAlign w:val="bottom"/>
          </w:tcPr>
          <w:p w14:paraId="5CC72DD3" w14:textId="79F51A90" w:rsidR="36F6A452" w:rsidRPr="00FF556E" w:rsidRDefault="36F6A452" w:rsidP="007706FA">
            <w:pPr>
              <w:pStyle w:val="TableTextRight"/>
            </w:pPr>
          </w:p>
        </w:tc>
        <w:tc>
          <w:tcPr>
            <w:tcW w:w="992" w:type="dxa"/>
            <w:tcBorders>
              <w:top w:val="single" w:sz="4" w:space="0" w:color="002C47" w:themeColor="accent1"/>
            </w:tcBorders>
            <w:shd w:val="clear" w:color="auto" w:fill="D6EEF5" w:themeFill="text2" w:themeFillTint="33"/>
            <w:vAlign w:val="bottom"/>
          </w:tcPr>
          <w:p w14:paraId="501BF4A4" w14:textId="5DFEC1EC" w:rsidR="36F6A452" w:rsidRPr="00FF556E" w:rsidRDefault="36F6A452" w:rsidP="007706FA">
            <w:pPr>
              <w:pStyle w:val="TableTextRight"/>
            </w:pPr>
          </w:p>
        </w:tc>
        <w:tc>
          <w:tcPr>
            <w:tcW w:w="992" w:type="dxa"/>
            <w:tcBorders>
              <w:top w:val="single" w:sz="4" w:space="0" w:color="002C47" w:themeColor="accent1"/>
            </w:tcBorders>
            <w:vAlign w:val="bottom"/>
          </w:tcPr>
          <w:p w14:paraId="2D52E691" w14:textId="6DE592F0" w:rsidR="36F6A452" w:rsidRPr="00FF556E" w:rsidRDefault="36F6A452" w:rsidP="007706FA">
            <w:pPr>
              <w:pStyle w:val="TableTextRight"/>
            </w:pPr>
          </w:p>
        </w:tc>
        <w:tc>
          <w:tcPr>
            <w:tcW w:w="992" w:type="dxa"/>
            <w:tcBorders>
              <w:top w:val="single" w:sz="4" w:space="0" w:color="002C47" w:themeColor="accent1"/>
            </w:tcBorders>
            <w:vAlign w:val="bottom"/>
          </w:tcPr>
          <w:p w14:paraId="5CB4B8EC" w14:textId="72E36AD2" w:rsidR="36F6A452" w:rsidRPr="00FF556E" w:rsidRDefault="36F6A452" w:rsidP="007706FA">
            <w:pPr>
              <w:pStyle w:val="TableTextRight"/>
            </w:pPr>
          </w:p>
        </w:tc>
        <w:tc>
          <w:tcPr>
            <w:tcW w:w="992" w:type="dxa"/>
            <w:tcBorders>
              <w:top w:val="single" w:sz="4" w:space="0" w:color="002C47" w:themeColor="accent1"/>
            </w:tcBorders>
            <w:vAlign w:val="bottom"/>
          </w:tcPr>
          <w:p w14:paraId="7250CBD7" w14:textId="4C66A9AA" w:rsidR="36F6A452" w:rsidRPr="00FF556E" w:rsidRDefault="36F6A452" w:rsidP="007706FA">
            <w:pPr>
              <w:pStyle w:val="TableTextRight"/>
            </w:pPr>
          </w:p>
        </w:tc>
        <w:tc>
          <w:tcPr>
            <w:tcW w:w="992" w:type="dxa"/>
            <w:tcBorders>
              <w:top w:val="single" w:sz="4" w:space="0" w:color="002C47" w:themeColor="accent1"/>
            </w:tcBorders>
            <w:shd w:val="clear" w:color="auto" w:fill="DBF1E8" w:themeFill="background2" w:themeFillTint="33"/>
            <w:vAlign w:val="bottom"/>
          </w:tcPr>
          <w:p w14:paraId="01EC33CC" w14:textId="1461C27C" w:rsidR="36F6A452" w:rsidRPr="00FF556E" w:rsidRDefault="36F6A452" w:rsidP="007706FA">
            <w:pPr>
              <w:pStyle w:val="TableTextRight"/>
            </w:pPr>
          </w:p>
        </w:tc>
        <w:tc>
          <w:tcPr>
            <w:tcW w:w="992" w:type="dxa"/>
            <w:tcBorders>
              <w:top w:val="single" w:sz="4" w:space="0" w:color="002C47" w:themeColor="accent1"/>
            </w:tcBorders>
            <w:shd w:val="clear" w:color="auto" w:fill="DBF1E8" w:themeFill="background2" w:themeFillTint="33"/>
            <w:vAlign w:val="bottom"/>
          </w:tcPr>
          <w:p w14:paraId="68CBDB0B" w14:textId="0CA7DF3C" w:rsidR="36F6A452" w:rsidRPr="00FF556E" w:rsidRDefault="36F6A452" w:rsidP="007706FA">
            <w:pPr>
              <w:pStyle w:val="TableTextRight"/>
            </w:pPr>
          </w:p>
        </w:tc>
      </w:tr>
      <w:tr w:rsidR="006509A9" w:rsidRPr="00FF556E" w14:paraId="19F8B158" w14:textId="77777777" w:rsidTr="007706FA">
        <w:trPr>
          <w:trHeight w:val="238"/>
        </w:trPr>
        <w:tc>
          <w:tcPr>
            <w:tcW w:w="2694" w:type="dxa"/>
            <w:hideMark/>
          </w:tcPr>
          <w:p w14:paraId="565813E8" w14:textId="47FF3F8F" w:rsidR="006509A9" w:rsidRPr="00FF556E" w:rsidRDefault="006509A9" w:rsidP="007706FA">
            <w:pPr>
              <w:pStyle w:val="TableTextLeft"/>
            </w:pPr>
            <w:r w:rsidRPr="00FF556E">
              <w:t>South Australia</w:t>
            </w:r>
          </w:p>
        </w:tc>
        <w:tc>
          <w:tcPr>
            <w:tcW w:w="992" w:type="dxa"/>
            <w:vAlign w:val="bottom"/>
          </w:tcPr>
          <w:p w14:paraId="0E095187" w14:textId="02E2F7AA" w:rsidR="36F6A452" w:rsidRPr="00FF556E" w:rsidRDefault="009F36C1" w:rsidP="007706FA">
            <w:pPr>
              <w:pStyle w:val="TableTextRight"/>
              <w:rPr>
                <w:color w:val="000000" w:themeColor="text1"/>
              </w:rPr>
            </w:pPr>
            <w:r w:rsidRPr="00FF556E">
              <w:rPr>
                <w:rFonts w:ascii="Calibri" w:hAnsi="Calibri" w:cs="Calibri"/>
              </w:rPr>
              <w:t>2.9</w:t>
            </w:r>
          </w:p>
        </w:tc>
        <w:tc>
          <w:tcPr>
            <w:tcW w:w="992" w:type="dxa"/>
            <w:shd w:val="clear" w:color="auto" w:fill="D6EEF5" w:themeFill="text2" w:themeFillTint="33"/>
            <w:vAlign w:val="bottom"/>
          </w:tcPr>
          <w:p w14:paraId="02A4ED70" w14:textId="5843E29D" w:rsidR="36F6A452" w:rsidRPr="00FF556E" w:rsidRDefault="009F36C1" w:rsidP="007706FA">
            <w:pPr>
              <w:pStyle w:val="TableTextRight"/>
              <w:rPr>
                <w:color w:val="000000" w:themeColor="text1"/>
              </w:rPr>
            </w:pPr>
            <w:r w:rsidRPr="00FF556E">
              <w:rPr>
                <w:rFonts w:ascii="Calibri" w:hAnsi="Calibri" w:cs="Calibri"/>
              </w:rPr>
              <w:t>3.1</w:t>
            </w:r>
          </w:p>
        </w:tc>
        <w:tc>
          <w:tcPr>
            <w:tcW w:w="992" w:type="dxa"/>
            <w:vAlign w:val="bottom"/>
          </w:tcPr>
          <w:p w14:paraId="1A8821ED" w14:textId="3F59812C" w:rsidR="36F6A452" w:rsidRPr="00FF556E" w:rsidRDefault="009F36C1" w:rsidP="007706FA">
            <w:pPr>
              <w:pStyle w:val="TableTextRight"/>
              <w:rPr>
                <w:color w:val="000000" w:themeColor="text1"/>
              </w:rPr>
            </w:pPr>
            <w:r w:rsidRPr="00FF556E">
              <w:rPr>
                <w:rFonts w:ascii="Calibri" w:hAnsi="Calibri" w:cs="Calibri"/>
              </w:rPr>
              <w:t>2.2</w:t>
            </w:r>
          </w:p>
        </w:tc>
        <w:tc>
          <w:tcPr>
            <w:tcW w:w="992" w:type="dxa"/>
            <w:vAlign w:val="bottom"/>
          </w:tcPr>
          <w:p w14:paraId="6A608D6A" w14:textId="67BD412F" w:rsidR="36F6A452" w:rsidRPr="00FF556E" w:rsidRDefault="009F36C1" w:rsidP="007706FA">
            <w:pPr>
              <w:pStyle w:val="TableTextRight"/>
              <w:rPr>
                <w:color w:val="000000" w:themeColor="text1"/>
              </w:rPr>
            </w:pPr>
            <w:r w:rsidRPr="00FF556E">
              <w:rPr>
                <w:rFonts w:ascii="Calibri" w:hAnsi="Calibri" w:cs="Calibri"/>
              </w:rPr>
              <w:t>2.6</w:t>
            </w:r>
          </w:p>
        </w:tc>
        <w:tc>
          <w:tcPr>
            <w:tcW w:w="992" w:type="dxa"/>
            <w:vAlign w:val="bottom"/>
          </w:tcPr>
          <w:p w14:paraId="0722D80B" w14:textId="627A9DDC" w:rsidR="36F6A452" w:rsidRPr="00FF556E" w:rsidRDefault="009F36C1" w:rsidP="007706FA">
            <w:pPr>
              <w:pStyle w:val="TableTextRight"/>
              <w:rPr>
                <w:color w:val="000000" w:themeColor="text1"/>
              </w:rPr>
            </w:pPr>
            <w:r w:rsidRPr="00FF556E">
              <w:rPr>
                <w:rFonts w:ascii="Calibri" w:hAnsi="Calibri" w:cs="Calibri"/>
              </w:rPr>
              <w:t>2.9</w:t>
            </w:r>
          </w:p>
        </w:tc>
        <w:tc>
          <w:tcPr>
            <w:tcW w:w="992" w:type="dxa"/>
            <w:shd w:val="clear" w:color="auto" w:fill="DBF1E8" w:themeFill="background2" w:themeFillTint="33"/>
            <w:vAlign w:val="bottom"/>
          </w:tcPr>
          <w:p w14:paraId="735F65FC" w14:textId="1506EF72" w:rsidR="36F6A452" w:rsidRPr="00FF556E" w:rsidRDefault="009F36C1" w:rsidP="007706FA">
            <w:pPr>
              <w:pStyle w:val="TableTextRight"/>
              <w:rPr>
                <w:color w:val="000000" w:themeColor="text1"/>
              </w:rPr>
            </w:pPr>
            <w:r w:rsidRPr="00FF556E">
              <w:rPr>
                <w:rFonts w:ascii="Calibri" w:hAnsi="Calibri" w:cs="Calibri"/>
              </w:rPr>
              <w:t>2.4</w:t>
            </w:r>
          </w:p>
        </w:tc>
        <w:tc>
          <w:tcPr>
            <w:tcW w:w="992" w:type="dxa"/>
            <w:shd w:val="clear" w:color="auto" w:fill="DBF1E8" w:themeFill="background2" w:themeFillTint="33"/>
            <w:vAlign w:val="bottom"/>
          </w:tcPr>
          <w:p w14:paraId="2836D629" w14:textId="461C98D1" w:rsidR="36F6A452" w:rsidRPr="00FF556E" w:rsidRDefault="009F36C1" w:rsidP="007706FA">
            <w:pPr>
              <w:pStyle w:val="TableTextRight"/>
              <w:rPr>
                <w:color w:val="000000" w:themeColor="text1"/>
              </w:rPr>
            </w:pPr>
            <w:r w:rsidRPr="00FF556E">
              <w:rPr>
                <w:rFonts w:ascii="Calibri" w:hAnsi="Calibri" w:cs="Calibri"/>
              </w:rPr>
              <w:t>-1.5</w:t>
            </w:r>
          </w:p>
        </w:tc>
      </w:tr>
      <w:tr w:rsidR="006509A9" w:rsidRPr="00FF556E" w14:paraId="0AC11002" w14:textId="77777777" w:rsidTr="007706FA">
        <w:trPr>
          <w:trHeight w:val="238"/>
        </w:trPr>
        <w:tc>
          <w:tcPr>
            <w:tcW w:w="2694" w:type="dxa"/>
            <w:tcBorders>
              <w:bottom w:val="single" w:sz="4" w:space="0" w:color="EBE9E8" w:themeColor="accent5" w:themeTint="33"/>
            </w:tcBorders>
            <w:hideMark/>
          </w:tcPr>
          <w:p w14:paraId="74B84246" w14:textId="109AA1F2" w:rsidR="006509A9" w:rsidRPr="00FF556E" w:rsidRDefault="006509A9" w:rsidP="006509A9">
            <w:pPr>
              <w:pStyle w:val="Tabletextleftindent"/>
            </w:pPr>
            <w:r w:rsidRPr="00FF556E">
              <w:t>Greater Adelaide</w:t>
            </w:r>
          </w:p>
        </w:tc>
        <w:tc>
          <w:tcPr>
            <w:tcW w:w="992" w:type="dxa"/>
            <w:tcBorders>
              <w:bottom w:val="single" w:sz="4" w:space="0" w:color="EBE9E8" w:themeColor="accent5" w:themeTint="33"/>
            </w:tcBorders>
            <w:vAlign w:val="bottom"/>
          </w:tcPr>
          <w:p w14:paraId="0B3AA7F0" w14:textId="521F70CD" w:rsidR="36F6A452" w:rsidRPr="00FF556E" w:rsidRDefault="009F36C1" w:rsidP="007706FA">
            <w:pPr>
              <w:pStyle w:val="TableTextRight"/>
              <w:rPr>
                <w:color w:val="000000" w:themeColor="text1"/>
              </w:rPr>
            </w:pPr>
            <w:r w:rsidRPr="00FF556E">
              <w:rPr>
                <w:rFonts w:ascii="Calibri" w:hAnsi="Calibri" w:cs="Calibri"/>
              </w:rPr>
              <w:t>3.8</w:t>
            </w:r>
          </w:p>
        </w:tc>
        <w:tc>
          <w:tcPr>
            <w:tcW w:w="992" w:type="dxa"/>
            <w:tcBorders>
              <w:bottom w:val="single" w:sz="4" w:space="0" w:color="EBE9E8" w:themeColor="accent5" w:themeTint="33"/>
            </w:tcBorders>
            <w:shd w:val="clear" w:color="auto" w:fill="D6EEF5" w:themeFill="text2" w:themeFillTint="33"/>
            <w:vAlign w:val="bottom"/>
          </w:tcPr>
          <w:p w14:paraId="57F90BA7" w14:textId="1B375160" w:rsidR="36F6A452" w:rsidRPr="00FF556E" w:rsidRDefault="009F36C1" w:rsidP="007706FA">
            <w:pPr>
              <w:pStyle w:val="TableTextRight"/>
              <w:rPr>
                <w:color w:val="000000" w:themeColor="text1"/>
              </w:rPr>
            </w:pPr>
            <w:r w:rsidRPr="00FF556E">
              <w:rPr>
                <w:rFonts w:ascii="Calibri" w:hAnsi="Calibri" w:cs="Calibri"/>
              </w:rPr>
              <w:t>3.9</w:t>
            </w:r>
          </w:p>
        </w:tc>
        <w:tc>
          <w:tcPr>
            <w:tcW w:w="992" w:type="dxa"/>
            <w:tcBorders>
              <w:bottom w:val="single" w:sz="4" w:space="0" w:color="EBE9E8" w:themeColor="accent5" w:themeTint="33"/>
            </w:tcBorders>
            <w:vAlign w:val="bottom"/>
          </w:tcPr>
          <w:p w14:paraId="0CD07B91" w14:textId="34398EBE" w:rsidR="36F6A452" w:rsidRPr="00FF556E" w:rsidRDefault="009F36C1" w:rsidP="007706FA">
            <w:pPr>
              <w:pStyle w:val="TableTextRight"/>
              <w:rPr>
                <w:color w:val="000000" w:themeColor="text1"/>
              </w:rPr>
            </w:pPr>
            <w:r w:rsidRPr="00FF556E">
              <w:rPr>
                <w:rFonts w:ascii="Calibri" w:hAnsi="Calibri" w:cs="Calibri"/>
              </w:rPr>
              <w:t>3.2</w:t>
            </w:r>
          </w:p>
        </w:tc>
        <w:tc>
          <w:tcPr>
            <w:tcW w:w="992" w:type="dxa"/>
            <w:tcBorders>
              <w:bottom w:val="single" w:sz="4" w:space="0" w:color="EBE9E8" w:themeColor="accent5" w:themeTint="33"/>
            </w:tcBorders>
            <w:vAlign w:val="bottom"/>
          </w:tcPr>
          <w:p w14:paraId="348662D4" w14:textId="1F25D1B6" w:rsidR="36F6A452" w:rsidRPr="00FF556E" w:rsidRDefault="009F36C1" w:rsidP="007706FA">
            <w:pPr>
              <w:pStyle w:val="TableTextRight"/>
              <w:rPr>
                <w:color w:val="000000" w:themeColor="text1"/>
              </w:rPr>
            </w:pPr>
            <w:r w:rsidRPr="00FF556E">
              <w:rPr>
                <w:rFonts w:ascii="Calibri" w:hAnsi="Calibri" w:cs="Calibri"/>
              </w:rPr>
              <w:t>3.5</w:t>
            </w:r>
          </w:p>
        </w:tc>
        <w:tc>
          <w:tcPr>
            <w:tcW w:w="992" w:type="dxa"/>
            <w:tcBorders>
              <w:bottom w:val="single" w:sz="4" w:space="0" w:color="EBE9E8" w:themeColor="accent5" w:themeTint="33"/>
            </w:tcBorders>
            <w:vAlign w:val="bottom"/>
          </w:tcPr>
          <w:p w14:paraId="3A869B7D" w14:textId="08EAFFEC" w:rsidR="36F6A452" w:rsidRPr="00FF556E" w:rsidRDefault="009F36C1" w:rsidP="007706FA">
            <w:pPr>
              <w:pStyle w:val="TableTextRight"/>
              <w:rPr>
                <w:color w:val="000000" w:themeColor="text1"/>
              </w:rPr>
            </w:pPr>
            <w:r w:rsidRPr="00FF556E">
              <w:rPr>
                <w:rFonts w:ascii="Calibri" w:hAnsi="Calibri" w:cs="Calibri"/>
              </w:rPr>
              <w:t>3.7</w:t>
            </w:r>
          </w:p>
        </w:tc>
        <w:tc>
          <w:tcPr>
            <w:tcW w:w="992" w:type="dxa"/>
            <w:tcBorders>
              <w:bottom w:val="single" w:sz="4" w:space="0" w:color="EBE9E8" w:themeColor="accent5" w:themeTint="33"/>
            </w:tcBorders>
            <w:shd w:val="clear" w:color="auto" w:fill="DBF1E8" w:themeFill="background2" w:themeFillTint="33"/>
            <w:vAlign w:val="bottom"/>
          </w:tcPr>
          <w:p w14:paraId="76567EFE" w14:textId="3A68BB2E" w:rsidR="36F6A452" w:rsidRPr="00FF556E" w:rsidRDefault="009F36C1" w:rsidP="007706FA">
            <w:pPr>
              <w:pStyle w:val="TableTextRight"/>
              <w:rPr>
                <w:color w:val="000000" w:themeColor="text1"/>
              </w:rPr>
            </w:pPr>
            <w:r w:rsidRPr="00FF556E">
              <w:rPr>
                <w:rFonts w:ascii="Calibri" w:hAnsi="Calibri" w:cs="Calibri"/>
              </w:rPr>
              <w:t>3.7</w:t>
            </w:r>
          </w:p>
        </w:tc>
        <w:tc>
          <w:tcPr>
            <w:tcW w:w="992" w:type="dxa"/>
            <w:tcBorders>
              <w:bottom w:val="single" w:sz="4" w:space="0" w:color="EBE9E8" w:themeColor="accent5" w:themeTint="33"/>
            </w:tcBorders>
            <w:shd w:val="clear" w:color="auto" w:fill="DBF1E8" w:themeFill="background2" w:themeFillTint="33"/>
            <w:vAlign w:val="bottom"/>
          </w:tcPr>
          <w:p w14:paraId="62A6E180" w14:textId="5EE1A143" w:rsidR="36F6A452" w:rsidRPr="00FF556E" w:rsidRDefault="009F36C1" w:rsidP="007706FA">
            <w:pPr>
              <w:pStyle w:val="TableTextRight"/>
              <w:rPr>
                <w:color w:val="000000" w:themeColor="text1"/>
              </w:rPr>
            </w:pPr>
            <w:r w:rsidRPr="00FF556E">
              <w:rPr>
                <w:rFonts w:ascii="Calibri" w:hAnsi="Calibri" w:cs="Calibri"/>
              </w:rPr>
              <w:t>0.8</w:t>
            </w:r>
          </w:p>
        </w:tc>
      </w:tr>
      <w:tr w:rsidR="006509A9" w:rsidRPr="00FF556E" w14:paraId="43F90F68" w14:textId="77777777" w:rsidTr="007706FA">
        <w:trPr>
          <w:trHeight w:val="238"/>
        </w:trPr>
        <w:tc>
          <w:tcPr>
            <w:tcW w:w="2694" w:type="dxa"/>
            <w:tcBorders>
              <w:bottom w:val="single" w:sz="4" w:space="0" w:color="002C47" w:themeColor="accent1"/>
            </w:tcBorders>
            <w:hideMark/>
          </w:tcPr>
          <w:p w14:paraId="2B8FC57D" w14:textId="0A3E1384" w:rsidR="006509A9" w:rsidRPr="00FF556E" w:rsidRDefault="006509A9" w:rsidP="006509A9">
            <w:pPr>
              <w:pStyle w:val="Tabletextleftindent"/>
            </w:pPr>
            <w:r w:rsidRPr="00FF556E">
              <w:t>Rest</w:t>
            </w:r>
            <w:r w:rsidR="00396724" w:rsidRPr="00FF556E">
              <w:t>-</w:t>
            </w:r>
            <w:r w:rsidRPr="00FF556E">
              <w:t>of</w:t>
            </w:r>
            <w:r w:rsidR="00396724" w:rsidRPr="00FF556E">
              <w:t>-</w:t>
            </w:r>
            <w:r w:rsidRPr="00FF556E">
              <w:t>South Australia</w:t>
            </w:r>
          </w:p>
        </w:tc>
        <w:tc>
          <w:tcPr>
            <w:tcW w:w="992" w:type="dxa"/>
            <w:tcBorders>
              <w:bottom w:val="single" w:sz="4" w:space="0" w:color="002C47" w:themeColor="accent1"/>
            </w:tcBorders>
            <w:vAlign w:val="bottom"/>
          </w:tcPr>
          <w:p w14:paraId="754F2318" w14:textId="0A7F661B" w:rsidR="36F6A452" w:rsidRPr="00FF556E" w:rsidRDefault="009F36C1" w:rsidP="007706FA">
            <w:pPr>
              <w:pStyle w:val="TableTextRight"/>
              <w:rPr>
                <w:color w:val="000000" w:themeColor="text1"/>
              </w:rPr>
            </w:pPr>
            <w:r w:rsidRPr="00FF556E">
              <w:rPr>
                <w:rFonts w:ascii="Calibri" w:hAnsi="Calibri" w:cs="Calibri"/>
              </w:rPr>
              <w:t>-0.4</w:t>
            </w:r>
          </w:p>
        </w:tc>
        <w:tc>
          <w:tcPr>
            <w:tcW w:w="992" w:type="dxa"/>
            <w:tcBorders>
              <w:bottom w:val="single" w:sz="4" w:space="0" w:color="002C47" w:themeColor="accent1"/>
            </w:tcBorders>
            <w:shd w:val="clear" w:color="auto" w:fill="D6EEF5" w:themeFill="text2" w:themeFillTint="33"/>
            <w:vAlign w:val="bottom"/>
          </w:tcPr>
          <w:p w14:paraId="401942D3" w14:textId="547CC14B" w:rsidR="36F6A452" w:rsidRPr="00FF556E" w:rsidRDefault="009F36C1" w:rsidP="007706FA">
            <w:pPr>
              <w:pStyle w:val="TableTextRight"/>
              <w:rPr>
                <w:color w:val="000000" w:themeColor="text1"/>
              </w:rPr>
            </w:pPr>
            <w:r w:rsidRPr="00FF556E">
              <w:rPr>
                <w:rFonts w:ascii="Calibri" w:hAnsi="Calibri" w:cs="Calibri"/>
              </w:rPr>
              <w:t>-0.8</w:t>
            </w:r>
          </w:p>
        </w:tc>
        <w:tc>
          <w:tcPr>
            <w:tcW w:w="992" w:type="dxa"/>
            <w:tcBorders>
              <w:bottom w:val="single" w:sz="4" w:space="0" w:color="002C47" w:themeColor="accent1"/>
            </w:tcBorders>
            <w:vAlign w:val="bottom"/>
          </w:tcPr>
          <w:p w14:paraId="20AF73A4" w14:textId="51104FE2" w:rsidR="36F6A452" w:rsidRPr="00FF556E" w:rsidRDefault="009F36C1" w:rsidP="007706FA">
            <w:pPr>
              <w:pStyle w:val="TableTextRight"/>
              <w:rPr>
                <w:color w:val="000000" w:themeColor="text1"/>
              </w:rPr>
            </w:pPr>
            <w:r w:rsidRPr="00FF556E">
              <w:rPr>
                <w:rFonts w:ascii="Calibri" w:hAnsi="Calibri" w:cs="Calibri"/>
              </w:rPr>
              <w:t>-1.0</w:t>
            </w:r>
          </w:p>
        </w:tc>
        <w:tc>
          <w:tcPr>
            <w:tcW w:w="992" w:type="dxa"/>
            <w:tcBorders>
              <w:bottom w:val="single" w:sz="4" w:space="0" w:color="002C47" w:themeColor="accent1"/>
            </w:tcBorders>
            <w:vAlign w:val="bottom"/>
          </w:tcPr>
          <w:p w14:paraId="2FFE6DEA" w14:textId="79D571AE" w:rsidR="36F6A452" w:rsidRPr="00FF556E" w:rsidRDefault="009F36C1" w:rsidP="007706FA">
            <w:pPr>
              <w:pStyle w:val="TableTextRight"/>
              <w:rPr>
                <w:color w:val="000000" w:themeColor="text1"/>
              </w:rPr>
            </w:pPr>
            <w:r w:rsidRPr="00FF556E">
              <w:rPr>
                <w:rFonts w:ascii="Calibri" w:hAnsi="Calibri" w:cs="Calibri"/>
              </w:rPr>
              <w:t>-0.9</w:t>
            </w:r>
          </w:p>
        </w:tc>
        <w:tc>
          <w:tcPr>
            <w:tcW w:w="992" w:type="dxa"/>
            <w:tcBorders>
              <w:bottom w:val="single" w:sz="4" w:space="0" w:color="002C47" w:themeColor="accent1"/>
            </w:tcBorders>
            <w:vAlign w:val="bottom"/>
          </w:tcPr>
          <w:p w14:paraId="27607284" w14:textId="0C772596" w:rsidR="36F6A452" w:rsidRPr="00FF556E" w:rsidRDefault="009F36C1" w:rsidP="007706FA">
            <w:pPr>
              <w:pStyle w:val="TableTextRight"/>
              <w:rPr>
                <w:color w:val="000000" w:themeColor="text1"/>
              </w:rPr>
            </w:pPr>
            <w:r w:rsidRPr="00FF556E">
              <w:rPr>
                <w:rFonts w:ascii="Calibri" w:hAnsi="Calibri" w:cs="Calibri"/>
              </w:rPr>
              <w:t>-0.9</w:t>
            </w:r>
          </w:p>
        </w:tc>
        <w:tc>
          <w:tcPr>
            <w:tcW w:w="992" w:type="dxa"/>
            <w:tcBorders>
              <w:bottom w:val="single" w:sz="4" w:space="0" w:color="002C47" w:themeColor="accent1"/>
            </w:tcBorders>
            <w:shd w:val="clear" w:color="auto" w:fill="DBF1E8" w:themeFill="background2" w:themeFillTint="33"/>
            <w:vAlign w:val="bottom"/>
          </w:tcPr>
          <w:p w14:paraId="061B6053" w14:textId="51E9AB41" w:rsidR="36F6A452" w:rsidRPr="00FF556E" w:rsidRDefault="009F36C1" w:rsidP="007706FA">
            <w:pPr>
              <w:pStyle w:val="TableTextRight"/>
              <w:rPr>
                <w:color w:val="000000" w:themeColor="text1"/>
              </w:rPr>
            </w:pPr>
            <w:r w:rsidRPr="00FF556E">
              <w:rPr>
                <w:rFonts w:ascii="Calibri" w:hAnsi="Calibri" w:cs="Calibri"/>
              </w:rPr>
              <w:t>-1.2</w:t>
            </w:r>
          </w:p>
        </w:tc>
        <w:tc>
          <w:tcPr>
            <w:tcW w:w="992" w:type="dxa"/>
            <w:tcBorders>
              <w:bottom w:val="single" w:sz="4" w:space="0" w:color="002C47" w:themeColor="accent1"/>
            </w:tcBorders>
            <w:shd w:val="clear" w:color="auto" w:fill="DBF1E8" w:themeFill="background2" w:themeFillTint="33"/>
            <w:vAlign w:val="bottom"/>
          </w:tcPr>
          <w:p w14:paraId="3480EDC6" w14:textId="0C5BCC8F" w:rsidR="36F6A452" w:rsidRPr="00FF556E" w:rsidRDefault="009F36C1" w:rsidP="007706FA">
            <w:pPr>
              <w:pStyle w:val="TableTextRight"/>
              <w:rPr>
                <w:color w:val="000000" w:themeColor="text1"/>
              </w:rPr>
            </w:pPr>
            <w:r w:rsidRPr="00FF556E">
              <w:rPr>
                <w:rFonts w:ascii="Calibri" w:hAnsi="Calibri" w:cs="Calibri"/>
              </w:rPr>
              <w:t>-2.3</w:t>
            </w:r>
          </w:p>
        </w:tc>
      </w:tr>
      <w:tr w:rsidR="006509A9" w:rsidRPr="00FF556E" w14:paraId="15BEBF50" w14:textId="77777777" w:rsidTr="007706FA">
        <w:trPr>
          <w:trHeight w:val="238"/>
        </w:trPr>
        <w:tc>
          <w:tcPr>
            <w:tcW w:w="2694" w:type="dxa"/>
            <w:tcBorders>
              <w:top w:val="single" w:sz="4" w:space="0" w:color="002C47" w:themeColor="accent1"/>
            </w:tcBorders>
            <w:hideMark/>
          </w:tcPr>
          <w:p w14:paraId="44D0E8FD" w14:textId="77777777" w:rsidR="006509A9" w:rsidRPr="00FF556E" w:rsidRDefault="006509A9" w:rsidP="006509A9">
            <w:pPr>
              <w:pStyle w:val="TableColumnHeadingLeft"/>
            </w:pPr>
            <w:r w:rsidRPr="00FF556E">
              <w:t>Net overseas migration (‘000)</w:t>
            </w:r>
          </w:p>
        </w:tc>
        <w:tc>
          <w:tcPr>
            <w:tcW w:w="992" w:type="dxa"/>
            <w:tcBorders>
              <w:top w:val="single" w:sz="4" w:space="0" w:color="002C47" w:themeColor="accent1"/>
            </w:tcBorders>
            <w:vAlign w:val="bottom"/>
          </w:tcPr>
          <w:p w14:paraId="77218324" w14:textId="31B53722" w:rsidR="36F6A452" w:rsidRPr="00FF556E" w:rsidRDefault="36F6A452" w:rsidP="007706FA">
            <w:pPr>
              <w:pStyle w:val="TableTextRight"/>
            </w:pPr>
          </w:p>
        </w:tc>
        <w:tc>
          <w:tcPr>
            <w:tcW w:w="992" w:type="dxa"/>
            <w:tcBorders>
              <w:top w:val="single" w:sz="4" w:space="0" w:color="002C47" w:themeColor="accent1"/>
            </w:tcBorders>
            <w:shd w:val="clear" w:color="auto" w:fill="D6EEF5" w:themeFill="text2" w:themeFillTint="33"/>
            <w:vAlign w:val="bottom"/>
          </w:tcPr>
          <w:p w14:paraId="44E1245D" w14:textId="0C278926" w:rsidR="36F6A452" w:rsidRPr="00FF556E" w:rsidRDefault="36F6A452" w:rsidP="007706FA">
            <w:pPr>
              <w:pStyle w:val="TableTextRight"/>
            </w:pPr>
          </w:p>
        </w:tc>
        <w:tc>
          <w:tcPr>
            <w:tcW w:w="992" w:type="dxa"/>
            <w:tcBorders>
              <w:top w:val="single" w:sz="4" w:space="0" w:color="002C47" w:themeColor="accent1"/>
            </w:tcBorders>
            <w:vAlign w:val="bottom"/>
          </w:tcPr>
          <w:p w14:paraId="3FB943BB" w14:textId="11303E81" w:rsidR="36F6A452" w:rsidRPr="00FF556E" w:rsidRDefault="36F6A452" w:rsidP="007706FA">
            <w:pPr>
              <w:pStyle w:val="TableTextRight"/>
            </w:pPr>
          </w:p>
        </w:tc>
        <w:tc>
          <w:tcPr>
            <w:tcW w:w="992" w:type="dxa"/>
            <w:tcBorders>
              <w:top w:val="single" w:sz="4" w:space="0" w:color="002C47" w:themeColor="accent1"/>
            </w:tcBorders>
            <w:vAlign w:val="bottom"/>
          </w:tcPr>
          <w:p w14:paraId="1402FB36" w14:textId="09D93B04" w:rsidR="36F6A452" w:rsidRPr="00FF556E" w:rsidRDefault="36F6A452" w:rsidP="007706FA">
            <w:pPr>
              <w:pStyle w:val="TableTextRight"/>
            </w:pPr>
          </w:p>
        </w:tc>
        <w:tc>
          <w:tcPr>
            <w:tcW w:w="992" w:type="dxa"/>
            <w:tcBorders>
              <w:top w:val="single" w:sz="4" w:space="0" w:color="002C47" w:themeColor="accent1"/>
            </w:tcBorders>
            <w:vAlign w:val="bottom"/>
          </w:tcPr>
          <w:p w14:paraId="28686D4A" w14:textId="04350F53" w:rsidR="36F6A452" w:rsidRPr="00FF556E" w:rsidRDefault="36F6A452" w:rsidP="007706FA">
            <w:pPr>
              <w:pStyle w:val="TableTextRight"/>
            </w:pPr>
          </w:p>
        </w:tc>
        <w:tc>
          <w:tcPr>
            <w:tcW w:w="992" w:type="dxa"/>
            <w:tcBorders>
              <w:top w:val="single" w:sz="4" w:space="0" w:color="002C47" w:themeColor="accent1"/>
            </w:tcBorders>
            <w:shd w:val="clear" w:color="auto" w:fill="DBF1E8" w:themeFill="background2" w:themeFillTint="33"/>
            <w:vAlign w:val="bottom"/>
          </w:tcPr>
          <w:p w14:paraId="3143A872" w14:textId="7364809C" w:rsidR="36F6A452" w:rsidRPr="00FF556E" w:rsidRDefault="36F6A452" w:rsidP="007706FA">
            <w:pPr>
              <w:pStyle w:val="TableTextRight"/>
            </w:pPr>
          </w:p>
        </w:tc>
        <w:tc>
          <w:tcPr>
            <w:tcW w:w="992" w:type="dxa"/>
            <w:tcBorders>
              <w:top w:val="single" w:sz="4" w:space="0" w:color="002C47" w:themeColor="accent1"/>
            </w:tcBorders>
            <w:shd w:val="clear" w:color="auto" w:fill="DBF1E8" w:themeFill="background2" w:themeFillTint="33"/>
            <w:vAlign w:val="bottom"/>
          </w:tcPr>
          <w:p w14:paraId="4E6B7E09" w14:textId="3F000D92" w:rsidR="36F6A452" w:rsidRPr="00FF556E" w:rsidRDefault="36F6A452" w:rsidP="007706FA">
            <w:pPr>
              <w:pStyle w:val="TableTextRight"/>
            </w:pPr>
          </w:p>
        </w:tc>
      </w:tr>
      <w:tr w:rsidR="006509A9" w:rsidRPr="00FF556E" w14:paraId="7603BB66" w14:textId="77777777" w:rsidTr="007706FA">
        <w:trPr>
          <w:trHeight w:val="238"/>
        </w:trPr>
        <w:tc>
          <w:tcPr>
            <w:tcW w:w="2694" w:type="dxa"/>
            <w:hideMark/>
          </w:tcPr>
          <w:p w14:paraId="51BE2898" w14:textId="45A0BC25" w:rsidR="006509A9" w:rsidRPr="00FF556E" w:rsidRDefault="006509A9" w:rsidP="007706FA">
            <w:pPr>
              <w:pStyle w:val="TableTextLeft"/>
            </w:pPr>
            <w:r w:rsidRPr="00FF556E">
              <w:t>South Australia</w:t>
            </w:r>
          </w:p>
        </w:tc>
        <w:tc>
          <w:tcPr>
            <w:tcW w:w="992" w:type="dxa"/>
            <w:vAlign w:val="bottom"/>
          </w:tcPr>
          <w:p w14:paraId="0B36F53B" w14:textId="38C34BA9" w:rsidR="36F6A452" w:rsidRPr="00FF556E" w:rsidRDefault="009F36C1" w:rsidP="007706FA">
            <w:pPr>
              <w:pStyle w:val="TableTextRight"/>
              <w:rPr>
                <w:color w:val="000000" w:themeColor="text1"/>
              </w:rPr>
            </w:pPr>
            <w:r w:rsidRPr="00FF556E">
              <w:rPr>
                <w:rFonts w:ascii="Calibri" w:hAnsi="Calibri" w:cs="Calibri"/>
              </w:rPr>
              <w:t>23.4</w:t>
            </w:r>
          </w:p>
        </w:tc>
        <w:tc>
          <w:tcPr>
            <w:tcW w:w="992" w:type="dxa"/>
            <w:shd w:val="clear" w:color="auto" w:fill="D6EEF5" w:themeFill="text2" w:themeFillTint="33"/>
            <w:vAlign w:val="bottom"/>
          </w:tcPr>
          <w:p w14:paraId="03574341" w14:textId="373A77B3" w:rsidR="36F6A452" w:rsidRPr="00FF556E" w:rsidRDefault="009F36C1" w:rsidP="007706FA">
            <w:pPr>
              <w:pStyle w:val="TableTextRight"/>
              <w:rPr>
                <w:color w:val="000000" w:themeColor="text1"/>
              </w:rPr>
            </w:pPr>
            <w:r w:rsidRPr="00FF556E">
              <w:rPr>
                <w:rFonts w:ascii="Calibri" w:hAnsi="Calibri" w:cs="Calibri"/>
              </w:rPr>
              <w:t>18.4</w:t>
            </w:r>
          </w:p>
        </w:tc>
        <w:tc>
          <w:tcPr>
            <w:tcW w:w="992" w:type="dxa"/>
            <w:vAlign w:val="bottom"/>
          </w:tcPr>
          <w:p w14:paraId="300DDF5C" w14:textId="590ED7AE" w:rsidR="36F6A452" w:rsidRPr="00FF556E" w:rsidRDefault="009F36C1" w:rsidP="007706FA">
            <w:pPr>
              <w:pStyle w:val="TableTextRight"/>
              <w:rPr>
                <w:color w:val="000000" w:themeColor="text1"/>
              </w:rPr>
            </w:pPr>
            <w:r w:rsidRPr="00FF556E">
              <w:rPr>
                <w:rFonts w:ascii="Calibri" w:hAnsi="Calibri" w:cs="Calibri"/>
              </w:rPr>
              <w:t>15.8</w:t>
            </w:r>
          </w:p>
        </w:tc>
        <w:tc>
          <w:tcPr>
            <w:tcW w:w="992" w:type="dxa"/>
            <w:vAlign w:val="bottom"/>
          </w:tcPr>
          <w:p w14:paraId="26E5E3B9" w14:textId="29751D42" w:rsidR="36F6A452" w:rsidRPr="00FF556E" w:rsidRDefault="009F36C1" w:rsidP="007706FA">
            <w:pPr>
              <w:pStyle w:val="TableTextRight"/>
              <w:rPr>
                <w:color w:val="000000" w:themeColor="text1"/>
              </w:rPr>
            </w:pPr>
            <w:r w:rsidRPr="00FF556E">
              <w:rPr>
                <w:rFonts w:ascii="Calibri" w:hAnsi="Calibri" w:cs="Calibri"/>
              </w:rPr>
              <w:t>13.8</w:t>
            </w:r>
          </w:p>
        </w:tc>
        <w:tc>
          <w:tcPr>
            <w:tcW w:w="992" w:type="dxa"/>
            <w:vAlign w:val="bottom"/>
          </w:tcPr>
          <w:p w14:paraId="27042447" w14:textId="0CF027CC" w:rsidR="36F6A452" w:rsidRPr="00FF556E" w:rsidRDefault="009F36C1" w:rsidP="007706FA">
            <w:pPr>
              <w:pStyle w:val="TableTextRight"/>
              <w:rPr>
                <w:color w:val="000000" w:themeColor="text1"/>
              </w:rPr>
            </w:pPr>
            <w:r w:rsidRPr="00FF556E">
              <w:rPr>
                <w:rFonts w:ascii="Calibri" w:hAnsi="Calibri" w:cs="Calibri"/>
              </w:rPr>
              <w:t>13.4</w:t>
            </w:r>
          </w:p>
        </w:tc>
        <w:tc>
          <w:tcPr>
            <w:tcW w:w="992" w:type="dxa"/>
            <w:shd w:val="clear" w:color="auto" w:fill="DBF1E8" w:themeFill="background2" w:themeFillTint="33"/>
            <w:vAlign w:val="bottom"/>
          </w:tcPr>
          <w:p w14:paraId="0CC0A724" w14:textId="74338723" w:rsidR="36F6A452" w:rsidRPr="00FF556E" w:rsidRDefault="009F36C1" w:rsidP="007706FA">
            <w:pPr>
              <w:pStyle w:val="TableTextRight"/>
              <w:rPr>
                <w:color w:val="000000" w:themeColor="text1"/>
              </w:rPr>
            </w:pPr>
            <w:r w:rsidRPr="00FF556E">
              <w:rPr>
                <w:rFonts w:ascii="Calibri" w:hAnsi="Calibri" w:cs="Calibri"/>
              </w:rPr>
              <w:t>14.1</w:t>
            </w:r>
          </w:p>
        </w:tc>
        <w:tc>
          <w:tcPr>
            <w:tcW w:w="992" w:type="dxa"/>
            <w:shd w:val="clear" w:color="auto" w:fill="DBF1E8" w:themeFill="background2" w:themeFillTint="33"/>
            <w:vAlign w:val="bottom"/>
          </w:tcPr>
          <w:p w14:paraId="2F187ECE" w14:textId="77D4353C" w:rsidR="36F6A452" w:rsidRPr="00FF556E" w:rsidRDefault="009F36C1" w:rsidP="007706FA">
            <w:pPr>
              <w:pStyle w:val="TableTextRight"/>
              <w:rPr>
                <w:color w:val="000000" w:themeColor="text1"/>
              </w:rPr>
            </w:pPr>
            <w:r w:rsidRPr="00FF556E">
              <w:rPr>
                <w:rFonts w:ascii="Calibri" w:hAnsi="Calibri" w:cs="Calibri"/>
              </w:rPr>
              <w:t>14.1</w:t>
            </w:r>
          </w:p>
        </w:tc>
      </w:tr>
      <w:tr w:rsidR="006509A9" w:rsidRPr="00FF556E" w14:paraId="62250C49" w14:textId="77777777" w:rsidTr="007706FA">
        <w:trPr>
          <w:trHeight w:val="238"/>
        </w:trPr>
        <w:tc>
          <w:tcPr>
            <w:tcW w:w="2694" w:type="dxa"/>
            <w:tcBorders>
              <w:bottom w:val="single" w:sz="4" w:space="0" w:color="EBE9E8" w:themeColor="accent5" w:themeTint="33"/>
            </w:tcBorders>
            <w:hideMark/>
          </w:tcPr>
          <w:p w14:paraId="083940A7" w14:textId="64433334" w:rsidR="006509A9" w:rsidRPr="00FF556E" w:rsidRDefault="006509A9" w:rsidP="006509A9">
            <w:pPr>
              <w:pStyle w:val="Tabletextleftindent"/>
            </w:pPr>
            <w:r w:rsidRPr="00FF556E">
              <w:t>Greater Adelaide</w:t>
            </w:r>
          </w:p>
        </w:tc>
        <w:tc>
          <w:tcPr>
            <w:tcW w:w="992" w:type="dxa"/>
            <w:tcBorders>
              <w:bottom w:val="single" w:sz="4" w:space="0" w:color="EBE9E8" w:themeColor="accent5" w:themeTint="33"/>
            </w:tcBorders>
            <w:vAlign w:val="bottom"/>
          </w:tcPr>
          <w:p w14:paraId="474A9605" w14:textId="230B31D0" w:rsidR="36F6A452" w:rsidRPr="00FF556E" w:rsidRDefault="009F36C1" w:rsidP="007706FA">
            <w:pPr>
              <w:pStyle w:val="TableTextRight"/>
              <w:rPr>
                <w:color w:val="000000" w:themeColor="text1"/>
              </w:rPr>
            </w:pPr>
            <w:r w:rsidRPr="00FF556E">
              <w:rPr>
                <w:rFonts w:ascii="Calibri" w:hAnsi="Calibri" w:cs="Calibri"/>
              </w:rPr>
              <w:t>21.7</w:t>
            </w:r>
          </w:p>
        </w:tc>
        <w:tc>
          <w:tcPr>
            <w:tcW w:w="992" w:type="dxa"/>
            <w:tcBorders>
              <w:bottom w:val="single" w:sz="4" w:space="0" w:color="EBE9E8" w:themeColor="accent5" w:themeTint="33"/>
            </w:tcBorders>
            <w:shd w:val="clear" w:color="auto" w:fill="D6EEF5" w:themeFill="text2" w:themeFillTint="33"/>
            <w:vAlign w:val="bottom"/>
          </w:tcPr>
          <w:p w14:paraId="3538E9B1" w14:textId="7F82CB81" w:rsidR="36F6A452" w:rsidRPr="00FF556E" w:rsidRDefault="009F36C1" w:rsidP="007706FA">
            <w:pPr>
              <w:pStyle w:val="TableTextRight"/>
              <w:rPr>
                <w:color w:val="000000" w:themeColor="text1"/>
              </w:rPr>
            </w:pPr>
            <w:r w:rsidRPr="00FF556E">
              <w:rPr>
                <w:rFonts w:ascii="Calibri" w:hAnsi="Calibri" w:cs="Calibri"/>
              </w:rPr>
              <w:t>17.0</w:t>
            </w:r>
          </w:p>
        </w:tc>
        <w:tc>
          <w:tcPr>
            <w:tcW w:w="992" w:type="dxa"/>
            <w:tcBorders>
              <w:bottom w:val="single" w:sz="4" w:space="0" w:color="EBE9E8" w:themeColor="accent5" w:themeTint="33"/>
            </w:tcBorders>
            <w:vAlign w:val="bottom"/>
          </w:tcPr>
          <w:p w14:paraId="32CFAA11" w14:textId="57C616FD" w:rsidR="36F6A452" w:rsidRPr="00FF556E" w:rsidRDefault="009F36C1" w:rsidP="007706FA">
            <w:pPr>
              <w:pStyle w:val="TableTextRight"/>
              <w:rPr>
                <w:color w:val="000000" w:themeColor="text1"/>
              </w:rPr>
            </w:pPr>
            <w:r w:rsidRPr="00FF556E">
              <w:rPr>
                <w:rFonts w:ascii="Calibri" w:hAnsi="Calibri" w:cs="Calibri"/>
              </w:rPr>
              <w:t>14.5</w:t>
            </w:r>
          </w:p>
        </w:tc>
        <w:tc>
          <w:tcPr>
            <w:tcW w:w="992" w:type="dxa"/>
            <w:tcBorders>
              <w:bottom w:val="single" w:sz="4" w:space="0" w:color="EBE9E8" w:themeColor="accent5" w:themeTint="33"/>
            </w:tcBorders>
            <w:vAlign w:val="bottom"/>
          </w:tcPr>
          <w:p w14:paraId="60CADBC5" w14:textId="656CBCF4" w:rsidR="36F6A452" w:rsidRPr="00FF556E" w:rsidRDefault="009F36C1" w:rsidP="007706FA">
            <w:pPr>
              <w:pStyle w:val="TableTextRight"/>
              <w:rPr>
                <w:color w:val="000000" w:themeColor="text1"/>
              </w:rPr>
            </w:pPr>
            <w:r w:rsidRPr="00FF556E">
              <w:rPr>
                <w:rFonts w:ascii="Calibri" w:hAnsi="Calibri" w:cs="Calibri"/>
              </w:rPr>
              <w:t>12.7</w:t>
            </w:r>
          </w:p>
        </w:tc>
        <w:tc>
          <w:tcPr>
            <w:tcW w:w="992" w:type="dxa"/>
            <w:tcBorders>
              <w:bottom w:val="single" w:sz="4" w:space="0" w:color="EBE9E8" w:themeColor="accent5" w:themeTint="33"/>
            </w:tcBorders>
            <w:vAlign w:val="bottom"/>
          </w:tcPr>
          <w:p w14:paraId="18CCDED7" w14:textId="1799BCB4" w:rsidR="36F6A452" w:rsidRPr="00FF556E" w:rsidRDefault="009F36C1" w:rsidP="007706FA">
            <w:pPr>
              <w:pStyle w:val="TableTextRight"/>
              <w:rPr>
                <w:color w:val="000000" w:themeColor="text1"/>
              </w:rPr>
            </w:pPr>
            <w:r w:rsidRPr="00FF556E">
              <w:rPr>
                <w:rFonts w:ascii="Calibri" w:hAnsi="Calibri" w:cs="Calibri"/>
              </w:rPr>
              <w:t>12.3</w:t>
            </w:r>
          </w:p>
        </w:tc>
        <w:tc>
          <w:tcPr>
            <w:tcW w:w="992" w:type="dxa"/>
            <w:tcBorders>
              <w:bottom w:val="single" w:sz="4" w:space="0" w:color="EBE9E8" w:themeColor="accent5" w:themeTint="33"/>
            </w:tcBorders>
            <w:shd w:val="clear" w:color="auto" w:fill="DBF1E8" w:themeFill="background2" w:themeFillTint="33"/>
            <w:vAlign w:val="bottom"/>
          </w:tcPr>
          <w:p w14:paraId="2F524B6B" w14:textId="7FE8F39E" w:rsidR="36F6A452" w:rsidRPr="00FF556E" w:rsidRDefault="009F36C1" w:rsidP="007706FA">
            <w:pPr>
              <w:pStyle w:val="TableTextRight"/>
              <w:rPr>
                <w:color w:val="000000" w:themeColor="text1"/>
              </w:rPr>
            </w:pPr>
            <w:r w:rsidRPr="00FF556E">
              <w:rPr>
                <w:rFonts w:ascii="Calibri" w:hAnsi="Calibri" w:cs="Calibri"/>
              </w:rPr>
              <w:t>12.8</w:t>
            </w:r>
          </w:p>
        </w:tc>
        <w:tc>
          <w:tcPr>
            <w:tcW w:w="992" w:type="dxa"/>
            <w:tcBorders>
              <w:bottom w:val="single" w:sz="4" w:space="0" w:color="EBE9E8" w:themeColor="accent5" w:themeTint="33"/>
            </w:tcBorders>
            <w:shd w:val="clear" w:color="auto" w:fill="DBF1E8" w:themeFill="background2" w:themeFillTint="33"/>
            <w:vAlign w:val="bottom"/>
          </w:tcPr>
          <w:p w14:paraId="2804CAE8" w14:textId="26D6F760" w:rsidR="36F6A452" w:rsidRPr="00FF556E" w:rsidRDefault="009F36C1" w:rsidP="007706FA">
            <w:pPr>
              <w:pStyle w:val="TableTextRight"/>
              <w:rPr>
                <w:color w:val="000000" w:themeColor="text1"/>
              </w:rPr>
            </w:pPr>
            <w:r w:rsidRPr="00FF556E">
              <w:rPr>
                <w:rFonts w:ascii="Calibri" w:hAnsi="Calibri" w:cs="Calibri"/>
              </w:rPr>
              <w:t>12.8</w:t>
            </w:r>
          </w:p>
        </w:tc>
      </w:tr>
      <w:tr w:rsidR="006509A9" w:rsidRPr="00FF556E" w14:paraId="247EAB2E" w14:textId="77777777" w:rsidTr="007706FA">
        <w:trPr>
          <w:trHeight w:val="238"/>
        </w:trPr>
        <w:tc>
          <w:tcPr>
            <w:tcW w:w="2694" w:type="dxa"/>
            <w:tcBorders>
              <w:bottom w:val="single" w:sz="4" w:space="0" w:color="002C47" w:themeColor="accent1"/>
            </w:tcBorders>
            <w:hideMark/>
          </w:tcPr>
          <w:p w14:paraId="425537D1" w14:textId="784399BD" w:rsidR="006509A9" w:rsidRPr="00FF556E" w:rsidRDefault="006509A9" w:rsidP="006509A9">
            <w:pPr>
              <w:pStyle w:val="Tabletextleftindent"/>
            </w:pPr>
            <w:r w:rsidRPr="00FF556E">
              <w:t>Rest</w:t>
            </w:r>
            <w:r w:rsidR="00396724" w:rsidRPr="00FF556E">
              <w:t>-</w:t>
            </w:r>
            <w:r w:rsidRPr="00FF556E">
              <w:t>of</w:t>
            </w:r>
            <w:r w:rsidR="00396724" w:rsidRPr="00FF556E">
              <w:t>-</w:t>
            </w:r>
            <w:r w:rsidRPr="00FF556E">
              <w:t>South Australia</w:t>
            </w:r>
          </w:p>
        </w:tc>
        <w:tc>
          <w:tcPr>
            <w:tcW w:w="992" w:type="dxa"/>
            <w:tcBorders>
              <w:bottom w:val="single" w:sz="4" w:space="0" w:color="002C47" w:themeColor="accent1"/>
            </w:tcBorders>
            <w:vAlign w:val="bottom"/>
          </w:tcPr>
          <w:p w14:paraId="071504F9" w14:textId="546DEA1C" w:rsidR="36F6A452" w:rsidRPr="00FF556E" w:rsidRDefault="009F36C1" w:rsidP="007706FA">
            <w:pPr>
              <w:pStyle w:val="TableTextRight"/>
              <w:rPr>
                <w:color w:val="000000" w:themeColor="text1"/>
              </w:rPr>
            </w:pPr>
            <w:r w:rsidRPr="00FF556E">
              <w:rPr>
                <w:rFonts w:ascii="Calibri" w:hAnsi="Calibri" w:cs="Calibri"/>
              </w:rPr>
              <w:t>1.6</w:t>
            </w:r>
          </w:p>
        </w:tc>
        <w:tc>
          <w:tcPr>
            <w:tcW w:w="992" w:type="dxa"/>
            <w:tcBorders>
              <w:bottom w:val="single" w:sz="4" w:space="0" w:color="002C47" w:themeColor="accent1"/>
            </w:tcBorders>
            <w:shd w:val="clear" w:color="auto" w:fill="D6EEF5" w:themeFill="text2" w:themeFillTint="33"/>
            <w:vAlign w:val="bottom"/>
          </w:tcPr>
          <w:p w14:paraId="7B0D36DB" w14:textId="17BB1728" w:rsidR="36F6A452" w:rsidRPr="00FF556E" w:rsidRDefault="009F36C1" w:rsidP="007706FA">
            <w:pPr>
              <w:pStyle w:val="TableTextRight"/>
              <w:rPr>
                <w:color w:val="000000" w:themeColor="text1"/>
              </w:rPr>
            </w:pPr>
            <w:r w:rsidRPr="00FF556E">
              <w:rPr>
                <w:rFonts w:ascii="Calibri" w:hAnsi="Calibri" w:cs="Calibri"/>
              </w:rPr>
              <w:t>1.5</w:t>
            </w:r>
          </w:p>
        </w:tc>
        <w:tc>
          <w:tcPr>
            <w:tcW w:w="992" w:type="dxa"/>
            <w:tcBorders>
              <w:bottom w:val="single" w:sz="4" w:space="0" w:color="002C47" w:themeColor="accent1"/>
            </w:tcBorders>
            <w:vAlign w:val="bottom"/>
          </w:tcPr>
          <w:p w14:paraId="75488EC4" w14:textId="7F740AFB" w:rsidR="36F6A452" w:rsidRPr="00FF556E" w:rsidRDefault="009F36C1" w:rsidP="007706FA">
            <w:pPr>
              <w:pStyle w:val="TableTextRight"/>
              <w:rPr>
                <w:color w:val="000000" w:themeColor="text1"/>
              </w:rPr>
            </w:pPr>
            <w:r w:rsidRPr="00FF556E">
              <w:rPr>
                <w:rFonts w:ascii="Calibri" w:hAnsi="Calibri" w:cs="Calibri"/>
              </w:rPr>
              <w:t>1.3</w:t>
            </w:r>
          </w:p>
        </w:tc>
        <w:tc>
          <w:tcPr>
            <w:tcW w:w="992" w:type="dxa"/>
            <w:tcBorders>
              <w:bottom w:val="single" w:sz="4" w:space="0" w:color="002C47" w:themeColor="accent1"/>
            </w:tcBorders>
            <w:vAlign w:val="bottom"/>
          </w:tcPr>
          <w:p w14:paraId="4C55B4B4" w14:textId="21D63AE4" w:rsidR="36F6A452" w:rsidRPr="00FF556E" w:rsidRDefault="009F36C1" w:rsidP="007706FA">
            <w:pPr>
              <w:pStyle w:val="TableTextRight"/>
              <w:rPr>
                <w:color w:val="000000" w:themeColor="text1"/>
              </w:rPr>
            </w:pPr>
            <w:r w:rsidRPr="00FF556E">
              <w:rPr>
                <w:rFonts w:ascii="Calibri" w:hAnsi="Calibri" w:cs="Calibri"/>
              </w:rPr>
              <w:t>1.1</w:t>
            </w:r>
          </w:p>
        </w:tc>
        <w:tc>
          <w:tcPr>
            <w:tcW w:w="992" w:type="dxa"/>
            <w:tcBorders>
              <w:bottom w:val="single" w:sz="4" w:space="0" w:color="002C47" w:themeColor="accent1"/>
            </w:tcBorders>
            <w:vAlign w:val="bottom"/>
          </w:tcPr>
          <w:p w14:paraId="5846347D" w14:textId="329E1279" w:rsidR="36F6A452" w:rsidRPr="00FF556E" w:rsidRDefault="009F36C1" w:rsidP="007706FA">
            <w:pPr>
              <w:pStyle w:val="TableTextRight"/>
              <w:rPr>
                <w:color w:val="000000" w:themeColor="text1"/>
              </w:rPr>
            </w:pPr>
            <w:r w:rsidRPr="00FF556E">
              <w:rPr>
                <w:rFonts w:ascii="Calibri" w:hAnsi="Calibri" w:cs="Calibri"/>
              </w:rPr>
              <w:t>1.1</w:t>
            </w:r>
          </w:p>
        </w:tc>
        <w:tc>
          <w:tcPr>
            <w:tcW w:w="992" w:type="dxa"/>
            <w:tcBorders>
              <w:bottom w:val="single" w:sz="4" w:space="0" w:color="002C47" w:themeColor="accent1"/>
            </w:tcBorders>
            <w:shd w:val="clear" w:color="auto" w:fill="DBF1E8" w:themeFill="background2" w:themeFillTint="33"/>
            <w:vAlign w:val="bottom"/>
          </w:tcPr>
          <w:p w14:paraId="362C11E1" w14:textId="75377708" w:rsidR="36F6A452" w:rsidRPr="00FF556E" w:rsidRDefault="009F36C1" w:rsidP="007706FA">
            <w:pPr>
              <w:pStyle w:val="TableTextRight"/>
              <w:rPr>
                <w:color w:val="000000" w:themeColor="text1"/>
              </w:rPr>
            </w:pPr>
            <w:r w:rsidRPr="00FF556E">
              <w:rPr>
                <w:rFonts w:ascii="Calibri" w:hAnsi="Calibri" w:cs="Calibri"/>
              </w:rPr>
              <w:t>1.3</w:t>
            </w:r>
          </w:p>
        </w:tc>
        <w:tc>
          <w:tcPr>
            <w:tcW w:w="992" w:type="dxa"/>
            <w:tcBorders>
              <w:bottom w:val="single" w:sz="4" w:space="0" w:color="002C47" w:themeColor="accent1"/>
            </w:tcBorders>
            <w:shd w:val="clear" w:color="auto" w:fill="DBF1E8" w:themeFill="background2" w:themeFillTint="33"/>
            <w:vAlign w:val="bottom"/>
          </w:tcPr>
          <w:p w14:paraId="2411A300" w14:textId="6BDE6E42" w:rsidR="36F6A452" w:rsidRPr="00FF556E" w:rsidRDefault="009F36C1" w:rsidP="007706FA">
            <w:pPr>
              <w:pStyle w:val="TableTextRight"/>
              <w:rPr>
                <w:color w:val="000000" w:themeColor="text1"/>
              </w:rPr>
            </w:pPr>
            <w:r w:rsidRPr="00FF556E">
              <w:rPr>
                <w:rFonts w:ascii="Calibri" w:hAnsi="Calibri" w:cs="Calibri"/>
              </w:rPr>
              <w:t>1.3</w:t>
            </w:r>
          </w:p>
        </w:tc>
      </w:tr>
      <w:tr w:rsidR="006509A9" w:rsidRPr="00FF556E" w14:paraId="33BD45DB" w14:textId="77777777" w:rsidTr="007706FA">
        <w:trPr>
          <w:trHeight w:val="238"/>
        </w:trPr>
        <w:tc>
          <w:tcPr>
            <w:tcW w:w="2694" w:type="dxa"/>
            <w:tcBorders>
              <w:top w:val="single" w:sz="4" w:space="0" w:color="002C47" w:themeColor="accent1"/>
            </w:tcBorders>
            <w:hideMark/>
          </w:tcPr>
          <w:p w14:paraId="2A79CA5F" w14:textId="77777777" w:rsidR="006509A9" w:rsidRPr="00FF556E" w:rsidRDefault="006509A9" w:rsidP="006509A9">
            <w:pPr>
              <w:pStyle w:val="TableColumnHeadingLeft"/>
            </w:pPr>
            <w:r w:rsidRPr="00FF556E">
              <w:t>Net internal migration (‘000)</w:t>
            </w:r>
          </w:p>
        </w:tc>
        <w:tc>
          <w:tcPr>
            <w:tcW w:w="992" w:type="dxa"/>
            <w:tcBorders>
              <w:top w:val="single" w:sz="4" w:space="0" w:color="002C47" w:themeColor="accent1"/>
            </w:tcBorders>
            <w:vAlign w:val="bottom"/>
          </w:tcPr>
          <w:p w14:paraId="35A247CF" w14:textId="27E018D5" w:rsidR="36F6A452" w:rsidRPr="00FF556E" w:rsidRDefault="36F6A452" w:rsidP="007706FA">
            <w:pPr>
              <w:pStyle w:val="TableTextRight"/>
            </w:pPr>
          </w:p>
        </w:tc>
        <w:tc>
          <w:tcPr>
            <w:tcW w:w="992" w:type="dxa"/>
            <w:tcBorders>
              <w:top w:val="single" w:sz="4" w:space="0" w:color="002C47" w:themeColor="accent1"/>
            </w:tcBorders>
            <w:shd w:val="clear" w:color="auto" w:fill="D6EEF5" w:themeFill="text2" w:themeFillTint="33"/>
            <w:vAlign w:val="bottom"/>
          </w:tcPr>
          <w:p w14:paraId="0FFD1284" w14:textId="52F8386A" w:rsidR="36F6A452" w:rsidRPr="00FF556E" w:rsidRDefault="36F6A452" w:rsidP="007706FA">
            <w:pPr>
              <w:pStyle w:val="TableTextRight"/>
            </w:pPr>
          </w:p>
        </w:tc>
        <w:tc>
          <w:tcPr>
            <w:tcW w:w="992" w:type="dxa"/>
            <w:tcBorders>
              <w:top w:val="single" w:sz="4" w:space="0" w:color="002C47" w:themeColor="accent1"/>
            </w:tcBorders>
            <w:vAlign w:val="bottom"/>
          </w:tcPr>
          <w:p w14:paraId="4BE25552" w14:textId="160CF6D9" w:rsidR="36F6A452" w:rsidRPr="00FF556E" w:rsidRDefault="36F6A452" w:rsidP="007706FA">
            <w:pPr>
              <w:pStyle w:val="TableTextRight"/>
            </w:pPr>
          </w:p>
        </w:tc>
        <w:tc>
          <w:tcPr>
            <w:tcW w:w="992" w:type="dxa"/>
            <w:tcBorders>
              <w:top w:val="single" w:sz="4" w:space="0" w:color="002C47" w:themeColor="accent1"/>
            </w:tcBorders>
            <w:vAlign w:val="bottom"/>
          </w:tcPr>
          <w:p w14:paraId="73A30639" w14:textId="21790257" w:rsidR="36F6A452" w:rsidRPr="00FF556E" w:rsidRDefault="36F6A452" w:rsidP="007706FA">
            <w:pPr>
              <w:pStyle w:val="TableTextRight"/>
            </w:pPr>
          </w:p>
        </w:tc>
        <w:tc>
          <w:tcPr>
            <w:tcW w:w="992" w:type="dxa"/>
            <w:tcBorders>
              <w:top w:val="single" w:sz="4" w:space="0" w:color="002C47" w:themeColor="accent1"/>
            </w:tcBorders>
            <w:vAlign w:val="bottom"/>
          </w:tcPr>
          <w:p w14:paraId="4688119A" w14:textId="3404BCB3" w:rsidR="36F6A452" w:rsidRPr="00FF556E" w:rsidRDefault="36F6A452" w:rsidP="007706FA">
            <w:pPr>
              <w:pStyle w:val="TableTextRight"/>
            </w:pPr>
          </w:p>
        </w:tc>
        <w:tc>
          <w:tcPr>
            <w:tcW w:w="992" w:type="dxa"/>
            <w:tcBorders>
              <w:top w:val="single" w:sz="4" w:space="0" w:color="002C47" w:themeColor="accent1"/>
            </w:tcBorders>
            <w:shd w:val="clear" w:color="auto" w:fill="DBF1E8" w:themeFill="background2" w:themeFillTint="33"/>
            <w:vAlign w:val="bottom"/>
          </w:tcPr>
          <w:p w14:paraId="35A8067A" w14:textId="15F3673A" w:rsidR="36F6A452" w:rsidRPr="00FF556E" w:rsidRDefault="36F6A452" w:rsidP="007706FA">
            <w:pPr>
              <w:pStyle w:val="TableTextRight"/>
            </w:pPr>
          </w:p>
        </w:tc>
        <w:tc>
          <w:tcPr>
            <w:tcW w:w="992" w:type="dxa"/>
            <w:tcBorders>
              <w:top w:val="single" w:sz="4" w:space="0" w:color="002C47" w:themeColor="accent1"/>
            </w:tcBorders>
            <w:shd w:val="clear" w:color="auto" w:fill="DBF1E8" w:themeFill="background2" w:themeFillTint="33"/>
            <w:vAlign w:val="bottom"/>
          </w:tcPr>
          <w:p w14:paraId="1A090A48" w14:textId="03D3976C" w:rsidR="36F6A452" w:rsidRPr="00FF556E" w:rsidRDefault="36F6A452" w:rsidP="007706FA">
            <w:pPr>
              <w:pStyle w:val="TableTextRight"/>
            </w:pPr>
          </w:p>
        </w:tc>
      </w:tr>
      <w:tr w:rsidR="006509A9" w:rsidRPr="00FF556E" w14:paraId="72B806CC" w14:textId="77777777" w:rsidTr="007706FA">
        <w:trPr>
          <w:trHeight w:val="238"/>
        </w:trPr>
        <w:tc>
          <w:tcPr>
            <w:tcW w:w="2694" w:type="dxa"/>
            <w:hideMark/>
          </w:tcPr>
          <w:p w14:paraId="7F2DC0D1" w14:textId="6006C429" w:rsidR="006509A9" w:rsidRPr="00FF556E" w:rsidRDefault="006509A9" w:rsidP="007706FA">
            <w:pPr>
              <w:pStyle w:val="TableTextLeft"/>
            </w:pPr>
            <w:r w:rsidRPr="00FF556E">
              <w:t>South Australia</w:t>
            </w:r>
          </w:p>
        </w:tc>
        <w:tc>
          <w:tcPr>
            <w:tcW w:w="992" w:type="dxa"/>
            <w:vAlign w:val="bottom"/>
          </w:tcPr>
          <w:p w14:paraId="1A72E901" w14:textId="4F38B9A9" w:rsidR="36F6A452" w:rsidRPr="00FF556E" w:rsidRDefault="009F36C1" w:rsidP="007706FA">
            <w:pPr>
              <w:pStyle w:val="TableTextRight"/>
              <w:rPr>
                <w:color w:val="000000" w:themeColor="text1"/>
              </w:rPr>
            </w:pPr>
            <w:r w:rsidRPr="00FF556E">
              <w:rPr>
                <w:rFonts w:ascii="Calibri" w:hAnsi="Calibri" w:cs="Calibri"/>
              </w:rPr>
              <w:t>-1.8</w:t>
            </w:r>
          </w:p>
        </w:tc>
        <w:tc>
          <w:tcPr>
            <w:tcW w:w="992" w:type="dxa"/>
            <w:shd w:val="clear" w:color="auto" w:fill="D6EEF5" w:themeFill="text2" w:themeFillTint="33"/>
            <w:vAlign w:val="bottom"/>
          </w:tcPr>
          <w:p w14:paraId="5E44345D" w14:textId="4E376096" w:rsidR="36F6A452" w:rsidRPr="00FF556E" w:rsidRDefault="009F36C1" w:rsidP="007706FA">
            <w:pPr>
              <w:pStyle w:val="TableTextRight"/>
              <w:rPr>
                <w:color w:val="000000" w:themeColor="text1"/>
              </w:rPr>
            </w:pPr>
            <w:r w:rsidRPr="00FF556E">
              <w:rPr>
                <w:rFonts w:ascii="Calibri" w:hAnsi="Calibri" w:cs="Calibri"/>
              </w:rPr>
              <w:t>-1.5</w:t>
            </w:r>
          </w:p>
        </w:tc>
        <w:tc>
          <w:tcPr>
            <w:tcW w:w="992" w:type="dxa"/>
            <w:vAlign w:val="bottom"/>
          </w:tcPr>
          <w:p w14:paraId="005B303B" w14:textId="3D812C50" w:rsidR="36F6A452" w:rsidRPr="00FF556E" w:rsidRDefault="009F36C1" w:rsidP="007706FA">
            <w:pPr>
              <w:pStyle w:val="TableTextRight"/>
              <w:rPr>
                <w:color w:val="000000" w:themeColor="text1"/>
              </w:rPr>
            </w:pPr>
            <w:r w:rsidRPr="00FF556E">
              <w:rPr>
                <w:rFonts w:ascii="Calibri" w:hAnsi="Calibri" w:cs="Calibri"/>
              </w:rPr>
              <w:t>-2.0</w:t>
            </w:r>
          </w:p>
        </w:tc>
        <w:tc>
          <w:tcPr>
            <w:tcW w:w="992" w:type="dxa"/>
            <w:vAlign w:val="bottom"/>
          </w:tcPr>
          <w:p w14:paraId="1CF95C0D" w14:textId="1F8DE064" w:rsidR="36F6A452" w:rsidRPr="00FF556E" w:rsidRDefault="009F36C1" w:rsidP="007706FA">
            <w:pPr>
              <w:pStyle w:val="TableTextRight"/>
              <w:rPr>
                <w:color w:val="000000" w:themeColor="text1"/>
              </w:rPr>
            </w:pPr>
            <w:r w:rsidRPr="00FF556E">
              <w:rPr>
                <w:rFonts w:ascii="Calibri" w:hAnsi="Calibri" w:cs="Calibri"/>
              </w:rPr>
              <w:t>-2.8</w:t>
            </w:r>
          </w:p>
        </w:tc>
        <w:tc>
          <w:tcPr>
            <w:tcW w:w="992" w:type="dxa"/>
            <w:vAlign w:val="bottom"/>
          </w:tcPr>
          <w:p w14:paraId="54C638A9" w14:textId="20E62250" w:rsidR="36F6A452" w:rsidRPr="00FF556E" w:rsidRDefault="009F36C1" w:rsidP="007706FA">
            <w:pPr>
              <w:pStyle w:val="TableTextRight"/>
              <w:rPr>
                <w:color w:val="000000" w:themeColor="text1"/>
              </w:rPr>
            </w:pPr>
            <w:r w:rsidRPr="00FF556E">
              <w:rPr>
                <w:rFonts w:ascii="Calibri" w:hAnsi="Calibri" w:cs="Calibri"/>
              </w:rPr>
              <w:t>-3.4</w:t>
            </w:r>
          </w:p>
        </w:tc>
        <w:tc>
          <w:tcPr>
            <w:tcW w:w="992" w:type="dxa"/>
            <w:shd w:val="clear" w:color="auto" w:fill="DBF1E8" w:themeFill="background2" w:themeFillTint="33"/>
            <w:vAlign w:val="bottom"/>
          </w:tcPr>
          <w:p w14:paraId="0B6685EF" w14:textId="37BF2391" w:rsidR="36F6A452" w:rsidRPr="00FF556E" w:rsidRDefault="009F36C1" w:rsidP="007706FA">
            <w:pPr>
              <w:pStyle w:val="TableTextRight"/>
              <w:rPr>
                <w:color w:val="000000" w:themeColor="text1"/>
              </w:rPr>
            </w:pPr>
            <w:r w:rsidRPr="00FF556E">
              <w:rPr>
                <w:rFonts w:ascii="Calibri" w:hAnsi="Calibri" w:cs="Calibri"/>
              </w:rPr>
              <w:t>-3.5</w:t>
            </w:r>
          </w:p>
        </w:tc>
        <w:tc>
          <w:tcPr>
            <w:tcW w:w="992" w:type="dxa"/>
            <w:shd w:val="clear" w:color="auto" w:fill="DBF1E8" w:themeFill="background2" w:themeFillTint="33"/>
            <w:vAlign w:val="bottom"/>
          </w:tcPr>
          <w:p w14:paraId="25224A31" w14:textId="3AC4369C" w:rsidR="36F6A452" w:rsidRPr="00FF556E" w:rsidRDefault="009F36C1" w:rsidP="007706FA">
            <w:pPr>
              <w:pStyle w:val="TableTextRight"/>
              <w:rPr>
                <w:color w:val="000000" w:themeColor="text1"/>
              </w:rPr>
            </w:pPr>
            <w:r w:rsidRPr="00FF556E">
              <w:rPr>
                <w:rFonts w:ascii="Calibri" w:hAnsi="Calibri" w:cs="Calibri"/>
              </w:rPr>
              <w:t>-3.4</w:t>
            </w:r>
          </w:p>
        </w:tc>
      </w:tr>
      <w:tr w:rsidR="006509A9" w:rsidRPr="00FF556E" w14:paraId="0B999813" w14:textId="77777777" w:rsidTr="007706FA">
        <w:trPr>
          <w:trHeight w:val="238"/>
        </w:trPr>
        <w:tc>
          <w:tcPr>
            <w:tcW w:w="2694" w:type="dxa"/>
            <w:tcBorders>
              <w:bottom w:val="single" w:sz="4" w:space="0" w:color="EBE9E8" w:themeColor="accent5" w:themeTint="33"/>
            </w:tcBorders>
            <w:hideMark/>
          </w:tcPr>
          <w:p w14:paraId="18E9AF75" w14:textId="29054A48" w:rsidR="006509A9" w:rsidRPr="00FF556E" w:rsidRDefault="006509A9" w:rsidP="006509A9">
            <w:pPr>
              <w:pStyle w:val="Tabletextleftindent"/>
            </w:pPr>
            <w:r w:rsidRPr="00FF556E">
              <w:t>Greater Adelaide</w:t>
            </w:r>
          </w:p>
        </w:tc>
        <w:tc>
          <w:tcPr>
            <w:tcW w:w="992" w:type="dxa"/>
            <w:tcBorders>
              <w:bottom w:val="single" w:sz="4" w:space="0" w:color="EBE9E8" w:themeColor="accent5" w:themeTint="33"/>
            </w:tcBorders>
            <w:vAlign w:val="bottom"/>
          </w:tcPr>
          <w:p w14:paraId="571BCACA" w14:textId="146FDCB6" w:rsidR="36F6A452" w:rsidRPr="00FF556E" w:rsidRDefault="009F36C1" w:rsidP="007706FA">
            <w:pPr>
              <w:pStyle w:val="TableTextRight"/>
              <w:rPr>
                <w:color w:val="000000" w:themeColor="text1"/>
              </w:rPr>
            </w:pPr>
            <w:r w:rsidRPr="00FF556E">
              <w:rPr>
                <w:rFonts w:ascii="Calibri" w:hAnsi="Calibri" w:cs="Calibri"/>
              </w:rPr>
              <w:t>-3.3</w:t>
            </w:r>
          </w:p>
        </w:tc>
        <w:tc>
          <w:tcPr>
            <w:tcW w:w="992" w:type="dxa"/>
            <w:tcBorders>
              <w:bottom w:val="single" w:sz="4" w:space="0" w:color="EBE9E8" w:themeColor="accent5" w:themeTint="33"/>
            </w:tcBorders>
            <w:shd w:val="clear" w:color="auto" w:fill="D6EEF5" w:themeFill="text2" w:themeFillTint="33"/>
            <w:vAlign w:val="bottom"/>
          </w:tcPr>
          <w:p w14:paraId="0088724C" w14:textId="2272E406" w:rsidR="36F6A452" w:rsidRPr="00FF556E" w:rsidRDefault="009F36C1" w:rsidP="007706FA">
            <w:pPr>
              <w:pStyle w:val="TableTextRight"/>
              <w:rPr>
                <w:color w:val="000000" w:themeColor="text1"/>
              </w:rPr>
            </w:pPr>
            <w:r w:rsidRPr="00FF556E">
              <w:rPr>
                <w:rFonts w:ascii="Calibri" w:hAnsi="Calibri" w:cs="Calibri"/>
              </w:rPr>
              <w:t>-3.4</w:t>
            </w:r>
          </w:p>
        </w:tc>
        <w:tc>
          <w:tcPr>
            <w:tcW w:w="992" w:type="dxa"/>
            <w:tcBorders>
              <w:bottom w:val="single" w:sz="4" w:space="0" w:color="EBE9E8" w:themeColor="accent5" w:themeTint="33"/>
            </w:tcBorders>
            <w:vAlign w:val="bottom"/>
          </w:tcPr>
          <w:p w14:paraId="3E797FC1" w14:textId="2CA26C9C" w:rsidR="36F6A452" w:rsidRPr="00FF556E" w:rsidRDefault="009F36C1" w:rsidP="007706FA">
            <w:pPr>
              <w:pStyle w:val="TableTextRight"/>
              <w:rPr>
                <w:color w:val="000000" w:themeColor="text1"/>
              </w:rPr>
            </w:pPr>
            <w:r w:rsidRPr="00FF556E">
              <w:rPr>
                <w:rFonts w:ascii="Calibri" w:hAnsi="Calibri" w:cs="Calibri"/>
              </w:rPr>
              <w:t>-3.4</w:t>
            </w:r>
          </w:p>
        </w:tc>
        <w:tc>
          <w:tcPr>
            <w:tcW w:w="992" w:type="dxa"/>
            <w:tcBorders>
              <w:bottom w:val="single" w:sz="4" w:space="0" w:color="EBE9E8" w:themeColor="accent5" w:themeTint="33"/>
            </w:tcBorders>
            <w:vAlign w:val="bottom"/>
          </w:tcPr>
          <w:p w14:paraId="1D5794FF" w14:textId="6E2D5983" w:rsidR="36F6A452" w:rsidRPr="00FF556E" w:rsidRDefault="009F36C1" w:rsidP="007706FA">
            <w:pPr>
              <w:pStyle w:val="TableTextRight"/>
              <w:rPr>
                <w:color w:val="000000" w:themeColor="text1"/>
              </w:rPr>
            </w:pPr>
            <w:r w:rsidRPr="00FF556E">
              <w:rPr>
                <w:rFonts w:ascii="Calibri" w:hAnsi="Calibri" w:cs="Calibri"/>
              </w:rPr>
              <w:t>-3.5</w:t>
            </w:r>
          </w:p>
        </w:tc>
        <w:tc>
          <w:tcPr>
            <w:tcW w:w="992" w:type="dxa"/>
            <w:tcBorders>
              <w:bottom w:val="single" w:sz="4" w:space="0" w:color="EBE9E8" w:themeColor="accent5" w:themeTint="33"/>
            </w:tcBorders>
            <w:vAlign w:val="bottom"/>
          </w:tcPr>
          <w:p w14:paraId="21A2AB31" w14:textId="5CCFE34F" w:rsidR="36F6A452" w:rsidRPr="00FF556E" w:rsidRDefault="009F36C1" w:rsidP="007706FA">
            <w:pPr>
              <w:pStyle w:val="TableTextRight"/>
              <w:rPr>
                <w:color w:val="000000" w:themeColor="text1"/>
              </w:rPr>
            </w:pPr>
            <w:r w:rsidRPr="00FF556E">
              <w:rPr>
                <w:rFonts w:ascii="Calibri" w:hAnsi="Calibri" w:cs="Calibri"/>
              </w:rPr>
              <w:t>-3.6</w:t>
            </w:r>
          </w:p>
        </w:tc>
        <w:tc>
          <w:tcPr>
            <w:tcW w:w="992" w:type="dxa"/>
            <w:tcBorders>
              <w:bottom w:val="single" w:sz="4" w:space="0" w:color="EBE9E8" w:themeColor="accent5" w:themeTint="33"/>
            </w:tcBorders>
            <w:shd w:val="clear" w:color="auto" w:fill="DBF1E8" w:themeFill="background2" w:themeFillTint="33"/>
            <w:vAlign w:val="bottom"/>
          </w:tcPr>
          <w:p w14:paraId="26369425" w14:textId="2E503D1E" w:rsidR="36F6A452" w:rsidRPr="00FF556E" w:rsidRDefault="009F36C1" w:rsidP="007706FA">
            <w:pPr>
              <w:pStyle w:val="TableTextRight"/>
              <w:rPr>
                <w:color w:val="000000" w:themeColor="text1"/>
              </w:rPr>
            </w:pPr>
            <w:r w:rsidRPr="00FF556E">
              <w:rPr>
                <w:rFonts w:ascii="Calibri" w:hAnsi="Calibri" w:cs="Calibri"/>
              </w:rPr>
              <w:t>-4.2</w:t>
            </w:r>
          </w:p>
        </w:tc>
        <w:tc>
          <w:tcPr>
            <w:tcW w:w="992" w:type="dxa"/>
            <w:tcBorders>
              <w:bottom w:val="single" w:sz="4" w:space="0" w:color="EBE9E8" w:themeColor="accent5" w:themeTint="33"/>
            </w:tcBorders>
            <w:shd w:val="clear" w:color="auto" w:fill="DBF1E8" w:themeFill="background2" w:themeFillTint="33"/>
            <w:vAlign w:val="bottom"/>
          </w:tcPr>
          <w:p w14:paraId="4B1B764C" w14:textId="5745858F" w:rsidR="36F6A452" w:rsidRPr="00FF556E" w:rsidRDefault="009F36C1" w:rsidP="007706FA">
            <w:pPr>
              <w:pStyle w:val="TableTextRight"/>
              <w:rPr>
                <w:color w:val="000000" w:themeColor="text1"/>
              </w:rPr>
            </w:pPr>
            <w:r w:rsidRPr="00FF556E">
              <w:rPr>
                <w:rFonts w:ascii="Calibri" w:hAnsi="Calibri" w:cs="Calibri"/>
              </w:rPr>
              <w:t>-4.9</w:t>
            </w:r>
          </w:p>
        </w:tc>
      </w:tr>
      <w:tr w:rsidR="006509A9" w:rsidRPr="00FF556E" w14:paraId="3C4BBD15" w14:textId="77777777" w:rsidTr="007706FA">
        <w:trPr>
          <w:trHeight w:val="238"/>
        </w:trPr>
        <w:tc>
          <w:tcPr>
            <w:tcW w:w="2694" w:type="dxa"/>
            <w:tcBorders>
              <w:bottom w:val="single" w:sz="4" w:space="0" w:color="002C47" w:themeColor="accent1"/>
            </w:tcBorders>
            <w:hideMark/>
          </w:tcPr>
          <w:p w14:paraId="1E6BD05E" w14:textId="213A0BB2" w:rsidR="006509A9" w:rsidRPr="00FF556E" w:rsidRDefault="006509A9" w:rsidP="006509A9">
            <w:pPr>
              <w:pStyle w:val="Tabletextleftindent"/>
            </w:pPr>
            <w:r w:rsidRPr="00FF556E">
              <w:t>Rest</w:t>
            </w:r>
            <w:r w:rsidR="00396724" w:rsidRPr="00FF556E">
              <w:t>-</w:t>
            </w:r>
            <w:r w:rsidRPr="00FF556E">
              <w:t>of</w:t>
            </w:r>
            <w:r w:rsidR="00396724" w:rsidRPr="00FF556E">
              <w:t>-</w:t>
            </w:r>
            <w:r w:rsidRPr="00FF556E">
              <w:t>South Australia</w:t>
            </w:r>
          </w:p>
        </w:tc>
        <w:tc>
          <w:tcPr>
            <w:tcW w:w="992" w:type="dxa"/>
            <w:tcBorders>
              <w:bottom w:val="single" w:sz="4" w:space="0" w:color="002C47" w:themeColor="accent1"/>
            </w:tcBorders>
            <w:vAlign w:val="bottom"/>
          </w:tcPr>
          <w:p w14:paraId="79185E0B" w14:textId="4ADF66A2" w:rsidR="36F6A452" w:rsidRPr="00FF556E" w:rsidRDefault="009F36C1" w:rsidP="007706FA">
            <w:pPr>
              <w:pStyle w:val="TableTextRight"/>
              <w:rPr>
                <w:color w:val="000000" w:themeColor="text1"/>
              </w:rPr>
            </w:pPr>
            <w:r w:rsidRPr="00FF556E">
              <w:rPr>
                <w:rFonts w:ascii="Calibri" w:hAnsi="Calibri" w:cs="Calibri"/>
              </w:rPr>
              <w:t>1.8</w:t>
            </w:r>
          </w:p>
        </w:tc>
        <w:tc>
          <w:tcPr>
            <w:tcW w:w="992" w:type="dxa"/>
            <w:tcBorders>
              <w:bottom w:val="single" w:sz="4" w:space="0" w:color="002C47" w:themeColor="accent1"/>
            </w:tcBorders>
            <w:shd w:val="clear" w:color="auto" w:fill="D6EEF5" w:themeFill="text2" w:themeFillTint="33"/>
            <w:vAlign w:val="bottom"/>
          </w:tcPr>
          <w:p w14:paraId="0454E2D1" w14:textId="77712CD0" w:rsidR="36F6A452" w:rsidRPr="00FF556E" w:rsidRDefault="009F36C1" w:rsidP="007706FA">
            <w:pPr>
              <w:pStyle w:val="TableTextRight"/>
              <w:rPr>
                <w:color w:val="000000" w:themeColor="text1"/>
              </w:rPr>
            </w:pPr>
            <w:r w:rsidRPr="00FF556E">
              <w:rPr>
                <w:rFonts w:ascii="Calibri" w:hAnsi="Calibri" w:cs="Calibri"/>
              </w:rPr>
              <w:t>1.9</w:t>
            </w:r>
          </w:p>
        </w:tc>
        <w:tc>
          <w:tcPr>
            <w:tcW w:w="992" w:type="dxa"/>
            <w:tcBorders>
              <w:bottom w:val="single" w:sz="4" w:space="0" w:color="002C47" w:themeColor="accent1"/>
            </w:tcBorders>
            <w:vAlign w:val="bottom"/>
          </w:tcPr>
          <w:p w14:paraId="5CB20B46" w14:textId="4BD13135" w:rsidR="36F6A452" w:rsidRPr="00FF556E" w:rsidRDefault="009F36C1" w:rsidP="007706FA">
            <w:pPr>
              <w:pStyle w:val="TableTextRight"/>
              <w:rPr>
                <w:color w:val="000000" w:themeColor="text1"/>
              </w:rPr>
            </w:pPr>
            <w:r w:rsidRPr="00FF556E">
              <w:rPr>
                <w:rFonts w:ascii="Calibri" w:hAnsi="Calibri" w:cs="Calibri"/>
              </w:rPr>
              <w:t>1.5</w:t>
            </w:r>
          </w:p>
        </w:tc>
        <w:tc>
          <w:tcPr>
            <w:tcW w:w="992" w:type="dxa"/>
            <w:tcBorders>
              <w:bottom w:val="single" w:sz="4" w:space="0" w:color="002C47" w:themeColor="accent1"/>
            </w:tcBorders>
            <w:vAlign w:val="bottom"/>
          </w:tcPr>
          <w:p w14:paraId="2CF81FEE" w14:textId="33598BA8" w:rsidR="36F6A452" w:rsidRPr="00FF556E" w:rsidRDefault="009F36C1" w:rsidP="007706FA">
            <w:pPr>
              <w:pStyle w:val="TableTextRight"/>
              <w:rPr>
                <w:color w:val="000000" w:themeColor="text1"/>
              </w:rPr>
            </w:pPr>
            <w:r w:rsidRPr="00FF556E">
              <w:rPr>
                <w:rFonts w:ascii="Calibri" w:hAnsi="Calibri" w:cs="Calibri"/>
              </w:rPr>
              <w:t>0.7</w:t>
            </w:r>
          </w:p>
        </w:tc>
        <w:tc>
          <w:tcPr>
            <w:tcW w:w="992" w:type="dxa"/>
            <w:tcBorders>
              <w:bottom w:val="single" w:sz="4" w:space="0" w:color="002C47" w:themeColor="accent1"/>
            </w:tcBorders>
            <w:vAlign w:val="bottom"/>
          </w:tcPr>
          <w:p w14:paraId="1D8EE7BD" w14:textId="0D4F77DD" w:rsidR="36F6A452" w:rsidRPr="00FF556E" w:rsidRDefault="009F36C1" w:rsidP="007706FA">
            <w:pPr>
              <w:pStyle w:val="TableTextRight"/>
              <w:rPr>
                <w:color w:val="000000" w:themeColor="text1"/>
              </w:rPr>
            </w:pPr>
            <w:r w:rsidRPr="00FF556E">
              <w:rPr>
                <w:rFonts w:ascii="Calibri" w:hAnsi="Calibri" w:cs="Calibri"/>
              </w:rPr>
              <w:t>0.2</w:t>
            </w:r>
          </w:p>
        </w:tc>
        <w:tc>
          <w:tcPr>
            <w:tcW w:w="992" w:type="dxa"/>
            <w:tcBorders>
              <w:bottom w:val="single" w:sz="4" w:space="0" w:color="002C47" w:themeColor="accent1"/>
            </w:tcBorders>
            <w:shd w:val="clear" w:color="auto" w:fill="DBF1E8" w:themeFill="background2" w:themeFillTint="33"/>
            <w:vAlign w:val="bottom"/>
          </w:tcPr>
          <w:p w14:paraId="393B94E2" w14:textId="3CB605DE" w:rsidR="36F6A452" w:rsidRPr="00FF556E" w:rsidRDefault="009F36C1" w:rsidP="007706FA">
            <w:pPr>
              <w:pStyle w:val="TableTextRight"/>
              <w:rPr>
                <w:color w:val="000000" w:themeColor="text1"/>
              </w:rPr>
            </w:pPr>
            <w:r w:rsidRPr="00FF556E">
              <w:rPr>
                <w:rFonts w:ascii="Calibri" w:hAnsi="Calibri" w:cs="Calibri"/>
              </w:rPr>
              <w:t>0.8</w:t>
            </w:r>
          </w:p>
        </w:tc>
        <w:tc>
          <w:tcPr>
            <w:tcW w:w="992" w:type="dxa"/>
            <w:tcBorders>
              <w:bottom w:val="single" w:sz="4" w:space="0" w:color="002C47" w:themeColor="accent1"/>
            </w:tcBorders>
            <w:shd w:val="clear" w:color="auto" w:fill="DBF1E8" w:themeFill="background2" w:themeFillTint="33"/>
            <w:vAlign w:val="bottom"/>
          </w:tcPr>
          <w:p w14:paraId="6DFEC9EB" w14:textId="2E0BF269" w:rsidR="36F6A452" w:rsidRPr="00FF556E" w:rsidRDefault="009F36C1" w:rsidP="007706FA">
            <w:pPr>
              <w:pStyle w:val="TableTextRight"/>
              <w:rPr>
                <w:color w:val="000000" w:themeColor="text1"/>
              </w:rPr>
            </w:pPr>
            <w:r w:rsidRPr="00FF556E">
              <w:rPr>
                <w:rFonts w:ascii="Calibri" w:hAnsi="Calibri" w:cs="Calibri"/>
              </w:rPr>
              <w:t>1.5</w:t>
            </w:r>
          </w:p>
        </w:tc>
      </w:tr>
      <w:tr w:rsidR="006509A9" w:rsidRPr="00FF556E" w14:paraId="5FB2DB40" w14:textId="77777777" w:rsidTr="007706FA">
        <w:trPr>
          <w:trHeight w:val="238"/>
        </w:trPr>
        <w:tc>
          <w:tcPr>
            <w:tcW w:w="2694" w:type="dxa"/>
            <w:tcBorders>
              <w:top w:val="single" w:sz="4" w:space="0" w:color="002C47" w:themeColor="accent1"/>
            </w:tcBorders>
            <w:hideMark/>
          </w:tcPr>
          <w:p w14:paraId="40A19C1B" w14:textId="69690548" w:rsidR="006509A9" w:rsidRPr="00FF556E" w:rsidRDefault="006509A9" w:rsidP="006509A9">
            <w:pPr>
              <w:pStyle w:val="TableColumnHeadingLeft"/>
            </w:pPr>
            <w:r w:rsidRPr="00FF556E">
              <w:t xml:space="preserve">Total fertility rate </w:t>
            </w:r>
            <w:r w:rsidRPr="00FF556E">
              <w:br/>
              <w:t>(children per woman)</w:t>
            </w:r>
            <w:r w:rsidR="00F979B0" w:rsidRPr="00FF556E">
              <w:rPr>
                <w:rStyle w:val="FootnoteReference"/>
              </w:rPr>
              <w:footnoteReference w:id="5"/>
            </w:r>
          </w:p>
        </w:tc>
        <w:tc>
          <w:tcPr>
            <w:tcW w:w="992" w:type="dxa"/>
            <w:tcBorders>
              <w:top w:val="single" w:sz="4" w:space="0" w:color="002C47" w:themeColor="accent1"/>
            </w:tcBorders>
            <w:vAlign w:val="bottom"/>
          </w:tcPr>
          <w:p w14:paraId="33AE972D" w14:textId="2B5B5826" w:rsidR="36F6A452" w:rsidRPr="00FF556E" w:rsidRDefault="36F6A452" w:rsidP="007706FA">
            <w:pPr>
              <w:pStyle w:val="TableTextRight"/>
            </w:pPr>
          </w:p>
        </w:tc>
        <w:tc>
          <w:tcPr>
            <w:tcW w:w="992" w:type="dxa"/>
            <w:tcBorders>
              <w:top w:val="single" w:sz="4" w:space="0" w:color="002C47" w:themeColor="accent1"/>
            </w:tcBorders>
            <w:shd w:val="clear" w:color="auto" w:fill="D6EEF5" w:themeFill="text2" w:themeFillTint="33"/>
            <w:vAlign w:val="bottom"/>
          </w:tcPr>
          <w:p w14:paraId="28CF45B5" w14:textId="06F70BF0" w:rsidR="36F6A452" w:rsidRPr="00FF556E" w:rsidRDefault="36F6A452" w:rsidP="007706FA">
            <w:pPr>
              <w:pStyle w:val="TableTextRight"/>
            </w:pPr>
          </w:p>
        </w:tc>
        <w:tc>
          <w:tcPr>
            <w:tcW w:w="992" w:type="dxa"/>
            <w:tcBorders>
              <w:top w:val="single" w:sz="4" w:space="0" w:color="002C47" w:themeColor="accent1"/>
            </w:tcBorders>
            <w:vAlign w:val="bottom"/>
          </w:tcPr>
          <w:p w14:paraId="72CFF021" w14:textId="2EE24F71" w:rsidR="36F6A452" w:rsidRPr="00FF556E" w:rsidRDefault="36F6A452" w:rsidP="007706FA">
            <w:pPr>
              <w:pStyle w:val="TableTextRight"/>
            </w:pPr>
          </w:p>
        </w:tc>
        <w:tc>
          <w:tcPr>
            <w:tcW w:w="992" w:type="dxa"/>
            <w:tcBorders>
              <w:top w:val="single" w:sz="4" w:space="0" w:color="002C47" w:themeColor="accent1"/>
            </w:tcBorders>
            <w:vAlign w:val="bottom"/>
          </w:tcPr>
          <w:p w14:paraId="649A275E" w14:textId="5FFF3FBC" w:rsidR="36F6A452" w:rsidRPr="00FF556E" w:rsidRDefault="36F6A452" w:rsidP="007706FA">
            <w:pPr>
              <w:pStyle w:val="TableTextRight"/>
            </w:pPr>
          </w:p>
        </w:tc>
        <w:tc>
          <w:tcPr>
            <w:tcW w:w="992" w:type="dxa"/>
            <w:tcBorders>
              <w:top w:val="single" w:sz="4" w:space="0" w:color="002C47" w:themeColor="accent1"/>
            </w:tcBorders>
            <w:vAlign w:val="bottom"/>
          </w:tcPr>
          <w:p w14:paraId="237A9B20" w14:textId="57B8F60F" w:rsidR="36F6A452" w:rsidRPr="00FF556E" w:rsidRDefault="36F6A452" w:rsidP="007706FA">
            <w:pPr>
              <w:pStyle w:val="TableTextRight"/>
            </w:pPr>
          </w:p>
        </w:tc>
        <w:tc>
          <w:tcPr>
            <w:tcW w:w="992" w:type="dxa"/>
            <w:tcBorders>
              <w:top w:val="single" w:sz="4" w:space="0" w:color="002C47" w:themeColor="accent1"/>
            </w:tcBorders>
            <w:shd w:val="clear" w:color="auto" w:fill="DBF1E8" w:themeFill="background2" w:themeFillTint="33"/>
            <w:vAlign w:val="bottom"/>
          </w:tcPr>
          <w:p w14:paraId="6E8C63C9" w14:textId="2E30D63B" w:rsidR="36F6A452" w:rsidRPr="00FF556E" w:rsidRDefault="36F6A452" w:rsidP="007706FA">
            <w:pPr>
              <w:pStyle w:val="TableTextRight"/>
            </w:pPr>
          </w:p>
        </w:tc>
        <w:tc>
          <w:tcPr>
            <w:tcW w:w="992" w:type="dxa"/>
            <w:tcBorders>
              <w:top w:val="single" w:sz="4" w:space="0" w:color="002C47" w:themeColor="accent1"/>
            </w:tcBorders>
            <w:shd w:val="clear" w:color="auto" w:fill="DBF1E8" w:themeFill="background2" w:themeFillTint="33"/>
            <w:vAlign w:val="bottom"/>
          </w:tcPr>
          <w:p w14:paraId="25A918E2" w14:textId="0E37C6A2" w:rsidR="36F6A452" w:rsidRPr="00FF556E" w:rsidRDefault="36F6A452" w:rsidP="007706FA">
            <w:pPr>
              <w:pStyle w:val="TableTextRight"/>
            </w:pPr>
          </w:p>
        </w:tc>
      </w:tr>
      <w:tr w:rsidR="00FC5FE6" w:rsidRPr="00FF556E" w14:paraId="439FD485" w14:textId="77777777" w:rsidTr="007706FA">
        <w:trPr>
          <w:trHeight w:val="238"/>
        </w:trPr>
        <w:tc>
          <w:tcPr>
            <w:tcW w:w="2694" w:type="dxa"/>
          </w:tcPr>
          <w:p w14:paraId="6B920CD3" w14:textId="7DD62FAF" w:rsidR="00FC5FE6" w:rsidRPr="00FF556E" w:rsidRDefault="00FC5FE6" w:rsidP="007706FA">
            <w:pPr>
              <w:pStyle w:val="TableTextLeft"/>
            </w:pPr>
            <w:r w:rsidRPr="00FF556E">
              <w:t>South Australia</w:t>
            </w:r>
          </w:p>
        </w:tc>
        <w:tc>
          <w:tcPr>
            <w:tcW w:w="992" w:type="dxa"/>
            <w:vAlign w:val="bottom"/>
          </w:tcPr>
          <w:p w14:paraId="18083E2F" w14:textId="064322F7" w:rsidR="00FC5FE6" w:rsidRPr="00FF556E" w:rsidRDefault="000C4EA1" w:rsidP="007706FA">
            <w:pPr>
              <w:pStyle w:val="TableTextRight"/>
              <w:rPr>
                <w:color w:val="000000" w:themeColor="text1"/>
              </w:rPr>
            </w:pPr>
            <w:r w:rsidRPr="00FF556E">
              <w:t>1.46</w:t>
            </w:r>
          </w:p>
        </w:tc>
        <w:tc>
          <w:tcPr>
            <w:tcW w:w="992" w:type="dxa"/>
            <w:shd w:val="clear" w:color="auto" w:fill="D6EEF5" w:themeFill="text2" w:themeFillTint="33"/>
            <w:vAlign w:val="bottom"/>
          </w:tcPr>
          <w:p w14:paraId="27722A2D" w14:textId="58A102F8" w:rsidR="00FC5FE6" w:rsidRPr="00FF556E" w:rsidRDefault="000C4EA1" w:rsidP="007706FA">
            <w:pPr>
              <w:pStyle w:val="TableTextRight"/>
              <w:rPr>
                <w:color w:val="000000" w:themeColor="text1"/>
              </w:rPr>
            </w:pPr>
            <w:r w:rsidRPr="00FF556E">
              <w:t>1.42</w:t>
            </w:r>
          </w:p>
        </w:tc>
        <w:tc>
          <w:tcPr>
            <w:tcW w:w="992" w:type="dxa"/>
            <w:vAlign w:val="bottom"/>
          </w:tcPr>
          <w:p w14:paraId="6A06A991" w14:textId="1B5F7B0A" w:rsidR="00FC5FE6" w:rsidRPr="00FF556E" w:rsidRDefault="000C4EA1" w:rsidP="007706FA">
            <w:pPr>
              <w:pStyle w:val="TableTextRight"/>
              <w:rPr>
                <w:color w:val="000000" w:themeColor="text1"/>
              </w:rPr>
            </w:pPr>
            <w:r w:rsidRPr="00FF556E">
              <w:t>1.3</w:t>
            </w:r>
            <w:r w:rsidR="00774306" w:rsidRPr="00FF556E">
              <w:t>5</w:t>
            </w:r>
          </w:p>
        </w:tc>
        <w:tc>
          <w:tcPr>
            <w:tcW w:w="992" w:type="dxa"/>
            <w:vAlign w:val="bottom"/>
          </w:tcPr>
          <w:p w14:paraId="41BE35B6" w14:textId="390000C1" w:rsidR="00FC5FE6" w:rsidRPr="00FF556E" w:rsidRDefault="000C4EA1" w:rsidP="007706FA">
            <w:pPr>
              <w:pStyle w:val="TableTextRight"/>
              <w:rPr>
                <w:color w:val="000000" w:themeColor="text1"/>
              </w:rPr>
            </w:pPr>
            <w:r w:rsidRPr="00FF556E">
              <w:t>1.</w:t>
            </w:r>
            <w:r w:rsidR="00774306" w:rsidRPr="00FF556E">
              <w:t>39</w:t>
            </w:r>
          </w:p>
        </w:tc>
        <w:tc>
          <w:tcPr>
            <w:tcW w:w="992" w:type="dxa"/>
            <w:vAlign w:val="bottom"/>
          </w:tcPr>
          <w:p w14:paraId="13731BA4" w14:textId="5029C8F3" w:rsidR="00FC5FE6" w:rsidRPr="00FF556E" w:rsidRDefault="000C4EA1" w:rsidP="007706FA">
            <w:pPr>
              <w:pStyle w:val="TableTextRight"/>
              <w:rPr>
                <w:color w:val="000000" w:themeColor="text1"/>
              </w:rPr>
            </w:pPr>
            <w:r w:rsidRPr="00FF556E">
              <w:t>1.4</w:t>
            </w:r>
            <w:r w:rsidR="00774306" w:rsidRPr="00FF556E">
              <w:t>3</w:t>
            </w:r>
          </w:p>
        </w:tc>
        <w:tc>
          <w:tcPr>
            <w:tcW w:w="992" w:type="dxa"/>
            <w:shd w:val="clear" w:color="auto" w:fill="DBF1E8" w:themeFill="background2" w:themeFillTint="33"/>
            <w:vAlign w:val="bottom"/>
          </w:tcPr>
          <w:p w14:paraId="5C4BF624" w14:textId="177FD5DC" w:rsidR="00FC5FE6" w:rsidRPr="00FF556E" w:rsidRDefault="000C4EA1" w:rsidP="007706FA">
            <w:pPr>
              <w:pStyle w:val="TableTextRight"/>
              <w:rPr>
                <w:color w:val="000000" w:themeColor="text1"/>
              </w:rPr>
            </w:pPr>
            <w:r w:rsidRPr="00FF556E">
              <w:t>1.58</w:t>
            </w:r>
          </w:p>
        </w:tc>
        <w:tc>
          <w:tcPr>
            <w:tcW w:w="992" w:type="dxa"/>
            <w:shd w:val="clear" w:color="auto" w:fill="DBF1E8" w:themeFill="background2" w:themeFillTint="33"/>
            <w:vAlign w:val="bottom"/>
          </w:tcPr>
          <w:p w14:paraId="05C7F51A" w14:textId="1E3C26DA" w:rsidR="00FC5FE6" w:rsidRPr="00FF556E" w:rsidRDefault="000C4EA1" w:rsidP="007706FA">
            <w:pPr>
              <w:pStyle w:val="TableTextRight"/>
              <w:rPr>
                <w:color w:val="000000" w:themeColor="text1"/>
              </w:rPr>
            </w:pPr>
            <w:r w:rsidRPr="00FF556E">
              <w:t>1.58</w:t>
            </w:r>
          </w:p>
        </w:tc>
      </w:tr>
      <w:tr w:rsidR="00FC5FE6" w:rsidRPr="00FF556E" w14:paraId="57C61523" w14:textId="77777777" w:rsidTr="007706FA">
        <w:trPr>
          <w:trHeight w:val="238"/>
        </w:trPr>
        <w:tc>
          <w:tcPr>
            <w:tcW w:w="2694" w:type="dxa"/>
            <w:tcBorders>
              <w:bottom w:val="single" w:sz="4" w:space="0" w:color="EBE9E8" w:themeColor="accent5" w:themeTint="33"/>
            </w:tcBorders>
          </w:tcPr>
          <w:p w14:paraId="65A8D0B9" w14:textId="030F80E6" w:rsidR="00FC5FE6" w:rsidRPr="00FF556E" w:rsidRDefault="00FC5FE6" w:rsidP="00FC5FE6">
            <w:pPr>
              <w:pStyle w:val="Tabletextleftindent"/>
            </w:pPr>
            <w:r w:rsidRPr="00FF556E">
              <w:t>Greater Adelaide</w:t>
            </w:r>
          </w:p>
        </w:tc>
        <w:tc>
          <w:tcPr>
            <w:tcW w:w="992" w:type="dxa"/>
            <w:tcBorders>
              <w:bottom w:val="single" w:sz="4" w:space="0" w:color="EBE9E8" w:themeColor="accent5" w:themeTint="33"/>
            </w:tcBorders>
            <w:vAlign w:val="bottom"/>
          </w:tcPr>
          <w:p w14:paraId="08E036E2" w14:textId="6BC4F8A9" w:rsidR="00FC5FE6" w:rsidRPr="00FF556E" w:rsidRDefault="001569BD" w:rsidP="007706FA">
            <w:pPr>
              <w:pStyle w:val="TableTextRight"/>
            </w:pPr>
            <w:r w:rsidRPr="00FF556E">
              <w:rPr>
                <w:rFonts w:ascii="Calibri" w:hAnsi="Calibri" w:cs="Calibri"/>
              </w:rPr>
              <w:t>1.42</w:t>
            </w:r>
          </w:p>
        </w:tc>
        <w:tc>
          <w:tcPr>
            <w:tcW w:w="992" w:type="dxa"/>
            <w:tcBorders>
              <w:bottom w:val="single" w:sz="4" w:space="0" w:color="EBE9E8" w:themeColor="accent5" w:themeTint="33"/>
            </w:tcBorders>
            <w:shd w:val="clear" w:color="auto" w:fill="D6EEF5" w:themeFill="text2" w:themeFillTint="33"/>
            <w:vAlign w:val="bottom"/>
          </w:tcPr>
          <w:p w14:paraId="53DFD3F2" w14:textId="04AB2914" w:rsidR="00FC5FE6" w:rsidRPr="00FF556E" w:rsidRDefault="000C4EA1" w:rsidP="007706FA">
            <w:pPr>
              <w:pStyle w:val="TableTextRight"/>
              <w:rPr>
                <w:color w:val="000000" w:themeColor="text1"/>
              </w:rPr>
            </w:pPr>
            <w:r w:rsidRPr="00FF556E">
              <w:t>1.38</w:t>
            </w:r>
          </w:p>
        </w:tc>
        <w:tc>
          <w:tcPr>
            <w:tcW w:w="992" w:type="dxa"/>
            <w:tcBorders>
              <w:bottom w:val="single" w:sz="4" w:space="0" w:color="EBE9E8" w:themeColor="accent5" w:themeTint="33"/>
            </w:tcBorders>
            <w:vAlign w:val="bottom"/>
          </w:tcPr>
          <w:p w14:paraId="1AA6DFA0" w14:textId="6E0EEE23" w:rsidR="00FC5FE6" w:rsidRPr="00FF556E" w:rsidRDefault="000C4EA1" w:rsidP="007706FA">
            <w:pPr>
              <w:pStyle w:val="TableTextRight"/>
              <w:rPr>
                <w:color w:val="000000" w:themeColor="text1"/>
              </w:rPr>
            </w:pPr>
            <w:r w:rsidRPr="00FF556E">
              <w:t>1.</w:t>
            </w:r>
            <w:r w:rsidR="001569BD" w:rsidRPr="00FF556E">
              <w:t>3</w:t>
            </w:r>
            <w:r w:rsidR="00ED71B6" w:rsidRPr="00FF556E">
              <w:t>2</w:t>
            </w:r>
          </w:p>
        </w:tc>
        <w:tc>
          <w:tcPr>
            <w:tcW w:w="992" w:type="dxa"/>
            <w:tcBorders>
              <w:bottom w:val="single" w:sz="4" w:space="0" w:color="EBE9E8" w:themeColor="accent5" w:themeTint="33"/>
            </w:tcBorders>
            <w:vAlign w:val="bottom"/>
          </w:tcPr>
          <w:p w14:paraId="792E4140" w14:textId="4DD2A914" w:rsidR="00FC5FE6" w:rsidRPr="00FF556E" w:rsidRDefault="000C4EA1" w:rsidP="007706FA">
            <w:pPr>
              <w:pStyle w:val="TableTextRight"/>
              <w:rPr>
                <w:color w:val="000000" w:themeColor="text1"/>
              </w:rPr>
            </w:pPr>
            <w:r w:rsidRPr="00FF556E">
              <w:t>1.</w:t>
            </w:r>
            <w:r w:rsidR="001569BD" w:rsidRPr="00FF556E">
              <w:t>3</w:t>
            </w:r>
            <w:r w:rsidR="00BA11EC" w:rsidRPr="00FF556E">
              <w:t>5</w:t>
            </w:r>
          </w:p>
        </w:tc>
        <w:tc>
          <w:tcPr>
            <w:tcW w:w="992" w:type="dxa"/>
            <w:tcBorders>
              <w:bottom w:val="single" w:sz="4" w:space="0" w:color="EBE9E8" w:themeColor="accent5" w:themeTint="33"/>
            </w:tcBorders>
            <w:vAlign w:val="bottom"/>
          </w:tcPr>
          <w:p w14:paraId="363207F7" w14:textId="25AD418E" w:rsidR="00FC5FE6" w:rsidRPr="00FF556E" w:rsidRDefault="000C4EA1" w:rsidP="007706FA">
            <w:pPr>
              <w:pStyle w:val="TableTextRight"/>
              <w:rPr>
                <w:color w:val="000000" w:themeColor="text1"/>
              </w:rPr>
            </w:pPr>
            <w:r w:rsidRPr="00FF556E">
              <w:t>1.</w:t>
            </w:r>
            <w:r w:rsidR="001569BD" w:rsidRPr="00FF556E">
              <w:t>3</w:t>
            </w:r>
            <w:r w:rsidR="00ED71B6" w:rsidRPr="00FF556E">
              <w:t>9</w:t>
            </w:r>
          </w:p>
        </w:tc>
        <w:tc>
          <w:tcPr>
            <w:tcW w:w="992" w:type="dxa"/>
            <w:tcBorders>
              <w:bottom w:val="single" w:sz="4" w:space="0" w:color="EBE9E8" w:themeColor="accent5" w:themeTint="33"/>
            </w:tcBorders>
            <w:shd w:val="clear" w:color="auto" w:fill="DBF1E8" w:themeFill="background2" w:themeFillTint="33"/>
            <w:vAlign w:val="bottom"/>
          </w:tcPr>
          <w:p w14:paraId="7A1FA716" w14:textId="1C649969" w:rsidR="00FC5FE6" w:rsidRPr="00FF556E" w:rsidRDefault="000C4EA1" w:rsidP="007706FA">
            <w:pPr>
              <w:pStyle w:val="TableTextRight"/>
              <w:rPr>
                <w:color w:val="000000" w:themeColor="text1"/>
              </w:rPr>
            </w:pPr>
            <w:r w:rsidRPr="00FF556E">
              <w:t>1.53</w:t>
            </w:r>
          </w:p>
        </w:tc>
        <w:tc>
          <w:tcPr>
            <w:tcW w:w="992" w:type="dxa"/>
            <w:tcBorders>
              <w:bottom w:val="single" w:sz="4" w:space="0" w:color="EBE9E8" w:themeColor="accent5" w:themeTint="33"/>
            </w:tcBorders>
            <w:shd w:val="clear" w:color="auto" w:fill="DBF1E8" w:themeFill="background2" w:themeFillTint="33"/>
            <w:vAlign w:val="bottom"/>
          </w:tcPr>
          <w:p w14:paraId="7AF5746C" w14:textId="5A5E14CE" w:rsidR="00FC5FE6" w:rsidRPr="00FF556E" w:rsidRDefault="000C4EA1" w:rsidP="007706FA">
            <w:pPr>
              <w:pStyle w:val="TableTextRight"/>
              <w:rPr>
                <w:color w:val="000000" w:themeColor="text1"/>
              </w:rPr>
            </w:pPr>
            <w:r w:rsidRPr="00FF556E">
              <w:t>1.53</w:t>
            </w:r>
          </w:p>
        </w:tc>
      </w:tr>
      <w:tr w:rsidR="00FC5FE6" w:rsidRPr="00FF556E" w14:paraId="63498455" w14:textId="77777777" w:rsidTr="007706FA">
        <w:trPr>
          <w:trHeight w:val="238"/>
        </w:trPr>
        <w:tc>
          <w:tcPr>
            <w:tcW w:w="2694" w:type="dxa"/>
            <w:tcBorders>
              <w:bottom w:val="single" w:sz="4" w:space="0" w:color="002C47" w:themeColor="accent1"/>
            </w:tcBorders>
          </w:tcPr>
          <w:p w14:paraId="6525CD68" w14:textId="7F80460A" w:rsidR="00FC5FE6" w:rsidRPr="00FF556E" w:rsidRDefault="00FC5FE6" w:rsidP="00FC5FE6">
            <w:pPr>
              <w:pStyle w:val="Tabletextleftindent"/>
            </w:pPr>
            <w:r w:rsidRPr="00FF556E">
              <w:t>Rest</w:t>
            </w:r>
            <w:r w:rsidR="00396724" w:rsidRPr="00FF556E">
              <w:t>-</w:t>
            </w:r>
            <w:r w:rsidRPr="00FF556E">
              <w:t>of</w:t>
            </w:r>
            <w:r w:rsidR="00396724" w:rsidRPr="00FF556E">
              <w:t>-</w:t>
            </w:r>
            <w:r w:rsidRPr="00FF556E">
              <w:t>South Australia</w:t>
            </w:r>
          </w:p>
        </w:tc>
        <w:tc>
          <w:tcPr>
            <w:tcW w:w="992" w:type="dxa"/>
            <w:tcBorders>
              <w:bottom w:val="single" w:sz="4" w:space="0" w:color="002C47" w:themeColor="accent1"/>
            </w:tcBorders>
            <w:vAlign w:val="bottom"/>
          </w:tcPr>
          <w:p w14:paraId="09FB1DFF" w14:textId="7E844DEC" w:rsidR="00FC5FE6" w:rsidRPr="00FF556E" w:rsidRDefault="001569BD" w:rsidP="007706FA">
            <w:pPr>
              <w:pStyle w:val="TableTextRight"/>
            </w:pPr>
            <w:r w:rsidRPr="00FF556E">
              <w:rPr>
                <w:rFonts w:ascii="Calibri" w:hAnsi="Calibri" w:cs="Calibri"/>
              </w:rPr>
              <w:t>1.74</w:t>
            </w:r>
          </w:p>
        </w:tc>
        <w:tc>
          <w:tcPr>
            <w:tcW w:w="992" w:type="dxa"/>
            <w:tcBorders>
              <w:bottom w:val="single" w:sz="4" w:space="0" w:color="002C47" w:themeColor="accent1"/>
            </w:tcBorders>
            <w:shd w:val="clear" w:color="auto" w:fill="D6EEF5" w:themeFill="text2" w:themeFillTint="33"/>
            <w:vAlign w:val="bottom"/>
          </w:tcPr>
          <w:p w14:paraId="3F8DB1C5" w14:textId="6650FD7F" w:rsidR="00FC5FE6" w:rsidRPr="00FF556E" w:rsidRDefault="000C4EA1" w:rsidP="007706FA">
            <w:pPr>
              <w:pStyle w:val="TableTextRight"/>
              <w:rPr>
                <w:color w:val="000000" w:themeColor="text1"/>
              </w:rPr>
            </w:pPr>
            <w:r w:rsidRPr="00FF556E">
              <w:t>1.64</w:t>
            </w:r>
          </w:p>
        </w:tc>
        <w:tc>
          <w:tcPr>
            <w:tcW w:w="992" w:type="dxa"/>
            <w:tcBorders>
              <w:bottom w:val="single" w:sz="4" w:space="0" w:color="002C47" w:themeColor="accent1"/>
            </w:tcBorders>
            <w:vAlign w:val="bottom"/>
          </w:tcPr>
          <w:p w14:paraId="47CF182E" w14:textId="770BF374" w:rsidR="00FC5FE6" w:rsidRPr="00FF556E" w:rsidRDefault="000C4EA1" w:rsidP="007706FA">
            <w:pPr>
              <w:pStyle w:val="TableTextRight"/>
              <w:rPr>
                <w:color w:val="000000" w:themeColor="text1"/>
              </w:rPr>
            </w:pPr>
            <w:r w:rsidRPr="00FF556E">
              <w:t>1.</w:t>
            </w:r>
            <w:r w:rsidR="001569BD" w:rsidRPr="00FF556E">
              <w:t>5</w:t>
            </w:r>
            <w:r w:rsidR="00ED71B6" w:rsidRPr="00FF556E">
              <w:t>7</w:t>
            </w:r>
          </w:p>
        </w:tc>
        <w:tc>
          <w:tcPr>
            <w:tcW w:w="992" w:type="dxa"/>
            <w:tcBorders>
              <w:bottom w:val="single" w:sz="4" w:space="0" w:color="002C47" w:themeColor="accent1"/>
            </w:tcBorders>
            <w:vAlign w:val="bottom"/>
          </w:tcPr>
          <w:p w14:paraId="64F11F45" w14:textId="2087A9CB" w:rsidR="00FC5FE6" w:rsidRPr="00FF556E" w:rsidRDefault="000C4EA1" w:rsidP="007706FA">
            <w:pPr>
              <w:pStyle w:val="TableTextRight"/>
              <w:rPr>
                <w:color w:val="000000" w:themeColor="text1"/>
              </w:rPr>
            </w:pPr>
            <w:r w:rsidRPr="00FF556E">
              <w:t>1.</w:t>
            </w:r>
            <w:r w:rsidR="001569BD" w:rsidRPr="00FF556E">
              <w:t>6</w:t>
            </w:r>
            <w:r w:rsidR="00DD7D51" w:rsidRPr="00FF556E">
              <w:t>2</w:t>
            </w:r>
          </w:p>
        </w:tc>
        <w:tc>
          <w:tcPr>
            <w:tcW w:w="992" w:type="dxa"/>
            <w:tcBorders>
              <w:bottom w:val="single" w:sz="4" w:space="0" w:color="002C47" w:themeColor="accent1"/>
            </w:tcBorders>
            <w:vAlign w:val="bottom"/>
          </w:tcPr>
          <w:p w14:paraId="0B708F7A" w14:textId="0F89A5F1" w:rsidR="00FC5FE6" w:rsidRPr="00FF556E" w:rsidRDefault="000C4EA1" w:rsidP="007706FA">
            <w:pPr>
              <w:pStyle w:val="TableTextRight"/>
              <w:rPr>
                <w:color w:val="000000" w:themeColor="text1"/>
              </w:rPr>
            </w:pPr>
            <w:r w:rsidRPr="00FF556E">
              <w:t>1.</w:t>
            </w:r>
            <w:r w:rsidR="001569BD" w:rsidRPr="00FF556E">
              <w:t>6</w:t>
            </w:r>
            <w:r w:rsidR="00DD7D51" w:rsidRPr="00FF556E">
              <w:t>7</w:t>
            </w:r>
          </w:p>
        </w:tc>
        <w:tc>
          <w:tcPr>
            <w:tcW w:w="992" w:type="dxa"/>
            <w:tcBorders>
              <w:bottom w:val="single" w:sz="4" w:space="0" w:color="002C47" w:themeColor="accent1"/>
            </w:tcBorders>
            <w:shd w:val="clear" w:color="auto" w:fill="DBF1E8" w:themeFill="background2" w:themeFillTint="33"/>
            <w:vAlign w:val="bottom"/>
          </w:tcPr>
          <w:p w14:paraId="27ADB87F" w14:textId="2B2573FF" w:rsidR="00FC5FE6" w:rsidRPr="00FF556E" w:rsidRDefault="000C4EA1" w:rsidP="007706FA">
            <w:pPr>
              <w:pStyle w:val="TableTextRight"/>
              <w:rPr>
                <w:color w:val="000000" w:themeColor="text1"/>
              </w:rPr>
            </w:pPr>
            <w:r w:rsidRPr="00FF556E">
              <w:t>1.87</w:t>
            </w:r>
          </w:p>
        </w:tc>
        <w:tc>
          <w:tcPr>
            <w:tcW w:w="992" w:type="dxa"/>
            <w:tcBorders>
              <w:bottom w:val="single" w:sz="4" w:space="0" w:color="002C47" w:themeColor="accent1"/>
            </w:tcBorders>
            <w:shd w:val="clear" w:color="auto" w:fill="DBF1E8" w:themeFill="background2" w:themeFillTint="33"/>
            <w:vAlign w:val="bottom"/>
          </w:tcPr>
          <w:p w14:paraId="369B67DA" w14:textId="56DFCD22" w:rsidR="00FC5FE6" w:rsidRPr="00FF556E" w:rsidRDefault="000C4EA1" w:rsidP="007706FA">
            <w:pPr>
              <w:pStyle w:val="TableTextRight"/>
              <w:rPr>
                <w:color w:val="000000" w:themeColor="text1"/>
              </w:rPr>
            </w:pPr>
            <w:r w:rsidRPr="00FF556E">
              <w:t>1.87</w:t>
            </w:r>
          </w:p>
        </w:tc>
      </w:tr>
      <w:tr w:rsidR="006509A9" w:rsidRPr="00FF556E" w14:paraId="15C081C6" w14:textId="77777777" w:rsidTr="007706FA">
        <w:trPr>
          <w:trHeight w:val="238"/>
        </w:trPr>
        <w:tc>
          <w:tcPr>
            <w:tcW w:w="2694" w:type="dxa"/>
            <w:tcBorders>
              <w:top w:val="single" w:sz="4" w:space="0" w:color="002C47" w:themeColor="accent1"/>
            </w:tcBorders>
            <w:hideMark/>
          </w:tcPr>
          <w:p w14:paraId="1666AC37" w14:textId="77777777" w:rsidR="006509A9" w:rsidRPr="00FF556E" w:rsidRDefault="006509A9" w:rsidP="006509A9">
            <w:pPr>
              <w:pStyle w:val="TableColumnHeadingLeft"/>
            </w:pPr>
            <w:r w:rsidRPr="00FF556E">
              <w:t>Median age (years)</w:t>
            </w:r>
          </w:p>
        </w:tc>
        <w:tc>
          <w:tcPr>
            <w:tcW w:w="992" w:type="dxa"/>
            <w:tcBorders>
              <w:top w:val="single" w:sz="4" w:space="0" w:color="002C47" w:themeColor="accent1"/>
            </w:tcBorders>
            <w:vAlign w:val="bottom"/>
          </w:tcPr>
          <w:p w14:paraId="65EC6AD1" w14:textId="02DCDBE7" w:rsidR="36F6A452" w:rsidRPr="00FF556E" w:rsidRDefault="36F6A452" w:rsidP="007706FA">
            <w:pPr>
              <w:pStyle w:val="TableTextRight"/>
            </w:pPr>
          </w:p>
        </w:tc>
        <w:tc>
          <w:tcPr>
            <w:tcW w:w="992" w:type="dxa"/>
            <w:tcBorders>
              <w:top w:val="single" w:sz="4" w:space="0" w:color="002C47" w:themeColor="accent1"/>
            </w:tcBorders>
            <w:shd w:val="clear" w:color="auto" w:fill="D6EEF5" w:themeFill="text2" w:themeFillTint="33"/>
            <w:vAlign w:val="bottom"/>
          </w:tcPr>
          <w:p w14:paraId="0D77096C" w14:textId="4BCF71F9" w:rsidR="36F6A452" w:rsidRPr="00FF556E" w:rsidRDefault="36F6A452" w:rsidP="007706FA">
            <w:pPr>
              <w:pStyle w:val="TableTextRight"/>
            </w:pPr>
          </w:p>
        </w:tc>
        <w:tc>
          <w:tcPr>
            <w:tcW w:w="992" w:type="dxa"/>
            <w:tcBorders>
              <w:top w:val="single" w:sz="4" w:space="0" w:color="002C47" w:themeColor="accent1"/>
            </w:tcBorders>
            <w:vAlign w:val="bottom"/>
          </w:tcPr>
          <w:p w14:paraId="70A6D317" w14:textId="26922ED6" w:rsidR="36F6A452" w:rsidRPr="00FF556E" w:rsidRDefault="36F6A452" w:rsidP="007706FA">
            <w:pPr>
              <w:pStyle w:val="TableTextRight"/>
            </w:pPr>
          </w:p>
        </w:tc>
        <w:tc>
          <w:tcPr>
            <w:tcW w:w="992" w:type="dxa"/>
            <w:tcBorders>
              <w:top w:val="single" w:sz="4" w:space="0" w:color="002C47" w:themeColor="accent1"/>
            </w:tcBorders>
            <w:vAlign w:val="bottom"/>
          </w:tcPr>
          <w:p w14:paraId="084C8594" w14:textId="5A6D806A" w:rsidR="36F6A452" w:rsidRPr="00FF556E" w:rsidRDefault="36F6A452" w:rsidP="007706FA">
            <w:pPr>
              <w:pStyle w:val="TableTextRight"/>
            </w:pPr>
          </w:p>
        </w:tc>
        <w:tc>
          <w:tcPr>
            <w:tcW w:w="992" w:type="dxa"/>
            <w:tcBorders>
              <w:top w:val="single" w:sz="4" w:space="0" w:color="002C47" w:themeColor="accent1"/>
            </w:tcBorders>
            <w:vAlign w:val="bottom"/>
          </w:tcPr>
          <w:p w14:paraId="2AFEC184" w14:textId="2F897668" w:rsidR="36F6A452" w:rsidRPr="00FF556E" w:rsidRDefault="36F6A452" w:rsidP="007706FA">
            <w:pPr>
              <w:pStyle w:val="TableTextRight"/>
            </w:pPr>
          </w:p>
        </w:tc>
        <w:tc>
          <w:tcPr>
            <w:tcW w:w="992" w:type="dxa"/>
            <w:tcBorders>
              <w:top w:val="single" w:sz="4" w:space="0" w:color="002C47" w:themeColor="accent1"/>
            </w:tcBorders>
            <w:shd w:val="clear" w:color="auto" w:fill="DBF1E8" w:themeFill="background2" w:themeFillTint="33"/>
            <w:vAlign w:val="bottom"/>
          </w:tcPr>
          <w:p w14:paraId="2B832525" w14:textId="0693C178" w:rsidR="36F6A452" w:rsidRPr="00FF556E" w:rsidRDefault="36F6A452" w:rsidP="007706FA">
            <w:pPr>
              <w:pStyle w:val="TableTextRight"/>
            </w:pPr>
          </w:p>
        </w:tc>
        <w:tc>
          <w:tcPr>
            <w:tcW w:w="992" w:type="dxa"/>
            <w:tcBorders>
              <w:top w:val="single" w:sz="4" w:space="0" w:color="002C47" w:themeColor="accent1"/>
            </w:tcBorders>
            <w:shd w:val="clear" w:color="auto" w:fill="DBF1E8" w:themeFill="background2" w:themeFillTint="33"/>
            <w:vAlign w:val="bottom"/>
          </w:tcPr>
          <w:p w14:paraId="71FE55AF" w14:textId="24F4FCEA" w:rsidR="36F6A452" w:rsidRPr="00FF556E" w:rsidRDefault="36F6A452" w:rsidP="007706FA">
            <w:pPr>
              <w:pStyle w:val="TableTextRight"/>
            </w:pPr>
          </w:p>
        </w:tc>
      </w:tr>
      <w:tr w:rsidR="006509A9" w:rsidRPr="00FF556E" w14:paraId="18914879" w14:textId="77777777" w:rsidTr="007706FA">
        <w:trPr>
          <w:trHeight w:val="238"/>
        </w:trPr>
        <w:tc>
          <w:tcPr>
            <w:tcW w:w="2694" w:type="dxa"/>
            <w:hideMark/>
          </w:tcPr>
          <w:p w14:paraId="153F5908" w14:textId="766D09C5" w:rsidR="006509A9" w:rsidRPr="00FF556E" w:rsidRDefault="006509A9" w:rsidP="007706FA">
            <w:pPr>
              <w:pStyle w:val="TableTextLeft"/>
            </w:pPr>
            <w:r w:rsidRPr="00FF556E">
              <w:t>South Australia</w:t>
            </w:r>
          </w:p>
        </w:tc>
        <w:tc>
          <w:tcPr>
            <w:tcW w:w="992" w:type="dxa"/>
            <w:vAlign w:val="bottom"/>
          </w:tcPr>
          <w:p w14:paraId="35EC5B35" w14:textId="2EAFD62F" w:rsidR="36F6A452" w:rsidRPr="00FF556E" w:rsidRDefault="004012B6" w:rsidP="007706FA">
            <w:pPr>
              <w:pStyle w:val="TableTextRight"/>
              <w:rPr>
                <w:color w:val="000000" w:themeColor="text1"/>
              </w:rPr>
            </w:pPr>
            <w:r w:rsidRPr="00FF556E">
              <w:rPr>
                <w:rFonts w:ascii="Calibri" w:hAnsi="Calibri" w:cs="Calibri"/>
              </w:rPr>
              <w:t>40.5</w:t>
            </w:r>
          </w:p>
        </w:tc>
        <w:tc>
          <w:tcPr>
            <w:tcW w:w="992" w:type="dxa"/>
            <w:shd w:val="clear" w:color="auto" w:fill="D6EEF5" w:themeFill="text2" w:themeFillTint="33"/>
            <w:vAlign w:val="bottom"/>
          </w:tcPr>
          <w:p w14:paraId="42DE0C6F" w14:textId="2AB8956E" w:rsidR="36F6A452" w:rsidRPr="00FF556E" w:rsidRDefault="004012B6" w:rsidP="007706FA">
            <w:pPr>
              <w:pStyle w:val="TableTextRight"/>
              <w:rPr>
                <w:color w:val="000000" w:themeColor="text1"/>
              </w:rPr>
            </w:pPr>
            <w:r w:rsidRPr="00FF556E">
              <w:rPr>
                <w:rFonts w:ascii="Calibri" w:hAnsi="Calibri" w:cs="Calibri"/>
              </w:rPr>
              <w:t>40.6</w:t>
            </w:r>
          </w:p>
        </w:tc>
        <w:tc>
          <w:tcPr>
            <w:tcW w:w="992" w:type="dxa"/>
            <w:vAlign w:val="bottom"/>
          </w:tcPr>
          <w:p w14:paraId="0CA102BD" w14:textId="064953F6" w:rsidR="36F6A452" w:rsidRPr="00FF556E" w:rsidRDefault="004012B6" w:rsidP="007706FA">
            <w:pPr>
              <w:pStyle w:val="TableTextRight"/>
              <w:rPr>
                <w:color w:val="000000" w:themeColor="text1"/>
              </w:rPr>
            </w:pPr>
            <w:r w:rsidRPr="00FF556E">
              <w:rPr>
                <w:rFonts w:ascii="Calibri" w:hAnsi="Calibri" w:cs="Calibri"/>
              </w:rPr>
              <w:t>40.8</w:t>
            </w:r>
          </w:p>
        </w:tc>
        <w:tc>
          <w:tcPr>
            <w:tcW w:w="992" w:type="dxa"/>
            <w:vAlign w:val="bottom"/>
          </w:tcPr>
          <w:p w14:paraId="4E348BF2" w14:textId="4626C448" w:rsidR="36F6A452" w:rsidRPr="00FF556E" w:rsidRDefault="004012B6" w:rsidP="007706FA">
            <w:pPr>
              <w:pStyle w:val="TableTextRight"/>
              <w:rPr>
                <w:color w:val="000000" w:themeColor="text1"/>
              </w:rPr>
            </w:pPr>
            <w:r w:rsidRPr="00FF556E">
              <w:rPr>
                <w:rFonts w:ascii="Calibri" w:hAnsi="Calibri" w:cs="Calibri"/>
              </w:rPr>
              <w:t>41.0</w:t>
            </w:r>
          </w:p>
        </w:tc>
        <w:tc>
          <w:tcPr>
            <w:tcW w:w="992" w:type="dxa"/>
            <w:vAlign w:val="bottom"/>
          </w:tcPr>
          <w:p w14:paraId="581B7F53" w14:textId="5844D5AC" w:rsidR="36F6A452" w:rsidRPr="00FF556E" w:rsidRDefault="004012B6" w:rsidP="007706FA">
            <w:pPr>
              <w:pStyle w:val="TableTextRight"/>
              <w:rPr>
                <w:color w:val="000000" w:themeColor="text1"/>
              </w:rPr>
            </w:pPr>
            <w:r w:rsidRPr="00FF556E">
              <w:rPr>
                <w:rFonts w:ascii="Calibri" w:hAnsi="Calibri" w:cs="Calibri"/>
              </w:rPr>
              <w:t>41.2</w:t>
            </w:r>
          </w:p>
        </w:tc>
        <w:tc>
          <w:tcPr>
            <w:tcW w:w="992" w:type="dxa"/>
            <w:shd w:val="clear" w:color="auto" w:fill="DBF1E8" w:themeFill="background2" w:themeFillTint="33"/>
            <w:vAlign w:val="bottom"/>
          </w:tcPr>
          <w:p w14:paraId="7F79C39D" w14:textId="63C60751" w:rsidR="36F6A452" w:rsidRPr="00FF556E" w:rsidRDefault="004012B6" w:rsidP="007706FA">
            <w:pPr>
              <w:pStyle w:val="TableTextRight"/>
              <w:rPr>
                <w:color w:val="000000" w:themeColor="text1"/>
              </w:rPr>
            </w:pPr>
            <w:r w:rsidRPr="00FF556E">
              <w:rPr>
                <w:rFonts w:ascii="Calibri" w:hAnsi="Calibri" w:cs="Calibri"/>
              </w:rPr>
              <w:t>42.6</w:t>
            </w:r>
          </w:p>
        </w:tc>
        <w:tc>
          <w:tcPr>
            <w:tcW w:w="992" w:type="dxa"/>
            <w:shd w:val="clear" w:color="auto" w:fill="DBF1E8" w:themeFill="background2" w:themeFillTint="33"/>
            <w:vAlign w:val="bottom"/>
          </w:tcPr>
          <w:p w14:paraId="096DFB65" w14:textId="3F13947A" w:rsidR="36F6A452" w:rsidRPr="00FF556E" w:rsidRDefault="004012B6" w:rsidP="007706FA">
            <w:pPr>
              <w:pStyle w:val="TableTextRight"/>
              <w:rPr>
                <w:color w:val="000000" w:themeColor="text1"/>
              </w:rPr>
            </w:pPr>
            <w:r w:rsidRPr="00FF556E">
              <w:rPr>
                <w:rFonts w:ascii="Calibri" w:hAnsi="Calibri" w:cs="Calibri"/>
              </w:rPr>
              <w:t>45.9</w:t>
            </w:r>
          </w:p>
        </w:tc>
      </w:tr>
      <w:tr w:rsidR="006509A9" w:rsidRPr="00FF556E" w14:paraId="2E7F472D" w14:textId="77777777" w:rsidTr="007706FA">
        <w:trPr>
          <w:trHeight w:val="238"/>
        </w:trPr>
        <w:tc>
          <w:tcPr>
            <w:tcW w:w="2694" w:type="dxa"/>
            <w:tcBorders>
              <w:bottom w:val="single" w:sz="4" w:space="0" w:color="EBE9E8" w:themeColor="accent5" w:themeTint="33"/>
            </w:tcBorders>
            <w:hideMark/>
          </w:tcPr>
          <w:p w14:paraId="18961B1B" w14:textId="7E9A83F6" w:rsidR="006509A9" w:rsidRPr="00FF556E" w:rsidRDefault="006509A9" w:rsidP="006509A9">
            <w:pPr>
              <w:pStyle w:val="Tabletextleftindent"/>
            </w:pPr>
            <w:r w:rsidRPr="00FF556E">
              <w:t>Greater Adelaide</w:t>
            </w:r>
          </w:p>
        </w:tc>
        <w:tc>
          <w:tcPr>
            <w:tcW w:w="992" w:type="dxa"/>
            <w:tcBorders>
              <w:bottom w:val="single" w:sz="4" w:space="0" w:color="EBE9E8" w:themeColor="accent5" w:themeTint="33"/>
            </w:tcBorders>
            <w:vAlign w:val="bottom"/>
          </w:tcPr>
          <w:p w14:paraId="703BEDDC" w14:textId="6D33F54B" w:rsidR="36F6A452" w:rsidRPr="00FF556E" w:rsidRDefault="004012B6" w:rsidP="007706FA">
            <w:pPr>
              <w:pStyle w:val="TableTextRight"/>
              <w:rPr>
                <w:color w:val="000000" w:themeColor="text1"/>
              </w:rPr>
            </w:pPr>
            <w:r w:rsidRPr="00FF556E">
              <w:rPr>
                <w:rFonts w:ascii="Calibri" w:hAnsi="Calibri" w:cs="Calibri"/>
              </w:rPr>
              <w:t>39.2</w:t>
            </w:r>
          </w:p>
        </w:tc>
        <w:tc>
          <w:tcPr>
            <w:tcW w:w="992" w:type="dxa"/>
            <w:tcBorders>
              <w:bottom w:val="single" w:sz="4" w:space="0" w:color="EBE9E8" w:themeColor="accent5" w:themeTint="33"/>
            </w:tcBorders>
            <w:shd w:val="clear" w:color="auto" w:fill="D6EEF5" w:themeFill="text2" w:themeFillTint="33"/>
            <w:vAlign w:val="bottom"/>
          </w:tcPr>
          <w:p w14:paraId="2CA3D184" w14:textId="7D562A70" w:rsidR="36F6A452" w:rsidRPr="00FF556E" w:rsidRDefault="004012B6" w:rsidP="007706FA">
            <w:pPr>
              <w:pStyle w:val="TableTextRight"/>
              <w:rPr>
                <w:color w:val="000000" w:themeColor="text1"/>
              </w:rPr>
            </w:pPr>
            <w:r w:rsidRPr="00FF556E">
              <w:rPr>
                <w:rFonts w:ascii="Calibri" w:hAnsi="Calibri" w:cs="Calibri"/>
              </w:rPr>
              <w:t>39.2</w:t>
            </w:r>
          </w:p>
        </w:tc>
        <w:tc>
          <w:tcPr>
            <w:tcW w:w="992" w:type="dxa"/>
            <w:tcBorders>
              <w:bottom w:val="single" w:sz="4" w:space="0" w:color="EBE9E8" w:themeColor="accent5" w:themeTint="33"/>
            </w:tcBorders>
            <w:vAlign w:val="bottom"/>
          </w:tcPr>
          <w:p w14:paraId="45E8427F" w14:textId="6DA715FA" w:rsidR="36F6A452" w:rsidRPr="00FF556E" w:rsidRDefault="004012B6" w:rsidP="007706FA">
            <w:pPr>
              <w:pStyle w:val="TableTextRight"/>
              <w:rPr>
                <w:color w:val="000000" w:themeColor="text1"/>
              </w:rPr>
            </w:pPr>
            <w:r w:rsidRPr="00FF556E">
              <w:rPr>
                <w:rFonts w:ascii="Calibri" w:hAnsi="Calibri" w:cs="Calibri"/>
              </w:rPr>
              <w:t>39.4</w:t>
            </w:r>
          </w:p>
        </w:tc>
        <w:tc>
          <w:tcPr>
            <w:tcW w:w="992" w:type="dxa"/>
            <w:tcBorders>
              <w:bottom w:val="single" w:sz="4" w:space="0" w:color="EBE9E8" w:themeColor="accent5" w:themeTint="33"/>
            </w:tcBorders>
            <w:vAlign w:val="bottom"/>
          </w:tcPr>
          <w:p w14:paraId="1B4D93C4" w14:textId="3E030B6F" w:rsidR="36F6A452" w:rsidRPr="00FF556E" w:rsidRDefault="004012B6" w:rsidP="007706FA">
            <w:pPr>
              <w:pStyle w:val="TableTextRight"/>
              <w:rPr>
                <w:color w:val="000000" w:themeColor="text1"/>
              </w:rPr>
            </w:pPr>
            <w:r w:rsidRPr="00FF556E">
              <w:rPr>
                <w:rFonts w:ascii="Calibri" w:hAnsi="Calibri" w:cs="Calibri"/>
              </w:rPr>
              <w:t>39.6</w:t>
            </w:r>
          </w:p>
        </w:tc>
        <w:tc>
          <w:tcPr>
            <w:tcW w:w="992" w:type="dxa"/>
            <w:tcBorders>
              <w:bottom w:val="single" w:sz="4" w:space="0" w:color="EBE9E8" w:themeColor="accent5" w:themeTint="33"/>
            </w:tcBorders>
            <w:vAlign w:val="bottom"/>
          </w:tcPr>
          <w:p w14:paraId="55F9835F" w14:textId="15DA85A8" w:rsidR="36F6A452" w:rsidRPr="00FF556E" w:rsidRDefault="004012B6" w:rsidP="007706FA">
            <w:pPr>
              <w:pStyle w:val="TableTextRight"/>
              <w:rPr>
                <w:color w:val="000000" w:themeColor="text1"/>
              </w:rPr>
            </w:pPr>
            <w:r w:rsidRPr="00FF556E">
              <w:rPr>
                <w:rFonts w:ascii="Calibri" w:hAnsi="Calibri" w:cs="Calibri"/>
              </w:rPr>
              <w:t>39.7</w:t>
            </w:r>
          </w:p>
        </w:tc>
        <w:tc>
          <w:tcPr>
            <w:tcW w:w="992" w:type="dxa"/>
            <w:tcBorders>
              <w:bottom w:val="single" w:sz="4" w:space="0" w:color="EBE9E8" w:themeColor="accent5" w:themeTint="33"/>
            </w:tcBorders>
            <w:shd w:val="clear" w:color="auto" w:fill="DBF1E8" w:themeFill="background2" w:themeFillTint="33"/>
            <w:vAlign w:val="bottom"/>
          </w:tcPr>
          <w:p w14:paraId="5549A265" w14:textId="7B4639D2" w:rsidR="36F6A452" w:rsidRPr="00FF556E" w:rsidRDefault="004012B6" w:rsidP="007706FA">
            <w:pPr>
              <w:pStyle w:val="TableTextRight"/>
              <w:rPr>
                <w:color w:val="000000" w:themeColor="text1"/>
              </w:rPr>
            </w:pPr>
            <w:r w:rsidRPr="00FF556E">
              <w:rPr>
                <w:rFonts w:ascii="Calibri" w:hAnsi="Calibri" w:cs="Calibri"/>
              </w:rPr>
              <w:t>41.1</w:t>
            </w:r>
          </w:p>
        </w:tc>
        <w:tc>
          <w:tcPr>
            <w:tcW w:w="992" w:type="dxa"/>
            <w:tcBorders>
              <w:bottom w:val="single" w:sz="4" w:space="0" w:color="EBE9E8" w:themeColor="accent5" w:themeTint="33"/>
            </w:tcBorders>
            <w:shd w:val="clear" w:color="auto" w:fill="DBF1E8" w:themeFill="background2" w:themeFillTint="33"/>
            <w:vAlign w:val="bottom"/>
          </w:tcPr>
          <w:p w14:paraId="45EC396B" w14:textId="50252B8B" w:rsidR="36F6A452" w:rsidRPr="00FF556E" w:rsidRDefault="004012B6" w:rsidP="007706FA">
            <w:pPr>
              <w:pStyle w:val="TableTextRight"/>
              <w:rPr>
                <w:color w:val="000000" w:themeColor="text1"/>
              </w:rPr>
            </w:pPr>
            <w:r w:rsidRPr="00FF556E">
              <w:rPr>
                <w:rFonts w:ascii="Calibri" w:hAnsi="Calibri" w:cs="Calibri"/>
              </w:rPr>
              <w:t>44.3</w:t>
            </w:r>
          </w:p>
        </w:tc>
      </w:tr>
      <w:tr w:rsidR="006509A9" w:rsidRPr="00FF556E" w14:paraId="6EC39898" w14:textId="77777777" w:rsidTr="007706FA">
        <w:trPr>
          <w:trHeight w:val="238"/>
        </w:trPr>
        <w:tc>
          <w:tcPr>
            <w:tcW w:w="2694" w:type="dxa"/>
            <w:tcBorders>
              <w:bottom w:val="single" w:sz="4" w:space="0" w:color="002C47" w:themeColor="accent1"/>
            </w:tcBorders>
          </w:tcPr>
          <w:p w14:paraId="63DA4823" w14:textId="69796984" w:rsidR="006509A9" w:rsidRPr="00FF556E" w:rsidRDefault="006509A9" w:rsidP="006509A9">
            <w:pPr>
              <w:pStyle w:val="Tabletextleftindent"/>
            </w:pPr>
            <w:r w:rsidRPr="00FF556E">
              <w:t>Rest</w:t>
            </w:r>
            <w:r w:rsidR="00396724" w:rsidRPr="00FF556E">
              <w:t>-</w:t>
            </w:r>
            <w:r w:rsidRPr="00FF556E">
              <w:t>of</w:t>
            </w:r>
            <w:r w:rsidR="00396724" w:rsidRPr="00FF556E">
              <w:t>-</w:t>
            </w:r>
            <w:r w:rsidRPr="00FF556E">
              <w:t>South Australia</w:t>
            </w:r>
          </w:p>
        </w:tc>
        <w:tc>
          <w:tcPr>
            <w:tcW w:w="992" w:type="dxa"/>
            <w:tcBorders>
              <w:bottom w:val="single" w:sz="4" w:space="0" w:color="002C47" w:themeColor="accent1"/>
            </w:tcBorders>
            <w:vAlign w:val="bottom"/>
          </w:tcPr>
          <w:p w14:paraId="4BC98D9A" w14:textId="71D1D3AD" w:rsidR="36F6A452" w:rsidRPr="00FF556E" w:rsidRDefault="004012B6" w:rsidP="007706FA">
            <w:pPr>
              <w:pStyle w:val="TableTextRight"/>
              <w:rPr>
                <w:color w:val="000000" w:themeColor="text1"/>
              </w:rPr>
            </w:pPr>
            <w:r w:rsidRPr="00FF556E">
              <w:rPr>
                <w:rFonts w:ascii="Calibri" w:hAnsi="Calibri" w:cs="Calibri"/>
              </w:rPr>
              <w:t>47.0</w:t>
            </w:r>
          </w:p>
        </w:tc>
        <w:tc>
          <w:tcPr>
            <w:tcW w:w="992" w:type="dxa"/>
            <w:tcBorders>
              <w:bottom w:val="single" w:sz="4" w:space="0" w:color="002C47" w:themeColor="accent1"/>
            </w:tcBorders>
            <w:shd w:val="clear" w:color="auto" w:fill="D6EEF5" w:themeFill="text2" w:themeFillTint="33"/>
            <w:vAlign w:val="bottom"/>
          </w:tcPr>
          <w:p w14:paraId="4DCC24BF" w14:textId="19B2952D" w:rsidR="36F6A452" w:rsidRPr="00FF556E" w:rsidRDefault="004012B6" w:rsidP="007706FA">
            <w:pPr>
              <w:pStyle w:val="TableTextRight"/>
              <w:rPr>
                <w:color w:val="000000" w:themeColor="text1"/>
              </w:rPr>
            </w:pPr>
            <w:r w:rsidRPr="00FF556E">
              <w:rPr>
                <w:rFonts w:ascii="Calibri" w:hAnsi="Calibri" w:cs="Calibri"/>
              </w:rPr>
              <w:t>47.1</w:t>
            </w:r>
          </w:p>
        </w:tc>
        <w:tc>
          <w:tcPr>
            <w:tcW w:w="992" w:type="dxa"/>
            <w:tcBorders>
              <w:bottom w:val="single" w:sz="4" w:space="0" w:color="002C47" w:themeColor="accent1"/>
            </w:tcBorders>
            <w:vAlign w:val="bottom"/>
          </w:tcPr>
          <w:p w14:paraId="296DB223" w14:textId="7311A69A" w:rsidR="36F6A452" w:rsidRPr="00FF556E" w:rsidRDefault="004012B6" w:rsidP="007706FA">
            <w:pPr>
              <w:pStyle w:val="TableTextRight"/>
              <w:rPr>
                <w:color w:val="000000" w:themeColor="text1"/>
              </w:rPr>
            </w:pPr>
            <w:r w:rsidRPr="00FF556E">
              <w:rPr>
                <w:rFonts w:ascii="Calibri" w:hAnsi="Calibri" w:cs="Calibri"/>
              </w:rPr>
              <w:t>47.2</w:t>
            </w:r>
          </w:p>
        </w:tc>
        <w:tc>
          <w:tcPr>
            <w:tcW w:w="992" w:type="dxa"/>
            <w:tcBorders>
              <w:bottom w:val="single" w:sz="4" w:space="0" w:color="002C47" w:themeColor="accent1"/>
            </w:tcBorders>
            <w:vAlign w:val="bottom"/>
          </w:tcPr>
          <w:p w14:paraId="0050CB1E" w14:textId="07315830" w:rsidR="36F6A452" w:rsidRPr="00FF556E" w:rsidRDefault="004012B6" w:rsidP="007706FA">
            <w:pPr>
              <w:pStyle w:val="TableTextRight"/>
              <w:rPr>
                <w:color w:val="000000" w:themeColor="text1"/>
              </w:rPr>
            </w:pPr>
            <w:r w:rsidRPr="00FF556E">
              <w:rPr>
                <w:rFonts w:ascii="Calibri" w:hAnsi="Calibri" w:cs="Calibri"/>
              </w:rPr>
              <w:t>47.5</w:t>
            </w:r>
          </w:p>
        </w:tc>
        <w:tc>
          <w:tcPr>
            <w:tcW w:w="992" w:type="dxa"/>
            <w:tcBorders>
              <w:bottom w:val="single" w:sz="4" w:space="0" w:color="002C47" w:themeColor="accent1"/>
            </w:tcBorders>
            <w:vAlign w:val="bottom"/>
          </w:tcPr>
          <w:p w14:paraId="771A8744" w14:textId="0B10CED5" w:rsidR="36F6A452" w:rsidRPr="00FF556E" w:rsidRDefault="004012B6" w:rsidP="007706FA">
            <w:pPr>
              <w:pStyle w:val="TableTextRight"/>
              <w:rPr>
                <w:color w:val="000000" w:themeColor="text1"/>
              </w:rPr>
            </w:pPr>
            <w:r w:rsidRPr="00FF556E">
              <w:rPr>
                <w:rFonts w:ascii="Calibri" w:hAnsi="Calibri" w:cs="Calibri"/>
              </w:rPr>
              <w:t>47.8</w:t>
            </w:r>
          </w:p>
        </w:tc>
        <w:tc>
          <w:tcPr>
            <w:tcW w:w="992" w:type="dxa"/>
            <w:tcBorders>
              <w:bottom w:val="single" w:sz="4" w:space="0" w:color="002C47" w:themeColor="accent1"/>
            </w:tcBorders>
            <w:shd w:val="clear" w:color="auto" w:fill="DBF1E8" w:themeFill="background2" w:themeFillTint="33"/>
            <w:vAlign w:val="bottom"/>
          </w:tcPr>
          <w:p w14:paraId="40F56A73" w14:textId="1EDB66FF" w:rsidR="36F6A452" w:rsidRPr="00FF556E" w:rsidRDefault="004012B6" w:rsidP="007706FA">
            <w:pPr>
              <w:pStyle w:val="TableTextRight"/>
              <w:rPr>
                <w:color w:val="000000" w:themeColor="text1"/>
              </w:rPr>
            </w:pPr>
            <w:r w:rsidRPr="00FF556E">
              <w:rPr>
                <w:rFonts w:ascii="Calibri" w:hAnsi="Calibri" w:cs="Calibri"/>
              </w:rPr>
              <w:t>49.7</w:t>
            </w:r>
          </w:p>
        </w:tc>
        <w:tc>
          <w:tcPr>
            <w:tcW w:w="992" w:type="dxa"/>
            <w:tcBorders>
              <w:bottom w:val="single" w:sz="4" w:space="0" w:color="002C47" w:themeColor="accent1"/>
            </w:tcBorders>
            <w:shd w:val="clear" w:color="auto" w:fill="DBF1E8" w:themeFill="background2" w:themeFillTint="33"/>
            <w:vAlign w:val="bottom"/>
          </w:tcPr>
          <w:p w14:paraId="338B1134" w14:textId="620AFF27" w:rsidR="36F6A452" w:rsidRPr="00FF556E" w:rsidRDefault="004012B6" w:rsidP="007706FA">
            <w:pPr>
              <w:pStyle w:val="TableTextRight"/>
              <w:rPr>
                <w:color w:val="000000" w:themeColor="text1"/>
              </w:rPr>
            </w:pPr>
            <w:r w:rsidRPr="00FF556E">
              <w:rPr>
                <w:rFonts w:ascii="Calibri" w:hAnsi="Calibri" w:cs="Calibri"/>
              </w:rPr>
              <w:t>54.0</w:t>
            </w:r>
          </w:p>
        </w:tc>
      </w:tr>
      <w:tr w:rsidR="006509A9" w:rsidRPr="00FF556E" w14:paraId="52A46E0C" w14:textId="77777777" w:rsidTr="007706FA">
        <w:trPr>
          <w:trHeight w:val="238"/>
        </w:trPr>
        <w:tc>
          <w:tcPr>
            <w:tcW w:w="2694" w:type="dxa"/>
            <w:tcBorders>
              <w:top w:val="single" w:sz="4" w:space="0" w:color="002C47" w:themeColor="accent1"/>
            </w:tcBorders>
          </w:tcPr>
          <w:p w14:paraId="60C1EB7D" w14:textId="5AEB760D" w:rsidR="006509A9" w:rsidRPr="00FF556E" w:rsidRDefault="006509A9" w:rsidP="006509A9">
            <w:pPr>
              <w:pStyle w:val="TableColumnHeadingLeft"/>
            </w:pPr>
            <w:r w:rsidRPr="00FF556E">
              <w:t>Old</w:t>
            </w:r>
            <w:r w:rsidR="00396724" w:rsidRPr="00FF556E">
              <w:t>-</w:t>
            </w:r>
            <w:r w:rsidRPr="00FF556E">
              <w:t>age dependency ratio (%)</w:t>
            </w:r>
          </w:p>
        </w:tc>
        <w:tc>
          <w:tcPr>
            <w:tcW w:w="992" w:type="dxa"/>
            <w:tcBorders>
              <w:top w:val="single" w:sz="4" w:space="0" w:color="002C47" w:themeColor="accent1"/>
            </w:tcBorders>
            <w:vAlign w:val="bottom"/>
          </w:tcPr>
          <w:p w14:paraId="0968BB1E" w14:textId="30805553" w:rsidR="36F6A452" w:rsidRPr="00FF556E" w:rsidRDefault="36F6A452" w:rsidP="007706FA">
            <w:pPr>
              <w:pStyle w:val="TableTextRight"/>
            </w:pPr>
          </w:p>
        </w:tc>
        <w:tc>
          <w:tcPr>
            <w:tcW w:w="992" w:type="dxa"/>
            <w:tcBorders>
              <w:top w:val="single" w:sz="4" w:space="0" w:color="002C47" w:themeColor="accent1"/>
            </w:tcBorders>
            <w:shd w:val="clear" w:color="auto" w:fill="D6EEF5" w:themeFill="text2" w:themeFillTint="33"/>
            <w:vAlign w:val="bottom"/>
          </w:tcPr>
          <w:p w14:paraId="5E19A0FA" w14:textId="2A2A58CD" w:rsidR="36F6A452" w:rsidRPr="00FF556E" w:rsidRDefault="36F6A452" w:rsidP="007706FA">
            <w:pPr>
              <w:pStyle w:val="TableTextRight"/>
            </w:pPr>
          </w:p>
        </w:tc>
        <w:tc>
          <w:tcPr>
            <w:tcW w:w="992" w:type="dxa"/>
            <w:tcBorders>
              <w:top w:val="single" w:sz="4" w:space="0" w:color="002C47" w:themeColor="accent1"/>
            </w:tcBorders>
            <w:vAlign w:val="bottom"/>
          </w:tcPr>
          <w:p w14:paraId="21BF5A90" w14:textId="1FE361E5" w:rsidR="36F6A452" w:rsidRPr="00FF556E" w:rsidRDefault="36F6A452" w:rsidP="007706FA">
            <w:pPr>
              <w:pStyle w:val="TableTextRight"/>
            </w:pPr>
          </w:p>
        </w:tc>
        <w:tc>
          <w:tcPr>
            <w:tcW w:w="992" w:type="dxa"/>
            <w:tcBorders>
              <w:top w:val="single" w:sz="4" w:space="0" w:color="002C47" w:themeColor="accent1"/>
            </w:tcBorders>
            <w:vAlign w:val="bottom"/>
          </w:tcPr>
          <w:p w14:paraId="6322119C" w14:textId="5408E30B" w:rsidR="36F6A452" w:rsidRPr="00FF556E" w:rsidRDefault="36F6A452" w:rsidP="007706FA">
            <w:pPr>
              <w:pStyle w:val="TableTextRight"/>
            </w:pPr>
          </w:p>
        </w:tc>
        <w:tc>
          <w:tcPr>
            <w:tcW w:w="992" w:type="dxa"/>
            <w:tcBorders>
              <w:top w:val="single" w:sz="4" w:space="0" w:color="002C47" w:themeColor="accent1"/>
            </w:tcBorders>
            <w:vAlign w:val="bottom"/>
          </w:tcPr>
          <w:p w14:paraId="7014A023" w14:textId="3952D8FA" w:rsidR="36F6A452" w:rsidRPr="00FF556E" w:rsidRDefault="36F6A452" w:rsidP="007706FA">
            <w:pPr>
              <w:pStyle w:val="TableTextRight"/>
            </w:pPr>
          </w:p>
        </w:tc>
        <w:tc>
          <w:tcPr>
            <w:tcW w:w="992" w:type="dxa"/>
            <w:tcBorders>
              <w:top w:val="single" w:sz="4" w:space="0" w:color="002C47" w:themeColor="accent1"/>
            </w:tcBorders>
            <w:shd w:val="clear" w:color="auto" w:fill="DBF1E8" w:themeFill="background2" w:themeFillTint="33"/>
            <w:vAlign w:val="bottom"/>
          </w:tcPr>
          <w:p w14:paraId="22BBA3D3" w14:textId="7C1D3E59" w:rsidR="36F6A452" w:rsidRPr="00FF556E" w:rsidRDefault="36F6A452" w:rsidP="007706FA">
            <w:pPr>
              <w:pStyle w:val="TableTextRight"/>
            </w:pPr>
          </w:p>
        </w:tc>
        <w:tc>
          <w:tcPr>
            <w:tcW w:w="992" w:type="dxa"/>
            <w:tcBorders>
              <w:top w:val="single" w:sz="4" w:space="0" w:color="002C47" w:themeColor="accent1"/>
            </w:tcBorders>
            <w:shd w:val="clear" w:color="auto" w:fill="DBF1E8" w:themeFill="background2" w:themeFillTint="33"/>
            <w:vAlign w:val="bottom"/>
          </w:tcPr>
          <w:p w14:paraId="7603F554" w14:textId="0023B5AD" w:rsidR="36F6A452" w:rsidRPr="00FF556E" w:rsidRDefault="36F6A452" w:rsidP="007706FA">
            <w:pPr>
              <w:pStyle w:val="TableTextRight"/>
            </w:pPr>
          </w:p>
        </w:tc>
      </w:tr>
      <w:tr w:rsidR="006509A9" w:rsidRPr="00FF556E" w14:paraId="35A28906" w14:textId="77777777" w:rsidTr="007706FA">
        <w:trPr>
          <w:trHeight w:val="238"/>
        </w:trPr>
        <w:tc>
          <w:tcPr>
            <w:tcW w:w="2694" w:type="dxa"/>
          </w:tcPr>
          <w:p w14:paraId="091E9BC1" w14:textId="6A209157" w:rsidR="006509A9" w:rsidRPr="00FF556E" w:rsidRDefault="006509A9" w:rsidP="007706FA">
            <w:pPr>
              <w:pStyle w:val="TableTextLeft"/>
            </w:pPr>
            <w:r w:rsidRPr="00FF556E">
              <w:t>South Australia</w:t>
            </w:r>
          </w:p>
        </w:tc>
        <w:tc>
          <w:tcPr>
            <w:tcW w:w="992" w:type="dxa"/>
            <w:vAlign w:val="bottom"/>
          </w:tcPr>
          <w:p w14:paraId="460F2DC1" w14:textId="161CA65E" w:rsidR="36F6A452" w:rsidRPr="00FF556E" w:rsidRDefault="004012B6" w:rsidP="007706FA">
            <w:pPr>
              <w:pStyle w:val="TableTextRight"/>
              <w:rPr>
                <w:color w:val="000000" w:themeColor="text1"/>
              </w:rPr>
            </w:pPr>
            <w:r w:rsidRPr="00FF556E">
              <w:rPr>
                <w:rFonts w:ascii="Calibri" w:hAnsi="Calibri" w:cs="Calibri"/>
              </w:rPr>
              <w:t>31.9</w:t>
            </w:r>
          </w:p>
        </w:tc>
        <w:tc>
          <w:tcPr>
            <w:tcW w:w="992" w:type="dxa"/>
            <w:shd w:val="clear" w:color="auto" w:fill="D6EEF5" w:themeFill="text2" w:themeFillTint="33"/>
            <w:vAlign w:val="bottom"/>
          </w:tcPr>
          <w:p w14:paraId="4BD79367" w14:textId="64272F3A" w:rsidR="36F6A452" w:rsidRPr="00FF556E" w:rsidRDefault="004012B6" w:rsidP="007706FA">
            <w:pPr>
              <w:pStyle w:val="TableTextRight"/>
              <w:rPr>
                <w:color w:val="000000" w:themeColor="text1"/>
              </w:rPr>
            </w:pPr>
            <w:r w:rsidRPr="00FF556E">
              <w:rPr>
                <w:rFonts w:ascii="Calibri" w:hAnsi="Calibri" w:cs="Calibri"/>
              </w:rPr>
              <w:t>32.5</w:t>
            </w:r>
          </w:p>
        </w:tc>
        <w:tc>
          <w:tcPr>
            <w:tcW w:w="992" w:type="dxa"/>
            <w:vAlign w:val="bottom"/>
          </w:tcPr>
          <w:p w14:paraId="30283C3B" w14:textId="4E4B9E0F" w:rsidR="36F6A452" w:rsidRPr="00FF556E" w:rsidRDefault="004012B6" w:rsidP="007706FA">
            <w:pPr>
              <w:pStyle w:val="TableTextRight"/>
              <w:rPr>
                <w:color w:val="000000" w:themeColor="text1"/>
              </w:rPr>
            </w:pPr>
            <w:r w:rsidRPr="00FF556E">
              <w:rPr>
                <w:rFonts w:ascii="Calibri" w:hAnsi="Calibri" w:cs="Calibri"/>
              </w:rPr>
              <w:t>33.1</w:t>
            </w:r>
          </w:p>
        </w:tc>
        <w:tc>
          <w:tcPr>
            <w:tcW w:w="992" w:type="dxa"/>
            <w:vAlign w:val="bottom"/>
          </w:tcPr>
          <w:p w14:paraId="797AE2AA" w14:textId="45FB850F" w:rsidR="36F6A452" w:rsidRPr="00FF556E" w:rsidRDefault="004012B6" w:rsidP="007706FA">
            <w:pPr>
              <w:pStyle w:val="TableTextRight"/>
              <w:rPr>
                <w:color w:val="000000" w:themeColor="text1"/>
              </w:rPr>
            </w:pPr>
            <w:r w:rsidRPr="00FF556E">
              <w:rPr>
                <w:rFonts w:ascii="Calibri" w:hAnsi="Calibri" w:cs="Calibri"/>
              </w:rPr>
              <w:t>33.8</w:t>
            </w:r>
          </w:p>
        </w:tc>
        <w:tc>
          <w:tcPr>
            <w:tcW w:w="992" w:type="dxa"/>
            <w:vAlign w:val="bottom"/>
          </w:tcPr>
          <w:p w14:paraId="37723386" w14:textId="5D2C6198" w:rsidR="36F6A452" w:rsidRPr="00FF556E" w:rsidRDefault="004012B6" w:rsidP="007706FA">
            <w:pPr>
              <w:pStyle w:val="TableTextRight"/>
              <w:rPr>
                <w:color w:val="000000" w:themeColor="text1"/>
              </w:rPr>
            </w:pPr>
            <w:r w:rsidRPr="00FF556E">
              <w:rPr>
                <w:rFonts w:ascii="Calibri" w:hAnsi="Calibri" w:cs="Calibri"/>
              </w:rPr>
              <w:t>34.5</w:t>
            </w:r>
          </w:p>
        </w:tc>
        <w:tc>
          <w:tcPr>
            <w:tcW w:w="992" w:type="dxa"/>
            <w:shd w:val="clear" w:color="auto" w:fill="DBF1E8" w:themeFill="background2" w:themeFillTint="33"/>
            <w:vAlign w:val="bottom"/>
          </w:tcPr>
          <w:p w14:paraId="39D6CC2B" w14:textId="0AA8F98F" w:rsidR="36F6A452" w:rsidRPr="00FF556E" w:rsidRDefault="004012B6" w:rsidP="007706FA">
            <w:pPr>
              <w:pStyle w:val="TableTextRight"/>
              <w:rPr>
                <w:color w:val="000000" w:themeColor="text1"/>
              </w:rPr>
            </w:pPr>
            <w:r w:rsidRPr="00FF556E">
              <w:rPr>
                <w:rFonts w:ascii="Calibri" w:hAnsi="Calibri" w:cs="Calibri"/>
              </w:rPr>
              <w:t>38.1</w:t>
            </w:r>
          </w:p>
        </w:tc>
        <w:tc>
          <w:tcPr>
            <w:tcW w:w="992" w:type="dxa"/>
            <w:shd w:val="clear" w:color="auto" w:fill="DBF1E8" w:themeFill="background2" w:themeFillTint="33"/>
            <w:vAlign w:val="bottom"/>
          </w:tcPr>
          <w:p w14:paraId="2151C37D" w14:textId="0F7AA7A9" w:rsidR="36F6A452" w:rsidRPr="00FF556E" w:rsidRDefault="004012B6" w:rsidP="007706FA">
            <w:pPr>
              <w:pStyle w:val="TableTextRight"/>
              <w:rPr>
                <w:color w:val="000000" w:themeColor="text1"/>
              </w:rPr>
            </w:pPr>
            <w:r w:rsidRPr="00FF556E">
              <w:rPr>
                <w:rFonts w:ascii="Calibri" w:hAnsi="Calibri" w:cs="Calibri"/>
              </w:rPr>
              <w:t>45.3</w:t>
            </w:r>
          </w:p>
        </w:tc>
      </w:tr>
      <w:tr w:rsidR="006509A9" w:rsidRPr="00FF556E" w14:paraId="000DD2F5" w14:textId="77777777" w:rsidTr="007706FA">
        <w:trPr>
          <w:trHeight w:val="87"/>
        </w:trPr>
        <w:tc>
          <w:tcPr>
            <w:tcW w:w="2694" w:type="dxa"/>
            <w:tcBorders>
              <w:bottom w:val="single" w:sz="4" w:space="0" w:color="EBE9E8" w:themeColor="accent5" w:themeTint="33"/>
            </w:tcBorders>
          </w:tcPr>
          <w:p w14:paraId="376F859E" w14:textId="3EB853C1" w:rsidR="006509A9" w:rsidRPr="00FF556E" w:rsidRDefault="006509A9" w:rsidP="006509A9">
            <w:pPr>
              <w:pStyle w:val="Tabletextleftindent"/>
            </w:pPr>
            <w:r w:rsidRPr="00FF556E">
              <w:t>Greater Adelaide</w:t>
            </w:r>
          </w:p>
        </w:tc>
        <w:tc>
          <w:tcPr>
            <w:tcW w:w="992" w:type="dxa"/>
            <w:tcBorders>
              <w:bottom w:val="single" w:sz="4" w:space="0" w:color="EBE9E8" w:themeColor="accent5" w:themeTint="33"/>
            </w:tcBorders>
            <w:vAlign w:val="bottom"/>
          </w:tcPr>
          <w:p w14:paraId="264142FA" w14:textId="6F7EC786" w:rsidR="36F6A452" w:rsidRPr="00FF556E" w:rsidRDefault="004012B6" w:rsidP="007706FA">
            <w:pPr>
              <w:pStyle w:val="TableTextRight"/>
              <w:rPr>
                <w:color w:val="000000" w:themeColor="text1"/>
              </w:rPr>
            </w:pPr>
            <w:r w:rsidRPr="00FF556E">
              <w:rPr>
                <w:rFonts w:ascii="Calibri" w:hAnsi="Calibri" w:cs="Calibri"/>
              </w:rPr>
              <w:t>28.9</w:t>
            </w:r>
          </w:p>
        </w:tc>
        <w:tc>
          <w:tcPr>
            <w:tcW w:w="992" w:type="dxa"/>
            <w:tcBorders>
              <w:bottom w:val="single" w:sz="4" w:space="0" w:color="EBE9E8" w:themeColor="accent5" w:themeTint="33"/>
            </w:tcBorders>
            <w:shd w:val="clear" w:color="auto" w:fill="D6EEF5" w:themeFill="text2" w:themeFillTint="33"/>
            <w:vAlign w:val="bottom"/>
          </w:tcPr>
          <w:p w14:paraId="714A08D8" w14:textId="6DB9444E" w:rsidR="36F6A452" w:rsidRPr="00FF556E" w:rsidRDefault="004012B6" w:rsidP="007706FA">
            <w:pPr>
              <w:pStyle w:val="TableTextRight"/>
              <w:rPr>
                <w:color w:val="000000" w:themeColor="text1"/>
              </w:rPr>
            </w:pPr>
            <w:r w:rsidRPr="00FF556E">
              <w:rPr>
                <w:rFonts w:ascii="Calibri" w:hAnsi="Calibri" w:cs="Calibri"/>
              </w:rPr>
              <w:t>29.1</w:t>
            </w:r>
          </w:p>
        </w:tc>
        <w:tc>
          <w:tcPr>
            <w:tcW w:w="992" w:type="dxa"/>
            <w:tcBorders>
              <w:bottom w:val="single" w:sz="4" w:space="0" w:color="EBE9E8" w:themeColor="accent5" w:themeTint="33"/>
            </w:tcBorders>
            <w:vAlign w:val="bottom"/>
          </w:tcPr>
          <w:p w14:paraId="2C7ABEFF" w14:textId="777E6270" w:rsidR="36F6A452" w:rsidRPr="00FF556E" w:rsidRDefault="004012B6" w:rsidP="007706FA">
            <w:pPr>
              <w:pStyle w:val="TableTextRight"/>
              <w:rPr>
                <w:color w:val="000000" w:themeColor="text1"/>
              </w:rPr>
            </w:pPr>
            <w:r w:rsidRPr="00FF556E">
              <w:rPr>
                <w:rFonts w:ascii="Calibri" w:hAnsi="Calibri" w:cs="Calibri"/>
              </w:rPr>
              <w:t>29.6</w:t>
            </w:r>
          </w:p>
        </w:tc>
        <w:tc>
          <w:tcPr>
            <w:tcW w:w="992" w:type="dxa"/>
            <w:tcBorders>
              <w:bottom w:val="single" w:sz="4" w:space="0" w:color="EBE9E8" w:themeColor="accent5" w:themeTint="33"/>
            </w:tcBorders>
            <w:vAlign w:val="bottom"/>
          </w:tcPr>
          <w:p w14:paraId="5AABABEE" w14:textId="46935780" w:rsidR="36F6A452" w:rsidRPr="00FF556E" w:rsidRDefault="004012B6" w:rsidP="007706FA">
            <w:pPr>
              <w:pStyle w:val="TableTextRight"/>
              <w:rPr>
                <w:color w:val="000000" w:themeColor="text1"/>
              </w:rPr>
            </w:pPr>
            <w:r w:rsidRPr="00FF556E">
              <w:rPr>
                <w:rFonts w:ascii="Calibri" w:hAnsi="Calibri" w:cs="Calibri"/>
              </w:rPr>
              <w:t>30.1</w:t>
            </w:r>
          </w:p>
        </w:tc>
        <w:tc>
          <w:tcPr>
            <w:tcW w:w="992" w:type="dxa"/>
            <w:tcBorders>
              <w:bottom w:val="single" w:sz="4" w:space="0" w:color="EBE9E8" w:themeColor="accent5" w:themeTint="33"/>
            </w:tcBorders>
            <w:vAlign w:val="bottom"/>
          </w:tcPr>
          <w:p w14:paraId="2870EF4E" w14:textId="1D90AA3C" w:rsidR="36F6A452" w:rsidRPr="00FF556E" w:rsidRDefault="004012B6" w:rsidP="007706FA">
            <w:pPr>
              <w:pStyle w:val="TableTextRight"/>
              <w:rPr>
                <w:color w:val="000000" w:themeColor="text1"/>
              </w:rPr>
            </w:pPr>
            <w:r w:rsidRPr="00FF556E">
              <w:rPr>
                <w:rFonts w:ascii="Calibri" w:hAnsi="Calibri" w:cs="Calibri"/>
              </w:rPr>
              <w:t>30.6</w:t>
            </w:r>
          </w:p>
        </w:tc>
        <w:tc>
          <w:tcPr>
            <w:tcW w:w="992" w:type="dxa"/>
            <w:tcBorders>
              <w:bottom w:val="single" w:sz="4" w:space="0" w:color="EBE9E8" w:themeColor="accent5" w:themeTint="33"/>
            </w:tcBorders>
            <w:shd w:val="clear" w:color="auto" w:fill="DBF1E8" w:themeFill="background2" w:themeFillTint="33"/>
            <w:vAlign w:val="bottom"/>
          </w:tcPr>
          <w:p w14:paraId="307464A1" w14:textId="51DF8661" w:rsidR="36F6A452" w:rsidRPr="00FF556E" w:rsidRDefault="004012B6" w:rsidP="007706FA">
            <w:pPr>
              <w:pStyle w:val="TableTextRight"/>
              <w:rPr>
                <w:color w:val="000000" w:themeColor="text1"/>
              </w:rPr>
            </w:pPr>
            <w:r w:rsidRPr="00FF556E">
              <w:rPr>
                <w:rFonts w:ascii="Calibri" w:hAnsi="Calibri" w:cs="Calibri"/>
              </w:rPr>
              <w:t>33.6</w:t>
            </w:r>
          </w:p>
        </w:tc>
        <w:tc>
          <w:tcPr>
            <w:tcW w:w="992" w:type="dxa"/>
            <w:tcBorders>
              <w:bottom w:val="single" w:sz="4" w:space="0" w:color="EBE9E8" w:themeColor="accent5" w:themeTint="33"/>
            </w:tcBorders>
            <w:shd w:val="clear" w:color="auto" w:fill="DBF1E8" w:themeFill="background2" w:themeFillTint="33"/>
            <w:vAlign w:val="bottom"/>
          </w:tcPr>
          <w:p w14:paraId="7CB037FD" w14:textId="07331521" w:rsidR="36F6A452" w:rsidRPr="00FF556E" w:rsidRDefault="004012B6" w:rsidP="007706FA">
            <w:pPr>
              <w:pStyle w:val="TableTextRight"/>
              <w:rPr>
                <w:color w:val="000000" w:themeColor="text1"/>
              </w:rPr>
            </w:pPr>
            <w:r w:rsidRPr="00FF556E">
              <w:rPr>
                <w:rFonts w:ascii="Calibri" w:hAnsi="Calibri" w:cs="Calibri"/>
              </w:rPr>
              <w:t>40.9</w:t>
            </w:r>
          </w:p>
        </w:tc>
      </w:tr>
      <w:tr w:rsidR="006509A9" w:rsidRPr="00FF556E" w14:paraId="76142E5E" w14:textId="77777777" w:rsidTr="007706FA">
        <w:trPr>
          <w:trHeight w:val="238"/>
        </w:trPr>
        <w:tc>
          <w:tcPr>
            <w:tcW w:w="2694" w:type="dxa"/>
            <w:tcBorders>
              <w:bottom w:val="single" w:sz="4" w:space="0" w:color="002C47" w:themeColor="accent1"/>
            </w:tcBorders>
          </w:tcPr>
          <w:p w14:paraId="2D62A3FF" w14:textId="154F0FAD" w:rsidR="006509A9" w:rsidRPr="00FF556E" w:rsidRDefault="006509A9" w:rsidP="006509A9">
            <w:pPr>
              <w:pStyle w:val="Tabletextleftindent"/>
            </w:pPr>
            <w:r w:rsidRPr="00FF556E">
              <w:t>Rest</w:t>
            </w:r>
            <w:r w:rsidR="00396724" w:rsidRPr="00FF556E">
              <w:t>-</w:t>
            </w:r>
            <w:r w:rsidRPr="00FF556E">
              <w:t>of</w:t>
            </w:r>
            <w:r w:rsidR="00396724" w:rsidRPr="00FF556E">
              <w:t>-</w:t>
            </w:r>
            <w:r w:rsidRPr="00FF556E">
              <w:t>South Australia</w:t>
            </w:r>
          </w:p>
        </w:tc>
        <w:tc>
          <w:tcPr>
            <w:tcW w:w="992" w:type="dxa"/>
            <w:tcBorders>
              <w:bottom w:val="single" w:sz="4" w:space="0" w:color="002C47" w:themeColor="accent1"/>
            </w:tcBorders>
            <w:vAlign w:val="bottom"/>
          </w:tcPr>
          <w:p w14:paraId="171ABE65" w14:textId="15191BF1" w:rsidR="36F6A452" w:rsidRPr="00FF556E" w:rsidRDefault="004012B6" w:rsidP="007706FA">
            <w:pPr>
              <w:pStyle w:val="TableTextRight"/>
              <w:rPr>
                <w:color w:val="000000" w:themeColor="text1"/>
              </w:rPr>
            </w:pPr>
            <w:r w:rsidRPr="00FF556E">
              <w:rPr>
                <w:rFonts w:ascii="Calibri" w:hAnsi="Calibri" w:cs="Calibri"/>
              </w:rPr>
              <w:t>44.8</w:t>
            </w:r>
          </w:p>
        </w:tc>
        <w:tc>
          <w:tcPr>
            <w:tcW w:w="992" w:type="dxa"/>
            <w:tcBorders>
              <w:bottom w:val="single" w:sz="4" w:space="0" w:color="002C47" w:themeColor="accent1"/>
            </w:tcBorders>
            <w:shd w:val="clear" w:color="auto" w:fill="D6EEF5" w:themeFill="text2" w:themeFillTint="33"/>
            <w:vAlign w:val="bottom"/>
          </w:tcPr>
          <w:p w14:paraId="658BADE0" w14:textId="7F51B9F3" w:rsidR="36F6A452" w:rsidRPr="00FF556E" w:rsidRDefault="004012B6" w:rsidP="007706FA">
            <w:pPr>
              <w:pStyle w:val="TableTextRight"/>
              <w:rPr>
                <w:color w:val="000000" w:themeColor="text1"/>
              </w:rPr>
            </w:pPr>
            <w:r w:rsidRPr="00FF556E">
              <w:rPr>
                <w:rFonts w:ascii="Calibri" w:hAnsi="Calibri" w:cs="Calibri"/>
              </w:rPr>
              <w:t>46.1</w:t>
            </w:r>
          </w:p>
        </w:tc>
        <w:tc>
          <w:tcPr>
            <w:tcW w:w="992" w:type="dxa"/>
            <w:tcBorders>
              <w:bottom w:val="single" w:sz="4" w:space="0" w:color="002C47" w:themeColor="accent1"/>
            </w:tcBorders>
            <w:vAlign w:val="bottom"/>
          </w:tcPr>
          <w:p w14:paraId="6A852FAE" w14:textId="7D579177" w:rsidR="36F6A452" w:rsidRPr="00FF556E" w:rsidRDefault="004012B6" w:rsidP="007706FA">
            <w:pPr>
              <w:pStyle w:val="TableTextRight"/>
              <w:rPr>
                <w:color w:val="000000" w:themeColor="text1"/>
              </w:rPr>
            </w:pPr>
            <w:r w:rsidRPr="00FF556E">
              <w:rPr>
                <w:rFonts w:ascii="Calibri" w:hAnsi="Calibri" w:cs="Calibri"/>
              </w:rPr>
              <w:t>47.5</w:t>
            </w:r>
          </w:p>
        </w:tc>
        <w:tc>
          <w:tcPr>
            <w:tcW w:w="992" w:type="dxa"/>
            <w:tcBorders>
              <w:bottom w:val="single" w:sz="4" w:space="0" w:color="002C47" w:themeColor="accent1"/>
            </w:tcBorders>
            <w:vAlign w:val="bottom"/>
          </w:tcPr>
          <w:p w14:paraId="5552790B" w14:textId="23747B8B" w:rsidR="36F6A452" w:rsidRPr="00FF556E" w:rsidRDefault="004012B6" w:rsidP="007706FA">
            <w:pPr>
              <w:pStyle w:val="TableTextRight"/>
              <w:rPr>
                <w:color w:val="000000" w:themeColor="text1"/>
              </w:rPr>
            </w:pPr>
            <w:r w:rsidRPr="00FF556E">
              <w:rPr>
                <w:rFonts w:ascii="Calibri" w:hAnsi="Calibri" w:cs="Calibri"/>
              </w:rPr>
              <w:t>48.9</w:t>
            </w:r>
          </w:p>
        </w:tc>
        <w:tc>
          <w:tcPr>
            <w:tcW w:w="992" w:type="dxa"/>
            <w:tcBorders>
              <w:bottom w:val="single" w:sz="4" w:space="0" w:color="002C47" w:themeColor="accent1"/>
            </w:tcBorders>
            <w:vAlign w:val="bottom"/>
          </w:tcPr>
          <w:p w14:paraId="47548C11" w14:textId="46B439F8" w:rsidR="36F6A452" w:rsidRPr="00FF556E" w:rsidRDefault="004012B6" w:rsidP="007706FA">
            <w:pPr>
              <w:pStyle w:val="TableTextRight"/>
              <w:rPr>
                <w:color w:val="000000" w:themeColor="text1"/>
              </w:rPr>
            </w:pPr>
            <w:r w:rsidRPr="00FF556E">
              <w:rPr>
                <w:rFonts w:ascii="Calibri" w:hAnsi="Calibri" w:cs="Calibri"/>
              </w:rPr>
              <w:t>50.4</w:t>
            </w:r>
          </w:p>
        </w:tc>
        <w:tc>
          <w:tcPr>
            <w:tcW w:w="992" w:type="dxa"/>
            <w:tcBorders>
              <w:bottom w:val="single" w:sz="4" w:space="0" w:color="002C47" w:themeColor="accent1"/>
            </w:tcBorders>
            <w:shd w:val="clear" w:color="auto" w:fill="DBF1E8" w:themeFill="background2" w:themeFillTint="33"/>
            <w:vAlign w:val="bottom"/>
          </w:tcPr>
          <w:p w14:paraId="7D7FE177" w14:textId="0B20BAF6" w:rsidR="36F6A452" w:rsidRPr="00FF556E" w:rsidRDefault="004012B6" w:rsidP="007706FA">
            <w:pPr>
              <w:pStyle w:val="TableTextRight"/>
              <w:rPr>
                <w:color w:val="000000" w:themeColor="text1"/>
              </w:rPr>
            </w:pPr>
            <w:r w:rsidRPr="00FF556E">
              <w:rPr>
                <w:rFonts w:ascii="Calibri" w:hAnsi="Calibri" w:cs="Calibri"/>
              </w:rPr>
              <w:t>58.5</w:t>
            </w:r>
          </w:p>
        </w:tc>
        <w:tc>
          <w:tcPr>
            <w:tcW w:w="992" w:type="dxa"/>
            <w:tcBorders>
              <w:bottom w:val="single" w:sz="4" w:space="0" w:color="002C47" w:themeColor="accent1"/>
            </w:tcBorders>
            <w:shd w:val="clear" w:color="auto" w:fill="DBF1E8" w:themeFill="background2" w:themeFillTint="33"/>
            <w:vAlign w:val="bottom"/>
          </w:tcPr>
          <w:p w14:paraId="4D441B88" w14:textId="01B11702" w:rsidR="36F6A452" w:rsidRPr="00FF556E" w:rsidRDefault="004012B6" w:rsidP="007706FA">
            <w:pPr>
              <w:pStyle w:val="TableTextRight"/>
              <w:rPr>
                <w:color w:val="000000" w:themeColor="text1"/>
              </w:rPr>
            </w:pPr>
            <w:r w:rsidRPr="00FF556E">
              <w:rPr>
                <w:rFonts w:ascii="Calibri" w:hAnsi="Calibri" w:cs="Calibri"/>
              </w:rPr>
              <w:t>68.3</w:t>
            </w:r>
          </w:p>
        </w:tc>
      </w:tr>
    </w:tbl>
    <w:p w14:paraId="7F43B438" w14:textId="4AB448BA" w:rsidR="002337D6" w:rsidRPr="00045C24" w:rsidRDefault="00202666" w:rsidP="0029024D">
      <w:pPr>
        <w:pStyle w:val="TableChartFigureSource"/>
        <w:ind w:left="720" w:hanging="720"/>
      </w:pPr>
      <w:r w:rsidRPr="00202666">
        <w:t>Source:</w:t>
      </w:r>
      <w:r w:rsidR="007706FA">
        <w:tab/>
      </w:r>
      <w:r w:rsidRPr="007706FA">
        <w:t>ABS</w:t>
      </w:r>
      <w:r w:rsidRPr="00932358">
        <w:t xml:space="preserve">, </w:t>
      </w:r>
      <w:r w:rsidRPr="00D93D94">
        <w:rPr>
          <w:i/>
          <w:iCs/>
        </w:rPr>
        <w:t>National, state and territory population, March 2025</w:t>
      </w:r>
      <w:r w:rsidRPr="00202666">
        <w:t xml:space="preserve">; ABS, </w:t>
      </w:r>
      <w:r w:rsidRPr="00D93D94">
        <w:rPr>
          <w:i/>
          <w:iCs/>
        </w:rPr>
        <w:t>Regional population</w:t>
      </w:r>
      <w:r w:rsidR="006508D9">
        <w:rPr>
          <w:i/>
          <w:iCs/>
        </w:rPr>
        <w:t>,</w:t>
      </w:r>
      <w:r w:rsidRPr="00D93D94">
        <w:rPr>
          <w:i/>
          <w:iCs/>
        </w:rPr>
        <w:t xml:space="preserve"> 2023–24</w:t>
      </w:r>
      <w:r w:rsidRPr="00202666">
        <w:t>; and</w:t>
      </w:r>
      <w:r w:rsidR="0029024D">
        <w:t> </w:t>
      </w:r>
      <w:r w:rsidRPr="00202666">
        <w:t>Centre</w:t>
      </w:r>
      <w:r w:rsidR="007706FA">
        <w:t> </w:t>
      </w:r>
      <w:r w:rsidRPr="00202666">
        <w:t>for</w:t>
      </w:r>
      <w:r w:rsidR="007706FA">
        <w:t> </w:t>
      </w:r>
      <w:r w:rsidRPr="00202666">
        <w:t>Population.</w:t>
      </w:r>
    </w:p>
    <w:sectPr w:rsidR="002337D6" w:rsidRPr="00045C24" w:rsidSect="00D169A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134" w:right="1134" w:bottom="1134" w:left="1134" w:header="90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07AE" w14:textId="77777777" w:rsidR="0022580C" w:rsidRDefault="0022580C" w:rsidP="0057435B">
      <w:r>
        <w:separator/>
      </w:r>
    </w:p>
  </w:endnote>
  <w:endnote w:type="continuationSeparator" w:id="0">
    <w:p w14:paraId="44880C72" w14:textId="77777777" w:rsidR="0022580C" w:rsidRDefault="0022580C" w:rsidP="0057435B">
      <w:r>
        <w:continuationSeparator/>
      </w:r>
    </w:p>
    <w:p w14:paraId="32525DC3" w14:textId="77777777" w:rsidR="0022580C" w:rsidRDefault="0022580C" w:rsidP="0057435B"/>
  </w:endnote>
  <w:endnote w:type="continuationNotice" w:id="1">
    <w:p w14:paraId="6A6FCAE7" w14:textId="77777777" w:rsidR="0022580C" w:rsidRDefault="0022580C" w:rsidP="00574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52E5" w14:textId="0E479506" w:rsidR="00D459DB" w:rsidRDefault="00D459DB" w:rsidP="0057435B">
    <w:pPr>
      <w:pStyle w:val="Footer"/>
    </w:pPr>
    <w:r w:rsidRPr="00E559DF">
      <w:fldChar w:fldCharType="begin"/>
    </w:r>
    <w:r w:rsidRPr="00E559DF">
      <w:instrText xml:space="preserve"> PAGE   \* MERGEFORMAT </w:instrText>
    </w:r>
    <w:r w:rsidRPr="00E559DF">
      <w:fldChar w:fldCharType="separate"/>
    </w:r>
    <w:r>
      <w:t>3</w:t>
    </w:r>
    <w:r w:rsidRPr="00E559DF">
      <w:fldChar w:fldCharType="end"/>
    </w:r>
    <w:r>
      <w:rPr>
        <w:noProof/>
      </w:rPr>
      <w:drawing>
        <wp:anchor distT="0" distB="0" distL="114300" distR="114300" simplePos="0" relativeHeight="251658240" behindDoc="1" locked="1" layoutInCell="1" allowOverlap="1" wp14:anchorId="6D11C5F4" wp14:editId="6F4151BD">
          <wp:simplePos x="1082040" y="9731375"/>
          <wp:positionH relativeFrom="column">
            <wp:align>center</wp:align>
          </wp:positionH>
          <wp:positionV relativeFrom="page">
            <wp:align>bottom</wp:align>
          </wp:positionV>
          <wp:extent cx="7559675" cy="718820"/>
          <wp:effectExtent l="0" t="0" r="3175" b="5080"/>
          <wp:wrapNone/>
          <wp:docPr id="479889189" name="Picture 479889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89189" name="Picture 47988918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0" cy="719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C991" w14:textId="4B405A32" w:rsidR="00A15DB7"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1</w:t>
    </w:r>
    <w:r w:rsidRPr="00E559DF">
      <w:fldChar w:fldCharType="end"/>
    </w:r>
    <w:r w:rsidR="00C74B1E">
      <w:rPr>
        <w:noProof/>
      </w:rPr>
      <w:drawing>
        <wp:anchor distT="0" distB="0" distL="114300" distR="114300" simplePos="0" relativeHeight="251660296" behindDoc="1" locked="1" layoutInCell="1" allowOverlap="1" wp14:anchorId="7ED1031B" wp14:editId="6C703232">
          <wp:simplePos x="0" y="0"/>
          <wp:positionH relativeFrom="margin">
            <wp:posOffset>-716280</wp:posOffset>
          </wp:positionH>
          <wp:positionV relativeFrom="margin">
            <wp:posOffset>9016365</wp:posOffset>
          </wp:positionV>
          <wp:extent cx="7558405" cy="792480"/>
          <wp:effectExtent l="0" t="0" r="4445" b="7620"/>
          <wp:wrapNone/>
          <wp:docPr id="491578776" name="Picture 4915787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68961" name="Picture 54926896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2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C4C" w14:textId="0C2F97DB" w:rsidR="00300C95"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2</w:t>
    </w:r>
    <w:r w:rsidRPr="00E559DF">
      <w:fldChar w:fldCharType="end"/>
    </w:r>
    <w:r w:rsidR="00C74B1E">
      <w:rPr>
        <w:noProof/>
      </w:rPr>
      <w:drawing>
        <wp:anchor distT="0" distB="0" distL="114300" distR="114300" simplePos="0" relativeHeight="251662344" behindDoc="1" locked="1" layoutInCell="1" allowOverlap="1" wp14:anchorId="18E16043" wp14:editId="53D0D95F">
          <wp:simplePos x="0" y="0"/>
          <wp:positionH relativeFrom="margin">
            <wp:posOffset>-716280</wp:posOffset>
          </wp:positionH>
          <wp:positionV relativeFrom="margin">
            <wp:posOffset>9018270</wp:posOffset>
          </wp:positionV>
          <wp:extent cx="7558405" cy="792480"/>
          <wp:effectExtent l="0" t="0" r="4445" b="7620"/>
          <wp:wrapNone/>
          <wp:docPr id="549268961" name="Picture 5492689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68961" name="Picture 54926896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2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A305" w14:textId="6AEE8B0D" w:rsidR="0022580C" w:rsidRDefault="0022580C" w:rsidP="0057435B">
      <w:r>
        <w:separator/>
      </w:r>
    </w:p>
  </w:footnote>
  <w:footnote w:type="continuationSeparator" w:id="0">
    <w:p w14:paraId="4DBC4D79" w14:textId="77777777" w:rsidR="0022580C" w:rsidRDefault="0022580C" w:rsidP="0057435B">
      <w:r>
        <w:continuationSeparator/>
      </w:r>
    </w:p>
    <w:p w14:paraId="4BF50338" w14:textId="77777777" w:rsidR="0022580C" w:rsidRDefault="0022580C" w:rsidP="0057435B"/>
  </w:footnote>
  <w:footnote w:type="continuationNotice" w:id="1">
    <w:p w14:paraId="5E088D10" w14:textId="77777777" w:rsidR="0022580C" w:rsidRDefault="0022580C" w:rsidP="0057435B"/>
  </w:footnote>
  <w:footnote w:id="2">
    <w:p w14:paraId="567703B1" w14:textId="1B8BF6B8" w:rsidR="00072883" w:rsidRPr="00FF556E" w:rsidRDefault="00FF556E" w:rsidP="00FF556E">
      <w:pPr>
        <w:pStyle w:val="FootnoteText"/>
      </w:pPr>
      <w:r w:rsidRPr="00FF556E">
        <w:rPr>
          <w:rStyle w:val="FootnoteReference"/>
          <w:vertAlign w:val="baseline"/>
        </w:rPr>
        <w:footnoteRef/>
      </w:r>
      <w:r>
        <w:tab/>
      </w:r>
      <w:r w:rsidR="00B02D02" w:rsidRPr="00FF556E">
        <w:t xml:space="preserve">All insights refer to over the projection period (2024–25 to 2065–66) unless otherwise specified. The main data source for these </w:t>
      </w:r>
      <w:r w:rsidR="00B02D02" w:rsidRPr="00D93D94">
        <w:rPr>
          <w:spacing w:val="-1"/>
        </w:rPr>
        <w:t>projections is the Australian Bureau of Statistics (ABS)</w:t>
      </w:r>
      <w:r w:rsidR="00D93D94" w:rsidRPr="00D93D94">
        <w:rPr>
          <w:spacing w:val="-1"/>
        </w:rPr>
        <w:t>,</w:t>
      </w:r>
      <w:r w:rsidR="00B02D02" w:rsidRPr="00D93D94">
        <w:rPr>
          <w:spacing w:val="-1"/>
        </w:rPr>
        <w:t xml:space="preserve"> </w:t>
      </w:r>
      <w:r w:rsidR="00B02D02" w:rsidRPr="00D93D94">
        <w:rPr>
          <w:i/>
          <w:iCs/>
          <w:spacing w:val="-1"/>
        </w:rPr>
        <w:t>National, state and territory population, March 2025</w:t>
      </w:r>
      <w:r w:rsidR="00B02D02" w:rsidRPr="00D93D94">
        <w:rPr>
          <w:spacing w:val="-1"/>
        </w:rPr>
        <w:t>, released in September</w:t>
      </w:r>
      <w:r w:rsidR="00D93D94" w:rsidRPr="00D93D94">
        <w:rPr>
          <w:spacing w:val="-1"/>
        </w:rPr>
        <w:t> </w:t>
      </w:r>
      <w:r w:rsidR="00B02D02" w:rsidRPr="00D93D94">
        <w:rPr>
          <w:spacing w:val="-1"/>
        </w:rPr>
        <w:t>2025.</w:t>
      </w:r>
      <w:r w:rsidR="00B02D02" w:rsidRPr="00FF556E">
        <w:t xml:space="preserve"> After the projections in this statement were prepared, the ABS released the </w:t>
      </w:r>
      <w:r w:rsidR="00B02D02" w:rsidRPr="00D93D94">
        <w:rPr>
          <w:i/>
          <w:iCs/>
        </w:rPr>
        <w:t>National, state and territory population, June 2025</w:t>
      </w:r>
      <w:r w:rsidR="00B02D02" w:rsidRPr="00FF556E">
        <w:t>.</w:t>
      </w:r>
    </w:p>
  </w:footnote>
  <w:footnote w:id="3">
    <w:p w14:paraId="190A3DB2" w14:textId="672BCED1" w:rsidR="00CD52CD" w:rsidRPr="007706FA" w:rsidRDefault="00FF556E" w:rsidP="007706FA">
      <w:pPr>
        <w:pStyle w:val="FootnoteText"/>
      </w:pPr>
      <w:r w:rsidRPr="007706FA">
        <w:rPr>
          <w:rStyle w:val="FootnoteReference"/>
          <w:vertAlign w:val="baseline"/>
        </w:rPr>
        <w:footnoteRef/>
      </w:r>
      <w:r w:rsidR="007706FA">
        <w:tab/>
      </w:r>
      <w:r w:rsidR="00F979B0" w:rsidRPr="007706FA">
        <w:t xml:space="preserve">The Greater Capital City Statistical </w:t>
      </w:r>
      <w:r w:rsidR="00C45E97" w:rsidRPr="007706FA">
        <w:t>Area</w:t>
      </w:r>
      <w:r w:rsidR="00F979B0" w:rsidRPr="007706FA">
        <w:t xml:space="preserve"> (GCCSA) population statistics </w:t>
      </w:r>
      <w:r w:rsidR="00C45E97" w:rsidRPr="007706FA">
        <w:t>are from</w:t>
      </w:r>
      <w:r w:rsidR="00F979B0" w:rsidRPr="007706FA">
        <w:t xml:space="preserve"> ABS</w:t>
      </w:r>
      <w:r w:rsidR="00D93D94">
        <w:t>,</w:t>
      </w:r>
      <w:r w:rsidR="00F979B0" w:rsidRPr="007706FA">
        <w:t xml:space="preserve"> </w:t>
      </w:r>
      <w:r w:rsidR="00F979B0" w:rsidRPr="00D93D94">
        <w:rPr>
          <w:i/>
          <w:iCs/>
        </w:rPr>
        <w:t xml:space="preserve">Regional </w:t>
      </w:r>
      <w:r w:rsidR="00C45E97" w:rsidRPr="00D93D94">
        <w:rPr>
          <w:i/>
          <w:iCs/>
        </w:rPr>
        <w:t>population, 2023</w:t>
      </w:r>
      <w:r w:rsidR="004C1037" w:rsidRPr="00D93D94">
        <w:rPr>
          <w:i/>
          <w:iCs/>
        </w:rPr>
        <w:t>–</w:t>
      </w:r>
      <w:r w:rsidR="00F979B0" w:rsidRPr="00D93D94">
        <w:rPr>
          <w:i/>
          <w:iCs/>
        </w:rPr>
        <w:t>24,</w:t>
      </w:r>
      <w:r w:rsidR="00F979B0" w:rsidRPr="007706FA">
        <w:t xml:space="preserve"> released on 27</w:t>
      </w:r>
      <w:r w:rsidR="007706FA">
        <w:t> </w:t>
      </w:r>
      <w:r w:rsidR="00F979B0" w:rsidRPr="007706FA">
        <w:t>March</w:t>
      </w:r>
      <w:r w:rsidR="007706FA">
        <w:t> </w:t>
      </w:r>
      <w:r w:rsidR="00F979B0" w:rsidRPr="007706FA">
        <w:t xml:space="preserve">2025. </w:t>
      </w:r>
      <w:r w:rsidR="00C45E97" w:rsidRPr="007706FA">
        <w:t xml:space="preserve">These estimates do not sum to the state and territory estimates largely due to the implementation of the net interstate migration review, released </w:t>
      </w:r>
      <w:r w:rsidR="00122D06" w:rsidRPr="007706FA">
        <w:t xml:space="preserve">by the ABS </w:t>
      </w:r>
      <w:r w:rsidR="00C45E97" w:rsidRPr="007706FA">
        <w:t xml:space="preserve">on 19 June 2025. Corresponding sub-state revisions will be included in the next scheduled release of </w:t>
      </w:r>
      <w:r w:rsidR="00C45E97" w:rsidRPr="00D93D94">
        <w:rPr>
          <w:i/>
          <w:iCs/>
        </w:rPr>
        <w:t>Regional population, 2024</w:t>
      </w:r>
      <w:r w:rsidR="004C1037" w:rsidRPr="00D93D94">
        <w:rPr>
          <w:i/>
          <w:iCs/>
        </w:rPr>
        <w:t>–</w:t>
      </w:r>
      <w:r w:rsidR="00C45E97" w:rsidRPr="00D93D94">
        <w:rPr>
          <w:i/>
          <w:iCs/>
        </w:rPr>
        <w:t>25</w:t>
      </w:r>
      <w:r w:rsidR="00D93D94">
        <w:t>,</w:t>
      </w:r>
      <w:r w:rsidR="00C45E97" w:rsidRPr="007706FA">
        <w:t xml:space="preserve"> on 31</w:t>
      </w:r>
      <w:r w:rsidR="00CE3E99" w:rsidRPr="007706FA">
        <w:t> </w:t>
      </w:r>
      <w:r w:rsidR="00C45E97" w:rsidRPr="007706FA">
        <w:t>March 2026.</w:t>
      </w:r>
    </w:p>
  </w:footnote>
  <w:footnote w:id="4">
    <w:p w14:paraId="31CB41DC" w14:textId="5480DBAB" w:rsidR="009609AB" w:rsidRPr="007706FA" w:rsidRDefault="00FF556E" w:rsidP="007706FA">
      <w:pPr>
        <w:pStyle w:val="FootnoteText"/>
      </w:pPr>
      <w:r w:rsidRPr="007706FA">
        <w:rPr>
          <w:rStyle w:val="FootnoteReference"/>
          <w:vertAlign w:val="baseline"/>
        </w:rPr>
        <w:footnoteRef/>
      </w:r>
      <w:r w:rsidR="007706FA">
        <w:tab/>
      </w:r>
      <w:r w:rsidR="009609AB" w:rsidRPr="007706FA">
        <w:t>Estimates beyond 2035–36 are experimental.</w:t>
      </w:r>
    </w:p>
  </w:footnote>
  <w:footnote w:id="5">
    <w:p w14:paraId="53616929" w14:textId="5C84AABF" w:rsidR="00F979B0" w:rsidRDefault="00FF556E" w:rsidP="007706FA">
      <w:pPr>
        <w:pStyle w:val="FootnoteText"/>
      </w:pPr>
      <w:r w:rsidRPr="007706FA">
        <w:rPr>
          <w:rStyle w:val="FootnoteReference"/>
          <w:vertAlign w:val="baseline"/>
        </w:rPr>
        <w:footnoteRef/>
      </w:r>
      <w:r w:rsidR="007706FA">
        <w:tab/>
      </w:r>
      <w:r w:rsidR="00E54EA2" w:rsidRPr="007706FA">
        <w:t xml:space="preserve">The total fertility rates for </w:t>
      </w:r>
      <w:r w:rsidR="005C59D3" w:rsidRPr="007706FA">
        <w:t>g</w:t>
      </w:r>
      <w:r w:rsidR="00E54EA2" w:rsidRPr="007706FA">
        <w:t xml:space="preserve">reater </w:t>
      </w:r>
      <w:r w:rsidR="005C59D3" w:rsidRPr="007706FA">
        <w:t>c</w:t>
      </w:r>
      <w:r w:rsidR="00E54EA2" w:rsidRPr="007706FA">
        <w:t xml:space="preserve">apital </w:t>
      </w:r>
      <w:r w:rsidR="005C59D3" w:rsidRPr="007706FA">
        <w:t>c</w:t>
      </w:r>
      <w:r w:rsidR="00E54EA2" w:rsidRPr="007706FA">
        <w:t xml:space="preserve">ity and </w:t>
      </w:r>
      <w:r w:rsidR="005C59D3" w:rsidRPr="007706FA">
        <w:t>r</w:t>
      </w:r>
      <w:r w:rsidR="00E54EA2" w:rsidRPr="007706FA">
        <w:t>est-of-</w:t>
      </w:r>
      <w:r w:rsidR="005C59D3" w:rsidRPr="007706FA">
        <w:t>s</w:t>
      </w:r>
      <w:r w:rsidR="00E54EA2" w:rsidRPr="007706FA">
        <w:t>tate areas have been estimated for 2023–24.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D254" w14:textId="7BB7A77A" w:rsidR="00D459DB" w:rsidRPr="00D459DB" w:rsidRDefault="00C63196" w:rsidP="00C85D9C">
    <w:pPr>
      <w:pStyle w:val="Header"/>
    </w:pPr>
    <w:r>
      <w:rPr>
        <w:noProof/>
      </w:rPr>
      <mc:AlternateContent>
        <mc:Choice Requires="wps">
          <w:drawing>
            <wp:anchor distT="0" distB="0" distL="114300" distR="114300" simplePos="0" relativeHeight="251658241" behindDoc="1" locked="1" layoutInCell="1" allowOverlap="1" wp14:anchorId="16192E7D" wp14:editId="209F6321">
              <wp:simplePos x="18661" y="27992"/>
              <wp:positionH relativeFrom="page">
                <wp:align>left</wp:align>
              </wp:positionH>
              <wp:positionV relativeFrom="page">
                <wp:align>top</wp:align>
              </wp:positionV>
              <wp:extent cx="7560000" cy="360000"/>
              <wp:effectExtent l="0" t="0" r="3175" b="254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60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6BA49" id="Rectangle 5" o:spid="_x0000_s1026" alt="&quot;&quot;" style="position:absolute;margin-left:0;margin-top:0;width:595.3pt;height:28.3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" fillcolor="#002c47 [3204]" stroked="f" strokeweight="2pt">
              <w10:wrap anchorx="page" anchory="page"/>
              <w10:anchorlock/>
            </v:rect>
          </w:pict>
        </mc:Fallback>
      </mc:AlternateContent>
    </w:r>
    <w:r w:rsidR="007A7CFF">
      <w:fldChar w:fldCharType="begin"/>
    </w:r>
    <w:r w:rsidR="007A7CFF">
      <w:instrText xml:space="preserve"> STYLEREF  "Fact sheet title"  \* MERGEFORMAT </w:instrText>
    </w:r>
    <w:r w:rsidR="007A7CFF">
      <w:fldChar w:fldCharType="separate"/>
    </w:r>
    <w:r w:rsidR="00655EAA">
      <w:rPr>
        <w:b w:val="0"/>
        <w:bCs/>
        <w:noProof/>
        <w:lang w:val="en-US"/>
      </w:rPr>
      <w:t>Error! Use the Home tab to apply Fact sheet title to the text that you want to appear here.</w:t>
    </w:r>
    <w:r w:rsidR="007A7CF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8E7F" w14:textId="5D1FAB8E" w:rsidR="009C0388" w:rsidRPr="006D182A" w:rsidRDefault="006D182A" w:rsidP="009C0388">
    <w:pPr>
      <w:pStyle w:val="Header"/>
    </w:pPr>
    <w:r w:rsidRPr="00840E02">
      <w:rPr>
        <w:noProof/>
      </w:rPr>
      <mc:AlternateContent>
        <mc:Choice Requires="wps">
          <w:drawing>
            <wp:anchor distT="0" distB="0" distL="114300" distR="114300" simplePos="0" relativeHeight="251658246" behindDoc="1" locked="1" layoutInCell="1" allowOverlap="1" wp14:anchorId="1382FE53" wp14:editId="04F035C5">
              <wp:simplePos x="0" y="0"/>
              <wp:positionH relativeFrom="page">
                <wp:align>left</wp:align>
              </wp:positionH>
              <wp:positionV relativeFrom="page">
                <wp:align>top</wp:align>
              </wp:positionV>
              <wp:extent cx="7559675" cy="428625"/>
              <wp:effectExtent l="0" t="0" r="3175" b="952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42862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E80D7" id="Rectangle 6" o:spid="_x0000_s1026" alt="&quot;&quot;" style="position:absolute;margin-left:0;margin-top:0;width:595.25pt;height:33.75pt;z-index:-25165823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" fillcolor="#002c47 [3204]" stroked="f" strokeweight="2pt">
              <w10:wrap anchorx="page" anchory="page"/>
              <w10:anchorlock/>
            </v:rect>
          </w:pict>
        </mc:Fallback>
      </mc:AlternateContent>
    </w:r>
    <w:r w:rsidR="009C0388" w:rsidRPr="00840E02">
      <w:rPr>
        <w:noProof/>
      </w:rPr>
      <mc:AlternateContent>
        <mc:Choice Requires="wps">
          <w:drawing>
            <wp:anchor distT="0" distB="0" distL="114300" distR="114300" simplePos="0" relativeHeight="251666440" behindDoc="1" locked="1" layoutInCell="1" allowOverlap="1" wp14:anchorId="28EEFC76" wp14:editId="6885F0BF">
              <wp:simplePos x="0" y="0"/>
              <wp:positionH relativeFrom="page">
                <wp:align>left</wp:align>
              </wp:positionH>
              <wp:positionV relativeFrom="page">
                <wp:align>top</wp:align>
              </wp:positionV>
              <wp:extent cx="7559675" cy="428625"/>
              <wp:effectExtent l="0" t="0" r="3175" b="9525"/>
              <wp:wrapNone/>
              <wp:docPr id="1864680385" name="Rectangle 18646803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42862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20282" id="Rectangle 1864680385" o:spid="_x0000_s1026" alt="&quot;&quot;" style="position:absolute;margin-left:0;margin-top:0;width:595.25pt;height:33.75pt;z-index:-2516500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" fillcolor="#002c47 [3204]" stroked="f" strokeweight="2pt">
              <w10:wrap anchorx="page" anchory="page"/>
              <w10:anchorlock/>
            </v:rect>
          </w:pict>
        </mc:Fallback>
      </mc:AlternateContent>
    </w:r>
    <w:fldSimple w:instr=" STYLEREF  &quot;Title - Population Statement&quot;  \* MERGEFORMAT ">
      <w:r w:rsidR="00FE62BE">
        <w:rPr>
          <w:noProof/>
        </w:rPr>
        <w:t>2025 Population Statement</w:t>
      </w:r>
    </w:fldSimple>
    <w:r w:rsidR="00A21DC1">
      <w:rPr>
        <w:noProof/>
      </w:rPr>
      <w:t>:</w:t>
    </w:r>
    <w:r w:rsidR="009C0388" w:rsidRPr="006D67D4">
      <w:t xml:space="preserve"> </w:t>
    </w:r>
    <w:fldSimple w:instr=" STYLEREF  &quot;Title - State/Territory&quot;  \* MERGEFORMAT ">
      <w:r w:rsidR="00FE62BE">
        <w:rPr>
          <w:noProof/>
        </w:rPr>
        <w:t>South Australia snapshot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62A8" w14:textId="666D2E80" w:rsidR="00300C95" w:rsidRDefault="00C74B1E" w:rsidP="00C85D9C">
    <w:pPr>
      <w:pStyle w:val="Header"/>
    </w:pPr>
    <w:r>
      <w:rPr>
        <w:noProof/>
      </w:rPr>
      <w:drawing>
        <wp:anchor distT="0" distB="0" distL="114300" distR="114300" simplePos="0" relativeHeight="251664392" behindDoc="1" locked="1" layoutInCell="1" allowOverlap="1" wp14:anchorId="059DD4BF" wp14:editId="74B19921">
          <wp:simplePos x="0" y="0"/>
          <wp:positionH relativeFrom="page">
            <wp:posOffset>3175</wp:posOffset>
          </wp:positionH>
          <wp:positionV relativeFrom="page">
            <wp:posOffset>-1905</wp:posOffset>
          </wp:positionV>
          <wp:extent cx="7560000" cy="1618271"/>
          <wp:effectExtent l="0" t="0" r="3175" b="1270"/>
          <wp:wrapNone/>
          <wp:docPr id="383627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272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6182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6A4292"/>
    <w:multiLevelType w:val="multilevel"/>
    <w:tmpl w:val="AE9E989E"/>
    <w:name w:val="StandardNumberedList"/>
    <w:lvl w:ilvl="0">
      <w:start w:val="1"/>
      <w:numFmt w:val="decimal"/>
      <w:pStyle w:val="OutlineNumbered1"/>
      <w:lvlText w:val="%1."/>
      <w:lvlJc w:val="left"/>
      <w:pPr>
        <w:ind w:left="567" w:hanging="567"/>
      </w:pPr>
      <w:rPr>
        <w:rFonts w:hint="default"/>
      </w:rPr>
    </w:lvl>
    <w:lvl w:ilvl="1">
      <w:start w:val="1"/>
      <w:numFmt w:val="decimal"/>
      <w:pStyle w:val="OutlineNumbered2"/>
      <w:lvlText w:val="%1.%2."/>
      <w:lvlJc w:val="left"/>
      <w:pPr>
        <w:ind w:left="1134" w:hanging="567"/>
      </w:pPr>
      <w:rPr>
        <w:rFonts w:hint="default"/>
      </w:rPr>
    </w:lvl>
    <w:lvl w:ilvl="2">
      <w:start w:val="1"/>
      <w:numFmt w:val="decimal"/>
      <w:pStyle w:val="OutlineNumbered3"/>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10980E7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1F71F29"/>
    <w:multiLevelType w:val="multilevel"/>
    <w:tmpl w:val="CA3AB1DC"/>
    <w:lvl w:ilvl="0">
      <w:start w:val="1"/>
      <w:numFmt w:val="decimal"/>
      <w:lvlText w:val="Table %1."/>
      <w:lvlJc w:val="left"/>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84391D"/>
    <w:multiLevelType w:val="multilevel"/>
    <w:tmpl w:val="87F08C60"/>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7BD2659"/>
    <w:multiLevelType w:val="hybridMultilevel"/>
    <w:tmpl w:val="B688043A"/>
    <w:lvl w:ilvl="0" w:tplc="117AB192">
      <w:start w:val="7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6B5224"/>
    <w:multiLevelType w:val="multilevel"/>
    <w:tmpl w:val="CA20E022"/>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62938207">
    <w:abstractNumId w:val="2"/>
  </w:num>
  <w:num w:numId="2" w16cid:durableId="96337980">
    <w:abstractNumId w:val="11"/>
  </w:num>
  <w:num w:numId="3" w16cid:durableId="1889341095">
    <w:abstractNumId w:val="8"/>
  </w:num>
  <w:num w:numId="4" w16cid:durableId="216212289">
    <w:abstractNumId w:val="10"/>
  </w:num>
  <w:num w:numId="5" w16cid:durableId="2008171716">
    <w:abstractNumId w:val="4"/>
  </w:num>
  <w:num w:numId="6" w16cid:durableId="1880582053">
    <w:abstractNumId w:val="0"/>
  </w:num>
  <w:num w:numId="7" w16cid:durableId="1278635914">
    <w:abstractNumId w:val="12"/>
  </w:num>
  <w:num w:numId="8" w16cid:durableId="204610306">
    <w:abstractNumId w:val="1"/>
  </w:num>
  <w:num w:numId="9" w16cid:durableId="690108307">
    <w:abstractNumId w:val="5"/>
  </w:num>
  <w:num w:numId="10" w16cid:durableId="731267871">
    <w:abstractNumId w:val="6"/>
  </w:num>
  <w:num w:numId="11" w16cid:durableId="1042363510">
    <w:abstractNumId w:val="3"/>
  </w:num>
  <w:num w:numId="12" w16cid:durableId="709959525">
    <w:abstractNumId w:val="7"/>
  </w:num>
  <w:num w:numId="13" w16cid:durableId="145590109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D40CA5"/>
    <w:rsid w:val="000009F0"/>
    <w:rsid w:val="00001C6C"/>
    <w:rsid w:val="0000296B"/>
    <w:rsid w:val="0000400D"/>
    <w:rsid w:val="0000498D"/>
    <w:rsid w:val="000053C7"/>
    <w:rsid w:val="000055FE"/>
    <w:rsid w:val="00015CFE"/>
    <w:rsid w:val="00016670"/>
    <w:rsid w:val="00016B6C"/>
    <w:rsid w:val="00017D9D"/>
    <w:rsid w:val="0002151A"/>
    <w:rsid w:val="00025DE6"/>
    <w:rsid w:val="00033942"/>
    <w:rsid w:val="00037810"/>
    <w:rsid w:val="00041A3D"/>
    <w:rsid w:val="000421F9"/>
    <w:rsid w:val="000444C0"/>
    <w:rsid w:val="00045C24"/>
    <w:rsid w:val="000512AA"/>
    <w:rsid w:val="0005272A"/>
    <w:rsid w:val="00053DC9"/>
    <w:rsid w:val="00060C76"/>
    <w:rsid w:val="0006166C"/>
    <w:rsid w:val="00061BB2"/>
    <w:rsid w:val="00066D38"/>
    <w:rsid w:val="00067E65"/>
    <w:rsid w:val="00072883"/>
    <w:rsid w:val="000753CE"/>
    <w:rsid w:val="00081B14"/>
    <w:rsid w:val="000858B5"/>
    <w:rsid w:val="000900B2"/>
    <w:rsid w:val="00095F17"/>
    <w:rsid w:val="00097CA5"/>
    <w:rsid w:val="000A13C1"/>
    <w:rsid w:val="000A151E"/>
    <w:rsid w:val="000A3BD8"/>
    <w:rsid w:val="000A405A"/>
    <w:rsid w:val="000A4D2D"/>
    <w:rsid w:val="000B1EC3"/>
    <w:rsid w:val="000B2B22"/>
    <w:rsid w:val="000B3C90"/>
    <w:rsid w:val="000C02C9"/>
    <w:rsid w:val="000C0F77"/>
    <w:rsid w:val="000C2827"/>
    <w:rsid w:val="000C3C1E"/>
    <w:rsid w:val="000C4EA1"/>
    <w:rsid w:val="000D24D9"/>
    <w:rsid w:val="000D33F2"/>
    <w:rsid w:val="000D5650"/>
    <w:rsid w:val="000D6275"/>
    <w:rsid w:val="000D7D2F"/>
    <w:rsid w:val="000E324C"/>
    <w:rsid w:val="000F1F07"/>
    <w:rsid w:val="000F2493"/>
    <w:rsid w:val="000F2562"/>
    <w:rsid w:val="000F33C9"/>
    <w:rsid w:val="000F4915"/>
    <w:rsid w:val="000F7A0C"/>
    <w:rsid w:val="000F7C6E"/>
    <w:rsid w:val="00102238"/>
    <w:rsid w:val="00104365"/>
    <w:rsid w:val="00104BC1"/>
    <w:rsid w:val="00105EBE"/>
    <w:rsid w:val="00113F51"/>
    <w:rsid w:val="001145FD"/>
    <w:rsid w:val="00115B2E"/>
    <w:rsid w:val="0011628E"/>
    <w:rsid w:val="00116DE8"/>
    <w:rsid w:val="00122D06"/>
    <w:rsid w:val="0012348A"/>
    <w:rsid w:val="0012513E"/>
    <w:rsid w:val="00125FBD"/>
    <w:rsid w:val="00132AF9"/>
    <w:rsid w:val="001363E7"/>
    <w:rsid w:val="001376CC"/>
    <w:rsid w:val="00137BE1"/>
    <w:rsid w:val="00140697"/>
    <w:rsid w:val="00141694"/>
    <w:rsid w:val="0014178A"/>
    <w:rsid w:val="001431E7"/>
    <w:rsid w:val="00144B84"/>
    <w:rsid w:val="00147D84"/>
    <w:rsid w:val="001520EB"/>
    <w:rsid w:val="00152409"/>
    <w:rsid w:val="001543C6"/>
    <w:rsid w:val="001550A9"/>
    <w:rsid w:val="00156930"/>
    <w:rsid w:val="001569BD"/>
    <w:rsid w:val="00160FEA"/>
    <w:rsid w:val="00161768"/>
    <w:rsid w:val="001629BE"/>
    <w:rsid w:val="001647CA"/>
    <w:rsid w:val="001668B4"/>
    <w:rsid w:val="001669BA"/>
    <w:rsid w:val="00166A45"/>
    <w:rsid w:val="001710A6"/>
    <w:rsid w:val="00172183"/>
    <w:rsid w:val="00174954"/>
    <w:rsid w:val="00176F01"/>
    <w:rsid w:val="00182642"/>
    <w:rsid w:val="001829CB"/>
    <w:rsid w:val="00182E9E"/>
    <w:rsid w:val="00183F40"/>
    <w:rsid w:val="00190D7B"/>
    <w:rsid w:val="00192367"/>
    <w:rsid w:val="001929D8"/>
    <w:rsid w:val="00195605"/>
    <w:rsid w:val="00197414"/>
    <w:rsid w:val="001A3339"/>
    <w:rsid w:val="001A3B0E"/>
    <w:rsid w:val="001A3D6F"/>
    <w:rsid w:val="001A4AB5"/>
    <w:rsid w:val="001A5155"/>
    <w:rsid w:val="001A5DCC"/>
    <w:rsid w:val="001B1CC5"/>
    <w:rsid w:val="001B2414"/>
    <w:rsid w:val="001B369A"/>
    <w:rsid w:val="001B3A29"/>
    <w:rsid w:val="001B540E"/>
    <w:rsid w:val="001B5EB6"/>
    <w:rsid w:val="001B6183"/>
    <w:rsid w:val="001B6737"/>
    <w:rsid w:val="001C5117"/>
    <w:rsid w:val="001C5149"/>
    <w:rsid w:val="001C78AE"/>
    <w:rsid w:val="001D183F"/>
    <w:rsid w:val="001D189D"/>
    <w:rsid w:val="001D277E"/>
    <w:rsid w:val="001D42EA"/>
    <w:rsid w:val="001D45A4"/>
    <w:rsid w:val="001E5511"/>
    <w:rsid w:val="001E5623"/>
    <w:rsid w:val="001E6DC2"/>
    <w:rsid w:val="001E7840"/>
    <w:rsid w:val="001E7CF5"/>
    <w:rsid w:val="001F50DA"/>
    <w:rsid w:val="002007A8"/>
    <w:rsid w:val="002017F3"/>
    <w:rsid w:val="002020E1"/>
    <w:rsid w:val="002023B0"/>
    <w:rsid w:val="00202666"/>
    <w:rsid w:val="00203245"/>
    <w:rsid w:val="0020493B"/>
    <w:rsid w:val="00205245"/>
    <w:rsid w:val="00205F44"/>
    <w:rsid w:val="002076FB"/>
    <w:rsid w:val="002105F8"/>
    <w:rsid w:val="00212010"/>
    <w:rsid w:val="00212B78"/>
    <w:rsid w:val="0021350E"/>
    <w:rsid w:val="00213CCD"/>
    <w:rsid w:val="00215EE7"/>
    <w:rsid w:val="00222188"/>
    <w:rsid w:val="00223BDD"/>
    <w:rsid w:val="00223D87"/>
    <w:rsid w:val="002250A9"/>
    <w:rsid w:val="0022580C"/>
    <w:rsid w:val="002268AB"/>
    <w:rsid w:val="00226F00"/>
    <w:rsid w:val="0022749C"/>
    <w:rsid w:val="00227C77"/>
    <w:rsid w:val="002310FF"/>
    <w:rsid w:val="002314CC"/>
    <w:rsid w:val="002337D6"/>
    <w:rsid w:val="0023382E"/>
    <w:rsid w:val="00233887"/>
    <w:rsid w:val="00233A88"/>
    <w:rsid w:val="00241B9A"/>
    <w:rsid w:val="0024226F"/>
    <w:rsid w:val="00244AED"/>
    <w:rsid w:val="00244C77"/>
    <w:rsid w:val="00245342"/>
    <w:rsid w:val="002462BD"/>
    <w:rsid w:val="00250564"/>
    <w:rsid w:val="002506EF"/>
    <w:rsid w:val="00255E4E"/>
    <w:rsid w:val="0025753E"/>
    <w:rsid w:val="002576AD"/>
    <w:rsid w:val="00260712"/>
    <w:rsid w:val="00263339"/>
    <w:rsid w:val="00267852"/>
    <w:rsid w:val="00270F58"/>
    <w:rsid w:val="002711B5"/>
    <w:rsid w:val="00273592"/>
    <w:rsid w:val="002809F6"/>
    <w:rsid w:val="00283303"/>
    <w:rsid w:val="0028679E"/>
    <w:rsid w:val="00287F32"/>
    <w:rsid w:val="0029024D"/>
    <w:rsid w:val="0029134D"/>
    <w:rsid w:val="00291A88"/>
    <w:rsid w:val="002931D0"/>
    <w:rsid w:val="00293681"/>
    <w:rsid w:val="002978C8"/>
    <w:rsid w:val="002A0B32"/>
    <w:rsid w:val="002A38E9"/>
    <w:rsid w:val="002A4B83"/>
    <w:rsid w:val="002A6430"/>
    <w:rsid w:val="002A79C5"/>
    <w:rsid w:val="002B335D"/>
    <w:rsid w:val="002B3A37"/>
    <w:rsid w:val="002B3F62"/>
    <w:rsid w:val="002C26D9"/>
    <w:rsid w:val="002C5875"/>
    <w:rsid w:val="002C6211"/>
    <w:rsid w:val="002C6A32"/>
    <w:rsid w:val="002C787A"/>
    <w:rsid w:val="002D06D1"/>
    <w:rsid w:val="002D49D1"/>
    <w:rsid w:val="002D53CB"/>
    <w:rsid w:val="002D544B"/>
    <w:rsid w:val="002D73B3"/>
    <w:rsid w:val="002D7B23"/>
    <w:rsid w:val="002D7F9B"/>
    <w:rsid w:val="002E0DC9"/>
    <w:rsid w:val="002E130A"/>
    <w:rsid w:val="002E3557"/>
    <w:rsid w:val="002E59B1"/>
    <w:rsid w:val="002F417B"/>
    <w:rsid w:val="002F6ADC"/>
    <w:rsid w:val="002F770F"/>
    <w:rsid w:val="00300C95"/>
    <w:rsid w:val="00301EA9"/>
    <w:rsid w:val="00304CD2"/>
    <w:rsid w:val="003054A8"/>
    <w:rsid w:val="00306770"/>
    <w:rsid w:val="00307DA3"/>
    <w:rsid w:val="003119B8"/>
    <w:rsid w:val="00314A82"/>
    <w:rsid w:val="00314C7E"/>
    <w:rsid w:val="00326DD4"/>
    <w:rsid w:val="00327D31"/>
    <w:rsid w:val="003305CA"/>
    <w:rsid w:val="00331775"/>
    <w:rsid w:val="00334083"/>
    <w:rsid w:val="003340E7"/>
    <w:rsid w:val="00336CF2"/>
    <w:rsid w:val="0034064A"/>
    <w:rsid w:val="0034564D"/>
    <w:rsid w:val="00346258"/>
    <w:rsid w:val="00353078"/>
    <w:rsid w:val="00353390"/>
    <w:rsid w:val="00353721"/>
    <w:rsid w:val="00357340"/>
    <w:rsid w:val="00357842"/>
    <w:rsid w:val="00362A1D"/>
    <w:rsid w:val="00364112"/>
    <w:rsid w:val="00365E6B"/>
    <w:rsid w:val="00372AC1"/>
    <w:rsid w:val="003802F4"/>
    <w:rsid w:val="00381F4A"/>
    <w:rsid w:val="00382BAB"/>
    <w:rsid w:val="003831AB"/>
    <w:rsid w:val="00383C83"/>
    <w:rsid w:val="0038494D"/>
    <w:rsid w:val="00390C06"/>
    <w:rsid w:val="00396724"/>
    <w:rsid w:val="003A1FA4"/>
    <w:rsid w:val="003A2E93"/>
    <w:rsid w:val="003A4484"/>
    <w:rsid w:val="003A621C"/>
    <w:rsid w:val="003A63D1"/>
    <w:rsid w:val="003B1315"/>
    <w:rsid w:val="003B17B9"/>
    <w:rsid w:val="003C047D"/>
    <w:rsid w:val="003C0A57"/>
    <w:rsid w:val="003C4F86"/>
    <w:rsid w:val="003C632E"/>
    <w:rsid w:val="003C76A6"/>
    <w:rsid w:val="003C789B"/>
    <w:rsid w:val="003D01C1"/>
    <w:rsid w:val="003E26C5"/>
    <w:rsid w:val="003E3B7C"/>
    <w:rsid w:val="003E5205"/>
    <w:rsid w:val="003E79AD"/>
    <w:rsid w:val="003E7CAC"/>
    <w:rsid w:val="003F004F"/>
    <w:rsid w:val="003F0867"/>
    <w:rsid w:val="003F0C74"/>
    <w:rsid w:val="003F2E2F"/>
    <w:rsid w:val="003F424B"/>
    <w:rsid w:val="003F4EC9"/>
    <w:rsid w:val="003F4FBB"/>
    <w:rsid w:val="003F5D9E"/>
    <w:rsid w:val="003F6D1C"/>
    <w:rsid w:val="003F7BA5"/>
    <w:rsid w:val="00400898"/>
    <w:rsid w:val="004012B6"/>
    <w:rsid w:val="00404231"/>
    <w:rsid w:val="00413ACA"/>
    <w:rsid w:val="00414E60"/>
    <w:rsid w:val="00415814"/>
    <w:rsid w:val="00420B29"/>
    <w:rsid w:val="004211C0"/>
    <w:rsid w:val="00425E05"/>
    <w:rsid w:val="00431397"/>
    <w:rsid w:val="00442C7E"/>
    <w:rsid w:val="00442F89"/>
    <w:rsid w:val="004455F9"/>
    <w:rsid w:val="00450CCE"/>
    <w:rsid w:val="00450E08"/>
    <w:rsid w:val="0045419A"/>
    <w:rsid w:val="004542B7"/>
    <w:rsid w:val="004546DC"/>
    <w:rsid w:val="00463D4E"/>
    <w:rsid w:val="00466F47"/>
    <w:rsid w:val="004708F6"/>
    <w:rsid w:val="00470BA0"/>
    <w:rsid w:val="0047128E"/>
    <w:rsid w:val="00472E69"/>
    <w:rsid w:val="0047348D"/>
    <w:rsid w:val="0047507F"/>
    <w:rsid w:val="00477439"/>
    <w:rsid w:val="004803BA"/>
    <w:rsid w:val="00480533"/>
    <w:rsid w:val="004808D7"/>
    <w:rsid w:val="00484F45"/>
    <w:rsid w:val="00485A3D"/>
    <w:rsid w:val="00486A0B"/>
    <w:rsid w:val="00486B7C"/>
    <w:rsid w:val="00490C62"/>
    <w:rsid w:val="00494D48"/>
    <w:rsid w:val="00496135"/>
    <w:rsid w:val="0049673E"/>
    <w:rsid w:val="0049688B"/>
    <w:rsid w:val="00496C34"/>
    <w:rsid w:val="004A0D05"/>
    <w:rsid w:val="004A2AFD"/>
    <w:rsid w:val="004A37EA"/>
    <w:rsid w:val="004A4424"/>
    <w:rsid w:val="004A57B1"/>
    <w:rsid w:val="004A57CB"/>
    <w:rsid w:val="004A58EE"/>
    <w:rsid w:val="004A67CF"/>
    <w:rsid w:val="004B08DC"/>
    <w:rsid w:val="004B1F82"/>
    <w:rsid w:val="004B392F"/>
    <w:rsid w:val="004B4BE9"/>
    <w:rsid w:val="004B56B0"/>
    <w:rsid w:val="004B58D0"/>
    <w:rsid w:val="004B5D43"/>
    <w:rsid w:val="004C1037"/>
    <w:rsid w:val="004C20FA"/>
    <w:rsid w:val="004C5917"/>
    <w:rsid w:val="004C5E48"/>
    <w:rsid w:val="004D0778"/>
    <w:rsid w:val="004D267B"/>
    <w:rsid w:val="004D397C"/>
    <w:rsid w:val="004D4DEB"/>
    <w:rsid w:val="004D75F6"/>
    <w:rsid w:val="004E042F"/>
    <w:rsid w:val="004E0586"/>
    <w:rsid w:val="004E255C"/>
    <w:rsid w:val="004E386F"/>
    <w:rsid w:val="004E424B"/>
    <w:rsid w:val="004E71FE"/>
    <w:rsid w:val="004E769F"/>
    <w:rsid w:val="004F1E20"/>
    <w:rsid w:val="004F24D0"/>
    <w:rsid w:val="004F793E"/>
    <w:rsid w:val="004F79E7"/>
    <w:rsid w:val="00502AB5"/>
    <w:rsid w:val="00502E10"/>
    <w:rsid w:val="0050368C"/>
    <w:rsid w:val="00505009"/>
    <w:rsid w:val="00506BF4"/>
    <w:rsid w:val="00507097"/>
    <w:rsid w:val="00511D3F"/>
    <w:rsid w:val="0051600D"/>
    <w:rsid w:val="00516FB2"/>
    <w:rsid w:val="00522705"/>
    <w:rsid w:val="00523AE4"/>
    <w:rsid w:val="00524DCE"/>
    <w:rsid w:val="00525050"/>
    <w:rsid w:val="005302F4"/>
    <w:rsid w:val="0053110F"/>
    <w:rsid w:val="005313C4"/>
    <w:rsid w:val="00533FEF"/>
    <w:rsid w:val="00535C81"/>
    <w:rsid w:val="0053671D"/>
    <w:rsid w:val="005409D4"/>
    <w:rsid w:val="00544FAE"/>
    <w:rsid w:val="0054633B"/>
    <w:rsid w:val="00546D8E"/>
    <w:rsid w:val="00546FDD"/>
    <w:rsid w:val="00551340"/>
    <w:rsid w:val="00554EAF"/>
    <w:rsid w:val="00556850"/>
    <w:rsid w:val="005606FD"/>
    <w:rsid w:val="00560F39"/>
    <w:rsid w:val="005619CA"/>
    <w:rsid w:val="0056223C"/>
    <w:rsid w:val="00565A52"/>
    <w:rsid w:val="00566AD8"/>
    <w:rsid w:val="00566BC2"/>
    <w:rsid w:val="00567948"/>
    <w:rsid w:val="00570B86"/>
    <w:rsid w:val="005732EB"/>
    <w:rsid w:val="0057435B"/>
    <w:rsid w:val="00574541"/>
    <w:rsid w:val="0057541B"/>
    <w:rsid w:val="00575438"/>
    <w:rsid w:val="005803BF"/>
    <w:rsid w:val="005814A7"/>
    <w:rsid w:val="00582FAD"/>
    <w:rsid w:val="00585581"/>
    <w:rsid w:val="00585F7E"/>
    <w:rsid w:val="00590A4D"/>
    <w:rsid w:val="00590CF2"/>
    <w:rsid w:val="005926D5"/>
    <w:rsid w:val="00594ABF"/>
    <w:rsid w:val="0059558C"/>
    <w:rsid w:val="00596A70"/>
    <w:rsid w:val="00596FBA"/>
    <w:rsid w:val="005A11E6"/>
    <w:rsid w:val="005A2484"/>
    <w:rsid w:val="005A6A61"/>
    <w:rsid w:val="005B0968"/>
    <w:rsid w:val="005B207E"/>
    <w:rsid w:val="005B2484"/>
    <w:rsid w:val="005B325F"/>
    <w:rsid w:val="005B3871"/>
    <w:rsid w:val="005B659D"/>
    <w:rsid w:val="005B6B98"/>
    <w:rsid w:val="005C1326"/>
    <w:rsid w:val="005C3527"/>
    <w:rsid w:val="005C46F0"/>
    <w:rsid w:val="005C4B02"/>
    <w:rsid w:val="005C59D3"/>
    <w:rsid w:val="005D4B18"/>
    <w:rsid w:val="005D75A1"/>
    <w:rsid w:val="005E213F"/>
    <w:rsid w:val="005E4AF0"/>
    <w:rsid w:val="005E62D6"/>
    <w:rsid w:val="005E6DF5"/>
    <w:rsid w:val="005F0FBF"/>
    <w:rsid w:val="006014A0"/>
    <w:rsid w:val="00601643"/>
    <w:rsid w:val="00612B10"/>
    <w:rsid w:val="00614971"/>
    <w:rsid w:val="006204A1"/>
    <w:rsid w:val="006210EF"/>
    <w:rsid w:val="00624E9A"/>
    <w:rsid w:val="00625B49"/>
    <w:rsid w:val="00627218"/>
    <w:rsid w:val="006308B5"/>
    <w:rsid w:val="006308BA"/>
    <w:rsid w:val="00631080"/>
    <w:rsid w:val="006323B0"/>
    <w:rsid w:val="006355D1"/>
    <w:rsid w:val="00635DD4"/>
    <w:rsid w:val="00637692"/>
    <w:rsid w:val="0064191E"/>
    <w:rsid w:val="0064199E"/>
    <w:rsid w:val="006440E5"/>
    <w:rsid w:val="006445E7"/>
    <w:rsid w:val="00644DA8"/>
    <w:rsid w:val="0064704A"/>
    <w:rsid w:val="00647B25"/>
    <w:rsid w:val="0065033A"/>
    <w:rsid w:val="00650678"/>
    <w:rsid w:val="006508D9"/>
    <w:rsid w:val="006509A9"/>
    <w:rsid w:val="00655EAA"/>
    <w:rsid w:val="00664057"/>
    <w:rsid w:val="006654F3"/>
    <w:rsid w:val="006702B0"/>
    <w:rsid w:val="0067B610"/>
    <w:rsid w:val="006800EF"/>
    <w:rsid w:val="00683DCA"/>
    <w:rsid w:val="00685EE2"/>
    <w:rsid w:val="006916AD"/>
    <w:rsid w:val="00691F28"/>
    <w:rsid w:val="00694B4F"/>
    <w:rsid w:val="006A118D"/>
    <w:rsid w:val="006A170D"/>
    <w:rsid w:val="006A1F13"/>
    <w:rsid w:val="006A2925"/>
    <w:rsid w:val="006A3972"/>
    <w:rsid w:val="006A712D"/>
    <w:rsid w:val="006B06C8"/>
    <w:rsid w:val="006B48E4"/>
    <w:rsid w:val="006B55CA"/>
    <w:rsid w:val="006C0DBB"/>
    <w:rsid w:val="006C3FB3"/>
    <w:rsid w:val="006D1191"/>
    <w:rsid w:val="006D182A"/>
    <w:rsid w:val="006D27A6"/>
    <w:rsid w:val="006D3EE7"/>
    <w:rsid w:val="006D67D4"/>
    <w:rsid w:val="006D6960"/>
    <w:rsid w:val="006D6B51"/>
    <w:rsid w:val="006D7793"/>
    <w:rsid w:val="006E101D"/>
    <w:rsid w:val="006E1E17"/>
    <w:rsid w:val="006E6F8C"/>
    <w:rsid w:val="006E76BE"/>
    <w:rsid w:val="006F0034"/>
    <w:rsid w:val="006F0918"/>
    <w:rsid w:val="006F46B9"/>
    <w:rsid w:val="006F56A2"/>
    <w:rsid w:val="006F6E04"/>
    <w:rsid w:val="00701CDF"/>
    <w:rsid w:val="00702B3B"/>
    <w:rsid w:val="00703E37"/>
    <w:rsid w:val="00705AD6"/>
    <w:rsid w:val="007160E5"/>
    <w:rsid w:val="00717216"/>
    <w:rsid w:val="0071775A"/>
    <w:rsid w:val="007208C6"/>
    <w:rsid w:val="007227C2"/>
    <w:rsid w:val="00722F56"/>
    <w:rsid w:val="007232BB"/>
    <w:rsid w:val="00727411"/>
    <w:rsid w:val="00730436"/>
    <w:rsid w:val="007315FF"/>
    <w:rsid w:val="00732632"/>
    <w:rsid w:val="00734220"/>
    <w:rsid w:val="007343B8"/>
    <w:rsid w:val="00735083"/>
    <w:rsid w:val="00736715"/>
    <w:rsid w:val="007401C9"/>
    <w:rsid w:val="00744B39"/>
    <w:rsid w:val="00744F62"/>
    <w:rsid w:val="00745E07"/>
    <w:rsid w:val="00756B4D"/>
    <w:rsid w:val="007600FA"/>
    <w:rsid w:val="0076093D"/>
    <w:rsid w:val="0076125E"/>
    <w:rsid w:val="00761DA0"/>
    <w:rsid w:val="007622D7"/>
    <w:rsid w:val="007706FA"/>
    <w:rsid w:val="00774306"/>
    <w:rsid w:val="00774717"/>
    <w:rsid w:val="00776FB8"/>
    <w:rsid w:val="007800E9"/>
    <w:rsid w:val="007825F2"/>
    <w:rsid w:val="00784A3C"/>
    <w:rsid w:val="00793BD7"/>
    <w:rsid w:val="0079466D"/>
    <w:rsid w:val="00796259"/>
    <w:rsid w:val="007A12C2"/>
    <w:rsid w:val="007A4195"/>
    <w:rsid w:val="007A6E4D"/>
    <w:rsid w:val="007A7CFF"/>
    <w:rsid w:val="007B3309"/>
    <w:rsid w:val="007B3F72"/>
    <w:rsid w:val="007B4166"/>
    <w:rsid w:val="007B6062"/>
    <w:rsid w:val="007B6953"/>
    <w:rsid w:val="007B6E28"/>
    <w:rsid w:val="007B7507"/>
    <w:rsid w:val="007B7784"/>
    <w:rsid w:val="007C1094"/>
    <w:rsid w:val="007C3CD0"/>
    <w:rsid w:val="007D35FE"/>
    <w:rsid w:val="007D4EB7"/>
    <w:rsid w:val="007D4F51"/>
    <w:rsid w:val="007D5A1F"/>
    <w:rsid w:val="007D6F47"/>
    <w:rsid w:val="007D7D5E"/>
    <w:rsid w:val="007E013D"/>
    <w:rsid w:val="007E0975"/>
    <w:rsid w:val="007E1AA7"/>
    <w:rsid w:val="007E26C9"/>
    <w:rsid w:val="007E36E4"/>
    <w:rsid w:val="007E4D2D"/>
    <w:rsid w:val="007E5E07"/>
    <w:rsid w:val="007E7046"/>
    <w:rsid w:val="007F1238"/>
    <w:rsid w:val="007F27FB"/>
    <w:rsid w:val="007F52FE"/>
    <w:rsid w:val="007F53C0"/>
    <w:rsid w:val="007F5616"/>
    <w:rsid w:val="007F61E3"/>
    <w:rsid w:val="00804EF5"/>
    <w:rsid w:val="0081339B"/>
    <w:rsid w:val="008139FB"/>
    <w:rsid w:val="00814DC0"/>
    <w:rsid w:val="00823F66"/>
    <w:rsid w:val="008243C0"/>
    <w:rsid w:val="008312DB"/>
    <w:rsid w:val="00831D8A"/>
    <w:rsid w:val="00834B26"/>
    <w:rsid w:val="00835FF1"/>
    <w:rsid w:val="00836C04"/>
    <w:rsid w:val="008373D8"/>
    <w:rsid w:val="00840E02"/>
    <w:rsid w:val="0084412C"/>
    <w:rsid w:val="00847719"/>
    <w:rsid w:val="00855D80"/>
    <w:rsid w:val="0085775C"/>
    <w:rsid w:val="008616B9"/>
    <w:rsid w:val="00866C65"/>
    <w:rsid w:val="00870AA2"/>
    <w:rsid w:val="008740A6"/>
    <w:rsid w:val="00876E39"/>
    <w:rsid w:val="008778DE"/>
    <w:rsid w:val="0088159C"/>
    <w:rsid w:val="0088211A"/>
    <w:rsid w:val="00884645"/>
    <w:rsid w:val="00884F56"/>
    <w:rsid w:val="008854F6"/>
    <w:rsid w:val="00886667"/>
    <w:rsid w:val="00886BC4"/>
    <w:rsid w:val="00890FB0"/>
    <w:rsid w:val="00895F13"/>
    <w:rsid w:val="008972E4"/>
    <w:rsid w:val="008A02F3"/>
    <w:rsid w:val="008A1C1D"/>
    <w:rsid w:val="008A48CA"/>
    <w:rsid w:val="008A55F5"/>
    <w:rsid w:val="008A6B54"/>
    <w:rsid w:val="008B2938"/>
    <w:rsid w:val="008B353C"/>
    <w:rsid w:val="008B395C"/>
    <w:rsid w:val="008B6FAA"/>
    <w:rsid w:val="008C018D"/>
    <w:rsid w:val="008C2216"/>
    <w:rsid w:val="008C2CD7"/>
    <w:rsid w:val="008C2FF9"/>
    <w:rsid w:val="008C369A"/>
    <w:rsid w:val="008C4852"/>
    <w:rsid w:val="008C5773"/>
    <w:rsid w:val="008C6025"/>
    <w:rsid w:val="008D0CA6"/>
    <w:rsid w:val="008D366D"/>
    <w:rsid w:val="008D40AC"/>
    <w:rsid w:val="008D4CD0"/>
    <w:rsid w:val="008D5358"/>
    <w:rsid w:val="008D63FD"/>
    <w:rsid w:val="008E0180"/>
    <w:rsid w:val="008E04BD"/>
    <w:rsid w:val="008E35A5"/>
    <w:rsid w:val="008F0B15"/>
    <w:rsid w:val="008F0E1D"/>
    <w:rsid w:val="008F1AA6"/>
    <w:rsid w:val="008F2212"/>
    <w:rsid w:val="008F601F"/>
    <w:rsid w:val="008F617C"/>
    <w:rsid w:val="008F73C8"/>
    <w:rsid w:val="008F7E69"/>
    <w:rsid w:val="00902BE2"/>
    <w:rsid w:val="00903786"/>
    <w:rsid w:val="00903AB2"/>
    <w:rsid w:val="0090540D"/>
    <w:rsid w:val="00905F29"/>
    <w:rsid w:val="0090719E"/>
    <w:rsid w:val="009109AA"/>
    <w:rsid w:val="009111C8"/>
    <w:rsid w:val="00913096"/>
    <w:rsid w:val="0091552B"/>
    <w:rsid w:val="00926879"/>
    <w:rsid w:val="00926B1B"/>
    <w:rsid w:val="00932358"/>
    <w:rsid w:val="00932B94"/>
    <w:rsid w:val="00933C8C"/>
    <w:rsid w:val="0093559D"/>
    <w:rsid w:val="00935A30"/>
    <w:rsid w:val="0093627C"/>
    <w:rsid w:val="009367F6"/>
    <w:rsid w:val="0093741D"/>
    <w:rsid w:val="009400D3"/>
    <w:rsid w:val="00940399"/>
    <w:rsid w:val="00942CB3"/>
    <w:rsid w:val="00943CE4"/>
    <w:rsid w:val="00943FB5"/>
    <w:rsid w:val="00944174"/>
    <w:rsid w:val="009453E2"/>
    <w:rsid w:val="00945970"/>
    <w:rsid w:val="00945B10"/>
    <w:rsid w:val="00946053"/>
    <w:rsid w:val="00947FDA"/>
    <w:rsid w:val="00950AF5"/>
    <w:rsid w:val="00951652"/>
    <w:rsid w:val="00952F2F"/>
    <w:rsid w:val="009609AB"/>
    <w:rsid w:val="00961B0D"/>
    <w:rsid w:val="0096207D"/>
    <w:rsid w:val="0096332B"/>
    <w:rsid w:val="00965C4B"/>
    <w:rsid w:val="009662DD"/>
    <w:rsid w:val="009740F4"/>
    <w:rsid w:val="009757BB"/>
    <w:rsid w:val="009773B0"/>
    <w:rsid w:val="00977D76"/>
    <w:rsid w:val="00977E7D"/>
    <w:rsid w:val="009801A2"/>
    <w:rsid w:val="0098151F"/>
    <w:rsid w:val="00981AF4"/>
    <w:rsid w:val="00982AD5"/>
    <w:rsid w:val="00985B29"/>
    <w:rsid w:val="00985EDD"/>
    <w:rsid w:val="00986A46"/>
    <w:rsid w:val="00986D5F"/>
    <w:rsid w:val="00987A54"/>
    <w:rsid w:val="009906A6"/>
    <w:rsid w:val="00991325"/>
    <w:rsid w:val="00992ADC"/>
    <w:rsid w:val="00994A20"/>
    <w:rsid w:val="00995130"/>
    <w:rsid w:val="009A1210"/>
    <w:rsid w:val="009A562D"/>
    <w:rsid w:val="009A6D32"/>
    <w:rsid w:val="009A71C4"/>
    <w:rsid w:val="009B0AD3"/>
    <w:rsid w:val="009B15EC"/>
    <w:rsid w:val="009B1781"/>
    <w:rsid w:val="009B2546"/>
    <w:rsid w:val="009B3F5A"/>
    <w:rsid w:val="009B464D"/>
    <w:rsid w:val="009B6AA8"/>
    <w:rsid w:val="009C0388"/>
    <w:rsid w:val="009C06DC"/>
    <w:rsid w:val="009C1B09"/>
    <w:rsid w:val="009C1F90"/>
    <w:rsid w:val="009C4797"/>
    <w:rsid w:val="009C66A3"/>
    <w:rsid w:val="009D2BC3"/>
    <w:rsid w:val="009D4320"/>
    <w:rsid w:val="009D616A"/>
    <w:rsid w:val="009E40FE"/>
    <w:rsid w:val="009E4732"/>
    <w:rsid w:val="009E4A79"/>
    <w:rsid w:val="009E51B1"/>
    <w:rsid w:val="009E6061"/>
    <w:rsid w:val="009E6F98"/>
    <w:rsid w:val="009E77FC"/>
    <w:rsid w:val="009E7D5D"/>
    <w:rsid w:val="009F0DBF"/>
    <w:rsid w:val="009F36C1"/>
    <w:rsid w:val="00A01086"/>
    <w:rsid w:val="00A01E3E"/>
    <w:rsid w:val="00A02C03"/>
    <w:rsid w:val="00A04080"/>
    <w:rsid w:val="00A05863"/>
    <w:rsid w:val="00A05E57"/>
    <w:rsid w:val="00A1120D"/>
    <w:rsid w:val="00A13CB3"/>
    <w:rsid w:val="00A13F0D"/>
    <w:rsid w:val="00A14B1B"/>
    <w:rsid w:val="00A15DB7"/>
    <w:rsid w:val="00A16574"/>
    <w:rsid w:val="00A17503"/>
    <w:rsid w:val="00A1767A"/>
    <w:rsid w:val="00A17AF9"/>
    <w:rsid w:val="00A215B3"/>
    <w:rsid w:val="00A21DC1"/>
    <w:rsid w:val="00A24D20"/>
    <w:rsid w:val="00A32C4E"/>
    <w:rsid w:val="00A3452B"/>
    <w:rsid w:val="00A3493F"/>
    <w:rsid w:val="00A42E88"/>
    <w:rsid w:val="00A43D12"/>
    <w:rsid w:val="00A454E7"/>
    <w:rsid w:val="00A46A9A"/>
    <w:rsid w:val="00A47FA1"/>
    <w:rsid w:val="00A50111"/>
    <w:rsid w:val="00A52C22"/>
    <w:rsid w:val="00A55B5E"/>
    <w:rsid w:val="00A60022"/>
    <w:rsid w:val="00A6514E"/>
    <w:rsid w:val="00A655B3"/>
    <w:rsid w:val="00A71D2B"/>
    <w:rsid w:val="00A73919"/>
    <w:rsid w:val="00A74293"/>
    <w:rsid w:val="00A76031"/>
    <w:rsid w:val="00A76E01"/>
    <w:rsid w:val="00A83111"/>
    <w:rsid w:val="00A8449C"/>
    <w:rsid w:val="00A84C3C"/>
    <w:rsid w:val="00A87F4B"/>
    <w:rsid w:val="00A909A3"/>
    <w:rsid w:val="00A91BD2"/>
    <w:rsid w:val="00A93C58"/>
    <w:rsid w:val="00A940BE"/>
    <w:rsid w:val="00A96316"/>
    <w:rsid w:val="00A9658A"/>
    <w:rsid w:val="00A970ED"/>
    <w:rsid w:val="00AA320F"/>
    <w:rsid w:val="00AA553F"/>
    <w:rsid w:val="00AB3324"/>
    <w:rsid w:val="00AB3D33"/>
    <w:rsid w:val="00AB486E"/>
    <w:rsid w:val="00AC05AA"/>
    <w:rsid w:val="00AC1340"/>
    <w:rsid w:val="00AC1B27"/>
    <w:rsid w:val="00AC2C30"/>
    <w:rsid w:val="00AC4C62"/>
    <w:rsid w:val="00AC60D4"/>
    <w:rsid w:val="00AD590E"/>
    <w:rsid w:val="00AE1465"/>
    <w:rsid w:val="00AE39EE"/>
    <w:rsid w:val="00AE39F6"/>
    <w:rsid w:val="00AE53E5"/>
    <w:rsid w:val="00AE57D4"/>
    <w:rsid w:val="00AF0B6C"/>
    <w:rsid w:val="00AF4823"/>
    <w:rsid w:val="00AF54C7"/>
    <w:rsid w:val="00AF6B59"/>
    <w:rsid w:val="00B02D02"/>
    <w:rsid w:val="00B0400A"/>
    <w:rsid w:val="00B05DB0"/>
    <w:rsid w:val="00B129C3"/>
    <w:rsid w:val="00B13AC6"/>
    <w:rsid w:val="00B13C27"/>
    <w:rsid w:val="00B15B56"/>
    <w:rsid w:val="00B20334"/>
    <w:rsid w:val="00B22D1B"/>
    <w:rsid w:val="00B24C1C"/>
    <w:rsid w:val="00B27E31"/>
    <w:rsid w:val="00B32830"/>
    <w:rsid w:val="00B42FAF"/>
    <w:rsid w:val="00B44BCB"/>
    <w:rsid w:val="00B50053"/>
    <w:rsid w:val="00B50FEA"/>
    <w:rsid w:val="00B51175"/>
    <w:rsid w:val="00B5397C"/>
    <w:rsid w:val="00B53D0E"/>
    <w:rsid w:val="00B5426D"/>
    <w:rsid w:val="00B54FA9"/>
    <w:rsid w:val="00B57B0B"/>
    <w:rsid w:val="00B63486"/>
    <w:rsid w:val="00B64308"/>
    <w:rsid w:val="00B65D34"/>
    <w:rsid w:val="00B70818"/>
    <w:rsid w:val="00B71F74"/>
    <w:rsid w:val="00B73C23"/>
    <w:rsid w:val="00B742F7"/>
    <w:rsid w:val="00B74E96"/>
    <w:rsid w:val="00B771FF"/>
    <w:rsid w:val="00B82C45"/>
    <w:rsid w:val="00B85729"/>
    <w:rsid w:val="00B87125"/>
    <w:rsid w:val="00B91C5F"/>
    <w:rsid w:val="00B9379C"/>
    <w:rsid w:val="00B97753"/>
    <w:rsid w:val="00BA054F"/>
    <w:rsid w:val="00BA11EC"/>
    <w:rsid w:val="00BA123B"/>
    <w:rsid w:val="00BA1FF3"/>
    <w:rsid w:val="00BA3721"/>
    <w:rsid w:val="00BA48C7"/>
    <w:rsid w:val="00BA5D8D"/>
    <w:rsid w:val="00BA7802"/>
    <w:rsid w:val="00BB0474"/>
    <w:rsid w:val="00BB059B"/>
    <w:rsid w:val="00BB2534"/>
    <w:rsid w:val="00BB331B"/>
    <w:rsid w:val="00BB3BCA"/>
    <w:rsid w:val="00BB4B21"/>
    <w:rsid w:val="00BD1EE0"/>
    <w:rsid w:val="00BD208C"/>
    <w:rsid w:val="00BD3C26"/>
    <w:rsid w:val="00BD74D7"/>
    <w:rsid w:val="00BD7EA0"/>
    <w:rsid w:val="00BE2210"/>
    <w:rsid w:val="00BE5AC7"/>
    <w:rsid w:val="00BE5EC7"/>
    <w:rsid w:val="00BE6B7F"/>
    <w:rsid w:val="00BF1803"/>
    <w:rsid w:val="00BF2183"/>
    <w:rsid w:val="00BF3E58"/>
    <w:rsid w:val="00BF4A8E"/>
    <w:rsid w:val="00BF6A21"/>
    <w:rsid w:val="00BF73E4"/>
    <w:rsid w:val="00BF75D8"/>
    <w:rsid w:val="00C05B38"/>
    <w:rsid w:val="00C0628D"/>
    <w:rsid w:val="00C07D7B"/>
    <w:rsid w:val="00C125C9"/>
    <w:rsid w:val="00C13080"/>
    <w:rsid w:val="00C13CF0"/>
    <w:rsid w:val="00C23C8C"/>
    <w:rsid w:val="00C247A3"/>
    <w:rsid w:val="00C26E54"/>
    <w:rsid w:val="00C3042D"/>
    <w:rsid w:val="00C33808"/>
    <w:rsid w:val="00C362B7"/>
    <w:rsid w:val="00C3693F"/>
    <w:rsid w:val="00C37A6A"/>
    <w:rsid w:val="00C41DB0"/>
    <w:rsid w:val="00C43438"/>
    <w:rsid w:val="00C436B8"/>
    <w:rsid w:val="00C443D7"/>
    <w:rsid w:val="00C4456B"/>
    <w:rsid w:val="00C45E97"/>
    <w:rsid w:val="00C55E91"/>
    <w:rsid w:val="00C620FD"/>
    <w:rsid w:val="00C63196"/>
    <w:rsid w:val="00C639E4"/>
    <w:rsid w:val="00C64240"/>
    <w:rsid w:val="00C70DF2"/>
    <w:rsid w:val="00C71CED"/>
    <w:rsid w:val="00C71D6C"/>
    <w:rsid w:val="00C74B1E"/>
    <w:rsid w:val="00C778C6"/>
    <w:rsid w:val="00C8046D"/>
    <w:rsid w:val="00C80C62"/>
    <w:rsid w:val="00C823C5"/>
    <w:rsid w:val="00C82A8A"/>
    <w:rsid w:val="00C83214"/>
    <w:rsid w:val="00C85D9C"/>
    <w:rsid w:val="00C8634C"/>
    <w:rsid w:val="00C93124"/>
    <w:rsid w:val="00CA168B"/>
    <w:rsid w:val="00CA4694"/>
    <w:rsid w:val="00CA6DAE"/>
    <w:rsid w:val="00CB032B"/>
    <w:rsid w:val="00CB0554"/>
    <w:rsid w:val="00CB192B"/>
    <w:rsid w:val="00CB28F7"/>
    <w:rsid w:val="00CB2E02"/>
    <w:rsid w:val="00CB74A0"/>
    <w:rsid w:val="00CC05D7"/>
    <w:rsid w:val="00CC1136"/>
    <w:rsid w:val="00CC5606"/>
    <w:rsid w:val="00CC6AC0"/>
    <w:rsid w:val="00CD02A5"/>
    <w:rsid w:val="00CD23DA"/>
    <w:rsid w:val="00CD5294"/>
    <w:rsid w:val="00CD52CD"/>
    <w:rsid w:val="00CD70C7"/>
    <w:rsid w:val="00CD7F0B"/>
    <w:rsid w:val="00CE33CF"/>
    <w:rsid w:val="00CE3B66"/>
    <w:rsid w:val="00CE3E99"/>
    <w:rsid w:val="00CE4EBC"/>
    <w:rsid w:val="00CE6419"/>
    <w:rsid w:val="00CF1EA3"/>
    <w:rsid w:val="00CF5A2D"/>
    <w:rsid w:val="00CF64C1"/>
    <w:rsid w:val="00D008E4"/>
    <w:rsid w:val="00D044DC"/>
    <w:rsid w:val="00D05A02"/>
    <w:rsid w:val="00D0725D"/>
    <w:rsid w:val="00D07BF6"/>
    <w:rsid w:val="00D11F38"/>
    <w:rsid w:val="00D11F49"/>
    <w:rsid w:val="00D12310"/>
    <w:rsid w:val="00D13D8D"/>
    <w:rsid w:val="00D15503"/>
    <w:rsid w:val="00D15BA8"/>
    <w:rsid w:val="00D169A3"/>
    <w:rsid w:val="00D17467"/>
    <w:rsid w:val="00D2150F"/>
    <w:rsid w:val="00D215DF"/>
    <w:rsid w:val="00D23027"/>
    <w:rsid w:val="00D2639F"/>
    <w:rsid w:val="00D33E3B"/>
    <w:rsid w:val="00D40B85"/>
    <w:rsid w:val="00D40CA5"/>
    <w:rsid w:val="00D44BB5"/>
    <w:rsid w:val="00D459DB"/>
    <w:rsid w:val="00D47553"/>
    <w:rsid w:val="00D52B5D"/>
    <w:rsid w:val="00D535AC"/>
    <w:rsid w:val="00D555C7"/>
    <w:rsid w:val="00D56462"/>
    <w:rsid w:val="00D566F4"/>
    <w:rsid w:val="00D60855"/>
    <w:rsid w:val="00D621F5"/>
    <w:rsid w:val="00D70559"/>
    <w:rsid w:val="00D743F1"/>
    <w:rsid w:val="00D76331"/>
    <w:rsid w:val="00D76F35"/>
    <w:rsid w:val="00D80B0F"/>
    <w:rsid w:val="00D81270"/>
    <w:rsid w:val="00D81EDF"/>
    <w:rsid w:val="00D81F86"/>
    <w:rsid w:val="00D8582B"/>
    <w:rsid w:val="00D86B24"/>
    <w:rsid w:val="00D9229C"/>
    <w:rsid w:val="00D93D94"/>
    <w:rsid w:val="00D950D6"/>
    <w:rsid w:val="00D958C3"/>
    <w:rsid w:val="00DA4242"/>
    <w:rsid w:val="00DA44E5"/>
    <w:rsid w:val="00DA71F6"/>
    <w:rsid w:val="00DA755F"/>
    <w:rsid w:val="00DB6328"/>
    <w:rsid w:val="00DC075C"/>
    <w:rsid w:val="00DC2E97"/>
    <w:rsid w:val="00DC43DE"/>
    <w:rsid w:val="00DC6A5B"/>
    <w:rsid w:val="00DC6FBB"/>
    <w:rsid w:val="00DD5D38"/>
    <w:rsid w:val="00DD7390"/>
    <w:rsid w:val="00DD7D51"/>
    <w:rsid w:val="00DE05FE"/>
    <w:rsid w:val="00DE10F2"/>
    <w:rsid w:val="00DE26D6"/>
    <w:rsid w:val="00DE31AA"/>
    <w:rsid w:val="00DE5EE8"/>
    <w:rsid w:val="00DE74EC"/>
    <w:rsid w:val="00DF0B01"/>
    <w:rsid w:val="00DF5030"/>
    <w:rsid w:val="00DF56B6"/>
    <w:rsid w:val="00DF5A46"/>
    <w:rsid w:val="00DF7318"/>
    <w:rsid w:val="00DF76E6"/>
    <w:rsid w:val="00E00438"/>
    <w:rsid w:val="00E019DD"/>
    <w:rsid w:val="00E045BA"/>
    <w:rsid w:val="00E056BB"/>
    <w:rsid w:val="00E05A16"/>
    <w:rsid w:val="00E10B5B"/>
    <w:rsid w:val="00E11105"/>
    <w:rsid w:val="00E137B4"/>
    <w:rsid w:val="00E16939"/>
    <w:rsid w:val="00E1766A"/>
    <w:rsid w:val="00E23A39"/>
    <w:rsid w:val="00E250F8"/>
    <w:rsid w:val="00E267E6"/>
    <w:rsid w:val="00E34501"/>
    <w:rsid w:val="00E35B8F"/>
    <w:rsid w:val="00E40078"/>
    <w:rsid w:val="00E4032E"/>
    <w:rsid w:val="00E4109C"/>
    <w:rsid w:val="00E42037"/>
    <w:rsid w:val="00E4461B"/>
    <w:rsid w:val="00E4520C"/>
    <w:rsid w:val="00E45DF2"/>
    <w:rsid w:val="00E5388F"/>
    <w:rsid w:val="00E54EA2"/>
    <w:rsid w:val="00E559DF"/>
    <w:rsid w:val="00E62B01"/>
    <w:rsid w:val="00E64B67"/>
    <w:rsid w:val="00E669CD"/>
    <w:rsid w:val="00E66C9F"/>
    <w:rsid w:val="00E70A2C"/>
    <w:rsid w:val="00E71AE8"/>
    <w:rsid w:val="00E72F0B"/>
    <w:rsid w:val="00E76034"/>
    <w:rsid w:val="00E76C52"/>
    <w:rsid w:val="00E80847"/>
    <w:rsid w:val="00E813BB"/>
    <w:rsid w:val="00E81A92"/>
    <w:rsid w:val="00E83A1D"/>
    <w:rsid w:val="00E847A7"/>
    <w:rsid w:val="00E85FF2"/>
    <w:rsid w:val="00E86128"/>
    <w:rsid w:val="00E86CBA"/>
    <w:rsid w:val="00E90E39"/>
    <w:rsid w:val="00E91CE7"/>
    <w:rsid w:val="00E93C25"/>
    <w:rsid w:val="00EA38AD"/>
    <w:rsid w:val="00EA4A6D"/>
    <w:rsid w:val="00EA4BD2"/>
    <w:rsid w:val="00EA5D8D"/>
    <w:rsid w:val="00EB1557"/>
    <w:rsid w:val="00EB535B"/>
    <w:rsid w:val="00EB6A59"/>
    <w:rsid w:val="00EC1B81"/>
    <w:rsid w:val="00EC2A56"/>
    <w:rsid w:val="00EC56A2"/>
    <w:rsid w:val="00ED1CEA"/>
    <w:rsid w:val="00ED2499"/>
    <w:rsid w:val="00ED2D5C"/>
    <w:rsid w:val="00ED3522"/>
    <w:rsid w:val="00ED47AA"/>
    <w:rsid w:val="00ED71B6"/>
    <w:rsid w:val="00EE2A95"/>
    <w:rsid w:val="00EE363D"/>
    <w:rsid w:val="00EE4601"/>
    <w:rsid w:val="00EE562F"/>
    <w:rsid w:val="00EE570F"/>
    <w:rsid w:val="00EE5856"/>
    <w:rsid w:val="00EE5F89"/>
    <w:rsid w:val="00EF1B2D"/>
    <w:rsid w:val="00F0196A"/>
    <w:rsid w:val="00F05826"/>
    <w:rsid w:val="00F07B2D"/>
    <w:rsid w:val="00F11E6C"/>
    <w:rsid w:val="00F11F00"/>
    <w:rsid w:val="00F1728D"/>
    <w:rsid w:val="00F172EE"/>
    <w:rsid w:val="00F22FC2"/>
    <w:rsid w:val="00F248B6"/>
    <w:rsid w:val="00F25CF8"/>
    <w:rsid w:val="00F313AB"/>
    <w:rsid w:val="00F31637"/>
    <w:rsid w:val="00F3177D"/>
    <w:rsid w:val="00F33B9F"/>
    <w:rsid w:val="00F37F76"/>
    <w:rsid w:val="00F41458"/>
    <w:rsid w:val="00F41932"/>
    <w:rsid w:val="00F44C22"/>
    <w:rsid w:val="00F4789A"/>
    <w:rsid w:val="00F517D6"/>
    <w:rsid w:val="00F51C00"/>
    <w:rsid w:val="00F51FDE"/>
    <w:rsid w:val="00F52781"/>
    <w:rsid w:val="00F52B8F"/>
    <w:rsid w:val="00F55C72"/>
    <w:rsid w:val="00F5694A"/>
    <w:rsid w:val="00F57590"/>
    <w:rsid w:val="00F60D8C"/>
    <w:rsid w:val="00F61364"/>
    <w:rsid w:val="00F614C4"/>
    <w:rsid w:val="00F61A93"/>
    <w:rsid w:val="00F61E2F"/>
    <w:rsid w:val="00F6670F"/>
    <w:rsid w:val="00F67BA7"/>
    <w:rsid w:val="00F70CCC"/>
    <w:rsid w:val="00F7256C"/>
    <w:rsid w:val="00F75A59"/>
    <w:rsid w:val="00F7601C"/>
    <w:rsid w:val="00F7650A"/>
    <w:rsid w:val="00F76687"/>
    <w:rsid w:val="00F77343"/>
    <w:rsid w:val="00F824AA"/>
    <w:rsid w:val="00F8263A"/>
    <w:rsid w:val="00F84A7E"/>
    <w:rsid w:val="00F90561"/>
    <w:rsid w:val="00F90901"/>
    <w:rsid w:val="00F9389A"/>
    <w:rsid w:val="00F95DDF"/>
    <w:rsid w:val="00F95FB5"/>
    <w:rsid w:val="00F96108"/>
    <w:rsid w:val="00F96346"/>
    <w:rsid w:val="00F979B0"/>
    <w:rsid w:val="00FA0EE0"/>
    <w:rsid w:val="00FA214E"/>
    <w:rsid w:val="00FA354D"/>
    <w:rsid w:val="00FA6CCC"/>
    <w:rsid w:val="00FA70A7"/>
    <w:rsid w:val="00FB3BE2"/>
    <w:rsid w:val="00FB51FD"/>
    <w:rsid w:val="00FB5337"/>
    <w:rsid w:val="00FB7AEB"/>
    <w:rsid w:val="00FC1DBE"/>
    <w:rsid w:val="00FC2874"/>
    <w:rsid w:val="00FC2E34"/>
    <w:rsid w:val="00FC5FE6"/>
    <w:rsid w:val="00FD06DF"/>
    <w:rsid w:val="00FD0B4D"/>
    <w:rsid w:val="00FD2B67"/>
    <w:rsid w:val="00FD6198"/>
    <w:rsid w:val="00FE26FF"/>
    <w:rsid w:val="00FE316C"/>
    <w:rsid w:val="00FE4A1F"/>
    <w:rsid w:val="00FE62BE"/>
    <w:rsid w:val="00FF14C8"/>
    <w:rsid w:val="00FF4459"/>
    <w:rsid w:val="00FF556E"/>
    <w:rsid w:val="00FF6278"/>
    <w:rsid w:val="00FF6B81"/>
    <w:rsid w:val="05F51CC0"/>
    <w:rsid w:val="09CB4B67"/>
    <w:rsid w:val="0DEA3518"/>
    <w:rsid w:val="11D8A2FF"/>
    <w:rsid w:val="29386C9A"/>
    <w:rsid w:val="2F96274E"/>
    <w:rsid w:val="36F6A452"/>
    <w:rsid w:val="4511487E"/>
    <w:rsid w:val="46740EE7"/>
    <w:rsid w:val="50EE7B51"/>
    <w:rsid w:val="54A705C6"/>
    <w:rsid w:val="6027598C"/>
    <w:rsid w:val="623675B4"/>
    <w:rsid w:val="64886A22"/>
    <w:rsid w:val="698CD824"/>
    <w:rsid w:val="6C2BD22E"/>
    <w:rsid w:val="708C9012"/>
    <w:rsid w:val="7C19363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AE561"/>
  <w15:docId w15:val="{28CEE145-E86F-4A1F-93A9-307A99F8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lsdException w:name="List Number" w:semiHidden="1"/>
    <w:lsdException w:name="List 2" w:semiHidden="1"/>
    <w:lsdException w:name="List 3" w:semiHidden="1"/>
    <w:lsdException w:name="List 4" w:semiHidden="1"/>
    <w:lsdException w:name="List 5" w:semiHidden="1"/>
    <w:lsdException w:name="List Bullet 2" w:semiHidden="1" w:uiPriority="0"/>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0" w:unhideWhenUsed="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2B3A37"/>
    <w:pPr>
      <w:autoSpaceDE w:val="0"/>
      <w:autoSpaceDN w:val="0"/>
      <w:adjustRightInd w:val="0"/>
      <w:spacing w:before="60" w:after="60"/>
    </w:pPr>
    <w:rPr>
      <w:rFonts w:asciiTheme="minorHAnsi" w:eastAsia="Times New Roman" w:hAnsiTheme="minorHAnsi"/>
      <w:lang w:eastAsia="en-AU"/>
    </w:rPr>
  </w:style>
  <w:style w:type="paragraph" w:styleId="Heading1">
    <w:name w:val="heading 1"/>
    <w:basedOn w:val="Normal"/>
    <w:next w:val="Normal"/>
    <w:link w:val="Heading1Char"/>
    <w:qFormat/>
    <w:rsid w:val="00FF556E"/>
    <w:pPr>
      <w:keepNext/>
      <w:spacing w:before="200" w:after="120"/>
      <w:outlineLvl w:val="0"/>
    </w:pPr>
    <w:rPr>
      <w:rFonts w:ascii="Calibri" w:hAnsi="Calibri" w:cs="Arial"/>
      <w:b/>
      <w:color w:val="002C47" w:themeColor="accent1"/>
      <w:kern w:val="32"/>
      <w:sz w:val="28"/>
      <w:szCs w:val="28"/>
    </w:rPr>
  </w:style>
  <w:style w:type="paragraph" w:styleId="Heading2">
    <w:name w:val="heading 2"/>
    <w:basedOn w:val="Normal"/>
    <w:next w:val="Normal"/>
    <w:link w:val="Heading2Char"/>
    <w:qFormat/>
    <w:rsid w:val="00FF556E"/>
    <w:pPr>
      <w:keepNext/>
      <w:spacing w:before="160" w:after="120"/>
      <w:outlineLvl w:val="1"/>
    </w:pPr>
    <w:rPr>
      <w:rFonts w:ascii="Calibri" w:hAnsi="Calibri" w:cs="Arial"/>
      <w:iCs/>
      <w:color w:val="002C47" w:themeColor="accent1"/>
      <w:kern w:val="32"/>
      <w:sz w:val="28"/>
      <w:szCs w:val="24"/>
    </w:rPr>
  </w:style>
  <w:style w:type="paragraph" w:styleId="Heading3">
    <w:name w:val="heading 3"/>
    <w:basedOn w:val="Normal"/>
    <w:next w:val="Normal"/>
    <w:link w:val="Heading3Char"/>
    <w:qFormat/>
    <w:rsid w:val="00FF556E"/>
    <w:pPr>
      <w:keepNext/>
      <w:spacing w:before="160" w:after="120"/>
      <w:outlineLvl w:val="2"/>
    </w:pPr>
    <w:rPr>
      <w:rFonts w:ascii="Calibri" w:hAnsi="Calibri" w:cs="Arial"/>
      <w:b/>
      <w:caps/>
      <w:color w:val="2F8361" w:themeColor="accent4"/>
      <w:kern w:val="32"/>
      <w:sz w:val="24"/>
      <w:szCs w:val="24"/>
    </w:rPr>
  </w:style>
  <w:style w:type="paragraph" w:styleId="Heading4">
    <w:name w:val="heading 4"/>
    <w:basedOn w:val="Normal"/>
    <w:next w:val="Normal"/>
    <w:link w:val="Heading4Char"/>
    <w:qFormat/>
    <w:rsid w:val="00FF556E"/>
    <w:pPr>
      <w:keepNext/>
      <w:spacing w:before="160" w:after="120"/>
      <w:outlineLvl w:val="3"/>
    </w:pPr>
    <w:rPr>
      <w:rFonts w:asciiTheme="majorHAnsi" w:hAnsiTheme="majorHAnsi" w:cs="Arial"/>
      <w:b/>
      <w:caps/>
      <w:color w:val="1E75BA" w:themeColor="accent2"/>
      <w:kern w:val="32"/>
      <w:szCs w:val="24"/>
    </w:rPr>
  </w:style>
  <w:style w:type="paragraph" w:styleId="Heading5">
    <w:name w:val="heading 5"/>
    <w:basedOn w:val="Normal"/>
    <w:next w:val="Normal"/>
    <w:link w:val="Heading5Char"/>
    <w:rsid w:val="00FF556E"/>
    <w:pPr>
      <w:keepNext/>
      <w:spacing w:before="160" w:after="120"/>
      <w:outlineLvl w:val="4"/>
    </w:pPr>
    <w:rPr>
      <w:rFonts w:asciiTheme="majorHAnsi" w:hAnsiTheme="majorHAnsi" w:cs="Arial"/>
      <w:b/>
      <w:iCs/>
      <w:caps/>
      <w:color w:val="002C47" w:themeColor="accent1"/>
      <w:kern w:val="32"/>
      <w:szCs w:val="36"/>
    </w:rPr>
  </w:style>
  <w:style w:type="paragraph" w:styleId="Heading6">
    <w:name w:val="heading 6"/>
    <w:basedOn w:val="Normal"/>
    <w:next w:val="Normal"/>
    <w:link w:val="Heading6Char"/>
    <w:rsid w:val="00FF556E"/>
    <w:pPr>
      <w:keepNext/>
      <w:spacing w:before="180"/>
      <w:outlineLvl w:val="5"/>
    </w:pPr>
    <w:rPr>
      <w:rFonts w:cs="Arial"/>
      <w:color w:val="000000" w:themeColor="text1"/>
      <w:kern w:val="32"/>
      <w:szCs w:val="22"/>
    </w:rPr>
  </w:style>
  <w:style w:type="paragraph" w:styleId="Heading7">
    <w:name w:val="heading 7"/>
    <w:basedOn w:val="Normal"/>
    <w:next w:val="Normal"/>
    <w:link w:val="Heading7Char"/>
    <w:uiPriority w:val="9"/>
    <w:semiHidden/>
    <w:rsid w:val="00FF556E"/>
    <w:pPr>
      <w:keepNext/>
      <w:keepLines/>
      <w:spacing w:before="40"/>
      <w:outlineLvl w:val="6"/>
    </w:pPr>
    <w:rPr>
      <w:rFonts w:asciiTheme="majorHAnsi" w:eastAsiaTheme="majorEastAsia" w:hAnsiTheme="majorHAnsi" w:cstheme="majorBidi"/>
      <w:iCs/>
      <w:color w:val="001523" w:themeColor="accent1" w:themeShade="7F"/>
    </w:rPr>
  </w:style>
  <w:style w:type="paragraph" w:styleId="Heading8">
    <w:name w:val="heading 8"/>
    <w:basedOn w:val="Normal"/>
    <w:next w:val="Normal"/>
    <w:link w:val="Heading8Char"/>
    <w:uiPriority w:val="9"/>
    <w:semiHidden/>
    <w:rsid w:val="00FF556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FF556E"/>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56E"/>
    <w:pPr>
      <w:spacing w:before="0" w:after="240"/>
      <w:jc w:val="right"/>
    </w:pPr>
    <w:rPr>
      <w:b/>
      <w:caps/>
      <w:color w:val="002C47" w:themeColor="accent1"/>
      <w:spacing w:val="14"/>
    </w:rPr>
  </w:style>
  <w:style w:type="character" w:customStyle="1" w:styleId="HeaderChar">
    <w:name w:val="Header Char"/>
    <w:basedOn w:val="DefaultParagraphFont"/>
    <w:link w:val="Header"/>
    <w:uiPriority w:val="99"/>
    <w:rsid w:val="00FF556E"/>
    <w:rPr>
      <w:rFonts w:asciiTheme="minorHAnsi" w:eastAsia="Times New Roman" w:hAnsiTheme="minorHAnsi"/>
      <w:b/>
      <w:caps/>
      <w:color w:val="002C47" w:themeColor="accent1"/>
      <w:spacing w:val="14"/>
      <w:lang w:eastAsia="en-AU"/>
    </w:rPr>
  </w:style>
  <w:style w:type="paragraph" w:styleId="Footer">
    <w:name w:val="footer"/>
    <w:basedOn w:val="Normal"/>
    <w:link w:val="FooterChar"/>
    <w:uiPriority w:val="99"/>
    <w:rsid w:val="00FF556E"/>
    <w:pPr>
      <w:tabs>
        <w:tab w:val="right" w:pos="9639"/>
      </w:tabs>
      <w:spacing w:before="0" w:after="160"/>
      <w:jc w:val="right"/>
    </w:pPr>
    <w:rPr>
      <w:b/>
      <w:color w:val="002C47" w:themeColor="accent1"/>
    </w:rPr>
  </w:style>
  <w:style w:type="character" w:customStyle="1" w:styleId="FooterChar">
    <w:name w:val="Footer Char"/>
    <w:basedOn w:val="DefaultParagraphFont"/>
    <w:link w:val="Footer"/>
    <w:uiPriority w:val="99"/>
    <w:rsid w:val="00FF556E"/>
    <w:rPr>
      <w:rFonts w:asciiTheme="minorHAnsi" w:eastAsia="Times New Roman" w:hAnsiTheme="minorHAnsi"/>
      <w:b/>
      <w:color w:val="002C47" w:themeColor="accent1"/>
      <w:lang w:eastAsia="en-AU"/>
    </w:rPr>
  </w:style>
  <w:style w:type="character" w:customStyle="1" w:styleId="Heading1Char">
    <w:name w:val="Heading 1 Char"/>
    <w:basedOn w:val="DefaultParagraphFont"/>
    <w:link w:val="Heading1"/>
    <w:rsid w:val="00FF556E"/>
    <w:rPr>
      <w:rFonts w:eastAsia="Times New Roman" w:cs="Arial"/>
      <w:b/>
      <w:color w:val="002C47" w:themeColor="accent1"/>
      <w:kern w:val="32"/>
      <w:sz w:val="28"/>
      <w:szCs w:val="28"/>
      <w:lang w:eastAsia="en-AU"/>
    </w:rPr>
  </w:style>
  <w:style w:type="paragraph" w:customStyle="1" w:styleId="Dash">
    <w:name w:val="Dash"/>
    <w:basedOn w:val="Normal"/>
    <w:link w:val="DashChar"/>
    <w:qFormat/>
    <w:rsid w:val="00FF556E"/>
    <w:pPr>
      <w:numPr>
        <w:ilvl w:val="1"/>
        <w:numId w:val="7"/>
      </w:numPr>
    </w:pPr>
  </w:style>
  <w:style w:type="character" w:customStyle="1" w:styleId="DashChar">
    <w:name w:val="Dash Char"/>
    <w:basedOn w:val="DefaultParagraphFont"/>
    <w:link w:val="Dash"/>
    <w:rsid w:val="00FF556E"/>
    <w:rPr>
      <w:rFonts w:asciiTheme="minorHAnsi" w:eastAsia="Times New Roman" w:hAnsiTheme="minorHAnsi"/>
      <w:lang w:eastAsia="en-AU"/>
    </w:rPr>
  </w:style>
  <w:style w:type="paragraph" w:customStyle="1" w:styleId="DoubleDot">
    <w:name w:val="Double Dot"/>
    <w:basedOn w:val="Normal"/>
    <w:link w:val="DoubleDotChar"/>
    <w:qFormat/>
    <w:rsid w:val="00FF556E"/>
    <w:pPr>
      <w:numPr>
        <w:ilvl w:val="2"/>
        <w:numId w:val="7"/>
      </w:numPr>
      <w:ind w:left="851"/>
    </w:pPr>
  </w:style>
  <w:style w:type="character" w:customStyle="1" w:styleId="DoubleDotChar">
    <w:name w:val="Double Dot Char"/>
    <w:basedOn w:val="DefaultParagraphFont"/>
    <w:link w:val="DoubleDot"/>
    <w:rsid w:val="00FF556E"/>
    <w:rPr>
      <w:rFonts w:asciiTheme="minorHAnsi" w:eastAsia="Times New Roman" w:hAnsiTheme="minorHAnsi"/>
      <w:lang w:eastAsia="en-AU"/>
    </w:rPr>
  </w:style>
  <w:style w:type="paragraph" w:styleId="BalloonText">
    <w:name w:val="Balloon Text"/>
    <w:basedOn w:val="Normal"/>
    <w:link w:val="BalloonTextChar"/>
    <w:semiHidden/>
    <w:rsid w:val="00FF556E"/>
    <w:rPr>
      <w:rFonts w:ascii="Tahoma" w:hAnsi="Tahoma" w:cs="Tahoma"/>
      <w:sz w:val="16"/>
      <w:szCs w:val="16"/>
    </w:rPr>
  </w:style>
  <w:style w:type="character" w:customStyle="1" w:styleId="BalloonTextChar">
    <w:name w:val="Balloon Text Char"/>
    <w:basedOn w:val="DefaultParagraphFont"/>
    <w:link w:val="BalloonText"/>
    <w:semiHidden/>
    <w:rsid w:val="00FF556E"/>
    <w:rPr>
      <w:rFonts w:ascii="Tahoma" w:eastAsia="Times New Roman" w:hAnsi="Tahoma" w:cs="Tahoma"/>
      <w:sz w:val="16"/>
      <w:szCs w:val="16"/>
      <w:lang w:eastAsia="en-AU"/>
    </w:rPr>
  </w:style>
  <w:style w:type="character" w:customStyle="1" w:styleId="Heading2Char">
    <w:name w:val="Heading 2 Char"/>
    <w:basedOn w:val="DefaultParagraphFont"/>
    <w:link w:val="Heading2"/>
    <w:rsid w:val="00FF556E"/>
    <w:rPr>
      <w:rFonts w:eastAsia="Times New Roman" w:cs="Arial"/>
      <w:iCs/>
      <w:color w:val="002C47" w:themeColor="accent1"/>
      <w:kern w:val="32"/>
      <w:sz w:val="28"/>
      <w:szCs w:val="24"/>
      <w:lang w:eastAsia="en-AU"/>
    </w:rPr>
  </w:style>
  <w:style w:type="character" w:customStyle="1" w:styleId="Heading3Char">
    <w:name w:val="Heading 3 Char"/>
    <w:basedOn w:val="DefaultParagraphFont"/>
    <w:link w:val="Heading3"/>
    <w:rsid w:val="00FF556E"/>
    <w:rPr>
      <w:rFonts w:eastAsia="Times New Roman" w:cs="Arial"/>
      <w:b/>
      <w:caps/>
      <w:color w:val="2F8361" w:themeColor="accent4"/>
      <w:kern w:val="32"/>
      <w:sz w:val="24"/>
      <w:szCs w:val="24"/>
      <w:lang w:eastAsia="en-AU"/>
    </w:rPr>
  </w:style>
  <w:style w:type="character" w:customStyle="1" w:styleId="Heading4Char">
    <w:name w:val="Heading 4 Char"/>
    <w:basedOn w:val="DefaultParagraphFont"/>
    <w:link w:val="Heading4"/>
    <w:rsid w:val="00FF556E"/>
    <w:rPr>
      <w:rFonts w:asciiTheme="majorHAnsi" w:eastAsia="Times New Roman" w:hAnsiTheme="majorHAnsi" w:cs="Arial"/>
      <w:b/>
      <w:caps/>
      <w:color w:val="1E75BA" w:themeColor="accent2"/>
      <w:kern w:val="32"/>
      <w:szCs w:val="24"/>
      <w:lang w:eastAsia="en-AU"/>
    </w:rPr>
  </w:style>
  <w:style w:type="table" w:styleId="TableGrid">
    <w:name w:val="Table Grid"/>
    <w:basedOn w:val="TableNormal"/>
    <w:uiPriority w:val="59"/>
    <w:rsid w:val="00FF556E"/>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56E"/>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FF556E"/>
    <w:pPr>
      <w:numPr>
        <w:ilvl w:val="1"/>
      </w:numPr>
      <w:pBdr>
        <w:bottom w:val="single" w:sz="18" w:space="6" w:color="4DBC8D" w:themeColor="background2"/>
      </w:pBdr>
      <w:spacing w:before="240" w:after="240"/>
      <w:contextualSpacing/>
    </w:pPr>
    <w:rPr>
      <w:rFonts w:ascii="Calibri" w:eastAsiaTheme="minorEastAsia" w:hAnsi="Calibri" w:cstheme="minorBidi"/>
      <w:sz w:val="26"/>
      <w:szCs w:val="26"/>
      <w:lang w:eastAsia="zh-CN"/>
    </w:rPr>
  </w:style>
  <w:style w:type="character" w:styleId="Hyperlink">
    <w:name w:val="Hyperlink"/>
    <w:uiPriority w:val="99"/>
    <w:rsid w:val="00FF556E"/>
    <w:rPr>
      <w:color w:val="002C47" w:themeColor="accent1"/>
      <w:u w:val="single"/>
    </w:rPr>
  </w:style>
  <w:style w:type="character" w:styleId="FollowedHyperlink">
    <w:name w:val="FollowedHyperlink"/>
    <w:basedOn w:val="DefaultParagraphFont"/>
    <w:semiHidden/>
    <w:rsid w:val="00FF556E"/>
    <w:rPr>
      <w:color w:val="954F72" w:themeColor="followedHyperlink"/>
      <w:u w:val="single"/>
    </w:rPr>
  </w:style>
  <w:style w:type="paragraph" w:styleId="Revision">
    <w:name w:val="Revision"/>
    <w:hidden/>
    <w:uiPriority w:val="99"/>
    <w:semiHidden/>
    <w:rsid w:val="00FF556E"/>
    <w:rPr>
      <w:rFonts w:ascii="Calibri Light" w:hAnsi="Calibri Light"/>
      <w:color w:val="0D0D0D" w:themeColor="text1" w:themeTint="F2"/>
      <w:sz w:val="22"/>
    </w:rPr>
  </w:style>
  <w:style w:type="character" w:styleId="PlaceholderText">
    <w:name w:val="Placeholder Text"/>
    <w:basedOn w:val="DefaultParagraphFont"/>
    <w:uiPriority w:val="99"/>
    <w:semiHidden/>
    <w:rsid w:val="00FF556E"/>
    <w:rPr>
      <w:color w:val="808080"/>
    </w:rPr>
  </w:style>
  <w:style w:type="character" w:customStyle="1" w:styleId="Heading5Char">
    <w:name w:val="Heading 5 Char"/>
    <w:basedOn w:val="DefaultParagraphFont"/>
    <w:link w:val="Heading5"/>
    <w:rsid w:val="00FF556E"/>
    <w:rPr>
      <w:rFonts w:asciiTheme="majorHAnsi" w:eastAsia="Times New Roman" w:hAnsiTheme="majorHAnsi" w:cs="Arial"/>
      <w:b/>
      <w:iCs/>
      <w:caps/>
      <w:color w:val="002C47" w:themeColor="accent1"/>
      <w:kern w:val="32"/>
      <w:szCs w:val="36"/>
      <w:lang w:eastAsia="en-AU"/>
    </w:rPr>
  </w:style>
  <w:style w:type="paragraph" w:customStyle="1" w:styleId="BoxHeading">
    <w:name w:val="Box Heading"/>
    <w:basedOn w:val="Normal"/>
    <w:next w:val="Normal"/>
    <w:qFormat/>
    <w:rsid w:val="00FF556E"/>
    <w:pPr>
      <w:keepNext/>
      <w:spacing w:before="120" w:after="120"/>
    </w:pPr>
    <w:rPr>
      <w:b/>
      <w:caps/>
      <w:color w:val="002C47" w:themeColor="accent1"/>
      <w:sz w:val="24"/>
      <w:szCs w:val="26"/>
    </w:rPr>
  </w:style>
  <w:style w:type="paragraph" w:customStyle="1" w:styleId="BoxText">
    <w:name w:val="Box Text"/>
    <w:basedOn w:val="Normal"/>
    <w:link w:val="BoxTextChar"/>
    <w:qFormat/>
    <w:rsid w:val="00FF556E"/>
  </w:style>
  <w:style w:type="paragraph" w:customStyle="1" w:styleId="Bullet">
    <w:name w:val="Bullet"/>
    <w:basedOn w:val="Normal"/>
    <w:link w:val="BulletChar"/>
    <w:qFormat/>
    <w:rsid w:val="00FF556E"/>
    <w:pPr>
      <w:numPr>
        <w:numId w:val="7"/>
      </w:numPr>
    </w:pPr>
  </w:style>
  <w:style w:type="character" w:customStyle="1" w:styleId="BoxTextChar">
    <w:name w:val="Box Text Char"/>
    <w:basedOn w:val="DefaultParagraphFont"/>
    <w:link w:val="BoxText"/>
    <w:rsid w:val="00FF556E"/>
    <w:rPr>
      <w:rFonts w:asciiTheme="minorHAnsi" w:eastAsia="Times New Roman" w:hAnsiTheme="minorHAnsi"/>
      <w:lang w:eastAsia="en-AU"/>
    </w:rPr>
  </w:style>
  <w:style w:type="character" w:customStyle="1" w:styleId="BulletChar">
    <w:name w:val="Bullet Char"/>
    <w:basedOn w:val="DefaultParagraphFont"/>
    <w:link w:val="Bullet"/>
    <w:rsid w:val="00FF556E"/>
    <w:rPr>
      <w:rFonts w:asciiTheme="minorHAnsi" w:eastAsia="Times New Roman" w:hAnsiTheme="minorHAnsi"/>
      <w:lang w:eastAsia="en-AU"/>
    </w:rPr>
  </w:style>
  <w:style w:type="paragraph" w:customStyle="1" w:styleId="Boxbullet">
    <w:name w:val="Box bullet"/>
    <w:basedOn w:val="Bullet"/>
    <w:qFormat/>
    <w:rsid w:val="00FF556E"/>
    <w:rPr>
      <w:color w:val="0D0D0D" w:themeColor="text1" w:themeTint="F2"/>
    </w:rPr>
  </w:style>
  <w:style w:type="paragraph" w:customStyle="1" w:styleId="Boxdash">
    <w:name w:val="Box dash"/>
    <w:basedOn w:val="Dash"/>
    <w:qFormat/>
    <w:rsid w:val="00FF556E"/>
    <w:pPr>
      <w:tabs>
        <w:tab w:val="num" w:pos="1040"/>
      </w:tabs>
    </w:pPr>
    <w:rPr>
      <w:rFonts w:eastAsiaTheme="minorHAnsi"/>
      <w:color w:val="0D0D0D" w:themeColor="text1" w:themeTint="F2"/>
    </w:rPr>
  </w:style>
  <w:style w:type="paragraph" w:customStyle="1" w:styleId="Boxdoubledot">
    <w:name w:val="Box double dot"/>
    <w:basedOn w:val="DoubleDot"/>
    <w:qFormat/>
    <w:rsid w:val="00FF556E"/>
    <w:pPr>
      <w:tabs>
        <w:tab w:val="num" w:pos="1560"/>
      </w:tabs>
    </w:pPr>
    <w:rPr>
      <w:rFonts w:eastAsiaTheme="minorHAnsi"/>
      <w:color w:val="0D0D0D" w:themeColor="text1" w:themeTint="F2"/>
    </w:rPr>
  </w:style>
  <w:style w:type="character" w:customStyle="1" w:styleId="Heading9Char">
    <w:name w:val="Heading 9 Char"/>
    <w:basedOn w:val="DefaultParagraphFont"/>
    <w:link w:val="Heading9"/>
    <w:uiPriority w:val="9"/>
    <w:semiHidden/>
    <w:rsid w:val="00FF556E"/>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semiHidden/>
    <w:rsid w:val="00FF556E"/>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FF556E"/>
    <w:rPr>
      <w:rFonts w:asciiTheme="minorHAnsi" w:eastAsia="Times New Roman" w:hAnsiTheme="minorHAnsi" w:cs="Arial"/>
      <w:color w:val="000000" w:themeColor="text1"/>
      <w:kern w:val="32"/>
      <w:szCs w:val="22"/>
      <w:lang w:eastAsia="en-AU"/>
    </w:rPr>
  </w:style>
  <w:style w:type="character" w:customStyle="1" w:styleId="Heading7Char">
    <w:name w:val="Heading 7 Char"/>
    <w:basedOn w:val="DefaultParagraphFont"/>
    <w:link w:val="Heading7"/>
    <w:uiPriority w:val="9"/>
    <w:semiHidden/>
    <w:rsid w:val="00FF556E"/>
    <w:rPr>
      <w:rFonts w:asciiTheme="majorHAnsi" w:eastAsiaTheme="majorEastAsia" w:hAnsiTheme="majorHAnsi" w:cstheme="majorBidi"/>
      <w:iCs/>
      <w:color w:val="001523" w:themeColor="accent1" w:themeShade="7F"/>
      <w:lang w:eastAsia="en-AU"/>
    </w:rPr>
  </w:style>
  <w:style w:type="paragraph" w:styleId="NoSpacing">
    <w:name w:val="No Spacing"/>
    <w:basedOn w:val="Normal"/>
    <w:link w:val="NoSpacingChar"/>
    <w:qFormat/>
    <w:rsid w:val="00FF556E"/>
    <w:pPr>
      <w:autoSpaceDE/>
      <w:autoSpaceDN/>
      <w:adjustRightInd/>
      <w:spacing w:before="0" w:after="0"/>
    </w:pPr>
  </w:style>
  <w:style w:type="paragraph" w:customStyle="1" w:styleId="Default">
    <w:name w:val="Default"/>
    <w:semiHidden/>
    <w:rsid w:val="00FF556E"/>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FF556E"/>
    <w:rPr>
      <w:vertAlign w:val="superscript"/>
    </w:rPr>
  </w:style>
  <w:style w:type="paragraph" w:styleId="FootnoteText">
    <w:name w:val="footnote text"/>
    <w:basedOn w:val="Normal"/>
    <w:link w:val="FootnoteTextChar"/>
    <w:uiPriority w:val="99"/>
    <w:rsid w:val="00FF556E"/>
    <w:pPr>
      <w:spacing w:before="0" w:after="20"/>
      <w:ind w:left="170" w:hanging="170"/>
    </w:pPr>
    <w:rPr>
      <w:sz w:val="17"/>
    </w:rPr>
  </w:style>
  <w:style w:type="character" w:customStyle="1" w:styleId="FootnoteTextChar">
    <w:name w:val="Footnote Text Char"/>
    <w:basedOn w:val="DefaultParagraphFont"/>
    <w:link w:val="FootnoteText"/>
    <w:uiPriority w:val="99"/>
    <w:rsid w:val="00FF556E"/>
    <w:rPr>
      <w:rFonts w:asciiTheme="minorHAnsi" w:eastAsia="Times New Roman" w:hAnsiTheme="minorHAnsi"/>
      <w:sz w:val="17"/>
      <w:lang w:eastAsia="en-AU"/>
    </w:rPr>
  </w:style>
  <w:style w:type="table" w:customStyle="1" w:styleId="GridTable5Dark-Accent61">
    <w:name w:val="Grid Table 5 Dark - Accent 61"/>
    <w:basedOn w:val="TableNormal"/>
    <w:uiPriority w:val="50"/>
    <w:rsid w:val="00FF556E"/>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9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7F9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7F9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7F9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7F98" w:themeFill="accent6"/>
      </w:tcPr>
    </w:tblStylePr>
    <w:tblStylePr w:type="band1Vert">
      <w:tblPr/>
      <w:tcPr>
        <w:shd w:val="clear" w:color="auto" w:fill="99D4E5" w:themeFill="accent6" w:themeFillTint="66"/>
      </w:tcPr>
    </w:tblStylePr>
    <w:tblStylePr w:type="band1Horz">
      <w:tblPr/>
      <w:tcPr>
        <w:shd w:val="clear" w:color="auto" w:fill="99D4E5" w:themeFill="accent6" w:themeFillTint="66"/>
      </w:tcPr>
    </w:tblStylePr>
  </w:style>
  <w:style w:type="paragraph" w:customStyle="1" w:styleId="KeyContactsName">
    <w:name w:val="KeyContacts Name"/>
    <w:basedOn w:val="Normal"/>
    <w:next w:val="Normal"/>
    <w:semiHidden/>
    <w:rsid w:val="00FF556E"/>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semiHidden/>
    <w:rsid w:val="00FF556E"/>
    <w:pPr>
      <w:ind w:left="720"/>
      <w:contextualSpacing/>
    </w:pPr>
  </w:style>
  <w:style w:type="character" w:customStyle="1" w:styleId="ListParagraphChar">
    <w:name w:val="List Paragraph Char"/>
    <w:basedOn w:val="DefaultParagraphFont"/>
    <w:link w:val="ListParagraph"/>
    <w:uiPriority w:val="34"/>
    <w:semiHidden/>
    <w:rsid w:val="00FF556E"/>
    <w:rPr>
      <w:rFonts w:asciiTheme="minorHAnsi" w:eastAsia="Times New Roman" w:hAnsiTheme="minorHAnsi"/>
      <w:lang w:eastAsia="en-AU"/>
    </w:rPr>
  </w:style>
  <w:style w:type="table" w:customStyle="1" w:styleId="ListTable4-Accent61">
    <w:name w:val="List Table 4 - Accent 61"/>
    <w:basedOn w:val="TableNormal"/>
    <w:uiPriority w:val="49"/>
    <w:rsid w:val="00FF556E"/>
    <w:pPr>
      <w:spacing w:before="100"/>
    </w:pPr>
    <w:rPr>
      <w:rFonts w:asciiTheme="minorHAnsi" w:eastAsiaTheme="minorEastAsia" w:hAnsiTheme="minorHAnsi" w:cstheme="minorBidi"/>
      <w:lang w:eastAsia="en-AU"/>
    </w:rPr>
    <w:tblPr>
      <w:tblStyleRowBandSize w:val="1"/>
      <w:tblStyleColBandSize w:val="1"/>
      <w:tblBorders>
        <w:top w:val="single" w:sz="4" w:space="0" w:color="66BED8" w:themeColor="accent6" w:themeTint="99"/>
        <w:left w:val="single" w:sz="4" w:space="0" w:color="66BED8" w:themeColor="accent6" w:themeTint="99"/>
        <w:bottom w:val="single" w:sz="4" w:space="0" w:color="66BED8" w:themeColor="accent6" w:themeTint="99"/>
        <w:right w:val="single" w:sz="4" w:space="0" w:color="66BED8" w:themeColor="accent6" w:themeTint="99"/>
        <w:insideH w:val="single" w:sz="4" w:space="0" w:color="66BED8" w:themeColor="accent6" w:themeTint="99"/>
      </w:tblBorders>
    </w:tblPr>
    <w:tblStylePr w:type="firstRow">
      <w:rPr>
        <w:b/>
        <w:bCs/>
        <w:color w:val="FFFFFF" w:themeColor="background1"/>
      </w:rPr>
      <w:tblPr/>
      <w:tcPr>
        <w:tcBorders>
          <w:top w:val="single" w:sz="4" w:space="0" w:color="277F98" w:themeColor="accent6"/>
          <w:left w:val="single" w:sz="4" w:space="0" w:color="277F98" w:themeColor="accent6"/>
          <w:bottom w:val="single" w:sz="4" w:space="0" w:color="277F98" w:themeColor="accent6"/>
          <w:right w:val="single" w:sz="4" w:space="0" w:color="277F98" w:themeColor="accent6"/>
          <w:insideH w:val="nil"/>
        </w:tcBorders>
        <w:shd w:val="clear" w:color="auto" w:fill="277F98" w:themeFill="accent6"/>
      </w:tcPr>
    </w:tblStylePr>
    <w:tblStylePr w:type="lastRow">
      <w:rPr>
        <w:b/>
        <w:bCs/>
      </w:rPr>
      <w:tblPr/>
      <w:tcPr>
        <w:tcBorders>
          <w:top w:val="double" w:sz="4" w:space="0" w:color="66BED8" w:themeColor="accent6" w:themeTint="99"/>
        </w:tcBorders>
      </w:tcPr>
    </w:tblStylePr>
    <w:tblStylePr w:type="firstCol">
      <w:rPr>
        <w:b/>
        <w:bCs/>
      </w:rPr>
    </w:tblStylePr>
    <w:tblStylePr w:type="lastCol">
      <w:rPr>
        <w:b/>
        <w:bCs/>
      </w:rPr>
    </w:tblStylePr>
    <w:tblStylePr w:type="band1Vert">
      <w:tblPr/>
      <w:tcPr>
        <w:shd w:val="clear" w:color="auto" w:fill="CCE9F2" w:themeFill="accent6" w:themeFillTint="33"/>
      </w:tcPr>
    </w:tblStylePr>
    <w:tblStylePr w:type="band1Horz">
      <w:tblPr/>
      <w:tcPr>
        <w:shd w:val="clear" w:color="auto" w:fill="CCE9F2" w:themeFill="accent6" w:themeFillTint="33"/>
      </w:tcPr>
    </w:tblStylePr>
  </w:style>
  <w:style w:type="character" w:customStyle="1" w:styleId="NoSpacingChar">
    <w:name w:val="No Spacing Char"/>
    <w:basedOn w:val="DefaultParagraphFont"/>
    <w:link w:val="NoSpacing"/>
    <w:rsid w:val="00FF556E"/>
    <w:rPr>
      <w:rFonts w:asciiTheme="minorHAnsi" w:eastAsia="Times New Roman" w:hAnsiTheme="minorHAnsi"/>
      <w:lang w:eastAsia="en-AU"/>
    </w:rPr>
  </w:style>
  <w:style w:type="paragraph" w:customStyle="1" w:styleId="OutlineNumbered1">
    <w:name w:val="Outline Numbered 1"/>
    <w:basedOn w:val="Normal"/>
    <w:link w:val="OutlineNumbered1Char"/>
    <w:semiHidden/>
    <w:rsid w:val="00FF556E"/>
    <w:pPr>
      <w:numPr>
        <w:numId w:val="11"/>
      </w:numPr>
    </w:pPr>
    <w:rPr>
      <w:rFonts w:cstheme="minorBidi"/>
      <w:color w:val="002C47" w:themeColor="accent1"/>
      <w:spacing w:val="15"/>
      <w:bdr w:val="none" w:sz="0" w:space="0" w:color="auto" w:frame="1"/>
    </w:rPr>
  </w:style>
  <w:style w:type="paragraph" w:styleId="Quote">
    <w:name w:val="Quote"/>
    <w:basedOn w:val="Normal"/>
    <w:next w:val="Normal"/>
    <w:link w:val="QuoteChar"/>
    <w:uiPriority w:val="99"/>
    <w:rsid w:val="00FF556E"/>
    <w:pPr>
      <w:spacing w:before="240" w:after="240"/>
      <w:ind w:left="851" w:right="851"/>
      <w:contextualSpacing/>
      <w:jc w:val="center"/>
    </w:pPr>
    <w:rPr>
      <w:i/>
      <w:iCs/>
      <w:color w:val="404040" w:themeColor="text1" w:themeTint="BF"/>
    </w:rPr>
  </w:style>
  <w:style w:type="numbering" w:customStyle="1" w:styleId="StyleBulletedSymbolsymbol11ptLeft4cmHanging05">
    <w:name w:val="Style Bulleted Symbol (symbol) 11 pt Left:  4 cm Hanging:  0.5 ..."/>
    <w:basedOn w:val="NoList"/>
    <w:rsid w:val="00FF556E"/>
    <w:pPr>
      <w:numPr>
        <w:numId w:val="1"/>
      </w:numPr>
    </w:pPr>
  </w:style>
  <w:style w:type="numbering" w:customStyle="1" w:styleId="StyleBulletedSymbolsymbol11ptLeft4cmHanging051">
    <w:name w:val="Style Bulleted Symbol (symbol) 11 pt Left:  4 cm Hanging:  0.5 ...1"/>
    <w:basedOn w:val="NoList"/>
    <w:rsid w:val="00FF556E"/>
    <w:pPr>
      <w:numPr>
        <w:numId w:val="2"/>
      </w:numPr>
    </w:pPr>
  </w:style>
  <w:style w:type="numbering" w:customStyle="1" w:styleId="BoxBulletedList">
    <w:name w:val="Box Bulleted List"/>
    <w:uiPriority w:val="99"/>
    <w:rsid w:val="00FF556E"/>
    <w:pPr>
      <w:numPr>
        <w:numId w:val="8"/>
      </w:numPr>
    </w:pPr>
  </w:style>
  <w:style w:type="paragraph" w:customStyle="1" w:styleId="TableText">
    <w:name w:val="Table Text"/>
    <w:basedOn w:val="Normal"/>
    <w:semiHidden/>
    <w:rsid w:val="00FF556E"/>
    <w:pPr>
      <w:spacing w:before="100" w:line="264" w:lineRule="auto"/>
    </w:pPr>
    <w:rPr>
      <w:rFonts w:ascii="Calibri" w:eastAsia="Batang" w:hAnsi="Calibri" w:cstheme="minorBidi"/>
      <w:sz w:val="24"/>
    </w:rPr>
  </w:style>
  <w:style w:type="character" w:customStyle="1" w:styleId="TableChartFigureHeadingChar">
    <w:name w:val="Table/Chart/Figure Heading Char"/>
    <w:basedOn w:val="DefaultParagraphFont"/>
    <w:link w:val="TableChartFigureHeading"/>
    <w:rsid w:val="00FF556E"/>
    <w:rPr>
      <w:rFonts w:asciiTheme="minorHAnsi" w:eastAsiaTheme="minorEastAsia" w:hAnsiTheme="minorHAnsi" w:cstheme="minorBidi"/>
      <w:b/>
      <w:color w:val="002C47" w:themeColor="accent1"/>
      <w:bdr w:val="none" w:sz="0" w:space="0" w:color="auto" w:frame="1"/>
    </w:rPr>
  </w:style>
  <w:style w:type="character" w:customStyle="1" w:styleId="OutlineNumbered1Char">
    <w:name w:val="Outline Numbered 1 Char"/>
    <w:basedOn w:val="TableChartFigureHeadingChar"/>
    <w:link w:val="OutlineNumbered1"/>
    <w:semiHidden/>
    <w:rsid w:val="00FF556E"/>
    <w:rPr>
      <w:rFonts w:asciiTheme="minorHAnsi" w:eastAsia="Times New Roman" w:hAnsiTheme="minorHAnsi" w:cstheme="minorBidi"/>
      <w:b w:val="0"/>
      <w:color w:val="002C47" w:themeColor="accent1"/>
      <w:spacing w:val="15"/>
      <w:bdr w:val="none" w:sz="0" w:space="0" w:color="auto" w:frame="1"/>
      <w:lang w:eastAsia="en-AU"/>
    </w:rPr>
  </w:style>
  <w:style w:type="table" w:customStyle="1" w:styleId="BlueBox">
    <w:name w:val="Blue Box"/>
    <w:basedOn w:val="TableNormal"/>
    <w:uiPriority w:val="99"/>
    <w:rsid w:val="00FF556E"/>
    <w:tblPr>
      <w:tblCellMar>
        <w:top w:w="57" w:type="dxa"/>
        <w:left w:w="284" w:type="dxa"/>
        <w:bottom w:w="284" w:type="dxa"/>
        <w:right w:w="284" w:type="dxa"/>
      </w:tblCellMar>
    </w:tblPr>
    <w:tcPr>
      <w:shd w:val="clear" w:color="auto" w:fill="EAF6F0"/>
    </w:tcPr>
  </w:style>
  <w:style w:type="paragraph" w:customStyle="1" w:styleId="TableChartFigureHeading">
    <w:name w:val="Table/Chart/Figure Heading"/>
    <w:basedOn w:val="Normal"/>
    <w:next w:val="Normal"/>
    <w:link w:val="TableChartFigureHeadingChar"/>
    <w:qFormat/>
    <w:rsid w:val="00FF556E"/>
    <w:pPr>
      <w:keepNext/>
      <w:pBdr>
        <w:top w:val="single" w:sz="12" w:space="6" w:color="38AFCF" w:themeColor="text2"/>
      </w:pBdr>
      <w:spacing w:before="240" w:after="120"/>
      <w:outlineLvl w:val="1"/>
    </w:pPr>
    <w:rPr>
      <w:rFonts w:eastAsiaTheme="minorEastAsia" w:cstheme="minorBidi"/>
      <w:b/>
      <w:color w:val="002C47" w:themeColor="accent1"/>
      <w:bdr w:val="none" w:sz="0" w:space="0" w:color="auto" w:frame="1"/>
      <w:lang w:eastAsia="en-US"/>
    </w:rPr>
  </w:style>
  <w:style w:type="paragraph" w:customStyle="1" w:styleId="TableChartFigureSource">
    <w:name w:val="Table/Chart/Figure Source"/>
    <w:next w:val="Normal"/>
    <w:link w:val="TableChartFigureSourceChar"/>
    <w:uiPriority w:val="1"/>
    <w:qFormat/>
    <w:rsid w:val="00FF556E"/>
    <w:pPr>
      <w:pBdr>
        <w:bottom w:val="single" w:sz="12" w:space="6" w:color="38AFCF" w:themeColor="text2"/>
      </w:pBdr>
      <w:tabs>
        <w:tab w:val="left" w:pos="0"/>
      </w:tabs>
      <w:spacing w:before="80" w:after="120"/>
    </w:pPr>
    <w:rPr>
      <w:rFonts w:asciiTheme="minorHAnsi" w:eastAsiaTheme="minorEastAsia" w:hAnsiTheme="minorHAnsi" w:cstheme="minorBidi"/>
      <w:sz w:val="17"/>
      <w:bdr w:val="none" w:sz="0" w:space="0" w:color="auto" w:frame="1"/>
      <w:lang w:eastAsia="en-AU"/>
    </w:rPr>
  </w:style>
  <w:style w:type="character" w:customStyle="1" w:styleId="TableChartFigureSourceChar">
    <w:name w:val="Table/Chart/Figure Source Char"/>
    <w:basedOn w:val="DashChar"/>
    <w:link w:val="TableChartFigureSource"/>
    <w:uiPriority w:val="1"/>
    <w:rsid w:val="00FF556E"/>
    <w:rPr>
      <w:rFonts w:asciiTheme="minorHAnsi" w:eastAsiaTheme="minorEastAsia" w:hAnsiTheme="minorHAnsi" w:cstheme="minorBidi"/>
      <w:sz w:val="17"/>
      <w:bdr w:val="none" w:sz="0" w:space="0" w:color="auto" w:frame="1"/>
      <w:lang w:eastAsia="en-AU"/>
    </w:rPr>
  </w:style>
  <w:style w:type="paragraph" w:customStyle="1" w:styleId="OutlineNumbered2">
    <w:name w:val="Outline Numbered 2"/>
    <w:basedOn w:val="Normal"/>
    <w:link w:val="OutlineNumbered2Char"/>
    <w:semiHidden/>
    <w:rsid w:val="00FF556E"/>
    <w:pPr>
      <w:numPr>
        <w:ilvl w:val="1"/>
        <w:numId w:val="11"/>
      </w:numPr>
    </w:pPr>
    <w:rPr>
      <w:rFonts w:cstheme="minorBidi"/>
      <w:color w:val="002C47" w:themeColor="accent1"/>
      <w:spacing w:val="15"/>
      <w:bdr w:val="none" w:sz="0" w:space="0" w:color="auto" w:frame="1"/>
    </w:rPr>
  </w:style>
  <w:style w:type="character" w:customStyle="1" w:styleId="OutlineNumbered2Char">
    <w:name w:val="Outline Numbered 2 Char"/>
    <w:basedOn w:val="TableChartFigureHeadingChar"/>
    <w:link w:val="OutlineNumbered2"/>
    <w:semiHidden/>
    <w:rsid w:val="00FF556E"/>
    <w:rPr>
      <w:rFonts w:asciiTheme="minorHAnsi" w:eastAsia="Times New Roman" w:hAnsiTheme="minorHAnsi" w:cstheme="minorBidi"/>
      <w:b w:val="0"/>
      <w:color w:val="002C47" w:themeColor="accent1"/>
      <w:spacing w:val="15"/>
      <w:bdr w:val="none" w:sz="0" w:space="0" w:color="auto" w:frame="1"/>
      <w:lang w:eastAsia="en-AU"/>
    </w:rPr>
  </w:style>
  <w:style w:type="paragraph" w:customStyle="1" w:styleId="OutlineNumbered3">
    <w:name w:val="Outline Numbered 3"/>
    <w:basedOn w:val="Normal"/>
    <w:link w:val="OutlineNumbered3Char"/>
    <w:semiHidden/>
    <w:rsid w:val="00FF556E"/>
    <w:pPr>
      <w:numPr>
        <w:ilvl w:val="2"/>
        <w:numId w:val="11"/>
      </w:numPr>
    </w:pPr>
    <w:rPr>
      <w:rFonts w:cstheme="minorBidi"/>
      <w:color w:val="002C47" w:themeColor="accent1"/>
      <w:spacing w:val="15"/>
      <w:bdr w:val="none" w:sz="0" w:space="0" w:color="auto" w:frame="1"/>
    </w:rPr>
  </w:style>
  <w:style w:type="character" w:customStyle="1" w:styleId="OutlineNumbered3Char">
    <w:name w:val="Outline Numbered 3 Char"/>
    <w:basedOn w:val="TableChartFigureHeadingChar"/>
    <w:link w:val="OutlineNumbered3"/>
    <w:semiHidden/>
    <w:rsid w:val="00FF556E"/>
    <w:rPr>
      <w:rFonts w:asciiTheme="minorHAnsi" w:eastAsia="Times New Roman" w:hAnsiTheme="minorHAnsi" w:cstheme="minorBidi"/>
      <w:b w:val="0"/>
      <w:color w:val="002C47" w:themeColor="accent1"/>
      <w:spacing w:val="15"/>
      <w:bdr w:val="none" w:sz="0" w:space="0" w:color="auto" w:frame="1"/>
      <w:lang w:eastAsia="en-AU"/>
    </w:rPr>
  </w:style>
  <w:style w:type="character" w:customStyle="1" w:styleId="QuoteChar">
    <w:name w:val="Quote Char"/>
    <w:basedOn w:val="DefaultParagraphFont"/>
    <w:link w:val="Quote"/>
    <w:uiPriority w:val="99"/>
    <w:rsid w:val="00FF556E"/>
    <w:rPr>
      <w:rFonts w:asciiTheme="minorHAnsi" w:eastAsia="Times New Roman" w:hAnsiTheme="minorHAnsi"/>
      <w:i/>
      <w:iCs/>
      <w:color w:val="404040" w:themeColor="text1" w:themeTint="BF"/>
      <w:lang w:eastAsia="en-AU"/>
    </w:rPr>
  </w:style>
  <w:style w:type="paragraph" w:customStyle="1" w:styleId="ChartGraphic">
    <w:name w:val="Chart Graphic"/>
    <w:basedOn w:val="Normal"/>
    <w:rsid w:val="00FF556E"/>
    <w:pPr>
      <w:keepNext/>
      <w:autoSpaceDE/>
      <w:autoSpaceDN/>
      <w:adjustRightInd/>
      <w:spacing w:before="0" w:after="0"/>
    </w:pPr>
  </w:style>
  <w:style w:type="table" w:customStyle="1" w:styleId="SidebySideChartFigureTable">
    <w:name w:val="Side by Side Chart/Figure Table"/>
    <w:basedOn w:val="TableNormal"/>
    <w:uiPriority w:val="99"/>
    <w:rsid w:val="00FF556E"/>
    <w:tblPr/>
  </w:style>
  <w:style w:type="paragraph" w:customStyle="1" w:styleId="TableChartFiguresecondheading">
    <w:name w:val="Table/Chart/Figure second heading"/>
    <w:basedOn w:val="TableChartFigureHeading"/>
    <w:qFormat/>
    <w:rsid w:val="00FF556E"/>
    <w:pPr>
      <w:pBdr>
        <w:top w:val="none" w:sz="0" w:space="0" w:color="auto"/>
      </w:pBdr>
      <w:spacing w:before="120"/>
      <w:outlineLvl w:val="2"/>
    </w:pPr>
    <w:rPr>
      <w:b w:val="0"/>
      <w:bCs/>
      <w:color w:val="2F8361" w:themeColor="accent4"/>
    </w:rPr>
  </w:style>
  <w:style w:type="paragraph" w:customStyle="1" w:styleId="TableColumnHeadingLeft">
    <w:name w:val="Table Column Heading Left"/>
    <w:basedOn w:val="Normal"/>
    <w:rsid w:val="00FF556E"/>
    <w:pPr>
      <w:autoSpaceDE/>
      <w:autoSpaceDN/>
      <w:adjustRightInd/>
      <w:spacing w:before="40" w:after="40" w:line="276" w:lineRule="auto"/>
    </w:pPr>
    <w:rPr>
      <w:rFonts w:eastAsiaTheme="minorEastAsia"/>
      <w:b/>
      <w:color w:val="0F3A5D" w:themeColor="accent2" w:themeShade="80"/>
      <w:bdr w:val="none" w:sz="0" w:space="0" w:color="auto" w:frame="1"/>
    </w:rPr>
  </w:style>
  <w:style w:type="paragraph" w:customStyle="1" w:styleId="TableColumnHeadingRight">
    <w:name w:val="Table Column Heading Right"/>
    <w:basedOn w:val="Normal"/>
    <w:rsid w:val="00FF556E"/>
    <w:pPr>
      <w:autoSpaceDE/>
      <w:autoSpaceDN/>
      <w:adjustRightInd/>
      <w:spacing w:before="40" w:after="40" w:line="276" w:lineRule="auto"/>
      <w:jc w:val="right"/>
    </w:pPr>
    <w:rPr>
      <w:rFonts w:eastAsiaTheme="minorEastAsia"/>
      <w:b/>
      <w:color w:val="0F3A5D" w:themeColor="accent2" w:themeShade="80"/>
      <w:bdr w:val="none" w:sz="0" w:space="0" w:color="auto" w:frame="1"/>
    </w:rPr>
  </w:style>
  <w:style w:type="paragraph" w:customStyle="1" w:styleId="TableTextRight">
    <w:name w:val="Table Text Right"/>
    <w:basedOn w:val="Normal"/>
    <w:rsid w:val="00FF556E"/>
    <w:pPr>
      <w:autoSpaceDE/>
      <w:autoSpaceDN/>
      <w:adjustRightInd/>
      <w:spacing w:before="20" w:after="20"/>
      <w:jc w:val="right"/>
    </w:pPr>
    <w:rPr>
      <w:rFonts w:eastAsiaTheme="minorEastAsia" w:cstheme="minorBidi"/>
      <w:color w:val="000000"/>
      <w:lang w:eastAsia="en-US"/>
    </w:rPr>
  </w:style>
  <w:style w:type="paragraph" w:customStyle="1" w:styleId="Tabletextleftindent">
    <w:name w:val="Table text left indent"/>
    <w:basedOn w:val="Normal"/>
    <w:qFormat/>
    <w:rsid w:val="00FF556E"/>
    <w:pPr>
      <w:autoSpaceDE/>
      <w:autoSpaceDN/>
      <w:adjustRightInd/>
      <w:spacing w:before="20" w:after="20"/>
      <w:ind w:left="284"/>
    </w:pPr>
    <w:rPr>
      <w:rFonts w:eastAsiaTheme="minorEastAsia"/>
      <w:i/>
      <w:iCs/>
    </w:rPr>
  </w:style>
  <w:style w:type="table" w:customStyle="1" w:styleId="CPOPSnapshotTable">
    <w:name w:val="CPOP Snapshot Table"/>
    <w:basedOn w:val="TableNormal"/>
    <w:uiPriority w:val="99"/>
    <w:rsid w:val="00FF556E"/>
    <w:tblPr>
      <w:tblStyleColBandSize w:val="1"/>
      <w:tblBorders>
        <w:top w:val="single" w:sz="4" w:space="0" w:color="EBE9E8" w:themeColor="accent5" w:themeTint="33"/>
        <w:bottom w:val="single" w:sz="4" w:space="0" w:color="EBE9E8" w:themeColor="accent5" w:themeTint="33"/>
        <w:insideH w:val="single" w:sz="4" w:space="0" w:color="EBE9E8" w:themeColor="accent5" w:themeTint="33"/>
        <w:insideV w:val="single" w:sz="4" w:space="0" w:color="FFFFFF" w:themeColor="background1"/>
      </w:tblBorders>
    </w:tblPr>
    <w:tcPr>
      <w:shd w:val="clear" w:color="auto" w:fill="auto"/>
    </w:tcPr>
    <w:tblStylePr w:type="firstRow">
      <w:tblPr/>
      <w:tcPr>
        <w:tcBorders>
          <w:bottom w:val="single" w:sz="4" w:space="0" w:color="002C47" w:themeColor="accent1"/>
          <w:insideV w:val="single" w:sz="4" w:space="0" w:color="FFFFFF" w:themeColor="background1"/>
        </w:tcBorders>
        <w:shd w:val="clear" w:color="auto" w:fill="EBE9E8" w:themeFill="accent5" w:themeFillTint="33"/>
      </w:tcPr>
    </w:tblStylePr>
    <w:tblStylePr w:type="lastRow">
      <w:tblPr/>
      <w:tcPr>
        <w:tcBorders>
          <w:bottom w:val="single" w:sz="4" w:space="0" w:color="002C47" w:themeColor="accent1"/>
        </w:tcBorders>
        <w:shd w:val="clear" w:color="auto" w:fill="auto"/>
      </w:tcPr>
    </w:tblStylePr>
    <w:tblStylePr w:type="band1Vert">
      <w:tblPr/>
      <w:tcPr>
        <w:tcBorders>
          <w:insideV w:val="single" w:sz="4" w:space="0" w:color="FFFFFF" w:themeColor="background1"/>
        </w:tcBorders>
        <w:shd w:val="clear" w:color="auto" w:fill="auto"/>
      </w:tcPr>
    </w:tblStylePr>
    <w:tblStylePr w:type="band2Vert">
      <w:tblPr/>
      <w:tcPr>
        <w:tcBorders>
          <w:insideV w:val="single" w:sz="4" w:space="0" w:color="FFFFFF" w:themeColor="background1"/>
        </w:tcBorders>
        <w:shd w:val="clear" w:color="auto" w:fill="auto"/>
      </w:tcPr>
    </w:tblStylePr>
  </w:style>
  <w:style w:type="character" w:styleId="CommentReference">
    <w:name w:val="annotation reference"/>
    <w:basedOn w:val="DefaultParagraphFont"/>
    <w:uiPriority w:val="99"/>
    <w:semiHidden/>
    <w:unhideWhenUsed/>
    <w:rsid w:val="00981AF4"/>
    <w:rPr>
      <w:sz w:val="16"/>
      <w:szCs w:val="16"/>
    </w:rPr>
  </w:style>
  <w:style w:type="paragraph" w:styleId="CommentText">
    <w:name w:val="annotation text"/>
    <w:basedOn w:val="Normal"/>
    <w:link w:val="CommentTextChar"/>
    <w:uiPriority w:val="99"/>
    <w:unhideWhenUsed/>
    <w:rsid w:val="00981AF4"/>
    <w:pPr>
      <w:autoSpaceDE/>
      <w:autoSpaceDN/>
      <w:adjustRightInd/>
      <w:spacing w:before="0" w:after="160"/>
    </w:pPr>
    <w:rPr>
      <w:rFonts w:eastAsiaTheme="minorHAnsi" w:cstheme="minorBidi"/>
      <w:kern w:val="2"/>
      <w:lang w:eastAsia="en-US"/>
      <w14:ligatures w14:val="standardContextual"/>
    </w:rPr>
  </w:style>
  <w:style w:type="character" w:customStyle="1" w:styleId="CommentTextChar">
    <w:name w:val="Comment Text Char"/>
    <w:basedOn w:val="DefaultParagraphFont"/>
    <w:link w:val="CommentText"/>
    <w:uiPriority w:val="99"/>
    <w:rsid w:val="00981AF4"/>
    <w:rPr>
      <w:rFonts w:asciiTheme="minorHAnsi" w:hAnsiTheme="minorHAnsi" w:cstheme="minorBidi"/>
      <w:kern w:val="2"/>
      <w14:ligatures w14:val="standardContextual"/>
    </w:rPr>
  </w:style>
  <w:style w:type="paragraph" w:styleId="EndnoteText">
    <w:name w:val="endnote text"/>
    <w:basedOn w:val="Normal"/>
    <w:link w:val="EndnoteTextChar"/>
    <w:uiPriority w:val="99"/>
    <w:semiHidden/>
    <w:rsid w:val="00560F39"/>
    <w:pPr>
      <w:spacing w:before="0" w:after="0"/>
    </w:pPr>
  </w:style>
  <w:style w:type="character" w:customStyle="1" w:styleId="EndnoteTextChar">
    <w:name w:val="Endnote Text Char"/>
    <w:basedOn w:val="DefaultParagraphFont"/>
    <w:link w:val="EndnoteText"/>
    <w:uiPriority w:val="99"/>
    <w:semiHidden/>
    <w:rsid w:val="00560F39"/>
    <w:rPr>
      <w:rFonts w:asciiTheme="minorHAnsi" w:eastAsia="Times New Roman" w:hAnsiTheme="minorHAnsi"/>
      <w:lang w:eastAsia="en-AU"/>
    </w:rPr>
  </w:style>
  <w:style w:type="character" w:styleId="EndnoteReference">
    <w:name w:val="endnote reference"/>
    <w:basedOn w:val="DefaultParagraphFont"/>
    <w:uiPriority w:val="99"/>
    <w:semiHidden/>
    <w:rsid w:val="00560F39"/>
    <w:rPr>
      <w:vertAlign w:val="superscript"/>
    </w:rPr>
  </w:style>
  <w:style w:type="paragraph" w:styleId="CommentSubject">
    <w:name w:val="annotation subject"/>
    <w:basedOn w:val="CommentText"/>
    <w:next w:val="CommentText"/>
    <w:link w:val="CommentSubjectChar"/>
    <w:semiHidden/>
    <w:rsid w:val="006210EF"/>
    <w:pPr>
      <w:autoSpaceDE w:val="0"/>
      <w:autoSpaceDN w:val="0"/>
      <w:adjustRightInd w:val="0"/>
      <w:spacing w:before="60" w:after="60"/>
    </w:pPr>
    <w:rPr>
      <w:rFonts w:eastAsia="Times New Roman" w:cs="Times New Roman"/>
      <w:b/>
      <w:bCs/>
      <w:kern w:val="0"/>
      <w:lang w:eastAsia="en-AU"/>
      <w14:ligatures w14:val="none"/>
    </w:rPr>
  </w:style>
  <w:style w:type="character" w:customStyle="1" w:styleId="CommentSubjectChar">
    <w:name w:val="Comment Subject Char"/>
    <w:basedOn w:val="CommentTextChar"/>
    <w:link w:val="CommentSubject"/>
    <w:semiHidden/>
    <w:rsid w:val="006210EF"/>
    <w:rPr>
      <w:rFonts w:asciiTheme="minorHAnsi" w:eastAsia="Times New Roman" w:hAnsiTheme="minorHAnsi" w:cstheme="minorBidi"/>
      <w:b/>
      <w:bCs/>
      <w:kern w:val="2"/>
      <w:lang w:eastAsia="en-AU"/>
      <w14:ligatures w14:val="standardContextual"/>
    </w:rPr>
  </w:style>
  <w:style w:type="character" w:styleId="Mention">
    <w:name w:val="Mention"/>
    <w:basedOn w:val="DefaultParagraphFont"/>
    <w:uiPriority w:val="99"/>
    <w:semiHidden/>
    <w:rsid w:val="00FC5FE6"/>
    <w:rPr>
      <w:color w:val="2B579A"/>
      <w:shd w:val="clear" w:color="auto" w:fill="E1DFDD"/>
    </w:rPr>
  </w:style>
  <w:style w:type="paragraph" w:customStyle="1" w:styleId="Title-StateTerritory">
    <w:name w:val="Title - State/Territory"/>
    <w:basedOn w:val="Normal"/>
    <w:rsid w:val="00FF556E"/>
    <w:pPr>
      <w:spacing w:before="0" w:after="560" w:line="216" w:lineRule="auto"/>
      <w:jc w:val="right"/>
      <w:outlineLvl w:val="0"/>
    </w:pPr>
    <w:rPr>
      <w:rFonts w:ascii="Calibri" w:hAnsi="Calibri"/>
      <w:color w:val="FFFFFF" w:themeColor="background1"/>
      <w:spacing w:val="-14"/>
      <w:sz w:val="40"/>
      <w:szCs w:val="56"/>
    </w:rPr>
  </w:style>
  <w:style w:type="paragraph" w:customStyle="1" w:styleId="Title-PopulationStatement">
    <w:name w:val="Title - Population Statement"/>
    <w:basedOn w:val="Title-StateTerritory"/>
    <w:qFormat/>
    <w:rsid w:val="00FF556E"/>
    <w:pPr>
      <w:spacing w:after="0"/>
    </w:pPr>
  </w:style>
  <w:style w:type="paragraph" w:customStyle="1" w:styleId="TableTextLeft">
    <w:name w:val="Table Text Left"/>
    <w:basedOn w:val="Normal"/>
    <w:qFormat/>
    <w:rsid w:val="00FF556E"/>
    <w:pPr>
      <w:autoSpaceDE/>
      <w:autoSpaceDN/>
      <w:adjustRightInd/>
      <w:spacing w:before="20" w:after="20"/>
    </w:pPr>
    <w:rPr>
      <w:rFonts w:eastAsiaTheme="minorEastAsia"/>
      <w:bCs/>
      <w:color w:val="000000" w:themeColor="text1"/>
      <w:bdr w:val="none" w:sz="0" w:space="0" w:color="auto" w:frame="1"/>
    </w:rPr>
  </w:style>
  <w:style w:type="paragraph" w:customStyle="1" w:styleId="TableChartFiguresecondheading-Side-by-side">
    <w:name w:val="Table/Chart/Figure second heading - Side-by-side"/>
    <w:basedOn w:val="TableChartFiguresecondheading"/>
    <w:qFormat/>
    <w:rsid w:val="00FF556E"/>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Centre%20for%20Population\CPOP%20Snapshot%20Template.dotx" TargetMode="External"/></Relationships>
</file>

<file path=word/theme/theme1.xml><?xml version="1.0" encoding="utf-8"?>
<a:theme xmlns:a="http://schemas.openxmlformats.org/drawingml/2006/main" name="TSYBrand">
  <a:themeElements>
    <a:clrScheme name="CPOP accessible">
      <a:dk1>
        <a:sysClr val="windowText" lastClr="000000"/>
      </a:dk1>
      <a:lt1>
        <a:sysClr val="window" lastClr="FFFFFF"/>
      </a:lt1>
      <a:dk2>
        <a:srgbClr val="38AFCF"/>
      </a:dk2>
      <a:lt2>
        <a:srgbClr val="4DBC8D"/>
      </a:lt2>
      <a:accent1>
        <a:srgbClr val="002C47"/>
      </a:accent1>
      <a:accent2>
        <a:srgbClr val="1E75BA"/>
      </a:accent2>
      <a:accent3>
        <a:srgbClr val="CF542F"/>
      </a:accent3>
      <a:accent4>
        <a:srgbClr val="2F8361"/>
      </a:accent4>
      <a:accent5>
        <a:srgbClr val="9E928F"/>
      </a:accent5>
      <a:accent6>
        <a:srgbClr val="277F98"/>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a0f7cc3-c266-472c-a05b-c6f864bb8450">
      <Value>97</Value>
      <Value>95</Value>
      <Value>78</Value>
      <Value>1</Value>
    </TaxCatchAll>
    <_dlc_DocId xmlns="fe39d773-a83d-4623-ae74-f25711a76616">KFKJJFZ4YKUM-899033718-132</_dlc_DocId>
    <_dlc_DocIdUrl xmlns="fe39d773-a83d-4623-ae74-f25711a76616">
      <Url>https://austreasury.sharepoint.com/sites/cenpop-function/_layouts/15/DocIdRedir.aspx?ID=KFKJJFZ4YKUM-899033718-132</Url>
      <Description>KFKJJFZ4YKUM-899033718-132</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1c05f84f-a96d-4b64-970a-14a4c22445cc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b383e841-c58a-4c9d-92c1-6b13b35f5bdb</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Population</TermName>
          <TermId xmlns="http://schemas.microsoft.com/office/infopath/2007/PartnerControls">dfc189bb-46ec-4771-b471-77807c301c0c</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Population - general</TermName>
          <TermId xmlns="http://schemas.microsoft.com/office/infopath/2007/PartnerControls">1fad4074-b2d1-43c5-90c7-343fb02489f8</TermId>
        </TermInfo>
      </Terms>
    </gfba5f33532c49208d2320ce38cc3c2b>
    <TSY_CreatedByDivision xmlns="8a0f7cc3-c266-472c-a05b-c6f864bb8450">Macroeconomic Group - Macroeconomic Conditions and Population Division</TSY_CreatedByDivision>
    <TSY_ModifiedByDivision xmlns="8a0f7cc3-c266-472c-a05b-c6f864bb8450">Macroeconomic Group - Macroeconomic Conditions and Population Division</TSY_ModifiedByDivi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BA7923CE9976429481BFBBBC265BAF" ma:contentTypeVersion="3" ma:contentTypeDescription="Create a new document." ma:contentTypeScope="" ma:versionID="e01f24e4f1d042aa12a887f9d4071359">
  <xsd:schema xmlns:xsd="http://www.w3.org/2001/XMLSchema" xmlns:xs="http://www.w3.org/2001/XMLSchema" xmlns:p="http://schemas.microsoft.com/office/2006/metadata/properties" xmlns:ns2="fe39d773-a83d-4623-ae74-f25711a76616" xmlns:ns3="8a0f7cc3-c266-472c-a05b-c6f864bb8450" xmlns:ns4="4b2ba981-d49b-488f-8ad5-18354b849463" targetNamespace="http://schemas.microsoft.com/office/2006/metadata/properties" ma:root="true" ma:fieldsID="710eaa83b65fb863b2a1c390ac494848" ns2:_="" ns3:_="" ns4:_="">
    <xsd:import namespace="fe39d773-a83d-4623-ae74-f25711a76616"/>
    <xsd:import namespace="8a0f7cc3-c266-472c-a05b-c6f864bb8450"/>
    <xsd:import namespace="4b2ba981-d49b-488f-8ad5-18354b849463"/>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3:TSY_CreatedByDivision" minOccurs="0"/>
                <xsd:element ref="ns3:TSY_ModifiedByDivision"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Population|dfc189bb-46ec-4771-b471-77807c301c0c"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d30ce89a-1134-4700-94d0-04c364853b4b"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becd10e0-8510-4710-9b20-d817c2b0e527"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e1836263-94d0-4953-b054-95b6ac1c6edf"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f7cc3-c266-472c-a05b-c6f864bb84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1da8ad6-4f00-43fc-8358-94d0f8dade0d}" ma:internalName="TaxCatchAll" ma:showField="CatchAllData"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1da8ad6-4f00-43fc-8358-94d0f8dade0d}" ma:internalName="TaxCatchAllLabel" ma:readOnly="true" ma:showField="CatchAllDataLabel"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SY_CreatedByDivision" ma:index="23" nillable="true" ma:displayName="Created By Division" ma:internalName="TSY_CreatedByDivision" ma:readOnly="true">
      <xsd:simpleType>
        <xsd:restriction base="dms:Text"/>
      </xsd:simpleType>
    </xsd:element>
    <xsd:element name="TSY_ModifiedByDivision" ma:index="24"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ba981-d49b-488f-8ad5-18354b84946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202B-9CFB-4AC3-92C7-57C979B5453B}">
  <ds:schemaRefs>
    <ds:schemaRef ds:uri="http://schemas.microsoft.com/sharepoint/events"/>
  </ds:schemaRefs>
</ds:datastoreItem>
</file>

<file path=customXml/itemProps2.xml><?xml version="1.0" encoding="utf-8"?>
<ds:datastoreItem xmlns:ds="http://schemas.openxmlformats.org/officeDocument/2006/customXml" ds:itemID="{64C9EF1C-25C2-48EA-9C02-F5D0102C6A46}">
  <ds:schemaRefs>
    <ds:schemaRef ds:uri="4b2ba981-d49b-488f-8ad5-18354b849463"/>
    <ds:schemaRef ds:uri="8a0f7cc3-c266-472c-a05b-c6f864bb8450"/>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fe39d773-a83d-4623-ae74-f25711a76616"/>
    <ds:schemaRef ds:uri="http://purl.org/dc/terms/"/>
  </ds:schemaRefs>
</ds:datastoreItem>
</file>

<file path=customXml/itemProps3.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4.xml><?xml version="1.0" encoding="utf-8"?>
<ds:datastoreItem xmlns:ds="http://schemas.openxmlformats.org/officeDocument/2006/customXml" ds:itemID="{26AEEC5A-2E9D-4A79-B2C2-6E969643E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8a0f7cc3-c266-472c-a05b-c6f864bb8450"/>
    <ds:schemaRef ds:uri="4b2ba981-d49b-488f-8ad5-18354b849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CPOP Snapshot Template.dotx</Template>
  <TotalTime>45</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2025 Population Statement</vt:lpstr>
    </vt:vector>
  </TitlesOfParts>
  <Company/>
  <LinksUpToDate>false</LinksUpToDate>
  <CharactersWithSpaces>3236</CharactersWithSpaces>
  <SharedDoc>false</SharedDoc>
  <HLinks>
    <vt:vector size="12" baseType="variant">
      <vt:variant>
        <vt:i4>4587612</vt:i4>
      </vt:variant>
      <vt:variant>
        <vt:i4>18</vt:i4>
      </vt:variant>
      <vt:variant>
        <vt:i4>0</vt:i4>
      </vt:variant>
      <vt:variant>
        <vt:i4>5</vt:i4>
      </vt:variant>
      <vt:variant>
        <vt:lpwstr>http://www.population.gov.au/</vt:lpwstr>
      </vt:variant>
      <vt:variant>
        <vt:lpwstr/>
      </vt:variant>
      <vt:variant>
        <vt:i4>4587612</vt:i4>
      </vt:variant>
      <vt:variant>
        <vt:i4>12</vt:i4>
      </vt:variant>
      <vt:variant>
        <vt:i4>0</vt:i4>
      </vt:variant>
      <vt:variant>
        <vt:i4>5</vt:i4>
      </vt:variant>
      <vt:variant>
        <vt:lpwstr>http://www.population.gov.au/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Population Statement</dc:title>
  <dc:subject>South Australia snapshot</dc:subject>
  <dc:creator>Australian Government</dc:creator>
  <cp:keywords/>
  <dc:description/>
  <cp:revision>13</cp:revision>
  <cp:lastPrinted>2026-01-07T05:07:00Z</cp:lastPrinted>
  <dcterms:created xsi:type="dcterms:W3CDTF">2025-12-17T04:28:00Z</dcterms:created>
  <dcterms:modified xsi:type="dcterms:W3CDTF">2026-01-08T03:12:00Z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462b302f,5a36fc4f</vt:lpwstr>
  </property>
  <property fmtid="{D5CDD505-2E9C-101B-9397-08002B2CF9AE}" pid="3" name="ClassificationContentMarkingFooterFontProps">
    <vt:lpwstr>#ff0000,12,Calibri</vt:lpwstr>
  </property>
  <property fmtid="{D5CDD505-2E9C-101B-9397-08002B2CF9AE}" pid="4" name="ClassificationContentMarkingFooterText">
    <vt:lpwstr>OFFICIAL</vt:lpwstr>
  </property>
  <property fmtid="{D5CDD505-2E9C-101B-9397-08002B2CF9AE}" pid="5" name="ContentTypeId">
    <vt:lpwstr>0x010100BDBA7923CE9976429481BFBBBC265BAF</vt:lpwstr>
  </property>
  <property fmtid="{D5CDD505-2E9C-101B-9397-08002B2CF9AE}" pid="6" name="eTheme">
    <vt:lpwstr>1;#Population|dfc189bb-46ec-4771-b471-77807c301c0c</vt:lpwstr>
  </property>
  <property fmtid="{D5CDD505-2E9C-101B-9397-08002B2CF9AE}" pid="7" name="_dlc_DocIdItemGuid">
    <vt:lpwstr>8ba37561-8e3e-455b-9feb-62a23a93d56d</vt:lpwstr>
  </property>
  <property fmtid="{D5CDD505-2E9C-101B-9397-08002B2CF9AE}" pid="8" name="TSYStatus">
    <vt:lpwstr/>
  </property>
  <property fmtid="{D5CDD505-2E9C-101B-9397-08002B2CF9AE}" pid="9" name="eDocumentType">
    <vt:lpwstr>97;#Analysis|b383e841-c58a-4c9d-92c1-6b13b35f5bdb</vt:lpwstr>
  </property>
  <property fmtid="{D5CDD505-2E9C-101B-9397-08002B2CF9AE}" pid="10" name="eTopic">
    <vt:lpwstr>78;#Population - general|1fad4074-b2d1-43c5-90c7-343fb02489f8</vt:lpwstr>
  </property>
  <property fmtid="{D5CDD505-2E9C-101B-9397-08002B2CF9AE}" pid="11" name="eActivity">
    <vt:lpwstr>95;#Analysis|1c05f84f-a96d-4b64-970a-14a4c22445cc</vt:lpwstr>
  </property>
  <property fmtid="{D5CDD505-2E9C-101B-9397-08002B2CF9AE}" pid="12" name="docLang">
    <vt:lpwstr>en</vt:lpwstr>
  </property>
  <property fmtid="{D5CDD505-2E9C-101B-9397-08002B2CF9AE}" pid="13" name="MSIP_Label_4f932d64-9ab1-4d9b-81d2-a3a8b82dd47d_Enabled">
    <vt:lpwstr>true</vt:lpwstr>
  </property>
  <property fmtid="{D5CDD505-2E9C-101B-9397-08002B2CF9AE}" pid="14" name="MSIP_Label_4f932d64-9ab1-4d9b-81d2-a3a8b82dd47d_SetDate">
    <vt:lpwstr>2026-01-08T03:11:57Z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6a26a828-7e55-42f8-98ce-fa19ee43480a</vt:lpwstr>
  </property>
  <property fmtid="{D5CDD505-2E9C-101B-9397-08002B2CF9AE}" pid="19" name="MSIP_Label_4f932d64-9ab1-4d9b-81d2-a3a8b82dd47d_ContentBits">
    <vt:lpwstr>0</vt:lpwstr>
  </property>
  <property fmtid="{D5CDD505-2E9C-101B-9397-08002B2CF9AE}" pid="20" name="MSIP_Label_4f932d64-9ab1-4d9b-81d2-a3a8b82dd47d_Tag">
    <vt:lpwstr>10, 0, 1, 1</vt:lpwstr>
  </property>
</Properties>
</file>