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6EF483C8" w:rsidR="006D67D4" w:rsidRPr="006D67D4" w:rsidRDefault="006B06C8" w:rsidP="00851974">
      <w:pPr>
        <w:pStyle w:val="Title-PopulationStatement"/>
      </w:pPr>
      <w:r w:rsidRPr="006D67D4">
        <w:t>2025 Population Statement</w:t>
      </w:r>
    </w:p>
    <w:p w14:paraId="36A76A31" w14:textId="35C94A80" w:rsidR="0054373D" w:rsidRDefault="000F2E37" w:rsidP="00851974">
      <w:pPr>
        <w:pStyle w:val="Title-StateTerritory"/>
      </w:pPr>
      <w:r>
        <w:t>Victoria</w:t>
      </w:r>
      <w:r w:rsidR="00250564" w:rsidRPr="006D67D4">
        <w:t xml:space="preserve"> snapshot</w:t>
      </w:r>
    </w:p>
    <w:p w14:paraId="58B8C4A7" w14:textId="17413DAF" w:rsidR="0054373D" w:rsidRPr="007800E9" w:rsidRDefault="0054373D" w:rsidP="0054373D">
      <w:pPr>
        <w:pStyle w:val="Heading1"/>
      </w:pPr>
      <w:r>
        <w:t xml:space="preserve">Victoria will have the </w:t>
      </w:r>
      <w:r w:rsidR="00513EDE">
        <w:t>second</w:t>
      </w:r>
      <w:r w:rsidR="005F64B3">
        <w:t xml:space="preserve"> </w:t>
      </w:r>
      <w:r>
        <w:t>fastest population growth of any state</w:t>
      </w:r>
      <w:r w:rsidR="0022252E">
        <w:rPr>
          <w:rStyle w:val="FootnoteReference"/>
        </w:rPr>
        <w:footnoteReference w:id="2"/>
      </w:r>
      <w:r>
        <w:t xml:space="preserve"> </w:t>
      </w:r>
    </w:p>
    <w:p w14:paraId="435D2F7B" w14:textId="14F3DF60" w:rsidR="0054373D" w:rsidRPr="0054373D" w:rsidRDefault="0054373D" w:rsidP="0054373D">
      <w:pPr>
        <w:pStyle w:val="Bullet"/>
      </w:pPr>
      <w:r>
        <w:t xml:space="preserve">Victoria is forecast to </w:t>
      </w:r>
      <w:r w:rsidR="003D4751">
        <w:t>be</w:t>
      </w:r>
      <w:r>
        <w:t xml:space="preserve"> the</w:t>
      </w:r>
      <w:r w:rsidR="003D4751">
        <w:t xml:space="preserve"> second </w:t>
      </w:r>
      <w:r>
        <w:t xml:space="preserve">fastest growing state </w:t>
      </w:r>
      <w:r w:rsidR="003D4751">
        <w:t>in 2027–28</w:t>
      </w:r>
      <w:r w:rsidR="00B37C83">
        <w:t>,</w:t>
      </w:r>
      <w:r w:rsidR="003D4751">
        <w:t xml:space="preserve"> behind Western Australia, </w:t>
      </w:r>
      <w:r>
        <w:t xml:space="preserve">with average annual growth of </w:t>
      </w:r>
      <w:r w:rsidR="0105C4E7">
        <w:t>1.</w:t>
      </w:r>
      <w:r w:rsidR="003F7F7D">
        <w:t>4</w:t>
      </w:r>
      <w:r>
        <w:t xml:space="preserve"> per cent</w:t>
      </w:r>
      <w:r w:rsidR="003F7F7D">
        <w:t xml:space="preserve"> over the next decade</w:t>
      </w:r>
      <w:r>
        <w:t xml:space="preserve">. </w:t>
      </w:r>
    </w:p>
    <w:p w14:paraId="644AFDD5" w14:textId="77777777" w:rsidR="000F6567" w:rsidRPr="000F6567" w:rsidRDefault="0054373D" w:rsidP="0054373D">
      <w:pPr>
        <w:pStyle w:val="Bullet"/>
        <w:rPr>
          <w:b/>
          <w:bCs/>
        </w:rPr>
      </w:pPr>
      <w:r w:rsidRPr="0054373D">
        <w:t>Growth</w:t>
      </w:r>
      <w:r w:rsidRPr="00497874">
        <w:rPr>
          <w:rFonts w:ascii="Calibri" w:hAnsi="Calibri" w:cs="Calibri"/>
        </w:rPr>
        <w:t xml:space="preserve"> in Victoria is driven by </w:t>
      </w:r>
      <w:r>
        <w:rPr>
          <w:rFonts w:ascii="Calibri" w:hAnsi="Calibri" w:cs="Calibri"/>
        </w:rPr>
        <w:t xml:space="preserve">net inflows of </w:t>
      </w:r>
      <w:r w:rsidRPr="00497874">
        <w:rPr>
          <w:rFonts w:ascii="Calibri" w:hAnsi="Calibri" w:cs="Calibri"/>
        </w:rPr>
        <w:t>overseas migrant</w:t>
      </w:r>
      <w:r>
        <w:rPr>
          <w:rFonts w:ascii="Calibri" w:hAnsi="Calibri" w:cs="Calibri"/>
        </w:rPr>
        <w:t>s</w:t>
      </w:r>
      <w:r w:rsidRPr="00497874">
        <w:rPr>
          <w:rFonts w:ascii="Calibri" w:hAnsi="Calibri" w:cs="Calibri"/>
        </w:rPr>
        <w:t>, particularly</w:t>
      </w:r>
      <w:r w:rsidRPr="005A6732">
        <w:t xml:space="preserve"> to</w:t>
      </w:r>
      <w:r w:rsidRPr="00497874">
        <w:rPr>
          <w:rFonts w:ascii="Calibri" w:hAnsi="Calibri" w:cs="Calibri"/>
        </w:rPr>
        <w:t xml:space="preserve"> Melbourne.</w:t>
      </w:r>
      <w:r>
        <w:t xml:space="preserve"> </w:t>
      </w:r>
    </w:p>
    <w:p w14:paraId="017AFB24" w14:textId="1912D726" w:rsidR="0054373D" w:rsidRPr="00EF1AA3" w:rsidRDefault="0054373D" w:rsidP="0054373D">
      <w:pPr>
        <w:pStyle w:val="Bullet"/>
        <w:rPr>
          <w:b/>
          <w:bCs/>
        </w:rPr>
      </w:pPr>
      <w:r w:rsidRPr="0054373D">
        <w:t>Net</w:t>
      </w:r>
      <w:r w:rsidRPr="005A6732">
        <w:t xml:space="preserve"> interstate migration to Victoria makes a </w:t>
      </w:r>
      <w:r w:rsidR="003F7F7D">
        <w:t xml:space="preserve">very </w:t>
      </w:r>
      <w:r w:rsidRPr="005A6732">
        <w:t>small positive contribution to state growth</w:t>
      </w:r>
      <w:r w:rsidR="003F7F7D">
        <w:t xml:space="preserve"> from 2026–27</w:t>
      </w:r>
      <w:r w:rsidRPr="005A6732">
        <w:t xml:space="preserve">. </w:t>
      </w:r>
    </w:p>
    <w:p w14:paraId="1CFFE20A" w14:textId="6D37D69A" w:rsidR="0054373D" w:rsidRDefault="0054373D" w:rsidP="0054373D">
      <w:pPr>
        <w:pStyle w:val="Bullet"/>
      </w:pPr>
      <w:r>
        <w:t>The r</w:t>
      </w:r>
      <w:r w:rsidRPr="006E6762">
        <w:t>est</w:t>
      </w:r>
      <w:r w:rsidR="007B69C5">
        <w:noBreakHyphen/>
      </w:r>
      <w:r w:rsidRPr="006E6762">
        <w:t>of</w:t>
      </w:r>
      <w:r w:rsidR="007B69C5">
        <w:noBreakHyphen/>
      </w:r>
      <w:r w:rsidRPr="006E6762">
        <w:t>Victoria</w:t>
      </w:r>
      <w:r w:rsidRPr="005A6732">
        <w:t xml:space="preserve"> experiences positive </w:t>
      </w:r>
      <w:r>
        <w:t>internal migration</w:t>
      </w:r>
      <w:r w:rsidRPr="005A6732">
        <w:t xml:space="preserve"> flows</w:t>
      </w:r>
      <w:r>
        <w:t>, like the rest</w:t>
      </w:r>
      <w:r w:rsidR="007B69C5">
        <w:noBreakHyphen/>
      </w:r>
      <w:r>
        <w:t>of</w:t>
      </w:r>
      <w:r w:rsidR="007B69C5">
        <w:noBreakHyphen/>
      </w:r>
      <w:r>
        <w:t xml:space="preserve">NSW. </w:t>
      </w:r>
      <w:r w:rsidRPr="005A6732">
        <w:t xml:space="preserve">Melbourne has a net outflow of residents each year, although </w:t>
      </w:r>
      <w:r>
        <w:t xml:space="preserve">this is </w:t>
      </w:r>
      <w:r w:rsidRPr="005A6732">
        <w:t>much smaller than Sydney</w:t>
      </w:r>
      <w:r w:rsidR="007B69C5">
        <w:t>’</w:t>
      </w:r>
      <w:r w:rsidRPr="005A6732">
        <w:t>s.</w:t>
      </w:r>
      <w:r w:rsidR="00F200B5">
        <w:t xml:space="preserve"> </w:t>
      </w:r>
    </w:p>
    <w:p w14:paraId="4814DF98" w14:textId="71F89BCB" w:rsidR="00F160CB" w:rsidRDefault="00F160CB" w:rsidP="0054373D">
      <w:pPr>
        <w:pStyle w:val="Bullet"/>
      </w:pPr>
      <w:r>
        <w:t>Melbourne</w:t>
      </w:r>
      <w:r w:rsidR="007B69C5">
        <w:t>’</w:t>
      </w:r>
      <w:r>
        <w:t>s population is projected to reach 9.1 million by 2065</w:t>
      </w:r>
      <w:r w:rsidR="00A44E79">
        <w:t>–</w:t>
      </w:r>
      <w:r>
        <w:t xml:space="preserve">66. </w:t>
      </w:r>
    </w:p>
    <w:p w14:paraId="409FB5DB" w14:textId="55689D95" w:rsidR="00B20474" w:rsidRDefault="00B20474" w:rsidP="002337D6">
      <w:pPr>
        <w:pStyle w:val="TableChartFigureHeading"/>
      </w:pPr>
      <w:r>
        <w:t>Chart 1: Victoria population growth</w:t>
      </w:r>
    </w:p>
    <w:tbl>
      <w:tblPr>
        <w:tblW w:w="5000" w:type="pct"/>
        <w:tblCellMar>
          <w:left w:w="0" w:type="dxa"/>
        </w:tblCellMar>
        <w:tblLook w:val="04A0" w:firstRow="1" w:lastRow="0" w:firstColumn="1" w:lastColumn="0" w:noHBand="0" w:noVBand="1"/>
      </w:tblPr>
      <w:tblGrid>
        <w:gridCol w:w="4826"/>
        <w:gridCol w:w="4812"/>
      </w:tblGrid>
      <w:tr w:rsidR="00B20474" w:rsidRPr="007B69C5" w14:paraId="16766034" w14:textId="77777777" w:rsidTr="001E5805">
        <w:tc>
          <w:tcPr>
            <w:tcW w:w="4826" w:type="dxa"/>
          </w:tcPr>
          <w:p w14:paraId="4A105732" w14:textId="4A13239D" w:rsidR="00B20474" w:rsidRPr="007B69C5" w:rsidRDefault="00B20474" w:rsidP="00851974">
            <w:pPr>
              <w:pStyle w:val="TableChartFiguresecondheading-Side-by-side"/>
            </w:pPr>
            <w:r w:rsidRPr="007B69C5">
              <w:t xml:space="preserve">Components of growth in Victoria </w:t>
            </w:r>
          </w:p>
        </w:tc>
        <w:tc>
          <w:tcPr>
            <w:tcW w:w="4812" w:type="dxa"/>
            <w:tcMar>
              <w:left w:w="113" w:type="dxa"/>
              <w:right w:w="0" w:type="dxa"/>
            </w:tcMar>
          </w:tcPr>
          <w:p w14:paraId="6FEDF253" w14:textId="2416CFCA" w:rsidR="00B20474" w:rsidRPr="007B69C5" w:rsidRDefault="00B20474" w:rsidP="00851974">
            <w:pPr>
              <w:pStyle w:val="TableChartFiguresecondheading-Side-by-side"/>
            </w:pPr>
            <w:r w:rsidRPr="007B69C5">
              <w:t xml:space="preserve">Population growth in </w:t>
            </w:r>
            <w:r w:rsidR="002767AE" w:rsidRPr="002767AE">
              <w:t>Victoria and Australia</w:t>
            </w:r>
          </w:p>
        </w:tc>
      </w:tr>
      <w:tr w:rsidR="00B20474" w:rsidRPr="007B69C5" w14:paraId="699BF115" w14:textId="77777777" w:rsidTr="001E5805">
        <w:tblPrEx>
          <w:tblCellMar>
            <w:left w:w="108" w:type="dxa"/>
          </w:tblCellMar>
        </w:tblPrEx>
        <w:tc>
          <w:tcPr>
            <w:tcW w:w="4826" w:type="dxa"/>
          </w:tcPr>
          <w:p w14:paraId="56555CB8" w14:textId="1C038357" w:rsidR="00B20474" w:rsidRPr="007B69C5" w:rsidRDefault="00C45C49" w:rsidP="00442F89">
            <w:pPr>
              <w:pStyle w:val="ChartGraphic"/>
            </w:pPr>
            <w:r w:rsidRPr="007B69C5">
              <w:rPr>
                <w:noProof/>
              </w:rPr>
              <w:drawing>
                <wp:inline distT="0" distB="0" distL="0" distR="0" wp14:anchorId="2A2EA432" wp14:editId="6572BDC0">
                  <wp:extent cx="2916555" cy="1934736"/>
                  <wp:effectExtent l="0" t="0" r="0" b="8890"/>
                  <wp:docPr id="1853638947" name="Picture 1" descr="This chart shows the population growth rate and contribution to growth by components in Victoria. Growth in Victoria fell below zero in 2020–21 following a drop in overseas arrivals, then rose sharply and peaking in 2022–23 as border restrictions lifted. Driven by net overseas migration, growth in Victoria is forecast to decline and stabilise by 2026–27. It is also expected to have stable natural increase over the projection period and small annual inflows of interstate arriv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38947" name="Picture 1" descr="This chart shows the population growth rate and contribution to growth by components in Victoria. Growth in Victoria fell below zero in 2020–21 following a drop in overseas arrivals, then rose sharply and peaking in 2022–23 as border restrictions lifted. Driven by net overseas migration, growth in Victoria is forecast to decline and stabilise by 2026–27. It is also expected to have stable natural increase over the projection period and small annual inflows of interstate arrival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3470" cy="1939323"/>
                          </a:xfrm>
                          <a:prstGeom prst="rect">
                            <a:avLst/>
                          </a:prstGeom>
                          <a:noFill/>
                          <a:ln>
                            <a:noFill/>
                          </a:ln>
                        </pic:spPr>
                      </pic:pic>
                    </a:graphicData>
                  </a:graphic>
                </wp:inline>
              </w:drawing>
            </w:r>
          </w:p>
        </w:tc>
        <w:tc>
          <w:tcPr>
            <w:tcW w:w="4812" w:type="dxa"/>
          </w:tcPr>
          <w:p w14:paraId="23D2D0AB" w14:textId="036AF0F0" w:rsidR="00B20474" w:rsidRPr="007B69C5" w:rsidRDefault="005C5850" w:rsidP="00442F89">
            <w:pPr>
              <w:pStyle w:val="ChartGraphic"/>
            </w:pPr>
            <w:r w:rsidRPr="007B69C5">
              <w:rPr>
                <w:noProof/>
              </w:rPr>
              <w:drawing>
                <wp:inline distT="0" distB="0" distL="0" distR="0" wp14:anchorId="495C45B2" wp14:editId="606CBA31">
                  <wp:extent cx="2911475" cy="1948815"/>
                  <wp:effectExtent l="0" t="0" r="0" b="0"/>
                  <wp:docPr id="1833076073" name="Picture 1" descr="This chart shows population growth in Victoria, Melbourne, the rest of Victoria and Australia. In 2019–20 and 2020–21 Population growth in Victoria was negative. After the COVID-19 pandemic, population growth in Victoria peaked in 2022–23 and is expected to decline and stabilise until 2034–35. Melbourne is expected to experience a more exaggerated version of this pattern, with lower growth in 2019–2020 and higher growth from 2022–23 onwards. In contrast to Melbourne, growth in the rest-of-Victoria was minimally impacted by the COVID-19 pandemic and did not experience a spike in population growth. Population growth in the rest-of-Victoria is expected to continue a slight decline over the rest of the projection period.  Australia’s growth peaked in 2022–23 and is expected to decline and stabilise from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76073" name="Picture 1" descr="This chart shows population growth in Victoria, Melbourne, the rest of Victoria and Australia. In 2019–20 and 2020–21 Population growth in Victoria was negative. After the COVID-19 pandemic, population growth in Victoria peaked in 2022–23 and is expected to decline and stabilise until 2034–35. Melbourne is expected to experience a more exaggerated version of this pattern, with lower growth in 2019–2020 and higher growth from 2022–23 onwards. In contrast to Melbourne, growth in the rest-of-Victoria was minimally impacted by the COVID-19 pandemic and did not experience a spike in population growth. Population growth in the rest-of-Victoria is expected to continue a slight decline over the rest of the projection period.  Australia’s growth peaked in 2022–23 and is expected to decline and stabilise from 2026–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1948815"/>
                          </a:xfrm>
                          <a:prstGeom prst="rect">
                            <a:avLst/>
                          </a:prstGeom>
                          <a:noFill/>
                          <a:ln>
                            <a:noFill/>
                          </a:ln>
                        </pic:spPr>
                      </pic:pic>
                    </a:graphicData>
                  </a:graphic>
                </wp:inline>
              </w:drawing>
            </w:r>
          </w:p>
        </w:tc>
      </w:tr>
    </w:tbl>
    <w:p w14:paraId="78DF9094" w14:textId="6495144E" w:rsidR="002337D6" w:rsidRPr="00EA4BD2" w:rsidRDefault="009F0B4F" w:rsidP="002337D6">
      <w:pPr>
        <w:pStyle w:val="TableChartFigureSource"/>
      </w:pPr>
      <w:r w:rsidRPr="009F0B4F">
        <w:t>Source:</w:t>
      </w:r>
      <w:r w:rsidR="0021743A">
        <w:tab/>
      </w:r>
      <w:r w:rsidRPr="009F0B4F">
        <w:t xml:space="preserve">ABS, </w:t>
      </w:r>
      <w:r w:rsidRPr="001760E1">
        <w:rPr>
          <w:i/>
          <w:iCs/>
        </w:rPr>
        <w:t>National, state and territory population</w:t>
      </w:r>
      <w:r w:rsidRPr="009F0B4F">
        <w:t xml:space="preserve">, </w:t>
      </w:r>
      <w:r w:rsidRPr="00D319C5">
        <w:rPr>
          <w:i/>
          <w:iCs/>
        </w:rPr>
        <w:t>March 2025</w:t>
      </w:r>
      <w:r w:rsidRPr="009F0B4F">
        <w:t>; and Centre for Population.</w:t>
      </w:r>
    </w:p>
    <w:p w14:paraId="6702D381" w14:textId="77777777" w:rsidR="00903C7A" w:rsidRDefault="00CD2107" w:rsidP="007B69C5">
      <w:pPr>
        <w:pStyle w:val="TableChartFigureHeading"/>
      </w:pPr>
      <w:r>
        <w:t>Chart 2</w:t>
      </w:r>
      <w:r w:rsidR="00E95865">
        <w:t xml:space="preserve">: </w:t>
      </w:r>
      <w:r>
        <w:t xml:space="preserve">Comparing </w:t>
      </w:r>
      <w:r w:rsidR="00444FEE">
        <w:t xml:space="preserve">the </w:t>
      </w:r>
      <w:r w:rsidR="00CE4734">
        <w:t>p</w:t>
      </w:r>
      <w:r w:rsidR="00F05406">
        <w:t xml:space="preserve">roportional </w:t>
      </w:r>
      <w:r w:rsidR="00CE4734">
        <w:t>a</w:t>
      </w:r>
      <w:r w:rsidR="00F05406">
        <w:t xml:space="preserve">ge </w:t>
      </w:r>
      <w:r w:rsidR="0054373D">
        <w:t>structures</w:t>
      </w:r>
      <w:r w:rsidR="00F05406">
        <w:t xml:space="preserve"> </w:t>
      </w:r>
      <w:r w:rsidR="00444FEE">
        <w:t xml:space="preserve">of Victoria and </w:t>
      </w:r>
      <w:r w:rsidR="00F05406">
        <w:t>Australia</w:t>
      </w:r>
      <w:r w:rsidR="00CD37AF" w:rsidRPr="00CD37AF">
        <w:t xml:space="preserve"> </w:t>
      </w:r>
    </w:p>
    <w:p w14:paraId="65AFD4DA" w14:textId="7AF6BECE" w:rsidR="001119EE" w:rsidRPr="00ED2D5C" w:rsidRDefault="008C1BCC" w:rsidP="00903C7A">
      <w:pPr>
        <w:pStyle w:val="ChartGraphic"/>
      </w:pPr>
      <w:r w:rsidRPr="008C1BCC">
        <w:rPr>
          <w:noProof/>
        </w:rPr>
        <w:drawing>
          <wp:inline distT="0" distB="0" distL="0" distR="0" wp14:anchorId="414E23EA" wp14:editId="3AB8D78F">
            <wp:extent cx="6066155" cy="1951355"/>
            <wp:effectExtent l="0" t="0" r="0" b="0"/>
            <wp:docPr id="1899331543" name="Picture 1" descr="This series of charts compares the age structure of Victoria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late 20 and 50, with higher proportions of people in older age groups and lower proportions of people in younger age groups. By 2065–66, Victoria has a smoother age distribution, with a higher proportion of older people. Across these years, Victoria has a higher proportion of people aged between 20 and 40 than the rest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31543" name="Picture 1" descr="This series of charts compares the age structure of Victoria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late 20 and 50, with higher proportions of people in older age groups and lower proportions of people in younger age groups. By 2065–66, Victoria has a smoother age distribution, with a higher proportion of older people. Across these years, Victoria has a higher proportion of people aged between 20 and 40 than the rest of Austral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155" cy="1951355"/>
                    </a:xfrm>
                    <a:prstGeom prst="rect">
                      <a:avLst/>
                    </a:prstGeom>
                    <a:noFill/>
                    <a:ln>
                      <a:noFill/>
                    </a:ln>
                  </pic:spPr>
                </pic:pic>
              </a:graphicData>
            </a:graphic>
          </wp:inline>
        </w:drawing>
      </w:r>
    </w:p>
    <w:p w14:paraId="25858A4F" w14:textId="3A4BD94D" w:rsidR="001119EE" w:rsidRPr="00B14525" w:rsidRDefault="006972E9" w:rsidP="001119EE">
      <w:pPr>
        <w:pStyle w:val="TableChartFigureSource"/>
        <w:rPr>
          <w:spacing w:val="-2"/>
        </w:rPr>
      </w:pPr>
      <w:r w:rsidRPr="00B14525">
        <w:rPr>
          <w:spacing w:val="-2"/>
        </w:rPr>
        <w:t>Source:</w:t>
      </w:r>
      <w:r w:rsidR="00B14525" w:rsidRPr="00B14525">
        <w:rPr>
          <w:spacing w:val="-2"/>
        </w:rPr>
        <w:tab/>
      </w:r>
      <w:r w:rsidRPr="00B14525">
        <w:rPr>
          <w:spacing w:val="-2"/>
        </w:rPr>
        <w:t xml:space="preserve">ABS, </w:t>
      </w:r>
      <w:r w:rsidRPr="00B14525">
        <w:rPr>
          <w:i/>
          <w:iCs/>
          <w:spacing w:val="-2"/>
        </w:rPr>
        <w:t>National, state and territory population</w:t>
      </w:r>
      <w:r w:rsidRPr="00B14525">
        <w:rPr>
          <w:spacing w:val="-2"/>
        </w:rPr>
        <w:t xml:space="preserve">, </w:t>
      </w:r>
      <w:r w:rsidRPr="00B14525">
        <w:rPr>
          <w:i/>
          <w:iCs/>
          <w:spacing w:val="-2"/>
        </w:rPr>
        <w:t>March 2025</w:t>
      </w:r>
      <w:r w:rsidRPr="00B14525">
        <w:rPr>
          <w:spacing w:val="-2"/>
        </w:rPr>
        <w:t>; and Centre for Population</w:t>
      </w:r>
      <w:r w:rsidR="00172AC0" w:rsidRPr="00B14525">
        <w:rPr>
          <w:spacing w:val="-2"/>
        </w:rPr>
        <w:t xml:space="preserve"> analysis of ABS customised consultancy data.</w:t>
      </w:r>
    </w:p>
    <w:p w14:paraId="78940375" w14:textId="090C2129" w:rsidR="006800EF" w:rsidRPr="006800EF" w:rsidRDefault="006800EF" w:rsidP="006800EF">
      <w:pPr>
        <w:pStyle w:val="TableChartFigureHeading"/>
      </w:pPr>
      <w:r w:rsidRPr="006800EF">
        <w:lastRenderedPageBreak/>
        <w:t>Table</w:t>
      </w:r>
      <w:r w:rsidR="003D0BD8">
        <w:t xml:space="preserve"> </w:t>
      </w:r>
      <w:r w:rsidR="003D0BD8" w:rsidRPr="003D0BD8">
        <w:t>1: Population projections and key statistics</w:t>
      </w:r>
      <w:r w:rsidR="00AA1041">
        <w:t>,</w:t>
      </w:r>
      <w:r w:rsidR="003D0BD8" w:rsidRPr="003D0BD8">
        <w:t xml:space="preserve"> Victoria</w:t>
      </w:r>
    </w:p>
    <w:tbl>
      <w:tblPr>
        <w:tblStyle w:val="CPOPSnapshotTable"/>
        <w:tblW w:w="5000" w:type="pct"/>
        <w:tblLayout w:type="fixed"/>
        <w:tblLook w:val="04A0" w:firstRow="1" w:lastRow="0" w:firstColumn="1" w:lastColumn="0" w:noHBand="0" w:noVBand="1"/>
      </w:tblPr>
      <w:tblGrid>
        <w:gridCol w:w="2693"/>
        <w:gridCol w:w="992"/>
        <w:gridCol w:w="992"/>
        <w:gridCol w:w="992"/>
        <w:gridCol w:w="992"/>
        <w:gridCol w:w="992"/>
        <w:gridCol w:w="992"/>
        <w:gridCol w:w="993"/>
      </w:tblGrid>
      <w:tr w:rsidR="00461354" w:rsidRPr="007B69C5" w14:paraId="0A01DF9B" w14:textId="77777777" w:rsidTr="00F4111B">
        <w:trPr>
          <w:cnfStyle w:val="100000000000" w:firstRow="1" w:lastRow="0" w:firstColumn="0" w:lastColumn="0" w:oddVBand="0" w:evenVBand="0" w:oddHBand="0" w:evenHBand="0" w:firstRowFirstColumn="0" w:firstRowLastColumn="0" w:lastRowFirstColumn="0" w:lastRowLastColumn="0"/>
          <w:trHeight w:val="238"/>
        </w:trPr>
        <w:tc>
          <w:tcPr>
            <w:tcW w:w="2693" w:type="dxa"/>
            <w:hideMark/>
          </w:tcPr>
          <w:p w14:paraId="61559F24" w14:textId="79E44661" w:rsidR="007865CA" w:rsidRPr="007B69C5" w:rsidRDefault="007865CA" w:rsidP="007865CA">
            <w:pPr>
              <w:pStyle w:val="TableColumnHeadingLeft"/>
            </w:pPr>
            <w:r w:rsidRPr="007B69C5">
              <w:t>Population projections</w:t>
            </w:r>
          </w:p>
        </w:tc>
        <w:tc>
          <w:tcPr>
            <w:tcW w:w="992" w:type="dxa"/>
            <w:noWrap/>
            <w:hideMark/>
          </w:tcPr>
          <w:p w14:paraId="2CC7256F" w14:textId="7B3A48B5" w:rsidR="007865CA" w:rsidRPr="007B69C5" w:rsidRDefault="007865CA" w:rsidP="007865CA">
            <w:pPr>
              <w:pStyle w:val="TableColumnHeadingRight"/>
            </w:pPr>
            <w:r w:rsidRPr="007B69C5">
              <w:t>2023–24</w:t>
            </w:r>
            <w:r w:rsidR="00F11C30" w:rsidRPr="007B69C5">
              <w:rPr>
                <w:rStyle w:val="FootnoteReference"/>
              </w:rPr>
              <w:footnoteReference w:id="3"/>
            </w:r>
          </w:p>
        </w:tc>
        <w:tc>
          <w:tcPr>
            <w:tcW w:w="992" w:type="dxa"/>
            <w:shd w:val="clear" w:color="auto" w:fill="D6EEF5" w:themeFill="text2" w:themeFillTint="33"/>
            <w:noWrap/>
            <w:hideMark/>
          </w:tcPr>
          <w:p w14:paraId="6EF3E8BD" w14:textId="659A84E4" w:rsidR="007865CA" w:rsidRPr="007B69C5" w:rsidRDefault="007865CA" w:rsidP="007865CA">
            <w:pPr>
              <w:pStyle w:val="TableColumnHeadingRight"/>
            </w:pPr>
            <w:r w:rsidRPr="007B69C5">
              <w:t>2024–25</w:t>
            </w:r>
          </w:p>
        </w:tc>
        <w:tc>
          <w:tcPr>
            <w:tcW w:w="992" w:type="dxa"/>
            <w:noWrap/>
            <w:hideMark/>
          </w:tcPr>
          <w:p w14:paraId="1E349D90" w14:textId="4E5E89D9" w:rsidR="007865CA" w:rsidRPr="007B69C5" w:rsidRDefault="007865CA" w:rsidP="007865CA">
            <w:pPr>
              <w:pStyle w:val="TableColumnHeadingRight"/>
            </w:pPr>
            <w:r w:rsidRPr="007B69C5">
              <w:t>2025–26</w:t>
            </w:r>
          </w:p>
        </w:tc>
        <w:tc>
          <w:tcPr>
            <w:tcW w:w="992" w:type="dxa"/>
            <w:noWrap/>
            <w:hideMark/>
          </w:tcPr>
          <w:p w14:paraId="638D5D60" w14:textId="4394F0E5" w:rsidR="007865CA" w:rsidRPr="007B69C5" w:rsidRDefault="007865CA" w:rsidP="007865CA">
            <w:pPr>
              <w:pStyle w:val="TableColumnHeadingRight"/>
            </w:pPr>
            <w:r w:rsidRPr="007B69C5">
              <w:t>2026–27</w:t>
            </w:r>
          </w:p>
        </w:tc>
        <w:tc>
          <w:tcPr>
            <w:tcW w:w="992" w:type="dxa"/>
          </w:tcPr>
          <w:p w14:paraId="41441154" w14:textId="0FD89D69" w:rsidR="007865CA" w:rsidRPr="007B69C5" w:rsidRDefault="007865CA" w:rsidP="007865CA">
            <w:pPr>
              <w:pStyle w:val="TableColumnHeadingRight"/>
            </w:pPr>
            <w:r w:rsidRPr="007B69C5">
              <w:t>2027–28</w:t>
            </w:r>
          </w:p>
        </w:tc>
        <w:tc>
          <w:tcPr>
            <w:tcW w:w="992" w:type="dxa"/>
            <w:shd w:val="clear" w:color="auto" w:fill="DBF1E8" w:themeFill="background2" w:themeFillTint="33"/>
            <w:noWrap/>
            <w:hideMark/>
          </w:tcPr>
          <w:p w14:paraId="6B599B1B" w14:textId="2DCF7359" w:rsidR="007865CA" w:rsidRPr="007B69C5" w:rsidRDefault="007865CA" w:rsidP="007865CA">
            <w:pPr>
              <w:pStyle w:val="TableColumnHeadingRight"/>
            </w:pPr>
            <w:r w:rsidRPr="007B69C5">
              <w:t>2035–36</w:t>
            </w:r>
          </w:p>
        </w:tc>
        <w:tc>
          <w:tcPr>
            <w:tcW w:w="993" w:type="dxa"/>
            <w:shd w:val="clear" w:color="auto" w:fill="DBF1E8" w:themeFill="background2" w:themeFillTint="33"/>
          </w:tcPr>
          <w:p w14:paraId="67A0419C" w14:textId="2A5B8690" w:rsidR="007865CA" w:rsidRPr="007B69C5" w:rsidRDefault="007865CA" w:rsidP="007865CA">
            <w:pPr>
              <w:pStyle w:val="TableColumnHeadingRight"/>
            </w:pPr>
            <w:r w:rsidRPr="007B69C5">
              <w:t>2065–66</w:t>
            </w:r>
            <w:r w:rsidR="00F17ED9" w:rsidRPr="007B69C5">
              <w:rPr>
                <w:rStyle w:val="FootnoteReference"/>
              </w:rPr>
              <w:footnoteReference w:id="4"/>
            </w:r>
          </w:p>
        </w:tc>
      </w:tr>
      <w:tr w:rsidR="00355846" w:rsidRPr="007B69C5" w14:paraId="59959AFC" w14:textId="77777777" w:rsidTr="00F4111B">
        <w:trPr>
          <w:trHeight w:val="238"/>
        </w:trPr>
        <w:tc>
          <w:tcPr>
            <w:tcW w:w="2693" w:type="dxa"/>
            <w:hideMark/>
          </w:tcPr>
          <w:p w14:paraId="04EC004C" w14:textId="0008F879" w:rsidR="00355846" w:rsidRPr="007B69C5" w:rsidRDefault="00355846" w:rsidP="00355846">
            <w:pPr>
              <w:pStyle w:val="TableColumnHeadingLeft"/>
            </w:pPr>
            <w:r w:rsidRPr="007B69C5">
              <w:t>Population (‘000)</w:t>
            </w:r>
          </w:p>
        </w:tc>
        <w:tc>
          <w:tcPr>
            <w:tcW w:w="992" w:type="dxa"/>
            <w:vAlign w:val="bottom"/>
          </w:tcPr>
          <w:p w14:paraId="6CD425EB" w14:textId="77777777" w:rsidR="00355846" w:rsidRPr="00F4111B" w:rsidRDefault="00355846" w:rsidP="00F4111B">
            <w:pPr>
              <w:pStyle w:val="TableTextRight"/>
            </w:pPr>
          </w:p>
        </w:tc>
        <w:tc>
          <w:tcPr>
            <w:tcW w:w="992" w:type="dxa"/>
            <w:shd w:val="clear" w:color="auto" w:fill="D6EEF5" w:themeFill="text2" w:themeFillTint="33"/>
            <w:vAlign w:val="bottom"/>
          </w:tcPr>
          <w:p w14:paraId="21BF9F0F" w14:textId="77777777" w:rsidR="00355846" w:rsidRPr="00F4111B" w:rsidRDefault="00355846" w:rsidP="00F4111B">
            <w:pPr>
              <w:pStyle w:val="TableTextRight"/>
            </w:pPr>
          </w:p>
        </w:tc>
        <w:tc>
          <w:tcPr>
            <w:tcW w:w="992" w:type="dxa"/>
            <w:vAlign w:val="bottom"/>
          </w:tcPr>
          <w:p w14:paraId="4F45D17F" w14:textId="77777777" w:rsidR="00355846" w:rsidRPr="00F4111B" w:rsidRDefault="00355846" w:rsidP="00F4111B">
            <w:pPr>
              <w:pStyle w:val="TableTextRight"/>
            </w:pPr>
          </w:p>
        </w:tc>
        <w:tc>
          <w:tcPr>
            <w:tcW w:w="992" w:type="dxa"/>
            <w:vAlign w:val="bottom"/>
          </w:tcPr>
          <w:p w14:paraId="4482E72D" w14:textId="77777777" w:rsidR="00355846" w:rsidRPr="00F4111B" w:rsidRDefault="00355846" w:rsidP="00F4111B">
            <w:pPr>
              <w:pStyle w:val="TableTextRight"/>
            </w:pPr>
          </w:p>
        </w:tc>
        <w:tc>
          <w:tcPr>
            <w:tcW w:w="992" w:type="dxa"/>
            <w:vAlign w:val="bottom"/>
          </w:tcPr>
          <w:p w14:paraId="6CEB94B8" w14:textId="77777777" w:rsidR="00355846" w:rsidRPr="00F4111B" w:rsidRDefault="00355846" w:rsidP="00F4111B">
            <w:pPr>
              <w:pStyle w:val="TableTextRight"/>
            </w:pPr>
          </w:p>
        </w:tc>
        <w:tc>
          <w:tcPr>
            <w:tcW w:w="992" w:type="dxa"/>
            <w:shd w:val="clear" w:color="auto" w:fill="DBF1E8" w:themeFill="background2" w:themeFillTint="33"/>
            <w:vAlign w:val="bottom"/>
          </w:tcPr>
          <w:p w14:paraId="24B53BD9" w14:textId="77777777" w:rsidR="00355846" w:rsidRPr="00F4111B" w:rsidRDefault="00355846" w:rsidP="00F4111B">
            <w:pPr>
              <w:pStyle w:val="TableTextRight"/>
            </w:pPr>
          </w:p>
        </w:tc>
        <w:tc>
          <w:tcPr>
            <w:tcW w:w="993" w:type="dxa"/>
            <w:shd w:val="clear" w:color="auto" w:fill="DBF1E8" w:themeFill="background2" w:themeFillTint="33"/>
            <w:vAlign w:val="bottom"/>
          </w:tcPr>
          <w:p w14:paraId="57C5C7FA" w14:textId="77777777" w:rsidR="00355846" w:rsidRPr="00F4111B" w:rsidRDefault="00355846" w:rsidP="00F4111B">
            <w:pPr>
              <w:pStyle w:val="TableTextRight"/>
            </w:pPr>
          </w:p>
        </w:tc>
      </w:tr>
      <w:tr w:rsidR="00DC64CE" w:rsidRPr="007B69C5" w14:paraId="0DE07DEC" w14:textId="77777777" w:rsidTr="00F4111B">
        <w:trPr>
          <w:trHeight w:val="238"/>
        </w:trPr>
        <w:tc>
          <w:tcPr>
            <w:tcW w:w="2693" w:type="dxa"/>
            <w:hideMark/>
          </w:tcPr>
          <w:p w14:paraId="5B67953B" w14:textId="354E414D" w:rsidR="00DC64CE" w:rsidRPr="007B69C5" w:rsidRDefault="00DC64CE" w:rsidP="00F4111B">
            <w:pPr>
              <w:pStyle w:val="TableTextLeft"/>
            </w:pPr>
            <w:r w:rsidRPr="007B69C5">
              <w:t xml:space="preserve">Victoria </w:t>
            </w:r>
          </w:p>
        </w:tc>
        <w:tc>
          <w:tcPr>
            <w:tcW w:w="992" w:type="dxa"/>
            <w:vAlign w:val="bottom"/>
          </w:tcPr>
          <w:p w14:paraId="09A8C8A7" w14:textId="53852E54" w:rsidR="00DC64CE" w:rsidRPr="00F4111B" w:rsidRDefault="00DC64CE" w:rsidP="00F4111B">
            <w:pPr>
              <w:pStyle w:val="TableTextRight"/>
            </w:pPr>
            <w:r w:rsidRPr="00F4111B">
              <w:t>6,951</w:t>
            </w:r>
          </w:p>
        </w:tc>
        <w:tc>
          <w:tcPr>
            <w:tcW w:w="992" w:type="dxa"/>
            <w:shd w:val="clear" w:color="auto" w:fill="D6EEF5" w:themeFill="text2" w:themeFillTint="33"/>
            <w:vAlign w:val="bottom"/>
          </w:tcPr>
          <w:p w14:paraId="3E1A26EA" w14:textId="374F3484" w:rsidR="00DC64CE" w:rsidRPr="00F4111B" w:rsidRDefault="00DC64CE" w:rsidP="00F4111B">
            <w:pPr>
              <w:pStyle w:val="TableTextRight"/>
            </w:pPr>
            <w:r w:rsidRPr="00F4111B">
              <w:t>7,070</w:t>
            </w:r>
          </w:p>
        </w:tc>
        <w:tc>
          <w:tcPr>
            <w:tcW w:w="992" w:type="dxa"/>
            <w:vAlign w:val="bottom"/>
          </w:tcPr>
          <w:p w14:paraId="6808B577" w14:textId="749E8A49" w:rsidR="00DC64CE" w:rsidRPr="00F4111B" w:rsidRDefault="00DC64CE" w:rsidP="00F4111B">
            <w:pPr>
              <w:pStyle w:val="TableTextRight"/>
            </w:pPr>
            <w:r w:rsidRPr="00F4111B">
              <w:t>7,173</w:t>
            </w:r>
          </w:p>
        </w:tc>
        <w:tc>
          <w:tcPr>
            <w:tcW w:w="992" w:type="dxa"/>
            <w:vAlign w:val="bottom"/>
          </w:tcPr>
          <w:p w14:paraId="3C77A2B6" w14:textId="012C06AA" w:rsidR="00DC64CE" w:rsidRPr="00F4111B" w:rsidRDefault="00DC64CE" w:rsidP="00F4111B">
            <w:pPr>
              <w:pStyle w:val="TableTextRight"/>
            </w:pPr>
            <w:r w:rsidRPr="00F4111B">
              <w:t>7,270</w:t>
            </w:r>
          </w:p>
        </w:tc>
        <w:tc>
          <w:tcPr>
            <w:tcW w:w="992" w:type="dxa"/>
            <w:vAlign w:val="bottom"/>
          </w:tcPr>
          <w:p w14:paraId="2D665E4A" w14:textId="110849DA" w:rsidR="00DC64CE" w:rsidRPr="00F4111B" w:rsidRDefault="00DC64CE" w:rsidP="00F4111B">
            <w:pPr>
              <w:pStyle w:val="TableTextRight"/>
            </w:pPr>
            <w:r w:rsidRPr="00F4111B">
              <w:t>7,371</w:t>
            </w:r>
          </w:p>
        </w:tc>
        <w:tc>
          <w:tcPr>
            <w:tcW w:w="992" w:type="dxa"/>
            <w:shd w:val="clear" w:color="auto" w:fill="DBF1E8" w:themeFill="background2" w:themeFillTint="33"/>
            <w:vAlign w:val="bottom"/>
          </w:tcPr>
          <w:p w14:paraId="525FCF23" w14:textId="0605FC7A" w:rsidR="00DC64CE" w:rsidRPr="00F4111B" w:rsidRDefault="00DC64CE" w:rsidP="00F4111B">
            <w:pPr>
              <w:pStyle w:val="TableTextRight"/>
            </w:pPr>
            <w:r w:rsidRPr="00F4111B">
              <w:t>8,222</w:t>
            </w:r>
          </w:p>
        </w:tc>
        <w:tc>
          <w:tcPr>
            <w:tcW w:w="993" w:type="dxa"/>
            <w:shd w:val="clear" w:color="auto" w:fill="DBF1E8" w:themeFill="background2" w:themeFillTint="33"/>
            <w:vAlign w:val="bottom"/>
          </w:tcPr>
          <w:p w14:paraId="6D3DB6E4" w14:textId="2EB38FDA" w:rsidR="00DC64CE" w:rsidRPr="00F4111B" w:rsidRDefault="00DC64CE" w:rsidP="00F4111B">
            <w:pPr>
              <w:pStyle w:val="TableTextRight"/>
            </w:pPr>
            <w:r w:rsidRPr="00F4111B">
              <w:t>11,157</w:t>
            </w:r>
          </w:p>
        </w:tc>
      </w:tr>
      <w:tr w:rsidR="00DC64CE" w:rsidRPr="007B69C5" w14:paraId="151A9161" w14:textId="77777777" w:rsidTr="00F4111B">
        <w:trPr>
          <w:trHeight w:val="238"/>
        </w:trPr>
        <w:tc>
          <w:tcPr>
            <w:tcW w:w="2693" w:type="dxa"/>
            <w:tcBorders>
              <w:bottom w:val="single" w:sz="4" w:space="0" w:color="EBE9E8" w:themeColor="accent5" w:themeTint="33"/>
            </w:tcBorders>
            <w:hideMark/>
          </w:tcPr>
          <w:p w14:paraId="784B6D18" w14:textId="4334099B" w:rsidR="00DC64CE" w:rsidRPr="007B69C5" w:rsidRDefault="00DC64CE" w:rsidP="00DC64CE">
            <w:pPr>
              <w:pStyle w:val="Tabletextleftindent"/>
            </w:pPr>
            <w:r w:rsidRPr="007B69C5">
              <w:t xml:space="preserve">Greater Melbourne </w:t>
            </w:r>
          </w:p>
        </w:tc>
        <w:tc>
          <w:tcPr>
            <w:tcW w:w="992" w:type="dxa"/>
            <w:tcBorders>
              <w:bottom w:val="single" w:sz="4" w:space="0" w:color="EBE9E8" w:themeColor="accent5" w:themeTint="33"/>
            </w:tcBorders>
            <w:vAlign w:val="bottom"/>
          </w:tcPr>
          <w:p w14:paraId="294FF62D" w14:textId="39A270E1" w:rsidR="00DC64CE" w:rsidRPr="00F4111B" w:rsidRDefault="00DC64CE" w:rsidP="00F4111B">
            <w:pPr>
              <w:pStyle w:val="TableTextRight"/>
            </w:pPr>
            <w:r w:rsidRPr="00F4111B">
              <w:t>5,351</w:t>
            </w:r>
          </w:p>
        </w:tc>
        <w:tc>
          <w:tcPr>
            <w:tcW w:w="992" w:type="dxa"/>
            <w:tcBorders>
              <w:bottom w:val="single" w:sz="4" w:space="0" w:color="EBE9E8" w:themeColor="accent5" w:themeTint="33"/>
            </w:tcBorders>
            <w:shd w:val="clear" w:color="auto" w:fill="D6EEF5" w:themeFill="text2" w:themeFillTint="33"/>
            <w:vAlign w:val="bottom"/>
          </w:tcPr>
          <w:p w14:paraId="2CFB3B56" w14:textId="27D13F4B" w:rsidR="00DC64CE" w:rsidRPr="00F4111B" w:rsidRDefault="00DC64CE" w:rsidP="00F4111B">
            <w:pPr>
              <w:pStyle w:val="TableTextRight"/>
            </w:pPr>
            <w:r w:rsidRPr="00F4111B">
              <w:t>5,435</w:t>
            </w:r>
          </w:p>
        </w:tc>
        <w:tc>
          <w:tcPr>
            <w:tcW w:w="992" w:type="dxa"/>
            <w:tcBorders>
              <w:bottom w:val="single" w:sz="4" w:space="0" w:color="EBE9E8" w:themeColor="accent5" w:themeTint="33"/>
            </w:tcBorders>
            <w:vAlign w:val="bottom"/>
          </w:tcPr>
          <w:p w14:paraId="04415C41" w14:textId="2175F06C" w:rsidR="00DC64CE" w:rsidRPr="00F4111B" w:rsidRDefault="00DC64CE" w:rsidP="00F4111B">
            <w:pPr>
              <w:pStyle w:val="TableTextRight"/>
            </w:pPr>
            <w:r w:rsidRPr="00F4111B">
              <w:t>5,526</w:t>
            </w:r>
          </w:p>
        </w:tc>
        <w:tc>
          <w:tcPr>
            <w:tcW w:w="992" w:type="dxa"/>
            <w:tcBorders>
              <w:bottom w:val="single" w:sz="4" w:space="0" w:color="EBE9E8" w:themeColor="accent5" w:themeTint="33"/>
            </w:tcBorders>
            <w:vAlign w:val="bottom"/>
          </w:tcPr>
          <w:p w14:paraId="6E675C84" w14:textId="44952059" w:rsidR="00DC64CE" w:rsidRPr="00F4111B" w:rsidRDefault="00DC64CE" w:rsidP="00F4111B">
            <w:pPr>
              <w:pStyle w:val="TableTextRight"/>
            </w:pPr>
            <w:r w:rsidRPr="00F4111B">
              <w:t>5,613</w:t>
            </w:r>
          </w:p>
        </w:tc>
        <w:tc>
          <w:tcPr>
            <w:tcW w:w="992" w:type="dxa"/>
            <w:tcBorders>
              <w:bottom w:val="single" w:sz="4" w:space="0" w:color="EBE9E8" w:themeColor="accent5" w:themeTint="33"/>
            </w:tcBorders>
            <w:vAlign w:val="bottom"/>
          </w:tcPr>
          <w:p w14:paraId="3F587557" w14:textId="2806CA41" w:rsidR="00DC64CE" w:rsidRPr="00F4111B" w:rsidRDefault="00DC64CE" w:rsidP="00F4111B">
            <w:pPr>
              <w:pStyle w:val="TableTextRight"/>
            </w:pPr>
            <w:r w:rsidRPr="00F4111B">
              <w:t>5,703</w:t>
            </w:r>
          </w:p>
        </w:tc>
        <w:tc>
          <w:tcPr>
            <w:tcW w:w="992" w:type="dxa"/>
            <w:tcBorders>
              <w:bottom w:val="single" w:sz="4" w:space="0" w:color="EBE9E8" w:themeColor="accent5" w:themeTint="33"/>
            </w:tcBorders>
            <w:shd w:val="clear" w:color="auto" w:fill="DBF1E8" w:themeFill="background2" w:themeFillTint="33"/>
            <w:vAlign w:val="bottom"/>
          </w:tcPr>
          <w:p w14:paraId="01EC5B99" w14:textId="2789E3E0" w:rsidR="00DC64CE" w:rsidRPr="00F4111B" w:rsidRDefault="00DC64CE" w:rsidP="00F4111B">
            <w:pPr>
              <w:pStyle w:val="TableTextRight"/>
            </w:pPr>
            <w:r w:rsidRPr="00F4111B">
              <w:t>6,457</w:t>
            </w:r>
          </w:p>
        </w:tc>
        <w:tc>
          <w:tcPr>
            <w:tcW w:w="993" w:type="dxa"/>
            <w:tcBorders>
              <w:bottom w:val="single" w:sz="4" w:space="0" w:color="EBE9E8" w:themeColor="accent5" w:themeTint="33"/>
            </w:tcBorders>
            <w:shd w:val="clear" w:color="auto" w:fill="DBF1E8" w:themeFill="background2" w:themeFillTint="33"/>
            <w:vAlign w:val="bottom"/>
          </w:tcPr>
          <w:p w14:paraId="7032C308" w14:textId="6FF7CE0E" w:rsidR="00DC64CE" w:rsidRPr="00F4111B" w:rsidRDefault="00DC64CE" w:rsidP="00F4111B">
            <w:pPr>
              <w:pStyle w:val="TableTextRight"/>
            </w:pPr>
            <w:r w:rsidRPr="00F4111B">
              <w:t>9,107</w:t>
            </w:r>
          </w:p>
        </w:tc>
      </w:tr>
      <w:tr w:rsidR="00DC64CE" w:rsidRPr="007B69C5" w14:paraId="2B8F2A70" w14:textId="77777777" w:rsidTr="00F4111B">
        <w:trPr>
          <w:trHeight w:val="238"/>
        </w:trPr>
        <w:tc>
          <w:tcPr>
            <w:tcW w:w="2693" w:type="dxa"/>
            <w:tcBorders>
              <w:bottom w:val="single" w:sz="4" w:space="0" w:color="002C47" w:themeColor="accent1"/>
            </w:tcBorders>
            <w:hideMark/>
          </w:tcPr>
          <w:p w14:paraId="3747F375" w14:textId="3B83808B" w:rsidR="00DC64CE" w:rsidRPr="007B69C5" w:rsidRDefault="00DC64CE" w:rsidP="00DC64CE">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7A644968" w14:textId="3EE73800" w:rsidR="00DC64CE" w:rsidRPr="00F4111B" w:rsidRDefault="00DC64CE" w:rsidP="00F4111B">
            <w:pPr>
              <w:pStyle w:val="TableTextRight"/>
            </w:pPr>
            <w:r w:rsidRPr="00F4111B">
              <w:t>1,628</w:t>
            </w:r>
          </w:p>
        </w:tc>
        <w:tc>
          <w:tcPr>
            <w:tcW w:w="992" w:type="dxa"/>
            <w:tcBorders>
              <w:bottom w:val="single" w:sz="4" w:space="0" w:color="002C47" w:themeColor="accent1"/>
            </w:tcBorders>
            <w:shd w:val="clear" w:color="auto" w:fill="D6EEF5" w:themeFill="text2" w:themeFillTint="33"/>
            <w:vAlign w:val="bottom"/>
          </w:tcPr>
          <w:p w14:paraId="340467D7" w14:textId="475C3A3B" w:rsidR="00DC64CE" w:rsidRPr="00F4111B" w:rsidRDefault="00DC64CE" w:rsidP="00F4111B">
            <w:pPr>
              <w:pStyle w:val="TableTextRight"/>
            </w:pPr>
            <w:r w:rsidRPr="00F4111B">
              <w:t>1,635</w:t>
            </w:r>
          </w:p>
        </w:tc>
        <w:tc>
          <w:tcPr>
            <w:tcW w:w="992" w:type="dxa"/>
            <w:tcBorders>
              <w:bottom w:val="single" w:sz="4" w:space="0" w:color="002C47" w:themeColor="accent1"/>
            </w:tcBorders>
            <w:vAlign w:val="bottom"/>
          </w:tcPr>
          <w:p w14:paraId="30B6B1AD" w14:textId="3832C84B" w:rsidR="00DC64CE" w:rsidRPr="00F4111B" w:rsidRDefault="00DC64CE" w:rsidP="00F4111B">
            <w:pPr>
              <w:pStyle w:val="TableTextRight"/>
            </w:pPr>
            <w:r w:rsidRPr="00F4111B">
              <w:t>1,646</w:t>
            </w:r>
          </w:p>
        </w:tc>
        <w:tc>
          <w:tcPr>
            <w:tcW w:w="992" w:type="dxa"/>
            <w:tcBorders>
              <w:bottom w:val="single" w:sz="4" w:space="0" w:color="002C47" w:themeColor="accent1"/>
            </w:tcBorders>
            <w:vAlign w:val="bottom"/>
          </w:tcPr>
          <w:p w14:paraId="004CBA19" w14:textId="0F3ABD71" w:rsidR="00DC64CE" w:rsidRPr="00F4111B" w:rsidRDefault="00DC64CE" w:rsidP="00F4111B">
            <w:pPr>
              <w:pStyle w:val="TableTextRight"/>
            </w:pPr>
            <w:r w:rsidRPr="00F4111B">
              <w:t>1,657</w:t>
            </w:r>
          </w:p>
        </w:tc>
        <w:tc>
          <w:tcPr>
            <w:tcW w:w="992" w:type="dxa"/>
            <w:tcBorders>
              <w:bottom w:val="single" w:sz="4" w:space="0" w:color="002C47" w:themeColor="accent1"/>
            </w:tcBorders>
            <w:vAlign w:val="bottom"/>
          </w:tcPr>
          <w:p w14:paraId="5BDAF87F" w14:textId="5B824382" w:rsidR="00DC64CE" w:rsidRPr="00F4111B" w:rsidRDefault="00DC64CE" w:rsidP="00F4111B">
            <w:pPr>
              <w:pStyle w:val="TableTextRight"/>
            </w:pPr>
            <w:r w:rsidRPr="00F4111B">
              <w:t>1,668</w:t>
            </w:r>
          </w:p>
        </w:tc>
        <w:tc>
          <w:tcPr>
            <w:tcW w:w="992" w:type="dxa"/>
            <w:tcBorders>
              <w:bottom w:val="single" w:sz="4" w:space="0" w:color="002C47" w:themeColor="accent1"/>
            </w:tcBorders>
            <w:shd w:val="clear" w:color="auto" w:fill="DBF1E8" w:themeFill="background2" w:themeFillTint="33"/>
            <w:vAlign w:val="bottom"/>
          </w:tcPr>
          <w:p w14:paraId="3244C12C" w14:textId="2F64B98E" w:rsidR="00DC64CE" w:rsidRPr="00F4111B" w:rsidRDefault="00DC64CE" w:rsidP="00F4111B">
            <w:pPr>
              <w:pStyle w:val="TableTextRight"/>
            </w:pPr>
            <w:r w:rsidRPr="00F4111B">
              <w:t>1,765</w:t>
            </w:r>
          </w:p>
        </w:tc>
        <w:tc>
          <w:tcPr>
            <w:tcW w:w="993" w:type="dxa"/>
            <w:tcBorders>
              <w:bottom w:val="single" w:sz="4" w:space="0" w:color="002C47" w:themeColor="accent1"/>
            </w:tcBorders>
            <w:shd w:val="clear" w:color="auto" w:fill="DBF1E8" w:themeFill="background2" w:themeFillTint="33"/>
            <w:vAlign w:val="bottom"/>
          </w:tcPr>
          <w:p w14:paraId="7CBBE3DD" w14:textId="462F4292" w:rsidR="00DC64CE" w:rsidRPr="00F4111B" w:rsidRDefault="00DC64CE" w:rsidP="00F4111B">
            <w:pPr>
              <w:pStyle w:val="TableTextRight"/>
            </w:pPr>
            <w:r w:rsidRPr="00F4111B">
              <w:t>2,050</w:t>
            </w:r>
          </w:p>
        </w:tc>
      </w:tr>
      <w:tr w:rsidR="00DC64CE" w:rsidRPr="007B69C5" w14:paraId="716DF5B1" w14:textId="77777777" w:rsidTr="00F4111B">
        <w:trPr>
          <w:trHeight w:val="238"/>
        </w:trPr>
        <w:tc>
          <w:tcPr>
            <w:tcW w:w="2693" w:type="dxa"/>
            <w:tcBorders>
              <w:top w:val="single" w:sz="4" w:space="0" w:color="002C47" w:themeColor="accent1"/>
            </w:tcBorders>
            <w:hideMark/>
          </w:tcPr>
          <w:p w14:paraId="2E5BC834" w14:textId="52DCDC1E" w:rsidR="00DC64CE" w:rsidRPr="007B69C5" w:rsidRDefault="00DC64CE" w:rsidP="00DC64CE">
            <w:pPr>
              <w:pStyle w:val="TableColumnHeadingLeft"/>
            </w:pPr>
            <w:r w:rsidRPr="007B69C5">
              <w:t>Population growth (per cent)</w:t>
            </w:r>
          </w:p>
        </w:tc>
        <w:tc>
          <w:tcPr>
            <w:tcW w:w="992" w:type="dxa"/>
            <w:tcBorders>
              <w:top w:val="single" w:sz="4" w:space="0" w:color="002C47" w:themeColor="accent1"/>
            </w:tcBorders>
            <w:vAlign w:val="bottom"/>
          </w:tcPr>
          <w:p w14:paraId="2E296B9E" w14:textId="7630DD84" w:rsidR="00DC64CE" w:rsidRPr="007B69C5" w:rsidRDefault="00DC64CE" w:rsidP="00F4111B">
            <w:pPr>
              <w:pStyle w:val="TableTextRight"/>
            </w:pPr>
          </w:p>
        </w:tc>
        <w:tc>
          <w:tcPr>
            <w:tcW w:w="992" w:type="dxa"/>
            <w:tcBorders>
              <w:top w:val="single" w:sz="4" w:space="0" w:color="002C47" w:themeColor="accent1"/>
            </w:tcBorders>
            <w:shd w:val="clear" w:color="auto" w:fill="D6EEF5" w:themeFill="text2" w:themeFillTint="33"/>
            <w:vAlign w:val="bottom"/>
          </w:tcPr>
          <w:p w14:paraId="6834AFAA" w14:textId="73348110" w:rsidR="00DC64CE" w:rsidRPr="007B69C5" w:rsidRDefault="00DC64CE" w:rsidP="00F4111B">
            <w:pPr>
              <w:pStyle w:val="TableTextRight"/>
            </w:pPr>
          </w:p>
        </w:tc>
        <w:tc>
          <w:tcPr>
            <w:tcW w:w="992" w:type="dxa"/>
            <w:tcBorders>
              <w:top w:val="single" w:sz="4" w:space="0" w:color="002C47" w:themeColor="accent1"/>
            </w:tcBorders>
            <w:vAlign w:val="bottom"/>
          </w:tcPr>
          <w:p w14:paraId="2DAD9452" w14:textId="26B0D539" w:rsidR="00DC64CE" w:rsidRPr="007B69C5" w:rsidRDefault="00DC64CE" w:rsidP="00F4111B">
            <w:pPr>
              <w:pStyle w:val="TableTextRight"/>
            </w:pPr>
          </w:p>
        </w:tc>
        <w:tc>
          <w:tcPr>
            <w:tcW w:w="992" w:type="dxa"/>
            <w:tcBorders>
              <w:top w:val="single" w:sz="4" w:space="0" w:color="002C47" w:themeColor="accent1"/>
            </w:tcBorders>
            <w:vAlign w:val="bottom"/>
          </w:tcPr>
          <w:p w14:paraId="2EB79672" w14:textId="0B900793" w:rsidR="00DC64CE" w:rsidRPr="007B69C5" w:rsidRDefault="00DC64CE" w:rsidP="00F4111B">
            <w:pPr>
              <w:pStyle w:val="TableTextRight"/>
            </w:pPr>
          </w:p>
        </w:tc>
        <w:tc>
          <w:tcPr>
            <w:tcW w:w="992" w:type="dxa"/>
            <w:tcBorders>
              <w:top w:val="single" w:sz="4" w:space="0" w:color="002C47" w:themeColor="accent1"/>
            </w:tcBorders>
            <w:vAlign w:val="bottom"/>
          </w:tcPr>
          <w:p w14:paraId="775FF602" w14:textId="5CCF077A" w:rsidR="00DC64CE" w:rsidRPr="007B69C5" w:rsidRDefault="00DC64CE" w:rsidP="00F4111B">
            <w:pPr>
              <w:pStyle w:val="TableTextRight"/>
            </w:pPr>
          </w:p>
        </w:tc>
        <w:tc>
          <w:tcPr>
            <w:tcW w:w="992" w:type="dxa"/>
            <w:tcBorders>
              <w:top w:val="single" w:sz="4" w:space="0" w:color="002C47" w:themeColor="accent1"/>
            </w:tcBorders>
            <w:shd w:val="clear" w:color="auto" w:fill="DBF1E8" w:themeFill="background2" w:themeFillTint="33"/>
            <w:vAlign w:val="bottom"/>
          </w:tcPr>
          <w:p w14:paraId="652490BD" w14:textId="1F5E19C6" w:rsidR="00DC64CE" w:rsidRPr="007B69C5" w:rsidRDefault="00DC64CE" w:rsidP="00F4111B">
            <w:pPr>
              <w:pStyle w:val="TableTextRight"/>
            </w:pPr>
          </w:p>
        </w:tc>
        <w:tc>
          <w:tcPr>
            <w:tcW w:w="993" w:type="dxa"/>
            <w:tcBorders>
              <w:top w:val="single" w:sz="4" w:space="0" w:color="002C47" w:themeColor="accent1"/>
            </w:tcBorders>
            <w:shd w:val="clear" w:color="auto" w:fill="DBF1E8" w:themeFill="background2" w:themeFillTint="33"/>
            <w:vAlign w:val="bottom"/>
          </w:tcPr>
          <w:p w14:paraId="60519DC2" w14:textId="0DCB9B1D" w:rsidR="00DC64CE" w:rsidRPr="007B69C5" w:rsidRDefault="00DC64CE" w:rsidP="00F4111B">
            <w:pPr>
              <w:pStyle w:val="TableTextRight"/>
            </w:pPr>
          </w:p>
        </w:tc>
      </w:tr>
      <w:tr w:rsidR="00DC64CE" w:rsidRPr="007B69C5" w14:paraId="3FD66610" w14:textId="77777777" w:rsidTr="00F4111B">
        <w:trPr>
          <w:trHeight w:val="238"/>
        </w:trPr>
        <w:tc>
          <w:tcPr>
            <w:tcW w:w="2693" w:type="dxa"/>
            <w:hideMark/>
          </w:tcPr>
          <w:p w14:paraId="227770A7" w14:textId="458BB622" w:rsidR="00DC64CE" w:rsidRPr="007B69C5" w:rsidRDefault="00DC64CE" w:rsidP="00F4111B">
            <w:pPr>
              <w:pStyle w:val="TableTextLeft"/>
            </w:pPr>
            <w:r w:rsidRPr="007B69C5">
              <w:t>Victoria</w:t>
            </w:r>
          </w:p>
        </w:tc>
        <w:tc>
          <w:tcPr>
            <w:tcW w:w="992" w:type="dxa"/>
            <w:vAlign w:val="bottom"/>
          </w:tcPr>
          <w:p w14:paraId="50DAFBBB" w14:textId="1E19A78B" w:rsidR="00DC64CE" w:rsidRPr="007B69C5" w:rsidRDefault="00DC64CE" w:rsidP="00F4111B">
            <w:pPr>
              <w:pStyle w:val="TableTextRight"/>
              <w:rPr>
                <w:color w:val="000000" w:themeColor="text1"/>
              </w:rPr>
            </w:pPr>
            <w:r w:rsidRPr="007B69C5">
              <w:t>2.3</w:t>
            </w:r>
          </w:p>
        </w:tc>
        <w:tc>
          <w:tcPr>
            <w:tcW w:w="992" w:type="dxa"/>
            <w:shd w:val="clear" w:color="auto" w:fill="D6EEF5" w:themeFill="text2" w:themeFillTint="33"/>
            <w:vAlign w:val="bottom"/>
          </w:tcPr>
          <w:p w14:paraId="2223119B" w14:textId="593D446E" w:rsidR="00DC64CE" w:rsidRPr="007B69C5" w:rsidRDefault="00DC64CE" w:rsidP="00F4111B">
            <w:pPr>
              <w:pStyle w:val="TableTextRight"/>
              <w:rPr>
                <w:color w:val="000000" w:themeColor="text1"/>
              </w:rPr>
            </w:pPr>
            <w:r w:rsidRPr="007B69C5">
              <w:t>1.7</w:t>
            </w:r>
          </w:p>
        </w:tc>
        <w:tc>
          <w:tcPr>
            <w:tcW w:w="992" w:type="dxa"/>
            <w:vAlign w:val="bottom"/>
          </w:tcPr>
          <w:p w14:paraId="32048427" w14:textId="1E770E00" w:rsidR="00DC64CE" w:rsidRPr="007B69C5" w:rsidRDefault="00DC64CE" w:rsidP="00F4111B">
            <w:pPr>
              <w:pStyle w:val="TableTextRight"/>
              <w:rPr>
                <w:color w:val="000000" w:themeColor="text1"/>
              </w:rPr>
            </w:pPr>
            <w:r w:rsidRPr="007B69C5">
              <w:t>1.5</w:t>
            </w:r>
          </w:p>
        </w:tc>
        <w:tc>
          <w:tcPr>
            <w:tcW w:w="992" w:type="dxa"/>
            <w:vAlign w:val="bottom"/>
          </w:tcPr>
          <w:p w14:paraId="0F2FA7D6" w14:textId="5860C7E7" w:rsidR="00DC64CE" w:rsidRPr="007B69C5" w:rsidRDefault="00DC64CE" w:rsidP="00F4111B">
            <w:pPr>
              <w:pStyle w:val="TableTextRight"/>
              <w:rPr>
                <w:color w:val="000000" w:themeColor="text1"/>
              </w:rPr>
            </w:pPr>
            <w:r w:rsidRPr="007B69C5">
              <w:t>1.4</w:t>
            </w:r>
          </w:p>
        </w:tc>
        <w:tc>
          <w:tcPr>
            <w:tcW w:w="992" w:type="dxa"/>
            <w:vAlign w:val="bottom"/>
          </w:tcPr>
          <w:p w14:paraId="100F883D" w14:textId="13E1C1B6" w:rsidR="00DC64CE" w:rsidRPr="007B69C5" w:rsidRDefault="00DC64CE" w:rsidP="00F4111B">
            <w:pPr>
              <w:pStyle w:val="TableTextRight"/>
              <w:rPr>
                <w:color w:val="000000" w:themeColor="text1"/>
              </w:rPr>
            </w:pPr>
            <w:r w:rsidRPr="007B69C5">
              <w:t>1.4</w:t>
            </w:r>
          </w:p>
        </w:tc>
        <w:tc>
          <w:tcPr>
            <w:tcW w:w="992" w:type="dxa"/>
            <w:shd w:val="clear" w:color="auto" w:fill="DBF1E8" w:themeFill="background2" w:themeFillTint="33"/>
            <w:vAlign w:val="bottom"/>
          </w:tcPr>
          <w:p w14:paraId="41530B66" w14:textId="56D11FF5" w:rsidR="00DC64CE" w:rsidRPr="007B69C5" w:rsidRDefault="00DC64CE" w:rsidP="00F4111B">
            <w:pPr>
              <w:pStyle w:val="TableTextRight"/>
              <w:rPr>
                <w:color w:val="000000" w:themeColor="text1"/>
              </w:rPr>
            </w:pPr>
            <w:r w:rsidRPr="007B69C5">
              <w:t>1.3</w:t>
            </w:r>
          </w:p>
        </w:tc>
        <w:tc>
          <w:tcPr>
            <w:tcW w:w="993" w:type="dxa"/>
            <w:shd w:val="clear" w:color="auto" w:fill="DBF1E8" w:themeFill="background2" w:themeFillTint="33"/>
            <w:vAlign w:val="bottom"/>
          </w:tcPr>
          <w:p w14:paraId="3DFC6CE3" w14:textId="2FC3E6BA" w:rsidR="00DC64CE" w:rsidRPr="007B69C5" w:rsidRDefault="00DC64CE" w:rsidP="00F4111B">
            <w:pPr>
              <w:pStyle w:val="TableTextRight"/>
              <w:rPr>
                <w:color w:val="000000" w:themeColor="text1"/>
              </w:rPr>
            </w:pPr>
            <w:r w:rsidRPr="007B69C5">
              <w:t>0.8</w:t>
            </w:r>
          </w:p>
        </w:tc>
      </w:tr>
      <w:tr w:rsidR="00DC64CE" w:rsidRPr="007B69C5" w14:paraId="666BB8A2" w14:textId="77777777" w:rsidTr="00F4111B">
        <w:trPr>
          <w:trHeight w:val="238"/>
        </w:trPr>
        <w:tc>
          <w:tcPr>
            <w:tcW w:w="2693" w:type="dxa"/>
            <w:tcBorders>
              <w:bottom w:val="single" w:sz="4" w:space="0" w:color="EBE9E8" w:themeColor="accent5" w:themeTint="33"/>
            </w:tcBorders>
            <w:hideMark/>
          </w:tcPr>
          <w:p w14:paraId="1F164544" w14:textId="7479B241" w:rsidR="00DC64CE" w:rsidRPr="007B69C5" w:rsidRDefault="00DC64CE" w:rsidP="00DC64CE">
            <w:pPr>
              <w:pStyle w:val="Tabletextleftindent"/>
            </w:pPr>
            <w:r w:rsidRPr="007B69C5">
              <w:t xml:space="preserve">Greater Melbourne </w:t>
            </w:r>
          </w:p>
        </w:tc>
        <w:tc>
          <w:tcPr>
            <w:tcW w:w="992" w:type="dxa"/>
            <w:tcBorders>
              <w:bottom w:val="single" w:sz="4" w:space="0" w:color="EBE9E8" w:themeColor="accent5" w:themeTint="33"/>
            </w:tcBorders>
            <w:vAlign w:val="bottom"/>
          </w:tcPr>
          <w:p w14:paraId="46B2A7D8" w14:textId="0977368E" w:rsidR="00DC64CE" w:rsidRPr="007B69C5" w:rsidRDefault="00DC64CE" w:rsidP="00F4111B">
            <w:pPr>
              <w:pStyle w:val="TableTextRight"/>
              <w:rPr>
                <w:color w:val="000000" w:themeColor="text1"/>
              </w:rPr>
            </w:pPr>
            <w:r w:rsidRPr="007B69C5">
              <w:t>2.7</w:t>
            </w:r>
          </w:p>
        </w:tc>
        <w:tc>
          <w:tcPr>
            <w:tcW w:w="992" w:type="dxa"/>
            <w:tcBorders>
              <w:bottom w:val="single" w:sz="4" w:space="0" w:color="EBE9E8" w:themeColor="accent5" w:themeTint="33"/>
            </w:tcBorders>
            <w:shd w:val="clear" w:color="auto" w:fill="D6EEF5" w:themeFill="text2" w:themeFillTint="33"/>
            <w:vAlign w:val="bottom"/>
          </w:tcPr>
          <w:p w14:paraId="3EC7D71E" w14:textId="3D7495EA" w:rsidR="00DC64CE" w:rsidRPr="007B69C5" w:rsidRDefault="00DC64CE" w:rsidP="00F4111B">
            <w:pPr>
              <w:pStyle w:val="TableTextRight"/>
              <w:rPr>
                <w:color w:val="000000" w:themeColor="text1"/>
              </w:rPr>
            </w:pPr>
            <w:r w:rsidRPr="007B69C5">
              <w:t>2.0</w:t>
            </w:r>
          </w:p>
        </w:tc>
        <w:tc>
          <w:tcPr>
            <w:tcW w:w="992" w:type="dxa"/>
            <w:tcBorders>
              <w:bottom w:val="single" w:sz="4" w:space="0" w:color="EBE9E8" w:themeColor="accent5" w:themeTint="33"/>
            </w:tcBorders>
            <w:vAlign w:val="bottom"/>
          </w:tcPr>
          <w:p w14:paraId="7ACA0F94" w14:textId="3CA811EB" w:rsidR="00DC64CE" w:rsidRPr="007B69C5" w:rsidRDefault="00DC64CE" w:rsidP="00F4111B">
            <w:pPr>
              <w:pStyle w:val="TableTextRight"/>
              <w:rPr>
                <w:color w:val="000000" w:themeColor="text1"/>
              </w:rPr>
            </w:pPr>
            <w:r w:rsidRPr="007B69C5">
              <w:t>1.7</w:t>
            </w:r>
          </w:p>
        </w:tc>
        <w:tc>
          <w:tcPr>
            <w:tcW w:w="992" w:type="dxa"/>
            <w:tcBorders>
              <w:bottom w:val="single" w:sz="4" w:space="0" w:color="EBE9E8" w:themeColor="accent5" w:themeTint="33"/>
            </w:tcBorders>
            <w:vAlign w:val="bottom"/>
          </w:tcPr>
          <w:p w14:paraId="25DD2FF6" w14:textId="16C42B08" w:rsidR="00DC64CE" w:rsidRPr="007B69C5" w:rsidRDefault="00DC64CE" w:rsidP="00F4111B">
            <w:pPr>
              <w:pStyle w:val="TableTextRight"/>
              <w:rPr>
                <w:color w:val="000000" w:themeColor="text1"/>
              </w:rPr>
            </w:pPr>
            <w:r w:rsidRPr="007B69C5">
              <w:t>1.6</w:t>
            </w:r>
          </w:p>
        </w:tc>
        <w:tc>
          <w:tcPr>
            <w:tcW w:w="992" w:type="dxa"/>
            <w:tcBorders>
              <w:bottom w:val="single" w:sz="4" w:space="0" w:color="EBE9E8" w:themeColor="accent5" w:themeTint="33"/>
            </w:tcBorders>
            <w:vAlign w:val="bottom"/>
          </w:tcPr>
          <w:p w14:paraId="00B40D4C" w14:textId="7EB39065" w:rsidR="00DC64CE" w:rsidRPr="007B69C5" w:rsidRDefault="00DC64CE" w:rsidP="00F4111B">
            <w:pPr>
              <w:pStyle w:val="TableTextRight"/>
              <w:rPr>
                <w:color w:val="000000" w:themeColor="text1"/>
              </w:rPr>
            </w:pPr>
            <w:r w:rsidRPr="007B69C5">
              <w:t>1.6</w:t>
            </w:r>
          </w:p>
        </w:tc>
        <w:tc>
          <w:tcPr>
            <w:tcW w:w="992" w:type="dxa"/>
            <w:tcBorders>
              <w:bottom w:val="single" w:sz="4" w:space="0" w:color="EBE9E8" w:themeColor="accent5" w:themeTint="33"/>
            </w:tcBorders>
            <w:shd w:val="clear" w:color="auto" w:fill="DBF1E8" w:themeFill="background2" w:themeFillTint="33"/>
            <w:vAlign w:val="bottom"/>
          </w:tcPr>
          <w:p w14:paraId="7B703146" w14:textId="49B75F43" w:rsidR="00DC64CE" w:rsidRPr="007B69C5" w:rsidRDefault="00DC64CE" w:rsidP="00F4111B">
            <w:pPr>
              <w:pStyle w:val="TableTextRight"/>
              <w:rPr>
                <w:color w:val="000000" w:themeColor="text1"/>
              </w:rPr>
            </w:pPr>
            <w:r w:rsidRPr="007B69C5">
              <w:t>1.5</w:t>
            </w:r>
          </w:p>
        </w:tc>
        <w:tc>
          <w:tcPr>
            <w:tcW w:w="993" w:type="dxa"/>
            <w:tcBorders>
              <w:bottom w:val="single" w:sz="4" w:space="0" w:color="EBE9E8" w:themeColor="accent5" w:themeTint="33"/>
            </w:tcBorders>
            <w:shd w:val="clear" w:color="auto" w:fill="DBF1E8" w:themeFill="background2" w:themeFillTint="33"/>
            <w:vAlign w:val="bottom"/>
          </w:tcPr>
          <w:p w14:paraId="146DA12A" w14:textId="1ACE6ED3" w:rsidR="00DC64CE" w:rsidRPr="007B69C5" w:rsidRDefault="00DC64CE" w:rsidP="00F4111B">
            <w:pPr>
              <w:pStyle w:val="TableTextRight"/>
              <w:rPr>
                <w:color w:val="000000" w:themeColor="text1"/>
              </w:rPr>
            </w:pPr>
            <w:r w:rsidRPr="007B69C5">
              <w:t>0.9</w:t>
            </w:r>
          </w:p>
        </w:tc>
      </w:tr>
      <w:tr w:rsidR="00DC64CE" w:rsidRPr="007B69C5" w14:paraId="2D4CB0C1" w14:textId="77777777" w:rsidTr="00F4111B">
        <w:trPr>
          <w:trHeight w:val="238"/>
        </w:trPr>
        <w:tc>
          <w:tcPr>
            <w:tcW w:w="2693" w:type="dxa"/>
            <w:tcBorders>
              <w:bottom w:val="single" w:sz="4" w:space="0" w:color="002C47" w:themeColor="accent1"/>
            </w:tcBorders>
            <w:hideMark/>
          </w:tcPr>
          <w:p w14:paraId="4D970893" w14:textId="1570B6D7" w:rsidR="00DC64CE" w:rsidRPr="007B69C5" w:rsidRDefault="00DC64CE" w:rsidP="00DC64CE">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5721B2E9" w14:textId="20232442" w:rsidR="00DC64CE" w:rsidRPr="007B69C5" w:rsidRDefault="00DC64CE" w:rsidP="00F4111B">
            <w:pPr>
              <w:pStyle w:val="TableTextRight"/>
              <w:rPr>
                <w:color w:val="000000" w:themeColor="text1"/>
              </w:rPr>
            </w:pPr>
            <w:r w:rsidRPr="007B69C5">
              <w:t>1.2</w:t>
            </w:r>
          </w:p>
        </w:tc>
        <w:tc>
          <w:tcPr>
            <w:tcW w:w="992" w:type="dxa"/>
            <w:tcBorders>
              <w:bottom w:val="single" w:sz="4" w:space="0" w:color="002C47" w:themeColor="accent1"/>
            </w:tcBorders>
            <w:shd w:val="clear" w:color="auto" w:fill="D6EEF5" w:themeFill="text2" w:themeFillTint="33"/>
            <w:vAlign w:val="bottom"/>
          </w:tcPr>
          <w:p w14:paraId="17801DAC" w14:textId="7F32BCC2" w:rsidR="00DC64CE" w:rsidRPr="007B69C5" w:rsidRDefault="00DC64CE" w:rsidP="00F4111B">
            <w:pPr>
              <w:pStyle w:val="TableTextRight"/>
              <w:rPr>
                <w:color w:val="000000" w:themeColor="text1"/>
              </w:rPr>
            </w:pPr>
            <w:r w:rsidRPr="007B69C5">
              <w:t>0.8</w:t>
            </w:r>
          </w:p>
        </w:tc>
        <w:tc>
          <w:tcPr>
            <w:tcW w:w="992" w:type="dxa"/>
            <w:tcBorders>
              <w:bottom w:val="single" w:sz="4" w:space="0" w:color="002C47" w:themeColor="accent1"/>
            </w:tcBorders>
            <w:vAlign w:val="bottom"/>
          </w:tcPr>
          <w:p w14:paraId="2932EBA8" w14:textId="588054F0" w:rsidR="00DC64CE" w:rsidRPr="007B69C5" w:rsidRDefault="00DC64CE" w:rsidP="00F4111B">
            <w:pPr>
              <w:pStyle w:val="TableTextRight"/>
              <w:rPr>
                <w:color w:val="000000" w:themeColor="text1"/>
              </w:rPr>
            </w:pPr>
            <w:r w:rsidRPr="007B69C5">
              <w:t>0.7</w:t>
            </w:r>
          </w:p>
        </w:tc>
        <w:tc>
          <w:tcPr>
            <w:tcW w:w="992" w:type="dxa"/>
            <w:tcBorders>
              <w:bottom w:val="single" w:sz="4" w:space="0" w:color="002C47" w:themeColor="accent1"/>
            </w:tcBorders>
            <w:vAlign w:val="bottom"/>
          </w:tcPr>
          <w:p w14:paraId="106AEC01" w14:textId="4E475BC5" w:rsidR="00DC64CE" w:rsidRPr="007B69C5" w:rsidRDefault="00DC64CE" w:rsidP="00F4111B">
            <w:pPr>
              <w:pStyle w:val="TableTextRight"/>
              <w:rPr>
                <w:color w:val="000000" w:themeColor="text1"/>
              </w:rPr>
            </w:pPr>
            <w:r w:rsidRPr="007B69C5">
              <w:t>0.7</w:t>
            </w:r>
          </w:p>
        </w:tc>
        <w:tc>
          <w:tcPr>
            <w:tcW w:w="992" w:type="dxa"/>
            <w:tcBorders>
              <w:bottom w:val="single" w:sz="4" w:space="0" w:color="002C47" w:themeColor="accent1"/>
            </w:tcBorders>
            <w:vAlign w:val="bottom"/>
          </w:tcPr>
          <w:p w14:paraId="7A4F7403" w14:textId="22987394" w:rsidR="00DC64CE" w:rsidRPr="007B69C5" w:rsidRDefault="00DC64CE" w:rsidP="00F4111B">
            <w:pPr>
              <w:pStyle w:val="TableTextRight"/>
              <w:rPr>
                <w:color w:val="000000" w:themeColor="text1"/>
              </w:rPr>
            </w:pPr>
            <w:r w:rsidRPr="007B69C5">
              <w:t>0.7</w:t>
            </w:r>
          </w:p>
        </w:tc>
        <w:tc>
          <w:tcPr>
            <w:tcW w:w="992" w:type="dxa"/>
            <w:tcBorders>
              <w:bottom w:val="single" w:sz="4" w:space="0" w:color="002C47" w:themeColor="accent1"/>
            </w:tcBorders>
            <w:shd w:val="clear" w:color="auto" w:fill="DBF1E8" w:themeFill="background2" w:themeFillTint="33"/>
            <w:vAlign w:val="bottom"/>
          </w:tcPr>
          <w:p w14:paraId="6558D1BC" w14:textId="4D96B487" w:rsidR="00DC64CE" w:rsidRPr="007B69C5" w:rsidRDefault="00DC64CE" w:rsidP="00F4111B">
            <w:pPr>
              <w:pStyle w:val="TableTextRight"/>
              <w:rPr>
                <w:color w:val="000000" w:themeColor="text1"/>
              </w:rPr>
            </w:pPr>
            <w:r w:rsidRPr="007B69C5">
              <w:t>0.7</w:t>
            </w:r>
          </w:p>
        </w:tc>
        <w:tc>
          <w:tcPr>
            <w:tcW w:w="993" w:type="dxa"/>
            <w:tcBorders>
              <w:bottom w:val="single" w:sz="4" w:space="0" w:color="002C47" w:themeColor="accent1"/>
            </w:tcBorders>
            <w:shd w:val="clear" w:color="auto" w:fill="DBF1E8" w:themeFill="background2" w:themeFillTint="33"/>
            <w:vAlign w:val="bottom"/>
          </w:tcPr>
          <w:p w14:paraId="78D98DDF" w14:textId="29988EFD" w:rsidR="00DC64CE" w:rsidRPr="007B69C5" w:rsidRDefault="00DC64CE" w:rsidP="00F4111B">
            <w:pPr>
              <w:pStyle w:val="TableTextRight"/>
              <w:rPr>
                <w:color w:val="000000" w:themeColor="text1"/>
              </w:rPr>
            </w:pPr>
            <w:r w:rsidRPr="007B69C5">
              <w:t>0.4</w:t>
            </w:r>
          </w:p>
        </w:tc>
      </w:tr>
      <w:tr w:rsidR="00DC64CE" w:rsidRPr="007B69C5" w14:paraId="04D40F35" w14:textId="77777777" w:rsidTr="00F4111B">
        <w:trPr>
          <w:trHeight w:val="238"/>
        </w:trPr>
        <w:tc>
          <w:tcPr>
            <w:tcW w:w="2693" w:type="dxa"/>
            <w:tcBorders>
              <w:top w:val="single" w:sz="4" w:space="0" w:color="002C47" w:themeColor="accent1"/>
            </w:tcBorders>
            <w:hideMark/>
          </w:tcPr>
          <w:p w14:paraId="722599C7" w14:textId="5FA6A045" w:rsidR="00DC64CE" w:rsidRPr="007B69C5" w:rsidRDefault="00DC64CE" w:rsidP="00DC64CE">
            <w:pPr>
              <w:pStyle w:val="TableColumnHeadingLeft"/>
            </w:pPr>
            <w:r w:rsidRPr="007B69C5">
              <w:t>Natural increase (‘000)</w:t>
            </w:r>
          </w:p>
        </w:tc>
        <w:tc>
          <w:tcPr>
            <w:tcW w:w="992" w:type="dxa"/>
            <w:tcBorders>
              <w:top w:val="single" w:sz="4" w:space="0" w:color="002C47" w:themeColor="accent1"/>
            </w:tcBorders>
            <w:vAlign w:val="bottom"/>
          </w:tcPr>
          <w:p w14:paraId="2B5ACDC9" w14:textId="4A25C125" w:rsidR="00DC64CE" w:rsidRPr="007B69C5" w:rsidRDefault="00DC64CE" w:rsidP="00F4111B">
            <w:pPr>
              <w:pStyle w:val="TableTextRight"/>
            </w:pPr>
          </w:p>
        </w:tc>
        <w:tc>
          <w:tcPr>
            <w:tcW w:w="992" w:type="dxa"/>
            <w:tcBorders>
              <w:top w:val="single" w:sz="4" w:space="0" w:color="002C47" w:themeColor="accent1"/>
            </w:tcBorders>
            <w:shd w:val="clear" w:color="auto" w:fill="D6EEF5" w:themeFill="text2" w:themeFillTint="33"/>
            <w:vAlign w:val="bottom"/>
          </w:tcPr>
          <w:p w14:paraId="6A03FF47" w14:textId="0FA52308" w:rsidR="00DC64CE" w:rsidRPr="007B69C5" w:rsidRDefault="00DC64CE" w:rsidP="00F4111B">
            <w:pPr>
              <w:pStyle w:val="TableTextRight"/>
            </w:pPr>
          </w:p>
        </w:tc>
        <w:tc>
          <w:tcPr>
            <w:tcW w:w="992" w:type="dxa"/>
            <w:tcBorders>
              <w:top w:val="single" w:sz="4" w:space="0" w:color="002C47" w:themeColor="accent1"/>
            </w:tcBorders>
            <w:vAlign w:val="bottom"/>
          </w:tcPr>
          <w:p w14:paraId="3A0EC7F4" w14:textId="597CA049" w:rsidR="00DC64CE" w:rsidRPr="007B69C5" w:rsidRDefault="00DC64CE" w:rsidP="00F4111B">
            <w:pPr>
              <w:pStyle w:val="TableTextRight"/>
            </w:pPr>
          </w:p>
        </w:tc>
        <w:tc>
          <w:tcPr>
            <w:tcW w:w="992" w:type="dxa"/>
            <w:tcBorders>
              <w:top w:val="single" w:sz="4" w:space="0" w:color="002C47" w:themeColor="accent1"/>
            </w:tcBorders>
            <w:vAlign w:val="bottom"/>
          </w:tcPr>
          <w:p w14:paraId="0B1B3523" w14:textId="51DF294B" w:rsidR="00DC64CE" w:rsidRPr="007B69C5" w:rsidRDefault="00DC64CE" w:rsidP="00F4111B">
            <w:pPr>
              <w:pStyle w:val="TableTextRight"/>
            </w:pPr>
          </w:p>
        </w:tc>
        <w:tc>
          <w:tcPr>
            <w:tcW w:w="992" w:type="dxa"/>
            <w:tcBorders>
              <w:top w:val="single" w:sz="4" w:space="0" w:color="002C47" w:themeColor="accent1"/>
            </w:tcBorders>
            <w:vAlign w:val="bottom"/>
          </w:tcPr>
          <w:p w14:paraId="4798D71E" w14:textId="38CB0EC0" w:rsidR="00DC64CE" w:rsidRPr="007B69C5" w:rsidRDefault="00DC64CE" w:rsidP="00F4111B">
            <w:pPr>
              <w:pStyle w:val="TableTextRight"/>
            </w:pPr>
          </w:p>
        </w:tc>
        <w:tc>
          <w:tcPr>
            <w:tcW w:w="992" w:type="dxa"/>
            <w:tcBorders>
              <w:top w:val="single" w:sz="4" w:space="0" w:color="002C47" w:themeColor="accent1"/>
            </w:tcBorders>
            <w:shd w:val="clear" w:color="auto" w:fill="DBF1E8" w:themeFill="background2" w:themeFillTint="33"/>
            <w:vAlign w:val="bottom"/>
          </w:tcPr>
          <w:p w14:paraId="2EDE01E6" w14:textId="25145800" w:rsidR="00DC64CE" w:rsidRPr="007B69C5" w:rsidRDefault="00DC64CE" w:rsidP="00F4111B">
            <w:pPr>
              <w:pStyle w:val="TableTextRight"/>
            </w:pPr>
          </w:p>
        </w:tc>
        <w:tc>
          <w:tcPr>
            <w:tcW w:w="993" w:type="dxa"/>
            <w:tcBorders>
              <w:top w:val="single" w:sz="4" w:space="0" w:color="002C47" w:themeColor="accent1"/>
            </w:tcBorders>
            <w:shd w:val="clear" w:color="auto" w:fill="DBF1E8" w:themeFill="background2" w:themeFillTint="33"/>
            <w:vAlign w:val="bottom"/>
          </w:tcPr>
          <w:p w14:paraId="3086D29D" w14:textId="377BC135" w:rsidR="00DC64CE" w:rsidRPr="007B69C5" w:rsidRDefault="00DC64CE" w:rsidP="00F4111B">
            <w:pPr>
              <w:pStyle w:val="TableTextRight"/>
            </w:pPr>
          </w:p>
        </w:tc>
      </w:tr>
      <w:tr w:rsidR="00DC64CE" w:rsidRPr="007B69C5" w14:paraId="19F8B158" w14:textId="77777777" w:rsidTr="00F4111B">
        <w:trPr>
          <w:trHeight w:val="238"/>
        </w:trPr>
        <w:tc>
          <w:tcPr>
            <w:tcW w:w="2693" w:type="dxa"/>
            <w:hideMark/>
          </w:tcPr>
          <w:p w14:paraId="565813E8" w14:textId="62B25A50" w:rsidR="00DC64CE" w:rsidRPr="007B69C5" w:rsidRDefault="00DC64CE" w:rsidP="00F4111B">
            <w:pPr>
              <w:pStyle w:val="TableTextLeft"/>
            </w:pPr>
            <w:r w:rsidRPr="007B69C5">
              <w:t>Victoria</w:t>
            </w:r>
          </w:p>
        </w:tc>
        <w:tc>
          <w:tcPr>
            <w:tcW w:w="992" w:type="dxa"/>
            <w:vAlign w:val="bottom"/>
          </w:tcPr>
          <w:p w14:paraId="0C351FC0" w14:textId="5CB2419F" w:rsidR="00DC64CE" w:rsidRPr="007B69C5" w:rsidRDefault="00DC64CE" w:rsidP="00F4111B">
            <w:pPr>
              <w:pStyle w:val="TableTextRight"/>
              <w:rPr>
                <w:color w:val="000000" w:themeColor="text1"/>
              </w:rPr>
            </w:pPr>
            <w:r w:rsidRPr="007B69C5">
              <w:t>30.2</w:t>
            </w:r>
          </w:p>
        </w:tc>
        <w:tc>
          <w:tcPr>
            <w:tcW w:w="992" w:type="dxa"/>
            <w:shd w:val="clear" w:color="auto" w:fill="D6EEF5" w:themeFill="text2" w:themeFillTint="33"/>
            <w:vAlign w:val="bottom"/>
          </w:tcPr>
          <w:p w14:paraId="7D5CF28C" w14:textId="3D8C5611" w:rsidR="00DC64CE" w:rsidRPr="007B69C5" w:rsidRDefault="00DC64CE" w:rsidP="00F4111B">
            <w:pPr>
              <w:pStyle w:val="TableTextRight"/>
              <w:rPr>
                <w:color w:val="000000" w:themeColor="text1"/>
              </w:rPr>
            </w:pPr>
            <w:r w:rsidRPr="007B69C5">
              <w:t>29.5</w:t>
            </w:r>
          </w:p>
        </w:tc>
        <w:tc>
          <w:tcPr>
            <w:tcW w:w="992" w:type="dxa"/>
            <w:vAlign w:val="bottom"/>
          </w:tcPr>
          <w:p w14:paraId="67FD4743" w14:textId="4BCE93D4" w:rsidR="00DC64CE" w:rsidRPr="007B69C5" w:rsidRDefault="00DC64CE" w:rsidP="00F4111B">
            <w:pPr>
              <w:pStyle w:val="TableTextRight"/>
              <w:rPr>
                <w:color w:val="000000" w:themeColor="text1"/>
              </w:rPr>
            </w:pPr>
            <w:r w:rsidRPr="007B69C5">
              <w:t>26.2</w:t>
            </w:r>
          </w:p>
        </w:tc>
        <w:tc>
          <w:tcPr>
            <w:tcW w:w="992" w:type="dxa"/>
            <w:vAlign w:val="bottom"/>
          </w:tcPr>
          <w:p w14:paraId="39370FCF" w14:textId="4F0A1B0F" w:rsidR="00DC64CE" w:rsidRPr="007B69C5" w:rsidRDefault="00DC64CE" w:rsidP="00F4111B">
            <w:pPr>
              <w:pStyle w:val="TableTextRight"/>
              <w:rPr>
                <w:color w:val="000000" w:themeColor="text1"/>
              </w:rPr>
            </w:pPr>
            <w:r w:rsidRPr="007B69C5">
              <w:t>27.8</w:t>
            </w:r>
          </w:p>
        </w:tc>
        <w:tc>
          <w:tcPr>
            <w:tcW w:w="992" w:type="dxa"/>
            <w:vAlign w:val="bottom"/>
          </w:tcPr>
          <w:p w14:paraId="67183F72" w14:textId="51BCEFA1" w:rsidR="00DC64CE" w:rsidRPr="007B69C5" w:rsidRDefault="00DC64CE" w:rsidP="00F4111B">
            <w:pPr>
              <w:pStyle w:val="TableTextRight"/>
              <w:rPr>
                <w:color w:val="000000" w:themeColor="text1"/>
              </w:rPr>
            </w:pPr>
            <w:r w:rsidRPr="007B69C5">
              <w:t>29.3</w:t>
            </w:r>
          </w:p>
        </w:tc>
        <w:tc>
          <w:tcPr>
            <w:tcW w:w="992" w:type="dxa"/>
            <w:shd w:val="clear" w:color="auto" w:fill="DBF1E8" w:themeFill="background2" w:themeFillTint="33"/>
            <w:vAlign w:val="bottom"/>
          </w:tcPr>
          <w:p w14:paraId="0ED48AED" w14:textId="5841E3E1" w:rsidR="00DC64CE" w:rsidRPr="007B69C5" w:rsidRDefault="00DC64CE" w:rsidP="00F4111B">
            <w:pPr>
              <w:pStyle w:val="TableTextRight"/>
              <w:rPr>
                <w:color w:val="000000" w:themeColor="text1"/>
              </w:rPr>
            </w:pPr>
            <w:r w:rsidRPr="007B69C5">
              <w:t>32.7</w:t>
            </w:r>
          </w:p>
        </w:tc>
        <w:tc>
          <w:tcPr>
            <w:tcW w:w="993" w:type="dxa"/>
            <w:shd w:val="clear" w:color="auto" w:fill="DBF1E8" w:themeFill="background2" w:themeFillTint="33"/>
            <w:vAlign w:val="bottom"/>
          </w:tcPr>
          <w:p w14:paraId="53F5212A" w14:textId="72D01A42" w:rsidR="00DC64CE" w:rsidRPr="007B69C5" w:rsidRDefault="00DC64CE" w:rsidP="00F4111B">
            <w:pPr>
              <w:pStyle w:val="TableTextRight"/>
              <w:rPr>
                <w:color w:val="000000" w:themeColor="text1"/>
              </w:rPr>
            </w:pPr>
            <w:r w:rsidRPr="007B69C5">
              <w:t>19.8</w:t>
            </w:r>
          </w:p>
        </w:tc>
      </w:tr>
      <w:tr w:rsidR="00DC64CE" w:rsidRPr="007B69C5" w14:paraId="0AC11002" w14:textId="77777777" w:rsidTr="00F4111B">
        <w:trPr>
          <w:trHeight w:val="238"/>
        </w:trPr>
        <w:tc>
          <w:tcPr>
            <w:tcW w:w="2693" w:type="dxa"/>
            <w:tcBorders>
              <w:bottom w:val="single" w:sz="4" w:space="0" w:color="EBE9E8" w:themeColor="accent5" w:themeTint="33"/>
            </w:tcBorders>
            <w:hideMark/>
          </w:tcPr>
          <w:p w14:paraId="74B84246" w14:textId="727D602A" w:rsidR="00DC64CE" w:rsidRPr="007B69C5" w:rsidRDefault="00DC64CE" w:rsidP="00DC64CE">
            <w:pPr>
              <w:pStyle w:val="Tabletextleftindent"/>
            </w:pPr>
            <w:r w:rsidRPr="007B69C5">
              <w:t xml:space="preserve">Greater Melbourne </w:t>
            </w:r>
          </w:p>
        </w:tc>
        <w:tc>
          <w:tcPr>
            <w:tcW w:w="992" w:type="dxa"/>
            <w:tcBorders>
              <w:bottom w:val="single" w:sz="4" w:space="0" w:color="EBE9E8" w:themeColor="accent5" w:themeTint="33"/>
            </w:tcBorders>
            <w:vAlign w:val="bottom"/>
          </w:tcPr>
          <w:p w14:paraId="26F2601F" w14:textId="348C48EB" w:rsidR="00DC64CE" w:rsidRPr="007B69C5" w:rsidRDefault="00DC64CE" w:rsidP="00F4111B">
            <w:pPr>
              <w:pStyle w:val="TableTextRight"/>
              <w:rPr>
                <w:color w:val="000000" w:themeColor="text1"/>
              </w:rPr>
            </w:pPr>
            <w:r w:rsidRPr="007B69C5">
              <w:t>29.0</w:t>
            </w:r>
          </w:p>
        </w:tc>
        <w:tc>
          <w:tcPr>
            <w:tcW w:w="992" w:type="dxa"/>
            <w:tcBorders>
              <w:bottom w:val="single" w:sz="4" w:space="0" w:color="EBE9E8" w:themeColor="accent5" w:themeTint="33"/>
            </w:tcBorders>
            <w:shd w:val="clear" w:color="auto" w:fill="D6EEF5" w:themeFill="text2" w:themeFillTint="33"/>
            <w:vAlign w:val="bottom"/>
          </w:tcPr>
          <w:p w14:paraId="11340792" w14:textId="04D62B6D" w:rsidR="00DC64CE" w:rsidRPr="007B69C5" w:rsidRDefault="00DC64CE" w:rsidP="00F4111B">
            <w:pPr>
              <w:pStyle w:val="TableTextRight"/>
              <w:rPr>
                <w:color w:val="000000" w:themeColor="text1"/>
              </w:rPr>
            </w:pPr>
            <w:r w:rsidRPr="007B69C5">
              <w:t>28.9</w:t>
            </w:r>
          </w:p>
        </w:tc>
        <w:tc>
          <w:tcPr>
            <w:tcW w:w="992" w:type="dxa"/>
            <w:tcBorders>
              <w:bottom w:val="single" w:sz="4" w:space="0" w:color="EBE9E8" w:themeColor="accent5" w:themeTint="33"/>
            </w:tcBorders>
            <w:vAlign w:val="bottom"/>
          </w:tcPr>
          <w:p w14:paraId="6386B5E9" w14:textId="274CB616" w:rsidR="00DC64CE" w:rsidRPr="007B69C5" w:rsidRDefault="00DC64CE" w:rsidP="00F4111B">
            <w:pPr>
              <w:pStyle w:val="TableTextRight"/>
              <w:rPr>
                <w:color w:val="000000" w:themeColor="text1"/>
              </w:rPr>
            </w:pPr>
            <w:r w:rsidRPr="007B69C5">
              <w:t>26.6</w:t>
            </w:r>
          </w:p>
        </w:tc>
        <w:tc>
          <w:tcPr>
            <w:tcW w:w="992" w:type="dxa"/>
            <w:tcBorders>
              <w:bottom w:val="single" w:sz="4" w:space="0" w:color="EBE9E8" w:themeColor="accent5" w:themeTint="33"/>
            </w:tcBorders>
            <w:vAlign w:val="bottom"/>
          </w:tcPr>
          <w:p w14:paraId="518C6A58" w14:textId="44F23A64" w:rsidR="00DC64CE" w:rsidRPr="007B69C5" w:rsidRDefault="00DC64CE" w:rsidP="00F4111B">
            <w:pPr>
              <w:pStyle w:val="TableTextRight"/>
              <w:rPr>
                <w:color w:val="000000" w:themeColor="text1"/>
              </w:rPr>
            </w:pPr>
            <w:r w:rsidRPr="007B69C5">
              <w:t>28.1</w:t>
            </w:r>
          </w:p>
        </w:tc>
        <w:tc>
          <w:tcPr>
            <w:tcW w:w="992" w:type="dxa"/>
            <w:tcBorders>
              <w:bottom w:val="single" w:sz="4" w:space="0" w:color="EBE9E8" w:themeColor="accent5" w:themeTint="33"/>
            </w:tcBorders>
            <w:vAlign w:val="bottom"/>
          </w:tcPr>
          <w:p w14:paraId="48D75B76" w14:textId="1BB6E459" w:rsidR="00DC64CE" w:rsidRPr="007B69C5" w:rsidRDefault="00DC64CE" w:rsidP="00F4111B">
            <w:pPr>
              <w:pStyle w:val="TableTextRight"/>
              <w:rPr>
                <w:color w:val="000000" w:themeColor="text1"/>
              </w:rPr>
            </w:pPr>
            <w:r w:rsidRPr="007B69C5">
              <w:t>29.4</w:t>
            </w:r>
          </w:p>
        </w:tc>
        <w:tc>
          <w:tcPr>
            <w:tcW w:w="992" w:type="dxa"/>
            <w:tcBorders>
              <w:bottom w:val="single" w:sz="4" w:space="0" w:color="EBE9E8" w:themeColor="accent5" w:themeTint="33"/>
            </w:tcBorders>
            <w:shd w:val="clear" w:color="auto" w:fill="DBF1E8" w:themeFill="background2" w:themeFillTint="33"/>
            <w:vAlign w:val="bottom"/>
          </w:tcPr>
          <w:p w14:paraId="61332FBD" w14:textId="5262F1E3" w:rsidR="00DC64CE" w:rsidRPr="007B69C5" w:rsidRDefault="00DC64CE" w:rsidP="00F4111B">
            <w:pPr>
              <w:pStyle w:val="TableTextRight"/>
              <w:rPr>
                <w:color w:val="000000" w:themeColor="text1"/>
              </w:rPr>
            </w:pPr>
            <w:r w:rsidRPr="007B69C5">
              <w:t>34.4</w:t>
            </w:r>
          </w:p>
        </w:tc>
        <w:tc>
          <w:tcPr>
            <w:tcW w:w="993" w:type="dxa"/>
            <w:tcBorders>
              <w:bottom w:val="single" w:sz="4" w:space="0" w:color="EBE9E8" w:themeColor="accent5" w:themeTint="33"/>
            </w:tcBorders>
            <w:shd w:val="clear" w:color="auto" w:fill="DBF1E8" w:themeFill="background2" w:themeFillTint="33"/>
            <w:vAlign w:val="bottom"/>
          </w:tcPr>
          <w:p w14:paraId="65876BF9" w14:textId="38E67D36" w:rsidR="00DC64CE" w:rsidRPr="007B69C5" w:rsidRDefault="00DC64CE" w:rsidP="00F4111B">
            <w:pPr>
              <w:pStyle w:val="TableTextRight"/>
              <w:rPr>
                <w:color w:val="000000" w:themeColor="text1"/>
              </w:rPr>
            </w:pPr>
            <w:r w:rsidRPr="007B69C5">
              <w:t>27.7</w:t>
            </w:r>
          </w:p>
        </w:tc>
      </w:tr>
      <w:tr w:rsidR="00DC64CE" w:rsidRPr="007B69C5" w14:paraId="43F90F68" w14:textId="77777777" w:rsidTr="00F4111B">
        <w:trPr>
          <w:trHeight w:val="238"/>
        </w:trPr>
        <w:tc>
          <w:tcPr>
            <w:tcW w:w="2693" w:type="dxa"/>
            <w:tcBorders>
              <w:bottom w:val="single" w:sz="4" w:space="0" w:color="002C47" w:themeColor="accent1"/>
            </w:tcBorders>
            <w:hideMark/>
          </w:tcPr>
          <w:p w14:paraId="2B8FC57D" w14:textId="28E63EFC" w:rsidR="00DC64CE" w:rsidRPr="007B69C5" w:rsidRDefault="00DC64CE" w:rsidP="00DC64CE">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460CF9F6" w14:textId="240B2496" w:rsidR="00DC64CE" w:rsidRPr="007B69C5" w:rsidRDefault="00DC64CE" w:rsidP="00F4111B">
            <w:pPr>
              <w:pStyle w:val="TableTextRight"/>
              <w:rPr>
                <w:color w:val="000000" w:themeColor="text1"/>
              </w:rPr>
            </w:pPr>
            <w:r w:rsidRPr="007B69C5">
              <w:t>2.6</w:t>
            </w:r>
          </w:p>
        </w:tc>
        <w:tc>
          <w:tcPr>
            <w:tcW w:w="992" w:type="dxa"/>
            <w:tcBorders>
              <w:bottom w:val="single" w:sz="4" w:space="0" w:color="002C47" w:themeColor="accent1"/>
            </w:tcBorders>
            <w:shd w:val="clear" w:color="auto" w:fill="D6EEF5" w:themeFill="text2" w:themeFillTint="33"/>
            <w:vAlign w:val="bottom"/>
          </w:tcPr>
          <w:p w14:paraId="2CADEF55" w14:textId="5A875C91" w:rsidR="00DC64CE" w:rsidRPr="007B69C5" w:rsidRDefault="00DC64CE" w:rsidP="00F4111B">
            <w:pPr>
              <w:pStyle w:val="TableTextRight"/>
              <w:rPr>
                <w:color w:val="000000" w:themeColor="text1"/>
              </w:rPr>
            </w:pPr>
            <w:r w:rsidRPr="007B69C5">
              <w:t>0.6</w:t>
            </w:r>
          </w:p>
        </w:tc>
        <w:tc>
          <w:tcPr>
            <w:tcW w:w="992" w:type="dxa"/>
            <w:tcBorders>
              <w:bottom w:val="single" w:sz="4" w:space="0" w:color="002C47" w:themeColor="accent1"/>
            </w:tcBorders>
            <w:vAlign w:val="bottom"/>
          </w:tcPr>
          <w:p w14:paraId="5F75E43C" w14:textId="15F70ADC" w:rsidR="00DC64CE" w:rsidRPr="007B69C5" w:rsidRDefault="00DC64CE" w:rsidP="00F4111B">
            <w:pPr>
              <w:pStyle w:val="TableTextRight"/>
              <w:rPr>
                <w:color w:val="000000" w:themeColor="text1"/>
              </w:rPr>
            </w:pPr>
            <w:r w:rsidRPr="007B69C5">
              <w:t>-0.4</w:t>
            </w:r>
          </w:p>
        </w:tc>
        <w:tc>
          <w:tcPr>
            <w:tcW w:w="992" w:type="dxa"/>
            <w:tcBorders>
              <w:bottom w:val="single" w:sz="4" w:space="0" w:color="002C47" w:themeColor="accent1"/>
            </w:tcBorders>
            <w:vAlign w:val="bottom"/>
          </w:tcPr>
          <w:p w14:paraId="3F960301" w14:textId="416847C7" w:rsidR="00DC64CE" w:rsidRPr="007B69C5" w:rsidRDefault="00DC64CE" w:rsidP="00F4111B">
            <w:pPr>
              <w:pStyle w:val="TableTextRight"/>
              <w:rPr>
                <w:color w:val="000000" w:themeColor="text1"/>
              </w:rPr>
            </w:pPr>
            <w:r w:rsidRPr="007B69C5">
              <w:t>-0.2</w:t>
            </w:r>
          </w:p>
        </w:tc>
        <w:tc>
          <w:tcPr>
            <w:tcW w:w="992" w:type="dxa"/>
            <w:tcBorders>
              <w:bottom w:val="single" w:sz="4" w:space="0" w:color="002C47" w:themeColor="accent1"/>
            </w:tcBorders>
            <w:vAlign w:val="bottom"/>
          </w:tcPr>
          <w:p w14:paraId="173FF180" w14:textId="58967D6D" w:rsidR="00DC64CE" w:rsidRPr="007B69C5" w:rsidRDefault="00DC64CE" w:rsidP="00F4111B">
            <w:pPr>
              <w:pStyle w:val="TableTextRight"/>
              <w:rPr>
                <w:color w:val="000000" w:themeColor="text1"/>
              </w:rPr>
            </w:pPr>
            <w:r w:rsidRPr="007B69C5">
              <w:t>-0.1</w:t>
            </w:r>
          </w:p>
        </w:tc>
        <w:tc>
          <w:tcPr>
            <w:tcW w:w="992" w:type="dxa"/>
            <w:tcBorders>
              <w:bottom w:val="single" w:sz="4" w:space="0" w:color="002C47" w:themeColor="accent1"/>
            </w:tcBorders>
            <w:shd w:val="clear" w:color="auto" w:fill="DBF1E8" w:themeFill="background2" w:themeFillTint="33"/>
            <w:vAlign w:val="bottom"/>
          </w:tcPr>
          <w:p w14:paraId="7CEDD046" w14:textId="20569A2A" w:rsidR="00DC64CE" w:rsidRPr="007B69C5" w:rsidRDefault="00DC64CE" w:rsidP="00F4111B">
            <w:pPr>
              <w:pStyle w:val="TableTextRight"/>
              <w:rPr>
                <w:color w:val="000000" w:themeColor="text1"/>
              </w:rPr>
            </w:pPr>
            <w:r w:rsidRPr="007B69C5">
              <w:t>-1.7</w:t>
            </w:r>
          </w:p>
        </w:tc>
        <w:tc>
          <w:tcPr>
            <w:tcW w:w="993" w:type="dxa"/>
            <w:tcBorders>
              <w:bottom w:val="single" w:sz="4" w:space="0" w:color="002C47" w:themeColor="accent1"/>
            </w:tcBorders>
            <w:shd w:val="clear" w:color="auto" w:fill="DBF1E8" w:themeFill="background2" w:themeFillTint="33"/>
            <w:vAlign w:val="bottom"/>
          </w:tcPr>
          <w:p w14:paraId="016790A8" w14:textId="3564EF63" w:rsidR="00DC64CE" w:rsidRPr="007B69C5" w:rsidRDefault="00DC64CE" w:rsidP="00F4111B">
            <w:pPr>
              <w:pStyle w:val="TableTextRight"/>
              <w:rPr>
                <w:color w:val="000000" w:themeColor="text1"/>
              </w:rPr>
            </w:pPr>
            <w:r w:rsidRPr="007B69C5">
              <w:t>-7.9</w:t>
            </w:r>
          </w:p>
        </w:tc>
      </w:tr>
      <w:tr w:rsidR="00DC64CE" w:rsidRPr="007B69C5" w14:paraId="15BEBF50" w14:textId="77777777" w:rsidTr="00F4111B">
        <w:trPr>
          <w:trHeight w:val="238"/>
        </w:trPr>
        <w:tc>
          <w:tcPr>
            <w:tcW w:w="2693" w:type="dxa"/>
            <w:tcBorders>
              <w:top w:val="single" w:sz="4" w:space="0" w:color="002C47" w:themeColor="accent1"/>
            </w:tcBorders>
            <w:hideMark/>
          </w:tcPr>
          <w:p w14:paraId="44D0E8FD" w14:textId="170EE10B" w:rsidR="00DC64CE" w:rsidRPr="007B69C5" w:rsidRDefault="00DC64CE" w:rsidP="00DC64CE">
            <w:pPr>
              <w:pStyle w:val="TableColumnHeadingLeft"/>
            </w:pPr>
            <w:r w:rsidRPr="007B69C5">
              <w:t>Net overseas migration (‘000)</w:t>
            </w:r>
          </w:p>
        </w:tc>
        <w:tc>
          <w:tcPr>
            <w:tcW w:w="992" w:type="dxa"/>
            <w:tcBorders>
              <w:top w:val="single" w:sz="4" w:space="0" w:color="002C47" w:themeColor="accent1"/>
            </w:tcBorders>
            <w:vAlign w:val="bottom"/>
          </w:tcPr>
          <w:p w14:paraId="3D2C615F" w14:textId="0D2E9BF7" w:rsidR="00DC64CE" w:rsidRPr="007B69C5" w:rsidRDefault="00DC64CE" w:rsidP="00F4111B">
            <w:pPr>
              <w:pStyle w:val="TableTextRight"/>
            </w:pPr>
          </w:p>
        </w:tc>
        <w:tc>
          <w:tcPr>
            <w:tcW w:w="992" w:type="dxa"/>
            <w:tcBorders>
              <w:top w:val="single" w:sz="4" w:space="0" w:color="002C47" w:themeColor="accent1"/>
            </w:tcBorders>
            <w:shd w:val="clear" w:color="auto" w:fill="D6EEF5" w:themeFill="text2" w:themeFillTint="33"/>
            <w:vAlign w:val="bottom"/>
          </w:tcPr>
          <w:p w14:paraId="58DAA1D3" w14:textId="6D5A039A" w:rsidR="00DC64CE" w:rsidRPr="007B69C5" w:rsidRDefault="00DC64CE" w:rsidP="00F4111B">
            <w:pPr>
              <w:pStyle w:val="TableTextRight"/>
            </w:pPr>
          </w:p>
        </w:tc>
        <w:tc>
          <w:tcPr>
            <w:tcW w:w="992" w:type="dxa"/>
            <w:tcBorders>
              <w:top w:val="single" w:sz="4" w:space="0" w:color="002C47" w:themeColor="accent1"/>
            </w:tcBorders>
            <w:vAlign w:val="bottom"/>
          </w:tcPr>
          <w:p w14:paraId="717D497D" w14:textId="08775E05" w:rsidR="00DC64CE" w:rsidRPr="007B69C5" w:rsidRDefault="00DC64CE" w:rsidP="00F4111B">
            <w:pPr>
              <w:pStyle w:val="TableTextRight"/>
            </w:pPr>
          </w:p>
        </w:tc>
        <w:tc>
          <w:tcPr>
            <w:tcW w:w="992" w:type="dxa"/>
            <w:tcBorders>
              <w:top w:val="single" w:sz="4" w:space="0" w:color="002C47" w:themeColor="accent1"/>
            </w:tcBorders>
            <w:vAlign w:val="bottom"/>
          </w:tcPr>
          <w:p w14:paraId="01754B04" w14:textId="5F3D4D5E" w:rsidR="00DC64CE" w:rsidRPr="007B69C5" w:rsidRDefault="00DC64CE" w:rsidP="00F4111B">
            <w:pPr>
              <w:pStyle w:val="TableTextRight"/>
            </w:pPr>
          </w:p>
        </w:tc>
        <w:tc>
          <w:tcPr>
            <w:tcW w:w="992" w:type="dxa"/>
            <w:tcBorders>
              <w:top w:val="single" w:sz="4" w:space="0" w:color="002C47" w:themeColor="accent1"/>
            </w:tcBorders>
            <w:vAlign w:val="bottom"/>
          </w:tcPr>
          <w:p w14:paraId="0276F3CC" w14:textId="2583EAE2" w:rsidR="00DC64CE" w:rsidRPr="007B69C5" w:rsidRDefault="00DC64CE" w:rsidP="00F4111B">
            <w:pPr>
              <w:pStyle w:val="TableTextRight"/>
            </w:pPr>
          </w:p>
        </w:tc>
        <w:tc>
          <w:tcPr>
            <w:tcW w:w="992" w:type="dxa"/>
            <w:tcBorders>
              <w:top w:val="single" w:sz="4" w:space="0" w:color="002C47" w:themeColor="accent1"/>
            </w:tcBorders>
            <w:shd w:val="clear" w:color="auto" w:fill="DBF1E8" w:themeFill="background2" w:themeFillTint="33"/>
            <w:vAlign w:val="bottom"/>
          </w:tcPr>
          <w:p w14:paraId="43DE0110" w14:textId="09A0E049" w:rsidR="00DC64CE" w:rsidRPr="007B69C5" w:rsidRDefault="00DC64CE" w:rsidP="00F4111B">
            <w:pPr>
              <w:pStyle w:val="TableTextRight"/>
            </w:pPr>
          </w:p>
        </w:tc>
        <w:tc>
          <w:tcPr>
            <w:tcW w:w="993" w:type="dxa"/>
            <w:tcBorders>
              <w:top w:val="single" w:sz="4" w:space="0" w:color="002C47" w:themeColor="accent1"/>
            </w:tcBorders>
            <w:shd w:val="clear" w:color="auto" w:fill="DBF1E8" w:themeFill="background2" w:themeFillTint="33"/>
            <w:vAlign w:val="bottom"/>
          </w:tcPr>
          <w:p w14:paraId="0EADF71A" w14:textId="28AF9BD7" w:rsidR="00DC64CE" w:rsidRPr="007B69C5" w:rsidRDefault="00DC64CE" w:rsidP="00F4111B">
            <w:pPr>
              <w:pStyle w:val="TableTextRight"/>
            </w:pPr>
          </w:p>
        </w:tc>
      </w:tr>
      <w:tr w:rsidR="00DC64CE" w:rsidRPr="007B69C5" w14:paraId="7603BB66" w14:textId="77777777" w:rsidTr="00F4111B">
        <w:trPr>
          <w:trHeight w:val="238"/>
        </w:trPr>
        <w:tc>
          <w:tcPr>
            <w:tcW w:w="2693" w:type="dxa"/>
            <w:hideMark/>
          </w:tcPr>
          <w:p w14:paraId="51BE2898" w14:textId="08C99571" w:rsidR="00DC64CE" w:rsidRPr="007B69C5" w:rsidRDefault="00DC64CE" w:rsidP="00F4111B">
            <w:pPr>
              <w:pStyle w:val="TableTextLeft"/>
            </w:pPr>
            <w:r w:rsidRPr="007B69C5">
              <w:t>Victoria</w:t>
            </w:r>
          </w:p>
        </w:tc>
        <w:tc>
          <w:tcPr>
            <w:tcW w:w="992" w:type="dxa"/>
            <w:vAlign w:val="bottom"/>
          </w:tcPr>
          <w:p w14:paraId="46C9A8C8" w14:textId="7C40704B" w:rsidR="00DC64CE" w:rsidRPr="007B69C5" w:rsidRDefault="00DC64CE" w:rsidP="00F4111B">
            <w:pPr>
              <w:pStyle w:val="TableTextRight"/>
              <w:rPr>
                <w:color w:val="000000" w:themeColor="text1"/>
              </w:rPr>
            </w:pPr>
            <w:r w:rsidRPr="007B69C5">
              <w:t>127.7</w:t>
            </w:r>
          </w:p>
        </w:tc>
        <w:tc>
          <w:tcPr>
            <w:tcW w:w="992" w:type="dxa"/>
            <w:shd w:val="clear" w:color="auto" w:fill="D6EEF5" w:themeFill="text2" w:themeFillTint="33"/>
            <w:vAlign w:val="bottom"/>
          </w:tcPr>
          <w:p w14:paraId="5D9BF0E7" w14:textId="4F20EA73" w:rsidR="00DC64CE" w:rsidRPr="007B69C5" w:rsidRDefault="00DC64CE" w:rsidP="00F4111B">
            <w:pPr>
              <w:pStyle w:val="TableTextRight"/>
              <w:rPr>
                <w:color w:val="000000" w:themeColor="text1"/>
              </w:rPr>
            </w:pPr>
            <w:r w:rsidRPr="007B69C5">
              <w:t>91.3</w:t>
            </w:r>
          </w:p>
        </w:tc>
        <w:tc>
          <w:tcPr>
            <w:tcW w:w="992" w:type="dxa"/>
            <w:vAlign w:val="bottom"/>
          </w:tcPr>
          <w:p w14:paraId="4B10F213" w14:textId="3CCF2BB3" w:rsidR="00DC64CE" w:rsidRPr="007B69C5" w:rsidRDefault="00DC64CE" w:rsidP="00F4111B">
            <w:pPr>
              <w:pStyle w:val="TableTextRight"/>
              <w:rPr>
                <w:color w:val="000000" w:themeColor="text1"/>
              </w:rPr>
            </w:pPr>
            <w:r w:rsidRPr="007B69C5">
              <w:t>77.4</w:t>
            </w:r>
          </w:p>
        </w:tc>
        <w:tc>
          <w:tcPr>
            <w:tcW w:w="992" w:type="dxa"/>
            <w:vAlign w:val="bottom"/>
          </w:tcPr>
          <w:p w14:paraId="6ED1D3AE" w14:textId="72CC3768" w:rsidR="00DC64CE" w:rsidRPr="007B69C5" w:rsidRDefault="00DC64CE" w:rsidP="00F4111B">
            <w:pPr>
              <w:pStyle w:val="TableTextRight"/>
              <w:rPr>
                <w:color w:val="000000" w:themeColor="text1"/>
              </w:rPr>
            </w:pPr>
            <w:r w:rsidRPr="007B69C5">
              <w:t>68.2</w:t>
            </w:r>
          </w:p>
        </w:tc>
        <w:tc>
          <w:tcPr>
            <w:tcW w:w="992" w:type="dxa"/>
            <w:vAlign w:val="bottom"/>
          </w:tcPr>
          <w:p w14:paraId="5C997EA2" w14:textId="1F7698A1" w:rsidR="00DC64CE" w:rsidRPr="007B69C5" w:rsidRDefault="00DC64CE" w:rsidP="00F4111B">
            <w:pPr>
              <w:pStyle w:val="TableTextRight"/>
              <w:rPr>
                <w:color w:val="000000" w:themeColor="text1"/>
              </w:rPr>
            </w:pPr>
            <w:r w:rsidRPr="007B69C5">
              <w:t>68.3</w:t>
            </w:r>
          </w:p>
        </w:tc>
        <w:tc>
          <w:tcPr>
            <w:tcW w:w="992" w:type="dxa"/>
            <w:shd w:val="clear" w:color="auto" w:fill="DBF1E8" w:themeFill="background2" w:themeFillTint="33"/>
            <w:vAlign w:val="bottom"/>
          </w:tcPr>
          <w:p w14:paraId="017A3AC9" w14:textId="23CA181B" w:rsidR="00DC64CE" w:rsidRPr="007B69C5" w:rsidRDefault="00DC64CE" w:rsidP="00F4111B">
            <w:pPr>
              <w:pStyle w:val="TableTextRight"/>
              <w:rPr>
                <w:color w:val="000000" w:themeColor="text1"/>
              </w:rPr>
            </w:pPr>
            <w:r w:rsidRPr="007B69C5">
              <w:t>71.6</w:t>
            </w:r>
          </w:p>
        </w:tc>
        <w:tc>
          <w:tcPr>
            <w:tcW w:w="993" w:type="dxa"/>
            <w:shd w:val="clear" w:color="auto" w:fill="DBF1E8" w:themeFill="background2" w:themeFillTint="33"/>
            <w:vAlign w:val="bottom"/>
          </w:tcPr>
          <w:p w14:paraId="0AECB945" w14:textId="1B0B7F74" w:rsidR="00DC64CE" w:rsidRPr="007B69C5" w:rsidRDefault="00DC64CE" w:rsidP="00F4111B">
            <w:pPr>
              <w:pStyle w:val="TableTextRight"/>
              <w:rPr>
                <w:color w:val="000000" w:themeColor="text1"/>
              </w:rPr>
            </w:pPr>
            <w:r w:rsidRPr="007B69C5">
              <w:t>71.6</w:t>
            </w:r>
          </w:p>
        </w:tc>
      </w:tr>
      <w:tr w:rsidR="00DC64CE" w:rsidRPr="007B69C5" w14:paraId="62250C49" w14:textId="77777777" w:rsidTr="00F4111B">
        <w:trPr>
          <w:trHeight w:val="238"/>
        </w:trPr>
        <w:tc>
          <w:tcPr>
            <w:tcW w:w="2693" w:type="dxa"/>
            <w:tcBorders>
              <w:bottom w:val="single" w:sz="4" w:space="0" w:color="EBE9E8" w:themeColor="accent5" w:themeTint="33"/>
            </w:tcBorders>
            <w:hideMark/>
          </w:tcPr>
          <w:p w14:paraId="083940A7" w14:textId="08CF28CF" w:rsidR="00DC64CE" w:rsidRPr="007B69C5" w:rsidRDefault="00DC64CE" w:rsidP="00DC64CE">
            <w:pPr>
              <w:pStyle w:val="Tabletextleftindent"/>
            </w:pPr>
            <w:r w:rsidRPr="007B69C5">
              <w:t xml:space="preserve">Greater Melbourne </w:t>
            </w:r>
          </w:p>
        </w:tc>
        <w:tc>
          <w:tcPr>
            <w:tcW w:w="992" w:type="dxa"/>
            <w:tcBorders>
              <w:bottom w:val="single" w:sz="4" w:space="0" w:color="EBE9E8" w:themeColor="accent5" w:themeTint="33"/>
            </w:tcBorders>
            <w:vAlign w:val="bottom"/>
          </w:tcPr>
          <w:p w14:paraId="30EC9B56" w14:textId="23254F19" w:rsidR="00DC64CE" w:rsidRPr="007B69C5" w:rsidRDefault="00DC64CE" w:rsidP="00F4111B">
            <w:pPr>
              <w:pStyle w:val="TableTextRight"/>
              <w:rPr>
                <w:color w:val="000000" w:themeColor="text1"/>
              </w:rPr>
            </w:pPr>
            <w:r w:rsidRPr="007B69C5">
              <w:t>121.2</w:t>
            </w:r>
          </w:p>
        </w:tc>
        <w:tc>
          <w:tcPr>
            <w:tcW w:w="992" w:type="dxa"/>
            <w:tcBorders>
              <w:bottom w:val="single" w:sz="4" w:space="0" w:color="EBE9E8" w:themeColor="accent5" w:themeTint="33"/>
            </w:tcBorders>
            <w:shd w:val="clear" w:color="auto" w:fill="D6EEF5" w:themeFill="text2" w:themeFillTint="33"/>
            <w:vAlign w:val="bottom"/>
          </w:tcPr>
          <w:p w14:paraId="291E9743" w14:textId="69583045" w:rsidR="00DC64CE" w:rsidRPr="007B69C5" w:rsidRDefault="00DC64CE" w:rsidP="00F4111B">
            <w:pPr>
              <w:pStyle w:val="TableTextRight"/>
              <w:rPr>
                <w:color w:val="000000" w:themeColor="text1"/>
              </w:rPr>
            </w:pPr>
            <w:r w:rsidRPr="007B69C5">
              <w:t>84.0</w:t>
            </w:r>
          </w:p>
        </w:tc>
        <w:tc>
          <w:tcPr>
            <w:tcW w:w="992" w:type="dxa"/>
            <w:tcBorders>
              <w:bottom w:val="single" w:sz="4" w:space="0" w:color="EBE9E8" w:themeColor="accent5" w:themeTint="33"/>
            </w:tcBorders>
            <w:vAlign w:val="bottom"/>
          </w:tcPr>
          <w:p w14:paraId="64F01F85" w14:textId="7740BE20" w:rsidR="00DC64CE" w:rsidRPr="007B69C5" w:rsidRDefault="00DC64CE" w:rsidP="00F4111B">
            <w:pPr>
              <w:pStyle w:val="TableTextRight"/>
              <w:rPr>
                <w:color w:val="000000" w:themeColor="text1"/>
              </w:rPr>
            </w:pPr>
            <w:r w:rsidRPr="007B69C5">
              <w:t>70.9</w:t>
            </w:r>
          </w:p>
        </w:tc>
        <w:tc>
          <w:tcPr>
            <w:tcW w:w="992" w:type="dxa"/>
            <w:tcBorders>
              <w:bottom w:val="single" w:sz="4" w:space="0" w:color="EBE9E8" w:themeColor="accent5" w:themeTint="33"/>
            </w:tcBorders>
            <w:vAlign w:val="bottom"/>
          </w:tcPr>
          <w:p w14:paraId="1A2BEF6A" w14:textId="09CAC385" w:rsidR="00DC64CE" w:rsidRPr="007B69C5" w:rsidRDefault="00DC64CE" w:rsidP="00F4111B">
            <w:pPr>
              <w:pStyle w:val="TableTextRight"/>
              <w:rPr>
                <w:color w:val="000000" w:themeColor="text1"/>
              </w:rPr>
            </w:pPr>
            <w:r w:rsidRPr="007B69C5">
              <w:t>62.3</w:t>
            </w:r>
          </w:p>
        </w:tc>
        <w:tc>
          <w:tcPr>
            <w:tcW w:w="992" w:type="dxa"/>
            <w:tcBorders>
              <w:bottom w:val="single" w:sz="4" w:space="0" w:color="EBE9E8" w:themeColor="accent5" w:themeTint="33"/>
            </w:tcBorders>
            <w:vAlign w:val="bottom"/>
          </w:tcPr>
          <w:p w14:paraId="7C7C4F09" w14:textId="42BB7C64" w:rsidR="00DC64CE" w:rsidRPr="007B69C5" w:rsidRDefault="00DC64CE" w:rsidP="00F4111B">
            <w:pPr>
              <w:pStyle w:val="TableTextRight"/>
              <w:rPr>
                <w:color w:val="000000" w:themeColor="text1"/>
              </w:rPr>
            </w:pPr>
            <w:r w:rsidRPr="007B69C5">
              <w:t>62.5</w:t>
            </w:r>
          </w:p>
        </w:tc>
        <w:tc>
          <w:tcPr>
            <w:tcW w:w="992" w:type="dxa"/>
            <w:tcBorders>
              <w:bottom w:val="single" w:sz="4" w:space="0" w:color="EBE9E8" w:themeColor="accent5" w:themeTint="33"/>
            </w:tcBorders>
            <w:shd w:val="clear" w:color="auto" w:fill="DBF1E8" w:themeFill="background2" w:themeFillTint="33"/>
            <w:vAlign w:val="bottom"/>
          </w:tcPr>
          <w:p w14:paraId="6CE6607A" w14:textId="2D9FCF36" w:rsidR="00DC64CE" w:rsidRPr="007B69C5" w:rsidRDefault="00DC64CE" w:rsidP="00F4111B">
            <w:pPr>
              <w:pStyle w:val="TableTextRight"/>
              <w:rPr>
                <w:color w:val="000000" w:themeColor="text1"/>
              </w:rPr>
            </w:pPr>
            <w:r w:rsidRPr="007B69C5">
              <w:t>65.5</w:t>
            </w:r>
          </w:p>
        </w:tc>
        <w:tc>
          <w:tcPr>
            <w:tcW w:w="993" w:type="dxa"/>
            <w:tcBorders>
              <w:bottom w:val="single" w:sz="4" w:space="0" w:color="EBE9E8" w:themeColor="accent5" w:themeTint="33"/>
            </w:tcBorders>
            <w:shd w:val="clear" w:color="auto" w:fill="DBF1E8" w:themeFill="background2" w:themeFillTint="33"/>
            <w:vAlign w:val="bottom"/>
          </w:tcPr>
          <w:p w14:paraId="70217528" w14:textId="66DD1E03" w:rsidR="00DC64CE" w:rsidRPr="007B69C5" w:rsidRDefault="00DC64CE" w:rsidP="00F4111B">
            <w:pPr>
              <w:pStyle w:val="TableTextRight"/>
              <w:rPr>
                <w:color w:val="000000" w:themeColor="text1"/>
              </w:rPr>
            </w:pPr>
            <w:r w:rsidRPr="007B69C5">
              <w:t>65.5</w:t>
            </w:r>
          </w:p>
        </w:tc>
      </w:tr>
      <w:tr w:rsidR="00DC64CE" w:rsidRPr="007B69C5" w14:paraId="247EAB2E" w14:textId="77777777" w:rsidTr="00F4111B">
        <w:trPr>
          <w:trHeight w:val="238"/>
        </w:trPr>
        <w:tc>
          <w:tcPr>
            <w:tcW w:w="2693" w:type="dxa"/>
            <w:tcBorders>
              <w:bottom w:val="single" w:sz="4" w:space="0" w:color="002C47" w:themeColor="accent1"/>
            </w:tcBorders>
            <w:hideMark/>
          </w:tcPr>
          <w:p w14:paraId="425537D1" w14:textId="4E03FB24" w:rsidR="00DC64CE" w:rsidRPr="007B69C5" w:rsidRDefault="00DC64CE" w:rsidP="00DC64CE">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0395D5D5" w14:textId="09C66873" w:rsidR="00DC64CE" w:rsidRPr="007B69C5" w:rsidRDefault="00DC64CE" w:rsidP="00F4111B">
            <w:pPr>
              <w:pStyle w:val="TableTextRight"/>
              <w:rPr>
                <w:color w:val="000000" w:themeColor="text1"/>
              </w:rPr>
            </w:pPr>
            <w:r w:rsidRPr="007B69C5">
              <w:t>9.0</w:t>
            </w:r>
          </w:p>
        </w:tc>
        <w:tc>
          <w:tcPr>
            <w:tcW w:w="992" w:type="dxa"/>
            <w:tcBorders>
              <w:bottom w:val="single" w:sz="4" w:space="0" w:color="002C47" w:themeColor="accent1"/>
            </w:tcBorders>
            <w:shd w:val="clear" w:color="auto" w:fill="D6EEF5" w:themeFill="text2" w:themeFillTint="33"/>
            <w:vAlign w:val="bottom"/>
          </w:tcPr>
          <w:p w14:paraId="36F3795A" w14:textId="1BA1CB7C" w:rsidR="00DC64CE" w:rsidRPr="007B69C5" w:rsidRDefault="00DC64CE" w:rsidP="00F4111B">
            <w:pPr>
              <w:pStyle w:val="TableTextRight"/>
              <w:rPr>
                <w:color w:val="000000" w:themeColor="text1"/>
              </w:rPr>
            </w:pPr>
            <w:r w:rsidRPr="007B69C5">
              <w:t>7.3</w:t>
            </w:r>
          </w:p>
        </w:tc>
        <w:tc>
          <w:tcPr>
            <w:tcW w:w="992" w:type="dxa"/>
            <w:tcBorders>
              <w:bottom w:val="single" w:sz="4" w:space="0" w:color="002C47" w:themeColor="accent1"/>
            </w:tcBorders>
            <w:vAlign w:val="bottom"/>
          </w:tcPr>
          <w:p w14:paraId="64E4B569" w14:textId="2908275E" w:rsidR="00DC64CE" w:rsidRPr="007B69C5" w:rsidRDefault="00DC64CE" w:rsidP="00F4111B">
            <w:pPr>
              <w:pStyle w:val="TableTextRight"/>
              <w:rPr>
                <w:color w:val="000000" w:themeColor="text1"/>
              </w:rPr>
            </w:pPr>
            <w:r w:rsidRPr="007B69C5">
              <w:t>6.5</w:t>
            </w:r>
          </w:p>
        </w:tc>
        <w:tc>
          <w:tcPr>
            <w:tcW w:w="992" w:type="dxa"/>
            <w:tcBorders>
              <w:bottom w:val="single" w:sz="4" w:space="0" w:color="002C47" w:themeColor="accent1"/>
            </w:tcBorders>
            <w:vAlign w:val="bottom"/>
          </w:tcPr>
          <w:p w14:paraId="1169DFA5" w14:textId="38DB1A64" w:rsidR="00DC64CE" w:rsidRPr="007B69C5" w:rsidRDefault="00DC64CE" w:rsidP="00F4111B">
            <w:pPr>
              <w:pStyle w:val="TableTextRight"/>
              <w:rPr>
                <w:color w:val="000000" w:themeColor="text1"/>
              </w:rPr>
            </w:pPr>
            <w:r w:rsidRPr="007B69C5">
              <w:t>5.8</w:t>
            </w:r>
          </w:p>
        </w:tc>
        <w:tc>
          <w:tcPr>
            <w:tcW w:w="992" w:type="dxa"/>
            <w:tcBorders>
              <w:bottom w:val="single" w:sz="4" w:space="0" w:color="002C47" w:themeColor="accent1"/>
            </w:tcBorders>
            <w:vAlign w:val="bottom"/>
          </w:tcPr>
          <w:p w14:paraId="58A7B9A9" w14:textId="48902E9E" w:rsidR="00DC64CE" w:rsidRPr="007B69C5" w:rsidRDefault="00DC64CE" w:rsidP="00F4111B">
            <w:pPr>
              <w:pStyle w:val="TableTextRight"/>
              <w:rPr>
                <w:color w:val="000000" w:themeColor="text1"/>
              </w:rPr>
            </w:pPr>
            <w:r w:rsidRPr="007B69C5">
              <w:t>5.8</w:t>
            </w:r>
          </w:p>
        </w:tc>
        <w:tc>
          <w:tcPr>
            <w:tcW w:w="992" w:type="dxa"/>
            <w:tcBorders>
              <w:bottom w:val="single" w:sz="4" w:space="0" w:color="002C47" w:themeColor="accent1"/>
            </w:tcBorders>
            <w:shd w:val="clear" w:color="auto" w:fill="DBF1E8" w:themeFill="background2" w:themeFillTint="33"/>
            <w:vAlign w:val="bottom"/>
          </w:tcPr>
          <w:p w14:paraId="08542E26" w14:textId="5E593764" w:rsidR="00DC64CE" w:rsidRPr="007B69C5" w:rsidRDefault="00DC64CE" w:rsidP="00F4111B">
            <w:pPr>
              <w:pStyle w:val="TableTextRight"/>
              <w:rPr>
                <w:color w:val="000000" w:themeColor="text1"/>
              </w:rPr>
            </w:pPr>
            <w:r w:rsidRPr="007B69C5">
              <w:t>6.1</w:t>
            </w:r>
          </w:p>
        </w:tc>
        <w:tc>
          <w:tcPr>
            <w:tcW w:w="993" w:type="dxa"/>
            <w:tcBorders>
              <w:bottom w:val="single" w:sz="4" w:space="0" w:color="002C47" w:themeColor="accent1"/>
            </w:tcBorders>
            <w:shd w:val="clear" w:color="auto" w:fill="DBF1E8" w:themeFill="background2" w:themeFillTint="33"/>
            <w:vAlign w:val="bottom"/>
          </w:tcPr>
          <w:p w14:paraId="0AF0E8B2" w14:textId="1FAEE8EC" w:rsidR="00DC64CE" w:rsidRPr="007B69C5" w:rsidRDefault="00DC64CE" w:rsidP="00F4111B">
            <w:pPr>
              <w:pStyle w:val="TableTextRight"/>
              <w:rPr>
                <w:color w:val="000000" w:themeColor="text1"/>
              </w:rPr>
            </w:pPr>
            <w:r w:rsidRPr="007B69C5">
              <w:t>6.1</w:t>
            </w:r>
          </w:p>
        </w:tc>
      </w:tr>
      <w:tr w:rsidR="00DC64CE" w:rsidRPr="007B69C5" w14:paraId="33BD45DB" w14:textId="77777777" w:rsidTr="00F4111B">
        <w:trPr>
          <w:trHeight w:val="238"/>
        </w:trPr>
        <w:tc>
          <w:tcPr>
            <w:tcW w:w="2693" w:type="dxa"/>
            <w:tcBorders>
              <w:top w:val="single" w:sz="4" w:space="0" w:color="002C47" w:themeColor="accent1"/>
            </w:tcBorders>
            <w:hideMark/>
          </w:tcPr>
          <w:p w14:paraId="2A79CA5F" w14:textId="3BD84FD3" w:rsidR="00DC64CE" w:rsidRPr="007B69C5" w:rsidRDefault="00DC64CE" w:rsidP="00DC64CE">
            <w:pPr>
              <w:pStyle w:val="TableColumnHeadingLeft"/>
            </w:pPr>
            <w:r w:rsidRPr="007B69C5">
              <w:t>Net internal migration (‘000)</w:t>
            </w:r>
          </w:p>
        </w:tc>
        <w:tc>
          <w:tcPr>
            <w:tcW w:w="992" w:type="dxa"/>
            <w:tcBorders>
              <w:top w:val="single" w:sz="4" w:space="0" w:color="002C47" w:themeColor="accent1"/>
            </w:tcBorders>
            <w:vAlign w:val="bottom"/>
          </w:tcPr>
          <w:p w14:paraId="5552A3DC" w14:textId="08D2CC72" w:rsidR="00DC64CE" w:rsidRPr="007B69C5" w:rsidRDefault="00DC64CE" w:rsidP="00F4111B">
            <w:pPr>
              <w:pStyle w:val="TableTextRight"/>
            </w:pPr>
          </w:p>
        </w:tc>
        <w:tc>
          <w:tcPr>
            <w:tcW w:w="992" w:type="dxa"/>
            <w:tcBorders>
              <w:top w:val="single" w:sz="4" w:space="0" w:color="002C47" w:themeColor="accent1"/>
            </w:tcBorders>
            <w:shd w:val="clear" w:color="auto" w:fill="D6EEF5" w:themeFill="text2" w:themeFillTint="33"/>
            <w:vAlign w:val="bottom"/>
          </w:tcPr>
          <w:p w14:paraId="54E36FBB" w14:textId="21253B11" w:rsidR="00DC64CE" w:rsidRPr="007B69C5" w:rsidRDefault="00DC64CE" w:rsidP="00F4111B">
            <w:pPr>
              <w:pStyle w:val="TableTextRight"/>
            </w:pPr>
          </w:p>
        </w:tc>
        <w:tc>
          <w:tcPr>
            <w:tcW w:w="992" w:type="dxa"/>
            <w:tcBorders>
              <w:top w:val="single" w:sz="4" w:space="0" w:color="002C47" w:themeColor="accent1"/>
            </w:tcBorders>
            <w:vAlign w:val="bottom"/>
          </w:tcPr>
          <w:p w14:paraId="21AF06D1" w14:textId="36FBC8EA" w:rsidR="00DC64CE" w:rsidRPr="007B69C5" w:rsidRDefault="00DC64CE" w:rsidP="00F4111B">
            <w:pPr>
              <w:pStyle w:val="TableTextRight"/>
            </w:pPr>
          </w:p>
        </w:tc>
        <w:tc>
          <w:tcPr>
            <w:tcW w:w="992" w:type="dxa"/>
            <w:tcBorders>
              <w:top w:val="single" w:sz="4" w:space="0" w:color="002C47" w:themeColor="accent1"/>
            </w:tcBorders>
            <w:vAlign w:val="bottom"/>
          </w:tcPr>
          <w:p w14:paraId="611B8420" w14:textId="6B481613" w:rsidR="00DC64CE" w:rsidRPr="007B69C5" w:rsidRDefault="00DC64CE" w:rsidP="00F4111B">
            <w:pPr>
              <w:pStyle w:val="TableTextRight"/>
            </w:pPr>
          </w:p>
        </w:tc>
        <w:tc>
          <w:tcPr>
            <w:tcW w:w="992" w:type="dxa"/>
            <w:tcBorders>
              <w:top w:val="single" w:sz="4" w:space="0" w:color="002C47" w:themeColor="accent1"/>
            </w:tcBorders>
            <w:vAlign w:val="bottom"/>
          </w:tcPr>
          <w:p w14:paraId="3906E2E4" w14:textId="661A7142" w:rsidR="00DC64CE" w:rsidRPr="007B69C5" w:rsidRDefault="00DC64CE" w:rsidP="00F4111B">
            <w:pPr>
              <w:pStyle w:val="TableTextRight"/>
            </w:pPr>
          </w:p>
        </w:tc>
        <w:tc>
          <w:tcPr>
            <w:tcW w:w="992" w:type="dxa"/>
            <w:tcBorders>
              <w:top w:val="single" w:sz="4" w:space="0" w:color="002C47" w:themeColor="accent1"/>
            </w:tcBorders>
            <w:shd w:val="clear" w:color="auto" w:fill="DBF1E8" w:themeFill="background2" w:themeFillTint="33"/>
            <w:vAlign w:val="bottom"/>
          </w:tcPr>
          <w:p w14:paraId="06B80A8C" w14:textId="4807FB74" w:rsidR="00DC64CE" w:rsidRPr="007B69C5" w:rsidRDefault="00DC64CE" w:rsidP="00F4111B">
            <w:pPr>
              <w:pStyle w:val="TableTextRight"/>
            </w:pPr>
          </w:p>
        </w:tc>
        <w:tc>
          <w:tcPr>
            <w:tcW w:w="993" w:type="dxa"/>
            <w:tcBorders>
              <w:top w:val="single" w:sz="4" w:space="0" w:color="002C47" w:themeColor="accent1"/>
            </w:tcBorders>
            <w:shd w:val="clear" w:color="auto" w:fill="DBF1E8" w:themeFill="background2" w:themeFillTint="33"/>
            <w:vAlign w:val="bottom"/>
          </w:tcPr>
          <w:p w14:paraId="56C99B70" w14:textId="418453F5" w:rsidR="00DC64CE" w:rsidRPr="007B69C5" w:rsidRDefault="00DC64CE" w:rsidP="00F4111B">
            <w:pPr>
              <w:pStyle w:val="TableTextRight"/>
            </w:pPr>
          </w:p>
        </w:tc>
      </w:tr>
      <w:tr w:rsidR="00DC64CE" w:rsidRPr="007B69C5" w14:paraId="72B806CC" w14:textId="77777777" w:rsidTr="00F4111B">
        <w:trPr>
          <w:trHeight w:val="238"/>
        </w:trPr>
        <w:tc>
          <w:tcPr>
            <w:tcW w:w="2693" w:type="dxa"/>
            <w:hideMark/>
          </w:tcPr>
          <w:p w14:paraId="7F2DC0D1" w14:textId="35C1811E" w:rsidR="00DC64CE" w:rsidRPr="007B69C5" w:rsidRDefault="00DC64CE" w:rsidP="00F4111B">
            <w:pPr>
              <w:pStyle w:val="TableTextLeft"/>
            </w:pPr>
            <w:r w:rsidRPr="007B69C5">
              <w:t>Victoria</w:t>
            </w:r>
          </w:p>
        </w:tc>
        <w:tc>
          <w:tcPr>
            <w:tcW w:w="992" w:type="dxa"/>
            <w:vAlign w:val="bottom"/>
          </w:tcPr>
          <w:p w14:paraId="05350E85" w14:textId="142A674D" w:rsidR="00DC64CE" w:rsidRPr="007B69C5" w:rsidRDefault="00DC64CE" w:rsidP="00F4111B">
            <w:pPr>
              <w:pStyle w:val="TableTextRight"/>
              <w:rPr>
                <w:color w:val="000000" w:themeColor="text1"/>
              </w:rPr>
            </w:pPr>
            <w:r w:rsidRPr="007B69C5">
              <w:t>-4.2</w:t>
            </w:r>
          </w:p>
        </w:tc>
        <w:tc>
          <w:tcPr>
            <w:tcW w:w="992" w:type="dxa"/>
            <w:shd w:val="clear" w:color="auto" w:fill="D6EEF5" w:themeFill="text2" w:themeFillTint="33"/>
            <w:vAlign w:val="bottom"/>
          </w:tcPr>
          <w:p w14:paraId="6401FC92" w14:textId="39C9A5FA" w:rsidR="00DC64CE" w:rsidRPr="007B69C5" w:rsidRDefault="00DC64CE" w:rsidP="00F4111B">
            <w:pPr>
              <w:pStyle w:val="TableTextRight"/>
              <w:rPr>
                <w:color w:val="000000" w:themeColor="text1"/>
              </w:rPr>
            </w:pPr>
            <w:r w:rsidRPr="007B69C5">
              <w:t>-1.7</w:t>
            </w:r>
          </w:p>
        </w:tc>
        <w:tc>
          <w:tcPr>
            <w:tcW w:w="992" w:type="dxa"/>
            <w:vAlign w:val="bottom"/>
          </w:tcPr>
          <w:p w14:paraId="4893695E" w14:textId="07F139B8" w:rsidR="00DC64CE" w:rsidRPr="007B69C5" w:rsidRDefault="00DC64CE" w:rsidP="00F4111B">
            <w:pPr>
              <w:pStyle w:val="TableTextRight"/>
              <w:rPr>
                <w:color w:val="000000" w:themeColor="text1"/>
              </w:rPr>
            </w:pPr>
            <w:r w:rsidRPr="007B69C5">
              <w:t>-1.0</w:t>
            </w:r>
          </w:p>
        </w:tc>
        <w:tc>
          <w:tcPr>
            <w:tcW w:w="992" w:type="dxa"/>
            <w:vAlign w:val="bottom"/>
          </w:tcPr>
          <w:p w14:paraId="22959217" w14:textId="4C400FC6" w:rsidR="00DC64CE" w:rsidRPr="007B69C5" w:rsidRDefault="00DC64CE" w:rsidP="00F4111B">
            <w:pPr>
              <w:pStyle w:val="TableTextRight"/>
              <w:rPr>
                <w:color w:val="000000" w:themeColor="text1"/>
              </w:rPr>
            </w:pPr>
            <w:r w:rsidRPr="007B69C5">
              <w:t>1.7</w:t>
            </w:r>
          </w:p>
        </w:tc>
        <w:tc>
          <w:tcPr>
            <w:tcW w:w="992" w:type="dxa"/>
            <w:vAlign w:val="bottom"/>
          </w:tcPr>
          <w:p w14:paraId="275148E0" w14:textId="50AA0727" w:rsidR="00DC64CE" w:rsidRPr="007B69C5" w:rsidRDefault="00DC64CE" w:rsidP="00F4111B">
            <w:pPr>
              <w:pStyle w:val="TableTextRight"/>
              <w:rPr>
                <w:color w:val="000000" w:themeColor="text1"/>
              </w:rPr>
            </w:pPr>
            <w:r w:rsidRPr="007B69C5">
              <w:t>3.3</w:t>
            </w:r>
          </w:p>
        </w:tc>
        <w:tc>
          <w:tcPr>
            <w:tcW w:w="992" w:type="dxa"/>
            <w:shd w:val="clear" w:color="auto" w:fill="DBF1E8" w:themeFill="background2" w:themeFillTint="33"/>
            <w:vAlign w:val="bottom"/>
          </w:tcPr>
          <w:p w14:paraId="4F1E7CF7" w14:textId="25E15669" w:rsidR="00DC64CE" w:rsidRPr="007B69C5" w:rsidRDefault="00DC64CE" w:rsidP="00F4111B">
            <w:pPr>
              <w:pStyle w:val="TableTextRight"/>
              <w:rPr>
                <w:color w:val="000000" w:themeColor="text1"/>
              </w:rPr>
            </w:pPr>
            <w:r w:rsidRPr="007B69C5">
              <w:t>2.6</w:t>
            </w:r>
          </w:p>
        </w:tc>
        <w:tc>
          <w:tcPr>
            <w:tcW w:w="993" w:type="dxa"/>
            <w:shd w:val="clear" w:color="auto" w:fill="DBF1E8" w:themeFill="background2" w:themeFillTint="33"/>
            <w:vAlign w:val="bottom"/>
          </w:tcPr>
          <w:p w14:paraId="6E56D436" w14:textId="50BCBB8E" w:rsidR="00DC64CE" w:rsidRPr="007B69C5" w:rsidRDefault="00DC64CE" w:rsidP="00F4111B">
            <w:pPr>
              <w:pStyle w:val="TableTextRight"/>
              <w:rPr>
                <w:color w:val="000000" w:themeColor="text1"/>
              </w:rPr>
            </w:pPr>
            <w:r w:rsidRPr="007B69C5">
              <w:t>1.7</w:t>
            </w:r>
          </w:p>
        </w:tc>
      </w:tr>
      <w:tr w:rsidR="00DC64CE" w:rsidRPr="007B69C5" w14:paraId="0B999813" w14:textId="77777777" w:rsidTr="00F4111B">
        <w:trPr>
          <w:trHeight w:val="238"/>
        </w:trPr>
        <w:tc>
          <w:tcPr>
            <w:tcW w:w="2693" w:type="dxa"/>
            <w:tcBorders>
              <w:bottom w:val="single" w:sz="4" w:space="0" w:color="EBE9E8" w:themeColor="accent5" w:themeTint="33"/>
            </w:tcBorders>
            <w:hideMark/>
          </w:tcPr>
          <w:p w14:paraId="18E9AF75" w14:textId="77215256" w:rsidR="00DC64CE" w:rsidRPr="007B69C5" w:rsidRDefault="00DC64CE" w:rsidP="00DC64CE">
            <w:pPr>
              <w:pStyle w:val="Tabletextleftindent"/>
            </w:pPr>
            <w:r w:rsidRPr="007B69C5">
              <w:t xml:space="preserve">Greater Melbourne </w:t>
            </w:r>
          </w:p>
        </w:tc>
        <w:tc>
          <w:tcPr>
            <w:tcW w:w="992" w:type="dxa"/>
            <w:tcBorders>
              <w:bottom w:val="single" w:sz="4" w:space="0" w:color="EBE9E8" w:themeColor="accent5" w:themeTint="33"/>
            </w:tcBorders>
            <w:vAlign w:val="bottom"/>
          </w:tcPr>
          <w:p w14:paraId="691AE4F4" w14:textId="73742660" w:rsidR="00DC64CE" w:rsidRPr="007B69C5" w:rsidRDefault="00DC64CE" w:rsidP="00F4111B">
            <w:pPr>
              <w:pStyle w:val="TableTextRight"/>
              <w:rPr>
                <w:color w:val="000000" w:themeColor="text1"/>
              </w:rPr>
            </w:pPr>
            <w:r w:rsidRPr="007B69C5">
              <w:t>-7.6</w:t>
            </w:r>
          </w:p>
        </w:tc>
        <w:tc>
          <w:tcPr>
            <w:tcW w:w="992" w:type="dxa"/>
            <w:tcBorders>
              <w:bottom w:val="single" w:sz="4" w:space="0" w:color="EBE9E8" w:themeColor="accent5" w:themeTint="33"/>
            </w:tcBorders>
            <w:shd w:val="clear" w:color="auto" w:fill="D6EEF5" w:themeFill="text2" w:themeFillTint="33"/>
            <w:vAlign w:val="bottom"/>
          </w:tcPr>
          <w:p w14:paraId="4D40C426" w14:textId="49F13160" w:rsidR="00DC64CE" w:rsidRPr="007B69C5" w:rsidRDefault="00DC64CE" w:rsidP="00F4111B">
            <w:pPr>
              <w:pStyle w:val="TableTextRight"/>
              <w:rPr>
                <w:color w:val="000000" w:themeColor="text1"/>
              </w:rPr>
            </w:pPr>
            <w:r w:rsidRPr="007B69C5">
              <w:t>-7.3</w:t>
            </w:r>
          </w:p>
        </w:tc>
        <w:tc>
          <w:tcPr>
            <w:tcW w:w="992" w:type="dxa"/>
            <w:tcBorders>
              <w:bottom w:val="single" w:sz="4" w:space="0" w:color="EBE9E8" w:themeColor="accent5" w:themeTint="33"/>
            </w:tcBorders>
            <w:vAlign w:val="bottom"/>
          </w:tcPr>
          <w:p w14:paraId="73F04D74" w14:textId="45001D7F" w:rsidR="00DC64CE" w:rsidRPr="007B69C5" w:rsidRDefault="00DC64CE" w:rsidP="00F4111B">
            <w:pPr>
              <w:pStyle w:val="TableTextRight"/>
              <w:rPr>
                <w:color w:val="000000" w:themeColor="text1"/>
              </w:rPr>
            </w:pPr>
            <w:r w:rsidRPr="007B69C5">
              <w:t>-6.0</w:t>
            </w:r>
          </w:p>
        </w:tc>
        <w:tc>
          <w:tcPr>
            <w:tcW w:w="992" w:type="dxa"/>
            <w:tcBorders>
              <w:bottom w:val="single" w:sz="4" w:space="0" w:color="EBE9E8" w:themeColor="accent5" w:themeTint="33"/>
            </w:tcBorders>
            <w:vAlign w:val="bottom"/>
          </w:tcPr>
          <w:p w14:paraId="13F903BC" w14:textId="30786103" w:rsidR="00DC64CE" w:rsidRPr="007B69C5" w:rsidRDefault="00DC64CE" w:rsidP="00F4111B">
            <w:pPr>
              <w:pStyle w:val="TableTextRight"/>
              <w:rPr>
                <w:color w:val="000000" w:themeColor="text1"/>
              </w:rPr>
            </w:pPr>
            <w:r w:rsidRPr="007B69C5">
              <w:t>-3.8</w:t>
            </w:r>
          </w:p>
        </w:tc>
        <w:tc>
          <w:tcPr>
            <w:tcW w:w="992" w:type="dxa"/>
            <w:tcBorders>
              <w:bottom w:val="single" w:sz="4" w:space="0" w:color="EBE9E8" w:themeColor="accent5" w:themeTint="33"/>
            </w:tcBorders>
            <w:vAlign w:val="bottom"/>
          </w:tcPr>
          <w:p w14:paraId="59F61305" w14:textId="152E7BB2" w:rsidR="00DC64CE" w:rsidRPr="007B69C5" w:rsidRDefault="00DC64CE" w:rsidP="00F4111B">
            <w:pPr>
              <w:pStyle w:val="TableTextRight"/>
              <w:rPr>
                <w:color w:val="000000" w:themeColor="text1"/>
              </w:rPr>
            </w:pPr>
            <w:r w:rsidRPr="007B69C5">
              <w:t>-2.2</w:t>
            </w:r>
          </w:p>
        </w:tc>
        <w:tc>
          <w:tcPr>
            <w:tcW w:w="992" w:type="dxa"/>
            <w:tcBorders>
              <w:bottom w:val="single" w:sz="4" w:space="0" w:color="EBE9E8" w:themeColor="accent5" w:themeTint="33"/>
            </w:tcBorders>
            <w:shd w:val="clear" w:color="auto" w:fill="DBF1E8" w:themeFill="background2" w:themeFillTint="33"/>
            <w:vAlign w:val="bottom"/>
          </w:tcPr>
          <w:p w14:paraId="0D91FAB8" w14:textId="334C19B5" w:rsidR="00DC64CE" w:rsidRPr="007B69C5" w:rsidRDefault="00DC64CE" w:rsidP="00F4111B">
            <w:pPr>
              <w:pStyle w:val="TableTextRight"/>
              <w:rPr>
                <w:color w:val="000000" w:themeColor="text1"/>
              </w:rPr>
            </w:pPr>
            <w:r w:rsidRPr="007B69C5">
              <w:t>-4.8</w:t>
            </w:r>
          </w:p>
        </w:tc>
        <w:tc>
          <w:tcPr>
            <w:tcW w:w="993" w:type="dxa"/>
            <w:tcBorders>
              <w:bottom w:val="single" w:sz="4" w:space="0" w:color="EBE9E8" w:themeColor="accent5" w:themeTint="33"/>
            </w:tcBorders>
            <w:shd w:val="clear" w:color="auto" w:fill="DBF1E8" w:themeFill="background2" w:themeFillTint="33"/>
            <w:vAlign w:val="bottom"/>
          </w:tcPr>
          <w:p w14:paraId="218D55DC" w14:textId="0982F785" w:rsidR="00DC64CE" w:rsidRPr="007B69C5" w:rsidRDefault="00DC64CE" w:rsidP="00F4111B">
            <w:pPr>
              <w:pStyle w:val="TableTextRight"/>
              <w:rPr>
                <w:color w:val="000000" w:themeColor="text1"/>
              </w:rPr>
            </w:pPr>
            <w:r w:rsidRPr="007B69C5">
              <w:t>-9.2</w:t>
            </w:r>
          </w:p>
        </w:tc>
      </w:tr>
      <w:tr w:rsidR="00DC64CE" w:rsidRPr="007B69C5" w14:paraId="3C4BBD15" w14:textId="77777777" w:rsidTr="00F4111B">
        <w:trPr>
          <w:trHeight w:val="238"/>
        </w:trPr>
        <w:tc>
          <w:tcPr>
            <w:tcW w:w="2693" w:type="dxa"/>
            <w:tcBorders>
              <w:bottom w:val="single" w:sz="4" w:space="0" w:color="002C47" w:themeColor="accent1"/>
            </w:tcBorders>
            <w:hideMark/>
          </w:tcPr>
          <w:p w14:paraId="1E6BD05E" w14:textId="3E31D3E5" w:rsidR="00DC64CE" w:rsidRPr="007B69C5" w:rsidRDefault="00DC64CE" w:rsidP="00DC64CE">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3DD8B3F4" w14:textId="189AC61F" w:rsidR="00DC64CE" w:rsidRPr="007B69C5" w:rsidRDefault="00DC64CE" w:rsidP="00F4111B">
            <w:pPr>
              <w:pStyle w:val="TableTextRight"/>
              <w:rPr>
                <w:color w:val="000000" w:themeColor="text1"/>
              </w:rPr>
            </w:pPr>
            <w:r w:rsidRPr="007B69C5">
              <w:t>8.2</w:t>
            </w:r>
          </w:p>
        </w:tc>
        <w:tc>
          <w:tcPr>
            <w:tcW w:w="992" w:type="dxa"/>
            <w:tcBorders>
              <w:bottom w:val="single" w:sz="4" w:space="0" w:color="002C47" w:themeColor="accent1"/>
            </w:tcBorders>
            <w:shd w:val="clear" w:color="auto" w:fill="D6EEF5" w:themeFill="text2" w:themeFillTint="33"/>
            <w:vAlign w:val="bottom"/>
          </w:tcPr>
          <w:p w14:paraId="404A80B4" w14:textId="04AF5188" w:rsidR="00DC64CE" w:rsidRPr="007B69C5" w:rsidRDefault="00DC64CE" w:rsidP="00F4111B">
            <w:pPr>
              <w:pStyle w:val="TableTextRight"/>
              <w:rPr>
                <w:color w:val="000000" w:themeColor="text1"/>
              </w:rPr>
            </w:pPr>
            <w:r w:rsidRPr="007B69C5">
              <w:t>5.6</w:t>
            </w:r>
          </w:p>
        </w:tc>
        <w:tc>
          <w:tcPr>
            <w:tcW w:w="992" w:type="dxa"/>
            <w:tcBorders>
              <w:bottom w:val="single" w:sz="4" w:space="0" w:color="002C47" w:themeColor="accent1"/>
            </w:tcBorders>
            <w:vAlign w:val="bottom"/>
          </w:tcPr>
          <w:p w14:paraId="23AF8E39" w14:textId="54D77FB5" w:rsidR="00DC64CE" w:rsidRPr="007B69C5" w:rsidRDefault="00DC64CE" w:rsidP="00F4111B">
            <w:pPr>
              <w:pStyle w:val="TableTextRight"/>
              <w:rPr>
                <w:color w:val="000000" w:themeColor="text1"/>
              </w:rPr>
            </w:pPr>
            <w:r w:rsidRPr="007B69C5">
              <w:t>5.1</w:t>
            </w:r>
          </w:p>
        </w:tc>
        <w:tc>
          <w:tcPr>
            <w:tcW w:w="992" w:type="dxa"/>
            <w:tcBorders>
              <w:bottom w:val="single" w:sz="4" w:space="0" w:color="002C47" w:themeColor="accent1"/>
            </w:tcBorders>
            <w:vAlign w:val="bottom"/>
          </w:tcPr>
          <w:p w14:paraId="5CDAEF67" w14:textId="6A4B3086" w:rsidR="00DC64CE" w:rsidRPr="007B69C5" w:rsidRDefault="00DC64CE" w:rsidP="00F4111B">
            <w:pPr>
              <w:pStyle w:val="TableTextRight"/>
              <w:rPr>
                <w:color w:val="000000" w:themeColor="text1"/>
              </w:rPr>
            </w:pPr>
            <w:r w:rsidRPr="007B69C5">
              <w:t>5.4</w:t>
            </w:r>
          </w:p>
        </w:tc>
        <w:tc>
          <w:tcPr>
            <w:tcW w:w="992" w:type="dxa"/>
            <w:tcBorders>
              <w:bottom w:val="single" w:sz="4" w:space="0" w:color="002C47" w:themeColor="accent1"/>
            </w:tcBorders>
            <w:vAlign w:val="bottom"/>
          </w:tcPr>
          <w:p w14:paraId="275E362D" w14:textId="6191627D" w:rsidR="00DC64CE" w:rsidRPr="007B69C5" w:rsidRDefault="00DC64CE" w:rsidP="00F4111B">
            <w:pPr>
              <w:pStyle w:val="TableTextRight"/>
              <w:rPr>
                <w:color w:val="000000" w:themeColor="text1"/>
              </w:rPr>
            </w:pPr>
            <w:r w:rsidRPr="007B69C5">
              <w:t>5.5</w:t>
            </w:r>
          </w:p>
        </w:tc>
        <w:tc>
          <w:tcPr>
            <w:tcW w:w="992" w:type="dxa"/>
            <w:tcBorders>
              <w:bottom w:val="single" w:sz="4" w:space="0" w:color="002C47" w:themeColor="accent1"/>
            </w:tcBorders>
            <w:shd w:val="clear" w:color="auto" w:fill="DBF1E8" w:themeFill="background2" w:themeFillTint="33"/>
            <w:vAlign w:val="bottom"/>
          </w:tcPr>
          <w:p w14:paraId="3AC49D97" w14:textId="217C3F23" w:rsidR="00DC64CE" w:rsidRPr="007B69C5" w:rsidRDefault="00DC64CE" w:rsidP="00F4111B">
            <w:pPr>
              <w:pStyle w:val="TableTextRight"/>
              <w:rPr>
                <w:color w:val="000000" w:themeColor="text1"/>
              </w:rPr>
            </w:pPr>
            <w:r w:rsidRPr="007B69C5">
              <w:t>7.4</w:t>
            </w:r>
          </w:p>
        </w:tc>
        <w:tc>
          <w:tcPr>
            <w:tcW w:w="993" w:type="dxa"/>
            <w:tcBorders>
              <w:bottom w:val="single" w:sz="4" w:space="0" w:color="002C47" w:themeColor="accent1"/>
            </w:tcBorders>
            <w:shd w:val="clear" w:color="auto" w:fill="DBF1E8" w:themeFill="background2" w:themeFillTint="33"/>
            <w:vAlign w:val="bottom"/>
          </w:tcPr>
          <w:p w14:paraId="622A93A6" w14:textId="368EE081" w:rsidR="00DC64CE" w:rsidRPr="007B69C5" w:rsidRDefault="00DC64CE" w:rsidP="00F4111B">
            <w:pPr>
              <w:pStyle w:val="TableTextRight"/>
              <w:rPr>
                <w:color w:val="000000" w:themeColor="text1"/>
              </w:rPr>
            </w:pPr>
            <w:r w:rsidRPr="007B69C5">
              <w:t>10.9</w:t>
            </w:r>
          </w:p>
        </w:tc>
      </w:tr>
      <w:tr w:rsidR="00355846" w:rsidRPr="007B69C5" w14:paraId="5FB2DB40" w14:textId="77777777" w:rsidTr="00F4111B">
        <w:trPr>
          <w:trHeight w:val="238"/>
        </w:trPr>
        <w:tc>
          <w:tcPr>
            <w:tcW w:w="2693" w:type="dxa"/>
            <w:tcBorders>
              <w:top w:val="single" w:sz="4" w:space="0" w:color="002C47" w:themeColor="accent1"/>
            </w:tcBorders>
            <w:hideMark/>
          </w:tcPr>
          <w:p w14:paraId="40A19C1B" w14:textId="2CB0BAFF" w:rsidR="00355846" w:rsidRPr="007B69C5" w:rsidRDefault="00355846" w:rsidP="00355846">
            <w:pPr>
              <w:pStyle w:val="TableColumnHeadingLeft"/>
            </w:pPr>
            <w:r w:rsidRPr="007B69C5">
              <w:t xml:space="preserve">Total fertility rate </w:t>
            </w:r>
            <w:r w:rsidRPr="007B69C5">
              <w:br/>
              <w:t>(children per woman)</w:t>
            </w:r>
            <w:r w:rsidR="001F3711" w:rsidRPr="007B69C5">
              <w:rPr>
                <w:rStyle w:val="FootnoteReference"/>
              </w:rPr>
              <w:footnoteReference w:id="5"/>
            </w:r>
          </w:p>
        </w:tc>
        <w:tc>
          <w:tcPr>
            <w:tcW w:w="992" w:type="dxa"/>
            <w:tcBorders>
              <w:top w:val="single" w:sz="4" w:space="0" w:color="002C47" w:themeColor="accent1"/>
            </w:tcBorders>
            <w:vAlign w:val="bottom"/>
          </w:tcPr>
          <w:p w14:paraId="57B19ECC" w14:textId="1AB0E462" w:rsidR="0C0FE3D7" w:rsidRPr="007B69C5" w:rsidRDefault="0C0FE3D7" w:rsidP="00F4111B">
            <w:pPr>
              <w:pStyle w:val="TableTextRight"/>
            </w:pPr>
          </w:p>
        </w:tc>
        <w:tc>
          <w:tcPr>
            <w:tcW w:w="992" w:type="dxa"/>
            <w:tcBorders>
              <w:top w:val="single" w:sz="4" w:space="0" w:color="002C47" w:themeColor="accent1"/>
            </w:tcBorders>
            <w:shd w:val="clear" w:color="auto" w:fill="D6EEF5" w:themeFill="text2" w:themeFillTint="33"/>
            <w:vAlign w:val="bottom"/>
          </w:tcPr>
          <w:p w14:paraId="0C3FAAEA" w14:textId="56914234" w:rsidR="0C0FE3D7" w:rsidRPr="007B69C5" w:rsidRDefault="0C0FE3D7" w:rsidP="00F4111B">
            <w:pPr>
              <w:pStyle w:val="TableTextRight"/>
            </w:pPr>
          </w:p>
        </w:tc>
        <w:tc>
          <w:tcPr>
            <w:tcW w:w="992" w:type="dxa"/>
            <w:tcBorders>
              <w:top w:val="single" w:sz="4" w:space="0" w:color="002C47" w:themeColor="accent1"/>
            </w:tcBorders>
            <w:vAlign w:val="bottom"/>
          </w:tcPr>
          <w:p w14:paraId="07164DFA" w14:textId="70495597" w:rsidR="0C0FE3D7" w:rsidRPr="007B69C5" w:rsidRDefault="0C0FE3D7" w:rsidP="00F4111B">
            <w:pPr>
              <w:pStyle w:val="TableTextRight"/>
            </w:pPr>
          </w:p>
        </w:tc>
        <w:tc>
          <w:tcPr>
            <w:tcW w:w="992" w:type="dxa"/>
            <w:tcBorders>
              <w:top w:val="single" w:sz="4" w:space="0" w:color="002C47" w:themeColor="accent1"/>
            </w:tcBorders>
            <w:vAlign w:val="bottom"/>
          </w:tcPr>
          <w:p w14:paraId="6C7075D2" w14:textId="692F0133" w:rsidR="0C0FE3D7" w:rsidRPr="007B69C5" w:rsidRDefault="0C0FE3D7" w:rsidP="00F4111B">
            <w:pPr>
              <w:pStyle w:val="TableTextRight"/>
            </w:pPr>
          </w:p>
        </w:tc>
        <w:tc>
          <w:tcPr>
            <w:tcW w:w="992" w:type="dxa"/>
            <w:tcBorders>
              <w:top w:val="single" w:sz="4" w:space="0" w:color="002C47" w:themeColor="accent1"/>
            </w:tcBorders>
            <w:vAlign w:val="bottom"/>
          </w:tcPr>
          <w:p w14:paraId="17C05C8F" w14:textId="4C29D371" w:rsidR="0C0FE3D7" w:rsidRPr="007B69C5" w:rsidRDefault="0C0FE3D7" w:rsidP="00F4111B">
            <w:pPr>
              <w:pStyle w:val="TableTextRight"/>
            </w:pPr>
          </w:p>
        </w:tc>
        <w:tc>
          <w:tcPr>
            <w:tcW w:w="992" w:type="dxa"/>
            <w:tcBorders>
              <w:top w:val="single" w:sz="4" w:space="0" w:color="002C47" w:themeColor="accent1"/>
            </w:tcBorders>
            <w:shd w:val="clear" w:color="auto" w:fill="DBF1E8" w:themeFill="background2" w:themeFillTint="33"/>
            <w:vAlign w:val="bottom"/>
          </w:tcPr>
          <w:p w14:paraId="7F723444" w14:textId="6F822FE7" w:rsidR="0C0FE3D7" w:rsidRPr="007B69C5" w:rsidRDefault="0C0FE3D7" w:rsidP="00F4111B">
            <w:pPr>
              <w:pStyle w:val="TableTextRight"/>
            </w:pPr>
          </w:p>
        </w:tc>
        <w:tc>
          <w:tcPr>
            <w:tcW w:w="993" w:type="dxa"/>
            <w:tcBorders>
              <w:top w:val="single" w:sz="4" w:space="0" w:color="002C47" w:themeColor="accent1"/>
            </w:tcBorders>
            <w:shd w:val="clear" w:color="auto" w:fill="DBF1E8" w:themeFill="background2" w:themeFillTint="33"/>
            <w:vAlign w:val="bottom"/>
          </w:tcPr>
          <w:p w14:paraId="4849172C" w14:textId="59F33339" w:rsidR="0C0FE3D7" w:rsidRPr="007B69C5" w:rsidRDefault="0C0FE3D7" w:rsidP="00F4111B">
            <w:pPr>
              <w:pStyle w:val="TableTextRight"/>
            </w:pPr>
          </w:p>
        </w:tc>
      </w:tr>
      <w:tr w:rsidR="00683039" w:rsidRPr="007B69C5" w14:paraId="439FD485" w14:textId="77777777" w:rsidTr="00F4111B">
        <w:trPr>
          <w:trHeight w:val="238"/>
        </w:trPr>
        <w:tc>
          <w:tcPr>
            <w:tcW w:w="2693" w:type="dxa"/>
          </w:tcPr>
          <w:p w14:paraId="6B920CD3" w14:textId="13133333" w:rsidR="00683039" w:rsidRPr="007B69C5" w:rsidRDefault="00683039" w:rsidP="00F4111B">
            <w:pPr>
              <w:pStyle w:val="TableTextLeft"/>
            </w:pPr>
            <w:r w:rsidRPr="007B69C5">
              <w:t>Victoria</w:t>
            </w:r>
          </w:p>
        </w:tc>
        <w:tc>
          <w:tcPr>
            <w:tcW w:w="992" w:type="dxa"/>
            <w:vAlign w:val="bottom"/>
          </w:tcPr>
          <w:p w14:paraId="07D3CD0A" w14:textId="1621139F" w:rsidR="00683039" w:rsidRPr="007B69C5" w:rsidRDefault="00683039" w:rsidP="00F4111B">
            <w:pPr>
              <w:pStyle w:val="TableTextRight"/>
              <w:rPr>
                <w:color w:val="000000" w:themeColor="text1"/>
              </w:rPr>
            </w:pPr>
            <w:r w:rsidRPr="007B69C5" w:rsidDel="00100143">
              <w:t>1.44</w:t>
            </w:r>
          </w:p>
        </w:tc>
        <w:tc>
          <w:tcPr>
            <w:tcW w:w="992" w:type="dxa"/>
            <w:shd w:val="clear" w:color="auto" w:fill="D6EEF5" w:themeFill="text2" w:themeFillTint="33"/>
            <w:vAlign w:val="bottom"/>
          </w:tcPr>
          <w:p w14:paraId="0BAD4DFC" w14:textId="224796F2" w:rsidR="00683039" w:rsidRPr="007B69C5" w:rsidRDefault="006D37CD" w:rsidP="00F4111B">
            <w:pPr>
              <w:pStyle w:val="TableTextRight"/>
              <w:rPr>
                <w:color w:val="000000" w:themeColor="text1"/>
              </w:rPr>
            </w:pPr>
            <w:r w:rsidRPr="007B69C5">
              <w:t>1.4</w:t>
            </w:r>
            <w:r w:rsidR="006C7EA5" w:rsidRPr="007B69C5">
              <w:t>0</w:t>
            </w:r>
          </w:p>
        </w:tc>
        <w:tc>
          <w:tcPr>
            <w:tcW w:w="992" w:type="dxa"/>
            <w:vAlign w:val="bottom"/>
          </w:tcPr>
          <w:p w14:paraId="2A1FFF88" w14:textId="2F7692D7" w:rsidR="00683039" w:rsidRPr="007B69C5" w:rsidRDefault="006D37CD" w:rsidP="00F4111B">
            <w:pPr>
              <w:pStyle w:val="TableTextRight"/>
              <w:rPr>
                <w:color w:val="000000" w:themeColor="text1"/>
              </w:rPr>
            </w:pPr>
            <w:r w:rsidRPr="007B69C5">
              <w:t>1.3</w:t>
            </w:r>
            <w:r w:rsidR="00502E51" w:rsidRPr="007B69C5">
              <w:t>4</w:t>
            </w:r>
          </w:p>
        </w:tc>
        <w:tc>
          <w:tcPr>
            <w:tcW w:w="992" w:type="dxa"/>
            <w:vAlign w:val="bottom"/>
          </w:tcPr>
          <w:p w14:paraId="56A7C643" w14:textId="72EBFC2C" w:rsidR="00683039" w:rsidRPr="007B69C5" w:rsidRDefault="006D37CD" w:rsidP="00F4111B">
            <w:pPr>
              <w:pStyle w:val="TableTextRight"/>
              <w:rPr>
                <w:color w:val="000000" w:themeColor="text1"/>
              </w:rPr>
            </w:pPr>
            <w:r w:rsidRPr="007B69C5">
              <w:t>1.3</w:t>
            </w:r>
            <w:r w:rsidR="00317CEA" w:rsidRPr="007B69C5">
              <w:t>7</w:t>
            </w:r>
          </w:p>
        </w:tc>
        <w:tc>
          <w:tcPr>
            <w:tcW w:w="992" w:type="dxa"/>
            <w:vAlign w:val="bottom"/>
          </w:tcPr>
          <w:p w14:paraId="4623CA6C" w14:textId="62361B6B" w:rsidR="00683039" w:rsidRPr="007B69C5" w:rsidRDefault="006D37CD" w:rsidP="00F4111B">
            <w:pPr>
              <w:pStyle w:val="TableTextRight"/>
              <w:rPr>
                <w:color w:val="000000" w:themeColor="text1"/>
              </w:rPr>
            </w:pPr>
            <w:r w:rsidRPr="007B69C5">
              <w:t>1.41</w:t>
            </w:r>
          </w:p>
        </w:tc>
        <w:tc>
          <w:tcPr>
            <w:tcW w:w="992" w:type="dxa"/>
            <w:shd w:val="clear" w:color="auto" w:fill="DBF1E8" w:themeFill="background2" w:themeFillTint="33"/>
            <w:vAlign w:val="bottom"/>
          </w:tcPr>
          <w:p w14:paraId="4B7B370C" w14:textId="4AE1D256" w:rsidR="00683039" w:rsidRPr="007B69C5" w:rsidRDefault="00683039" w:rsidP="00F4111B">
            <w:pPr>
              <w:pStyle w:val="TableTextRight"/>
              <w:rPr>
                <w:color w:val="000000" w:themeColor="text1"/>
              </w:rPr>
            </w:pPr>
            <w:r w:rsidRPr="007B69C5" w:rsidDel="00100143">
              <w:t>1.54</w:t>
            </w:r>
          </w:p>
        </w:tc>
        <w:tc>
          <w:tcPr>
            <w:tcW w:w="993" w:type="dxa"/>
            <w:shd w:val="clear" w:color="auto" w:fill="DBF1E8" w:themeFill="background2" w:themeFillTint="33"/>
            <w:vAlign w:val="bottom"/>
          </w:tcPr>
          <w:p w14:paraId="01CE13FA" w14:textId="544F031C" w:rsidR="00683039" w:rsidRPr="007B69C5" w:rsidRDefault="00683039" w:rsidP="00F4111B">
            <w:pPr>
              <w:pStyle w:val="TableTextRight"/>
              <w:rPr>
                <w:color w:val="000000" w:themeColor="text1"/>
              </w:rPr>
            </w:pPr>
            <w:r w:rsidRPr="007B69C5" w:rsidDel="00100143">
              <w:t>1.54</w:t>
            </w:r>
          </w:p>
        </w:tc>
      </w:tr>
      <w:tr w:rsidR="00683039" w:rsidRPr="007B69C5" w14:paraId="57C61523" w14:textId="77777777" w:rsidTr="00F4111B">
        <w:trPr>
          <w:trHeight w:val="238"/>
        </w:trPr>
        <w:tc>
          <w:tcPr>
            <w:tcW w:w="2693" w:type="dxa"/>
            <w:tcBorders>
              <w:bottom w:val="single" w:sz="4" w:space="0" w:color="EBE9E8" w:themeColor="accent5" w:themeTint="33"/>
            </w:tcBorders>
          </w:tcPr>
          <w:p w14:paraId="65A8D0B9" w14:textId="2A2069F7" w:rsidR="00683039" w:rsidRPr="007B69C5" w:rsidRDefault="00683039" w:rsidP="00683039">
            <w:pPr>
              <w:pStyle w:val="Tabletextleftindent"/>
            </w:pPr>
            <w:r w:rsidRPr="007B69C5">
              <w:t xml:space="preserve">Greater Melbourne </w:t>
            </w:r>
          </w:p>
        </w:tc>
        <w:tc>
          <w:tcPr>
            <w:tcW w:w="992" w:type="dxa"/>
            <w:tcBorders>
              <w:bottom w:val="single" w:sz="4" w:space="0" w:color="EBE9E8" w:themeColor="accent5" w:themeTint="33"/>
            </w:tcBorders>
            <w:vAlign w:val="bottom"/>
          </w:tcPr>
          <w:p w14:paraId="16378B5A" w14:textId="2918680B" w:rsidR="00683039" w:rsidRPr="007B69C5" w:rsidRDefault="00A335FE" w:rsidP="00F4111B">
            <w:pPr>
              <w:pStyle w:val="TableTextRight"/>
            </w:pPr>
            <w:r w:rsidRPr="007B69C5">
              <w:t>1.37</w:t>
            </w:r>
          </w:p>
        </w:tc>
        <w:tc>
          <w:tcPr>
            <w:tcW w:w="992" w:type="dxa"/>
            <w:tcBorders>
              <w:bottom w:val="single" w:sz="4" w:space="0" w:color="EBE9E8" w:themeColor="accent5" w:themeTint="33"/>
            </w:tcBorders>
            <w:shd w:val="clear" w:color="auto" w:fill="D6EEF5" w:themeFill="text2" w:themeFillTint="33"/>
            <w:vAlign w:val="bottom"/>
          </w:tcPr>
          <w:p w14:paraId="209826E6" w14:textId="76372927" w:rsidR="00683039" w:rsidRPr="007B69C5" w:rsidRDefault="00683039" w:rsidP="00F4111B">
            <w:pPr>
              <w:pStyle w:val="TableTextRight"/>
              <w:rPr>
                <w:color w:val="000000" w:themeColor="text1"/>
              </w:rPr>
            </w:pPr>
            <w:r w:rsidRPr="007B69C5" w:rsidDel="00100143">
              <w:t>1.35</w:t>
            </w:r>
          </w:p>
        </w:tc>
        <w:tc>
          <w:tcPr>
            <w:tcW w:w="992" w:type="dxa"/>
            <w:tcBorders>
              <w:bottom w:val="single" w:sz="4" w:space="0" w:color="EBE9E8" w:themeColor="accent5" w:themeTint="33"/>
            </w:tcBorders>
            <w:vAlign w:val="bottom"/>
          </w:tcPr>
          <w:p w14:paraId="322B3B56" w14:textId="3D32B128" w:rsidR="00683039" w:rsidRPr="007B69C5" w:rsidRDefault="00683039" w:rsidP="00F4111B">
            <w:pPr>
              <w:pStyle w:val="TableTextRight"/>
              <w:rPr>
                <w:color w:val="000000" w:themeColor="text1"/>
              </w:rPr>
            </w:pPr>
            <w:r w:rsidRPr="007B69C5" w:rsidDel="00100143">
              <w:t>1.29</w:t>
            </w:r>
          </w:p>
        </w:tc>
        <w:tc>
          <w:tcPr>
            <w:tcW w:w="992" w:type="dxa"/>
            <w:tcBorders>
              <w:bottom w:val="single" w:sz="4" w:space="0" w:color="EBE9E8" w:themeColor="accent5" w:themeTint="33"/>
            </w:tcBorders>
            <w:vAlign w:val="bottom"/>
          </w:tcPr>
          <w:p w14:paraId="41C29263" w14:textId="5CC32C43" w:rsidR="00683039" w:rsidRPr="007B69C5" w:rsidRDefault="00683039" w:rsidP="00F4111B">
            <w:pPr>
              <w:pStyle w:val="TableTextRight"/>
              <w:rPr>
                <w:color w:val="000000" w:themeColor="text1"/>
              </w:rPr>
            </w:pPr>
            <w:r w:rsidRPr="007B69C5" w:rsidDel="00100143">
              <w:t>1.32</w:t>
            </w:r>
          </w:p>
        </w:tc>
        <w:tc>
          <w:tcPr>
            <w:tcW w:w="992" w:type="dxa"/>
            <w:tcBorders>
              <w:bottom w:val="single" w:sz="4" w:space="0" w:color="EBE9E8" w:themeColor="accent5" w:themeTint="33"/>
            </w:tcBorders>
            <w:vAlign w:val="bottom"/>
          </w:tcPr>
          <w:p w14:paraId="0CB531E6" w14:textId="50C6C664" w:rsidR="00683039" w:rsidRPr="007B69C5" w:rsidRDefault="00A335FE" w:rsidP="00F4111B">
            <w:pPr>
              <w:pStyle w:val="TableTextRight"/>
              <w:rPr>
                <w:color w:val="000000" w:themeColor="text1"/>
              </w:rPr>
            </w:pPr>
            <w:r w:rsidRPr="007B69C5">
              <w:t>1.3</w:t>
            </w:r>
            <w:r w:rsidR="00502E51" w:rsidRPr="007B69C5">
              <w:t>6</w:t>
            </w:r>
          </w:p>
        </w:tc>
        <w:tc>
          <w:tcPr>
            <w:tcW w:w="992" w:type="dxa"/>
            <w:tcBorders>
              <w:bottom w:val="single" w:sz="4" w:space="0" w:color="EBE9E8" w:themeColor="accent5" w:themeTint="33"/>
            </w:tcBorders>
            <w:shd w:val="clear" w:color="auto" w:fill="DBF1E8" w:themeFill="background2" w:themeFillTint="33"/>
            <w:vAlign w:val="bottom"/>
          </w:tcPr>
          <w:p w14:paraId="7DA98F33" w14:textId="74B5C118" w:rsidR="00683039" w:rsidRPr="007B69C5" w:rsidRDefault="00A335FE" w:rsidP="00F4111B">
            <w:pPr>
              <w:pStyle w:val="TableTextRight"/>
              <w:rPr>
                <w:color w:val="000000" w:themeColor="text1"/>
              </w:rPr>
            </w:pPr>
            <w:r w:rsidRPr="007B69C5">
              <w:t>1.4</w:t>
            </w:r>
            <w:r w:rsidR="00502E51" w:rsidRPr="007B69C5">
              <w:t>8</w:t>
            </w:r>
          </w:p>
        </w:tc>
        <w:tc>
          <w:tcPr>
            <w:tcW w:w="993" w:type="dxa"/>
            <w:tcBorders>
              <w:bottom w:val="single" w:sz="4" w:space="0" w:color="EBE9E8" w:themeColor="accent5" w:themeTint="33"/>
            </w:tcBorders>
            <w:shd w:val="clear" w:color="auto" w:fill="DBF1E8" w:themeFill="background2" w:themeFillTint="33"/>
            <w:vAlign w:val="bottom"/>
          </w:tcPr>
          <w:p w14:paraId="4A0F2C1D" w14:textId="7BBD9C98" w:rsidR="00683039" w:rsidRPr="007B69C5" w:rsidRDefault="00A335FE" w:rsidP="00F4111B">
            <w:pPr>
              <w:pStyle w:val="TableTextRight"/>
              <w:rPr>
                <w:color w:val="000000" w:themeColor="text1"/>
              </w:rPr>
            </w:pPr>
            <w:r w:rsidRPr="007B69C5">
              <w:t>1.4</w:t>
            </w:r>
            <w:r w:rsidR="00502E51" w:rsidRPr="007B69C5">
              <w:t>8</w:t>
            </w:r>
          </w:p>
        </w:tc>
      </w:tr>
      <w:tr w:rsidR="00683039" w:rsidRPr="007B69C5" w14:paraId="63498455" w14:textId="77777777" w:rsidTr="00F4111B">
        <w:trPr>
          <w:trHeight w:val="238"/>
        </w:trPr>
        <w:tc>
          <w:tcPr>
            <w:tcW w:w="2693" w:type="dxa"/>
            <w:tcBorders>
              <w:bottom w:val="single" w:sz="4" w:space="0" w:color="002C47" w:themeColor="accent1"/>
            </w:tcBorders>
          </w:tcPr>
          <w:p w14:paraId="6525CD68" w14:textId="4B36B012" w:rsidR="00683039" w:rsidRPr="007B69C5" w:rsidRDefault="00683039" w:rsidP="00683039">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384A814A" w14:textId="285C34BB" w:rsidR="00683039" w:rsidRPr="007B69C5" w:rsidRDefault="00A335FE" w:rsidP="00F4111B">
            <w:pPr>
              <w:pStyle w:val="TableTextRight"/>
            </w:pPr>
            <w:r w:rsidRPr="007B69C5">
              <w:t>1.76</w:t>
            </w:r>
          </w:p>
        </w:tc>
        <w:tc>
          <w:tcPr>
            <w:tcW w:w="992" w:type="dxa"/>
            <w:tcBorders>
              <w:bottom w:val="single" w:sz="4" w:space="0" w:color="002C47" w:themeColor="accent1"/>
            </w:tcBorders>
            <w:shd w:val="clear" w:color="auto" w:fill="D6EEF5" w:themeFill="text2" w:themeFillTint="33"/>
            <w:vAlign w:val="bottom"/>
          </w:tcPr>
          <w:p w14:paraId="3EA60BE7" w14:textId="04DC7035" w:rsidR="00683039" w:rsidRPr="007B69C5" w:rsidRDefault="00683039" w:rsidP="00F4111B">
            <w:pPr>
              <w:pStyle w:val="TableTextRight"/>
              <w:rPr>
                <w:color w:val="000000" w:themeColor="text1"/>
              </w:rPr>
            </w:pPr>
            <w:r w:rsidRPr="007B69C5" w:rsidDel="00100143">
              <w:t>1.66</w:t>
            </w:r>
          </w:p>
        </w:tc>
        <w:tc>
          <w:tcPr>
            <w:tcW w:w="992" w:type="dxa"/>
            <w:tcBorders>
              <w:bottom w:val="single" w:sz="4" w:space="0" w:color="002C47" w:themeColor="accent1"/>
            </w:tcBorders>
            <w:vAlign w:val="bottom"/>
          </w:tcPr>
          <w:p w14:paraId="12838CF5" w14:textId="0C0D8E70" w:rsidR="00683039" w:rsidRPr="007B69C5" w:rsidRDefault="00A335FE" w:rsidP="00F4111B">
            <w:pPr>
              <w:pStyle w:val="TableTextRight"/>
              <w:rPr>
                <w:color w:val="000000" w:themeColor="text1"/>
              </w:rPr>
            </w:pPr>
            <w:r w:rsidRPr="007B69C5">
              <w:t>1.5</w:t>
            </w:r>
            <w:r w:rsidR="00502E51" w:rsidRPr="007B69C5">
              <w:t>9</w:t>
            </w:r>
          </w:p>
        </w:tc>
        <w:tc>
          <w:tcPr>
            <w:tcW w:w="992" w:type="dxa"/>
            <w:tcBorders>
              <w:bottom w:val="single" w:sz="4" w:space="0" w:color="002C47" w:themeColor="accent1"/>
            </w:tcBorders>
            <w:vAlign w:val="bottom"/>
          </w:tcPr>
          <w:p w14:paraId="7768AACE" w14:textId="230EECBC" w:rsidR="00683039" w:rsidRPr="007B69C5" w:rsidRDefault="00683039" w:rsidP="00F4111B">
            <w:pPr>
              <w:pStyle w:val="TableTextRight"/>
              <w:rPr>
                <w:color w:val="000000" w:themeColor="text1"/>
              </w:rPr>
            </w:pPr>
            <w:r w:rsidRPr="007B69C5" w:rsidDel="00100143">
              <w:t>1.63</w:t>
            </w:r>
          </w:p>
        </w:tc>
        <w:tc>
          <w:tcPr>
            <w:tcW w:w="992" w:type="dxa"/>
            <w:tcBorders>
              <w:bottom w:val="single" w:sz="4" w:space="0" w:color="002C47" w:themeColor="accent1"/>
            </w:tcBorders>
            <w:vAlign w:val="bottom"/>
          </w:tcPr>
          <w:p w14:paraId="5E63B97A" w14:textId="7F1E27BD" w:rsidR="00683039" w:rsidRPr="007B69C5" w:rsidRDefault="00A335FE" w:rsidP="00F4111B">
            <w:pPr>
              <w:pStyle w:val="TableTextRight"/>
              <w:rPr>
                <w:color w:val="000000" w:themeColor="text1"/>
              </w:rPr>
            </w:pPr>
            <w:r w:rsidRPr="007B69C5">
              <w:t>1.6</w:t>
            </w:r>
            <w:r w:rsidR="0063548F" w:rsidRPr="007B69C5">
              <w:t>8</w:t>
            </w:r>
          </w:p>
        </w:tc>
        <w:tc>
          <w:tcPr>
            <w:tcW w:w="992" w:type="dxa"/>
            <w:tcBorders>
              <w:bottom w:val="single" w:sz="4" w:space="0" w:color="002C47" w:themeColor="accent1"/>
            </w:tcBorders>
            <w:shd w:val="clear" w:color="auto" w:fill="DBF1E8" w:themeFill="background2" w:themeFillTint="33"/>
            <w:vAlign w:val="bottom"/>
          </w:tcPr>
          <w:p w14:paraId="3D3C8402" w14:textId="42E781AF" w:rsidR="00683039" w:rsidRPr="007B69C5" w:rsidRDefault="00A335FE" w:rsidP="00F4111B">
            <w:pPr>
              <w:pStyle w:val="TableTextRight"/>
              <w:rPr>
                <w:color w:val="000000" w:themeColor="text1"/>
              </w:rPr>
            </w:pPr>
            <w:r w:rsidRPr="007B69C5">
              <w:t>1.8</w:t>
            </w:r>
            <w:r w:rsidR="00C57E1E" w:rsidRPr="007B69C5">
              <w:t>6</w:t>
            </w:r>
          </w:p>
        </w:tc>
        <w:tc>
          <w:tcPr>
            <w:tcW w:w="993" w:type="dxa"/>
            <w:tcBorders>
              <w:bottom w:val="single" w:sz="4" w:space="0" w:color="002C47" w:themeColor="accent1"/>
            </w:tcBorders>
            <w:shd w:val="clear" w:color="auto" w:fill="DBF1E8" w:themeFill="background2" w:themeFillTint="33"/>
            <w:vAlign w:val="bottom"/>
          </w:tcPr>
          <w:p w14:paraId="7851BC35" w14:textId="4666F283" w:rsidR="00683039" w:rsidRPr="007B69C5" w:rsidRDefault="00A335FE" w:rsidP="00F4111B">
            <w:pPr>
              <w:pStyle w:val="TableTextRight"/>
              <w:rPr>
                <w:color w:val="000000" w:themeColor="text1"/>
              </w:rPr>
            </w:pPr>
            <w:r w:rsidRPr="007B69C5">
              <w:t>1.8</w:t>
            </w:r>
            <w:r w:rsidR="00C57E1E" w:rsidRPr="007B69C5">
              <w:t>6</w:t>
            </w:r>
          </w:p>
        </w:tc>
      </w:tr>
      <w:tr w:rsidR="00355846" w:rsidRPr="007B69C5" w14:paraId="15C081C6" w14:textId="77777777" w:rsidTr="00F4111B">
        <w:trPr>
          <w:trHeight w:val="238"/>
        </w:trPr>
        <w:tc>
          <w:tcPr>
            <w:tcW w:w="2693" w:type="dxa"/>
            <w:tcBorders>
              <w:top w:val="single" w:sz="4" w:space="0" w:color="002C47" w:themeColor="accent1"/>
            </w:tcBorders>
            <w:hideMark/>
          </w:tcPr>
          <w:p w14:paraId="1666AC37" w14:textId="49D5A596" w:rsidR="00355846" w:rsidRPr="007B69C5" w:rsidRDefault="00355846" w:rsidP="00355846">
            <w:pPr>
              <w:pStyle w:val="TableColumnHeadingLeft"/>
            </w:pPr>
            <w:r w:rsidRPr="007B69C5">
              <w:t>Median age (years)</w:t>
            </w:r>
          </w:p>
        </w:tc>
        <w:tc>
          <w:tcPr>
            <w:tcW w:w="992" w:type="dxa"/>
            <w:tcBorders>
              <w:top w:val="single" w:sz="4" w:space="0" w:color="002C47" w:themeColor="accent1"/>
            </w:tcBorders>
            <w:vAlign w:val="bottom"/>
          </w:tcPr>
          <w:p w14:paraId="6ADDDCD8" w14:textId="2CDF3BEC" w:rsidR="0C0FE3D7" w:rsidRPr="007B69C5" w:rsidRDefault="0C0FE3D7" w:rsidP="00F4111B">
            <w:pPr>
              <w:pStyle w:val="TableTextRight"/>
            </w:pPr>
          </w:p>
        </w:tc>
        <w:tc>
          <w:tcPr>
            <w:tcW w:w="992" w:type="dxa"/>
            <w:tcBorders>
              <w:top w:val="single" w:sz="4" w:space="0" w:color="002C47" w:themeColor="accent1"/>
            </w:tcBorders>
            <w:shd w:val="clear" w:color="auto" w:fill="D6EEF5" w:themeFill="text2" w:themeFillTint="33"/>
            <w:vAlign w:val="bottom"/>
          </w:tcPr>
          <w:p w14:paraId="35D91BA9" w14:textId="7176AA9D" w:rsidR="0C0FE3D7" w:rsidRPr="007B69C5" w:rsidRDefault="0C0FE3D7" w:rsidP="00F4111B">
            <w:pPr>
              <w:pStyle w:val="TableTextRight"/>
            </w:pPr>
          </w:p>
        </w:tc>
        <w:tc>
          <w:tcPr>
            <w:tcW w:w="992" w:type="dxa"/>
            <w:tcBorders>
              <w:top w:val="single" w:sz="4" w:space="0" w:color="002C47" w:themeColor="accent1"/>
            </w:tcBorders>
            <w:vAlign w:val="bottom"/>
          </w:tcPr>
          <w:p w14:paraId="72B0082D" w14:textId="6AB89AE3" w:rsidR="0C0FE3D7" w:rsidRPr="007B69C5" w:rsidRDefault="0C0FE3D7" w:rsidP="00F4111B">
            <w:pPr>
              <w:pStyle w:val="TableTextRight"/>
            </w:pPr>
          </w:p>
        </w:tc>
        <w:tc>
          <w:tcPr>
            <w:tcW w:w="992" w:type="dxa"/>
            <w:tcBorders>
              <w:top w:val="single" w:sz="4" w:space="0" w:color="002C47" w:themeColor="accent1"/>
            </w:tcBorders>
            <w:vAlign w:val="bottom"/>
          </w:tcPr>
          <w:p w14:paraId="6273BEF3" w14:textId="79ACC8BB" w:rsidR="0C0FE3D7" w:rsidRPr="007B69C5" w:rsidRDefault="0C0FE3D7" w:rsidP="00F4111B">
            <w:pPr>
              <w:pStyle w:val="TableTextRight"/>
            </w:pPr>
          </w:p>
        </w:tc>
        <w:tc>
          <w:tcPr>
            <w:tcW w:w="992" w:type="dxa"/>
            <w:tcBorders>
              <w:top w:val="single" w:sz="4" w:space="0" w:color="002C47" w:themeColor="accent1"/>
            </w:tcBorders>
            <w:vAlign w:val="bottom"/>
          </w:tcPr>
          <w:p w14:paraId="0CEDE99E" w14:textId="6887F069" w:rsidR="0C0FE3D7" w:rsidRPr="007B69C5" w:rsidRDefault="0C0FE3D7" w:rsidP="00F4111B">
            <w:pPr>
              <w:pStyle w:val="TableTextRight"/>
            </w:pPr>
          </w:p>
        </w:tc>
        <w:tc>
          <w:tcPr>
            <w:tcW w:w="992" w:type="dxa"/>
            <w:tcBorders>
              <w:top w:val="single" w:sz="4" w:space="0" w:color="002C47" w:themeColor="accent1"/>
            </w:tcBorders>
            <w:shd w:val="clear" w:color="auto" w:fill="DBF1E8" w:themeFill="background2" w:themeFillTint="33"/>
            <w:vAlign w:val="bottom"/>
          </w:tcPr>
          <w:p w14:paraId="39E6DDCA" w14:textId="21778863" w:rsidR="0C0FE3D7" w:rsidRPr="007B69C5" w:rsidRDefault="0C0FE3D7" w:rsidP="00F4111B">
            <w:pPr>
              <w:pStyle w:val="TableTextRight"/>
            </w:pPr>
          </w:p>
        </w:tc>
        <w:tc>
          <w:tcPr>
            <w:tcW w:w="993" w:type="dxa"/>
            <w:tcBorders>
              <w:top w:val="single" w:sz="4" w:space="0" w:color="002C47" w:themeColor="accent1"/>
            </w:tcBorders>
            <w:shd w:val="clear" w:color="auto" w:fill="DBF1E8" w:themeFill="background2" w:themeFillTint="33"/>
            <w:vAlign w:val="bottom"/>
          </w:tcPr>
          <w:p w14:paraId="1C9FF281" w14:textId="4E333332" w:rsidR="0C0FE3D7" w:rsidRPr="007B69C5" w:rsidRDefault="0C0FE3D7" w:rsidP="00F4111B">
            <w:pPr>
              <w:pStyle w:val="TableTextRight"/>
            </w:pPr>
          </w:p>
        </w:tc>
      </w:tr>
      <w:tr w:rsidR="001629F3" w:rsidRPr="007B69C5" w14:paraId="18914879" w14:textId="77777777" w:rsidTr="00F4111B">
        <w:trPr>
          <w:trHeight w:val="238"/>
        </w:trPr>
        <w:tc>
          <w:tcPr>
            <w:tcW w:w="2693" w:type="dxa"/>
            <w:hideMark/>
          </w:tcPr>
          <w:p w14:paraId="153F5908" w14:textId="070FFBDC" w:rsidR="001629F3" w:rsidRPr="007B69C5" w:rsidRDefault="001629F3" w:rsidP="00F4111B">
            <w:pPr>
              <w:pStyle w:val="TableTextLeft"/>
            </w:pPr>
            <w:r w:rsidRPr="007B69C5">
              <w:t>Victoria</w:t>
            </w:r>
          </w:p>
        </w:tc>
        <w:tc>
          <w:tcPr>
            <w:tcW w:w="992" w:type="dxa"/>
            <w:vAlign w:val="bottom"/>
          </w:tcPr>
          <w:p w14:paraId="5F555BDA" w14:textId="7672608E" w:rsidR="001629F3" w:rsidRPr="007B69C5" w:rsidRDefault="001629F3" w:rsidP="00F4111B">
            <w:pPr>
              <w:pStyle w:val="TableTextRight"/>
              <w:rPr>
                <w:color w:val="000000" w:themeColor="text1"/>
              </w:rPr>
            </w:pPr>
            <w:r w:rsidRPr="007B69C5">
              <w:t>37.9</w:t>
            </w:r>
          </w:p>
        </w:tc>
        <w:tc>
          <w:tcPr>
            <w:tcW w:w="992" w:type="dxa"/>
            <w:shd w:val="clear" w:color="auto" w:fill="D6EEF5" w:themeFill="text2" w:themeFillTint="33"/>
            <w:vAlign w:val="bottom"/>
          </w:tcPr>
          <w:p w14:paraId="2686BD4E" w14:textId="1CEF270B" w:rsidR="001629F3" w:rsidRPr="007B69C5" w:rsidRDefault="001629F3" w:rsidP="00F4111B">
            <w:pPr>
              <w:pStyle w:val="TableTextRight"/>
              <w:rPr>
                <w:color w:val="000000" w:themeColor="text1"/>
              </w:rPr>
            </w:pPr>
            <w:r w:rsidRPr="007B69C5">
              <w:t>38.0</w:t>
            </w:r>
          </w:p>
        </w:tc>
        <w:tc>
          <w:tcPr>
            <w:tcW w:w="992" w:type="dxa"/>
            <w:vAlign w:val="bottom"/>
          </w:tcPr>
          <w:p w14:paraId="00BC417E" w14:textId="1DB9836D" w:rsidR="001629F3" w:rsidRPr="007B69C5" w:rsidRDefault="001629F3" w:rsidP="00F4111B">
            <w:pPr>
              <w:pStyle w:val="TableTextRight"/>
              <w:rPr>
                <w:color w:val="000000" w:themeColor="text1"/>
              </w:rPr>
            </w:pPr>
            <w:r w:rsidRPr="007B69C5">
              <w:t>38.2</w:t>
            </w:r>
          </w:p>
        </w:tc>
        <w:tc>
          <w:tcPr>
            <w:tcW w:w="992" w:type="dxa"/>
            <w:vAlign w:val="bottom"/>
          </w:tcPr>
          <w:p w14:paraId="322E90C9" w14:textId="70F3A970" w:rsidR="001629F3" w:rsidRPr="007B69C5" w:rsidRDefault="001629F3" w:rsidP="00F4111B">
            <w:pPr>
              <w:pStyle w:val="TableTextRight"/>
              <w:rPr>
                <w:color w:val="000000" w:themeColor="text1"/>
              </w:rPr>
            </w:pPr>
            <w:r w:rsidRPr="007B69C5">
              <w:t>38.3</w:t>
            </w:r>
          </w:p>
        </w:tc>
        <w:tc>
          <w:tcPr>
            <w:tcW w:w="992" w:type="dxa"/>
            <w:vAlign w:val="bottom"/>
          </w:tcPr>
          <w:p w14:paraId="2C05D840" w14:textId="4EB81A68" w:rsidR="001629F3" w:rsidRPr="007B69C5" w:rsidRDefault="001629F3" w:rsidP="00F4111B">
            <w:pPr>
              <w:pStyle w:val="TableTextRight"/>
              <w:rPr>
                <w:color w:val="000000" w:themeColor="text1"/>
              </w:rPr>
            </w:pPr>
            <w:r w:rsidRPr="007B69C5">
              <w:t>38.5</w:t>
            </w:r>
          </w:p>
        </w:tc>
        <w:tc>
          <w:tcPr>
            <w:tcW w:w="992" w:type="dxa"/>
            <w:shd w:val="clear" w:color="auto" w:fill="DBF1E8" w:themeFill="background2" w:themeFillTint="33"/>
            <w:vAlign w:val="bottom"/>
          </w:tcPr>
          <w:p w14:paraId="25616234" w14:textId="07D9F734" w:rsidR="001629F3" w:rsidRPr="007B69C5" w:rsidRDefault="001629F3" w:rsidP="00F4111B">
            <w:pPr>
              <w:pStyle w:val="TableTextRight"/>
              <w:rPr>
                <w:color w:val="000000" w:themeColor="text1"/>
              </w:rPr>
            </w:pPr>
            <w:r w:rsidRPr="007B69C5">
              <w:t>39.7</w:t>
            </w:r>
          </w:p>
        </w:tc>
        <w:tc>
          <w:tcPr>
            <w:tcW w:w="993" w:type="dxa"/>
            <w:shd w:val="clear" w:color="auto" w:fill="DBF1E8" w:themeFill="background2" w:themeFillTint="33"/>
            <w:vAlign w:val="bottom"/>
          </w:tcPr>
          <w:p w14:paraId="202A0DBB" w14:textId="4FED3D30" w:rsidR="001629F3" w:rsidRPr="007B69C5" w:rsidRDefault="001629F3" w:rsidP="00F4111B">
            <w:pPr>
              <w:pStyle w:val="TableTextRight"/>
              <w:rPr>
                <w:color w:val="000000" w:themeColor="text1"/>
              </w:rPr>
            </w:pPr>
            <w:r w:rsidRPr="007B69C5">
              <w:t>43.3</w:t>
            </w:r>
          </w:p>
        </w:tc>
      </w:tr>
      <w:tr w:rsidR="001629F3" w:rsidRPr="007B69C5" w14:paraId="2E7F472D" w14:textId="77777777" w:rsidTr="00F4111B">
        <w:trPr>
          <w:trHeight w:val="238"/>
        </w:trPr>
        <w:tc>
          <w:tcPr>
            <w:tcW w:w="2693" w:type="dxa"/>
            <w:tcBorders>
              <w:bottom w:val="single" w:sz="4" w:space="0" w:color="EBE9E8" w:themeColor="accent5" w:themeTint="33"/>
            </w:tcBorders>
            <w:hideMark/>
          </w:tcPr>
          <w:p w14:paraId="18961B1B" w14:textId="416448FA" w:rsidR="001629F3" w:rsidRPr="007B69C5" w:rsidRDefault="001629F3" w:rsidP="00F4111B">
            <w:pPr>
              <w:pStyle w:val="Tabletextleftindent"/>
            </w:pPr>
            <w:r w:rsidRPr="00F4111B">
              <w:t>Greater</w:t>
            </w:r>
            <w:r w:rsidRPr="007B69C5">
              <w:t xml:space="preserve"> Melbourne </w:t>
            </w:r>
          </w:p>
        </w:tc>
        <w:tc>
          <w:tcPr>
            <w:tcW w:w="992" w:type="dxa"/>
            <w:tcBorders>
              <w:bottom w:val="single" w:sz="4" w:space="0" w:color="EBE9E8" w:themeColor="accent5" w:themeTint="33"/>
            </w:tcBorders>
            <w:vAlign w:val="bottom"/>
          </w:tcPr>
          <w:p w14:paraId="6ADA8A37" w14:textId="5B513639" w:rsidR="001629F3" w:rsidRPr="007B69C5" w:rsidRDefault="001629F3" w:rsidP="00F4111B">
            <w:pPr>
              <w:pStyle w:val="TableTextRight"/>
              <w:rPr>
                <w:color w:val="000000" w:themeColor="text1"/>
              </w:rPr>
            </w:pPr>
            <w:r w:rsidRPr="007B69C5">
              <w:t>36.6</w:t>
            </w:r>
          </w:p>
        </w:tc>
        <w:tc>
          <w:tcPr>
            <w:tcW w:w="992" w:type="dxa"/>
            <w:tcBorders>
              <w:bottom w:val="single" w:sz="4" w:space="0" w:color="EBE9E8" w:themeColor="accent5" w:themeTint="33"/>
            </w:tcBorders>
            <w:shd w:val="clear" w:color="auto" w:fill="D6EEF5" w:themeFill="text2" w:themeFillTint="33"/>
            <w:vAlign w:val="bottom"/>
          </w:tcPr>
          <w:p w14:paraId="29842BE4" w14:textId="559A161A" w:rsidR="001629F3" w:rsidRPr="007B69C5" w:rsidRDefault="001629F3" w:rsidP="00F4111B">
            <w:pPr>
              <w:pStyle w:val="TableTextRight"/>
              <w:rPr>
                <w:color w:val="000000" w:themeColor="text1"/>
              </w:rPr>
            </w:pPr>
            <w:r w:rsidRPr="007B69C5">
              <w:t>36.7</w:t>
            </w:r>
          </w:p>
        </w:tc>
        <w:tc>
          <w:tcPr>
            <w:tcW w:w="992" w:type="dxa"/>
            <w:tcBorders>
              <w:bottom w:val="single" w:sz="4" w:space="0" w:color="EBE9E8" w:themeColor="accent5" w:themeTint="33"/>
            </w:tcBorders>
            <w:vAlign w:val="bottom"/>
          </w:tcPr>
          <w:p w14:paraId="2E79A0E5" w14:textId="134EC4C8" w:rsidR="001629F3" w:rsidRPr="007B69C5" w:rsidRDefault="001629F3" w:rsidP="00F4111B">
            <w:pPr>
              <w:pStyle w:val="TableTextRight"/>
              <w:rPr>
                <w:color w:val="000000" w:themeColor="text1"/>
              </w:rPr>
            </w:pPr>
            <w:r w:rsidRPr="007B69C5">
              <w:t>36.9</w:t>
            </w:r>
          </w:p>
        </w:tc>
        <w:tc>
          <w:tcPr>
            <w:tcW w:w="992" w:type="dxa"/>
            <w:tcBorders>
              <w:bottom w:val="single" w:sz="4" w:space="0" w:color="EBE9E8" w:themeColor="accent5" w:themeTint="33"/>
            </w:tcBorders>
            <w:vAlign w:val="bottom"/>
          </w:tcPr>
          <w:p w14:paraId="499BCBF8" w14:textId="4FDFDE42" w:rsidR="001629F3" w:rsidRPr="007B69C5" w:rsidRDefault="001629F3" w:rsidP="00F4111B">
            <w:pPr>
              <w:pStyle w:val="TableTextRight"/>
              <w:rPr>
                <w:color w:val="000000" w:themeColor="text1"/>
              </w:rPr>
            </w:pPr>
            <w:r w:rsidRPr="007B69C5">
              <w:t>37.1</w:t>
            </w:r>
          </w:p>
        </w:tc>
        <w:tc>
          <w:tcPr>
            <w:tcW w:w="992" w:type="dxa"/>
            <w:tcBorders>
              <w:bottom w:val="single" w:sz="4" w:space="0" w:color="EBE9E8" w:themeColor="accent5" w:themeTint="33"/>
            </w:tcBorders>
            <w:vAlign w:val="bottom"/>
          </w:tcPr>
          <w:p w14:paraId="4B93CC88" w14:textId="5A5E6D41" w:rsidR="001629F3" w:rsidRPr="007B69C5" w:rsidRDefault="001629F3" w:rsidP="00F4111B">
            <w:pPr>
              <w:pStyle w:val="TableTextRight"/>
              <w:rPr>
                <w:color w:val="000000" w:themeColor="text1"/>
              </w:rPr>
            </w:pPr>
            <w:r w:rsidRPr="007B69C5">
              <w:t>37.2</w:t>
            </w:r>
          </w:p>
        </w:tc>
        <w:tc>
          <w:tcPr>
            <w:tcW w:w="992" w:type="dxa"/>
            <w:tcBorders>
              <w:bottom w:val="single" w:sz="4" w:space="0" w:color="EBE9E8" w:themeColor="accent5" w:themeTint="33"/>
            </w:tcBorders>
            <w:shd w:val="clear" w:color="auto" w:fill="DBF1E8" w:themeFill="background2" w:themeFillTint="33"/>
            <w:vAlign w:val="bottom"/>
          </w:tcPr>
          <w:p w14:paraId="083F8BF8" w14:textId="73924A4D" w:rsidR="001629F3" w:rsidRPr="007B69C5" w:rsidRDefault="001629F3" w:rsidP="00F4111B">
            <w:pPr>
              <w:pStyle w:val="TableTextRight"/>
              <w:rPr>
                <w:color w:val="000000" w:themeColor="text1"/>
              </w:rPr>
            </w:pPr>
            <w:r w:rsidRPr="007B69C5">
              <w:t>38.2</w:t>
            </w:r>
          </w:p>
        </w:tc>
        <w:tc>
          <w:tcPr>
            <w:tcW w:w="993" w:type="dxa"/>
            <w:tcBorders>
              <w:bottom w:val="single" w:sz="4" w:space="0" w:color="EBE9E8" w:themeColor="accent5" w:themeTint="33"/>
            </w:tcBorders>
            <w:shd w:val="clear" w:color="auto" w:fill="DBF1E8" w:themeFill="background2" w:themeFillTint="33"/>
            <w:vAlign w:val="bottom"/>
          </w:tcPr>
          <w:p w14:paraId="3DD8CD8D" w14:textId="4E395732" w:rsidR="001629F3" w:rsidRPr="007B69C5" w:rsidRDefault="001629F3" w:rsidP="00F4111B">
            <w:pPr>
              <w:pStyle w:val="TableTextRight"/>
              <w:rPr>
                <w:color w:val="000000" w:themeColor="text1"/>
              </w:rPr>
            </w:pPr>
            <w:r w:rsidRPr="007B69C5">
              <w:t>41.6</w:t>
            </w:r>
          </w:p>
        </w:tc>
      </w:tr>
      <w:tr w:rsidR="001629F3" w:rsidRPr="007B69C5" w14:paraId="6EC39898" w14:textId="77777777" w:rsidTr="00F4111B">
        <w:trPr>
          <w:trHeight w:val="238"/>
        </w:trPr>
        <w:tc>
          <w:tcPr>
            <w:tcW w:w="2693" w:type="dxa"/>
            <w:tcBorders>
              <w:bottom w:val="single" w:sz="4" w:space="0" w:color="002C47" w:themeColor="accent1"/>
            </w:tcBorders>
          </w:tcPr>
          <w:p w14:paraId="63DA4823" w14:textId="1F59C3B1" w:rsidR="001629F3" w:rsidRPr="007B69C5" w:rsidRDefault="001629F3" w:rsidP="001629F3">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3458BE77" w14:textId="51B53198" w:rsidR="001629F3" w:rsidRPr="007B69C5" w:rsidRDefault="001629F3" w:rsidP="00F4111B">
            <w:pPr>
              <w:pStyle w:val="TableTextRight"/>
              <w:rPr>
                <w:color w:val="000000" w:themeColor="text1"/>
              </w:rPr>
            </w:pPr>
            <w:r w:rsidRPr="007B69C5">
              <w:t>43.2</w:t>
            </w:r>
          </w:p>
        </w:tc>
        <w:tc>
          <w:tcPr>
            <w:tcW w:w="992" w:type="dxa"/>
            <w:tcBorders>
              <w:bottom w:val="single" w:sz="4" w:space="0" w:color="002C47" w:themeColor="accent1"/>
            </w:tcBorders>
            <w:shd w:val="clear" w:color="auto" w:fill="D6EEF5" w:themeFill="text2" w:themeFillTint="33"/>
            <w:vAlign w:val="bottom"/>
          </w:tcPr>
          <w:p w14:paraId="3B9DF9C5" w14:textId="2F3C7B52" w:rsidR="001629F3" w:rsidRPr="007B69C5" w:rsidRDefault="001629F3" w:rsidP="00F4111B">
            <w:pPr>
              <w:pStyle w:val="TableTextRight"/>
              <w:rPr>
                <w:color w:val="000000" w:themeColor="text1"/>
              </w:rPr>
            </w:pPr>
            <w:r w:rsidRPr="007B69C5">
              <w:t>43.5</w:t>
            </w:r>
          </w:p>
        </w:tc>
        <w:tc>
          <w:tcPr>
            <w:tcW w:w="992" w:type="dxa"/>
            <w:tcBorders>
              <w:bottom w:val="single" w:sz="4" w:space="0" w:color="002C47" w:themeColor="accent1"/>
            </w:tcBorders>
            <w:vAlign w:val="bottom"/>
          </w:tcPr>
          <w:p w14:paraId="2D08ED29" w14:textId="3E53D03B" w:rsidR="001629F3" w:rsidRPr="007B69C5" w:rsidRDefault="001629F3" w:rsidP="00F4111B">
            <w:pPr>
              <w:pStyle w:val="TableTextRight"/>
              <w:rPr>
                <w:color w:val="000000" w:themeColor="text1"/>
              </w:rPr>
            </w:pPr>
            <w:r w:rsidRPr="007B69C5">
              <w:t>43.8</w:t>
            </w:r>
          </w:p>
        </w:tc>
        <w:tc>
          <w:tcPr>
            <w:tcW w:w="992" w:type="dxa"/>
            <w:tcBorders>
              <w:bottom w:val="single" w:sz="4" w:space="0" w:color="002C47" w:themeColor="accent1"/>
            </w:tcBorders>
            <w:vAlign w:val="bottom"/>
          </w:tcPr>
          <w:p w14:paraId="770BEA31" w14:textId="3068404D" w:rsidR="001629F3" w:rsidRPr="007B69C5" w:rsidRDefault="001629F3" w:rsidP="00F4111B">
            <w:pPr>
              <w:pStyle w:val="TableTextRight"/>
              <w:rPr>
                <w:color w:val="000000" w:themeColor="text1"/>
              </w:rPr>
            </w:pPr>
            <w:r w:rsidRPr="007B69C5">
              <w:t>44.1</w:t>
            </w:r>
          </w:p>
        </w:tc>
        <w:tc>
          <w:tcPr>
            <w:tcW w:w="992" w:type="dxa"/>
            <w:tcBorders>
              <w:bottom w:val="single" w:sz="4" w:space="0" w:color="002C47" w:themeColor="accent1"/>
            </w:tcBorders>
            <w:vAlign w:val="bottom"/>
          </w:tcPr>
          <w:p w14:paraId="67133F94" w14:textId="2A778DC9" w:rsidR="001629F3" w:rsidRPr="007B69C5" w:rsidRDefault="001629F3" w:rsidP="00F4111B">
            <w:pPr>
              <w:pStyle w:val="TableTextRight"/>
              <w:rPr>
                <w:color w:val="000000" w:themeColor="text1"/>
              </w:rPr>
            </w:pPr>
            <w:r w:rsidRPr="007B69C5">
              <w:t>44.4</w:t>
            </w:r>
          </w:p>
        </w:tc>
        <w:tc>
          <w:tcPr>
            <w:tcW w:w="992" w:type="dxa"/>
            <w:tcBorders>
              <w:bottom w:val="single" w:sz="4" w:space="0" w:color="002C47" w:themeColor="accent1"/>
            </w:tcBorders>
            <w:shd w:val="clear" w:color="auto" w:fill="DBF1E8" w:themeFill="background2" w:themeFillTint="33"/>
            <w:vAlign w:val="bottom"/>
          </w:tcPr>
          <w:p w14:paraId="46B94156" w14:textId="47871A42" w:rsidR="001629F3" w:rsidRPr="007B69C5" w:rsidRDefault="001629F3" w:rsidP="00F4111B">
            <w:pPr>
              <w:pStyle w:val="TableTextRight"/>
              <w:rPr>
                <w:color w:val="000000" w:themeColor="text1"/>
              </w:rPr>
            </w:pPr>
            <w:r w:rsidRPr="007B69C5">
              <w:t>46.4</w:t>
            </w:r>
          </w:p>
        </w:tc>
        <w:tc>
          <w:tcPr>
            <w:tcW w:w="993" w:type="dxa"/>
            <w:tcBorders>
              <w:bottom w:val="single" w:sz="4" w:space="0" w:color="002C47" w:themeColor="accent1"/>
            </w:tcBorders>
            <w:shd w:val="clear" w:color="auto" w:fill="DBF1E8" w:themeFill="background2" w:themeFillTint="33"/>
            <w:vAlign w:val="bottom"/>
          </w:tcPr>
          <w:p w14:paraId="29C6EAFC" w14:textId="25071F55" w:rsidR="001629F3" w:rsidRPr="007B69C5" w:rsidRDefault="001629F3" w:rsidP="00F4111B">
            <w:pPr>
              <w:pStyle w:val="TableTextRight"/>
              <w:rPr>
                <w:color w:val="000000" w:themeColor="text1"/>
              </w:rPr>
            </w:pPr>
            <w:r w:rsidRPr="007B69C5">
              <w:t>51.6</w:t>
            </w:r>
          </w:p>
        </w:tc>
      </w:tr>
      <w:tr w:rsidR="001629F3" w:rsidRPr="007B69C5" w14:paraId="52A46E0C" w14:textId="77777777" w:rsidTr="00F4111B">
        <w:trPr>
          <w:trHeight w:val="238"/>
        </w:trPr>
        <w:tc>
          <w:tcPr>
            <w:tcW w:w="2693" w:type="dxa"/>
            <w:tcBorders>
              <w:top w:val="single" w:sz="4" w:space="0" w:color="002C47" w:themeColor="accent1"/>
            </w:tcBorders>
          </w:tcPr>
          <w:p w14:paraId="60C1EB7D" w14:textId="1D49D30D" w:rsidR="001629F3" w:rsidRPr="007B69C5" w:rsidRDefault="001629F3" w:rsidP="001629F3">
            <w:pPr>
              <w:pStyle w:val="TableColumnHeadingLeft"/>
            </w:pPr>
            <w:r w:rsidRPr="007B69C5">
              <w:t>Old</w:t>
            </w:r>
            <w:r w:rsidR="001E782C" w:rsidRPr="007B69C5">
              <w:t>-</w:t>
            </w:r>
            <w:r w:rsidRPr="007B69C5">
              <w:t>age dependency ratio (%)</w:t>
            </w:r>
          </w:p>
        </w:tc>
        <w:tc>
          <w:tcPr>
            <w:tcW w:w="992" w:type="dxa"/>
            <w:tcBorders>
              <w:top w:val="single" w:sz="4" w:space="0" w:color="002C47" w:themeColor="accent1"/>
            </w:tcBorders>
            <w:vAlign w:val="bottom"/>
          </w:tcPr>
          <w:p w14:paraId="00D7F0EB" w14:textId="43431768" w:rsidR="001629F3" w:rsidRPr="007B69C5" w:rsidRDefault="001629F3" w:rsidP="00F4111B">
            <w:pPr>
              <w:pStyle w:val="TableTextRight"/>
            </w:pPr>
          </w:p>
        </w:tc>
        <w:tc>
          <w:tcPr>
            <w:tcW w:w="992" w:type="dxa"/>
            <w:tcBorders>
              <w:top w:val="single" w:sz="4" w:space="0" w:color="002C47" w:themeColor="accent1"/>
            </w:tcBorders>
            <w:shd w:val="clear" w:color="auto" w:fill="D6EEF5" w:themeFill="text2" w:themeFillTint="33"/>
            <w:vAlign w:val="bottom"/>
          </w:tcPr>
          <w:p w14:paraId="32E3BB02" w14:textId="2D90A6A0" w:rsidR="001629F3" w:rsidRPr="007B69C5" w:rsidRDefault="001629F3" w:rsidP="00F4111B">
            <w:pPr>
              <w:pStyle w:val="TableTextRight"/>
            </w:pPr>
          </w:p>
        </w:tc>
        <w:tc>
          <w:tcPr>
            <w:tcW w:w="992" w:type="dxa"/>
            <w:tcBorders>
              <w:top w:val="single" w:sz="4" w:space="0" w:color="002C47" w:themeColor="accent1"/>
            </w:tcBorders>
            <w:vAlign w:val="bottom"/>
          </w:tcPr>
          <w:p w14:paraId="3011B3DB" w14:textId="24C8A52F" w:rsidR="001629F3" w:rsidRPr="007B69C5" w:rsidRDefault="001629F3" w:rsidP="00F4111B">
            <w:pPr>
              <w:pStyle w:val="TableTextRight"/>
            </w:pPr>
          </w:p>
        </w:tc>
        <w:tc>
          <w:tcPr>
            <w:tcW w:w="992" w:type="dxa"/>
            <w:tcBorders>
              <w:top w:val="single" w:sz="4" w:space="0" w:color="002C47" w:themeColor="accent1"/>
            </w:tcBorders>
            <w:vAlign w:val="bottom"/>
          </w:tcPr>
          <w:p w14:paraId="631DA6BD" w14:textId="4852C83E" w:rsidR="001629F3" w:rsidRPr="007B69C5" w:rsidRDefault="001629F3" w:rsidP="00F4111B">
            <w:pPr>
              <w:pStyle w:val="TableTextRight"/>
            </w:pPr>
          </w:p>
        </w:tc>
        <w:tc>
          <w:tcPr>
            <w:tcW w:w="992" w:type="dxa"/>
            <w:tcBorders>
              <w:top w:val="single" w:sz="4" w:space="0" w:color="002C47" w:themeColor="accent1"/>
            </w:tcBorders>
            <w:vAlign w:val="bottom"/>
          </w:tcPr>
          <w:p w14:paraId="36BE2927" w14:textId="341CBF49" w:rsidR="001629F3" w:rsidRPr="007B69C5" w:rsidRDefault="001629F3" w:rsidP="00F4111B">
            <w:pPr>
              <w:pStyle w:val="TableTextRight"/>
            </w:pPr>
          </w:p>
        </w:tc>
        <w:tc>
          <w:tcPr>
            <w:tcW w:w="992" w:type="dxa"/>
            <w:tcBorders>
              <w:top w:val="single" w:sz="4" w:space="0" w:color="002C47" w:themeColor="accent1"/>
            </w:tcBorders>
            <w:shd w:val="clear" w:color="auto" w:fill="DBF1E8" w:themeFill="background2" w:themeFillTint="33"/>
            <w:vAlign w:val="bottom"/>
          </w:tcPr>
          <w:p w14:paraId="05494BBB" w14:textId="4349CEDE" w:rsidR="001629F3" w:rsidRPr="007B69C5" w:rsidRDefault="001629F3" w:rsidP="00F4111B">
            <w:pPr>
              <w:pStyle w:val="TableTextRight"/>
            </w:pPr>
          </w:p>
        </w:tc>
        <w:tc>
          <w:tcPr>
            <w:tcW w:w="993" w:type="dxa"/>
            <w:tcBorders>
              <w:top w:val="single" w:sz="4" w:space="0" w:color="002C47" w:themeColor="accent1"/>
            </w:tcBorders>
            <w:shd w:val="clear" w:color="auto" w:fill="DBF1E8" w:themeFill="background2" w:themeFillTint="33"/>
            <w:vAlign w:val="bottom"/>
          </w:tcPr>
          <w:p w14:paraId="102A76DB" w14:textId="31D08F01" w:rsidR="001629F3" w:rsidRPr="007B69C5" w:rsidRDefault="001629F3" w:rsidP="00F4111B">
            <w:pPr>
              <w:pStyle w:val="TableTextRight"/>
            </w:pPr>
          </w:p>
        </w:tc>
      </w:tr>
      <w:tr w:rsidR="001629F3" w:rsidRPr="007B69C5" w14:paraId="35A28906" w14:textId="77777777" w:rsidTr="00F4111B">
        <w:trPr>
          <w:trHeight w:val="238"/>
        </w:trPr>
        <w:tc>
          <w:tcPr>
            <w:tcW w:w="2693" w:type="dxa"/>
          </w:tcPr>
          <w:p w14:paraId="091E9BC1" w14:textId="790A6FF8" w:rsidR="001629F3" w:rsidRPr="007B69C5" w:rsidRDefault="001629F3" w:rsidP="00F4111B">
            <w:pPr>
              <w:pStyle w:val="TableTextLeft"/>
            </w:pPr>
            <w:r w:rsidRPr="007B69C5">
              <w:t>Victoria</w:t>
            </w:r>
          </w:p>
        </w:tc>
        <w:tc>
          <w:tcPr>
            <w:tcW w:w="992" w:type="dxa"/>
            <w:vAlign w:val="bottom"/>
          </w:tcPr>
          <w:p w14:paraId="7D561230" w14:textId="34326507" w:rsidR="001629F3" w:rsidRPr="007B69C5" w:rsidRDefault="001629F3" w:rsidP="00F4111B">
            <w:pPr>
              <w:pStyle w:val="TableTextRight"/>
              <w:rPr>
                <w:color w:val="000000" w:themeColor="text1"/>
              </w:rPr>
            </w:pPr>
            <w:r w:rsidRPr="007B69C5">
              <w:t>25.5</w:t>
            </w:r>
          </w:p>
        </w:tc>
        <w:tc>
          <w:tcPr>
            <w:tcW w:w="992" w:type="dxa"/>
            <w:shd w:val="clear" w:color="auto" w:fill="D6EEF5" w:themeFill="text2" w:themeFillTint="33"/>
            <w:vAlign w:val="bottom"/>
          </w:tcPr>
          <w:p w14:paraId="343314FA" w14:textId="0C5A8614" w:rsidR="001629F3" w:rsidRPr="007B69C5" w:rsidRDefault="001629F3" w:rsidP="00F4111B">
            <w:pPr>
              <w:pStyle w:val="TableTextRight"/>
              <w:rPr>
                <w:color w:val="000000" w:themeColor="text1"/>
              </w:rPr>
            </w:pPr>
            <w:r w:rsidRPr="007B69C5">
              <w:t>25.8</w:t>
            </w:r>
          </w:p>
        </w:tc>
        <w:tc>
          <w:tcPr>
            <w:tcW w:w="992" w:type="dxa"/>
            <w:vAlign w:val="bottom"/>
          </w:tcPr>
          <w:p w14:paraId="7696F311" w14:textId="07D65A27" w:rsidR="001629F3" w:rsidRPr="007B69C5" w:rsidRDefault="001629F3" w:rsidP="00F4111B">
            <w:pPr>
              <w:pStyle w:val="TableTextRight"/>
              <w:rPr>
                <w:color w:val="000000" w:themeColor="text1"/>
              </w:rPr>
            </w:pPr>
            <w:r w:rsidRPr="007B69C5">
              <w:t>26.2</w:t>
            </w:r>
          </w:p>
        </w:tc>
        <w:tc>
          <w:tcPr>
            <w:tcW w:w="992" w:type="dxa"/>
            <w:vAlign w:val="bottom"/>
          </w:tcPr>
          <w:p w14:paraId="5C2D54B2" w14:textId="454D3613" w:rsidR="001629F3" w:rsidRPr="007B69C5" w:rsidRDefault="001629F3" w:rsidP="00F4111B">
            <w:pPr>
              <w:pStyle w:val="TableTextRight"/>
              <w:rPr>
                <w:color w:val="000000" w:themeColor="text1"/>
              </w:rPr>
            </w:pPr>
            <w:r w:rsidRPr="007B69C5">
              <w:t>26.6</w:t>
            </w:r>
          </w:p>
        </w:tc>
        <w:tc>
          <w:tcPr>
            <w:tcW w:w="992" w:type="dxa"/>
            <w:vAlign w:val="bottom"/>
          </w:tcPr>
          <w:p w14:paraId="42075375" w14:textId="3E2061AD" w:rsidR="001629F3" w:rsidRPr="007B69C5" w:rsidRDefault="001629F3" w:rsidP="00F4111B">
            <w:pPr>
              <w:pStyle w:val="TableTextRight"/>
              <w:rPr>
                <w:color w:val="000000" w:themeColor="text1"/>
              </w:rPr>
            </w:pPr>
            <w:r w:rsidRPr="007B69C5">
              <w:t>27.0</w:t>
            </w:r>
          </w:p>
        </w:tc>
        <w:tc>
          <w:tcPr>
            <w:tcW w:w="992" w:type="dxa"/>
            <w:shd w:val="clear" w:color="auto" w:fill="DBF1E8" w:themeFill="background2" w:themeFillTint="33"/>
            <w:vAlign w:val="bottom"/>
          </w:tcPr>
          <w:p w14:paraId="409ABCED" w14:textId="7B4FFD77" w:rsidR="001629F3" w:rsidRPr="007B69C5" w:rsidRDefault="001629F3" w:rsidP="00F4111B">
            <w:pPr>
              <w:pStyle w:val="TableTextRight"/>
              <w:rPr>
                <w:color w:val="000000" w:themeColor="text1"/>
              </w:rPr>
            </w:pPr>
            <w:r w:rsidRPr="007B69C5">
              <w:t>29.2</w:t>
            </w:r>
          </w:p>
        </w:tc>
        <w:tc>
          <w:tcPr>
            <w:tcW w:w="993" w:type="dxa"/>
            <w:shd w:val="clear" w:color="auto" w:fill="DBF1E8" w:themeFill="background2" w:themeFillTint="33"/>
            <w:vAlign w:val="bottom"/>
          </w:tcPr>
          <w:p w14:paraId="43D5C76F" w14:textId="46BBB358" w:rsidR="001629F3" w:rsidRPr="007B69C5" w:rsidRDefault="001629F3" w:rsidP="00F4111B">
            <w:pPr>
              <w:pStyle w:val="TableTextRight"/>
              <w:rPr>
                <w:color w:val="000000" w:themeColor="text1"/>
              </w:rPr>
            </w:pPr>
            <w:r w:rsidRPr="007B69C5">
              <w:t>37.4</w:t>
            </w:r>
          </w:p>
        </w:tc>
      </w:tr>
      <w:tr w:rsidR="001629F3" w:rsidRPr="007B69C5" w14:paraId="000DD2F5" w14:textId="77777777" w:rsidTr="00F4111B">
        <w:trPr>
          <w:trHeight w:val="87"/>
        </w:trPr>
        <w:tc>
          <w:tcPr>
            <w:tcW w:w="2693" w:type="dxa"/>
            <w:tcBorders>
              <w:bottom w:val="single" w:sz="4" w:space="0" w:color="EBE9E8" w:themeColor="accent5" w:themeTint="33"/>
            </w:tcBorders>
          </w:tcPr>
          <w:p w14:paraId="376F859E" w14:textId="54C946DD" w:rsidR="001629F3" w:rsidRPr="007B69C5" w:rsidRDefault="001629F3" w:rsidP="001629F3">
            <w:pPr>
              <w:pStyle w:val="Tabletextleftindent"/>
            </w:pPr>
            <w:r w:rsidRPr="007B69C5">
              <w:t xml:space="preserve">Greater Melbourne </w:t>
            </w:r>
          </w:p>
        </w:tc>
        <w:tc>
          <w:tcPr>
            <w:tcW w:w="992" w:type="dxa"/>
            <w:tcBorders>
              <w:bottom w:val="single" w:sz="4" w:space="0" w:color="EBE9E8" w:themeColor="accent5" w:themeTint="33"/>
            </w:tcBorders>
            <w:vAlign w:val="bottom"/>
          </w:tcPr>
          <w:p w14:paraId="47059560" w14:textId="29DC0D37" w:rsidR="001629F3" w:rsidRPr="007B69C5" w:rsidRDefault="001629F3" w:rsidP="00F4111B">
            <w:pPr>
              <w:pStyle w:val="TableTextRight"/>
              <w:rPr>
                <w:color w:val="000000" w:themeColor="text1"/>
              </w:rPr>
            </w:pPr>
            <w:r w:rsidRPr="007B69C5">
              <w:t>21.8</w:t>
            </w:r>
          </w:p>
        </w:tc>
        <w:tc>
          <w:tcPr>
            <w:tcW w:w="992" w:type="dxa"/>
            <w:tcBorders>
              <w:bottom w:val="single" w:sz="4" w:space="0" w:color="EBE9E8" w:themeColor="accent5" w:themeTint="33"/>
            </w:tcBorders>
            <w:shd w:val="clear" w:color="auto" w:fill="D6EEF5" w:themeFill="text2" w:themeFillTint="33"/>
            <w:vAlign w:val="bottom"/>
          </w:tcPr>
          <w:p w14:paraId="705C552B" w14:textId="79F3AD13" w:rsidR="001629F3" w:rsidRPr="007B69C5" w:rsidRDefault="001629F3" w:rsidP="00F4111B">
            <w:pPr>
              <w:pStyle w:val="TableTextRight"/>
              <w:rPr>
                <w:color w:val="000000" w:themeColor="text1"/>
              </w:rPr>
            </w:pPr>
            <w:r w:rsidRPr="007B69C5">
              <w:t>22.1</w:t>
            </w:r>
          </w:p>
        </w:tc>
        <w:tc>
          <w:tcPr>
            <w:tcW w:w="992" w:type="dxa"/>
            <w:tcBorders>
              <w:bottom w:val="single" w:sz="4" w:space="0" w:color="EBE9E8" w:themeColor="accent5" w:themeTint="33"/>
            </w:tcBorders>
            <w:vAlign w:val="bottom"/>
          </w:tcPr>
          <w:p w14:paraId="3F5233FC" w14:textId="1443B7A7" w:rsidR="001629F3" w:rsidRPr="007B69C5" w:rsidRDefault="001629F3" w:rsidP="00F4111B">
            <w:pPr>
              <w:pStyle w:val="TableTextRight"/>
              <w:rPr>
                <w:color w:val="000000" w:themeColor="text1"/>
              </w:rPr>
            </w:pPr>
            <w:r w:rsidRPr="007B69C5">
              <w:t>22.4</w:t>
            </w:r>
          </w:p>
        </w:tc>
        <w:tc>
          <w:tcPr>
            <w:tcW w:w="992" w:type="dxa"/>
            <w:tcBorders>
              <w:bottom w:val="single" w:sz="4" w:space="0" w:color="EBE9E8" w:themeColor="accent5" w:themeTint="33"/>
            </w:tcBorders>
            <w:vAlign w:val="bottom"/>
          </w:tcPr>
          <w:p w14:paraId="34BCB1A3" w14:textId="04E93DFD" w:rsidR="001629F3" w:rsidRPr="007B69C5" w:rsidRDefault="001629F3" w:rsidP="00F4111B">
            <w:pPr>
              <w:pStyle w:val="TableTextRight"/>
              <w:rPr>
                <w:color w:val="000000" w:themeColor="text1"/>
              </w:rPr>
            </w:pPr>
            <w:r w:rsidRPr="007B69C5">
              <w:t>22.7</w:t>
            </w:r>
          </w:p>
        </w:tc>
        <w:tc>
          <w:tcPr>
            <w:tcW w:w="992" w:type="dxa"/>
            <w:tcBorders>
              <w:bottom w:val="single" w:sz="4" w:space="0" w:color="EBE9E8" w:themeColor="accent5" w:themeTint="33"/>
            </w:tcBorders>
            <w:vAlign w:val="bottom"/>
          </w:tcPr>
          <w:p w14:paraId="4817311A" w14:textId="02FBCEDB" w:rsidR="001629F3" w:rsidRPr="007B69C5" w:rsidRDefault="001629F3" w:rsidP="00F4111B">
            <w:pPr>
              <w:pStyle w:val="TableTextRight"/>
              <w:rPr>
                <w:color w:val="000000" w:themeColor="text1"/>
              </w:rPr>
            </w:pPr>
            <w:r w:rsidRPr="007B69C5">
              <w:t>22.9</w:t>
            </w:r>
          </w:p>
        </w:tc>
        <w:tc>
          <w:tcPr>
            <w:tcW w:w="992" w:type="dxa"/>
            <w:tcBorders>
              <w:bottom w:val="single" w:sz="4" w:space="0" w:color="EBE9E8" w:themeColor="accent5" w:themeTint="33"/>
            </w:tcBorders>
            <w:shd w:val="clear" w:color="auto" w:fill="DBF1E8" w:themeFill="background2" w:themeFillTint="33"/>
            <w:vAlign w:val="bottom"/>
          </w:tcPr>
          <w:p w14:paraId="5C0F5ED8" w14:textId="113B6707" w:rsidR="001629F3" w:rsidRPr="007B69C5" w:rsidRDefault="001629F3" w:rsidP="00F4111B">
            <w:pPr>
              <w:pStyle w:val="TableTextRight"/>
              <w:rPr>
                <w:color w:val="000000" w:themeColor="text1"/>
              </w:rPr>
            </w:pPr>
            <w:r w:rsidRPr="007B69C5">
              <w:t>24.9</w:t>
            </w:r>
          </w:p>
        </w:tc>
        <w:tc>
          <w:tcPr>
            <w:tcW w:w="993" w:type="dxa"/>
            <w:tcBorders>
              <w:bottom w:val="single" w:sz="4" w:space="0" w:color="EBE9E8" w:themeColor="accent5" w:themeTint="33"/>
            </w:tcBorders>
            <w:shd w:val="clear" w:color="auto" w:fill="DBF1E8" w:themeFill="background2" w:themeFillTint="33"/>
            <w:vAlign w:val="bottom"/>
          </w:tcPr>
          <w:p w14:paraId="0A8160FA" w14:textId="2EEC2541" w:rsidR="001629F3" w:rsidRPr="007B69C5" w:rsidRDefault="001629F3" w:rsidP="00F4111B">
            <w:pPr>
              <w:pStyle w:val="TableTextRight"/>
              <w:rPr>
                <w:color w:val="000000" w:themeColor="text1"/>
              </w:rPr>
            </w:pPr>
            <w:r w:rsidRPr="007B69C5">
              <w:t>33.1</w:t>
            </w:r>
          </w:p>
        </w:tc>
      </w:tr>
      <w:tr w:rsidR="001629F3" w:rsidRPr="007B69C5" w14:paraId="76142E5E" w14:textId="77777777" w:rsidTr="00F4111B">
        <w:trPr>
          <w:trHeight w:val="238"/>
        </w:trPr>
        <w:tc>
          <w:tcPr>
            <w:tcW w:w="2693" w:type="dxa"/>
            <w:tcBorders>
              <w:bottom w:val="single" w:sz="4" w:space="0" w:color="002C47" w:themeColor="accent1"/>
            </w:tcBorders>
          </w:tcPr>
          <w:p w14:paraId="2D62A3FF" w14:textId="1304A385" w:rsidR="001629F3" w:rsidRPr="007B69C5" w:rsidRDefault="001629F3" w:rsidP="001629F3">
            <w:pPr>
              <w:pStyle w:val="Tabletextleftindent"/>
            </w:pPr>
            <w:r w:rsidRPr="007B69C5">
              <w:t>Rest</w:t>
            </w:r>
            <w:r w:rsidR="001E782C" w:rsidRPr="007B69C5">
              <w:t>-</w:t>
            </w:r>
            <w:r w:rsidRPr="007B69C5">
              <w:t>of</w:t>
            </w:r>
            <w:r w:rsidR="001E782C" w:rsidRPr="007B69C5">
              <w:t>-</w:t>
            </w:r>
            <w:r w:rsidRPr="007B69C5">
              <w:t>Victoria</w:t>
            </w:r>
          </w:p>
        </w:tc>
        <w:tc>
          <w:tcPr>
            <w:tcW w:w="992" w:type="dxa"/>
            <w:tcBorders>
              <w:bottom w:val="single" w:sz="4" w:space="0" w:color="002C47" w:themeColor="accent1"/>
            </w:tcBorders>
            <w:vAlign w:val="bottom"/>
          </w:tcPr>
          <w:p w14:paraId="15AF5B72" w14:textId="3401D785" w:rsidR="001629F3" w:rsidRPr="007B69C5" w:rsidRDefault="001629F3" w:rsidP="00F4111B">
            <w:pPr>
              <w:pStyle w:val="TableTextRight"/>
              <w:rPr>
                <w:color w:val="000000" w:themeColor="text1"/>
              </w:rPr>
            </w:pPr>
            <w:r w:rsidRPr="007B69C5">
              <w:t>38.5</w:t>
            </w:r>
          </w:p>
        </w:tc>
        <w:tc>
          <w:tcPr>
            <w:tcW w:w="992" w:type="dxa"/>
            <w:tcBorders>
              <w:bottom w:val="single" w:sz="4" w:space="0" w:color="002C47" w:themeColor="accent1"/>
            </w:tcBorders>
            <w:shd w:val="clear" w:color="auto" w:fill="D6EEF5" w:themeFill="text2" w:themeFillTint="33"/>
            <w:vAlign w:val="bottom"/>
          </w:tcPr>
          <w:p w14:paraId="28D1A834" w14:textId="45B5D79E" w:rsidR="001629F3" w:rsidRPr="007B69C5" w:rsidRDefault="001629F3" w:rsidP="00F4111B">
            <w:pPr>
              <w:pStyle w:val="TableTextRight"/>
              <w:rPr>
                <w:color w:val="000000" w:themeColor="text1"/>
              </w:rPr>
            </w:pPr>
            <w:r w:rsidRPr="007B69C5">
              <w:t>39.8</w:t>
            </w:r>
          </w:p>
        </w:tc>
        <w:tc>
          <w:tcPr>
            <w:tcW w:w="992" w:type="dxa"/>
            <w:tcBorders>
              <w:bottom w:val="single" w:sz="4" w:space="0" w:color="002C47" w:themeColor="accent1"/>
            </w:tcBorders>
            <w:vAlign w:val="bottom"/>
          </w:tcPr>
          <w:p w14:paraId="10DD794E" w14:textId="6C1D9B1E" w:rsidR="001629F3" w:rsidRPr="007B69C5" w:rsidRDefault="001629F3" w:rsidP="00F4111B">
            <w:pPr>
              <w:pStyle w:val="TableTextRight"/>
              <w:rPr>
                <w:color w:val="000000" w:themeColor="text1"/>
              </w:rPr>
            </w:pPr>
            <w:r w:rsidRPr="007B69C5">
              <w:t>40.9</w:t>
            </w:r>
          </w:p>
        </w:tc>
        <w:tc>
          <w:tcPr>
            <w:tcW w:w="992" w:type="dxa"/>
            <w:tcBorders>
              <w:bottom w:val="single" w:sz="4" w:space="0" w:color="002C47" w:themeColor="accent1"/>
            </w:tcBorders>
            <w:vAlign w:val="bottom"/>
          </w:tcPr>
          <w:p w14:paraId="0F4145A0" w14:textId="46D4BC1E" w:rsidR="001629F3" w:rsidRPr="007B69C5" w:rsidRDefault="001629F3" w:rsidP="00F4111B">
            <w:pPr>
              <w:pStyle w:val="TableTextRight"/>
              <w:rPr>
                <w:color w:val="000000" w:themeColor="text1"/>
              </w:rPr>
            </w:pPr>
            <w:r w:rsidRPr="007B69C5">
              <w:t>41.9</w:t>
            </w:r>
          </w:p>
        </w:tc>
        <w:tc>
          <w:tcPr>
            <w:tcW w:w="992" w:type="dxa"/>
            <w:tcBorders>
              <w:bottom w:val="single" w:sz="4" w:space="0" w:color="002C47" w:themeColor="accent1"/>
            </w:tcBorders>
            <w:vAlign w:val="bottom"/>
          </w:tcPr>
          <w:p w14:paraId="6910DB3B" w14:textId="6A41AC3A" w:rsidR="001629F3" w:rsidRPr="007B69C5" w:rsidRDefault="001629F3" w:rsidP="00F4111B">
            <w:pPr>
              <w:pStyle w:val="TableTextRight"/>
              <w:rPr>
                <w:color w:val="000000" w:themeColor="text1"/>
              </w:rPr>
            </w:pPr>
            <w:r w:rsidRPr="007B69C5">
              <w:t>42.9</w:t>
            </w:r>
          </w:p>
        </w:tc>
        <w:tc>
          <w:tcPr>
            <w:tcW w:w="992" w:type="dxa"/>
            <w:tcBorders>
              <w:bottom w:val="single" w:sz="4" w:space="0" w:color="002C47" w:themeColor="accent1"/>
            </w:tcBorders>
            <w:shd w:val="clear" w:color="auto" w:fill="DBF1E8" w:themeFill="background2" w:themeFillTint="33"/>
            <w:vAlign w:val="bottom"/>
          </w:tcPr>
          <w:p w14:paraId="2AFF4F24" w14:textId="74792B66" w:rsidR="001629F3" w:rsidRPr="007B69C5" w:rsidRDefault="001629F3" w:rsidP="00F4111B">
            <w:pPr>
              <w:pStyle w:val="TableTextRight"/>
              <w:rPr>
                <w:color w:val="000000" w:themeColor="text1"/>
              </w:rPr>
            </w:pPr>
            <w:r w:rsidRPr="007B69C5">
              <w:t>48.0</w:t>
            </w:r>
          </w:p>
        </w:tc>
        <w:tc>
          <w:tcPr>
            <w:tcW w:w="993" w:type="dxa"/>
            <w:tcBorders>
              <w:bottom w:val="single" w:sz="4" w:space="0" w:color="002C47" w:themeColor="accent1"/>
            </w:tcBorders>
            <w:shd w:val="clear" w:color="auto" w:fill="DBF1E8" w:themeFill="background2" w:themeFillTint="33"/>
            <w:vAlign w:val="bottom"/>
          </w:tcPr>
          <w:p w14:paraId="3CBB3832" w14:textId="6782CB55" w:rsidR="001629F3" w:rsidRPr="007B69C5" w:rsidRDefault="001629F3" w:rsidP="00F4111B">
            <w:pPr>
              <w:pStyle w:val="TableTextRight"/>
              <w:rPr>
                <w:color w:val="000000" w:themeColor="text1"/>
              </w:rPr>
            </w:pPr>
            <w:r w:rsidRPr="007B69C5">
              <w:t>60.3</w:t>
            </w:r>
          </w:p>
        </w:tc>
      </w:tr>
    </w:tbl>
    <w:p w14:paraId="7F43B438" w14:textId="258769A0" w:rsidR="002337D6" w:rsidRPr="00045C24" w:rsidRDefault="002A07BB" w:rsidP="006800EF">
      <w:pPr>
        <w:pStyle w:val="TableChartFigureSource"/>
      </w:pPr>
      <w:r w:rsidRPr="002A07BB">
        <w:t>Source:</w:t>
      </w:r>
      <w:r w:rsidR="00F4111B">
        <w:tab/>
      </w:r>
      <w:r w:rsidRPr="002A07BB">
        <w:t xml:space="preserve">ABS, </w:t>
      </w:r>
      <w:r w:rsidRPr="00FB0EF0">
        <w:rPr>
          <w:i/>
          <w:iCs/>
        </w:rPr>
        <w:t>National, state and territory population</w:t>
      </w:r>
      <w:r w:rsidRPr="002A07BB">
        <w:t xml:space="preserve">, </w:t>
      </w:r>
      <w:r w:rsidRPr="00AA1041">
        <w:rPr>
          <w:i/>
          <w:iCs/>
        </w:rPr>
        <w:t>March 2025</w:t>
      </w:r>
      <w:r w:rsidRPr="002A07BB">
        <w:t xml:space="preserve">; ABS, </w:t>
      </w:r>
      <w:r w:rsidRPr="00FB0EF0">
        <w:rPr>
          <w:i/>
          <w:iCs/>
        </w:rPr>
        <w:t>Regional population</w:t>
      </w:r>
      <w:r w:rsidR="00F14D03">
        <w:rPr>
          <w:i/>
          <w:iCs/>
        </w:rPr>
        <w:t xml:space="preserve">, </w:t>
      </w:r>
      <w:r w:rsidRPr="00FB0EF0">
        <w:rPr>
          <w:i/>
          <w:iCs/>
        </w:rPr>
        <w:t>2023–24</w:t>
      </w:r>
      <w:r w:rsidRPr="002A07BB">
        <w:t>; and</w:t>
      </w:r>
      <w:r w:rsidR="00376581">
        <w:t xml:space="preserve"> </w:t>
      </w:r>
      <w:r w:rsidRPr="002A07BB">
        <w:t>Centre</w:t>
      </w:r>
      <w:r w:rsidR="00F4111B">
        <w:t> </w:t>
      </w:r>
      <w:r w:rsidRPr="002A07BB">
        <w:t>for</w:t>
      </w:r>
      <w:r w:rsidR="00F4111B">
        <w:t> </w:t>
      </w:r>
      <w:r w:rsidRPr="002A07BB">
        <w:t>Population.</w:t>
      </w:r>
    </w:p>
    <w:sectPr w:rsidR="002337D6" w:rsidRPr="00045C24" w:rsidSect="0063441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DD4E" w14:textId="77777777" w:rsidR="00F70D70" w:rsidRDefault="00F70D70" w:rsidP="0057435B">
      <w:r>
        <w:separator/>
      </w:r>
    </w:p>
  </w:endnote>
  <w:endnote w:type="continuationSeparator" w:id="0">
    <w:p w14:paraId="3F489EA6" w14:textId="77777777" w:rsidR="00F70D70" w:rsidRDefault="00F70D70" w:rsidP="0057435B">
      <w:r>
        <w:continuationSeparator/>
      </w:r>
    </w:p>
    <w:p w14:paraId="5FFB2CA8" w14:textId="77777777" w:rsidR="00F70D70" w:rsidRDefault="00F70D70" w:rsidP="0057435B"/>
  </w:endnote>
  <w:endnote w:type="continuationNotice" w:id="1">
    <w:p w14:paraId="3D462EAA" w14:textId="77777777" w:rsidR="00F70D70" w:rsidRDefault="00F70D70"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28EB7E76"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72289583">
          <wp:simplePos x="1082040" y="9731375"/>
          <wp:positionH relativeFrom="column">
            <wp:align>center</wp:align>
          </wp:positionH>
          <wp:positionV relativeFrom="page">
            <wp:align>bottom</wp:align>
          </wp:positionV>
          <wp:extent cx="7559675" cy="718820"/>
          <wp:effectExtent l="0" t="0" r="3175" b="5080"/>
          <wp:wrapNone/>
          <wp:docPr id="1223513747" name="Picture 1223513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13747" name="Picture 122351374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5B6B2E8B"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C42E6A">
      <w:rPr>
        <w:noProof/>
      </w:rPr>
      <w:drawing>
        <wp:anchor distT="0" distB="0" distL="114300" distR="114300" simplePos="0" relativeHeight="251668490" behindDoc="1" locked="1" layoutInCell="1" allowOverlap="1" wp14:anchorId="39E56A08" wp14:editId="4575D439">
          <wp:simplePos x="0" y="0"/>
          <wp:positionH relativeFrom="margin">
            <wp:posOffset>-721360</wp:posOffset>
          </wp:positionH>
          <wp:positionV relativeFrom="page">
            <wp:posOffset>9900920</wp:posOffset>
          </wp:positionV>
          <wp:extent cx="7558405" cy="791845"/>
          <wp:effectExtent l="0" t="0" r="4445" b="8255"/>
          <wp:wrapNone/>
          <wp:docPr id="433373753" name="Picture 433373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210C81F6"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C42E6A">
      <w:rPr>
        <w:noProof/>
      </w:rPr>
      <w:drawing>
        <wp:anchor distT="0" distB="0" distL="114300" distR="114300" simplePos="0" relativeHeight="251666442" behindDoc="1" locked="1" layoutInCell="1" allowOverlap="1" wp14:anchorId="77E27303" wp14:editId="6010FC5C">
          <wp:simplePos x="0" y="0"/>
          <wp:positionH relativeFrom="margin">
            <wp:posOffset>-721995</wp:posOffset>
          </wp:positionH>
          <wp:positionV relativeFrom="margin">
            <wp:posOffset>9017635</wp:posOffset>
          </wp:positionV>
          <wp:extent cx="7558405" cy="791845"/>
          <wp:effectExtent l="0" t="0" r="4445" b="8255"/>
          <wp:wrapNone/>
          <wp:docPr id="1589990391" name="Picture 1589990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3601" w14:textId="77777777" w:rsidR="00F70D70" w:rsidRDefault="00F70D70" w:rsidP="0057435B">
      <w:r>
        <w:separator/>
      </w:r>
    </w:p>
  </w:footnote>
  <w:footnote w:type="continuationSeparator" w:id="0">
    <w:p w14:paraId="0C1B661D" w14:textId="77777777" w:rsidR="00F70D70" w:rsidRDefault="00F70D70" w:rsidP="0057435B">
      <w:r>
        <w:continuationSeparator/>
      </w:r>
    </w:p>
    <w:p w14:paraId="122927A7" w14:textId="77777777" w:rsidR="00F70D70" w:rsidRDefault="00F70D70" w:rsidP="0057435B"/>
  </w:footnote>
  <w:footnote w:type="continuationNotice" w:id="1">
    <w:p w14:paraId="4D9A7854" w14:textId="77777777" w:rsidR="00F70D70" w:rsidRDefault="00F70D70" w:rsidP="0057435B"/>
  </w:footnote>
  <w:footnote w:id="2">
    <w:p w14:paraId="755C580D" w14:textId="587CE4E4" w:rsidR="0022252E" w:rsidRDefault="007B69C5" w:rsidP="00C04026">
      <w:pPr>
        <w:pStyle w:val="FootnoteText"/>
      </w:pPr>
      <w:r w:rsidRPr="007B69C5">
        <w:rPr>
          <w:rStyle w:val="FootnoteReference"/>
          <w:vertAlign w:val="baseline"/>
        </w:rPr>
        <w:footnoteRef/>
      </w:r>
      <w:r>
        <w:tab/>
      </w:r>
      <w:r w:rsidR="00B4020A" w:rsidRPr="00E2666A">
        <w:t xml:space="preserve">All insights refer to over the projection period </w:t>
      </w:r>
      <w:r w:rsidR="00B4020A">
        <w:t>(2024</w:t>
      </w:r>
      <w:r w:rsidR="00B4020A" w:rsidRPr="00BF10D4">
        <w:t>–</w:t>
      </w:r>
      <w:r w:rsidR="00B4020A">
        <w:t>25 to 2065</w:t>
      </w:r>
      <w:r w:rsidR="00B4020A" w:rsidRPr="00BF10D4">
        <w:t>–66</w:t>
      </w:r>
      <w:r w:rsidR="00B4020A">
        <w:t>)</w:t>
      </w:r>
      <w:r w:rsidR="00B4020A" w:rsidRPr="00F106A7">
        <w:t xml:space="preserve"> </w:t>
      </w:r>
      <w:r w:rsidR="00B4020A" w:rsidRPr="00E2666A">
        <w:t>unless otherwise specified.</w:t>
      </w:r>
      <w:r w:rsidR="00B4020A">
        <w:t xml:space="preserve"> </w:t>
      </w:r>
      <w:r w:rsidR="00B4020A" w:rsidRPr="00BD262C">
        <w:t xml:space="preserve">The main data source for these </w:t>
      </w:r>
      <w:r w:rsidR="00B4020A" w:rsidRPr="00C04026">
        <w:rPr>
          <w:spacing w:val="-1"/>
        </w:rPr>
        <w:t>projections is the Australian Bureau of Statistics (ABS)</w:t>
      </w:r>
      <w:r w:rsidR="00376581" w:rsidRPr="00C04026">
        <w:rPr>
          <w:spacing w:val="-1"/>
        </w:rPr>
        <w:t>,</w:t>
      </w:r>
      <w:r w:rsidR="00B4020A" w:rsidRPr="00C04026">
        <w:rPr>
          <w:spacing w:val="-1"/>
        </w:rPr>
        <w:t xml:space="preserve"> </w:t>
      </w:r>
      <w:r w:rsidR="00B4020A" w:rsidRPr="00C04026">
        <w:rPr>
          <w:i/>
          <w:iCs/>
          <w:spacing w:val="-1"/>
        </w:rPr>
        <w:t>National, state and territory population, March 2025</w:t>
      </w:r>
      <w:r w:rsidR="00B4020A" w:rsidRPr="00C04026">
        <w:rPr>
          <w:spacing w:val="-1"/>
        </w:rPr>
        <w:t>, released in September</w:t>
      </w:r>
      <w:r w:rsidR="00C04026" w:rsidRPr="00C04026">
        <w:rPr>
          <w:spacing w:val="-1"/>
        </w:rPr>
        <w:t> </w:t>
      </w:r>
      <w:r w:rsidR="00B4020A" w:rsidRPr="00C04026">
        <w:rPr>
          <w:spacing w:val="-1"/>
        </w:rPr>
        <w:t>2025.</w:t>
      </w:r>
      <w:r w:rsidR="00B4020A">
        <w:t xml:space="preserve"> </w:t>
      </w:r>
      <w:r w:rsidR="00B4020A" w:rsidRPr="00A97992">
        <w:t xml:space="preserve">After the projections in this statement were prepared, the ABS released the </w:t>
      </w:r>
      <w:r w:rsidR="00B4020A" w:rsidRPr="00376581">
        <w:rPr>
          <w:i/>
          <w:iCs/>
        </w:rPr>
        <w:t>National, state and territory population, June 2025.</w:t>
      </w:r>
    </w:p>
  </w:footnote>
  <w:footnote w:id="3">
    <w:p w14:paraId="185913B4" w14:textId="1F499D1A" w:rsidR="001F3711" w:rsidRPr="007B69C5" w:rsidRDefault="007B69C5" w:rsidP="007B69C5">
      <w:pPr>
        <w:pStyle w:val="FootnoteText"/>
      </w:pPr>
      <w:r w:rsidRPr="007B69C5">
        <w:rPr>
          <w:rStyle w:val="FootnoteReference"/>
          <w:vertAlign w:val="baseline"/>
        </w:rPr>
        <w:footnoteRef/>
      </w:r>
      <w:r>
        <w:tab/>
      </w:r>
      <w:r w:rsidR="005450FD" w:rsidRPr="007B69C5">
        <w:t>The Greater Capital City Statistical Area (GCCSA) population statistics are from ABS</w:t>
      </w:r>
      <w:r w:rsidR="00376581">
        <w:t>,</w:t>
      </w:r>
      <w:r w:rsidR="005450FD" w:rsidRPr="007B69C5">
        <w:t xml:space="preserve"> </w:t>
      </w:r>
      <w:r w:rsidR="005450FD" w:rsidRPr="00376581">
        <w:rPr>
          <w:i/>
          <w:iCs/>
        </w:rPr>
        <w:t>Regional population, 2023</w:t>
      </w:r>
      <w:r w:rsidR="004313D7" w:rsidRPr="00376581">
        <w:rPr>
          <w:i/>
          <w:iCs/>
        </w:rPr>
        <w:t>–</w:t>
      </w:r>
      <w:r w:rsidR="005450FD" w:rsidRPr="00376581">
        <w:rPr>
          <w:i/>
          <w:iCs/>
        </w:rPr>
        <w:t>24</w:t>
      </w:r>
      <w:r w:rsidR="005450FD" w:rsidRPr="007B69C5">
        <w:t>, released on 27</w:t>
      </w:r>
      <w:r w:rsidR="00757092">
        <w:t> </w:t>
      </w:r>
      <w:r w:rsidR="005450FD" w:rsidRPr="007B69C5">
        <w:t>March</w:t>
      </w:r>
      <w:r w:rsidR="00757092">
        <w:t> </w:t>
      </w:r>
      <w:r w:rsidR="005450FD" w:rsidRPr="007B69C5">
        <w:t xml:space="preserve">2025. These estimates do not sum to the state and territory estimates largely due to the implementation of the net interstate migration review, released </w:t>
      </w:r>
      <w:r w:rsidR="002D679E" w:rsidRPr="007B69C5">
        <w:t xml:space="preserve">by the ABS </w:t>
      </w:r>
      <w:r w:rsidR="005450FD" w:rsidRPr="007B69C5">
        <w:t xml:space="preserve">on 19 June 2025. Corresponding sub-state revisions will be included in the next scheduled release of </w:t>
      </w:r>
      <w:proofErr w:type="gramStart"/>
      <w:r w:rsidR="005450FD" w:rsidRPr="00376581">
        <w:rPr>
          <w:i/>
          <w:iCs/>
        </w:rPr>
        <w:t>Regional</w:t>
      </w:r>
      <w:proofErr w:type="gramEnd"/>
      <w:r w:rsidR="005450FD" w:rsidRPr="00376581">
        <w:rPr>
          <w:i/>
          <w:iCs/>
        </w:rPr>
        <w:t xml:space="preserve"> population, 2024-25</w:t>
      </w:r>
      <w:r w:rsidR="00376581">
        <w:rPr>
          <w:i/>
          <w:iCs/>
        </w:rPr>
        <w:t>,</w:t>
      </w:r>
      <w:r w:rsidR="005450FD" w:rsidRPr="007B69C5">
        <w:t xml:space="preserve"> on 31</w:t>
      </w:r>
      <w:r w:rsidR="002D679E" w:rsidRPr="007B69C5">
        <w:t> </w:t>
      </w:r>
      <w:r w:rsidR="005450FD" w:rsidRPr="007B69C5">
        <w:t>March 2026.</w:t>
      </w:r>
    </w:p>
  </w:footnote>
  <w:footnote w:id="4">
    <w:p w14:paraId="14460B5F" w14:textId="2F4EC666" w:rsidR="00F17ED9" w:rsidRPr="007B69C5" w:rsidRDefault="007B69C5" w:rsidP="007B69C5">
      <w:pPr>
        <w:pStyle w:val="FootnoteText"/>
      </w:pPr>
      <w:r w:rsidRPr="007B69C5">
        <w:rPr>
          <w:rStyle w:val="FootnoteReference"/>
          <w:vertAlign w:val="baseline"/>
        </w:rPr>
        <w:footnoteRef/>
      </w:r>
      <w:r>
        <w:tab/>
      </w:r>
      <w:r w:rsidR="00F17ED9" w:rsidRPr="007B69C5">
        <w:t>Estimates beyond 2035–36 are experimental.</w:t>
      </w:r>
    </w:p>
  </w:footnote>
  <w:footnote w:id="5">
    <w:p w14:paraId="39732AB4" w14:textId="5C5287B4" w:rsidR="001F3711" w:rsidRDefault="007B69C5" w:rsidP="007B69C5">
      <w:pPr>
        <w:pStyle w:val="FootnoteText"/>
      </w:pPr>
      <w:r w:rsidRPr="007B69C5">
        <w:rPr>
          <w:rStyle w:val="FootnoteReference"/>
          <w:vertAlign w:val="baseline"/>
        </w:rPr>
        <w:footnoteRef/>
      </w:r>
      <w:r>
        <w:tab/>
      </w:r>
      <w:r w:rsidR="00BE3563" w:rsidRPr="007B69C5">
        <w:t xml:space="preserve">The total fertility rates for </w:t>
      </w:r>
      <w:r w:rsidR="00C304ED" w:rsidRPr="007B69C5">
        <w:t>g</w:t>
      </w:r>
      <w:r w:rsidR="00BE3563" w:rsidRPr="007B69C5">
        <w:t xml:space="preserve">reater </w:t>
      </w:r>
      <w:r w:rsidR="00C304ED" w:rsidRPr="007B69C5">
        <w:t>c</w:t>
      </w:r>
      <w:r w:rsidR="00BE3563" w:rsidRPr="007B69C5">
        <w:t xml:space="preserve">apital </w:t>
      </w:r>
      <w:r w:rsidR="00C304ED" w:rsidRPr="007B69C5">
        <w:t>c</w:t>
      </w:r>
      <w:r w:rsidR="00BE3563" w:rsidRPr="007B69C5">
        <w:t xml:space="preserve">ity and </w:t>
      </w:r>
      <w:r w:rsidR="00C304ED" w:rsidRPr="007B69C5">
        <w:t>r</w:t>
      </w:r>
      <w:r w:rsidR="00BE3563" w:rsidRPr="007B69C5">
        <w:t>est-of-</w:t>
      </w:r>
      <w:r w:rsidR="00C304ED" w:rsidRPr="007B69C5">
        <w:t>s</w:t>
      </w:r>
      <w:r w:rsidR="00BE3563" w:rsidRPr="007B69C5">
        <w:t>tate areas have been estimated for 2023–24.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61073F30"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5C8216F5">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FF8A4"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1A3272">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AE50" w14:textId="25E64F3F" w:rsidR="00851974" w:rsidRPr="006D182A" w:rsidRDefault="006D182A" w:rsidP="00851974">
    <w:pPr>
      <w:pStyle w:val="Header"/>
    </w:pPr>
    <w:r w:rsidRPr="00840E02">
      <w:rPr>
        <w:noProof/>
      </w:rPr>
      <mc:AlternateContent>
        <mc:Choice Requires="wps">
          <w:drawing>
            <wp:anchor distT="0" distB="0" distL="114300" distR="114300" simplePos="0" relativeHeight="251658246" behindDoc="1" locked="1" layoutInCell="1" allowOverlap="1" wp14:anchorId="1382FE53" wp14:editId="05B7AB05">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2885E"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7748A9">
        <w:rPr>
          <w:noProof/>
        </w:rPr>
        <w:t>2025 Population Statement</w:t>
      </w:r>
    </w:fldSimple>
    <w:r w:rsidR="00C04026">
      <w:rPr>
        <w:noProof/>
      </w:rPr>
      <w:t>:</w:t>
    </w:r>
    <w:r w:rsidR="00851974" w:rsidRPr="006D67D4">
      <w:t xml:space="preserve"> </w:t>
    </w:r>
    <w:fldSimple w:instr=" STYLEREF  &quot;Title - State/Territory&quot;  \* MERGEFORMAT ">
      <w:r w:rsidR="007748A9">
        <w:rPr>
          <w:noProof/>
        </w:rPr>
        <w:t>Victoria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02C47CB2" w:rsidR="00300C95" w:rsidRDefault="00851974" w:rsidP="00C85D9C">
    <w:pPr>
      <w:pStyle w:val="Header"/>
    </w:pPr>
    <w:r>
      <w:rPr>
        <w:noProof/>
      </w:rPr>
      <w:drawing>
        <wp:anchor distT="0" distB="0" distL="114300" distR="114300" simplePos="0" relativeHeight="251660298" behindDoc="1" locked="1" layoutInCell="1" allowOverlap="1" wp14:anchorId="46F07A4D" wp14:editId="6715858B">
          <wp:simplePos x="0" y="0"/>
          <wp:positionH relativeFrom="page">
            <wp:posOffset>2540</wp:posOffset>
          </wp:positionH>
          <wp:positionV relativeFrom="page">
            <wp:posOffset>0</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0D35"/>
    <w:rsid w:val="00010302"/>
    <w:rsid w:val="0001054F"/>
    <w:rsid w:val="00012954"/>
    <w:rsid w:val="00016670"/>
    <w:rsid w:val="00016919"/>
    <w:rsid w:val="00016B6C"/>
    <w:rsid w:val="0002151A"/>
    <w:rsid w:val="00022A7D"/>
    <w:rsid w:val="00022C30"/>
    <w:rsid w:val="00022C59"/>
    <w:rsid w:val="00023AF2"/>
    <w:rsid w:val="00023DA9"/>
    <w:rsid w:val="00026801"/>
    <w:rsid w:val="00027012"/>
    <w:rsid w:val="00033942"/>
    <w:rsid w:val="0004060E"/>
    <w:rsid w:val="000411A4"/>
    <w:rsid w:val="000421F9"/>
    <w:rsid w:val="00042E3A"/>
    <w:rsid w:val="000443E3"/>
    <w:rsid w:val="00045360"/>
    <w:rsid w:val="00045C24"/>
    <w:rsid w:val="00050851"/>
    <w:rsid w:val="00050AB5"/>
    <w:rsid w:val="0005272A"/>
    <w:rsid w:val="00060C76"/>
    <w:rsid w:val="00061180"/>
    <w:rsid w:val="0006166C"/>
    <w:rsid w:val="00067E65"/>
    <w:rsid w:val="000740EB"/>
    <w:rsid w:val="00074C01"/>
    <w:rsid w:val="000753CE"/>
    <w:rsid w:val="00083ADE"/>
    <w:rsid w:val="00083D1B"/>
    <w:rsid w:val="00084C43"/>
    <w:rsid w:val="00093826"/>
    <w:rsid w:val="00096688"/>
    <w:rsid w:val="00096F26"/>
    <w:rsid w:val="000A3BD8"/>
    <w:rsid w:val="000A49A2"/>
    <w:rsid w:val="000A4D2D"/>
    <w:rsid w:val="000A781A"/>
    <w:rsid w:val="000B1AFE"/>
    <w:rsid w:val="000B1B33"/>
    <w:rsid w:val="000B1EC3"/>
    <w:rsid w:val="000B3C90"/>
    <w:rsid w:val="000C0285"/>
    <w:rsid w:val="000C02C9"/>
    <w:rsid w:val="000C1AD4"/>
    <w:rsid w:val="000C3503"/>
    <w:rsid w:val="000C4DDF"/>
    <w:rsid w:val="000C79CA"/>
    <w:rsid w:val="000D14DD"/>
    <w:rsid w:val="000D33F2"/>
    <w:rsid w:val="000D39F4"/>
    <w:rsid w:val="000D6492"/>
    <w:rsid w:val="000D6F61"/>
    <w:rsid w:val="000D7D2F"/>
    <w:rsid w:val="000E1F6D"/>
    <w:rsid w:val="000E324C"/>
    <w:rsid w:val="000E50D6"/>
    <w:rsid w:val="000E577E"/>
    <w:rsid w:val="000E7C65"/>
    <w:rsid w:val="000F2493"/>
    <w:rsid w:val="000F2562"/>
    <w:rsid w:val="000F28D2"/>
    <w:rsid w:val="000F2E37"/>
    <w:rsid w:val="000F33C9"/>
    <w:rsid w:val="000F524C"/>
    <w:rsid w:val="000F58E8"/>
    <w:rsid w:val="000F5CF3"/>
    <w:rsid w:val="000F6567"/>
    <w:rsid w:val="000F7C6E"/>
    <w:rsid w:val="001002E2"/>
    <w:rsid w:val="00102238"/>
    <w:rsid w:val="00104BC1"/>
    <w:rsid w:val="00105EBE"/>
    <w:rsid w:val="001119EE"/>
    <w:rsid w:val="001145FD"/>
    <w:rsid w:val="00115B2E"/>
    <w:rsid w:val="0011628E"/>
    <w:rsid w:val="0011634E"/>
    <w:rsid w:val="00120F13"/>
    <w:rsid w:val="0013596F"/>
    <w:rsid w:val="001363E7"/>
    <w:rsid w:val="001376CC"/>
    <w:rsid w:val="00140697"/>
    <w:rsid w:val="0014178A"/>
    <w:rsid w:val="001442A6"/>
    <w:rsid w:val="00144B84"/>
    <w:rsid w:val="00152409"/>
    <w:rsid w:val="001543C6"/>
    <w:rsid w:val="00155DE4"/>
    <w:rsid w:val="00156930"/>
    <w:rsid w:val="00160FEA"/>
    <w:rsid w:val="00161768"/>
    <w:rsid w:val="001629F3"/>
    <w:rsid w:val="00162A4E"/>
    <w:rsid w:val="00166A45"/>
    <w:rsid w:val="00166F4B"/>
    <w:rsid w:val="00170FC7"/>
    <w:rsid w:val="00171F6E"/>
    <w:rsid w:val="00172AC0"/>
    <w:rsid w:val="00173317"/>
    <w:rsid w:val="00173F3B"/>
    <w:rsid w:val="00174952"/>
    <w:rsid w:val="00174954"/>
    <w:rsid w:val="00174FB1"/>
    <w:rsid w:val="001760E1"/>
    <w:rsid w:val="00176E94"/>
    <w:rsid w:val="00181085"/>
    <w:rsid w:val="001829CB"/>
    <w:rsid w:val="00182E9E"/>
    <w:rsid w:val="001835A7"/>
    <w:rsid w:val="0018364E"/>
    <w:rsid w:val="00183F40"/>
    <w:rsid w:val="00186278"/>
    <w:rsid w:val="00190D7B"/>
    <w:rsid w:val="001914E7"/>
    <w:rsid w:val="00192367"/>
    <w:rsid w:val="001929D8"/>
    <w:rsid w:val="00196C30"/>
    <w:rsid w:val="00197414"/>
    <w:rsid w:val="001A3272"/>
    <w:rsid w:val="001A5155"/>
    <w:rsid w:val="001A5DCC"/>
    <w:rsid w:val="001A6B44"/>
    <w:rsid w:val="001B3A29"/>
    <w:rsid w:val="001B540E"/>
    <w:rsid w:val="001B6C92"/>
    <w:rsid w:val="001C215C"/>
    <w:rsid w:val="001C2764"/>
    <w:rsid w:val="001C5117"/>
    <w:rsid w:val="001C5149"/>
    <w:rsid w:val="001C78AE"/>
    <w:rsid w:val="001D11F4"/>
    <w:rsid w:val="001D1F01"/>
    <w:rsid w:val="001D277E"/>
    <w:rsid w:val="001D4521"/>
    <w:rsid w:val="001D45A4"/>
    <w:rsid w:val="001E1CEE"/>
    <w:rsid w:val="001E5623"/>
    <w:rsid w:val="001E5805"/>
    <w:rsid w:val="001E6DC2"/>
    <w:rsid w:val="001E71C0"/>
    <w:rsid w:val="001E782C"/>
    <w:rsid w:val="001E7840"/>
    <w:rsid w:val="001E7CF5"/>
    <w:rsid w:val="001F2ACE"/>
    <w:rsid w:val="001F3711"/>
    <w:rsid w:val="001F50DA"/>
    <w:rsid w:val="001F68D1"/>
    <w:rsid w:val="00200AA8"/>
    <w:rsid w:val="00203245"/>
    <w:rsid w:val="00205A80"/>
    <w:rsid w:val="00205F44"/>
    <w:rsid w:val="002105F8"/>
    <w:rsid w:val="00214958"/>
    <w:rsid w:val="00215EE7"/>
    <w:rsid w:val="0021698B"/>
    <w:rsid w:val="0021743A"/>
    <w:rsid w:val="00217829"/>
    <w:rsid w:val="00220453"/>
    <w:rsid w:val="0022252E"/>
    <w:rsid w:val="00223BDD"/>
    <w:rsid w:val="00223D87"/>
    <w:rsid w:val="002250A9"/>
    <w:rsid w:val="002268AB"/>
    <w:rsid w:val="00226F00"/>
    <w:rsid w:val="0022749C"/>
    <w:rsid w:val="00227C77"/>
    <w:rsid w:val="002314CC"/>
    <w:rsid w:val="002326B0"/>
    <w:rsid w:val="00232DF7"/>
    <w:rsid w:val="002337D6"/>
    <w:rsid w:val="00233887"/>
    <w:rsid w:val="00233A88"/>
    <w:rsid w:val="0024036F"/>
    <w:rsid w:val="00240698"/>
    <w:rsid w:val="00241B9A"/>
    <w:rsid w:val="0024226F"/>
    <w:rsid w:val="002446D7"/>
    <w:rsid w:val="00245342"/>
    <w:rsid w:val="002462BD"/>
    <w:rsid w:val="00250564"/>
    <w:rsid w:val="00250697"/>
    <w:rsid w:val="00253648"/>
    <w:rsid w:val="0025529A"/>
    <w:rsid w:val="00260712"/>
    <w:rsid w:val="00261AD9"/>
    <w:rsid w:val="00263339"/>
    <w:rsid w:val="0026429A"/>
    <w:rsid w:val="00266B6F"/>
    <w:rsid w:val="002711B5"/>
    <w:rsid w:val="0027133C"/>
    <w:rsid w:val="0027190A"/>
    <w:rsid w:val="002733A4"/>
    <w:rsid w:val="00274DF2"/>
    <w:rsid w:val="002767AE"/>
    <w:rsid w:val="002809F6"/>
    <w:rsid w:val="00282C5E"/>
    <w:rsid w:val="00282FBD"/>
    <w:rsid w:val="00283303"/>
    <w:rsid w:val="0028361A"/>
    <w:rsid w:val="00284907"/>
    <w:rsid w:val="00284AB7"/>
    <w:rsid w:val="00285329"/>
    <w:rsid w:val="002866A6"/>
    <w:rsid w:val="0028679E"/>
    <w:rsid w:val="00287F32"/>
    <w:rsid w:val="0029134D"/>
    <w:rsid w:val="00291BB4"/>
    <w:rsid w:val="002927D5"/>
    <w:rsid w:val="00293681"/>
    <w:rsid w:val="002938C9"/>
    <w:rsid w:val="00293ED7"/>
    <w:rsid w:val="00294CEA"/>
    <w:rsid w:val="00296F9B"/>
    <w:rsid w:val="00297549"/>
    <w:rsid w:val="002978C8"/>
    <w:rsid w:val="002A07BB"/>
    <w:rsid w:val="002A0B32"/>
    <w:rsid w:val="002A4B83"/>
    <w:rsid w:val="002A565C"/>
    <w:rsid w:val="002A6430"/>
    <w:rsid w:val="002A6FB4"/>
    <w:rsid w:val="002A79C5"/>
    <w:rsid w:val="002B2A29"/>
    <w:rsid w:val="002B7F19"/>
    <w:rsid w:val="002C26D9"/>
    <w:rsid w:val="002C5361"/>
    <w:rsid w:val="002C5B92"/>
    <w:rsid w:val="002C6C95"/>
    <w:rsid w:val="002D06D1"/>
    <w:rsid w:val="002D2D12"/>
    <w:rsid w:val="002D49D1"/>
    <w:rsid w:val="002D4DD5"/>
    <w:rsid w:val="002D679E"/>
    <w:rsid w:val="002D77D6"/>
    <w:rsid w:val="002D7B23"/>
    <w:rsid w:val="002E130A"/>
    <w:rsid w:val="002E1E31"/>
    <w:rsid w:val="002E2717"/>
    <w:rsid w:val="002E2B05"/>
    <w:rsid w:val="002E59B1"/>
    <w:rsid w:val="002E781D"/>
    <w:rsid w:val="002F417B"/>
    <w:rsid w:val="002F6ADC"/>
    <w:rsid w:val="00300C95"/>
    <w:rsid w:val="00301587"/>
    <w:rsid w:val="00301EA9"/>
    <w:rsid w:val="003054A8"/>
    <w:rsid w:val="00306770"/>
    <w:rsid w:val="00307DA3"/>
    <w:rsid w:val="00310D99"/>
    <w:rsid w:val="00317CEA"/>
    <w:rsid w:val="00322773"/>
    <w:rsid w:val="00324F15"/>
    <w:rsid w:val="00327D31"/>
    <w:rsid w:val="003305CA"/>
    <w:rsid w:val="003305F9"/>
    <w:rsid w:val="00334083"/>
    <w:rsid w:val="00335FD3"/>
    <w:rsid w:val="0034064A"/>
    <w:rsid w:val="00341D3F"/>
    <w:rsid w:val="00341DFF"/>
    <w:rsid w:val="00344C18"/>
    <w:rsid w:val="0034564D"/>
    <w:rsid w:val="0035168D"/>
    <w:rsid w:val="00353078"/>
    <w:rsid w:val="00353390"/>
    <w:rsid w:val="00353721"/>
    <w:rsid w:val="00355846"/>
    <w:rsid w:val="0035627E"/>
    <w:rsid w:val="003564A6"/>
    <w:rsid w:val="00356858"/>
    <w:rsid w:val="00357842"/>
    <w:rsid w:val="003645FB"/>
    <w:rsid w:val="00364748"/>
    <w:rsid w:val="003669CB"/>
    <w:rsid w:val="00372AC1"/>
    <w:rsid w:val="00375FED"/>
    <w:rsid w:val="00376581"/>
    <w:rsid w:val="00377FD0"/>
    <w:rsid w:val="003802F4"/>
    <w:rsid w:val="003831AB"/>
    <w:rsid w:val="0038494D"/>
    <w:rsid w:val="003869F8"/>
    <w:rsid w:val="00390761"/>
    <w:rsid w:val="00390C06"/>
    <w:rsid w:val="003920BA"/>
    <w:rsid w:val="00392E20"/>
    <w:rsid w:val="003938E4"/>
    <w:rsid w:val="00394A35"/>
    <w:rsid w:val="00394E24"/>
    <w:rsid w:val="003971A0"/>
    <w:rsid w:val="00397B9F"/>
    <w:rsid w:val="003A59FA"/>
    <w:rsid w:val="003A621C"/>
    <w:rsid w:val="003A63D1"/>
    <w:rsid w:val="003A6BA2"/>
    <w:rsid w:val="003B1315"/>
    <w:rsid w:val="003B23ED"/>
    <w:rsid w:val="003B4AEB"/>
    <w:rsid w:val="003B5758"/>
    <w:rsid w:val="003B5DC6"/>
    <w:rsid w:val="003B6E75"/>
    <w:rsid w:val="003B7568"/>
    <w:rsid w:val="003B7690"/>
    <w:rsid w:val="003C047D"/>
    <w:rsid w:val="003C1E0F"/>
    <w:rsid w:val="003C3CA8"/>
    <w:rsid w:val="003C4F86"/>
    <w:rsid w:val="003C6056"/>
    <w:rsid w:val="003C6178"/>
    <w:rsid w:val="003C789B"/>
    <w:rsid w:val="003D03B5"/>
    <w:rsid w:val="003D0BD8"/>
    <w:rsid w:val="003D17F6"/>
    <w:rsid w:val="003D1CDE"/>
    <w:rsid w:val="003D4751"/>
    <w:rsid w:val="003D4975"/>
    <w:rsid w:val="003D6F6D"/>
    <w:rsid w:val="003E26C5"/>
    <w:rsid w:val="003E3B7C"/>
    <w:rsid w:val="003E47AC"/>
    <w:rsid w:val="003E6414"/>
    <w:rsid w:val="003E6DF0"/>
    <w:rsid w:val="003F2E2F"/>
    <w:rsid w:val="003F41CE"/>
    <w:rsid w:val="003F424B"/>
    <w:rsid w:val="003F4B82"/>
    <w:rsid w:val="003F4FBB"/>
    <w:rsid w:val="003F64BE"/>
    <w:rsid w:val="003F6D1C"/>
    <w:rsid w:val="003F7F7D"/>
    <w:rsid w:val="00403409"/>
    <w:rsid w:val="004109A9"/>
    <w:rsid w:val="004139A4"/>
    <w:rsid w:val="00415814"/>
    <w:rsid w:val="00417CA2"/>
    <w:rsid w:val="0042279C"/>
    <w:rsid w:val="004236C2"/>
    <w:rsid w:val="0042399D"/>
    <w:rsid w:val="00424B9C"/>
    <w:rsid w:val="00425C8E"/>
    <w:rsid w:val="00425E05"/>
    <w:rsid w:val="00427686"/>
    <w:rsid w:val="004313D7"/>
    <w:rsid w:val="00431507"/>
    <w:rsid w:val="00435357"/>
    <w:rsid w:val="004358B7"/>
    <w:rsid w:val="004364CE"/>
    <w:rsid w:val="00441807"/>
    <w:rsid w:val="00442216"/>
    <w:rsid w:val="00442C7E"/>
    <w:rsid w:val="00442F89"/>
    <w:rsid w:val="00443853"/>
    <w:rsid w:val="00444FEE"/>
    <w:rsid w:val="00446A40"/>
    <w:rsid w:val="00446F91"/>
    <w:rsid w:val="00450CCE"/>
    <w:rsid w:val="0045419A"/>
    <w:rsid w:val="004542B7"/>
    <w:rsid w:val="004546DC"/>
    <w:rsid w:val="00461354"/>
    <w:rsid w:val="00463D4E"/>
    <w:rsid w:val="004655D9"/>
    <w:rsid w:val="00466756"/>
    <w:rsid w:val="00470BA0"/>
    <w:rsid w:val="0047507F"/>
    <w:rsid w:val="0047513E"/>
    <w:rsid w:val="00477439"/>
    <w:rsid w:val="00484E6C"/>
    <w:rsid w:val="00484F45"/>
    <w:rsid w:val="00485A3D"/>
    <w:rsid w:val="00485FD6"/>
    <w:rsid w:val="00486B7C"/>
    <w:rsid w:val="00487D83"/>
    <w:rsid w:val="00490C62"/>
    <w:rsid w:val="00492427"/>
    <w:rsid w:val="00496135"/>
    <w:rsid w:val="0049673E"/>
    <w:rsid w:val="00496C34"/>
    <w:rsid w:val="004A1D20"/>
    <w:rsid w:val="004A2AFD"/>
    <w:rsid w:val="004A37EA"/>
    <w:rsid w:val="004A4424"/>
    <w:rsid w:val="004B08DC"/>
    <w:rsid w:val="004B10B2"/>
    <w:rsid w:val="004B1F82"/>
    <w:rsid w:val="004B56B0"/>
    <w:rsid w:val="004C5917"/>
    <w:rsid w:val="004C5E48"/>
    <w:rsid w:val="004D0778"/>
    <w:rsid w:val="004D5FC5"/>
    <w:rsid w:val="004D75F6"/>
    <w:rsid w:val="004D78BD"/>
    <w:rsid w:val="004E424B"/>
    <w:rsid w:val="004E4891"/>
    <w:rsid w:val="004E4B7F"/>
    <w:rsid w:val="004E71FE"/>
    <w:rsid w:val="004F24D0"/>
    <w:rsid w:val="004F793E"/>
    <w:rsid w:val="00502AB5"/>
    <w:rsid w:val="00502E10"/>
    <w:rsid w:val="00502E51"/>
    <w:rsid w:val="005049CD"/>
    <w:rsid w:val="00505009"/>
    <w:rsid w:val="00506BF4"/>
    <w:rsid w:val="00506F50"/>
    <w:rsid w:val="00507097"/>
    <w:rsid w:val="00510959"/>
    <w:rsid w:val="00513EDE"/>
    <w:rsid w:val="005157E2"/>
    <w:rsid w:val="0051600D"/>
    <w:rsid w:val="00516CCB"/>
    <w:rsid w:val="00516FB2"/>
    <w:rsid w:val="005204F3"/>
    <w:rsid w:val="00524DCE"/>
    <w:rsid w:val="00525050"/>
    <w:rsid w:val="00525BF4"/>
    <w:rsid w:val="0052779F"/>
    <w:rsid w:val="0053110F"/>
    <w:rsid w:val="00532167"/>
    <w:rsid w:val="00533FEF"/>
    <w:rsid w:val="00535C81"/>
    <w:rsid w:val="005376A6"/>
    <w:rsid w:val="0054054A"/>
    <w:rsid w:val="00540CF5"/>
    <w:rsid w:val="0054132C"/>
    <w:rsid w:val="005414DB"/>
    <w:rsid w:val="005419A9"/>
    <w:rsid w:val="0054347A"/>
    <w:rsid w:val="0054373D"/>
    <w:rsid w:val="00544FAE"/>
    <w:rsid w:val="005450FD"/>
    <w:rsid w:val="005469EB"/>
    <w:rsid w:val="00546D8E"/>
    <w:rsid w:val="00546FDD"/>
    <w:rsid w:val="00551340"/>
    <w:rsid w:val="005540C2"/>
    <w:rsid w:val="00554B34"/>
    <w:rsid w:val="005606FD"/>
    <w:rsid w:val="00565A52"/>
    <w:rsid w:val="00566996"/>
    <w:rsid w:val="00566AD8"/>
    <w:rsid w:val="00570B86"/>
    <w:rsid w:val="00571563"/>
    <w:rsid w:val="00572057"/>
    <w:rsid w:val="005732EB"/>
    <w:rsid w:val="0057435B"/>
    <w:rsid w:val="005803BF"/>
    <w:rsid w:val="00582FAD"/>
    <w:rsid w:val="00585F7E"/>
    <w:rsid w:val="00587537"/>
    <w:rsid w:val="005909AA"/>
    <w:rsid w:val="0059193F"/>
    <w:rsid w:val="00593E94"/>
    <w:rsid w:val="005944CE"/>
    <w:rsid w:val="00594ABF"/>
    <w:rsid w:val="005A11E6"/>
    <w:rsid w:val="005A2484"/>
    <w:rsid w:val="005A68D1"/>
    <w:rsid w:val="005A6A61"/>
    <w:rsid w:val="005B0968"/>
    <w:rsid w:val="005B1173"/>
    <w:rsid w:val="005B207E"/>
    <w:rsid w:val="005B2484"/>
    <w:rsid w:val="005B3871"/>
    <w:rsid w:val="005B4FA3"/>
    <w:rsid w:val="005B659D"/>
    <w:rsid w:val="005B6B98"/>
    <w:rsid w:val="005C1326"/>
    <w:rsid w:val="005C27E4"/>
    <w:rsid w:val="005C3527"/>
    <w:rsid w:val="005C4231"/>
    <w:rsid w:val="005C4B02"/>
    <w:rsid w:val="005C5850"/>
    <w:rsid w:val="005D1FBB"/>
    <w:rsid w:val="005D3D3D"/>
    <w:rsid w:val="005D5A10"/>
    <w:rsid w:val="005D5BAD"/>
    <w:rsid w:val="005D5F6B"/>
    <w:rsid w:val="005E597B"/>
    <w:rsid w:val="005E62D6"/>
    <w:rsid w:val="005E7BA6"/>
    <w:rsid w:val="005F0FBF"/>
    <w:rsid w:val="005F4125"/>
    <w:rsid w:val="005F64B3"/>
    <w:rsid w:val="005F77E0"/>
    <w:rsid w:val="006014A0"/>
    <w:rsid w:val="006015F7"/>
    <w:rsid w:val="00604E4B"/>
    <w:rsid w:val="00605742"/>
    <w:rsid w:val="006068A8"/>
    <w:rsid w:val="006139BC"/>
    <w:rsid w:val="00614971"/>
    <w:rsid w:val="00616CA1"/>
    <w:rsid w:val="00623BFB"/>
    <w:rsid w:val="00627218"/>
    <w:rsid w:val="006323B0"/>
    <w:rsid w:val="00633B2A"/>
    <w:rsid w:val="00634413"/>
    <w:rsid w:val="0063548F"/>
    <w:rsid w:val="006355D1"/>
    <w:rsid w:val="00635DD4"/>
    <w:rsid w:val="00637692"/>
    <w:rsid w:val="0064191E"/>
    <w:rsid w:val="0064224B"/>
    <w:rsid w:val="0064648A"/>
    <w:rsid w:val="0064704A"/>
    <w:rsid w:val="00654755"/>
    <w:rsid w:val="0065614B"/>
    <w:rsid w:val="006563E7"/>
    <w:rsid w:val="00664DB8"/>
    <w:rsid w:val="00667F80"/>
    <w:rsid w:val="00671338"/>
    <w:rsid w:val="00676093"/>
    <w:rsid w:val="0067639A"/>
    <w:rsid w:val="006800EF"/>
    <w:rsid w:val="00681901"/>
    <w:rsid w:val="00683039"/>
    <w:rsid w:val="006849D4"/>
    <w:rsid w:val="0068613C"/>
    <w:rsid w:val="00690CC5"/>
    <w:rsid w:val="006916AD"/>
    <w:rsid w:val="006931A5"/>
    <w:rsid w:val="00694B4F"/>
    <w:rsid w:val="006972E9"/>
    <w:rsid w:val="00697EB7"/>
    <w:rsid w:val="006A118D"/>
    <w:rsid w:val="006A2DF6"/>
    <w:rsid w:val="006A3972"/>
    <w:rsid w:val="006A4C55"/>
    <w:rsid w:val="006A712D"/>
    <w:rsid w:val="006B06C8"/>
    <w:rsid w:val="006B0A33"/>
    <w:rsid w:val="006B7E83"/>
    <w:rsid w:val="006C1870"/>
    <w:rsid w:val="006C7EA5"/>
    <w:rsid w:val="006D011B"/>
    <w:rsid w:val="006D10AD"/>
    <w:rsid w:val="006D1191"/>
    <w:rsid w:val="006D182A"/>
    <w:rsid w:val="006D27A6"/>
    <w:rsid w:val="006D37CD"/>
    <w:rsid w:val="006D3EE7"/>
    <w:rsid w:val="006D67D4"/>
    <w:rsid w:val="006D6960"/>
    <w:rsid w:val="006D7793"/>
    <w:rsid w:val="006D7B8A"/>
    <w:rsid w:val="006E101D"/>
    <w:rsid w:val="006E1FE6"/>
    <w:rsid w:val="006E31A9"/>
    <w:rsid w:val="006E6F8C"/>
    <w:rsid w:val="006E76BE"/>
    <w:rsid w:val="006F0034"/>
    <w:rsid w:val="006F0918"/>
    <w:rsid w:val="006F56A2"/>
    <w:rsid w:val="006F6E04"/>
    <w:rsid w:val="006F73E9"/>
    <w:rsid w:val="00704AFC"/>
    <w:rsid w:val="00705AD6"/>
    <w:rsid w:val="007066A7"/>
    <w:rsid w:val="007074C0"/>
    <w:rsid w:val="007107B9"/>
    <w:rsid w:val="007122D4"/>
    <w:rsid w:val="00717216"/>
    <w:rsid w:val="00722F56"/>
    <w:rsid w:val="007231B7"/>
    <w:rsid w:val="00727227"/>
    <w:rsid w:val="0073089D"/>
    <w:rsid w:val="00731C14"/>
    <w:rsid w:val="00732309"/>
    <w:rsid w:val="00732632"/>
    <w:rsid w:val="00734220"/>
    <w:rsid w:val="007343B8"/>
    <w:rsid w:val="00736715"/>
    <w:rsid w:val="007367AD"/>
    <w:rsid w:val="00736D6C"/>
    <w:rsid w:val="007401C9"/>
    <w:rsid w:val="0074292C"/>
    <w:rsid w:val="00744551"/>
    <w:rsid w:val="00745E07"/>
    <w:rsid w:val="00746293"/>
    <w:rsid w:val="00746731"/>
    <w:rsid w:val="00752DA4"/>
    <w:rsid w:val="00756B4D"/>
    <w:rsid w:val="00757092"/>
    <w:rsid w:val="007600FA"/>
    <w:rsid w:val="00760408"/>
    <w:rsid w:val="0076093D"/>
    <w:rsid w:val="0076146C"/>
    <w:rsid w:val="00761DA0"/>
    <w:rsid w:val="007622D7"/>
    <w:rsid w:val="0076291B"/>
    <w:rsid w:val="00762F09"/>
    <w:rsid w:val="00763D5A"/>
    <w:rsid w:val="007667E7"/>
    <w:rsid w:val="007705F8"/>
    <w:rsid w:val="00770F92"/>
    <w:rsid w:val="00772B0C"/>
    <w:rsid w:val="00774469"/>
    <w:rsid w:val="007748A9"/>
    <w:rsid w:val="00776058"/>
    <w:rsid w:val="0077681F"/>
    <w:rsid w:val="007776E4"/>
    <w:rsid w:val="007778C5"/>
    <w:rsid w:val="007800E9"/>
    <w:rsid w:val="007825F2"/>
    <w:rsid w:val="00784A3C"/>
    <w:rsid w:val="007865CA"/>
    <w:rsid w:val="00792EB2"/>
    <w:rsid w:val="00793BD7"/>
    <w:rsid w:val="0079466D"/>
    <w:rsid w:val="007949C7"/>
    <w:rsid w:val="00797617"/>
    <w:rsid w:val="007A4126"/>
    <w:rsid w:val="007A4195"/>
    <w:rsid w:val="007A4770"/>
    <w:rsid w:val="007A4FB3"/>
    <w:rsid w:val="007A6BE8"/>
    <w:rsid w:val="007A6E4D"/>
    <w:rsid w:val="007A7CFF"/>
    <w:rsid w:val="007B285C"/>
    <w:rsid w:val="007B38AD"/>
    <w:rsid w:val="007B4166"/>
    <w:rsid w:val="007B6953"/>
    <w:rsid w:val="007B69C5"/>
    <w:rsid w:val="007B7784"/>
    <w:rsid w:val="007C1094"/>
    <w:rsid w:val="007C3294"/>
    <w:rsid w:val="007C3CD0"/>
    <w:rsid w:val="007C3F39"/>
    <w:rsid w:val="007C51D5"/>
    <w:rsid w:val="007C6F78"/>
    <w:rsid w:val="007D2865"/>
    <w:rsid w:val="007D2B88"/>
    <w:rsid w:val="007D4EB7"/>
    <w:rsid w:val="007D51AF"/>
    <w:rsid w:val="007D6738"/>
    <w:rsid w:val="007D6F47"/>
    <w:rsid w:val="007D6FC5"/>
    <w:rsid w:val="007E013D"/>
    <w:rsid w:val="007E0975"/>
    <w:rsid w:val="007E2152"/>
    <w:rsid w:val="007E26C9"/>
    <w:rsid w:val="007E36E4"/>
    <w:rsid w:val="007E373F"/>
    <w:rsid w:val="007E5E07"/>
    <w:rsid w:val="007E7046"/>
    <w:rsid w:val="007F0B19"/>
    <w:rsid w:val="007F0DD3"/>
    <w:rsid w:val="007F3172"/>
    <w:rsid w:val="007F3A19"/>
    <w:rsid w:val="007F3B62"/>
    <w:rsid w:val="007F3BD2"/>
    <w:rsid w:val="007F53C0"/>
    <w:rsid w:val="007F61E3"/>
    <w:rsid w:val="007F72D7"/>
    <w:rsid w:val="0081339B"/>
    <w:rsid w:val="008139FB"/>
    <w:rsid w:val="00814DC0"/>
    <w:rsid w:val="008202D8"/>
    <w:rsid w:val="00820303"/>
    <w:rsid w:val="00821A03"/>
    <w:rsid w:val="008243C0"/>
    <w:rsid w:val="00830DA7"/>
    <w:rsid w:val="008312DB"/>
    <w:rsid w:val="00831D8A"/>
    <w:rsid w:val="00832655"/>
    <w:rsid w:val="008373D8"/>
    <w:rsid w:val="00840BB4"/>
    <w:rsid w:val="00840E02"/>
    <w:rsid w:val="00842609"/>
    <w:rsid w:val="00844B64"/>
    <w:rsid w:val="00847719"/>
    <w:rsid w:val="00851974"/>
    <w:rsid w:val="00856BBF"/>
    <w:rsid w:val="008616B9"/>
    <w:rsid w:val="00864316"/>
    <w:rsid w:val="00867814"/>
    <w:rsid w:val="00870AA2"/>
    <w:rsid w:val="00873858"/>
    <w:rsid w:val="0088159C"/>
    <w:rsid w:val="0088211A"/>
    <w:rsid w:val="00884645"/>
    <w:rsid w:val="00884F56"/>
    <w:rsid w:val="008854F6"/>
    <w:rsid w:val="008856D9"/>
    <w:rsid w:val="00886667"/>
    <w:rsid w:val="00886BC4"/>
    <w:rsid w:val="00887175"/>
    <w:rsid w:val="008929EB"/>
    <w:rsid w:val="0089499F"/>
    <w:rsid w:val="00895710"/>
    <w:rsid w:val="00896F57"/>
    <w:rsid w:val="008972E4"/>
    <w:rsid w:val="008A02F3"/>
    <w:rsid w:val="008A1C1D"/>
    <w:rsid w:val="008A48CA"/>
    <w:rsid w:val="008A55F5"/>
    <w:rsid w:val="008A6B54"/>
    <w:rsid w:val="008A6F7D"/>
    <w:rsid w:val="008B2938"/>
    <w:rsid w:val="008B395C"/>
    <w:rsid w:val="008B5246"/>
    <w:rsid w:val="008B6379"/>
    <w:rsid w:val="008C1BCC"/>
    <w:rsid w:val="008C2216"/>
    <w:rsid w:val="008C2FF9"/>
    <w:rsid w:val="008C3E22"/>
    <w:rsid w:val="008C5773"/>
    <w:rsid w:val="008C5E61"/>
    <w:rsid w:val="008D0CA6"/>
    <w:rsid w:val="008D0D8F"/>
    <w:rsid w:val="008D3301"/>
    <w:rsid w:val="008D3A5E"/>
    <w:rsid w:val="008D4CD0"/>
    <w:rsid w:val="008D5358"/>
    <w:rsid w:val="008E0180"/>
    <w:rsid w:val="008E04BD"/>
    <w:rsid w:val="008E1D92"/>
    <w:rsid w:val="008E1E59"/>
    <w:rsid w:val="008E35A5"/>
    <w:rsid w:val="008F0B15"/>
    <w:rsid w:val="008F1AA6"/>
    <w:rsid w:val="008F2212"/>
    <w:rsid w:val="008F3175"/>
    <w:rsid w:val="008F73C8"/>
    <w:rsid w:val="008F7E69"/>
    <w:rsid w:val="00902BE2"/>
    <w:rsid w:val="00903786"/>
    <w:rsid w:val="00903AB2"/>
    <w:rsid w:val="00903C7A"/>
    <w:rsid w:val="00905F29"/>
    <w:rsid w:val="0090719E"/>
    <w:rsid w:val="0090739A"/>
    <w:rsid w:val="009109AA"/>
    <w:rsid w:val="00921381"/>
    <w:rsid w:val="009232A2"/>
    <w:rsid w:val="009233B6"/>
    <w:rsid w:val="00926879"/>
    <w:rsid w:val="00931FD5"/>
    <w:rsid w:val="00932485"/>
    <w:rsid w:val="00933C8C"/>
    <w:rsid w:val="009367F6"/>
    <w:rsid w:val="0093741D"/>
    <w:rsid w:val="009400D3"/>
    <w:rsid w:val="009401BA"/>
    <w:rsid w:val="00942393"/>
    <w:rsid w:val="00942CB3"/>
    <w:rsid w:val="00944174"/>
    <w:rsid w:val="00944D7D"/>
    <w:rsid w:val="00947253"/>
    <w:rsid w:val="009510E5"/>
    <w:rsid w:val="00951652"/>
    <w:rsid w:val="0095293F"/>
    <w:rsid w:val="00952F2F"/>
    <w:rsid w:val="00952F85"/>
    <w:rsid w:val="00952FE1"/>
    <w:rsid w:val="00953B7F"/>
    <w:rsid w:val="009540B5"/>
    <w:rsid w:val="00954785"/>
    <w:rsid w:val="00957D81"/>
    <w:rsid w:val="0096207D"/>
    <w:rsid w:val="00964585"/>
    <w:rsid w:val="009645B3"/>
    <w:rsid w:val="00965C4B"/>
    <w:rsid w:val="009707C4"/>
    <w:rsid w:val="009716A3"/>
    <w:rsid w:val="009757BB"/>
    <w:rsid w:val="0098110C"/>
    <w:rsid w:val="0098151F"/>
    <w:rsid w:val="00981534"/>
    <w:rsid w:val="0098412D"/>
    <w:rsid w:val="00985EDD"/>
    <w:rsid w:val="00986A46"/>
    <w:rsid w:val="0098782A"/>
    <w:rsid w:val="009906A6"/>
    <w:rsid w:val="00992458"/>
    <w:rsid w:val="00992ADC"/>
    <w:rsid w:val="009968E1"/>
    <w:rsid w:val="009A47AF"/>
    <w:rsid w:val="009A6D32"/>
    <w:rsid w:val="009A71C4"/>
    <w:rsid w:val="009B15EC"/>
    <w:rsid w:val="009B1781"/>
    <w:rsid w:val="009B1EF0"/>
    <w:rsid w:val="009B2222"/>
    <w:rsid w:val="009B2546"/>
    <w:rsid w:val="009B3648"/>
    <w:rsid w:val="009B4601"/>
    <w:rsid w:val="009B464D"/>
    <w:rsid w:val="009C0577"/>
    <w:rsid w:val="009C06DC"/>
    <w:rsid w:val="009C1F90"/>
    <w:rsid w:val="009C2514"/>
    <w:rsid w:val="009C3BAE"/>
    <w:rsid w:val="009C66A3"/>
    <w:rsid w:val="009D126A"/>
    <w:rsid w:val="009D2BC3"/>
    <w:rsid w:val="009D4F29"/>
    <w:rsid w:val="009D616A"/>
    <w:rsid w:val="009E2280"/>
    <w:rsid w:val="009E4732"/>
    <w:rsid w:val="009E6061"/>
    <w:rsid w:val="009F0B4F"/>
    <w:rsid w:val="009F0DBF"/>
    <w:rsid w:val="009F3410"/>
    <w:rsid w:val="009F50A8"/>
    <w:rsid w:val="009F691B"/>
    <w:rsid w:val="009F7B28"/>
    <w:rsid w:val="00A01086"/>
    <w:rsid w:val="00A022AC"/>
    <w:rsid w:val="00A05E57"/>
    <w:rsid w:val="00A10C23"/>
    <w:rsid w:val="00A1120D"/>
    <w:rsid w:val="00A12F26"/>
    <w:rsid w:val="00A13CB3"/>
    <w:rsid w:val="00A13F0D"/>
    <w:rsid w:val="00A15DB7"/>
    <w:rsid w:val="00A16574"/>
    <w:rsid w:val="00A17503"/>
    <w:rsid w:val="00A17939"/>
    <w:rsid w:val="00A215B3"/>
    <w:rsid w:val="00A22723"/>
    <w:rsid w:val="00A24D20"/>
    <w:rsid w:val="00A31FCC"/>
    <w:rsid w:val="00A32C4E"/>
    <w:rsid w:val="00A335FE"/>
    <w:rsid w:val="00A33758"/>
    <w:rsid w:val="00A3452B"/>
    <w:rsid w:val="00A41AE0"/>
    <w:rsid w:val="00A4326D"/>
    <w:rsid w:val="00A43D12"/>
    <w:rsid w:val="00A44E79"/>
    <w:rsid w:val="00A46A9A"/>
    <w:rsid w:val="00A46B3A"/>
    <w:rsid w:val="00A476FB"/>
    <w:rsid w:val="00A479AA"/>
    <w:rsid w:val="00A50111"/>
    <w:rsid w:val="00A51F3A"/>
    <w:rsid w:val="00A52C22"/>
    <w:rsid w:val="00A60022"/>
    <w:rsid w:val="00A63E63"/>
    <w:rsid w:val="00A64820"/>
    <w:rsid w:val="00A6514E"/>
    <w:rsid w:val="00A6578C"/>
    <w:rsid w:val="00A66491"/>
    <w:rsid w:val="00A70639"/>
    <w:rsid w:val="00A71829"/>
    <w:rsid w:val="00A72318"/>
    <w:rsid w:val="00A74293"/>
    <w:rsid w:val="00A769B6"/>
    <w:rsid w:val="00A80D70"/>
    <w:rsid w:val="00A82FFF"/>
    <w:rsid w:val="00A8449C"/>
    <w:rsid w:val="00A84C3C"/>
    <w:rsid w:val="00A85318"/>
    <w:rsid w:val="00A87F4B"/>
    <w:rsid w:val="00A909A3"/>
    <w:rsid w:val="00A91BD2"/>
    <w:rsid w:val="00A93C58"/>
    <w:rsid w:val="00A940BE"/>
    <w:rsid w:val="00A96316"/>
    <w:rsid w:val="00A9658A"/>
    <w:rsid w:val="00A970ED"/>
    <w:rsid w:val="00A9783F"/>
    <w:rsid w:val="00AA02AF"/>
    <w:rsid w:val="00AA1041"/>
    <w:rsid w:val="00AA378A"/>
    <w:rsid w:val="00AA4982"/>
    <w:rsid w:val="00AA553F"/>
    <w:rsid w:val="00AA5E3B"/>
    <w:rsid w:val="00AB3D33"/>
    <w:rsid w:val="00AC1B27"/>
    <w:rsid w:val="00AC4C62"/>
    <w:rsid w:val="00AC5940"/>
    <w:rsid w:val="00AC60D4"/>
    <w:rsid w:val="00AC7F24"/>
    <w:rsid w:val="00AD27D0"/>
    <w:rsid w:val="00AD4122"/>
    <w:rsid w:val="00AD428B"/>
    <w:rsid w:val="00AD52CC"/>
    <w:rsid w:val="00AD590E"/>
    <w:rsid w:val="00AE1465"/>
    <w:rsid w:val="00AE39EE"/>
    <w:rsid w:val="00AE53E5"/>
    <w:rsid w:val="00AE7EE1"/>
    <w:rsid w:val="00AF1767"/>
    <w:rsid w:val="00AF4B84"/>
    <w:rsid w:val="00B03C52"/>
    <w:rsid w:val="00B04CE4"/>
    <w:rsid w:val="00B05F54"/>
    <w:rsid w:val="00B05FCB"/>
    <w:rsid w:val="00B0713D"/>
    <w:rsid w:val="00B11157"/>
    <w:rsid w:val="00B129C3"/>
    <w:rsid w:val="00B14525"/>
    <w:rsid w:val="00B15B56"/>
    <w:rsid w:val="00B170D7"/>
    <w:rsid w:val="00B20474"/>
    <w:rsid w:val="00B227C7"/>
    <w:rsid w:val="00B24C1C"/>
    <w:rsid w:val="00B31BE8"/>
    <w:rsid w:val="00B32830"/>
    <w:rsid w:val="00B37C83"/>
    <w:rsid w:val="00B4020A"/>
    <w:rsid w:val="00B408B7"/>
    <w:rsid w:val="00B40C10"/>
    <w:rsid w:val="00B42FAF"/>
    <w:rsid w:val="00B5041C"/>
    <w:rsid w:val="00B50C13"/>
    <w:rsid w:val="00B50FEA"/>
    <w:rsid w:val="00B51175"/>
    <w:rsid w:val="00B51D9D"/>
    <w:rsid w:val="00B5371B"/>
    <w:rsid w:val="00B5397C"/>
    <w:rsid w:val="00B54FA9"/>
    <w:rsid w:val="00B57B0B"/>
    <w:rsid w:val="00B64308"/>
    <w:rsid w:val="00B65AB6"/>
    <w:rsid w:val="00B670E4"/>
    <w:rsid w:val="00B71EB5"/>
    <w:rsid w:val="00B71F74"/>
    <w:rsid w:val="00B72B7B"/>
    <w:rsid w:val="00B72F1C"/>
    <w:rsid w:val="00B73C23"/>
    <w:rsid w:val="00B75266"/>
    <w:rsid w:val="00B771FF"/>
    <w:rsid w:val="00B81C88"/>
    <w:rsid w:val="00B82C45"/>
    <w:rsid w:val="00B83DD8"/>
    <w:rsid w:val="00B8408A"/>
    <w:rsid w:val="00B85AE9"/>
    <w:rsid w:val="00B85C02"/>
    <w:rsid w:val="00B908A8"/>
    <w:rsid w:val="00B91C5F"/>
    <w:rsid w:val="00B9299C"/>
    <w:rsid w:val="00B93462"/>
    <w:rsid w:val="00B94249"/>
    <w:rsid w:val="00B953FF"/>
    <w:rsid w:val="00B95FDD"/>
    <w:rsid w:val="00BA054F"/>
    <w:rsid w:val="00BA123B"/>
    <w:rsid w:val="00BA1FF3"/>
    <w:rsid w:val="00BA29FD"/>
    <w:rsid w:val="00BA3721"/>
    <w:rsid w:val="00BA3FC5"/>
    <w:rsid w:val="00BA48C7"/>
    <w:rsid w:val="00BA52BB"/>
    <w:rsid w:val="00BA6D16"/>
    <w:rsid w:val="00BA7548"/>
    <w:rsid w:val="00BA7802"/>
    <w:rsid w:val="00BB052F"/>
    <w:rsid w:val="00BB059B"/>
    <w:rsid w:val="00BB2D53"/>
    <w:rsid w:val="00BB38BF"/>
    <w:rsid w:val="00BB4B21"/>
    <w:rsid w:val="00BB6DDF"/>
    <w:rsid w:val="00BC3778"/>
    <w:rsid w:val="00BC4CBF"/>
    <w:rsid w:val="00BC785E"/>
    <w:rsid w:val="00BD3C26"/>
    <w:rsid w:val="00BD757E"/>
    <w:rsid w:val="00BD7EA0"/>
    <w:rsid w:val="00BE2210"/>
    <w:rsid w:val="00BE3563"/>
    <w:rsid w:val="00BE4189"/>
    <w:rsid w:val="00BE43C6"/>
    <w:rsid w:val="00BE4564"/>
    <w:rsid w:val="00BE5AC7"/>
    <w:rsid w:val="00BE64A1"/>
    <w:rsid w:val="00BF3E58"/>
    <w:rsid w:val="00BF4A8E"/>
    <w:rsid w:val="00BF6E9C"/>
    <w:rsid w:val="00BF73E4"/>
    <w:rsid w:val="00BF75D8"/>
    <w:rsid w:val="00C02926"/>
    <w:rsid w:val="00C03557"/>
    <w:rsid w:val="00C04026"/>
    <w:rsid w:val="00C05CC3"/>
    <w:rsid w:val="00C0628D"/>
    <w:rsid w:val="00C07FA7"/>
    <w:rsid w:val="00C12535"/>
    <w:rsid w:val="00C125F2"/>
    <w:rsid w:val="00C138E1"/>
    <w:rsid w:val="00C13CF0"/>
    <w:rsid w:val="00C2113E"/>
    <w:rsid w:val="00C2226A"/>
    <w:rsid w:val="00C23C8C"/>
    <w:rsid w:val="00C2461A"/>
    <w:rsid w:val="00C247A3"/>
    <w:rsid w:val="00C273A7"/>
    <w:rsid w:val="00C3042D"/>
    <w:rsid w:val="00C304ED"/>
    <w:rsid w:val="00C32CE2"/>
    <w:rsid w:val="00C33BE0"/>
    <w:rsid w:val="00C3560C"/>
    <w:rsid w:val="00C362B7"/>
    <w:rsid w:val="00C3693F"/>
    <w:rsid w:val="00C378BB"/>
    <w:rsid w:val="00C37A6A"/>
    <w:rsid w:val="00C42C2E"/>
    <w:rsid w:val="00C42E6A"/>
    <w:rsid w:val="00C436B8"/>
    <w:rsid w:val="00C443D7"/>
    <w:rsid w:val="00C4576A"/>
    <w:rsid w:val="00C45C49"/>
    <w:rsid w:val="00C4731B"/>
    <w:rsid w:val="00C50209"/>
    <w:rsid w:val="00C575A0"/>
    <w:rsid w:val="00C57E1E"/>
    <w:rsid w:val="00C620FD"/>
    <w:rsid w:val="00C63196"/>
    <w:rsid w:val="00C639E4"/>
    <w:rsid w:val="00C64E55"/>
    <w:rsid w:val="00C671E6"/>
    <w:rsid w:val="00C67A10"/>
    <w:rsid w:val="00C70720"/>
    <w:rsid w:val="00C7198F"/>
    <w:rsid w:val="00C71CED"/>
    <w:rsid w:val="00C778C6"/>
    <w:rsid w:val="00C80C62"/>
    <w:rsid w:val="00C81A6D"/>
    <w:rsid w:val="00C82A8A"/>
    <w:rsid w:val="00C85D9C"/>
    <w:rsid w:val="00C8634C"/>
    <w:rsid w:val="00C90301"/>
    <w:rsid w:val="00C90ED8"/>
    <w:rsid w:val="00C9331A"/>
    <w:rsid w:val="00C96B25"/>
    <w:rsid w:val="00CA168B"/>
    <w:rsid w:val="00CA1C58"/>
    <w:rsid w:val="00CA4694"/>
    <w:rsid w:val="00CA72FE"/>
    <w:rsid w:val="00CA7BF6"/>
    <w:rsid w:val="00CB032B"/>
    <w:rsid w:val="00CB0554"/>
    <w:rsid w:val="00CB0E72"/>
    <w:rsid w:val="00CB174F"/>
    <w:rsid w:val="00CC05D7"/>
    <w:rsid w:val="00CC1136"/>
    <w:rsid w:val="00CC31C6"/>
    <w:rsid w:val="00CC43C0"/>
    <w:rsid w:val="00CC5606"/>
    <w:rsid w:val="00CC5948"/>
    <w:rsid w:val="00CC60F4"/>
    <w:rsid w:val="00CC673A"/>
    <w:rsid w:val="00CC6812"/>
    <w:rsid w:val="00CC6AC0"/>
    <w:rsid w:val="00CD02A5"/>
    <w:rsid w:val="00CD1483"/>
    <w:rsid w:val="00CD2107"/>
    <w:rsid w:val="00CD23DA"/>
    <w:rsid w:val="00CD37AF"/>
    <w:rsid w:val="00CD4063"/>
    <w:rsid w:val="00CD7F0B"/>
    <w:rsid w:val="00CE09EF"/>
    <w:rsid w:val="00CE446D"/>
    <w:rsid w:val="00CE4734"/>
    <w:rsid w:val="00CE5821"/>
    <w:rsid w:val="00CE6C02"/>
    <w:rsid w:val="00CE7643"/>
    <w:rsid w:val="00CF1EA3"/>
    <w:rsid w:val="00CF29E4"/>
    <w:rsid w:val="00CF5A2D"/>
    <w:rsid w:val="00D01ACB"/>
    <w:rsid w:val="00D044DC"/>
    <w:rsid w:val="00D04E07"/>
    <w:rsid w:val="00D05A02"/>
    <w:rsid w:val="00D0725D"/>
    <w:rsid w:val="00D076DE"/>
    <w:rsid w:val="00D11F38"/>
    <w:rsid w:val="00D11F49"/>
    <w:rsid w:val="00D14468"/>
    <w:rsid w:val="00D15503"/>
    <w:rsid w:val="00D17467"/>
    <w:rsid w:val="00D20306"/>
    <w:rsid w:val="00D20D9D"/>
    <w:rsid w:val="00D2150F"/>
    <w:rsid w:val="00D215DF"/>
    <w:rsid w:val="00D22800"/>
    <w:rsid w:val="00D22D62"/>
    <w:rsid w:val="00D24EC7"/>
    <w:rsid w:val="00D25AD9"/>
    <w:rsid w:val="00D319C5"/>
    <w:rsid w:val="00D33002"/>
    <w:rsid w:val="00D334D4"/>
    <w:rsid w:val="00D33DAF"/>
    <w:rsid w:val="00D33E3B"/>
    <w:rsid w:val="00D33FBA"/>
    <w:rsid w:val="00D34157"/>
    <w:rsid w:val="00D34782"/>
    <w:rsid w:val="00D34D4F"/>
    <w:rsid w:val="00D40B85"/>
    <w:rsid w:val="00D40CA5"/>
    <w:rsid w:val="00D45872"/>
    <w:rsid w:val="00D459DB"/>
    <w:rsid w:val="00D506C9"/>
    <w:rsid w:val="00D5181E"/>
    <w:rsid w:val="00D535AC"/>
    <w:rsid w:val="00D555C7"/>
    <w:rsid w:val="00D566F4"/>
    <w:rsid w:val="00D60855"/>
    <w:rsid w:val="00D61A60"/>
    <w:rsid w:val="00D621F5"/>
    <w:rsid w:val="00D75795"/>
    <w:rsid w:val="00D77800"/>
    <w:rsid w:val="00D77E54"/>
    <w:rsid w:val="00D81270"/>
    <w:rsid w:val="00D81F86"/>
    <w:rsid w:val="00D82F74"/>
    <w:rsid w:val="00D83FCD"/>
    <w:rsid w:val="00D8582B"/>
    <w:rsid w:val="00D94970"/>
    <w:rsid w:val="00D94BB5"/>
    <w:rsid w:val="00D962DC"/>
    <w:rsid w:val="00DA12AA"/>
    <w:rsid w:val="00DA3FE3"/>
    <w:rsid w:val="00DA44E5"/>
    <w:rsid w:val="00DA4B37"/>
    <w:rsid w:val="00DA6312"/>
    <w:rsid w:val="00DB0A9B"/>
    <w:rsid w:val="00DB0BF9"/>
    <w:rsid w:val="00DB4B3E"/>
    <w:rsid w:val="00DB6031"/>
    <w:rsid w:val="00DB6854"/>
    <w:rsid w:val="00DC075C"/>
    <w:rsid w:val="00DC43DE"/>
    <w:rsid w:val="00DC64CE"/>
    <w:rsid w:val="00DC6FBB"/>
    <w:rsid w:val="00DD0380"/>
    <w:rsid w:val="00DD5D38"/>
    <w:rsid w:val="00DE05FE"/>
    <w:rsid w:val="00DE0E7B"/>
    <w:rsid w:val="00DE2DD1"/>
    <w:rsid w:val="00DE4610"/>
    <w:rsid w:val="00DE5EE8"/>
    <w:rsid w:val="00DE6FE1"/>
    <w:rsid w:val="00DE74EC"/>
    <w:rsid w:val="00DF0B01"/>
    <w:rsid w:val="00DF0CE9"/>
    <w:rsid w:val="00DF56B6"/>
    <w:rsid w:val="00DF5A46"/>
    <w:rsid w:val="00E01562"/>
    <w:rsid w:val="00E03854"/>
    <w:rsid w:val="00E040B1"/>
    <w:rsid w:val="00E10784"/>
    <w:rsid w:val="00E10B5B"/>
    <w:rsid w:val="00E11105"/>
    <w:rsid w:val="00E137B4"/>
    <w:rsid w:val="00E16404"/>
    <w:rsid w:val="00E16939"/>
    <w:rsid w:val="00E169E6"/>
    <w:rsid w:val="00E1766A"/>
    <w:rsid w:val="00E20122"/>
    <w:rsid w:val="00E2084D"/>
    <w:rsid w:val="00E24A17"/>
    <w:rsid w:val="00E267E6"/>
    <w:rsid w:val="00E31378"/>
    <w:rsid w:val="00E31822"/>
    <w:rsid w:val="00E34501"/>
    <w:rsid w:val="00E348A3"/>
    <w:rsid w:val="00E34EB9"/>
    <w:rsid w:val="00E35B8F"/>
    <w:rsid w:val="00E37EFF"/>
    <w:rsid w:val="00E40078"/>
    <w:rsid w:val="00E4109C"/>
    <w:rsid w:val="00E42622"/>
    <w:rsid w:val="00E4461B"/>
    <w:rsid w:val="00E44AEB"/>
    <w:rsid w:val="00E4520C"/>
    <w:rsid w:val="00E559DF"/>
    <w:rsid w:val="00E603EE"/>
    <w:rsid w:val="00E62B01"/>
    <w:rsid w:val="00E6476B"/>
    <w:rsid w:val="00E64B67"/>
    <w:rsid w:val="00E66358"/>
    <w:rsid w:val="00E669CD"/>
    <w:rsid w:val="00E70A2C"/>
    <w:rsid w:val="00E71AE8"/>
    <w:rsid w:val="00E7502E"/>
    <w:rsid w:val="00E813BB"/>
    <w:rsid w:val="00E81A92"/>
    <w:rsid w:val="00E82E72"/>
    <w:rsid w:val="00E83A1D"/>
    <w:rsid w:val="00E847A7"/>
    <w:rsid w:val="00E85FF2"/>
    <w:rsid w:val="00E86CBA"/>
    <w:rsid w:val="00E90E39"/>
    <w:rsid w:val="00E91CE7"/>
    <w:rsid w:val="00E91DB5"/>
    <w:rsid w:val="00E92848"/>
    <w:rsid w:val="00E92ED5"/>
    <w:rsid w:val="00E93C25"/>
    <w:rsid w:val="00E94B1F"/>
    <w:rsid w:val="00E95865"/>
    <w:rsid w:val="00EA4BD2"/>
    <w:rsid w:val="00EA4F47"/>
    <w:rsid w:val="00EA5D8D"/>
    <w:rsid w:val="00EB1557"/>
    <w:rsid w:val="00EB4277"/>
    <w:rsid w:val="00EB53AF"/>
    <w:rsid w:val="00EB6999"/>
    <w:rsid w:val="00EC0F33"/>
    <w:rsid w:val="00EC12DC"/>
    <w:rsid w:val="00EC1559"/>
    <w:rsid w:val="00EC1B81"/>
    <w:rsid w:val="00EC2A56"/>
    <w:rsid w:val="00ED2D5C"/>
    <w:rsid w:val="00ED3522"/>
    <w:rsid w:val="00ED4D02"/>
    <w:rsid w:val="00ED6ED3"/>
    <w:rsid w:val="00EE1501"/>
    <w:rsid w:val="00EE2633"/>
    <w:rsid w:val="00EE28EB"/>
    <w:rsid w:val="00EE3420"/>
    <w:rsid w:val="00EE51E3"/>
    <w:rsid w:val="00EE570F"/>
    <w:rsid w:val="00EE5856"/>
    <w:rsid w:val="00EE5F89"/>
    <w:rsid w:val="00EF0768"/>
    <w:rsid w:val="00EF1B2D"/>
    <w:rsid w:val="00EF2F77"/>
    <w:rsid w:val="00EF306D"/>
    <w:rsid w:val="00EF3AA8"/>
    <w:rsid w:val="00EF3EE9"/>
    <w:rsid w:val="00F0196A"/>
    <w:rsid w:val="00F04D70"/>
    <w:rsid w:val="00F05406"/>
    <w:rsid w:val="00F07B2D"/>
    <w:rsid w:val="00F11C30"/>
    <w:rsid w:val="00F14BB5"/>
    <w:rsid w:val="00F14D03"/>
    <w:rsid w:val="00F160CB"/>
    <w:rsid w:val="00F16489"/>
    <w:rsid w:val="00F1728D"/>
    <w:rsid w:val="00F172EE"/>
    <w:rsid w:val="00F17ED9"/>
    <w:rsid w:val="00F200B5"/>
    <w:rsid w:val="00F21323"/>
    <w:rsid w:val="00F22132"/>
    <w:rsid w:val="00F22FC2"/>
    <w:rsid w:val="00F248B6"/>
    <w:rsid w:val="00F25CAC"/>
    <w:rsid w:val="00F25CF8"/>
    <w:rsid w:val="00F31637"/>
    <w:rsid w:val="00F31AA5"/>
    <w:rsid w:val="00F33B9F"/>
    <w:rsid w:val="00F3540E"/>
    <w:rsid w:val="00F4111B"/>
    <w:rsid w:val="00F41932"/>
    <w:rsid w:val="00F44C22"/>
    <w:rsid w:val="00F4789A"/>
    <w:rsid w:val="00F47FEE"/>
    <w:rsid w:val="00F5182D"/>
    <w:rsid w:val="00F51C00"/>
    <w:rsid w:val="00F51FDE"/>
    <w:rsid w:val="00F52877"/>
    <w:rsid w:val="00F52B8F"/>
    <w:rsid w:val="00F55001"/>
    <w:rsid w:val="00F57590"/>
    <w:rsid w:val="00F61364"/>
    <w:rsid w:val="00F614C4"/>
    <w:rsid w:val="00F61C93"/>
    <w:rsid w:val="00F61E2F"/>
    <w:rsid w:val="00F65BBA"/>
    <w:rsid w:val="00F65E2D"/>
    <w:rsid w:val="00F67CC8"/>
    <w:rsid w:val="00F70D70"/>
    <w:rsid w:val="00F7256C"/>
    <w:rsid w:val="00F7570D"/>
    <w:rsid w:val="00F75A59"/>
    <w:rsid w:val="00F7650A"/>
    <w:rsid w:val="00F76687"/>
    <w:rsid w:val="00F7755C"/>
    <w:rsid w:val="00F775D8"/>
    <w:rsid w:val="00F81DB9"/>
    <w:rsid w:val="00F82561"/>
    <w:rsid w:val="00F8370B"/>
    <w:rsid w:val="00F84A7E"/>
    <w:rsid w:val="00F90901"/>
    <w:rsid w:val="00F95D15"/>
    <w:rsid w:val="00F95DDF"/>
    <w:rsid w:val="00F95FB5"/>
    <w:rsid w:val="00F96108"/>
    <w:rsid w:val="00F97B27"/>
    <w:rsid w:val="00F97C18"/>
    <w:rsid w:val="00FA354D"/>
    <w:rsid w:val="00FA6CEA"/>
    <w:rsid w:val="00FA70A7"/>
    <w:rsid w:val="00FB0215"/>
    <w:rsid w:val="00FB0EF0"/>
    <w:rsid w:val="00FB394E"/>
    <w:rsid w:val="00FB4DAF"/>
    <w:rsid w:val="00FB51FD"/>
    <w:rsid w:val="00FB5337"/>
    <w:rsid w:val="00FB58BF"/>
    <w:rsid w:val="00FB7AEB"/>
    <w:rsid w:val="00FC047D"/>
    <w:rsid w:val="00FC055A"/>
    <w:rsid w:val="00FC16BF"/>
    <w:rsid w:val="00FC1DBE"/>
    <w:rsid w:val="00FC2874"/>
    <w:rsid w:val="00FC2E34"/>
    <w:rsid w:val="00FC3016"/>
    <w:rsid w:val="00FC5120"/>
    <w:rsid w:val="00FC69A8"/>
    <w:rsid w:val="00FD06DF"/>
    <w:rsid w:val="00FD0B4D"/>
    <w:rsid w:val="00FD21BA"/>
    <w:rsid w:val="00FD36DA"/>
    <w:rsid w:val="00FD4B37"/>
    <w:rsid w:val="00FD52A9"/>
    <w:rsid w:val="00FD5E74"/>
    <w:rsid w:val="00FE0015"/>
    <w:rsid w:val="00FE316C"/>
    <w:rsid w:val="00FF048E"/>
    <w:rsid w:val="00FF4459"/>
    <w:rsid w:val="00FF4AC4"/>
    <w:rsid w:val="00FF6BC0"/>
    <w:rsid w:val="00FF714F"/>
    <w:rsid w:val="0105C4E7"/>
    <w:rsid w:val="076779AF"/>
    <w:rsid w:val="0C0FE3D7"/>
    <w:rsid w:val="0CF16D98"/>
    <w:rsid w:val="1B1E46E9"/>
    <w:rsid w:val="4137E52A"/>
    <w:rsid w:val="48FC996F"/>
    <w:rsid w:val="4D36B545"/>
    <w:rsid w:val="4E96B26A"/>
    <w:rsid w:val="4EED80C8"/>
    <w:rsid w:val="5FA0CB23"/>
    <w:rsid w:val="5FAB368B"/>
    <w:rsid w:val="68AE3348"/>
    <w:rsid w:val="6A15D880"/>
    <w:rsid w:val="6E044409"/>
    <w:rsid w:val="6FF9F8A3"/>
    <w:rsid w:val="7DCEC9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77EAFE1E-BBE4-4A21-A6AD-B0202690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57092"/>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851974"/>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851974"/>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851974"/>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851974"/>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851974"/>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851974"/>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851974"/>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8519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851974"/>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1974"/>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851974"/>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851974"/>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851974"/>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851974"/>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851974"/>
    <w:pPr>
      <w:numPr>
        <w:ilvl w:val="1"/>
        <w:numId w:val="7"/>
      </w:numPr>
    </w:pPr>
  </w:style>
  <w:style w:type="character" w:customStyle="1" w:styleId="DashChar">
    <w:name w:val="Dash Char"/>
    <w:basedOn w:val="DefaultParagraphFont"/>
    <w:link w:val="Dash"/>
    <w:rsid w:val="00851974"/>
    <w:rPr>
      <w:rFonts w:asciiTheme="minorHAnsi" w:eastAsia="Times New Roman" w:hAnsiTheme="minorHAnsi"/>
      <w:lang w:eastAsia="en-AU"/>
    </w:rPr>
  </w:style>
  <w:style w:type="paragraph" w:customStyle="1" w:styleId="DoubleDot">
    <w:name w:val="Double Dot"/>
    <w:basedOn w:val="Normal"/>
    <w:link w:val="DoubleDotChar"/>
    <w:qFormat/>
    <w:rsid w:val="00851974"/>
    <w:pPr>
      <w:numPr>
        <w:ilvl w:val="2"/>
        <w:numId w:val="7"/>
      </w:numPr>
      <w:ind w:left="851"/>
    </w:pPr>
  </w:style>
  <w:style w:type="character" w:customStyle="1" w:styleId="DoubleDotChar">
    <w:name w:val="Double Dot Char"/>
    <w:basedOn w:val="DefaultParagraphFont"/>
    <w:link w:val="DoubleDot"/>
    <w:rsid w:val="00851974"/>
    <w:rPr>
      <w:rFonts w:asciiTheme="minorHAnsi" w:eastAsia="Times New Roman" w:hAnsiTheme="minorHAnsi"/>
      <w:lang w:eastAsia="en-AU"/>
    </w:rPr>
  </w:style>
  <w:style w:type="paragraph" w:styleId="BalloonText">
    <w:name w:val="Balloon Text"/>
    <w:basedOn w:val="Normal"/>
    <w:link w:val="BalloonTextChar"/>
    <w:semiHidden/>
    <w:rsid w:val="00851974"/>
    <w:rPr>
      <w:rFonts w:ascii="Tahoma" w:hAnsi="Tahoma" w:cs="Tahoma"/>
      <w:sz w:val="16"/>
      <w:szCs w:val="16"/>
    </w:rPr>
  </w:style>
  <w:style w:type="character" w:customStyle="1" w:styleId="BalloonTextChar">
    <w:name w:val="Balloon Text Char"/>
    <w:basedOn w:val="DefaultParagraphFont"/>
    <w:link w:val="BalloonText"/>
    <w:semiHidden/>
    <w:rsid w:val="00851974"/>
    <w:rPr>
      <w:rFonts w:ascii="Tahoma" w:eastAsia="Times New Roman" w:hAnsi="Tahoma" w:cs="Tahoma"/>
      <w:sz w:val="16"/>
      <w:szCs w:val="16"/>
      <w:lang w:eastAsia="en-AU"/>
    </w:rPr>
  </w:style>
  <w:style w:type="character" w:customStyle="1" w:styleId="Heading2Char">
    <w:name w:val="Heading 2 Char"/>
    <w:basedOn w:val="DefaultParagraphFont"/>
    <w:link w:val="Heading2"/>
    <w:rsid w:val="00851974"/>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851974"/>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851974"/>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851974"/>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974"/>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51974"/>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851974"/>
    <w:rPr>
      <w:color w:val="002C47" w:themeColor="accent1"/>
      <w:u w:val="single"/>
    </w:rPr>
  </w:style>
  <w:style w:type="character" w:styleId="FollowedHyperlink">
    <w:name w:val="FollowedHyperlink"/>
    <w:basedOn w:val="DefaultParagraphFont"/>
    <w:semiHidden/>
    <w:rsid w:val="00851974"/>
    <w:rPr>
      <w:color w:val="954F72" w:themeColor="followedHyperlink"/>
      <w:u w:val="single"/>
    </w:rPr>
  </w:style>
  <w:style w:type="paragraph" w:styleId="Revision">
    <w:name w:val="Revision"/>
    <w:hidden/>
    <w:uiPriority w:val="99"/>
    <w:semiHidden/>
    <w:rsid w:val="00851974"/>
    <w:rPr>
      <w:rFonts w:ascii="Calibri Light" w:hAnsi="Calibri Light"/>
      <w:color w:val="0D0D0D" w:themeColor="text1" w:themeTint="F2"/>
      <w:sz w:val="22"/>
    </w:rPr>
  </w:style>
  <w:style w:type="character" w:styleId="PlaceholderText">
    <w:name w:val="Placeholder Text"/>
    <w:basedOn w:val="DefaultParagraphFont"/>
    <w:uiPriority w:val="99"/>
    <w:semiHidden/>
    <w:rsid w:val="00851974"/>
    <w:rPr>
      <w:color w:val="808080"/>
    </w:rPr>
  </w:style>
  <w:style w:type="character" w:customStyle="1" w:styleId="Heading5Char">
    <w:name w:val="Heading 5 Char"/>
    <w:basedOn w:val="DefaultParagraphFont"/>
    <w:link w:val="Heading5"/>
    <w:rsid w:val="00851974"/>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851974"/>
    <w:pPr>
      <w:keepNext/>
      <w:spacing w:before="120" w:after="120"/>
    </w:pPr>
    <w:rPr>
      <w:b/>
      <w:caps/>
      <w:color w:val="002C47" w:themeColor="accent1"/>
      <w:sz w:val="24"/>
      <w:szCs w:val="26"/>
    </w:rPr>
  </w:style>
  <w:style w:type="paragraph" w:customStyle="1" w:styleId="BoxText">
    <w:name w:val="Box Text"/>
    <w:basedOn w:val="Normal"/>
    <w:link w:val="BoxTextChar"/>
    <w:qFormat/>
    <w:rsid w:val="00851974"/>
  </w:style>
  <w:style w:type="paragraph" w:customStyle="1" w:styleId="Bullet">
    <w:name w:val="Bullet"/>
    <w:basedOn w:val="Normal"/>
    <w:link w:val="BulletChar"/>
    <w:qFormat/>
    <w:rsid w:val="00851974"/>
    <w:pPr>
      <w:numPr>
        <w:numId w:val="7"/>
      </w:numPr>
    </w:pPr>
  </w:style>
  <w:style w:type="character" w:customStyle="1" w:styleId="BoxTextChar">
    <w:name w:val="Box Text Char"/>
    <w:basedOn w:val="DefaultParagraphFont"/>
    <w:link w:val="BoxText"/>
    <w:rsid w:val="00851974"/>
    <w:rPr>
      <w:rFonts w:asciiTheme="minorHAnsi" w:eastAsia="Times New Roman" w:hAnsiTheme="minorHAnsi"/>
      <w:lang w:eastAsia="en-AU"/>
    </w:rPr>
  </w:style>
  <w:style w:type="character" w:customStyle="1" w:styleId="BulletChar">
    <w:name w:val="Bullet Char"/>
    <w:basedOn w:val="DefaultParagraphFont"/>
    <w:link w:val="Bullet"/>
    <w:rsid w:val="00851974"/>
    <w:rPr>
      <w:rFonts w:asciiTheme="minorHAnsi" w:eastAsia="Times New Roman" w:hAnsiTheme="minorHAnsi"/>
      <w:lang w:eastAsia="en-AU"/>
    </w:rPr>
  </w:style>
  <w:style w:type="paragraph" w:customStyle="1" w:styleId="Boxbullet">
    <w:name w:val="Box bullet"/>
    <w:basedOn w:val="Bullet"/>
    <w:qFormat/>
    <w:rsid w:val="00851974"/>
    <w:rPr>
      <w:color w:val="0D0D0D" w:themeColor="text1" w:themeTint="F2"/>
    </w:rPr>
  </w:style>
  <w:style w:type="paragraph" w:customStyle="1" w:styleId="Boxdash">
    <w:name w:val="Box dash"/>
    <w:basedOn w:val="Dash"/>
    <w:qFormat/>
    <w:rsid w:val="00851974"/>
    <w:pPr>
      <w:tabs>
        <w:tab w:val="num" w:pos="1040"/>
      </w:tabs>
    </w:pPr>
    <w:rPr>
      <w:rFonts w:eastAsiaTheme="minorHAnsi"/>
      <w:color w:val="0D0D0D" w:themeColor="text1" w:themeTint="F2"/>
    </w:rPr>
  </w:style>
  <w:style w:type="paragraph" w:customStyle="1" w:styleId="Boxdoubledot">
    <w:name w:val="Box double dot"/>
    <w:basedOn w:val="DoubleDot"/>
    <w:qFormat/>
    <w:rsid w:val="00851974"/>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851974"/>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851974"/>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851974"/>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851974"/>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851974"/>
    <w:pPr>
      <w:autoSpaceDE/>
      <w:autoSpaceDN/>
      <w:adjustRightInd/>
      <w:spacing w:before="0" w:after="0"/>
    </w:pPr>
  </w:style>
  <w:style w:type="paragraph" w:customStyle="1" w:styleId="Default">
    <w:name w:val="Default"/>
    <w:semiHidden/>
    <w:rsid w:val="00851974"/>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51974"/>
    <w:rPr>
      <w:vertAlign w:val="superscript"/>
    </w:rPr>
  </w:style>
  <w:style w:type="paragraph" w:styleId="FootnoteText">
    <w:name w:val="footnote text"/>
    <w:basedOn w:val="Normal"/>
    <w:link w:val="FootnoteTextChar"/>
    <w:uiPriority w:val="99"/>
    <w:rsid w:val="00851974"/>
    <w:pPr>
      <w:spacing w:before="0" w:after="20"/>
      <w:ind w:left="170" w:hanging="170"/>
    </w:pPr>
    <w:rPr>
      <w:sz w:val="17"/>
    </w:rPr>
  </w:style>
  <w:style w:type="character" w:customStyle="1" w:styleId="FootnoteTextChar">
    <w:name w:val="Footnote Text Char"/>
    <w:basedOn w:val="DefaultParagraphFont"/>
    <w:link w:val="FootnoteText"/>
    <w:uiPriority w:val="99"/>
    <w:rsid w:val="00851974"/>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851974"/>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851974"/>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851974"/>
    <w:pPr>
      <w:ind w:left="720"/>
      <w:contextualSpacing/>
    </w:pPr>
  </w:style>
  <w:style w:type="character" w:customStyle="1" w:styleId="ListParagraphChar">
    <w:name w:val="List Paragraph Char"/>
    <w:basedOn w:val="DefaultParagraphFont"/>
    <w:link w:val="ListParagraph"/>
    <w:uiPriority w:val="34"/>
    <w:semiHidden/>
    <w:rsid w:val="00851974"/>
    <w:rPr>
      <w:rFonts w:asciiTheme="minorHAnsi" w:eastAsia="Times New Roman" w:hAnsiTheme="minorHAnsi"/>
      <w:lang w:eastAsia="en-AU"/>
    </w:rPr>
  </w:style>
  <w:style w:type="table" w:customStyle="1" w:styleId="ListTable4-Accent61">
    <w:name w:val="List Table 4 - Accent 61"/>
    <w:basedOn w:val="TableNormal"/>
    <w:uiPriority w:val="49"/>
    <w:rsid w:val="00851974"/>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851974"/>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851974"/>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851974"/>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851974"/>
    <w:pPr>
      <w:numPr>
        <w:numId w:val="1"/>
      </w:numPr>
    </w:pPr>
  </w:style>
  <w:style w:type="numbering" w:customStyle="1" w:styleId="StyleBulletedSymbolsymbol11ptLeft4cmHanging051">
    <w:name w:val="Style Bulleted Symbol (symbol) 11 pt Left:  4 cm Hanging:  0.5 ...1"/>
    <w:basedOn w:val="NoList"/>
    <w:rsid w:val="00851974"/>
    <w:pPr>
      <w:numPr>
        <w:numId w:val="2"/>
      </w:numPr>
    </w:pPr>
  </w:style>
  <w:style w:type="numbering" w:customStyle="1" w:styleId="BoxBulletedList">
    <w:name w:val="Box Bulleted List"/>
    <w:uiPriority w:val="99"/>
    <w:rsid w:val="00851974"/>
    <w:pPr>
      <w:numPr>
        <w:numId w:val="8"/>
      </w:numPr>
    </w:pPr>
  </w:style>
  <w:style w:type="paragraph" w:customStyle="1" w:styleId="TableText">
    <w:name w:val="Table Text"/>
    <w:basedOn w:val="Normal"/>
    <w:semiHidden/>
    <w:rsid w:val="00851974"/>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851974"/>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851974"/>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851974"/>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851974"/>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851974"/>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851974"/>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851974"/>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851974"/>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851974"/>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851974"/>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851974"/>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851974"/>
    <w:pPr>
      <w:keepNext/>
      <w:autoSpaceDE/>
      <w:autoSpaceDN/>
      <w:adjustRightInd/>
      <w:spacing w:before="0" w:after="0"/>
    </w:pPr>
  </w:style>
  <w:style w:type="table" w:customStyle="1" w:styleId="SidebySideChartFigureTable">
    <w:name w:val="Side by Side Chart/Figure Table"/>
    <w:basedOn w:val="TableNormal"/>
    <w:uiPriority w:val="99"/>
    <w:rsid w:val="00851974"/>
    <w:tblPr/>
  </w:style>
  <w:style w:type="paragraph" w:customStyle="1" w:styleId="TableChartFiguresecondheading">
    <w:name w:val="Table/Chart/Figure second heading"/>
    <w:basedOn w:val="TableChartFigureHeading"/>
    <w:qFormat/>
    <w:rsid w:val="00851974"/>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851974"/>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851974"/>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851974"/>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851974"/>
    <w:pPr>
      <w:autoSpaceDE/>
      <w:autoSpaceDN/>
      <w:adjustRightInd/>
      <w:spacing w:before="20" w:after="20"/>
      <w:ind w:left="284"/>
    </w:pPr>
    <w:rPr>
      <w:rFonts w:eastAsiaTheme="minorEastAsia"/>
      <w:i/>
      <w:iCs/>
    </w:rPr>
  </w:style>
  <w:style w:type="table" w:customStyle="1" w:styleId="CPOPSnapshotTable">
    <w:name w:val="CPOP Snapshot Table"/>
    <w:basedOn w:val="TableNormal"/>
    <w:uiPriority w:val="99"/>
    <w:rsid w:val="00851974"/>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styleId="CommentReference">
    <w:name w:val="annotation reference"/>
    <w:basedOn w:val="DefaultParagraphFont"/>
    <w:uiPriority w:val="99"/>
    <w:semiHidden/>
    <w:unhideWhenUsed/>
    <w:rsid w:val="002E2717"/>
    <w:rPr>
      <w:sz w:val="16"/>
      <w:szCs w:val="16"/>
    </w:rPr>
  </w:style>
  <w:style w:type="paragraph" w:customStyle="1" w:styleId="StyleTableChartFigureHeadingBefore6pt">
    <w:name w:val="Style Table/Chart/Figure Heading + Before:  6 pt"/>
    <w:basedOn w:val="TableChartFigureHeading"/>
    <w:rsid w:val="002E2717"/>
    <w:pPr>
      <w:spacing w:before="120"/>
    </w:pPr>
    <w:rPr>
      <w:rFonts w:eastAsia="Times New Roman" w:cs="Times New Roman"/>
      <w:bCs/>
    </w:rPr>
  </w:style>
  <w:style w:type="paragraph" w:styleId="CommentText">
    <w:name w:val="annotation text"/>
    <w:basedOn w:val="Normal"/>
    <w:link w:val="CommentTextChar"/>
    <w:semiHidden/>
    <w:rsid w:val="00E91DB5"/>
  </w:style>
  <w:style w:type="character" w:customStyle="1" w:styleId="CommentTextChar">
    <w:name w:val="Comment Text Char"/>
    <w:basedOn w:val="DefaultParagraphFont"/>
    <w:link w:val="CommentText"/>
    <w:semiHidden/>
    <w:rsid w:val="00E91DB5"/>
    <w:rPr>
      <w:rFonts w:asciiTheme="minorHAnsi" w:eastAsia="Times New Roman" w:hAnsiTheme="minorHAnsi"/>
      <w:lang w:eastAsia="en-AU"/>
    </w:rPr>
  </w:style>
  <w:style w:type="paragraph" w:styleId="CommentSubject">
    <w:name w:val="annotation subject"/>
    <w:basedOn w:val="CommentText"/>
    <w:next w:val="CommentText"/>
    <w:link w:val="CommentSubjectChar"/>
    <w:semiHidden/>
    <w:rsid w:val="00E91DB5"/>
    <w:rPr>
      <w:b/>
      <w:bCs/>
    </w:rPr>
  </w:style>
  <w:style w:type="character" w:customStyle="1" w:styleId="CommentSubjectChar">
    <w:name w:val="Comment Subject Char"/>
    <w:basedOn w:val="CommentTextChar"/>
    <w:link w:val="CommentSubject"/>
    <w:semiHidden/>
    <w:rsid w:val="00E91DB5"/>
    <w:rPr>
      <w:rFonts w:asciiTheme="minorHAnsi" w:eastAsia="Times New Roman" w:hAnsiTheme="minorHAnsi"/>
      <w:b/>
      <w:bCs/>
      <w:lang w:eastAsia="en-AU"/>
    </w:rPr>
  </w:style>
  <w:style w:type="character" w:styleId="Mention">
    <w:name w:val="Mention"/>
    <w:basedOn w:val="DefaultParagraphFont"/>
    <w:uiPriority w:val="99"/>
    <w:semiHidden/>
    <w:rsid w:val="00E91DB5"/>
    <w:rPr>
      <w:color w:val="2B579A"/>
      <w:shd w:val="clear" w:color="auto" w:fill="E1DFDD"/>
    </w:rPr>
  </w:style>
  <w:style w:type="paragraph" w:styleId="EndnoteText">
    <w:name w:val="endnote text"/>
    <w:basedOn w:val="Normal"/>
    <w:link w:val="EndnoteTextChar"/>
    <w:uiPriority w:val="99"/>
    <w:semiHidden/>
    <w:rsid w:val="0054373D"/>
    <w:pPr>
      <w:spacing w:before="0" w:after="0"/>
    </w:pPr>
  </w:style>
  <w:style w:type="character" w:customStyle="1" w:styleId="EndnoteTextChar">
    <w:name w:val="Endnote Text Char"/>
    <w:basedOn w:val="DefaultParagraphFont"/>
    <w:link w:val="EndnoteText"/>
    <w:uiPriority w:val="99"/>
    <w:semiHidden/>
    <w:rsid w:val="0054373D"/>
    <w:rPr>
      <w:rFonts w:asciiTheme="minorHAnsi" w:eastAsia="Times New Roman" w:hAnsiTheme="minorHAnsi"/>
      <w:lang w:eastAsia="en-AU"/>
    </w:rPr>
  </w:style>
  <w:style w:type="character" w:styleId="EndnoteReference">
    <w:name w:val="endnote reference"/>
    <w:basedOn w:val="DefaultParagraphFont"/>
    <w:uiPriority w:val="99"/>
    <w:semiHidden/>
    <w:rsid w:val="0054373D"/>
    <w:rPr>
      <w:vertAlign w:val="superscript"/>
    </w:rPr>
  </w:style>
  <w:style w:type="paragraph" w:customStyle="1" w:styleId="Title-StateTerritory">
    <w:name w:val="Title - State/Territory"/>
    <w:basedOn w:val="Normal"/>
    <w:rsid w:val="00851974"/>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851974"/>
    <w:pPr>
      <w:spacing w:after="0"/>
    </w:pPr>
  </w:style>
  <w:style w:type="paragraph" w:customStyle="1" w:styleId="TableTextLeft">
    <w:name w:val="Table Text Left"/>
    <w:basedOn w:val="Normal"/>
    <w:qFormat/>
    <w:rsid w:val="00851974"/>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851974"/>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KFKJJFZ4YKUM-899033718-130</_dlc_DocId>
    <_dlc_DocIdUrl xmlns="fe39d773-a83d-4623-ae74-f25711a76616">
      <Url>https://austreasury.sharepoint.com/sites/cenpop-function/_layouts/15/DocIdRedir.aspx?ID=KFKJJFZ4YKUM-899033718-130</Url>
      <Description>KFKJJFZ4YKUM-899033718-130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CreatedByDivision xmlns="8a0f7cc3-c266-472c-a05b-c6f864bb8450">Macroeconomic Group - Macroeconomic Conditions and Population Division</TSY_CreatedByDivision>
    <TSY_ModifiedByDivision xmlns="8a0f7cc3-c266-472c-a05b-c6f864bb8450">Macroeconomic Group - Macroeconomic Conditions and Population Division</TSY_ModifiedByDi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9EF1C-25C2-48EA-9C02-F5D0102C6A46}">
  <ds:schemaRefs>
    <ds:schemaRef ds:uri="http://purl.org/dc/dcmitype/"/>
    <ds:schemaRef ds:uri="http://purl.org/dc/terms/"/>
    <ds:schemaRef ds:uri="fe39d773-a83d-4623-ae74-f25711a76616"/>
    <ds:schemaRef ds:uri="http://purl.org/dc/elements/1.1/"/>
    <ds:schemaRef ds:uri="http://schemas.microsoft.com/office/infopath/2007/PartnerControls"/>
    <ds:schemaRef ds:uri="http://schemas.openxmlformats.org/package/2006/metadata/core-properties"/>
    <ds:schemaRef ds:uri="4b2ba981-d49b-488f-8ad5-18354b849463"/>
    <ds:schemaRef ds:uri="http://schemas.microsoft.com/office/2006/documentManagement/types"/>
    <ds:schemaRef ds:uri="8a0f7cc3-c266-472c-a05b-c6f864bb845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3.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4.xml><?xml version="1.0" encoding="utf-8"?>
<ds:datastoreItem xmlns:ds="http://schemas.openxmlformats.org/officeDocument/2006/customXml" ds:itemID="{A58E202B-9CFB-4AC3-92C7-57C979B5453B}">
  <ds:schemaRefs>
    <ds:schemaRef ds:uri="http://schemas.microsoft.com/sharepoint/events"/>
  </ds:schemaRefs>
</ds:datastoreItem>
</file>

<file path=customXml/itemProps5.xml><?xml version="1.0" encoding="utf-8"?>
<ds:datastoreItem xmlns:ds="http://schemas.openxmlformats.org/officeDocument/2006/customXml" ds:itemID="{0B577525-36FE-44E9-9D9A-3C827E4F2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131</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2935</CharactersWithSpaces>
  <SharedDoc>false</SharedDoc>
  <HLinks>
    <vt:vector size="12" baseType="variant">
      <vt:variant>
        <vt:i4>4587612</vt:i4>
      </vt:variant>
      <vt:variant>
        <vt:i4>18</vt:i4>
      </vt:variant>
      <vt:variant>
        <vt:i4>0</vt:i4>
      </vt:variant>
      <vt:variant>
        <vt:i4>5</vt:i4>
      </vt:variant>
      <vt:variant>
        <vt:lpwstr>http://www.population.gov.au/</vt:lpwstr>
      </vt:variant>
      <vt:variant>
        <vt:lpwstr/>
      </vt:variant>
      <vt:variant>
        <vt:i4>4587612</vt:i4>
      </vt:variant>
      <vt:variant>
        <vt:i4>12</vt:i4>
      </vt:variant>
      <vt:variant>
        <vt:i4>0</vt:i4>
      </vt:variant>
      <vt:variant>
        <vt:i4>5</vt:i4>
      </vt:variant>
      <vt:variant>
        <vt:lpwstr>http://www.population.gov.au/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Victoria snapshot</dc:subject>
  <dc:creator>Australian Government</dc:creator>
  <cp:keywords/>
  <dc:description/>
  <cp:revision>14</cp:revision>
  <cp:lastPrinted>2026-01-07T05:19:00Z</cp:lastPrinted>
  <dcterms:created xsi:type="dcterms:W3CDTF">2025-12-17T04:27:00Z</dcterms:created>
  <dcterms:modified xsi:type="dcterms:W3CDTF">2026-01-08T03:11:00Z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ed8f9783-6557-4044-8fd1-e990a03174cf</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2026-01-08T03:11:13Z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864e30b2-c852-4180-a344-72bd6b68aa4f</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